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5F90A" w14:textId="77777777" w:rsidR="0023733D" w:rsidRDefault="00301E53">
      <w:pPr>
        <w:pBdr>
          <w:top w:val="nil"/>
          <w:left w:val="nil"/>
          <w:bottom w:val="nil"/>
          <w:right w:val="nil"/>
          <w:between w:val="nil"/>
        </w:pBdr>
        <w:spacing w:after="0" w:line="240" w:lineRule="auto"/>
        <w:rPr>
          <w:rFonts w:ascii="Arial" w:eastAsia="Arial" w:hAnsi="Arial" w:cs="Arial"/>
          <w:color w:val="000000"/>
          <w:sz w:val="24"/>
          <w:szCs w:val="24"/>
        </w:rPr>
      </w:pPr>
      <w:r>
        <w:rPr>
          <w:noProof/>
          <w:lang w:val="es-MX"/>
        </w:rPr>
        <w:drawing>
          <wp:anchor distT="0" distB="0" distL="114300" distR="114300" simplePos="0" relativeHeight="251658240" behindDoc="0" locked="0" layoutInCell="1" hidden="0" allowOverlap="1" wp14:anchorId="39B2AC54" wp14:editId="1689D295">
            <wp:simplePos x="0" y="0"/>
            <wp:positionH relativeFrom="column">
              <wp:posOffset>-575309</wp:posOffset>
            </wp:positionH>
            <wp:positionV relativeFrom="paragraph">
              <wp:posOffset>-371474</wp:posOffset>
            </wp:positionV>
            <wp:extent cx="1600200" cy="1038225"/>
            <wp:effectExtent l="0" t="0" r="0" b="0"/>
            <wp:wrapSquare wrapText="bothSides" distT="0" distB="0" distL="114300" distR="1143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600200" cy="1038225"/>
                    </a:xfrm>
                    <a:prstGeom prst="rect">
                      <a:avLst/>
                    </a:prstGeom>
                    <a:ln/>
                  </pic:spPr>
                </pic:pic>
              </a:graphicData>
            </a:graphic>
          </wp:anchor>
        </w:drawing>
      </w:r>
      <w:r>
        <w:rPr>
          <w:noProof/>
          <w:lang w:val="es-MX"/>
        </w:rPr>
        <w:drawing>
          <wp:anchor distT="0" distB="0" distL="114300" distR="114300" simplePos="0" relativeHeight="251659264" behindDoc="0" locked="0" layoutInCell="1" hidden="0" allowOverlap="1" wp14:anchorId="40605D38" wp14:editId="4BE504EF">
            <wp:simplePos x="0" y="0"/>
            <wp:positionH relativeFrom="column">
              <wp:posOffset>5143782</wp:posOffset>
            </wp:positionH>
            <wp:positionV relativeFrom="paragraph">
              <wp:posOffset>-568958</wp:posOffset>
            </wp:positionV>
            <wp:extent cx="923925" cy="1279281"/>
            <wp:effectExtent l="0" t="0" r="0" b="0"/>
            <wp:wrapNone/>
            <wp:docPr id="6" name="image1.png"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drawing&#10;&#10;Description automatically generated"/>
                    <pic:cNvPicPr preferRelativeResize="0"/>
                  </pic:nvPicPr>
                  <pic:blipFill>
                    <a:blip r:embed="rId10"/>
                    <a:srcRect/>
                    <a:stretch>
                      <a:fillRect/>
                    </a:stretch>
                  </pic:blipFill>
                  <pic:spPr>
                    <a:xfrm>
                      <a:off x="0" y="0"/>
                      <a:ext cx="923925" cy="1279281"/>
                    </a:xfrm>
                    <a:prstGeom prst="rect">
                      <a:avLst/>
                    </a:prstGeom>
                    <a:ln/>
                  </pic:spPr>
                </pic:pic>
              </a:graphicData>
            </a:graphic>
          </wp:anchor>
        </w:drawing>
      </w:r>
    </w:p>
    <w:p w14:paraId="063FA437" w14:textId="77777777" w:rsidR="0023733D" w:rsidRDefault="0023733D">
      <w:pPr>
        <w:pBdr>
          <w:top w:val="nil"/>
          <w:left w:val="nil"/>
          <w:bottom w:val="nil"/>
          <w:right w:val="nil"/>
          <w:between w:val="nil"/>
        </w:pBdr>
        <w:spacing w:after="0" w:line="240" w:lineRule="auto"/>
        <w:jc w:val="center"/>
        <w:rPr>
          <w:rFonts w:ascii="Arial" w:eastAsia="Arial" w:hAnsi="Arial" w:cs="Arial"/>
          <w:b/>
          <w:color w:val="000000"/>
          <w:sz w:val="36"/>
          <w:szCs w:val="36"/>
        </w:rPr>
      </w:pPr>
    </w:p>
    <w:p w14:paraId="528B9291" w14:textId="77777777" w:rsidR="0023733D" w:rsidRDefault="0023733D">
      <w:pPr>
        <w:pBdr>
          <w:top w:val="nil"/>
          <w:left w:val="nil"/>
          <w:bottom w:val="nil"/>
          <w:right w:val="nil"/>
          <w:between w:val="nil"/>
        </w:pBdr>
        <w:spacing w:after="0" w:line="240" w:lineRule="auto"/>
        <w:jc w:val="center"/>
        <w:rPr>
          <w:rFonts w:ascii="Arial" w:eastAsia="Arial" w:hAnsi="Arial" w:cs="Arial"/>
          <w:b/>
          <w:color w:val="000000"/>
          <w:sz w:val="36"/>
          <w:szCs w:val="36"/>
        </w:rPr>
      </w:pPr>
    </w:p>
    <w:p w14:paraId="4F82B48B" w14:textId="77777777" w:rsidR="0023733D" w:rsidRDefault="0023733D">
      <w:pPr>
        <w:pBdr>
          <w:top w:val="nil"/>
          <w:left w:val="nil"/>
          <w:bottom w:val="nil"/>
          <w:right w:val="nil"/>
          <w:between w:val="nil"/>
        </w:pBdr>
        <w:spacing w:after="0" w:line="240" w:lineRule="auto"/>
        <w:jc w:val="center"/>
        <w:rPr>
          <w:rFonts w:ascii="Arial" w:eastAsia="Arial" w:hAnsi="Arial" w:cs="Arial"/>
          <w:b/>
          <w:color w:val="000000"/>
          <w:sz w:val="36"/>
          <w:szCs w:val="36"/>
        </w:rPr>
      </w:pPr>
    </w:p>
    <w:p w14:paraId="6455199A" w14:textId="77777777" w:rsidR="0023733D" w:rsidRDefault="0023733D">
      <w:pPr>
        <w:pBdr>
          <w:top w:val="nil"/>
          <w:left w:val="nil"/>
          <w:bottom w:val="nil"/>
          <w:right w:val="nil"/>
          <w:between w:val="nil"/>
        </w:pBdr>
        <w:spacing w:after="0" w:line="240" w:lineRule="auto"/>
        <w:jc w:val="center"/>
        <w:rPr>
          <w:rFonts w:ascii="Quattrocento Sans" w:eastAsia="Quattrocento Sans" w:hAnsi="Quattrocento Sans" w:cs="Quattrocento Sans"/>
          <w:b/>
          <w:color w:val="000000"/>
          <w:sz w:val="36"/>
          <w:szCs w:val="36"/>
        </w:rPr>
      </w:pPr>
    </w:p>
    <w:p w14:paraId="2FC4125F" w14:textId="77777777" w:rsidR="0023733D" w:rsidRDefault="00301E53">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36"/>
          <w:szCs w:val="36"/>
        </w:rPr>
      </w:pPr>
      <w:r>
        <w:rPr>
          <w:rFonts w:ascii="Quattrocento Sans" w:eastAsia="Quattrocento Sans" w:hAnsi="Quattrocento Sans" w:cs="Quattrocento Sans"/>
          <w:b/>
          <w:color w:val="000000"/>
          <w:sz w:val="36"/>
          <w:szCs w:val="36"/>
        </w:rPr>
        <w:t>Written submission</w:t>
      </w:r>
    </w:p>
    <w:p w14:paraId="10018FCB" w14:textId="77777777" w:rsidR="0023733D" w:rsidRDefault="00301E53">
      <w:pPr>
        <w:pBdr>
          <w:top w:val="nil"/>
          <w:left w:val="nil"/>
          <w:bottom w:val="nil"/>
          <w:right w:val="nil"/>
          <w:between w:val="nil"/>
        </w:pBdr>
        <w:spacing w:after="0" w:line="240" w:lineRule="auto"/>
        <w:jc w:val="center"/>
        <w:rPr>
          <w:rFonts w:ascii="Quattrocento Sans" w:eastAsia="Quattrocento Sans" w:hAnsi="Quattrocento Sans" w:cs="Quattrocento Sans"/>
          <w:b/>
          <w:color w:val="000000"/>
          <w:sz w:val="36"/>
          <w:szCs w:val="36"/>
        </w:rPr>
      </w:pPr>
      <w:r>
        <w:rPr>
          <w:rFonts w:ascii="Quattrocento Sans" w:eastAsia="Quattrocento Sans" w:hAnsi="Quattrocento Sans" w:cs="Quattrocento Sans"/>
          <w:b/>
          <w:color w:val="000000"/>
          <w:sz w:val="36"/>
          <w:szCs w:val="36"/>
        </w:rPr>
        <w:t>on discrimination and violence against lesbian, bisexual trans and intersex women in Peru</w:t>
      </w:r>
    </w:p>
    <w:p w14:paraId="26F62AF3" w14:textId="77777777" w:rsidR="0023733D" w:rsidRDefault="0023733D">
      <w:pPr>
        <w:pBdr>
          <w:top w:val="nil"/>
          <w:left w:val="nil"/>
          <w:bottom w:val="nil"/>
          <w:right w:val="nil"/>
          <w:between w:val="nil"/>
        </w:pBdr>
        <w:spacing w:after="0" w:line="240" w:lineRule="auto"/>
        <w:jc w:val="center"/>
        <w:rPr>
          <w:rFonts w:ascii="Quattrocento Sans" w:eastAsia="Quattrocento Sans" w:hAnsi="Quattrocento Sans" w:cs="Quattrocento Sans"/>
          <w:b/>
          <w:color w:val="000000"/>
          <w:sz w:val="44"/>
          <w:szCs w:val="44"/>
        </w:rPr>
      </w:pPr>
    </w:p>
    <w:p w14:paraId="4CDA7BB3" w14:textId="77777777" w:rsidR="0023733D" w:rsidRDefault="0023733D">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44"/>
          <w:szCs w:val="44"/>
        </w:rPr>
      </w:pPr>
    </w:p>
    <w:p w14:paraId="74C8708B" w14:textId="77777777" w:rsidR="0023733D" w:rsidRDefault="00301E53">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23"/>
          <w:szCs w:val="23"/>
        </w:rPr>
      </w:pPr>
      <w:r>
        <w:rPr>
          <w:rFonts w:ascii="Quattrocento Sans" w:eastAsia="Quattrocento Sans" w:hAnsi="Quattrocento Sans" w:cs="Quattrocento Sans"/>
          <w:i/>
          <w:color w:val="000000"/>
          <w:sz w:val="23"/>
          <w:szCs w:val="23"/>
        </w:rPr>
        <w:t>Submitted for the consideration of the 9th periodic report by Peru</w:t>
      </w:r>
    </w:p>
    <w:p w14:paraId="489281A0" w14:textId="77777777" w:rsidR="0023733D" w:rsidRDefault="00301E53">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23"/>
          <w:szCs w:val="23"/>
        </w:rPr>
      </w:pPr>
      <w:r>
        <w:rPr>
          <w:rFonts w:ascii="Quattrocento Sans" w:eastAsia="Quattrocento Sans" w:hAnsi="Quattrocento Sans" w:cs="Quattrocento Sans"/>
          <w:i/>
          <w:color w:val="000000"/>
          <w:sz w:val="23"/>
          <w:szCs w:val="23"/>
        </w:rPr>
        <w:t>at the 81st Session of the Committee on the</w:t>
      </w:r>
    </w:p>
    <w:p w14:paraId="3783BE27" w14:textId="77777777" w:rsidR="0023733D" w:rsidRDefault="00301E53">
      <w:pPr>
        <w:pBdr>
          <w:top w:val="nil"/>
          <w:left w:val="nil"/>
          <w:bottom w:val="nil"/>
          <w:right w:val="nil"/>
          <w:between w:val="nil"/>
        </w:pBdr>
        <w:spacing w:after="0" w:line="240" w:lineRule="auto"/>
        <w:jc w:val="center"/>
        <w:rPr>
          <w:rFonts w:ascii="Quattrocento Sans" w:eastAsia="Quattrocento Sans" w:hAnsi="Quattrocento Sans" w:cs="Quattrocento Sans"/>
          <w:i/>
          <w:color w:val="000000"/>
          <w:sz w:val="23"/>
          <w:szCs w:val="23"/>
        </w:rPr>
      </w:pPr>
      <w:r>
        <w:rPr>
          <w:rFonts w:ascii="Quattrocento Sans" w:eastAsia="Quattrocento Sans" w:hAnsi="Quattrocento Sans" w:cs="Quattrocento Sans"/>
          <w:i/>
          <w:color w:val="000000"/>
          <w:sz w:val="23"/>
          <w:szCs w:val="23"/>
        </w:rPr>
        <w:t>Elimination of Discrimination against Women (CEDAW)</w:t>
      </w:r>
    </w:p>
    <w:p w14:paraId="5422AEA4" w14:textId="77777777" w:rsidR="0023733D" w:rsidRDefault="0023733D">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23"/>
          <w:szCs w:val="23"/>
        </w:rPr>
      </w:pPr>
    </w:p>
    <w:p w14:paraId="5192A690" w14:textId="77777777" w:rsidR="0023733D" w:rsidRDefault="00301E53">
      <w:pPr>
        <w:jc w:val="center"/>
        <w:rPr>
          <w:rFonts w:ascii="Quattrocento Sans" w:eastAsia="Quattrocento Sans" w:hAnsi="Quattrocento Sans" w:cs="Quattrocento Sans"/>
          <w:i/>
          <w:sz w:val="20"/>
          <w:szCs w:val="20"/>
        </w:rPr>
      </w:pPr>
      <w:r>
        <w:rPr>
          <w:rFonts w:ascii="Quattrocento Sans" w:eastAsia="Quattrocento Sans" w:hAnsi="Quattrocento Sans" w:cs="Quattrocento Sans"/>
          <w:i/>
          <w:sz w:val="20"/>
          <w:szCs w:val="20"/>
        </w:rPr>
        <w:t>February—2022</w:t>
      </w:r>
    </w:p>
    <w:p w14:paraId="020CCC1E" w14:textId="77777777" w:rsidR="0023733D" w:rsidRDefault="0023733D">
      <w:pPr>
        <w:rPr>
          <w:rFonts w:ascii="Quattrocento Sans" w:eastAsia="Quattrocento Sans" w:hAnsi="Quattrocento Sans" w:cs="Quattrocento Sans"/>
          <w:i/>
          <w:sz w:val="23"/>
          <w:szCs w:val="23"/>
        </w:rPr>
      </w:pPr>
    </w:p>
    <w:p w14:paraId="3FFF3A4B" w14:textId="77777777" w:rsidR="0023733D" w:rsidRDefault="0023733D">
      <w:pPr>
        <w:rPr>
          <w:rFonts w:ascii="Quattrocento Sans" w:eastAsia="Quattrocento Sans" w:hAnsi="Quattrocento Sans" w:cs="Quattrocento Sans"/>
          <w:i/>
          <w:sz w:val="23"/>
          <w:szCs w:val="23"/>
        </w:rPr>
      </w:pPr>
    </w:p>
    <w:p w14:paraId="3D6C2D36" w14:textId="77777777" w:rsidR="0023733D" w:rsidRDefault="0023733D">
      <w:pPr>
        <w:rPr>
          <w:rFonts w:ascii="Quattrocento Sans" w:eastAsia="Quattrocento Sans" w:hAnsi="Quattrocento Sans" w:cs="Quattrocento Sans"/>
          <w:i/>
          <w:sz w:val="23"/>
          <w:szCs w:val="23"/>
        </w:rPr>
      </w:pPr>
    </w:p>
    <w:p w14:paraId="7A0F328D" w14:textId="77777777" w:rsidR="0023733D" w:rsidRDefault="0023733D">
      <w:pPr>
        <w:spacing w:after="0" w:line="240" w:lineRule="auto"/>
        <w:rPr>
          <w:rFonts w:ascii="Quattrocento Sans" w:eastAsia="Quattrocento Sans" w:hAnsi="Quattrocento Sans" w:cs="Quattrocento Sans"/>
          <w:color w:val="000000"/>
          <w:sz w:val="24"/>
          <w:szCs w:val="24"/>
        </w:rPr>
      </w:pPr>
    </w:p>
    <w:p w14:paraId="3413456F" w14:textId="77777777" w:rsidR="0023733D" w:rsidRDefault="00301E53">
      <w:pPr>
        <w:spacing w:after="0" w:line="240" w:lineRule="auto"/>
        <w:rPr>
          <w:rFonts w:ascii="Quattrocento Sans" w:eastAsia="Quattrocento Sans" w:hAnsi="Quattrocento Sans" w:cs="Quattrocento Sans"/>
          <w:color w:val="000000"/>
          <w:sz w:val="23"/>
          <w:szCs w:val="23"/>
        </w:rPr>
      </w:pPr>
      <w:r>
        <w:rPr>
          <w:rFonts w:ascii="Quattrocento Sans" w:eastAsia="Quattrocento Sans" w:hAnsi="Quattrocento Sans" w:cs="Quattrocento Sans"/>
          <w:color w:val="000000"/>
          <w:sz w:val="24"/>
          <w:szCs w:val="24"/>
        </w:rPr>
        <w:t xml:space="preserve"> </w:t>
      </w:r>
      <w:r>
        <w:rPr>
          <w:rFonts w:ascii="Quattrocento Sans" w:eastAsia="Quattrocento Sans" w:hAnsi="Quattrocento Sans" w:cs="Quattrocento Sans"/>
          <w:color w:val="000000"/>
          <w:sz w:val="23"/>
          <w:szCs w:val="23"/>
        </w:rPr>
        <w:t xml:space="preserve">Submitted to the United Nations CEDAW Committee by: </w:t>
      </w:r>
    </w:p>
    <w:p w14:paraId="625B70B0" w14:textId="77777777" w:rsidR="0023733D" w:rsidRDefault="0023733D">
      <w:pPr>
        <w:spacing w:after="0" w:line="240" w:lineRule="auto"/>
        <w:rPr>
          <w:rFonts w:ascii="Quattrocento Sans" w:eastAsia="Quattrocento Sans" w:hAnsi="Quattrocento Sans" w:cs="Quattrocento Sans"/>
          <w:color w:val="000000"/>
          <w:sz w:val="23"/>
          <w:szCs w:val="23"/>
        </w:rPr>
      </w:pPr>
    </w:p>
    <w:p w14:paraId="68FF0712" w14:textId="77777777" w:rsidR="0023733D" w:rsidRPr="00D35639" w:rsidRDefault="00301E53">
      <w:pPr>
        <w:spacing w:after="0" w:line="240" w:lineRule="auto"/>
        <w:rPr>
          <w:rFonts w:ascii="Quattrocento Sans" w:eastAsia="Quattrocento Sans" w:hAnsi="Quattrocento Sans" w:cs="Quattrocento Sans"/>
          <w:b/>
          <w:sz w:val="23"/>
          <w:szCs w:val="23"/>
          <w:lang w:val="es-MX"/>
        </w:rPr>
      </w:pPr>
      <w:r>
        <w:rPr>
          <w:rFonts w:ascii="Quattrocento Sans" w:eastAsia="Quattrocento Sans" w:hAnsi="Quattrocento Sans" w:cs="Quattrocento Sans"/>
          <w:color w:val="000000"/>
          <w:sz w:val="23"/>
          <w:szCs w:val="23"/>
        </w:rPr>
        <w:t></w:t>
      </w:r>
      <w:r w:rsidRPr="00D35639">
        <w:rPr>
          <w:rFonts w:ascii="Quattrocento Sans" w:eastAsia="Quattrocento Sans" w:hAnsi="Quattrocento Sans" w:cs="Quattrocento Sans"/>
          <w:color w:val="000000"/>
          <w:sz w:val="23"/>
          <w:szCs w:val="23"/>
          <w:lang w:val="es-MX"/>
        </w:rPr>
        <w:t xml:space="preserve"> </w:t>
      </w:r>
      <w:r w:rsidRPr="00D35639">
        <w:rPr>
          <w:rFonts w:ascii="Quattrocento Sans" w:eastAsia="Quattrocento Sans" w:hAnsi="Quattrocento Sans" w:cs="Quattrocento Sans"/>
          <w:sz w:val="23"/>
          <w:szCs w:val="23"/>
          <w:lang w:val="es-MX"/>
        </w:rPr>
        <w:t xml:space="preserve">Centro de Promoción y Defensa de los Derechos Sexuales y Reproductivos </w:t>
      </w:r>
      <w:r w:rsidRPr="00D35639">
        <w:rPr>
          <w:rFonts w:ascii="Quattrocento Sans" w:eastAsia="Quattrocento Sans" w:hAnsi="Quattrocento Sans" w:cs="Quattrocento Sans"/>
          <w:b/>
          <w:sz w:val="23"/>
          <w:szCs w:val="23"/>
          <w:lang w:val="es-MX"/>
        </w:rPr>
        <w:t>(PROMSEX)</w:t>
      </w:r>
    </w:p>
    <w:p w14:paraId="1ABF3667" w14:textId="77777777" w:rsidR="0023733D" w:rsidRPr="00D35639" w:rsidRDefault="0023733D">
      <w:pPr>
        <w:spacing w:after="0" w:line="240" w:lineRule="auto"/>
        <w:rPr>
          <w:rFonts w:ascii="Quattrocento Sans" w:eastAsia="Quattrocento Sans" w:hAnsi="Quattrocento Sans" w:cs="Quattrocento Sans"/>
          <w:color w:val="000000"/>
          <w:sz w:val="23"/>
          <w:szCs w:val="23"/>
          <w:lang w:val="es-MX"/>
        </w:rPr>
      </w:pPr>
    </w:p>
    <w:p w14:paraId="3496C05F" w14:textId="77777777" w:rsidR="0023733D" w:rsidRDefault="00301E53">
      <w:pPr>
        <w:spacing w:after="0" w:line="240" w:lineRule="auto"/>
        <w:rPr>
          <w:rFonts w:ascii="Quattrocento Sans" w:eastAsia="Quattrocento Sans" w:hAnsi="Quattrocento Sans" w:cs="Quattrocento Sans"/>
          <w:b/>
          <w:color w:val="000000"/>
          <w:sz w:val="23"/>
          <w:szCs w:val="23"/>
        </w:rPr>
      </w:pPr>
      <w:r>
        <w:rPr>
          <w:rFonts w:ascii="Quattrocento Sans" w:eastAsia="Quattrocento Sans" w:hAnsi="Quattrocento Sans" w:cs="Quattrocento Sans"/>
          <w:color w:val="000000"/>
          <w:sz w:val="23"/>
          <w:szCs w:val="23"/>
        </w:rPr>
        <w:t xml:space="preserve"> Supported by the </w:t>
      </w:r>
      <w:r>
        <w:rPr>
          <w:rFonts w:ascii="Quattrocento Sans" w:eastAsia="Quattrocento Sans" w:hAnsi="Quattrocento Sans" w:cs="Quattrocento Sans"/>
          <w:sz w:val="23"/>
          <w:szCs w:val="23"/>
        </w:rPr>
        <w:t xml:space="preserve">International Lesbian, Gay, Bisexual, </w:t>
      </w:r>
      <w:proofErr w:type="gramStart"/>
      <w:r>
        <w:rPr>
          <w:rFonts w:ascii="Quattrocento Sans" w:eastAsia="Quattrocento Sans" w:hAnsi="Quattrocento Sans" w:cs="Quattrocento Sans"/>
          <w:sz w:val="23"/>
          <w:szCs w:val="23"/>
        </w:rPr>
        <w:t>Trans</w:t>
      </w:r>
      <w:proofErr w:type="gramEnd"/>
      <w:r>
        <w:rPr>
          <w:rFonts w:ascii="Quattrocento Sans" w:eastAsia="Quattrocento Sans" w:hAnsi="Quattrocento Sans" w:cs="Quattrocento Sans"/>
          <w:sz w:val="23"/>
          <w:szCs w:val="23"/>
        </w:rPr>
        <w:t xml:space="preserve"> and Intersex Association </w:t>
      </w:r>
      <w:r>
        <w:rPr>
          <w:rFonts w:ascii="Quattrocento Sans" w:eastAsia="Quattrocento Sans" w:hAnsi="Quattrocento Sans" w:cs="Quattrocento Sans"/>
          <w:b/>
          <w:sz w:val="23"/>
          <w:szCs w:val="23"/>
        </w:rPr>
        <w:t>(ILGA World)</w:t>
      </w:r>
    </w:p>
    <w:p w14:paraId="165EC3C5" w14:textId="77777777" w:rsidR="0023733D" w:rsidRDefault="0023733D">
      <w:pPr>
        <w:rPr>
          <w:rFonts w:ascii="Arial" w:eastAsia="Arial" w:hAnsi="Arial" w:cs="Arial"/>
        </w:rPr>
      </w:pPr>
    </w:p>
    <w:p w14:paraId="4C892C71" w14:textId="77777777" w:rsidR="0023733D" w:rsidRDefault="0023733D">
      <w:pPr>
        <w:rPr>
          <w:rFonts w:ascii="Arial" w:eastAsia="Arial" w:hAnsi="Arial" w:cs="Arial"/>
        </w:rPr>
      </w:pPr>
    </w:p>
    <w:p w14:paraId="457AB6A7" w14:textId="77777777" w:rsidR="0023733D" w:rsidRDefault="0023733D">
      <w:pPr>
        <w:rPr>
          <w:rFonts w:ascii="Arial" w:eastAsia="Arial" w:hAnsi="Arial" w:cs="Arial"/>
        </w:rPr>
      </w:pPr>
    </w:p>
    <w:p w14:paraId="0FBE0913" w14:textId="77777777" w:rsidR="0023733D" w:rsidRDefault="0023733D">
      <w:pPr>
        <w:rPr>
          <w:rFonts w:ascii="Arial" w:eastAsia="Arial" w:hAnsi="Arial" w:cs="Arial"/>
        </w:rPr>
      </w:pPr>
    </w:p>
    <w:p w14:paraId="086EE0AB" w14:textId="77777777" w:rsidR="0023733D" w:rsidRDefault="0023733D">
      <w:pPr>
        <w:rPr>
          <w:rFonts w:ascii="Arial" w:eastAsia="Arial" w:hAnsi="Arial" w:cs="Arial"/>
        </w:rPr>
      </w:pPr>
    </w:p>
    <w:p w14:paraId="20ADAD88" w14:textId="77777777" w:rsidR="00D35639" w:rsidRDefault="00D35639">
      <w:pPr>
        <w:rPr>
          <w:rFonts w:ascii="Arial" w:eastAsia="Arial" w:hAnsi="Arial" w:cs="Arial"/>
        </w:rPr>
      </w:pPr>
    </w:p>
    <w:p w14:paraId="41E6F0BB" w14:textId="77777777" w:rsidR="00D35639" w:rsidRDefault="00D35639">
      <w:pPr>
        <w:rPr>
          <w:rFonts w:ascii="Arial" w:eastAsia="Arial" w:hAnsi="Arial" w:cs="Arial"/>
        </w:rPr>
      </w:pPr>
    </w:p>
    <w:p w14:paraId="53AE03DC" w14:textId="77777777" w:rsidR="0023733D" w:rsidRDefault="0023733D">
      <w:pPr>
        <w:rPr>
          <w:rFonts w:ascii="Arial" w:eastAsia="Arial" w:hAnsi="Arial" w:cs="Arial"/>
        </w:rPr>
      </w:pPr>
    </w:p>
    <w:p w14:paraId="55D6E52A" w14:textId="77777777" w:rsidR="0023733D" w:rsidRDefault="0023733D">
      <w:pPr>
        <w:rPr>
          <w:rFonts w:ascii="Arial" w:eastAsia="Arial" w:hAnsi="Arial" w:cs="Arial"/>
        </w:rPr>
      </w:pPr>
    </w:p>
    <w:p w14:paraId="302258B8" w14:textId="77777777" w:rsidR="0023733D" w:rsidRDefault="00301E53">
      <w:pPr>
        <w:keepNext/>
        <w:keepLines/>
        <w:pBdr>
          <w:top w:val="nil"/>
          <w:left w:val="nil"/>
          <w:bottom w:val="nil"/>
          <w:right w:val="nil"/>
          <w:between w:val="nil"/>
        </w:pBdr>
        <w:spacing w:before="240" w:after="0"/>
        <w:rPr>
          <w:rFonts w:ascii="Quattrocento Sans" w:eastAsia="Quattrocento Sans" w:hAnsi="Quattrocento Sans" w:cs="Quattrocento Sans"/>
          <w:b/>
          <w:color w:val="2E75B5"/>
          <w:sz w:val="32"/>
          <w:szCs w:val="32"/>
        </w:rPr>
      </w:pPr>
      <w:r>
        <w:rPr>
          <w:rFonts w:ascii="Quattrocento Sans" w:eastAsia="Quattrocento Sans" w:hAnsi="Quattrocento Sans" w:cs="Quattrocento Sans"/>
          <w:b/>
          <w:color w:val="2E75B5"/>
          <w:sz w:val="32"/>
          <w:szCs w:val="32"/>
        </w:rPr>
        <w:lastRenderedPageBreak/>
        <w:t>Table of Contents</w:t>
      </w:r>
    </w:p>
    <w:p w14:paraId="30B26A3B" w14:textId="77777777" w:rsidR="0023733D" w:rsidRDefault="0023733D">
      <w:pPr>
        <w:rPr>
          <w:rFonts w:ascii="Quattrocento Sans" w:eastAsia="Quattrocento Sans" w:hAnsi="Quattrocento Sans" w:cs="Quattrocento Sans"/>
        </w:rPr>
      </w:pPr>
    </w:p>
    <w:sdt>
      <w:sdtPr>
        <w:id w:val="1989277570"/>
        <w:docPartObj>
          <w:docPartGallery w:val="Table of Contents"/>
          <w:docPartUnique/>
        </w:docPartObj>
      </w:sdtPr>
      <w:sdtEndPr/>
      <w:sdtContent>
        <w:p w14:paraId="47A215AD" w14:textId="77777777" w:rsidR="00D35639" w:rsidRPr="00D35639" w:rsidRDefault="00301E53">
          <w:pPr>
            <w:pStyle w:val="TDC1"/>
            <w:tabs>
              <w:tab w:val="right" w:pos="8828"/>
            </w:tabs>
            <w:rPr>
              <w:rFonts w:asciiTheme="minorHAnsi" w:eastAsiaTheme="minorEastAsia" w:hAnsiTheme="minorHAnsi" w:cstheme="minorBidi"/>
              <w:noProof/>
              <w:lang w:val="es-MX"/>
            </w:rPr>
          </w:pPr>
          <w:r>
            <w:fldChar w:fldCharType="begin"/>
          </w:r>
          <w:r>
            <w:instrText xml:space="preserve"> TOC \h \u \z </w:instrText>
          </w:r>
          <w:r>
            <w:fldChar w:fldCharType="separate"/>
          </w:r>
          <w:hyperlink w:anchor="_Toc92478402" w:history="1">
            <w:r w:rsidR="00D35639" w:rsidRPr="00D35639">
              <w:rPr>
                <w:rStyle w:val="Hipervnculo"/>
                <w:rFonts w:ascii="Quattrocento Sans" w:eastAsia="Quattrocento Sans" w:hAnsi="Quattrocento Sans" w:cs="Quattrocento Sans"/>
                <w:noProof/>
              </w:rPr>
              <w:t>Organizations introduction</w:t>
            </w:r>
            <w:r w:rsidR="00D35639" w:rsidRPr="00D35639">
              <w:rPr>
                <w:noProof/>
                <w:webHidden/>
              </w:rPr>
              <w:tab/>
            </w:r>
            <w:r w:rsidR="00D35639" w:rsidRPr="00D35639">
              <w:rPr>
                <w:noProof/>
                <w:webHidden/>
              </w:rPr>
              <w:fldChar w:fldCharType="begin"/>
            </w:r>
            <w:r w:rsidR="00D35639" w:rsidRPr="00D35639">
              <w:rPr>
                <w:noProof/>
                <w:webHidden/>
              </w:rPr>
              <w:instrText xml:space="preserve"> PAGEREF _Toc92478402 \h </w:instrText>
            </w:r>
            <w:r w:rsidR="00D35639" w:rsidRPr="00D35639">
              <w:rPr>
                <w:noProof/>
                <w:webHidden/>
              </w:rPr>
            </w:r>
            <w:r w:rsidR="00D35639" w:rsidRPr="00D35639">
              <w:rPr>
                <w:noProof/>
                <w:webHidden/>
              </w:rPr>
              <w:fldChar w:fldCharType="separate"/>
            </w:r>
            <w:r w:rsidR="00D35639" w:rsidRPr="00D35639">
              <w:rPr>
                <w:noProof/>
                <w:webHidden/>
              </w:rPr>
              <w:t>3</w:t>
            </w:r>
            <w:r w:rsidR="00D35639" w:rsidRPr="00D35639">
              <w:rPr>
                <w:noProof/>
                <w:webHidden/>
              </w:rPr>
              <w:fldChar w:fldCharType="end"/>
            </w:r>
          </w:hyperlink>
        </w:p>
        <w:p w14:paraId="30266930" w14:textId="77777777" w:rsidR="00D35639" w:rsidRPr="00D35639" w:rsidRDefault="00E02E27">
          <w:pPr>
            <w:pStyle w:val="TDC2"/>
            <w:tabs>
              <w:tab w:val="right" w:pos="8828"/>
            </w:tabs>
            <w:rPr>
              <w:rFonts w:asciiTheme="minorHAnsi" w:eastAsiaTheme="minorEastAsia" w:hAnsiTheme="minorHAnsi" w:cstheme="minorBidi"/>
              <w:noProof/>
              <w:lang w:val="es-MX"/>
            </w:rPr>
          </w:pPr>
          <w:hyperlink w:anchor="_Toc92478403" w:history="1">
            <w:r w:rsidR="00D35639" w:rsidRPr="00D35639">
              <w:rPr>
                <w:rStyle w:val="Hipervnculo"/>
                <w:rFonts w:ascii="Quattrocento Sans" w:eastAsia="Quattrocento Sans" w:hAnsi="Quattrocento Sans" w:cs="Quattrocento Sans"/>
                <w:noProof/>
              </w:rPr>
              <w:t>Executive summary</w:t>
            </w:r>
            <w:r w:rsidR="00D35639" w:rsidRPr="00D35639">
              <w:rPr>
                <w:noProof/>
                <w:webHidden/>
              </w:rPr>
              <w:tab/>
            </w:r>
            <w:r w:rsidR="00D35639" w:rsidRPr="00D35639">
              <w:rPr>
                <w:noProof/>
                <w:webHidden/>
              </w:rPr>
              <w:fldChar w:fldCharType="begin"/>
            </w:r>
            <w:r w:rsidR="00D35639" w:rsidRPr="00D35639">
              <w:rPr>
                <w:noProof/>
                <w:webHidden/>
              </w:rPr>
              <w:instrText xml:space="preserve"> PAGEREF _Toc92478403 \h </w:instrText>
            </w:r>
            <w:r w:rsidR="00D35639" w:rsidRPr="00D35639">
              <w:rPr>
                <w:noProof/>
                <w:webHidden/>
              </w:rPr>
            </w:r>
            <w:r w:rsidR="00D35639" w:rsidRPr="00D35639">
              <w:rPr>
                <w:noProof/>
                <w:webHidden/>
              </w:rPr>
              <w:fldChar w:fldCharType="separate"/>
            </w:r>
            <w:r w:rsidR="00D35639" w:rsidRPr="00D35639">
              <w:rPr>
                <w:noProof/>
                <w:webHidden/>
              </w:rPr>
              <w:t>3</w:t>
            </w:r>
            <w:r w:rsidR="00D35639" w:rsidRPr="00D35639">
              <w:rPr>
                <w:noProof/>
                <w:webHidden/>
              </w:rPr>
              <w:fldChar w:fldCharType="end"/>
            </w:r>
          </w:hyperlink>
        </w:p>
        <w:p w14:paraId="4C9E1A06" w14:textId="77777777" w:rsidR="00D35639" w:rsidRPr="00D35639" w:rsidRDefault="00E02E27">
          <w:pPr>
            <w:pStyle w:val="TDC1"/>
            <w:tabs>
              <w:tab w:val="left" w:pos="440"/>
              <w:tab w:val="right" w:pos="8828"/>
            </w:tabs>
            <w:rPr>
              <w:rFonts w:asciiTheme="minorHAnsi" w:eastAsiaTheme="minorEastAsia" w:hAnsiTheme="minorHAnsi" w:cstheme="minorBidi"/>
              <w:noProof/>
              <w:lang w:val="es-MX"/>
            </w:rPr>
          </w:pPr>
          <w:hyperlink w:anchor="_Toc92478404" w:history="1">
            <w:r w:rsidR="00D35639" w:rsidRPr="00D35639">
              <w:rPr>
                <w:rStyle w:val="Hipervnculo"/>
                <w:rFonts w:ascii="Quattrocento Sans" w:eastAsia="Quattrocento Sans" w:hAnsi="Quattrocento Sans" w:cs="Quattrocento Sans"/>
                <w:noProof/>
              </w:rPr>
              <w:t>I.</w:t>
            </w:r>
            <w:r w:rsidR="00D35639" w:rsidRPr="00D35639">
              <w:rPr>
                <w:rFonts w:asciiTheme="minorHAnsi" w:eastAsiaTheme="minorEastAsia" w:hAnsiTheme="minorHAnsi" w:cstheme="minorBidi"/>
                <w:noProof/>
                <w:lang w:val="es-MX"/>
              </w:rPr>
              <w:tab/>
            </w:r>
            <w:r w:rsidR="00D35639" w:rsidRPr="00D35639">
              <w:rPr>
                <w:rStyle w:val="Hipervnculo"/>
                <w:rFonts w:ascii="Quattrocento Sans" w:eastAsia="Quattrocento Sans" w:hAnsi="Quattrocento Sans" w:cs="Quattrocento Sans"/>
                <w:noProof/>
              </w:rPr>
              <w:t>Discrimination and institutional violence against LGBTI persons and the absence of mechanisms for attention, investigation and sanction (CEDAW - Article 2)</w:t>
            </w:r>
            <w:r w:rsidR="00D35639" w:rsidRPr="00D35639">
              <w:rPr>
                <w:noProof/>
                <w:webHidden/>
              </w:rPr>
              <w:tab/>
            </w:r>
            <w:r w:rsidR="00D35639" w:rsidRPr="00D35639">
              <w:rPr>
                <w:noProof/>
                <w:webHidden/>
              </w:rPr>
              <w:fldChar w:fldCharType="begin"/>
            </w:r>
            <w:r w:rsidR="00D35639" w:rsidRPr="00D35639">
              <w:rPr>
                <w:noProof/>
                <w:webHidden/>
              </w:rPr>
              <w:instrText xml:space="preserve"> PAGEREF _Toc92478404 \h </w:instrText>
            </w:r>
            <w:r w:rsidR="00D35639" w:rsidRPr="00D35639">
              <w:rPr>
                <w:noProof/>
                <w:webHidden/>
              </w:rPr>
            </w:r>
            <w:r w:rsidR="00D35639" w:rsidRPr="00D35639">
              <w:rPr>
                <w:noProof/>
                <w:webHidden/>
              </w:rPr>
              <w:fldChar w:fldCharType="separate"/>
            </w:r>
            <w:r w:rsidR="00D35639" w:rsidRPr="00D35639">
              <w:rPr>
                <w:noProof/>
                <w:webHidden/>
              </w:rPr>
              <w:t>4</w:t>
            </w:r>
            <w:r w:rsidR="00D35639" w:rsidRPr="00D35639">
              <w:rPr>
                <w:noProof/>
                <w:webHidden/>
              </w:rPr>
              <w:fldChar w:fldCharType="end"/>
            </w:r>
          </w:hyperlink>
        </w:p>
        <w:p w14:paraId="68592BDF" w14:textId="77777777" w:rsidR="00D35639" w:rsidRPr="00D35639" w:rsidRDefault="00E02E27">
          <w:pPr>
            <w:pStyle w:val="TDC1"/>
            <w:tabs>
              <w:tab w:val="left" w:pos="660"/>
              <w:tab w:val="right" w:pos="8828"/>
            </w:tabs>
            <w:rPr>
              <w:rFonts w:asciiTheme="minorHAnsi" w:eastAsiaTheme="minorEastAsia" w:hAnsiTheme="minorHAnsi" w:cstheme="minorBidi"/>
              <w:noProof/>
              <w:lang w:val="es-MX"/>
            </w:rPr>
          </w:pPr>
          <w:hyperlink w:anchor="_Toc92478405" w:history="1">
            <w:r w:rsidR="00D35639" w:rsidRPr="00D35639">
              <w:rPr>
                <w:rStyle w:val="Hipervnculo"/>
                <w:rFonts w:ascii="Quattrocento Sans" w:eastAsia="Quattrocento Sans" w:hAnsi="Quattrocento Sans" w:cs="Quattrocento Sans"/>
                <w:noProof/>
              </w:rPr>
              <w:t>II.</w:t>
            </w:r>
            <w:r w:rsidR="00D35639" w:rsidRPr="00D35639">
              <w:rPr>
                <w:rFonts w:asciiTheme="minorHAnsi" w:eastAsiaTheme="minorEastAsia" w:hAnsiTheme="minorHAnsi" w:cstheme="minorBidi"/>
                <w:noProof/>
                <w:lang w:val="es-MX"/>
              </w:rPr>
              <w:tab/>
            </w:r>
            <w:r w:rsidR="00D35639" w:rsidRPr="00D35639">
              <w:rPr>
                <w:rStyle w:val="Hipervnculo"/>
                <w:rFonts w:ascii="Quattrocento Sans" w:eastAsia="Quattrocento Sans" w:hAnsi="Quattrocento Sans" w:cs="Quattrocento Sans"/>
                <w:noProof/>
              </w:rPr>
              <w:t>Access to justice for LBTI+ Women (CEDAW – Article 2)</w:t>
            </w:r>
            <w:r w:rsidR="00D35639" w:rsidRPr="00D35639">
              <w:rPr>
                <w:noProof/>
                <w:webHidden/>
              </w:rPr>
              <w:tab/>
            </w:r>
            <w:r w:rsidR="00D35639" w:rsidRPr="00D35639">
              <w:rPr>
                <w:noProof/>
                <w:webHidden/>
              </w:rPr>
              <w:fldChar w:fldCharType="begin"/>
            </w:r>
            <w:r w:rsidR="00D35639" w:rsidRPr="00D35639">
              <w:rPr>
                <w:noProof/>
                <w:webHidden/>
              </w:rPr>
              <w:instrText xml:space="preserve"> PAGEREF _Toc92478405 \h </w:instrText>
            </w:r>
            <w:r w:rsidR="00D35639" w:rsidRPr="00D35639">
              <w:rPr>
                <w:noProof/>
                <w:webHidden/>
              </w:rPr>
            </w:r>
            <w:r w:rsidR="00D35639" w:rsidRPr="00D35639">
              <w:rPr>
                <w:noProof/>
                <w:webHidden/>
              </w:rPr>
              <w:fldChar w:fldCharType="separate"/>
            </w:r>
            <w:r w:rsidR="00D35639" w:rsidRPr="00D35639">
              <w:rPr>
                <w:noProof/>
                <w:webHidden/>
              </w:rPr>
              <w:t>5</w:t>
            </w:r>
            <w:r w:rsidR="00D35639" w:rsidRPr="00D35639">
              <w:rPr>
                <w:noProof/>
                <w:webHidden/>
              </w:rPr>
              <w:fldChar w:fldCharType="end"/>
            </w:r>
          </w:hyperlink>
        </w:p>
        <w:p w14:paraId="3FF50618" w14:textId="77777777" w:rsidR="00D35639" w:rsidRPr="00D35639" w:rsidRDefault="00E02E27">
          <w:pPr>
            <w:pStyle w:val="TDC2"/>
            <w:tabs>
              <w:tab w:val="right" w:pos="8828"/>
            </w:tabs>
            <w:rPr>
              <w:rFonts w:asciiTheme="minorHAnsi" w:eastAsiaTheme="minorEastAsia" w:hAnsiTheme="minorHAnsi" w:cstheme="minorBidi"/>
              <w:noProof/>
              <w:lang w:val="es-MX"/>
            </w:rPr>
          </w:pPr>
          <w:hyperlink w:anchor="_Toc92478406" w:history="1">
            <w:r w:rsidR="00D35639" w:rsidRPr="00D35639">
              <w:rPr>
                <w:rStyle w:val="Hipervnculo"/>
                <w:rFonts w:ascii="Quattrocento Sans" w:eastAsia="Quattrocento Sans" w:hAnsi="Quattrocento Sans" w:cs="Quattrocento Sans"/>
                <w:noProof/>
              </w:rPr>
              <w:t>Case Examples</w:t>
            </w:r>
            <w:r w:rsidR="00D35639" w:rsidRPr="00D35639">
              <w:rPr>
                <w:noProof/>
                <w:webHidden/>
              </w:rPr>
              <w:tab/>
            </w:r>
            <w:r w:rsidR="00D35639" w:rsidRPr="00D35639">
              <w:rPr>
                <w:noProof/>
                <w:webHidden/>
              </w:rPr>
              <w:fldChar w:fldCharType="begin"/>
            </w:r>
            <w:r w:rsidR="00D35639" w:rsidRPr="00D35639">
              <w:rPr>
                <w:noProof/>
                <w:webHidden/>
              </w:rPr>
              <w:instrText xml:space="preserve"> PAGEREF _Toc92478406 \h </w:instrText>
            </w:r>
            <w:r w:rsidR="00D35639" w:rsidRPr="00D35639">
              <w:rPr>
                <w:noProof/>
                <w:webHidden/>
              </w:rPr>
            </w:r>
            <w:r w:rsidR="00D35639" w:rsidRPr="00D35639">
              <w:rPr>
                <w:noProof/>
                <w:webHidden/>
              </w:rPr>
              <w:fldChar w:fldCharType="separate"/>
            </w:r>
            <w:r w:rsidR="00D35639" w:rsidRPr="00D35639">
              <w:rPr>
                <w:noProof/>
                <w:webHidden/>
              </w:rPr>
              <w:t>5</w:t>
            </w:r>
            <w:r w:rsidR="00D35639" w:rsidRPr="00D35639">
              <w:rPr>
                <w:noProof/>
                <w:webHidden/>
              </w:rPr>
              <w:fldChar w:fldCharType="end"/>
            </w:r>
          </w:hyperlink>
        </w:p>
        <w:p w14:paraId="35F798C4" w14:textId="77777777" w:rsidR="00D35639" w:rsidRPr="00D35639" w:rsidRDefault="00E02E27">
          <w:pPr>
            <w:pStyle w:val="TDC1"/>
            <w:tabs>
              <w:tab w:val="left" w:pos="660"/>
              <w:tab w:val="right" w:pos="8828"/>
            </w:tabs>
            <w:rPr>
              <w:rFonts w:asciiTheme="minorHAnsi" w:eastAsiaTheme="minorEastAsia" w:hAnsiTheme="minorHAnsi" w:cstheme="minorBidi"/>
              <w:noProof/>
              <w:lang w:val="es-MX"/>
            </w:rPr>
          </w:pPr>
          <w:hyperlink w:anchor="_Toc92478407" w:history="1">
            <w:r w:rsidR="00D35639" w:rsidRPr="00D35639">
              <w:rPr>
                <w:rStyle w:val="Hipervnculo"/>
                <w:rFonts w:ascii="Quattrocento Sans" w:eastAsia="Quattrocento Sans" w:hAnsi="Quattrocento Sans" w:cs="Quattrocento Sans"/>
                <w:noProof/>
              </w:rPr>
              <w:t>III.</w:t>
            </w:r>
            <w:r w:rsidR="00D35639" w:rsidRPr="00D35639">
              <w:rPr>
                <w:rFonts w:asciiTheme="minorHAnsi" w:eastAsiaTheme="minorEastAsia" w:hAnsiTheme="minorHAnsi" w:cstheme="minorBidi"/>
                <w:noProof/>
                <w:lang w:val="es-MX"/>
              </w:rPr>
              <w:tab/>
            </w:r>
            <w:r w:rsidR="00D35639" w:rsidRPr="00D35639">
              <w:rPr>
                <w:rStyle w:val="Hipervnculo"/>
                <w:rFonts w:ascii="Quattrocento Sans" w:eastAsia="Quattrocento Sans" w:hAnsi="Quattrocento Sans" w:cs="Quattrocento Sans"/>
                <w:noProof/>
              </w:rPr>
              <w:t>Institutional violence against LBTI+ women during the health emergency of COVID 19 (CEDAW- Article 12)</w:t>
            </w:r>
            <w:r w:rsidR="00D35639" w:rsidRPr="00D35639">
              <w:rPr>
                <w:noProof/>
                <w:webHidden/>
              </w:rPr>
              <w:tab/>
            </w:r>
            <w:r w:rsidR="00D35639" w:rsidRPr="00D35639">
              <w:rPr>
                <w:noProof/>
                <w:webHidden/>
              </w:rPr>
              <w:fldChar w:fldCharType="begin"/>
            </w:r>
            <w:r w:rsidR="00D35639" w:rsidRPr="00D35639">
              <w:rPr>
                <w:noProof/>
                <w:webHidden/>
              </w:rPr>
              <w:instrText xml:space="preserve"> PAGEREF _Toc92478407 \h </w:instrText>
            </w:r>
            <w:r w:rsidR="00D35639" w:rsidRPr="00D35639">
              <w:rPr>
                <w:noProof/>
                <w:webHidden/>
              </w:rPr>
            </w:r>
            <w:r w:rsidR="00D35639" w:rsidRPr="00D35639">
              <w:rPr>
                <w:noProof/>
                <w:webHidden/>
              </w:rPr>
              <w:fldChar w:fldCharType="separate"/>
            </w:r>
            <w:r w:rsidR="00D35639" w:rsidRPr="00D35639">
              <w:rPr>
                <w:noProof/>
                <w:webHidden/>
              </w:rPr>
              <w:t>7</w:t>
            </w:r>
            <w:r w:rsidR="00D35639" w:rsidRPr="00D35639">
              <w:rPr>
                <w:noProof/>
                <w:webHidden/>
              </w:rPr>
              <w:fldChar w:fldCharType="end"/>
            </w:r>
          </w:hyperlink>
        </w:p>
        <w:p w14:paraId="76AC6D11" w14:textId="77777777" w:rsidR="00D35639" w:rsidRPr="00D35639" w:rsidRDefault="00E02E27">
          <w:pPr>
            <w:pStyle w:val="TDC1"/>
            <w:tabs>
              <w:tab w:val="left" w:pos="660"/>
              <w:tab w:val="right" w:pos="8828"/>
            </w:tabs>
            <w:rPr>
              <w:rFonts w:asciiTheme="minorHAnsi" w:eastAsiaTheme="minorEastAsia" w:hAnsiTheme="minorHAnsi" w:cstheme="minorBidi"/>
              <w:noProof/>
              <w:lang w:val="es-MX"/>
            </w:rPr>
          </w:pPr>
          <w:hyperlink w:anchor="_Toc92478408" w:history="1">
            <w:r w:rsidR="00D35639" w:rsidRPr="00D35639">
              <w:rPr>
                <w:rStyle w:val="Hipervnculo"/>
                <w:rFonts w:ascii="Quattrocento Sans" w:eastAsia="Quattrocento Sans" w:hAnsi="Quattrocento Sans" w:cs="Quattrocento Sans"/>
                <w:noProof/>
              </w:rPr>
              <w:t>IV.</w:t>
            </w:r>
            <w:r w:rsidR="00D35639" w:rsidRPr="00D35639">
              <w:rPr>
                <w:rFonts w:asciiTheme="minorHAnsi" w:eastAsiaTheme="minorEastAsia" w:hAnsiTheme="minorHAnsi" w:cstheme="minorBidi"/>
                <w:noProof/>
                <w:lang w:val="es-MX"/>
              </w:rPr>
              <w:tab/>
            </w:r>
            <w:r w:rsidR="00D35639" w:rsidRPr="00D35639">
              <w:rPr>
                <w:rStyle w:val="Hipervnculo"/>
                <w:rFonts w:ascii="Quattrocento Sans" w:eastAsia="Quattrocento Sans" w:hAnsi="Quattrocento Sans" w:cs="Quattrocento Sans"/>
                <w:noProof/>
              </w:rPr>
              <w:t>Discrimination in the civil regulation of LGBTI partnerships and the protection of their families (CEDAW – Article 16)</w:t>
            </w:r>
            <w:r w:rsidR="00D35639" w:rsidRPr="00D35639">
              <w:rPr>
                <w:noProof/>
                <w:webHidden/>
              </w:rPr>
              <w:tab/>
            </w:r>
            <w:r w:rsidR="00D35639" w:rsidRPr="00D35639">
              <w:rPr>
                <w:noProof/>
                <w:webHidden/>
              </w:rPr>
              <w:fldChar w:fldCharType="begin"/>
            </w:r>
            <w:r w:rsidR="00D35639" w:rsidRPr="00D35639">
              <w:rPr>
                <w:noProof/>
                <w:webHidden/>
              </w:rPr>
              <w:instrText xml:space="preserve"> PAGEREF _Toc92478408 \h </w:instrText>
            </w:r>
            <w:r w:rsidR="00D35639" w:rsidRPr="00D35639">
              <w:rPr>
                <w:noProof/>
                <w:webHidden/>
              </w:rPr>
            </w:r>
            <w:r w:rsidR="00D35639" w:rsidRPr="00D35639">
              <w:rPr>
                <w:noProof/>
                <w:webHidden/>
              </w:rPr>
              <w:fldChar w:fldCharType="separate"/>
            </w:r>
            <w:r w:rsidR="00D35639" w:rsidRPr="00D35639">
              <w:rPr>
                <w:noProof/>
                <w:webHidden/>
              </w:rPr>
              <w:t>7</w:t>
            </w:r>
            <w:r w:rsidR="00D35639" w:rsidRPr="00D35639">
              <w:rPr>
                <w:noProof/>
                <w:webHidden/>
              </w:rPr>
              <w:fldChar w:fldCharType="end"/>
            </w:r>
          </w:hyperlink>
        </w:p>
        <w:p w14:paraId="4FE12B86" w14:textId="77777777" w:rsidR="00D35639" w:rsidRPr="00D35639" w:rsidRDefault="00E02E27">
          <w:pPr>
            <w:pStyle w:val="TDC1"/>
            <w:tabs>
              <w:tab w:val="left" w:pos="440"/>
              <w:tab w:val="right" w:pos="8828"/>
            </w:tabs>
            <w:rPr>
              <w:rFonts w:asciiTheme="minorHAnsi" w:eastAsiaTheme="minorEastAsia" w:hAnsiTheme="minorHAnsi" w:cstheme="minorBidi"/>
              <w:noProof/>
              <w:lang w:val="es-MX"/>
            </w:rPr>
          </w:pPr>
          <w:hyperlink w:anchor="_Toc92478409" w:history="1">
            <w:r w:rsidR="00D35639" w:rsidRPr="00D35639">
              <w:rPr>
                <w:rStyle w:val="Hipervnculo"/>
                <w:rFonts w:ascii="Quattrocento Sans" w:eastAsia="Quattrocento Sans" w:hAnsi="Quattrocento Sans" w:cs="Quattrocento Sans"/>
                <w:noProof/>
              </w:rPr>
              <w:t>V.</w:t>
            </w:r>
            <w:r w:rsidR="00D35639" w:rsidRPr="00D35639">
              <w:rPr>
                <w:rFonts w:asciiTheme="minorHAnsi" w:eastAsiaTheme="minorEastAsia" w:hAnsiTheme="minorHAnsi" w:cstheme="minorBidi"/>
                <w:noProof/>
                <w:lang w:val="es-MX"/>
              </w:rPr>
              <w:tab/>
            </w:r>
            <w:r w:rsidR="00D35639" w:rsidRPr="00D35639">
              <w:rPr>
                <w:rStyle w:val="Hipervnculo"/>
                <w:rFonts w:ascii="Quattrocento Sans" w:eastAsia="Quattrocento Sans" w:hAnsi="Quattrocento Sans" w:cs="Quattrocento Sans"/>
                <w:noProof/>
              </w:rPr>
              <w:t>The right to legal gender recognition of transgender women</w:t>
            </w:r>
            <w:r w:rsidR="00D35639" w:rsidRPr="00D35639">
              <w:rPr>
                <w:noProof/>
                <w:webHidden/>
              </w:rPr>
              <w:tab/>
            </w:r>
            <w:r w:rsidR="00D35639" w:rsidRPr="00D35639">
              <w:rPr>
                <w:noProof/>
                <w:webHidden/>
              </w:rPr>
              <w:fldChar w:fldCharType="begin"/>
            </w:r>
            <w:r w:rsidR="00D35639" w:rsidRPr="00D35639">
              <w:rPr>
                <w:noProof/>
                <w:webHidden/>
              </w:rPr>
              <w:instrText xml:space="preserve"> PAGEREF _Toc92478409 \h </w:instrText>
            </w:r>
            <w:r w:rsidR="00D35639" w:rsidRPr="00D35639">
              <w:rPr>
                <w:noProof/>
                <w:webHidden/>
              </w:rPr>
            </w:r>
            <w:r w:rsidR="00D35639" w:rsidRPr="00D35639">
              <w:rPr>
                <w:noProof/>
                <w:webHidden/>
              </w:rPr>
              <w:fldChar w:fldCharType="separate"/>
            </w:r>
            <w:r w:rsidR="00D35639" w:rsidRPr="00D35639">
              <w:rPr>
                <w:noProof/>
                <w:webHidden/>
              </w:rPr>
              <w:t>8</w:t>
            </w:r>
            <w:r w:rsidR="00D35639" w:rsidRPr="00D35639">
              <w:rPr>
                <w:noProof/>
                <w:webHidden/>
              </w:rPr>
              <w:fldChar w:fldCharType="end"/>
            </w:r>
          </w:hyperlink>
        </w:p>
        <w:p w14:paraId="0C4F8162" w14:textId="77777777" w:rsidR="00D35639" w:rsidRPr="00D35639" w:rsidRDefault="00E02E27">
          <w:pPr>
            <w:pStyle w:val="TDC1"/>
            <w:tabs>
              <w:tab w:val="left" w:pos="660"/>
              <w:tab w:val="right" w:pos="8828"/>
            </w:tabs>
            <w:rPr>
              <w:rFonts w:asciiTheme="minorHAnsi" w:eastAsiaTheme="minorEastAsia" w:hAnsiTheme="minorHAnsi" w:cstheme="minorBidi"/>
              <w:noProof/>
              <w:lang w:val="es-MX"/>
            </w:rPr>
          </w:pPr>
          <w:hyperlink w:anchor="_Toc92478410" w:history="1">
            <w:r w:rsidR="00D35639" w:rsidRPr="00D35639">
              <w:rPr>
                <w:rStyle w:val="Hipervnculo"/>
                <w:rFonts w:ascii="Quattrocento Sans" w:eastAsia="Quattrocento Sans" w:hAnsi="Quattrocento Sans" w:cs="Quattrocento Sans"/>
                <w:noProof/>
              </w:rPr>
              <w:t>VI.</w:t>
            </w:r>
            <w:r w:rsidR="00D35639" w:rsidRPr="00D35639">
              <w:rPr>
                <w:rFonts w:asciiTheme="minorHAnsi" w:eastAsiaTheme="minorEastAsia" w:hAnsiTheme="minorHAnsi" w:cstheme="minorBidi"/>
                <w:noProof/>
                <w:lang w:val="es-MX"/>
              </w:rPr>
              <w:tab/>
            </w:r>
            <w:r w:rsidR="00D35639" w:rsidRPr="00D35639">
              <w:rPr>
                <w:rStyle w:val="Hipervnculo"/>
                <w:rFonts w:ascii="Quattrocento Sans" w:eastAsia="Quattrocento Sans" w:hAnsi="Quattrocento Sans" w:cs="Quattrocento Sans"/>
                <w:noProof/>
              </w:rPr>
              <w:t>Recommendations.</w:t>
            </w:r>
            <w:r w:rsidR="00D35639" w:rsidRPr="00D35639">
              <w:rPr>
                <w:noProof/>
                <w:webHidden/>
              </w:rPr>
              <w:tab/>
            </w:r>
            <w:r w:rsidR="00D35639" w:rsidRPr="00D35639">
              <w:rPr>
                <w:noProof/>
                <w:webHidden/>
              </w:rPr>
              <w:fldChar w:fldCharType="begin"/>
            </w:r>
            <w:r w:rsidR="00D35639" w:rsidRPr="00D35639">
              <w:rPr>
                <w:noProof/>
                <w:webHidden/>
              </w:rPr>
              <w:instrText xml:space="preserve"> PAGEREF _Toc92478410 \h </w:instrText>
            </w:r>
            <w:r w:rsidR="00D35639" w:rsidRPr="00D35639">
              <w:rPr>
                <w:noProof/>
                <w:webHidden/>
              </w:rPr>
            </w:r>
            <w:r w:rsidR="00D35639" w:rsidRPr="00D35639">
              <w:rPr>
                <w:noProof/>
                <w:webHidden/>
              </w:rPr>
              <w:fldChar w:fldCharType="separate"/>
            </w:r>
            <w:r w:rsidR="00D35639" w:rsidRPr="00D35639">
              <w:rPr>
                <w:noProof/>
                <w:webHidden/>
              </w:rPr>
              <w:t>8</w:t>
            </w:r>
            <w:r w:rsidR="00D35639" w:rsidRPr="00D35639">
              <w:rPr>
                <w:noProof/>
                <w:webHidden/>
              </w:rPr>
              <w:fldChar w:fldCharType="end"/>
            </w:r>
          </w:hyperlink>
        </w:p>
        <w:p w14:paraId="61234DF0" w14:textId="77777777" w:rsidR="0023733D" w:rsidRDefault="00301E53">
          <w:pPr>
            <w:rPr>
              <w:rFonts w:ascii="Quattrocento Sans" w:eastAsia="Quattrocento Sans" w:hAnsi="Quattrocento Sans" w:cs="Quattrocento Sans"/>
            </w:rPr>
          </w:pPr>
          <w:r>
            <w:fldChar w:fldCharType="end"/>
          </w:r>
        </w:p>
      </w:sdtContent>
    </w:sdt>
    <w:p w14:paraId="2271D904" w14:textId="77777777" w:rsidR="0023733D" w:rsidRDefault="0023733D">
      <w:pPr>
        <w:rPr>
          <w:rFonts w:ascii="Quattrocento Sans" w:eastAsia="Quattrocento Sans" w:hAnsi="Quattrocento Sans" w:cs="Quattrocento Sans"/>
        </w:rPr>
      </w:pPr>
    </w:p>
    <w:p w14:paraId="049F265B" w14:textId="77777777" w:rsidR="0023733D" w:rsidRDefault="0023733D">
      <w:pPr>
        <w:rPr>
          <w:rFonts w:ascii="Quattrocento Sans" w:eastAsia="Quattrocento Sans" w:hAnsi="Quattrocento Sans" w:cs="Quattrocento Sans"/>
          <w:sz w:val="24"/>
          <w:szCs w:val="24"/>
        </w:rPr>
      </w:pPr>
    </w:p>
    <w:p w14:paraId="688F1180" w14:textId="77777777" w:rsidR="0023733D" w:rsidRDefault="0023733D">
      <w:pPr>
        <w:rPr>
          <w:rFonts w:ascii="Quattrocento Sans" w:eastAsia="Quattrocento Sans" w:hAnsi="Quattrocento Sans" w:cs="Quattrocento Sans"/>
          <w:sz w:val="24"/>
          <w:szCs w:val="24"/>
        </w:rPr>
      </w:pPr>
    </w:p>
    <w:p w14:paraId="539F4E4A" w14:textId="77777777" w:rsidR="0023733D" w:rsidRDefault="0023733D">
      <w:pPr>
        <w:rPr>
          <w:rFonts w:ascii="Quattrocento Sans" w:eastAsia="Quattrocento Sans" w:hAnsi="Quattrocento Sans" w:cs="Quattrocento Sans"/>
          <w:sz w:val="24"/>
          <w:szCs w:val="24"/>
        </w:rPr>
      </w:pPr>
    </w:p>
    <w:p w14:paraId="218B5137" w14:textId="77777777" w:rsidR="0023733D" w:rsidRDefault="0023733D">
      <w:pPr>
        <w:rPr>
          <w:rFonts w:ascii="Quattrocento Sans" w:eastAsia="Quattrocento Sans" w:hAnsi="Quattrocento Sans" w:cs="Quattrocento Sans"/>
          <w:sz w:val="24"/>
          <w:szCs w:val="24"/>
        </w:rPr>
      </w:pPr>
    </w:p>
    <w:p w14:paraId="78B766C5" w14:textId="77777777" w:rsidR="0023733D" w:rsidRDefault="0023733D">
      <w:pPr>
        <w:rPr>
          <w:rFonts w:ascii="Quattrocento Sans" w:eastAsia="Quattrocento Sans" w:hAnsi="Quattrocento Sans" w:cs="Quattrocento Sans"/>
          <w:sz w:val="24"/>
          <w:szCs w:val="24"/>
        </w:rPr>
      </w:pPr>
    </w:p>
    <w:p w14:paraId="2EEE91D2" w14:textId="77777777" w:rsidR="0023733D" w:rsidRDefault="0023733D">
      <w:pPr>
        <w:rPr>
          <w:rFonts w:ascii="Quattrocento Sans" w:eastAsia="Quattrocento Sans" w:hAnsi="Quattrocento Sans" w:cs="Quattrocento Sans"/>
          <w:sz w:val="24"/>
          <w:szCs w:val="24"/>
        </w:rPr>
      </w:pPr>
    </w:p>
    <w:p w14:paraId="115D01AE" w14:textId="77777777" w:rsidR="0023733D" w:rsidRDefault="0023733D">
      <w:pPr>
        <w:rPr>
          <w:rFonts w:ascii="Quattrocento Sans" w:eastAsia="Quattrocento Sans" w:hAnsi="Quattrocento Sans" w:cs="Quattrocento Sans"/>
          <w:sz w:val="24"/>
          <w:szCs w:val="24"/>
        </w:rPr>
      </w:pPr>
    </w:p>
    <w:p w14:paraId="38162244" w14:textId="77777777" w:rsidR="0023733D" w:rsidRDefault="0023733D">
      <w:pPr>
        <w:rPr>
          <w:rFonts w:ascii="Quattrocento Sans" w:eastAsia="Quattrocento Sans" w:hAnsi="Quattrocento Sans" w:cs="Quattrocento Sans"/>
          <w:sz w:val="24"/>
          <w:szCs w:val="24"/>
        </w:rPr>
      </w:pPr>
    </w:p>
    <w:p w14:paraId="442D4B11" w14:textId="77777777" w:rsidR="0023733D" w:rsidRDefault="0023733D">
      <w:pPr>
        <w:rPr>
          <w:rFonts w:ascii="Quattrocento Sans" w:eastAsia="Quattrocento Sans" w:hAnsi="Quattrocento Sans" w:cs="Quattrocento Sans"/>
          <w:sz w:val="24"/>
          <w:szCs w:val="24"/>
        </w:rPr>
      </w:pPr>
    </w:p>
    <w:p w14:paraId="18A5A624" w14:textId="77777777" w:rsidR="0023733D" w:rsidRDefault="0023733D">
      <w:pPr>
        <w:rPr>
          <w:rFonts w:ascii="Quattrocento Sans" w:eastAsia="Quattrocento Sans" w:hAnsi="Quattrocento Sans" w:cs="Quattrocento Sans"/>
          <w:sz w:val="24"/>
          <w:szCs w:val="24"/>
        </w:rPr>
      </w:pPr>
    </w:p>
    <w:p w14:paraId="25E37A30" w14:textId="77777777" w:rsidR="00D35639" w:rsidRDefault="00D35639">
      <w:pPr>
        <w:rPr>
          <w:rFonts w:ascii="Quattrocento Sans" w:eastAsia="Quattrocento Sans" w:hAnsi="Quattrocento Sans" w:cs="Quattrocento Sans"/>
          <w:sz w:val="24"/>
          <w:szCs w:val="24"/>
        </w:rPr>
      </w:pPr>
    </w:p>
    <w:p w14:paraId="22D34560" w14:textId="77777777" w:rsidR="00D35639" w:rsidRDefault="00D35639">
      <w:pPr>
        <w:rPr>
          <w:rFonts w:ascii="Quattrocento Sans" w:eastAsia="Quattrocento Sans" w:hAnsi="Quattrocento Sans" w:cs="Quattrocento Sans"/>
          <w:sz w:val="24"/>
          <w:szCs w:val="24"/>
        </w:rPr>
      </w:pPr>
    </w:p>
    <w:p w14:paraId="1E1947B9" w14:textId="77777777" w:rsidR="00D35639" w:rsidRDefault="00D35639">
      <w:pPr>
        <w:rPr>
          <w:rFonts w:ascii="Quattrocento Sans" w:eastAsia="Quattrocento Sans" w:hAnsi="Quattrocento Sans" w:cs="Quattrocento Sans"/>
          <w:sz w:val="24"/>
          <w:szCs w:val="24"/>
        </w:rPr>
      </w:pPr>
    </w:p>
    <w:p w14:paraId="4AE1417F" w14:textId="77777777" w:rsidR="00D35639" w:rsidRDefault="00D35639">
      <w:pPr>
        <w:rPr>
          <w:rFonts w:ascii="Quattrocento Sans" w:eastAsia="Quattrocento Sans" w:hAnsi="Quattrocento Sans" w:cs="Quattrocento Sans"/>
          <w:sz w:val="24"/>
          <w:szCs w:val="24"/>
        </w:rPr>
      </w:pPr>
    </w:p>
    <w:p w14:paraId="3E9A954E" w14:textId="77777777" w:rsidR="0023733D" w:rsidRDefault="0023733D">
      <w:pPr>
        <w:rPr>
          <w:rFonts w:ascii="Quattrocento Sans" w:eastAsia="Quattrocento Sans" w:hAnsi="Quattrocento Sans" w:cs="Quattrocento Sans"/>
          <w:sz w:val="24"/>
          <w:szCs w:val="24"/>
        </w:rPr>
      </w:pPr>
    </w:p>
    <w:p w14:paraId="4B5EA7F4" w14:textId="77777777" w:rsidR="0023733D" w:rsidRDefault="00301E53">
      <w:pPr>
        <w:pStyle w:val="Ttulo1"/>
        <w:rPr>
          <w:rFonts w:ascii="Quattrocento Sans" w:eastAsia="Quattrocento Sans" w:hAnsi="Quattrocento Sans" w:cs="Quattrocento Sans"/>
          <w:b/>
          <w:sz w:val="24"/>
          <w:szCs w:val="24"/>
        </w:rPr>
      </w:pPr>
      <w:bookmarkStart w:id="0" w:name="_Toc92478402"/>
      <w:proofErr w:type="gramStart"/>
      <w:r>
        <w:rPr>
          <w:rFonts w:ascii="Quattrocento Sans" w:eastAsia="Quattrocento Sans" w:hAnsi="Quattrocento Sans" w:cs="Quattrocento Sans"/>
          <w:b/>
          <w:sz w:val="24"/>
          <w:szCs w:val="24"/>
        </w:rPr>
        <w:lastRenderedPageBreak/>
        <w:t>Organizations</w:t>
      </w:r>
      <w:proofErr w:type="gramEnd"/>
      <w:r>
        <w:rPr>
          <w:rFonts w:ascii="Quattrocento Sans" w:eastAsia="Quattrocento Sans" w:hAnsi="Quattrocento Sans" w:cs="Quattrocento Sans"/>
          <w:b/>
          <w:sz w:val="24"/>
          <w:szCs w:val="24"/>
        </w:rPr>
        <w:t xml:space="preserve"> introduction</w:t>
      </w:r>
      <w:bookmarkEnd w:id="0"/>
    </w:p>
    <w:p w14:paraId="095E1496" w14:textId="77777777" w:rsidR="0023733D" w:rsidRDefault="0023733D">
      <w:pPr>
        <w:jc w:val="both"/>
        <w:rPr>
          <w:rFonts w:ascii="Quattrocento Sans" w:eastAsia="Quattrocento Sans" w:hAnsi="Quattrocento Sans" w:cs="Quattrocento Sans"/>
        </w:rPr>
      </w:pPr>
    </w:p>
    <w:p w14:paraId="794862E7" w14:textId="77777777" w:rsidR="0023733D" w:rsidRDefault="00301E53">
      <w:pPr>
        <w:jc w:val="both"/>
        <w:rPr>
          <w:rFonts w:ascii="Quattrocento Sans" w:eastAsia="Quattrocento Sans" w:hAnsi="Quattrocento Sans" w:cs="Quattrocento Sans"/>
        </w:rPr>
      </w:pPr>
      <w:proofErr w:type="gramStart"/>
      <w:r>
        <w:rPr>
          <w:rFonts w:ascii="Quattrocento Sans" w:eastAsia="Quattrocento Sans" w:hAnsi="Quattrocento Sans" w:cs="Quattrocento Sans"/>
          <w:b/>
        </w:rPr>
        <w:t xml:space="preserve">PROMSEX </w:t>
      </w:r>
      <w:r>
        <w:rPr>
          <w:rFonts w:ascii="Quattrocento Sans" w:eastAsia="Quattrocento Sans" w:hAnsi="Quattrocento Sans" w:cs="Quattrocento Sans"/>
          <w:b/>
          <w:color w:val="000000"/>
          <w:highlight w:val="white"/>
        </w:rPr>
        <w:t xml:space="preserve"> –</w:t>
      </w:r>
      <w:proofErr w:type="gramEnd"/>
      <w:r>
        <w:rPr>
          <w:rFonts w:ascii="Quattrocento Sans" w:eastAsia="Quattrocento Sans" w:hAnsi="Quattrocento Sans" w:cs="Quattrocento Sans"/>
          <w:b/>
          <w:color w:val="000000"/>
          <w:highlight w:val="white"/>
        </w:rPr>
        <w:t xml:space="preserve"> </w:t>
      </w:r>
      <w:r>
        <w:rPr>
          <w:rFonts w:ascii="Quattrocento Sans" w:eastAsia="Quattrocento Sans" w:hAnsi="Quattrocento Sans" w:cs="Quattrocento Sans"/>
        </w:rPr>
        <w:t xml:space="preserve"> </w:t>
      </w:r>
      <w:proofErr w:type="spellStart"/>
      <w:r>
        <w:rPr>
          <w:rFonts w:ascii="Quattrocento Sans" w:eastAsia="Quattrocento Sans" w:hAnsi="Quattrocento Sans" w:cs="Quattrocento Sans"/>
        </w:rPr>
        <w:t>el</w:t>
      </w:r>
      <w:proofErr w:type="spellEnd"/>
      <w:r>
        <w:rPr>
          <w:rFonts w:ascii="Quattrocento Sans" w:eastAsia="Quattrocento Sans" w:hAnsi="Quattrocento Sans" w:cs="Quattrocento Sans"/>
          <w:b/>
        </w:rPr>
        <w:t xml:space="preserve"> Centro de </w:t>
      </w:r>
      <w:proofErr w:type="spellStart"/>
      <w:r>
        <w:rPr>
          <w:rFonts w:ascii="Quattrocento Sans" w:eastAsia="Quattrocento Sans" w:hAnsi="Quattrocento Sans" w:cs="Quattrocento Sans"/>
          <w:b/>
        </w:rPr>
        <w:t>Promoción</w:t>
      </w:r>
      <w:proofErr w:type="spellEnd"/>
      <w:r>
        <w:rPr>
          <w:rFonts w:ascii="Quattrocento Sans" w:eastAsia="Quattrocento Sans" w:hAnsi="Quattrocento Sans" w:cs="Quattrocento Sans"/>
          <w:b/>
        </w:rPr>
        <w:t xml:space="preserve"> y </w:t>
      </w:r>
      <w:proofErr w:type="spellStart"/>
      <w:r>
        <w:rPr>
          <w:rFonts w:ascii="Quattrocento Sans" w:eastAsia="Quattrocento Sans" w:hAnsi="Quattrocento Sans" w:cs="Quattrocento Sans"/>
          <w:b/>
        </w:rPr>
        <w:t>Defensa</w:t>
      </w:r>
      <w:proofErr w:type="spellEnd"/>
      <w:r>
        <w:rPr>
          <w:rFonts w:ascii="Quattrocento Sans" w:eastAsia="Quattrocento Sans" w:hAnsi="Quattrocento Sans" w:cs="Quattrocento Sans"/>
          <w:b/>
        </w:rPr>
        <w:t xml:space="preserve"> de los Derechos </w:t>
      </w:r>
      <w:proofErr w:type="spellStart"/>
      <w:r>
        <w:rPr>
          <w:rFonts w:ascii="Quattrocento Sans" w:eastAsia="Quattrocento Sans" w:hAnsi="Quattrocento Sans" w:cs="Quattrocento Sans"/>
          <w:b/>
        </w:rPr>
        <w:t>Sexuales</w:t>
      </w:r>
      <w:proofErr w:type="spellEnd"/>
      <w:r>
        <w:rPr>
          <w:rFonts w:ascii="Quattrocento Sans" w:eastAsia="Quattrocento Sans" w:hAnsi="Quattrocento Sans" w:cs="Quattrocento Sans"/>
          <w:b/>
        </w:rPr>
        <w:t xml:space="preserve"> y </w:t>
      </w:r>
      <w:proofErr w:type="spellStart"/>
      <w:r>
        <w:rPr>
          <w:rFonts w:ascii="Quattrocento Sans" w:eastAsia="Quattrocento Sans" w:hAnsi="Quattrocento Sans" w:cs="Quattrocento Sans"/>
          <w:b/>
        </w:rPr>
        <w:t>Reproductivos</w:t>
      </w:r>
      <w:proofErr w:type="spellEnd"/>
      <w:r>
        <w:rPr>
          <w:rFonts w:ascii="Quattrocento Sans" w:eastAsia="Quattrocento Sans" w:hAnsi="Quattrocento Sans" w:cs="Quattrocento Sans"/>
          <w:b/>
        </w:rPr>
        <w:t xml:space="preserve"> </w:t>
      </w:r>
      <w:r>
        <w:rPr>
          <w:rFonts w:ascii="Quattrocento Sans" w:eastAsia="Quattrocento Sans" w:hAnsi="Quattrocento Sans" w:cs="Quattrocento Sans"/>
          <w:b/>
          <w:color w:val="000000"/>
          <w:highlight w:val="white"/>
        </w:rPr>
        <w:t xml:space="preserve"> – </w:t>
      </w:r>
      <w:r>
        <w:rPr>
          <w:rFonts w:ascii="Quattrocento Sans" w:eastAsia="Quattrocento Sans" w:hAnsi="Quattrocento Sans" w:cs="Quattrocento Sans"/>
          <w:color w:val="000000"/>
          <w:highlight w:val="white"/>
        </w:rPr>
        <w:t xml:space="preserve">PROMSEX is a feminist non-governmental organization that, through advocacy, knowledge generation and alliances, helps people decide about their sexuality and reproduction with autonomy, dignity, justice and equality. </w:t>
      </w:r>
    </w:p>
    <w:p w14:paraId="690742C2" w14:textId="77777777" w:rsidR="0023733D" w:rsidRDefault="0023733D">
      <w:pPr>
        <w:jc w:val="both"/>
        <w:rPr>
          <w:rFonts w:ascii="Quattrocento Sans" w:eastAsia="Quattrocento Sans" w:hAnsi="Quattrocento Sans" w:cs="Quattrocento Sans"/>
        </w:rPr>
      </w:pPr>
    </w:p>
    <w:p w14:paraId="5698FCA5" w14:textId="77777777" w:rsidR="0023733D" w:rsidRDefault="00301E53">
      <w:pPr>
        <w:jc w:val="both"/>
        <w:rPr>
          <w:rFonts w:ascii="Quattrocento Sans" w:eastAsia="Quattrocento Sans" w:hAnsi="Quattrocento Sans" w:cs="Quattrocento Sans"/>
        </w:rPr>
      </w:pPr>
      <w:r>
        <w:rPr>
          <w:rFonts w:ascii="Quattrocento Sans" w:eastAsia="Quattrocento Sans" w:hAnsi="Quattrocento Sans" w:cs="Quattrocento Sans"/>
          <w:b/>
          <w:color w:val="000000"/>
          <w:highlight w:val="white"/>
        </w:rPr>
        <w:t>ILGA World – the International Lesbian, Gay, Bisexual, Trans and Intersex Association</w:t>
      </w:r>
      <w:r>
        <w:rPr>
          <w:rFonts w:ascii="Quattrocento Sans" w:eastAsia="Quattrocento Sans" w:hAnsi="Quattrocento Sans" w:cs="Quattrocento Sans"/>
          <w:color w:val="000000"/>
          <w:highlight w:val="white"/>
        </w:rPr>
        <w:t xml:space="preserve"> </w:t>
      </w:r>
      <w:r>
        <w:rPr>
          <w:rFonts w:ascii="Quattrocento Sans" w:eastAsia="Quattrocento Sans" w:hAnsi="Quattrocento Sans" w:cs="Quattrocento Sans"/>
          <w:b/>
          <w:color w:val="000000"/>
          <w:highlight w:val="white"/>
        </w:rPr>
        <w:t xml:space="preserve"> – </w:t>
      </w:r>
      <w:r>
        <w:rPr>
          <w:rFonts w:ascii="Quattrocento Sans" w:eastAsia="Quattrocento Sans" w:hAnsi="Quattrocento Sans" w:cs="Quattrocento Sans"/>
          <w:color w:val="000000"/>
          <w:highlight w:val="white"/>
        </w:rPr>
        <w:t xml:space="preserve">is a worldwide federation of more than 1,700 organizations from over 160 countries and territories campaigning for lesbian, gay, bisexual, trans and intersex human </w:t>
      </w:r>
      <w:proofErr w:type="spellStart"/>
      <w:r>
        <w:rPr>
          <w:rFonts w:ascii="Quattrocento Sans" w:eastAsia="Quattrocento Sans" w:hAnsi="Quattrocento Sans" w:cs="Quattrocento Sans"/>
          <w:color w:val="000000"/>
          <w:highlight w:val="white"/>
        </w:rPr>
        <w:t>rights.Established</w:t>
      </w:r>
      <w:proofErr w:type="spellEnd"/>
      <w:r>
        <w:rPr>
          <w:rFonts w:ascii="Quattrocento Sans" w:eastAsia="Quattrocento Sans" w:hAnsi="Quattrocento Sans" w:cs="Quattrocento Sans"/>
          <w:color w:val="000000"/>
          <w:highlight w:val="white"/>
        </w:rPr>
        <w:t xml:space="preserve"> in 1978, ILGA World has ECOSOC consultative status at the United Nations and its members are based in six regions: Pan Africa ILGA, ILGA Asia, ILGA-Europe, ILGALAC (Latin America and the Caribbean), ILGA North America and ILGA Oceania.</w:t>
      </w:r>
    </w:p>
    <w:p w14:paraId="46211C8F" w14:textId="77777777" w:rsidR="0023733D" w:rsidRDefault="0023733D">
      <w:pPr>
        <w:rPr>
          <w:rFonts w:ascii="Quattrocento Sans" w:eastAsia="Quattrocento Sans" w:hAnsi="Quattrocento Sans" w:cs="Quattrocento Sans"/>
        </w:rPr>
      </w:pPr>
    </w:p>
    <w:p w14:paraId="7F5172E3" w14:textId="77777777" w:rsidR="0023733D" w:rsidRDefault="00301E53">
      <w:pPr>
        <w:pStyle w:val="Ttulo2"/>
        <w:rPr>
          <w:rFonts w:ascii="Quattrocento Sans" w:eastAsia="Quattrocento Sans" w:hAnsi="Quattrocento Sans" w:cs="Quattrocento Sans"/>
          <w:b/>
          <w:sz w:val="24"/>
          <w:szCs w:val="24"/>
        </w:rPr>
      </w:pPr>
      <w:bookmarkStart w:id="1" w:name="_Toc92478403"/>
      <w:r>
        <w:rPr>
          <w:rFonts w:ascii="Quattrocento Sans" w:eastAsia="Quattrocento Sans" w:hAnsi="Quattrocento Sans" w:cs="Quattrocento Sans"/>
          <w:b/>
          <w:sz w:val="24"/>
          <w:szCs w:val="24"/>
        </w:rPr>
        <w:t>Executive summary</w:t>
      </w:r>
      <w:bookmarkEnd w:id="1"/>
      <w:r>
        <w:rPr>
          <w:rFonts w:ascii="Quattrocento Sans" w:eastAsia="Quattrocento Sans" w:hAnsi="Quattrocento Sans" w:cs="Quattrocento Sans"/>
          <w:b/>
          <w:sz w:val="24"/>
          <w:szCs w:val="24"/>
        </w:rPr>
        <w:t xml:space="preserve"> </w:t>
      </w:r>
    </w:p>
    <w:p w14:paraId="72B15F9B" w14:textId="77777777" w:rsidR="0023733D" w:rsidRDefault="0023733D">
      <w:pPr>
        <w:rPr>
          <w:rFonts w:ascii="Quattrocento Sans" w:eastAsia="Quattrocento Sans" w:hAnsi="Quattrocento Sans" w:cs="Quattrocento Sans"/>
        </w:rPr>
      </w:pPr>
    </w:p>
    <w:p w14:paraId="19ADA1F1" w14:textId="77777777" w:rsidR="0023733D" w:rsidRDefault="00301E53">
      <w:pPr>
        <w:jc w:val="both"/>
        <w:rPr>
          <w:rFonts w:ascii="Quattrocento Sans" w:eastAsia="Quattrocento Sans" w:hAnsi="Quattrocento Sans" w:cs="Quattrocento Sans"/>
        </w:rPr>
      </w:pPr>
      <w:r>
        <w:rPr>
          <w:rFonts w:ascii="Quattrocento Sans" w:eastAsia="Quattrocento Sans" w:hAnsi="Quattrocento Sans" w:cs="Quattrocento Sans"/>
        </w:rPr>
        <w:t xml:space="preserve">The Center for the Promotion and Defense of Sexual and Reproductive Rights (PROMSEX), with technical support provided by ILGA World and in the framework of the CEDAW Committee's evaluation of Peru, State that will be considered during its 81st session, intends to contribute by providing information on the rights of lesbian, trans and bisexual (LBT+) women in the Peruvian State. </w:t>
      </w:r>
    </w:p>
    <w:p w14:paraId="352A4BEE" w14:textId="77777777" w:rsidR="0023733D" w:rsidRDefault="00301E53">
      <w:pPr>
        <w:spacing w:after="0" w:line="240" w:lineRule="auto"/>
        <w:rPr>
          <w:rFonts w:ascii="Quattrocento Sans" w:eastAsia="Quattrocento Sans" w:hAnsi="Quattrocento Sans" w:cs="Quattrocento Sans"/>
          <w:color w:val="000000"/>
        </w:rPr>
      </w:pPr>
      <w:r>
        <w:rPr>
          <w:rFonts w:ascii="Quattrocento Sans" w:eastAsia="Quattrocento Sans" w:hAnsi="Quattrocento Sans" w:cs="Quattrocento Sans"/>
          <w:color w:val="000000"/>
        </w:rPr>
        <w:t xml:space="preserve">The current report offers information on six major problems faced by LBTI+ women in Peru: </w:t>
      </w:r>
    </w:p>
    <w:p w14:paraId="32AFB7D6" w14:textId="77777777" w:rsidR="0023733D" w:rsidRDefault="0023733D">
      <w:pPr>
        <w:spacing w:after="0" w:line="240" w:lineRule="auto"/>
        <w:rPr>
          <w:rFonts w:ascii="Quattrocento Sans" w:eastAsia="Quattrocento Sans" w:hAnsi="Quattrocento Sans" w:cs="Quattrocento Sans"/>
          <w:color w:val="000000"/>
        </w:rPr>
      </w:pPr>
    </w:p>
    <w:p w14:paraId="1A2C666F" w14:textId="77777777" w:rsidR="0023733D" w:rsidRDefault="00301E53">
      <w:pPr>
        <w:numPr>
          <w:ilvl w:val="0"/>
          <w:numId w:val="2"/>
        </w:numPr>
        <w:pBdr>
          <w:top w:val="nil"/>
          <w:left w:val="nil"/>
          <w:bottom w:val="nil"/>
          <w:right w:val="nil"/>
          <w:between w:val="nil"/>
        </w:pBdr>
        <w:spacing w:after="0" w:line="240" w:lineRule="auto"/>
        <w:rPr>
          <w:rFonts w:ascii="Quattrocento Sans" w:eastAsia="Quattrocento Sans" w:hAnsi="Quattrocento Sans" w:cs="Quattrocento Sans"/>
          <w:color w:val="000000"/>
        </w:rPr>
      </w:pPr>
      <w:r>
        <w:rPr>
          <w:rFonts w:ascii="Quattrocento Sans" w:eastAsia="Quattrocento Sans" w:hAnsi="Quattrocento Sans" w:cs="Quattrocento Sans"/>
          <w:color w:val="000000"/>
        </w:rPr>
        <w:t xml:space="preserve">Institutional violence against LBTI+ women </w:t>
      </w:r>
    </w:p>
    <w:p w14:paraId="3462740F" w14:textId="77777777" w:rsidR="0023733D" w:rsidRDefault="00301E53">
      <w:pPr>
        <w:numPr>
          <w:ilvl w:val="0"/>
          <w:numId w:val="2"/>
        </w:numPr>
        <w:pBdr>
          <w:top w:val="nil"/>
          <w:left w:val="nil"/>
          <w:bottom w:val="nil"/>
          <w:right w:val="nil"/>
          <w:between w:val="nil"/>
        </w:pBdr>
        <w:spacing w:after="0" w:line="240" w:lineRule="auto"/>
        <w:rPr>
          <w:rFonts w:ascii="Quattrocento Sans" w:eastAsia="Quattrocento Sans" w:hAnsi="Quattrocento Sans" w:cs="Quattrocento Sans"/>
          <w:color w:val="000000"/>
        </w:rPr>
      </w:pPr>
      <w:r>
        <w:rPr>
          <w:rFonts w:ascii="Quattrocento Sans" w:eastAsia="Quattrocento Sans" w:hAnsi="Quattrocento Sans" w:cs="Quattrocento Sans"/>
          <w:color w:val="000000"/>
        </w:rPr>
        <w:t>Access to justice</w:t>
      </w:r>
    </w:p>
    <w:p w14:paraId="400B4515" w14:textId="77777777" w:rsidR="0023733D" w:rsidRDefault="00301E53">
      <w:pPr>
        <w:numPr>
          <w:ilvl w:val="0"/>
          <w:numId w:val="2"/>
        </w:numPr>
        <w:pBdr>
          <w:top w:val="nil"/>
          <w:left w:val="nil"/>
          <w:bottom w:val="nil"/>
          <w:right w:val="nil"/>
          <w:between w:val="nil"/>
        </w:pBdr>
        <w:spacing w:after="0" w:line="240" w:lineRule="auto"/>
        <w:rPr>
          <w:rFonts w:ascii="Quattrocento Sans" w:eastAsia="Quattrocento Sans" w:hAnsi="Quattrocento Sans" w:cs="Quattrocento Sans"/>
          <w:color w:val="000000"/>
        </w:rPr>
      </w:pPr>
      <w:r>
        <w:rPr>
          <w:rFonts w:ascii="Quattrocento Sans" w:eastAsia="Quattrocento Sans" w:hAnsi="Quattrocento Sans" w:cs="Quattrocento Sans"/>
          <w:color w:val="000000"/>
        </w:rPr>
        <w:t xml:space="preserve">LBT+ women health rights and the COVID-19 </w:t>
      </w:r>
    </w:p>
    <w:p w14:paraId="0B66041C" w14:textId="77777777" w:rsidR="0023733D" w:rsidRDefault="00301E53">
      <w:pPr>
        <w:numPr>
          <w:ilvl w:val="0"/>
          <w:numId w:val="2"/>
        </w:numPr>
        <w:pBdr>
          <w:top w:val="nil"/>
          <w:left w:val="nil"/>
          <w:bottom w:val="nil"/>
          <w:right w:val="nil"/>
          <w:between w:val="nil"/>
        </w:pBdr>
        <w:spacing w:after="0" w:line="240" w:lineRule="auto"/>
        <w:rPr>
          <w:rFonts w:ascii="Quattrocento Sans" w:eastAsia="Quattrocento Sans" w:hAnsi="Quattrocento Sans" w:cs="Quattrocento Sans"/>
          <w:color w:val="000000"/>
        </w:rPr>
      </w:pPr>
      <w:r>
        <w:rPr>
          <w:rFonts w:ascii="Quattrocento Sans" w:eastAsia="Quattrocento Sans" w:hAnsi="Quattrocento Sans" w:cs="Quattrocento Sans"/>
          <w:color w:val="000000"/>
        </w:rPr>
        <w:t>Legal protections for same-sex couples</w:t>
      </w:r>
    </w:p>
    <w:p w14:paraId="63B8529A" w14:textId="77777777" w:rsidR="0023733D" w:rsidRDefault="00301E53">
      <w:pPr>
        <w:numPr>
          <w:ilvl w:val="0"/>
          <w:numId w:val="2"/>
        </w:numPr>
        <w:pBdr>
          <w:top w:val="nil"/>
          <w:left w:val="nil"/>
          <w:bottom w:val="nil"/>
          <w:right w:val="nil"/>
          <w:between w:val="nil"/>
        </w:pBdr>
        <w:spacing w:after="27" w:line="240" w:lineRule="auto"/>
        <w:rPr>
          <w:rFonts w:ascii="Quattrocento Sans" w:eastAsia="Quattrocento Sans" w:hAnsi="Quattrocento Sans" w:cs="Quattrocento Sans"/>
          <w:color w:val="000000"/>
        </w:rPr>
      </w:pPr>
      <w:r>
        <w:rPr>
          <w:rFonts w:ascii="Quattrocento Sans" w:eastAsia="Quattrocento Sans" w:hAnsi="Quattrocento Sans" w:cs="Quattrocento Sans"/>
          <w:color w:val="000000"/>
        </w:rPr>
        <w:t>Gender legal recognition.</w:t>
      </w:r>
    </w:p>
    <w:p w14:paraId="3145D322" w14:textId="77777777" w:rsidR="0023733D" w:rsidRDefault="0023733D">
      <w:pPr>
        <w:rPr>
          <w:rFonts w:ascii="Quattrocento Sans" w:eastAsia="Quattrocento Sans" w:hAnsi="Quattrocento Sans" w:cs="Quattrocento Sans"/>
        </w:rPr>
      </w:pPr>
    </w:p>
    <w:p w14:paraId="5EC19C7C" w14:textId="77777777" w:rsidR="00D35639" w:rsidRDefault="00D35639">
      <w:pPr>
        <w:rPr>
          <w:rFonts w:ascii="Quattrocento Sans" w:eastAsia="Quattrocento Sans" w:hAnsi="Quattrocento Sans" w:cs="Quattrocento Sans"/>
        </w:rPr>
      </w:pPr>
    </w:p>
    <w:p w14:paraId="449D38C8" w14:textId="77777777" w:rsidR="00D35639" w:rsidRDefault="00D35639">
      <w:pPr>
        <w:rPr>
          <w:rFonts w:ascii="Quattrocento Sans" w:eastAsia="Quattrocento Sans" w:hAnsi="Quattrocento Sans" w:cs="Quattrocento Sans"/>
        </w:rPr>
      </w:pPr>
    </w:p>
    <w:p w14:paraId="5E983489" w14:textId="77777777" w:rsidR="00D35639" w:rsidRDefault="00D35639">
      <w:pPr>
        <w:rPr>
          <w:rFonts w:ascii="Quattrocento Sans" w:eastAsia="Quattrocento Sans" w:hAnsi="Quattrocento Sans" w:cs="Quattrocento Sans"/>
        </w:rPr>
      </w:pPr>
    </w:p>
    <w:p w14:paraId="10244A7B" w14:textId="77777777" w:rsidR="00D35639" w:rsidRDefault="00D35639">
      <w:pPr>
        <w:rPr>
          <w:rFonts w:ascii="Quattrocento Sans" w:eastAsia="Quattrocento Sans" w:hAnsi="Quattrocento Sans" w:cs="Quattrocento Sans"/>
        </w:rPr>
      </w:pPr>
    </w:p>
    <w:p w14:paraId="5B4A1AF0" w14:textId="77777777" w:rsidR="00D35639" w:rsidRDefault="00D35639">
      <w:pPr>
        <w:rPr>
          <w:rFonts w:ascii="Quattrocento Sans" w:eastAsia="Quattrocento Sans" w:hAnsi="Quattrocento Sans" w:cs="Quattrocento Sans"/>
        </w:rPr>
      </w:pPr>
    </w:p>
    <w:p w14:paraId="44F84340" w14:textId="77777777" w:rsidR="00D35639" w:rsidRDefault="00D35639">
      <w:pPr>
        <w:rPr>
          <w:rFonts w:ascii="Quattrocento Sans" w:eastAsia="Quattrocento Sans" w:hAnsi="Quattrocento Sans" w:cs="Quattrocento Sans"/>
        </w:rPr>
      </w:pPr>
    </w:p>
    <w:p w14:paraId="0338D4D5" w14:textId="77777777" w:rsidR="00D35639" w:rsidRDefault="00D35639">
      <w:pPr>
        <w:rPr>
          <w:rFonts w:ascii="Quattrocento Sans" w:eastAsia="Quattrocento Sans" w:hAnsi="Quattrocento Sans" w:cs="Quattrocento Sans"/>
        </w:rPr>
      </w:pPr>
    </w:p>
    <w:p w14:paraId="3649960B" w14:textId="77777777" w:rsidR="0023733D" w:rsidRDefault="0023733D">
      <w:pPr>
        <w:rPr>
          <w:rFonts w:ascii="Quattrocento Sans" w:eastAsia="Quattrocento Sans" w:hAnsi="Quattrocento Sans" w:cs="Quattrocento Sans"/>
        </w:rPr>
      </w:pPr>
    </w:p>
    <w:p w14:paraId="400DF359" w14:textId="77777777" w:rsidR="0023733D" w:rsidRDefault="00301E53">
      <w:pPr>
        <w:pStyle w:val="Ttulo1"/>
        <w:numPr>
          <w:ilvl w:val="0"/>
          <w:numId w:val="3"/>
        </w:numPr>
        <w:spacing w:line="240" w:lineRule="auto"/>
        <w:rPr>
          <w:rFonts w:ascii="Quattrocento Sans" w:eastAsia="Quattrocento Sans" w:hAnsi="Quattrocento Sans" w:cs="Quattrocento Sans"/>
          <w:b/>
          <w:sz w:val="24"/>
          <w:szCs w:val="24"/>
        </w:rPr>
      </w:pPr>
      <w:bookmarkStart w:id="2" w:name="_Toc92478404"/>
      <w:r>
        <w:rPr>
          <w:rFonts w:ascii="Quattrocento Sans" w:eastAsia="Quattrocento Sans" w:hAnsi="Quattrocento Sans" w:cs="Quattrocento Sans"/>
          <w:b/>
          <w:sz w:val="24"/>
          <w:szCs w:val="24"/>
        </w:rPr>
        <w:lastRenderedPageBreak/>
        <w:t xml:space="preserve">Discrimination and institutional violence against LGBTI persons and the absence of mechanisms for attention, </w:t>
      </w:r>
      <w:proofErr w:type="gramStart"/>
      <w:r>
        <w:rPr>
          <w:rFonts w:ascii="Quattrocento Sans" w:eastAsia="Quattrocento Sans" w:hAnsi="Quattrocento Sans" w:cs="Quattrocento Sans"/>
          <w:b/>
          <w:sz w:val="24"/>
          <w:szCs w:val="24"/>
        </w:rPr>
        <w:t>investigation</w:t>
      </w:r>
      <w:proofErr w:type="gramEnd"/>
      <w:r>
        <w:rPr>
          <w:rFonts w:ascii="Quattrocento Sans" w:eastAsia="Quattrocento Sans" w:hAnsi="Quattrocento Sans" w:cs="Quattrocento Sans"/>
          <w:b/>
          <w:sz w:val="24"/>
          <w:szCs w:val="24"/>
        </w:rPr>
        <w:t xml:space="preserve"> and sanction (CEDAW - Article 2)</w:t>
      </w:r>
      <w:bookmarkEnd w:id="2"/>
    </w:p>
    <w:p w14:paraId="723D7585" w14:textId="77777777" w:rsidR="0023733D" w:rsidRDefault="0023733D">
      <w:pPr>
        <w:jc w:val="both"/>
        <w:rPr>
          <w:rFonts w:ascii="Quattrocento Sans" w:eastAsia="Quattrocento Sans" w:hAnsi="Quattrocento Sans" w:cs="Quattrocento Sans"/>
        </w:rPr>
      </w:pPr>
    </w:p>
    <w:p w14:paraId="3AD26781" w14:textId="77777777" w:rsidR="0023733D" w:rsidRDefault="00301E53">
      <w:pPr>
        <w:jc w:val="both"/>
        <w:rPr>
          <w:rFonts w:ascii="Quattrocento Sans" w:eastAsia="Quattrocento Sans" w:hAnsi="Quattrocento Sans" w:cs="Quattrocento Sans"/>
        </w:rPr>
      </w:pPr>
      <w:r>
        <w:rPr>
          <w:rFonts w:ascii="Quattrocento Sans" w:eastAsia="Quattrocento Sans" w:hAnsi="Quattrocento Sans" w:cs="Quattrocento Sans"/>
        </w:rPr>
        <w:t xml:space="preserve">1. In Peru, there is a context of prejudices, violence, and discrimination against lesbian, trans, bisexual, </w:t>
      </w:r>
      <w:proofErr w:type="gramStart"/>
      <w:r>
        <w:rPr>
          <w:rFonts w:ascii="Quattrocento Sans" w:eastAsia="Quattrocento Sans" w:hAnsi="Quattrocento Sans" w:cs="Quattrocento Sans"/>
        </w:rPr>
        <w:t>intersex</w:t>
      </w:r>
      <w:proofErr w:type="gramEnd"/>
      <w:r>
        <w:rPr>
          <w:rFonts w:ascii="Quattrocento Sans" w:eastAsia="Quattrocento Sans" w:hAnsi="Quattrocento Sans" w:cs="Quattrocento Sans"/>
        </w:rPr>
        <w:t xml:space="preserve"> and other gender-diverse women (hereafter LBTI+ women).  Institutional violence is a reality in the country. During 2017 and 2018, 341 cases of rights violations against LGBTI people were recorded, being the aggressors, in 25% of the cases, State agents: municipal </w:t>
      </w:r>
      <w:proofErr w:type="spellStart"/>
      <w:r>
        <w:rPr>
          <w:rFonts w:ascii="Quattrocento Sans" w:eastAsia="Quattrocento Sans" w:hAnsi="Quattrocento Sans" w:cs="Quattrocento Sans"/>
        </w:rPr>
        <w:t>serenazgo</w:t>
      </w:r>
      <w:proofErr w:type="spellEnd"/>
      <w:r>
        <w:rPr>
          <w:rFonts w:ascii="Quattrocento Sans" w:eastAsia="Quattrocento Sans" w:hAnsi="Quattrocento Sans" w:cs="Quattrocento Sans"/>
          <w:vertAlign w:val="superscript"/>
        </w:rPr>
        <w:footnoteReference w:id="1"/>
      </w:r>
      <w:r>
        <w:rPr>
          <w:rFonts w:ascii="Quattrocento Sans" w:eastAsia="Quattrocento Sans" w:hAnsi="Quattrocento Sans" w:cs="Quattrocento Sans"/>
        </w:rPr>
        <w:t xml:space="preserve"> personnel; National Police of Peru, health personnel; municipal officials, and State servants/officials.</w:t>
      </w:r>
      <w:r>
        <w:rPr>
          <w:rFonts w:ascii="Quattrocento Sans" w:eastAsia="Quattrocento Sans" w:hAnsi="Quattrocento Sans" w:cs="Quattrocento Sans"/>
          <w:vertAlign w:val="superscript"/>
        </w:rPr>
        <w:footnoteReference w:id="2"/>
      </w:r>
      <w:r>
        <w:rPr>
          <w:rFonts w:ascii="Quattrocento Sans" w:eastAsia="Quattrocento Sans" w:hAnsi="Quattrocento Sans" w:cs="Quattrocento Sans"/>
        </w:rPr>
        <w:t xml:space="preserve"> Additionally, between 2019 and 2020, at least 9 trans women, 1 trans man, 14 gay men and two lesbians were murdered.</w:t>
      </w:r>
      <w:r>
        <w:rPr>
          <w:rFonts w:ascii="Quattrocento Sans" w:eastAsia="Quattrocento Sans" w:hAnsi="Quattrocento Sans" w:cs="Quattrocento Sans"/>
          <w:vertAlign w:val="superscript"/>
        </w:rPr>
        <w:footnoteReference w:id="3"/>
      </w:r>
      <w:r>
        <w:rPr>
          <w:rFonts w:ascii="Quattrocento Sans" w:eastAsia="Quattrocento Sans" w:hAnsi="Quattrocento Sans" w:cs="Quattrocento Sans"/>
        </w:rPr>
        <w:t xml:space="preserve"> However, there is no official and updated information on institutional violence based on sexual orientation and gender identity. In this sense, Peru does not count with an official system of disaggregated data on violence or killings, which has been a general requirement and recommendation from diverse national and international organizations in the past years and that has not been yet implemented.</w:t>
      </w:r>
      <w:r>
        <w:rPr>
          <w:rFonts w:ascii="Quattrocento Sans" w:eastAsia="Quattrocento Sans" w:hAnsi="Quattrocento Sans" w:cs="Quattrocento Sans"/>
          <w:vertAlign w:val="superscript"/>
        </w:rPr>
        <w:footnoteReference w:id="4"/>
      </w:r>
      <w:r>
        <w:rPr>
          <w:rFonts w:ascii="Quattrocento Sans" w:eastAsia="Quattrocento Sans" w:hAnsi="Quattrocento Sans" w:cs="Quattrocento Sans"/>
        </w:rPr>
        <w:t xml:space="preserve"> </w:t>
      </w:r>
    </w:p>
    <w:p w14:paraId="34D980D4" w14:textId="77777777" w:rsidR="0023733D" w:rsidRDefault="00301E53">
      <w:pPr>
        <w:jc w:val="both"/>
        <w:rPr>
          <w:rFonts w:ascii="Quattrocento Sans" w:eastAsia="Quattrocento Sans" w:hAnsi="Quattrocento Sans" w:cs="Quattrocento Sans"/>
        </w:rPr>
      </w:pPr>
      <w:r>
        <w:rPr>
          <w:rFonts w:ascii="Quattrocento Sans" w:eastAsia="Quattrocento Sans" w:hAnsi="Quattrocento Sans" w:cs="Quattrocento Sans"/>
        </w:rPr>
        <w:t xml:space="preserve">2. Likewise, an exploratory study in 2018 "revealed the seriousness of institutionalized </w:t>
      </w:r>
      <w:proofErr w:type="spellStart"/>
      <w:r>
        <w:rPr>
          <w:rFonts w:ascii="Quattrocento Sans" w:eastAsia="Quattrocento Sans" w:hAnsi="Quattrocento Sans" w:cs="Quattrocento Sans"/>
        </w:rPr>
        <w:t>homotransphobia</w:t>
      </w:r>
      <w:proofErr w:type="spellEnd"/>
      <w:r>
        <w:rPr>
          <w:rFonts w:ascii="Quattrocento Sans" w:eastAsia="Quattrocento Sans" w:hAnsi="Quattrocento Sans" w:cs="Quattrocento Sans"/>
        </w:rPr>
        <w:t>, after the analysis of the content of 44 citizen security plans in Lima, which established the "eradication of homosexuals and trans persons". Among the results, we have: 11 plans (25%) refer to the eradication of homosexuals or transvestites; 12 plans (27.3%) directly allude to the exercise of prostitution; four plans (9.1%) refer to crimes usually associated with the exercise of prostitution and 17 plans (38.6%) do not contain references to the eradication of homosexuals, transvestites or sex workers" (footnotes omitted).</w:t>
      </w:r>
      <w:r>
        <w:rPr>
          <w:rFonts w:ascii="Quattrocento Sans" w:eastAsia="Quattrocento Sans" w:hAnsi="Quattrocento Sans" w:cs="Quattrocento Sans"/>
          <w:vertAlign w:val="superscript"/>
        </w:rPr>
        <w:footnoteReference w:id="5"/>
      </w:r>
      <w:r>
        <w:rPr>
          <w:rFonts w:ascii="Quattrocento Sans" w:eastAsia="Quattrocento Sans" w:hAnsi="Quattrocento Sans" w:cs="Quattrocento Sans"/>
        </w:rPr>
        <w:t xml:space="preserve"> To date, there is no information on the matter and these plans are still in force.  </w:t>
      </w:r>
    </w:p>
    <w:p w14:paraId="17300B00" w14:textId="77777777" w:rsidR="0023733D" w:rsidRDefault="00301E53">
      <w:pPr>
        <w:jc w:val="both"/>
        <w:rPr>
          <w:rFonts w:ascii="Quattrocento Sans" w:eastAsia="Quattrocento Sans" w:hAnsi="Quattrocento Sans" w:cs="Quattrocento Sans"/>
        </w:rPr>
      </w:pPr>
      <w:r>
        <w:rPr>
          <w:rFonts w:ascii="Quattrocento Sans" w:eastAsia="Quattrocento Sans" w:hAnsi="Quattrocento Sans" w:cs="Quattrocento Sans"/>
        </w:rPr>
        <w:t xml:space="preserve">3. Unfortunately, there is no specific public policy that implements measures to prevent, record, investigate and punish discrimination and violence against LGBTI persons, perpetrated by security guards and police officers. A National Human Rights Plan 2018-2021 incorporates LGBTI population as a special protection group; however, it does not have strategies or indicators linked to the prevention, attention, </w:t>
      </w:r>
      <w:proofErr w:type="gramStart"/>
      <w:r>
        <w:rPr>
          <w:rFonts w:ascii="Quattrocento Sans" w:eastAsia="Quattrocento Sans" w:hAnsi="Quattrocento Sans" w:cs="Quattrocento Sans"/>
        </w:rPr>
        <w:t>sanction</w:t>
      </w:r>
      <w:proofErr w:type="gramEnd"/>
      <w:r>
        <w:rPr>
          <w:rFonts w:ascii="Quattrocento Sans" w:eastAsia="Quattrocento Sans" w:hAnsi="Quattrocento Sans" w:cs="Quattrocento Sans"/>
        </w:rPr>
        <w:t xml:space="preserve"> and restitution of LGBTI people's rights. On the contrary, the Congress </w:t>
      </w:r>
      <w:r>
        <w:rPr>
          <w:rFonts w:ascii="Quattrocento Sans" w:eastAsia="Quattrocento Sans" w:hAnsi="Quattrocento Sans" w:cs="Quattrocento Sans"/>
        </w:rPr>
        <w:lastRenderedPageBreak/>
        <w:t>of the Republic has maintained an adverse agenda, denying any possibility of recognizing the rights of LGBTI people.</w:t>
      </w:r>
      <w:r>
        <w:rPr>
          <w:rFonts w:ascii="Quattrocento Sans" w:eastAsia="Quattrocento Sans" w:hAnsi="Quattrocento Sans" w:cs="Quattrocento Sans"/>
          <w:vertAlign w:val="superscript"/>
        </w:rPr>
        <w:footnoteReference w:id="6"/>
      </w:r>
    </w:p>
    <w:p w14:paraId="2922CB81" w14:textId="77777777" w:rsidR="0023733D" w:rsidRDefault="00301E53">
      <w:pPr>
        <w:pStyle w:val="Ttulo1"/>
        <w:numPr>
          <w:ilvl w:val="0"/>
          <w:numId w:val="3"/>
        </w:numPr>
        <w:rPr>
          <w:rFonts w:ascii="Quattrocento Sans" w:eastAsia="Quattrocento Sans" w:hAnsi="Quattrocento Sans" w:cs="Quattrocento Sans"/>
          <w:b/>
          <w:sz w:val="24"/>
          <w:szCs w:val="24"/>
        </w:rPr>
      </w:pPr>
      <w:bookmarkStart w:id="3" w:name="_Toc92478405"/>
      <w:r>
        <w:rPr>
          <w:rFonts w:ascii="Quattrocento Sans" w:eastAsia="Quattrocento Sans" w:hAnsi="Quattrocento Sans" w:cs="Quattrocento Sans"/>
          <w:b/>
          <w:sz w:val="24"/>
          <w:szCs w:val="24"/>
        </w:rPr>
        <w:t>Access to justice for LBTI+ Women (CEDAW – Article 2)</w:t>
      </w:r>
      <w:bookmarkEnd w:id="3"/>
    </w:p>
    <w:p w14:paraId="36E5D8CC" w14:textId="77777777" w:rsidR="0023733D" w:rsidRDefault="0023733D">
      <w:pPr>
        <w:jc w:val="both"/>
        <w:rPr>
          <w:rFonts w:ascii="Quattrocento Sans" w:eastAsia="Quattrocento Sans" w:hAnsi="Quattrocento Sans" w:cs="Quattrocento Sans"/>
        </w:rPr>
      </w:pPr>
    </w:p>
    <w:p w14:paraId="2ABAE825" w14:textId="77777777" w:rsidR="0023733D" w:rsidRDefault="00301E53">
      <w:pPr>
        <w:jc w:val="both"/>
        <w:rPr>
          <w:rFonts w:ascii="Quattrocento Sans" w:eastAsia="Quattrocento Sans" w:hAnsi="Quattrocento Sans" w:cs="Quattrocento Sans"/>
        </w:rPr>
      </w:pPr>
      <w:r>
        <w:rPr>
          <w:rFonts w:ascii="Quattrocento Sans" w:eastAsia="Quattrocento Sans" w:hAnsi="Quattrocento Sans" w:cs="Quattrocento Sans"/>
        </w:rPr>
        <w:t>4. Concerning cases of violence and discrimination against LBTI+ women, there are no specialized protocols in the Justice System for protecting the victims and for specialized investigation; particularly when the victims are girls and adolescents, this is a prominent issue. In this regard, the CEDAW Committee recommended Peru to</w:t>
      </w:r>
      <w:r>
        <w:rPr>
          <w:rFonts w:ascii="Quattrocento Sans" w:eastAsia="Quattrocento Sans" w:hAnsi="Quattrocento Sans" w:cs="Quattrocento Sans"/>
          <w:i/>
        </w:rPr>
        <w:t xml:space="preserve"> "(a) intensify awareness programs and citizen education campaigns to (...) change stereotypical attitudes and eliminate discrimination on grounds (...) such as gender orientation or identity (...); (c) adopt special protocols to unify procedures for reporting cases of violence against women and centralize existing data collection systems to collect, disaggregate and regularly update data on such violence".</w:t>
      </w:r>
      <w:r>
        <w:rPr>
          <w:rFonts w:ascii="Quattrocento Sans" w:eastAsia="Quattrocento Sans" w:hAnsi="Quattrocento Sans" w:cs="Quattrocento Sans"/>
          <w:i/>
          <w:vertAlign w:val="superscript"/>
        </w:rPr>
        <w:footnoteReference w:id="7"/>
      </w:r>
      <w:r>
        <w:rPr>
          <w:rFonts w:ascii="Quattrocento Sans" w:eastAsia="Quattrocento Sans" w:hAnsi="Quattrocento Sans" w:cs="Quattrocento Sans"/>
        </w:rPr>
        <w:t xml:space="preserve"> However, these recommendations have not been implemented accordingly. </w:t>
      </w:r>
    </w:p>
    <w:p w14:paraId="5F68ABB5" w14:textId="77777777" w:rsidR="0023733D" w:rsidRDefault="00301E53">
      <w:pPr>
        <w:jc w:val="both"/>
        <w:rPr>
          <w:rFonts w:ascii="Quattrocento Sans" w:eastAsia="Quattrocento Sans" w:hAnsi="Quattrocento Sans" w:cs="Quattrocento Sans"/>
        </w:rPr>
      </w:pPr>
      <w:r>
        <w:rPr>
          <w:rFonts w:ascii="Quattrocento Sans" w:eastAsia="Quattrocento Sans" w:hAnsi="Quattrocento Sans" w:cs="Quattrocento Sans"/>
        </w:rPr>
        <w:t xml:space="preserve">5. One of the main challenges for LGBT people (especially LBTI+ women) is access to justice. The main obstacles </w:t>
      </w:r>
      <w:proofErr w:type="gramStart"/>
      <w:r>
        <w:rPr>
          <w:rFonts w:ascii="Quattrocento Sans" w:eastAsia="Quattrocento Sans" w:hAnsi="Quattrocento Sans" w:cs="Quattrocento Sans"/>
        </w:rPr>
        <w:t>are:</w:t>
      </w:r>
      <w:proofErr w:type="gramEnd"/>
      <w:r>
        <w:rPr>
          <w:rFonts w:ascii="Quattrocento Sans" w:eastAsia="Quattrocento Sans" w:hAnsi="Quattrocento Sans" w:cs="Quattrocento Sans"/>
        </w:rPr>
        <w:t xml:space="preserve"> prejudice and negligence from authorities, stereotypes, revictimization, criminalization of same-sex relations, lack of gender recognition for trans women, improper evaluation of evidence, few and inadequate protection measures, impunity and delays in judicial processes. </w:t>
      </w:r>
    </w:p>
    <w:p w14:paraId="4D90178B" w14:textId="77777777" w:rsidR="0023733D" w:rsidRDefault="00301E53">
      <w:pPr>
        <w:pStyle w:val="Ttulo2"/>
        <w:rPr>
          <w:rFonts w:ascii="Quattrocento Sans" w:eastAsia="Quattrocento Sans" w:hAnsi="Quattrocento Sans" w:cs="Quattrocento Sans"/>
          <w:b/>
          <w:sz w:val="24"/>
          <w:szCs w:val="24"/>
        </w:rPr>
      </w:pPr>
      <w:bookmarkStart w:id="4" w:name="_Toc92478406"/>
      <w:r>
        <w:rPr>
          <w:rFonts w:ascii="Quattrocento Sans" w:eastAsia="Quattrocento Sans" w:hAnsi="Quattrocento Sans" w:cs="Quattrocento Sans"/>
          <w:b/>
          <w:sz w:val="24"/>
          <w:szCs w:val="24"/>
        </w:rPr>
        <w:t>Case Examples</w:t>
      </w:r>
      <w:bookmarkEnd w:id="4"/>
    </w:p>
    <w:p w14:paraId="2BE412B4" w14:textId="77777777" w:rsidR="0023733D" w:rsidRDefault="0023733D">
      <w:pPr>
        <w:rPr>
          <w:rFonts w:ascii="Quattrocento Sans" w:eastAsia="Quattrocento Sans" w:hAnsi="Quattrocento Sans" w:cs="Quattrocento Sans"/>
        </w:rPr>
      </w:pPr>
    </w:p>
    <w:p w14:paraId="67AE49BF" w14:textId="353D7554" w:rsidR="0023733D" w:rsidRDefault="00301E53">
      <w:pPr>
        <w:jc w:val="both"/>
        <w:rPr>
          <w:rFonts w:ascii="Quattrocento Sans" w:eastAsia="Quattrocento Sans" w:hAnsi="Quattrocento Sans" w:cs="Quattrocento Sans"/>
        </w:rPr>
      </w:pPr>
      <w:r>
        <w:rPr>
          <w:rFonts w:ascii="Quattrocento Sans" w:eastAsia="Quattrocento Sans" w:hAnsi="Quattrocento Sans" w:cs="Quattrocento Sans"/>
        </w:rPr>
        <w:t>6.</w:t>
      </w:r>
      <w:r>
        <w:rPr>
          <w:rFonts w:ascii="Quattrocento Sans" w:eastAsia="Quattrocento Sans" w:hAnsi="Quattrocento Sans" w:cs="Quattrocento Sans"/>
          <w:b/>
        </w:rPr>
        <w:t xml:space="preserve"> A</w:t>
      </w:r>
      <w:r w:rsidR="00833492">
        <w:rPr>
          <w:rFonts w:ascii="Quattrocento Sans" w:eastAsia="Quattrocento Sans" w:hAnsi="Quattrocento Sans" w:cs="Quattrocento Sans"/>
          <w:b/>
        </w:rPr>
        <w:t>.</w:t>
      </w:r>
      <w:r>
        <w:rPr>
          <w:rFonts w:ascii="Quattrocento Sans" w:eastAsia="Quattrocento Sans" w:hAnsi="Quattrocento Sans" w:cs="Quattrocento Sans"/>
          <w:b/>
        </w:rPr>
        <w:t>R</w:t>
      </w:r>
      <w:r w:rsidR="00833492">
        <w:rPr>
          <w:rFonts w:ascii="Quattrocento Sans" w:eastAsia="Quattrocento Sans" w:hAnsi="Quattrocento Sans" w:cs="Quattrocento Sans"/>
          <w:b/>
        </w:rPr>
        <w:t>.</w:t>
      </w:r>
      <w:r>
        <w:rPr>
          <w:rFonts w:ascii="Quattrocento Sans" w:eastAsia="Quattrocento Sans" w:hAnsi="Quattrocento Sans" w:cs="Quattrocento Sans"/>
          <w:b/>
        </w:rPr>
        <w:t>M</w:t>
      </w:r>
      <w:r w:rsidR="00833492">
        <w:rPr>
          <w:rFonts w:ascii="Quattrocento Sans" w:eastAsia="Quattrocento Sans" w:hAnsi="Quattrocento Sans" w:cs="Quattrocento Sans"/>
          <w:b/>
        </w:rPr>
        <w:t>.</w:t>
      </w:r>
      <w:r>
        <w:rPr>
          <w:rFonts w:ascii="Quattrocento Sans" w:eastAsia="Quattrocento Sans" w:hAnsi="Quattrocento Sans" w:cs="Quattrocento Sans"/>
        </w:rPr>
        <w:t xml:space="preserve"> (2008) is a transgender woman who was illegally and arbitrarily detained by </w:t>
      </w:r>
      <w:proofErr w:type="spellStart"/>
      <w:r>
        <w:rPr>
          <w:rFonts w:ascii="Quattrocento Sans" w:eastAsia="Quattrocento Sans" w:hAnsi="Quattrocento Sans" w:cs="Quattrocento Sans"/>
        </w:rPr>
        <w:t>serenazgo</w:t>
      </w:r>
      <w:proofErr w:type="spellEnd"/>
      <w:r>
        <w:rPr>
          <w:rFonts w:ascii="Quattrocento Sans" w:eastAsia="Quattrocento Sans" w:hAnsi="Quattrocento Sans" w:cs="Quattrocento Sans"/>
        </w:rPr>
        <w:t xml:space="preserve"> personnel when she was on her way home in the early morning of February 25, 2008. During her stay at the police station, she was beaten and verbally abused, and then she was forcibly stripped naked and tortured. Given the ineffectiveness of the justice system and the unnecessary delays, she turned to the IACHR (the Commission), sustaining the exception of exhaustion of domestic remedies.</w:t>
      </w:r>
      <w:r>
        <w:rPr>
          <w:rFonts w:ascii="Quattrocento Sans" w:eastAsia="Quattrocento Sans" w:hAnsi="Quattrocento Sans" w:cs="Quattrocento Sans"/>
          <w:vertAlign w:val="superscript"/>
        </w:rPr>
        <w:footnoteReference w:id="8"/>
      </w:r>
      <w:r>
        <w:rPr>
          <w:rFonts w:ascii="Quattrocento Sans" w:eastAsia="Quattrocento Sans" w:hAnsi="Quattrocento Sans" w:cs="Quattrocento Sans"/>
        </w:rPr>
        <w:t xml:space="preserve"> On August 27, 2018, the IACHR presented the case before the Inter-American Court of Human Rights for severe acts of physical and psychological violence and sexual violation against </w:t>
      </w:r>
      <w:r w:rsidRPr="00833492">
        <w:rPr>
          <w:rFonts w:ascii="Quattrocento Sans" w:eastAsia="Quattrocento Sans" w:hAnsi="Quattrocento Sans" w:cs="Quattrocento Sans"/>
          <w:b/>
          <w:bCs/>
        </w:rPr>
        <w:t>A</w:t>
      </w:r>
      <w:r w:rsidR="00833492" w:rsidRPr="00833492">
        <w:rPr>
          <w:rFonts w:ascii="Quattrocento Sans" w:eastAsia="Quattrocento Sans" w:hAnsi="Quattrocento Sans" w:cs="Quattrocento Sans"/>
          <w:b/>
          <w:bCs/>
        </w:rPr>
        <w:t>.R.M</w:t>
      </w:r>
      <w:r w:rsidRPr="00833492">
        <w:rPr>
          <w:rFonts w:ascii="Quattrocento Sans" w:eastAsia="Quattrocento Sans" w:hAnsi="Quattrocento Sans" w:cs="Quattrocento Sans"/>
          <w:b/>
          <w:bCs/>
        </w:rPr>
        <w:t>.</w:t>
      </w:r>
      <w:r>
        <w:rPr>
          <w:rFonts w:ascii="Quattrocento Sans" w:eastAsia="Quattrocento Sans" w:hAnsi="Quattrocento Sans" w:cs="Quattrocento Sans"/>
        </w:rPr>
        <w:t xml:space="preserve"> Although in March 2020, the IACHR Court declared the Peruvian State responsible for this case, the officials who obstructed investigations based on prejudicial actions have yet to be prosecuted, and the reparations ordered by the Court, such as the adoption of investigation and trial protocols for these cases, have not been complied with.</w:t>
      </w:r>
      <w:r>
        <w:rPr>
          <w:rFonts w:ascii="Quattrocento Sans" w:eastAsia="Quattrocento Sans" w:hAnsi="Quattrocento Sans" w:cs="Quattrocento Sans"/>
          <w:vertAlign w:val="superscript"/>
        </w:rPr>
        <w:footnoteReference w:id="9"/>
      </w:r>
      <w:r>
        <w:rPr>
          <w:rFonts w:ascii="Quattrocento Sans" w:eastAsia="Quattrocento Sans" w:hAnsi="Quattrocento Sans" w:cs="Quattrocento Sans"/>
        </w:rPr>
        <w:t xml:space="preserve"> </w:t>
      </w:r>
    </w:p>
    <w:p w14:paraId="245013BB" w14:textId="5F5BEBA0" w:rsidR="0023733D" w:rsidRDefault="00301E53">
      <w:pPr>
        <w:jc w:val="both"/>
        <w:rPr>
          <w:rFonts w:ascii="Quattrocento Sans" w:eastAsia="Quattrocento Sans" w:hAnsi="Quattrocento Sans" w:cs="Quattrocento Sans"/>
          <w:vertAlign w:val="superscript"/>
        </w:rPr>
      </w:pPr>
      <w:r>
        <w:rPr>
          <w:rFonts w:ascii="Quattrocento Sans" w:eastAsia="Quattrocento Sans" w:hAnsi="Quattrocento Sans" w:cs="Quattrocento Sans"/>
        </w:rPr>
        <w:lastRenderedPageBreak/>
        <w:t>7</w:t>
      </w:r>
      <w:r>
        <w:rPr>
          <w:rFonts w:ascii="Quattrocento Sans" w:eastAsia="Quattrocento Sans" w:hAnsi="Quattrocento Sans" w:cs="Quattrocento Sans"/>
          <w:b/>
        </w:rPr>
        <w:t>. Y</w:t>
      </w:r>
      <w:r w:rsidR="00833492">
        <w:rPr>
          <w:rFonts w:ascii="Quattrocento Sans" w:eastAsia="Quattrocento Sans" w:hAnsi="Quattrocento Sans" w:cs="Quattrocento Sans"/>
          <w:b/>
        </w:rPr>
        <w:t xml:space="preserve">. </w:t>
      </w:r>
      <w:r>
        <w:rPr>
          <w:rFonts w:ascii="Quattrocento Sans" w:eastAsia="Quattrocento Sans" w:hAnsi="Quattrocento Sans" w:cs="Quattrocento Sans"/>
          <w:b/>
        </w:rPr>
        <w:t>P</w:t>
      </w:r>
      <w:r>
        <w:rPr>
          <w:rFonts w:ascii="Quattrocento Sans" w:eastAsia="Quattrocento Sans" w:hAnsi="Quattrocento Sans" w:cs="Quattrocento Sans"/>
        </w:rPr>
        <w:t xml:space="preserve"> is a trans woman who was attacked by five individuals and suffered torture due to her gender expression and identity. In this </w:t>
      </w:r>
      <w:proofErr w:type="gramStart"/>
      <w:r>
        <w:rPr>
          <w:rFonts w:ascii="Quattrocento Sans" w:eastAsia="Quattrocento Sans" w:hAnsi="Quattrocento Sans" w:cs="Quattrocento Sans"/>
        </w:rPr>
        <w:t>particular case</w:t>
      </w:r>
      <w:proofErr w:type="gramEnd"/>
      <w:r>
        <w:rPr>
          <w:rFonts w:ascii="Quattrocento Sans" w:eastAsia="Quattrocento Sans" w:hAnsi="Quattrocento Sans" w:cs="Quattrocento Sans"/>
        </w:rPr>
        <w:t xml:space="preserve">, it was noteworthy that the Police officers' indifference prevented them from arresting and identifying her aggressors. Moreover, the health staff at the hospital she was taken to was indifferent to her physical state despite needing urgent attention. Though </w:t>
      </w:r>
      <w:r w:rsidRPr="00833492">
        <w:rPr>
          <w:rFonts w:ascii="Quattrocento Sans" w:eastAsia="Quattrocento Sans" w:hAnsi="Quattrocento Sans" w:cs="Quattrocento Sans"/>
          <w:b/>
          <w:bCs/>
        </w:rPr>
        <w:t>Y</w:t>
      </w:r>
      <w:r w:rsidR="00833492" w:rsidRPr="00833492">
        <w:rPr>
          <w:rFonts w:ascii="Quattrocento Sans" w:eastAsia="Quattrocento Sans" w:hAnsi="Quattrocento Sans" w:cs="Quattrocento Sans"/>
          <w:b/>
          <w:bCs/>
        </w:rPr>
        <w:t>.P</w:t>
      </w:r>
      <w:r>
        <w:rPr>
          <w:rFonts w:ascii="Quattrocento Sans" w:eastAsia="Quattrocento Sans" w:hAnsi="Quattrocento Sans" w:cs="Quattrocento Sans"/>
        </w:rPr>
        <w:t xml:space="preserve"> filed criminal complaints to the relevant authorities, she did not find justice internally. Given this, </w:t>
      </w:r>
      <w:proofErr w:type="spellStart"/>
      <w:r>
        <w:rPr>
          <w:rFonts w:ascii="Quattrocento Sans" w:eastAsia="Quattrocento Sans" w:hAnsi="Quattrocento Sans" w:cs="Quattrocento Sans"/>
        </w:rPr>
        <w:t>Promsex</w:t>
      </w:r>
      <w:proofErr w:type="spellEnd"/>
      <w:r>
        <w:rPr>
          <w:rFonts w:ascii="Quattrocento Sans" w:eastAsia="Quattrocento Sans" w:hAnsi="Quattrocento Sans" w:cs="Quattrocento Sans"/>
        </w:rPr>
        <w:t xml:space="preserve">, alongside other organizations, have submitted a petition to the UN Human Rights Committee, on behalf of </w:t>
      </w:r>
      <w:r w:rsidRPr="00833492">
        <w:rPr>
          <w:rFonts w:ascii="Quattrocento Sans" w:eastAsia="Quattrocento Sans" w:hAnsi="Quattrocento Sans" w:cs="Quattrocento Sans"/>
          <w:b/>
          <w:bCs/>
        </w:rPr>
        <w:t>Y</w:t>
      </w:r>
      <w:r w:rsidR="00833492" w:rsidRPr="00833492">
        <w:rPr>
          <w:rFonts w:ascii="Quattrocento Sans" w:eastAsia="Quattrocento Sans" w:hAnsi="Quattrocento Sans" w:cs="Quattrocento Sans"/>
          <w:b/>
          <w:bCs/>
        </w:rPr>
        <w:t>.P</w:t>
      </w:r>
      <w:r w:rsidRPr="00833492">
        <w:rPr>
          <w:rFonts w:ascii="Quattrocento Sans" w:eastAsia="Quattrocento Sans" w:hAnsi="Quattrocento Sans" w:cs="Quattrocento Sans"/>
          <w:b/>
          <w:bCs/>
        </w:rPr>
        <w:t xml:space="preserve">, </w:t>
      </w:r>
      <w:r>
        <w:rPr>
          <w:rFonts w:ascii="Quattrocento Sans" w:eastAsia="Quattrocento Sans" w:hAnsi="Quattrocento Sans" w:cs="Quattrocento Sans"/>
        </w:rPr>
        <w:t>requiring the State to make full reparation for the harm caused to her.</w:t>
      </w:r>
      <w:r>
        <w:rPr>
          <w:rFonts w:ascii="Quattrocento Sans" w:eastAsia="Quattrocento Sans" w:hAnsi="Quattrocento Sans" w:cs="Quattrocento Sans"/>
          <w:vertAlign w:val="superscript"/>
        </w:rPr>
        <w:footnoteReference w:id="10"/>
      </w:r>
    </w:p>
    <w:p w14:paraId="2F11C3A1" w14:textId="30D0F86D" w:rsidR="0023733D" w:rsidRDefault="00301E53">
      <w:pPr>
        <w:jc w:val="both"/>
        <w:rPr>
          <w:rFonts w:ascii="Quattrocento Sans" w:eastAsia="Quattrocento Sans" w:hAnsi="Quattrocento Sans" w:cs="Quattrocento Sans"/>
        </w:rPr>
      </w:pPr>
      <w:r>
        <w:rPr>
          <w:rFonts w:ascii="Quattrocento Sans" w:eastAsia="Quattrocento Sans" w:hAnsi="Quattrocento Sans" w:cs="Quattrocento Sans"/>
        </w:rPr>
        <w:t xml:space="preserve">8. </w:t>
      </w:r>
      <w:r>
        <w:rPr>
          <w:rFonts w:ascii="Quattrocento Sans" w:eastAsia="Quattrocento Sans" w:hAnsi="Quattrocento Sans" w:cs="Quattrocento Sans"/>
          <w:b/>
        </w:rPr>
        <w:t>E</w:t>
      </w:r>
      <w:r w:rsidR="00833492">
        <w:rPr>
          <w:rFonts w:ascii="Quattrocento Sans" w:eastAsia="Quattrocento Sans" w:hAnsi="Quattrocento Sans" w:cs="Quattrocento Sans"/>
          <w:b/>
        </w:rPr>
        <w:t xml:space="preserve">. </w:t>
      </w:r>
      <w:r>
        <w:rPr>
          <w:rFonts w:ascii="Quattrocento Sans" w:eastAsia="Quattrocento Sans" w:hAnsi="Quattrocento Sans" w:cs="Quattrocento Sans"/>
        </w:rPr>
        <w:t>is a young intersex man</w:t>
      </w:r>
      <w:r>
        <w:rPr>
          <w:rFonts w:ascii="Quattrocento Sans" w:eastAsia="Quattrocento Sans" w:hAnsi="Quattrocento Sans" w:cs="Quattrocento Sans"/>
          <w:vertAlign w:val="superscript"/>
        </w:rPr>
        <w:footnoteReference w:id="11"/>
      </w:r>
      <w:r>
        <w:rPr>
          <w:rFonts w:ascii="Quattrocento Sans" w:eastAsia="Quattrocento Sans" w:hAnsi="Quattrocento Sans" w:cs="Quattrocento Sans"/>
        </w:rPr>
        <w:t xml:space="preserve"> who at the time of his birth, was registered with a "female" name and gender.</w:t>
      </w:r>
      <w:r w:rsidRPr="00833492">
        <w:rPr>
          <w:rFonts w:ascii="Quattrocento Sans" w:eastAsia="Quattrocento Sans" w:hAnsi="Quattrocento Sans" w:cs="Quattrocento Sans"/>
          <w:b/>
          <w:bCs/>
        </w:rPr>
        <w:t xml:space="preserve"> E</w:t>
      </w:r>
      <w:r w:rsidR="00833492">
        <w:rPr>
          <w:rFonts w:ascii="Quattrocento Sans" w:eastAsia="Quattrocento Sans" w:hAnsi="Quattrocento Sans" w:cs="Quattrocento Sans"/>
        </w:rPr>
        <w:t>.</w:t>
      </w:r>
      <w:r>
        <w:rPr>
          <w:rFonts w:ascii="Quattrocento Sans" w:eastAsia="Quattrocento Sans" w:hAnsi="Quattrocento Sans" w:cs="Quattrocento Sans"/>
        </w:rPr>
        <w:t xml:space="preserve"> was treated as such throughout his childhood and adolescence, even though he identified as male. This legal imposition of gender has meant a serious obstacle in accessing health services. For instance, being deprived of access to the required tests and specialized care, even though he presented acute pain and risk of testicular cancer. Regarding this case, it is relevant to highlight that one claim for the change of name registrations has been brought to the Constitutional Court and it is awaiting the hearing of the case, which generates concern since there are negative precedents </w:t>
      </w:r>
      <w:r w:rsidR="00833492">
        <w:rPr>
          <w:rFonts w:ascii="Quattrocento Sans" w:eastAsia="Quattrocento Sans" w:hAnsi="Quattrocento Sans" w:cs="Quattrocento Sans"/>
        </w:rPr>
        <w:t>–</w:t>
      </w:r>
      <w:r>
        <w:rPr>
          <w:rFonts w:ascii="Quattrocento Sans" w:eastAsia="Quattrocento Sans" w:hAnsi="Quattrocento Sans" w:cs="Quattrocento Sans"/>
        </w:rPr>
        <w:t xml:space="preserve"> </w:t>
      </w:r>
      <w:r w:rsidRPr="00833492">
        <w:rPr>
          <w:rFonts w:ascii="Quattrocento Sans" w:eastAsia="Quattrocento Sans" w:hAnsi="Quattrocento Sans" w:cs="Quattrocento Sans"/>
          <w:b/>
          <w:bCs/>
        </w:rPr>
        <w:t>U</w:t>
      </w:r>
      <w:r w:rsidR="00833492" w:rsidRPr="00833492">
        <w:rPr>
          <w:rFonts w:ascii="Quattrocento Sans" w:eastAsia="Quattrocento Sans" w:hAnsi="Quattrocento Sans" w:cs="Quattrocento Sans"/>
          <w:b/>
          <w:bCs/>
        </w:rPr>
        <w:t>.</w:t>
      </w:r>
      <w:r>
        <w:rPr>
          <w:rFonts w:ascii="Quattrocento Sans" w:eastAsia="Quattrocento Sans" w:hAnsi="Quattrocento Sans" w:cs="Quattrocento Sans"/>
        </w:rPr>
        <w:t xml:space="preserve"> case</w:t>
      </w:r>
      <w:r>
        <w:rPr>
          <w:rFonts w:ascii="Quattrocento Sans" w:eastAsia="Quattrocento Sans" w:hAnsi="Quattrocento Sans" w:cs="Quattrocento Sans"/>
          <w:vertAlign w:val="superscript"/>
        </w:rPr>
        <w:footnoteReference w:id="12"/>
      </w:r>
      <w:r>
        <w:rPr>
          <w:rFonts w:ascii="Quattrocento Sans" w:eastAsia="Quattrocento Sans" w:hAnsi="Quattrocento Sans" w:cs="Quattrocento Sans"/>
        </w:rPr>
        <w:t xml:space="preserve"> - and the conservative position of some members of the Constitutional Court is evident.</w:t>
      </w:r>
      <w:r>
        <w:rPr>
          <w:rFonts w:ascii="Quattrocento Sans" w:eastAsia="Quattrocento Sans" w:hAnsi="Quattrocento Sans" w:cs="Quattrocento Sans"/>
          <w:vertAlign w:val="superscript"/>
        </w:rPr>
        <w:footnoteReference w:id="13"/>
      </w:r>
    </w:p>
    <w:p w14:paraId="578AB108" w14:textId="77777777" w:rsidR="0023733D" w:rsidRDefault="00301E53">
      <w:pPr>
        <w:jc w:val="both"/>
        <w:rPr>
          <w:rFonts w:ascii="Quattrocento Sans" w:eastAsia="Quattrocento Sans" w:hAnsi="Quattrocento Sans" w:cs="Quattrocento Sans"/>
        </w:rPr>
      </w:pPr>
      <w:r>
        <w:rPr>
          <w:rFonts w:ascii="Quattrocento Sans" w:eastAsia="Quattrocento Sans" w:hAnsi="Quattrocento Sans" w:cs="Quattrocento Sans"/>
        </w:rPr>
        <w:t xml:space="preserve">9. On January 6, 2017, Legislative Decree No. 1323 was approved, a document that strengthened the fight against femicide, family violence, and gender violence, whereby amendments were incorporated to Article 46 (attenuation and aggravating circumstances) and 323 (Crime of Discrimination) in order to punish </w:t>
      </w:r>
      <w:r w:rsidR="00D35639">
        <w:rPr>
          <w:rFonts w:ascii="Quattrocento Sans" w:eastAsia="Quattrocento Sans" w:hAnsi="Quattrocento Sans" w:cs="Quattrocento Sans"/>
        </w:rPr>
        <w:t xml:space="preserve">and implement penalties for </w:t>
      </w:r>
      <w:r>
        <w:rPr>
          <w:rFonts w:ascii="Quattrocento Sans" w:eastAsia="Quattrocento Sans" w:hAnsi="Quattrocento Sans" w:cs="Quattrocento Sans"/>
        </w:rPr>
        <w:t>gender violence motivated by discrimination based on SOGI.</w:t>
      </w:r>
      <w:r>
        <w:rPr>
          <w:rFonts w:ascii="Quattrocento Sans" w:eastAsia="Quattrocento Sans" w:hAnsi="Quattrocento Sans" w:cs="Quattrocento Sans"/>
          <w:vertAlign w:val="superscript"/>
        </w:rPr>
        <w:footnoteReference w:id="14"/>
      </w:r>
      <w:sdt>
        <w:sdtPr>
          <w:tag w:val="goog_rdk_0"/>
          <w:id w:val="-1487853415"/>
        </w:sdtPr>
        <w:sdtEndPr/>
        <w:sdtContent/>
      </w:sdt>
      <w:sdt>
        <w:sdtPr>
          <w:tag w:val="goog_rdk_1"/>
          <w:id w:val="-830298442"/>
        </w:sdtPr>
        <w:sdtEndPr/>
        <w:sdtContent>
          <w:r w:rsidR="00D35639">
            <w:t xml:space="preserve"> </w:t>
          </w:r>
        </w:sdtContent>
      </w:sdt>
      <w:r>
        <w:rPr>
          <w:rFonts w:ascii="Quattrocento Sans" w:eastAsia="Quattrocento Sans" w:hAnsi="Quattrocento Sans" w:cs="Quattrocento Sans"/>
        </w:rPr>
        <w:t>Currently, this Legislative Decree is in force</w:t>
      </w:r>
      <w:r w:rsidR="00D35639">
        <w:rPr>
          <w:rFonts w:ascii="Quattrocento Sans" w:eastAsia="Quattrocento Sans" w:hAnsi="Quattrocento Sans" w:cs="Quattrocento Sans"/>
        </w:rPr>
        <w:t xml:space="preserve">; </w:t>
      </w:r>
      <w:r>
        <w:rPr>
          <w:rFonts w:ascii="Quattrocento Sans" w:eastAsia="Quattrocento Sans" w:hAnsi="Quattrocento Sans" w:cs="Quattrocento Sans"/>
        </w:rPr>
        <w:t>however, on April 04, 2017, the Commission of Constitution and Regulations of the Congress of the Republic voted to recommend the partial repeal of the Decree No.1323, stating</w:t>
      </w:r>
      <w:r w:rsidR="00D35639">
        <w:rPr>
          <w:rFonts w:ascii="Quattrocento Sans" w:eastAsia="Quattrocento Sans" w:hAnsi="Quattrocento Sans" w:cs="Quattrocento Sans"/>
        </w:rPr>
        <w:t xml:space="preserve"> that violence against LGBTI individuals</w:t>
      </w:r>
      <w:r>
        <w:rPr>
          <w:rFonts w:ascii="Quattrocento Sans" w:eastAsia="Quattrocento Sans" w:hAnsi="Quattrocento Sans" w:cs="Quattrocento Sans"/>
        </w:rPr>
        <w:t xml:space="preserve"> cannot be considered as gender violence and that the prohibition of discrimination against LGBTI persons is a "controversial" issue.</w:t>
      </w:r>
    </w:p>
    <w:p w14:paraId="7EB66CEC" w14:textId="77777777" w:rsidR="0023733D" w:rsidRDefault="00D35639">
      <w:pPr>
        <w:jc w:val="both"/>
        <w:rPr>
          <w:rFonts w:ascii="Quattrocento Sans" w:eastAsia="Quattrocento Sans" w:hAnsi="Quattrocento Sans" w:cs="Quattrocento Sans"/>
        </w:rPr>
      </w:pPr>
      <w:r>
        <w:rPr>
          <w:rFonts w:ascii="Quattrocento Sans" w:eastAsia="Quattrocento Sans" w:hAnsi="Quattrocento Sans" w:cs="Quattrocento Sans"/>
        </w:rPr>
        <w:t>10</w:t>
      </w:r>
      <w:r w:rsidR="00301E53">
        <w:rPr>
          <w:rFonts w:ascii="Quattrocento Sans" w:eastAsia="Quattrocento Sans" w:hAnsi="Quattrocento Sans" w:cs="Quattrocento Sans"/>
        </w:rPr>
        <w:t xml:space="preserve">. In addition, it is also of concern that the murders of trans women are not investigated on suspicion of femicide, due to the application of the Plenary Agreement No. 001-2016/J-116 of the Peruvian Judiciary, which poses a restrictive interpretation of the passive subject of the crime, establishing that only women "in the biological sense" can be victims of femicide, excluding trans and intersex women. </w:t>
      </w:r>
    </w:p>
    <w:p w14:paraId="377DA4F4" w14:textId="77777777" w:rsidR="0023733D" w:rsidRDefault="00301E53">
      <w:pPr>
        <w:pStyle w:val="Ttulo1"/>
        <w:numPr>
          <w:ilvl w:val="0"/>
          <w:numId w:val="3"/>
        </w:numPr>
        <w:rPr>
          <w:rFonts w:ascii="Quattrocento Sans" w:eastAsia="Quattrocento Sans" w:hAnsi="Quattrocento Sans" w:cs="Quattrocento Sans"/>
          <w:b/>
          <w:sz w:val="24"/>
          <w:szCs w:val="24"/>
        </w:rPr>
      </w:pPr>
      <w:bookmarkStart w:id="5" w:name="_Toc92478407"/>
      <w:r>
        <w:rPr>
          <w:rFonts w:ascii="Quattrocento Sans" w:eastAsia="Quattrocento Sans" w:hAnsi="Quattrocento Sans" w:cs="Quattrocento Sans"/>
          <w:b/>
          <w:sz w:val="24"/>
          <w:szCs w:val="24"/>
        </w:rPr>
        <w:t>Institutional violence against LBTI+ women during the health emergency of COVID 19 (CEDAW- Article 12)</w:t>
      </w:r>
      <w:bookmarkEnd w:id="5"/>
    </w:p>
    <w:p w14:paraId="6A2DEAFF" w14:textId="77777777" w:rsidR="0023733D" w:rsidRDefault="0023733D">
      <w:pPr>
        <w:jc w:val="both"/>
        <w:rPr>
          <w:rFonts w:ascii="Quattrocento Sans" w:eastAsia="Quattrocento Sans" w:hAnsi="Quattrocento Sans" w:cs="Quattrocento Sans"/>
        </w:rPr>
      </w:pPr>
    </w:p>
    <w:p w14:paraId="7E9D27FA" w14:textId="77777777" w:rsidR="0023733D" w:rsidRDefault="00D35639">
      <w:pPr>
        <w:jc w:val="both"/>
        <w:rPr>
          <w:rFonts w:ascii="Quattrocento Sans" w:eastAsia="Quattrocento Sans" w:hAnsi="Quattrocento Sans" w:cs="Quattrocento Sans"/>
        </w:rPr>
      </w:pPr>
      <w:r>
        <w:rPr>
          <w:rFonts w:ascii="Quattrocento Sans" w:eastAsia="Quattrocento Sans" w:hAnsi="Quattrocento Sans" w:cs="Quattrocento Sans"/>
        </w:rPr>
        <w:t>11</w:t>
      </w:r>
      <w:r w:rsidR="00301E53">
        <w:rPr>
          <w:rFonts w:ascii="Quattrocento Sans" w:eastAsia="Quattrocento Sans" w:hAnsi="Quattrocento Sans" w:cs="Quattrocento Sans"/>
        </w:rPr>
        <w:t xml:space="preserve">. During the global health crisis caused by COVID-19, the LGTBI community has been deeply affected in Peru and has a higher rate of violence and discrimination than usual. As a result of the COVID-19 health emergency, the Executive Power issued the Supreme Decree No. 044-2020-PCM, </w:t>
      </w:r>
      <w:r w:rsidR="00301E53">
        <w:rPr>
          <w:rFonts w:ascii="Quattrocento Sans" w:eastAsia="Quattrocento Sans" w:hAnsi="Quattrocento Sans" w:cs="Quattrocento Sans"/>
        </w:rPr>
        <w:lastRenderedPageBreak/>
        <w:t>where it established the suspension of the exercise of constitutional rights, among others, to free transit, allowing the intervention of the National Police and the Armed Forces in the verification of compliance with the provisions. In addition to this norm, On April 2, Supreme Decree N° 057-2020-PCM was approved, which established the "differentiated outdoor activities by gender"</w:t>
      </w:r>
      <w:r w:rsidR="00301E53">
        <w:rPr>
          <w:rFonts w:ascii="Quattrocento Sans" w:eastAsia="Quattrocento Sans" w:hAnsi="Quattrocento Sans" w:cs="Quattrocento Sans"/>
          <w:vertAlign w:val="superscript"/>
        </w:rPr>
        <w:footnoteReference w:id="15"/>
      </w:r>
      <w:r w:rsidR="00301E53">
        <w:rPr>
          <w:rFonts w:ascii="Quattrocento Sans" w:eastAsia="Quattrocento Sans" w:hAnsi="Quattrocento Sans" w:cs="Quattrocento Sans"/>
        </w:rPr>
        <w:t xml:space="preserve"> to acquire food, pharmaceutical products, and financial procedures. This Decree established that men could go out on days: Monday, Wednesday, and Friday; and women: Tuesday, Thursday, and Saturday. </w:t>
      </w:r>
    </w:p>
    <w:p w14:paraId="6E139EE0" w14:textId="77777777" w:rsidR="0023733D" w:rsidRDefault="00D35639">
      <w:pPr>
        <w:jc w:val="both"/>
        <w:rPr>
          <w:rFonts w:ascii="Quattrocento Sans" w:eastAsia="Quattrocento Sans" w:hAnsi="Quattrocento Sans" w:cs="Quattrocento Sans"/>
        </w:rPr>
      </w:pPr>
      <w:r>
        <w:rPr>
          <w:rFonts w:ascii="Quattrocento Sans" w:eastAsia="Quattrocento Sans" w:hAnsi="Quattrocento Sans" w:cs="Quattrocento Sans"/>
        </w:rPr>
        <w:t>12</w:t>
      </w:r>
      <w:r w:rsidR="00301E53">
        <w:rPr>
          <w:rFonts w:ascii="Quattrocento Sans" w:eastAsia="Quattrocento Sans" w:hAnsi="Quattrocento Sans" w:cs="Quattrocento Sans"/>
        </w:rPr>
        <w:t xml:space="preserve">. This measure aggravated situations of discrimination and violence against trans women. PNP and Armed Forces personnel intervened and exercised violence against transgender people while going out of their homes. Likewise, staff of shopping malls did not allow them access because they were out the day that allegedly does not correspond to the sex indicated on their National Identity Card. As a result, many trans women were victims of humiliating treatment, mockery, insults, and sanctions. </w:t>
      </w:r>
    </w:p>
    <w:p w14:paraId="01C2D75D" w14:textId="77777777" w:rsidR="0023733D" w:rsidRDefault="00D35639">
      <w:pPr>
        <w:jc w:val="both"/>
        <w:rPr>
          <w:rFonts w:ascii="Quattrocento Sans" w:eastAsia="Quattrocento Sans" w:hAnsi="Quattrocento Sans" w:cs="Quattrocento Sans"/>
        </w:rPr>
      </w:pPr>
      <w:r>
        <w:rPr>
          <w:rFonts w:ascii="Quattrocento Sans" w:eastAsia="Quattrocento Sans" w:hAnsi="Quattrocento Sans" w:cs="Quattrocento Sans"/>
        </w:rPr>
        <w:t>13</w:t>
      </w:r>
      <w:r w:rsidR="00301E53">
        <w:rPr>
          <w:rFonts w:ascii="Quattrocento Sans" w:eastAsia="Quattrocento Sans" w:hAnsi="Quattrocento Sans" w:cs="Quattrocento Sans"/>
        </w:rPr>
        <w:t>. While this gender-differentiated outdoor measure was in force, 10 cases were reported nationwide. One of them occurred on April 4 in Bellavista-Callao. Three trans women denounced having received humiliating treatment by police officers of the Bellavista Police Station, who, abusing their power, forced them to jump like frogs and shout, "I want to be a man".</w:t>
      </w:r>
      <w:r w:rsidR="00301E53">
        <w:rPr>
          <w:rFonts w:ascii="Quattrocento Sans" w:eastAsia="Quattrocento Sans" w:hAnsi="Quattrocento Sans" w:cs="Quattrocento Sans"/>
          <w:vertAlign w:val="superscript"/>
        </w:rPr>
        <w:footnoteReference w:id="16"/>
      </w:r>
    </w:p>
    <w:p w14:paraId="2ACCB220" w14:textId="77777777" w:rsidR="0023733D" w:rsidRDefault="0023733D">
      <w:pPr>
        <w:jc w:val="both"/>
        <w:rPr>
          <w:rFonts w:ascii="Quattrocento Sans" w:eastAsia="Quattrocento Sans" w:hAnsi="Quattrocento Sans" w:cs="Quattrocento Sans"/>
        </w:rPr>
      </w:pPr>
    </w:p>
    <w:p w14:paraId="09DA36F8" w14:textId="77777777" w:rsidR="0023733D" w:rsidRDefault="00301E53">
      <w:pPr>
        <w:pStyle w:val="Ttulo1"/>
        <w:numPr>
          <w:ilvl w:val="0"/>
          <w:numId w:val="3"/>
        </w:numPr>
        <w:rPr>
          <w:rFonts w:ascii="Quattrocento Sans" w:eastAsia="Quattrocento Sans" w:hAnsi="Quattrocento Sans" w:cs="Quattrocento Sans"/>
          <w:b/>
          <w:sz w:val="24"/>
          <w:szCs w:val="24"/>
        </w:rPr>
      </w:pPr>
      <w:bookmarkStart w:id="6" w:name="_Toc92478408"/>
      <w:r>
        <w:rPr>
          <w:rFonts w:ascii="Quattrocento Sans" w:eastAsia="Quattrocento Sans" w:hAnsi="Quattrocento Sans" w:cs="Quattrocento Sans"/>
          <w:b/>
          <w:sz w:val="24"/>
          <w:szCs w:val="24"/>
        </w:rPr>
        <w:t>Discrimination in the civil regulation of LGBTI partnerships and the protection of their families (CEDAW – Article 16)</w:t>
      </w:r>
      <w:bookmarkEnd w:id="6"/>
    </w:p>
    <w:p w14:paraId="137B7B33" w14:textId="77777777" w:rsidR="0023733D" w:rsidRDefault="0023733D">
      <w:pPr>
        <w:jc w:val="both"/>
        <w:rPr>
          <w:rFonts w:ascii="Quattrocento Sans" w:eastAsia="Quattrocento Sans" w:hAnsi="Quattrocento Sans" w:cs="Quattrocento Sans"/>
        </w:rPr>
      </w:pPr>
    </w:p>
    <w:p w14:paraId="0332025D" w14:textId="77777777" w:rsidR="0023733D" w:rsidRDefault="00D35639">
      <w:pPr>
        <w:jc w:val="both"/>
        <w:rPr>
          <w:rFonts w:ascii="Quattrocento Sans" w:eastAsia="Quattrocento Sans" w:hAnsi="Quattrocento Sans" w:cs="Quattrocento Sans"/>
        </w:rPr>
      </w:pPr>
      <w:r>
        <w:rPr>
          <w:rFonts w:ascii="Quattrocento Sans" w:eastAsia="Quattrocento Sans" w:hAnsi="Quattrocento Sans" w:cs="Quattrocento Sans"/>
        </w:rPr>
        <w:t>14</w:t>
      </w:r>
      <w:r w:rsidR="00301E53">
        <w:rPr>
          <w:rFonts w:ascii="Quattrocento Sans" w:eastAsia="Quattrocento Sans" w:hAnsi="Quattrocento Sans" w:cs="Quattrocento Sans"/>
        </w:rPr>
        <w:t xml:space="preserve">. Currently, Peru does not have any regulation that allows for the protection of same-sex couples. A congressional office presented an Equal Marriage Bill 00525/2021-CR on October 22, </w:t>
      </w:r>
      <w:proofErr w:type="gramStart"/>
      <w:r w:rsidR="00301E53">
        <w:rPr>
          <w:rFonts w:ascii="Quattrocento Sans" w:eastAsia="Quattrocento Sans" w:hAnsi="Quattrocento Sans" w:cs="Quattrocento Sans"/>
        </w:rPr>
        <w:t>2021</w:t>
      </w:r>
      <w:proofErr w:type="gramEnd"/>
      <w:r w:rsidR="00301E53">
        <w:rPr>
          <w:rFonts w:ascii="Quattrocento Sans" w:eastAsia="Quattrocento Sans" w:hAnsi="Quattrocento Sans" w:cs="Quattrocento Sans"/>
        </w:rPr>
        <w:t xml:space="preserve"> and it is now being considered in the Justice and Human Rights Commission. However, it has not yet been discussed or debated in the plenary.</w:t>
      </w:r>
    </w:p>
    <w:p w14:paraId="30914B0E" w14:textId="77777777" w:rsidR="0023733D" w:rsidRDefault="00D35639">
      <w:pPr>
        <w:jc w:val="both"/>
        <w:rPr>
          <w:rFonts w:ascii="Quattrocento Sans" w:eastAsia="Quattrocento Sans" w:hAnsi="Quattrocento Sans" w:cs="Quattrocento Sans"/>
        </w:rPr>
      </w:pPr>
      <w:r>
        <w:rPr>
          <w:rFonts w:ascii="Quattrocento Sans" w:eastAsia="Quattrocento Sans" w:hAnsi="Quattrocento Sans" w:cs="Quattrocento Sans"/>
        </w:rPr>
        <w:t>15</w:t>
      </w:r>
      <w:r w:rsidR="00301E53">
        <w:rPr>
          <w:rFonts w:ascii="Quattrocento Sans" w:eastAsia="Quattrocento Sans" w:hAnsi="Quattrocento Sans" w:cs="Quattrocento Sans"/>
        </w:rPr>
        <w:t>. On the other hand, in the area of litigation, the Eleventh Constitutional Court of the Superior Court of Justice of Lima, has ruled positively in the case of lesbian couple S. P. P. and G. M. A., both of Peruvian nationality, who could not register their marriage performed abroad in the Peruvian civil registries because the National Registry of Identification and Civil Education (</w:t>
      </w:r>
      <w:proofErr w:type="spellStart"/>
      <w:r w:rsidR="00301E53">
        <w:rPr>
          <w:rFonts w:ascii="Quattrocento Sans" w:eastAsia="Quattrocento Sans" w:hAnsi="Quattrocento Sans" w:cs="Quattrocento Sans"/>
        </w:rPr>
        <w:t>Reniec</w:t>
      </w:r>
      <w:proofErr w:type="spellEnd"/>
      <w:r w:rsidR="00301E53">
        <w:rPr>
          <w:rFonts w:ascii="Quattrocento Sans" w:eastAsia="Quattrocento Sans" w:hAnsi="Quattrocento Sans" w:cs="Quattrocento Sans"/>
        </w:rPr>
        <w:t xml:space="preserve">) indicated that the Peruvian Civil Code only allows marriage between a man and a woman. Similarly, there is the case of D.D. and J.T., a lesbian couple who also requested to </w:t>
      </w:r>
      <w:proofErr w:type="spellStart"/>
      <w:r w:rsidR="00301E53">
        <w:rPr>
          <w:rFonts w:ascii="Quattrocento Sans" w:eastAsia="Quattrocento Sans" w:hAnsi="Quattrocento Sans" w:cs="Quattrocento Sans"/>
        </w:rPr>
        <w:t>Reniec</w:t>
      </w:r>
      <w:proofErr w:type="spellEnd"/>
      <w:r w:rsidR="00301E53">
        <w:rPr>
          <w:rFonts w:ascii="Quattrocento Sans" w:eastAsia="Quattrocento Sans" w:hAnsi="Quattrocento Sans" w:cs="Quattrocento Sans"/>
        </w:rPr>
        <w:t xml:space="preserve"> that the DNI of their son recognize the filial relationship of both as mothers without obtaining any favorable response. </w:t>
      </w:r>
    </w:p>
    <w:p w14:paraId="50F92471" w14:textId="77777777" w:rsidR="0023733D" w:rsidRDefault="0023733D">
      <w:pPr>
        <w:jc w:val="both"/>
        <w:rPr>
          <w:rFonts w:ascii="Quattrocento Sans" w:eastAsia="Quattrocento Sans" w:hAnsi="Quattrocento Sans" w:cs="Quattrocento Sans"/>
        </w:rPr>
      </w:pPr>
    </w:p>
    <w:p w14:paraId="00F7D10E" w14:textId="77777777" w:rsidR="0023733D" w:rsidRDefault="00301E53">
      <w:pPr>
        <w:pStyle w:val="Ttulo1"/>
        <w:numPr>
          <w:ilvl w:val="0"/>
          <w:numId w:val="3"/>
        </w:numPr>
        <w:rPr>
          <w:rFonts w:ascii="Quattrocento Sans" w:eastAsia="Quattrocento Sans" w:hAnsi="Quattrocento Sans" w:cs="Quattrocento Sans"/>
          <w:b/>
          <w:sz w:val="24"/>
          <w:szCs w:val="24"/>
        </w:rPr>
      </w:pPr>
      <w:bookmarkStart w:id="7" w:name="_Toc92478409"/>
      <w:r>
        <w:rPr>
          <w:rFonts w:ascii="Quattrocento Sans" w:eastAsia="Quattrocento Sans" w:hAnsi="Quattrocento Sans" w:cs="Quattrocento Sans"/>
          <w:b/>
          <w:sz w:val="24"/>
          <w:szCs w:val="24"/>
        </w:rPr>
        <w:t>The right to legal gender recognition of transgender women</w:t>
      </w:r>
      <w:bookmarkEnd w:id="7"/>
    </w:p>
    <w:p w14:paraId="3E1BBCEF" w14:textId="77777777" w:rsidR="0023733D" w:rsidRDefault="0023733D">
      <w:pPr>
        <w:rPr>
          <w:rFonts w:ascii="Quattrocento Sans" w:eastAsia="Quattrocento Sans" w:hAnsi="Quattrocento Sans" w:cs="Quattrocento Sans"/>
        </w:rPr>
      </w:pPr>
    </w:p>
    <w:p w14:paraId="492BF52A" w14:textId="77777777" w:rsidR="0023733D" w:rsidRDefault="00D35639">
      <w:pPr>
        <w:jc w:val="both"/>
        <w:rPr>
          <w:rFonts w:ascii="Quattrocento Sans" w:eastAsia="Quattrocento Sans" w:hAnsi="Quattrocento Sans" w:cs="Quattrocento Sans"/>
        </w:rPr>
      </w:pPr>
      <w:r>
        <w:rPr>
          <w:rFonts w:ascii="Quattrocento Sans" w:eastAsia="Quattrocento Sans" w:hAnsi="Quattrocento Sans" w:cs="Quattrocento Sans"/>
        </w:rPr>
        <w:t>16</w:t>
      </w:r>
      <w:r w:rsidR="00301E53">
        <w:rPr>
          <w:rFonts w:ascii="Quattrocento Sans" w:eastAsia="Quattrocento Sans" w:hAnsi="Quattrocento Sans" w:cs="Quattrocento Sans"/>
        </w:rPr>
        <w:t xml:space="preserve">. The lack of legal gender recognition in Peru exposes trans persons to marginalization and exclusion and denigrates and subjects them to constant humiliation in a cultural context that does not guarantee their human rights. </w:t>
      </w:r>
    </w:p>
    <w:p w14:paraId="3669377B" w14:textId="77777777" w:rsidR="0023733D" w:rsidRDefault="00D35639">
      <w:pPr>
        <w:jc w:val="both"/>
        <w:rPr>
          <w:rFonts w:ascii="Quattrocento Sans" w:eastAsia="Quattrocento Sans" w:hAnsi="Quattrocento Sans" w:cs="Quattrocento Sans"/>
        </w:rPr>
      </w:pPr>
      <w:r>
        <w:rPr>
          <w:rFonts w:ascii="Quattrocento Sans" w:eastAsia="Quattrocento Sans" w:hAnsi="Quattrocento Sans" w:cs="Quattrocento Sans"/>
        </w:rPr>
        <w:lastRenderedPageBreak/>
        <w:t>17</w:t>
      </w:r>
      <w:r w:rsidR="00301E53">
        <w:rPr>
          <w:rFonts w:ascii="Quattrocento Sans" w:eastAsia="Quattrocento Sans" w:hAnsi="Quattrocento Sans" w:cs="Quattrocento Sans"/>
        </w:rPr>
        <w:t xml:space="preserve">. The National Plan against Gender Violence 2016 - 2021 addresses violence based on sexual orientation. However, gender identity is not considered a prohibited ground for discrimination, leaving the trans population unprotected. Likewise, Article 3 of Law 30364 states that an intersectional approach must be considered, </w:t>
      </w:r>
      <w:proofErr w:type="gramStart"/>
      <w:r w:rsidR="00301E53">
        <w:rPr>
          <w:rFonts w:ascii="Quattrocento Sans" w:eastAsia="Quattrocento Sans" w:hAnsi="Quattrocento Sans" w:cs="Quattrocento Sans"/>
        </w:rPr>
        <w:t>taking into account</w:t>
      </w:r>
      <w:proofErr w:type="gramEnd"/>
      <w:r w:rsidR="00301E53">
        <w:rPr>
          <w:rFonts w:ascii="Quattrocento Sans" w:eastAsia="Quattrocento Sans" w:hAnsi="Quattrocento Sans" w:cs="Quattrocento Sans"/>
        </w:rPr>
        <w:t xml:space="preserve"> the sexual orientation of women; however, gender identity has been omitted, thus rendering trans women invisible.</w:t>
      </w:r>
    </w:p>
    <w:p w14:paraId="7D8240BF" w14:textId="77777777" w:rsidR="0023733D" w:rsidRDefault="00D35639">
      <w:pPr>
        <w:jc w:val="both"/>
        <w:rPr>
          <w:rFonts w:ascii="Quattrocento Sans" w:eastAsia="Quattrocento Sans" w:hAnsi="Quattrocento Sans" w:cs="Quattrocento Sans"/>
        </w:rPr>
      </w:pPr>
      <w:r>
        <w:rPr>
          <w:rFonts w:ascii="Quattrocento Sans" w:eastAsia="Quattrocento Sans" w:hAnsi="Quattrocento Sans" w:cs="Quattrocento Sans"/>
        </w:rPr>
        <w:t>18</w:t>
      </w:r>
      <w:r w:rsidR="00301E53">
        <w:rPr>
          <w:rFonts w:ascii="Quattrocento Sans" w:eastAsia="Quattrocento Sans" w:hAnsi="Quattrocento Sans" w:cs="Quattrocento Sans"/>
        </w:rPr>
        <w:t xml:space="preserve">. The National Commission against Discrimination (CONACOD), based on the analysis of 138 lawsuits filed at the national level over five years, points out that trans persons have been using the judicial route with the provisions of Article 29 of the Civil Code, in the absence of a better administrative procedure that allows the updating of their data before the RENIEC. </w:t>
      </w:r>
      <w:r w:rsidR="00301E53">
        <w:rPr>
          <w:rFonts w:ascii="Quattrocento Sans" w:eastAsia="Quattrocento Sans" w:hAnsi="Quattrocento Sans" w:cs="Quattrocento Sans"/>
          <w:vertAlign w:val="superscript"/>
        </w:rPr>
        <w:footnoteReference w:id="17"/>
      </w:r>
    </w:p>
    <w:p w14:paraId="08FAE224" w14:textId="77777777" w:rsidR="0023733D" w:rsidRDefault="00D35639">
      <w:pPr>
        <w:jc w:val="both"/>
        <w:rPr>
          <w:rFonts w:ascii="Quattrocento Sans" w:eastAsia="Quattrocento Sans" w:hAnsi="Quattrocento Sans" w:cs="Quattrocento Sans"/>
        </w:rPr>
      </w:pPr>
      <w:r>
        <w:rPr>
          <w:rFonts w:ascii="Quattrocento Sans" w:eastAsia="Quattrocento Sans" w:hAnsi="Quattrocento Sans" w:cs="Quattrocento Sans"/>
        </w:rPr>
        <w:t>19</w:t>
      </w:r>
      <w:r w:rsidR="00301E53">
        <w:rPr>
          <w:rFonts w:ascii="Quattrocento Sans" w:eastAsia="Quattrocento Sans" w:hAnsi="Quattrocento Sans" w:cs="Quattrocento Sans"/>
        </w:rPr>
        <w:t xml:space="preserve">. Likewise, it has been evidenced that there are several procedural obstacles: 1) non-compliance with the established deadlines, 2) the accreditation of the initiation of a gender- transition process, and 3) the discretion of the judges that, many times, contributes negatively to the delay of the judicial processes. In addition, the use of the medical certificate of gender dysphoria is noteworthy, representing a big problem considering that gender dysphoria is understood as the </w:t>
      </w:r>
      <w:proofErr w:type="spellStart"/>
      <w:r w:rsidR="00301E53">
        <w:rPr>
          <w:rFonts w:ascii="Quattrocento Sans" w:eastAsia="Quattrocento Sans" w:hAnsi="Quattrocento Sans" w:cs="Quattrocento Sans"/>
        </w:rPr>
        <w:t>pathologization</w:t>
      </w:r>
      <w:proofErr w:type="spellEnd"/>
      <w:r w:rsidR="00301E53">
        <w:rPr>
          <w:rFonts w:ascii="Quattrocento Sans" w:eastAsia="Quattrocento Sans" w:hAnsi="Quattrocento Sans" w:cs="Quattrocento Sans"/>
        </w:rPr>
        <w:t xml:space="preserve"> of trans people and is used by the judges as the main argument to declare the lawsuit founded. </w:t>
      </w:r>
      <w:r w:rsidR="00301E53">
        <w:rPr>
          <w:rFonts w:ascii="Quattrocento Sans" w:eastAsia="Quattrocento Sans" w:hAnsi="Quattrocento Sans" w:cs="Quattrocento Sans"/>
          <w:vertAlign w:val="superscript"/>
        </w:rPr>
        <w:footnoteReference w:id="18"/>
      </w:r>
    </w:p>
    <w:p w14:paraId="1BC23135" w14:textId="77777777" w:rsidR="0023733D" w:rsidRDefault="00D35639">
      <w:pPr>
        <w:jc w:val="both"/>
        <w:rPr>
          <w:rFonts w:ascii="Quattrocento Sans" w:eastAsia="Quattrocento Sans" w:hAnsi="Quattrocento Sans" w:cs="Quattrocento Sans"/>
        </w:rPr>
      </w:pPr>
      <w:r>
        <w:rPr>
          <w:rFonts w:ascii="Quattrocento Sans" w:eastAsia="Quattrocento Sans" w:hAnsi="Quattrocento Sans" w:cs="Quattrocento Sans"/>
        </w:rPr>
        <w:t>20</w:t>
      </w:r>
      <w:r w:rsidR="00301E53">
        <w:rPr>
          <w:rFonts w:ascii="Quattrocento Sans" w:eastAsia="Quattrocento Sans" w:hAnsi="Quattrocento Sans" w:cs="Quattrocento Sans"/>
        </w:rPr>
        <w:t xml:space="preserve">. Currently, the debate on Gender Identity has been pending in the respective Commissions. In 2016 the Bill 790/2016-CR was proposed to the Women and Family Commission and the Constitution and Regulation Commission. Unfortunately, it was not implemented and to this date the Peruvian State does not count with a proper law on gender identity. </w:t>
      </w:r>
    </w:p>
    <w:p w14:paraId="03E68597" w14:textId="77777777" w:rsidR="0023733D" w:rsidRDefault="0023733D">
      <w:pPr>
        <w:jc w:val="both"/>
        <w:rPr>
          <w:rFonts w:ascii="Quattrocento Sans" w:eastAsia="Quattrocento Sans" w:hAnsi="Quattrocento Sans" w:cs="Quattrocento Sans"/>
        </w:rPr>
      </w:pPr>
    </w:p>
    <w:p w14:paraId="3D9FA256" w14:textId="77777777" w:rsidR="0023733D" w:rsidRDefault="00301E53">
      <w:pPr>
        <w:pStyle w:val="Ttulo1"/>
        <w:numPr>
          <w:ilvl w:val="0"/>
          <w:numId w:val="3"/>
        </w:numPr>
        <w:rPr>
          <w:rFonts w:ascii="Quattrocento Sans" w:eastAsia="Quattrocento Sans" w:hAnsi="Quattrocento Sans" w:cs="Quattrocento Sans"/>
          <w:b/>
          <w:sz w:val="24"/>
          <w:szCs w:val="24"/>
        </w:rPr>
      </w:pPr>
      <w:bookmarkStart w:id="8" w:name="_Toc92478410"/>
      <w:r>
        <w:rPr>
          <w:rFonts w:ascii="Quattrocento Sans" w:eastAsia="Quattrocento Sans" w:hAnsi="Quattrocento Sans" w:cs="Quattrocento Sans"/>
          <w:b/>
          <w:sz w:val="24"/>
          <w:szCs w:val="24"/>
        </w:rPr>
        <w:t>Recommendations.</w:t>
      </w:r>
      <w:bookmarkEnd w:id="8"/>
      <w:r>
        <w:rPr>
          <w:rFonts w:ascii="Quattrocento Sans" w:eastAsia="Quattrocento Sans" w:hAnsi="Quattrocento Sans" w:cs="Quattrocento Sans"/>
          <w:b/>
          <w:sz w:val="24"/>
          <w:szCs w:val="24"/>
        </w:rPr>
        <w:t xml:space="preserve"> </w:t>
      </w:r>
    </w:p>
    <w:p w14:paraId="302384BA" w14:textId="77777777" w:rsidR="0023733D" w:rsidRDefault="0023733D">
      <w:pPr>
        <w:rPr>
          <w:rFonts w:ascii="Quattrocento Sans" w:eastAsia="Quattrocento Sans" w:hAnsi="Quattrocento Sans" w:cs="Quattrocento Sans"/>
        </w:rPr>
      </w:pPr>
    </w:p>
    <w:p w14:paraId="5DA791FC" w14:textId="77777777" w:rsidR="0023733D" w:rsidRDefault="00301E53">
      <w:pPr>
        <w:numPr>
          <w:ilvl w:val="0"/>
          <w:numId w:val="1"/>
        </w:numPr>
        <w:pBdr>
          <w:top w:val="nil"/>
          <w:left w:val="nil"/>
          <w:bottom w:val="nil"/>
          <w:right w:val="nil"/>
          <w:between w:val="nil"/>
        </w:pBdr>
        <w:spacing w:after="0"/>
        <w:jc w:val="both"/>
        <w:rPr>
          <w:rFonts w:ascii="Quattrocento Sans" w:eastAsia="Quattrocento Sans" w:hAnsi="Quattrocento Sans" w:cs="Quattrocento Sans"/>
          <w:color w:val="000000"/>
        </w:rPr>
      </w:pPr>
      <w:r>
        <w:rPr>
          <w:rFonts w:ascii="Quattrocento Sans" w:eastAsia="Quattrocento Sans" w:hAnsi="Quattrocento Sans" w:cs="Quattrocento Sans"/>
          <w:color w:val="000000"/>
        </w:rPr>
        <w:t xml:space="preserve">To implement a </w:t>
      </w:r>
      <w:proofErr w:type="gramStart"/>
      <w:r>
        <w:rPr>
          <w:rFonts w:ascii="Quattrocento Sans" w:eastAsia="Quattrocento Sans" w:hAnsi="Quattrocento Sans" w:cs="Quattrocento Sans"/>
          <w:color w:val="000000"/>
        </w:rPr>
        <w:t>guiding criteria</w:t>
      </w:r>
      <w:proofErr w:type="gramEnd"/>
      <w:r>
        <w:rPr>
          <w:rFonts w:ascii="Quattrocento Sans" w:eastAsia="Quattrocento Sans" w:hAnsi="Quattrocento Sans" w:cs="Quattrocento Sans"/>
          <w:color w:val="000000"/>
        </w:rPr>
        <w:t xml:space="preserve"> for law enforcement agents and officials within the Justice System that ensures adequate investigation and timely punishment of hate crimes and acts of discrimination, violence, and torture, particularly those perpetrated against LBTI+ women</w:t>
      </w:r>
    </w:p>
    <w:p w14:paraId="00985627" w14:textId="77777777" w:rsidR="0023733D" w:rsidRDefault="00301E53">
      <w:pPr>
        <w:numPr>
          <w:ilvl w:val="0"/>
          <w:numId w:val="1"/>
        </w:numPr>
        <w:pBdr>
          <w:top w:val="nil"/>
          <w:left w:val="nil"/>
          <w:bottom w:val="nil"/>
          <w:right w:val="nil"/>
          <w:between w:val="nil"/>
        </w:pBdr>
        <w:spacing w:after="0"/>
        <w:jc w:val="both"/>
        <w:rPr>
          <w:rFonts w:ascii="Quattrocento Sans" w:eastAsia="Quattrocento Sans" w:hAnsi="Quattrocento Sans" w:cs="Quattrocento Sans"/>
          <w:color w:val="000000"/>
        </w:rPr>
      </w:pPr>
      <w:r>
        <w:rPr>
          <w:rFonts w:ascii="Quattrocento Sans" w:eastAsia="Quattrocento Sans" w:hAnsi="Quattrocento Sans" w:cs="Quattrocento Sans"/>
          <w:color w:val="000000"/>
        </w:rPr>
        <w:t xml:space="preserve">Implement measures to guarantee the full reparation for the physical and mental harm caused to LBTI+ women victims of torture and violence. </w:t>
      </w:r>
    </w:p>
    <w:p w14:paraId="6F2DD554" w14:textId="77777777" w:rsidR="0023733D" w:rsidRDefault="00301E53">
      <w:pPr>
        <w:numPr>
          <w:ilvl w:val="0"/>
          <w:numId w:val="1"/>
        </w:numPr>
        <w:pBdr>
          <w:top w:val="nil"/>
          <w:left w:val="nil"/>
          <w:bottom w:val="nil"/>
          <w:right w:val="nil"/>
          <w:between w:val="nil"/>
        </w:pBdr>
        <w:spacing w:after="0"/>
        <w:jc w:val="both"/>
        <w:rPr>
          <w:rFonts w:ascii="Quattrocento Sans" w:eastAsia="Quattrocento Sans" w:hAnsi="Quattrocento Sans" w:cs="Quattrocento Sans"/>
          <w:color w:val="000000"/>
        </w:rPr>
      </w:pPr>
      <w:r>
        <w:rPr>
          <w:rFonts w:ascii="Quattrocento Sans" w:eastAsia="Quattrocento Sans" w:hAnsi="Quattrocento Sans" w:cs="Quattrocento Sans"/>
          <w:color w:val="000000"/>
        </w:rPr>
        <w:t>To reform the Penal code adding a section dedicated to hate crimes based on sexual orientation and gender identity</w:t>
      </w:r>
    </w:p>
    <w:p w14:paraId="4C5DFC70" w14:textId="77777777" w:rsidR="0023733D" w:rsidRDefault="00301E53">
      <w:pPr>
        <w:numPr>
          <w:ilvl w:val="0"/>
          <w:numId w:val="1"/>
        </w:numPr>
        <w:pBdr>
          <w:top w:val="nil"/>
          <w:left w:val="nil"/>
          <w:bottom w:val="nil"/>
          <w:right w:val="nil"/>
          <w:between w:val="nil"/>
        </w:pBdr>
        <w:spacing w:after="0"/>
        <w:jc w:val="both"/>
        <w:rPr>
          <w:rFonts w:ascii="Quattrocento Sans" w:eastAsia="Quattrocento Sans" w:hAnsi="Quattrocento Sans" w:cs="Quattrocento Sans"/>
          <w:color w:val="000000"/>
        </w:rPr>
      </w:pPr>
      <w:r>
        <w:rPr>
          <w:rFonts w:ascii="Quattrocento Sans" w:eastAsia="Quattrocento Sans" w:hAnsi="Quattrocento Sans" w:cs="Quattrocento Sans"/>
          <w:color w:val="000000"/>
        </w:rPr>
        <w:t xml:space="preserve">Generate disaggregated data and statistical information related to violence and discrimination suffered by LGBTI people, </w:t>
      </w:r>
      <w:proofErr w:type="spellStart"/>
      <w:r>
        <w:rPr>
          <w:rFonts w:ascii="Quattrocento Sans" w:eastAsia="Quattrocento Sans" w:hAnsi="Quattrocento Sans" w:cs="Quattrocento Sans"/>
          <w:color w:val="000000"/>
        </w:rPr>
        <w:t>iimplementing</w:t>
      </w:r>
      <w:proofErr w:type="spellEnd"/>
      <w:r>
        <w:rPr>
          <w:rFonts w:ascii="Quattrocento Sans" w:eastAsia="Quattrocento Sans" w:hAnsi="Quattrocento Sans" w:cs="Quattrocento Sans"/>
          <w:color w:val="000000"/>
        </w:rPr>
        <w:t xml:space="preserve"> mechanisms to guarantee confidentiality and other criteria for protecting personal data.</w:t>
      </w:r>
    </w:p>
    <w:p w14:paraId="4CAA42E8" w14:textId="77777777" w:rsidR="0023733D" w:rsidRDefault="00301E53">
      <w:pPr>
        <w:numPr>
          <w:ilvl w:val="0"/>
          <w:numId w:val="1"/>
        </w:numPr>
        <w:pBdr>
          <w:top w:val="nil"/>
          <w:left w:val="nil"/>
          <w:bottom w:val="nil"/>
          <w:right w:val="nil"/>
          <w:between w:val="nil"/>
        </w:pBdr>
        <w:spacing w:after="0"/>
        <w:jc w:val="both"/>
        <w:rPr>
          <w:rFonts w:ascii="Quattrocento Sans" w:eastAsia="Quattrocento Sans" w:hAnsi="Quattrocento Sans" w:cs="Quattrocento Sans"/>
        </w:rPr>
      </w:pPr>
      <w:r>
        <w:rPr>
          <w:rFonts w:ascii="Quattrocento Sans" w:eastAsia="Quattrocento Sans" w:hAnsi="Quattrocento Sans" w:cs="Quattrocento Sans"/>
        </w:rPr>
        <w:t>To support and implement the next National Human Rights Plan, which should incorporate LGBTI population.</w:t>
      </w:r>
    </w:p>
    <w:p w14:paraId="3AD59F8A" w14:textId="77777777" w:rsidR="0023733D" w:rsidRDefault="00301E53">
      <w:pPr>
        <w:numPr>
          <w:ilvl w:val="0"/>
          <w:numId w:val="1"/>
        </w:numPr>
        <w:pBdr>
          <w:top w:val="nil"/>
          <w:left w:val="nil"/>
          <w:bottom w:val="nil"/>
          <w:right w:val="nil"/>
          <w:between w:val="nil"/>
        </w:pBdr>
        <w:spacing w:after="0"/>
        <w:jc w:val="both"/>
        <w:rPr>
          <w:rFonts w:ascii="Quattrocento Sans" w:eastAsia="Quattrocento Sans" w:hAnsi="Quattrocento Sans" w:cs="Quattrocento Sans"/>
          <w:color w:val="000000"/>
        </w:rPr>
      </w:pPr>
      <w:r>
        <w:rPr>
          <w:rFonts w:ascii="Quattrocento Sans" w:eastAsia="Quattrocento Sans" w:hAnsi="Quattrocento Sans" w:cs="Quattrocento Sans"/>
          <w:color w:val="000000"/>
        </w:rPr>
        <w:t>Implement and approve the bill for Equal Marriage and Civil Union for LGBTI people</w:t>
      </w:r>
    </w:p>
    <w:p w14:paraId="30564222" w14:textId="77777777" w:rsidR="0023733D" w:rsidRDefault="00301E53">
      <w:pPr>
        <w:numPr>
          <w:ilvl w:val="0"/>
          <w:numId w:val="1"/>
        </w:numPr>
        <w:pBdr>
          <w:top w:val="nil"/>
          <w:left w:val="nil"/>
          <w:bottom w:val="nil"/>
          <w:right w:val="nil"/>
          <w:between w:val="nil"/>
        </w:pBdr>
        <w:spacing w:after="0"/>
        <w:jc w:val="both"/>
        <w:rPr>
          <w:rFonts w:ascii="Quattrocento Sans" w:eastAsia="Quattrocento Sans" w:hAnsi="Quattrocento Sans" w:cs="Quattrocento Sans"/>
          <w:color w:val="000000"/>
        </w:rPr>
      </w:pPr>
      <w:r>
        <w:rPr>
          <w:rFonts w:ascii="Quattrocento Sans" w:eastAsia="Quattrocento Sans" w:hAnsi="Quattrocento Sans" w:cs="Quattrocento Sans"/>
          <w:color w:val="000000"/>
        </w:rPr>
        <w:t xml:space="preserve">Implement and approve </w:t>
      </w:r>
      <w:r>
        <w:rPr>
          <w:rFonts w:ascii="Quattrocento Sans" w:eastAsia="Quattrocento Sans" w:hAnsi="Quattrocento Sans" w:cs="Quattrocento Sans"/>
        </w:rPr>
        <w:t>a</w:t>
      </w:r>
      <w:r>
        <w:rPr>
          <w:rFonts w:ascii="Quattrocento Sans" w:eastAsia="Quattrocento Sans" w:hAnsi="Quattrocento Sans" w:cs="Quattrocento Sans"/>
          <w:color w:val="000000"/>
        </w:rPr>
        <w:t xml:space="preserve"> Gender Identity Bill and adopt measures for legal gender recognition for trans people</w:t>
      </w:r>
      <w:r>
        <w:rPr>
          <w:rFonts w:ascii="Quattrocento Sans" w:eastAsia="Quattrocento Sans" w:hAnsi="Quattrocento Sans" w:cs="Quattrocento Sans"/>
        </w:rPr>
        <w:t>, establishing</w:t>
      </w:r>
      <w:r>
        <w:rPr>
          <w:rFonts w:ascii="Quattrocento Sans" w:eastAsia="Quattrocento Sans" w:hAnsi="Quattrocento Sans" w:cs="Quattrocento Sans"/>
          <w:color w:val="000000"/>
        </w:rPr>
        <w:t xml:space="preserve"> an administrative procedure for the National Registry of Identification and Civil Status (RENIEC) so that trans persons can change their name and/or sex in their identity documents</w:t>
      </w:r>
      <w:r>
        <w:rPr>
          <w:rFonts w:ascii="Quattrocento Sans" w:eastAsia="Quattrocento Sans" w:hAnsi="Quattrocento Sans" w:cs="Quattrocento Sans"/>
        </w:rPr>
        <w:t xml:space="preserve"> </w:t>
      </w:r>
      <w:r>
        <w:rPr>
          <w:rFonts w:ascii="Quattrocento Sans" w:eastAsia="Quattrocento Sans" w:hAnsi="Quattrocento Sans" w:cs="Quattrocento Sans"/>
          <w:color w:val="000000"/>
        </w:rPr>
        <w:t xml:space="preserve">and/or sex on their identity documents. </w:t>
      </w:r>
    </w:p>
    <w:p w14:paraId="7833D363" w14:textId="77777777" w:rsidR="0023733D" w:rsidRDefault="00301E53">
      <w:pPr>
        <w:numPr>
          <w:ilvl w:val="0"/>
          <w:numId w:val="1"/>
        </w:numPr>
        <w:pBdr>
          <w:top w:val="nil"/>
          <w:left w:val="nil"/>
          <w:bottom w:val="nil"/>
          <w:right w:val="nil"/>
          <w:between w:val="nil"/>
        </w:pBdr>
        <w:spacing w:after="0"/>
        <w:jc w:val="both"/>
        <w:rPr>
          <w:rFonts w:ascii="Quattrocento Sans" w:eastAsia="Quattrocento Sans" w:hAnsi="Quattrocento Sans" w:cs="Quattrocento Sans"/>
          <w:color w:val="000000"/>
        </w:rPr>
      </w:pPr>
      <w:r>
        <w:rPr>
          <w:rFonts w:ascii="Quattrocento Sans" w:eastAsia="Quattrocento Sans" w:hAnsi="Quattrocento Sans" w:cs="Quattrocento Sans"/>
          <w:color w:val="000000"/>
        </w:rPr>
        <w:lastRenderedPageBreak/>
        <w:t>Develop awareness programs and education campaigns to eliminate discrimination against women, including LBTI+ women.</w:t>
      </w:r>
    </w:p>
    <w:p w14:paraId="77417047" w14:textId="77777777" w:rsidR="0023733D" w:rsidRDefault="00301E53">
      <w:pPr>
        <w:numPr>
          <w:ilvl w:val="0"/>
          <w:numId w:val="1"/>
        </w:numPr>
        <w:pBdr>
          <w:top w:val="nil"/>
          <w:left w:val="nil"/>
          <w:bottom w:val="nil"/>
          <w:right w:val="nil"/>
          <w:between w:val="nil"/>
        </w:pBdr>
        <w:spacing w:after="0"/>
        <w:jc w:val="both"/>
        <w:rPr>
          <w:rFonts w:ascii="Quattrocento Sans" w:eastAsia="Quattrocento Sans" w:hAnsi="Quattrocento Sans" w:cs="Quattrocento Sans"/>
          <w:color w:val="000000"/>
        </w:rPr>
      </w:pPr>
      <w:r>
        <w:rPr>
          <w:rFonts w:ascii="Quattrocento Sans" w:eastAsia="Quattrocento Sans" w:hAnsi="Quattrocento Sans" w:cs="Quattrocento Sans"/>
          <w:color w:val="000000"/>
        </w:rPr>
        <w:t>Provide gender and SOGIESC training to health personnel and judicial operators</w:t>
      </w:r>
      <w:r>
        <w:rPr>
          <w:rFonts w:ascii="Quattrocento Sans" w:eastAsia="Quattrocento Sans" w:hAnsi="Quattrocento Sans" w:cs="Quattrocento Sans"/>
        </w:rPr>
        <w:t>, incorporating equality and non-discrimination criteria related to sexual diversity.</w:t>
      </w:r>
    </w:p>
    <w:p w14:paraId="247D429D" w14:textId="77777777" w:rsidR="0023733D" w:rsidRDefault="00301E53">
      <w:pPr>
        <w:numPr>
          <w:ilvl w:val="0"/>
          <w:numId w:val="1"/>
        </w:numPr>
        <w:pBdr>
          <w:top w:val="nil"/>
          <w:left w:val="nil"/>
          <w:bottom w:val="nil"/>
          <w:right w:val="nil"/>
          <w:between w:val="nil"/>
        </w:pBdr>
        <w:jc w:val="both"/>
        <w:rPr>
          <w:rFonts w:ascii="Quattrocento Sans" w:eastAsia="Quattrocento Sans" w:hAnsi="Quattrocento Sans" w:cs="Quattrocento Sans"/>
        </w:rPr>
      </w:pPr>
      <w:r>
        <w:rPr>
          <w:rFonts w:ascii="Quattrocento Sans" w:eastAsia="Quattrocento Sans" w:hAnsi="Quattrocento Sans" w:cs="Quattrocento Sans"/>
          <w:color w:val="000000"/>
        </w:rPr>
        <w:t>Include trans and intersex women as populations protected by the legislation that prosecutes the crime of femicide.</w:t>
      </w:r>
    </w:p>
    <w:p w14:paraId="74714D62" w14:textId="77777777" w:rsidR="0023733D" w:rsidRDefault="00301E53" w:rsidP="00016E47">
      <w:pPr>
        <w:numPr>
          <w:ilvl w:val="0"/>
          <w:numId w:val="1"/>
        </w:numPr>
        <w:pBdr>
          <w:top w:val="nil"/>
          <w:left w:val="nil"/>
          <w:bottom w:val="nil"/>
          <w:right w:val="nil"/>
          <w:between w:val="nil"/>
        </w:pBdr>
        <w:ind w:left="1440" w:hanging="1080"/>
        <w:jc w:val="both"/>
        <w:rPr>
          <w:rFonts w:ascii="Quattrocento Sans" w:eastAsia="Quattrocento Sans" w:hAnsi="Quattrocento Sans" w:cs="Quattrocento Sans"/>
        </w:rPr>
      </w:pPr>
      <w:r>
        <w:rPr>
          <w:rFonts w:ascii="Quattrocento Sans" w:eastAsia="Quattrocento Sans" w:hAnsi="Quattrocento Sans" w:cs="Quattrocento Sans"/>
        </w:rPr>
        <w:t>Incorporate into Health Sector policies specific services related to sexual and reproductive health, considering the specific medical contingencies of LBTI+ women. Such measures should include the establishment of health information and counseling services.</w:t>
      </w:r>
    </w:p>
    <w:sectPr w:rsidR="0023733D">
      <w:headerReference w:type="default" r:id="rId11"/>
      <w:footerReference w:type="defaul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00F5A" w14:textId="77777777" w:rsidR="00E02E27" w:rsidRDefault="00E02E27">
      <w:pPr>
        <w:spacing w:after="0" w:line="240" w:lineRule="auto"/>
      </w:pPr>
      <w:r>
        <w:separator/>
      </w:r>
    </w:p>
  </w:endnote>
  <w:endnote w:type="continuationSeparator" w:id="0">
    <w:p w14:paraId="1444F6DF" w14:textId="77777777" w:rsidR="00E02E27" w:rsidRDefault="00E02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F489" w14:textId="77777777" w:rsidR="0023733D" w:rsidRDefault="00301E53">
    <w:pPr>
      <w:pBdr>
        <w:top w:val="nil"/>
        <w:left w:val="nil"/>
        <w:bottom w:val="nil"/>
        <w:right w:val="nil"/>
        <w:between w:val="nil"/>
      </w:pBdr>
      <w:tabs>
        <w:tab w:val="center" w:pos="4419"/>
        <w:tab w:val="right" w:pos="8838"/>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D35639">
      <w:rPr>
        <w:noProof/>
        <w:color w:val="000000"/>
      </w:rPr>
      <w:t>7</w:t>
    </w:r>
    <w:r>
      <w:rPr>
        <w:color w:val="000000"/>
      </w:rPr>
      <w:fldChar w:fldCharType="end"/>
    </w:r>
  </w:p>
  <w:p w14:paraId="39DBFB6B" w14:textId="77777777" w:rsidR="0023733D" w:rsidRDefault="0023733D">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B4A67" w14:textId="77777777" w:rsidR="00E02E27" w:rsidRDefault="00E02E27">
      <w:pPr>
        <w:spacing w:after="0" w:line="240" w:lineRule="auto"/>
      </w:pPr>
      <w:r>
        <w:separator/>
      </w:r>
    </w:p>
  </w:footnote>
  <w:footnote w:type="continuationSeparator" w:id="0">
    <w:p w14:paraId="50C2E195" w14:textId="77777777" w:rsidR="00E02E27" w:rsidRDefault="00E02E27">
      <w:pPr>
        <w:spacing w:after="0" w:line="240" w:lineRule="auto"/>
      </w:pPr>
      <w:r>
        <w:continuationSeparator/>
      </w:r>
    </w:p>
  </w:footnote>
  <w:footnote w:id="1">
    <w:p w14:paraId="0AE49C13" w14:textId="77777777" w:rsidR="0023733D" w:rsidRDefault="00301E53">
      <w:pPr>
        <w:pBdr>
          <w:top w:val="nil"/>
          <w:left w:val="nil"/>
          <w:bottom w:val="nil"/>
          <w:right w:val="nil"/>
          <w:between w:val="nil"/>
        </w:pBdr>
        <w:spacing w:after="0" w:line="240" w:lineRule="auto"/>
        <w:jc w:val="both"/>
        <w:rPr>
          <w:rFonts w:ascii="Quattrocento Sans" w:eastAsia="Quattrocento Sans" w:hAnsi="Quattrocento Sans" w:cs="Quattrocento Sans"/>
          <w:color w:val="000000"/>
          <w:sz w:val="18"/>
          <w:szCs w:val="18"/>
        </w:rPr>
      </w:pPr>
      <w:r>
        <w:rPr>
          <w:vertAlign w:val="superscript"/>
        </w:rPr>
        <w:footnoteRef/>
      </w:r>
      <w:r>
        <w:rPr>
          <w:rFonts w:ascii="Arial" w:eastAsia="Arial" w:hAnsi="Arial" w:cs="Arial"/>
          <w:color w:val="000000"/>
          <w:sz w:val="18"/>
          <w:szCs w:val="18"/>
        </w:rPr>
        <w:t xml:space="preserve"> </w:t>
      </w:r>
      <w:r>
        <w:rPr>
          <w:rFonts w:ascii="Quattrocento Sans" w:eastAsia="Quattrocento Sans" w:hAnsi="Quattrocento Sans" w:cs="Quattrocento Sans"/>
          <w:color w:val="000000"/>
          <w:sz w:val="18"/>
          <w:szCs w:val="18"/>
        </w:rPr>
        <w:t xml:space="preserve">The municipal </w:t>
      </w:r>
      <w:proofErr w:type="spellStart"/>
      <w:r>
        <w:rPr>
          <w:rFonts w:ascii="Quattrocento Sans" w:eastAsia="Quattrocento Sans" w:hAnsi="Quattrocento Sans" w:cs="Quattrocento Sans"/>
          <w:color w:val="000000"/>
          <w:sz w:val="18"/>
          <w:szCs w:val="18"/>
        </w:rPr>
        <w:t>serenazgo</w:t>
      </w:r>
      <w:proofErr w:type="spellEnd"/>
      <w:r>
        <w:rPr>
          <w:rFonts w:ascii="Quattrocento Sans" w:eastAsia="Quattrocento Sans" w:hAnsi="Quattrocento Sans" w:cs="Quattrocento Sans"/>
          <w:color w:val="000000"/>
          <w:sz w:val="18"/>
          <w:szCs w:val="18"/>
        </w:rPr>
        <w:t xml:space="preserve"> is the citizen security service provided by local governments in their respective geographic areas and consists of public surveillance and emergency response support, as well as citizen aid and assistance and cooperation with public entities that require it in matters of citizen security.</w:t>
      </w:r>
    </w:p>
  </w:footnote>
  <w:footnote w:id="2">
    <w:p w14:paraId="7F443CDF" w14:textId="77777777" w:rsidR="0023733D" w:rsidRPr="00D35639" w:rsidRDefault="00301E53">
      <w:pPr>
        <w:pBdr>
          <w:top w:val="nil"/>
          <w:left w:val="nil"/>
          <w:bottom w:val="nil"/>
          <w:right w:val="nil"/>
          <w:between w:val="nil"/>
        </w:pBdr>
        <w:spacing w:after="0" w:line="240" w:lineRule="auto"/>
        <w:jc w:val="both"/>
        <w:rPr>
          <w:rFonts w:ascii="Quattrocento Sans" w:eastAsia="Quattrocento Sans" w:hAnsi="Quattrocento Sans" w:cs="Quattrocento Sans"/>
          <w:color w:val="000000"/>
          <w:sz w:val="18"/>
          <w:szCs w:val="18"/>
          <w:lang w:val="es-MX"/>
        </w:rPr>
      </w:pPr>
      <w:r>
        <w:rPr>
          <w:vertAlign w:val="superscript"/>
        </w:rPr>
        <w:footnoteRef/>
      </w:r>
      <w:r w:rsidRPr="00D35639">
        <w:rPr>
          <w:rFonts w:ascii="Quattrocento Sans" w:eastAsia="Quattrocento Sans" w:hAnsi="Quattrocento Sans" w:cs="Quattrocento Sans"/>
          <w:color w:val="000000"/>
          <w:sz w:val="18"/>
          <w:szCs w:val="18"/>
          <w:lang w:val="es-MX"/>
        </w:rPr>
        <w:t xml:space="preserve"> </w:t>
      </w:r>
      <w:hyperlink r:id="rId1">
        <w:r w:rsidRPr="00D35639">
          <w:rPr>
            <w:rFonts w:ascii="Quattrocento Sans" w:eastAsia="Quattrocento Sans" w:hAnsi="Quattrocento Sans" w:cs="Quattrocento Sans"/>
            <w:color w:val="0563C1"/>
            <w:sz w:val="18"/>
            <w:szCs w:val="18"/>
            <w:u w:val="single"/>
            <w:lang w:val="es-MX"/>
          </w:rPr>
          <w:t>Informe Anual del Observatorio de Derechos LGBT 2017/2018</w:t>
        </w:r>
      </w:hyperlink>
      <w:r w:rsidRPr="00D35639">
        <w:rPr>
          <w:rFonts w:ascii="Quattrocento Sans" w:eastAsia="Quattrocento Sans" w:hAnsi="Quattrocento Sans" w:cs="Quattrocento Sans"/>
          <w:color w:val="000000"/>
          <w:sz w:val="18"/>
          <w:szCs w:val="18"/>
          <w:lang w:val="es-MX"/>
        </w:rPr>
        <w:t>. Cayetano Heredia, pág. 54.</w:t>
      </w:r>
    </w:p>
  </w:footnote>
  <w:footnote w:id="3">
    <w:p w14:paraId="77E02B26" w14:textId="77777777" w:rsidR="0023733D" w:rsidRPr="00D35639" w:rsidRDefault="00301E53">
      <w:pPr>
        <w:spacing w:after="0" w:line="240" w:lineRule="auto"/>
        <w:jc w:val="both"/>
        <w:rPr>
          <w:rFonts w:ascii="Quattrocento Sans" w:eastAsia="Quattrocento Sans" w:hAnsi="Quattrocento Sans" w:cs="Quattrocento Sans"/>
          <w:sz w:val="20"/>
          <w:szCs w:val="20"/>
          <w:lang w:val="es-MX"/>
        </w:rPr>
      </w:pPr>
      <w:r>
        <w:rPr>
          <w:vertAlign w:val="superscript"/>
        </w:rPr>
        <w:footnoteRef/>
      </w:r>
      <w:r w:rsidRPr="00D35639">
        <w:rPr>
          <w:rFonts w:ascii="Quattrocento Sans" w:eastAsia="Quattrocento Sans" w:hAnsi="Quattrocento Sans" w:cs="Quattrocento Sans"/>
          <w:sz w:val="20"/>
          <w:szCs w:val="20"/>
          <w:lang w:val="es-MX"/>
        </w:rPr>
        <w:t xml:space="preserve"> </w:t>
      </w:r>
      <w:hyperlink r:id="rId2">
        <w:r w:rsidRPr="00D35639">
          <w:rPr>
            <w:rFonts w:ascii="Quattrocento Sans" w:eastAsia="Quattrocento Sans" w:hAnsi="Quattrocento Sans" w:cs="Quattrocento Sans"/>
            <w:color w:val="1155CC"/>
            <w:sz w:val="18"/>
            <w:szCs w:val="18"/>
            <w:u w:val="single"/>
            <w:lang w:val="es-MX"/>
          </w:rPr>
          <w:t>Sin Violencia LGBTI - Descifrando la violencia en tiempos de cuarentena. Homicidios de lesbianas, bisexuales, trans e intersex en América Latina y el Caribe 2019-2020</w:t>
        </w:r>
      </w:hyperlink>
      <w:r w:rsidRPr="00D35639">
        <w:rPr>
          <w:rFonts w:ascii="Quattrocento Sans" w:eastAsia="Quattrocento Sans" w:hAnsi="Quattrocento Sans" w:cs="Quattrocento Sans"/>
          <w:sz w:val="18"/>
          <w:szCs w:val="18"/>
          <w:lang w:val="es-MX"/>
        </w:rPr>
        <w:t xml:space="preserve">. </w:t>
      </w:r>
      <w:proofErr w:type="spellStart"/>
      <w:r w:rsidRPr="00D35639">
        <w:rPr>
          <w:rFonts w:ascii="Quattrocento Sans" w:eastAsia="Quattrocento Sans" w:hAnsi="Quattrocento Sans" w:cs="Quattrocento Sans"/>
          <w:sz w:val="18"/>
          <w:szCs w:val="18"/>
          <w:lang w:val="es-MX"/>
        </w:rPr>
        <w:t>For</w:t>
      </w:r>
      <w:proofErr w:type="spellEnd"/>
      <w:r w:rsidRPr="00D35639">
        <w:rPr>
          <w:rFonts w:ascii="Quattrocento Sans" w:eastAsia="Quattrocento Sans" w:hAnsi="Quattrocento Sans" w:cs="Quattrocento Sans"/>
          <w:sz w:val="18"/>
          <w:szCs w:val="18"/>
          <w:lang w:val="es-MX"/>
        </w:rPr>
        <w:t xml:space="preserve"> more </w:t>
      </w:r>
      <w:proofErr w:type="spellStart"/>
      <w:r w:rsidRPr="00D35639">
        <w:rPr>
          <w:rFonts w:ascii="Quattrocento Sans" w:eastAsia="Quattrocento Sans" w:hAnsi="Quattrocento Sans" w:cs="Quattrocento Sans"/>
          <w:sz w:val="18"/>
          <w:szCs w:val="18"/>
          <w:lang w:val="es-MX"/>
        </w:rPr>
        <w:t>information</w:t>
      </w:r>
      <w:proofErr w:type="spellEnd"/>
      <w:r w:rsidRPr="00D35639">
        <w:rPr>
          <w:rFonts w:ascii="Quattrocento Sans" w:eastAsia="Quattrocento Sans" w:hAnsi="Quattrocento Sans" w:cs="Quattrocento Sans"/>
          <w:sz w:val="18"/>
          <w:szCs w:val="18"/>
          <w:lang w:val="es-MX"/>
        </w:rPr>
        <w:t xml:space="preserve"> </w:t>
      </w:r>
      <w:proofErr w:type="spellStart"/>
      <w:r w:rsidRPr="00D35639">
        <w:rPr>
          <w:rFonts w:ascii="Quattrocento Sans" w:eastAsia="Quattrocento Sans" w:hAnsi="Quattrocento Sans" w:cs="Quattrocento Sans"/>
          <w:sz w:val="18"/>
          <w:szCs w:val="18"/>
          <w:lang w:val="es-MX"/>
        </w:rPr>
        <w:t>see</w:t>
      </w:r>
      <w:proofErr w:type="spellEnd"/>
      <w:r w:rsidRPr="00D35639">
        <w:rPr>
          <w:rFonts w:ascii="Quattrocento Sans" w:eastAsia="Quattrocento Sans" w:hAnsi="Quattrocento Sans" w:cs="Quattrocento Sans"/>
          <w:sz w:val="18"/>
          <w:szCs w:val="18"/>
          <w:lang w:val="es-MX"/>
        </w:rPr>
        <w:t xml:space="preserve"> </w:t>
      </w:r>
      <w:proofErr w:type="spellStart"/>
      <w:r w:rsidRPr="00D35639">
        <w:rPr>
          <w:rFonts w:ascii="Quattrocento Sans" w:eastAsia="Quattrocento Sans" w:hAnsi="Quattrocento Sans" w:cs="Quattrocento Sans"/>
          <w:sz w:val="18"/>
          <w:szCs w:val="18"/>
          <w:lang w:val="es-MX"/>
        </w:rPr>
        <w:t>Promsex</w:t>
      </w:r>
      <w:proofErr w:type="spellEnd"/>
      <w:r w:rsidRPr="00D35639">
        <w:rPr>
          <w:rFonts w:ascii="Quattrocento Sans" w:eastAsia="Quattrocento Sans" w:hAnsi="Quattrocento Sans" w:cs="Quattrocento Sans"/>
          <w:sz w:val="18"/>
          <w:szCs w:val="18"/>
          <w:lang w:val="es-MX"/>
        </w:rPr>
        <w:t>, Informe Experto Independiente ONU, 2019.</w:t>
      </w:r>
    </w:p>
  </w:footnote>
  <w:footnote w:id="4">
    <w:p w14:paraId="6DE43F9F" w14:textId="77777777" w:rsidR="0023733D" w:rsidRPr="00D35639" w:rsidRDefault="00301E53">
      <w:pPr>
        <w:spacing w:after="0" w:line="240" w:lineRule="auto"/>
        <w:jc w:val="both"/>
        <w:rPr>
          <w:rFonts w:ascii="Quattrocento Sans" w:eastAsia="Quattrocento Sans" w:hAnsi="Quattrocento Sans" w:cs="Quattrocento Sans"/>
          <w:sz w:val="18"/>
          <w:szCs w:val="18"/>
          <w:lang w:val="es-MX"/>
        </w:rPr>
      </w:pPr>
      <w:r>
        <w:rPr>
          <w:vertAlign w:val="superscript"/>
        </w:rPr>
        <w:footnoteRef/>
      </w:r>
      <w:r w:rsidRPr="00D35639">
        <w:rPr>
          <w:rFonts w:ascii="Quattrocento Sans" w:eastAsia="Quattrocento Sans" w:hAnsi="Quattrocento Sans" w:cs="Quattrocento Sans"/>
          <w:sz w:val="20"/>
          <w:szCs w:val="20"/>
          <w:lang w:val="es-MX"/>
        </w:rPr>
        <w:t xml:space="preserve"> </w:t>
      </w:r>
      <w:proofErr w:type="spellStart"/>
      <w:r w:rsidRPr="00D35639">
        <w:rPr>
          <w:rFonts w:ascii="Quattrocento Sans" w:eastAsia="Quattrocento Sans" w:hAnsi="Quattrocento Sans" w:cs="Quattrocento Sans"/>
          <w:sz w:val="18"/>
          <w:szCs w:val="18"/>
          <w:lang w:val="es-MX"/>
        </w:rPr>
        <w:t>For</w:t>
      </w:r>
      <w:proofErr w:type="spellEnd"/>
      <w:r w:rsidRPr="00D35639">
        <w:rPr>
          <w:rFonts w:ascii="Quattrocento Sans" w:eastAsia="Quattrocento Sans" w:hAnsi="Quattrocento Sans" w:cs="Quattrocento Sans"/>
          <w:sz w:val="18"/>
          <w:szCs w:val="18"/>
          <w:lang w:val="es-MX"/>
        </w:rPr>
        <w:t xml:space="preserve"> </w:t>
      </w:r>
      <w:proofErr w:type="spellStart"/>
      <w:r w:rsidRPr="00D35639">
        <w:rPr>
          <w:rFonts w:ascii="Quattrocento Sans" w:eastAsia="Quattrocento Sans" w:hAnsi="Quattrocento Sans" w:cs="Quattrocento Sans"/>
          <w:sz w:val="18"/>
          <w:szCs w:val="18"/>
          <w:lang w:val="es-MX"/>
        </w:rPr>
        <w:t>instance</w:t>
      </w:r>
      <w:proofErr w:type="spellEnd"/>
      <w:r w:rsidRPr="00D35639">
        <w:rPr>
          <w:rFonts w:ascii="Quattrocento Sans" w:eastAsia="Quattrocento Sans" w:hAnsi="Quattrocento Sans" w:cs="Quattrocento Sans"/>
          <w:sz w:val="18"/>
          <w:szCs w:val="18"/>
          <w:lang w:val="es-MX"/>
        </w:rPr>
        <w:t xml:space="preserve"> </w:t>
      </w:r>
      <w:proofErr w:type="spellStart"/>
      <w:r w:rsidRPr="00D35639">
        <w:rPr>
          <w:rFonts w:ascii="Quattrocento Sans" w:eastAsia="Quattrocento Sans" w:hAnsi="Quattrocento Sans" w:cs="Quattrocento Sans"/>
          <w:sz w:val="18"/>
          <w:szCs w:val="18"/>
          <w:lang w:val="es-MX"/>
        </w:rPr>
        <w:t>see</w:t>
      </w:r>
      <w:proofErr w:type="spellEnd"/>
      <w:r w:rsidRPr="00D35639">
        <w:rPr>
          <w:rFonts w:ascii="Quattrocento Sans" w:eastAsia="Quattrocento Sans" w:hAnsi="Quattrocento Sans" w:cs="Quattrocento Sans"/>
          <w:sz w:val="18"/>
          <w:szCs w:val="18"/>
          <w:lang w:val="es-MX"/>
        </w:rPr>
        <w:t xml:space="preserve">: </w:t>
      </w:r>
      <w:hyperlink r:id="rId3">
        <w:r w:rsidRPr="00D35639">
          <w:rPr>
            <w:rFonts w:ascii="Quattrocento Sans" w:eastAsia="Quattrocento Sans" w:hAnsi="Quattrocento Sans" w:cs="Quattrocento Sans"/>
            <w:color w:val="1155CC"/>
            <w:sz w:val="18"/>
            <w:szCs w:val="18"/>
            <w:u w:val="single"/>
            <w:lang w:val="es-MX"/>
          </w:rPr>
          <w:t xml:space="preserve">Nacidos Libres e Iguales. Orientación sexual e identidad de género en las normas internacionales de derechos humanos. </w:t>
        </w:r>
        <w:proofErr w:type="spellStart"/>
        <w:r w:rsidRPr="00D35639">
          <w:rPr>
            <w:rFonts w:ascii="Quattrocento Sans" w:eastAsia="Quattrocento Sans" w:hAnsi="Quattrocento Sans" w:cs="Quattrocento Sans"/>
            <w:color w:val="1155CC"/>
            <w:sz w:val="18"/>
            <w:szCs w:val="18"/>
            <w:u w:val="single"/>
            <w:lang w:val="es-MX"/>
          </w:rPr>
          <w:t>Op</w:t>
        </w:r>
        <w:proofErr w:type="spellEnd"/>
        <w:r w:rsidRPr="00D35639">
          <w:rPr>
            <w:rFonts w:ascii="Quattrocento Sans" w:eastAsia="Quattrocento Sans" w:hAnsi="Quattrocento Sans" w:cs="Quattrocento Sans"/>
            <w:color w:val="1155CC"/>
            <w:sz w:val="18"/>
            <w:szCs w:val="18"/>
            <w:u w:val="single"/>
            <w:lang w:val="es-MX"/>
          </w:rPr>
          <w:t>. cit., p. 20</w:t>
        </w:r>
      </w:hyperlink>
      <w:r w:rsidRPr="00D35639">
        <w:rPr>
          <w:rFonts w:ascii="Quattrocento Sans" w:eastAsia="Quattrocento Sans" w:hAnsi="Quattrocento Sans" w:cs="Quattrocento Sans"/>
          <w:sz w:val="18"/>
          <w:szCs w:val="18"/>
          <w:lang w:val="es-MX"/>
        </w:rPr>
        <w:t xml:space="preserve">; Consejo de Derechos Humanos. Leyes y prácticas discriminatorias y actos de violencia cometidos contra personas por su orientación sexual e identidad de género. Informe del Alto Comisionado de las Naciones Unidas para los Derechos Humanos </w:t>
      </w:r>
      <w:hyperlink r:id="rId4">
        <w:r w:rsidRPr="00D35639">
          <w:rPr>
            <w:rFonts w:ascii="Quattrocento Sans" w:eastAsia="Quattrocento Sans" w:hAnsi="Quattrocento Sans" w:cs="Quattrocento Sans"/>
            <w:color w:val="1155CC"/>
            <w:sz w:val="18"/>
            <w:szCs w:val="18"/>
            <w:u w:val="single"/>
            <w:lang w:val="es-MX"/>
          </w:rPr>
          <w:t>(A/HRC/19/41)</w:t>
        </w:r>
      </w:hyperlink>
      <w:r w:rsidRPr="00D35639">
        <w:rPr>
          <w:rFonts w:ascii="Quattrocento Sans" w:eastAsia="Quattrocento Sans" w:hAnsi="Quattrocento Sans" w:cs="Quattrocento Sans"/>
          <w:sz w:val="18"/>
          <w:szCs w:val="18"/>
          <w:lang w:val="es-MX"/>
        </w:rPr>
        <w:t>, paras.9 and 84; Consejo de Derechos Humanos. Discriminación y violencia contra personas por motivos de orientación sexual e identidad de género. Informe del Alto Comisionado de las Naciones Unidas para los</w:t>
      </w:r>
    </w:p>
    <w:p w14:paraId="6869A97A" w14:textId="77777777" w:rsidR="0023733D" w:rsidRDefault="00301E53">
      <w:pPr>
        <w:spacing w:after="0" w:line="240" w:lineRule="auto"/>
        <w:jc w:val="both"/>
        <w:rPr>
          <w:rFonts w:ascii="Quattrocento Sans" w:eastAsia="Quattrocento Sans" w:hAnsi="Quattrocento Sans" w:cs="Quattrocento Sans"/>
          <w:sz w:val="18"/>
          <w:szCs w:val="18"/>
        </w:rPr>
      </w:pPr>
      <w:r w:rsidRPr="00D35639">
        <w:rPr>
          <w:rFonts w:ascii="Quattrocento Sans" w:eastAsia="Quattrocento Sans" w:hAnsi="Quattrocento Sans" w:cs="Quattrocento Sans"/>
          <w:sz w:val="18"/>
          <w:szCs w:val="18"/>
          <w:lang w:val="es-MX"/>
        </w:rPr>
        <w:t xml:space="preserve">Derechos Humanos </w:t>
      </w:r>
      <w:hyperlink r:id="rId5">
        <w:r w:rsidRPr="00D35639">
          <w:rPr>
            <w:rFonts w:ascii="Quattrocento Sans" w:eastAsia="Quattrocento Sans" w:hAnsi="Quattrocento Sans" w:cs="Quattrocento Sans"/>
            <w:color w:val="1155CC"/>
            <w:sz w:val="18"/>
            <w:szCs w:val="18"/>
            <w:u w:val="single"/>
            <w:lang w:val="es-MX"/>
          </w:rPr>
          <w:t>(A/HRC/29/23)</w:t>
        </w:r>
      </w:hyperlink>
      <w:r w:rsidRPr="00D35639">
        <w:rPr>
          <w:rFonts w:ascii="Quattrocento Sans" w:eastAsia="Quattrocento Sans" w:hAnsi="Quattrocento Sans" w:cs="Quattrocento Sans"/>
          <w:sz w:val="18"/>
          <w:szCs w:val="18"/>
          <w:lang w:val="es-MX"/>
        </w:rPr>
        <w:t xml:space="preserve">, paras. </w:t>
      </w:r>
      <w:r>
        <w:rPr>
          <w:rFonts w:ascii="Quattrocento Sans" w:eastAsia="Quattrocento Sans" w:hAnsi="Quattrocento Sans" w:cs="Quattrocento Sans"/>
          <w:sz w:val="18"/>
          <w:szCs w:val="18"/>
        </w:rPr>
        <w:t xml:space="preserve">11 and 78.) The most recent case is the IACHR resolution in case </w:t>
      </w:r>
      <w:hyperlink r:id="rId6">
        <w:r>
          <w:rPr>
            <w:rFonts w:ascii="Quattrocento Sans" w:eastAsia="Quattrocento Sans" w:hAnsi="Quattrocento Sans" w:cs="Quattrocento Sans"/>
            <w:color w:val="1155CC"/>
            <w:sz w:val="18"/>
            <w:szCs w:val="18"/>
            <w:u w:val="single"/>
          </w:rPr>
          <w:t xml:space="preserve">A.R.M. y </w:t>
        </w:r>
        <w:proofErr w:type="spellStart"/>
        <w:r>
          <w:rPr>
            <w:rFonts w:ascii="Quattrocento Sans" w:eastAsia="Quattrocento Sans" w:hAnsi="Quattrocento Sans" w:cs="Quattrocento Sans"/>
            <w:color w:val="1155CC"/>
            <w:sz w:val="18"/>
            <w:szCs w:val="18"/>
            <w:u w:val="single"/>
          </w:rPr>
          <w:t>otras</w:t>
        </w:r>
        <w:proofErr w:type="spellEnd"/>
        <w:r>
          <w:rPr>
            <w:rFonts w:ascii="Quattrocento Sans" w:eastAsia="Quattrocento Sans" w:hAnsi="Quattrocento Sans" w:cs="Quattrocento Sans"/>
            <w:color w:val="1155CC"/>
            <w:sz w:val="18"/>
            <w:szCs w:val="18"/>
            <w:u w:val="single"/>
          </w:rPr>
          <w:t xml:space="preserve"> vs. Perú</w:t>
        </w:r>
      </w:hyperlink>
      <w:r>
        <w:rPr>
          <w:rFonts w:ascii="Quattrocento Sans" w:eastAsia="Quattrocento Sans" w:hAnsi="Quattrocento Sans" w:cs="Quattrocento Sans"/>
          <w:sz w:val="18"/>
          <w:szCs w:val="18"/>
        </w:rPr>
        <w:t>, which called on the State to implement a registration system.</w:t>
      </w:r>
    </w:p>
  </w:footnote>
  <w:footnote w:id="5">
    <w:p w14:paraId="38978AC2" w14:textId="77777777" w:rsidR="0023733D" w:rsidRDefault="00301E53">
      <w:pPr>
        <w:spacing w:after="0" w:line="240" w:lineRule="auto"/>
        <w:jc w:val="both"/>
        <w:rPr>
          <w:rFonts w:ascii="Quattrocento Sans" w:eastAsia="Quattrocento Sans" w:hAnsi="Quattrocento Sans" w:cs="Quattrocento Sans"/>
          <w:sz w:val="20"/>
          <w:szCs w:val="20"/>
        </w:rPr>
      </w:pPr>
      <w:r>
        <w:rPr>
          <w:vertAlign w:val="superscript"/>
        </w:rPr>
        <w:footnoteRef/>
      </w:r>
      <w:r>
        <w:rPr>
          <w:rFonts w:ascii="Quattrocento Sans" w:eastAsia="Quattrocento Sans" w:hAnsi="Quattrocento Sans" w:cs="Quattrocento Sans"/>
          <w:sz w:val="18"/>
          <w:szCs w:val="18"/>
        </w:rPr>
        <w:t xml:space="preserve"> Report of the independent expert on protection against violence and discrimination based on sexual orientation and gender identity. discrimination based on sexual orientation and gender identity, May 30, 2019, Lima.</w:t>
      </w:r>
    </w:p>
  </w:footnote>
  <w:footnote w:id="6">
    <w:p w14:paraId="28B2FB5C" w14:textId="77777777" w:rsidR="0023733D" w:rsidRDefault="00301E53">
      <w:pPr>
        <w:spacing w:after="0" w:line="240" w:lineRule="auto"/>
        <w:jc w:val="both"/>
        <w:rPr>
          <w:rFonts w:ascii="Quattrocento Sans" w:eastAsia="Quattrocento Sans" w:hAnsi="Quattrocento Sans" w:cs="Quattrocento Sans"/>
          <w:sz w:val="18"/>
          <w:szCs w:val="18"/>
        </w:rPr>
      </w:pPr>
      <w:r>
        <w:rPr>
          <w:vertAlign w:val="superscript"/>
        </w:rPr>
        <w:footnoteRef/>
      </w:r>
      <w:r>
        <w:rPr>
          <w:rFonts w:ascii="Quattrocento Sans" w:eastAsia="Quattrocento Sans" w:hAnsi="Quattrocento Sans" w:cs="Quattrocento Sans"/>
          <w:sz w:val="18"/>
          <w:szCs w:val="18"/>
        </w:rPr>
        <w:t xml:space="preserve"> Between 2011 and September 2018, congressmen and congresswomen rejected the possibility of including sexual orientation and gender identity as protected </w:t>
      </w:r>
      <w:proofErr w:type="gramStart"/>
      <w:r>
        <w:rPr>
          <w:rFonts w:ascii="Quattrocento Sans" w:eastAsia="Quattrocento Sans" w:hAnsi="Quattrocento Sans" w:cs="Quattrocento Sans"/>
          <w:sz w:val="18"/>
          <w:szCs w:val="18"/>
        </w:rPr>
        <w:t>categories..</w:t>
      </w:r>
      <w:proofErr w:type="gramEnd"/>
      <w:r>
        <w:rPr>
          <w:rFonts w:ascii="Quattrocento Sans" w:eastAsia="Quattrocento Sans" w:hAnsi="Quattrocento Sans" w:cs="Quattrocento Sans"/>
          <w:sz w:val="18"/>
          <w:szCs w:val="18"/>
        </w:rPr>
        <w:t xml:space="preserve"> It is worth noting that legislative discussions on the protection of the rights of LGBTI persons have not prospered due to the archiving of several proposals, among them, we have: Bill </w:t>
      </w:r>
      <w:proofErr w:type="spellStart"/>
      <w:r>
        <w:rPr>
          <w:rFonts w:ascii="Quattrocento Sans" w:eastAsia="Quattrocento Sans" w:hAnsi="Quattrocento Sans" w:cs="Quattrocento Sans"/>
          <w:sz w:val="18"/>
          <w:szCs w:val="18"/>
        </w:rPr>
        <w:t>N.o</w:t>
      </w:r>
      <w:proofErr w:type="spellEnd"/>
      <w:r>
        <w:rPr>
          <w:rFonts w:ascii="Quattrocento Sans" w:eastAsia="Quattrocento Sans" w:hAnsi="Quattrocento Sans" w:cs="Quattrocento Sans"/>
          <w:sz w:val="18"/>
          <w:szCs w:val="18"/>
        </w:rPr>
        <w:t xml:space="preserve"> 3584/2009-.CR: Law against Hate Crimes; Bill </w:t>
      </w:r>
      <w:proofErr w:type="spellStart"/>
      <w:r>
        <w:rPr>
          <w:rFonts w:ascii="Quattrocento Sans" w:eastAsia="Quattrocento Sans" w:hAnsi="Quattrocento Sans" w:cs="Quattrocento Sans"/>
          <w:sz w:val="18"/>
          <w:szCs w:val="18"/>
        </w:rPr>
        <w:t>N.o</w:t>
      </w:r>
      <w:proofErr w:type="spellEnd"/>
      <w:r>
        <w:rPr>
          <w:rFonts w:ascii="Quattrocento Sans" w:eastAsia="Quattrocento Sans" w:hAnsi="Quattrocento Sans" w:cs="Quattrocento Sans"/>
          <w:sz w:val="18"/>
          <w:szCs w:val="18"/>
        </w:rPr>
        <w:t xml:space="preserve"> 609/2011-CR: Law against criminal actions originated by discrimination; Bill </w:t>
      </w:r>
      <w:proofErr w:type="spellStart"/>
      <w:r>
        <w:rPr>
          <w:rFonts w:ascii="Quattrocento Sans" w:eastAsia="Quattrocento Sans" w:hAnsi="Quattrocento Sans" w:cs="Quattrocento Sans"/>
          <w:sz w:val="18"/>
          <w:szCs w:val="18"/>
        </w:rPr>
        <w:t>N.o</w:t>
      </w:r>
      <w:proofErr w:type="spellEnd"/>
      <w:r>
        <w:rPr>
          <w:rFonts w:ascii="Quattrocento Sans" w:eastAsia="Quattrocento Sans" w:hAnsi="Quattrocento Sans" w:cs="Quattrocento Sans"/>
          <w:sz w:val="18"/>
          <w:szCs w:val="18"/>
        </w:rPr>
        <w:t xml:space="preserve"> 609/2011-CR: Law against criminal actions originated by discrimination; Bill </w:t>
      </w:r>
      <w:proofErr w:type="spellStart"/>
      <w:r>
        <w:rPr>
          <w:rFonts w:ascii="Quattrocento Sans" w:eastAsia="Quattrocento Sans" w:hAnsi="Quattrocento Sans" w:cs="Quattrocento Sans"/>
          <w:sz w:val="18"/>
          <w:szCs w:val="18"/>
        </w:rPr>
        <w:t>N.o</w:t>
      </w:r>
      <w:proofErr w:type="spellEnd"/>
      <w:r>
        <w:rPr>
          <w:rFonts w:ascii="Quattrocento Sans" w:eastAsia="Quattrocento Sans" w:hAnsi="Quattrocento Sans" w:cs="Quattrocento Sans"/>
          <w:sz w:val="18"/>
          <w:szCs w:val="18"/>
        </w:rPr>
        <w:t xml:space="preserve"> 609/2011-CR: Law against criminal actions originated by discrimination; Bill </w:t>
      </w:r>
      <w:proofErr w:type="spellStart"/>
      <w:r>
        <w:rPr>
          <w:rFonts w:ascii="Quattrocento Sans" w:eastAsia="Quattrocento Sans" w:hAnsi="Quattrocento Sans" w:cs="Quattrocento Sans"/>
          <w:sz w:val="18"/>
          <w:szCs w:val="18"/>
        </w:rPr>
        <w:t>N.o</w:t>
      </w:r>
      <w:proofErr w:type="spellEnd"/>
      <w:r>
        <w:rPr>
          <w:rFonts w:ascii="Quattrocento Sans" w:eastAsia="Quattrocento Sans" w:hAnsi="Quattrocento Sans" w:cs="Quattrocento Sans"/>
          <w:sz w:val="18"/>
          <w:szCs w:val="18"/>
        </w:rPr>
        <w:t xml:space="preserve"> 1697/2016-CR: Law that promotes equality before the Law and non-Discrimination on the grounds of sexual orientation, gender identity and that modifies numeral two of article </w:t>
      </w:r>
      <w:proofErr w:type="spellStart"/>
      <w:r>
        <w:rPr>
          <w:rFonts w:ascii="Quattrocento Sans" w:eastAsia="Quattrocento Sans" w:hAnsi="Quattrocento Sans" w:cs="Quattrocento Sans"/>
          <w:sz w:val="18"/>
          <w:szCs w:val="18"/>
        </w:rPr>
        <w:t>N.o</w:t>
      </w:r>
      <w:proofErr w:type="spellEnd"/>
      <w:r>
        <w:rPr>
          <w:rFonts w:ascii="Quattrocento Sans" w:eastAsia="Quattrocento Sans" w:hAnsi="Quattrocento Sans" w:cs="Quattrocento Sans"/>
          <w:sz w:val="18"/>
          <w:szCs w:val="18"/>
        </w:rPr>
        <w:t xml:space="preserve"> 2 of the Political Constitution of Peru, was not processed due to the fact that the congressman author of mentioned Bill, withdrew it on October 3, 2017.</w:t>
      </w:r>
    </w:p>
  </w:footnote>
  <w:footnote w:id="7">
    <w:p w14:paraId="7561CBD0" w14:textId="30597E8D" w:rsidR="0023733D" w:rsidRDefault="00301E53">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vertAlign w:val="superscript"/>
        </w:rPr>
        <w:footnoteRef/>
      </w:r>
      <w:r>
        <w:rPr>
          <w:rFonts w:ascii="Quattrocento Sans" w:eastAsia="Quattrocento Sans" w:hAnsi="Quattrocento Sans" w:cs="Quattrocento Sans"/>
          <w:color w:val="000000"/>
          <w:sz w:val="18"/>
          <w:szCs w:val="18"/>
        </w:rPr>
        <w:t xml:space="preserve"> CEDAW Committee. </w:t>
      </w:r>
      <w:r>
        <w:rPr>
          <w:rFonts w:ascii="Quattrocento Sans" w:eastAsia="Quattrocento Sans" w:hAnsi="Quattrocento Sans" w:cs="Quattrocento Sans"/>
          <w:sz w:val="18"/>
          <w:szCs w:val="18"/>
        </w:rPr>
        <w:t>Concluding</w:t>
      </w:r>
      <w:r>
        <w:rPr>
          <w:rFonts w:ascii="Quattrocento Sans" w:eastAsia="Quattrocento Sans" w:hAnsi="Quattrocento Sans" w:cs="Quattrocento Sans"/>
          <w:color w:val="000000"/>
          <w:sz w:val="18"/>
          <w:szCs w:val="18"/>
        </w:rPr>
        <w:t xml:space="preserve"> Observations to Peru. Session 58, June 30 to July 18</w:t>
      </w:r>
      <w:r w:rsidR="00016E47">
        <w:rPr>
          <w:rFonts w:ascii="Quattrocento Sans" w:eastAsia="Quattrocento Sans" w:hAnsi="Quattrocento Sans" w:cs="Quattrocento Sans"/>
          <w:color w:val="000000"/>
          <w:sz w:val="18"/>
          <w:szCs w:val="18"/>
        </w:rPr>
        <w:t>, 2014</w:t>
      </w:r>
      <w:r>
        <w:rPr>
          <w:rFonts w:ascii="Quattrocento Sans" w:eastAsia="Quattrocento Sans" w:hAnsi="Quattrocento Sans" w:cs="Quattrocento Sans"/>
          <w:color w:val="000000"/>
          <w:sz w:val="18"/>
          <w:szCs w:val="18"/>
        </w:rPr>
        <w:t>, Parr. 17-18</w:t>
      </w:r>
    </w:p>
  </w:footnote>
  <w:footnote w:id="8">
    <w:p w14:paraId="43D4F122" w14:textId="7FC93B11" w:rsidR="0023733D" w:rsidRPr="00D35639" w:rsidRDefault="00301E53">
      <w:pPr>
        <w:pBdr>
          <w:top w:val="nil"/>
          <w:left w:val="nil"/>
          <w:bottom w:val="nil"/>
          <w:right w:val="nil"/>
          <w:between w:val="nil"/>
        </w:pBdr>
        <w:spacing w:after="0" w:line="240" w:lineRule="auto"/>
        <w:rPr>
          <w:rFonts w:ascii="Quattrocento Sans" w:eastAsia="Quattrocento Sans" w:hAnsi="Quattrocento Sans" w:cs="Quattrocento Sans"/>
          <w:color w:val="000000"/>
          <w:sz w:val="20"/>
          <w:szCs w:val="20"/>
          <w:lang w:val="es-MX"/>
        </w:rPr>
      </w:pPr>
      <w:r>
        <w:rPr>
          <w:vertAlign w:val="superscript"/>
        </w:rPr>
        <w:footnoteRef/>
      </w:r>
      <w:r w:rsidRPr="00D35639">
        <w:rPr>
          <w:rFonts w:ascii="Quattrocento Sans" w:eastAsia="Quattrocento Sans" w:hAnsi="Quattrocento Sans" w:cs="Quattrocento Sans"/>
          <w:color w:val="000000"/>
          <w:sz w:val="18"/>
          <w:szCs w:val="18"/>
          <w:lang w:val="es-MX"/>
        </w:rPr>
        <w:t xml:space="preserve"> PROMSEX. </w:t>
      </w:r>
      <w:hyperlink r:id="rId7">
        <w:r w:rsidRPr="00D35639">
          <w:rPr>
            <w:rFonts w:ascii="Quattrocento Sans" w:eastAsia="Quattrocento Sans" w:hAnsi="Quattrocento Sans" w:cs="Quattrocento Sans"/>
            <w:color w:val="0563C1"/>
            <w:sz w:val="18"/>
            <w:szCs w:val="18"/>
            <w:u w:val="single"/>
            <w:lang w:val="es-MX"/>
          </w:rPr>
          <w:t>Un caso de tortura sexual por orientación sexual no normativa. CASO 12.982 A</w:t>
        </w:r>
        <w:r w:rsidR="00016E47">
          <w:rPr>
            <w:rFonts w:ascii="Quattrocento Sans" w:eastAsia="Quattrocento Sans" w:hAnsi="Quattrocento Sans" w:cs="Quattrocento Sans"/>
            <w:color w:val="0563C1"/>
            <w:sz w:val="18"/>
            <w:szCs w:val="18"/>
            <w:u w:val="single"/>
            <w:lang w:val="es-MX"/>
          </w:rPr>
          <w:t>.R.M</w:t>
        </w:r>
        <w:r w:rsidRPr="00D35639">
          <w:rPr>
            <w:rFonts w:ascii="Quattrocento Sans" w:eastAsia="Quattrocento Sans" w:hAnsi="Quattrocento Sans" w:cs="Quattrocento Sans"/>
            <w:color w:val="0563C1"/>
            <w:sz w:val="18"/>
            <w:szCs w:val="18"/>
            <w:u w:val="single"/>
            <w:lang w:val="es-MX"/>
          </w:rPr>
          <w:t>. vs Perú Comisión Interamericana de Derechos Humanos (CIDH).</w:t>
        </w:r>
      </w:hyperlink>
      <w:r w:rsidRPr="00D35639">
        <w:rPr>
          <w:rFonts w:ascii="Quattrocento Sans" w:eastAsia="Quattrocento Sans" w:hAnsi="Quattrocento Sans" w:cs="Quattrocento Sans"/>
          <w:color w:val="000000"/>
          <w:sz w:val="20"/>
          <w:szCs w:val="20"/>
          <w:lang w:val="es-MX"/>
        </w:rPr>
        <w:t xml:space="preserve"> </w:t>
      </w:r>
    </w:p>
  </w:footnote>
  <w:footnote w:id="9">
    <w:p w14:paraId="5B3387E2" w14:textId="77777777" w:rsidR="0023733D" w:rsidRPr="00D35639" w:rsidRDefault="00301E53">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lang w:val="es-MX"/>
        </w:rPr>
      </w:pPr>
      <w:r>
        <w:rPr>
          <w:vertAlign w:val="superscript"/>
        </w:rPr>
        <w:footnoteRef/>
      </w:r>
      <w:r w:rsidRPr="00D35639">
        <w:rPr>
          <w:rFonts w:ascii="Quattrocento Sans" w:eastAsia="Quattrocento Sans" w:hAnsi="Quattrocento Sans" w:cs="Quattrocento Sans"/>
          <w:color w:val="000000"/>
          <w:sz w:val="20"/>
          <w:szCs w:val="20"/>
          <w:lang w:val="es-MX"/>
        </w:rPr>
        <w:t xml:space="preserve"> </w:t>
      </w:r>
      <w:r w:rsidRPr="00D35639">
        <w:rPr>
          <w:rFonts w:ascii="Quattrocento Sans" w:eastAsia="Quattrocento Sans" w:hAnsi="Quattrocento Sans" w:cs="Quattrocento Sans"/>
          <w:color w:val="000000"/>
          <w:sz w:val="18"/>
          <w:szCs w:val="18"/>
          <w:lang w:val="es-MX"/>
        </w:rPr>
        <w:t xml:space="preserve">PROMSEX. (2020) </w:t>
      </w:r>
      <w:hyperlink r:id="rId8">
        <w:r w:rsidRPr="00D35639">
          <w:rPr>
            <w:rFonts w:ascii="Quattrocento Sans" w:eastAsia="Quattrocento Sans" w:hAnsi="Quattrocento Sans" w:cs="Quattrocento Sans"/>
            <w:color w:val="000000"/>
            <w:sz w:val="18"/>
            <w:szCs w:val="18"/>
            <w:lang w:val="es-MX"/>
          </w:rPr>
          <w:t>Fallo histórico: Corte Interamericana halla a Perú responsable por la tortura y violencia sexual contra una persona LGBTI y le ordena combatir la discriminación</w:t>
        </w:r>
      </w:hyperlink>
      <w:r w:rsidRPr="00D35639">
        <w:rPr>
          <w:rFonts w:ascii="Quattrocento Sans" w:eastAsia="Quattrocento Sans" w:hAnsi="Quattrocento Sans" w:cs="Quattrocento Sans"/>
          <w:color w:val="000000"/>
          <w:sz w:val="18"/>
          <w:szCs w:val="18"/>
          <w:lang w:val="es-MX"/>
        </w:rPr>
        <w:t xml:space="preserve">. </w:t>
      </w:r>
    </w:p>
  </w:footnote>
  <w:footnote w:id="10">
    <w:p w14:paraId="62F0BD78" w14:textId="2522C295" w:rsidR="0023733D" w:rsidRDefault="00301E53">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vertAlign w:val="superscript"/>
        </w:rPr>
        <w:footnoteRef/>
      </w:r>
      <w:r>
        <w:rPr>
          <w:rFonts w:ascii="Quattrocento Sans" w:eastAsia="Quattrocento Sans" w:hAnsi="Quattrocento Sans" w:cs="Quattrocento Sans"/>
          <w:color w:val="000000"/>
          <w:sz w:val="18"/>
          <w:szCs w:val="18"/>
        </w:rPr>
        <w:t xml:space="preserve"> PROMSEX</w:t>
      </w:r>
      <w:hyperlink r:id="rId9" w:history="1">
        <w:r w:rsidR="00016E47" w:rsidRPr="00016E47">
          <w:rPr>
            <w:rStyle w:val="Hipervnculo"/>
            <w:rFonts w:ascii="Quattrocento Sans" w:eastAsia="Quattrocento Sans" w:hAnsi="Quattrocento Sans" w:cs="Quattrocento Sans"/>
            <w:sz w:val="18"/>
            <w:szCs w:val="18"/>
          </w:rPr>
          <w:t xml:space="preserve">. </w:t>
        </w:r>
        <w:proofErr w:type="spellStart"/>
        <w:r w:rsidR="00016E47" w:rsidRPr="00016E47">
          <w:rPr>
            <w:rStyle w:val="Hipervnculo"/>
            <w:rFonts w:ascii="Quattrocento Sans" w:eastAsia="Quattrocento Sans" w:hAnsi="Quattrocento Sans" w:cs="Quattrocento Sans"/>
            <w:sz w:val="18"/>
            <w:szCs w:val="18"/>
          </w:rPr>
          <w:t>Y.</w:t>
        </w:r>
        <w:proofErr w:type="gramStart"/>
        <w:r w:rsidR="00016E47" w:rsidRPr="00016E47">
          <w:rPr>
            <w:rStyle w:val="Hipervnculo"/>
            <w:rFonts w:ascii="Quattrocento Sans" w:eastAsia="Quattrocento Sans" w:hAnsi="Quattrocento Sans" w:cs="Quattrocento Sans"/>
            <w:sz w:val="18"/>
            <w:szCs w:val="18"/>
          </w:rPr>
          <w:t>P.case</w:t>
        </w:r>
        <w:proofErr w:type="spellEnd"/>
        <w:proofErr w:type="gramEnd"/>
        <w:r w:rsidR="00016E47" w:rsidRPr="00016E47">
          <w:rPr>
            <w:rStyle w:val="Hipervnculo"/>
            <w:rFonts w:ascii="Quattrocento Sans" w:eastAsia="Quattrocento Sans" w:hAnsi="Quattrocento Sans" w:cs="Quattrocento Sans"/>
            <w:sz w:val="18"/>
            <w:szCs w:val="18"/>
          </w:rPr>
          <w:t xml:space="preserve"> </w:t>
        </w:r>
      </w:hyperlink>
      <w:r>
        <w:rPr>
          <w:rFonts w:ascii="Quattrocento Sans" w:eastAsia="Quattrocento Sans" w:hAnsi="Quattrocento Sans" w:cs="Quattrocento Sans"/>
          <w:sz w:val="18"/>
          <w:szCs w:val="18"/>
        </w:rPr>
        <w:t xml:space="preserve"> </w:t>
      </w:r>
    </w:p>
  </w:footnote>
  <w:footnote w:id="11">
    <w:p w14:paraId="48A192AA" w14:textId="62C727DD" w:rsidR="0023733D" w:rsidRDefault="00301E53">
      <w:pPr>
        <w:spacing w:after="0" w:line="240" w:lineRule="auto"/>
        <w:jc w:val="both"/>
        <w:rPr>
          <w:rFonts w:ascii="Quattrocento Sans" w:eastAsia="Quattrocento Sans" w:hAnsi="Quattrocento Sans" w:cs="Quattrocento Sans"/>
          <w:sz w:val="18"/>
          <w:szCs w:val="18"/>
        </w:rPr>
      </w:pPr>
      <w:r>
        <w:rPr>
          <w:vertAlign w:val="superscript"/>
        </w:rPr>
        <w:footnoteRef/>
      </w:r>
      <w:r>
        <w:rPr>
          <w:rFonts w:ascii="Quattrocento Sans" w:eastAsia="Quattrocento Sans" w:hAnsi="Quattrocento Sans" w:cs="Quattrocento Sans"/>
          <w:sz w:val="20"/>
          <w:szCs w:val="20"/>
        </w:rPr>
        <w:t xml:space="preserve"> </w:t>
      </w:r>
      <w:r>
        <w:rPr>
          <w:rFonts w:ascii="Quattrocento Sans" w:eastAsia="Quattrocento Sans" w:hAnsi="Quattrocento Sans" w:cs="Quattrocento Sans"/>
          <w:sz w:val="18"/>
          <w:szCs w:val="18"/>
        </w:rPr>
        <w:t xml:space="preserve">Although </w:t>
      </w:r>
      <w:r w:rsidRPr="00016E47">
        <w:rPr>
          <w:rFonts w:ascii="Quattrocento Sans" w:eastAsia="Quattrocento Sans" w:hAnsi="Quattrocento Sans" w:cs="Quattrocento Sans"/>
          <w:b/>
          <w:bCs/>
          <w:sz w:val="18"/>
          <w:szCs w:val="18"/>
        </w:rPr>
        <w:t>E</w:t>
      </w:r>
      <w:r w:rsidR="00016E47" w:rsidRPr="00016E47">
        <w:rPr>
          <w:rFonts w:ascii="Quattrocento Sans" w:eastAsia="Quattrocento Sans" w:hAnsi="Quattrocento Sans" w:cs="Quattrocento Sans"/>
          <w:b/>
          <w:bCs/>
          <w:sz w:val="18"/>
          <w:szCs w:val="18"/>
        </w:rPr>
        <w:t>.</w:t>
      </w:r>
      <w:r>
        <w:rPr>
          <w:rFonts w:ascii="Quattrocento Sans" w:eastAsia="Quattrocento Sans" w:hAnsi="Quattrocento Sans" w:cs="Quattrocento Sans"/>
          <w:sz w:val="18"/>
          <w:szCs w:val="18"/>
        </w:rPr>
        <w:t xml:space="preserve"> identifies himself as a man, is important to </w:t>
      </w:r>
      <w:proofErr w:type="spellStart"/>
      <w:r>
        <w:rPr>
          <w:rFonts w:ascii="Quattrocento Sans" w:eastAsia="Quattrocento Sans" w:hAnsi="Quattrocento Sans" w:cs="Quattrocento Sans"/>
          <w:sz w:val="18"/>
          <w:szCs w:val="18"/>
        </w:rPr>
        <w:t>aknowledge</w:t>
      </w:r>
      <w:proofErr w:type="spellEnd"/>
      <w:r>
        <w:rPr>
          <w:rFonts w:ascii="Quattrocento Sans" w:eastAsia="Quattrocento Sans" w:hAnsi="Quattrocento Sans" w:cs="Quattrocento Sans"/>
          <w:sz w:val="18"/>
          <w:szCs w:val="18"/>
        </w:rPr>
        <w:t xml:space="preserve"> that his gender identity, expression nor his sex </w:t>
      </w:r>
      <w:proofErr w:type="spellStart"/>
      <w:r>
        <w:rPr>
          <w:rFonts w:ascii="Quattrocento Sans" w:eastAsia="Quattrocento Sans" w:hAnsi="Quattrocento Sans" w:cs="Quattrocento Sans"/>
          <w:sz w:val="18"/>
          <w:szCs w:val="18"/>
        </w:rPr>
        <w:t>caharacteristics</w:t>
      </w:r>
      <w:proofErr w:type="spellEnd"/>
      <w:r>
        <w:rPr>
          <w:rFonts w:ascii="Quattrocento Sans" w:eastAsia="Quattrocento Sans" w:hAnsi="Quattrocento Sans" w:cs="Quattrocento Sans"/>
          <w:sz w:val="18"/>
          <w:szCs w:val="18"/>
        </w:rPr>
        <w:t xml:space="preserve"> have been </w:t>
      </w:r>
      <w:proofErr w:type="spellStart"/>
      <w:r>
        <w:rPr>
          <w:rFonts w:ascii="Quattrocento Sans" w:eastAsia="Quattrocento Sans" w:hAnsi="Quattrocento Sans" w:cs="Quattrocento Sans"/>
          <w:sz w:val="18"/>
          <w:szCs w:val="18"/>
        </w:rPr>
        <w:t>recognised</w:t>
      </w:r>
      <w:proofErr w:type="spellEnd"/>
      <w:r>
        <w:rPr>
          <w:rFonts w:ascii="Quattrocento Sans" w:eastAsia="Quattrocento Sans" w:hAnsi="Quattrocento Sans" w:cs="Quattrocento Sans"/>
          <w:sz w:val="18"/>
          <w:szCs w:val="18"/>
        </w:rPr>
        <w:t xml:space="preserve"> by the Peruvian State, being labelled as a woman during his entire life. </w:t>
      </w:r>
      <w:proofErr w:type="gramStart"/>
      <w:r>
        <w:rPr>
          <w:rFonts w:ascii="Quattrocento Sans" w:eastAsia="Quattrocento Sans" w:hAnsi="Quattrocento Sans" w:cs="Quattrocento Sans"/>
          <w:sz w:val="18"/>
          <w:szCs w:val="18"/>
        </w:rPr>
        <w:t>Therefore</w:t>
      </w:r>
      <w:proofErr w:type="gramEnd"/>
      <w:r>
        <w:rPr>
          <w:rFonts w:ascii="Quattrocento Sans" w:eastAsia="Quattrocento Sans" w:hAnsi="Quattrocento Sans" w:cs="Quattrocento Sans"/>
          <w:sz w:val="18"/>
          <w:szCs w:val="18"/>
        </w:rPr>
        <w:t xml:space="preserve"> his case, as well as others regarding various issues for intersex people, shall fall under the jurisdiction of the CEDAW.  One example </w:t>
      </w:r>
      <w:proofErr w:type="gramStart"/>
      <w:r>
        <w:rPr>
          <w:rFonts w:ascii="Quattrocento Sans" w:eastAsia="Quattrocento Sans" w:hAnsi="Quattrocento Sans" w:cs="Quattrocento Sans"/>
          <w:sz w:val="18"/>
          <w:szCs w:val="18"/>
        </w:rPr>
        <w:t>are</w:t>
      </w:r>
      <w:proofErr w:type="gramEnd"/>
      <w:r>
        <w:rPr>
          <w:rFonts w:ascii="Quattrocento Sans" w:eastAsia="Quattrocento Sans" w:hAnsi="Quattrocento Sans" w:cs="Quattrocento Sans"/>
          <w:sz w:val="18"/>
          <w:szCs w:val="18"/>
        </w:rPr>
        <w:t xml:space="preserve"> the 2018 Concluding observations to Australia on non-discriminatory access to health services for intersex persons. </w:t>
      </w:r>
      <w:hyperlink r:id="rId10">
        <w:r>
          <w:rPr>
            <w:rFonts w:ascii="Quattrocento Sans" w:eastAsia="Quattrocento Sans" w:hAnsi="Quattrocento Sans" w:cs="Quattrocento Sans"/>
            <w:color w:val="1155CC"/>
            <w:sz w:val="18"/>
            <w:szCs w:val="18"/>
            <w:u w:val="single"/>
          </w:rPr>
          <w:t>CEDAW/C/AUS/CO/8</w:t>
        </w:r>
      </w:hyperlink>
      <w:r>
        <w:rPr>
          <w:rFonts w:ascii="Quattrocento Sans" w:eastAsia="Quattrocento Sans" w:hAnsi="Quattrocento Sans" w:cs="Quattrocento Sans"/>
          <w:sz w:val="18"/>
          <w:szCs w:val="18"/>
        </w:rPr>
        <w:t>, para. 50</w:t>
      </w:r>
    </w:p>
  </w:footnote>
  <w:footnote w:id="12">
    <w:p w14:paraId="79845713" w14:textId="1771743F" w:rsidR="0023733D" w:rsidRDefault="00301E53">
      <w:pPr>
        <w:spacing w:after="0" w:line="240" w:lineRule="auto"/>
        <w:rPr>
          <w:rFonts w:ascii="Quattrocento Sans" w:eastAsia="Quattrocento Sans" w:hAnsi="Quattrocento Sans" w:cs="Quattrocento Sans"/>
          <w:sz w:val="20"/>
          <w:szCs w:val="20"/>
        </w:rPr>
      </w:pPr>
      <w:r>
        <w:rPr>
          <w:vertAlign w:val="superscript"/>
        </w:rPr>
        <w:footnoteRef/>
      </w:r>
      <w:hyperlink r:id="rId11">
        <w:r>
          <w:rPr>
            <w:rFonts w:ascii="Quattrocento Sans" w:eastAsia="Quattrocento Sans" w:hAnsi="Quattrocento Sans" w:cs="Quattrocento Sans"/>
            <w:color w:val="1155CC"/>
            <w:sz w:val="20"/>
            <w:szCs w:val="20"/>
            <w:u w:val="single"/>
          </w:rPr>
          <w:t xml:space="preserve"> </w:t>
        </w:r>
        <w:r w:rsidR="00016E47">
          <w:rPr>
            <w:rFonts w:ascii="Quattrocento Sans" w:eastAsia="Quattrocento Sans" w:hAnsi="Quattrocento Sans" w:cs="Quattrocento Sans"/>
            <w:color w:val="1155CC"/>
            <w:sz w:val="20"/>
            <w:szCs w:val="20"/>
            <w:u w:val="single"/>
          </w:rPr>
          <w:t>C</w:t>
        </w:r>
        <w:r>
          <w:rPr>
            <w:rFonts w:ascii="Quattrocento Sans" w:eastAsia="Quattrocento Sans" w:hAnsi="Quattrocento Sans" w:cs="Quattrocento Sans"/>
            <w:color w:val="1155CC"/>
            <w:sz w:val="20"/>
            <w:szCs w:val="20"/>
            <w:u w:val="single"/>
          </w:rPr>
          <w:t>ase against RENIEC</w:t>
        </w:r>
      </w:hyperlink>
      <w:r>
        <w:rPr>
          <w:rFonts w:ascii="Quattrocento Sans" w:eastAsia="Quattrocento Sans" w:hAnsi="Quattrocento Sans" w:cs="Quattrocento Sans"/>
          <w:sz w:val="20"/>
          <w:szCs w:val="20"/>
        </w:rPr>
        <w:t>. 2020</w:t>
      </w:r>
    </w:p>
  </w:footnote>
  <w:footnote w:id="13">
    <w:p w14:paraId="650D7381" w14:textId="14081307" w:rsidR="0023733D" w:rsidRDefault="00301E53">
      <w:pPr>
        <w:spacing w:after="0" w:line="240" w:lineRule="auto"/>
        <w:rPr>
          <w:rFonts w:ascii="Quattrocento Sans" w:eastAsia="Quattrocento Sans" w:hAnsi="Quattrocento Sans" w:cs="Quattrocento Sans"/>
          <w:sz w:val="20"/>
          <w:szCs w:val="20"/>
        </w:rPr>
      </w:pPr>
      <w:r>
        <w:rPr>
          <w:vertAlign w:val="superscript"/>
        </w:rPr>
        <w:footnoteRef/>
      </w:r>
      <w:r>
        <w:rPr>
          <w:rFonts w:ascii="Quattrocento Sans" w:eastAsia="Quattrocento Sans" w:hAnsi="Quattrocento Sans" w:cs="Quattrocento Sans"/>
          <w:sz w:val="18"/>
          <w:szCs w:val="18"/>
        </w:rPr>
        <w:t>PROMSEX</w:t>
      </w:r>
      <w:r>
        <w:rPr>
          <w:rFonts w:ascii="Quattrocento Sans" w:eastAsia="Quattrocento Sans" w:hAnsi="Quattrocento Sans" w:cs="Quattrocento Sans"/>
          <w:sz w:val="20"/>
          <w:szCs w:val="20"/>
        </w:rPr>
        <w:t xml:space="preserve"> </w:t>
      </w:r>
      <w:r>
        <w:rPr>
          <w:rFonts w:ascii="Quattrocento Sans" w:eastAsia="Quattrocento Sans" w:hAnsi="Quattrocento Sans" w:cs="Quattrocento Sans"/>
          <w:sz w:val="18"/>
          <w:szCs w:val="18"/>
        </w:rPr>
        <w:t xml:space="preserve"> </w:t>
      </w:r>
      <w:hyperlink r:id="rId12">
        <w:r>
          <w:rPr>
            <w:rFonts w:ascii="Quattrocento Sans" w:eastAsia="Quattrocento Sans" w:hAnsi="Quattrocento Sans" w:cs="Quattrocento Sans"/>
            <w:color w:val="1155CC"/>
            <w:sz w:val="18"/>
            <w:szCs w:val="18"/>
            <w:u w:val="single"/>
          </w:rPr>
          <w:t>E</w:t>
        </w:r>
        <w:r w:rsidR="00016E47">
          <w:rPr>
            <w:rFonts w:ascii="Quattrocento Sans" w:eastAsia="Quattrocento Sans" w:hAnsi="Quattrocento Sans" w:cs="Quattrocento Sans"/>
            <w:color w:val="1155CC"/>
            <w:sz w:val="18"/>
            <w:szCs w:val="18"/>
            <w:u w:val="single"/>
          </w:rPr>
          <w:t>.</w:t>
        </w:r>
        <w:r>
          <w:rPr>
            <w:rFonts w:ascii="Quattrocento Sans" w:eastAsia="Quattrocento Sans" w:hAnsi="Quattrocento Sans" w:cs="Quattrocento Sans"/>
            <w:color w:val="1155CC"/>
            <w:sz w:val="18"/>
            <w:szCs w:val="18"/>
            <w:u w:val="single"/>
          </w:rPr>
          <w:t xml:space="preserve"> case</w:t>
        </w:r>
      </w:hyperlink>
    </w:p>
  </w:footnote>
  <w:footnote w:id="14">
    <w:p w14:paraId="50150297" w14:textId="77777777" w:rsidR="0023733D" w:rsidRDefault="00301E53">
      <w:pPr>
        <w:widowControl w:val="0"/>
        <w:pBdr>
          <w:top w:val="nil"/>
          <w:left w:val="nil"/>
          <w:bottom w:val="nil"/>
          <w:right w:val="nil"/>
          <w:between w:val="nil"/>
        </w:pBdr>
        <w:spacing w:after="0" w:line="240" w:lineRule="auto"/>
        <w:rPr>
          <w:rFonts w:ascii="Quattrocento Sans" w:eastAsia="Quattrocento Sans" w:hAnsi="Quattrocento Sans" w:cs="Quattrocento Sans"/>
          <w:color w:val="000000"/>
          <w:sz w:val="20"/>
          <w:szCs w:val="20"/>
        </w:rPr>
      </w:pPr>
      <w:r>
        <w:rPr>
          <w:vertAlign w:val="superscript"/>
        </w:rPr>
        <w:footnoteRef/>
      </w:r>
      <w:r>
        <w:rPr>
          <w:rFonts w:ascii="Quattrocento Sans" w:eastAsia="Quattrocento Sans" w:hAnsi="Quattrocento Sans" w:cs="Quattrocento Sans"/>
          <w:color w:val="000000"/>
          <w:sz w:val="20"/>
          <w:szCs w:val="20"/>
        </w:rPr>
        <w:t xml:space="preserve"> </w:t>
      </w:r>
      <w:r>
        <w:rPr>
          <w:rFonts w:ascii="Quattrocento Sans" w:eastAsia="Quattrocento Sans" w:hAnsi="Quattrocento Sans" w:cs="Quattrocento Sans"/>
          <w:color w:val="000000"/>
          <w:sz w:val="18"/>
          <w:szCs w:val="18"/>
        </w:rPr>
        <w:t>Sexual orientation and gender identity</w:t>
      </w:r>
    </w:p>
  </w:footnote>
  <w:footnote w:id="15">
    <w:p w14:paraId="511135D1" w14:textId="77777777" w:rsidR="0023733D" w:rsidRDefault="00301E53">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vertAlign w:val="superscript"/>
        </w:rPr>
        <w:footnoteRef/>
      </w:r>
      <w:r>
        <w:rPr>
          <w:rFonts w:ascii="Quattrocento Sans" w:eastAsia="Quattrocento Sans" w:hAnsi="Quattrocento Sans" w:cs="Quattrocento Sans"/>
          <w:color w:val="000000"/>
          <w:sz w:val="18"/>
          <w:szCs w:val="18"/>
        </w:rPr>
        <w:t xml:space="preserve"> This measure was cancelled on March 10, 2020.</w:t>
      </w:r>
    </w:p>
  </w:footnote>
  <w:footnote w:id="16">
    <w:p w14:paraId="1C4A8066" w14:textId="77777777" w:rsidR="0023733D" w:rsidRPr="00D35639" w:rsidRDefault="00301E53">
      <w:pPr>
        <w:pBdr>
          <w:top w:val="nil"/>
          <w:left w:val="nil"/>
          <w:bottom w:val="nil"/>
          <w:right w:val="nil"/>
          <w:between w:val="nil"/>
        </w:pBdr>
        <w:spacing w:after="0" w:line="240" w:lineRule="auto"/>
        <w:rPr>
          <w:rFonts w:ascii="Quattrocento Sans" w:eastAsia="Quattrocento Sans" w:hAnsi="Quattrocento Sans" w:cs="Quattrocento Sans"/>
          <w:color w:val="000000"/>
          <w:sz w:val="20"/>
          <w:szCs w:val="20"/>
          <w:lang w:val="es-MX"/>
        </w:rPr>
      </w:pPr>
      <w:r>
        <w:rPr>
          <w:vertAlign w:val="superscript"/>
        </w:rPr>
        <w:footnoteRef/>
      </w:r>
      <w:r w:rsidRPr="00D35639">
        <w:rPr>
          <w:rFonts w:ascii="Quattrocento Sans" w:eastAsia="Quattrocento Sans" w:hAnsi="Quattrocento Sans" w:cs="Quattrocento Sans"/>
          <w:color w:val="000000"/>
          <w:sz w:val="20"/>
          <w:szCs w:val="20"/>
          <w:lang w:val="es-MX"/>
        </w:rPr>
        <w:t xml:space="preserve"> </w:t>
      </w:r>
      <w:r w:rsidRPr="00D35639">
        <w:rPr>
          <w:rFonts w:ascii="Quattrocento Sans" w:eastAsia="Quattrocento Sans" w:hAnsi="Quattrocento Sans" w:cs="Quattrocento Sans"/>
          <w:color w:val="000000"/>
          <w:sz w:val="18"/>
          <w:szCs w:val="18"/>
          <w:lang w:val="es-MX"/>
        </w:rPr>
        <w:t xml:space="preserve">La Mala Fe. URL: </w:t>
      </w:r>
      <w:hyperlink r:id="rId13">
        <w:r w:rsidRPr="00D35639">
          <w:rPr>
            <w:rFonts w:ascii="Quattrocento Sans" w:eastAsia="Quattrocento Sans" w:hAnsi="Quattrocento Sans" w:cs="Quattrocento Sans"/>
            <w:color w:val="0563C1"/>
            <w:sz w:val="18"/>
            <w:szCs w:val="18"/>
            <w:u w:val="single"/>
            <w:lang w:val="es-MX"/>
          </w:rPr>
          <w:t>https://www.lamalafe.lat/cuarentena-por-genero-expone-la-transfobia-de-las-fuerzas-del-orden-en-panama-y-peru/</w:t>
        </w:r>
      </w:hyperlink>
    </w:p>
  </w:footnote>
  <w:footnote w:id="17">
    <w:p w14:paraId="712C8AFD" w14:textId="77777777" w:rsidR="0023733D" w:rsidRPr="00D35639" w:rsidRDefault="00301E53">
      <w:pPr>
        <w:widowControl w:val="0"/>
        <w:pBdr>
          <w:top w:val="nil"/>
          <w:left w:val="nil"/>
          <w:bottom w:val="nil"/>
          <w:right w:val="nil"/>
          <w:between w:val="nil"/>
        </w:pBdr>
        <w:spacing w:after="0" w:line="240" w:lineRule="auto"/>
        <w:jc w:val="both"/>
        <w:rPr>
          <w:rFonts w:ascii="Quattrocento Sans" w:eastAsia="Quattrocento Sans" w:hAnsi="Quattrocento Sans" w:cs="Quattrocento Sans"/>
          <w:color w:val="000000"/>
          <w:sz w:val="18"/>
          <w:szCs w:val="18"/>
          <w:lang w:val="es-MX"/>
        </w:rPr>
      </w:pPr>
      <w:r>
        <w:rPr>
          <w:vertAlign w:val="superscript"/>
        </w:rPr>
        <w:footnoteRef/>
      </w:r>
      <w:r w:rsidRPr="00D35639">
        <w:rPr>
          <w:rFonts w:ascii="Quattrocento Sans" w:eastAsia="Quattrocento Sans" w:hAnsi="Quattrocento Sans" w:cs="Quattrocento Sans"/>
          <w:color w:val="000000"/>
          <w:sz w:val="20"/>
          <w:szCs w:val="20"/>
          <w:lang w:val="es-MX"/>
        </w:rPr>
        <w:t xml:space="preserve"> </w:t>
      </w:r>
      <w:r w:rsidRPr="00D35639">
        <w:rPr>
          <w:rFonts w:ascii="Quattrocento Sans" w:eastAsia="Quattrocento Sans" w:hAnsi="Quattrocento Sans" w:cs="Quattrocento Sans"/>
          <w:color w:val="000000"/>
          <w:sz w:val="18"/>
          <w:szCs w:val="18"/>
          <w:lang w:val="es-MX"/>
        </w:rPr>
        <w:t xml:space="preserve">CONACOD. (2019) </w:t>
      </w:r>
      <w:hyperlink r:id="rId14">
        <w:r w:rsidRPr="00D35639">
          <w:rPr>
            <w:rFonts w:ascii="Quattrocento Sans" w:eastAsia="Quattrocento Sans" w:hAnsi="Quattrocento Sans" w:cs="Quattrocento Sans"/>
            <w:color w:val="0563C1"/>
            <w:sz w:val="18"/>
            <w:szCs w:val="18"/>
            <w:u w:val="single"/>
            <w:lang w:val="es-MX"/>
          </w:rPr>
          <w:t>Informe sobre la situación de la identidad de género de las personas trans en el Perú</w:t>
        </w:r>
      </w:hyperlink>
    </w:p>
  </w:footnote>
  <w:footnote w:id="18">
    <w:p w14:paraId="54DD061E" w14:textId="77777777" w:rsidR="0023733D" w:rsidRPr="00D35639" w:rsidRDefault="00301E53">
      <w:pPr>
        <w:widowControl w:val="0"/>
        <w:pBdr>
          <w:top w:val="nil"/>
          <w:left w:val="nil"/>
          <w:bottom w:val="nil"/>
          <w:right w:val="nil"/>
          <w:between w:val="nil"/>
        </w:pBdr>
        <w:spacing w:after="0" w:line="240" w:lineRule="auto"/>
        <w:jc w:val="both"/>
        <w:rPr>
          <w:rFonts w:ascii="Quattrocento Sans" w:eastAsia="Quattrocento Sans" w:hAnsi="Quattrocento Sans" w:cs="Quattrocento Sans"/>
          <w:color w:val="000000"/>
          <w:sz w:val="18"/>
          <w:szCs w:val="18"/>
          <w:lang w:val="es-MX"/>
        </w:rPr>
      </w:pPr>
      <w:r>
        <w:rPr>
          <w:vertAlign w:val="superscript"/>
        </w:rPr>
        <w:footnoteRef/>
      </w:r>
      <w:r w:rsidRPr="00D35639">
        <w:rPr>
          <w:rFonts w:ascii="Quattrocento Sans" w:eastAsia="Quattrocento Sans" w:hAnsi="Quattrocento Sans" w:cs="Quattrocento Sans"/>
          <w:color w:val="000000"/>
          <w:sz w:val="18"/>
          <w:szCs w:val="18"/>
          <w:lang w:val="es-MX"/>
        </w:rPr>
        <w:t xml:space="preserve">PROMSEX. (2012). </w:t>
      </w:r>
      <w:hyperlink r:id="rId15">
        <w:r w:rsidRPr="00D35639">
          <w:rPr>
            <w:rFonts w:ascii="Quattrocento Sans" w:eastAsia="Quattrocento Sans" w:hAnsi="Quattrocento Sans" w:cs="Quattrocento Sans"/>
            <w:color w:val="0563C1"/>
            <w:sz w:val="18"/>
            <w:szCs w:val="18"/>
            <w:u w:val="single"/>
            <w:lang w:val="es-MX"/>
          </w:rPr>
          <w:t>Informe de Derechos Humanos de las personas TLGB</w:t>
        </w:r>
      </w:hyperlink>
      <w:r w:rsidRPr="00D35639">
        <w:rPr>
          <w:rFonts w:ascii="Quattrocento Sans" w:eastAsia="Quattrocento Sans" w:hAnsi="Quattrocento Sans" w:cs="Quattrocento Sans"/>
          <w:color w:val="000000"/>
          <w:sz w:val="18"/>
          <w:szCs w:val="18"/>
          <w:lang w:val="es-MX"/>
        </w:rPr>
        <w:t xml:space="preserve">. </w:t>
      </w:r>
    </w:p>
    <w:p w14:paraId="3E4090A1" w14:textId="77777777" w:rsidR="0023733D" w:rsidRPr="00D35639" w:rsidRDefault="0023733D">
      <w:pPr>
        <w:pBdr>
          <w:top w:val="nil"/>
          <w:left w:val="nil"/>
          <w:bottom w:val="nil"/>
          <w:right w:val="nil"/>
          <w:between w:val="nil"/>
        </w:pBdr>
        <w:spacing w:after="0" w:line="240" w:lineRule="auto"/>
        <w:rPr>
          <w:rFonts w:ascii="Quattrocento Sans" w:eastAsia="Quattrocento Sans" w:hAnsi="Quattrocento Sans" w:cs="Quattrocento Sans"/>
          <w:color w:val="000000"/>
          <w:sz w:val="20"/>
          <w:szCs w:val="20"/>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D7F9B" w14:textId="77777777" w:rsidR="0023733D" w:rsidRDefault="00301E53">
    <w:pPr>
      <w:pBdr>
        <w:top w:val="nil"/>
        <w:left w:val="nil"/>
        <w:bottom w:val="nil"/>
        <w:right w:val="nil"/>
        <w:between w:val="nil"/>
      </w:pBdr>
      <w:tabs>
        <w:tab w:val="center" w:pos="4419"/>
        <w:tab w:val="right" w:pos="8838"/>
      </w:tabs>
      <w:spacing w:after="0" w:line="240" w:lineRule="auto"/>
      <w:rPr>
        <w:color w:val="000000"/>
      </w:rPr>
    </w:pPr>
    <w:r>
      <w:rPr>
        <w:rFonts w:ascii="Cambria" w:eastAsia="Cambria" w:hAnsi="Cambria" w:cs="Cambria"/>
        <w:b/>
        <w:color w:val="000000"/>
      </w:rPr>
      <w:t xml:space="preserve"> </w:t>
    </w:r>
  </w:p>
  <w:p w14:paraId="5EF52FBA" w14:textId="77777777" w:rsidR="0023733D" w:rsidRDefault="0023733D">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8066B"/>
    <w:multiLevelType w:val="multilevel"/>
    <w:tmpl w:val="DDCCA05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222B93"/>
    <w:multiLevelType w:val="multilevel"/>
    <w:tmpl w:val="E6D4FC2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21768C1"/>
    <w:multiLevelType w:val="multilevel"/>
    <w:tmpl w:val="DD580AD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wNTUxMTI2MzExNTBS0lEKTi0uzszPAykwrAUAo801hywAAAA="/>
  </w:docVars>
  <w:rsids>
    <w:rsidRoot w:val="0023733D"/>
    <w:rsid w:val="00016E47"/>
    <w:rsid w:val="0023733D"/>
    <w:rsid w:val="00301E53"/>
    <w:rsid w:val="00833492"/>
    <w:rsid w:val="00D35639"/>
    <w:rsid w:val="00E02E2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3E00F"/>
  <w15:docId w15:val="{B33BC75F-4CA0-4B36-AD4F-8C4094FE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F17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8F17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Default">
    <w:name w:val="Default"/>
    <w:rsid w:val="00DD668D"/>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DD668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668D"/>
  </w:style>
  <w:style w:type="paragraph" w:styleId="Piedepgina">
    <w:name w:val="footer"/>
    <w:basedOn w:val="Normal"/>
    <w:link w:val="PiedepginaCar"/>
    <w:uiPriority w:val="99"/>
    <w:unhideWhenUsed/>
    <w:rsid w:val="00DD66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668D"/>
  </w:style>
  <w:style w:type="character" w:customStyle="1" w:styleId="Ttulo1Car">
    <w:name w:val="Título 1 Car"/>
    <w:basedOn w:val="Fuentedeprrafopredeter"/>
    <w:link w:val="Ttulo1"/>
    <w:uiPriority w:val="9"/>
    <w:rsid w:val="008F17BB"/>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8F17BB"/>
    <w:pPr>
      <w:outlineLvl w:val="9"/>
    </w:pPr>
  </w:style>
  <w:style w:type="character" w:styleId="Refdecomentario">
    <w:name w:val="annotation reference"/>
    <w:basedOn w:val="Fuentedeprrafopredeter"/>
    <w:uiPriority w:val="99"/>
    <w:semiHidden/>
    <w:unhideWhenUsed/>
    <w:rsid w:val="008F17BB"/>
    <w:rPr>
      <w:sz w:val="16"/>
      <w:szCs w:val="16"/>
    </w:rPr>
  </w:style>
  <w:style w:type="paragraph" w:styleId="Textocomentario">
    <w:name w:val="annotation text"/>
    <w:basedOn w:val="Normal"/>
    <w:link w:val="TextocomentarioCar"/>
    <w:uiPriority w:val="99"/>
    <w:semiHidden/>
    <w:unhideWhenUsed/>
    <w:rsid w:val="008F17B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F17BB"/>
    <w:rPr>
      <w:sz w:val="20"/>
      <w:szCs w:val="20"/>
    </w:rPr>
  </w:style>
  <w:style w:type="paragraph" w:styleId="Asuntodelcomentario">
    <w:name w:val="annotation subject"/>
    <w:basedOn w:val="Textocomentario"/>
    <w:next w:val="Textocomentario"/>
    <w:link w:val="AsuntodelcomentarioCar"/>
    <w:uiPriority w:val="99"/>
    <w:semiHidden/>
    <w:unhideWhenUsed/>
    <w:rsid w:val="008F17BB"/>
    <w:rPr>
      <w:b/>
      <w:bCs/>
    </w:rPr>
  </w:style>
  <w:style w:type="character" w:customStyle="1" w:styleId="AsuntodelcomentarioCar">
    <w:name w:val="Asunto del comentario Car"/>
    <w:basedOn w:val="TextocomentarioCar"/>
    <w:link w:val="Asuntodelcomentario"/>
    <w:uiPriority w:val="99"/>
    <w:semiHidden/>
    <w:rsid w:val="008F17BB"/>
    <w:rPr>
      <w:b/>
      <w:bCs/>
      <w:sz w:val="20"/>
      <w:szCs w:val="20"/>
    </w:rPr>
  </w:style>
  <w:style w:type="paragraph" w:styleId="Textodeglobo">
    <w:name w:val="Balloon Text"/>
    <w:basedOn w:val="Normal"/>
    <w:link w:val="TextodegloboCar"/>
    <w:uiPriority w:val="99"/>
    <w:semiHidden/>
    <w:unhideWhenUsed/>
    <w:rsid w:val="008F17B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17BB"/>
    <w:rPr>
      <w:rFonts w:ascii="Segoe UI" w:hAnsi="Segoe UI" w:cs="Segoe UI"/>
      <w:sz w:val="18"/>
      <w:szCs w:val="18"/>
    </w:rPr>
  </w:style>
  <w:style w:type="character" w:customStyle="1" w:styleId="Ttulo2Car">
    <w:name w:val="Título 2 Car"/>
    <w:basedOn w:val="Fuentedeprrafopredeter"/>
    <w:link w:val="Ttulo2"/>
    <w:uiPriority w:val="9"/>
    <w:rsid w:val="008F17BB"/>
    <w:rPr>
      <w:rFonts w:asciiTheme="majorHAnsi" w:eastAsiaTheme="majorEastAsia" w:hAnsiTheme="majorHAnsi" w:cstheme="majorBidi"/>
      <w:color w:val="2E74B5" w:themeColor="accent1" w:themeShade="BF"/>
      <w:sz w:val="26"/>
      <w:szCs w:val="26"/>
    </w:rPr>
  </w:style>
  <w:style w:type="paragraph" w:styleId="Prrafodelista">
    <w:name w:val="List Paragraph"/>
    <w:basedOn w:val="Normal"/>
    <w:uiPriority w:val="34"/>
    <w:qFormat/>
    <w:rsid w:val="00EB3CCE"/>
    <w:pPr>
      <w:ind w:left="720"/>
      <w:contextualSpacing/>
    </w:pPr>
  </w:style>
  <w:style w:type="paragraph" w:styleId="TDC1">
    <w:name w:val="toc 1"/>
    <w:basedOn w:val="Normal"/>
    <w:next w:val="Normal"/>
    <w:autoRedefine/>
    <w:uiPriority w:val="39"/>
    <w:unhideWhenUsed/>
    <w:rsid w:val="005545F7"/>
    <w:pPr>
      <w:spacing w:after="100"/>
    </w:pPr>
  </w:style>
  <w:style w:type="paragraph" w:styleId="TDC2">
    <w:name w:val="toc 2"/>
    <w:basedOn w:val="Normal"/>
    <w:next w:val="Normal"/>
    <w:autoRedefine/>
    <w:uiPriority w:val="39"/>
    <w:unhideWhenUsed/>
    <w:rsid w:val="005545F7"/>
    <w:pPr>
      <w:spacing w:after="100"/>
      <w:ind w:left="220"/>
    </w:pPr>
  </w:style>
  <w:style w:type="character" w:styleId="Hipervnculo">
    <w:name w:val="Hyperlink"/>
    <w:basedOn w:val="Fuentedeprrafopredeter"/>
    <w:uiPriority w:val="99"/>
    <w:unhideWhenUsed/>
    <w:rsid w:val="005545F7"/>
    <w:rPr>
      <w:color w:val="0563C1" w:themeColor="hyperlink"/>
      <w:u w:val="single"/>
    </w:rPr>
  </w:style>
  <w:style w:type="paragraph" w:styleId="Textonotapie">
    <w:name w:val="footnote text"/>
    <w:basedOn w:val="Normal"/>
    <w:link w:val="TextonotapieCar"/>
    <w:uiPriority w:val="99"/>
    <w:semiHidden/>
    <w:unhideWhenUsed/>
    <w:rsid w:val="00C3071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30711"/>
    <w:rPr>
      <w:sz w:val="20"/>
      <w:szCs w:val="20"/>
    </w:rPr>
  </w:style>
  <w:style w:type="character" w:styleId="Refdenotaalpie">
    <w:name w:val="footnote reference"/>
    <w:basedOn w:val="Fuentedeprrafopredeter"/>
    <w:uiPriority w:val="99"/>
    <w:semiHidden/>
    <w:unhideWhenUsed/>
    <w:rsid w:val="00C30711"/>
    <w:rPr>
      <w:vertAlign w:val="superscript"/>
    </w:rPr>
  </w:style>
  <w:style w:type="paragraph" w:styleId="Textonotaalfinal">
    <w:name w:val="endnote text"/>
    <w:basedOn w:val="Normal"/>
    <w:link w:val="TextonotaalfinalCar"/>
    <w:uiPriority w:val="99"/>
    <w:unhideWhenUsed/>
    <w:rsid w:val="00C30711"/>
    <w:pPr>
      <w:widowControl w:val="0"/>
      <w:spacing w:after="0" w:line="240" w:lineRule="auto"/>
    </w:pPr>
    <w:rPr>
      <w:sz w:val="20"/>
      <w:szCs w:val="20"/>
    </w:rPr>
  </w:style>
  <w:style w:type="character" w:customStyle="1" w:styleId="TextonotaalfinalCar">
    <w:name w:val="Texto nota al final Car"/>
    <w:basedOn w:val="Fuentedeprrafopredeter"/>
    <w:link w:val="Textonotaalfinal"/>
    <w:uiPriority w:val="99"/>
    <w:rsid w:val="00C30711"/>
    <w:rPr>
      <w:sz w:val="20"/>
      <w:szCs w:val="20"/>
      <w:lang w:val="en-US"/>
    </w:rPr>
  </w:style>
  <w:style w:type="character" w:styleId="Refdenotaalfinal">
    <w:name w:val="endnote reference"/>
    <w:basedOn w:val="Fuentedeprrafopredeter"/>
    <w:uiPriority w:val="99"/>
    <w:semiHidden/>
    <w:unhideWhenUsed/>
    <w:rsid w:val="00C30711"/>
    <w:rPr>
      <w:vertAlign w:val="superscript"/>
    </w:rPr>
  </w:style>
  <w:style w:type="character" w:styleId="Hipervnculovisitado">
    <w:name w:val="FollowedHyperlink"/>
    <w:basedOn w:val="Fuentedeprrafopredeter"/>
    <w:uiPriority w:val="99"/>
    <w:semiHidden/>
    <w:unhideWhenUsed/>
    <w:rsid w:val="00C30711"/>
    <w:rPr>
      <w:color w:val="954F72" w:themeColor="followedHyperlink"/>
      <w:u w:val="single"/>
    </w:rPr>
  </w:style>
  <w:style w:type="paragraph" w:styleId="Sinespaciado">
    <w:name w:val="No Spacing"/>
    <w:uiPriority w:val="1"/>
    <w:qFormat/>
    <w:rsid w:val="009F3469"/>
    <w:pPr>
      <w:spacing w:after="0" w:line="240" w:lineRule="auto"/>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Mencinsinresolver">
    <w:name w:val="Unresolved Mention"/>
    <w:basedOn w:val="Fuentedeprrafopredeter"/>
    <w:uiPriority w:val="99"/>
    <w:semiHidden/>
    <w:unhideWhenUsed/>
    <w:rsid w:val="00016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promsex.org/corte-idh-halla-a-peru-responsable-por-la-tortura-y-violencia-contra-azul-rojas-marin/" TargetMode="External"/><Relationship Id="rId13" Type="http://schemas.openxmlformats.org/officeDocument/2006/relationships/hyperlink" Target="https://www.lamalafe.lat/cuarentena-por-genero-expone-la-transfobia-de-las-fuerzas-del-orden-en-panama-y-peru/" TargetMode="External"/><Relationship Id="rId3" Type="http://schemas.openxmlformats.org/officeDocument/2006/relationships/hyperlink" Target="https://www.ohchr.org/Documents/Publications/BornFreeAndEqualLowRes_sp.pdf" TargetMode="External"/><Relationship Id="rId7" Type="http://schemas.openxmlformats.org/officeDocument/2006/relationships/hyperlink" Target="https://incidenciainternacional.promsex.org/wp-content/uploads/CasoAzul.pdf" TargetMode="External"/><Relationship Id="rId12" Type="http://schemas.openxmlformats.org/officeDocument/2006/relationships/hyperlink" Target="https://incidenciainternacional.promsex.org/2020/08/17/eidan-2/" TargetMode="External"/><Relationship Id="rId2" Type="http://schemas.openxmlformats.org/officeDocument/2006/relationships/hyperlink" Target="https://sinviolencia.lgbt/wp-content/uploads/2021/09/DES-CIFRANDO-LA-VIOLENCIA-EN-TIEMPOS-DE-CUARENTENA.pdf" TargetMode="External"/><Relationship Id="rId1" Type="http://schemas.openxmlformats.org/officeDocument/2006/relationships/hyperlink" Target="http://iessdeh.org/usuario/ftp/DOCUMENTO_OBSERVATORIO_final.pdf" TargetMode="External"/><Relationship Id="rId6" Type="http://schemas.openxmlformats.org/officeDocument/2006/relationships/hyperlink" Target="https://www.corteidh.or.cr/docs/casos/articulos/seriec_402_esp.pdf" TargetMode="External"/><Relationship Id="rId11" Type="http://schemas.openxmlformats.org/officeDocument/2006/relationships/hyperlink" Target="https://idehpucp.pucp.edu.pe/notas-informativas/caso-ugarteche-fallo-del-tc-es-discriminatorio/" TargetMode="External"/><Relationship Id="rId5" Type="http://schemas.openxmlformats.org/officeDocument/2006/relationships/hyperlink" Target="https://www.ohchr.org/EN/HRBodies/HRC/RegularSessions/Session29/Documents/A_HRC_29_23_sp.doc" TargetMode="External"/><Relationship Id="rId15" Type="http://schemas.openxmlformats.org/officeDocument/2006/relationships/hyperlink" Target="https://promsex.org/wp-content/uploads/2013/05/informetlgb2012.pdf" TargetMode="External"/><Relationship Id="rId10" Type="http://schemas.openxmlformats.org/officeDocument/2006/relationships/hyperlink" Target="https://tbinternet.ohchr.org/_layouts/15/treatybodyexternal/Download.aspx?symbolno=CEDAW%2fC%2fAUS%2fCO%2f8&amp;Lang=en" TargetMode="External"/><Relationship Id="rId4" Type="http://schemas.openxmlformats.org/officeDocument/2006/relationships/hyperlink" Target="https://www.ohchr.org/documents/issues/discrimination/a.hrc.19.41_spanish.pdf" TargetMode="External"/><Relationship Id="rId9" Type="http://schemas.openxmlformats.org/officeDocument/2006/relationships/hyperlink" Target="https://incidenciainternacional.promsex.org/2020/06/23/yefri-pena/" TargetMode="External"/><Relationship Id="rId14" Type="http://schemas.openxmlformats.org/officeDocument/2006/relationships/hyperlink" Target="https://cdn.www.gob.pe/uploads/document/file/1611551/Informe-Tematico-II-2019.pdf.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kmsFgk3uaOBAhYIZSIdokIhQMRw==">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</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708D0B-A00B-4EF1-A0DE-E7A3048ED08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15E25E0-F5A6-476E-8A3A-781ABDC97515}"/>
</file>

<file path=customXml/itemProps4.xml><?xml version="1.0" encoding="utf-8"?>
<ds:datastoreItem xmlns:ds="http://schemas.openxmlformats.org/officeDocument/2006/customXml" ds:itemID="{07F7FF6C-9C78-4E5D-8716-D8F548BED5D0}"/>
</file>

<file path=customXml/itemProps5.xml><?xml version="1.0" encoding="utf-8"?>
<ds:datastoreItem xmlns:ds="http://schemas.openxmlformats.org/officeDocument/2006/customXml" ds:itemID="{FBE99333-E0D6-4B10-8DAC-7F684D6094B7}"/>
</file>

<file path=docProps/app.xml><?xml version="1.0" encoding="utf-8"?>
<Properties xmlns="http://schemas.openxmlformats.org/officeDocument/2006/extended-properties" xmlns:vt="http://schemas.openxmlformats.org/officeDocument/2006/docPropsVTypes">
  <Template>Normal</Template>
  <TotalTime>4</TotalTime>
  <Pages>9</Pages>
  <Words>2740</Words>
  <Characters>15071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Cuenta Microsoft</dc:creator>
  <cp:lastModifiedBy>elida</cp:lastModifiedBy>
  <cp:revision>2</cp:revision>
  <dcterms:created xsi:type="dcterms:W3CDTF">2022-01-24T23:57:00Z</dcterms:created>
  <dcterms:modified xsi:type="dcterms:W3CDTF">2022-01-24T23:57:00Z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