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EF1" w:rsidRDefault="006A0EF1" w:rsidP="006A0EF1">
      <w:pPr>
        <w:jc w:val="both"/>
      </w:pPr>
    </w:p>
    <w:p w:rsidR="006A0EF1" w:rsidRPr="0037427B" w:rsidRDefault="006A0EF1" w:rsidP="000B3D9E">
      <w:pPr>
        <w:jc w:val="center"/>
        <w:rPr>
          <w:rFonts w:ascii="Times New Roman" w:hAnsi="Times New Roman" w:cs="Times New Roman"/>
          <w:sz w:val="24"/>
          <w:szCs w:val="24"/>
        </w:rPr>
      </w:pPr>
      <w:r>
        <w:rPr>
          <w:rFonts w:ascii="Times New Roman" w:hAnsi="Times New Roman" w:cs="Times New Roman"/>
          <w:b/>
          <w:sz w:val="24"/>
          <w:szCs w:val="24"/>
          <w:u w:val="single"/>
        </w:rPr>
        <w:t>R</w:t>
      </w:r>
      <w:r w:rsidRPr="0037427B">
        <w:rPr>
          <w:rFonts w:ascii="Times New Roman" w:hAnsi="Times New Roman" w:cs="Times New Roman"/>
          <w:b/>
          <w:sz w:val="24"/>
          <w:szCs w:val="24"/>
          <w:u w:val="single"/>
        </w:rPr>
        <w:t>eport to the UN Committee Against Torture</w:t>
      </w:r>
    </w:p>
    <w:p w:rsidR="006A0EF1" w:rsidRPr="0037427B" w:rsidRDefault="006A0EF1" w:rsidP="006A0EF1">
      <w:pPr>
        <w:jc w:val="both"/>
        <w:rPr>
          <w:rFonts w:ascii="Times New Roman" w:hAnsi="Times New Roman" w:cs="Times New Roman"/>
          <w:sz w:val="24"/>
          <w:szCs w:val="24"/>
        </w:rPr>
      </w:pPr>
      <w:r w:rsidRPr="0037427B">
        <w:rPr>
          <w:rFonts w:ascii="Times New Roman" w:hAnsi="Times New Roman" w:cs="Times New Roman"/>
          <w:sz w:val="24"/>
          <w:szCs w:val="24"/>
        </w:rPr>
        <w:t>October 11, 2018</w:t>
      </w:r>
    </w:p>
    <w:p w:rsidR="006A0EF1" w:rsidRPr="0037427B" w:rsidRDefault="006A0EF1" w:rsidP="006A0EF1">
      <w:pPr>
        <w:jc w:val="both"/>
        <w:rPr>
          <w:rFonts w:ascii="Times New Roman" w:hAnsi="Times New Roman" w:cs="Times New Roman"/>
          <w:sz w:val="24"/>
          <w:szCs w:val="24"/>
        </w:rPr>
      </w:pPr>
    </w:p>
    <w:p w:rsidR="006A0EF1" w:rsidRPr="0037427B" w:rsidRDefault="006A0EF1" w:rsidP="006A0EF1">
      <w:pPr>
        <w:pStyle w:val="ListParagraph"/>
        <w:numPr>
          <w:ilvl w:val="0"/>
          <w:numId w:val="1"/>
        </w:numPr>
        <w:jc w:val="both"/>
        <w:rPr>
          <w:rFonts w:ascii="Times New Roman" w:eastAsia="Times New Roman" w:hAnsi="Times New Roman" w:cs="Times New Roman"/>
          <w:sz w:val="24"/>
          <w:szCs w:val="24"/>
          <w:lang w:eastAsia="en-CA"/>
        </w:rPr>
      </w:pPr>
      <w:r w:rsidRPr="0037427B">
        <w:rPr>
          <w:rFonts w:ascii="Times New Roman" w:hAnsi="Times New Roman" w:cs="Times New Roman"/>
          <w:sz w:val="24"/>
          <w:szCs w:val="24"/>
        </w:rPr>
        <w:t xml:space="preserve">This report is submitted by </w:t>
      </w:r>
      <w:proofErr w:type="spellStart"/>
      <w:r w:rsidRPr="0037427B">
        <w:rPr>
          <w:rFonts w:ascii="Times New Roman" w:hAnsi="Times New Roman" w:cs="Times New Roman"/>
          <w:b/>
          <w:sz w:val="24"/>
          <w:szCs w:val="24"/>
        </w:rPr>
        <w:t>Egale</w:t>
      </w:r>
      <w:proofErr w:type="spellEnd"/>
      <w:r w:rsidRPr="0037427B">
        <w:rPr>
          <w:rFonts w:ascii="Times New Roman" w:hAnsi="Times New Roman" w:cs="Times New Roman"/>
          <w:b/>
          <w:sz w:val="24"/>
          <w:szCs w:val="24"/>
        </w:rPr>
        <w:t xml:space="preserve"> Canada </w:t>
      </w:r>
      <w:r w:rsidRPr="0037427B">
        <w:rPr>
          <w:rFonts w:ascii="Times New Roman" w:eastAsia="Times New Roman" w:hAnsi="Times New Roman" w:cs="Times New Roman"/>
          <w:b/>
          <w:sz w:val="24"/>
          <w:szCs w:val="24"/>
          <w:lang w:eastAsia="en-CA"/>
        </w:rPr>
        <w:t>Human Rights Trust</w:t>
      </w:r>
      <w:r>
        <w:rPr>
          <w:rFonts w:ascii="Times New Roman" w:eastAsia="Times New Roman" w:hAnsi="Times New Roman" w:cs="Times New Roman"/>
          <w:b/>
          <w:sz w:val="24"/>
          <w:szCs w:val="24"/>
          <w:lang w:eastAsia="en-CA"/>
        </w:rPr>
        <w:t>,</w:t>
      </w:r>
      <w:r w:rsidRPr="0037427B">
        <w:rPr>
          <w:rFonts w:ascii="Times New Roman" w:eastAsia="Times New Roman" w:hAnsi="Times New Roman" w:cs="Times New Roman"/>
          <w:sz w:val="24"/>
          <w:szCs w:val="24"/>
          <w:lang w:eastAsia="en-CA"/>
        </w:rPr>
        <w:t xml:space="preserve"> Canada’s only national charity promoting LGBT</w:t>
      </w:r>
      <w:r>
        <w:rPr>
          <w:rFonts w:ascii="Times New Roman" w:eastAsia="Times New Roman" w:hAnsi="Times New Roman" w:cs="Times New Roman"/>
          <w:sz w:val="24"/>
          <w:szCs w:val="24"/>
          <w:lang w:eastAsia="en-CA"/>
        </w:rPr>
        <w:t>Qi2S</w:t>
      </w:r>
      <w:r w:rsidRPr="0037427B">
        <w:rPr>
          <w:rFonts w:ascii="Times New Roman" w:eastAsia="Times New Roman" w:hAnsi="Times New Roman" w:cs="Times New Roman"/>
          <w:sz w:val="24"/>
          <w:szCs w:val="24"/>
          <w:lang w:eastAsia="en-CA"/>
        </w:rPr>
        <w:t xml:space="preserve"> human rights through research, education and community engagement. </w:t>
      </w:r>
      <w:proofErr w:type="spellStart"/>
      <w:r w:rsidRPr="0037427B">
        <w:rPr>
          <w:rFonts w:ascii="Times New Roman" w:eastAsia="Times New Roman" w:hAnsi="Times New Roman" w:cs="Times New Roman"/>
          <w:sz w:val="24"/>
          <w:szCs w:val="24"/>
          <w:lang w:eastAsia="en-CA"/>
        </w:rPr>
        <w:t>Egale</w:t>
      </w:r>
      <w:proofErr w:type="spellEnd"/>
      <w:r w:rsidRPr="0037427B">
        <w:rPr>
          <w:rFonts w:ascii="Times New Roman" w:hAnsi="Times New Roman" w:cs="Times New Roman"/>
          <w:sz w:val="24"/>
          <w:szCs w:val="24"/>
        </w:rPr>
        <w:t xml:space="preserve"> works to improve the lives of LGBTQI2S (Lesbian, Gay, Bisexual, Trans, Intersex and Two Spirit) people in Canada and to enhance the global response to LGBTQI2S issues. </w:t>
      </w:r>
      <w:proofErr w:type="spellStart"/>
      <w:r w:rsidRPr="0037427B">
        <w:rPr>
          <w:rFonts w:ascii="Times New Roman" w:hAnsi="Times New Roman" w:cs="Times New Roman"/>
          <w:sz w:val="24"/>
          <w:szCs w:val="24"/>
        </w:rPr>
        <w:t>Egale</w:t>
      </w:r>
      <w:proofErr w:type="spellEnd"/>
      <w:r w:rsidRPr="0037427B">
        <w:rPr>
          <w:rFonts w:ascii="Times New Roman" w:hAnsi="Times New Roman" w:cs="Times New Roman"/>
          <w:sz w:val="24"/>
          <w:szCs w:val="24"/>
        </w:rPr>
        <w:t xml:space="preserve"> achieves this by informing policy, inspiring cultural change and promoting human rights and inclusion through research, education and community engagement. </w:t>
      </w:r>
      <w:proofErr w:type="spellStart"/>
      <w:r w:rsidRPr="0037427B">
        <w:rPr>
          <w:rFonts w:ascii="Times New Roman" w:hAnsi="Times New Roman" w:cs="Times New Roman"/>
          <w:sz w:val="24"/>
          <w:szCs w:val="24"/>
        </w:rPr>
        <w:t>Egale</w:t>
      </w:r>
      <w:proofErr w:type="spellEnd"/>
      <w:r w:rsidRPr="0037427B">
        <w:rPr>
          <w:rFonts w:ascii="Times New Roman" w:hAnsi="Times New Roman" w:cs="Times New Roman"/>
          <w:sz w:val="24"/>
          <w:szCs w:val="24"/>
        </w:rPr>
        <w:t xml:space="preserve"> also works to provide the LGBTQI2S community in Canada with access to essential services including counseling through </w:t>
      </w:r>
      <w:proofErr w:type="spellStart"/>
      <w:r w:rsidRPr="0037427B">
        <w:rPr>
          <w:rFonts w:ascii="Times New Roman" w:hAnsi="Times New Roman" w:cs="Times New Roman"/>
          <w:sz w:val="24"/>
          <w:szCs w:val="24"/>
        </w:rPr>
        <w:t>Egale</w:t>
      </w:r>
      <w:proofErr w:type="spellEnd"/>
      <w:r w:rsidRPr="0037427B">
        <w:rPr>
          <w:rFonts w:ascii="Times New Roman" w:hAnsi="Times New Roman" w:cs="Times New Roman"/>
          <w:sz w:val="24"/>
          <w:szCs w:val="24"/>
        </w:rPr>
        <w:t xml:space="preserve"> Youth </w:t>
      </w:r>
      <w:proofErr w:type="spellStart"/>
      <w:r w:rsidRPr="0037427B">
        <w:rPr>
          <w:rFonts w:ascii="Times New Roman" w:hAnsi="Times New Roman" w:cs="Times New Roman"/>
          <w:sz w:val="24"/>
          <w:szCs w:val="24"/>
        </w:rPr>
        <w:t>OUTreach</w:t>
      </w:r>
      <w:proofErr w:type="spellEnd"/>
      <w:r w:rsidRPr="0037427B">
        <w:rPr>
          <w:rFonts w:ascii="Times New Roman" w:hAnsi="Times New Roman" w:cs="Times New Roman"/>
          <w:sz w:val="24"/>
          <w:szCs w:val="24"/>
        </w:rPr>
        <w:t xml:space="preserve"> and transitional housing through the </w:t>
      </w:r>
      <w:proofErr w:type="spellStart"/>
      <w:r w:rsidRPr="0037427B">
        <w:rPr>
          <w:rFonts w:ascii="Times New Roman" w:hAnsi="Times New Roman" w:cs="Times New Roman"/>
          <w:sz w:val="24"/>
          <w:szCs w:val="24"/>
        </w:rPr>
        <w:t>Egale</w:t>
      </w:r>
      <w:proofErr w:type="spellEnd"/>
      <w:r w:rsidRPr="0037427B">
        <w:rPr>
          <w:rFonts w:ascii="Times New Roman" w:hAnsi="Times New Roman" w:cs="Times New Roman"/>
          <w:sz w:val="24"/>
          <w:szCs w:val="24"/>
        </w:rPr>
        <w:t xml:space="preserve"> Centre. </w:t>
      </w:r>
      <w:proofErr w:type="spellStart"/>
      <w:r w:rsidRPr="0037427B">
        <w:rPr>
          <w:rFonts w:ascii="Times New Roman" w:hAnsi="Times New Roman" w:cs="Times New Roman"/>
          <w:sz w:val="24"/>
          <w:szCs w:val="24"/>
        </w:rPr>
        <w:t>Egale’s</w:t>
      </w:r>
      <w:proofErr w:type="spellEnd"/>
      <w:r w:rsidRPr="0037427B">
        <w:rPr>
          <w:rFonts w:ascii="Times New Roman" w:hAnsi="Times New Roman" w:cs="Times New Roman"/>
          <w:sz w:val="24"/>
          <w:szCs w:val="24"/>
        </w:rPr>
        <w:t xml:space="preserve"> vision is a Canada, and ultimately a world, without homophobia, biphobia, transphobia and all other forms of oppression so that every person can achieve their full potential, free from hatred and bias.</w:t>
      </w:r>
    </w:p>
    <w:p w:rsidR="006A0EF1" w:rsidRPr="0037427B" w:rsidRDefault="006A0EF1" w:rsidP="006A0EF1">
      <w:pPr>
        <w:pStyle w:val="ListParagraph"/>
        <w:jc w:val="both"/>
        <w:rPr>
          <w:rFonts w:ascii="Times New Roman" w:eastAsia="Times New Roman" w:hAnsi="Times New Roman" w:cs="Times New Roman"/>
          <w:sz w:val="24"/>
          <w:szCs w:val="24"/>
          <w:lang w:eastAsia="en-CA"/>
        </w:rPr>
      </w:pPr>
    </w:p>
    <w:p w:rsidR="006A0EF1" w:rsidRPr="0037427B" w:rsidRDefault="006A0EF1" w:rsidP="006A0EF1">
      <w:pPr>
        <w:pStyle w:val="ListParagraph"/>
        <w:numPr>
          <w:ilvl w:val="0"/>
          <w:numId w:val="1"/>
        </w:numPr>
        <w:jc w:val="both"/>
        <w:rPr>
          <w:rFonts w:ascii="Times New Roman" w:eastAsia="Times New Roman" w:hAnsi="Times New Roman" w:cs="Times New Roman"/>
          <w:sz w:val="24"/>
          <w:szCs w:val="24"/>
          <w:lang w:eastAsia="en-CA"/>
        </w:rPr>
      </w:pPr>
      <w:r w:rsidRPr="0037427B">
        <w:rPr>
          <w:rFonts w:ascii="Times New Roman" w:hAnsi="Times New Roman" w:cs="Times New Roman"/>
          <w:sz w:val="24"/>
          <w:szCs w:val="24"/>
        </w:rPr>
        <w:t>Section 268(1) of the Canadian Criminal Code outlines crimes of aggravated assault. Per Section 268(3) of the code</w:t>
      </w:r>
      <w:r w:rsidRPr="0037427B">
        <w:rPr>
          <w:rFonts w:ascii="Times New Roman" w:hAnsi="Times New Roman" w:cs="Times New Roman"/>
          <w:i/>
          <w:sz w:val="24"/>
          <w:szCs w:val="24"/>
        </w:rPr>
        <w:t xml:space="preserve">, </w:t>
      </w:r>
      <w:r w:rsidRPr="0037427B">
        <w:rPr>
          <w:rFonts w:ascii="Times New Roman" w:hAnsi="Times New Roman" w:cs="Times New Roman"/>
          <w:i/>
          <w:sz w:val="24"/>
          <w:szCs w:val="24"/>
          <w:shd w:val="clear" w:color="auto" w:fill="FFFFFF"/>
        </w:rPr>
        <w:t xml:space="preserve">“wounds” or “maims” includes to excise, infibulate or mutilate, in whole or in part, the labia </w:t>
      </w:r>
      <w:proofErr w:type="spellStart"/>
      <w:r w:rsidRPr="0037427B">
        <w:rPr>
          <w:rFonts w:ascii="Times New Roman" w:hAnsi="Times New Roman" w:cs="Times New Roman"/>
          <w:i/>
          <w:sz w:val="24"/>
          <w:szCs w:val="24"/>
          <w:shd w:val="clear" w:color="auto" w:fill="FFFFFF"/>
        </w:rPr>
        <w:t>majora</w:t>
      </w:r>
      <w:proofErr w:type="spellEnd"/>
      <w:r w:rsidRPr="0037427B">
        <w:rPr>
          <w:rFonts w:ascii="Times New Roman" w:hAnsi="Times New Roman" w:cs="Times New Roman"/>
          <w:i/>
          <w:sz w:val="24"/>
          <w:szCs w:val="24"/>
          <w:shd w:val="clear" w:color="auto" w:fill="FFFFFF"/>
        </w:rPr>
        <w:t xml:space="preserve">, labia </w:t>
      </w:r>
      <w:proofErr w:type="spellStart"/>
      <w:r w:rsidRPr="0037427B">
        <w:rPr>
          <w:rFonts w:ascii="Times New Roman" w:hAnsi="Times New Roman" w:cs="Times New Roman"/>
          <w:i/>
          <w:sz w:val="24"/>
          <w:szCs w:val="24"/>
          <w:shd w:val="clear" w:color="auto" w:fill="FFFFFF"/>
        </w:rPr>
        <w:t>minora</w:t>
      </w:r>
      <w:proofErr w:type="spellEnd"/>
      <w:r w:rsidRPr="0037427B">
        <w:rPr>
          <w:rFonts w:ascii="Times New Roman" w:hAnsi="Times New Roman" w:cs="Times New Roman"/>
          <w:i/>
          <w:sz w:val="24"/>
          <w:szCs w:val="24"/>
          <w:shd w:val="clear" w:color="auto" w:fill="FFFFFF"/>
        </w:rPr>
        <w:t xml:space="preserve"> or clitoris of a person”</w:t>
      </w:r>
      <w:r w:rsidRPr="0037427B">
        <w:rPr>
          <w:rStyle w:val="FootnoteReference"/>
          <w:rFonts w:ascii="Times New Roman" w:hAnsi="Times New Roman" w:cs="Times New Roman"/>
          <w:i/>
          <w:sz w:val="24"/>
          <w:szCs w:val="24"/>
          <w:shd w:val="clear" w:color="auto" w:fill="FFFFFF"/>
        </w:rPr>
        <w:footnoteReference w:id="1"/>
      </w:r>
      <w:r w:rsidRPr="0037427B">
        <w:rPr>
          <w:rFonts w:ascii="Times New Roman" w:hAnsi="Times New Roman" w:cs="Times New Roman"/>
          <w:sz w:val="24"/>
          <w:szCs w:val="24"/>
          <w:shd w:val="clear" w:color="auto" w:fill="FFFFFF"/>
        </w:rPr>
        <w:t xml:space="preserve"> is also penalized as aggravated assault </w:t>
      </w:r>
      <w:r w:rsidRPr="0037427B">
        <w:rPr>
          <w:rFonts w:ascii="Times New Roman" w:hAnsi="Times New Roman" w:cs="Times New Roman"/>
          <w:i/>
          <w:sz w:val="24"/>
          <w:szCs w:val="24"/>
          <w:shd w:val="clear" w:color="auto" w:fill="FFFFFF"/>
        </w:rPr>
        <w:t>except</w:t>
      </w:r>
      <w:r w:rsidRPr="0037427B">
        <w:rPr>
          <w:rFonts w:ascii="Times New Roman" w:hAnsi="Times New Roman" w:cs="Times New Roman"/>
          <w:sz w:val="24"/>
          <w:szCs w:val="24"/>
          <w:shd w:val="clear" w:color="auto" w:fill="FFFFFF"/>
        </w:rPr>
        <w:t xml:space="preserve">  when a </w:t>
      </w:r>
      <w:r w:rsidRPr="0037427B">
        <w:rPr>
          <w:rFonts w:ascii="Times New Roman" w:hAnsi="Times New Roman" w:cs="Times New Roman"/>
          <w:i/>
          <w:sz w:val="24"/>
          <w:szCs w:val="24"/>
          <w:shd w:val="clear" w:color="auto" w:fill="FFFFFF"/>
        </w:rPr>
        <w:t>“surgical procedure is performed, by a person duly qualified by provincial law to practise medicine, for the benefit of the physical health of the person or for the purpose of that person having normal reproductive functions or normal sexual appearance or function…”</w:t>
      </w:r>
      <w:r w:rsidRPr="0037427B">
        <w:rPr>
          <w:rStyle w:val="FootnoteReference"/>
          <w:rFonts w:ascii="Times New Roman" w:hAnsi="Times New Roman" w:cs="Times New Roman"/>
          <w:i/>
          <w:sz w:val="24"/>
          <w:szCs w:val="24"/>
          <w:shd w:val="clear" w:color="auto" w:fill="FFFFFF"/>
        </w:rPr>
        <w:footnoteReference w:id="2"/>
      </w:r>
      <w:r w:rsidRPr="0037427B">
        <w:rPr>
          <w:rFonts w:ascii="Times New Roman" w:hAnsi="Times New Roman" w:cs="Times New Roman"/>
          <w:i/>
          <w:sz w:val="24"/>
          <w:szCs w:val="24"/>
          <w:shd w:val="clear" w:color="auto" w:fill="FFFFFF"/>
        </w:rPr>
        <w:t xml:space="preserve"> </w:t>
      </w:r>
      <w:r w:rsidRPr="0037427B">
        <w:rPr>
          <w:rFonts w:ascii="Times New Roman" w:hAnsi="Times New Roman" w:cs="Times New Roman"/>
          <w:sz w:val="24"/>
          <w:szCs w:val="24"/>
          <w:shd w:val="clear" w:color="auto" w:fill="FFFFFF"/>
        </w:rPr>
        <w:t>Essentially, Section</w:t>
      </w:r>
      <w:r w:rsidRPr="0037427B">
        <w:rPr>
          <w:rFonts w:ascii="Times New Roman" w:hAnsi="Times New Roman" w:cs="Times New Roman"/>
          <w:i/>
          <w:sz w:val="24"/>
          <w:szCs w:val="24"/>
          <w:shd w:val="clear" w:color="auto" w:fill="FFFFFF"/>
        </w:rPr>
        <w:t xml:space="preserve"> </w:t>
      </w:r>
      <w:r w:rsidRPr="0037427B">
        <w:rPr>
          <w:rFonts w:ascii="Times New Roman" w:hAnsi="Times New Roman" w:cs="Times New Roman"/>
          <w:sz w:val="24"/>
          <w:szCs w:val="24"/>
          <w:shd w:val="clear" w:color="auto" w:fill="FFFFFF"/>
        </w:rPr>
        <w:t>268 (3)(a) of the code permits non consensual, medically unnecessary surgeries on reproductive organs on</w:t>
      </w:r>
      <w:r w:rsidRPr="0037427B">
        <w:rPr>
          <w:rStyle w:val="normaltextrun"/>
          <w:rFonts w:ascii="Times New Roman" w:hAnsi="Times New Roman" w:cs="Times New Roman"/>
          <w:sz w:val="24"/>
          <w:szCs w:val="24"/>
          <w:shd w:val="clear" w:color="auto" w:fill="FFFFFF"/>
        </w:rPr>
        <w:t xml:space="preserve"> bodies of infants and children perceive</w:t>
      </w:r>
      <w:r>
        <w:rPr>
          <w:rStyle w:val="normaltextrun"/>
          <w:rFonts w:ascii="Times New Roman" w:hAnsi="Times New Roman" w:cs="Times New Roman"/>
          <w:sz w:val="24"/>
          <w:szCs w:val="24"/>
          <w:shd w:val="clear" w:color="auto" w:fill="FFFFFF"/>
        </w:rPr>
        <w:t>d</w:t>
      </w:r>
      <w:r w:rsidRPr="0037427B">
        <w:rPr>
          <w:rStyle w:val="normaltextrun"/>
          <w:rFonts w:ascii="Times New Roman" w:hAnsi="Times New Roman" w:cs="Times New Roman"/>
          <w:sz w:val="24"/>
          <w:szCs w:val="24"/>
          <w:shd w:val="clear" w:color="auto" w:fill="FFFFFF"/>
        </w:rPr>
        <w:t xml:space="preserve"> to be ambiguous, i.e. intersex or, in current medical discourse, to have a “disorder of sex development”. </w:t>
      </w:r>
      <w:r>
        <w:rPr>
          <w:rStyle w:val="normaltextrun"/>
          <w:rFonts w:ascii="Times New Roman" w:hAnsi="Times New Roman" w:cs="Times New Roman"/>
          <w:sz w:val="24"/>
          <w:szCs w:val="24"/>
          <w:shd w:val="clear" w:color="auto" w:fill="FFFFFF"/>
        </w:rPr>
        <w:t>T</w:t>
      </w:r>
      <w:r w:rsidRPr="0037427B">
        <w:rPr>
          <w:rStyle w:val="normaltextrun"/>
          <w:rFonts w:ascii="Times New Roman" w:hAnsi="Times New Roman" w:cs="Times New Roman"/>
          <w:sz w:val="24"/>
          <w:szCs w:val="24"/>
          <w:shd w:val="clear" w:color="auto" w:fill="FFFFFF"/>
        </w:rPr>
        <w:t xml:space="preserve">he existing law deprives intersex children from criminal protections against </w:t>
      </w:r>
      <w:proofErr w:type="spellStart"/>
      <w:r w:rsidRPr="0037427B">
        <w:rPr>
          <w:rStyle w:val="normaltextrun"/>
          <w:rFonts w:ascii="Times New Roman" w:hAnsi="Times New Roman" w:cs="Times New Roman"/>
          <w:sz w:val="24"/>
          <w:szCs w:val="24"/>
          <w:shd w:val="clear" w:color="auto" w:fill="FFFFFF"/>
        </w:rPr>
        <w:t>pathologization</w:t>
      </w:r>
      <w:proofErr w:type="spellEnd"/>
      <w:r w:rsidRPr="0037427B">
        <w:rPr>
          <w:rStyle w:val="normaltextrun"/>
          <w:rFonts w:ascii="Times New Roman" w:hAnsi="Times New Roman" w:cs="Times New Roman"/>
          <w:sz w:val="24"/>
          <w:szCs w:val="24"/>
          <w:shd w:val="clear" w:color="auto" w:fill="FFFFFF"/>
        </w:rPr>
        <w:t xml:space="preserve"> of their bodies, instead sanctions normalizing surgical interventions based on </w:t>
      </w:r>
      <w:r w:rsidRPr="0037427B">
        <w:rPr>
          <w:rFonts w:ascii="Times New Roman" w:hAnsi="Times New Roman" w:cs="Times New Roman"/>
          <w:sz w:val="24"/>
          <w:szCs w:val="24"/>
        </w:rPr>
        <w:t>cis</w:t>
      </w:r>
      <w:r>
        <w:rPr>
          <w:rFonts w:ascii="Times New Roman" w:hAnsi="Times New Roman" w:cs="Times New Roman"/>
          <w:sz w:val="24"/>
          <w:szCs w:val="24"/>
        </w:rPr>
        <w:t>-</w:t>
      </w:r>
      <w:r w:rsidRPr="0037427B">
        <w:rPr>
          <w:rFonts w:ascii="Times New Roman" w:hAnsi="Times New Roman" w:cs="Times New Roman"/>
          <w:sz w:val="24"/>
          <w:szCs w:val="24"/>
        </w:rPr>
        <w:t xml:space="preserve">normative assumptions about </w:t>
      </w:r>
      <w:r>
        <w:rPr>
          <w:rFonts w:ascii="Times New Roman" w:hAnsi="Times New Roman" w:cs="Times New Roman"/>
          <w:sz w:val="24"/>
          <w:szCs w:val="24"/>
        </w:rPr>
        <w:t>medically “correct” or “normal</w:t>
      </w:r>
      <w:r w:rsidRPr="0037427B">
        <w:rPr>
          <w:rFonts w:ascii="Times New Roman" w:hAnsi="Times New Roman" w:cs="Times New Roman"/>
          <w:sz w:val="24"/>
          <w:szCs w:val="24"/>
        </w:rPr>
        <w:t>”</w:t>
      </w:r>
      <w:r>
        <w:rPr>
          <w:rFonts w:ascii="Times New Roman" w:hAnsi="Times New Roman" w:cs="Times New Roman"/>
          <w:sz w:val="24"/>
          <w:szCs w:val="24"/>
        </w:rPr>
        <w:t xml:space="preserve"> bodies.</w:t>
      </w:r>
    </w:p>
    <w:p w:rsidR="006A0EF1" w:rsidRPr="0037427B" w:rsidRDefault="006A0EF1" w:rsidP="006A0EF1">
      <w:pPr>
        <w:pStyle w:val="NoSpacing"/>
        <w:numPr>
          <w:ilvl w:val="0"/>
          <w:numId w:val="1"/>
        </w:numPr>
        <w:jc w:val="both"/>
        <w:rPr>
          <w:rFonts w:ascii="Times New Roman" w:eastAsia="Times New Roman" w:hAnsi="Times New Roman" w:cs="Times New Roman"/>
          <w:i/>
          <w:sz w:val="24"/>
          <w:szCs w:val="24"/>
          <w:lang w:eastAsia="en-CA"/>
        </w:rPr>
      </w:pPr>
      <w:r w:rsidRPr="0037427B">
        <w:rPr>
          <w:rFonts w:ascii="Times New Roman" w:hAnsi="Times New Roman" w:cs="Times New Roman"/>
          <w:i/>
          <w:sz w:val="24"/>
          <w:szCs w:val="24"/>
          <w:shd w:val="clear" w:color="auto" w:fill="FFFFFF"/>
        </w:rPr>
        <w:t xml:space="preserve">"Medical practice on intersex has [include] photography, frequent examinations, exposure to medical grand rounds where medical professionals would present the pre-op and post-op person’s genitals in front of groups of residents, disregarding the child’s presence and </w:t>
      </w:r>
      <w:r w:rsidRPr="0037427B">
        <w:rPr>
          <w:rFonts w:ascii="Times New Roman" w:hAnsi="Times New Roman" w:cs="Times New Roman"/>
          <w:i/>
          <w:sz w:val="24"/>
          <w:szCs w:val="24"/>
          <w:shd w:val="clear" w:color="auto" w:fill="FFFFFF"/>
        </w:rPr>
        <w:lastRenderedPageBreak/>
        <w:t xml:space="preserve">referring to the genitals as «it», use of children as human research subjects, </w:t>
      </w:r>
      <w:proofErr w:type="spellStart"/>
      <w:r w:rsidRPr="0037427B">
        <w:rPr>
          <w:rFonts w:ascii="Times New Roman" w:hAnsi="Times New Roman" w:cs="Times New Roman"/>
          <w:i/>
          <w:sz w:val="24"/>
          <w:szCs w:val="24"/>
          <w:shd w:val="clear" w:color="auto" w:fill="FFFFFF"/>
        </w:rPr>
        <w:t>clitoridectomies</w:t>
      </w:r>
      <w:proofErr w:type="spellEnd"/>
      <w:r w:rsidRPr="0037427B">
        <w:rPr>
          <w:rFonts w:ascii="Times New Roman" w:hAnsi="Times New Roman" w:cs="Times New Roman"/>
          <w:i/>
          <w:sz w:val="24"/>
          <w:szCs w:val="24"/>
          <w:shd w:val="clear" w:color="auto" w:fill="FFFFFF"/>
        </w:rPr>
        <w:t>, clitoral recessions or clitoral reductions, hypospadias «repair», the creation of or deepening of vaginal cavities, the regular insertion of vagina dilatators on children or adolescents, gonadal removal or sterilization, the prescription of high doses of hormones, prescription of dexamethasone to persons carrying a foetus diagnosed with CAH, post-surgery sensitivity testing on children, pathological discourse, screening for certain types of intersex variations and sometimes suggesting selective abortion, discounting of knowledge and expertise, as well as tone policing.”</w:t>
      </w:r>
      <w:r w:rsidRPr="0037427B">
        <w:rPr>
          <w:rStyle w:val="FootnoteReference"/>
          <w:rFonts w:ascii="Times New Roman" w:hAnsi="Times New Roman" w:cs="Times New Roman"/>
          <w:i/>
          <w:sz w:val="24"/>
          <w:szCs w:val="24"/>
          <w:shd w:val="clear" w:color="auto" w:fill="FFFFFF"/>
        </w:rPr>
        <w:footnoteReference w:id="3"/>
      </w:r>
      <w:r w:rsidRPr="0037427B">
        <w:rPr>
          <w:rFonts w:ascii="Times New Roman" w:hAnsi="Times New Roman" w:cs="Times New Roman"/>
          <w:i/>
          <w:sz w:val="24"/>
          <w:szCs w:val="24"/>
          <w:shd w:val="clear" w:color="auto" w:fill="FFFFFF"/>
        </w:rPr>
        <w:t> </w:t>
      </w:r>
    </w:p>
    <w:p w:rsidR="006A0EF1" w:rsidRPr="0037427B" w:rsidRDefault="006A0EF1" w:rsidP="006A0EF1">
      <w:pPr>
        <w:pStyle w:val="NoSpacing"/>
        <w:ind w:left="720"/>
        <w:jc w:val="both"/>
        <w:rPr>
          <w:rFonts w:ascii="Times New Roman" w:eastAsia="Times New Roman" w:hAnsi="Times New Roman" w:cs="Times New Roman"/>
          <w:sz w:val="24"/>
          <w:szCs w:val="24"/>
          <w:lang w:eastAsia="en-CA"/>
        </w:rPr>
      </w:pPr>
    </w:p>
    <w:p w:rsidR="006A0EF1" w:rsidRPr="0037427B" w:rsidRDefault="006A0EF1" w:rsidP="006A0EF1">
      <w:pPr>
        <w:pStyle w:val="NoSpacing"/>
        <w:numPr>
          <w:ilvl w:val="0"/>
          <w:numId w:val="1"/>
        </w:numPr>
        <w:jc w:val="both"/>
        <w:rPr>
          <w:rFonts w:ascii="Times New Roman" w:eastAsia="Times New Roman" w:hAnsi="Times New Roman" w:cs="Times New Roman"/>
          <w:sz w:val="24"/>
          <w:szCs w:val="24"/>
          <w:lang w:eastAsia="en-CA"/>
        </w:rPr>
      </w:pPr>
      <w:proofErr w:type="spellStart"/>
      <w:r w:rsidRPr="0037427B">
        <w:rPr>
          <w:rStyle w:val="eop"/>
          <w:rFonts w:ascii="Times New Roman" w:hAnsi="Times New Roman" w:cs="Times New Roman"/>
          <w:sz w:val="24"/>
          <w:szCs w:val="24"/>
          <w:shd w:val="clear" w:color="auto" w:fill="FFFFFF"/>
        </w:rPr>
        <w:t>Egale</w:t>
      </w:r>
      <w:proofErr w:type="spellEnd"/>
      <w:r w:rsidRPr="0037427B">
        <w:rPr>
          <w:rStyle w:val="eop"/>
          <w:rFonts w:ascii="Times New Roman" w:hAnsi="Times New Roman" w:cs="Times New Roman"/>
          <w:sz w:val="24"/>
          <w:szCs w:val="24"/>
          <w:shd w:val="clear" w:color="auto" w:fill="FFFFFF"/>
        </w:rPr>
        <w:t xml:space="preserve"> organised Canada’s first Intersex conference bringing together academics, researchers, intersex children, youth and parents with objectives of fostering a dialogue to </w:t>
      </w:r>
      <w:r>
        <w:rPr>
          <w:rStyle w:val="eop"/>
          <w:rFonts w:ascii="Times New Roman" w:hAnsi="Times New Roman" w:cs="Times New Roman"/>
          <w:sz w:val="24"/>
          <w:szCs w:val="24"/>
          <w:shd w:val="clear" w:color="auto" w:fill="FFFFFF"/>
        </w:rPr>
        <w:t>identify</w:t>
      </w:r>
      <w:r w:rsidRPr="0037427B">
        <w:rPr>
          <w:rStyle w:val="eop"/>
          <w:rFonts w:ascii="Times New Roman" w:hAnsi="Times New Roman" w:cs="Times New Roman"/>
          <w:sz w:val="24"/>
          <w:szCs w:val="24"/>
          <w:shd w:val="clear" w:color="auto" w:fill="FFFFFF"/>
        </w:rPr>
        <w:t xml:space="preserve"> the needs of the intersex community in Canada. </w:t>
      </w:r>
      <w:r w:rsidRPr="0037427B">
        <w:rPr>
          <w:rFonts w:ascii="Times New Roman" w:hAnsi="Times New Roman" w:cs="Times New Roman"/>
          <w:sz w:val="24"/>
          <w:szCs w:val="24"/>
        </w:rPr>
        <w:t xml:space="preserve">Conference attendees especially stressed on a significant intersection between the intersex and disability community, in that the </w:t>
      </w:r>
      <w:proofErr w:type="spellStart"/>
      <w:r w:rsidRPr="0037427B">
        <w:rPr>
          <w:rFonts w:ascii="Times New Roman" w:hAnsi="Times New Roman" w:cs="Times New Roman"/>
          <w:sz w:val="24"/>
          <w:szCs w:val="24"/>
        </w:rPr>
        <w:t>ableist</w:t>
      </w:r>
      <w:proofErr w:type="spellEnd"/>
      <w:r w:rsidRPr="0037427B">
        <w:rPr>
          <w:rFonts w:ascii="Times New Roman" w:hAnsi="Times New Roman" w:cs="Times New Roman"/>
          <w:sz w:val="24"/>
          <w:szCs w:val="24"/>
        </w:rPr>
        <w:t xml:space="preserve"> notions define qualifications for a “normal” or “desirable” human body. This is also reflected in the ways in which practitioners, whether in social work, genetics counselling, pediatric surgery and/or endocrinology view intersex and lead parents toward normative interventions either to prevent intersex altogether through the use of pre-implantation testing, or to prevent some forms of intersex features from developing (through the use of prenatally administered dexamethasone), or finally and persistently, to advise surgical “correction” of those who are still apprehended in infancy or childhood with an </w:t>
      </w:r>
      <w:proofErr w:type="spellStart"/>
      <w:r w:rsidRPr="0037427B">
        <w:rPr>
          <w:rFonts w:ascii="Times New Roman" w:hAnsi="Times New Roman" w:cs="Times New Roman"/>
          <w:sz w:val="24"/>
          <w:szCs w:val="24"/>
        </w:rPr>
        <w:t>intersexualized</w:t>
      </w:r>
      <w:proofErr w:type="spellEnd"/>
      <w:r w:rsidRPr="0037427B">
        <w:rPr>
          <w:rFonts w:ascii="Times New Roman" w:hAnsi="Times New Roman" w:cs="Times New Roman"/>
          <w:sz w:val="24"/>
          <w:szCs w:val="24"/>
        </w:rPr>
        <w:t xml:space="preserve"> difference. Moreover, with over 30-80% of intersex children undergoing one or as may as five irreversible surgeries</w:t>
      </w:r>
      <w:r w:rsidRPr="0037427B">
        <w:rPr>
          <w:rStyle w:val="FootnoteReference"/>
          <w:rFonts w:ascii="Times New Roman" w:hAnsi="Times New Roman" w:cs="Times New Roman"/>
          <w:sz w:val="24"/>
          <w:szCs w:val="24"/>
        </w:rPr>
        <w:footnoteReference w:id="4"/>
      </w:r>
      <w:r w:rsidRPr="0037427B">
        <w:rPr>
          <w:rFonts w:ascii="Times New Roman" w:hAnsi="Times New Roman" w:cs="Times New Roman"/>
          <w:sz w:val="24"/>
          <w:szCs w:val="24"/>
        </w:rPr>
        <w:t xml:space="preserve">, intersex individuals suffer from life-long physical and psychological pain amounting to torture or cruel, inhuman or degrading treatment under </w:t>
      </w:r>
      <w:r w:rsidRPr="0037427B">
        <w:rPr>
          <w:rFonts w:ascii="Times New Roman" w:hAnsi="Times New Roman" w:cs="Times New Roman"/>
          <w:sz w:val="24"/>
          <w:szCs w:val="24"/>
          <w:shd w:val="clear" w:color="auto" w:fill="FFFFFF"/>
        </w:rPr>
        <w:t>The Convention against Torture and Other Cruel, Inhuman or Degrading Treatment or Punishment</w:t>
      </w:r>
      <w:r w:rsidRPr="0037427B">
        <w:rPr>
          <w:rFonts w:ascii="Times New Roman" w:hAnsi="Times New Roman" w:cs="Times New Roman"/>
          <w:sz w:val="24"/>
          <w:szCs w:val="24"/>
        </w:rPr>
        <w:t xml:space="preserve"> (Hereinafter referred to  as UNCAT).</w:t>
      </w:r>
    </w:p>
    <w:p w:rsidR="006A0EF1" w:rsidRPr="0037427B" w:rsidRDefault="006A0EF1" w:rsidP="006A0EF1">
      <w:pPr>
        <w:pStyle w:val="NoSpacing"/>
        <w:ind w:left="720"/>
        <w:jc w:val="both"/>
        <w:rPr>
          <w:rFonts w:ascii="Times New Roman" w:eastAsia="Times New Roman" w:hAnsi="Times New Roman" w:cs="Times New Roman"/>
          <w:sz w:val="24"/>
          <w:szCs w:val="24"/>
          <w:lang w:eastAsia="en-CA"/>
        </w:rPr>
      </w:pPr>
    </w:p>
    <w:p w:rsidR="006A0EF1" w:rsidRPr="0037427B" w:rsidRDefault="006A0EF1" w:rsidP="006A0EF1">
      <w:pPr>
        <w:pStyle w:val="NoSpacing"/>
        <w:numPr>
          <w:ilvl w:val="0"/>
          <w:numId w:val="1"/>
        </w:numPr>
        <w:jc w:val="both"/>
        <w:rPr>
          <w:rFonts w:ascii="Times New Roman" w:eastAsia="Times New Roman" w:hAnsi="Times New Roman" w:cs="Times New Roman"/>
          <w:sz w:val="24"/>
          <w:szCs w:val="24"/>
          <w:lang w:eastAsia="en-CA"/>
        </w:rPr>
      </w:pPr>
      <w:r w:rsidRPr="0037427B">
        <w:rPr>
          <w:rFonts w:ascii="Times New Roman" w:hAnsi="Times New Roman" w:cs="Times New Roman"/>
          <w:sz w:val="24"/>
          <w:szCs w:val="24"/>
        </w:rPr>
        <w:t>In 2013, the Special Rapporteur on torture and other cruel, inhuman or degrading treatment or punishment (Hereinafter referred to as Special Rapporteur) grounds abuses arising in healthcare settings within the normative legal framework of torture, emphasizing that any involuntary medical interventions undertaken without a therapeutic purpose</w:t>
      </w:r>
      <w:r>
        <w:rPr>
          <w:rFonts w:ascii="Times New Roman" w:hAnsi="Times New Roman" w:cs="Times New Roman"/>
          <w:sz w:val="24"/>
          <w:szCs w:val="24"/>
        </w:rPr>
        <w:t xml:space="preserve"> and</w:t>
      </w:r>
      <w:r w:rsidRPr="0037427B">
        <w:rPr>
          <w:rFonts w:ascii="Times New Roman" w:hAnsi="Times New Roman" w:cs="Times New Roman"/>
          <w:sz w:val="24"/>
          <w:szCs w:val="24"/>
        </w:rPr>
        <w:t xml:space="preserve"> free and informed consent of the individual in question meets the standards of torture and ill-treatment.</w:t>
      </w:r>
      <w:r>
        <w:rPr>
          <w:rStyle w:val="FootnoteReference"/>
          <w:rFonts w:ascii="Times New Roman" w:hAnsi="Times New Roman" w:cs="Times New Roman"/>
          <w:sz w:val="24"/>
          <w:szCs w:val="24"/>
        </w:rPr>
        <w:footnoteReference w:id="5"/>
      </w:r>
      <w:r w:rsidRPr="0037427B">
        <w:rPr>
          <w:rFonts w:ascii="Times New Roman" w:hAnsi="Times New Roman" w:cs="Times New Roman"/>
          <w:sz w:val="24"/>
          <w:szCs w:val="24"/>
        </w:rPr>
        <w:t xml:space="preserve"> The concept of free and informed consent garners particular importance in the said case. While implicating rights relating to freedom from torture, the principle also forms the cornerstone of the right of everyone to the enjoyment of the highest attainable standard of physical and mental health,</w:t>
      </w:r>
      <w:r w:rsidRPr="0037427B">
        <w:rPr>
          <w:rStyle w:val="FootnoteReference"/>
          <w:rFonts w:ascii="Times New Roman" w:hAnsi="Times New Roman" w:cs="Times New Roman"/>
          <w:sz w:val="24"/>
          <w:szCs w:val="24"/>
        </w:rPr>
        <w:footnoteReference w:id="6"/>
      </w:r>
      <w:r w:rsidRPr="0037427B">
        <w:rPr>
          <w:rFonts w:ascii="Times New Roman" w:hAnsi="Times New Roman" w:cs="Times New Roman"/>
          <w:sz w:val="24"/>
          <w:szCs w:val="24"/>
        </w:rPr>
        <w:t xml:space="preserve"> thus fundamental in ensuring individual’s </w:t>
      </w:r>
      <w:r w:rsidRPr="0037427B">
        <w:rPr>
          <w:rFonts w:ascii="Times New Roman" w:hAnsi="Times New Roman" w:cs="Times New Roman"/>
          <w:sz w:val="24"/>
          <w:szCs w:val="24"/>
        </w:rPr>
        <w:lastRenderedPageBreak/>
        <w:t>autonomy, self-determination and human dignity. Jurisprudentially, these principles are the founding basis of normative human rights legal system at large. When non consensual surgeries are performed on intersex infant</w:t>
      </w:r>
      <w:r>
        <w:rPr>
          <w:rFonts w:ascii="Times New Roman" w:hAnsi="Times New Roman" w:cs="Times New Roman"/>
          <w:sz w:val="24"/>
          <w:szCs w:val="24"/>
        </w:rPr>
        <w:t>s</w:t>
      </w:r>
      <w:r w:rsidRPr="0037427B">
        <w:rPr>
          <w:rFonts w:ascii="Times New Roman" w:hAnsi="Times New Roman" w:cs="Times New Roman"/>
          <w:sz w:val="24"/>
          <w:szCs w:val="24"/>
        </w:rPr>
        <w:t>, not only is there clear absence of free and informed consent but children are completely deprived of any capacity to make any future decisions about their own bodies, given the irreversible consequences of these procedures. In the same vein, free and informed consent is also compromised in the doctor-parent relationship due to power imbalances, owing to unequal knowledge levels and limited awareness of intersex bodies. As a result, these decisions are mostly taken by medical practitioner</w:t>
      </w:r>
      <w:r>
        <w:rPr>
          <w:rFonts w:ascii="Times New Roman" w:hAnsi="Times New Roman" w:cs="Times New Roman"/>
          <w:sz w:val="24"/>
          <w:szCs w:val="24"/>
        </w:rPr>
        <w:t>s</w:t>
      </w:r>
      <w:r w:rsidRPr="0037427B">
        <w:rPr>
          <w:rFonts w:ascii="Times New Roman" w:hAnsi="Times New Roman" w:cs="Times New Roman"/>
          <w:sz w:val="24"/>
          <w:szCs w:val="24"/>
        </w:rPr>
        <w:t xml:space="preserve"> solely on the basis of medicalised and cis</w:t>
      </w:r>
      <w:r>
        <w:rPr>
          <w:rFonts w:ascii="Times New Roman" w:hAnsi="Times New Roman" w:cs="Times New Roman"/>
          <w:sz w:val="24"/>
          <w:szCs w:val="24"/>
        </w:rPr>
        <w:t>-</w:t>
      </w:r>
      <w:r w:rsidRPr="0037427B">
        <w:rPr>
          <w:rFonts w:ascii="Times New Roman" w:hAnsi="Times New Roman" w:cs="Times New Roman"/>
          <w:sz w:val="24"/>
          <w:szCs w:val="24"/>
        </w:rPr>
        <w:t>normative understanding of gender often disguised as “medical necessity”.</w:t>
      </w:r>
    </w:p>
    <w:p w:rsidR="006A0EF1" w:rsidRPr="0037427B" w:rsidRDefault="006A0EF1" w:rsidP="006A0EF1">
      <w:pPr>
        <w:pStyle w:val="NoSpacing"/>
        <w:ind w:left="360"/>
        <w:jc w:val="both"/>
        <w:rPr>
          <w:rFonts w:ascii="Times New Roman" w:hAnsi="Times New Roman" w:cs="Times New Roman"/>
          <w:sz w:val="24"/>
          <w:szCs w:val="24"/>
        </w:rPr>
      </w:pPr>
    </w:p>
    <w:p w:rsidR="006A0EF1" w:rsidRPr="0037427B" w:rsidRDefault="008F37A8" w:rsidP="006A0EF1">
      <w:pPr>
        <w:pStyle w:val="NoSpacing"/>
        <w:numPr>
          <w:ilvl w:val="0"/>
          <w:numId w:val="1"/>
        </w:numPr>
        <w:jc w:val="both"/>
        <w:rPr>
          <w:rFonts w:ascii="Times New Roman" w:eastAsia="Times New Roman" w:hAnsi="Times New Roman" w:cs="Times New Roman"/>
          <w:sz w:val="24"/>
          <w:szCs w:val="24"/>
          <w:lang w:eastAsia="en-CA"/>
        </w:rPr>
      </w:pPr>
      <w:r>
        <w:rPr>
          <w:rFonts w:ascii="Times New Roman" w:hAnsi="Times New Roman" w:cs="Times New Roman"/>
          <w:sz w:val="24"/>
          <w:szCs w:val="24"/>
        </w:rPr>
        <w:t xml:space="preserve">Freedom from torture </w:t>
      </w:r>
      <w:r w:rsidR="006A0EF1" w:rsidRPr="0037427B">
        <w:rPr>
          <w:rFonts w:ascii="Times New Roman" w:hAnsi="Times New Roman" w:cs="Times New Roman"/>
          <w:sz w:val="24"/>
          <w:szCs w:val="24"/>
        </w:rPr>
        <w:t>assumes the status of customary</w:t>
      </w:r>
      <w:r w:rsidR="00AD1BD0">
        <w:rPr>
          <w:rFonts w:ascii="Times New Roman" w:hAnsi="Times New Roman" w:cs="Times New Roman"/>
          <w:sz w:val="24"/>
          <w:szCs w:val="24"/>
        </w:rPr>
        <w:t xml:space="preserve"> international</w:t>
      </w:r>
      <w:bookmarkStart w:id="0" w:name="_GoBack"/>
      <w:bookmarkEnd w:id="0"/>
      <w:r w:rsidR="006A0EF1" w:rsidRPr="0037427B">
        <w:rPr>
          <w:rFonts w:ascii="Times New Roman" w:hAnsi="Times New Roman" w:cs="Times New Roman"/>
          <w:sz w:val="24"/>
          <w:szCs w:val="24"/>
        </w:rPr>
        <w:t xml:space="preserve"> law, a non </w:t>
      </w:r>
      <w:proofErr w:type="spellStart"/>
      <w:r w:rsidR="006A0EF1" w:rsidRPr="0037427B">
        <w:rPr>
          <w:rFonts w:ascii="Times New Roman" w:hAnsi="Times New Roman" w:cs="Times New Roman"/>
          <w:sz w:val="24"/>
          <w:szCs w:val="24"/>
        </w:rPr>
        <w:t>derogable</w:t>
      </w:r>
      <w:proofErr w:type="spellEnd"/>
      <w:r w:rsidR="006A0EF1" w:rsidRPr="0037427B">
        <w:rPr>
          <w:rFonts w:ascii="Times New Roman" w:hAnsi="Times New Roman" w:cs="Times New Roman"/>
          <w:sz w:val="24"/>
          <w:szCs w:val="24"/>
        </w:rPr>
        <w:t xml:space="preserve"> right under international law scheme. The law establishes a positive obligation of the state to </w:t>
      </w:r>
      <w:r w:rsidR="006A0EF1" w:rsidRPr="0037427B">
        <w:rPr>
          <w:rFonts w:ascii="Times New Roman" w:hAnsi="Times New Roman" w:cs="Times New Roman"/>
          <w:i/>
          <w:sz w:val="24"/>
          <w:szCs w:val="24"/>
        </w:rPr>
        <w:t>“prohibit, prevent and redress torture and ill-treatment in all contexts of custody or control, for example, in prisons, hospitals, schools, institutions that engage in the care of children, the aged, the mentally ill or disabled… and other institutions as well as contexts where the failure of the State to intervene encourages and enhances the danger of privately inflicted harm.”</w:t>
      </w:r>
      <w:r w:rsidR="006A0EF1" w:rsidRPr="0037427B">
        <w:rPr>
          <w:rStyle w:val="FootnoteReference"/>
          <w:rFonts w:ascii="Times New Roman" w:hAnsi="Times New Roman" w:cs="Times New Roman"/>
          <w:sz w:val="24"/>
          <w:szCs w:val="24"/>
        </w:rPr>
        <w:footnoteReference w:id="7"/>
      </w:r>
      <w:r w:rsidR="006A0EF1" w:rsidRPr="0037427B">
        <w:rPr>
          <w:rFonts w:ascii="Times New Roman" w:hAnsi="Times New Roman" w:cs="Times New Roman"/>
          <w:sz w:val="24"/>
          <w:szCs w:val="24"/>
        </w:rPr>
        <w:t xml:space="preserve"> Furthermore, the Special Rapporteur </w:t>
      </w:r>
      <w:r w:rsidR="006A0EF1" w:rsidRPr="0037427B">
        <w:rPr>
          <w:rFonts w:ascii="Times New Roman" w:hAnsi="Times New Roman" w:cs="Times New Roman"/>
          <w:i/>
          <w:sz w:val="24"/>
          <w:szCs w:val="24"/>
        </w:rPr>
        <w:t>also “call[</w:t>
      </w:r>
      <w:proofErr w:type="spellStart"/>
      <w:r w:rsidR="006A0EF1" w:rsidRPr="0037427B">
        <w:rPr>
          <w:rFonts w:ascii="Times New Roman" w:hAnsi="Times New Roman" w:cs="Times New Roman"/>
          <w:i/>
          <w:sz w:val="24"/>
          <w:szCs w:val="24"/>
        </w:rPr>
        <w:t>ed</w:t>
      </w:r>
      <w:proofErr w:type="spellEnd"/>
      <w:r w:rsidR="006A0EF1" w:rsidRPr="0037427B">
        <w:rPr>
          <w:rFonts w:ascii="Times New Roman" w:hAnsi="Times New Roman" w:cs="Times New Roman"/>
          <w:i/>
          <w:sz w:val="24"/>
          <w:szCs w:val="24"/>
        </w:rPr>
        <w:t>] upon all States to repeal any law allowing intrusive and irreversible treatments, including forced genital normalizing surgery, involuntary sterilization, unethical experimentation, medical display, ‘reparative therapies’ or ‘conversion therapies’, when enforced or administered without the free and informed consent of the person concerned.</w:t>
      </w:r>
      <w:r w:rsidR="006A0EF1">
        <w:rPr>
          <w:rStyle w:val="FootnoteReference"/>
          <w:rFonts w:ascii="Times New Roman" w:hAnsi="Times New Roman" w:cs="Times New Roman"/>
          <w:i/>
          <w:sz w:val="24"/>
          <w:szCs w:val="24"/>
        </w:rPr>
        <w:footnoteReference w:id="8"/>
      </w:r>
      <w:r w:rsidR="006A0EF1" w:rsidRPr="0037427B">
        <w:rPr>
          <w:rFonts w:ascii="Times New Roman" w:hAnsi="Times New Roman" w:cs="Times New Roman"/>
          <w:sz w:val="24"/>
          <w:szCs w:val="24"/>
        </w:rPr>
        <w:t xml:space="preserve"> (A recommendation also reiterated by other treaty bodies</w:t>
      </w:r>
      <w:r w:rsidR="006A0EF1">
        <w:rPr>
          <w:rFonts w:ascii="Times New Roman" w:hAnsi="Times New Roman" w:cs="Times New Roman"/>
          <w:sz w:val="24"/>
          <w:szCs w:val="24"/>
        </w:rPr>
        <w:t>.</w:t>
      </w:r>
      <w:r w:rsidR="006A0EF1" w:rsidRPr="0037427B">
        <w:rPr>
          <w:rFonts w:ascii="Times New Roman" w:hAnsi="Times New Roman" w:cs="Times New Roman"/>
          <w:sz w:val="24"/>
          <w:szCs w:val="24"/>
        </w:rPr>
        <w:t xml:space="preserve">) Despite being a signatory to the convention and numerous requests by civil society urging for repeal of section 268(3), Canada has not taken any steps towards the recommended amendment neither any legislative action has been proposed to prohibit non consensual surgeries on intersex children. Canada, thus stands in critical violation of its treaty obligations, the severity of which is compounded by the fact that the violation is that of a </w:t>
      </w:r>
      <w:r w:rsidR="006A0EF1" w:rsidRPr="0037427B">
        <w:rPr>
          <w:rFonts w:ascii="Times New Roman" w:hAnsi="Times New Roman" w:cs="Times New Roman"/>
          <w:i/>
          <w:sz w:val="24"/>
          <w:szCs w:val="24"/>
        </w:rPr>
        <w:t xml:space="preserve">jus </w:t>
      </w:r>
      <w:proofErr w:type="spellStart"/>
      <w:r w:rsidR="006A0EF1" w:rsidRPr="0037427B">
        <w:rPr>
          <w:rFonts w:ascii="Times New Roman" w:hAnsi="Times New Roman" w:cs="Times New Roman"/>
          <w:i/>
          <w:sz w:val="24"/>
          <w:szCs w:val="24"/>
        </w:rPr>
        <w:t>cogen</w:t>
      </w:r>
      <w:proofErr w:type="spellEnd"/>
      <w:r w:rsidR="006A0EF1" w:rsidRPr="0037427B">
        <w:rPr>
          <w:rFonts w:ascii="Times New Roman" w:hAnsi="Times New Roman" w:cs="Times New Roman"/>
          <w:sz w:val="24"/>
          <w:szCs w:val="24"/>
        </w:rPr>
        <w:t xml:space="preserve"> norm. </w:t>
      </w:r>
    </w:p>
    <w:p w:rsidR="006A0EF1" w:rsidRPr="0037427B" w:rsidRDefault="006A0EF1" w:rsidP="006A0EF1">
      <w:pPr>
        <w:pStyle w:val="NoSpacing"/>
        <w:ind w:left="720"/>
        <w:jc w:val="both"/>
        <w:rPr>
          <w:rFonts w:ascii="Times New Roman" w:eastAsia="Times New Roman" w:hAnsi="Times New Roman" w:cs="Times New Roman"/>
          <w:sz w:val="24"/>
          <w:szCs w:val="24"/>
          <w:lang w:eastAsia="en-CA"/>
        </w:rPr>
      </w:pPr>
    </w:p>
    <w:p w:rsidR="006A0EF1" w:rsidRPr="005F2C46" w:rsidRDefault="006A0EF1" w:rsidP="006A0EF1">
      <w:pPr>
        <w:pStyle w:val="NoSpacing"/>
        <w:numPr>
          <w:ilvl w:val="0"/>
          <w:numId w:val="1"/>
        </w:numPr>
        <w:jc w:val="both"/>
        <w:rPr>
          <w:rFonts w:ascii="Times New Roman" w:eastAsia="Times New Roman" w:hAnsi="Times New Roman" w:cs="Times New Roman"/>
          <w:b/>
          <w:sz w:val="24"/>
          <w:szCs w:val="24"/>
          <w:lang w:eastAsia="en-CA"/>
        </w:rPr>
      </w:pPr>
      <w:r w:rsidRPr="005F2C46">
        <w:rPr>
          <w:rFonts w:ascii="Times New Roman" w:hAnsi="Times New Roman" w:cs="Times New Roman"/>
          <w:b/>
          <w:sz w:val="24"/>
          <w:szCs w:val="24"/>
        </w:rPr>
        <w:t xml:space="preserve">Canada has displayed </w:t>
      </w:r>
      <w:r>
        <w:rPr>
          <w:rFonts w:ascii="Times New Roman" w:hAnsi="Times New Roman" w:cs="Times New Roman"/>
          <w:b/>
          <w:sz w:val="24"/>
          <w:szCs w:val="24"/>
        </w:rPr>
        <w:t>a total</w:t>
      </w:r>
      <w:r w:rsidRPr="005F2C46">
        <w:rPr>
          <w:rFonts w:ascii="Times New Roman" w:hAnsi="Times New Roman" w:cs="Times New Roman"/>
          <w:b/>
          <w:sz w:val="24"/>
          <w:szCs w:val="24"/>
        </w:rPr>
        <w:t xml:space="preserve"> disregard for international human rights law by failing to take necessary steps towards the repeal of Section 268(3). We thus ask the committee to hold Canada accountable for its failure of compliance and urge Canada to:</w:t>
      </w:r>
    </w:p>
    <w:p w:rsidR="006A0EF1" w:rsidRPr="005F2C46" w:rsidRDefault="006A0EF1" w:rsidP="006A0EF1">
      <w:pPr>
        <w:pStyle w:val="NoSpacing"/>
        <w:numPr>
          <w:ilvl w:val="0"/>
          <w:numId w:val="2"/>
        </w:numPr>
        <w:jc w:val="both"/>
        <w:rPr>
          <w:rFonts w:ascii="Times New Roman" w:eastAsia="Times New Roman" w:hAnsi="Times New Roman" w:cs="Times New Roman"/>
          <w:b/>
          <w:sz w:val="24"/>
          <w:szCs w:val="24"/>
          <w:lang w:eastAsia="en-CA"/>
        </w:rPr>
      </w:pPr>
      <w:r w:rsidRPr="005F2C46">
        <w:rPr>
          <w:rFonts w:ascii="Times New Roman" w:hAnsi="Times New Roman" w:cs="Times New Roman"/>
          <w:b/>
          <w:sz w:val="24"/>
          <w:szCs w:val="24"/>
        </w:rPr>
        <w:t xml:space="preserve">Investigate cases of intersex genital mutilation and other medical malpractices pertaining to non consensual, cosmetic surgeries on intersex children; </w:t>
      </w:r>
    </w:p>
    <w:p w:rsidR="006A0EF1" w:rsidRPr="005F2C46" w:rsidRDefault="006A0EF1" w:rsidP="006A0EF1">
      <w:pPr>
        <w:pStyle w:val="NoSpacing"/>
        <w:numPr>
          <w:ilvl w:val="0"/>
          <w:numId w:val="2"/>
        </w:numPr>
        <w:jc w:val="both"/>
        <w:rPr>
          <w:rFonts w:ascii="Times New Roman" w:eastAsia="Times New Roman" w:hAnsi="Times New Roman" w:cs="Times New Roman"/>
          <w:b/>
          <w:sz w:val="24"/>
          <w:szCs w:val="24"/>
          <w:lang w:eastAsia="en-CA"/>
        </w:rPr>
      </w:pPr>
      <w:r w:rsidRPr="005F2C46">
        <w:rPr>
          <w:rFonts w:ascii="Times New Roman" w:hAnsi="Times New Roman" w:cs="Times New Roman"/>
          <w:b/>
          <w:sz w:val="24"/>
          <w:szCs w:val="24"/>
        </w:rPr>
        <w:t>Follow best practices with regard</w:t>
      </w:r>
      <w:r>
        <w:rPr>
          <w:rFonts w:ascii="Times New Roman" w:hAnsi="Times New Roman" w:cs="Times New Roman"/>
          <w:b/>
          <w:sz w:val="24"/>
          <w:szCs w:val="24"/>
        </w:rPr>
        <w:t xml:space="preserve"> to</w:t>
      </w:r>
      <w:r w:rsidRPr="005F2C46">
        <w:rPr>
          <w:rFonts w:ascii="Times New Roman" w:hAnsi="Times New Roman" w:cs="Times New Roman"/>
          <w:b/>
          <w:sz w:val="24"/>
          <w:szCs w:val="24"/>
        </w:rPr>
        <w:t xml:space="preserve"> providing free and informed consent, in compliance with its treaty body obligations; </w:t>
      </w:r>
    </w:p>
    <w:p w:rsidR="006A0EF1" w:rsidRPr="005F2C46" w:rsidRDefault="006A0EF1" w:rsidP="006A0EF1">
      <w:pPr>
        <w:pStyle w:val="NoSpacing"/>
        <w:numPr>
          <w:ilvl w:val="0"/>
          <w:numId w:val="2"/>
        </w:numPr>
        <w:jc w:val="both"/>
        <w:rPr>
          <w:rFonts w:ascii="Times New Roman" w:hAnsi="Times New Roman" w:cs="Times New Roman"/>
          <w:b/>
          <w:sz w:val="24"/>
          <w:szCs w:val="24"/>
        </w:rPr>
      </w:pPr>
      <w:r w:rsidRPr="00606C82">
        <w:rPr>
          <w:rFonts w:ascii="Times New Roman" w:hAnsi="Times New Roman" w:cs="Times New Roman"/>
          <w:b/>
          <w:sz w:val="24"/>
          <w:szCs w:val="24"/>
        </w:rPr>
        <w:t>Make necessary amendments to the criminal code</w:t>
      </w:r>
      <w:r>
        <w:rPr>
          <w:rFonts w:ascii="Times New Roman" w:hAnsi="Times New Roman" w:cs="Times New Roman"/>
          <w:b/>
          <w:sz w:val="24"/>
          <w:szCs w:val="24"/>
        </w:rPr>
        <w:t xml:space="preserve"> </w:t>
      </w:r>
      <w:r w:rsidRPr="008D6D6E">
        <w:rPr>
          <w:rFonts w:ascii="Times New Roman" w:hAnsi="Times New Roman" w:cs="Times New Roman"/>
          <w:b/>
          <w:sz w:val="24"/>
          <w:szCs w:val="24"/>
        </w:rPr>
        <w:t>adopt legal provisions to redress and compensate victims</w:t>
      </w:r>
      <w:r>
        <w:rPr>
          <w:rFonts w:ascii="Times New Roman" w:hAnsi="Times New Roman" w:cs="Times New Roman"/>
          <w:b/>
          <w:sz w:val="24"/>
          <w:szCs w:val="24"/>
        </w:rPr>
        <w:t>.</w:t>
      </w:r>
      <w:r w:rsidRPr="00606C82">
        <w:rPr>
          <w:rFonts w:ascii="Times New Roman" w:hAnsi="Times New Roman" w:cs="Times New Roman"/>
          <w:b/>
          <w:sz w:val="24"/>
          <w:szCs w:val="24"/>
        </w:rPr>
        <w:t xml:space="preserve"> </w:t>
      </w:r>
    </w:p>
    <w:p w:rsidR="009104DC" w:rsidRDefault="009104DC"/>
    <w:sectPr w:rsidR="009104DC">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B66" w:rsidRDefault="00333B66" w:rsidP="006A0EF1">
      <w:pPr>
        <w:spacing w:after="0" w:line="240" w:lineRule="auto"/>
      </w:pPr>
      <w:r>
        <w:separator/>
      </w:r>
    </w:p>
  </w:endnote>
  <w:endnote w:type="continuationSeparator" w:id="0">
    <w:p w:rsidR="00333B66" w:rsidRDefault="00333B66" w:rsidP="006A0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C31" w:rsidRPr="0036029F" w:rsidRDefault="00CF1CA2" w:rsidP="00110C31">
    <w:pPr>
      <w:tabs>
        <w:tab w:val="center" w:pos="4678"/>
        <w:tab w:val="left" w:pos="9356"/>
      </w:tabs>
      <w:spacing w:after="0"/>
      <w:jc w:val="center"/>
      <w:rPr>
        <w:rFonts w:eastAsiaTheme="minorEastAsia"/>
        <w:noProof/>
        <w:sz w:val="14"/>
        <w:szCs w:val="14"/>
      </w:rPr>
    </w:pPr>
    <w:r w:rsidRPr="0036029F">
      <w:rPr>
        <w:rFonts w:eastAsiaTheme="minorEastAsia"/>
        <w:noProof/>
        <w:sz w:val="14"/>
        <w:szCs w:val="14"/>
        <w:lang w:eastAsia="en-CA"/>
      </w:rPr>
      <mc:AlternateContent>
        <mc:Choice Requires="wps">
          <w:drawing>
            <wp:anchor distT="0" distB="0" distL="114300" distR="114300" simplePos="0" relativeHeight="251661312" behindDoc="1" locked="0" layoutInCell="1" allowOverlap="1" wp14:anchorId="7E5AB998" wp14:editId="798EFC1E">
              <wp:simplePos x="0" y="0"/>
              <wp:positionH relativeFrom="margin">
                <wp:align>center</wp:align>
              </wp:positionH>
              <wp:positionV relativeFrom="paragraph">
                <wp:posOffset>150361</wp:posOffset>
              </wp:positionV>
              <wp:extent cx="3575050" cy="0"/>
              <wp:effectExtent l="0" t="0" r="25400" b="19050"/>
              <wp:wrapTight wrapText="bothSides">
                <wp:wrapPolygon edited="0">
                  <wp:start x="0" y="-1"/>
                  <wp:lineTo x="0" y="-1"/>
                  <wp:lineTo x="21638" y="-1"/>
                  <wp:lineTo x="21638" y="-1"/>
                  <wp:lineTo x="0" y="-1"/>
                </wp:wrapPolygon>
              </wp:wrapTight>
              <wp:docPr id="6" name="Straight Connector 6"/>
              <wp:cNvGraphicFramePr/>
              <a:graphic xmlns:a="http://schemas.openxmlformats.org/drawingml/2006/main">
                <a:graphicData uri="http://schemas.microsoft.com/office/word/2010/wordprocessingShape">
                  <wps:wsp>
                    <wps:cNvCnPr/>
                    <wps:spPr>
                      <a:xfrm>
                        <a:off x="0" y="0"/>
                        <a:ext cx="3575050" cy="0"/>
                      </a:xfrm>
                      <a:prstGeom prst="line">
                        <a:avLst/>
                      </a:prstGeom>
                      <a:noFill/>
                      <a:ln w="9525" cap="flat" cmpd="sng" algn="ctr">
                        <a:gradFill>
                          <a:gsLst>
                            <a:gs pos="0">
                              <a:srgbClr val="FF3399"/>
                            </a:gs>
                            <a:gs pos="25000">
                              <a:srgbClr val="FF6633"/>
                            </a:gs>
                            <a:gs pos="50000">
                              <a:srgbClr val="FFFF00"/>
                            </a:gs>
                            <a:gs pos="75000">
                              <a:srgbClr val="01A78F"/>
                            </a:gs>
                            <a:gs pos="100000">
                              <a:srgbClr val="3366FF"/>
                            </a:gs>
                          </a:gsLst>
                          <a:lin ang="10800000" scaled="0"/>
                        </a:gradFill>
                        <a:prstDash val="solid"/>
                      </a:ln>
                      <a:effectLst/>
                    </wps:spPr>
                    <wps:bodyPr/>
                  </wps:wsp>
                </a:graphicData>
              </a:graphic>
              <wp14:sizeRelH relativeFrom="margin">
                <wp14:pctWidth>0</wp14:pctWidth>
              </wp14:sizeRelH>
            </wp:anchor>
          </w:drawing>
        </mc:Choice>
        <mc:Fallback>
          <w:pict>
            <v:line w14:anchorId="0EFF17D4" id="Straight Connector 6" o:spid="_x0000_s1026" style="position:absolute;z-index:-2516551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1.85pt" to="281.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">
              <w10:wrap type="tight" anchorx="margin"/>
            </v:line>
          </w:pict>
        </mc:Fallback>
      </mc:AlternateContent>
    </w:r>
    <w:r w:rsidRPr="0036029F">
      <w:rPr>
        <w:rFonts w:eastAsiaTheme="minorEastAsia"/>
        <w:noProof/>
        <w:sz w:val="14"/>
        <w:szCs w:val="14"/>
      </w:rPr>
      <w:t>E</w:t>
    </w:r>
    <w:r>
      <w:rPr>
        <w:rFonts w:eastAsiaTheme="minorEastAsia"/>
        <w:noProof/>
        <w:sz w:val="14"/>
        <w:szCs w:val="14"/>
      </w:rPr>
      <w:t>gale Canada Human Rights Trust</w:t>
    </w:r>
    <w:r w:rsidRPr="0036029F">
      <w:rPr>
        <w:rFonts w:eastAsiaTheme="minorEastAsia"/>
        <w:noProof/>
        <w:sz w:val="14"/>
        <w:szCs w:val="14"/>
      </w:rPr>
      <w:t xml:space="preserve"> is Canada’s only national charity promoting LGBT human rights through research, education and community engagement.</w:t>
    </w:r>
    <w:r w:rsidRPr="0036029F">
      <w:rPr>
        <w:rFonts w:eastAsiaTheme="minorEastAsia"/>
        <w:noProof/>
        <w:sz w:val="14"/>
        <w:szCs w:val="14"/>
      </w:rPr>
      <w:br/>
    </w:r>
  </w:p>
  <w:p w:rsidR="00110C31" w:rsidRDefault="00CF1CA2" w:rsidP="00110C31">
    <w:pPr>
      <w:tabs>
        <w:tab w:val="center" w:pos="4678"/>
        <w:tab w:val="left" w:pos="9356"/>
      </w:tabs>
      <w:spacing w:after="0"/>
      <w:jc w:val="center"/>
      <w:rPr>
        <w:rFonts w:eastAsiaTheme="minorEastAsia"/>
        <w:noProof/>
        <w:sz w:val="14"/>
        <w:szCs w:val="14"/>
        <w:lang w:val="fr-CA"/>
      </w:rPr>
    </w:pPr>
    <w:r w:rsidRPr="0036029F">
      <w:rPr>
        <w:rFonts w:eastAsiaTheme="minorEastAsia"/>
        <w:noProof/>
        <w:sz w:val="14"/>
        <w:szCs w:val="14"/>
        <w:lang w:val="fr-CA"/>
      </w:rPr>
      <w:t>Le Fonds Égale Canada pour les droits de la personne est le seul organisme de bienfaisance canadien voué à la promotion des droits des personnes lesbiennes,</w:t>
    </w:r>
  </w:p>
  <w:p w:rsidR="00110C31" w:rsidRDefault="00CF1CA2" w:rsidP="00110C31">
    <w:pPr>
      <w:pStyle w:val="Footer"/>
    </w:pPr>
    <w:r>
      <w:rPr>
        <w:rFonts w:eastAsiaTheme="minorEastAsia"/>
        <w:noProof/>
        <w:sz w:val="14"/>
        <w:szCs w:val="14"/>
        <w:lang w:val="fr-CA"/>
      </w:rPr>
      <w:tab/>
    </w:r>
    <w:r w:rsidRPr="0036029F">
      <w:rPr>
        <w:rFonts w:eastAsiaTheme="minorEastAsia"/>
        <w:noProof/>
        <w:sz w:val="14"/>
        <w:szCs w:val="14"/>
        <w:lang w:val="fr-CA"/>
      </w:rPr>
      <w:t xml:space="preserve">gaies, bisexuelles et trans grâce à la recherche, à l’éducation et </w:t>
    </w:r>
    <w:r>
      <w:rPr>
        <w:rFonts w:eastAsiaTheme="minorEastAsia"/>
        <w:noProof/>
        <w:sz w:val="14"/>
        <w:szCs w:val="14"/>
        <w:lang w:val="fr-CA"/>
      </w:rPr>
      <w:t>à la mobilisation communautaire.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B66" w:rsidRDefault="00333B66" w:rsidP="006A0EF1">
      <w:pPr>
        <w:spacing w:after="0" w:line="240" w:lineRule="auto"/>
      </w:pPr>
      <w:r>
        <w:separator/>
      </w:r>
    </w:p>
  </w:footnote>
  <w:footnote w:type="continuationSeparator" w:id="0">
    <w:p w:rsidR="00333B66" w:rsidRDefault="00333B66" w:rsidP="006A0EF1">
      <w:pPr>
        <w:spacing w:after="0" w:line="240" w:lineRule="auto"/>
      </w:pPr>
      <w:r>
        <w:continuationSeparator/>
      </w:r>
    </w:p>
  </w:footnote>
  <w:footnote w:id="1">
    <w:p w:rsidR="006A0EF1" w:rsidRPr="005F2C46" w:rsidRDefault="006A0EF1" w:rsidP="006A0EF1">
      <w:pPr>
        <w:pStyle w:val="NoSpacing"/>
        <w:rPr>
          <w:rFonts w:ascii="Times New Roman" w:hAnsi="Times New Roman" w:cs="Times New Roman"/>
          <w:sz w:val="20"/>
          <w:szCs w:val="20"/>
        </w:rPr>
      </w:pPr>
      <w:r w:rsidRPr="005F2C46">
        <w:rPr>
          <w:rStyle w:val="FootnoteReference"/>
          <w:rFonts w:ascii="Times New Roman" w:hAnsi="Times New Roman" w:cs="Times New Roman"/>
          <w:sz w:val="20"/>
          <w:szCs w:val="20"/>
        </w:rPr>
        <w:footnoteRef/>
      </w:r>
      <w:r w:rsidRPr="005F2C46">
        <w:rPr>
          <w:rFonts w:ascii="Times New Roman" w:hAnsi="Times New Roman" w:cs="Times New Roman"/>
          <w:sz w:val="20"/>
          <w:szCs w:val="20"/>
        </w:rPr>
        <w:t xml:space="preserve"> Section</w:t>
      </w:r>
      <w:r w:rsidRPr="005F2C46">
        <w:rPr>
          <w:rStyle w:val="sectionlabel"/>
          <w:rFonts w:ascii="Times New Roman" w:hAnsi="Times New Roman" w:cs="Times New Roman"/>
          <w:bCs/>
          <w:color w:val="000000"/>
        </w:rPr>
        <w:t xml:space="preserve"> 268</w:t>
      </w:r>
      <w:r w:rsidRPr="005F2C46">
        <w:rPr>
          <w:rFonts w:ascii="Times New Roman" w:hAnsi="Times New Roman" w:cs="Times New Roman"/>
          <w:sz w:val="20"/>
          <w:szCs w:val="20"/>
        </w:rPr>
        <w:t> </w:t>
      </w:r>
      <w:r w:rsidRPr="005F2C46">
        <w:rPr>
          <w:rStyle w:val="lawlabel"/>
          <w:rFonts w:ascii="Times New Roman" w:hAnsi="Times New Roman" w:cs="Times New Roman"/>
          <w:bCs/>
          <w:color w:val="000000"/>
          <w:sz w:val="20"/>
          <w:szCs w:val="20"/>
        </w:rPr>
        <w:t>(3)</w:t>
      </w:r>
      <w:r w:rsidRPr="005F2C46">
        <w:rPr>
          <w:rFonts w:ascii="Times New Roman" w:hAnsi="Times New Roman" w:cs="Times New Roman"/>
          <w:sz w:val="20"/>
          <w:szCs w:val="20"/>
        </w:rPr>
        <w:t xml:space="preserve"> For greater certainty, in this section, “wounds” or “maims” includes to excise, infibulate or mutilate, in whole or in part, the labia </w:t>
      </w:r>
      <w:proofErr w:type="spellStart"/>
      <w:r w:rsidRPr="005F2C46">
        <w:rPr>
          <w:rFonts w:ascii="Times New Roman" w:hAnsi="Times New Roman" w:cs="Times New Roman"/>
          <w:sz w:val="20"/>
          <w:szCs w:val="20"/>
        </w:rPr>
        <w:t>majora</w:t>
      </w:r>
      <w:proofErr w:type="spellEnd"/>
      <w:r w:rsidRPr="005F2C46">
        <w:rPr>
          <w:rFonts w:ascii="Times New Roman" w:hAnsi="Times New Roman" w:cs="Times New Roman"/>
          <w:sz w:val="20"/>
          <w:szCs w:val="20"/>
        </w:rPr>
        <w:t xml:space="preserve">, labia </w:t>
      </w:r>
      <w:proofErr w:type="spellStart"/>
      <w:r w:rsidRPr="005F2C46">
        <w:rPr>
          <w:rFonts w:ascii="Times New Roman" w:hAnsi="Times New Roman" w:cs="Times New Roman"/>
          <w:sz w:val="20"/>
          <w:szCs w:val="20"/>
        </w:rPr>
        <w:t>minora</w:t>
      </w:r>
      <w:proofErr w:type="spellEnd"/>
      <w:r w:rsidRPr="005F2C46">
        <w:rPr>
          <w:rFonts w:ascii="Times New Roman" w:hAnsi="Times New Roman" w:cs="Times New Roman"/>
          <w:sz w:val="20"/>
          <w:szCs w:val="20"/>
        </w:rPr>
        <w:t xml:space="preserve"> or clitoris of a person, except where:</w:t>
      </w:r>
    </w:p>
  </w:footnote>
  <w:footnote w:id="2">
    <w:p w:rsidR="006A0EF1" w:rsidRPr="005F2C46" w:rsidRDefault="006A0EF1" w:rsidP="006A0EF1">
      <w:pPr>
        <w:pStyle w:val="NoSpacing"/>
        <w:rPr>
          <w:rFonts w:ascii="Times New Roman" w:hAnsi="Times New Roman" w:cs="Times New Roman"/>
          <w:sz w:val="20"/>
          <w:szCs w:val="20"/>
        </w:rPr>
      </w:pPr>
      <w:r w:rsidRPr="005F2C46">
        <w:rPr>
          <w:rStyle w:val="FootnoteReference"/>
          <w:rFonts w:ascii="Times New Roman" w:hAnsi="Times New Roman" w:cs="Times New Roman"/>
          <w:sz w:val="20"/>
          <w:szCs w:val="20"/>
        </w:rPr>
        <w:footnoteRef/>
      </w:r>
      <w:r w:rsidRPr="005F2C46">
        <w:rPr>
          <w:rFonts w:ascii="Times New Roman" w:hAnsi="Times New Roman" w:cs="Times New Roman"/>
          <w:sz w:val="20"/>
          <w:szCs w:val="20"/>
        </w:rPr>
        <w:t xml:space="preserve"> Section 268 (3)</w:t>
      </w:r>
      <w:r w:rsidRPr="005F2C46">
        <w:rPr>
          <w:rStyle w:val="lawlabel"/>
          <w:rFonts w:ascii="Times New Roman" w:hAnsi="Times New Roman" w:cs="Times New Roman"/>
          <w:bCs/>
          <w:color w:val="000000"/>
          <w:sz w:val="20"/>
          <w:szCs w:val="20"/>
        </w:rPr>
        <w:t xml:space="preserve"> (a)</w:t>
      </w:r>
      <w:r w:rsidRPr="005F2C46">
        <w:rPr>
          <w:rFonts w:ascii="Times New Roman" w:hAnsi="Times New Roman" w:cs="Times New Roman"/>
          <w:sz w:val="20"/>
          <w:szCs w:val="20"/>
        </w:rPr>
        <w:t xml:space="preserve"> a surgical procedure is performed, by a person duly qualified by provincial law to practise medicine, for the benefit of the physical health of the person or for the purpose of that person having normal reproductive functions or normal sexual appearance or function; </w:t>
      </w:r>
    </w:p>
    <w:p w:rsidR="006A0EF1" w:rsidRPr="005F2C46" w:rsidRDefault="006A0EF1" w:rsidP="006A0EF1">
      <w:pPr>
        <w:pStyle w:val="FootnoteText"/>
        <w:rPr>
          <w:rFonts w:ascii="Times New Roman" w:hAnsi="Times New Roman" w:cs="Times New Roman"/>
        </w:rPr>
      </w:pPr>
    </w:p>
  </w:footnote>
  <w:footnote w:id="3">
    <w:p w:rsidR="006A0EF1" w:rsidRPr="005F2C46" w:rsidRDefault="006A0EF1" w:rsidP="006A0EF1">
      <w:pPr>
        <w:pStyle w:val="FootnoteText"/>
        <w:rPr>
          <w:rFonts w:ascii="Times New Roman" w:hAnsi="Times New Roman" w:cs="Times New Roman"/>
        </w:rPr>
      </w:pPr>
      <w:r w:rsidRPr="005F2C46">
        <w:rPr>
          <w:rStyle w:val="FootnoteReference"/>
          <w:rFonts w:ascii="Times New Roman" w:hAnsi="Times New Roman" w:cs="Times New Roman"/>
        </w:rPr>
        <w:footnoteRef/>
      </w:r>
      <w:r w:rsidRPr="005F2C46">
        <w:rPr>
          <w:rFonts w:ascii="Times New Roman" w:hAnsi="Times New Roman" w:cs="Times New Roman"/>
        </w:rPr>
        <w:t xml:space="preserve"> </w:t>
      </w:r>
      <w:proofErr w:type="spellStart"/>
      <w:r w:rsidRPr="005F2C46">
        <w:rPr>
          <w:rFonts w:ascii="Times New Roman" w:hAnsi="Times New Roman" w:cs="Times New Roman"/>
        </w:rPr>
        <w:t>Bastien</w:t>
      </w:r>
      <w:proofErr w:type="spellEnd"/>
      <w:r w:rsidRPr="005F2C46">
        <w:rPr>
          <w:rFonts w:ascii="Times New Roman" w:hAnsi="Times New Roman" w:cs="Times New Roman"/>
        </w:rPr>
        <w:t xml:space="preserve"> </w:t>
      </w:r>
      <w:proofErr w:type="spellStart"/>
      <w:r w:rsidRPr="005F2C46">
        <w:rPr>
          <w:rFonts w:ascii="Times New Roman" w:hAnsi="Times New Roman" w:cs="Times New Roman"/>
        </w:rPr>
        <w:t>Charlebois</w:t>
      </w:r>
      <w:proofErr w:type="spellEnd"/>
      <w:r w:rsidRPr="005F2C46">
        <w:rPr>
          <w:rFonts w:ascii="Times New Roman" w:hAnsi="Times New Roman" w:cs="Times New Roman"/>
        </w:rPr>
        <w:t>, J. (2015). «Sanctioned Sex/</w:t>
      </w:r>
      <w:proofErr w:type="spellStart"/>
      <w:proofErr w:type="gramStart"/>
      <w:r w:rsidRPr="005F2C46">
        <w:rPr>
          <w:rFonts w:ascii="Times New Roman" w:hAnsi="Times New Roman" w:cs="Times New Roman"/>
        </w:rPr>
        <w:t>ualities</w:t>
      </w:r>
      <w:proofErr w:type="spellEnd"/>
      <w:r w:rsidRPr="005F2C46">
        <w:rPr>
          <w:rFonts w:ascii="Times New Roman" w:hAnsi="Times New Roman" w:cs="Times New Roman"/>
        </w:rPr>
        <w:t xml:space="preserve"> :</w:t>
      </w:r>
      <w:proofErr w:type="gramEnd"/>
      <w:r w:rsidRPr="005F2C46">
        <w:rPr>
          <w:rFonts w:ascii="Times New Roman" w:hAnsi="Times New Roman" w:cs="Times New Roman"/>
        </w:rPr>
        <w:t xml:space="preserve"> The Medical Treatment of Intersex Bodies and Voices». Sanctioned sexualities panel. ILGA World Congress. Mexico. URL &lt; http://ilga.org/an-introduction-to-sanctioned-sexualities-the-medical-treatment-of-intersex-bodies-and-voices/&gt;</w:t>
      </w:r>
    </w:p>
  </w:footnote>
  <w:footnote w:id="4">
    <w:p w:rsidR="006A0EF1" w:rsidRPr="005F2C46" w:rsidRDefault="006A0EF1" w:rsidP="006A0EF1">
      <w:pPr>
        <w:pStyle w:val="FootnoteText"/>
        <w:rPr>
          <w:rFonts w:ascii="Times New Roman" w:hAnsi="Times New Roman" w:cs="Times New Roman"/>
        </w:rPr>
      </w:pPr>
      <w:r w:rsidRPr="005F2C46">
        <w:rPr>
          <w:rStyle w:val="FootnoteReference"/>
          <w:rFonts w:ascii="Times New Roman" w:hAnsi="Times New Roman" w:cs="Times New Roman"/>
        </w:rPr>
        <w:footnoteRef/>
      </w:r>
      <w:r w:rsidRPr="005F2C46">
        <w:rPr>
          <w:rFonts w:ascii="Times New Roman" w:hAnsi="Times New Roman" w:cs="Times New Roman"/>
        </w:rPr>
        <w:t xml:space="preserve"> Holmes, M., &amp; Hunt, R. (2011). Intersex Health. Retrieved from Rainbow Health Ontario website: https://www.rainbowhealthontario.ca/wpcontent/uploads/woocommerce_uploads/2011/08/RHO_FactSheet_INTERSEXHEALT H_E.pdf</w:t>
      </w:r>
    </w:p>
  </w:footnote>
  <w:footnote w:id="5">
    <w:p w:rsidR="006A0EF1" w:rsidRPr="005F2C46" w:rsidRDefault="006A0EF1" w:rsidP="006A0EF1">
      <w:pPr>
        <w:pStyle w:val="FootnoteText"/>
        <w:rPr>
          <w:rFonts w:ascii="Times New Roman" w:hAnsi="Times New Roman" w:cs="Times New Roman"/>
        </w:rPr>
      </w:pPr>
      <w:r w:rsidRPr="005F2C46">
        <w:rPr>
          <w:rStyle w:val="FootnoteReference"/>
          <w:rFonts w:ascii="Times New Roman" w:hAnsi="Times New Roman" w:cs="Times New Roman"/>
        </w:rPr>
        <w:footnoteRef/>
      </w:r>
      <w:r w:rsidRPr="005F2C46">
        <w:rPr>
          <w:rFonts w:ascii="Times New Roman" w:hAnsi="Times New Roman" w:cs="Times New Roman"/>
        </w:rPr>
        <w:t xml:space="preserve"> Report of the Special Rapporteur on Torture, Juan E. Mendez, UN Doc. A/HRC/22/53 (2013), available at http://www.ohchr.org/Documents/HRBodies/HRCouncil/RegularSession/Session22/A.HRC.22.53_English.pdf</w:t>
      </w:r>
    </w:p>
  </w:footnote>
  <w:footnote w:id="6">
    <w:p w:rsidR="006A0EF1" w:rsidRPr="005F2C46" w:rsidRDefault="006A0EF1" w:rsidP="006A0EF1">
      <w:pPr>
        <w:pStyle w:val="FootnoteText"/>
        <w:rPr>
          <w:rFonts w:ascii="Times New Roman" w:hAnsi="Times New Roman" w:cs="Times New Roman"/>
        </w:rPr>
      </w:pPr>
      <w:r w:rsidRPr="005F2C46">
        <w:rPr>
          <w:rStyle w:val="FootnoteReference"/>
          <w:rFonts w:ascii="Times New Roman" w:hAnsi="Times New Roman" w:cs="Times New Roman"/>
        </w:rPr>
        <w:footnoteRef/>
      </w:r>
      <w:r w:rsidRPr="005F2C46">
        <w:rPr>
          <w:rFonts w:ascii="Times New Roman" w:hAnsi="Times New Roman" w:cs="Times New Roman"/>
        </w:rPr>
        <w:t xml:space="preserve"> Article 12 of The International Covenant on Economic, Social and Cultural Rights.</w:t>
      </w:r>
    </w:p>
  </w:footnote>
  <w:footnote w:id="7">
    <w:p w:rsidR="006A0EF1" w:rsidRPr="005F2C46" w:rsidRDefault="006A0EF1" w:rsidP="006A0EF1">
      <w:pPr>
        <w:pStyle w:val="FootnoteText"/>
        <w:rPr>
          <w:rFonts w:ascii="Times New Roman" w:hAnsi="Times New Roman" w:cs="Times New Roman"/>
        </w:rPr>
      </w:pPr>
      <w:r w:rsidRPr="005F2C46">
        <w:rPr>
          <w:rStyle w:val="FootnoteReference"/>
          <w:rFonts w:ascii="Times New Roman" w:hAnsi="Times New Roman" w:cs="Times New Roman"/>
        </w:rPr>
        <w:footnoteRef/>
      </w:r>
      <w:r w:rsidRPr="005F2C46">
        <w:rPr>
          <w:rFonts w:ascii="Times New Roman" w:hAnsi="Times New Roman" w:cs="Times New Roman"/>
        </w:rPr>
        <w:t xml:space="preserve"> UN CAT General Comment No.2 Para 15.</w:t>
      </w:r>
    </w:p>
  </w:footnote>
  <w:footnote w:id="8">
    <w:p w:rsidR="006A0EF1" w:rsidRPr="005F2C46" w:rsidRDefault="006A0EF1" w:rsidP="006A0EF1">
      <w:pPr>
        <w:pStyle w:val="FootnoteText"/>
        <w:rPr>
          <w:rFonts w:ascii="Times New Roman" w:hAnsi="Times New Roman" w:cs="Times New Roman"/>
        </w:rPr>
      </w:pPr>
      <w:r w:rsidRPr="005F2C46">
        <w:rPr>
          <w:rStyle w:val="FootnoteReference"/>
          <w:rFonts w:ascii="Times New Roman" w:hAnsi="Times New Roman" w:cs="Times New Roman"/>
        </w:rPr>
        <w:footnoteRef/>
      </w:r>
      <w:r w:rsidRPr="005F2C46">
        <w:rPr>
          <w:rFonts w:ascii="Times New Roman" w:hAnsi="Times New Roman" w:cs="Times New Roman"/>
        </w:rPr>
        <w:t xml:space="preserve"> </w:t>
      </w:r>
      <w:r w:rsidRPr="005F2C46">
        <w:rPr>
          <w:rFonts w:ascii="Times New Roman" w:hAnsi="Times New Roman" w:cs="Times New Roman"/>
          <w:i/>
        </w:rPr>
        <w:t>Supra</w:t>
      </w:r>
      <w:r w:rsidRPr="005F2C46">
        <w:rPr>
          <w:rFonts w:ascii="Times New Roman" w:hAnsi="Times New Roman" w:cs="Times New Roman"/>
        </w:rPr>
        <w:t xml:space="preserve"> Note 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C31" w:rsidRPr="0036029F" w:rsidRDefault="00CF1CA2" w:rsidP="00110C31">
    <w:pPr>
      <w:tabs>
        <w:tab w:val="right" w:pos="284"/>
      </w:tabs>
      <w:spacing w:after="120"/>
      <w:ind w:left="-992"/>
      <w:rPr>
        <w:rFonts w:eastAsia="Calibri"/>
        <w:sz w:val="14"/>
        <w:szCs w:val="14"/>
      </w:rPr>
    </w:pPr>
    <w:r w:rsidRPr="00110C31">
      <w:rPr>
        <w:noProof/>
        <w:lang w:eastAsia="en-CA"/>
      </w:rPr>
      <w:drawing>
        <wp:anchor distT="0" distB="0" distL="114300" distR="114300" simplePos="0" relativeHeight="251659264" behindDoc="0" locked="0" layoutInCell="1" allowOverlap="1" wp14:anchorId="0BCD6A77" wp14:editId="627A1C9D">
          <wp:simplePos x="0" y="0"/>
          <wp:positionH relativeFrom="column">
            <wp:posOffset>558800</wp:posOffset>
          </wp:positionH>
          <wp:positionV relativeFrom="paragraph">
            <wp:posOffset>19685</wp:posOffset>
          </wp:positionV>
          <wp:extent cx="1617980" cy="5949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Communications\Logos\ECHRT Logos (current)\jpg files\ECHRT Logo(full colour - signature size).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617980" cy="594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0C31">
      <w:rPr>
        <w:noProof/>
        <w:lang w:eastAsia="en-CA"/>
      </w:rPr>
      <mc:AlternateContent>
        <mc:Choice Requires="wps">
          <w:drawing>
            <wp:anchor distT="0" distB="0" distL="114300" distR="114300" simplePos="0" relativeHeight="251660288" behindDoc="0" locked="0" layoutInCell="1" allowOverlap="1" wp14:anchorId="01A89485" wp14:editId="3B5671DB">
              <wp:simplePos x="0" y="0"/>
              <wp:positionH relativeFrom="column">
                <wp:posOffset>338455</wp:posOffset>
              </wp:positionH>
              <wp:positionV relativeFrom="paragraph">
                <wp:posOffset>-43180</wp:posOffset>
              </wp:positionV>
              <wp:extent cx="0" cy="755015"/>
              <wp:effectExtent l="0" t="0" r="12700" b="6985"/>
              <wp:wrapNone/>
              <wp:docPr id="2" name="Straight Connector 2"/>
              <wp:cNvGraphicFramePr/>
              <a:graphic xmlns:a="http://schemas.openxmlformats.org/drawingml/2006/main">
                <a:graphicData uri="http://schemas.microsoft.com/office/word/2010/wordprocessingShape">
                  <wps:wsp>
                    <wps:cNvCnPr/>
                    <wps:spPr>
                      <a:xfrm>
                        <a:off x="0" y="0"/>
                        <a:ext cx="0" cy="755015"/>
                      </a:xfrm>
                      <a:prstGeom prst="line">
                        <a:avLst/>
                      </a:prstGeom>
                      <a:noFill/>
                      <a:ln w="12700" cap="flat" cmpd="sng" algn="ctr">
                        <a:gradFill>
                          <a:gsLst>
                            <a:gs pos="0">
                              <a:srgbClr val="FF3399"/>
                            </a:gs>
                            <a:gs pos="25000">
                              <a:srgbClr val="FF6633"/>
                            </a:gs>
                            <a:gs pos="50000">
                              <a:srgbClr val="FFFF00"/>
                            </a:gs>
                            <a:gs pos="75000">
                              <a:srgbClr val="01A78F"/>
                            </a:gs>
                            <a:gs pos="100000">
                              <a:srgbClr val="3366FF"/>
                            </a:gs>
                          </a:gsLst>
                          <a:lin ang="5400000" scaled="0"/>
                        </a:gradFill>
                        <a:prstDash val="solid"/>
                      </a:ln>
                      <a:effectLst/>
                    </wps:spPr>
                    <wps:bodyPr/>
                  </wps:wsp>
                </a:graphicData>
              </a:graphic>
            </wp:anchor>
          </w:drawing>
        </mc:Choice>
        <mc:Fallback>
          <w:pict>
            <v:line w14:anchorId="1F48114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65pt,-3.4pt" to="26.65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" strokeweight="1pt"/>
          </w:pict>
        </mc:Fallback>
      </mc:AlternateContent>
    </w:r>
    <w:r>
      <w:rPr>
        <w:rFonts w:eastAsia="Calibri"/>
        <w:sz w:val="14"/>
        <w:szCs w:val="14"/>
      </w:rPr>
      <w:t xml:space="preserve">              </w:t>
    </w:r>
    <w:r w:rsidRPr="0036029F">
      <w:rPr>
        <w:rFonts w:eastAsia="Calibri"/>
        <w:sz w:val="14"/>
        <w:szCs w:val="14"/>
      </w:rPr>
      <w:t>www.egale.ca</w:t>
    </w:r>
  </w:p>
  <w:p w:rsidR="00110C31" w:rsidRPr="0036029F" w:rsidRDefault="00CF1CA2" w:rsidP="00110C31">
    <w:pPr>
      <w:tabs>
        <w:tab w:val="right" w:pos="284"/>
      </w:tabs>
      <w:spacing w:after="0"/>
      <w:ind w:left="-993"/>
      <w:rPr>
        <w:rFonts w:eastAsia="Calibri"/>
        <w:sz w:val="14"/>
        <w:szCs w:val="14"/>
      </w:rPr>
    </w:pPr>
    <w:r w:rsidRPr="0036029F">
      <w:rPr>
        <w:rFonts w:eastAsia="Calibri"/>
        <w:sz w:val="14"/>
        <w:szCs w:val="14"/>
      </w:rPr>
      <w:tab/>
      <w:t>185, rue Carlton Street</w:t>
    </w:r>
  </w:p>
  <w:p w:rsidR="00110C31" w:rsidRPr="0036029F" w:rsidRDefault="00CF1CA2" w:rsidP="00110C31">
    <w:pPr>
      <w:tabs>
        <w:tab w:val="right" w:pos="284"/>
      </w:tabs>
      <w:spacing w:after="0"/>
      <w:ind w:left="-993"/>
      <w:rPr>
        <w:rFonts w:eastAsia="Calibri"/>
        <w:sz w:val="14"/>
        <w:szCs w:val="14"/>
      </w:rPr>
    </w:pPr>
    <w:r w:rsidRPr="0036029F">
      <w:rPr>
        <w:rFonts w:eastAsia="Calibri"/>
        <w:sz w:val="14"/>
        <w:szCs w:val="14"/>
      </w:rPr>
      <w:tab/>
      <w:t>Toronto, ON</w:t>
    </w:r>
  </w:p>
  <w:p w:rsidR="00110C31" w:rsidRPr="0036029F" w:rsidRDefault="00CF1CA2" w:rsidP="00110C31">
    <w:pPr>
      <w:tabs>
        <w:tab w:val="right" w:pos="284"/>
      </w:tabs>
      <w:spacing w:after="0"/>
      <w:ind w:left="-993"/>
      <w:rPr>
        <w:rFonts w:eastAsia="Calibri"/>
        <w:sz w:val="14"/>
        <w:szCs w:val="14"/>
      </w:rPr>
    </w:pPr>
    <w:r w:rsidRPr="0036029F">
      <w:rPr>
        <w:rFonts w:eastAsia="Calibri"/>
        <w:sz w:val="14"/>
        <w:szCs w:val="14"/>
      </w:rPr>
      <w:tab/>
      <w:t>M5A 2K7</w:t>
    </w:r>
  </w:p>
  <w:p w:rsidR="00110C31" w:rsidRPr="0036029F" w:rsidRDefault="00CF1CA2" w:rsidP="00110C31">
    <w:pPr>
      <w:tabs>
        <w:tab w:val="right" w:pos="284"/>
      </w:tabs>
      <w:spacing w:after="0"/>
      <w:ind w:left="-993"/>
      <w:rPr>
        <w:rFonts w:eastAsia="Calibri"/>
        <w:sz w:val="14"/>
        <w:szCs w:val="14"/>
      </w:rPr>
    </w:pPr>
    <w:r w:rsidRPr="0036029F">
      <w:rPr>
        <w:rFonts w:eastAsia="Calibri"/>
        <w:sz w:val="14"/>
        <w:szCs w:val="14"/>
      </w:rPr>
      <w:tab/>
      <w:t>1-888-204-7777</w:t>
    </w:r>
  </w:p>
  <w:p w:rsidR="00110C31" w:rsidRDefault="00333B66">
    <w:pPr>
      <w:pStyle w:val="Header"/>
    </w:pPr>
  </w:p>
  <w:p w:rsidR="00110C31" w:rsidRDefault="00333B6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292F2B"/>
    <w:multiLevelType w:val="hybridMultilevel"/>
    <w:tmpl w:val="F7AA00E4"/>
    <w:lvl w:ilvl="0" w:tplc="E8C2E5E4">
      <w:start w:val="1"/>
      <w:numFmt w:val="decimal"/>
      <w:lvlText w:val="%1."/>
      <w:lvlJc w:val="left"/>
      <w:pPr>
        <w:ind w:left="720" w:hanging="360"/>
      </w:pPr>
      <w:rPr>
        <w:rFonts w:eastAsiaTheme="minorHAnsi"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8202D38"/>
    <w:multiLevelType w:val="hybridMultilevel"/>
    <w:tmpl w:val="E1587C2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F1"/>
    <w:rsid w:val="000B3D9E"/>
    <w:rsid w:val="000B6953"/>
    <w:rsid w:val="00242F17"/>
    <w:rsid w:val="00333B66"/>
    <w:rsid w:val="006A0EF1"/>
    <w:rsid w:val="006D1699"/>
    <w:rsid w:val="0083515A"/>
    <w:rsid w:val="008F37A8"/>
    <w:rsid w:val="009104DC"/>
    <w:rsid w:val="00AD1BD0"/>
    <w:rsid w:val="00CF1C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E1479"/>
  <w15:chartTrackingRefBased/>
  <w15:docId w15:val="{3723A8CA-CB89-4B34-90DD-66209F566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E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0E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EF1"/>
    <w:rPr>
      <w:lang w:val="en-US"/>
    </w:rPr>
  </w:style>
  <w:style w:type="paragraph" w:styleId="Footer">
    <w:name w:val="footer"/>
    <w:basedOn w:val="Normal"/>
    <w:link w:val="FooterChar"/>
    <w:uiPriority w:val="99"/>
    <w:unhideWhenUsed/>
    <w:rsid w:val="006A0E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EF1"/>
    <w:rPr>
      <w:lang w:val="en-US"/>
    </w:rPr>
  </w:style>
  <w:style w:type="paragraph" w:styleId="ListParagraph">
    <w:name w:val="List Paragraph"/>
    <w:basedOn w:val="Normal"/>
    <w:uiPriority w:val="34"/>
    <w:qFormat/>
    <w:rsid w:val="006A0EF1"/>
    <w:pPr>
      <w:ind w:left="720"/>
      <w:contextualSpacing/>
    </w:pPr>
  </w:style>
  <w:style w:type="character" w:customStyle="1" w:styleId="normaltextrun">
    <w:name w:val="normaltextrun"/>
    <w:basedOn w:val="DefaultParagraphFont"/>
    <w:rsid w:val="006A0EF1"/>
  </w:style>
  <w:style w:type="character" w:customStyle="1" w:styleId="eop">
    <w:name w:val="eop"/>
    <w:basedOn w:val="DefaultParagraphFont"/>
    <w:rsid w:val="006A0EF1"/>
  </w:style>
  <w:style w:type="paragraph" w:styleId="FootnoteText">
    <w:name w:val="footnote text"/>
    <w:basedOn w:val="Normal"/>
    <w:link w:val="FootnoteTextChar"/>
    <w:uiPriority w:val="99"/>
    <w:semiHidden/>
    <w:unhideWhenUsed/>
    <w:rsid w:val="006A0E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0EF1"/>
    <w:rPr>
      <w:sz w:val="20"/>
      <w:szCs w:val="20"/>
    </w:rPr>
  </w:style>
  <w:style w:type="character" w:styleId="FootnoteReference">
    <w:name w:val="footnote reference"/>
    <w:basedOn w:val="DefaultParagraphFont"/>
    <w:uiPriority w:val="99"/>
    <w:semiHidden/>
    <w:unhideWhenUsed/>
    <w:rsid w:val="006A0EF1"/>
    <w:rPr>
      <w:vertAlign w:val="superscript"/>
    </w:rPr>
  </w:style>
  <w:style w:type="character" w:customStyle="1" w:styleId="sectionlabel">
    <w:name w:val="sectionlabel"/>
    <w:basedOn w:val="DefaultParagraphFont"/>
    <w:rsid w:val="006A0EF1"/>
  </w:style>
  <w:style w:type="character" w:customStyle="1" w:styleId="lawlabel">
    <w:name w:val="lawlabel"/>
    <w:basedOn w:val="DefaultParagraphFont"/>
    <w:rsid w:val="006A0EF1"/>
  </w:style>
  <w:style w:type="paragraph" w:styleId="NoSpacing">
    <w:name w:val="No Spacing"/>
    <w:uiPriority w:val="1"/>
    <w:qFormat/>
    <w:rsid w:val="006A0E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F2C5D2-15E0-479C-9579-EA4EAFB905ED}"/>
</file>

<file path=customXml/itemProps2.xml><?xml version="1.0" encoding="utf-8"?>
<ds:datastoreItem xmlns:ds="http://schemas.openxmlformats.org/officeDocument/2006/customXml" ds:itemID="{129134A9-CE3F-4F8B-B512-020070DD9E64}"/>
</file>

<file path=customXml/itemProps3.xml><?xml version="1.0" encoding="utf-8"?>
<ds:datastoreItem xmlns:ds="http://schemas.openxmlformats.org/officeDocument/2006/customXml" ds:itemID="{208F5CF7-3FCF-4B3E-ACAC-7C01585215EE}"/>
</file>

<file path=docProps/app.xml><?xml version="1.0" encoding="utf-8"?>
<Properties xmlns="http://schemas.openxmlformats.org/officeDocument/2006/extended-properties" xmlns:vt="http://schemas.openxmlformats.org/officeDocument/2006/docPropsVTypes">
  <Template>Normal</Template>
  <TotalTime>9</TotalTime>
  <Pages>3</Pages>
  <Words>1216</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 Datta</dc:creator>
  <cp:keywords/>
  <dc:description/>
  <cp:lastModifiedBy>Yash Datta</cp:lastModifiedBy>
  <cp:revision>4</cp:revision>
  <dcterms:created xsi:type="dcterms:W3CDTF">2018-10-15T14:37:00Z</dcterms:created>
  <dcterms:modified xsi:type="dcterms:W3CDTF">2018-10-15T17:07:00Z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