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AD900" w14:textId="77777777" w:rsidR="00D43B4C" w:rsidRPr="005A5A67" w:rsidRDefault="00216CDF" w:rsidP="00065716">
      <w:pPr>
        <w:spacing w:after="0" w:line="240" w:lineRule="auto"/>
        <w:jc w:val="right"/>
        <w:rPr>
          <w:rFonts w:ascii="Cambria" w:hAnsi="Cambria"/>
        </w:rPr>
      </w:pPr>
      <w:r w:rsidRPr="005A5A67">
        <w:rPr>
          <w:rFonts w:ascii="Cambria" w:hAnsi="Cambria"/>
        </w:rPr>
        <w:tab/>
      </w:r>
      <w:r w:rsidRPr="005A5A67">
        <w:rPr>
          <w:rFonts w:ascii="Cambria" w:hAnsi="Cambria"/>
        </w:rPr>
        <w:tab/>
      </w:r>
      <w:r w:rsidRPr="005A5A67">
        <w:rPr>
          <w:rFonts w:ascii="Cambria" w:hAnsi="Cambria"/>
        </w:rPr>
        <w:tab/>
      </w:r>
    </w:p>
    <w:p w14:paraId="14681F81" w14:textId="385099D9" w:rsidR="004A7008" w:rsidRPr="005A5A67" w:rsidRDefault="00216CDF" w:rsidP="00065716">
      <w:pPr>
        <w:spacing w:after="0" w:line="240" w:lineRule="auto"/>
        <w:jc w:val="right"/>
        <w:rPr>
          <w:rFonts w:ascii="Cambria" w:hAnsi="Cambria"/>
        </w:rPr>
      </w:pPr>
      <w:r w:rsidRPr="005A5A67">
        <w:rPr>
          <w:rFonts w:ascii="Cambria" w:hAnsi="Cambria"/>
        </w:rPr>
        <w:t>To</w:t>
      </w:r>
    </w:p>
    <w:p w14:paraId="00587CEF" w14:textId="03083A38" w:rsidR="00216CDF" w:rsidRPr="005A5A67" w:rsidRDefault="00216CDF" w:rsidP="00065716">
      <w:pPr>
        <w:spacing w:after="0" w:line="240" w:lineRule="auto"/>
        <w:jc w:val="right"/>
        <w:rPr>
          <w:rFonts w:ascii="Cambria" w:hAnsi="Cambria"/>
        </w:rPr>
      </w:pPr>
      <w:r w:rsidRPr="005A5A67">
        <w:rPr>
          <w:rFonts w:ascii="Cambria" w:hAnsi="Cambria"/>
        </w:rPr>
        <w:t>CEDAW Secretariat</w:t>
      </w:r>
    </w:p>
    <w:p w14:paraId="6DAE2EC0" w14:textId="3325D8DC" w:rsidR="00216CDF" w:rsidRPr="005A5A67" w:rsidRDefault="00216CDF" w:rsidP="00065716">
      <w:pPr>
        <w:spacing w:after="0" w:line="240" w:lineRule="auto"/>
        <w:jc w:val="right"/>
        <w:rPr>
          <w:rFonts w:ascii="Cambria" w:hAnsi="Cambria"/>
        </w:rPr>
      </w:pPr>
      <w:r w:rsidRPr="005A5A67">
        <w:rPr>
          <w:rFonts w:ascii="Cambria" w:hAnsi="Cambria"/>
        </w:rPr>
        <w:t>OHCHR – Palais Wilson</w:t>
      </w:r>
    </w:p>
    <w:p w14:paraId="1CC03A80" w14:textId="2D0403D6" w:rsidR="00216CDF" w:rsidRPr="005A5A67" w:rsidRDefault="00216CDF" w:rsidP="00065716">
      <w:pPr>
        <w:spacing w:after="0" w:line="240" w:lineRule="auto"/>
        <w:jc w:val="right"/>
        <w:rPr>
          <w:rFonts w:ascii="Cambria" w:hAnsi="Cambria"/>
        </w:rPr>
      </w:pPr>
      <w:r w:rsidRPr="005A5A67">
        <w:rPr>
          <w:rFonts w:ascii="Cambria" w:hAnsi="Cambria"/>
        </w:rPr>
        <w:t xml:space="preserve"> 52, rue des Pâquis</w:t>
      </w:r>
    </w:p>
    <w:p w14:paraId="0E13E224" w14:textId="4957299B" w:rsidR="00216CDF" w:rsidRPr="005A5A67" w:rsidRDefault="00216CDF" w:rsidP="00065716">
      <w:pPr>
        <w:spacing w:after="0" w:line="240" w:lineRule="auto"/>
        <w:jc w:val="right"/>
        <w:rPr>
          <w:rFonts w:ascii="Cambria" w:hAnsi="Cambria"/>
        </w:rPr>
      </w:pPr>
      <w:r w:rsidRPr="005A5A67">
        <w:rPr>
          <w:rFonts w:ascii="Cambria" w:hAnsi="Cambria"/>
        </w:rPr>
        <w:t>CH-1201 Geneva 10</w:t>
      </w:r>
    </w:p>
    <w:p w14:paraId="2FE3EBA9" w14:textId="7052E8F7" w:rsidR="00216CDF" w:rsidRPr="005A5A67" w:rsidRDefault="00216CDF" w:rsidP="00065716">
      <w:pPr>
        <w:spacing w:after="0" w:line="240" w:lineRule="auto"/>
        <w:jc w:val="right"/>
        <w:rPr>
          <w:rFonts w:ascii="Cambria" w:hAnsi="Cambria"/>
        </w:rPr>
      </w:pPr>
      <w:r w:rsidRPr="005A5A67">
        <w:rPr>
          <w:rFonts w:ascii="Cambria" w:hAnsi="Cambria"/>
        </w:rPr>
        <w:t>Switzerland</w:t>
      </w:r>
    </w:p>
    <w:p w14:paraId="37C03EE5" w14:textId="4182DDCD" w:rsidR="00216CDF" w:rsidRPr="005A5A67" w:rsidRDefault="00216CDF" w:rsidP="00065716">
      <w:pPr>
        <w:spacing w:after="0" w:line="240" w:lineRule="auto"/>
        <w:jc w:val="right"/>
        <w:rPr>
          <w:rFonts w:ascii="Cambria" w:hAnsi="Cambria"/>
        </w:rPr>
      </w:pPr>
      <w:r w:rsidRPr="005A5A67">
        <w:rPr>
          <w:rFonts w:ascii="Cambria" w:hAnsi="Cambria"/>
        </w:rPr>
        <w:t xml:space="preserve">E-mail: </w:t>
      </w:r>
      <w:hyperlink r:id="rId9" w:history="1">
        <w:r w:rsidRPr="005A5A67">
          <w:rPr>
            <w:rStyle w:val="Hyperlink"/>
            <w:rFonts w:ascii="Cambria" w:hAnsi="Cambria"/>
          </w:rPr>
          <w:t>cedaw@ohchr.org</w:t>
        </w:r>
      </w:hyperlink>
      <w:r w:rsidRPr="005A5A67">
        <w:rPr>
          <w:rFonts w:ascii="Cambria" w:hAnsi="Cambria"/>
        </w:rPr>
        <w:t xml:space="preserve"> </w:t>
      </w:r>
    </w:p>
    <w:p w14:paraId="6D34110E" w14:textId="48B4EB2C" w:rsidR="00216CDF" w:rsidRPr="005A5A67" w:rsidRDefault="00216CDF" w:rsidP="00065716">
      <w:pPr>
        <w:spacing w:after="0" w:line="240" w:lineRule="auto"/>
        <w:jc w:val="right"/>
        <w:rPr>
          <w:rFonts w:ascii="Cambria" w:hAnsi="Cambria"/>
        </w:rPr>
      </w:pPr>
    </w:p>
    <w:p w14:paraId="5FAEC73B" w14:textId="77777777" w:rsidR="00216CDF" w:rsidRPr="005A5A67" w:rsidRDefault="00216CDF" w:rsidP="00065716">
      <w:pPr>
        <w:spacing w:after="0" w:line="240" w:lineRule="auto"/>
        <w:jc w:val="right"/>
        <w:rPr>
          <w:rFonts w:ascii="Cambria" w:hAnsi="Cambria"/>
        </w:rPr>
      </w:pPr>
    </w:p>
    <w:p w14:paraId="73452232" w14:textId="64440D22" w:rsidR="00216CDF" w:rsidRPr="005A5A67" w:rsidRDefault="00216CDF" w:rsidP="00065716">
      <w:pPr>
        <w:spacing w:after="0" w:line="240" w:lineRule="auto"/>
        <w:jc w:val="right"/>
        <w:rPr>
          <w:rFonts w:ascii="Cambria" w:hAnsi="Cambria"/>
        </w:rPr>
      </w:pPr>
    </w:p>
    <w:p w14:paraId="21B8CCFC" w14:textId="77777777" w:rsidR="00216CDF" w:rsidRPr="005A5A67" w:rsidRDefault="00216CDF" w:rsidP="00065716">
      <w:pPr>
        <w:spacing w:after="0" w:line="240" w:lineRule="auto"/>
        <w:jc w:val="right"/>
        <w:rPr>
          <w:rFonts w:ascii="Cambria" w:hAnsi="Cambria"/>
        </w:rPr>
      </w:pPr>
    </w:p>
    <w:p w14:paraId="3F13FD4F" w14:textId="0D0302EB" w:rsidR="004A7008" w:rsidRPr="005A5A67" w:rsidRDefault="004A7008" w:rsidP="00065716">
      <w:pPr>
        <w:spacing w:after="0" w:line="240" w:lineRule="auto"/>
        <w:jc w:val="center"/>
        <w:rPr>
          <w:rFonts w:ascii="Cambria" w:hAnsi="Cambria"/>
        </w:rPr>
      </w:pPr>
      <w:r w:rsidRPr="005A5A67">
        <w:rPr>
          <w:rFonts w:ascii="Cambria" w:hAnsi="Cambria"/>
        </w:rPr>
        <w:t xml:space="preserve">Submission </w:t>
      </w:r>
      <w:r w:rsidR="00216CDF" w:rsidRPr="005A5A67">
        <w:rPr>
          <w:rFonts w:ascii="Cambria" w:hAnsi="Cambria"/>
        </w:rPr>
        <w:t xml:space="preserve">from the Center for Economic and Rural Development (CERD) </w:t>
      </w:r>
      <w:r w:rsidRPr="005A5A67">
        <w:rPr>
          <w:rFonts w:ascii="Cambria" w:hAnsi="Cambria"/>
        </w:rPr>
        <w:t xml:space="preserve">to </w:t>
      </w:r>
      <w:r w:rsidR="00216CDF" w:rsidRPr="005A5A67">
        <w:rPr>
          <w:rFonts w:ascii="Cambria" w:hAnsi="Cambria"/>
        </w:rPr>
        <w:t xml:space="preserve">the </w:t>
      </w:r>
      <w:r w:rsidRPr="005A5A67">
        <w:rPr>
          <w:rFonts w:ascii="Cambria" w:hAnsi="Cambria"/>
        </w:rPr>
        <w:t xml:space="preserve">United Nations Committee on the Elimination of Discrimination Against Women </w:t>
      </w:r>
      <w:r w:rsidR="00216CDF" w:rsidRPr="005A5A67">
        <w:rPr>
          <w:rFonts w:ascii="Cambria" w:hAnsi="Cambria"/>
        </w:rPr>
        <w:t>(CEDAW) for the 74</w:t>
      </w:r>
      <w:r w:rsidR="00216CDF" w:rsidRPr="005A5A67">
        <w:rPr>
          <w:rFonts w:ascii="Cambria" w:hAnsi="Cambria"/>
          <w:vertAlign w:val="superscript"/>
        </w:rPr>
        <w:t>th</w:t>
      </w:r>
      <w:r w:rsidR="00216CDF" w:rsidRPr="005A5A67">
        <w:rPr>
          <w:rFonts w:ascii="Cambria" w:hAnsi="Cambria"/>
        </w:rPr>
        <w:t xml:space="preserve"> session </w:t>
      </w:r>
      <w:r w:rsidRPr="005A5A67">
        <w:rPr>
          <w:rFonts w:ascii="Cambria" w:hAnsi="Cambria"/>
        </w:rPr>
        <w:t>regarding the Sixth Periodic</w:t>
      </w:r>
      <w:r w:rsidR="002B760E" w:rsidRPr="005A5A67">
        <w:rPr>
          <w:rFonts w:ascii="Cambria" w:hAnsi="Cambria"/>
        </w:rPr>
        <w:t>al Report of the Bosnia and Herz</w:t>
      </w:r>
      <w:r w:rsidRPr="005A5A67">
        <w:rPr>
          <w:rFonts w:ascii="Cambria" w:hAnsi="Cambria"/>
        </w:rPr>
        <w:t xml:space="preserve">egovina </w:t>
      </w:r>
    </w:p>
    <w:p w14:paraId="7CE996D6" w14:textId="77777777" w:rsidR="004A7008" w:rsidRPr="005A5A67" w:rsidRDefault="004A7008" w:rsidP="00065716">
      <w:pPr>
        <w:spacing w:after="0" w:line="240" w:lineRule="auto"/>
        <w:rPr>
          <w:rFonts w:ascii="Cambria" w:hAnsi="Cambria"/>
        </w:rPr>
      </w:pPr>
    </w:p>
    <w:p w14:paraId="4C63A989" w14:textId="77777777" w:rsidR="004A7008" w:rsidRPr="005A5A67" w:rsidRDefault="004A7008" w:rsidP="00065716">
      <w:pPr>
        <w:spacing w:after="0" w:line="240" w:lineRule="auto"/>
        <w:rPr>
          <w:rFonts w:ascii="Cambria" w:hAnsi="Cambria"/>
        </w:rPr>
      </w:pPr>
      <w:r w:rsidRPr="005A5A67">
        <w:rPr>
          <w:rFonts w:ascii="Cambria" w:hAnsi="Cambria"/>
        </w:rPr>
        <w:t xml:space="preserve"> </w:t>
      </w:r>
    </w:p>
    <w:p w14:paraId="266BCFE7" w14:textId="77777777" w:rsidR="004A7008" w:rsidRPr="005A5A67" w:rsidRDefault="004A7008" w:rsidP="00065716">
      <w:pPr>
        <w:spacing w:after="0" w:line="240" w:lineRule="auto"/>
        <w:rPr>
          <w:rFonts w:ascii="Cambria" w:hAnsi="Cambria"/>
        </w:rPr>
      </w:pPr>
    </w:p>
    <w:p w14:paraId="06D5F9CD" w14:textId="77777777" w:rsidR="004A7008" w:rsidRPr="005A5A67" w:rsidRDefault="004A7008" w:rsidP="00065716">
      <w:pPr>
        <w:spacing w:after="0" w:line="240" w:lineRule="auto"/>
        <w:rPr>
          <w:rFonts w:ascii="Cambria" w:hAnsi="Cambria"/>
        </w:rPr>
      </w:pPr>
      <w:r w:rsidRPr="005A5A67">
        <w:rPr>
          <w:rFonts w:ascii="Cambria" w:hAnsi="Cambria"/>
        </w:rPr>
        <w:t xml:space="preserve"> </w:t>
      </w:r>
    </w:p>
    <w:p w14:paraId="3A4C6A73" w14:textId="2C80201C" w:rsidR="00954354" w:rsidRPr="005A5A67" w:rsidRDefault="002B760E" w:rsidP="00065716">
      <w:pPr>
        <w:spacing w:after="0" w:line="240" w:lineRule="auto"/>
        <w:jc w:val="both"/>
        <w:rPr>
          <w:rFonts w:ascii="Cambria" w:hAnsi="Cambria"/>
        </w:rPr>
      </w:pPr>
      <w:r w:rsidRPr="005A5A67">
        <w:rPr>
          <w:rFonts w:ascii="Cambria" w:hAnsi="Cambria"/>
        </w:rPr>
        <w:t xml:space="preserve">Submitting organization, </w:t>
      </w:r>
      <w:r w:rsidR="00124CCE" w:rsidRPr="005A5A67">
        <w:rPr>
          <w:rFonts w:ascii="Cambria" w:hAnsi="Cambria"/>
        </w:rPr>
        <w:t>C</w:t>
      </w:r>
      <w:r w:rsidRPr="005A5A67">
        <w:rPr>
          <w:rFonts w:ascii="Cambria" w:hAnsi="Cambria"/>
        </w:rPr>
        <w:t xml:space="preserve">enter for Economic and </w:t>
      </w:r>
      <w:r w:rsidR="00124CCE" w:rsidRPr="005A5A67">
        <w:rPr>
          <w:rFonts w:ascii="Cambria" w:hAnsi="Cambria"/>
        </w:rPr>
        <w:t>R</w:t>
      </w:r>
      <w:r w:rsidRPr="005A5A67">
        <w:rPr>
          <w:rFonts w:ascii="Cambria" w:hAnsi="Cambria"/>
        </w:rPr>
        <w:t xml:space="preserve">ural </w:t>
      </w:r>
      <w:r w:rsidR="00124CCE" w:rsidRPr="005A5A67">
        <w:rPr>
          <w:rFonts w:ascii="Cambria" w:hAnsi="Cambria"/>
        </w:rPr>
        <w:t>D</w:t>
      </w:r>
      <w:r w:rsidRPr="005A5A67">
        <w:rPr>
          <w:rFonts w:ascii="Cambria" w:hAnsi="Cambria"/>
        </w:rPr>
        <w:t>evelopment</w:t>
      </w:r>
      <w:r w:rsidR="004A7008" w:rsidRPr="005A5A67">
        <w:rPr>
          <w:rFonts w:ascii="Cambria" w:hAnsi="Cambria"/>
        </w:rPr>
        <w:t xml:space="preserve"> </w:t>
      </w:r>
      <w:r w:rsidRPr="005A5A67">
        <w:rPr>
          <w:rFonts w:ascii="Cambria" w:hAnsi="Cambria"/>
        </w:rPr>
        <w:t xml:space="preserve">– CERD </w:t>
      </w:r>
      <w:r w:rsidR="004A7008" w:rsidRPr="005A5A67">
        <w:rPr>
          <w:rFonts w:ascii="Cambria" w:hAnsi="Cambria"/>
        </w:rPr>
        <w:t xml:space="preserve">was formed </w:t>
      </w:r>
      <w:r w:rsidR="00124CCE" w:rsidRPr="005A5A67">
        <w:rPr>
          <w:rFonts w:ascii="Cambria" w:hAnsi="Cambria"/>
        </w:rPr>
        <w:t xml:space="preserve">in </w:t>
      </w:r>
      <w:r w:rsidR="007F0B3A" w:rsidRPr="005A5A67">
        <w:rPr>
          <w:rFonts w:ascii="Cambria" w:hAnsi="Cambria"/>
        </w:rPr>
        <w:t>2012 as</w:t>
      </w:r>
      <w:r w:rsidR="004A7008" w:rsidRPr="005A5A67">
        <w:rPr>
          <w:rFonts w:ascii="Cambria" w:hAnsi="Cambria"/>
        </w:rPr>
        <w:t xml:space="preserve"> non-governmental organization working for</w:t>
      </w:r>
      <w:r w:rsidR="00124CCE" w:rsidRPr="005A5A67">
        <w:rPr>
          <w:rFonts w:ascii="Cambria" w:hAnsi="Cambria"/>
        </w:rPr>
        <w:t xml:space="preserve"> rural population in order to improve quality of life of rural people and advocate for their interests. </w:t>
      </w:r>
      <w:r w:rsidR="00954354" w:rsidRPr="005A5A67">
        <w:rPr>
          <w:rFonts w:ascii="Cambria" w:hAnsi="Cambria"/>
        </w:rPr>
        <w:t xml:space="preserve">CERD implemented </w:t>
      </w:r>
      <w:r w:rsidR="00124CCE" w:rsidRPr="005A5A67">
        <w:rPr>
          <w:rFonts w:ascii="Cambria" w:hAnsi="Cambria"/>
        </w:rPr>
        <w:t xml:space="preserve">numerous </w:t>
      </w:r>
      <w:r w:rsidR="00954354" w:rsidRPr="005A5A67">
        <w:rPr>
          <w:rFonts w:ascii="Cambria" w:hAnsi="Cambria"/>
        </w:rPr>
        <w:t xml:space="preserve">projects with overall objective to contribute to </w:t>
      </w:r>
      <w:r w:rsidR="00124CCE" w:rsidRPr="005A5A67">
        <w:rPr>
          <w:rFonts w:ascii="Cambria" w:hAnsi="Cambria"/>
        </w:rPr>
        <w:t xml:space="preserve">socio-economic development of rural </w:t>
      </w:r>
      <w:r w:rsidRPr="005A5A67">
        <w:rPr>
          <w:rFonts w:ascii="Cambria" w:hAnsi="Cambria"/>
        </w:rPr>
        <w:t>areas</w:t>
      </w:r>
      <w:r w:rsidR="00124CCE" w:rsidRPr="005A5A67">
        <w:rPr>
          <w:rFonts w:ascii="Cambria" w:hAnsi="Cambria"/>
        </w:rPr>
        <w:t xml:space="preserve">, focusing on </w:t>
      </w:r>
      <w:r w:rsidR="00954354" w:rsidRPr="005A5A67">
        <w:rPr>
          <w:rFonts w:ascii="Cambria" w:hAnsi="Cambria"/>
        </w:rPr>
        <w:t xml:space="preserve">women empowerment and to facilitate and strengthen women’s roles in rural development programs and enhance access for rural women to developmental opportunities in targeted local communities. The main activities address increase </w:t>
      </w:r>
      <w:r w:rsidR="00B94285" w:rsidRPr="005A5A67">
        <w:rPr>
          <w:rFonts w:ascii="Cambria" w:hAnsi="Cambria"/>
        </w:rPr>
        <w:t>of</w:t>
      </w:r>
      <w:r w:rsidR="00954354" w:rsidRPr="005A5A67">
        <w:rPr>
          <w:rFonts w:ascii="Cambria" w:hAnsi="Cambria"/>
        </w:rPr>
        <w:t xml:space="preserve"> women participation </w:t>
      </w:r>
      <w:r w:rsidR="00B94285" w:rsidRPr="005A5A67">
        <w:rPr>
          <w:rFonts w:ascii="Cambria" w:hAnsi="Cambria"/>
        </w:rPr>
        <w:t xml:space="preserve">in decision-making processes </w:t>
      </w:r>
      <w:r w:rsidR="00954354" w:rsidRPr="005A5A67">
        <w:rPr>
          <w:rFonts w:ascii="Cambria" w:hAnsi="Cambria"/>
        </w:rPr>
        <w:t xml:space="preserve">and networking of rural </w:t>
      </w:r>
      <w:r w:rsidRPr="005A5A67">
        <w:rPr>
          <w:rFonts w:ascii="Cambria" w:hAnsi="Cambria"/>
        </w:rPr>
        <w:t>organizations</w:t>
      </w:r>
      <w:r w:rsidR="00954354" w:rsidRPr="005A5A67">
        <w:rPr>
          <w:rFonts w:ascii="Cambria" w:hAnsi="Cambria"/>
        </w:rPr>
        <w:t xml:space="preserve"> and CSOs and creation of mechanisms to mainstream gender responsive approaches into rural development programs and activities.</w:t>
      </w:r>
    </w:p>
    <w:p w14:paraId="4A5C9695" w14:textId="1AE9BBA6" w:rsidR="00216CDF" w:rsidRPr="005A5A67" w:rsidRDefault="00216CDF" w:rsidP="00065716">
      <w:pPr>
        <w:spacing w:after="0" w:line="240" w:lineRule="auto"/>
        <w:jc w:val="both"/>
        <w:rPr>
          <w:rFonts w:ascii="Cambria" w:hAnsi="Cambria"/>
        </w:rPr>
      </w:pPr>
    </w:p>
    <w:p w14:paraId="13D086FB" w14:textId="07D888C3" w:rsidR="00216CDF" w:rsidRPr="005A5A67" w:rsidRDefault="00216CDF" w:rsidP="00065716">
      <w:pPr>
        <w:spacing w:after="0" w:line="240" w:lineRule="auto"/>
        <w:jc w:val="both"/>
        <w:rPr>
          <w:rFonts w:ascii="Cambria" w:hAnsi="Cambria"/>
        </w:rPr>
      </w:pPr>
      <w:r w:rsidRPr="005A5A67">
        <w:rPr>
          <w:rFonts w:ascii="Cambria" w:hAnsi="Cambria"/>
        </w:rPr>
        <w:t>Website:</w:t>
      </w:r>
    </w:p>
    <w:p w14:paraId="454CE320" w14:textId="77777777" w:rsidR="00216CDF" w:rsidRPr="005A5A67" w:rsidRDefault="00712A6B" w:rsidP="00065716">
      <w:pPr>
        <w:spacing w:after="0" w:line="240" w:lineRule="auto"/>
        <w:jc w:val="both"/>
        <w:rPr>
          <w:rFonts w:ascii="Cambria" w:hAnsi="Cambria"/>
        </w:rPr>
      </w:pPr>
      <w:hyperlink r:id="rId10" w:history="1">
        <w:r w:rsidR="00216CDF" w:rsidRPr="005A5A67">
          <w:rPr>
            <w:rStyle w:val="Hyperlink"/>
            <w:rFonts w:ascii="Cambria" w:hAnsi="Cambria"/>
          </w:rPr>
          <w:t>www.cerd.ba</w:t>
        </w:r>
      </w:hyperlink>
      <w:r w:rsidR="00216CDF" w:rsidRPr="005A5A67">
        <w:rPr>
          <w:rFonts w:ascii="Cambria" w:hAnsi="Cambria"/>
        </w:rPr>
        <w:t xml:space="preserve"> </w:t>
      </w:r>
    </w:p>
    <w:p w14:paraId="66EF9F41" w14:textId="77777777" w:rsidR="00216CDF" w:rsidRPr="005A5A67" w:rsidRDefault="00216CDF" w:rsidP="00065716">
      <w:pPr>
        <w:spacing w:after="0" w:line="240" w:lineRule="auto"/>
        <w:jc w:val="both"/>
        <w:rPr>
          <w:rFonts w:ascii="Cambria" w:hAnsi="Cambria"/>
        </w:rPr>
      </w:pPr>
    </w:p>
    <w:p w14:paraId="37EC73FE" w14:textId="77777777" w:rsidR="00216CDF" w:rsidRPr="005A5A67" w:rsidRDefault="00216CDF" w:rsidP="00065716">
      <w:pPr>
        <w:spacing w:after="0" w:line="240" w:lineRule="auto"/>
        <w:jc w:val="both"/>
        <w:rPr>
          <w:rFonts w:ascii="Cambria" w:hAnsi="Cambria"/>
        </w:rPr>
      </w:pPr>
      <w:r w:rsidRPr="005A5A67">
        <w:rPr>
          <w:rFonts w:ascii="Cambria" w:hAnsi="Cambria"/>
        </w:rPr>
        <w:t>Contact person:</w:t>
      </w:r>
    </w:p>
    <w:p w14:paraId="6715B098" w14:textId="77777777" w:rsidR="00216CDF" w:rsidRPr="005A5A67" w:rsidRDefault="00216CDF" w:rsidP="00065716">
      <w:pPr>
        <w:spacing w:after="0" w:line="240" w:lineRule="auto"/>
        <w:jc w:val="both"/>
        <w:rPr>
          <w:rFonts w:ascii="Cambria" w:hAnsi="Cambria"/>
        </w:rPr>
      </w:pPr>
    </w:p>
    <w:p w14:paraId="1394EEF2" w14:textId="77777777" w:rsidR="00216CDF" w:rsidRPr="005A5A67" w:rsidRDefault="00216CDF" w:rsidP="00065716">
      <w:pPr>
        <w:spacing w:after="0" w:line="240" w:lineRule="auto"/>
        <w:jc w:val="both"/>
        <w:rPr>
          <w:rFonts w:ascii="Cambria" w:hAnsi="Cambria"/>
        </w:rPr>
      </w:pPr>
      <w:r w:rsidRPr="005A5A67">
        <w:rPr>
          <w:rFonts w:ascii="Cambria" w:hAnsi="Cambria"/>
        </w:rPr>
        <w:t>Miodrag Matavulj</w:t>
      </w:r>
    </w:p>
    <w:p w14:paraId="74F3A26D" w14:textId="7D9F30C1" w:rsidR="00216CDF" w:rsidRPr="005A5A67" w:rsidRDefault="00216CDF" w:rsidP="00065716">
      <w:pPr>
        <w:spacing w:after="0" w:line="240" w:lineRule="auto"/>
        <w:jc w:val="both"/>
        <w:rPr>
          <w:rFonts w:ascii="Cambria" w:hAnsi="Cambria"/>
        </w:rPr>
      </w:pPr>
      <w:r w:rsidRPr="005A5A67">
        <w:rPr>
          <w:rFonts w:ascii="Cambria" w:hAnsi="Cambria"/>
        </w:rPr>
        <w:t xml:space="preserve">e-mail: </w:t>
      </w:r>
      <w:hyperlink r:id="rId11" w:history="1">
        <w:r w:rsidR="00D43B4C" w:rsidRPr="005A5A67">
          <w:rPr>
            <w:rStyle w:val="Hyperlink"/>
            <w:rFonts w:ascii="Cambria" w:hAnsi="Cambria"/>
          </w:rPr>
          <w:t>miodrag.m@cerd.ba</w:t>
        </w:r>
      </w:hyperlink>
      <w:r w:rsidRPr="005A5A67">
        <w:rPr>
          <w:rFonts w:ascii="Cambria" w:hAnsi="Cambria"/>
        </w:rPr>
        <w:t xml:space="preserve">, </w:t>
      </w:r>
      <w:hyperlink r:id="rId12" w:history="1">
        <w:r w:rsidRPr="005A5A67">
          <w:rPr>
            <w:rStyle w:val="Hyperlink"/>
            <w:rFonts w:ascii="Cambria" w:hAnsi="Cambria"/>
          </w:rPr>
          <w:t>office@cerd.ba</w:t>
        </w:r>
      </w:hyperlink>
    </w:p>
    <w:p w14:paraId="0CC19E14" w14:textId="1C4D40D3" w:rsidR="00216CDF" w:rsidRPr="005A5A67" w:rsidRDefault="00D43B4C" w:rsidP="00065716">
      <w:pPr>
        <w:spacing w:after="0" w:line="240" w:lineRule="auto"/>
        <w:jc w:val="both"/>
        <w:rPr>
          <w:rFonts w:ascii="Cambria" w:hAnsi="Cambria"/>
        </w:rPr>
      </w:pPr>
      <w:r w:rsidRPr="005A5A67">
        <w:rPr>
          <w:rFonts w:ascii="Cambria" w:hAnsi="Cambria"/>
        </w:rPr>
        <w:t>phone: + 387 (0)51 491 7</w:t>
      </w:r>
      <w:r w:rsidR="00F90973" w:rsidRPr="005A5A67">
        <w:rPr>
          <w:rFonts w:ascii="Cambria" w:hAnsi="Cambria"/>
        </w:rPr>
        <w:t>60</w:t>
      </w:r>
      <w:r w:rsidRPr="005A5A67">
        <w:rPr>
          <w:rFonts w:ascii="Cambria" w:hAnsi="Cambria"/>
        </w:rPr>
        <w:t xml:space="preserve"> ~ fax: + 387 (0)51 491 7</w:t>
      </w:r>
      <w:r w:rsidR="00F90973" w:rsidRPr="005A5A67">
        <w:rPr>
          <w:rFonts w:ascii="Cambria" w:hAnsi="Cambria"/>
        </w:rPr>
        <w:t>56</w:t>
      </w:r>
    </w:p>
    <w:p w14:paraId="5BDA7C29" w14:textId="7D9E3BBC" w:rsidR="00D43B4C" w:rsidRPr="005A5A67" w:rsidRDefault="00D43B4C" w:rsidP="00065716">
      <w:pPr>
        <w:spacing w:after="0" w:line="240" w:lineRule="auto"/>
        <w:jc w:val="both"/>
        <w:rPr>
          <w:rFonts w:ascii="Cambria" w:hAnsi="Cambria"/>
        </w:rPr>
      </w:pPr>
    </w:p>
    <w:p w14:paraId="3A668911" w14:textId="0F8E913C" w:rsidR="00D43B4C" w:rsidRPr="005A5A67" w:rsidRDefault="00D43B4C" w:rsidP="00065716">
      <w:pPr>
        <w:spacing w:after="0" w:line="240" w:lineRule="auto"/>
        <w:jc w:val="both"/>
        <w:rPr>
          <w:rFonts w:ascii="Cambria" w:hAnsi="Cambria"/>
        </w:rPr>
      </w:pPr>
    </w:p>
    <w:p w14:paraId="6B666610" w14:textId="21C34525" w:rsidR="00D43B4C" w:rsidRPr="005A5A67" w:rsidRDefault="00D43B4C" w:rsidP="00065716">
      <w:pPr>
        <w:spacing w:after="0" w:line="240" w:lineRule="auto"/>
        <w:jc w:val="both"/>
        <w:rPr>
          <w:rFonts w:ascii="Cambria" w:hAnsi="Cambria"/>
        </w:rPr>
      </w:pPr>
    </w:p>
    <w:p w14:paraId="5B407408" w14:textId="688BFDAC" w:rsidR="00D43B4C" w:rsidRPr="005A5A67" w:rsidRDefault="00D43B4C" w:rsidP="00065716">
      <w:pPr>
        <w:spacing w:after="0" w:line="240" w:lineRule="auto"/>
        <w:jc w:val="both"/>
        <w:rPr>
          <w:rFonts w:ascii="Cambria" w:hAnsi="Cambria"/>
        </w:rPr>
      </w:pPr>
      <w:r w:rsidRPr="005A5A67">
        <w:rPr>
          <w:rFonts w:ascii="Cambria" w:hAnsi="Cambria"/>
        </w:rPr>
        <w:t xml:space="preserve">The submission can be posted on the CEDAW website. </w:t>
      </w:r>
    </w:p>
    <w:p w14:paraId="1903682D" w14:textId="7B89EA6F" w:rsidR="00216CDF" w:rsidRPr="005A5A67" w:rsidRDefault="00216CDF" w:rsidP="00065716">
      <w:pPr>
        <w:spacing w:after="0" w:line="240" w:lineRule="auto"/>
        <w:jc w:val="both"/>
        <w:rPr>
          <w:rFonts w:ascii="Cambria" w:hAnsi="Cambria"/>
        </w:rPr>
      </w:pPr>
      <w:r w:rsidRPr="005A5A67">
        <w:rPr>
          <w:rFonts w:ascii="Cambria" w:hAnsi="Cambria"/>
        </w:rPr>
        <w:t xml:space="preserve"> </w:t>
      </w:r>
    </w:p>
    <w:p w14:paraId="7B72F2A0" w14:textId="77777777" w:rsidR="00216CDF" w:rsidRPr="005A5A67" w:rsidRDefault="00216CDF" w:rsidP="00065716">
      <w:pPr>
        <w:spacing w:after="0" w:line="240" w:lineRule="auto"/>
        <w:jc w:val="both"/>
        <w:rPr>
          <w:rFonts w:ascii="Cambria" w:hAnsi="Cambria"/>
        </w:rPr>
      </w:pPr>
    </w:p>
    <w:p w14:paraId="5D7B1DD6" w14:textId="77777777" w:rsidR="00216CDF" w:rsidRPr="005A5A67" w:rsidRDefault="00216CDF" w:rsidP="00065716">
      <w:pPr>
        <w:spacing w:after="0" w:line="240" w:lineRule="auto"/>
        <w:jc w:val="both"/>
        <w:rPr>
          <w:rFonts w:ascii="Cambria" w:hAnsi="Cambria"/>
        </w:rPr>
      </w:pPr>
    </w:p>
    <w:p w14:paraId="7F242264" w14:textId="77777777" w:rsidR="00216CDF" w:rsidRPr="005A5A67" w:rsidRDefault="00216CDF" w:rsidP="00065716">
      <w:pPr>
        <w:spacing w:after="0" w:line="240" w:lineRule="auto"/>
        <w:jc w:val="both"/>
        <w:rPr>
          <w:rFonts w:ascii="Cambria" w:hAnsi="Cambria"/>
        </w:rPr>
      </w:pPr>
    </w:p>
    <w:p w14:paraId="6BFF52AE" w14:textId="77777777" w:rsidR="00216CDF" w:rsidRPr="005A5A67" w:rsidRDefault="00216CDF" w:rsidP="00065716">
      <w:pPr>
        <w:spacing w:after="0" w:line="240" w:lineRule="auto"/>
        <w:jc w:val="both"/>
        <w:rPr>
          <w:rFonts w:ascii="Cambria" w:hAnsi="Cambria"/>
        </w:rPr>
      </w:pPr>
    </w:p>
    <w:p w14:paraId="6EA5A8C8" w14:textId="77777777" w:rsidR="00216CDF" w:rsidRPr="005A5A67" w:rsidRDefault="00216CDF" w:rsidP="00065716">
      <w:pPr>
        <w:spacing w:after="0" w:line="240" w:lineRule="auto"/>
        <w:jc w:val="both"/>
        <w:rPr>
          <w:rFonts w:ascii="Cambria" w:hAnsi="Cambria"/>
        </w:rPr>
      </w:pPr>
    </w:p>
    <w:p w14:paraId="534AE25F" w14:textId="77777777" w:rsidR="00216CDF" w:rsidRPr="005A5A67" w:rsidRDefault="00216CDF" w:rsidP="00065716">
      <w:pPr>
        <w:spacing w:after="0" w:line="240" w:lineRule="auto"/>
        <w:jc w:val="both"/>
        <w:rPr>
          <w:rFonts w:ascii="Cambria" w:hAnsi="Cambria"/>
        </w:rPr>
      </w:pPr>
    </w:p>
    <w:p w14:paraId="5EBD161D" w14:textId="77777777" w:rsidR="00216CDF" w:rsidRPr="005A5A67" w:rsidRDefault="00216CDF" w:rsidP="00065716">
      <w:pPr>
        <w:spacing w:after="0" w:line="240" w:lineRule="auto"/>
        <w:jc w:val="both"/>
        <w:rPr>
          <w:rFonts w:ascii="Cambria" w:hAnsi="Cambria"/>
        </w:rPr>
      </w:pPr>
    </w:p>
    <w:p w14:paraId="071DC9A9" w14:textId="7A7EBE6F" w:rsidR="00AC71F7" w:rsidRPr="005A5A67" w:rsidRDefault="00AC71F7" w:rsidP="00065716">
      <w:pPr>
        <w:spacing w:after="0" w:line="240" w:lineRule="auto"/>
        <w:jc w:val="both"/>
        <w:rPr>
          <w:rFonts w:ascii="Cambria" w:hAnsi="Cambria"/>
        </w:rPr>
      </w:pPr>
      <w:r w:rsidRPr="005A5A67">
        <w:rPr>
          <w:rFonts w:ascii="Cambria" w:hAnsi="Cambria"/>
        </w:rPr>
        <w:lastRenderedPageBreak/>
        <w:t xml:space="preserve">In the following paragraphs, CERD addresses </w:t>
      </w:r>
      <w:r w:rsidR="0096753E" w:rsidRPr="005A5A67">
        <w:rPr>
          <w:rFonts w:ascii="Cambria" w:hAnsi="Cambria"/>
        </w:rPr>
        <w:t>concerns about</w:t>
      </w:r>
      <w:r w:rsidRPr="005A5A67">
        <w:rPr>
          <w:rFonts w:ascii="Cambria" w:hAnsi="Cambria"/>
        </w:rPr>
        <w:t xml:space="preserve"> the rights of rural women and gender equality in rural areas</w:t>
      </w:r>
      <w:r w:rsidR="00D85791" w:rsidRPr="005A5A67">
        <w:rPr>
          <w:rFonts w:ascii="Cambria" w:hAnsi="Cambria"/>
        </w:rPr>
        <w:t xml:space="preserve"> based upon provisions of the CEDAW Convention</w:t>
      </w:r>
      <w:r w:rsidRPr="005A5A67">
        <w:rPr>
          <w:rFonts w:ascii="Cambria" w:hAnsi="Cambria"/>
        </w:rPr>
        <w:t xml:space="preserve">: </w:t>
      </w:r>
    </w:p>
    <w:p w14:paraId="32262CF0" w14:textId="77777777" w:rsidR="00AC71F7" w:rsidRPr="005A5A67" w:rsidRDefault="00AC71F7" w:rsidP="00065716">
      <w:pPr>
        <w:spacing w:after="0" w:line="240" w:lineRule="auto"/>
        <w:jc w:val="both"/>
        <w:rPr>
          <w:rFonts w:ascii="Cambria" w:hAnsi="Cambria"/>
          <w:u w:val="single"/>
        </w:rPr>
      </w:pPr>
    </w:p>
    <w:p w14:paraId="221D8566" w14:textId="77777777" w:rsidR="00CF635C" w:rsidRPr="005A5A67" w:rsidRDefault="00CF635C" w:rsidP="00CF635C">
      <w:pPr>
        <w:rPr>
          <w:rFonts w:ascii="Cambria" w:hAnsi="Cambria"/>
          <w:b/>
          <w:u w:val="single"/>
        </w:rPr>
      </w:pPr>
      <w:r w:rsidRPr="005A5A67">
        <w:rPr>
          <w:rFonts w:ascii="Cambria" w:hAnsi="Cambria"/>
          <w:b/>
          <w:u w:val="single"/>
        </w:rPr>
        <w:t>Introduction</w:t>
      </w:r>
    </w:p>
    <w:p w14:paraId="61936415" w14:textId="33195DF1" w:rsidR="00CF635C" w:rsidRPr="005A5A67" w:rsidRDefault="00CF635C" w:rsidP="00CF635C">
      <w:pPr>
        <w:jc w:val="both"/>
        <w:rPr>
          <w:rFonts w:ascii="Cambria" w:hAnsi="Cambria"/>
        </w:rPr>
      </w:pPr>
      <w:r w:rsidRPr="005A5A67">
        <w:rPr>
          <w:rFonts w:ascii="Cambria" w:hAnsi="Cambria"/>
        </w:rPr>
        <w:t>Bosnia and Herzegovina</w:t>
      </w:r>
      <w:r w:rsidR="0096753E" w:rsidRPr="005A5A67">
        <w:rPr>
          <w:rFonts w:ascii="Cambria" w:hAnsi="Cambria"/>
        </w:rPr>
        <w:t xml:space="preserve"> (BiH)</w:t>
      </w:r>
      <w:r w:rsidRPr="005A5A67">
        <w:rPr>
          <w:rFonts w:ascii="Cambria" w:hAnsi="Cambria"/>
        </w:rPr>
        <w:t xml:space="preserve"> is one of the most rural countries in Europe. About 60% of the population lives in rural areas, whether they are defined as villages or as sparsely populated municipalities, and they are mostly areas inaccessible and away from important centers where </w:t>
      </w:r>
      <w:r w:rsidR="006367D5" w:rsidRPr="005A5A67">
        <w:rPr>
          <w:rFonts w:ascii="Cambria" w:hAnsi="Cambria"/>
        </w:rPr>
        <w:t xml:space="preserve">services for </w:t>
      </w:r>
      <w:r w:rsidRPr="005A5A67">
        <w:rPr>
          <w:rFonts w:ascii="Cambria" w:hAnsi="Cambria"/>
        </w:rPr>
        <w:t>population are developed. In such conditions, the life of the population is particularly complex and difficult, especially for women, which is reflected, among other things, through inadequate access to health and social care, including information, advices and services regarding family planning, equal rights to freely and responsibly decide on family planning</w:t>
      </w:r>
      <w:r w:rsidR="0096753E" w:rsidRPr="005A5A67">
        <w:rPr>
          <w:rFonts w:ascii="Cambria" w:hAnsi="Cambria"/>
        </w:rPr>
        <w:t>,</w:t>
      </w:r>
      <w:r w:rsidRPr="005A5A67">
        <w:rPr>
          <w:rFonts w:ascii="Cambria" w:hAnsi="Cambria"/>
        </w:rPr>
        <w:t xml:space="preserve"> as well as have access to information, education and resources that will enable them to exercise these rights. </w:t>
      </w:r>
      <w:r w:rsidR="006367D5" w:rsidRPr="005A5A67">
        <w:rPr>
          <w:rFonts w:ascii="Cambria" w:hAnsi="Cambria"/>
        </w:rPr>
        <w:t>The BiH</w:t>
      </w:r>
      <w:r w:rsidRPr="005A5A67">
        <w:rPr>
          <w:rFonts w:ascii="Cambria" w:hAnsi="Cambria"/>
        </w:rPr>
        <w:t xml:space="preserve"> war have left a major mark on rural communities across BiH. There are large migrations of population in direction village-town, which are still ongoing. The revitalization of rural communities in BiH has started in some communities from scratch, from the reconstruction of the infrastructure to the return of its population. Rural women face multiple barriers and problems, ranging from basic existential needs, limited economic opportunities, poverty, patriarchy to adverse development policies that threaten the sustainability of rural activities. Rural women have two economic functions: in the field of consumption and in the field of production. This derives from the nature of the rural family, which at the same time appears as a consumer unit - household and as a production unit - farm. For this reason, a rural woman performs the function of housewife and the role of an individual farmer.</w:t>
      </w:r>
    </w:p>
    <w:p w14:paraId="6E736526" w14:textId="16FC22CD" w:rsidR="00CF635C" w:rsidRPr="005A5A67" w:rsidRDefault="00CF635C" w:rsidP="00CF635C">
      <w:pPr>
        <w:jc w:val="both"/>
        <w:rPr>
          <w:rFonts w:ascii="Cambria" w:hAnsi="Cambria"/>
        </w:rPr>
      </w:pPr>
      <w:r w:rsidRPr="005A5A67">
        <w:rPr>
          <w:rFonts w:ascii="Cambria" w:hAnsi="Cambria"/>
        </w:rPr>
        <w:t xml:space="preserve">Rural women continue to be a marginalized and multi-discriminated group in the whole </w:t>
      </w:r>
      <w:r w:rsidR="0096753E" w:rsidRPr="005A5A67">
        <w:rPr>
          <w:rFonts w:ascii="Cambria" w:hAnsi="Cambria"/>
        </w:rPr>
        <w:t>country</w:t>
      </w:r>
      <w:r w:rsidRPr="005A5A67">
        <w:rPr>
          <w:rFonts w:ascii="Cambria" w:hAnsi="Cambria"/>
        </w:rPr>
        <w:t>. The rise in poverty, especially women's poverty, has further led to an even greater marginalization of women in the countryside, traditionally leading to the gray economy and receiving no remuneration for their daily hard work. The unpaid physical work of caring for the household, the lack of pre-schools for the upbringing and education of children, as well as the care for the wider family directly affect the ability of rural women to become involved in the decision-making processes of their local community. In addition, problems such as women's mobility represent an obstacle that is very difficult to overcome.</w:t>
      </w:r>
    </w:p>
    <w:p w14:paraId="5BFC55BE" w14:textId="77777777" w:rsidR="00CF635C" w:rsidRPr="005A5A67" w:rsidRDefault="00CF635C" w:rsidP="00CF635C">
      <w:pPr>
        <w:jc w:val="both"/>
        <w:rPr>
          <w:rFonts w:ascii="Cambria" w:hAnsi="Cambria"/>
        </w:rPr>
      </w:pPr>
      <w:r w:rsidRPr="005A5A67">
        <w:rPr>
          <w:rFonts w:ascii="Cambria" w:hAnsi="Cambria"/>
        </w:rPr>
        <w:t>To a greater extent, rural women are involved in agricultural work that is poorly paid or underpaid, while men work outside the farm and receive regular cash benefits and other benefits (health and retirement insurance). Only 39% of members of this group are formally employed, with 42%  of registered unemployed and about 20% of those either self-employed or informally working for a lump-sum wage, in seasonal jobs or assisting family members on a farm or other business activity</w:t>
      </w:r>
      <w:r w:rsidRPr="005A5A67">
        <w:rPr>
          <w:rStyle w:val="FootnoteReference"/>
          <w:rFonts w:ascii="Cambria" w:hAnsi="Cambria"/>
        </w:rPr>
        <w:footnoteReference w:id="1"/>
      </w:r>
      <w:r w:rsidRPr="005A5A67">
        <w:rPr>
          <w:rFonts w:ascii="Cambria" w:hAnsi="Cambria"/>
        </w:rPr>
        <w:t>. Also, women traditionally do housework for which they spend a considerable amount of time during the day.</w:t>
      </w:r>
    </w:p>
    <w:p w14:paraId="7A724C70" w14:textId="217A374B" w:rsidR="00CF635C" w:rsidRPr="005A5A67" w:rsidRDefault="00CF635C" w:rsidP="00CF635C">
      <w:pPr>
        <w:jc w:val="both"/>
        <w:rPr>
          <w:rFonts w:ascii="Cambria" w:hAnsi="Cambria"/>
        </w:rPr>
      </w:pPr>
      <w:r w:rsidRPr="005A5A67">
        <w:rPr>
          <w:rFonts w:ascii="Cambria" w:hAnsi="Cambria"/>
        </w:rPr>
        <w:t>Education is one of the most important elements in achieving gender equality, especially at a time when there is a need for continuous education and vocational training, regardless of age. A lower level of formal education in rural women severely reduces their chances of employment. Rural areas continue to reflect traditional gender roles, with more than one-third of women defining themselves as housewives and more than twice is likely for men to be employed, self-employed or contracted.</w:t>
      </w:r>
    </w:p>
    <w:p w14:paraId="6F35AC62" w14:textId="77777777" w:rsidR="006367D5" w:rsidRPr="005A5A67" w:rsidRDefault="006367D5" w:rsidP="00CF635C">
      <w:pPr>
        <w:jc w:val="both"/>
        <w:rPr>
          <w:rFonts w:ascii="Cambria" w:hAnsi="Cambria"/>
          <w:b/>
        </w:rPr>
      </w:pPr>
    </w:p>
    <w:p w14:paraId="16E41AAF" w14:textId="77777777" w:rsidR="00CF635C" w:rsidRPr="005A5A67" w:rsidRDefault="00CF635C" w:rsidP="00CF635C">
      <w:pPr>
        <w:jc w:val="both"/>
        <w:rPr>
          <w:rFonts w:ascii="Cambria" w:hAnsi="Cambria"/>
          <w:b/>
        </w:rPr>
      </w:pPr>
      <w:r w:rsidRPr="005A5A67">
        <w:rPr>
          <w:rFonts w:ascii="Cambria" w:hAnsi="Cambria"/>
          <w:b/>
        </w:rPr>
        <w:lastRenderedPageBreak/>
        <w:t>Health and social care</w:t>
      </w:r>
    </w:p>
    <w:p w14:paraId="47E0692A" w14:textId="076027B0" w:rsidR="00CF635C" w:rsidRPr="005A5A67" w:rsidRDefault="00CF635C" w:rsidP="00CF635C">
      <w:pPr>
        <w:jc w:val="both"/>
        <w:rPr>
          <w:rFonts w:ascii="Cambria" w:hAnsi="Cambria"/>
        </w:rPr>
      </w:pPr>
      <w:r w:rsidRPr="005A5A67">
        <w:rPr>
          <w:rFonts w:ascii="Cambria" w:hAnsi="Cambria"/>
        </w:rPr>
        <w:t xml:space="preserve">Different forms of health insurance, or a significant number of uninsured persons, are a particular difficulty in </w:t>
      </w:r>
      <w:r w:rsidR="006367D5" w:rsidRPr="005A5A67">
        <w:rPr>
          <w:rFonts w:ascii="Cambria" w:hAnsi="Cambria"/>
        </w:rPr>
        <w:t>having appropriate</w:t>
      </w:r>
      <w:r w:rsidRPr="005A5A67">
        <w:rPr>
          <w:rFonts w:ascii="Cambria" w:hAnsi="Cambria"/>
        </w:rPr>
        <w:t xml:space="preserve"> health care. According to the Entities Health Insurance Institutes, over 500,000 citizens do not have health insurance.</w:t>
      </w:r>
    </w:p>
    <w:p w14:paraId="072F55F0" w14:textId="77777777" w:rsidR="00CF635C" w:rsidRPr="005A5A67" w:rsidRDefault="00CF635C" w:rsidP="00CF635C">
      <w:pPr>
        <w:jc w:val="both"/>
        <w:rPr>
          <w:rFonts w:ascii="Cambria" w:hAnsi="Cambria"/>
        </w:rPr>
      </w:pPr>
      <w:r w:rsidRPr="005A5A67">
        <w:rPr>
          <w:rFonts w:ascii="Cambria" w:hAnsi="Cambria"/>
        </w:rPr>
        <w:t>A particular problem of discrimination that is affecting women in the countryside the most is the discriminatory provision under the FBiH Health Insurance Law and the FBiH Employment Mediation Law, which permanently restricts access to health insurance / protection of unemployed persons through the Employment Office by introducing a deadline of 30-60 days for registration in Employment Office after leaving school or losing work. Rural women, after completing primary or secondary school, mostly due to lack of information, do not apply to employment offices on time and thus permanently lose their right to health insurance, with poor employment opportunities in the countryside. If they are married, they depend on the husband, the farmer, whether they will report them as employed in the farm, which is in principle registered on a male family member. A large number of women from rural areas who have sought help from domestic violence do not have health insurance or can obtain it precisely because of the discriminatory provision of the law and the missed deadline for applying to the employment offices. Republic of Srpska does not have such a provision in the law and the application of unemployed persons to health insurance through the Employment Office is not subject to any deadlines.</w:t>
      </w:r>
    </w:p>
    <w:p w14:paraId="3E009E52" w14:textId="77777777" w:rsidR="00CF635C" w:rsidRPr="005A5A67" w:rsidRDefault="00CF635C" w:rsidP="00CF635C">
      <w:pPr>
        <w:jc w:val="both"/>
        <w:rPr>
          <w:rFonts w:ascii="Cambria" w:hAnsi="Cambria"/>
        </w:rPr>
      </w:pPr>
      <w:r w:rsidRPr="005A5A67">
        <w:rPr>
          <w:rFonts w:ascii="Cambria" w:hAnsi="Cambria"/>
        </w:rPr>
        <w:t xml:space="preserve">An additional problem is the payment of participation for the use of health care and medicines. Unemployed women have access to paid health care services in principle if they have an understanding of those who they are economically dependent on, most often on the husbands or parents, and not according to the actual needs of the woman herself. Preventive health services for women (eg, mammograms, cervical and breast cancer screening) are not considered as a priority cost for the home budget. </w:t>
      </w:r>
    </w:p>
    <w:p w14:paraId="38C68A3A" w14:textId="40F9C6FD" w:rsidR="00CF635C" w:rsidRPr="005A5A67" w:rsidRDefault="00CF635C" w:rsidP="00CF635C">
      <w:pPr>
        <w:jc w:val="both"/>
        <w:rPr>
          <w:rFonts w:ascii="Cambria" w:hAnsi="Cambria"/>
        </w:rPr>
      </w:pPr>
      <w:r w:rsidRPr="005A5A67">
        <w:rPr>
          <w:rFonts w:ascii="Cambria" w:hAnsi="Cambria"/>
        </w:rPr>
        <w:t xml:space="preserve">The </w:t>
      </w:r>
      <w:r w:rsidR="006367D5" w:rsidRPr="005A5A67">
        <w:rPr>
          <w:rFonts w:ascii="Cambria" w:hAnsi="Cambria"/>
        </w:rPr>
        <w:t>different regulations of health insurance and health care across the country</w:t>
      </w:r>
      <w:r w:rsidRPr="005A5A67">
        <w:rPr>
          <w:rFonts w:ascii="Cambria" w:hAnsi="Cambria"/>
        </w:rPr>
        <w:t>, as well as the uneven economic power of the entities and cantons in BiH, result in uneven policies and limited access. Most health facilities, and health services for women, are concentrated in cities, resulting in a large difference in the number of health institutions, staff and equipment between rural and urban areas across BiH. This represents a significant obstacle for the rural population in terms of access to health services.</w:t>
      </w:r>
    </w:p>
    <w:p w14:paraId="33B1B620" w14:textId="77777777" w:rsidR="00CF635C" w:rsidRPr="005A5A67" w:rsidRDefault="00CF635C" w:rsidP="00CF635C">
      <w:pPr>
        <w:jc w:val="both"/>
        <w:rPr>
          <w:rFonts w:ascii="Cambria" w:hAnsi="Cambria"/>
        </w:rPr>
      </w:pPr>
      <w:r w:rsidRPr="005A5A67">
        <w:rPr>
          <w:rFonts w:ascii="Cambria" w:hAnsi="Cambria"/>
        </w:rPr>
        <w:t>The identical situation is in the availability of social protection. The lack of awareness and lack of knowledge of the right to social protection is particularly evident in cases of domestic violence.</w:t>
      </w:r>
    </w:p>
    <w:p w14:paraId="43A4C869" w14:textId="77777777" w:rsidR="00CF635C" w:rsidRPr="005A5A67" w:rsidRDefault="00CF635C" w:rsidP="00CF635C">
      <w:pPr>
        <w:jc w:val="both"/>
        <w:rPr>
          <w:rFonts w:ascii="Cambria" w:hAnsi="Cambria"/>
          <w:b/>
        </w:rPr>
      </w:pPr>
      <w:r w:rsidRPr="005A5A67">
        <w:rPr>
          <w:rFonts w:ascii="Cambria" w:hAnsi="Cambria"/>
          <w:b/>
        </w:rPr>
        <w:t>Education and training</w:t>
      </w:r>
    </w:p>
    <w:p w14:paraId="23A9355E" w14:textId="77777777" w:rsidR="00CF635C" w:rsidRPr="005A5A67" w:rsidRDefault="00CF635C" w:rsidP="00CF635C">
      <w:pPr>
        <w:jc w:val="both"/>
        <w:rPr>
          <w:rFonts w:ascii="Cambria" w:hAnsi="Cambria"/>
        </w:rPr>
      </w:pPr>
      <w:r w:rsidRPr="005A5A67">
        <w:rPr>
          <w:rFonts w:ascii="Cambria" w:hAnsi="Cambria"/>
        </w:rPr>
        <w:t>When it comes to gender, both the Labor Force Survey and the Rural Household Survey</w:t>
      </w:r>
      <w:r w:rsidRPr="005A5A67">
        <w:rPr>
          <w:rStyle w:val="FootnoteReference"/>
          <w:rFonts w:ascii="Cambria" w:hAnsi="Cambria"/>
        </w:rPr>
        <w:footnoteReference w:id="2"/>
      </w:r>
      <w:r w:rsidRPr="005A5A67">
        <w:rPr>
          <w:rFonts w:ascii="Cambria" w:hAnsi="Cambria"/>
        </w:rPr>
        <w:t xml:space="preserve"> indicate that men are significantly better educated than women: about 18 percent more men than women have secondary education. Women living in urban areas have almost twice as many years of education as rural women.</w:t>
      </w:r>
    </w:p>
    <w:p w14:paraId="2D712D18" w14:textId="77777777" w:rsidR="00CF635C" w:rsidRPr="005A5A67" w:rsidRDefault="00CF635C" w:rsidP="00CF635C">
      <w:pPr>
        <w:jc w:val="both"/>
        <w:rPr>
          <w:rFonts w:ascii="Cambria" w:hAnsi="Cambria"/>
        </w:rPr>
      </w:pPr>
      <w:r w:rsidRPr="005A5A67">
        <w:rPr>
          <w:rFonts w:ascii="Cambria" w:hAnsi="Cambria"/>
        </w:rPr>
        <w:t xml:space="preserve">Secondary education in BiH is not mandatory by law, which results in the majority of girls from rural areas and families in social need not continuing or leaving early secondary education. Namely, in BiH </w:t>
      </w:r>
      <w:r w:rsidRPr="005A5A67">
        <w:rPr>
          <w:rFonts w:ascii="Cambria" w:hAnsi="Cambria"/>
        </w:rPr>
        <w:lastRenderedPageBreak/>
        <w:t xml:space="preserve">society there is still a patriarchal upbringing where male children are given more rights than female children, mostly reflected in rural areas. </w:t>
      </w:r>
    </w:p>
    <w:p w14:paraId="69DBB24E" w14:textId="77777777" w:rsidR="00CF635C" w:rsidRPr="005A5A67" w:rsidRDefault="00CF635C" w:rsidP="00CF635C">
      <w:pPr>
        <w:jc w:val="both"/>
        <w:rPr>
          <w:rFonts w:ascii="Cambria" w:hAnsi="Cambria"/>
        </w:rPr>
      </w:pPr>
      <w:r w:rsidRPr="005A5A67">
        <w:rPr>
          <w:rFonts w:ascii="Cambria" w:hAnsi="Cambria"/>
        </w:rPr>
        <w:t>Rural population as a whole has about 25% less years of education than urban. Women have about 15% less education than men in both rural and urban areas. At first glance, the educational structure of farms does not look unfavorable, as 36.64% of members have a vocational qualification, while 31.79% of them have completed primary school and a university degree have 3.83% of members of farm households</w:t>
      </w:r>
      <w:r w:rsidRPr="005A5A67">
        <w:rPr>
          <w:rStyle w:val="FootnoteReference"/>
          <w:rFonts w:ascii="Cambria" w:hAnsi="Cambria"/>
        </w:rPr>
        <w:footnoteReference w:id="3"/>
      </w:r>
      <w:r w:rsidRPr="005A5A67">
        <w:rPr>
          <w:rFonts w:ascii="Cambria" w:hAnsi="Cambria"/>
        </w:rPr>
        <w:t>. Only 2.49% have a formal education in agricultural production (1.80% completed agricultural secondary school and 0.69% Faculty of agriculture), while as many as 92.82% have only practical experience.</w:t>
      </w:r>
    </w:p>
    <w:p w14:paraId="2C544A35" w14:textId="77777777" w:rsidR="00CF635C" w:rsidRPr="005A5A67" w:rsidRDefault="00CF635C" w:rsidP="00CF635C">
      <w:pPr>
        <w:jc w:val="both"/>
        <w:rPr>
          <w:rFonts w:ascii="Cambria" w:hAnsi="Cambria"/>
        </w:rPr>
      </w:pPr>
      <w:r w:rsidRPr="005A5A67">
        <w:rPr>
          <w:rFonts w:ascii="Cambria" w:hAnsi="Cambria"/>
        </w:rPr>
        <w:t>Among the rural women population emphasizes the high rate of illiteracy and the low rate of those with primary, secondary and higher education, but there is no official statistics when considering the position of women from rural areas.</w:t>
      </w:r>
    </w:p>
    <w:p w14:paraId="38AF8E00" w14:textId="77777777" w:rsidR="00CF635C" w:rsidRPr="005A5A67" w:rsidRDefault="00CF635C" w:rsidP="00CF635C">
      <w:pPr>
        <w:jc w:val="both"/>
        <w:rPr>
          <w:rFonts w:ascii="Cambria" w:hAnsi="Cambria"/>
        </w:rPr>
      </w:pPr>
      <w:r w:rsidRPr="005A5A67">
        <w:rPr>
          <w:rFonts w:ascii="Cambria" w:hAnsi="Cambria"/>
        </w:rPr>
        <w:t>One of the important prerequisites for reconciling professional and private life is the existence of adequate care services for preschool children. Due to the lack of pre-school institutions in BiH, only every sixth child is covered by preschool education, which, among other things, negatively affects the economic potential of women who, in the absence of pre-school services, traditionally care for children. In this regard, reference is made to the number of pre-schools in Bosnia and Herzegovina, of which there were 332 in the 2016/2017 school year, with 24,918 children enrolled (11,832 girls). There are no data on pre-school institutions and the number of children from villages included in the same, but the factual situation on the ground confirms that these data are even smaller in rural areas. This greatly impedes the lives of women in the countryside, as they are traditionally “in charge” of the upbringing of children and can barely reconcile those obligations with the obligations arising from their (unpaid) work in order to maintain the economic stability of their families.</w:t>
      </w:r>
    </w:p>
    <w:p w14:paraId="41E75910" w14:textId="5DBE30A6" w:rsidR="00CF635C" w:rsidRPr="005A5A67" w:rsidRDefault="00CF635C" w:rsidP="00CF635C">
      <w:pPr>
        <w:jc w:val="both"/>
        <w:rPr>
          <w:rFonts w:ascii="Cambria" w:hAnsi="Cambria"/>
        </w:rPr>
      </w:pPr>
      <w:r w:rsidRPr="005A5A67">
        <w:rPr>
          <w:rFonts w:ascii="Cambria" w:hAnsi="Cambria"/>
        </w:rPr>
        <w:t>Non-formal (lifelong) education programs are increasingly prevalent for rural residents, but unless it is emphasized that these programs are only for women, only men will come to them. Therefore, it is necessary to apply affirmative measures in this section as well.</w:t>
      </w:r>
    </w:p>
    <w:p w14:paraId="63508417" w14:textId="77777777" w:rsidR="00CF635C" w:rsidRPr="005A5A67" w:rsidRDefault="00CF635C" w:rsidP="00CF635C">
      <w:pPr>
        <w:jc w:val="both"/>
        <w:rPr>
          <w:rFonts w:ascii="Cambria" w:hAnsi="Cambria"/>
        </w:rPr>
      </w:pPr>
      <w:r w:rsidRPr="005A5A67">
        <w:rPr>
          <w:rFonts w:ascii="Cambria" w:hAnsi="Cambria"/>
        </w:rPr>
        <w:t xml:space="preserve">As for the participation of women and girls from the countryside in sports and physical education, the situation is very bad. Otherwise, access to sporting activities in the countryside is very poor, because mostly rural schools do not have adequate facilities for physical education or sport facilities at all. If any, they are mostly adapted to sports that are traditionally masculine, such as football. </w:t>
      </w:r>
    </w:p>
    <w:p w14:paraId="22E858EC" w14:textId="77777777" w:rsidR="00CF635C" w:rsidRPr="005A5A67" w:rsidRDefault="00CF635C" w:rsidP="00CF635C">
      <w:pPr>
        <w:jc w:val="both"/>
        <w:rPr>
          <w:rFonts w:ascii="Cambria" w:hAnsi="Cambria"/>
          <w:b/>
        </w:rPr>
      </w:pPr>
      <w:r w:rsidRPr="005A5A67">
        <w:rPr>
          <w:rFonts w:ascii="Cambria" w:hAnsi="Cambria"/>
          <w:b/>
        </w:rPr>
        <w:t>Economic rights, employment and the labor market</w:t>
      </w:r>
    </w:p>
    <w:p w14:paraId="46A82529" w14:textId="5FBC96E7" w:rsidR="00CF635C" w:rsidRPr="005A5A67" w:rsidRDefault="00CF635C" w:rsidP="00CF635C">
      <w:pPr>
        <w:jc w:val="both"/>
        <w:rPr>
          <w:rFonts w:ascii="Cambria" w:hAnsi="Cambria"/>
        </w:rPr>
      </w:pPr>
      <w:r w:rsidRPr="005A5A67">
        <w:rPr>
          <w:rFonts w:ascii="Cambria" w:hAnsi="Cambria"/>
        </w:rPr>
        <w:t xml:space="preserve">Although women are a vital factor on which largely depends rural revitalization and rural development as a whole, their unfavorable position, needs and problems they face remain a marginal issue in overall processes and politics, from the local to the state level. Women in rural areas in </w:t>
      </w:r>
      <w:r w:rsidR="002D06D9" w:rsidRPr="005A5A67">
        <w:rPr>
          <w:rFonts w:ascii="Cambria" w:hAnsi="Cambria"/>
        </w:rPr>
        <w:t xml:space="preserve">BiH </w:t>
      </w:r>
      <w:r w:rsidRPr="005A5A67">
        <w:rPr>
          <w:rFonts w:ascii="Cambria" w:hAnsi="Cambria"/>
        </w:rPr>
        <w:t xml:space="preserve">are often considered to be inactive population or assisting family members. </w:t>
      </w:r>
    </w:p>
    <w:p w14:paraId="3BA65E0D" w14:textId="1465C0E9" w:rsidR="00CF635C" w:rsidRPr="005A5A67" w:rsidRDefault="00CF635C" w:rsidP="00CF635C">
      <w:pPr>
        <w:jc w:val="both"/>
        <w:rPr>
          <w:rFonts w:ascii="Cambria" w:hAnsi="Cambria"/>
        </w:rPr>
      </w:pPr>
      <w:r w:rsidRPr="005A5A67">
        <w:rPr>
          <w:rFonts w:ascii="Cambria" w:hAnsi="Cambria"/>
        </w:rPr>
        <w:t xml:space="preserve">Research conducted in Bosnia and Herzegovina provides a picture of the situation, needs and opportunities for improving the position of a rural woman. The research indicates a high level of </w:t>
      </w:r>
      <w:r w:rsidRPr="005A5A67">
        <w:rPr>
          <w:rFonts w:ascii="Cambria" w:hAnsi="Cambria"/>
        </w:rPr>
        <w:lastRenderedPageBreak/>
        <w:t>dissatisfaction with the assessment of the role of a rural woman, according to about 80% of examinees.</w:t>
      </w:r>
      <w:r w:rsidRPr="005A5A67">
        <w:rPr>
          <w:rStyle w:val="FootnoteReference"/>
          <w:rFonts w:ascii="Cambria" w:hAnsi="Cambria"/>
        </w:rPr>
        <w:footnoteReference w:id="4"/>
      </w:r>
      <w:r w:rsidRPr="005A5A67">
        <w:rPr>
          <w:rFonts w:ascii="Cambria" w:hAnsi="Cambria"/>
        </w:rPr>
        <w:t xml:space="preserve"> However, it is also important to note that as many as 85.56% of the examinees confirmed that starting small business initiatives can greatly or satisfactorily contribute to a better economic position of </w:t>
      </w:r>
      <w:r w:rsidR="002D06D9" w:rsidRPr="005A5A67">
        <w:rPr>
          <w:rFonts w:ascii="Cambria" w:hAnsi="Cambria"/>
        </w:rPr>
        <w:t>the</w:t>
      </w:r>
      <w:r w:rsidRPr="005A5A67">
        <w:rPr>
          <w:rFonts w:ascii="Cambria" w:hAnsi="Cambria"/>
        </w:rPr>
        <w:t xml:space="preserve"> rural woman. This shows the urgent need to develop various support programs that will give women in small local communities more opportunities to start small businesses, which can then further drive economic processes in small communities. </w:t>
      </w:r>
    </w:p>
    <w:p w14:paraId="7872EF7D" w14:textId="77777777" w:rsidR="00CF635C" w:rsidRPr="005A5A67" w:rsidRDefault="00CF635C" w:rsidP="00CF635C">
      <w:pPr>
        <w:jc w:val="both"/>
        <w:rPr>
          <w:rFonts w:ascii="Cambria" w:hAnsi="Cambria"/>
        </w:rPr>
      </w:pPr>
      <w:r w:rsidRPr="005A5A67">
        <w:rPr>
          <w:rFonts w:ascii="Cambria" w:hAnsi="Cambria"/>
        </w:rPr>
        <w:t>Holders of households in rural areas are predominantly men, with a total participation of 77.3%, while women are in only 22.7% of cases. Holders of agricultural holdings in 90.47% of cases are male members of the household, while only 9.53% of women are holders of agricultural holdings, mostly in the elderly single households.</w:t>
      </w:r>
      <w:r w:rsidRPr="005A5A67">
        <w:rPr>
          <w:rStyle w:val="FootnoteReference"/>
          <w:rFonts w:ascii="Cambria" w:hAnsi="Cambria"/>
        </w:rPr>
        <w:footnoteReference w:id="5"/>
      </w:r>
      <w:r w:rsidRPr="005A5A67">
        <w:rPr>
          <w:rFonts w:ascii="Cambria" w:hAnsi="Cambria"/>
        </w:rPr>
        <w:t xml:space="preserve"> </w:t>
      </w:r>
    </w:p>
    <w:p w14:paraId="6C5A7549" w14:textId="77777777" w:rsidR="00CF635C" w:rsidRPr="005A5A67" w:rsidRDefault="00CF635C" w:rsidP="00CF635C">
      <w:pPr>
        <w:jc w:val="both"/>
        <w:rPr>
          <w:rFonts w:ascii="Cambria" w:hAnsi="Cambria"/>
        </w:rPr>
      </w:pPr>
      <w:r w:rsidRPr="005A5A67">
        <w:rPr>
          <w:rFonts w:ascii="Cambria" w:hAnsi="Cambria"/>
        </w:rPr>
        <w:t>In 2017, there were 154,000 persons employed in agriculture, accounting for about 19% of the total number of persons employed. In comparison with 2016, the number of persons employed in agriculture increased by 7%.</w:t>
      </w:r>
      <w:r w:rsidRPr="005A5A67">
        <w:rPr>
          <w:rStyle w:val="FootnoteReference"/>
          <w:rFonts w:ascii="Cambria" w:hAnsi="Cambria"/>
        </w:rPr>
        <w:footnoteReference w:id="6"/>
      </w:r>
      <w:r w:rsidRPr="005A5A67">
        <w:rPr>
          <w:rFonts w:ascii="Cambria" w:hAnsi="Cambria"/>
        </w:rPr>
        <w:t xml:space="preserve"> The ratio of men to women employed is 60:40 and goes in favor of men. However, according to the data collected, the number of men employed in agriculture remained unchanged compared to the previous year, while the number of women increased by as much as 19%. This is especially characteristic in the production of intensive crops, above all in raspberry and strawberry plantings. This point to the fact that women are very interested in employment in agriculture, which entails the obligation to create systemic solutions and such support measures that will further facilitate the employment and / or self-employment of rural women in agriculture and / or other rural economies.</w:t>
      </w:r>
    </w:p>
    <w:p w14:paraId="65525A7E" w14:textId="77777777" w:rsidR="00CF635C" w:rsidRPr="005A5A67" w:rsidRDefault="00CF635C" w:rsidP="00CF635C">
      <w:pPr>
        <w:jc w:val="both"/>
        <w:rPr>
          <w:rFonts w:ascii="Cambria" w:hAnsi="Cambria"/>
        </w:rPr>
      </w:pPr>
      <w:r w:rsidRPr="005A5A67">
        <w:rPr>
          <w:rFonts w:ascii="Cambria" w:hAnsi="Cambria"/>
        </w:rPr>
        <w:t xml:space="preserve">One of the very noticeable cases of discrimination is the fact that women, as a rule, do not own property (primarily land) and, in most cases, cannot start their own businesses, nor are they able to access credit because of lack of property. Women, on average, own only one quarter of total real estates, while the other three quarters of real estates is owned by men. However, the lack of ownership of the property is often not the result of reluctance but of the traditional norms and understanding of the traditional role of the woman. </w:t>
      </w:r>
    </w:p>
    <w:p w14:paraId="2366800C" w14:textId="77777777" w:rsidR="00CF635C" w:rsidRPr="005A5A67" w:rsidRDefault="00CF635C" w:rsidP="00CF635C">
      <w:pPr>
        <w:jc w:val="both"/>
        <w:rPr>
          <w:rFonts w:ascii="Cambria" w:hAnsi="Cambria"/>
        </w:rPr>
      </w:pPr>
      <w:r w:rsidRPr="005A5A67">
        <w:rPr>
          <w:rFonts w:ascii="Cambria" w:hAnsi="Cambria"/>
        </w:rPr>
        <w:t>In Bosnia and Herzegovina, there is a gender gap in the use of paid and unpaid work, where the share of women in unpaid work is far greater. According to the 2017 Labor F</w:t>
      </w:r>
      <w:bookmarkStart w:id="0" w:name="_GoBack"/>
      <w:bookmarkEnd w:id="0"/>
      <w:r w:rsidRPr="005A5A67">
        <w:rPr>
          <w:rFonts w:ascii="Cambria" w:hAnsi="Cambria"/>
        </w:rPr>
        <w:t>orce Survey in Bosnia and Herzegovina, women's participation (15 to 45 years old and over) in unpaid domestic work, including agricultural work, is estimated at around 70%.</w:t>
      </w:r>
      <w:r w:rsidRPr="005A5A67">
        <w:rPr>
          <w:rStyle w:val="FootnoteReference"/>
          <w:rFonts w:ascii="Cambria" w:hAnsi="Cambria"/>
        </w:rPr>
        <w:footnoteReference w:id="7"/>
      </w:r>
      <w:r w:rsidRPr="005A5A67">
        <w:rPr>
          <w:rFonts w:ascii="Cambria" w:hAnsi="Cambria"/>
        </w:rPr>
        <w:t xml:space="preserve"> Also, a large number of women are employed under a part-time, part-time contract or are excluded from the formal labor market, so they work in the "gray economy".</w:t>
      </w:r>
    </w:p>
    <w:p w14:paraId="2E4B11E5" w14:textId="77777777" w:rsidR="00CF635C" w:rsidRPr="005A5A67" w:rsidRDefault="00CF635C" w:rsidP="00CF635C">
      <w:pPr>
        <w:jc w:val="both"/>
        <w:rPr>
          <w:rFonts w:ascii="Cambria" w:hAnsi="Cambria"/>
        </w:rPr>
      </w:pPr>
      <w:r w:rsidRPr="005A5A67">
        <w:rPr>
          <w:rFonts w:ascii="Cambria" w:hAnsi="Cambria"/>
        </w:rPr>
        <w:t xml:space="preserve">In general, women are prevalent among the lowest paid workers in the labor market. The pay gap between men and women in Bosnia and Herzegovina is as high as 46% and is the largest in Europe. Also, a new report by the World Economic Forum reports that the estimated annual earnings of women in Bosnia and Herzegovina are around 5.650 EUR while the annual earnings of men are about 13.250 EUR. </w:t>
      </w:r>
    </w:p>
    <w:p w14:paraId="10FA4740" w14:textId="77777777" w:rsidR="00CF635C" w:rsidRPr="005A5A67" w:rsidRDefault="00CF635C" w:rsidP="00CF635C">
      <w:pPr>
        <w:jc w:val="both"/>
        <w:rPr>
          <w:rFonts w:ascii="Cambria" w:hAnsi="Cambria"/>
          <w:b/>
        </w:rPr>
      </w:pPr>
      <w:r w:rsidRPr="005A5A67">
        <w:rPr>
          <w:rFonts w:ascii="Cambria" w:hAnsi="Cambria"/>
          <w:b/>
        </w:rPr>
        <w:lastRenderedPageBreak/>
        <w:t>The role of women in rural areas</w:t>
      </w:r>
    </w:p>
    <w:p w14:paraId="6C8C198B" w14:textId="3690CC58" w:rsidR="00CF635C" w:rsidRPr="005A5A67" w:rsidRDefault="00CF635C" w:rsidP="00CF635C">
      <w:pPr>
        <w:jc w:val="both"/>
        <w:rPr>
          <w:rFonts w:ascii="Cambria" w:hAnsi="Cambria"/>
        </w:rPr>
      </w:pPr>
      <w:r w:rsidRPr="005A5A67">
        <w:rPr>
          <w:rFonts w:ascii="Cambria" w:hAnsi="Cambria"/>
        </w:rPr>
        <w:t xml:space="preserve">Rural women rarely have the opportunity to influence decision-making in order to gain their well-deserved place in society. In rural communities across BiH, Local Community Councils have been formed to create opportunities for women's involvement. However, the legal quota prescribed for the participation of women in the elections for the election of the Council of Local Communities is not enforced even though we have established supervisory election commissions. </w:t>
      </w:r>
      <w:r w:rsidR="00955B0E" w:rsidRPr="005A5A67">
        <w:rPr>
          <w:rFonts w:ascii="Cambria" w:hAnsi="Cambria"/>
        </w:rPr>
        <w:t>Very few</w:t>
      </w:r>
      <w:r w:rsidRPr="005A5A67">
        <w:rPr>
          <w:rFonts w:ascii="Cambria" w:hAnsi="Cambria"/>
        </w:rPr>
        <w:t xml:space="preserve"> women are involved in the work of the Council of Local Communities, which should play a large role in the development of the community and in supporting women in the countryside. The work of this body is very important in bringing up issues concerning the development of their local communities, infrastructure services such as the availability of electricity, rural roads, water supply and other services they have in the city.</w:t>
      </w:r>
    </w:p>
    <w:p w14:paraId="55BCEBA5" w14:textId="77777777" w:rsidR="00CF635C" w:rsidRPr="005A5A67" w:rsidRDefault="00CF635C" w:rsidP="00CF635C">
      <w:pPr>
        <w:jc w:val="both"/>
        <w:rPr>
          <w:rFonts w:ascii="Cambria" w:hAnsi="Cambria"/>
        </w:rPr>
      </w:pPr>
      <w:r w:rsidRPr="005A5A67">
        <w:rPr>
          <w:rFonts w:ascii="Cambria" w:hAnsi="Cambria"/>
        </w:rPr>
        <w:t>There are a number of villages across Bosnia and Herzegovina where the electricity supply, which was destroyed during the war, has not yet been restored.</w:t>
      </w:r>
    </w:p>
    <w:p w14:paraId="4BA90669" w14:textId="77777777" w:rsidR="00CF635C" w:rsidRPr="005A5A67" w:rsidRDefault="00CF635C" w:rsidP="00CF635C">
      <w:pPr>
        <w:jc w:val="both"/>
        <w:rPr>
          <w:rFonts w:ascii="Cambria" w:hAnsi="Cambria"/>
        </w:rPr>
      </w:pPr>
      <w:r w:rsidRPr="005A5A67">
        <w:rPr>
          <w:rFonts w:ascii="Cambria" w:hAnsi="Cambria"/>
        </w:rPr>
        <w:t xml:space="preserve">The current political situation in BiH does not contribute to the implementation of strategic goals that will improve the role of women in the countryside. The migration of women and entire families to urban areas is intense. State-level strategies to support rural women are poorly implemented at the local level. Support in the exercise of their rights at local levels should also be provided by established municipal committees for gender equality, which are very often just formalized, without efficient work in practice. </w:t>
      </w:r>
    </w:p>
    <w:p w14:paraId="2E67D272" w14:textId="6930E64B" w:rsidR="00CF635C" w:rsidRPr="005A5A67" w:rsidRDefault="00CF635C" w:rsidP="00CF635C">
      <w:pPr>
        <w:jc w:val="both"/>
        <w:rPr>
          <w:rFonts w:ascii="Cambria" w:hAnsi="Cambria"/>
        </w:rPr>
      </w:pPr>
      <w:r w:rsidRPr="005A5A67">
        <w:rPr>
          <w:rFonts w:ascii="Cambria" w:hAnsi="Cambria"/>
        </w:rPr>
        <w:t xml:space="preserve">BiH is only at the beginning of budget making according to the principles of gender equality. The Agency for Gender Equality of </w:t>
      </w:r>
      <w:r w:rsidR="00955B0E" w:rsidRPr="005A5A67">
        <w:rPr>
          <w:rFonts w:ascii="Cambria" w:hAnsi="Cambria"/>
        </w:rPr>
        <w:t xml:space="preserve">BiH </w:t>
      </w:r>
      <w:r w:rsidRPr="005A5A67">
        <w:rPr>
          <w:rFonts w:ascii="Cambria" w:hAnsi="Cambria"/>
        </w:rPr>
        <w:t>and the Gender Centers of the Government of the RS have initiated a series of activities to introduce a gender component in the entire budgeting process. In</w:t>
      </w:r>
      <w:r w:rsidR="00955B0E" w:rsidRPr="005A5A67">
        <w:rPr>
          <w:rFonts w:ascii="Cambria" w:hAnsi="Cambria"/>
        </w:rPr>
        <w:t xml:space="preserve"> BiH</w:t>
      </w:r>
      <w:r w:rsidRPr="005A5A67">
        <w:rPr>
          <w:rFonts w:ascii="Cambria" w:hAnsi="Cambria"/>
        </w:rPr>
        <w:t xml:space="preserve">, in most cases, gender is not mainstreamed in the budgets. </w:t>
      </w:r>
    </w:p>
    <w:p w14:paraId="60013342" w14:textId="77777777" w:rsidR="00CF635C" w:rsidRPr="005A5A67" w:rsidRDefault="00CF635C" w:rsidP="00CF635C">
      <w:pPr>
        <w:jc w:val="both"/>
        <w:rPr>
          <w:rFonts w:ascii="Cambria" w:hAnsi="Cambria"/>
          <w:b/>
          <w:u w:val="single"/>
        </w:rPr>
      </w:pPr>
      <w:r w:rsidRPr="005A5A67">
        <w:rPr>
          <w:rFonts w:ascii="Cambria" w:hAnsi="Cambria"/>
          <w:b/>
          <w:u w:val="single"/>
        </w:rPr>
        <w:t>Recommendations:</w:t>
      </w:r>
    </w:p>
    <w:p w14:paraId="29184EA2" w14:textId="77777777" w:rsidR="00CF635C" w:rsidRPr="005A5A67" w:rsidRDefault="00CF635C" w:rsidP="00CF635C">
      <w:pPr>
        <w:pStyle w:val="ListParagraph"/>
        <w:numPr>
          <w:ilvl w:val="0"/>
          <w:numId w:val="7"/>
        </w:numPr>
        <w:ind w:left="426"/>
        <w:jc w:val="both"/>
        <w:rPr>
          <w:rFonts w:ascii="Cambria" w:hAnsi="Cambria"/>
        </w:rPr>
      </w:pPr>
      <w:r w:rsidRPr="005A5A67">
        <w:rPr>
          <w:rFonts w:ascii="Cambria" w:hAnsi="Cambria"/>
        </w:rPr>
        <w:t xml:space="preserve">The State should strengthen cooperation with civil society organizations and other stakeholders with the aim of identifying and addressing situations of exclusion, deprivation, poverty and neglect; </w:t>
      </w:r>
    </w:p>
    <w:p w14:paraId="248D66A8" w14:textId="569FF2C9" w:rsidR="00CF635C" w:rsidRPr="005A5A67" w:rsidRDefault="00CF635C" w:rsidP="00CF635C">
      <w:pPr>
        <w:pStyle w:val="ListParagraph"/>
        <w:numPr>
          <w:ilvl w:val="0"/>
          <w:numId w:val="7"/>
        </w:numPr>
        <w:ind w:left="426"/>
        <w:jc w:val="both"/>
        <w:rPr>
          <w:rFonts w:ascii="Cambria" w:hAnsi="Cambria"/>
        </w:rPr>
      </w:pPr>
      <w:r w:rsidRPr="005A5A67">
        <w:rPr>
          <w:rFonts w:ascii="Cambria" w:hAnsi="Cambria"/>
        </w:rPr>
        <w:t>Adopt a plan of action, with temporary special measures, to address the exclusion and intersecting forms of discrimination faced by rural women</w:t>
      </w:r>
      <w:r w:rsidR="00955B0E" w:rsidRPr="005A5A67">
        <w:rPr>
          <w:rFonts w:ascii="Cambria" w:hAnsi="Cambria"/>
        </w:rPr>
        <w:t>;</w:t>
      </w:r>
    </w:p>
    <w:p w14:paraId="5FA811A6" w14:textId="77777777" w:rsidR="00CF635C" w:rsidRPr="005A5A67" w:rsidRDefault="00CF635C" w:rsidP="00CF635C">
      <w:pPr>
        <w:pStyle w:val="ListParagraph"/>
        <w:numPr>
          <w:ilvl w:val="0"/>
          <w:numId w:val="7"/>
        </w:numPr>
        <w:ind w:left="426"/>
        <w:jc w:val="both"/>
        <w:rPr>
          <w:rFonts w:ascii="Cambria" w:hAnsi="Cambria"/>
        </w:rPr>
      </w:pPr>
      <w:r w:rsidRPr="005A5A67">
        <w:rPr>
          <w:rFonts w:ascii="Cambria" w:hAnsi="Cambria"/>
        </w:rPr>
        <w:t>Adopt targeted measures to combat school drop-out, focusing on measures to retain rural girls in school and to increase their attendance at the primary and secondary levels; Adopt a strategy to ensure that rural women have access to mainstream education, and combat and eliminate discriminatory attitudes against women in disadvantaged groups in education;</w:t>
      </w:r>
    </w:p>
    <w:p w14:paraId="4DB9E63E" w14:textId="046CDEE8" w:rsidR="00CF635C" w:rsidRPr="005A5A67" w:rsidRDefault="00CF635C" w:rsidP="00CF635C">
      <w:pPr>
        <w:pStyle w:val="ListParagraph"/>
        <w:numPr>
          <w:ilvl w:val="0"/>
          <w:numId w:val="7"/>
        </w:numPr>
        <w:ind w:left="426"/>
        <w:jc w:val="both"/>
        <w:rPr>
          <w:rFonts w:ascii="Cambria" w:hAnsi="Cambria"/>
        </w:rPr>
      </w:pPr>
      <w:r w:rsidRPr="005A5A67">
        <w:rPr>
          <w:rFonts w:ascii="Cambria" w:hAnsi="Cambria"/>
        </w:rPr>
        <w:t xml:space="preserve">Adopt measures to register and recognize the </w:t>
      </w:r>
      <w:r w:rsidR="00955B0E" w:rsidRPr="005A5A67">
        <w:rPr>
          <w:rFonts w:ascii="Cambria" w:hAnsi="Cambria"/>
        </w:rPr>
        <w:t xml:space="preserve">unpaid </w:t>
      </w:r>
      <w:r w:rsidRPr="005A5A67">
        <w:rPr>
          <w:rFonts w:ascii="Cambria" w:hAnsi="Cambria"/>
        </w:rPr>
        <w:t>work of rural women and make provisions for recognizing their rights to social benefits, including retirement pensions and other social protection allowances, including maternity leave;</w:t>
      </w:r>
    </w:p>
    <w:p w14:paraId="6FC2C9AA" w14:textId="77777777" w:rsidR="00CF635C" w:rsidRPr="005A5A67" w:rsidRDefault="00CF635C" w:rsidP="00CF635C">
      <w:pPr>
        <w:pStyle w:val="ListParagraph"/>
        <w:numPr>
          <w:ilvl w:val="0"/>
          <w:numId w:val="7"/>
        </w:numPr>
        <w:ind w:left="426"/>
        <w:jc w:val="both"/>
        <w:rPr>
          <w:rFonts w:ascii="Cambria" w:hAnsi="Cambria"/>
        </w:rPr>
      </w:pPr>
      <w:r w:rsidRPr="005A5A67">
        <w:rPr>
          <w:rFonts w:ascii="Cambria" w:hAnsi="Cambria"/>
        </w:rPr>
        <w:t xml:space="preserve">Inclusive financial measures intended for female members of agricultural households that acknowledge unpaid work performed by women should be introduced; </w:t>
      </w:r>
    </w:p>
    <w:p w14:paraId="1EBF633D" w14:textId="7DD19C09" w:rsidR="00CF635C" w:rsidRPr="005A5A67" w:rsidRDefault="00CF635C" w:rsidP="00CF635C">
      <w:pPr>
        <w:pStyle w:val="ListParagraph"/>
        <w:numPr>
          <w:ilvl w:val="0"/>
          <w:numId w:val="7"/>
        </w:numPr>
        <w:ind w:left="426"/>
        <w:jc w:val="both"/>
        <w:rPr>
          <w:rFonts w:ascii="Cambria" w:hAnsi="Cambria"/>
        </w:rPr>
      </w:pPr>
      <w:r w:rsidRPr="005A5A67">
        <w:rPr>
          <w:rFonts w:ascii="Cambria" w:hAnsi="Cambria"/>
        </w:rPr>
        <w:t>To promote change to social and cultural patterns of behavior, in order to eradicate prejudices, traditions and practices, prevent all forms of violenc</w:t>
      </w:r>
      <w:r w:rsidR="005A5A67" w:rsidRPr="005A5A67">
        <w:rPr>
          <w:rFonts w:ascii="Cambria" w:hAnsi="Cambria"/>
        </w:rPr>
        <w:t>e</w:t>
      </w:r>
      <w:r w:rsidRPr="005A5A67">
        <w:rPr>
          <w:rFonts w:ascii="Cambria" w:hAnsi="Cambria"/>
        </w:rPr>
        <w:t xml:space="preserve"> against rural women;  </w:t>
      </w:r>
    </w:p>
    <w:p w14:paraId="2F4EE4F7" w14:textId="77777777" w:rsidR="00CF635C" w:rsidRPr="005A5A67" w:rsidRDefault="00CF635C" w:rsidP="00CF635C">
      <w:pPr>
        <w:pStyle w:val="ListParagraph"/>
        <w:numPr>
          <w:ilvl w:val="0"/>
          <w:numId w:val="7"/>
        </w:numPr>
        <w:ind w:left="426"/>
        <w:jc w:val="both"/>
        <w:rPr>
          <w:rFonts w:ascii="Cambria" w:hAnsi="Cambria"/>
        </w:rPr>
      </w:pPr>
      <w:r w:rsidRPr="005A5A67">
        <w:rPr>
          <w:rFonts w:ascii="Cambria" w:hAnsi="Cambria"/>
        </w:rPr>
        <w:lastRenderedPageBreak/>
        <w:t xml:space="preserve">To report on risks affecting rural women, extent and nature of violence and abuse they are subjected to, their needs and access to services, and effectiveness of measures aimed to address violence against them; </w:t>
      </w:r>
    </w:p>
    <w:p w14:paraId="00B2AE5A" w14:textId="77777777" w:rsidR="00CF635C" w:rsidRPr="005A5A67" w:rsidRDefault="00CF635C" w:rsidP="00CF635C">
      <w:pPr>
        <w:pStyle w:val="ListParagraph"/>
        <w:numPr>
          <w:ilvl w:val="0"/>
          <w:numId w:val="7"/>
        </w:numPr>
        <w:ind w:left="426"/>
        <w:jc w:val="both"/>
        <w:rPr>
          <w:rFonts w:ascii="Cambria" w:hAnsi="Cambria"/>
        </w:rPr>
      </w:pPr>
      <w:r w:rsidRPr="005A5A67">
        <w:rPr>
          <w:rFonts w:ascii="Cambria" w:hAnsi="Cambria"/>
        </w:rPr>
        <w:t xml:space="preserve">To ensure access to justice for rural women, publish gender- and area-desegregated applicant data (urban or rural) on availability and utilization of state-sponsored free legal aid. </w:t>
      </w:r>
    </w:p>
    <w:p w14:paraId="61D76545" w14:textId="77777777" w:rsidR="00CF635C" w:rsidRPr="005A5A67" w:rsidRDefault="00CF635C" w:rsidP="00CF635C">
      <w:pPr>
        <w:pStyle w:val="ListParagraph"/>
        <w:numPr>
          <w:ilvl w:val="0"/>
          <w:numId w:val="7"/>
        </w:numPr>
        <w:ind w:left="426"/>
        <w:jc w:val="both"/>
        <w:rPr>
          <w:rFonts w:ascii="Cambria" w:hAnsi="Cambria"/>
        </w:rPr>
      </w:pPr>
      <w:r w:rsidRPr="005A5A67">
        <w:rPr>
          <w:rFonts w:ascii="Cambria" w:hAnsi="Cambria"/>
        </w:rPr>
        <w:t xml:space="preserve">The state should take steps to address structural discrimination that prevents women to participate in public and political life, especially rural women; </w:t>
      </w:r>
    </w:p>
    <w:p w14:paraId="1F54F936" w14:textId="77777777" w:rsidR="00CF635C" w:rsidRPr="005A5A67" w:rsidRDefault="00CF635C" w:rsidP="00CF635C">
      <w:pPr>
        <w:pStyle w:val="ListParagraph"/>
        <w:numPr>
          <w:ilvl w:val="0"/>
          <w:numId w:val="7"/>
        </w:numPr>
        <w:ind w:left="426"/>
        <w:jc w:val="both"/>
        <w:rPr>
          <w:rFonts w:ascii="Cambria" w:hAnsi="Cambria"/>
        </w:rPr>
      </w:pPr>
      <w:r w:rsidRPr="005A5A67">
        <w:rPr>
          <w:rFonts w:ascii="Cambria" w:hAnsi="Cambria"/>
        </w:rPr>
        <w:t xml:space="preserve">To report on legal and social status of unpaid women who work in family farms, small businesses and rural households; </w:t>
      </w:r>
    </w:p>
    <w:p w14:paraId="19E95633" w14:textId="77777777" w:rsidR="00CF635C" w:rsidRPr="005A5A67" w:rsidRDefault="00CF635C" w:rsidP="00CF635C">
      <w:pPr>
        <w:pStyle w:val="ListParagraph"/>
        <w:numPr>
          <w:ilvl w:val="0"/>
          <w:numId w:val="7"/>
        </w:numPr>
        <w:ind w:left="426"/>
        <w:jc w:val="both"/>
        <w:rPr>
          <w:rFonts w:ascii="Cambria" w:hAnsi="Cambria"/>
        </w:rPr>
      </w:pPr>
      <w:r w:rsidRPr="005A5A67">
        <w:rPr>
          <w:rFonts w:ascii="Cambria" w:hAnsi="Cambria"/>
        </w:rPr>
        <w:t xml:space="preserve">To take adequate legislative, administrative, economic, budgetary and other measures to ensure that rural women enjoy the highest attainable standard of health and to report on measures taken to eliminate barriers faced by women when accessing health services and facilities; </w:t>
      </w:r>
    </w:p>
    <w:p w14:paraId="279CA43E" w14:textId="77777777" w:rsidR="00CF635C" w:rsidRPr="005A5A67" w:rsidRDefault="00CF635C" w:rsidP="00CF635C">
      <w:pPr>
        <w:pStyle w:val="ListParagraph"/>
        <w:numPr>
          <w:ilvl w:val="0"/>
          <w:numId w:val="7"/>
        </w:numPr>
        <w:ind w:left="426"/>
        <w:jc w:val="both"/>
        <w:rPr>
          <w:rFonts w:ascii="Cambria" w:hAnsi="Cambria"/>
        </w:rPr>
      </w:pPr>
      <w:r w:rsidRPr="005A5A67">
        <w:rPr>
          <w:rFonts w:ascii="Cambria" w:hAnsi="Cambria"/>
        </w:rPr>
        <w:t>Ensure that rural women have access to subsidies and rural development support measures to the greatest possible extent;</w:t>
      </w:r>
    </w:p>
    <w:p w14:paraId="3F559D77" w14:textId="77777777" w:rsidR="00CF635C" w:rsidRPr="005A5A67" w:rsidRDefault="00CF635C" w:rsidP="00CF635C">
      <w:pPr>
        <w:pStyle w:val="ListParagraph"/>
        <w:numPr>
          <w:ilvl w:val="0"/>
          <w:numId w:val="7"/>
        </w:numPr>
        <w:ind w:left="426"/>
        <w:jc w:val="both"/>
        <w:rPr>
          <w:rFonts w:ascii="Cambria" w:hAnsi="Cambria"/>
        </w:rPr>
      </w:pPr>
      <w:r w:rsidRPr="005A5A67">
        <w:rPr>
          <w:rFonts w:ascii="Cambria" w:hAnsi="Cambria"/>
        </w:rPr>
        <w:t xml:space="preserve">Develop a strategy to ensure access for rural women to land titles and ownership and adopt measures to protect their security of land tenure, including through awareness-raising campaigns to challenge cultural and traditional patterns that prevent equal access to and control of land by women; </w:t>
      </w:r>
    </w:p>
    <w:p w14:paraId="5286A7E2" w14:textId="77777777" w:rsidR="00CF635C" w:rsidRPr="005A5A67" w:rsidRDefault="00CF635C" w:rsidP="00CF635C">
      <w:pPr>
        <w:pStyle w:val="ListParagraph"/>
        <w:numPr>
          <w:ilvl w:val="0"/>
          <w:numId w:val="7"/>
        </w:numPr>
        <w:ind w:left="426"/>
        <w:jc w:val="both"/>
        <w:rPr>
          <w:rFonts w:ascii="Cambria" w:hAnsi="Cambria"/>
        </w:rPr>
      </w:pPr>
      <w:r w:rsidRPr="005A5A67">
        <w:rPr>
          <w:rFonts w:ascii="Cambria" w:hAnsi="Cambria"/>
        </w:rPr>
        <w:t>The State should introduce measures that will increase women's association and cooperation, especially on the empowerment and establishment of women's co-operatives in rural areas, including providing financial support for this type of cooperation among women in the countryside;</w:t>
      </w:r>
    </w:p>
    <w:p w14:paraId="12E37826" w14:textId="77777777" w:rsidR="00CF635C" w:rsidRPr="005A5A67" w:rsidRDefault="00CF635C" w:rsidP="00CF635C">
      <w:pPr>
        <w:pStyle w:val="ListParagraph"/>
        <w:numPr>
          <w:ilvl w:val="0"/>
          <w:numId w:val="7"/>
        </w:numPr>
        <w:ind w:left="426"/>
        <w:jc w:val="both"/>
        <w:rPr>
          <w:rFonts w:ascii="Cambria" w:hAnsi="Cambria"/>
        </w:rPr>
      </w:pPr>
      <w:r w:rsidRPr="005A5A67">
        <w:rPr>
          <w:rFonts w:ascii="Cambria" w:hAnsi="Cambria"/>
        </w:rPr>
        <w:t>Regional resource centers (rural accelerators) for advisory support to rural women should be defined and opened , in order to improve the quality of life of rural women;</w:t>
      </w:r>
    </w:p>
    <w:p w14:paraId="3B8504A0" w14:textId="77777777" w:rsidR="00CF635C" w:rsidRPr="005A5A67" w:rsidRDefault="00CF635C" w:rsidP="00CF635C">
      <w:pPr>
        <w:pStyle w:val="ListParagraph"/>
        <w:numPr>
          <w:ilvl w:val="0"/>
          <w:numId w:val="7"/>
        </w:numPr>
        <w:ind w:left="426"/>
        <w:jc w:val="both"/>
        <w:rPr>
          <w:rFonts w:ascii="Cambria" w:hAnsi="Cambria"/>
        </w:rPr>
      </w:pPr>
      <w:r w:rsidRPr="005A5A67">
        <w:rPr>
          <w:rFonts w:ascii="Cambria" w:hAnsi="Cambria"/>
        </w:rPr>
        <w:t>Gender responsible budgeting should be introduced at all levels, including in designing budgets on local level. Rights based approach should be incorporated in the work of municipalities and rural women should be included in the process of designing the budgets on local level.</w:t>
      </w:r>
    </w:p>
    <w:p w14:paraId="790F3827" w14:textId="77777777" w:rsidR="00CF635C" w:rsidRPr="005A5A67" w:rsidRDefault="00CF635C" w:rsidP="00CF635C">
      <w:pPr>
        <w:ind w:left="426"/>
        <w:jc w:val="both"/>
        <w:rPr>
          <w:rFonts w:ascii="Cambria" w:hAnsi="Cambria"/>
        </w:rPr>
      </w:pPr>
    </w:p>
    <w:p w14:paraId="57EA1BB0" w14:textId="77777777" w:rsidR="00CF635C" w:rsidRPr="005A5A67" w:rsidRDefault="00CF635C" w:rsidP="00CF635C">
      <w:pPr>
        <w:ind w:left="426"/>
        <w:rPr>
          <w:rFonts w:ascii="Cambria" w:hAnsi="Cambria"/>
        </w:rPr>
      </w:pPr>
    </w:p>
    <w:p w14:paraId="656E0D78" w14:textId="77777777" w:rsidR="00CF635C" w:rsidRPr="005A5A67" w:rsidRDefault="00CF635C" w:rsidP="00CF635C">
      <w:pPr>
        <w:spacing w:after="0" w:line="240" w:lineRule="auto"/>
        <w:ind w:left="426"/>
        <w:jc w:val="both"/>
        <w:rPr>
          <w:rFonts w:ascii="Cambria" w:hAnsi="Cambria"/>
          <w:u w:val="single"/>
        </w:rPr>
      </w:pPr>
    </w:p>
    <w:sectPr w:rsidR="00CF635C" w:rsidRPr="005A5A67" w:rsidSect="00D43B4C">
      <w:headerReference w:type="default" r:id="rId13"/>
      <w:footerReference w:type="default" r:id="rId14"/>
      <w:headerReference w:type="first" r:id="rId15"/>
      <w:pgSz w:w="12240" w:h="15840"/>
      <w:pgMar w:top="1701" w:right="1247" w:bottom="1304" w:left="1247"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3E3E70" w14:textId="77777777" w:rsidR="00E75154" w:rsidRDefault="00E75154" w:rsidP="00CB1A5B">
      <w:pPr>
        <w:spacing w:after="0" w:line="240" w:lineRule="auto"/>
      </w:pPr>
      <w:r>
        <w:separator/>
      </w:r>
    </w:p>
  </w:endnote>
  <w:endnote w:type="continuationSeparator" w:id="0">
    <w:p w14:paraId="37E842ED" w14:textId="77777777" w:rsidR="00E75154" w:rsidRDefault="00E75154" w:rsidP="00CB1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ld">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0362794"/>
      <w:docPartObj>
        <w:docPartGallery w:val="Page Numbers (Bottom of Page)"/>
        <w:docPartUnique/>
      </w:docPartObj>
    </w:sdtPr>
    <w:sdtEndPr>
      <w:rPr>
        <w:noProof/>
      </w:rPr>
    </w:sdtEndPr>
    <w:sdtContent>
      <w:p w14:paraId="1E7267F5" w14:textId="0786FC22" w:rsidR="00216CDF" w:rsidRDefault="00216CDF">
        <w:pPr>
          <w:pStyle w:val="Footer"/>
          <w:jc w:val="right"/>
        </w:pPr>
        <w:r>
          <w:fldChar w:fldCharType="begin"/>
        </w:r>
        <w:r>
          <w:instrText xml:space="preserve"> PAGE   \* MERGEFORMAT </w:instrText>
        </w:r>
        <w:r>
          <w:fldChar w:fldCharType="separate"/>
        </w:r>
        <w:r w:rsidR="00712A6B">
          <w:rPr>
            <w:noProof/>
          </w:rPr>
          <w:t>7</w:t>
        </w:r>
        <w:r>
          <w:rPr>
            <w:noProof/>
          </w:rPr>
          <w:fldChar w:fldCharType="end"/>
        </w:r>
      </w:p>
    </w:sdtContent>
  </w:sdt>
  <w:p w14:paraId="202DC95E" w14:textId="73B2D989" w:rsidR="00214B53" w:rsidRDefault="00214B53">
    <w:pPr>
      <w:pStyle w:val="Footer"/>
    </w:pPr>
  </w:p>
  <w:p w14:paraId="33F0AEC3" w14:textId="77777777" w:rsidR="00D149C2" w:rsidRDefault="00D149C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F96190" w14:textId="77777777" w:rsidR="00E75154" w:rsidRDefault="00E75154" w:rsidP="00CB1A5B">
      <w:pPr>
        <w:spacing w:after="0" w:line="240" w:lineRule="auto"/>
      </w:pPr>
      <w:r>
        <w:separator/>
      </w:r>
    </w:p>
  </w:footnote>
  <w:footnote w:type="continuationSeparator" w:id="0">
    <w:p w14:paraId="38441278" w14:textId="77777777" w:rsidR="00E75154" w:rsidRDefault="00E75154" w:rsidP="00CB1A5B">
      <w:pPr>
        <w:spacing w:after="0" w:line="240" w:lineRule="auto"/>
      </w:pPr>
      <w:r>
        <w:continuationSeparator/>
      </w:r>
    </w:p>
  </w:footnote>
  <w:footnote w:id="1">
    <w:p w14:paraId="4B3521F4" w14:textId="77A72BFB" w:rsidR="00CF635C" w:rsidRPr="00D96C63" w:rsidRDefault="00CF635C" w:rsidP="00CF635C">
      <w:pPr>
        <w:pStyle w:val="FootnoteText"/>
        <w:rPr>
          <w:rFonts w:ascii="Cambria" w:hAnsi="Cambria"/>
          <w:lang w:val="sr-Latn-BA"/>
        </w:rPr>
      </w:pPr>
      <w:r w:rsidRPr="00D96C63">
        <w:rPr>
          <w:rStyle w:val="FootnoteReference"/>
          <w:rFonts w:ascii="Cambria" w:hAnsi="Cambria"/>
        </w:rPr>
        <w:footnoteRef/>
      </w:r>
      <w:r w:rsidRPr="00D96C63">
        <w:rPr>
          <w:rFonts w:ascii="Cambria" w:hAnsi="Cambria"/>
        </w:rPr>
        <w:t xml:space="preserve"> </w:t>
      </w:r>
      <w:hyperlink r:id="rId1" w:history="1">
        <w:r w:rsidR="0096753E" w:rsidRPr="009557D0">
          <w:rPr>
            <w:rStyle w:val="Hyperlink"/>
            <w:rFonts w:ascii="Cambria" w:hAnsi="Cambria"/>
          </w:rPr>
          <w:t xml:space="preserve">Report on </w:t>
        </w:r>
        <w:r w:rsidR="009557D0" w:rsidRPr="009557D0">
          <w:rPr>
            <w:rStyle w:val="Hyperlink"/>
            <w:rFonts w:ascii="Cambria" w:hAnsi="Cambria"/>
          </w:rPr>
          <w:t xml:space="preserve">gender </w:t>
        </w:r>
        <w:r w:rsidR="0096753E" w:rsidRPr="009557D0">
          <w:rPr>
            <w:rStyle w:val="Hyperlink"/>
            <w:rFonts w:ascii="Cambria" w:hAnsi="Cambria"/>
          </w:rPr>
          <w:t>equality</w:t>
        </w:r>
        <w:r w:rsidR="009557D0" w:rsidRPr="009557D0">
          <w:rPr>
            <w:rStyle w:val="Hyperlink"/>
            <w:rFonts w:ascii="Cambria" w:hAnsi="Cambria"/>
          </w:rPr>
          <w:t xml:space="preserve"> in Bosnia and Herzegovina</w:t>
        </w:r>
        <w:r w:rsidR="0096753E" w:rsidRPr="009557D0">
          <w:rPr>
            <w:rStyle w:val="Hyperlink"/>
            <w:rFonts w:ascii="Cambria" w:hAnsi="Cambria"/>
          </w:rPr>
          <w:t>, Ministry for Human Rights and Refugees,</w:t>
        </w:r>
      </w:hyperlink>
      <w:r w:rsidR="0096753E">
        <w:rPr>
          <w:rFonts w:ascii="Cambria" w:hAnsi="Cambria"/>
        </w:rPr>
        <w:t xml:space="preserve"> </w:t>
      </w:r>
      <w:r w:rsidR="009557D0">
        <w:rPr>
          <w:rFonts w:ascii="Cambria" w:hAnsi="Cambria"/>
        </w:rPr>
        <w:t>Page 28</w:t>
      </w:r>
    </w:p>
  </w:footnote>
  <w:footnote w:id="2">
    <w:p w14:paraId="50646083" w14:textId="38A47AFA" w:rsidR="00CF635C" w:rsidRPr="00D96C63" w:rsidRDefault="00CF635C" w:rsidP="00CF635C">
      <w:pPr>
        <w:pStyle w:val="FootnoteText"/>
        <w:rPr>
          <w:rFonts w:ascii="Cambria" w:hAnsi="Cambria"/>
          <w:lang w:val="sr-Latn-BA"/>
        </w:rPr>
      </w:pPr>
      <w:r w:rsidRPr="00D96C63">
        <w:rPr>
          <w:rStyle w:val="FootnoteReference"/>
          <w:rFonts w:ascii="Cambria" w:hAnsi="Cambria"/>
        </w:rPr>
        <w:footnoteRef/>
      </w:r>
      <w:r w:rsidRPr="00D96C63">
        <w:rPr>
          <w:rFonts w:ascii="Cambria" w:hAnsi="Cambria"/>
        </w:rPr>
        <w:t xml:space="preserve"> </w:t>
      </w:r>
      <w:hyperlink r:id="rId2" w:history="1">
        <w:r w:rsidR="009557D0" w:rsidRPr="009557D0">
          <w:rPr>
            <w:rStyle w:val="Hyperlink"/>
            <w:rFonts w:ascii="Cambria" w:hAnsi="Cambria"/>
          </w:rPr>
          <w:t>Rural development in Bosnia and Herzegovina: Myth and Reality, UNDP, 2013</w:t>
        </w:r>
      </w:hyperlink>
      <w:r w:rsidRPr="00D96C63">
        <w:rPr>
          <w:rFonts w:ascii="Cambria" w:hAnsi="Cambria"/>
          <w:lang w:val="sr-Latn-BA"/>
        </w:rPr>
        <w:t>, Page 94</w:t>
      </w:r>
    </w:p>
  </w:footnote>
  <w:footnote w:id="3">
    <w:p w14:paraId="35D75762" w14:textId="60286EDE" w:rsidR="00CF635C" w:rsidRPr="00D96C63" w:rsidRDefault="00CF635C" w:rsidP="00CF635C">
      <w:pPr>
        <w:pStyle w:val="FootnoteText"/>
        <w:rPr>
          <w:rFonts w:ascii="Cambria" w:hAnsi="Cambria"/>
          <w:lang w:val="sr-Latn-BA"/>
        </w:rPr>
      </w:pPr>
      <w:r w:rsidRPr="00D96C63">
        <w:rPr>
          <w:rStyle w:val="FootnoteReference"/>
          <w:rFonts w:ascii="Cambria" w:hAnsi="Cambria"/>
        </w:rPr>
        <w:footnoteRef/>
      </w:r>
      <w:r w:rsidRPr="00D96C63">
        <w:rPr>
          <w:rFonts w:ascii="Cambria" w:hAnsi="Cambria"/>
        </w:rPr>
        <w:t xml:space="preserve"> </w:t>
      </w:r>
      <w:hyperlink r:id="rId3" w:history="1">
        <w:r w:rsidR="009557D0" w:rsidRPr="009557D0">
          <w:rPr>
            <w:rStyle w:val="Hyperlink"/>
            <w:rFonts w:ascii="Cambria" w:hAnsi="Cambria"/>
          </w:rPr>
          <w:t>Strategic plan for rural development of Bosnia and Herzegovina (2018-2021)</w:t>
        </w:r>
      </w:hyperlink>
      <w:r w:rsidRPr="00D96C63">
        <w:rPr>
          <w:rFonts w:ascii="Cambria" w:hAnsi="Cambria"/>
        </w:rPr>
        <w:t xml:space="preserve"> , Page 42</w:t>
      </w:r>
    </w:p>
  </w:footnote>
  <w:footnote w:id="4">
    <w:p w14:paraId="2140239E" w14:textId="144E8D9E" w:rsidR="00CF635C" w:rsidRPr="00FF1851" w:rsidRDefault="00CF635C" w:rsidP="00CF635C">
      <w:pPr>
        <w:pStyle w:val="FootnoteText"/>
        <w:rPr>
          <w:rFonts w:ascii="Cambria" w:hAnsi="Cambria"/>
          <w:lang w:val="sr-Latn-BA"/>
        </w:rPr>
      </w:pPr>
      <w:r w:rsidRPr="00FF1851">
        <w:rPr>
          <w:rStyle w:val="FootnoteReference"/>
          <w:rFonts w:ascii="Cambria" w:hAnsi="Cambria"/>
          <w:lang w:val="sr-Latn-BA"/>
        </w:rPr>
        <w:footnoteRef/>
      </w:r>
      <w:r w:rsidRPr="00FF1851">
        <w:rPr>
          <w:rFonts w:ascii="Cambria" w:hAnsi="Cambria"/>
          <w:lang w:val="sr-Latn-BA"/>
        </w:rPr>
        <w:t xml:space="preserve"> </w:t>
      </w:r>
      <w:hyperlink r:id="rId4" w:history="1">
        <w:r w:rsidR="009557D0" w:rsidRPr="009557D0">
          <w:rPr>
            <w:rStyle w:val="Hyperlink"/>
            <w:rFonts w:ascii="Cambria" w:hAnsi="Cambria"/>
            <w:lang w:val="sr-Latn-BA"/>
          </w:rPr>
          <w:t>Gender and rural development: Good practices and institutional framework, Association Vesta; 2012</w:t>
        </w:r>
      </w:hyperlink>
      <w:r w:rsidRPr="00FF1851">
        <w:rPr>
          <w:rFonts w:ascii="Cambria" w:hAnsi="Cambria"/>
          <w:lang w:val="sr-Latn-BA"/>
        </w:rPr>
        <w:t>, Page 24</w:t>
      </w:r>
    </w:p>
  </w:footnote>
  <w:footnote w:id="5">
    <w:p w14:paraId="34A33625" w14:textId="720A134C" w:rsidR="00CF635C" w:rsidRPr="00FF1851" w:rsidRDefault="00CF635C" w:rsidP="00CF635C">
      <w:pPr>
        <w:pStyle w:val="FootnoteText"/>
        <w:rPr>
          <w:rFonts w:ascii="Cambria" w:hAnsi="Cambria"/>
          <w:lang w:val="sr-Latn-BA"/>
        </w:rPr>
      </w:pPr>
      <w:r w:rsidRPr="00FF1851">
        <w:rPr>
          <w:rStyle w:val="FootnoteReference"/>
          <w:rFonts w:ascii="Cambria" w:hAnsi="Cambria"/>
          <w:lang w:val="sr-Latn-BA"/>
        </w:rPr>
        <w:footnoteRef/>
      </w:r>
      <w:r w:rsidRPr="00FF1851">
        <w:rPr>
          <w:rFonts w:ascii="Cambria" w:hAnsi="Cambria"/>
          <w:lang w:val="sr-Latn-BA"/>
        </w:rPr>
        <w:t xml:space="preserve"> </w:t>
      </w:r>
      <w:hyperlink r:id="rId5" w:history="1">
        <w:r w:rsidR="00B4701F" w:rsidRPr="00B4701F">
          <w:rPr>
            <w:rStyle w:val="Hyperlink"/>
            <w:rFonts w:ascii="Cambria" w:hAnsi="Cambria"/>
            <w:lang w:val="sr-Latn-BA"/>
          </w:rPr>
          <w:t>Empowerment of women role in public and political life in Bosnia and Herzegovina, 2016</w:t>
        </w:r>
      </w:hyperlink>
      <w:r w:rsidRPr="00FF1851">
        <w:rPr>
          <w:rFonts w:ascii="Cambria" w:hAnsi="Cambria"/>
          <w:lang w:val="sr-Latn-BA"/>
        </w:rPr>
        <w:t>, Page 8</w:t>
      </w:r>
    </w:p>
  </w:footnote>
  <w:footnote w:id="6">
    <w:p w14:paraId="746109CC" w14:textId="2A716F51" w:rsidR="00CF635C" w:rsidRPr="00FF1851" w:rsidRDefault="00CF635C" w:rsidP="00CF635C">
      <w:pPr>
        <w:pStyle w:val="FootnoteText"/>
        <w:rPr>
          <w:rFonts w:ascii="Cambria" w:hAnsi="Cambria"/>
          <w:lang w:val="sr-Latn-BA"/>
        </w:rPr>
      </w:pPr>
      <w:r w:rsidRPr="00FF1851">
        <w:rPr>
          <w:rStyle w:val="FootnoteReference"/>
          <w:rFonts w:ascii="Cambria" w:hAnsi="Cambria"/>
          <w:lang w:val="sr-Latn-BA"/>
        </w:rPr>
        <w:footnoteRef/>
      </w:r>
      <w:r w:rsidRPr="00FF1851">
        <w:rPr>
          <w:rFonts w:ascii="Cambria" w:hAnsi="Cambria"/>
          <w:lang w:val="sr-Latn-BA"/>
        </w:rPr>
        <w:t xml:space="preserve"> </w:t>
      </w:r>
      <w:hyperlink r:id="rId6" w:history="1">
        <w:r w:rsidR="00B4701F" w:rsidRPr="00B4701F">
          <w:rPr>
            <w:rStyle w:val="Hyperlink"/>
            <w:rFonts w:ascii="Cambria" w:hAnsi="Cambria"/>
            <w:lang w:val="sr-Latn-BA"/>
          </w:rPr>
          <w:t>Annual report in the sector of agriculture, food and rural development BiH, 2017</w:t>
        </w:r>
      </w:hyperlink>
      <w:r w:rsidRPr="00FF1851">
        <w:rPr>
          <w:rFonts w:ascii="Cambria" w:hAnsi="Cambria"/>
          <w:lang w:val="sr-Latn-BA"/>
        </w:rPr>
        <w:t>, Page 9</w:t>
      </w:r>
    </w:p>
  </w:footnote>
  <w:footnote w:id="7">
    <w:p w14:paraId="49C1C794" w14:textId="03AF5F87" w:rsidR="00CF635C" w:rsidRPr="00FF1851" w:rsidRDefault="00CF635C" w:rsidP="00CF635C">
      <w:pPr>
        <w:pStyle w:val="FootnoteText"/>
        <w:rPr>
          <w:rFonts w:ascii="Cambria" w:hAnsi="Cambria"/>
          <w:lang w:val="sr-Latn-BA"/>
        </w:rPr>
      </w:pPr>
      <w:r w:rsidRPr="00FF1851">
        <w:rPr>
          <w:rStyle w:val="FootnoteReference"/>
          <w:rFonts w:ascii="Cambria" w:hAnsi="Cambria"/>
          <w:lang w:val="sr-Latn-BA"/>
        </w:rPr>
        <w:footnoteRef/>
      </w:r>
      <w:r w:rsidRPr="00FF1851">
        <w:rPr>
          <w:rFonts w:ascii="Cambria" w:hAnsi="Cambria"/>
          <w:lang w:val="sr-Latn-BA"/>
        </w:rPr>
        <w:t xml:space="preserve"> </w:t>
      </w:r>
      <w:hyperlink r:id="rId7" w:history="1">
        <w:r w:rsidR="00B4701F" w:rsidRPr="00B4701F">
          <w:rPr>
            <w:rStyle w:val="Hyperlink"/>
            <w:rFonts w:ascii="Cambria" w:hAnsi="Cambria"/>
            <w:lang w:val="sr-Latn-BA"/>
          </w:rPr>
          <w:t>Gender action plan of Bosnia and Herzegovina for period 2018 do 2022</w:t>
        </w:r>
      </w:hyperlink>
      <w:r w:rsidR="00712A6B">
        <w:rPr>
          <w:rFonts w:ascii="Cambria" w:hAnsi="Cambria"/>
          <w:lang w:val="sr-Latn-BA"/>
        </w:rPr>
        <w:t>, Page 27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F1FF7C" w14:textId="2F505508" w:rsidR="005A0013" w:rsidRDefault="005A0013">
    <w:pPr>
      <w:pStyle w:val="Header"/>
    </w:pPr>
    <w:r w:rsidRPr="002B760E">
      <w:rPr>
        <w:noProof/>
      </w:rPr>
      <w:drawing>
        <wp:anchor distT="0" distB="0" distL="114300" distR="114300" simplePos="0" relativeHeight="251661312" behindDoc="0" locked="0" layoutInCell="1" allowOverlap="1" wp14:anchorId="5B7262DD" wp14:editId="5E2EB641">
          <wp:simplePos x="0" y="0"/>
          <wp:positionH relativeFrom="margin">
            <wp:posOffset>-153670</wp:posOffset>
          </wp:positionH>
          <wp:positionV relativeFrom="paragraph">
            <wp:posOffset>-266700</wp:posOffset>
          </wp:positionV>
          <wp:extent cx="3799840" cy="72326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99840" cy="723265"/>
                  </a:xfrm>
                  <a:prstGeom prst="rect">
                    <a:avLst/>
                  </a:prstGeom>
                  <a:noFill/>
                </pic:spPr>
              </pic:pic>
            </a:graphicData>
          </a:graphic>
          <wp14:sizeRelH relativeFrom="page">
            <wp14:pctWidth>0</wp14:pctWidth>
          </wp14:sizeRelH>
          <wp14:sizeRelV relativeFrom="page">
            <wp14:pctHeight>0</wp14:pctHeight>
          </wp14:sizeRelV>
        </wp:anchor>
      </w:drawing>
    </w:r>
  </w:p>
  <w:p w14:paraId="34D363D8" w14:textId="77777777" w:rsidR="00D149C2" w:rsidRDefault="00D149C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EE5239" w14:textId="243A13D3" w:rsidR="00D43B4C" w:rsidRDefault="00D43B4C">
    <w:pPr>
      <w:pStyle w:val="Header"/>
    </w:pPr>
    <w:r w:rsidRPr="002B760E">
      <w:rPr>
        <w:noProof/>
      </w:rPr>
      <w:drawing>
        <wp:anchor distT="0" distB="0" distL="114300" distR="114300" simplePos="0" relativeHeight="251659264" behindDoc="0" locked="0" layoutInCell="1" allowOverlap="1" wp14:anchorId="10FF44D7" wp14:editId="0D537486">
          <wp:simplePos x="0" y="0"/>
          <wp:positionH relativeFrom="column">
            <wp:posOffset>0</wp:posOffset>
          </wp:positionH>
          <wp:positionV relativeFrom="paragraph">
            <wp:posOffset>-276225</wp:posOffset>
          </wp:positionV>
          <wp:extent cx="3799840" cy="72326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99840" cy="7232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17BC1"/>
    <w:multiLevelType w:val="hybridMultilevel"/>
    <w:tmpl w:val="5212D44A"/>
    <w:lvl w:ilvl="0" w:tplc="101442FC">
      <w:start w:val="5"/>
      <w:numFmt w:val="bullet"/>
      <w:lvlText w:val="-"/>
      <w:lvlJc w:val="left"/>
      <w:pPr>
        <w:ind w:left="720" w:hanging="360"/>
      </w:pPr>
      <w:rPr>
        <w:rFonts w:ascii="Cambria" w:eastAsiaTheme="minorHAnsi" w:hAnsi="Cambria" w:cs="Verda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A13443"/>
    <w:multiLevelType w:val="hybridMultilevel"/>
    <w:tmpl w:val="984C29BA"/>
    <w:lvl w:ilvl="0" w:tplc="F6ACEBFA">
      <w:numFmt w:val="bullet"/>
      <w:lvlText w:val="-"/>
      <w:lvlJc w:val="left"/>
      <w:pPr>
        <w:ind w:left="720" w:hanging="360"/>
      </w:pPr>
      <w:rPr>
        <w:rFonts w:ascii="Cambria" w:eastAsiaTheme="minorHAnsi" w:hAnsi="Cambria" w:cs="Verda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6A4CAF"/>
    <w:multiLevelType w:val="hybridMultilevel"/>
    <w:tmpl w:val="8B4A0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A611287"/>
    <w:multiLevelType w:val="hybridMultilevel"/>
    <w:tmpl w:val="08180084"/>
    <w:lvl w:ilvl="0" w:tplc="BC10483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64534A4"/>
    <w:multiLevelType w:val="hybridMultilevel"/>
    <w:tmpl w:val="EF52CBDC"/>
    <w:lvl w:ilvl="0" w:tplc="ED92A8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36F4CD0"/>
    <w:multiLevelType w:val="hybridMultilevel"/>
    <w:tmpl w:val="01708746"/>
    <w:lvl w:ilvl="0" w:tplc="181A0001">
      <w:start w:val="1"/>
      <w:numFmt w:val="bullet"/>
      <w:lvlText w:val=""/>
      <w:lvlJc w:val="left"/>
      <w:pPr>
        <w:ind w:left="1440" w:hanging="360"/>
      </w:pPr>
      <w:rPr>
        <w:rFonts w:ascii="Symbol" w:hAnsi="Symbol" w:hint="default"/>
      </w:rPr>
    </w:lvl>
    <w:lvl w:ilvl="1" w:tplc="181A0003" w:tentative="1">
      <w:start w:val="1"/>
      <w:numFmt w:val="bullet"/>
      <w:lvlText w:val="o"/>
      <w:lvlJc w:val="left"/>
      <w:pPr>
        <w:ind w:left="2160" w:hanging="360"/>
      </w:pPr>
      <w:rPr>
        <w:rFonts w:ascii="Courier New" w:hAnsi="Courier New" w:cs="Courier New" w:hint="default"/>
      </w:rPr>
    </w:lvl>
    <w:lvl w:ilvl="2" w:tplc="181A0005" w:tentative="1">
      <w:start w:val="1"/>
      <w:numFmt w:val="bullet"/>
      <w:lvlText w:val=""/>
      <w:lvlJc w:val="left"/>
      <w:pPr>
        <w:ind w:left="2880" w:hanging="360"/>
      </w:pPr>
      <w:rPr>
        <w:rFonts w:ascii="Wingdings" w:hAnsi="Wingdings" w:hint="default"/>
      </w:rPr>
    </w:lvl>
    <w:lvl w:ilvl="3" w:tplc="181A0001" w:tentative="1">
      <w:start w:val="1"/>
      <w:numFmt w:val="bullet"/>
      <w:lvlText w:val=""/>
      <w:lvlJc w:val="left"/>
      <w:pPr>
        <w:ind w:left="3600" w:hanging="360"/>
      </w:pPr>
      <w:rPr>
        <w:rFonts w:ascii="Symbol" w:hAnsi="Symbol" w:hint="default"/>
      </w:rPr>
    </w:lvl>
    <w:lvl w:ilvl="4" w:tplc="181A0003" w:tentative="1">
      <w:start w:val="1"/>
      <w:numFmt w:val="bullet"/>
      <w:lvlText w:val="o"/>
      <w:lvlJc w:val="left"/>
      <w:pPr>
        <w:ind w:left="4320" w:hanging="360"/>
      </w:pPr>
      <w:rPr>
        <w:rFonts w:ascii="Courier New" w:hAnsi="Courier New" w:cs="Courier New" w:hint="default"/>
      </w:rPr>
    </w:lvl>
    <w:lvl w:ilvl="5" w:tplc="181A0005" w:tentative="1">
      <w:start w:val="1"/>
      <w:numFmt w:val="bullet"/>
      <w:lvlText w:val=""/>
      <w:lvlJc w:val="left"/>
      <w:pPr>
        <w:ind w:left="5040" w:hanging="360"/>
      </w:pPr>
      <w:rPr>
        <w:rFonts w:ascii="Wingdings" w:hAnsi="Wingdings" w:hint="default"/>
      </w:rPr>
    </w:lvl>
    <w:lvl w:ilvl="6" w:tplc="181A0001" w:tentative="1">
      <w:start w:val="1"/>
      <w:numFmt w:val="bullet"/>
      <w:lvlText w:val=""/>
      <w:lvlJc w:val="left"/>
      <w:pPr>
        <w:ind w:left="5760" w:hanging="360"/>
      </w:pPr>
      <w:rPr>
        <w:rFonts w:ascii="Symbol" w:hAnsi="Symbol" w:hint="default"/>
      </w:rPr>
    </w:lvl>
    <w:lvl w:ilvl="7" w:tplc="181A0003" w:tentative="1">
      <w:start w:val="1"/>
      <w:numFmt w:val="bullet"/>
      <w:lvlText w:val="o"/>
      <w:lvlJc w:val="left"/>
      <w:pPr>
        <w:ind w:left="6480" w:hanging="360"/>
      </w:pPr>
      <w:rPr>
        <w:rFonts w:ascii="Courier New" w:hAnsi="Courier New" w:cs="Courier New" w:hint="default"/>
      </w:rPr>
    </w:lvl>
    <w:lvl w:ilvl="8" w:tplc="181A0005" w:tentative="1">
      <w:start w:val="1"/>
      <w:numFmt w:val="bullet"/>
      <w:lvlText w:val=""/>
      <w:lvlJc w:val="left"/>
      <w:pPr>
        <w:ind w:left="7200" w:hanging="360"/>
      </w:pPr>
      <w:rPr>
        <w:rFonts w:ascii="Wingdings" w:hAnsi="Wingdings" w:hint="default"/>
      </w:rPr>
    </w:lvl>
  </w:abstractNum>
  <w:abstractNum w:abstractNumId="6">
    <w:nsid w:val="7E9322C0"/>
    <w:multiLevelType w:val="hybridMultilevel"/>
    <w:tmpl w:val="67E08D1E"/>
    <w:lvl w:ilvl="0" w:tplc="2DE03AC8">
      <w:numFmt w:val="bullet"/>
      <w:lvlText w:val="-"/>
      <w:lvlJc w:val="left"/>
      <w:pPr>
        <w:ind w:left="720" w:hanging="360"/>
      </w:pPr>
      <w:rPr>
        <w:rFonts w:ascii="Cambria" w:eastAsiaTheme="minorHAnsi" w:hAnsi="Cambria" w:cs="Verda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7008"/>
    <w:rsid w:val="00007181"/>
    <w:rsid w:val="00055913"/>
    <w:rsid w:val="00062BE4"/>
    <w:rsid w:val="00065716"/>
    <w:rsid w:val="00094BCB"/>
    <w:rsid w:val="0009621D"/>
    <w:rsid w:val="000A37D6"/>
    <w:rsid w:val="000B100F"/>
    <w:rsid w:val="00116178"/>
    <w:rsid w:val="00124CCE"/>
    <w:rsid w:val="0012580B"/>
    <w:rsid w:val="00187DF4"/>
    <w:rsid w:val="001C1E53"/>
    <w:rsid w:val="001D5F76"/>
    <w:rsid w:val="001E713D"/>
    <w:rsid w:val="00214B53"/>
    <w:rsid w:val="00216CDF"/>
    <w:rsid w:val="00224F37"/>
    <w:rsid w:val="00257CA8"/>
    <w:rsid w:val="0026197C"/>
    <w:rsid w:val="00273C14"/>
    <w:rsid w:val="00291A77"/>
    <w:rsid w:val="002A76D5"/>
    <w:rsid w:val="002B760E"/>
    <w:rsid w:val="002D06D9"/>
    <w:rsid w:val="002E55CF"/>
    <w:rsid w:val="00343FE3"/>
    <w:rsid w:val="0034437A"/>
    <w:rsid w:val="00344D96"/>
    <w:rsid w:val="0034736A"/>
    <w:rsid w:val="003563AA"/>
    <w:rsid w:val="00364671"/>
    <w:rsid w:val="00366F5F"/>
    <w:rsid w:val="003845AE"/>
    <w:rsid w:val="003E059D"/>
    <w:rsid w:val="003F7325"/>
    <w:rsid w:val="0048528C"/>
    <w:rsid w:val="00487027"/>
    <w:rsid w:val="004A7008"/>
    <w:rsid w:val="004B172C"/>
    <w:rsid w:val="004B236B"/>
    <w:rsid w:val="004B7277"/>
    <w:rsid w:val="004C1A3A"/>
    <w:rsid w:val="004C6B9E"/>
    <w:rsid w:val="005211BF"/>
    <w:rsid w:val="005219D5"/>
    <w:rsid w:val="00546653"/>
    <w:rsid w:val="00546CA1"/>
    <w:rsid w:val="00552F8C"/>
    <w:rsid w:val="005547E1"/>
    <w:rsid w:val="0058792C"/>
    <w:rsid w:val="005A0013"/>
    <w:rsid w:val="005A5A67"/>
    <w:rsid w:val="006070FC"/>
    <w:rsid w:val="006367D5"/>
    <w:rsid w:val="00640E6B"/>
    <w:rsid w:val="0064398E"/>
    <w:rsid w:val="00645005"/>
    <w:rsid w:val="00682D26"/>
    <w:rsid w:val="00695403"/>
    <w:rsid w:val="006C7526"/>
    <w:rsid w:val="006D4CC2"/>
    <w:rsid w:val="006E7E4D"/>
    <w:rsid w:val="006F0AD9"/>
    <w:rsid w:val="007050CB"/>
    <w:rsid w:val="00712A6B"/>
    <w:rsid w:val="00734D82"/>
    <w:rsid w:val="00777161"/>
    <w:rsid w:val="007849C1"/>
    <w:rsid w:val="00792F46"/>
    <w:rsid w:val="0079706D"/>
    <w:rsid w:val="007D1734"/>
    <w:rsid w:val="007E20D7"/>
    <w:rsid w:val="007E6E52"/>
    <w:rsid w:val="007F0B3A"/>
    <w:rsid w:val="00836FB8"/>
    <w:rsid w:val="008D7335"/>
    <w:rsid w:val="00900AB9"/>
    <w:rsid w:val="00902B16"/>
    <w:rsid w:val="00954354"/>
    <w:rsid w:val="00954910"/>
    <w:rsid w:val="009557D0"/>
    <w:rsid w:val="00955B0E"/>
    <w:rsid w:val="0096753E"/>
    <w:rsid w:val="00970606"/>
    <w:rsid w:val="009951FC"/>
    <w:rsid w:val="009D5CDE"/>
    <w:rsid w:val="009E4098"/>
    <w:rsid w:val="009E7A4A"/>
    <w:rsid w:val="009F4FAF"/>
    <w:rsid w:val="009F5A4C"/>
    <w:rsid w:val="009F6DC7"/>
    <w:rsid w:val="00A068B0"/>
    <w:rsid w:val="00A12093"/>
    <w:rsid w:val="00A15451"/>
    <w:rsid w:val="00A30066"/>
    <w:rsid w:val="00A36982"/>
    <w:rsid w:val="00A70B13"/>
    <w:rsid w:val="00A937A2"/>
    <w:rsid w:val="00AA3427"/>
    <w:rsid w:val="00AC71F7"/>
    <w:rsid w:val="00AE39F1"/>
    <w:rsid w:val="00B4701F"/>
    <w:rsid w:val="00B6445C"/>
    <w:rsid w:val="00B6767D"/>
    <w:rsid w:val="00B7092F"/>
    <w:rsid w:val="00B94285"/>
    <w:rsid w:val="00BB2F3D"/>
    <w:rsid w:val="00BB3FCA"/>
    <w:rsid w:val="00BD63A5"/>
    <w:rsid w:val="00BE1073"/>
    <w:rsid w:val="00BE1385"/>
    <w:rsid w:val="00C23DC6"/>
    <w:rsid w:val="00C27266"/>
    <w:rsid w:val="00C46410"/>
    <w:rsid w:val="00C515D1"/>
    <w:rsid w:val="00C60B37"/>
    <w:rsid w:val="00C64F3A"/>
    <w:rsid w:val="00C82577"/>
    <w:rsid w:val="00CB1A5B"/>
    <w:rsid w:val="00CD6BFF"/>
    <w:rsid w:val="00CE6153"/>
    <w:rsid w:val="00CF2CEC"/>
    <w:rsid w:val="00CF4A0E"/>
    <w:rsid w:val="00CF635C"/>
    <w:rsid w:val="00D149C2"/>
    <w:rsid w:val="00D16DB7"/>
    <w:rsid w:val="00D3038C"/>
    <w:rsid w:val="00D43B4C"/>
    <w:rsid w:val="00D85791"/>
    <w:rsid w:val="00D96C63"/>
    <w:rsid w:val="00DD730C"/>
    <w:rsid w:val="00DE3D54"/>
    <w:rsid w:val="00E32E1B"/>
    <w:rsid w:val="00E54852"/>
    <w:rsid w:val="00E577F2"/>
    <w:rsid w:val="00E65985"/>
    <w:rsid w:val="00E75154"/>
    <w:rsid w:val="00E761FB"/>
    <w:rsid w:val="00EB0A84"/>
    <w:rsid w:val="00EB28D0"/>
    <w:rsid w:val="00EC7177"/>
    <w:rsid w:val="00F25E0B"/>
    <w:rsid w:val="00F30E00"/>
    <w:rsid w:val="00F30E70"/>
    <w:rsid w:val="00F84960"/>
    <w:rsid w:val="00F90973"/>
    <w:rsid w:val="00F91745"/>
    <w:rsid w:val="00F96641"/>
    <w:rsid w:val="00FF18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FA28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BE1073"/>
    <w:pPr>
      <w:keepNext/>
      <w:keepLines/>
      <w:spacing w:before="200" w:after="0" w:line="240" w:lineRule="auto"/>
      <w:outlineLvl w:val="1"/>
    </w:pPr>
    <w:rPr>
      <w:rFonts w:asciiTheme="majorHAnsi" w:eastAsiaTheme="majorEastAsia" w:hAnsiTheme="majorHAnsi" w:cstheme="majorBidi"/>
      <w:b/>
      <w:bCs/>
      <w:color w:val="4472C4" w:themeColor="accent1"/>
      <w:sz w:val="26"/>
      <w:szCs w:val="26"/>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A7008"/>
    <w:rPr>
      <w:sz w:val="16"/>
      <w:szCs w:val="16"/>
    </w:rPr>
  </w:style>
  <w:style w:type="paragraph" w:styleId="CommentText">
    <w:name w:val="annotation text"/>
    <w:basedOn w:val="Normal"/>
    <w:link w:val="CommentTextChar"/>
    <w:uiPriority w:val="99"/>
    <w:semiHidden/>
    <w:unhideWhenUsed/>
    <w:rsid w:val="004A7008"/>
    <w:pPr>
      <w:spacing w:line="240" w:lineRule="auto"/>
    </w:pPr>
    <w:rPr>
      <w:sz w:val="20"/>
      <w:szCs w:val="20"/>
    </w:rPr>
  </w:style>
  <w:style w:type="character" w:customStyle="1" w:styleId="CommentTextChar">
    <w:name w:val="Comment Text Char"/>
    <w:basedOn w:val="DefaultParagraphFont"/>
    <w:link w:val="CommentText"/>
    <w:uiPriority w:val="99"/>
    <w:semiHidden/>
    <w:rsid w:val="004A7008"/>
    <w:rPr>
      <w:sz w:val="20"/>
      <w:szCs w:val="20"/>
    </w:rPr>
  </w:style>
  <w:style w:type="paragraph" w:styleId="CommentSubject">
    <w:name w:val="annotation subject"/>
    <w:basedOn w:val="CommentText"/>
    <w:next w:val="CommentText"/>
    <w:link w:val="CommentSubjectChar"/>
    <w:uiPriority w:val="99"/>
    <w:semiHidden/>
    <w:unhideWhenUsed/>
    <w:rsid w:val="004A7008"/>
    <w:rPr>
      <w:b/>
      <w:bCs/>
    </w:rPr>
  </w:style>
  <w:style w:type="character" w:customStyle="1" w:styleId="CommentSubjectChar">
    <w:name w:val="Comment Subject Char"/>
    <w:basedOn w:val="CommentTextChar"/>
    <w:link w:val="CommentSubject"/>
    <w:uiPriority w:val="99"/>
    <w:semiHidden/>
    <w:rsid w:val="004A7008"/>
    <w:rPr>
      <w:b/>
      <w:bCs/>
      <w:sz w:val="20"/>
      <w:szCs w:val="20"/>
    </w:rPr>
  </w:style>
  <w:style w:type="paragraph" w:styleId="BalloonText">
    <w:name w:val="Balloon Text"/>
    <w:basedOn w:val="Normal"/>
    <w:link w:val="BalloonTextChar"/>
    <w:uiPriority w:val="99"/>
    <w:semiHidden/>
    <w:unhideWhenUsed/>
    <w:rsid w:val="004A70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008"/>
    <w:rPr>
      <w:rFonts w:ascii="Segoe UI" w:hAnsi="Segoe UI" w:cs="Segoe UI"/>
      <w:sz w:val="18"/>
      <w:szCs w:val="18"/>
    </w:rPr>
  </w:style>
  <w:style w:type="character" w:styleId="Hyperlink">
    <w:name w:val="Hyperlink"/>
    <w:basedOn w:val="DefaultParagraphFont"/>
    <w:uiPriority w:val="99"/>
    <w:unhideWhenUsed/>
    <w:rsid w:val="004A7008"/>
    <w:rPr>
      <w:color w:val="0563C1" w:themeColor="hyperlink"/>
      <w:u w:val="single"/>
    </w:rPr>
  </w:style>
  <w:style w:type="character" w:customStyle="1" w:styleId="UnresolvedMention1">
    <w:name w:val="Unresolved Mention1"/>
    <w:basedOn w:val="DefaultParagraphFont"/>
    <w:uiPriority w:val="99"/>
    <w:semiHidden/>
    <w:unhideWhenUsed/>
    <w:rsid w:val="004A7008"/>
    <w:rPr>
      <w:color w:val="808080"/>
      <w:shd w:val="clear" w:color="auto" w:fill="E6E6E6"/>
    </w:rPr>
  </w:style>
  <w:style w:type="table" w:styleId="TableGrid">
    <w:name w:val="Table Grid"/>
    <w:basedOn w:val="TableNormal"/>
    <w:uiPriority w:val="39"/>
    <w:rsid w:val="004A7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4B236B"/>
    <w:rPr>
      <w:rFonts w:ascii="Bold" w:hAnsi="Bold" w:hint="default"/>
      <w:b/>
      <w:bCs/>
      <w:i w:val="0"/>
      <w:iCs w:val="0"/>
      <w:color w:val="000000"/>
      <w:sz w:val="20"/>
      <w:szCs w:val="20"/>
    </w:rPr>
  </w:style>
  <w:style w:type="paragraph" w:styleId="FootnoteText">
    <w:name w:val="footnote text"/>
    <w:basedOn w:val="Normal"/>
    <w:link w:val="FootnoteTextChar"/>
    <w:uiPriority w:val="99"/>
    <w:semiHidden/>
    <w:unhideWhenUsed/>
    <w:rsid w:val="00CB1A5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1A5B"/>
    <w:rPr>
      <w:sz w:val="20"/>
      <w:szCs w:val="20"/>
    </w:rPr>
  </w:style>
  <w:style w:type="character" w:styleId="FootnoteReference">
    <w:name w:val="footnote reference"/>
    <w:basedOn w:val="DefaultParagraphFont"/>
    <w:uiPriority w:val="99"/>
    <w:semiHidden/>
    <w:unhideWhenUsed/>
    <w:rsid w:val="00CB1A5B"/>
    <w:rPr>
      <w:vertAlign w:val="superscript"/>
    </w:rPr>
  </w:style>
  <w:style w:type="paragraph" w:styleId="ListParagraph">
    <w:name w:val="List Paragraph"/>
    <w:basedOn w:val="Normal"/>
    <w:uiPriority w:val="34"/>
    <w:qFormat/>
    <w:rsid w:val="00224F37"/>
    <w:pPr>
      <w:ind w:left="720"/>
      <w:contextualSpacing/>
    </w:pPr>
  </w:style>
  <w:style w:type="paragraph" w:styleId="Header">
    <w:name w:val="header"/>
    <w:basedOn w:val="Normal"/>
    <w:link w:val="HeaderChar"/>
    <w:uiPriority w:val="99"/>
    <w:unhideWhenUsed/>
    <w:rsid w:val="00214B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4B53"/>
  </w:style>
  <w:style w:type="paragraph" w:styleId="Footer">
    <w:name w:val="footer"/>
    <w:basedOn w:val="Normal"/>
    <w:link w:val="FooterChar"/>
    <w:uiPriority w:val="99"/>
    <w:unhideWhenUsed/>
    <w:rsid w:val="00214B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4B53"/>
  </w:style>
  <w:style w:type="character" w:customStyle="1" w:styleId="UnresolvedMention2">
    <w:name w:val="Unresolved Mention2"/>
    <w:basedOn w:val="DefaultParagraphFont"/>
    <w:uiPriority w:val="99"/>
    <w:semiHidden/>
    <w:unhideWhenUsed/>
    <w:rsid w:val="00187DF4"/>
    <w:rPr>
      <w:color w:val="605E5C"/>
      <w:shd w:val="clear" w:color="auto" w:fill="E1DFDD"/>
    </w:rPr>
  </w:style>
  <w:style w:type="character" w:styleId="FollowedHyperlink">
    <w:name w:val="FollowedHyperlink"/>
    <w:basedOn w:val="DefaultParagraphFont"/>
    <w:uiPriority w:val="99"/>
    <w:semiHidden/>
    <w:unhideWhenUsed/>
    <w:rsid w:val="003845AE"/>
    <w:rPr>
      <w:color w:val="954F72" w:themeColor="followedHyperlink"/>
      <w:u w:val="single"/>
    </w:rPr>
  </w:style>
  <w:style w:type="paragraph" w:customStyle="1" w:styleId="Default">
    <w:name w:val="Default"/>
    <w:rsid w:val="00216CD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BE1073"/>
    <w:rPr>
      <w:rFonts w:asciiTheme="majorHAnsi" w:eastAsiaTheme="majorEastAsia" w:hAnsiTheme="majorHAnsi" w:cstheme="majorBidi"/>
      <w:b/>
      <w:bCs/>
      <w:color w:val="4472C4" w:themeColor="accent1"/>
      <w:sz w:val="26"/>
      <w:szCs w:val="26"/>
      <w:lang w:eastAsia="hr-HR"/>
    </w:rPr>
  </w:style>
  <w:style w:type="paragraph" w:styleId="NormalWeb">
    <w:name w:val="Normal (Web)"/>
    <w:basedOn w:val="Normal"/>
    <w:uiPriority w:val="99"/>
    <w:unhideWhenUsed/>
    <w:rsid w:val="0069540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BE1073"/>
    <w:pPr>
      <w:keepNext/>
      <w:keepLines/>
      <w:spacing w:before="200" w:after="0" w:line="240" w:lineRule="auto"/>
      <w:outlineLvl w:val="1"/>
    </w:pPr>
    <w:rPr>
      <w:rFonts w:asciiTheme="majorHAnsi" w:eastAsiaTheme="majorEastAsia" w:hAnsiTheme="majorHAnsi" w:cstheme="majorBidi"/>
      <w:b/>
      <w:bCs/>
      <w:color w:val="4472C4" w:themeColor="accent1"/>
      <w:sz w:val="26"/>
      <w:szCs w:val="26"/>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A7008"/>
    <w:rPr>
      <w:sz w:val="16"/>
      <w:szCs w:val="16"/>
    </w:rPr>
  </w:style>
  <w:style w:type="paragraph" w:styleId="CommentText">
    <w:name w:val="annotation text"/>
    <w:basedOn w:val="Normal"/>
    <w:link w:val="CommentTextChar"/>
    <w:uiPriority w:val="99"/>
    <w:semiHidden/>
    <w:unhideWhenUsed/>
    <w:rsid w:val="004A7008"/>
    <w:pPr>
      <w:spacing w:line="240" w:lineRule="auto"/>
    </w:pPr>
    <w:rPr>
      <w:sz w:val="20"/>
      <w:szCs w:val="20"/>
    </w:rPr>
  </w:style>
  <w:style w:type="character" w:customStyle="1" w:styleId="CommentTextChar">
    <w:name w:val="Comment Text Char"/>
    <w:basedOn w:val="DefaultParagraphFont"/>
    <w:link w:val="CommentText"/>
    <w:uiPriority w:val="99"/>
    <w:semiHidden/>
    <w:rsid w:val="004A7008"/>
    <w:rPr>
      <w:sz w:val="20"/>
      <w:szCs w:val="20"/>
    </w:rPr>
  </w:style>
  <w:style w:type="paragraph" w:styleId="CommentSubject">
    <w:name w:val="annotation subject"/>
    <w:basedOn w:val="CommentText"/>
    <w:next w:val="CommentText"/>
    <w:link w:val="CommentSubjectChar"/>
    <w:uiPriority w:val="99"/>
    <w:semiHidden/>
    <w:unhideWhenUsed/>
    <w:rsid w:val="004A7008"/>
    <w:rPr>
      <w:b/>
      <w:bCs/>
    </w:rPr>
  </w:style>
  <w:style w:type="character" w:customStyle="1" w:styleId="CommentSubjectChar">
    <w:name w:val="Comment Subject Char"/>
    <w:basedOn w:val="CommentTextChar"/>
    <w:link w:val="CommentSubject"/>
    <w:uiPriority w:val="99"/>
    <w:semiHidden/>
    <w:rsid w:val="004A7008"/>
    <w:rPr>
      <w:b/>
      <w:bCs/>
      <w:sz w:val="20"/>
      <w:szCs w:val="20"/>
    </w:rPr>
  </w:style>
  <w:style w:type="paragraph" w:styleId="BalloonText">
    <w:name w:val="Balloon Text"/>
    <w:basedOn w:val="Normal"/>
    <w:link w:val="BalloonTextChar"/>
    <w:uiPriority w:val="99"/>
    <w:semiHidden/>
    <w:unhideWhenUsed/>
    <w:rsid w:val="004A70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008"/>
    <w:rPr>
      <w:rFonts w:ascii="Segoe UI" w:hAnsi="Segoe UI" w:cs="Segoe UI"/>
      <w:sz w:val="18"/>
      <w:szCs w:val="18"/>
    </w:rPr>
  </w:style>
  <w:style w:type="character" w:styleId="Hyperlink">
    <w:name w:val="Hyperlink"/>
    <w:basedOn w:val="DefaultParagraphFont"/>
    <w:uiPriority w:val="99"/>
    <w:unhideWhenUsed/>
    <w:rsid w:val="004A7008"/>
    <w:rPr>
      <w:color w:val="0563C1" w:themeColor="hyperlink"/>
      <w:u w:val="single"/>
    </w:rPr>
  </w:style>
  <w:style w:type="character" w:customStyle="1" w:styleId="UnresolvedMention1">
    <w:name w:val="Unresolved Mention1"/>
    <w:basedOn w:val="DefaultParagraphFont"/>
    <w:uiPriority w:val="99"/>
    <w:semiHidden/>
    <w:unhideWhenUsed/>
    <w:rsid w:val="004A7008"/>
    <w:rPr>
      <w:color w:val="808080"/>
      <w:shd w:val="clear" w:color="auto" w:fill="E6E6E6"/>
    </w:rPr>
  </w:style>
  <w:style w:type="table" w:styleId="TableGrid">
    <w:name w:val="Table Grid"/>
    <w:basedOn w:val="TableNormal"/>
    <w:uiPriority w:val="39"/>
    <w:rsid w:val="004A7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4B236B"/>
    <w:rPr>
      <w:rFonts w:ascii="Bold" w:hAnsi="Bold" w:hint="default"/>
      <w:b/>
      <w:bCs/>
      <w:i w:val="0"/>
      <w:iCs w:val="0"/>
      <w:color w:val="000000"/>
      <w:sz w:val="20"/>
      <w:szCs w:val="20"/>
    </w:rPr>
  </w:style>
  <w:style w:type="paragraph" w:styleId="FootnoteText">
    <w:name w:val="footnote text"/>
    <w:basedOn w:val="Normal"/>
    <w:link w:val="FootnoteTextChar"/>
    <w:uiPriority w:val="99"/>
    <w:semiHidden/>
    <w:unhideWhenUsed/>
    <w:rsid w:val="00CB1A5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1A5B"/>
    <w:rPr>
      <w:sz w:val="20"/>
      <w:szCs w:val="20"/>
    </w:rPr>
  </w:style>
  <w:style w:type="character" w:styleId="FootnoteReference">
    <w:name w:val="footnote reference"/>
    <w:basedOn w:val="DefaultParagraphFont"/>
    <w:uiPriority w:val="99"/>
    <w:semiHidden/>
    <w:unhideWhenUsed/>
    <w:rsid w:val="00CB1A5B"/>
    <w:rPr>
      <w:vertAlign w:val="superscript"/>
    </w:rPr>
  </w:style>
  <w:style w:type="paragraph" w:styleId="ListParagraph">
    <w:name w:val="List Paragraph"/>
    <w:basedOn w:val="Normal"/>
    <w:uiPriority w:val="34"/>
    <w:qFormat/>
    <w:rsid w:val="00224F37"/>
    <w:pPr>
      <w:ind w:left="720"/>
      <w:contextualSpacing/>
    </w:pPr>
  </w:style>
  <w:style w:type="paragraph" w:styleId="Header">
    <w:name w:val="header"/>
    <w:basedOn w:val="Normal"/>
    <w:link w:val="HeaderChar"/>
    <w:uiPriority w:val="99"/>
    <w:unhideWhenUsed/>
    <w:rsid w:val="00214B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4B53"/>
  </w:style>
  <w:style w:type="paragraph" w:styleId="Footer">
    <w:name w:val="footer"/>
    <w:basedOn w:val="Normal"/>
    <w:link w:val="FooterChar"/>
    <w:uiPriority w:val="99"/>
    <w:unhideWhenUsed/>
    <w:rsid w:val="00214B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4B53"/>
  </w:style>
  <w:style w:type="character" w:customStyle="1" w:styleId="UnresolvedMention2">
    <w:name w:val="Unresolved Mention2"/>
    <w:basedOn w:val="DefaultParagraphFont"/>
    <w:uiPriority w:val="99"/>
    <w:semiHidden/>
    <w:unhideWhenUsed/>
    <w:rsid w:val="00187DF4"/>
    <w:rPr>
      <w:color w:val="605E5C"/>
      <w:shd w:val="clear" w:color="auto" w:fill="E1DFDD"/>
    </w:rPr>
  </w:style>
  <w:style w:type="character" w:styleId="FollowedHyperlink">
    <w:name w:val="FollowedHyperlink"/>
    <w:basedOn w:val="DefaultParagraphFont"/>
    <w:uiPriority w:val="99"/>
    <w:semiHidden/>
    <w:unhideWhenUsed/>
    <w:rsid w:val="003845AE"/>
    <w:rPr>
      <w:color w:val="954F72" w:themeColor="followedHyperlink"/>
      <w:u w:val="single"/>
    </w:rPr>
  </w:style>
  <w:style w:type="paragraph" w:customStyle="1" w:styleId="Default">
    <w:name w:val="Default"/>
    <w:rsid w:val="00216CD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BE1073"/>
    <w:rPr>
      <w:rFonts w:asciiTheme="majorHAnsi" w:eastAsiaTheme="majorEastAsia" w:hAnsiTheme="majorHAnsi" w:cstheme="majorBidi"/>
      <w:b/>
      <w:bCs/>
      <w:color w:val="4472C4" w:themeColor="accent1"/>
      <w:sz w:val="26"/>
      <w:szCs w:val="26"/>
      <w:lang w:eastAsia="hr-HR"/>
    </w:rPr>
  </w:style>
  <w:style w:type="paragraph" w:styleId="NormalWeb">
    <w:name w:val="Normal (Web)"/>
    <w:basedOn w:val="Normal"/>
    <w:uiPriority w:val="99"/>
    <w:unhideWhenUsed/>
    <w:rsid w:val="0069540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office@cerd.b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iodrag.m@cerd.ba"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cerd.ba" TargetMode="Externa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yperlink" Target="mailto:cedaw@ohchr.org"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mvteo.gov.ba/data/Home/Dokumenti/Poljoprivreda/Strategic_Plan_for_Rural_Development_of_BiH___Eng.pdf" TargetMode="External"/><Relationship Id="rId7" Type="http://schemas.openxmlformats.org/officeDocument/2006/relationships/hyperlink" Target="https://arsbih.gov.ba/wp-content/uploads/2018/11/GAP-BiH-2018-2022_B.pdf" TargetMode="External"/><Relationship Id="rId2" Type="http://schemas.openxmlformats.org/officeDocument/2006/relationships/hyperlink" Target="https://www.undp.org/content/dam/bosnia_and_herzegovina/docs/Research&amp;Publications/Democratic%20Governance/Rural%20development%20in%20Bosnia%20and%20Herzegovina/BiH_NHDR_Brochure_08072013.pdf" TargetMode="External"/><Relationship Id="rId1" Type="http://schemas.openxmlformats.org/officeDocument/2006/relationships/hyperlink" Target="https://arsbih.gov.ba/wp-content/uploads/2015/02/Izvjestaj_o_ravnopravnosti_spolova_2012-2014.pdf" TargetMode="External"/><Relationship Id="rId6" Type="http://schemas.openxmlformats.org/officeDocument/2006/relationships/hyperlink" Target="http://www.mvteo.gov.ba/attachments/bs_Home/Ostale_stranice/Poljoprivreda,_prehrana,_%C5%A1umarstvo_i_ruralni_razvoj/Izvje%C5%A1taji_za_poljoprivredu,_prehranu,_%C5%A1umarstvo,_ruralni_razvoj_/12022019_Godisnje_izvjesce_iz_oblasti_p_i_i_r_r_BiH_za_2017_godinu_bosanski_jezik.pdf" TargetMode="External"/><Relationship Id="rId5" Type="http://schemas.openxmlformats.org/officeDocument/2006/relationships/hyperlink" Target="http://lawinstitute.ba/wp-content/uploads/2017/05/Jacanje-uloge-zena-u-javnom-i-politickom-zivotu-BiH.pdf" TargetMode="External"/><Relationship Id="rId4" Type="http://schemas.openxmlformats.org/officeDocument/2006/relationships/hyperlink" Target="https://www.vesta.ba/files/publikacija.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0D4C51-8924-4DA3-9F2F-EF0ABD206297}">
  <ds:schemaRefs>
    <ds:schemaRef ds:uri="http://schemas.openxmlformats.org/officeDocument/2006/bibliography"/>
  </ds:schemaRefs>
</ds:datastoreItem>
</file>

<file path=customXml/itemProps2.xml><?xml version="1.0" encoding="utf-8"?>
<ds:datastoreItem xmlns:ds="http://schemas.openxmlformats.org/officeDocument/2006/customXml" ds:itemID="{554DD359-BE8D-44A4-96B9-5EE546180616}"/>
</file>

<file path=customXml/itemProps3.xml><?xml version="1.0" encoding="utf-8"?>
<ds:datastoreItem xmlns:ds="http://schemas.openxmlformats.org/officeDocument/2006/customXml" ds:itemID="{61F0458C-C7ED-471E-8AF6-CECE654AF426}"/>
</file>

<file path=customXml/itemProps4.xml><?xml version="1.0" encoding="utf-8"?>
<ds:datastoreItem xmlns:ds="http://schemas.openxmlformats.org/officeDocument/2006/customXml" ds:itemID="{F4CDFAE9-D3AC-4A5F-809D-CE5298B5753F}"/>
</file>

<file path=docProps/app.xml><?xml version="1.0" encoding="utf-8"?>
<Properties xmlns="http://schemas.openxmlformats.org/officeDocument/2006/extended-properties" xmlns:vt="http://schemas.openxmlformats.org/officeDocument/2006/docPropsVTypes">
  <Template>Normal</Template>
  <TotalTime>0</TotalTime>
  <Pages>7</Pages>
  <Words>3057</Words>
  <Characters>17427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Miki</cp:lastModifiedBy>
  <cp:revision>2</cp:revision>
  <dcterms:created xsi:type="dcterms:W3CDTF">2019-09-30T15:45:00Z</dcterms:created>
  <dcterms:modified xsi:type="dcterms:W3CDTF">2019-09-30T15:45:00Z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