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39671F" w14:textId="77777777" w:rsidR="002E5DA8" w:rsidRDefault="0095632D">
      <w:pPr>
        <w:spacing w:after="0" w:line="36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Quito, Ecuador</w:t>
      </w:r>
    </w:p>
    <w:p w14:paraId="7A396720" w14:textId="77777777" w:rsidR="002E5DA8" w:rsidRDefault="002E5DA8">
      <w:pPr>
        <w:pBdr>
          <w:top w:val="nil"/>
          <w:left w:val="nil"/>
          <w:bottom w:val="nil"/>
          <w:right w:val="nil"/>
          <w:between w:val="nil"/>
        </w:pBdr>
        <w:spacing w:after="0" w:line="360" w:lineRule="auto"/>
        <w:rPr>
          <w:rFonts w:ascii="Times New Roman" w:eastAsia="Times New Roman" w:hAnsi="Times New Roman" w:cs="Times New Roman"/>
          <w:b/>
          <w:sz w:val="24"/>
          <w:szCs w:val="24"/>
        </w:rPr>
      </w:pPr>
    </w:p>
    <w:p w14:paraId="7A396721" w14:textId="77777777" w:rsidR="002E5DA8" w:rsidRDefault="002E5DA8">
      <w:pPr>
        <w:pBdr>
          <w:top w:val="nil"/>
          <w:left w:val="nil"/>
          <w:bottom w:val="nil"/>
          <w:right w:val="nil"/>
          <w:between w:val="nil"/>
        </w:pBdr>
        <w:spacing w:after="0" w:line="360" w:lineRule="auto"/>
        <w:rPr>
          <w:rFonts w:ascii="Times New Roman" w:eastAsia="Times New Roman" w:hAnsi="Times New Roman" w:cs="Times New Roman"/>
          <w:b/>
          <w:sz w:val="24"/>
          <w:szCs w:val="24"/>
        </w:rPr>
      </w:pPr>
    </w:p>
    <w:p w14:paraId="7A396722" w14:textId="77777777" w:rsidR="002E5DA8" w:rsidRDefault="0095632D">
      <w:pPr>
        <w:pBdr>
          <w:top w:val="nil"/>
          <w:left w:val="nil"/>
          <w:bottom w:val="nil"/>
          <w:right w:val="nil"/>
          <w:between w:val="nil"/>
        </w:pBd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Observatorio de Derechos y Justicia (ODJ</w:t>
      </w:r>
      <w:r>
        <w:rPr>
          <w:rFonts w:ascii="Times New Roman" w:eastAsia="Times New Roman" w:hAnsi="Times New Roman" w:cs="Times New Roman"/>
          <w:b/>
          <w:sz w:val="24"/>
          <w:szCs w:val="24"/>
        </w:rPr>
        <w:t>), Planned Parenthood Global, Inc. (PPG) y El Centro de Estudios por la Transparencia y Derechos Humanos UIDE-ECUADOR (CETDE-UIDE)</w:t>
      </w:r>
    </w:p>
    <w:p w14:paraId="7A396723" w14:textId="77777777" w:rsidR="002E5DA8" w:rsidRDefault="002E5DA8">
      <w:pPr>
        <w:pBdr>
          <w:top w:val="nil"/>
          <w:left w:val="nil"/>
          <w:bottom w:val="nil"/>
          <w:right w:val="nil"/>
          <w:between w:val="nil"/>
        </w:pBdr>
        <w:spacing w:after="0" w:line="360" w:lineRule="auto"/>
        <w:rPr>
          <w:rFonts w:ascii="Times New Roman" w:eastAsia="Times New Roman" w:hAnsi="Times New Roman" w:cs="Times New Roman"/>
          <w:b/>
          <w:sz w:val="24"/>
          <w:szCs w:val="24"/>
        </w:rPr>
      </w:pPr>
    </w:p>
    <w:p w14:paraId="7A396724" w14:textId="77777777" w:rsidR="002E5DA8" w:rsidRDefault="0095632D">
      <w:pPr>
        <w:pBdr>
          <w:top w:val="nil"/>
          <w:left w:val="nil"/>
          <w:bottom w:val="nil"/>
          <w:right w:val="nil"/>
          <w:between w:val="nil"/>
        </w:pBd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7A3968D4" wp14:editId="7A3968D5">
            <wp:extent cx="3176588" cy="402164"/>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3176588" cy="402164"/>
                    </a:xfrm>
                    <a:prstGeom prst="rect">
                      <a:avLst/>
                    </a:prstGeom>
                    <a:ln/>
                  </pic:spPr>
                </pic:pic>
              </a:graphicData>
            </a:graphic>
          </wp:inline>
        </w:drawing>
      </w:r>
      <w:r>
        <w:rPr>
          <w:rFonts w:ascii="Times New Roman" w:eastAsia="Times New Roman" w:hAnsi="Times New Roman" w:cs="Times New Roman"/>
          <w:b/>
          <w:sz w:val="24"/>
          <w:szCs w:val="24"/>
        </w:rPr>
        <w:t xml:space="preserve">  </w:t>
      </w:r>
      <w:r>
        <w:rPr>
          <w:rFonts w:ascii="Times New Roman" w:eastAsia="Times New Roman" w:hAnsi="Times New Roman" w:cs="Times New Roman"/>
          <w:b/>
          <w:noProof/>
          <w:sz w:val="24"/>
          <w:szCs w:val="24"/>
        </w:rPr>
        <w:drawing>
          <wp:inline distT="114300" distB="114300" distL="114300" distR="114300" wp14:anchorId="7A3968D6" wp14:editId="7A3968D7">
            <wp:extent cx="1519707" cy="525134"/>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519707" cy="525134"/>
                    </a:xfrm>
                    <a:prstGeom prst="rect">
                      <a:avLst/>
                    </a:prstGeom>
                    <a:ln/>
                  </pic:spPr>
                </pic:pic>
              </a:graphicData>
            </a:graphic>
          </wp:inline>
        </w:drawing>
      </w:r>
    </w:p>
    <w:p w14:paraId="7A396725" w14:textId="77777777" w:rsidR="002E5DA8" w:rsidRDefault="0095632D">
      <w:pPr>
        <w:pBdr>
          <w:top w:val="nil"/>
          <w:left w:val="nil"/>
          <w:bottom w:val="nil"/>
          <w:right w:val="nil"/>
          <w:between w:val="nil"/>
        </w:pBd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7A3968D8" wp14:editId="7A3968D9">
            <wp:extent cx="1901500" cy="817241"/>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901500" cy="817241"/>
                    </a:xfrm>
                    <a:prstGeom prst="rect">
                      <a:avLst/>
                    </a:prstGeom>
                    <a:ln/>
                  </pic:spPr>
                </pic:pic>
              </a:graphicData>
            </a:graphic>
          </wp:inline>
        </w:drawing>
      </w:r>
    </w:p>
    <w:p w14:paraId="7A396726" w14:textId="77777777" w:rsidR="002E5DA8" w:rsidRDefault="002E5DA8">
      <w:pPr>
        <w:pBdr>
          <w:top w:val="nil"/>
          <w:left w:val="nil"/>
          <w:bottom w:val="nil"/>
          <w:right w:val="nil"/>
          <w:between w:val="nil"/>
        </w:pBdr>
        <w:spacing w:after="0" w:line="360" w:lineRule="auto"/>
        <w:rPr>
          <w:rFonts w:ascii="Times New Roman" w:eastAsia="Times New Roman" w:hAnsi="Times New Roman" w:cs="Times New Roman"/>
          <w:b/>
          <w:sz w:val="24"/>
          <w:szCs w:val="24"/>
        </w:rPr>
      </w:pPr>
    </w:p>
    <w:p w14:paraId="7A396727" w14:textId="77777777" w:rsidR="002E5DA8" w:rsidRDefault="002E5DA8">
      <w:pPr>
        <w:pBdr>
          <w:top w:val="nil"/>
          <w:left w:val="nil"/>
          <w:bottom w:val="nil"/>
          <w:right w:val="nil"/>
          <w:between w:val="nil"/>
        </w:pBdr>
        <w:spacing w:after="0" w:line="360" w:lineRule="auto"/>
        <w:jc w:val="center"/>
        <w:rPr>
          <w:rFonts w:ascii="Times New Roman" w:eastAsia="Times New Roman" w:hAnsi="Times New Roman" w:cs="Times New Roman"/>
          <w:b/>
          <w:sz w:val="24"/>
          <w:szCs w:val="24"/>
        </w:rPr>
      </w:pPr>
    </w:p>
    <w:p w14:paraId="7A396728" w14:textId="77777777" w:rsidR="002E5DA8" w:rsidRDefault="0095632D">
      <w:pPr>
        <w:pBdr>
          <w:top w:val="nil"/>
          <w:left w:val="nil"/>
          <w:bottom w:val="nil"/>
          <w:right w:val="nil"/>
          <w:between w:val="nil"/>
        </w:pBd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respuesta al llamado a presentar </w:t>
      </w:r>
      <w:r>
        <w:rPr>
          <w:rFonts w:ascii="Times New Roman" w:eastAsia="Times New Roman" w:hAnsi="Times New Roman" w:cs="Times New Roman"/>
          <w:b/>
          <w:sz w:val="24"/>
          <w:szCs w:val="24"/>
        </w:rPr>
        <w:t>información escrita para el examen del informe del Estado de Ecuador por el Com</w:t>
      </w:r>
      <w:r>
        <w:rPr>
          <w:rFonts w:ascii="Times New Roman" w:eastAsia="Times New Roman" w:hAnsi="Times New Roman" w:cs="Times New Roman"/>
          <w:b/>
          <w:sz w:val="24"/>
          <w:szCs w:val="24"/>
        </w:rPr>
        <w:t>ité contra la Tortura (CAT),</w:t>
      </w:r>
      <w:r>
        <w:rPr>
          <w:rFonts w:ascii="Times New Roman" w:eastAsia="Times New Roman" w:hAnsi="Times New Roman" w:cs="Times New Roman"/>
          <w:sz w:val="24"/>
          <w:szCs w:val="24"/>
        </w:rPr>
        <w:t xml:space="preserve"> de cara al periodo 80 de sesiones (08 Jul 2024 - 26 Jul 2024). </w:t>
      </w:r>
    </w:p>
    <w:p w14:paraId="7A396729" w14:textId="77777777" w:rsidR="002E5DA8" w:rsidRDefault="002E5DA8">
      <w:pPr>
        <w:pBdr>
          <w:top w:val="nil"/>
          <w:left w:val="nil"/>
          <w:bottom w:val="nil"/>
          <w:right w:val="nil"/>
          <w:between w:val="nil"/>
        </w:pBdr>
        <w:spacing w:after="0" w:line="360" w:lineRule="auto"/>
        <w:jc w:val="center"/>
        <w:rPr>
          <w:rFonts w:ascii="Times New Roman" w:eastAsia="Times New Roman" w:hAnsi="Times New Roman" w:cs="Times New Roman"/>
          <w:sz w:val="24"/>
          <w:szCs w:val="24"/>
        </w:rPr>
      </w:pPr>
    </w:p>
    <w:p w14:paraId="7A39672A" w14:textId="77777777" w:rsidR="002E5DA8" w:rsidRDefault="002E5DA8">
      <w:pPr>
        <w:pBdr>
          <w:top w:val="nil"/>
          <w:left w:val="nil"/>
          <w:bottom w:val="nil"/>
          <w:right w:val="nil"/>
          <w:between w:val="nil"/>
        </w:pBdr>
        <w:spacing w:after="0" w:line="360" w:lineRule="auto"/>
        <w:jc w:val="center"/>
        <w:rPr>
          <w:rFonts w:ascii="Times New Roman" w:eastAsia="Times New Roman" w:hAnsi="Times New Roman" w:cs="Times New Roman"/>
          <w:sz w:val="24"/>
          <w:szCs w:val="24"/>
        </w:rPr>
      </w:pPr>
    </w:p>
    <w:p w14:paraId="7A39672B" w14:textId="77777777" w:rsidR="002E5DA8" w:rsidRDefault="002E5DA8">
      <w:pPr>
        <w:pBdr>
          <w:top w:val="nil"/>
          <w:left w:val="nil"/>
          <w:bottom w:val="nil"/>
          <w:right w:val="nil"/>
          <w:between w:val="nil"/>
        </w:pBdr>
        <w:spacing w:after="0" w:line="360" w:lineRule="auto"/>
        <w:jc w:val="center"/>
        <w:rPr>
          <w:rFonts w:ascii="Times New Roman" w:eastAsia="Times New Roman" w:hAnsi="Times New Roman" w:cs="Times New Roman"/>
          <w:sz w:val="24"/>
          <w:szCs w:val="24"/>
        </w:rPr>
      </w:pPr>
    </w:p>
    <w:p w14:paraId="7A39672C" w14:textId="77777777" w:rsidR="002E5DA8" w:rsidRDefault="002E5DA8">
      <w:pPr>
        <w:pBdr>
          <w:top w:val="nil"/>
          <w:left w:val="nil"/>
          <w:bottom w:val="nil"/>
          <w:right w:val="nil"/>
          <w:between w:val="nil"/>
        </w:pBdr>
        <w:spacing w:after="0" w:line="360" w:lineRule="auto"/>
        <w:jc w:val="center"/>
        <w:rPr>
          <w:rFonts w:ascii="Times New Roman" w:eastAsia="Times New Roman" w:hAnsi="Times New Roman" w:cs="Times New Roman"/>
          <w:sz w:val="24"/>
          <w:szCs w:val="24"/>
        </w:rPr>
      </w:pPr>
    </w:p>
    <w:p w14:paraId="7A39672D" w14:textId="77777777" w:rsidR="002E5DA8" w:rsidRDefault="002E5DA8">
      <w:pPr>
        <w:pBdr>
          <w:top w:val="nil"/>
          <w:left w:val="nil"/>
          <w:bottom w:val="nil"/>
          <w:right w:val="nil"/>
          <w:between w:val="nil"/>
        </w:pBdr>
        <w:spacing w:after="0" w:line="360" w:lineRule="auto"/>
        <w:jc w:val="center"/>
        <w:rPr>
          <w:rFonts w:ascii="Times New Roman" w:eastAsia="Times New Roman" w:hAnsi="Times New Roman" w:cs="Times New Roman"/>
          <w:sz w:val="24"/>
          <w:szCs w:val="24"/>
        </w:rPr>
      </w:pPr>
    </w:p>
    <w:p w14:paraId="7A39672E" w14:textId="77777777" w:rsidR="002E5DA8" w:rsidRDefault="002E5DA8">
      <w:pPr>
        <w:pBdr>
          <w:top w:val="nil"/>
          <w:left w:val="nil"/>
          <w:bottom w:val="nil"/>
          <w:right w:val="nil"/>
          <w:between w:val="nil"/>
        </w:pBdr>
        <w:spacing w:after="0" w:line="360" w:lineRule="auto"/>
        <w:jc w:val="center"/>
        <w:rPr>
          <w:rFonts w:ascii="Times New Roman" w:eastAsia="Times New Roman" w:hAnsi="Times New Roman" w:cs="Times New Roman"/>
          <w:sz w:val="24"/>
          <w:szCs w:val="24"/>
        </w:rPr>
      </w:pPr>
    </w:p>
    <w:p w14:paraId="7A39672F" w14:textId="77777777" w:rsidR="002E5DA8" w:rsidRDefault="002E5DA8">
      <w:pPr>
        <w:pBdr>
          <w:top w:val="nil"/>
          <w:left w:val="nil"/>
          <w:bottom w:val="nil"/>
          <w:right w:val="nil"/>
          <w:between w:val="nil"/>
        </w:pBdr>
        <w:spacing w:after="0" w:line="360" w:lineRule="auto"/>
        <w:jc w:val="center"/>
        <w:rPr>
          <w:rFonts w:ascii="Times New Roman" w:eastAsia="Times New Roman" w:hAnsi="Times New Roman" w:cs="Times New Roman"/>
          <w:sz w:val="24"/>
          <w:szCs w:val="24"/>
        </w:rPr>
      </w:pPr>
    </w:p>
    <w:p w14:paraId="7A396730" w14:textId="77777777" w:rsidR="002E5DA8" w:rsidRDefault="002E5DA8">
      <w:pPr>
        <w:pBdr>
          <w:top w:val="nil"/>
          <w:left w:val="nil"/>
          <w:bottom w:val="nil"/>
          <w:right w:val="nil"/>
          <w:between w:val="nil"/>
        </w:pBdr>
        <w:spacing w:after="0" w:line="360" w:lineRule="auto"/>
        <w:jc w:val="center"/>
        <w:rPr>
          <w:rFonts w:ascii="Times New Roman" w:eastAsia="Times New Roman" w:hAnsi="Times New Roman" w:cs="Times New Roman"/>
          <w:sz w:val="24"/>
          <w:szCs w:val="24"/>
        </w:rPr>
      </w:pPr>
    </w:p>
    <w:p w14:paraId="7A396731" w14:textId="77777777" w:rsidR="002E5DA8" w:rsidRDefault="002E5DA8">
      <w:pPr>
        <w:pBdr>
          <w:top w:val="nil"/>
          <w:left w:val="nil"/>
          <w:bottom w:val="nil"/>
          <w:right w:val="nil"/>
          <w:between w:val="nil"/>
        </w:pBdr>
        <w:spacing w:after="0" w:line="360" w:lineRule="auto"/>
        <w:jc w:val="center"/>
        <w:rPr>
          <w:rFonts w:ascii="Times New Roman" w:eastAsia="Times New Roman" w:hAnsi="Times New Roman" w:cs="Times New Roman"/>
          <w:sz w:val="24"/>
          <w:szCs w:val="24"/>
        </w:rPr>
      </w:pPr>
    </w:p>
    <w:p w14:paraId="7A396732" w14:textId="77777777" w:rsidR="002E5DA8" w:rsidRDefault="002E5DA8">
      <w:pPr>
        <w:pBdr>
          <w:top w:val="nil"/>
          <w:left w:val="nil"/>
          <w:bottom w:val="nil"/>
          <w:right w:val="nil"/>
          <w:between w:val="nil"/>
        </w:pBdr>
        <w:spacing w:after="0" w:line="360" w:lineRule="auto"/>
        <w:rPr>
          <w:rFonts w:ascii="Times New Roman" w:eastAsia="Times New Roman" w:hAnsi="Times New Roman" w:cs="Times New Roman"/>
          <w:sz w:val="24"/>
          <w:szCs w:val="24"/>
        </w:rPr>
      </w:pPr>
    </w:p>
    <w:p w14:paraId="7A396733" w14:textId="77777777" w:rsidR="002E5DA8" w:rsidRDefault="0095632D">
      <w:pPr>
        <w:pBdr>
          <w:top w:val="nil"/>
          <w:left w:val="nil"/>
          <w:bottom w:val="nil"/>
          <w:right w:val="nil"/>
          <w:between w:val="nil"/>
        </w:pBd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de junio de 2024</w:t>
      </w:r>
    </w:p>
    <w:p w14:paraId="7A396734" w14:textId="77777777" w:rsidR="002E5DA8" w:rsidRDefault="002E5DA8">
      <w:pPr>
        <w:spacing w:after="0" w:line="360" w:lineRule="auto"/>
        <w:jc w:val="both"/>
        <w:rPr>
          <w:rFonts w:ascii="Times New Roman" w:eastAsia="Times New Roman" w:hAnsi="Times New Roman" w:cs="Times New Roman"/>
          <w:sz w:val="24"/>
          <w:szCs w:val="24"/>
        </w:rPr>
      </w:pPr>
    </w:p>
    <w:p w14:paraId="7A396735" w14:textId="77777777" w:rsidR="002E5DA8" w:rsidRDefault="002E5DA8">
      <w:pPr>
        <w:spacing w:after="0" w:line="360" w:lineRule="auto"/>
        <w:jc w:val="both"/>
        <w:rPr>
          <w:rFonts w:ascii="Times New Roman" w:eastAsia="Times New Roman" w:hAnsi="Times New Roman" w:cs="Times New Roman"/>
          <w:sz w:val="24"/>
          <w:szCs w:val="24"/>
        </w:rPr>
      </w:pPr>
    </w:p>
    <w:p w14:paraId="7A396736" w14:textId="77777777" w:rsidR="002E5DA8" w:rsidRDefault="0095632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El Observatorio de Derechos y Justicia (ODJ), organización de sociedad civil ecuatoriana creada en 2014, que trabaja en la promoción y protección de derechos humanos con enfoque de género y garantía de acceso a justicia, Planned Parenthood Global, INC (PPG</w:t>
      </w:r>
      <w:r>
        <w:rPr>
          <w:rFonts w:ascii="Times New Roman" w:eastAsia="Times New Roman" w:hAnsi="Times New Roman" w:cs="Times New Roman"/>
          <w:sz w:val="24"/>
          <w:szCs w:val="24"/>
        </w:rPr>
        <w:t>), organización que trabaja a nivel mundial para superar las barreras en el acceso a servicios de salud sexual y reproductiva y para que las personas pueden decidir sobre sus cuerpos y futuros; y, el Centro de Estudios por la Transparencia y Derechos Human</w:t>
      </w:r>
      <w:r>
        <w:rPr>
          <w:rFonts w:ascii="Times New Roman" w:eastAsia="Times New Roman" w:hAnsi="Times New Roman" w:cs="Times New Roman"/>
          <w:sz w:val="24"/>
          <w:szCs w:val="24"/>
        </w:rPr>
        <w:t xml:space="preserve">os UIDE-ECUADOR (CETDE-UIDE), es un centro arbitrado por la Facultad de Jurisprudencia de la Universidad Internacional del Ecuador que trabaja en fomentar el  aprendizaje teórico y práctico en derechos humanos y litigio estratégico. </w:t>
      </w:r>
    </w:p>
    <w:p w14:paraId="7A396737" w14:textId="77777777" w:rsidR="002E5DA8" w:rsidRDefault="0095632D">
      <w:pPr>
        <w:pStyle w:val="Title"/>
        <w:numPr>
          <w:ilvl w:val="0"/>
          <w:numId w:val="9"/>
        </w:numPr>
        <w:spacing w:after="200"/>
        <w:jc w:val="both"/>
      </w:pPr>
      <w:bookmarkStart w:id="0" w:name="_heading=h.4yzppx4phtq" w:colFirst="0" w:colLast="0"/>
      <w:bookmarkEnd w:id="0"/>
      <w:r>
        <w:t>ANTECEDENTES</w:t>
      </w:r>
    </w:p>
    <w:p w14:paraId="7A396738" w14:textId="77777777" w:rsidR="002E5DA8" w:rsidRDefault="0095632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presen</w:t>
      </w:r>
      <w:r>
        <w:rPr>
          <w:rFonts w:ascii="Times New Roman" w:eastAsia="Times New Roman" w:hAnsi="Times New Roman" w:cs="Times New Roman"/>
          <w:sz w:val="24"/>
          <w:szCs w:val="24"/>
        </w:rPr>
        <w:t>te informe hace una radiografía jurídica que busca poner en conocimiento de este Comité contra la Tortura (en adelante CAT o Comité) el incumplimiento del Estado ecuatoriano a las observaciones y recomendaciones hechas sobre el séptimo informe periódico de</w:t>
      </w:r>
      <w:r>
        <w:rPr>
          <w:rFonts w:ascii="Times New Roman" w:eastAsia="Times New Roman" w:hAnsi="Times New Roman" w:cs="Times New Roman"/>
          <w:sz w:val="24"/>
          <w:szCs w:val="24"/>
        </w:rPr>
        <w:t xml:space="preserve">l Ecuador (CAT/C/ECU/7), examinado en sus sesiones 1462ª y 1465ª, celebradas entre los días 8 y 9 de diciembre de 2016 y aprobado en su 1490ª sesión, celebrada el 28 de noviembre de 2016. </w:t>
      </w:r>
    </w:p>
    <w:p w14:paraId="7A396739" w14:textId="77777777" w:rsidR="002E5DA8" w:rsidRDefault="0095632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sus recomendaciones, este Comité observó con preocupación que:</w:t>
      </w:r>
    </w:p>
    <w:p w14:paraId="7A39673A" w14:textId="77777777" w:rsidR="002E5DA8" w:rsidRDefault="0095632D">
      <w:pPr>
        <w:spacing w:after="200"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 las restricciones al aborto establecidas en la legislación penal del Estado parte, sólo permite la interrupción voluntaria del embarazo cuando peligre la vida o la salud de la mujer y ese peligro no pueda ser evitado por otros medios y cuando el embar</w:t>
      </w:r>
      <w:r>
        <w:rPr>
          <w:rFonts w:ascii="Times New Roman" w:eastAsia="Times New Roman" w:hAnsi="Times New Roman" w:cs="Times New Roman"/>
          <w:sz w:val="24"/>
          <w:szCs w:val="24"/>
        </w:rPr>
        <w:t>azo sea consecuencia de la violación de una mujer con una discapacidad mental (...) especialmente debido a la grave situación de violencia de género y sexual que se registra en el país</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w:t>
      </w:r>
    </w:p>
    <w:p w14:paraId="7A39673B" w14:textId="77777777" w:rsidR="002E5DA8" w:rsidRDefault="0095632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 manera que recomienda al Estado “velar por que las mujeres víctimas de una violación, que voluntariamente decidan interrumpir su embarazo, tengan acceso a abortos legales y en condiciones seguras”</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w:t>
      </w:r>
    </w:p>
    <w:p w14:paraId="7A39673C" w14:textId="77777777" w:rsidR="002E5DA8" w:rsidRDefault="0095632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seguimiento a dichas observaciones finales, el Com</w:t>
      </w:r>
      <w:r>
        <w:rPr>
          <w:rFonts w:ascii="Times New Roman" w:eastAsia="Times New Roman" w:hAnsi="Times New Roman" w:cs="Times New Roman"/>
          <w:sz w:val="24"/>
          <w:szCs w:val="24"/>
        </w:rPr>
        <w:t xml:space="preserve">ité emitió una lista de cuestiones previas a la presentación del informe periódico del Ecuador el 26 de diciembre de 2019 </w:t>
      </w:r>
      <w:r>
        <w:rPr>
          <w:rFonts w:ascii="Times New Roman" w:eastAsia="Times New Roman" w:hAnsi="Times New Roman" w:cs="Times New Roman"/>
          <w:sz w:val="24"/>
          <w:szCs w:val="24"/>
        </w:rPr>
        <w:lastRenderedPageBreak/>
        <w:t>(CAT/C/ECU/QPR/8). Donde, en su parte pertinente a la cuestión que nos compete, solicita al Ecuador indicar si se ha “revisado la legi</w:t>
      </w:r>
      <w:r>
        <w:rPr>
          <w:rFonts w:ascii="Times New Roman" w:eastAsia="Times New Roman" w:hAnsi="Times New Roman" w:cs="Times New Roman"/>
          <w:sz w:val="24"/>
          <w:szCs w:val="24"/>
        </w:rPr>
        <w:t>slación nacional a fin de hacer extensiva  la interrupción voluntaria del embarazo a todos los casos de violación o incesto, y a casos de malformación fetal incompatible con la vida”</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así como también comentar sobre “informaciones según las cuales se seg</w:t>
      </w:r>
      <w:r>
        <w:rPr>
          <w:rFonts w:ascii="Times New Roman" w:eastAsia="Times New Roman" w:hAnsi="Times New Roman" w:cs="Times New Roman"/>
          <w:sz w:val="24"/>
          <w:szCs w:val="24"/>
        </w:rPr>
        <w:t>uiría criminalizando a las mujeres que reciben atención médica en hospitales del Estado parte como consecuencia de afecciones derivadas de abortos clandestinos”</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w:t>
      </w:r>
    </w:p>
    <w:p w14:paraId="7A39673D" w14:textId="77777777" w:rsidR="002E5DA8" w:rsidRDefault="0095632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Estado ecuatoriano presentó su octavo informe periódico (CAT/C/ECU/8) el 02 de diciembre </w:t>
      </w:r>
      <w:r>
        <w:rPr>
          <w:rFonts w:ascii="Times New Roman" w:eastAsia="Times New Roman" w:hAnsi="Times New Roman" w:cs="Times New Roman"/>
          <w:sz w:val="24"/>
          <w:szCs w:val="24"/>
        </w:rPr>
        <w:t>de 2020, cuya distribución general a los miembros de este Comité fue el 26 de abril de 2024. Es así que, en respuesta a la petición del CAT, responde que en 2019 existieron esfuerzos en la Asamblea Nacional de despenalizar la interrupción voluntaria del em</w:t>
      </w:r>
      <w:r>
        <w:rPr>
          <w:rFonts w:ascii="Times New Roman" w:eastAsia="Times New Roman" w:hAnsi="Times New Roman" w:cs="Times New Roman"/>
          <w:sz w:val="24"/>
          <w:szCs w:val="24"/>
        </w:rPr>
        <w:t>barazo en casos de violación, incesto, estupro o inseminación no consentida en sus reformas al Código Orgánico Integral Penal (en adelante, COIP). Sin embargo, a falta de consenso legislativo, dicho pedido no contó con los suficientes votos en el Pleno par</w:t>
      </w:r>
      <w:r>
        <w:rPr>
          <w:rFonts w:ascii="Times New Roman" w:eastAsia="Times New Roman" w:hAnsi="Times New Roman" w:cs="Times New Roman"/>
          <w:sz w:val="24"/>
          <w:szCs w:val="24"/>
        </w:rPr>
        <w:t>a aprobar la reforma</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w:t>
      </w:r>
    </w:p>
    <w:p w14:paraId="7A39673E" w14:textId="77777777" w:rsidR="002E5DA8" w:rsidRDefault="0095632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respuesta a la información presentada por Ecuador, acudimos a este Comité a fin de presentar información respecto de la situación de la interrupción voluntaria del embarazo en casos de violación en el país a partir de la sentenc</w:t>
      </w:r>
      <w:r>
        <w:rPr>
          <w:rFonts w:ascii="Times New Roman" w:eastAsia="Times New Roman" w:hAnsi="Times New Roman" w:cs="Times New Roman"/>
          <w:sz w:val="24"/>
          <w:szCs w:val="24"/>
        </w:rPr>
        <w:t xml:space="preserve">ia de la Corte Constitucional (en adelante, CCE o Corte) 34-19-IN/21 del 01 de mayo de 2021, así como de la ejecución de la Ley Orgánica que Regula la Interrupción Voluntaria del Embarazo (en adelante, LORIVE). </w:t>
      </w:r>
    </w:p>
    <w:p w14:paraId="7A39673F" w14:textId="77777777" w:rsidR="002E5DA8" w:rsidRDefault="0095632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Asimismo, informar sobre el actual contexto </w:t>
      </w:r>
      <w:r>
        <w:rPr>
          <w:rFonts w:ascii="Times New Roman" w:eastAsia="Times New Roman" w:hAnsi="Times New Roman" w:cs="Times New Roman"/>
          <w:sz w:val="24"/>
          <w:szCs w:val="24"/>
        </w:rPr>
        <w:t>legal y estigma sobre el aborto en el país, detallando como punto de partida esencial la sentencia constitucional del 2021. A éste le sigue un análisis jurídico de la LORIVE, su proceso legislativo marcado por la objeción presidencial a la ley del entonces</w:t>
      </w:r>
      <w:r>
        <w:rPr>
          <w:rFonts w:ascii="Times New Roman" w:eastAsia="Times New Roman" w:hAnsi="Times New Roman" w:cs="Times New Roman"/>
          <w:sz w:val="24"/>
          <w:szCs w:val="24"/>
        </w:rPr>
        <w:t xml:space="preserve"> presidente Guillermo Lasso y los nudos críticos de inconvencionalidad de este veto. </w:t>
      </w:r>
    </w:p>
    <w:p w14:paraId="7A396740" w14:textId="77777777" w:rsidR="002E5DA8" w:rsidRDefault="0095632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Posteriormente, realizamos un análisis del marco jurídico de la LORIVE, su objeto, ámbito de aplicación y principios, además de que los contenidos de ésta resultan revict</w:t>
      </w:r>
      <w:r>
        <w:rPr>
          <w:rFonts w:ascii="Times New Roman" w:eastAsia="Times New Roman" w:hAnsi="Times New Roman" w:cs="Times New Roman"/>
          <w:sz w:val="24"/>
          <w:szCs w:val="24"/>
        </w:rPr>
        <w:t xml:space="preserve">imizantes y contrarios al lenguaje y esencia de la sentencia de la Corte Constitucional, y cómo en algunos casos, se </w:t>
      </w:r>
      <w:r>
        <w:rPr>
          <w:rFonts w:ascii="Times New Roman" w:eastAsia="Times New Roman" w:hAnsi="Times New Roman" w:cs="Times New Roman"/>
          <w:sz w:val="24"/>
          <w:szCs w:val="24"/>
        </w:rPr>
        <w:lastRenderedPageBreak/>
        <w:t xml:space="preserve">equiparan a tortura. Además de ser sobre los cuales las organizaciones han recurrido una vez más a denunciar su inconstitucionalidad. </w:t>
      </w:r>
    </w:p>
    <w:p w14:paraId="7A396741" w14:textId="77777777" w:rsidR="002E5DA8" w:rsidRDefault="0095632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s</w:t>
      </w:r>
      <w:r>
        <w:rPr>
          <w:rFonts w:ascii="Times New Roman" w:eastAsia="Times New Roman" w:hAnsi="Times New Roman" w:cs="Times New Roman"/>
          <w:sz w:val="24"/>
          <w:szCs w:val="24"/>
        </w:rPr>
        <w:t>u segunda parte, el informe ofrece información de datos proporcionados por tres instituciones públicas como la Corte Constitucional, sobre las impugnaciones a la LORIVE mediante acción pública de inconstitucionalidad; a la Fiscalía General del Estado sobre</w:t>
      </w:r>
      <w:r>
        <w:rPr>
          <w:rFonts w:ascii="Times New Roman" w:eastAsia="Times New Roman" w:hAnsi="Times New Roman" w:cs="Times New Roman"/>
          <w:sz w:val="24"/>
          <w:szCs w:val="24"/>
        </w:rPr>
        <w:t xml:space="preserve"> las denuncias y casos denunciados como violación sexual y abortos practicados antes y después de la sentencia constitucional; y por último, al Ministerio de Salud Pública sobre el número de abortos practicados, de igual manera, antes y después de la sente</w:t>
      </w:r>
      <w:r>
        <w:rPr>
          <w:rFonts w:ascii="Times New Roman" w:eastAsia="Times New Roman" w:hAnsi="Times New Roman" w:cs="Times New Roman"/>
          <w:sz w:val="24"/>
          <w:szCs w:val="24"/>
        </w:rPr>
        <w:t xml:space="preserve">ncia constitucional. </w:t>
      </w:r>
    </w:p>
    <w:p w14:paraId="7A396742" w14:textId="77777777" w:rsidR="002E5DA8" w:rsidRDefault="0095632D">
      <w:pPr>
        <w:spacing w:after="200" w:line="360" w:lineRule="auto"/>
        <w:jc w:val="both"/>
        <w:rPr>
          <w:rFonts w:ascii="Times New Roman" w:eastAsia="Times New Roman" w:hAnsi="Times New Roman" w:cs="Times New Roman"/>
        </w:rPr>
      </w:pPr>
      <w:r>
        <w:rPr>
          <w:rFonts w:ascii="Times New Roman" w:eastAsia="Times New Roman" w:hAnsi="Times New Roman" w:cs="Times New Roman"/>
          <w:sz w:val="24"/>
          <w:szCs w:val="24"/>
        </w:rPr>
        <w:t>A través de este documento solicitamos al CAT que, con fundamento en las competencias que le otorga el artículo 19 de la Convención contra la Tortura (en adelante, CCT) en concordancia con el artículo 63 del Reglamento de Procedimiento, tome en cuenta la i</w:t>
      </w:r>
      <w:r>
        <w:rPr>
          <w:rFonts w:ascii="Times New Roman" w:eastAsia="Times New Roman" w:hAnsi="Times New Roman" w:cs="Times New Roman"/>
          <w:sz w:val="24"/>
          <w:szCs w:val="24"/>
        </w:rPr>
        <w:t>nformación presentada para que formule sus recomendaciones y solicite a la República del Ecuador información al respecto, de cara a la sesión 80 de este Comité a celebrarse del 08 al 26 de julio de 2024</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w:t>
      </w:r>
    </w:p>
    <w:p w14:paraId="7A396743" w14:textId="77777777" w:rsidR="002E5DA8" w:rsidRDefault="0095632D">
      <w:pPr>
        <w:pStyle w:val="Title"/>
        <w:numPr>
          <w:ilvl w:val="0"/>
          <w:numId w:val="9"/>
        </w:numPr>
        <w:spacing w:after="200"/>
      </w:pPr>
      <w:bookmarkStart w:id="2" w:name="_heading=h.t1cbj565tuw" w:colFirst="0" w:colLast="0"/>
      <w:bookmarkEnd w:id="2"/>
      <w:r>
        <w:t>CONTEXTO LEGAL Y ESTIGMA SOBRE EL ABORTO EN EL ECU</w:t>
      </w:r>
      <w:r>
        <w:t>ADOR:</w:t>
      </w:r>
    </w:p>
    <w:p w14:paraId="7A396744" w14:textId="77777777" w:rsidR="002E5DA8" w:rsidRDefault="0095632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Según la Organización Mundial de la Salud, “cada año se provocan cerca de 73 millones de abortos en todo el mundo”</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los cuales “cerca del 45% se realizan en condiciones peligrosas, y el 97%, se practican en los países en </w:t>
      </w:r>
      <w:r>
        <w:rPr>
          <w:rFonts w:ascii="Times New Roman" w:eastAsia="Times New Roman" w:hAnsi="Times New Roman" w:cs="Times New Roman"/>
          <w:i/>
          <w:sz w:val="24"/>
          <w:szCs w:val="24"/>
        </w:rPr>
        <w:t>desarrollo</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vertAlign w:val="superscript"/>
        </w:rPr>
        <w:footnoteReference w:id="8"/>
      </w:r>
    </w:p>
    <w:p w14:paraId="7A396745" w14:textId="77777777" w:rsidR="002E5DA8" w:rsidRDefault="0095632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realidad</w:t>
      </w:r>
      <w:r>
        <w:rPr>
          <w:rFonts w:ascii="Times New Roman" w:eastAsia="Times New Roman" w:hAnsi="Times New Roman" w:cs="Times New Roman"/>
          <w:sz w:val="24"/>
          <w:szCs w:val="24"/>
        </w:rPr>
        <w:t xml:space="preserve"> ecuatoriana, se ha presentado dentro de un marco crítico en la vida de muchas niñas, adolescentes y mujeres que han sido forzadas a realidades que lastiman su integridad, y es que Ecuador posee normas estrictamente sancionatorias y punitivas para quienes </w:t>
      </w:r>
      <w:r>
        <w:rPr>
          <w:rFonts w:ascii="Times New Roman" w:eastAsia="Times New Roman" w:hAnsi="Times New Roman" w:cs="Times New Roman"/>
          <w:sz w:val="24"/>
          <w:szCs w:val="24"/>
        </w:rPr>
        <w:t>decidan abortar. Esta situación ha llevado a muchas a sobrellevar embarazos no deseados, muchos de ellos producto de una violación, gracias a estas restricciones legales tan cerradas, dándole la potestad al Estado ecuatoriano a decidir sobre su cuerpo, vid</w:t>
      </w:r>
      <w:r>
        <w:rPr>
          <w:rFonts w:ascii="Times New Roman" w:eastAsia="Times New Roman" w:hAnsi="Times New Roman" w:cs="Times New Roman"/>
          <w:sz w:val="24"/>
          <w:szCs w:val="24"/>
        </w:rPr>
        <w:t xml:space="preserve">a, integridad física, psíquica y moral. </w:t>
      </w:r>
    </w:p>
    <w:p w14:paraId="7A396746" w14:textId="77777777" w:rsidR="002E5DA8" w:rsidRDefault="0095632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Esto no sólo ha hecho que mujeres embarazadas y personas con capacidad de gestar, se vean obligadas a concebir vida producto de actos de violencia, sino también que muchas deban abortar de forma insegura e insalubre</w:t>
      </w:r>
      <w:r>
        <w:rPr>
          <w:rFonts w:ascii="Times New Roman" w:eastAsia="Times New Roman" w:hAnsi="Times New Roman" w:cs="Times New Roman"/>
          <w:sz w:val="24"/>
          <w:szCs w:val="24"/>
        </w:rPr>
        <w:t xml:space="preserve"> provocando muertes o percances irreparables en su salud o incluso su vida. De esta manera, según el Ministerio de Salud Pública del Ecuador (MSP, en adelante), abarcando el período del año 2017 al 2021, el 15.6% de las muertes maternas se atribuyen a abor</w:t>
      </w:r>
      <w:r>
        <w:rPr>
          <w:rFonts w:ascii="Times New Roman" w:eastAsia="Times New Roman" w:hAnsi="Times New Roman" w:cs="Times New Roman"/>
          <w:sz w:val="24"/>
          <w:szCs w:val="24"/>
        </w:rPr>
        <w:t>tos llevados a cabo en condiciones de inseguridad.</w:t>
      </w:r>
      <w:r>
        <w:rPr>
          <w:rFonts w:ascii="Times New Roman" w:eastAsia="Times New Roman" w:hAnsi="Times New Roman" w:cs="Times New Roman"/>
          <w:sz w:val="24"/>
          <w:szCs w:val="24"/>
          <w:vertAlign w:val="superscript"/>
        </w:rPr>
        <w:footnoteReference w:id="9"/>
      </w:r>
    </w:p>
    <w:p w14:paraId="7A396747" w14:textId="77777777" w:rsidR="002E5DA8" w:rsidRDefault="0095632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cuanto a la tipificación del delito de aborto en Ecuador, éste data del Código Penal de 1872</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es decir, esta penalización nació de la época en la cual el ordenamiento jurídico ecuatoriano no reconoc</w:t>
      </w:r>
      <w:r>
        <w:rPr>
          <w:rFonts w:ascii="Times New Roman" w:eastAsia="Times New Roman" w:hAnsi="Times New Roman" w:cs="Times New Roman"/>
          <w:sz w:val="24"/>
          <w:szCs w:val="24"/>
        </w:rPr>
        <w:t>ía aún derechos igualitarios para hombres y mujeres; y aún no se había suscrito a ningún instrumento internacional de derechos humanos. De manera que el Ecuador no había contraído ninguna obligación internacional de protección de los derechos humanos ni me</w:t>
      </w:r>
      <w:r>
        <w:rPr>
          <w:rFonts w:ascii="Times New Roman" w:eastAsia="Times New Roman" w:hAnsi="Times New Roman" w:cs="Times New Roman"/>
          <w:sz w:val="24"/>
          <w:szCs w:val="24"/>
        </w:rPr>
        <w:t xml:space="preserve">nos aún de entendimiento de la mujer como un sujeto de derechos autónomo.  </w:t>
      </w:r>
    </w:p>
    <w:p w14:paraId="7A396748" w14:textId="77777777" w:rsidR="002E5DA8" w:rsidRDefault="0095632D">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Desde entonces el Código Penal ecuatoriano mantuvo, en cada una de sus reformas, incluido el actual COIP en su artículo 149, la disposición punitiva de privación de la libertad a l</w:t>
      </w:r>
      <w:r>
        <w:rPr>
          <w:rFonts w:ascii="Times New Roman" w:eastAsia="Times New Roman" w:hAnsi="Times New Roman" w:cs="Times New Roman"/>
          <w:sz w:val="24"/>
          <w:szCs w:val="24"/>
        </w:rPr>
        <w:t>a mujer que produjera su aborto y a la persona que la ayudara en su labor de abortar</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w:t>
      </w:r>
    </w:p>
    <w:p w14:paraId="7A396749" w14:textId="77777777" w:rsidR="002E5DA8" w:rsidRDefault="0095632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Por el otro lado, uno de los avances adoptados por el actual COIP son las circunstancias que excluyen la punibilidad del aborto, en su artículo 150 segundo inciso. Esp</w:t>
      </w:r>
      <w:r>
        <w:rPr>
          <w:rFonts w:ascii="Times New Roman" w:eastAsia="Times New Roman" w:hAnsi="Times New Roman" w:cs="Times New Roman"/>
          <w:sz w:val="24"/>
          <w:szCs w:val="24"/>
        </w:rPr>
        <w:t xml:space="preserve">ecíficamente, este artículo establece que el aborto no será penalizado cuando se practique como única alternativa para salvaguardar la vida o salud de la mujer embarazada, así como cuando el embarazo sea resultado de una violación sexual.  Esta limitación </w:t>
      </w:r>
      <w:r>
        <w:rPr>
          <w:rFonts w:ascii="Times New Roman" w:eastAsia="Times New Roman" w:hAnsi="Times New Roman" w:cs="Times New Roman"/>
          <w:sz w:val="24"/>
          <w:szCs w:val="24"/>
        </w:rPr>
        <w:t xml:space="preserve">restringía el acceso al aborto para todas las mujeres embarazadas víctimas de violación, retomando las restricciones iniciales de este tipo penal. </w:t>
      </w:r>
    </w:p>
    <w:p w14:paraId="7A39674A" w14:textId="77777777" w:rsidR="002E5DA8" w:rsidRDefault="0095632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Sin embargo, en 2021, a partir de la sentencia 34-19-IN/21 de la CCE, la cual será analizada a mayor profundidad a continuación, el aborto por violación sería una causa de exclusión a su </w:t>
      </w:r>
      <w:r>
        <w:rPr>
          <w:rFonts w:ascii="Times New Roman" w:eastAsia="Times New Roman" w:hAnsi="Times New Roman" w:cs="Times New Roman"/>
          <w:sz w:val="24"/>
          <w:szCs w:val="24"/>
        </w:rPr>
        <w:lastRenderedPageBreak/>
        <w:t>punibilidad independientemente a que la víctima tuviera una "discapac</w:t>
      </w:r>
      <w:r>
        <w:rPr>
          <w:rFonts w:ascii="Times New Roman" w:eastAsia="Times New Roman" w:hAnsi="Times New Roman" w:cs="Times New Roman"/>
          <w:sz w:val="24"/>
          <w:szCs w:val="24"/>
        </w:rPr>
        <w:t>idad mental”</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 xml:space="preserve">o no. Generando así un avance en el país hacia la flexibilización de las restricciones a abortar en el país. </w:t>
      </w:r>
    </w:p>
    <w:p w14:paraId="7A39674B" w14:textId="77777777" w:rsidR="002E5DA8" w:rsidRDefault="0095632D">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pesar de la legalidad actual del aborto en casos de violación sexual, persisten desafíos derivados de obstáculos, lagunas legales</w:t>
      </w:r>
      <w:r>
        <w:rPr>
          <w:rFonts w:ascii="Times New Roman" w:eastAsia="Times New Roman" w:hAnsi="Times New Roman" w:cs="Times New Roman"/>
          <w:sz w:val="24"/>
          <w:szCs w:val="24"/>
        </w:rPr>
        <w:t xml:space="preserve"> y deficiencias de adopción de políticas públicas integrales de socialización del contenido de la sentencia, así como también estigmas y reservas personales por parte de las autoridades estatales. </w:t>
      </w:r>
    </w:p>
    <w:p w14:paraId="7A39674C" w14:textId="77777777" w:rsidR="002E5DA8" w:rsidRDefault="0095632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Estos desafíos abarcan desde la necesidad de presentar una</w:t>
      </w:r>
      <w:r>
        <w:rPr>
          <w:rFonts w:ascii="Times New Roman" w:eastAsia="Times New Roman" w:hAnsi="Times New Roman" w:cs="Times New Roman"/>
          <w:sz w:val="24"/>
          <w:szCs w:val="24"/>
        </w:rPr>
        <w:t xml:space="preserve"> denuncia de violación sexual para ejercer este derecho de interrupción del embarazo, hasta la falta de información pública proporcionada por las entidades gubernamentales. Esta carencia no solo dificulta la mejora del sistema, sino que también obstaculiza</w:t>
      </w:r>
      <w:r>
        <w:rPr>
          <w:rFonts w:ascii="Times New Roman" w:eastAsia="Times New Roman" w:hAnsi="Times New Roman" w:cs="Times New Roman"/>
          <w:sz w:val="24"/>
          <w:szCs w:val="24"/>
        </w:rPr>
        <w:t xml:space="preserve"> la posibilidad de tomar decisiones informadas sobre el aborto en casos de violación sexual. Además que, aún se permite la objeción de conciencia médica, lo cual restringe los lugares donde se puede llevar a cabo la interrupción del embarazo, especialmente</w:t>
      </w:r>
      <w:r>
        <w:rPr>
          <w:rFonts w:ascii="Times New Roman" w:eastAsia="Times New Roman" w:hAnsi="Times New Roman" w:cs="Times New Roman"/>
          <w:sz w:val="24"/>
          <w:szCs w:val="24"/>
        </w:rPr>
        <w:t xml:space="preserve"> en regiones con escasa disponibilidad de personal en centros de salud que ofrezcan servicios obstétricos.</w:t>
      </w:r>
    </w:p>
    <w:p w14:paraId="7A39674D" w14:textId="77777777" w:rsidR="002E5DA8" w:rsidRDefault="0095632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Así, al realizar una revisión de las obligaciones internacionales que ha adquirido el estado ecuatoriano, todas estas obstaculizaciones legales y prá</w:t>
      </w:r>
      <w:r>
        <w:rPr>
          <w:rFonts w:ascii="Times New Roman" w:eastAsia="Times New Roman" w:hAnsi="Times New Roman" w:cs="Times New Roman"/>
          <w:sz w:val="24"/>
          <w:szCs w:val="24"/>
        </w:rPr>
        <w:t>cticas, son contrarias al artículo 2 del Pacto Internacional de Derechos Civiles y Políticos (en adelante, PIDCP); instrumento internacional ratificado por el Estado ecuatoriano en 1969, el cual establece que la penalización del aborto y la falta de acceso</w:t>
      </w:r>
      <w:r>
        <w:rPr>
          <w:rFonts w:ascii="Times New Roman" w:eastAsia="Times New Roman" w:hAnsi="Times New Roman" w:cs="Times New Roman"/>
          <w:sz w:val="24"/>
          <w:szCs w:val="24"/>
        </w:rPr>
        <w:t xml:space="preserve"> adecuado a los servicios para la interrupción de un embarazo no deseado constituyen una discriminación por razón de sexo, lo cual contraviene el art. 2 y 7 del PIDCP</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w:t>
      </w:r>
    </w:p>
    <w:p w14:paraId="7A39674E" w14:textId="77777777" w:rsidR="002E5DA8" w:rsidRDefault="0095632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 más, la criminalización e inaccesibilidad a aborto son incompatibles con el derech</w:t>
      </w:r>
      <w:r>
        <w:rPr>
          <w:rFonts w:ascii="Times New Roman" w:eastAsia="Times New Roman" w:hAnsi="Times New Roman" w:cs="Times New Roman"/>
          <w:sz w:val="24"/>
          <w:szCs w:val="24"/>
        </w:rPr>
        <w:t xml:space="preserve">o a no sufrir torturas y otros tratos crueles, inhumanos o degradante, en concordancia con los artículos 2, 4, 12, 16 y 19 de la CCT, ratificada por el Estado ecuatoriano en 1988. Además que, este propio Comité ha establecido un criterio uniforme donde la </w:t>
      </w:r>
      <w:r>
        <w:rPr>
          <w:rFonts w:ascii="Times New Roman" w:eastAsia="Times New Roman" w:hAnsi="Times New Roman" w:cs="Times New Roman"/>
          <w:sz w:val="24"/>
          <w:szCs w:val="24"/>
        </w:rPr>
        <w:t xml:space="preserve">criminalización del aborto con escasas excepciones podría implicar que las mujeres experimenten dolor y padecimientos severos para seguir con un embarazo. </w:t>
      </w:r>
    </w:p>
    <w:p w14:paraId="7A39674F" w14:textId="77777777" w:rsidR="002E5DA8" w:rsidRDefault="0095632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Por el otro lado, ha invitado a los gobiernos a “permitir excepciones legales a la prohibición del a</w:t>
      </w:r>
      <w:r>
        <w:rPr>
          <w:rFonts w:ascii="Times New Roman" w:eastAsia="Times New Roman" w:hAnsi="Times New Roman" w:cs="Times New Roman"/>
          <w:sz w:val="24"/>
          <w:szCs w:val="24"/>
        </w:rPr>
        <w:t>borto en determinadas circunstancias en las que la continuación del embarazo pueda producir dolores y sufrimientos graves, como cuando el embarazo sea consecuencia de una violación o un incesto, o en casos de malformación fetal incompatible con la vida”</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w:t>
      </w:r>
    </w:p>
    <w:p w14:paraId="7A396750" w14:textId="77777777" w:rsidR="002E5DA8" w:rsidRDefault="0095632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Asimismo, el Comité de Derechos Humanos determina que los Estados Partes “deben proporcionar un </w:t>
      </w:r>
      <w:r>
        <w:rPr>
          <w:rFonts w:ascii="Times New Roman" w:eastAsia="Times New Roman" w:hAnsi="Times New Roman" w:cs="Times New Roman"/>
          <w:b/>
          <w:sz w:val="24"/>
          <w:szCs w:val="24"/>
          <w:u w:val="single"/>
        </w:rPr>
        <w:t xml:space="preserve">acceso seguro, legal y efectivo al aborto, incluido cuando el embarazo sea resultado de una violación </w:t>
      </w:r>
      <w:r>
        <w:rPr>
          <w:rFonts w:ascii="Times New Roman" w:eastAsia="Times New Roman" w:hAnsi="Times New Roman" w:cs="Times New Roman"/>
          <w:sz w:val="24"/>
          <w:szCs w:val="24"/>
        </w:rPr>
        <w:t>o un incesto, y tampoco deben introducir nuevas barreras y deben eliminar las existentes que niegan el acceso efectivo de las mujeres y las niñas al aborto seguro y legal”</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w:t>
      </w:r>
    </w:p>
    <w:p w14:paraId="7A396751" w14:textId="77777777" w:rsidR="002E5DA8" w:rsidRDefault="0095632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el mismo sentido, la Recomendación General No. 35 del Comité CEDAW, establece </w:t>
      </w:r>
      <w:r>
        <w:rPr>
          <w:rFonts w:ascii="Times New Roman" w:eastAsia="Times New Roman" w:hAnsi="Times New Roman" w:cs="Times New Roman"/>
          <w:sz w:val="24"/>
          <w:szCs w:val="24"/>
        </w:rPr>
        <w:t>que:</w:t>
      </w:r>
    </w:p>
    <w:p w14:paraId="7A396752" w14:textId="77777777" w:rsidR="002E5DA8" w:rsidRDefault="0095632D">
      <w:pPr>
        <w:spacing w:after="200" w:line="360" w:lineRule="auto"/>
        <w:ind w:left="566"/>
        <w:jc w:val="both"/>
        <w:rPr>
          <w:rFonts w:ascii="Times New Roman" w:eastAsia="Times New Roman" w:hAnsi="Times New Roman" w:cs="Times New Roman"/>
          <w:b/>
          <w:sz w:val="24"/>
          <w:szCs w:val="24"/>
          <w:u w:val="single"/>
        </w:rPr>
      </w:pPr>
      <w:r>
        <w:rPr>
          <w:rFonts w:ascii="Times New Roman" w:eastAsia="Times New Roman" w:hAnsi="Times New Roman" w:cs="Times New Roman"/>
          <w:sz w:val="24"/>
          <w:szCs w:val="24"/>
        </w:rPr>
        <w:t>“las violaciones del derecho a la salud y los derechos sexuales y reproductivos de las mujeres, la criminalización del aborto, la negación o el retraso del aborto seguro y/o la atención postaborto, la continuación forzada del embarazo, y el abuso y ma</w:t>
      </w:r>
      <w:r>
        <w:rPr>
          <w:rFonts w:ascii="Times New Roman" w:eastAsia="Times New Roman" w:hAnsi="Times New Roman" w:cs="Times New Roman"/>
          <w:sz w:val="24"/>
          <w:szCs w:val="24"/>
        </w:rPr>
        <w:t xml:space="preserve">ltrato de mujeres y niñas (....) </w:t>
      </w:r>
      <w:r>
        <w:rPr>
          <w:rFonts w:ascii="Times New Roman" w:eastAsia="Times New Roman" w:hAnsi="Times New Roman" w:cs="Times New Roman"/>
          <w:b/>
          <w:sz w:val="24"/>
          <w:szCs w:val="24"/>
          <w:u w:val="single"/>
        </w:rPr>
        <w:t>pueden constituir tortura o trato cruel, inhumano o degradante.”</w:t>
      </w:r>
      <w:r>
        <w:rPr>
          <w:rFonts w:ascii="Times New Roman" w:eastAsia="Times New Roman" w:hAnsi="Times New Roman" w:cs="Times New Roman"/>
          <w:b/>
          <w:sz w:val="24"/>
          <w:szCs w:val="24"/>
          <w:u w:val="single"/>
          <w:vertAlign w:val="superscript"/>
        </w:rPr>
        <w:footnoteReference w:id="16"/>
      </w:r>
    </w:p>
    <w:p w14:paraId="7A396753" w14:textId="77777777" w:rsidR="002E5DA8" w:rsidRDefault="0095632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el mismo sentido, inclusive órganos del Sistema Interamericano de Derechos Humanos, como la Comisión Interamericana de Derechos Humanos (en adelante, CID</w:t>
      </w:r>
      <w:r>
        <w:rPr>
          <w:rFonts w:ascii="Times New Roman" w:eastAsia="Times New Roman" w:hAnsi="Times New Roman" w:cs="Times New Roman"/>
          <w:sz w:val="24"/>
          <w:szCs w:val="24"/>
        </w:rPr>
        <w:t>H) ha advertido que la “criminalización absoluta del aborto, al imponer una carga desproporcionada en el ejercicio de los derechos de las mujeres, resulta contrario a las obligaciones internacionales que tiene el Estado de respetar, proteger y garantizar l</w:t>
      </w:r>
      <w:r>
        <w:rPr>
          <w:rFonts w:ascii="Times New Roman" w:eastAsia="Times New Roman" w:hAnsi="Times New Roman" w:cs="Times New Roman"/>
          <w:sz w:val="24"/>
          <w:szCs w:val="24"/>
        </w:rPr>
        <w:t>os derechos de las mujeres a la vida, a la salud y a la integridad”</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w:t>
      </w:r>
    </w:p>
    <w:p w14:paraId="7A396754" w14:textId="77777777" w:rsidR="002E5DA8" w:rsidRDefault="0095632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este respecto, la Corte Interamericana de Derechos Humanos (en adelante, Corte IDH), en su jurisprudencia del caso Artavia Murillo vs. Costa Rica ha sido enfática en afirmar que “la</w:t>
      </w:r>
      <w:r>
        <w:rPr>
          <w:rFonts w:ascii="Times New Roman" w:eastAsia="Times New Roman" w:hAnsi="Times New Roman" w:cs="Times New Roman"/>
          <w:sz w:val="24"/>
          <w:szCs w:val="24"/>
        </w:rPr>
        <w:t xml:space="preserve"> falta de salvaguardas legales para tomar en consideración la salud reproductiva puede resultar en un menoscabo grave del derecho a la autonomía y la libertad reproductiva”</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w:t>
      </w:r>
    </w:p>
    <w:p w14:paraId="7A396755" w14:textId="77777777" w:rsidR="002E5DA8" w:rsidRDefault="0095632D">
      <w:pPr>
        <w:spacing w:after="200" w:line="360" w:lineRule="auto"/>
        <w:jc w:val="both"/>
      </w:pPr>
      <w:r>
        <w:rPr>
          <w:rFonts w:ascii="Times New Roman" w:eastAsia="Times New Roman" w:hAnsi="Times New Roman" w:cs="Times New Roman"/>
          <w:sz w:val="24"/>
          <w:szCs w:val="24"/>
        </w:rPr>
        <w:t>De manera que corresponde realizar un análisis del cumplimiento de sus obligacio</w:t>
      </w:r>
      <w:r>
        <w:rPr>
          <w:rFonts w:ascii="Times New Roman" w:eastAsia="Times New Roman" w:hAnsi="Times New Roman" w:cs="Times New Roman"/>
          <w:sz w:val="24"/>
          <w:szCs w:val="24"/>
        </w:rPr>
        <w:t>nes internacionales por parte del Estado ecuatoriano, y es que éste está fallando en respetar, proteger y garantizar los derechos sexuales y reproductivos de las mujeres ecuatorianas, especialmente en cuanto al garantizar el acceso a la interrupción volunt</w:t>
      </w:r>
      <w:r>
        <w:rPr>
          <w:rFonts w:ascii="Times New Roman" w:eastAsia="Times New Roman" w:hAnsi="Times New Roman" w:cs="Times New Roman"/>
          <w:sz w:val="24"/>
          <w:szCs w:val="24"/>
        </w:rPr>
        <w:t xml:space="preserve">aria del embarazo en casos de violación, a pesar de estar obligado a adoptar medidas en este respecto. Y es que su aquiescencia constituye ya de por sí un acto que debería ser internacionalmente reprochable. </w:t>
      </w:r>
    </w:p>
    <w:p w14:paraId="7A396756" w14:textId="77777777" w:rsidR="002E5DA8" w:rsidRDefault="0095632D">
      <w:pPr>
        <w:pStyle w:val="Heading1"/>
        <w:numPr>
          <w:ilvl w:val="1"/>
          <w:numId w:val="9"/>
        </w:numPr>
        <w:pBdr>
          <w:top w:val="nil"/>
          <w:left w:val="nil"/>
          <w:bottom w:val="nil"/>
          <w:right w:val="nil"/>
          <w:between w:val="nil"/>
        </w:pBdr>
        <w:spacing w:after="200"/>
        <w:rPr>
          <w:rFonts w:ascii="Times New Roman" w:eastAsia="Times New Roman" w:hAnsi="Times New Roman" w:cs="Times New Roman"/>
          <w:i/>
          <w:color w:val="000000"/>
          <w:sz w:val="24"/>
          <w:szCs w:val="24"/>
        </w:rPr>
      </w:pPr>
      <w:bookmarkStart w:id="4" w:name="_heading=h.uxq6z3t61bnp" w:colFirst="0" w:colLast="0"/>
      <w:bookmarkEnd w:id="4"/>
      <w:r>
        <w:rPr>
          <w:rFonts w:ascii="Times New Roman" w:eastAsia="Times New Roman" w:hAnsi="Times New Roman" w:cs="Times New Roman"/>
          <w:i/>
          <w:color w:val="000000"/>
          <w:sz w:val="24"/>
          <w:szCs w:val="24"/>
        </w:rPr>
        <w:t>Sentencia Constitucional 34-19-IN/21 y acumulados.</w:t>
      </w:r>
      <w:r>
        <w:rPr>
          <w:rFonts w:ascii="Times New Roman" w:eastAsia="Times New Roman" w:hAnsi="Times New Roman" w:cs="Times New Roman"/>
          <w:i/>
          <w:color w:val="000000"/>
          <w:sz w:val="24"/>
          <w:szCs w:val="24"/>
          <w:vertAlign w:val="superscript"/>
        </w:rPr>
        <w:footnoteReference w:id="19"/>
      </w:r>
    </w:p>
    <w:p w14:paraId="7A396757" w14:textId="77777777" w:rsidR="002E5DA8" w:rsidRDefault="0095632D">
      <w:pPr>
        <w:spacing w:after="200" w:line="360" w:lineRule="auto"/>
        <w:jc w:val="both"/>
        <w:rPr>
          <w:vertAlign w:val="superscript"/>
        </w:rPr>
      </w:pPr>
      <w:r>
        <w:rPr>
          <w:rFonts w:ascii="Times New Roman" w:eastAsia="Times New Roman" w:hAnsi="Times New Roman" w:cs="Times New Roman"/>
          <w:sz w:val="24"/>
          <w:szCs w:val="24"/>
        </w:rPr>
        <w:t>El 28 de abril de 2021, la Corte declara la inconstitucionalidad en el fondo del artículo 150 numeral 2 del COIP en la frase “en una mujer que padezca de discapacidad mental”.</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Desde entonces, el Ecuador dio un paso histórico para los derechos de las mujeres y personas con la capacidad de gestar, ha atravesado por un extenso proceso legislativo, y de adaptación, en el que se ha demostrado trascendentales efectos jurídicos, signi</w:t>
      </w:r>
      <w:r>
        <w:rPr>
          <w:rFonts w:ascii="Times New Roman" w:eastAsia="Times New Roman" w:hAnsi="Times New Roman" w:cs="Times New Roman"/>
          <w:sz w:val="24"/>
          <w:szCs w:val="24"/>
        </w:rPr>
        <w:t>ficativos en debates sociales y de coyuntura política.</w:t>
      </w:r>
    </w:p>
    <w:p w14:paraId="7A396758" w14:textId="77777777" w:rsidR="002E5DA8" w:rsidRDefault="0095632D">
      <w:pPr>
        <w:pStyle w:val="Heading2"/>
        <w:numPr>
          <w:ilvl w:val="2"/>
          <w:numId w:val="9"/>
        </w:numPr>
      </w:pPr>
      <w:bookmarkStart w:id="5" w:name="_heading=h.od05dm5d9t9p" w:colFirst="0" w:colLast="0"/>
      <w:bookmarkEnd w:id="5"/>
      <w:r>
        <w:rPr>
          <w:b w:val="0"/>
        </w:rPr>
        <w:t>Presentación de la Acción Pública de Inconstitucionalidad:</w:t>
      </w:r>
    </w:p>
    <w:p w14:paraId="7A396759" w14:textId="77777777" w:rsidR="002E5DA8" w:rsidRDefault="0095632D">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El caso inicia mediante Acción Pública de Inconstitucionalidad interpuesta el 30 de julio de 2019, en contra del fondo de los artículos 149 y </w:t>
      </w:r>
      <w:r>
        <w:rPr>
          <w:rFonts w:ascii="Times New Roman" w:eastAsia="Times New Roman" w:hAnsi="Times New Roman" w:cs="Times New Roman"/>
          <w:color w:val="000000"/>
          <w:sz w:val="24"/>
          <w:szCs w:val="24"/>
        </w:rPr>
        <w:t xml:space="preserve">150, numeral dos del COIP, </w:t>
      </w:r>
      <w:r>
        <w:rPr>
          <w:rFonts w:ascii="Times New Roman" w:eastAsia="Times New Roman" w:hAnsi="Times New Roman" w:cs="Times New Roman"/>
          <w:sz w:val="24"/>
          <w:szCs w:val="24"/>
        </w:rPr>
        <w:t>en cuanto</w:t>
      </w:r>
      <w:r>
        <w:rPr>
          <w:rFonts w:ascii="Times New Roman" w:eastAsia="Times New Roman" w:hAnsi="Times New Roman" w:cs="Times New Roman"/>
          <w:color w:val="000000"/>
          <w:sz w:val="24"/>
          <w:szCs w:val="24"/>
        </w:rPr>
        <w:t xml:space="preserve"> a la penalización del aborto, y</w:t>
      </w:r>
      <w:r>
        <w:rPr>
          <w:rFonts w:ascii="Times New Roman" w:eastAsia="Times New Roman" w:hAnsi="Times New Roman" w:cs="Times New Roman"/>
          <w:sz w:val="24"/>
          <w:szCs w:val="24"/>
        </w:rPr>
        <w:t xml:space="preserve"> las causas de exclusión de la punibilidad de éste:</w:t>
      </w:r>
      <w:r>
        <w:rPr>
          <w:rFonts w:ascii="Times New Roman" w:eastAsia="Times New Roman" w:hAnsi="Times New Roman" w:cs="Times New Roman"/>
          <w:color w:val="000000"/>
          <w:sz w:val="24"/>
          <w:szCs w:val="24"/>
        </w:rPr>
        <w:t xml:space="preserve"> </w:t>
      </w:r>
    </w:p>
    <w:p w14:paraId="7A39675A" w14:textId="77777777" w:rsidR="002E5DA8" w:rsidRDefault="0095632D">
      <w:pPr>
        <w:pBdr>
          <w:top w:val="nil"/>
          <w:left w:val="nil"/>
          <w:bottom w:val="nil"/>
          <w:right w:val="nil"/>
          <w:between w:val="nil"/>
        </w:pBdr>
        <w:spacing w:after="200" w:line="36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Si se ha practicado para evitar un peligro para la vida o salud de la mujer embarazada y si este peligro no puede ser evitado por ot</w:t>
      </w:r>
      <w:r>
        <w:rPr>
          <w:rFonts w:ascii="Times New Roman" w:eastAsia="Times New Roman" w:hAnsi="Times New Roman" w:cs="Times New Roman"/>
          <w:color w:val="000000"/>
          <w:sz w:val="24"/>
          <w:szCs w:val="24"/>
        </w:rPr>
        <w:t xml:space="preserve">ros medios. </w:t>
      </w:r>
    </w:p>
    <w:p w14:paraId="7A39675B" w14:textId="77777777" w:rsidR="002E5DA8" w:rsidRDefault="0095632D">
      <w:pPr>
        <w:pBdr>
          <w:top w:val="nil"/>
          <w:left w:val="nil"/>
          <w:bottom w:val="nil"/>
          <w:right w:val="nil"/>
          <w:between w:val="nil"/>
        </w:pBdr>
        <w:spacing w:after="200" w:line="36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 Si el embarazo es consecuencia de una violación </w:t>
      </w:r>
      <w:r>
        <w:rPr>
          <w:rFonts w:ascii="Times New Roman" w:eastAsia="Times New Roman" w:hAnsi="Times New Roman" w:cs="Times New Roman"/>
          <w:b/>
          <w:i/>
          <w:color w:val="000000"/>
          <w:sz w:val="24"/>
          <w:szCs w:val="24"/>
          <w:u w:val="single"/>
        </w:rPr>
        <w:t xml:space="preserve">"en una mujer que padezca de discapacidad mental". </w:t>
      </w:r>
      <w:r>
        <w:rPr>
          <w:rFonts w:ascii="Times New Roman" w:eastAsia="Times New Roman" w:hAnsi="Times New Roman" w:cs="Times New Roman"/>
          <w:color w:val="000000"/>
          <w:sz w:val="24"/>
          <w:szCs w:val="24"/>
          <w:vertAlign w:val="superscript"/>
        </w:rPr>
        <w:footnoteReference w:id="21"/>
      </w:r>
    </w:p>
    <w:p w14:paraId="7A39675C" w14:textId="77777777" w:rsidR="002E5DA8" w:rsidRDefault="0095632D">
      <w:pPr>
        <w:pStyle w:val="Heading2"/>
        <w:numPr>
          <w:ilvl w:val="2"/>
          <w:numId w:val="9"/>
        </w:numPr>
        <w:spacing w:after="200"/>
        <w:ind w:firstLine="1800"/>
      </w:pPr>
      <w:bookmarkStart w:id="6" w:name="_heading=h.i9edi43y2tu5" w:colFirst="0" w:colLast="0"/>
      <w:bookmarkEnd w:id="6"/>
      <w:r>
        <w:rPr>
          <w:b w:val="0"/>
        </w:rPr>
        <w:t>Argumentos de los/las accionantes:</w:t>
      </w:r>
    </w:p>
    <w:p w14:paraId="7A39675D" w14:textId="77777777" w:rsidR="002E5DA8" w:rsidRDefault="0095632D">
      <w:pPr>
        <w:spacing w:after="200" w:line="360" w:lineRule="auto"/>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Las accionantes exponen la demanda de inconstitucionalidad de las normas mencionadas, bajo los fundamentos de que estas violan los derechos de todas las mujeres y personas con capacidad de gestar que han sufrido de una violación sexual. Esta demanda incluy</w:t>
      </w:r>
      <w:r>
        <w:rPr>
          <w:rFonts w:ascii="Times New Roman" w:eastAsia="Times New Roman" w:hAnsi="Times New Roman" w:cs="Times New Roman"/>
          <w:sz w:val="24"/>
          <w:szCs w:val="24"/>
        </w:rPr>
        <w:t>e a aquellas que, siendo menores de edad, han tenido que concebir hijos de familiares; de mujeres con discapacidad; de mujeres que no pudieron elegir y que fueron prohibidas de sus derechos constitucionales. Los derechos reclamados fueron; vida digna, a la</w:t>
      </w:r>
      <w:r>
        <w:rPr>
          <w:rFonts w:ascii="Times New Roman" w:eastAsia="Times New Roman" w:hAnsi="Times New Roman" w:cs="Times New Roman"/>
          <w:sz w:val="24"/>
          <w:szCs w:val="24"/>
        </w:rPr>
        <w:t xml:space="preserve"> salud, a la integridad física, psíquica, moral y sexual, a una vida sin violencia en ámbito público y privado, al libre desarrollo de la personalidad, a decisiones libres sobre su sexualidad, su salud y vida reproductiva.</w:t>
      </w:r>
    </w:p>
    <w:p w14:paraId="7A39675E" w14:textId="77777777" w:rsidR="002E5DA8" w:rsidRDefault="0095632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También, la acción está basada en</w:t>
      </w:r>
      <w:r>
        <w:rPr>
          <w:rFonts w:ascii="Times New Roman" w:eastAsia="Times New Roman" w:hAnsi="Times New Roman" w:cs="Times New Roman"/>
          <w:sz w:val="24"/>
          <w:szCs w:val="24"/>
        </w:rPr>
        <w:t xml:space="preserve"> la existencia de incompatibilidad entre las normas impugnadas y Tratados, Observaciones y Recomendaciones Internacionales en materia de Derechos Humanos, argumentando la fundamental importancia que éstos tienen en el Ecuador por efecto del bloque de const</w:t>
      </w:r>
      <w:r>
        <w:rPr>
          <w:rFonts w:ascii="Times New Roman" w:eastAsia="Times New Roman" w:hAnsi="Times New Roman" w:cs="Times New Roman"/>
          <w:sz w:val="24"/>
          <w:szCs w:val="24"/>
        </w:rPr>
        <w:t xml:space="preserve">itucionalidad. </w:t>
      </w:r>
      <w:r>
        <w:rPr>
          <w:rFonts w:ascii="Times New Roman" w:eastAsia="Times New Roman" w:hAnsi="Times New Roman" w:cs="Times New Roman"/>
          <w:sz w:val="24"/>
          <w:szCs w:val="24"/>
          <w:vertAlign w:val="superscript"/>
        </w:rPr>
        <w:footnoteReference w:id="22"/>
      </w:r>
    </w:p>
    <w:p w14:paraId="7A39675F" w14:textId="77777777" w:rsidR="002E5DA8" w:rsidRDefault="0095632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 lo cual, las accionantes solicitaron que se declare la inconstitucionalidad de las normas mencionadas; en cuanto a la frase </w:t>
      </w:r>
      <w:r>
        <w:rPr>
          <w:rFonts w:ascii="Times New Roman" w:eastAsia="Times New Roman" w:hAnsi="Times New Roman" w:cs="Times New Roman"/>
          <w:b/>
          <w:i/>
          <w:sz w:val="24"/>
          <w:szCs w:val="24"/>
          <w:u w:val="single"/>
        </w:rPr>
        <w:t>"que padezca de discapacidad mental"</w:t>
      </w:r>
      <w:r>
        <w:rPr>
          <w:rFonts w:ascii="Times New Roman" w:eastAsia="Times New Roman" w:hAnsi="Times New Roman" w:cs="Times New Roman"/>
          <w:sz w:val="24"/>
          <w:szCs w:val="24"/>
        </w:rPr>
        <w:t xml:space="preserve">; y propusieron que aquella frase se sustituya por </w:t>
      </w:r>
      <w:r>
        <w:rPr>
          <w:rFonts w:ascii="Times New Roman" w:eastAsia="Times New Roman" w:hAnsi="Times New Roman" w:cs="Times New Roman"/>
          <w:b/>
          <w:i/>
          <w:sz w:val="24"/>
          <w:szCs w:val="24"/>
          <w:u w:val="single"/>
        </w:rPr>
        <w:t>"incesto, malformación grave del feto y embarazo por inseminación forzada</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xml:space="preserve">; y como medida cautelar solicitaron la suspensión provisional de las normas impugnadas. </w:t>
      </w:r>
    </w:p>
    <w:p w14:paraId="7A396760"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Además, en los acumulados, las accionantes alegan que esta diferenciación legal, no puede</w:t>
      </w:r>
      <w:r>
        <w:rPr>
          <w:rFonts w:ascii="Times New Roman" w:eastAsia="Times New Roman" w:hAnsi="Times New Roman" w:cs="Times New Roman"/>
          <w:sz w:val="24"/>
          <w:szCs w:val="24"/>
        </w:rPr>
        <w:t xml:space="preserve"> ser la discapacidad mental, sino el hecho de haber quedado embarazadas producto de una violación sexual</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w:t>
      </w:r>
    </w:p>
    <w:p w14:paraId="7A396761" w14:textId="77777777" w:rsidR="002E5DA8" w:rsidRDefault="0095632D">
      <w:pPr>
        <w:pStyle w:val="Heading2"/>
        <w:numPr>
          <w:ilvl w:val="2"/>
          <w:numId w:val="9"/>
        </w:numPr>
        <w:ind w:firstLine="1800"/>
      </w:pPr>
      <w:bookmarkStart w:id="7" w:name="_heading=h.f74hiwg9vzwc" w:colFirst="0" w:colLast="0"/>
      <w:bookmarkEnd w:id="7"/>
      <w:r>
        <w:t>La sentencia de la Corte Constitucional respecto al caso:</w:t>
      </w:r>
    </w:p>
    <w:p w14:paraId="7A396762" w14:textId="77777777" w:rsidR="002E5DA8" w:rsidRDefault="0095632D">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28 de abril de 2021, la Corte declara la inconstitucionalidad en el fondo del artículo</w:t>
      </w:r>
      <w:r>
        <w:rPr>
          <w:rFonts w:ascii="Times New Roman" w:eastAsia="Times New Roman" w:hAnsi="Times New Roman" w:cs="Times New Roman"/>
          <w:sz w:val="24"/>
          <w:szCs w:val="24"/>
        </w:rPr>
        <w:t xml:space="preserve"> 150 numeral 2 del COIP en la frase</w:t>
      </w:r>
      <w:r>
        <w:rPr>
          <w:rFonts w:ascii="Times New Roman" w:eastAsia="Times New Roman" w:hAnsi="Times New Roman" w:cs="Times New Roman"/>
          <w:b/>
          <w:i/>
          <w:sz w:val="24"/>
          <w:szCs w:val="24"/>
          <w:u w:val="single"/>
        </w:rPr>
        <w:t xml:space="preserve"> “en una mujer que padezca de discapacidad mental”</w:t>
      </w:r>
      <w:r>
        <w:rPr>
          <w:rFonts w:ascii="Times New Roman" w:eastAsia="Times New Roman" w:hAnsi="Times New Roman" w:cs="Times New Roman"/>
          <w:sz w:val="24"/>
          <w:szCs w:val="24"/>
        </w:rPr>
        <w:t xml:space="preserve">. </w:t>
      </w:r>
    </w:p>
    <w:p w14:paraId="7A396763" w14:textId="77777777" w:rsidR="002E5DA8" w:rsidRDefault="0095632D">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cuanto al análisis que llevó a la CCE a declarar la inconstitucionalidad, ésta identificó los bienes jurídicos que se pretenden proteger poniendo en discusión dos de</w:t>
      </w:r>
      <w:r>
        <w:rPr>
          <w:rFonts w:ascii="Times New Roman" w:eastAsia="Times New Roman" w:hAnsi="Times New Roman" w:cs="Times New Roman"/>
          <w:sz w:val="24"/>
          <w:szCs w:val="24"/>
        </w:rPr>
        <w:t>rechos; la vida y la integridad personal en sus distintas dimensiones; física, psíquica, moral y sexual</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w:t>
      </w:r>
    </w:p>
    <w:p w14:paraId="7A396764" w14:textId="77777777" w:rsidR="002E5DA8" w:rsidRDefault="0095632D">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fin de formular su convicción en el caso, la Corte identifica que los bienes jurídicos establecidos por el legislador en relación a la violación y </w:t>
      </w:r>
      <w:r>
        <w:rPr>
          <w:rFonts w:ascii="Times New Roman" w:eastAsia="Times New Roman" w:hAnsi="Times New Roman" w:cs="Times New Roman"/>
          <w:sz w:val="24"/>
          <w:szCs w:val="24"/>
        </w:rPr>
        <w:t xml:space="preserve">el aborto consentido son y hace un ejercicio de ponderación. Por un lado, la protección de la vida del </w:t>
      </w:r>
      <w:r>
        <w:rPr>
          <w:rFonts w:ascii="Times New Roman" w:eastAsia="Times New Roman" w:hAnsi="Times New Roman" w:cs="Times New Roman"/>
          <w:i/>
          <w:sz w:val="24"/>
          <w:szCs w:val="24"/>
        </w:rPr>
        <w:t xml:space="preserve">nasciturus  </w:t>
      </w:r>
      <w:r>
        <w:rPr>
          <w:rFonts w:ascii="Times New Roman" w:eastAsia="Times New Roman" w:hAnsi="Times New Roman" w:cs="Times New Roman"/>
          <w:sz w:val="24"/>
          <w:szCs w:val="24"/>
        </w:rPr>
        <w:t>(el que está por nacer o aún no nacido)</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reconocido a rango constitucional por el ordenamiento jurídico ecuatoriano y por el otro lado la l</w:t>
      </w:r>
      <w:r>
        <w:rPr>
          <w:rFonts w:ascii="Times New Roman" w:eastAsia="Times New Roman" w:hAnsi="Times New Roman" w:cs="Times New Roman"/>
          <w:sz w:val="24"/>
          <w:szCs w:val="24"/>
        </w:rPr>
        <w:t xml:space="preserve">ibertad e indemnidad sexual que se relacionan con la integridad personal de niñas, adolescentes y mujeres víctimas de violación. </w:t>
      </w:r>
    </w:p>
    <w:p w14:paraId="7A396765" w14:textId="77777777" w:rsidR="002E5DA8" w:rsidRDefault="0095632D">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 así que, en su sentencia la Corte sigue los siguientes criterios: </w:t>
      </w:r>
    </w:p>
    <w:p w14:paraId="7A396766" w14:textId="77777777" w:rsidR="002E5DA8" w:rsidRDefault="0095632D">
      <w:pPr>
        <w:numPr>
          <w:ilvl w:val="0"/>
          <w:numId w:val="14"/>
        </w:numPr>
        <w:spacing w:before="280" w:after="2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La protección a la vida del </w:t>
      </w:r>
      <w:r>
        <w:rPr>
          <w:rFonts w:ascii="Times New Roman" w:eastAsia="Times New Roman" w:hAnsi="Times New Roman" w:cs="Times New Roman"/>
          <w:b/>
          <w:i/>
          <w:sz w:val="24"/>
          <w:szCs w:val="24"/>
        </w:rPr>
        <w:t xml:space="preserve">nasciturus </w:t>
      </w:r>
      <w:r>
        <w:rPr>
          <w:rFonts w:ascii="Times New Roman" w:eastAsia="Times New Roman" w:hAnsi="Times New Roman" w:cs="Times New Roman"/>
          <w:b/>
          <w:sz w:val="24"/>
          <w:szCs w:val="24"/>
        </w:rPr>
        <w:t>no es absoluta.</w:t>
      </w:r>
    </w:p>
    <w:p w14:paraId="7A396767" w14:textId="77777777" w:rsidR="002E5DA8" w:rsidRDefault="0095632D">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w:t>
      </w:r>
      <w:r>
        <w:rPr>
          <w:rFonts w:ascii="Times New Roman" w:eastAsia="Times New Roman" w:hAnsi="Times New Roman" w:cs="Times New Roman"/>
          <w:sz w:val="24"/>
          <w:szCs w:val="24"/>
        </w:rPr>
        <w:t xml:space="preserve">a Corte explica que, si bien la Constitución ecuatoriana reconoce a la protección a la vida del </w:t>
      </w:r>
      <w:r>
        <w:rPr>
          <w:rFonts w:ascii="Times New Roman" w:eastAsia="Times New Roman" w:hAnsi="Times New Roman" w:cs="Times New Roman"/>
          <w:i/>
          <w:sz w:val="24"/>
          <w:szCs w:val="24"/>
        </w:rPr>
        <w:t xml:space="preserve">nasciturus </w:t>
      </w:r>
      <w:r>
        <w:rPr>
          <w:rFonts w:ascii="Times New Roman" w:eastAsia="Times New Roman" w:hAnsi="Times New Roman" w:cs="Times New Roman"/>
          <w:sz w:val="24"/>
          <w:szCs w:val="24"/>
        </w:rPr>
        <w:t xml:space="preserve">desde la concepción, que los derechos deben ser aplicados y entendidos como inalienables, irrenunciables, indivisibles, interdependientes y de igual </w:t>
      </w:r>
      <w:r>
        <w:rPr>
          <w:rFonts w:ascii="Times New Roman" w:eastAsia="Times New Roman" w:hAnsi="Times New Roman" w:cs="Times New Roman"/>
          <w:sz w:val="24"/>
          <w:szCs w:val="24"/>
        </w:rPr>
        <w:t>jerarquía, tal como lo establece el Art. 11 de la CRE. Esto mismo implica que los derechos están vinculados entre sí, que todos tienen el mismo grado, orden o jerarquía, que no pueden ser aplicados de forma parcial y que la restricción de uno de esos derec</w:t>
      </w:r>
      <w:r>
        <w:rPr>
          <w:rFonts w:ascii="Times New Roman" w:eastAsia="Times New Roman" w:hAnsi="Times New Roman" w:cs="Times New Roman"/>
          <w:sz w:val="24"/>
          <w:szCs w:val="24"/>
        </w:rPr>
        <w:t>hos restringe a todo su conjunto. Así, la protección al derecho a la vida desde la concepción tampoco debe ser visto de una manera aislada</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w:t>
      </w:r>
    </w:p>
    <w:p w14:paraId="7A396768" w14:textId="77777777" w:rsidR="002E5DA8" w:rsidRDefault="0095632D">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el mismo sentido, hace hincapié sobre lo decidido por la Corte IDH, en el caso Artavia Murillo y otros vs. Costa Rica</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xml:space="preserve">, el cual interpreta el alcance del Art. 4.1 de la Convención Americana sobre Derechos Humanos sobre la protección del </w:t>
      </w:r>
      <w:r>
        <w:rPr>
          <w:rFonts w:ascii="Times New Roman" w:eastAsia="Times New Roman" w:hAnsi="Times New Roman" w:cs="Times New Roman"/>
          <w:i/>
          <w:sz w:val="24"/>
          <w:szCs w:val="24"/>
        </w:rPr>
        <w:t>nasciturus</w:t>
      </w:r>
      <w:r>
        <w:rPr>
          <w:rFonts w:ascii="Times New Roman" w:eastAsia="Times New Roman" w:hAnsi="Times New Roman" w:cs="Times New Roman"/>
          <w:sz w:val="24"/>
          <w:szCs w:val="24"/>
        </w:rPr>
        <w:t>, y e</w:t>
      </w:r>
      <w:r>
        <w:rPr>
          <w:rFonts w:ascii="Times New Roman" w:eastAsia="Times New Roman" w:hAnsi="Times New Roman" w:cs="Times New Roman"/>
          <w:sz w:val="24"/>
          <w:szCs w:val="24"/>
        </w:rPr>
        <w:t xml:space="preserve">stablece que la intención de aquel artículo es proteger el derecho a la vida sin que esto implique necesariamente a que se niegue otro derecho. </w:t>
      </w:r>
      <w:r>
        <w:rPr>
          <w:rFonts w:ascii="Times New Roman" w:eastAsia="Times New Roman" w:hAnsi="Times New Roman" w:cs="Times New Roman"/>
          <w:b/>
          <w:sz w:val="24"/>
          <w:szCs w:val="24"/>
          <w:u w:val="single"/>
        </w:rPr>
        <w:t xml:space="preserve">Concluyendo así, que no se puede entender a la protección del </w:t>
      </w:r>
      <w:r>
        <w:rPr>
          <w:rFonts w:ascii="Times New Roman" w:eastAsia="Times New Roman" w:hAnsi="Times New Roman" w:cs="Times New Roman"/>
          <w:b/>
          <w:i/>
          <w:sz w:val="24"/>
          <w:szCs w:val="24"/>
          <w:u w:val="single"/>
        </w:rPr>
        <w:t xml:space="preserve">nasciturus </w:t>
      </w:r>
      <w:r>
        <w:rPr>
          <w:rFonts w:ascii="Times New Roman" w:eastAsia="Times New Roman" w:hAnsi="Times New Roman" w:cs="Times New Roman"/>
          <w:b/>
          <w:sz w:val="24"/>
          <w:szCs w:val="24"/>
          <w:u w:val="single"/>
        </w:rPr>
        <w:t>de forma aislada de otros derechos, sin</w:t>
      </w:r>
      <w:r>
        <w:rPr>
          <w:rFonts w:ascii="Times New Roman" w:eastAsia="Times New Roman" w:hAnsi="Times New Roman" w:cs="Times New Roman"/>
          <w:b/>
          <w:sz w:val="24"/>
          <w:szCs w:val="24"/>
          <w:u w:val="single"/>
        </w:rPr>
        <w:t xml:space="preserve">o sistemáticamente. </w:t>
      </w:r>
    </w:p>
    <w:p w14:paraId="7A396769" w14:textId="77777777" w:rsidR="002E5DA8" w:rsidRDefault="0095632D">
      <w:pPr>
        <w:numPr>
          <w:ilvl w:val="0"/>
          <w:numId w:val="10"/>
        </w:numPr>
        <w:spacing w:before="280" w:after="2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Un embarazo producto de una violación afecta la integridad personal.</w:t>
      </w:r>
    </w:p>
    <w:p w14:paraId="7A39676A" w14:textId="77777777" w:rsidR="002E5DA8" w:rsidRDefault="0095632D">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Respecto de la libertad e indemnidad sexual como bien jurídico protegido por el tipo penal de la violencia sexual, la Corte recalca que éste afecta directamente a la integridad personal en todas sus dimensiones y que se encuentra tipificado como un delito </w:t>
      </w:r>
      <w:r>
        <w:rPr>
          <w:rFonts w:ascii="Times New Roman" w:eastAsia="Times New Roman" w:hAnsi="Times New Roman" w:cs="Times New Roman"/>
          <w:sz w:val="24"/>
          <w:szCs w:val="24"/>
        </w:rPr>
        <w:t xml:space="preserve">en el Art. 171 del COIP. Además también argumenta que este delito violenta directamente los derechos de las mujeres y personas con posibilidad de gestar, al libre desarrollo de su personalidad y a todas las dimensiones de la dignidad humana. </w:t>
      </w:r>
    </w:p>
    <w:p w14:paraId="7A39676B" w14:textId="77777777" w:rsidR="002E5DA8" w:rsidRDefault="0095632D">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Incluso, cita</w:t>
      </w:r>
      <w:r>
        <w:rPr>
          <w:rFonts w:ascii="Times New Roman" w:eastAsia="Times New Roman" w:hAnsi="Times New Roman" w:cs="Times New Roman"/>
          <w:sz w:val="24"/>
          <w:szCs w:val="24"/>
        </w:rPr>
        <w:t>ndo de este propio Comité, también del CEDAW, el Relator Especial sobre la Tortura y otros Tratos o Penas, Crueles, inhumanos o degradantes y jurisprudencia interamericana, la CCE reconoce que, en determinadas situaciones, la violación sexual así como tamb</w:t>
      </w:r>
      <w:r>
        <w:rPr>
          <w:rFonts w:ascii="Times New Roman" w:eastAsia="Times New Roman" w:hAnsi="Times New Roman" w:cs="Times New Roman"/>
          <w:sz w:val="24"/>
          <w:szCs w:val="24"/>
        </w:rPr>
        <w:t>ién el embarazo forzado, la penalización del delito de aborto por violación y la falta de asistencia a mujeres en esta condición de vulnerabilidad pueden constituir una forma de tortura, trato cruel, inhumano o degradante</w:t>
      </w:r>
      <w:r>
        <w:rPr>
          <w:rFonts w:ascii="Times New Roman" w:eastAsia="Times New Roman" w:hAnsi="Times New Roman" w:cs="Times New Roman"/>
          <w:sz w:val="24"/>
          <w:szCs w:val="24"/>
          <w:vertAlign w:val="superscript"/>
        </w:rPr>
        <w:footnoteReference w:id="29"/>
      </w:r>
      <w:r>
        <w:rPr>
          <w:rFonts w:ascii="Times New Roman" w:eastAsia="Times New Roman" w:hAnsi="Times New Roman" w:cs="Times New Roman"/>
          <w:sz w:val="24"/>
          <w:szCs w:val="24"/>
        </w:rPr>
        <w:t>. Y es que el derecho internacion</w:t>
      </w:r>
      <w:r>
        <w:rPr>
          <w:rFonts w:ascii="Times New Roman" w:eastAsia="Times New Roman" w:hAnsi="Times New Roman" w:cs="Times New Roman"/>
          <w:sz w:val="24"/>
          <w:szCs w:val="24"/>
        </w:rPr>
        <w:t>al ha ido reconociendo progresivamente el derecho a abortar</w:t>
      </w:r>
      <w:r>
        <w:rPr>
          <w:rFonts w:ascii="Times New Roman" w:eastAsia="Times New Roman" w:hAnsi="Times New Roman" w:cs="Times New Roman"/>
          <w:sz w:val="24"/>
          <w:szCs w:val="24"/>
          <w:vertAlign w:val="superscript"/>
        </w:rPr>
        <w:footnoteReference w:id="30"/>
      </w:r>
      <w:r>
        <w:rPr>
          <w:rFonts w:ascii="Times New Roman" w:eastAsia="Times New Roman" w:hAnsi="Times New Roman" w:cs="Times New Roman"/>
          <w:sz w:val="24"/>
          <w:szCs w:val="24"/>
        </w:rPr>
        <w:t>.</w:t>
      </w:r>
    </w:p>
    <w:p w14:paraId="7A39676C" w14:textId="77777777" w:rsidR="002E5DA8" w:rsidRDefault="0095632D">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Así, un embarazo no deseado, obliga a las mujeres y personas con capacidad de gestar, a sobrellevar el embarazo de su agresor, interfiriendo en su plan de vida y comprometiéndose nuevamente a t</w:t>
      </w:r>
      <w:r>
        <w:rPr>
          <w:rFonts w:ascii="Times New Roman" w:eastAsia="Times New Roman" w:hAnsi="Times New Roman" w:cs="Times New Roman"/>
          <w:sz w:val="24"/>
          <w:szCs w:val="24"/>
        </w:rPr>
        <w:t xml:space="preserve">ransformaciones físicas, psicológicas, fisiológicas, en contra de su voluntad. </w:t>
      </w:r>
    </w:p>
    <w:p w14:paraId="7A39676D" w14:textId="77777777" w:rsidR="002E5DA8" w:rsidRDefault="0095632D">
      <w:pPr>
        <w:numPr>
          <w:ilvl w:val="0"/>
          <w:numId w:val="15"/>
        </w:numPr>
        <w:spacing w:before="280" w:after="2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Falta de proporcionalidad en la penalización de aborto en casos de violación.</w:t>
      </w:r>
    </w:p>
    <w:p w14:paraId="7A39676E" w14:textId="77777777" w:rsidR="002E5DA8" w:rsidRDefault="0095632D">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Corte dispone que la norma no es idónea, debido a que la intención de tipificar el delito de ab</w:t>
      </w:r>
      <w:r>
        <w:rPr>
          <w:rFonts w:ascii="Times New Roman" w:eastAsia="Times New Roman" w:hAnsi="Times New Roman" w:cs="Times New Roman"/>
          <w:sz w:val="24"/>
          <w:szCs w:val="24"/>
        </w:rPr>
        <w:t>ortar es proteger el bien jurídico de la vida, lo cual es constitucionalmente válido. Sin embargo, con ello no se puede restringir los derechos y mucho menos a personas que, en consecuencia de una violación sexual, tengan que ser privadas de libertad. Adem</w:t>
      </w:r>
      <w:r>
        <w:rPr>
          <w:rFonts w:ascii="Times New Roman" w:eastAsia="Times New Roman" w:hAnsi="Times New Roman" w:cs="Times New Roman"/>
          <w:sz w:val="24"/>
          <w:szCs w:val="24"/>
        </w:rPr>
        <w:t xml:space="preserve">ás, no disminuye abortos y al contrario condiciona a las mujeres practicárselos en situaciones inseguras, poniendo en riesgo su vida y su salud. Por tanto, no se consigue lo pretendido, y violenta otros derechos. </w:t>
      </w:r>
    </w:p>
    <w:p w14:paraId="7A39676F" w14:textId="77777777" w:rsidR="002E5DA8" w:rsidRDefault="0095632D">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Por último, determina que la norma no es p</w:t>
      </w:r>
      <w:r>
        <w:rPr>
          <w:rFonts w:ascii="Times New Roman" w:eastAsia="Times New Roman" w:hAnsi="Times New Roman" w:cs="Times New Roman"/>
          <w:sz w:val="24"/>
          <w:szCs w:val="24"/>
        </w:rPr>
        <w:t xml:space="preserve">roporcional, ya que no logra disuadir la interrupción del embarazo voluntario, y no existe un equilibrio con proteger al </w:t>
      </w:r>
      <w:r>
        <w:rPr>
          <w:rFonts w:ascii="Times New Roman" w:eastAsia="Times New Roman" w:hAnsi="Times New Roman" w:cs="Times New Roman"/>
          <w:i/>
          <w:sz w:val="24"/>
          <w:szCs w:val="24"/>
        </w:rPr>
        <w:t xml:space="preserve">nasciturus </w:t>
      </w:r>
      <w:r>
        <w:rPr>
          <w:rFonts w:ascii="Times New Roman" w:eastAsia="Times New Roman" w:hAnsi="Times New Roman" w:cs="Times New Roman"/>
          <w:sz w:val="24"/>
          <w:szCs w:val="24"/>
        </w:rPr>
        <w:t>y las mujeres víctimas de violencia sexual, por el grave daño y los muchos derechos que se vulneran tras privarles de su lib</w:t>
      </w:r>
      <w:r>
        <w:rPr>
          <w:rFonts w:ascii="Times New Roman" w:eastAsia="Times New Roman" w:hAnsi="Times New Roman" w:cs="Times New Roman"/>
          <w:sz w:val="24"/>
          <w:szCs w:val="24"/>
        </w:rPr>
        <w:t xml:space="preserve">ertad. </w:t>
      </w:r>
    </w:p>
    <w:p w14:paraId="7A396770" w14:textId="77777777" w:rsidR="002E5DA8" w:rsidRDefault="0095632D">
      <w:pPr>
        <w:numPr>
          <w:ilvl w:val="0"/>
          <w:numId w:val="20"/>
        </w:numPr>
        <w:spacing w:before="280" w:after="2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La condición establecida es contraria al derecho a la igualdad y no discriminación.</w:t>
      </w:r>
    </w:p>
    <w:p w14:paraId="7A396771" w14:textId="77777777" w:rsidR="002E5DA8" w:rsidRDefault="0095632D">
      <w:pPr>
        <w:pBdr>
          <w:top w:val="nil"/>
          <w:left w:val="nil"/>
          <w:bottom w:val="nil"/>
          <w:right w:val="nil"/>
          <w:between w:val="nil"/>
        </w:pBd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Como último punto, la</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 xml:space="preserve">CCE </w:t>
      </w:r>
      <w:r>
        <w:rPr>
          <w:rFonts w:ascii="Times New Roman" w:eastAsia="Times New Roman" w:hAnsi="Times New Roman" w:cs="Times New Roman"/>
          <w:color w:val="000000"/>
          <w:sz w:val="24"/>
          <w:szCs w:val="24"/>
        </w:rPr>
        <w:t>analiza que el artículo 150, numeral 2, es contrario al derecho a la igualdad y no discriminación por tener como excepción el aborto conse</w:t>
      </w:r>
      <w:r>
        <w:rPr>
          <w:rFonts w:ascii="Times New Roman" w:eastAsia="Times New Roman" w:hAnsi="Times New Roman" w:cs="Times New Roman"/>
          <w:color w:val="000000"/>
          <w:sz w:val="24"/>
          <w:szCs w:val="24"/>
        </w:rPr>
        <w:t>ntido en casos de violación de mujeres con discapacidad mental. Ya que existe un trato diferenciado con respecto a mujeres víctimas de violación que padecen de una discapacidad mental con aquellas mujeres víctimas de violación pero que no padecen de una di</w:t>
      </w:r>
      <w:r>
        <w:rPr>
          <w:rFonts w:ascii="Times New Roman" w:eastAsia="Times New Roman" w:hAnsi="Times New Roman" w:cs="Times New Roman"/>
          <w:color w:val="000000"/>
          <w:sz w:val="24"/>
          <w:szCs w:val="24"/>
        </w:rPr>
        <w:t>scapacidad, lo cual restringe los derechos de ambos grupos</w:t>
      </w:r>
      <w:r>
        <w:rPr>
          <w:rFonts w:ascii="Times New Roman" w:eastAsia="Times New Roman" w:hAnsi="Times New Roman" w:cs="Times New Roman"/>
          <w:sz w:val="24"/>
          <w:szCs w:val="24"/>
        </w:rPr>
        <w:t xml:space="preserve">. </w:t>
      </w:r>
    </w:p>
    <w:p w14:paraId="7A396772" w14:textId="77777777" w:rsidR="002E5DA8" w:rsidRDefault="0095632D">
      <w:pPr>
        <w:pBdr>
          <w:top w:val="nil"/>
          <w:left w:val="nil"/>
          <w:bottom w:val="nil"/>
          <w:right w:val="nil"/>
          <w:between w:val="nil"/>
        </w:pBd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w:t>
      </w:r>
      <w:r>
        <w:rPr>
          <w:rFonts w:ascii="Times New Roman" w:eastAsia="Times New Roman" w:hAnsi="Times New Roman" w:cs="Times New Roman"/>
          <w:color w:val="000000"/>
          <w:sz w:val="24"/>
          <w:szCs w:val="24"/>
        </w:rPr>
        <w:t xml:space="preserve">s decir, no constituye una justificación </w:t>
      </w:r>
      <w:r>
        <w:rPr>
          <w:rFonts w:ascii="Times New Roman" w:eastAsia="Times New Roman" w:hAnsi="Times New Roman" w:cs="Times New Roman"/>
          <w:sz w:val="24"/>
          <w:szCs w:val="24"/>
        </w:rPr>
        <w:t>válida</w:t>
      </w:r>
      <w:r>
        <w:rPr>
          <w:rFonts w:ascii="Times New Roman" w:eastAsia="Times New Roman" w:hAnsi="Times New Roman" w:cs="Times New Roman"/>
          <w:color w:val="000000"/>
          <w:sz w:val="24"/>
          <w:szCs w:val="24"/>
        </w:rPr>
        <w:t xml:space="preserve"> ya que, en ambos grupos no hubo consentimiento, se les violó los mismos derechos constitucionales, sufren de las mismas consecuencias y es que no influyó su capacidad mental para que se le violara su derecho a la libertad de decisión y a su integridad</w:t>
      </w:r>
      <w:r>
        <w:rPr>
          <w:rFonts w:ascii="Times New Roman" w:eastAsia="Times New Roman" w:hAnsi="Times New Roman" w:cs="Times New Roman"/>
          <w:sz w:val="24"/>
          <w:szCs w:val="24"/>
        </w:rPr>
        <w:t>. De</w:t>
      </w:r>
      <w:r>
        <w:rPr>
          <w:rFonts w:ascii="Times New Roman" w:eastAsia="Times New Roman" w:hAnsi="Times New Roman" w:cs="Times New Roman"/>
          <w:sz w:val="24"/>
          <w:szCs w:val="24"/>
        </w:rPr>
        <w:t xml:space="preserve"> modo que la existencia de un trato diferenciado no es proporcional ni necesario para hacer esta distinción arbitraria. </w:t>
      </w:r>
    </w:p>
    <w:p w14:paraId="7A396773" w14:textId="77777777" w:rsidR="002E5DA8" w:rsidRDefault="0095632D">
      <w:pPr>
        <w:pBdr>
          <w:top w:val="nil"/>
          <w:left w:val="nil"/>
          <w:bottom w:val="nil"/>
          <w:right w:val="nil"/>
          <w:between w:val="nil"/>
        </w:pBd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consecuencia, declara la inconstitucionalidad por el fondo del artículo 150 numeral 2 del COIP en su frase “</w:t>
      </w:r>
      <w:r>
        <w:rPr>
          <w:rFonts w:ascii="Times New Roman" w:eastAsia="Times New Roman" w:hAnsi="Times New Roman" w:cs="Times New Roman"/>
          <w:i/>
          <w:sz w:val="24"/>
          <w:szCs w:val="24"/>
        </w:rPr>
        <w:t>en una mujer que padezca</w:t>
      </w:r>
      <w:r>
        <w:rPr>
          <w:rFonts w:ascii="Times New Roman" w:eastAsia="Times New Roman" w:hAnsi="Times New Roman" w:cs="Times New Roman"/>
          <w:i/>
          <w:sz w:val="24"/>
          <w:szCs w:val="24"/>
        </w:rPr>
        <w:t xml:space="preserve"> de discapacidad mental”</w:t>
      </w:r>
      <w:r>
        <w:rPr>
          <w:rFonts w:ascii="Times New Roman" w:eastAsia="Times New Roman" w:hAnsi="Times New Roman" w:cs="Times New Roman"/>
          <w:sz w:val="24"/>
          <w:szCs w:val="24"/>
        </w:rPr>
        <w:t>. La sentencia, entre otras cosas, además dispuso la creación de un proyecto de ley que regule la cuestión.</w:t>
      </w:r>
    </w:p>
    <w:p w14:paraId="7A396774" w14:textId="77777777" w:rsidR="002E5DA8" w:rsidRDefault="0095632D">
      <w:pPr>
        <w:pBdr>
          <w:top w:val="nil"/>
          <w:left w:val="nil"/>
          <w:bottom w:val="nil"/>
          <w:right w:val="nil"/>
          <w:between w:val="nil"/>
        </w:pBd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Entre los parámetros mínimos establecidos en su decisión, se encuentra lo siguiente como lo más relevante</w:t>
      </w:r>
      <w:r>
        <w:rPr>
          <w:rFonts w:ascii="Times New Roman" w:eastAsia="Times New Roman" w:hAnsi="Times New Roman" w:cs="Times New Roman"/>
          <w:sz w:val="24"/>
          <w:szCs w:val="24"/>
          <w:vertAlign w:val="superscript"/>
        </w:rPr>
        <w:footnoteReference w:id="31"/>
      </w:r>
      <w:r>
        <w:rPr>
          <w:rFonts w:ascii="Times New Roman" w:eastAsia="Times New Roman" w:hAnsi="Times New Roman" w:cs="Times New Roman"/>
          <w:sz w:val="24"/>
          <w:szCs w:val="24"/>
        </w:rPr>
        <w:t>:</w:t>
      </w:r>
    </w:p>
    <w:p w14:paraId="7A396775" w14:textId="77777777" w:rsidR="002E5DA8" w:rsidRDefault="0095632D">
      <w:pPr>
        <w:numPr>
          <w:ilvl w:val="0"/>
          <w:numId w:val="1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se impedirá la interrupción voluntaria del embarazo cuando no exista sentencia ejecutoriada por el delito de violación, esto debido a que el proceso penal atraviesa por una serie de etapas e instancias que podrían superar el tiempo de gestación de la ví</w:t>
      </w:r>
      <w:r>
        <w:rPr>
          <w:rFonts w:ascii="Times New Roman" w:eastAsia="Times New Roman" w:hAnsi="Times New Roman" w:cs="Times New Roman"/>
          <w:sz w:val="24"/>
          <w:szCs w:val="24"/>
        </w:rPr>
        <w:t xml:space="preserve">ctima. </w:t>
      </w:r>
    </w:p>
    <w:p w14:paraId="7A396776" w14:textId="77777777" w:rsidR="002E5DA8" w:rsidRDefault="0095632D">
      <w:pPr>
        <w:numPr>
          <w:ilvl w:val="1"/>
          <w:numId w:val="1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propósito de esto, propone el acceso de otras opciones, las cuales no deben ser tomadas de manera taxativa, como la mera denuncia penal, declaración jurada o un examen médico. Estos parámetros deberán ser regulados en la ley especializada en la m</w:t>
      </w:r>
      <w:r>
        <w:rPr>
          <w:rFonts w:ascii="Times New Roman" w:eastAsia="Times New Roman" w:hAnsi="Times New Roman" w:cs="Times New Roman"/>
          <w:sz w:val="24"/>
          <w:szCs w:val="24"/>
        </w:rPr>
        <w:t xml:space="preserve">ateria.  </w:t>
      </w:r>
    </w:p>
    <w:p w14:paraId="7A396777" w14:textId="77777777" w:rsidR="002E5DA8" w:rsidRDefault="0095632D">
      <w:pPr>
        <w:numPr>
          <w:ilvl w:val="0"/>
          <w:numId w:val="1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caso de niñas menores de edad que no cuenten con la autorización de su representante legal, es obligación de las instituciones competentes prever mecanismos adecuados y </w:t>
      </w:r>
      <w:r>
        <w:rPr>
          <w:rFonts w:ascii="Times New Roman" w:eastAsia="Times New Roman" w:hAnsi="Times New Roman" w:cs="Times New Roman"/>
          <w:b/>
          <w:sz w:val="24"/>
          <w:szCs w:val="24"/>
          <w:u w:val="single"/>
        </w:rPr>
        <w:t>confidenciales</w:t>
      </w:r>
      <w:r>
        <w:rPr>
          <w:rFonts w:ascii="Times New Roman" w:eastAsia="Times New Roman" w:hAnsi="Times New Roman" w:cs="Times New Roman"/>
          <w:sz w:val="24"/>
          <w:szCs w:val="24"/>
        </w:rPr>
        <w:t xml:space="preserve"> sin trabas para acceder a la interrupción voluntaria del em</w:t>
      </w:r>
      <w:r>
        <w:rPr>
          <w:rFonts w:ascii="Times New Roman" w:eastAsia="Times New Roman" w:hAnsi="Times New Roman" w:cs="Times New Roman"/>
          <w:sz w:val="24"/>
          <w:szCs w:val="24"/>
        </w:rPr>
        <w:t>barazo y a todo tipo de asistencia psicológica ante un embarazo no deseado.</w:t>
      </w:r>
    </w:p>
    <w:p w14:paraId="7A396778" w14:textId="77777777" w:rsidR="002E5DA8" w:rsidRDefault="0095632D">
      <w:pPr>
        <w:numPr>
          <w:ilvl w:val="0"/>
          <w:numId w:val="1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Cumplir con el mandato del caso Artavia Murillo vs Costa Rica, donde la vida desde la concepción es gradual y progresiva, en consecuencia, el legislador deberá establecer los plazo</w:t>
      </w:r>
      <w:r>
        <w:rPr>
          <w:rFonts w:ascii="Times New Roman" w:eastAsia="Times New Roman" w:hAnsi="Times New Roman" w:cs="Times New Roman"/>
          <w:sz w:val="24"/>
          <w:szCs w:val="24"/>
        </w:rPr>
        <w:t>s máximos o mínimos para interrumpir el embarazo, de conformidad con los instrumentos internacionales de derechos humanos.</w:t>
      </w:r>
    </w:p>
    <w:p w14:paraId="7A396779" w14:textId="77777777" w:rsidR="002E5DA8" w:rsidRDefault="0095632D">
      <w:pPr>
        <w:numPr>
          <w:ilvl w:val="0"/>
          <w:numId w:val="1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Cumplir con los estándares internacionales y recomendaciones de los organismos internacionales como el CAT, la CEDAW, el Comité de De</w:t>
      </w:r>
      <w:r>
        <w:rPr>
          <w:rFonts w:ascii="Times New Roman" w:eastAsia="Times New Roman" w:hAnsi="Times New Roman" w:cs="Times New Roman"/>
          <w:sz w:val="24"/>
          <w:szCs w:val="24"/>
        </w:rPr>
        <w:t>rechos Económicos, Sociales y Culturales (en adelante, Comité DESC), entre otros, que garanticen los derechos reconocidos en la Constitución y el bloque de constitucionalidad.</w:t>
      </w:r>
    </w:p>
    <w:p w14:paraId="7A39677A" w14:textId="77777777" w:rsidR="002E5DA8" w:rsidRDefault="0095632D">
      <w:pPr>
        <w:spacing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Así, empezó el proceso legislativo del proyecto de ley de conformidad con lo dis</w:t>
      </w:r>
      <w:r>
        <w:rPr>
          <w:rFonts w:ascii="Times New Roman" w:eastAsia="Times New Roman" w:hAnsi="Times New Roman" w:cs="Times New Roman"/>
          <w:sz w:val="24"/>
          <w:szCs w:val="24"/>
        </w:rPr>
        <w:t xml:space="preserve">puesto por la CCE.  </w:t>
      </w:r>
    </w:p>
    <w:p w14:paraId="7A39677B" w14:textId="77777777" w:rsidR="002E5DA8" w:rsidRDefault="0095632D">
      <w:pPr>
        <w:pStyle w:val="Heading1"/>
        <w:numPr>
          <w:ilvl w:val="1"/>
          <w:numId w:val="9"/>
        </w:numPr>
      </w:pPr>
      <w:bookmarkStart w:id="8" w:name="_heading=h.tycap68hds81" w:colFirst="0" w:colLast="0"/>
      <w:bookmarkEnd w:id="8"/>
      <w:r>
        <w:t>La Ley Orgánica que Regula la Interrupción Voluntaria del Embarazo (LORIVE):</w:t>
      </w:r>
    </w:p>
    <w:p w14:paraId="7A39677C" w14:textId="77777777" w:rsidR="002E5DA8" w:rsidRDefault="0095632D">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Una vez declarada la inconstitucionalidad, la CCE ordena a la Asamblea Nacional que debata y apruebe un proyecto de ley que regule la interrupción voluntaria </w:t>
      </w:r>
      <w:r>
        <w:rPr>
          <w:rFonts w:ascii="Times New Roman" w:eastAsia="Times New Roman" w:hAnsi="Times New Roman" w:cs="Times New Roman"/>
          <w:sz w:val="24"/>
          <w:szCs w:val="24"/>
        </w:rPr>
        <w:t>del embarazo en casos de violación. Dicho proyecto de ley fue propuesto por la Defensoría del Pueblo, sin embargo, es preciso destacar que la falta de la regulación especializada en la materia, no exime el cumplimiento del contenido de esta sentencia, ya q</w:t>
      </w:r>
      <w:r>
        <w:rPr>
          <w:rFonts w:ascii="Times New Roman" w:eastAsia="Times New Roman" w:hAnsi="Times New Roman" w:cs="Times New Roman"/>
          <w:sz w:val="24"/>
          <w:szCs w:val="24"/>
        </w:rPr>
        <w:t xml:space="preserve">ue las decisiones constitucionales son de por sí vinculantes. </w:t>
      </w:r>
    </w:p>
    <w:p w14:paraId="7A39677D" w14:textId="77777777" w:rsidR="002E5DA8" w:rsidRDefault="0095632D">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Inicialmente, este proyecto de ley tenía que respetar las obligaciones en materia convencional, en particular las convenciones especializadas como la Convención Interamericana para Prevenir, Sa</w:t>
      </w:r>
      <w:r>
        <w:rPr>
          <w:rFonts w:ascii="Times New Roman" w:eastAsia="Times New Roman" w:hAnsi="Times New Roman" w:cs="Times New Roman"/>
          <w:sz w:val="24"/>
          <w:szCs w:val="24"/>
        </w:rPr>
        <w:t>ncionar y Erradicar la Violencia contra la Mujer, Convención de Belém do Pará, la cual establece que las víctimas de violencia sexual tienen derecho al reconocimiento, goce, ejercicio y protección de todos sus derechos humanos, incluyendo los civiles, polí</w:t>
      </w:r>
      <w:r>
        <w:rPr>
          <w:rFonts w:ascii="Times New Roman" w:eastAsia="Times New Roman" w:hAnsi="Times New Roman" w:cs="Times New Roman"/>
          <w:sz w:val="24"/>
          <w:szCs w:val="24"/>
        </w:rPr>
        <w:t>ticos, económicos, sociales y culturales consagrados en los instrumentos regionales e  internacionales de protección a los derechos humanos</w:t>
      </w:r>
      <w:r>
        <w:rPr>
          <w:rFonts w:ascii="Times New Roman" w:eastAsia="Times New Roman" w:hAnsi="Times New Roman" w:cs="Times New Roman"/>
          <w:sz w:val="24"/>
          <w:szCs w:val="24"/>
          <w:vertAlign w:val="superscript"/>
        </w:rPr>
        <w:footnoteReference w:id="32"/>
      </w:r>
      <w:r>
        <w:rPr>
          <w:rFonts w:ascii="Times New Roman" w:eastAsia="Times New Roman" w:hAnsi="Times New Roman" w:cs="Times New Roman"/>
          <w:sz w:val="24"/>
          <w:szCs w:val="24"/>
        </w:rPr>
        <w:t>.</w:t>
      </w:r>
    </w:p>
    <w:p w14:paraId="7A39677E" w14:textId="77777777" w:rsidR="002E5DA8" w:rsidRDefault="0095632D">
      <w:pPr>
        <w:spacing w:before="280" w:after="280" w:line="360" w:lineRule="auto"/>
        <w:jc w:val="both"/>
      </w:pPr>
      <w:r>
        <w:rPr>
          <w:rFonts w:ascii="Times New Roman" w:eastAsia="Times New Roman" w:hAnsi="Times New Roman" w:cs="Times New Roman"/>
          <w:sz w:val="24"/>
          <w:szCs w:val="24"/>
        </w:rPr>
        <w:t>Esta ley debía establecer los límites y tiempos máximos de gestación permitidos para interrumpir el embarazo, así</w:t>
      </w:r>
      <w:r>
        <w:rPr>
          <w:rFonts w:ascii="Times New Roman" w:eastAsia="Times New Roman" w:hAnsi="Times New Roman" w:cs="Times New Roman"/>
          <w:sz w:val="24"/>
          <w:szCs w:val="24"/>
        </w:rPr>
        <w:t xml:space="preserve"> como los factores que los profesionales de salud deben tomar en cuenta a fin de cumplir con este mandato.</w:t>
      </w:r>
      <w:r>
        <w:rPr>
          <w:rFonts w:ascii="Times New Roman" w:eastAsia="Times New Roman" w:hAnsi="Times New Roman" w:cs="Times New Roman"/>
          <w:sz w:val="24"/>
          <w:szCs w:val="24"/>
          <w:vertAlign w:val="superscript"/>
        </w:rPr>
        <w:footnoteReference w:id="33"/>
      </w:r>
    </w:p>
    <w:p w14:paraId="7A39677F" w14:textId="77777777" w:rsidR="002E5DA8" w:rsidRDefault="0095632D">
      <w:pPr>
        <w:pStyle w:val="Heading2"/>
        <w:numPr>
          <w:ilvl w:val="2"/>
          <w:numId w:val="9"/>
        </w:numPr>
      </w:pPr>
      <w:bookmarkStart w:id="9" w:name="_heading=h.h4b4d5wxm5cm" w:colFirst="0" w:colLast="0"/>
      <w:bookmarkEnd w:id="9"/>
      <w:r>
        <w:t xml:space="preserve">Proceso legislativo de la LORIVE: </w:t>
      </w:r>
    </w:p>
    <w:p w14:paraId="7A396780"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27 de junio de 2021, la Defensoría del Pueblo; posterior a la primera etapa para la elaboración, anunció el p</w:t>
      </w:r>
      <w:r>
        <w:rPr>
          <w:rFonts w:ascii="Times New Roman" w:eastAsia="Times New Roman" w:hAnsi="Times New Roman" w:cs="Times New Roman"/>
          <w:sz w:val="24"/>
          <w:szCs w:val="24"/>
        </w:rPr>
        <w:t>royecto de la ley para garantizar el derecho a la interrupción del embarazo por violación en Ecuador.</w:t>
      </w:r>
      <w:r>
        <w:rPr>
          <w:rFonts w:ascii="Times New Roman" w:eastAsia="Times New Roman" w:hAnsi="Times New Roman" w:cs="Times New Roman"/>
          <w:color w:val="5A5A5A"/>
          <w:sz w:val="24"/>
          <w:szCs w:val="24"/>
          <w:vertAlign w:val="superscript"/>
        </w:rPr>
        <w:footnoteReference w:id="34"/>
      </w:r>
    </w:p>
    <w:p w14:paraId="7A396781"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consecuencia, el pleno de la Asamblea Nacional, el 9 de diciembre de 2021, tramitó el primer debate y, el 3 de febrero de 2022, se llevó a cabo el se</w:t>
      </w:r>
      <w:r>
        <w:rPr>
          <w:rFonts w:ascii="Times New Roman" w:eastAsia="Times New Roman" w:hAnsi="Times New Roman" w:cs="Times New Roman"/>
          <w:sz w:val="24"/>
          <w:szCs w:val="24"/>
        </w:rPr>
        <w:t xml:space="preserve">gundo debate. Aquí se concluyó nombrar al proyecto de ley ”Ley Orgánica para </w:t>
      </w:r>
      <w:r>
        <w:rPr>
          <w:rFonts w:ascii="Times New Roman" w:eastAsia="Times New Roman" w:hAnsi="Times New Roman" w:cs="Times New Roman"/>
          <w:b/>
          <w:sz w:val="24"/>
          <w:szCs w:val="24"/>
          <w:u w:val="single"/>
        </w:rPr>
        <w:t xml:space="preserve">Garantizar </w:t>
      </w:r>
      <w:r>
        <w:rPr>
          <w:rFonts w:ascii="Times New Roman" w:eastAsia="Times New Roman" w:hAnsi="Times New Roman" w:cs="Times New Roman"/>
          <w:sz w:val="24"/>
          <w:szCs w:val="24"/>
        </w:rPr>
        <w:t xml:space="preserve">el Derecho a la Interrupción Voluntaria del Embarazo en caso de Violación”, en donde se escuchó a 23 representantes de diversos sectores, incluidas organizaciones de sociedad civil. </w:t>
      </w:r>
    </w:p>
    <w:p w14:paraId="7A396782"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Dentro del proceso legislativo, se nombró a la Comisión de Justicia y Est</w:t>
      </w:r>
      <w:r>
        <w:rPr>
          <w:rFonts w:ascii="Times New Roman" w:eastAsia="Times New Roman" w:hAnsi="Times New Roman" w:cs="Times New Roman"/>
          <w:sz w:val="24"/>
          <w:szCs w:val="24"/>
        </w:rPr>
        <w:t>ructura del Estado de la Asamblea Nacional para que elabore un informe que recoja los criterios de expertos con respecto a estudios y herramientas técnicas, análisis comparativos de legislaciones que regulan el aborto en otros países, socializaciones y mes</w:t>
      </w:r>
      <w:r>
        <w:rPr>
          <w:rFonts w:ascii="Times New Roman" w:eastAsia="Times New Roman" w:hAnsi="Times New Roman" w:cs="Times New Roman"/>
          <w:sz w:val="24"/>
          <w:szCs w:val="24"/>
        </w:rPr>
        <w:t>as técnicas sobre los derechos y garantías específicos para las personas gestantes, niñas, adolescentes, mujeres víctimas de violación, mujeres con discapacidad y mujeres privadas de libertad. Este enfoque se basó en situaciones de vulnerabilidad socioecon</w:t>
      </w:r>
      <w:r>
        <w:rPr>
          <w:rFonts w:ascii="Times New Roman" w:eastAsia="Times New Roman" w:hAnsi="Times New Roman" w:cs="Times New Roman"/>
          <w:sz w:val="24"/>
          <w:szCs w:val="24"/>
        </w:rPr>
        <w:t>ómica, contribuyendo así a una comprensión integral de la problemática, contando con las opiniones de “distintos segmentos de la sociedad civil; expertos en derechos humanos; derechos civiles; médicos especializados en obstetricia; medicina familiar; psicó</w:t>
      </w:r>
      <w:r>
        <w:rPr>
          <w:rFonts w:ascii="Times New Roman" w:eastAsia="Times New Roman" w:hAnsi="Times New Roman" w:cs="Times New Roman"/>
          <w:sz w:val="24"/>
          <w:szCs w:val="24"/>
        </w:rPr>
        <w:t>logos; abogados con amplios conocimientos constitucionales y de derechos humanos; sociedad civil representada por movimientos provida y movimientos a favor de la interrupción del embarazo’’</w:t>
      </w:r>
      <w:r>
        <w:rPr>
          <w:rFonts w:ascii="Times New Roman" w:eastAsia="Times New Roman" w:hAnsi="Times New Roman" w:cs="Times New Roman"/>
          <w:sz w:val="24"/>
          <w:szCs w:val="24"/>
          <w:vertAlign w:val="superscript"/>
        </w:rPr>
        <w:footnoteReference w:id="35"/>
      </w:r>
      <w:r>
        <w:rPr>
          <w:rFonts w:ascii="Times New Roman" w:eastAsia="Times New Roman" w:hAnsi="Times New Roman" w:cs="Times New Roman"/>
          <w:sz w:val="24"/>
          <w:szCs w:val="24"/>
        </w:rPr>
        <w:t>.</w:t>
      </w:r>
    </w:p>
    <w:p w14:paraId="7A396783"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Durante los debates, se evidenciaron diversos criterios en favo</w:t>
      </w:r>
      <w:r>
        <w:rPr>
          <w:rFonts w:ascii="Times New Roman" w:eastAsia="Times New Roman" w:hAnsi="Times New Roman" w:cs="Times New Roman"/>
          <w:sz w:val="24"/>
          <w:szCs w:val="24"/>
        </w:rPr>
        <w:t>r o en contra de constituir una norma que regule el aborto. De la misma manera, se sugirió revisar la existencia de una denuncia como condicionante para iniciar con la interrupción del embarazo en casos de violación, haciendo un particular énfasis en niñas</w:t>
      </w:r>
      <w:r>
        <w:rPr>
          <w:rFonts w:ascii="Times New Roman" w:eastAsia="Times New Roman" w:hAnsi="Times New Roman" w:cs="Times New Roman"/>
          <w:sz w:val="24"/>
          <w:szCs w:val="24"/>
        </w:rPr>
        <w:t xml:space="preserve"> y adolescentes, las cuales pueden no darse cuenta de que están embarazadas, además de éste ser un condicionante que podría generar estigmas y revictimización. También se discutió sobre los tiempos de gestación para poder abortar.</w:t>
      </w:r>
      <w:r>
        <w:rPr>
          <w:rFonts w:ascii="Times New Roman" w:eastAsia="Times New Roman" w:hAnsi="Times New Roman" w:cs="Times New Roman"/>
          <w:sz w:val="24"/>
          <w:szCs w:val="24"/>
          <w:vertAlign w:val="superscript"/>
        </w:rPr>
        <w:footnoteReference w:id="36"/>
      </w:r>
      <w:r>
        <w:rPr>
          <w:rFonts w:ascii="Times New Roman" w:eastAsia="Times New Roman" w:hAnsi="Times New Roman" w:cs="Times New Roman"/>
          <w:sz w:val="24"/>
          <w:szCs w:val="24"/>
        </w:rPr>
        <w:t xml:space="preserve"> </w:t>
      </w:r>
    </w:p>
    <w:p w14:paraId="7A396784"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Por otro lado, al conc</w:t>
      </w:r>
      <w:r>
        <w:rPr>
          <w:rFonts w:ascii="Times New Roman" w:eastAsia="Times New Roman" w:hAnsi="Times New Roman" w:cs="Times New Roman"/>
          <w:sz w:val="24"/>
          <w:szCs w:val="24"/>
        </w:rPr>
        <w:t>luir el segundo debate, se dispuso que en ocho días la Comisión elabore el texto final para someterlo a votación.</w:t>
      </w:r>
      <w:r>
        <w:rPr>
          <w:rFonts w:ascii="Times New Roman" w:eastAsia="Times New Roman" w:hAnsi="Times New Roman" w:cs="Times New Roman"/>
          <w:sz w:val="24"/>
          <w:szCs w:val="24"/>
          <w:vertAlign w:val="superscript"/>
        </w:rPr>
        <w:footnoteReference w:id="37"/>
      </w:r>
    </w:p>
    <w:p w14:paraId="7A396785"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17 de febrero de 2022, el pleno de la Asamblea Nacional aprobó la Ley Orgánica que </w:t>
      </w:r>
      <w:r>
        <w:rPr>
          <w:rFonts w:ascii="Times New Roman" w:eastAsia="Times New Roman" w:hAnsi="Times New Roman" w:cs="Times New Roman"/>
          <w:b/>
          <w:sz w:val="24"/>
          <w:szCs w:val="24"/>
          <w:u w:val="single"/>
        </w:rPr>
        <w:t>Garantiza</w:t>
      </w:r>
      <w:r>
        <w:rPr>
          <w:rFonts w:ascii="Times New Roman" w:eastAsia="Times New Roman" w:hAnsi="Times New Roman" w:cs="Times New Roman"/>
          <w:sz w:val="24"/>
          <w:szCs w:val="24"/>
        </w:rPr>
        <w:t xml:space="preserve"> la Interrupción Voluntaria del Embarazo para Niñas, Adolescentes y Mujeres en caso de Violación con 75 votos a favor, 41 votos en contra y 14 abstenciones. Esta</w:t>
      </w:r>
      <w:r>
        <w:rPr>
          <w:rFonts w:ascii="Times New Roman" w:eastAsia="Times New Roman" w:hAnsi="Times New Roman" w:cs="Times New Roman"/>
          <w:sz w:val="24"/>
          <w:szCs w:val="24"/>
        </w:rPr>
        <w:t xml:space="preserve"> ley estableció que el límite para acceder a aborto no puede exceder las 18 semanas de gestación, las cuales  deberán ser verificadas por un profesional de la salud.</w:t>
      </w:r>
      <w:r>
        <w:rPr>
          <w:rFonts w:ascii="Times New Roman" w:eastAsia="Times New Roman" w:hAnsi="Times New Roman" w:cs="Times New Roman"/>
          <w:sz w:val="24"/>
          <w:szCs w:val="24"/>
          <w:vertAlign w:val="superscript"/>
        </w:rPr>
        <w:footnoteReference w:id="38"/>
      </w:r>
      <w:r>
        <w:rPr>
          <w:rFonts w:ascii="Times New Roman" w:eastAsia="Times New Roman" w:hAnsi="Times New Roman" w:cs="Times New Roman"/>
          <w:sz w:val="24"/>
          <w:szCs w:val="24"/>
        </w:rPr>
        <w:t xml:space="preserve"> </w:t>
      </w:r>
    </w:p>
    <w:p w14:paraId="7A396786"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Una vez aprobado el proyecto de ley, la Asamblea lo remitió al ejecutivo para su sanció</w:t>
      </w:r>
      <w:r>
        <w:rPr>
          <w:rFonts w:ascii="Times New Roman" w:eastAsia="Times New Roman" w:hAnsi="Times New Roman" w:cs="Times New Roman"/>
          <w:sz w:val="24"/>
          <w:szCs w:val="24"/>
        </w:rPr>
        <w:t>n de conformidad con el artículo 137 de la CRE. En efecto, el 15 de marzo de 2022, mediante oficio No. T. 180-SGJ-22-0050, el ex presidente de la República, Guillermo Lasso, vetó parcialmente varios artículos de la ley aprobada por la Asamblea, bajo la con</w:t>
      </w:r>
      <w:r>
        <w:rPr>
          <w:rFonts w:ascii="Times New Roman" w:eastAsia="Times New Roman" w:hAnsi="Times New Roman" w:cs="Times New Roman"/>
          <w:sz w:val="24"/>
          <w:szCs w:val="24"/>
        </w:rPr>
        <w:t>jetura de que la ley excede el mandato constitucional al no cumplir con los requisitos establecidos y reiterando su criterio personal a la defensa de la vida desde la concepción</w:t>
      </w:r>
      <w:r>
        <w:rPr>
          <w:rFonts w:ascii="Times New Roman" w:eastAsia="Times New Roman" w:hAnsi="Times New Roman" w:cs="Times New Roman"/>
          <w:sz w:val="24"/>
          <w:szCs w:val="24"/>
          <w:vertAlign w:val="superscript"/>
        </w:rPr>
        <w:footnoteReference w:id="39"/>
      </w:r>
      <w:r>
        <w:rPr>
          <w:rFonts w:ascii="Times New Roman" w:eastAsia="Times New Roman" w:hAnsi="Times New Roman" w:cs="Times New Roman"/>
          <w:sz w:val="24"/>
          <w:szCs w:val="24"/>
        </w:rPr>
        <w:t xml:space="preserve">. </w:t>
      </w:r>
    </w:p>
    <w:p w14:paraId="7A396787" w14:textId="77777777" w:rsidR="002E5DA8" w:rsidRDefault="0095632D">
      <w:pPr>
        <w:pStyle w:val="Heading2"/>
        <w:numPr>
          <w:ilvl w:val="2"/>
          <w:numId w:val="9"/>
        </w:numPr>
        <w:ind w:firstLine="1800"/>
      </w:pPr>
      <w:bookmarkStart w:id="10" w:name="_heading=h.if7w2a7fcf7" w:colFirst="0" w:colLast="0"/>
      <w:bookmarkEnd w:id="10"/>
      <w:r>
        <w:t>Objeciones de la Presidencia de la República:</w:t>
      </w:r>
    </w:p>
    <w:p w14:paraId="7A396788" w14:textId="77777777" w:rsidR="002E5DA8" w:rsidRDefault="0095632D">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El veto abordó 61 objeciones</w:t>
      </w:r>
      <w:r>
        <w:rPr>
          <w:rFonts w:ascii="Times New Roman" w:eastAsia="Times New Roman" w:hAnsi="Times New Roman" w:cs="Times New Roman"/>
          <w:color w:val="000000"/>
          <w:sz w:val="24"/>
          <w:szCs w:val="24"/>
        </w:rPr>
        <w:t xml:space="preserve"> de los 64 artículos contemplados en la ley</w:t>
      </w:r>
      <w:r>
        <w:rPr>
          <w:rFonts w:ascii="Times New Roman" w:eastAsia="Times New Roman" w:hAnsi="Times New Roman" w:cs="Times New Roman"/>
          <w:sz w:val="24"/>
          <w:szCs w:val="24"/>
        </w:rPr>
        <w:t xml:space="preserve">. Las suscritas organizaciones consideran </w:t>
      </w:r>
      <w:r>
        <w:rPr>
          <w:rFonts w:ascii="Times New Roman" w:eastAsia="Times New Roman" w:hAnsi="Times New Roman" w:cs="Times New Roman"/>
          <w:color w:val="000000"/>
          <w:sz w:val="24"/>
          <w:szCs w:val="24"/>
        </w:rPr>
        <w:t>inadmisible el incumplimiento de los  preceptos constitucionales y de dere</w:t>
      </w:r>
      <w:r>
        <w:rPr>
          <w:rFonts w:ascii="Times New Roman" w:eastAsia="Times New Roman" w:hAnsi="Times New Roman" w:cs="Times New Roman"/>
          <w:sz w:val="24"/>
          <w:szCs w:val="24"/>
        </w:rPr>
        <w:t>chos humanos</w:t>
      </w:r>
      <w:r>
        <w:rPr>
          <w:rFonts w:ascii="Times New Roman" w:eastAsia="Times New Roman" w:hAnsi="Times New Roman" w:cs="Times New Roman"/>
          <w:color w:val="000000"/>
          <w:sz w:val="24"/>
          <w:szCs w:val="24"/>
        </w:rPr>
        <w:t xml:space="preserve"> por medio del vet</w:t>
      </w:r>
      <w:r>
        <w:rPr>
          <w:rFonts w:ascii="Times New Roman" w:eastAsia="Times New Roman" w:hAnsi="Times New Roman" w:cs="Times New Roman"/>
          <w:sz w:val="24"/>
          <w:szCs w:val="24"/>
        </w:rPr>
        <w:t>o.</w:t>
      </w:r>
      <w:r>
        <w:rPr>
          <w:rFonts w:ascii="Times New Roman" w:eastAsia="Times New Roman" w:hAnsi="Times New Roman" w:cs="Times New Roman"/>
          <w:color w:val="000000"/>
          <w:sz w:val="24"/>
          <w:szCs w:val="24"/>
        </w:rPr>
        <w:t xml:space="preserve"> Esta acción  </w:t>
      </w:r>
      <w:r>
        <w:rPr>
          <w:rFonts w:ascii="Times New Roman" w:eastAsia="Times New Roman" w:hAnsi="Times New Roman" w:cs="Times New Roman"/>
          <w:sz w:val="24"/>
          <w:szCs w:val="24"/>
        </w:rPr>
        <w:t>impacta</w:t>
      </w:r>
      <w:r>
        <w:rPr>
          <w:rFonts w:ascii="Times New Roman" w:eastAsia="Times New Roman" w:hAnsi="Times New Roman" w:cs="Times New Roman"/>
          <w:color w:val="000000"/>
          <w:sz w:val="24"/>
          <w:szCs w:val="24"/>
        </w:rPr>
        <w:t xml:space="preserve"> directamente en la democracia y en el ejerc</w:t>
      </w:r>
      <w:r>
        <w:rPr>
          <w:rFonts w:ascii="Times New Roman" w:eastAsia="Times New Roman" w:hAnsi="Times New Roman" w:cs="Times New Roman"/>
          <w:color w:val="000000"/>
          <w:sz w:val="24"/>
          <w:szCs w:val="24"/>
        </w:rPr>
        <w:t>icio de los derechos de las personas gestante</w:t>
      </w:r>
      <w:r>
        <w:rPr>
          <w:rFonts w:ascii="Times New Roman" w:eastAsia="Times New Roman" w:hAnsi="Times New Roman" w:cs="Times New Roman"/>
          <w:sz w:val="24"/>
          <w:szCs w:val="24"/>
        </w:rPr>
        <w:t xml:space="preserve">s. </w:t>
      </w:r>
    </w:p>
    <w:p w14:paraId="7A396789" w14:textId="77777777" w:rsidR="002E5DA8" w:rsidRDefault="0095632D">
      <w:pPr>
        <w:pStyle w:val="Heading2"/>
        <w:numPr>
          <w:ilvl w:val="2"/>
          <w:numId w:val="9"/>
        </w:numPr>
        <w:spacing w:after="0"/>
        <w:ind w:firstLine="1800"/>
      </w:pPr>
      <w:bookmarkStart w:id="11" w:name="_heading=h.4h7gzix2yndw" w:colFirst="0" w:colLast="0"/>
      <w:bookmarkEnd w:id="11"/>
      <w:r>
        <w:t>Nudos críticos de inconvencionalidad en el Veto Presidencial:</w:t>
      </w:r>
    </w:p>
    <w:p w14:paraId="7A39678A" w14:textId="77777777" w:rsidR="002E5DA8" w:rsidRDefault="0095632D">
      <w:pPr>
        <w:numPr>
          <w:ilvl w:val="0"/>
          <w:numId w:val="16"/>
        </w:num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rPr>
        <w:t xml:space="preserve">Sobre la regulación del aborto vs. la garantía de abortar. </w:t>
      </w:r>
    </w:p>
    <w:p w14:paraId="7A39678B" w14:textId="77777777" w:rsidR="002E5DA8" w:rsidRDefault="0095632D">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Artículo</w:t>
      </w:r>
      <w:r>
        <w:rPr>
          <w:rFonts w:ascii="Times New Roman" w:eastAsia="Times New Roman" w:hAnsi="Times New Roman" w:cs="Times New Roman"/>
          <w:b/>
          <w:sz w:val="24"/>
          <w:szCs w:val="24"/>
        </w:rPr>
        <w:t xml:space="preserve"> 1:</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El</w:t>
      </w:r>
      <w:r>
        <w:rPr>
          <w:rFonts w:ascii="Times New Roman" w:eastAsia="Times New Roman" w:hAnsi="Times New Roman" w:cs="Times New Roman"/>
          <w:color w:val="000000"/>
          <w:sz w:val="24"/>
          <w:szCs w:val="24"/>
        </w:rPr>
        <w:t xml:space="preserve"> presidente discrepa el </w:t>
      </w:r>
      <w:r>
        <w:rPr>
          <w:rFonts w:ascii="Times New Roman" w:eastAsia="Times New Roman" w:hAnsi="Times New Roman" w:cs="Times New Roman"/>
          <w:sz w:val="24"/>
          <w:szCs w:val="24"/>
        </w:rPr>
        <w:t>título de la ley y su artículo primero</w:t>
      </w:r>
      <w:r>
        <w:rPr>
          <w:rFonts w:ascii="Times New Roman" w:eastAsia="Times New Roman" w:hAnsi="Times New Roman" w:cs="Times New Roman"/>
          <w:color w:val="000000"/>
          <w:sz w:val="24"/>
          <w:szCs w:val="24"/>
        </w:rPr>
        <w:t>, mencionando que el aborto no es un derecho, sino una excepción, para lo cual, propone el cambio de la palabra “</w:t>
      </w:r>
      <w:r>
        <w:rPr>
          <w:rFonts w:ascii="Times New Roman" w:eastAsia="Times New Roman" w:hAnsi="Times New Roman" w:cs="Times New Roman"/>
          <w:b/>
          <w:color w:val="000000"/>
          <w:sz w:val="24"/>
          <w:szCs w:val="24"/>
          <w:u w:val="single"/>
        </w:rPr>
        <w:t>garantizar</w:t>
      </w:r>
      <w:r>
        <w:rPr>
          <w:rFonts w:ascii="Times New Roman" w:eastAsia="Times New Roman" w:hAnsi="Times New Roman" w:cs="Times New Roman"/>
          <w:color w:val="000000"/>
          <w:sz w:val="24"/>
          <w:szCs w:val="24"/>
        </w:rPr>
        <w:t>” por la palabra “</w:t>
      </w:r>
      <w:r>
        <w:rPr>
          <w:rFonts w:ascii="Times New Roman" w:eastAsia="Times New Roman" w:hAnsi="Times New Roman" w:cs="Times New Roman"/>
          <w:b/>
          <w:color w:val="000000"/>
          <w:sz w:val="24"/>
          <w:szCs w:val="24"/>
          <w:u w:val="single"/>
        </w:rPr>
        <w:t>regular</w:t>
      </w:r>
      <w:r>
        <w:rPr>
          <w:rFonts w:ascii="Times New Roman" w:eastAsia="Times New Roman" w:hAnsi="Times New Roman" w:cs="Times New Roman"/>
          <w:color w:val="000000"/>
          <w:sz w:val="24"/>
          <w:szCs w:val="24"/>
        </w:rPr>
        <w:t>” el aborto consentido en caso de violación sin dejar de lado la prote</w:t>
      </w:r>
      <w:r>
        <w:rPr>
          <w:rFonts w:ascii="Times New Roman" w:eastAsia="Times New Roman" w:hAnsi="Times New Roman" w:cs="Times New Roman"/>
          <w:color w:val="000000"/>
          <w:sz w:val="24"/>
          <w:szCs w:val="24"/>
        </w:rPr>
        <w:t>cción constitucional de la vida desde la concepción</w:t>
      </w:r>
      <w:r>
        <w:rPr>
          <w:rFonts w:ascii="Times New Roman" w:eastAsia="Times New Roman" w:hAnsi="Times New Roman" w:cs="Times New Roman"/>
          <w:color w:val="000000"/>
          <w:sz w:val="24"/>
          <w:szCs w:val="24"/>
          <w:vertAlign w:val="superscript"/>
        </w:rPr>
        <w:footnoteReference w:id="40"/>
      </w:r>
      <w:r>
        <w:rPr>
          <w:rFonts w:ascii="Times New Roman" w:eastAsia="Times New Roman" w:hAnsi="Times New Roman" w:cs="Times New Roman"/>
          <w:color w:val="000000"/>
          <w:sz w:val="24"/>
          <w:szCs w:val="24"/>
        </w:rPr>
        <w:t>. Por lo cual, cambia tanto el título y como el objeto de la ley, ambos por la palabra “</w:t>
      </w:r>
      <w:r>
        <w:rPr>
          <w:rFonts w:ascii="Times New Roman" w:eastAsia="Times New Roman" w:hAnsi="Times New Roman" w:cs="Times New Roman"/>
          <w:b/>
          <w:color w:val="000000"/>
          <w:sz w:val="24"/>
          <w:szCs w:val="24"/>
          <w:u w:val="single"/>
        </w:rPr>
        <w:t>regular</w:t>
      </w:r>
      <w:r>
        <w:rPr>
          <w:rFonts w:ascii="Times New Roman" w:eastAsia="Times New Roman" w:hAnsi="Times New Roman" w:cs="Times New Roman"/>
          <w:color w:val="000000"/>
          <w:sz w:val="24"/>
          <w:szCs w:val="24"/>
        </w:rPr>
        <w:t>”.</w:t>
      </w:r>
    </w:p>
    <w:p w14:paraId="7A39678C" w14:textId="77777777" w:rsidR="002E5DA8" w:rsidRDefault="0095632D">
      <w:pPr>
        <w:numPr>
          <w:ilvl w:val="0"/>
          <w:numId w:val="16"/>
        </w:num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rPr>
        <w:t xml:space="preserve">Sobre la Objeción de Conciencia médica: </w:t>
      </w:r>
    </w:p>
    <w:p w14:paraId="7A39678D" w14:textId="77777777" w:rsidR="002E5DA8" w:rsidRDefault="0095632D">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Artículos </w:t>
      </w:r>
      <w:r>
        <w:rPr>
          <w:rFonts w:ascii="Times New Roman" w:eastAsia="Times New Roman" w:hAnsi="Times New Roman" w:cs="Times New Roman"/>
          <w:b/>
          <w:sz w:val="24"/>
          <w:szCs w:val="24"/>
        </w:rPr>
        <w:t>9</w:t>
      </w:r>
      <w:r>
        <w:rPr>
          <w:rFonts w:ascii="Times New Roman" w:eastAsia="Times New Roman" w:hAnsi="Times New Roman" w:cs="Times New Roman"/>
          <w:b/>
          <w:color w:val="000000"/>
          <w:sz w:val="24"/>
          <w:szCs w:val="24"/>
        </w:rPr>
        <w:t xml:space="preserve">, numeral </w:t>
      </w:r>
      <w:r>
        <w:rPr>
          <w:rFonts w:ascii="Times New Roman" w:eastAsia="Times New Roman" w:hAnsi="Times New Roman" w:cs="Times New Roman"/>
          <w:b/>
          <w:sz w:val="24"/>
          <w:szCs w:val="24"/>
        </w:rPr>
        <w:t>5, 9, y</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b/>
          <w:sz w:val="24"/>
          <w:szCs w:val="24"/>
        </w:rPr>
        <w:t>61:</w:t>
      </w:r>
      <w:r>
        <w:rPr>
          <w:rFonts w:ascii="Times New Roman" w:eastAsia="Times New Roman" w:hAnsi="Times New Roman" w:cs="Times New Roman"/>
          <w:sz w:val="24"/>
          <w:szCs w:val="24"/>
        </w:rPr>
        <w:t xml:space="preserve"> Estos artículos </w:t>
      </w:r>
      <w:r>
        <w:rPr>
          <w:rFonts w:ascii="Times New Roman" w:eastAsia="Times New Roman" w:hAnsi="Times New Roman" w:cs="Times New Roman"/>
          <w:color w:val="000000"/>
          <w:sz w:val="24"/>
          <w:szCs w:val="24"/>
        </w:rPr>
        <w:t xml:space="preserve">establecen que </w:t>
      </w:r>
      <w:r>
        <w:rPr>
          <w:rFonts w:ascii="Times New Roman" w:eastAsia="Times New Roman" w:hAnsi="Times New Roman" w:cs="Times New Roman"/>
          <w:color w:val="000000"/>
          <w:sz w:val="24"/>
          <w:szCs w:val="24"/>
        </w:rPr>
        <w:t>el sistema de salud no puede impedir el acceso a la interrupción del embarazo por objeción de conciencia</w:t>
      </w:r>
      <w:r>
        <w:rPr>
          <w:rFonts w:ascii="Times New Roman" w:eastAsia="Times New Roman" w:hAnsi="Times New Roman" w:cs="Times New Roman"/>
          <w:color w:val="000000"/>
          <w:sz w:val="24"/>
          <w:szCs w:val="24"/>
          <w:vertAlign w:val="superscript"/>
        </w:rPr>
        <w:footnoteReference w:id="41"/>
      </w:r>
      <w:r>
        <w:rPr>
          <w:rFonts w:ascii="Times New Roman" w:eastAsia="Times New Roman" w:hAnsi="Times New Roman" w:cs="Times New Roman"/>
          <w:color w:val="000000"/>
          <w:sz w:val="24"/>
          <w:szCs w:val="24"/>
        </w:rPr>
        <w:t xml:space="preserve"> y el que se oponga en practicarlo será sancionado con 20 salarios básicos unificados.</w:t>
      </w:r>
      <w:r>
        <w:rPr>
          <w:rFonts w:ascii="Times New Roman" w:eastAsia="Times New Roman" w:hAnsi="Times New Roman" w:cs="Times New Roman"/>
          <w:color w:val="000000"/>
          <w:sz w:val="24"/>
          <w:szCs w:val="24"/>
          <w:vertAlign w:val="superscript"/>
        </w:rPr>
        <w:footnoteReference w:id="42"/>
      </w:r>
      <w:r>
        <w:rPr>
          <w:rFonts w:ascii="Times New Roman" w:eastAsia="Times New Roman" w:hAnsi="Times New Roman" w:cs="Times New Roman"/>
          <w:color w:val="000000"/>
          <w:sz w:val="24"/>
          <w:szCs w:val="24"/>
        </w:rPr>
        <w:t xml:space="preserve"> El presidente objeta ambos artículos ba</w:t>
      </w:r>
      <w:r>
        <w:rPr>
          <w:rFonts w:ascii="Times New Roman" w:eastAsia="Times New Roman" w:hAnsi="Times New Roman" w:cs="Times New Roman"/>
          <w:sz w:val="24"/>
          <w:szCs w:val="24"/>
        </w:rPr>
        <w:t xml:space="preserve">jo el criterio de que </w:t>
      </w:r>
      <w:r>
        <w:rPr>
          <w:rFonts w:ascii="Times New Roman" w:eastAsia="Times New Roman" w:hAnsi="Times New Roman" w:cs="Times New Roman"/>
          <w:sz w:val="24"/>
          <w:szCs w:val="24"/>
        </w:rPr>
        <w:t xml:space="preserve">estos </w:t>
      </w:r>
      <w:r>
        <w:rPr>
          <w:rFonts w:ascii="Times New Roman" w:eastAsia="Times New Roman" w:hAnsi="Times New Roman" w:cs="Times New Roman"/>
          <w:color w:val="000000"/>
          <w:sz w:val="24"/>
          <w:szCs w:val="24"/>
        </w:rPr>
        <w:t xml:space="preserve">vulneran derechos </w:t>
      </w:r>
      <w:r>
        <w:rPr>
          <w:rFonts w:ascii="Times New Roman" w:eastAsia="Times New Roman" w:hAnsi="Times New Roman" w:cs="Times New Roman"/>
          <w:sz w:val="24"/>
          <w:szCs w:val="24"/>
        </w:rPr>
        <w:t xml:space="preserve">constitucionales, de este modo, y en armonía con la objeción propuesta a los artículos </w:t>
      </w:r>
      <w:r>
        <w:rPr>
          <w:rFonts w:ascii="Times New Roman" w:eastAsia="Times New Roman" w:hAnsi="Times New Roman" w:cs="Times New Roman"/>
          <w:b/>
          <w:sz w:val="24"/>
          <w:szCs w:val="24"/>
        </w:rPr>
        <w:t>26 y 27,</w:t>
      </w:r>
      <w:r>
        <w:rPr>
          <w:rFonts w:ascii="Times New Roman" w:eastAsia="Times New Roman" w:hAnsi="Times New Roman" w:cs="Times New Roman"/>
          <w:sz w:val="24"/>
          <w:szCs w:val="24"/>
        </w:rPr>
        <w:t xml:space="preserve"> el presidente propuso la incorporación a la normativa de la</w:t>
      </w:r>
      <w:r>
        <w:rPr>
          <w:rFonts w:ascii="Times New Roman" w:eastAsia="Times New Roman" w:hAnsi="Times New Roman" w:cs="Times New Roman"/>
          <w:color w:val="000000"/>
          <w:sz w:val="24"/>
          <w:szCs w:val="24"/>
        </w:rPr>
        <w:t xml:space="preserve"> objeción de conciencia personal e institucional</w:t>
      </w:r>
      <w:r>
        <w:rPr>
          <w:rFonts w:ascii="Times New Roman" w:eastAsia="Times New Roman" w:hAnsi="Times New Roman" w:cs="Times New Roman"/>
          <w:sz w:val="24"/>
          <w:szCs w:val="24"/>
        </w:rPr>
        <w:t>, siendo esta última prohibid</w:t>
      </w:r>
      <w:r>
        <w:rPr>
          <w:rFonts w:ascii="Times New Roman" w:eastAsia="Times New Roman" w:hAnsi="Times New Roman" w:cs="Times New Roman"/>
          <w:sz w:val="24"/>
          <w:szCs w:val="24"/>
        </w:rPr>
        <w:t>a para el personal médico de instituciones de salud públicas</w:t>
      </w:r>
      <w:r>
        <w:rPr>
          <w:rFonts w:ascii="Times New Roman" w:eastAsia="Times New Roman" w:hAnsi="Times New Roman" w:cs="Times New Roman"/>
          <w:color w:val="000000"/>
          <w:sz w:val="24"/>
          <w:szCs w:val="24"/>
          <w:vertAlign w:val="superscript"/>
        </w:rPr>
        <w:footnoteReference w:id="43"/>
      </w:r>
      <w:r>
        <w:rPr>
          <w:rFonts w:ascii="Times New Roman" w:eastAsia="Times New Roman" w:hAnsi="Times New Roman" w:cs="Times New Roman"/>
          <w:color w:val="000000"/>
          <w:sz w:val="24"/>
          <w:szCs w:val="24"/>
        </w:rPr>
        <w:t xml:space="preserve"> y que la multa s</w:t>
      </w:r>
      <w:r>
        <w:rPr>
          <w:rFonts w:ascii="Times New Roman" w:eastAsia="Times New Roman" w:hAnsi="Times New Roman" w:cs="Times New Roman"/>
          <w:sz w:val="24"/>
          <w:szCs w:val="24"/>
        </w:rPr>
        <w:t>ea reducida a 10 salarios básicos unificados</w:t>
      </w:r>
      <w:r>
        <w:rPr>
          <w:rFonts w:ascii="Times New Roman" w:eastAsia="Times New Roman" w:hAnsi="Times New Roman" w:cs="Times New Roman"/>
          <w:color w:val="000000"/>
          <w:sz w:val="24"/>
          <w:szCs w:val="24"/>
        </w:rPr>
        <w:t xml:space="preserve">. </w:t>
      </w:r>
    </w:p>
    <w:p w14:paraId="7A39678E" w14:textId="77777777" w:rsidR="002E5DA8" w:rsidRDefault="0095632D">
      <w:pPr>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 respecto, es importante mencionar que varios estándares internacionales de derechos humanos, han reconocido que la objeción de conciencia no es un derecho absoluto, además que no procede la objeción de conciencia institucional por la naturaleza jurídica</w:t>
      </w:r>
      <w:r>
        <w:rPr>
          <w:rFonts w:ascii="Times New Roman" w:eastAsia="Times New Roman" w:hAnsi="Times New Roman" w:cs="Times New Roman"/>
          <w:sz w:val="24"/>
          <w:szCs w:val="24"/>
        </w:rPr>
        <w:t xml:space="preserve"> de las instituciones. Y es que las instituciones, como casas de salud y hospitales, no gozan de personalidad jurídica y por tanto no son sujetos de derechos.</w:t>
      </w:r>
    </w:p>
    <w:p w14:paraId="7A39678F" w14:textId="77777777" w:rsidR="002E5DA8" w:rsidRDefault="0095632D">
      <w:pPr>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Por el otro lado, citando jurisprudencia comparada de la Corte Constitucional colombiana, la CIDH</w:t>
      </w:r>
      <w:r>
        <w:rPr>
          <w:rFonts w:ascii="Times New Roman" w:eastAsia="Times New Roman" w:hAnsi="Times New Roman" w:cs="Times New Roman"/>
          <w:sz w:val="24"/>
          <w:szCs w:val="24"/>
        </w:rPr>
        <w:t xml:space="preserve"> ha establecido su convicción en cuanto a los criterios a ser tomados en cuenta por los Estados sobre objeción de conciencia institucional y la obligación de derivación del médico objetor a un médico que sí pudiera practicar el aborto</w:t>
      </w:r>
      <w:r>
        <w:rPr>
          <w:rFonts w:ascii="Times New Roman" w:eastAsia="Times New Roman" w:hAnsi="Times New Roman" w:cs="Times New Roman"/>
          <w:sz w:val="24"/>
          <w:szCs w:val="24"/>
          <w:vertAlign w:val="superscript"/>
        </w:rPr>
        <w:footnoteReference w:id="44"/>
      </w:r>
      <w:r>
        <w:rPr>
          <w:rFonts w:ascii="Times New Roman" w:eastAsia="Times New Roman" w:hAnsi="Times New Roman" w:cs="Times New Roman"/>
          <w:sz w:val="24"/>
          <w:szCs w:val="24"/>
        </w:rPr>
        <w:t xml:space="preserve">. </w:t>
      </w:r>
    </w:p>
    <w:p w14:paraId="7A396790" w14:textId="77777777" w:rsidR="002E5DA8" w:rsidRDefault="0095632D">
      <w:pPr>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Además, el Comité</w:t>
      </w:r>
      <w:r>
        <w:rPr>
          <w:rFonts w:ascii="Times New Roman" w:eastAsia="Times New Roman" w:hAnsi="Times New Roman" w:cs="Times New Roman"/>
          <w:sz w:val="24"/>
          <w:szCs w:val="24"/>
        </w:rPr>
        <w:t xml:space="preserve"> DESC ha determinado que “(…) la no disponibilidad de bienes y servicios debido a políticas o prácticas basadas en la ideología, como la objeción a prestar servicios por motivos de conciencia, </w:t>
      </w:r>
      <w:r>
        <w:rPr>
          <w:rFonts w:ascii="Times New Roman" w:eastAsia="Times New Roman" w:hAnsi="Times New Roman" w:cs="Times New Roman"/>
          <w:b/>
          <w:sz w:val="24"/>
          <w:szCs w:val="24"/>
          <w:u w:val="single"/>
        </w:rPr>
        <w:t>no debe ser un obstáculo para el acceso a los servicios</w:t>
      </w:r>
      <w:r>
        <w:rPr>
          <w:rFonts w:ascii="Times New Roman" w:eastAsia="Times New Roman" w:hAnsi="Times New Roman" w:cs="Times New Roman"/>
          <w:sz w:val="24"/>
          <w:szCs w:val="24"/>
        </w:rPr>
        <w:t>. Se deb</w:t>
      </w:r>
      <w:r>
        <w:rPr>
          <w:rFonts w:ascii="Times New Roman" w:eastAsia="Times New Roman" w:hAnsi="Times New Roman" w:cs="Times New Roman"/>
          <w:sz w:val="24"/>
          <w:szCs w:val="24"/>
        </w:rPr>
        <w:t>e disponer en todo momento de un número suficiente de proveedores de servicios de atención de la salud dispuestos a prestar esos servicios y capaces de hacerlo en establecimientos públicos y privados a una distancia geográfica razonable”.</w:t>
      </w:r>
      <w:r>
        <w:rPr>
          <w:rFonts w:ascii="Times New Roman" w:eastAsia="Times New Roman" w:hAnsi="Times New Roman" w:cs="Times New Roman"/>
          <w:sz w:val="24"/>
          <w:szCs w:val="24"/>
          <w:vertAlign w:val="superscript"/>
        </w:rPr>
        <w:footnoteReference w:id="45"/>
      </w:r>
    </w:p>
    <w:p w14:paraId="7A396791" w14:textId="77777777" w:rsidR="002E5DA8" w:rsidRDefault="0095632D">
      <w:pPr>
        <w:numPr>
          <w:ilvl w:val="0"/>
          <w:numId w:val="16"/>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Sobre el plazo </w:t>
      </w:r>
      <w:r>
        <w:rPr>
          <w:rFonts w:ascii="Times New Roman" w:eastAsia="Times New Roman" w:hAnsi="Times New Roman" w:cs="Times New Roman"/>
          <w:b/>
          <w:sz w:val="24"/>
          <w:szCs w:val="24"/>
        </w:rPr>
        <w:t xml:space="preserve">para acceder a la interrupción del embarazo. </w:t>
      </w:r>
    </w:p>
    <w:p w14:paraId="7A396792" w14:textId="77777777" w:rsidR="002E5DA8" w:rsidRDefault="0095632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Artículo 19</w:t>
      </w:r>
      <w:r>
        <w:rPr>
          <w:rFonts w:ascii="Times New Roman" w:eastAsia="Times New Roman" w:hAnsi="Times New Roman" w:cs="Times New Roman"/>
          <w:sz w:val="24"/>
          <w:szCs w:val="24"/>
        </w:rPr>
        <w:t>: En cuanto al plazo permitido para la interrupción del embarazo, originalmente el proyecto de ley estipulaba un límite de 12 semanas, salvo en casos de niñas, adolescentes, mujeres de zonas rurales,</w:t>
      </w:r>
      <w:r>
        <w:rPr>
          <w:rFonts w:ascii="Times New Roman" w:eastAsia="Times New Roman" w:hAnsi="Times New Roman" w:cs="Times New Roman"/>
          <w:sz w:val="24"/>
          <w:szCs w:val="24"/>
        </w:rPr>
        <w:t xml:space="preserve"> así como de pueblos y nacionalidades, a quienes se les otorgaba la opción de interrumpir su embarazo hasta las 18 semanas de gestación. </w:t>
      </w:r>
    </w:p>
    <w:p w14:paraId="7A396793" w14:textId="77777777" w:rsidR="002E5DA8" w:rsidRDefault="0095632D">
      <w:pP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No obstante, el presidente objetó dicho artículo argumentando la carencia de fundamentos técnicos y médicos para el plazo extendido de 18 semanas. En consecuencia, propone unificar los plazos gestantes para la interrupción del embarazo, estableciendo un lí</w:t>
      </w:r>
      <w:r>
        <w:rPr>
          <w:rFonts w:ascii="Times New Roman" w:eastAsia="Times New Roman" w:hAnsi="Times New Roman" w:cs="Times New Roman"/>
          <w:sz w:val="24"/>
          <w:szCs w:val="24"/>
        </w:rPr>
        <w:t>mite común de 12 semanas, a excepción de las mujeres con discapacidad</w:t>
      </w:r>
      <w:r>
        <w:rPr>
          <w:rFonts w:ascii="Times New Roman" w:eastAsia="Times New Roman" w:hAnsi="Times New Roman" w:cs="Times New Roman"/>
          <w:color w:val="000000"/>
          <w:sz w:val="24"/>
          <w:szCs w:val="24"/>
          <w:vertAlign w:val="superscript"/>
        </w:rPr>
        <w:footnoteReference w:id="46"/>
      </w:r>
      <w:r>
        <w:rPr>
          <w:rFonts w:ascii="Times New Roman" w:eastAsia="Times New Roman" w:hAnsi="Times New Roman" w:cs="Times New Roman"/>
          <w:sz w:val="24"/>
          <w:szCs w:val="24"/>
        </w:rPr>
        <w:t>.</w:t>
      </w:r>
    </w:p>
    <w:p w14:paraId="7A396794" w14:textId="77777777" w:rsidR="002E5DA8" w:rsidRDefault="0095632D">
      <w:pPr>
        <w:numPr>
          <w:ilvl w:val="0"/>
          <w:numId w:val="16"/>
        </w:num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rPr>
        <w:t>Sobre  los requisitos para acceder a la interrupción del embarazo.</w:t>
      </w:r>
    </w:p>
    <w:p w14:paraId="7A396795" w14:textId="77777777" w:rsidR="002E5DA8" w:rsidRDefault="0095632D">
      <w:pPr>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Artículo</w:t>
      </w:r>
      <w:r>
        <w:rPr>
          <w:rFonts w:ascii="Times New Roman" w:eastAsia="Times New Roman" w:hAnsi="Times New Roman" w:cs="Times New Roman"/>
          <w:b/>
          <w:sz w:val="24"/>
          <w:szCs w:val="24"/>
        </w:rPr>
        <w:t>s</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b/>
          <w:sz w:val="24"/>
          <w:szCs w:val="24"/>
        </w:rPr>
        <w:t>20</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 xml:space="preserve">Aquí se deberá </w:t>
      </w:r>
      <w:r>
        <w:rPr>
          <w:rFonts w:ascii="Times New Roman" w:eastAsia="Times New Roman" w:hAnsi="Times New Roman" w:cs="Times New Roman"/>
          <w:color w:val="000000"/>
          <w:sz w:val="24"/>
          <w:szCs w:val="24"/>
        </w:rPr>
        <w:t xml:space="preserve">llenar un formulario que </w:t>
      </w:r>
      <w:r>
        <w:rPr>
          <w:rFonts w:ascii="Times New Roman" w:eastAsia="Times New Roman" w:hAnsi="Times New Roman" w:cs="Times New Roman"/>
          <w:sz w:val="24"/>
          <w:szCs w:val="24"/>
        </w:rPr>
        <w:t xml:space="preserve">estará disponible </w:t>
      </w:r>
      <w:r>
        <w:rPr>
          <w:rFonts w:ascii="Times New Roman" w:eastAsia="Times New Roman" w:hAnsi="Times New Roman" w:cs="Times New Roman"/>
          <w:color w:val="000000"/>
          <w:sz w:val="24"/>
          <w:szCs w:val="24"/>
        </w:rPr>
        <w:t>en todos los establecimientos del Sistema Na</w:t>
      </w:r>
      <w:r>
        <w:rPr>
          <w:rFonts w:ascii="Times New Roman" w:eastAsia="Times New Roman" w:hAnsi="Times New Roman" w:cs="Times New Roman"/>
          <w:color w:val="000000"/>
          <w:sz w:val="24"/>
          <w:szCs w:val="24"/>
        </w:rPr>
        <w:t>cional de Salud, el cual</w:t>
      </w:r>
      <w:r>
        <w:rPr>
          <w:rFonts w:ascii="Times New Roman" w:eastAsia="Times New Roman" w:hAnsi="Times New Roman" w:cs="Times New Roman"/>
          <w:sz w:val="24"/>
          <w:szCs w:val="24"/>
        </w:rPr>
        <w:t xml:space="preserve"> habilitará</w:t>
      </w:r>
      <w:r>
        <w:rPr>
          <w:rFonts w:ascii="Times New Roman" w:eastAsia="Times New Roman" w:hAnsi="Times New Roman" w:cs="Times New Roman"/>
          <w:color w:val="000000"/>
          <w:sz w:val="24"/>
          <w:szCs w:val="24"/>
        </w:rPr>
        <w:t xml:space="preserve"> la voluntad de abortar</w:t>
      </w:r>
      <w:r>
        <w:rPr>
          <w:rFonts w:ascii="Times New Roman" w:eastAsia="Times New Roman" w:hAnsi="Times New Roman" w:cs="Times New Roman"/>
          <w:sz w:val="24"/>
          <w:szCs w:val="24"/>
        </w:rPr>
        <w:t>. Además, se dispuso que no se requerirá de denuncia, examen o declaración previa para acceder a la interrupción del embarazo. Sin embargo, el presidente objeta esta disposición señalando que en sen</w:t>
      </w:r>
      <w:r>
        <w:rPr>
          <w:rFonts w:ascii="Times New Roman" w:eastAsia="Times New Roman" w:hAnsi="Times New Roman" w:cs="Times New Roman"/>
          <w:sz w:val="24"/>
          <w:szCs w:val="24"/>
        </w:rPr>
        <w:t xml:space="preserve">tencia se establecieron requisitos específicos para acceder a la interrupción del embarazo, incluyendo la denuncia penal, examen médico o declaración juramentada, además de contar con la suscripción de un consentimiento informado por parte de la víctima o </w:t>
      </w:r>
      <w:r>
        <w:rPr>
          <w:rFonts w:ascii="Times New Roman" w:eastAsia="Times New Roman" w:hAnsi="Times New Roman" w:cs="Times New Roman"/>
          <w:sz w:val="24"/>
          <w:szCs w:val="24"/>
        </w:rPr>
        <w:t xml:space="preserve">sus representantes legales. </w:t>
      </w:r>
    </w:p>
    <w:p w14:paraId="7A396796" w14:textId="77777777" w:rsidR="002E5DA8" w:rsidRDefault="0095632D">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Esta objeción, evidentemente afecta el derecho de mujeres, niñas y personas con capacidad de gestar en Ecuador a la privacidad y confidencialidad, y es que diversos organismos internacionales, han afirmado que la inclusión de requisitos engorrosos para acc</w:t>
      </w:r>
      <w:r>
        <w:rPr>
          <w:rFonts w:ascii="Times New Roman" w:eastAsia="Times New Roman" w:hAnsi="Times New Roman" w:cs="Times New Roman"/>
          <w:sz w:val="24"/>
          <w:szCs w:val="24"/>
        </w:rPr>
        <w:t>eder a la interrupción voluntaria del embarazo, como el consentimiento informado de parte de los progenitores de la víctima si ésta es menor de edad, parten de la estereotipos de género que violan sus derechos fundamentales.</w:t>
      </w:r>
      <w:r>
        <w:rPr>
          <w:rFonts w:ascii="Times New Roman" w:eastAsia="Times New Roman" w:hAnsi="Times New Roman" w:cs="Times New Roman"/>
          <w:sz w:val="24"/>
          <w:szCs w:val="24"/>
          <w:vertAlign w:val="superscript"/>
        </w:rPr>
        <w:footnoteReference w:id="47"/>
      </w:r>
      <w:r>
        <w:rPr>
          <w:rFonts w:ascii="Times New Roman" w:eastAsia="Times New Roman" w:hAnsi="Times New Roman" w:cs="Times New Roman"/>
          <w:sz w:val="24"/>
          <w:szCs w:val="24"/>
        </w:rPr>
        <w:t xml:space="preserve"> </w:t>
      </w:r>
    </w:p>
    <w:p w14:paraId="7A396797" w14:textId="77777777" w:rsidR="002E5DA8" w:rsidRDefault="0095632D">
      <w:pPr>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Artículo 22: </w:t>
      </w:r>
      <w:r>
        <w:rPr>
          <w:rFonts w:ascii="Times New Roman" w:eastAsia="Times New Roman" w:hAnsi="Times New Roman" w:cs="Times New Roman"/>
          <w:sz w:val="24"/>
          <w:szCs w:val="24"/>
        </w:rPr>
        <w:t>En cuanto al co</w:t>
      </w:r>
      <w:r>
        <w:rPr>
          <w:rFonts w:ascii="Times New Roman" w:eastAsia="Times New Roman" w:hAnsi="Times New Roman" w:cs="Times New Roman"/>
          <w:sz w:val="24"/>
          <w:szCs w:val="24"/>
        </w:rPr>
        <w:t xml:space="preserve">nsentimiento informado de la víctima de violación, el veto presidencial observa una serie de requisitos los cuales incluyen la práctica de una ecografía para determinar la edad gestional del </w:t>
      </w:r>
      <w:r>
        <w:rPr>
          <w:rFonts w:ascii="Times New Roman" w:eastAsia="Times New Roman" w:hAnsi="Times New Roman" w:cs="Times New Roman"/>
          <w:i/>
          <w:sz w:val="24"/>
          <w:szCs w:val="24"/>
        </w:rPr>
        <w:t>nasciturus</w:t>
      </w:r>
      <w:r>
        <w:rPr>
          <w:rFonts w:ascii="Times New Roman" w:eastAsia="Times New Roman" w:hAnsi="Times New Roman" w:cs="Times New Roman"/>
          <w:sz w:val="24"/>
          <w:szCs w:val="24"/>
        </w:rPr>
        <w:t xml:space="preserve"> y la posibilidad de confirmar si se quiere seguir adel</w:t>
      </w:r>
      <w:r>
        <w:rPr>
          <w:rFonts w:ascii="Times New Roman" w:eastAsia="Times New Roman" w:hAnsi="Times New Roman" w:cs="Times New Roman"/>
          <w:sz w:val="24"/>
          <w:szCs w:val="24"/>
        </w:rPr>
        <w:t xml:space="preserve">ante con el aborto. De la misma manera, establece la obligación al personal médico de informar a la persona sobre las consecuencias del aborto, la protección de la vida del </w:t>
      </w:r>
      <w:r>
        <w:rPr>
          <w:rFonts w:ascii="Times New Roman" w:eastAsia="Times New Roman" w:hAnsi="Times New Roman" w:cs="Times New Roman"/>
          <w:i/>
          <w:sz w:val="24"/>
          <w:szCs w:val="24"/>
        </w:rPr>
        <w:t xml:space="preserve">nasciturus, </w:t>
      </w:r>
      <w:r>
        <w:rPr>
          <w:rFonts w:ascii="Times New Roman" w:eastAsia="Times New Roman" w:hAnsi="Times New Roman" w:cs="Times New Roman"/>
          <w:sz w:val="24"/>
          <w:szCs w:val="24"/>
        </w:rPr>
        <w:t>la asistencia antes, durante y después del embarazo, y/o la adopción. A</w:t>
      </w:r>
      <w:r>
        <w:rPr>
          <w:rFonts w:ascii="Times New Roman" w:eastAsia="Times New Roman" w:hAnsi="Times New Roman" w:cs="Times New Roman"/>
          <w:sz w:val="24"/>
          <w:szCs w:val="24"/>
        </w:rPr>
        <w:t xml:space="preserve">demás, luego de haberse realizado todas estas diligencias, se le volverá a preguntar a la paciente si quiere seguir con el aborto, debiendo consignar esta aprobación en un formulario de consentimiento informado. </w:t>
      </w:r>
    </w:p>
    <w:p w14:paraId="7A396798" w14:textId="77777777" w:rsidR="002E5DA8" w:rsidRDefault="0095632D">
      <w:pPr>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Este procedimiento es del todo revictimizan</w:t>
      </w:r>
      <w:r>
        <w:rPr>
          <w:rFonts w:ascii="Times New Roman" w:eastAsia="Times New Roman" w:hAnsi="Times New Roman" w:cs="Times New Roman"/>
          <w:sz w:val="24"/>
          <w:szCs w:val="24"/>
        </w:rPr>
        <w:t xml:space="preserve">te, y es que busca establecer factores disuasivos para la interrupción voluntaria del embarazo, lo cual es contrario a las obligaciones convencionales previamente adquiridas además de equiparables a las prohibiciones del art. 16 de la CCT. Así, no se está </w:t>
      </w:r>
      <w:r>
        <w:rPr>
          <w:rFonts w:ascii="Times New Roman" w:eastAsia="Times New Roman" w:hAnsi="Times New Roman" w:cs="Times New Roman"/>
          <w:sz w:val="24"/>
          <w:szCs w:val="24"/>
        </w:rPr>
        <w:t>dando atención especializada a la víctima en cuanto a su salud mental, y bienestar emocional y psicológico por un embarazo forzado, lo cual atenta con el derecho a integridad personal de ésta</w:t>
      </w:r>
      <w:r>
        <w:rPr>
          <w:rFonts w:ascii="Times New Roman" w:eastAsia="Times New Roman" w:hAnsi="Times New Roman" w:cs="Times New Roman"/>
          <w:sz w:val="24"/>
          <w:szCs w:val="24"/>
          <w:vertAlign w:val="superscript"/>
        </w:rPr>
        <w:footnoteReference w:id="48"/>
      </w:r>
      <w:r>
        <w:rPr>
          <w:rFonts w:ascii="Times New Roman" w:eastAsia="Times New Roman" w:hAnsi="Times New Roman" w:cs="Times New Roman"/>
          <w:sz w:val="24"/>
          <w:szCs w:val="24"/>
        </w:rPr>
        <w:t xml:space="preserve">. </w:t>
      </w:r>
    </w:p>
    <w:p w14:paraId="7A396799" w14:textId="77777777" w:rsidR="002E5DA8" w:rsidRDefault="0095632D">
      <w:pPr>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Posterior a estas objeciones, la Asamblea Nacional no consig</w:t>
      </w:r>
      <w:r>
        <w:rPr>
          <w:rFonts w:ascii="Times New Roman" w:eastAsia="Times New Roman" w:hAnsi="Times New Roman" w:cs="Times New Roman"/>
          <w:sz w:val="24"/>
          <w:szCs w:val="24"/>
        </w:rPr>
        <w:t>uió los votos para oponerse al veto parcial del Ejecutivo al proyecto de ley. La entonces presidenta de la legislatura, Guadalupe Llori, suspendió la sesión sin considerar una moción de ratificación presentada el 5 de abril la cual señalaba que el pleno de</w:t>
      </w:r>
      <w:r>
        <w:rPr>
          <w:rFonts w:ascii="Times New Roman" w:eastAsia="Times New Roman" w:hAnsi="Times New Roman" w:cs="Times New Roman"/>
          <w:sz w:val="24"/>
          <w:szCs w:val="24"/>
        </w:rPr>
        <w:t xml:space="preserve"> la Asamblea Nacional se ratifique en el texto de la ley orgánica que garantiza la interrupción del embarazo para niñas, adolescentes y mujeres en caso de violación</w:t>
      </w:r>
      <w:r>
        <w:rPr>
          <w:rFonts w:ascii="Times New Roman" w:eastAsia="Times New Roman" w:hAnsi="Times New Roman" w:cs="Times New Roman"/>
          <w:sz w:val="24"/>
          <w:szCs w:val="24"/>
          <w:vertAlign w:val="superscript"/>
        </w:rPr>
        <w:footnoteReference w:id="49"/>
      </w:r>
      <w:r>
        <w:rPr>
          <w:rFonts w:ascii="Times New Roman" w:eastAsia="Times New Roman" w:hAnsi="Times New Roman" w:cs="Times New Roman"/>
          <w:sz w:val="24"/>
          <w:szCs w:val="24"/>
        </w:rPr>
        <w:t>. a falta de consenso en el legislativo sobre los plazos para poder acceder a la interrupc</w:t>
      </w:r>
      <w:r>
        <w:rPr>
          <w:rFonts w:ascii="Times New Roman" w:eastAsia="Times New Roman" w:hAnsi="Times New Roman" w:cs="Times New Roman"/>
          <w:sz w:val="24"/>
          <w:szCs w:val="24"/>
        </w:rPr>
        <w:t xml:space="preserve">ión del embarazo. </w:t>
      </w:r>
    </w:p>
    <w:p w14:paraId="7A39679A" w14:textId="77777777" w:rsidR="002E5DA8" w:rsidRDefault="0095632D">
      <w:pPr>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consecuencia, el texto objetado por Ejecutivo terminó siendo aprobado por el ministerio de la ley y publicado en el Segundo Suplemento del Registro Oficial 53, el 29 de abril de 2022</w:t>
      </w:r>
      <w:r>
        <w:rPr>
          <w:rFonts w:ascii="Times New Roman" w:eastAsia="Times New Roman" w:hAnsi="Times New Roman" w:cs="Times New Roman"/>
          <w:sz w:val="24"/>
          <w:szCs w:val="24"/>
          <w:vertAlign w:val="superscript"/>
        </w:rPr>
        <w:footnoteReference w:id="50"/>
      </w:r>
      <w:r>
        <w:rPr>
          <w:rFonts w:ascii="Times New Roman" w:eastAsia="Times New Roman" w:hAnsi="Times New Roman" w:cs="Times New Roman"/>
          <w:sz w:val="24"/>
          <w:szCs w:val="24"/>
        </w:rPr>
        <w:t xml:space="preserve">, bajo el título de Ley Orgánica que </w:t>
      </w:r>
      <w:r>
        <w:rPr>
          <w:rFonts w:ascii="Times New Roman" w:eastAsia="Times New Roman" w:hAnsi="Times New Roman" w:cs="Times New Roman"/>
          <w:b/>
          <w:sz w:val="24"/>
          <w:szCs w:val="24"/>
          <w:u w:val="single"/>
        </w:rPr>
        <w:t xml:space="preserve">Regula </w:t>
      </w:r>
      <w:r>
        <w:rPr>
          <w:rFonts w:ascii="Times New Roman" w:eastAsia="Times New Roman" w:hAnsi="Times New Roman" w:cs="Times New Roman"/>
          <w:sz w:val="24"/>
          <w:szCs w:val="24"/>
        </w:rPr>
        <w:t>la int</w:t>
      </w:r>
      <w:r>
        <w:rPr>
          <w:rFonts w:ascii="Times New Roman" w:eastAsia="Times New Roman" w:hAnsi="Times New Roman" w:cs="Times New Roman"/>
          <w:sz w:val="24"/>
          <w:szCs w:val="24"/>
        </w:rPr>
        <w:t>errupción Voluntaria del Embarazo Para Niñas, Adolescentes y Mujeres en caso de Violación, LORIVE.</w:t>
      </w:r>
    </w:p>
    <w:p w14:paraId="7A39679B" w14:textId="77777777" w:rsidR="002E5DA8" w:rsidRDefault="0095632D">
      <w:pPr>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consecuencia, las suscritas organizaciones encuentran preocupante que el texto de la ley que actualmente se encuentra en vigencia, al haber sido aceptado </w:t>
      </w:r>
      <w:r>
        <w:rPr>
          <w:rFonts w:ascii="Times New Roman" w:eastAsia="Times New Roman" w:hAnsi="Times New Roman" w:cs="Times New Roman"/>
          <w:sz w:val="24"/>
          <w:szCs w:val="24"/>
        </w:rPr>
        <w:t>con un veto presidencial que excluye normativa sobre derechos humanos, es poco claro e incumple en su totalidad la esencia de la decisión de la Corte Constitucional. En el mismo sentido, es preciso afirmar que este propio Comité ha criticado las restriccio</w:t>
      </w:r>
      <w:r>
        <w:rPr>
          <w:rFonts w:ascii="Times New Roman" w:eastAsia="Times New Roman" w:hAnsi="Times New Roman" w:cs="Times New Roman"/>
          <w:sz w:val="24"/>
          <w:szCs w:val="24"/>
        </w:rPr>
        <w:t xml:space="preserve">nes al acceso </w:t>
      </w:r>
      <w:r>
        <w:rPr>
          <w:rFonts w:ascii="Times New Roman" w:eastAsia="Times New Roman" w:hAnsi="Times New Roman" w:cs="Times New Roman"/>
          <w:b/>
          <w:sz w:val="24"/>
          <w:szCs w:val="24"/>
          <w:u w:val="single"/>
        </w:rPr>
        <w:t>al aborto legal en casos en que las leyes no son claras</w:t>
      </w:r>
      <w:r>
        <w:rPr>
          <w:rFonts w:ascii="Times New Roman" w:eastAsia="Times New Roman" w:hAnsi="Times New Roman" w:cs="Times New Roman"/>
          <w:sz w:val="24"/>
          <w:szCs w:val="24"/>
          <w:vertAlign w:val="superscript"/>
        </w:rPr>
        <w:footnoteReference w:id="51"/>
      </w:r>
      <w:r>
        <w:rPr>
          <w:rFonts w:ascii="Times New Roman" w:eastAsia="Times New Roman" w:hAnsi="Times New Roman" w:cs="Times New Roman"/>
          <w:b/>
          <w:sz w:val="24"/>
          <w:szCs w:val="24"/>
          <w:u w:val="single"/>
        </w:rPr>
        <w:t>,</w:t>
      </w:r>
      <w:r>
        <w:rPr>
          <w:rFonts w:ascii="Times New Roman" w:eastAsia="Times New Roman" w:hAnsi="Times New Roman" w:cs="Times New Roman"/>
          <w:sz w:val="24"/>
          <w:szCs w:val="24"/>
        </w:rPr>
        <w:t xml:space="preserve"> de manera que, la ley cuenta con nudos críticos de inconvencionalidad. </w:t>
      </w:r>
    </w:p>
    <w:p w14:paraId="7A39679C" w14:textId="77777777" w:rsidR="002E5DA8" w:rsidRDefault="0095632D">
      <w:pPr>
        <w:pStyle w:val="Heading2"/>
        <w:numPr>
          <w:ilvl w:val="2"/>
          <w:numId w:val="9"/>
        </w:numPr>
        <w:spacing w:after="0"/>
        <w:rPr>
          <w:b w:val="0"/>
        </w:rPr>
      </w:pPr>
      <w:bookmarkStart w:id="12" w:name="_heading=h.adasln9n7kpo" w:colFirst="0" w:colLast="0"/>
      <w:bookmarkEnd w:id="12"/>
      <w:r>
        <w:t>Marco jurídico de la LORIVE.</w:t>
      </w:r>
    </w:p>
    <w:p w14:paraId="7A39679D" w14:textId="77777777" w:rsidR="002E5DA8" w:rsidRDefault="0095632D">
      <w:pPr>
        <w:pStyle w:val="Heading3"/>
        <w:numPr>
          <w:ilvl w:val="0"/>
          <w:numId w:val="1"/>
        </w:numPr>
        <w:rPr>
          <w:b/>
        </w:rPr>
      </w:pPr>
      <w:bookmarkStart w:id="13" w:name="_heading=h.3i7paymexmrb" w:colFirst="0" w:colLast="0"/>
      <w:bookmarkEnd w:id="13"/>
      <w:r>
        <w:rPr>
          <w:b/>
        </w:rPr>
        <w:t>Objeto, ámbito de aplicación y principios:</w:t>
      </w:r>
    </w:p>
    <w:p w14:paraId="7A39679E"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Por primera vez en la historia del Ecuador, se permite y regula la interrupción voluntaria del embarazo en casos de violación. Este hito es un avance significativo en el reconocimiento de derechos sexuales y repro</w:t>
      </w:r>
      <w:r>
        <w:rPr>
          <w:rFonts w:ascii="Times New Roman" w:eastAsia="Times New Roman" w:hAnsi="Times New Roman" w:cs="Times New Roman"/>
          <w:sz w:val="24"/>
          <w:szCs w:val="24"/>
        </w:rPr>
        <w:t>ductivos para las mujeres y personas con capacidad de gestar, pero no suficiente. Sin embargo, el legislador ha establecido una serie de valores normativos con enfoque de género.</w:t>
      </w:r>
    </w:p>
    <w:p w14:paraId="7A39679F"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ley define como su objeto el generar un marco normativo que regule la inte</w:t>
      </w:r>
      <w:r>
        <w:rPr>
          <w:rFonts w:ascii="Times New Roman" w:eastAsia="Times New Roman" w:hAnsi="Times New Roman" w:cs="Times New Roman"/>
          <w:sz w:val="24"/>
          <w:szCs w:val="24"/>
        </w:rPr>
        <w:t>rrupción voluntaria del embarazo en casos de violación; bajo los principios de dignidad humana, igualdad, confidencialidad y protección constitucional de la vida desde la concepción. Esta ley es de aplicación obligatoria para todos los operadores de salud,</w:t>
      </w:r>
      <w:r>
        <w:rPr>
          <w:rFonts w:ascii="Times New Roman" w:eastAsia="Times New Roman" w:hAnsi="Times New Roman" w:cs="Times New Roman"/>
          <w:sz w:val="24"/>
          <w:szCs w:val="24"/>
        </w:rPr>
        <w:t xml:space="preserve"> establecimientos públicos, privados y está dirigido a mujeres y niñas gestantes que deseen interrumpir su embarazo producidos por una violación. </w:t>
      </w:r>
    </w:p>
    <w:p w14:paraId="7A3967A0" w14:textId="77777777" w:rsidR="002E5DA8" w:rsidRDefault="0095632D">
      <w:pPr>
        <w:pStyle w:val="Heading3"/>
        <w:numPr>
          <w:ilvl w:val="0"/>
          <w:numId w:val="17"/>
        </w:numPr>
        <w:rPr>
          <w:b/>
        </w:rPr>
      </w:pPr>
      <w:bookmarkStart w:id="14" w:name="_heading=h.e19iuba7prxt" w:colFirst="0" w:colLast="0"/>
      <w:bookmarkEnd w:id="14"/>
      <w:r>
        <w:rPr>
          <w:b/>
        </w:rPr>
        <w:t>Atención médica oportuna a víctimas de violación sexual:</w:t>
      </w:r>
    </w:p>
    <w:p w14:paraId="7A3967A1"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 mujeres víctimas de violación tendrán derecho a recibir atención médica de emergencia (física y psicológica), antes y después de la interrupción voluntaria del embarazo, respetando su intimidad personal y sociocultural. </w:t>
      </w:r>
    </w:p>
    <w:p w14:paraId="7A3967A2"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 niñas, adolescentes y mujer</w:t>
      </w:r>
      <w:r>
        <w:rPr>
          <w:rFonts w:ascii="Times New Roman" w:eastAsia="Times New Roman" w:hAnsi="Times New Roman" w:cs="Times New Roman"/>
          <w:sz w:val="24"/>
          <w:szCs w:val="24"/>
        </w:rPr>
        <w:t>es pertenecientes a comunas, comunidades, pueblos y nacionalidades, y el acceso al aborto consentido en caso de violación, serán atendidas de forma prioritaria y urgente, especialmente cuando se encuentren en zonas remotas o alejadas.</w:t>
      </w:r>
    </w:p>
    <w:p w14:paraId="7A3967A3"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Todo profesional de l</w:t>
      </w:r>
      <w:r>
        <w:rPr>
          <w:rFonts w:ascii="Times New Roman" w:eastAsia="Times New Roman" w:hAnsi="Times New Roman" w:cs="Times New Roman"/>
          <w:sz w:val="24"/>
          <w:szCs w:val="24"/>
        </w:rPr>
        <w:t>a salud tiene la obligación de implementar el principio de coexistencia de causales de acuerdo a lo determinado en el artículo 58 inciso h) de la ley, así como a evaluar los posibles riesgos para la salud física, psicológica y social de la mujer, niña, ado</w:t>
      </w:r>
      <w:r>
        <w:rPr>
          <w:rFonts w:ascii="Times New Roman" w:eastAsia="Times New Roman" w:hAnsi="Times New Roman" w:cs="Times New Roman"/>
          <w:sz w:val="24"/>
          <w:szCs w:val="24"/>
        </w:rPr>
        <w:t>lescente o persona gestante para que reciba atención integral con base en las normativas vigentes emitidas por el Ministerio de Salud Pública (en adelante, MSP) y considerando lo estipulado en el Código Orgánico Integral Penal artículo 150 posterior a la d</w:t>
      </w:r>
      <w:r>
        <w:rPr>
          <w:rFonts w:ascii="Times New Roman" w:eastAsia="Times New Roman" w:hAnsi="Times New Roman" w:cs="Times New Roman"/>
          <w:sz w:val="24"/>
          <w:szCs w:val="24"/>
        </w:rPr>
        <w:t xml:space="preserve">eclaratoria de inconstitucionalidad de la CCE. </w:t>
      </w:r>
    </w:p>
    <w:p w14:paraId="7A3967A4" w14:textId="77777777" w:rsidR="002E5DA8" w:rsidRDefault="0095632D">
      <w:pPr>
        <w:pStyle w:val="Heading3"/>
        <w:numPr>
          <w:ilvl w:val="0"/>
          <w:numId w:val="19"/>
        </w:numPr>
        <w:rPr>
          <w:b/>
        </w:rPr>
      </w:pPr>
      <w:bookmarkStart w:id="15" w:name="_heading=h.8av3zkfgkr8p" w:colFirst="0" w:colLast="0"/>
      <w:bookmarkEnd w:id="15"/>
      <w:r>
        <w:rPr>
          <w:b/>
        </w:rPr>
        <w:t xml:space="preserve">Plazo para interrumpir voluntariamente el embarazo: </w:t>
      </w:r>
    </w:p>
    <w:p w14:paraId="7A3967A5"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interrupción del embarazo podrá ser practicada por el profesional de la salud hasta las 12 semanas de gestación. Este plazo puede ser mayor cuando se tr</w:t>
      </w:r>
      <w:r>
        <w:rPr>
          <w:rFonts w:ascii="Times New Roman" w:eastAsia="Times New Roman" w:hAnsi="Times New Roman" w:cs="Times New Roman"/>
          <w:sz w:val="24"/>
          <w:szCs w:val="24"/>
        </w:rPr>
        <w:t>ate de personas con discapacidad intelectual de la víctima de violación.</w:t>
      </w:r>
    </w:p>
    <w:p w14:paraId="7A3967A6"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Una vez se reciba la solicitud de la interrupción del embarazo por causal de violación, que puede ser verbal o escrita, deberá ser gestionada dentro un plazo de 4 días, que comenzarán</w:t>
      </w:r>
      <w:r>
        <w:rPr>
          <w:rFonts w:ascii="Times New Roman" w:eastAsia="Times New Roman" w:hAnsi="Times New Roman" w:cs="Times New Roman"/>
          <w:sz w:val="24"/>
          <w:szCs w:val="24"/>
        </w:rPr>
        <w:t xml:space="preserve"> a cumplirse desde que se recibe la solicitud. </w:t>
      </w:r>
    </w:p>
    <w:p w14:paraId="7A3967A7" w14:textId="77777777" w:rsidR="002E5DA8" w:rsidRDefault="0095632D">
      <w:pPr>
        <w:pStyle w:val="Heading3"/>
        <w:numPr>
          <w:ilvl w:val="0"/>
          <w:numId w:val="21"/>
        </w:numPr>
        <w:rPr>
          <w:b/>
        </w:rPr>
      </w:pPr>
      <w:bookmarkStart w:id="16" w:name="_heading=h.yar3sogu4gh3" w:colFirst="0" w:colLast="0"/>
      <w:bookmarkEnd w:id="16"/>
      <w:r>
        <w:rPr>
          <w:b/>
        </w:rPr>
        <w:t>Requisitos para interrumpir voluntariamente el embarazo:</w:t>
      </w:r>
    </w:p>
    <w:p w14:paraId="7A3967A8"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Conforme se expresó en líneas anteriores, la norma contenía una serie de requisitos que debían ser tomados en cuenta previo a la interrupción voluntari</w:t>
      </w:r>
      <w:r>
        <w:rPr>
          <w:rFonts w:ascii="Times New Roman" w:eastAsia="Times New Roman" w:hAnsi="Times New Roman" w:cs="Times New Roman"/>
          <w:sz w:val="24"/>
          <w:szCs w:val="24"/>
        </w:rPr>
        <w:t>a del embarazo, no obstante entre ellos, se encuentran actualmente suspendidos por resolución de la Corte Constitucional los siguientes:</w:t>
      </w:r>
    </w:p>
    <w:p w14:paraId="7A3967A9" w14:textId="77777777" w:rsidR="002E5DA8" w:rsidRDefault="0095632D">
      <w:pPr>
        <w:numPr>
          <w:ilvl w:val="0"/>
          <w:numId w:val="7"/>
        </w:numPr>
        <w:pBdr>
          <w:top w:val="nil"/>
          <w:left w:val="nil"/>
          <w:bottom w:val="nil"/>
          <w:right w:val="nil"/>
          <w:between w:val="nil"/>
        </w:pBdr>
        <w:spacing w:after="200" w:line="360" w:lineRule="auto"/>
        <w:ind w:left="14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Obligatoriamente la víctima, o quien haya presenciado los hechos, debe presentar la denuncia de violación. Se exceptúa </w:t>
      </w:r>
      <w:r>
        <w:rPr>
          <w:rFonts w:ascii="Times New Roman" w:eastAsia="Times New Roman" w:hAnsi="Times New Roman" w:cs="Times New Roman"/>
          <w:color w:val="000000"/>
          <w:sz w:val="24"/>
          <w:szCs w:val="24"/>
        </w:rPr>
        <w:t>el caso de mujeres que padezcan una discapacidad mental.</w:t>
      </w:r>
    </w:p>
    <w:p w14:paraId="7A3967AA" w14:textId="77777777" w:rsidR="002E5DA8" w:rsidRDefault="0095632D">
      <w:pPr>
        <w:numPr>
          <w:ilvl w:val="0"/>
          <w:numId w:val="7"/>
        </w:numPr>
        <w:pBdr>
          <w:top w:val="nil"/>
          <w:left w:val="nil"/>
          <w:bottom w:val="nil"/>
          <w:right w:val="nil"/>
          <w:between w:val="nil"/>
        </w:pBdr>
        <w:spacing w:after="200" w:line="360" w:lineRule="auto"/>
        <w:ind w:left="14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 víctima de violación debe suscribir una declaración juramentada sobre los hechos, o a su vez si se trata de un menor de edad, lo podrá hacer su representante legal o cuidador, siempre y cuando, no</w:t>
      </w:r>
      <w:r>
        <w:rPr>
          <w:rFonts w:ascii="Times New Roman" w:eastAsia="Times New Roman" w:hAnsi="Times New Roman" w:cs="Times New Roman"/>
          <w:color w:val="000000"/>
          <w:sz w:val="24"/>
          <w:szCs w:val="24"/>
        </w:rPr>
        <w:t xml:space="preserve"> fuese el agresor. </w:t>
      </w:r>
    </w:p>
    <w:p w14:paraId="7A3967AB" w14:textId="77777777" w:rsidR="002E5DA8" w:rsidRDefault="0095632D">
      <w:pPr>
        <w:numPr>
          <w:ilvl w:val="0"/>
          <w:numId w:val="7"/>
        </w:numPr>
        <w:pBdr>
          <w:top w:val="nil"/>
          <w:left w:val="nil"/>
          <w:bottom w:val="nil"/>
          <w:right w:val="nil"/>
          <w:between w:val="nil"/>
        </w:pBdr>
        <w:spacing w:after="200" w:line="360" w:lineRule="auto"/>
        <w:ind w:left="1417"/>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P</w:t>
      </w:r>
      <w:r>
        <w:rPr>
          <w:rFonts w:ascii="Times New Roman" w:eastAsia="Times New Roman" w:hAnsi="Times New Roman" w:cs="Times New Roman"/>
          <w:color w:val="000000"/>
          <w:sz w:val="24"/>
          <w:szCs w:val="24"/>
        </w:rPr>
        <w:t>racticarse exámenes médicos a la víctima, con el fin de demostrar indicios de violación</w:t>
      </w:r>
    </w:p>
    <w:p w14:paraId="7A3967AC" w14:textId="77777777" w:rsidR="002E5DA8" w:rsidRDefault="0095632D">
      <w:pPr>
        <w:numPr>
          <w:ilvl w:val="0"/>
          <w:numId w:val="7"/>
        </w:numPr>
        <w:pBdr>
          <w:top w:val="nil"/>
          <w:left w:val="nil"/>
          <w:bottom w:val="nil"/>
          <w:right w:val="nil"/>
          <w:between w:val="nil"/>
        </w:pBdr>
        <w:spacing w:after="200" w:line="360" w:lineRule="auto"/>
        <w:ind w:left="14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La suscripción del consentimiento de la víctima. </w:t>
      </w:r>
    </w:p>
    <w:p w14:paraId="7A3967AD" w14:textId="77777777" w:rsidR="002E5DA8" w:rsidRDefault="0095632D">
      <w:pPr>
        <w:numPr>
          <w:ilvl w:val="0"/>
          <w:numId w:val="7"/>
        </w:numPr>
        <w:pBdr>
          <w:top w:val="nil"/>
          <w:left w:val="nil"/>
          <w:bottom w:val="nil"/>
          <w:right w:val="nil"/>
          <w:between w:val="nil"/>
        </w:pBdr>
        <w:spacing w:after="200" w:line="360" w:lineRule="auto"/>
        <w:ind w:left="141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objeción de conciencia institucional de centros médicos y casas de salud. </w:t>
      </w:r>
    </w:p>
    <w:p w14:paraId="7A3967AE" w14:textId="77777777" w:rsidR="002E5DA8" w:rsidRDefault="0095632D">
      <w:p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Dichos requisitos fueron suspendidos por efecto de una acción pública de inconstitucionalidad 41-22-IN a la LORIVE, presentada ante la CCE, por varias organizaciones feministas y defensoras de los derechos sexuales y reproductivos en el Ecuador. Asimismo, </w:t>
      </w:r>
      <w:r>
        <w:rPr>
          <w:rFonts w:ascii="Times New Roman" w:eastAsia="Times New Roman" w:hAnsi="Times New Roman" w:cs="Times New Roman"/>
          <w:sz w:val="24"/>
          <w:szCs w:val="24"/>
        </w:rPr>
        <w:t>dicho proceso fue acumulado a otras acciones de inconstitucionalidad presentadas, las cuales serán detalladas a continuación.</w:t>
      </w:r>
    </w:p>
    <w:p w14:paraId="7A3967AF" w14:textId="77777777" w:rsidR="002E5DA8" w:rsidRDefault="0095632D">
      <w:pPr>
        <w:pStyle w:val="Heading3"/>
        <w:numPr>
          <w:ilvl w:val="0"/>
          <w:numId w:val="13"/>
        </w:numPr>
        <w:rPr>
          <w:b/>
        </w:rPr>
      </w:pPr>
      <w:bookmarkStart w:id="17" w:name="_heading=h.b4y3vevawvmy" w:colFirst="0" w:colLast="0"/>
      <w:bookmarkEnd w:id="17"/>
      <w:r>
        <w:rPr>
          <w:b/>
        </w:rPr>
        <w:t>La objeción de conciencia del personal de salud:</w:t>
      </w:r>
    </w:p>
    <w:p w14:paraId="7A3967B0"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objeción de conciencia debe ser genuina y responsable en el ámbito de la atenc</w:t>
      </w:r>
      <w:r>
        <w:rPr>
          <w:rFonts w:ascii="Times New Roman" w:eastAsia="Times New Roman" w:hAnsi="Times New Roman" w:cs="Times New Roman"/>
          <w:sz w:val="24"/>
          <w:szCs w:val="24"/>
        </w:rPr>
        <w:t>ión médica, subrayando la necesidad de respetar los derechos de los pacientes y permitir la reorganización de servicios cuando sea necesario. La implementación correcta de la objeción de conciencia implica mostrar respeto tanto a los profesionales de la sa</w:t>
      </w:r>
      <w:r>
        <w:rPr>
          <w:rFonts w:ascii="Times New Roman" w:eastAsia="Times New Roman" w:hAnsi="Times New Roman" w:cs="Times New Roman"/>
          <w:sz w:val="24"/>
          <w:szCs w:val="24"/>
        </w:rPr>
        <w:t>lud (que tienen el derecho a no actuar en contra de sus principios) como a los usuarios de los servicios de salud, quienes tienen el derecho a no ser forzados a adherirse a valores religiosos o morales ajenos.</w:t>
      </w:r>
    </w:p>
    <w:p w14:paraId="7A3967B1"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Así, la LORIVE destaca la obligación de procur</w:t>
      </w:r>
      <w:r>
        <w:rPr>
          <w:rFonts w:ascii="Times New Roman" w:eastAsia="Times New Roman" w:hAnsi="Times New Roman" w:cs="Times New Roman"/>
          <w:sz w:val="24"/>
          <w:szCs w:val="24"/>
        </w:rPr>
        <w:t>ar que todos los servicios de salud, tanto públicos como privados, cuenten con personal no objetor. Además, se especifica que la objeción de conciencia no puede aplicarse en casos donde exista riesgo para la salud y vida, y que los profesionales de la salu</w:t>
      </w:r>
      <w:r>
        <w:rPr>
          <w:rFonts w:ascii="Times New Roman" w:eastAsia="Times New Roman" w:hAnsi="Times New Roman" w:cs="Times New Roman"/>
          <w:sz w:val="24"/>
          <w:szCs w:val="24"/>
        </w:rPr>
        <w:t>d deben conocer cómo proporcionar la interrupción voluntaria del embarazo en situaciones de violación.</w:t>
      </w:r>
    </w:p>
    <w:p w14:paraId="7A3967B2"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Sin embargo, por el otro lado sí da paso a los profesionales de la salud a ser objetores de conciencia sea público o privado sea de manera individual, co</w:t>
      </w:r>
      <w:r>
        <w:rPr>
          <w:rFonts w:ascii="Times New Roman" w:eastAsia="Times New Roman" w:hAnsi="Times New Roman" w:cs="Times New Roman"/>
          <w:sz w:val="24"/>
          <w:szCs w:val="24"/>
        </w:rPr>
        <w:t>lectiva o institucional. Eso sí, la objeción de conciencia institucional solo la podrán ejercer los centros médicos privados, de modo que los hospitales públicos tienen prohibido ejercerla. Sin embargo, como se expuso con anterioridad, este precepto no ser</w:t>
      </w:r>
      <w:r>
        <w:rPr>
          <w:rFonts w:ascii="Times New Roman" w:eastAsia="Times New Roman" w:hAnsi="Times New Roman" w:cs="Times New Roman"/>
          <w:sz w:val="24"/>
          <w:szCs w:val="24"/>
        </w:rPr>
        <w:t>ía posible dado que la objeción de conciencia es un derecho, no una potestad de las instituciones.</w:t>
      </w:r>
    </w:p>
    <w:p w14:paraId="7A3967B3"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Además, si en el ámbito geográfico, sólo existe un médico capaz de realizar la interrupción voluntaria del embarazo y éste sea objetor de conciencia privado,</w:t>
      </w:r>
      <w:r>
        <w:rPr>
          <w:rFonts w:ascii="Times New Roman" w:eastAsia="Times New Roman" w:hAnsi="Times New Roman" w:cs="Times New Roman"/>
          <w:sz w:val="24"/>
          <w:szCs w:val="24"/>
        </w:rPr>
        <w:t xml:space="preserve"> se deberá derivar el caso de manera inmediata al centro de salud público más cercano. Sin embargo, ya que estos requisitos se encuentran actualmente suspendidos, el médico objetor obligatoriamente deberá practicar el aborto. </w:t>
      </w:r>
    </w:p>
    <w:p w14:paraId="7A3967B4"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Adicionalmente, el Art. 45 de</w:t>
      </w:r>
      <w:r>
        <w:rPr>
          <w:rFonts w:ascii="Times New Roman" w:eastAsia="Times New Roman" w:hAnsi="Times New Roman" w:cs="Times New Roman"/>
          <w:sz w:val="24"/>
          <w:szCs w:val="24"/>
        </w:rPr>
        <w:t xml:space="preserve"> la LORIVE dispone que “quienes no hayan presentado objeción de conciencia o hayan revocado la misma no podrán negarse a realizar el procedimiento para interrumpir voluntariamente el embarazo por violación”. Así, como se expuso con anterioridad, dicho requ</w:t>
      </w:r>
      <w:r>
        <w:rPr>
          <w:rFonts w:ascii="Times New Roman" w:eastAsia="Times New Roman" w:hAnsi="Times New Roman" w:cs="Times New Roman"/>
          <w:sz w:val="24"/>
          <w:szCs w:val="24"/>
        </w:rPr>
        <w:t>isito se encuentra suspendido por una medida cautelar presentada en las acciones de inconstitucionalidad a la LORIVE presentadas ante la CCE.</w:t>
      </w:r>
    </w:p>
    <w:p w14:paraId="7A3967B5" w14:textId="77777777" w:rsidR="002E5DA8" w:rsidRDefault="0095632D">
      <w:pPr>
        <w:pStyle w:val="Title"/>
        <w:numPr>
          <w:ilvl w:val="0"/>
          <w:numId w:val="9"/>
        </w:numPr>
        <w:jc w:val="both"/>
      </w:pPr>
      <w:bookmarkStart w:id="18" w:name="_heading=h.my3at6wy6c49" w:colFirst="0" w:colLast="0"/>
      <w:bookmarkEnd w:id="18"/>
      <w:r>
        <w:t xml:space="preserve">DATOS OBTENIDOS A PARTIR DE INFORMACIÓN PÚBLICA PROPORCIONADA POR INSTITUCIONES: </w:t>
      </w:r>
    </w:p>
    <w:p w14:paraId="7A3967B6"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 el fin de dar cuenta de un r</w:t>
      </w:r>
      <w:r>
        <w:rPr>
          <w:rFonts w:ascii="Times New Roman" w:eastAsia="Times New Roman" w:hAnsi="Times New Roman" w:cs="Times New Roman"/>
          <w:sz w:val="24"/>
          <w:szCs w:val="24"/>
        </w:rPr>
        <w:t xml:space="preserve">eporte y evaluación respecto de la interrupción voluntaria del embarazo, ODJ solicitó información pública a tres instituciones: i) Corte Constitucional del Ecuador, ii) Fiscalía General del Estado, iii) Ministerio de Salud Pública (en adelante MSP). </w:t>
      </w:r>
    </w:p>
    <w:p w14:paraId="7A3967B7" w14:textId="77777777" w:rsidR="002E5DA8" w:rsidRDefault="0095632D">
      <w:pPr>
        <w:spacing w:line="360" w:lineRule="auto"/>
        <w:jc w:val="both"/>
      </w:pPr>
      <w:r>
        <w:rPr>
          <w:rFonts w:ascii="Times New Roman" w:eastAsia="Times New Roman" w:hAnsi="Times New Roman" w:cs="Times New Roman"/>
          <w:sz w:val="24"/>
          <w:szCs w:val="24"/>
        </w:rPr>
        <w:t>El ob</w:t>
      </w:r>
      <w:r>
        <w:rPr>
          <w:rFonts w:ascii="Times New Roman" w:eastAsia="Times New Roman" w:hAnsi="Times New Roman" w:cs="Times New Roman"/>
          <w:sz w:val="24"/>
          <w:szCs w:val="24"/>
        </w:rPr>
        <w:t>jetivo de este requerimiento se centra en dos cuestiones: i) evaluar el desarrollo de la ley en la materia, ii) dar un contraste del avance con anterioridad a la sentencia constitucional.</w:t>
      </w:r>
    </w:p>
    <w:p w14:paraId="7A3967B8" w14:textId="77777777" w:rsidR="002E5DA8" w:rsidRDefault="0095632D">
      <w:pPr>
        <w:pStyle w:val="Heading1"/>
        <w:numPr>
          <w:ilvl w:val="1"/>
          <w:numId w:val="9"/>
        </w:numPr>
      </w:pPr>
      <w:bookmarkStart w:id="19" w:name="_heading=h.acuiv0prwnvu" w:colFirst="0" w:colLast="0"/>
      <w:bookmarkEnd w:id="19"/>
      <w:r>
        <w:t>Corte Constitucional del Ecuador: sobre las impugnaciones a la LORIV</w:t>
      </w:r>
      <w:r>
        <w:t>E mediante Acción de Inconstitucionalidad:</w:t>
      </w:r>
    </w:p>
    <w:p w14:paraId="7A3967B9"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Varias organizaciones de la sociedad civil, en su mayoría organizaciones feministas y promotoras de los derechos sexuales y reproductivos, han interpuesto varias acciones públicas de inconstitucionalidad</w:t>
      </w:r>
      <w:r>
        <w:rPr>
          <w:rFonts w:ascii="Times New Roman" w:eastAsia="Times New Roman" w:hAnsi="Times New Roman" w:cs="Times New Roman"/>
          <w:sz w:val="24"/>
          <w:szCs w:val="24"/>
          <w:vertAlign w:val="superscript"/>
        </w:rPr>
        <w:footnoteReference w:id="52"/>
      </w:r>
      <w:r>
        <w:rPr>
          <w:rFonts w:ascii="Times New Roman" w:eastAsia="Times New Roman" w:hAnsi="Times New Roman" w:cs="Times New Roman"/>
          <w:sz w:val="24"/>
          <w:szCs w:val="24"/>
        </w:rPr>
        <w:t>. Catorc</w:t>
      </w:r>
      <w:r>
        <w:rPr>
          <w:rFonts w:ascii="Times New Roman" w:eastAsia="Times New Roman" w:hAnsi="Times New Roman" w:cs="Times New Roman"/>
          <w:sz w:val="24"/>
          <w:szCs w:val="24"/>
        </w:rPr>
        <w:t>e (14) a la fecha, una (1) acción por incumplimiento de sentencia y una (1) acción de incumplimiento de sentencia la cual fue negada y archivada</w:t>
      </w:r>
      <w:r>
        <w:rPr>
          <w:rFonts w:ascii="Times New Roman" w:eastAsia="Times New Roman" w:hAnsi="Times New Roman" w:cs="Times New Roman"/>
          <w:sz w:val="24"/>
          <w:szCs w:val="24"/>
          <w:vertAlign w:val="superscript"/>
        </w:rPr>
        <w:footnoteReference w:id="53"/>
      </w:r>
      <w:r>
        <w:rPr>
          <w:rFonts w:ascii="Times New Roman" w:eastAsia="Times New Roman" w:hAnsi="Times New Roman" w:cs="Times New Roman"/>
          <w:sz w:val="24"/>
          <w:szCs w:val="24"/>
        </w:rPr>
        <w:t>. Estas acciones mencionadas han tenido como objeto la impugnación de fondo y forma de la Ley Orgánica que Regula la Interrupción Voluntaria del Embarazo (LORIVE), publicada el 29 de abril de 2022 en el suplemento 53 del Registro Oficial.</w:t>
      </w:r>
    </w:p>
    <w:p w14:paraId="7A3967BA"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ODJ, solicitó </w:t>
      </w:r>
      <w:r>
        <w:rPr>
          <w:rFonts w:ascii="Times New Roman" w:eastAsia="Times New Roman" w:hAnsi="Times New Roman" w:cs="Times New Roman"/>
          <w:sz w:val="24"/>
          <w:szCs w:val="24"/>
        </w:rPr>
        <w:t xml:space="preserve">a la CCE el acceso a la información pública que reposa en su base de datos, respecto de acciones presentadas que impugnen el contenido y forma de la LORIVE. </w:t>
      </w:r>
    </w:p>
    <w:p w14:paraId="7A3967BB"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ese sentido, se verifican 15 acciones presentadas en contra de la ley, entre inicios del año 20</w:t>
      </w:r>
      <w:r>
        <w:rPr>
          <w:rFonts w:ascii="Times New Roman" w:eastAsia="Times New Roman" w:hAnsi="Times New Roman" w:cs="Times New Roman"/>
          <w:sz w:val="24"/>
          <w:szCs w:val="24"/>
        </w:rPr>
        <w:t>22 y 2023. A continuación, se muestra el desglose de cada acción:</w:t>
      </w:r>
    </w:p>
    <w:tbl>
      <w:tblPr>
        <w:tblStyle w:val="ab"/>
        <w:tblW w:w="8760" w:type="dxa"/>
        <w:tblInd w:w="6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
        <w:gridCol w:w="1695"/>
        <w:gridCol w:w="2310"/>
        <w:gridCol w:w="2550"/>
        <w:gridCol w:w="1710"/>
      </w:tblGrid>
      <w:tr w:rsidR="002E5DA8" w14:paraId="7A3967C1" w14:textId="77777777">
        <w:trPr>
          <w:trHeight w:val="313"/>
        </w:trPr>
        <w:tc>
          <w:tcPr>
            <w:tcW w:w="495" w:type="dxa"/>
          </w:tcPr>
          <w:p w14:paraId="7A3967BC"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695" w:type="dxa"/>
          </w:tcPr>
          <w:p w14:paraId="7A3967BD"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Nro. Caso</w:t>
            </w:r>
          </w:p>
        </w:tc>
        <w:tc>
          <w:tcPr>
            <w:tcW w:w="2310" w:type="dxa"/>
          </w:tcPr>
          <w:p w14:paraId="7A3967BE"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Tipo de acción</w:t>
            </w:r>
          </w:p>
        </w:tc>
        <w:tc>
          <w:tcPr>
            <w:tcW w:w="2550" w:type="dxa"/>
          </w:tcPr>
          <w:p w14:paraId="7A3967BF"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Accionante</w:t>
            </w:r>
          </w:p>
        </w:tc>
        <w:tc>
          <w:tcPr>
            <w:tcW w:w="1710" w:type="dxa"/>
          </w:tcPr>
          <w:p w14:paraId="7A3967C0"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Estado</w:t>
            </w:r>
          </w:p>
        </w:tc>
      </w:tr>
      <w:tr w:rsidR="002E5DA8" w14:paraId="7A3967C7" w14:textId="77777777">
        <w:trPr>
          <w:trHeight w:val="611"/>
        </w:trPr>
        <w:tc>
          <w:tcPr>
            <w:tcW w:w="495" w:type="dxa"/>
          </w:tcPr>
          <w:p w14:paraId="7A3967C2" w14:textId="77777777" w:rsidR="002E5DA8" w:rsidRDefault="0095632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p>
        </w:tc>
        <w:tc>
          <w:tcPr>
            <w:tcW w:w="1695" w:type="dxa"/>
          </w:tcPr>
          <w:p w14:paraId="7A3967C3" w14:textId="77777777" w:rsidR="002E5DA8" w:rsidRDefault="0095632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41-22-IN</w:t>
            </w:r>
          </w:p>
        </w:tc>
        <w:tc>
          <w:tcPr>
            <w:tcW w:w="2310" w:type="dxa"/>
          </w:tcPr>
          <w:p w14:paraId="7A3967C4"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Acción de inconstitucionalidad</w:t>
            </w:r>
          </w:p>
        </w:tc>
        <w:tc>
          <w:tcPr>
            <w:tcW w:w="2550" w:type="dxa"/>
          </w:tcPr>
          <w:p w14:paraId="7A3967C5"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Grupo pro-decisión</w:t>
            </w:r>
          </w:p>
        </w:tc>
        <w:tc>
          <w:tcPr>
            <w:tcW w:w="1710" w:type="dxa"/>
          </w:tcPr>
          <w:p w14:paraId="7A3967C6"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Admitida</w:t>
            </w:r>
          </w:p>
        </w:tc>
      </w:tr>
      <w:tr w:rsidR="002E5DA8" w14:paraId="7A3967CD" w14:textId="77777777">
        <w:trPr>
          <w:trHeight w:val="611"/>
        </w:trPr>
        <w:tc>
          <w:tcPr>
            <w:tcW w:w="495" w:type="dxa"/>
          </w:tcPr>
          <w:p w14:paraId="7A3967C8" w14:textId="77777777" w:rsidR="002E5DA8" w:rsidRDefault="0095632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p>
        </w:tc>
        <w:tc>
          <w:tcPr>
            <w:tcW w:w="1695" w:type="dxa"/>
          </w:tcPr>
          <w:p w14:paraId="7A3967C9" w14:textId="77777777" w:rsidR="002E5DA8" w:rsidRDefault="0095632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44-22-IN</w:t>
            </w:r>
          </w:p>
        </w:tc>
        <w:tc>
          <w:tcPr>
            <w:tcW w:w="2310" w:type="dxa"/>
          </w:tcPr>
          <w:p w14:paraId="7A3967CA"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Acción de inconstitucionalidad </w:t>
            </w:r>
          </w:p>
        </w:tc>
        <w:tc>
          <w:tcPr>
            <w:tcW w:w="2550" w:type="dxa"/>
          </w:tcPr>
          <w:p w14:paraId="7A3967CB"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Grupo pro-decisión</w:t>
            </w:r>
          </w:p>
        </w:tc>
        <w:tc>
          <w:tcPr>
            <w:tcW w:w="1710" w:type="dxa"/>
          </w:tcPr>
          <w:p w14:paraId="7A3967CC"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Admitida</w:t>
            </w:r>
          </w:p>
        </w:tc>
      </w:tr>
      <w:tr w:rsidR="002E5DA8" w14:paraId="7A3967D3" w14:textId="77777777">
        <w:trPr>
          <w:trHeight w:val="627"/>
        </w:trPr>
        <w:tc>
          <w:tcPr>
            <w:tcW w:w="495" w:type="dxa"/>
          </w:tcPr>
          <w:p w14:paraId="7A3967CE" w14:textId="77777777" w:rsidR="002E5DA8" w:rsidRDefault="0095632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p>
        </w:tc>
        <w:tc>
          <w:tcPr>
            <w:tcW w:w="1695" w:type="dxa"/>
          </w:tcPr>
          <w:p w14:paraId="7A3967CF" w14:textId="77777777" w:rsidR="002E5DA8" w:rsidRDefault="0095632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46-22-IN</w:t>
            </w:r>
          </w:p>
        </w:tc>
        <w:tc>
          <w:tcPr>
            <w:tcW w:w="2310" w:type="dxa"/>
          </w:tcPr>
          <w:p w14:paraId="7A3967D0"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Acción de inconstitucionalidad</w:t>
            </w:r>
          </w:p>
        </w:tc>
        <w:tc>
          <w:tcPr>
            <w:tcW w:w="2550" w:type="dxa"/>
          </w:tcPr>
          <w:p w14:paraId="7A3967D1"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Grupo pro-decisión</w:t>
            </w:r>
          </w:p>
        </w:tc>
        <w:tc>
          <w:tcPr>
            <w:tcW w:w="1710" w:type="dxa"/>
          </w:tcPr>
          <w:p w14:paraId="7A3967D2"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Admitida</w:t>
            </w:r>
          </w:p>
        </w:tc>
      </w:tr>
      <w:tr w:rsidR="002E5DA8" w14:paraId="7A3967D9" w14:textId="77777777">
        <w:trPr>
          <w:trHeight w:val="611"/>
        </w:trPr>
        <w:tc>
          <w:tcPr>
            <w:tcW w:w="495" w:type="dxa"/>
          </w:tcPr>
          <w:p w14:paraId="7A3967D4" w14:textId="77777777" w:rsidR="002E5DA8" w:rsidRDefault="0095632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w:t>
            </w:r>
          </w:p>
        </w:tc>
        <w:tc>
          <w:tcPr>
            <w:tcW w:w="1695" w:type="dxa"/>
          </w:tcPr>
          <w:p w14:paraId="7A3967D5" w14:textId="77777777" w:rsidR="002E5DA8" w:rsidRDefault="0095632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47-22-IN</w:t>
            </w:r>
          </w:p>
        </w:tc>
        <w:tc>
          <w:tcPr>
            <w:tcW w:w="2310" w:type="dxa"/>
          </w:tcPr>
          <w:p w14:paraId="7A3967D6"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Acción de inconstitucionalidad</w:t>
            </w:r>
          </w:p>
        </w:tc>
        <w:tc>
          <w:tcPr>
            <w:tcW w:w="2550" w:type="dxa"/>
          </w:tcPr>
          <w:p w14:paraId="7A3967D7"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Grupo pro-decisión</w:t>
            </w:r>
          </w:p>
        </w:tc>
        <w:tc>
          <w:tcPr>
            <w:tcW w:w="1710" w:type="dxa"/>
          </w:tcPr>
          <w:p w14:paraId="7A3967D8"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Admitida</w:t>
            </w:r>
          </w:p>
        </w:tc>
      </w:tr>
      <w:tr w:rsidR="002E5DA8" w14:paraId="7A3967DF" w14:textId="77777777">
        <w:trPr>
          <w:trHeight w:val="627"/>
        </w:trPr>
        <w:tc>
          <w:tcPr>
            <w:tcW w:w="495" w:type="dxa"/>
          </w:tcPr>
          <w:p w14:paraId="7A3967DA" w14:textId="77777777" w:rsidR="002E5DA8" w:rsidRDefault="0095632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w:t>
            </w:r>
          </w:p>
        </w:tc>
        <w:tc>
          <w:tcPr>
            <w:tcW w:w="1695" w:type="dxa"/>
          </w:tcPr>
          <w:p w14:paraId="7A3967DB" w14:textId="77777777" w:rsidR="002E5DA8" w:rsidRDefault="0095632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66-22-IN</w:t>
            </w:r>
          </w:p>
        </w:tc>
        <w:tc>
          <w:tcPr>
            <w:tcW w:w="2310" w:type="dxa"/>
          </w:tcPr>
          <w:p w14:paraId="7A3967DC"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Acción de inconstitucionalidad</w:t>
            </w:r>
          </w:p>
        </w:tc>
        <w:tc>
          <w:tcPr>
            <w:tcW w:w="2550" w:type="dxa"/>
          </w:tcPr>
          <w:p w14:paraId="7A3967DD"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Grupo pro-decisión</w:t>
            </w:r>
          </w:p>
        </w:tc>
        <w:tc>
          <w:tcPr>
            <w:tcW w:w="1710" w:type="dxa"/>
          </w:tcPr>
          <w:p w14:paraId="7A3967DE"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Admitida</w:t>
            </w:r>
          </w:p>
        </w:tc>
      </w:tr>
      <w:tr w:rsidR="002E5DA8" w14:paraId="7A3967E5" w14:textId="77777777">
        <w:trPr>
          <w:trHeight w:val="611"/>
        </w:trPr>
        <w:tc>
          <w:tcPr>
            <w:tcW w:w="495" w:type="dxa"/>
          </w:tcPr>
          <w:p w14:paraId="7A3967E0" w14:textId="77777777" w:rsidR="002E5DA8" w:rsidRDefault="0095632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w:t>
            </w:r>
          </w:p>
        </w:tc>
        <w:tc>
          <w:tcPr>
            <w:tcW w:w="1695" w:type="dxa"/>
          </w:tcPr>
          <w:p w14:paraId="7A3967E1" w14:textId="77777777" w:rsidR="002E5DA8" w:rsidRDefault="0095632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74-22-IN</w:t>
            </w:r>
          </w:p>
        </w:tc>
        <w:tc>
          <w:tcPr>
            <w:tcW w:w="2310" w:type="dxa"/>
          </w:tcPr>
          <w:p w14:paraId="7A3967E2"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Acción de inconstitucionalidad</w:t>
            </w:r>
          </w:p>
        </w:tc>
        <w:tc>
          <w:tcPr>
            <w:tcW w:w="2550" w:type="dxa"/>
          </w:tcPr>
          <w:p w14:paraId="7A3967E3"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Grupo pro-decisión</w:t>
            </w:r>
          </w:p>
        </w:tc>
        <w:tc>
          <w:tcPr>
            <w:tcW w:w="1710" w:type="dxa"/>
          </w:tcPr>
          <w:p w14:paraId="7A3967E4"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Admitida</w:t>
            </w:r>
          </w:p>
        </w:tc>
      </w:tr>
      <w:tr w:rsidR="002E5DA8" w14:paraId="7A3967EB" w14:textId="77777777">
        <w:trPr>
          <w:trHeight w:val="627"/>
        </w:trPr>
        <w:tc>
          <w:tcPr>
            <w:tcW w:w="495" w:type="dxa"/>
          </w:tcPr>
          <w:p w14:paraId="7A3967E6" w14:textId="77777777" w:rsidR="002E5DA8" w:rsidRDefault="0095632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w:t>
            </w:r>
          </w:p>
        </w:tc>
        <w:tc>
          <w:tcPr>
            <w:tcW w:w="1695" w:type="dxa"/>
          </w:tcPr>
          <w:p w14:paraId="7A3967E7" w14:textId="77777777" w:rsidR="002E5DA8" w:rsidRDefault="0095632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76-22-IN</w:t>
            </w:r>
          </w:p>
        </w:tc>
        <w:tc>
          <w:tcPr>
            <w:tcW w:w="2310" w:type="dxa"/>
          </w:tcPr>
          <w:p w14:paraId="7A3967E8"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Acción de inconstitucionalidad</w:t>
            </w:r>
          </w:p>
        </w:tc>
        <w:tc>
          <w:tcPr>
            <w:tcW w:w="2550" w:type="dxa"/>
          </w:tcPr>
          <w:p w14:paraId="7A3967E9"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Grupo pro-decisión</w:t>
            </w:r>
          </w:p>
        </w:tc>
        <w:tc>
          <w:tcPr>
            <w:tcW w:w="1710" w:type="dxa"/>
          </w:tcPr>
          <w:p w14:paraId="7A3967EA"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Admitida</w:t>
            </w:r>
          </w:p>
        </w:tc>
      </w:tr>
      <w:tr w:rsidR="002E5DA8" w14:paraId="7A3967F1" w14:textId="77777777">
        <w:trPr>
          <w:trHeight w:val="611"/>
        </w:trPr>
        <w:tc>
          <w:tcPr>
            <w:tcW w:w="495" w:type="dxa"/>
          </w:tcPr>
          <w:p w14:paraId="7A3967EC" w14:textId="77777777" w:rsidR="002E5DA8" w:rsidRDefault="0095632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8</w:t>
            </w:r>
          </w:p>
        </w:tc>
        <w:tc>
          <w:tcPr>
            <w:tcW w:w="1695" w:type="dxa"/>
          </w:tcPr>
          <w:p w14:paraId="7A3967ED" w14:textId="77777777" w:rsidR="002E5DA8" w:rsidRDefault="0095632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84-22-IN</w:t>
            </w:r>
          </w:p>
        </w:tc>
        <w:tc>
          <w:tcPr>
            <w:tcW w:w="2310" w:type="dxa"/>
          </w:tcPr>
          <w:p w14:paraId="7A3967EE"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Acción de inconstitucionalidad</w:t>
            </w:r>
          </w:p>
        </w:tc>
        <w:tc>
          <w:tcPr>
            <w:tcW w:w="2550" w:type="dxa"/>
          </w:tcPr>
          <w:p w14:paraId="7A3967EF"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Grupo pro-decisión</w:t>
            </w:r>
          </w:p>
        </w:tc>
        <w:tc>
          <w:tcPr>
            <w:tcW w:w="1710" w:type="dxa"/>
          </w:tcPr>
          <w:p w14:paraId="7A3967F0"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Admitida</w:t>
            </w:r>
          </w:p>
        </w:tc>
      </w:tr>
      <w:tr w:rsidR="002E5DA8" w14:paraId="7A3967F7" w14:textId="77777777">
        <w:trPr>
          <w:trHeight w:val="611"/>
        </w:trPr>
        <w:tc>
          <w:tcPr>
            <w:tcW w:w="495" w:type="dxa"/>
          </w:tcPr>
          <w:p w14:paraId="7A3967F2" w14:textId="77777777" w:rsidR="002E5DA8" w:rsidRDefault="0095632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w:t>
            </w:r>
          </w:p>
        </w:tc>
        <w:tc>
          <w:tcPr>
            <w:tcW w:w="1695" w:type="dxa"/>
          </w:tcPr>
          <w:p w14:paraId="7A3967F3" w14:textId="77777777" w:rsidR="002E5DA8" w:rsidRDefault="0095632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93-22-IN</w:t>
            </w:r>
          </w:p>
        </w:tc>
        <w:tc>
          <w:tcPr>
            <w:tcW w:w="2310" w:type="dxa"/>
          </w:tcPr>
          <w:p w14:paraId="7A3967F4"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Acción de inconstitucionalidad</w:t>
            </w:r>
          </w:p>
        </w:tc>
        <w:tc>
          <w:tcPr>
            <w:tcW w:w="2550" w:type="dxa"/>
          </w:tcPr>
          <w:p w14:paraId="7A3967F5"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Grupo pro-decisión</w:t>
            </w:r>
          </w:p>
        </w:tc>
        <w:tc>
          <w:tcPr>
            <w:tcW w:w="1710" w:type="dxa"/>
          </w:tcPr>
          <w:p w14:paraId="7A3967F6"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Admitida</w:t>
            </w:r>
          </w:p>
        </w:tc>
      </w:tr>
      <w:tr w:rsidR="002E5DA8" w14:paraId="7A3967FD" w14:textId="77777777">
        <w:trPr>
          <w:trHeight w:val="611"/>
        </w:trPr>
        <w:tc>
          <w:tcPr>
            <w:tcW w:w="495" w:type="dxa"/>
          </w:tcPr>
          <w:p w14:paraId="7A3967F8" w14:textId="77777777" w:rsidR="002E5DA8" w:rsidRDefault="0095632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10</w:t>
            </w:r>
          </w:p>
        </w:tc>
        <w:tc>
          <w:tcPr>
            <w:tcW w:w="1695" w:type="dxa"/>
          </w:tcPr>
          <w:p w14:paraId="7A3967F9" w14:textId="77777777" w:rsidR="002E5DA8" w:rsidRDefault="0095632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30-23-IN</w:t>
            </w:r>
          </w:p>
        </w:tc>
        <w:tc>
          <w:tcPr>
            <w:tcW w:w="2310" w:type="dxa"/>
          </w:tcPr>
          <w:p w14:paraId="7A3967FA"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Acción de inconstitucionalidad</w:t>
            </w:r>
          </w:p>
        </w:tc>
        <w:tc>
          <w:tcPr>
            <w:tcW w:w="2550" w:type="dxa"/>
          </w:tcPr>
          <w:p w14:paraId="7A3967FB"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Grupo pro-decisión</w:t>
            </w:r>
          </w:p>
        </w:tc>
        <w:tc>
          <w:tcPr>
            <w:tcW w:w="1710" w:type="dxa"/>
          </w:tcPr>
          <w:p w14:paraId="7A3967FC"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Admitida</w:t>
            </w:r>
          </w:p>
        </w:tc>
      </w:tr>
      <w:tr w:rsidR="002E5DA8" w14:paraId="7A396803" w14:textId="77777777">
        <w:trPr>
          <w:trHeight w:val="627"/>
        </w:trPr>
        <w:tc>
          <w:tcPr>
            <w:tcW w:w="495" w:type="dxa"/>
          </w:tcPr>
          <w:p w14:paraId="7A3967FE" w14:textId="77777777" w:rsidR="002E5DA8" w:rsidRDefault="0095632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11</w:t>
            </w:r>
          </w:p>
        </w:tc>
        <w:tc>
          <w:tcPr>
            <w:tcW w:w="1695" w:type="dxa"/>
          </w:tcPr>
          <w:p w14:paraId="7A3967FF" w14:textId="77777777" w:rsidR="002E5DA8" w:rsidRDefault="0095632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31-23-IN</w:t>
            </w:r>
          </w:p>
        </w:tc>
        <w:tc>
          <w:tcPr>
            <w:tcW w:w="2310" w:type="dxa"/>
          </w:tcPr>
          <w:p w14:paraId="7A396800"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Acción de inconstitucionalidad</w:t>
            </w:r>
          </w:p>
        </w:tc>
        <w:tc>
          <w:tcPr>
            <w:tcW w:w="2550" w:type="dxa"/>
          </w:tcPr>
          <w:p w14:paraId="7A396801"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Grupo pro-decisión</w:t>
            </w:r>
          </w:p>
        </w:tc>
        <w:tc>
          <w:tcPr>
            <w:tcW w:w="1710" w:type="dxa"/>
          </w:tcPr>
          <w:p w14:paraId="7A396802"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Admitida</w:t>
            </w:r>
          </w:p>
        </w:tc>
      </w:tr>
      <w:tr w:rsidR="002E5DA8" w14:paraId="7A396809" w14:textId="77777777">
        <w:trPr>
          <w:trHeight w:val="611"/>
        </w:trPr>
        <w:tc>
          <w:tcPr>
            <w:tcW w:w="495" w:type="dxa"/>
          </w:tcPr>
          <w:p w14:paraId="7A396804" w14:textId="77777777" w:rsidR="002E5DA8" w:rsidRDefault="0095632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12</w:t>
            </w:r>
          </w:p>
        </w:tc>
        <w:tc>
          <w:tcPr>
            <w:tcW w:w="1695" w:type="dxa"/>
          </w:tcPr>
          <w:p w14:paraId="7A396805" w14:textId="77777777" w:rsidR="002E5DA8" w:rsidRDefault="0095632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32-23-IN</w:t>
            </w:r>
          </w:p>
        </w:tc>
        <w:tc>
          <w:tcPr>
            <w:tcW w:w="2310" w:type="dxa"/>
          </w:tcPr>
          <w:p w14:paraId="7A396806"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Acción de inconstitucionalidad</w:t>
            </w:r>
          </w:p>
        </w:tc>
        <w:tc>
          <w:tcPr>
            <w:tcW w:w="2550" w:type="dxa"/>
          </w:tcPr>
          <w:p w14:paraId="7A396807"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Grupo pro-decisión</w:t>
            </w:r>
          </w:p>
        </w:tc>
        <w:tc>
          <w:tcPr>
            <w:tcW w:w="1710" w:type="dxa"/>
          </w:tcPr>
          <w:p w14:paraId="7A396808"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Acción Inadmitida</w:t>
            </w:r>
          </w:p>
        </w:tc>
      </w:tr>
      <w:tr w:rsidR="002E5DA8" w14:paraId="7A39680F" w14:textId="77777777">
        <w:trPr>
          <w:trHeight w:val="611"/>
        </w:trPr>
        <w:tc>
          <w:tcPr>
            <w:tcW w:w="495" w:type="dxa"/>
          </w:tcPr>
          <w:p w14:paraId="7A39680A" w14:textId="77777777" w:rsidR="002E5DA8" w:rsidRDefault="0095632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13</w:t>
            </w:r>
          </w:p>
        </w:tc>
        <w:tc>
          <w:tcPr>
            <w:tcW w:w="1695" w:type="dxa"/>
          </w:tcPr>
          <w:p w14:paraId="7A39680B" w14:textId="77777777" w:rsidR="002E5DA8" w:rsidRDefault="0095632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39-22-IN</w:t>
            </w:r>
          </w:p>
        </w:tc>
        <w:tc>
          <w:tcPr>
            <w:tcW w:w="2310" w:type="dxa"/>
          </w:tcPr>
          <w:p w14:paraId="7A39680C"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Acción de inconstitucionalidad</w:t>
            </w:r>
          </w:p>
        </w:tc>
        <w:tc>
          <w:tcPr>
            <w:tcW w:w="2550" w:type="dxa"/>
          </w:tcPr>
          <w:p w14:paraId="7A39680D"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Grupo anti derechos </w:t>
            </w:r>
          </w:p>
        </w:tc>
        <w:tc>
          <w:tcPr>
            <w:tcW w:w="1710" w:type="dxa"/>
          </w:tcPr>
          <w:p w14:paraId="7A39680E" w14:textId="77777777" w:rsidR="002E5DA8" w:rsidRDefault="0095632D">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Acción Inadmitida</w:t>
            </w:r>
          </w:p>
        </w:tc>
      </w:tr>
      <w:tr w:rsidR="002E5DA8" w14:paraId="7A396815" w14:textId="77777777">
        <w:trPr>
          <w:trHeight w:val="611"/>
        </w:trPr>
        <w:tc>
          <w:tcPr>
            <w:tcW w:w="495" w:type="dxa"/>
          </w:tcPr>
          <w:p w14:paraId="7A396810" w14:textId="77777777" w:rsidR="002E5DA8" w:rsidRDefault="0095632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14</w:t>
            </w:r>
          </w:p>
        </w:tc>
        <w:tc>
          <w:tcPr>
            <w:tcW w:w="1695" w:type="dxa"/>
          </w:tcPr>
          <w:p w14:paraId="7A396811" w14:textId="77777777" w:rsidR="002E5DA8" w:rsidRDefault="0095632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107-23-IN</w:t>
            </w:r>
          </w:p>
        </w:tc>
        <w:tc>
          <w:tcPr>
            <w:tcW w:w="2310" w:type="dxa"/>
          </w:tcPr>
          <w:p w14:paraId="7A396812"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Acción de inconstitucionalidad</w:t>
            </w:r>
          </w:p>
        </w:tc>
        <w:tc>
          <w:tcPr>
            <w:tcW w:w="2550" w:type="dxa"/>
          </w:tcPr>
          <w:p w14:paraId="7A396813"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Grupo pro-decisión</w:t>
            </w:r>
          </w:p>
        </w:tc>
        <w:tc>
          <w:tcPr>
            <w:tcW w:w="1710" w:type="dxa"/>
          </w:tcPr>
          <w:p w14:paraId="7A396814" w14:textId="77777777" w:rsidR="002E5DA8" w:rsidRDefault="0095632D">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Acción Inadmitida</w:t>
            </w:r>
          </w:p>
        </w:tc>
      </w:tr>
      <w:tr w:rsidR="002E5DA8" w14:paraId="7A39681B" w14:textId="77777777">
        <w:trPr>
          <w:trHeight w:val="611"/>
        </w:trPr>
        <w:tc>
          <w:tcPr>
            <w:tcW w:w="495" w:type="dxa"/>
          </w:tcPr>
          <w:p w14:paraId="7A396816" w14:textId="77777777" w:rsidR="002E5DA8" w:rsidRDefault="0095632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15</w:t>
            </w:r>
          </w:p>
        </w:tc>
        <w:tc>
          <w:tcPr>
            <w:tcW w:w="1695" w:type="dxa"/>
          </w:tcPr>
          <w:p w14:paraId="7A396817" w14:textId="77777777" w:rsidR="002E5DA8" w:rsidRDefault="0095632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155-22/IS</w:t>
            </w:r>
          </w:p>
        </w:tc>
        <w:tc>
          <w:tcPr>
            <w:tcW w:w="2310" w:type="dxa"/>
          </w:tcPr>
          <w:p w14:paraId="7A396818"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Incumplimiento de Sentencias y Dictámenes</w:t>
            </w:r>
          </w:p>
        </w:tc>
        <w:tc>
          <w:tcPr>
            <w:tcW w:w="2550" w:type="dxa"/>
          </w:tcPr>
          <w:p w14:paraId="7A396819"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Fundación Desafío, Trenzando Feminismos, Akila Dignidad, El Empute, Angelica Porras Velasco, Richard Gonzáles Dávila</w:t>
            </w:r>
          </w:p>
        </w:tc>
        <w:tc>
          <w:tcPr>
            <w:tcW w:w="1710" w:type="dxa"/>
          </w:tcPr>
          <w:p w14:paraId="7A39681A" w14:textId="77777777" w:rsidR="002E5DA8" w:rsidRDefault="0095632D">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En fase de admisión</w:t>
            </w:r>
          </w:p>
        </w:tc>
      </w:tr>
    </w:tbl>
    <w:p w14:paraId="7A39681C" w14:textId="77777777" w:rsidR="002E5DA8" w:rsidRDefault="0095632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 las acciones presentadas, a mayo 2024, once (11) causas ya han sido admit</w:t>
      </w:r>
      <w:r>
        <w:rPr>
          <w:rFonts w:ascii="Times New Roman" w:eastAsia="Times New Roman" w:hAnsi="Times New Roman" w:cs="Times New Roman"/>
          <w:sz w:val="24"/>
          <w:szCs w:val="24"/>
        </w:rPr>
        <w:t>idas a trámite y están a la espera de una sentencia y tres (3) han sido inadmitidas. De esta manera, se puede notar que la totalidad de las Acciones de Inconstitucionalidad interpuestas ya cuentan con auto de admisión o inadmisión por parte de la CCE, de m</w:t>
      </w:r>
      <w:r>
        <w:rPr>
          <w:rFonts w:ascii="Times New Roman" w:eastAsia="Times New Roman" w:hAnsi="Times New Roman" w:cs="Times New Roman"/>
          <w:sz w:val="24"/>
          <w:szCs w:val="24"/>
        </w:rPr>
        <w:t xml:space="preserve">odo que los procesos se encuentran a la espera de llamamiento a audiencia y sentencia. </w:t>
      </w:r>
    </w:p>
    <w:p w14:paraId="7A39681D" w14:textId="77777777" w:rsidR="002E5DA8" w:rsidRDefault="0095632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 preciso señalar que diez (10) causas han sido acumuladas al proceso 41-22-IN, en consecuencia, existirá una sentencia acumulada de procesos que responden en similar </w:t>
      </w:r>
      <w:r>
        <w:rPr>
          <w:rFonts w:ascii="Times New Roman" w:eastAsia="Times New Roman" w:hAnsi="Times New Roman" w:cs="Times New Roman"/>
          <w:sz w:val="24"/>
          <w:szCs w:val="24"/>
        </w:rPr>
        <w:t xml:space="preserve">medida a iguales fundamentos, pretensión e impugnación.  </w:t>
      </w:r>
    </w:p>
    <w:p w14:paraId="7A39681E" w14:textId="77777777" w:rsidR="002E5DA8" w:rsidRDefault="0095632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Por el otro lado, solamente queda pendiente una (1) acción en fase de admisión, la cual corresponde una acción de Incumplimiento de Sentencias y Dictámenes, presentada en el año 2022 y de la cual la CCE hasta la presente fecha no ha avocado conocimiento de</w:t>
      </w:r>
      <w:r>
        <w:rPr>
          <w:rFonts w:ascii="Times New Roman" w:eastAsia="Times New Roman" w:hAnsi="Times New Roman" w:cs="Times New Roman"/>
          <w:sz w:val="24"/>
          <w:szCs w:val="24"/>
        </w:rPr>
        <w:t xml:space="preserve"> la misma. </w:t>
      </w:r>
    </w:p>
    <w:p w14:paraId="7A39681F" w14:textId="77777777" w:rsidR="002E5DA8" w:rsidRDefault="0095632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Varias de estas acciones han buscado ser dilatadas por parte de grupos que se oponen a los derechos sexuales y reproductivos como la Fundación Dignidad y Derecho</w:t>
      </w:r>
      <w:r>
        <w:rPr>
          <w:rFonts w:ascii="Times New Roman" w:eastAsia="Times New Roman" w:hAnsi="Times New Roman" w:cs="Times New Roman"/>
          <w:sz w:val="24"/>
          <w:szCs w:val="24"/>
          <w:vertAlign w:val="superscript"/>
        </w:rPr>
        <w:footnoteReference w:id="54"/>
      </w:r>
      <w:r>
        <w:rPr>
          <w:rFonts w:ascii="Times New Roman" w:eastAsia="Times New Roman" w:hAnsi="Times New Roman" w:cs="Times New Roman"/>
          <w:sz w:val="24"/>
          <w:szCs w:val="24"/>
        </w:rPr>
        <w:t>, organización de sociedad civil ecuatoriana cuyo discurso y accionar conservador</w:t>
      </w:r>
      <w:r>
        <w:rPr>
          <w:rFonts w:ascii="Times New Roman" w:eastAsia="Times New Roman" w:hAnsi="Times New Roman" w:cs="Times New Roman"/>
          <w:sz w:val="24"/>
          <w:szCs w:val="24"/>
        </w:rPr>
        <w:t xml:space="preserve"> ha buscado retrasar la resolución de los procesos activos ante la Corte Constitucional. Su más reciente intento fue por medio de una Demanda de Recusación presentada en contra de una de las juezas de la CCE argumentando un supuesto “favoritismo por los gr</w:t>
      </w:r>
      <w:r>
        <w:rPr>
          <w:rFonts w:ascii="Times New Roman" w:eastAsia="Times New Roman" w:hAnsi="Times New Roman" w:cs="Times New Roman"/>
          <w:sz w:val="24"/>
          <w:szCs w:val="24"/>
        </w:rPr>
        <w:t>upos feministas que luchan por la legalización del aborto”</w:t>
      </w:r>
      <w:r>
        <w:rPr>
          <w:rFonts w:ascii="Times New Roman" w:eastAsia="Times New Roman" w:hAnsi="Times New Roman" w:cs="Times New Roman"/>
          <w:sz w:val="24"/>
          <w:szCs w:val="24"/>
          <w:vertAlign w:val="superscript"/>
        </w:rPr>
        <w:footnoteReference w:id="55"/>
      </w:r>
      <w:r>
        <w:rPr>
          <w:rFonts w:ascii="Times New Roman" w:eastAsia="Times New Roman" w:hAnsi="Times New Roman" w:cs="Times New Roman"/>
          <w:sz w:val="24"/>
          <w:szCs w:val="24"/>
        </w:rPr>
        <w:t xml:space="preserve"> por un tweet publicado por la Jueza en su perfil personal de X (Antes Twitter), el cual fue anterior a que iniciara su mandato como jueza constitucional. </w:t>
      </w:r>
    </w:p>
    <w:p w14:paraId="7A396820" w14:textId="77777777" w:rsidR="002E5DA8" w:rsidRDefault="0095632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 así que, las reales intenciones de e</w:t>
      </w:r>
      <w:r>
        <w:rPr>
          <w:rFonts w:ascii="Times New Roman" w:eastAsia="Times New Roman" w:hAnsi="Times New Roman" w:cs="Times New Roman"/>
          <w:sz w:val="24"/>
          <w:szCs w:val="24"/>
        </w:rPr>
        <w:t>stos grupos son la de coartar el acceso a la justicia constitucional por medio de un abuso del derecho al incidente procesal de Recusación, el cual dentro del ordenamiento jurídico ecuatoriano, fue creado con la intención de frenar un eventual conflicto de</w:t>
      </w:r>
      <w:r>
        <w:rPr>
          <w:rFonts w:ascii="Times New Roman" w:eastAsia="Times New Roman" w:hAnsi="Times New Roman" w:cs="Times New Roman"/>
          <w:sz w:val="24"/>
          <w:szCs w:val="24"/>
        </w:rPr>
        <w:t xml:space="preserve"> interés entre el juez que conoce la causa y los accionantes. Sin embargo, la realidad solamente ha demostrado que estas organizaciones de oposición a derechos sexuales y reproductivos buscan reducir el número de jueces constitucionales legitimados para ac</w:t>
      </w:r>
      <w:r>
        <w:rPr>
          <w:rFonts w:ascii="Times New Roman" w:eastAsia="Times New Roman" w:hAnsi="Times New Roman" w:cs="Times New Roman"/>
          <w:sz w:val="24"/>
          <w:szCs w:val="24"/>
        </w:rPr>
        <w:t>ceder a votación del pleno, obligando a otros a excusarse de conocer las causas, y así minimizar un posible consenso entre ellos. Debemos tomar en cuenta de que la CCE actualmente se encuentra muy balanceada en cuanto a ideologías en sus votos, de modo que</w:t>
      </w:r>
      <w:r>
        <w:rPr>
          <w:rFonts w:ascii="Times New Roman" w:eastAsia="Times New Roman" w:hAnsi="Times New Roman" w:cs="Times New Roman"/>
          <w:sz w:val="24"/>
          <w:szCs w:val="24"/>
        </w:rPr>
        <w:t xml:space="preserve"> la limitación de votos en el pleno por medio del uso de estas herramientas podría desbalancear el sistema. </w:t>
      </w:r>
    </w:p>
    <w:p w14:paraId="7A396821" w14:textId="77777777" w:rsidR="002E5DA8" w:rsidRDefault="0095632D">
      <w:pPr>
        <w:spacing w:before="200" w:line="360" w:lineRule="auto"/>
        <w:jc w:val="both"/>
      </w:pPr>
      <w:r>
        <w:rPr>
          <w:rFonts w:ascii="Times New Roman" w:eastAsia="Times New Roman" w:hAnsi="Times New Roman" w:cs="Times New Roman"/>
          <w:sz w:val="24"/>
          <w:szCs w:val="24"/>
        </w:rPr>
        <w:t>Al final del día, lo único que demuestra el abuso de este incidente procesal es la intención de estos grupos a limitar al acceso a una justicia con</w:t>
      </w:r>
      <w:r>
        <w:rPr>
          <w:rFonts w:ascii="Times New Roman" w:eastAsia="Times New Roman" w:hAnsi="Times New Roman" w:cs="Times New Roman"/>
          <w:sz w:val="24"/>
          <w:szCs w:val="24"/>
        </w:rPr>
        <w:t xml:space="preserve">stitucional de calidad que reconozca las falencias de la ley y su evidente incumplimiento con el mandato constitucional de la sentencia 34-19-IN/21 y acumulados. </w:t>
      </w:r>
    </w:p>
    <w:p w14:paraId="7A396822" w14:textId="77777777" w:rsidR="002E5DA8" w:rsidRDefault="0095632D">
      <w:pPr>
        <w:pStyle w:val="Heading2"/>
        <w:numPr>
          <w:ilvl w:val="2"/>
          <w:numId w:val="9"/>
        </w:numPr>
      </w:pPr>
      <w:bookmarkStart w:id="20" w:name="_heading=h.py5ezeybl9pp" w:colFirst="0" w:colLast="0"/>
      <w:bookmarkEnd w:id="20"/>
      <w:r>
        <w:t xml:space="preserve">Normas suspendidas temporalmente por la CCE. </w:t>
      </w:r>
    </w:p>
    <w:p w14:paraId="7A396823"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Todas estas acciones que impugnan  la LORIVE, h</w:t>
      </w:r>
      <w:r>
        <w:rPr>
          <w:rFonts w:ascii="Times New Roman" w:eastAsia="Times New Roman" w:hAnsi="Times New Roman" w:cs="Times New Roman"/>
          <w:sz w:val="24"/>
          <w:szCs w:val="24"/>
        </w:rPr>
        <w:t>an tenido una consecuencia significativa en la ejecución de la interrupción voluntaria del embarazo en casos de violación. A tres (3) acciones presentadas se les concedió medidas cautelares, y así la suspensión temporal de la aplicación de varias normas qu</w:t>
      </w:r>
      <w:r>
        <w:rPr>
          <w:rFonts w:ascii="Times New Roman" w:eastAsia="Times New Roman" w:hAnsi="Times New Roman" w:cs="Times New Roman"/>
          <w:sz w:val="24"/>
          <w:szCs w:val="24"/>
        </w:rPr>
        <w:t>e regulan la LORIVE.</w:t>
      </w:r>
    </w:p>
    <w:p w14:paraId="7A396824"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 respecto, a través de la causa 41-22-IN, se suspendió la vigencia de los siguientes: </w:t>
      </w:r>
    </w:p>
    <w:p w14:paraId="7A396825" w14:textId="77777777" w:rsidR="002E5DA8" w:rsidRDefault="0095632D">
      <w:pPr>
        <w:numPr>
          <w:ilvl w:val="0"/>
          <w:numId w:val="4"/>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Artículo 5 literal a)</w:t>
      </w:r>
      <w:r>
        <w:rPr>
          <w:rFonts w:ascii="Times New Roman" w:eastAsia="Times New Roman" w:hAnsi="Times New Roman" w:cs="Times New Roman"/>
          <w:sz w:val="24"/>
          <w:szCs w:val="24"/>
        </w:rPr>
        <w:t xml:space="preserve"> en la frase</w:t>
      </w:r>
      <w:r>
        <w:rPr>
          <w:rFonts w:ascii="Times New Roman" w:eastAsia="Times New Roman" w:hAnsi="Times New Roman" w:cs="Times New Roman"/>
          <w:i/>
          <w:sz w:val="24"/>
          <w:szCs w:val="24"/>
        </w:rPr>
        <w:t xml:space="preserve"> “o de aborto consentido”;</w:t>
      </w:r>
    </w:p>
    <w:p w14:paraId="7A396826" w14:textId="77777777" w:rsidR="002E5DA8" w:rsidRDefault="0095632D">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Artículo 5, literal g</w:t>
      </w:r>
      <w:r>
        <w:rPr>
          <w:rFonts w:ascii="Times New Roman" w:eastAsia="Times New Roman" w:hAnsi="Times New Roman" w:cs="Times New Roman"/>
          <w:sz w:val="24"/>
          <w:szCs w:val="24"/>
        </w:rPr>
        <w:t xml:space="preserve">, que prescribe lo siguiente: </w:t>
      </w:r>
    </w:p>
    <w:p w14:paraId="7A396827" w14:textId="77777777" w:rsidR="002E5DA8" w:rsidRDefault="0095632D">
      <w:pPr>
        <w:spacing w:line="360" w:lineRule="auto"/>
        <w:ind w:left="144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g) Principio de autonomía. -Este </w:t>
      </w:r>
      <w:r>
        <w:rPr>
          <w:rFonts w:ascii="Times New Roman" w:eastAsia="Times New Roman" w:hAnsi="Times New Roman" w:cs="Times New Roman"/>
          <w:b/>
          <w:i/>
          <w:sz w:val="24"/>
          <w:szCs w:val="24"/>
          <w:u w:val="single"/>
        </w:rPr>
        <w:t>principio exige el respeto de la autodeterminación de las personas, de acuerdo con su madurez y capacidad de consentir, que supone la posibilidad de actuar y tomar decisiones de acuerdo con sus convicciones, valores y creen</w:t>
      </w:r>
      <w:r>
        <w:rPr>
          <w:rFonts w:ascii="Times New Roman" w:eastAsia="Times New Roman" w:hAnsi="Times New Roman" w:cs="Times New Roman"/>
          <w:b/>
          <w:i/>
          <w:sz w:val="24"/>
          <w:szCs w:val="24"/>
          <w:u w:val="single"/>
        </w:rPr>
        <w:t>cias personales</w:t>
      </w:r>
      <w:r>
        <w:rPr>
          <w:rFonts w:ascii="Times New Roman" w:eastAsia="Times New Roman" w:hAnsi="Times New Roman" w:cs="Times New Roman"/>
          <w:i/>
          <w:sz w:val="24"/>
          <w:szCs w:val="24"/>
        </w:rPr>
        <w:t>. Este principio requiere de condiciones esenciales para la acción autónoma que son: libertad, voluntad, intención información y compresión. Su aplicación principal se garantiza a través del consentimiento informado, la privacidad, la confid</w:t>
      </w:r>
      <w:r>
        <w:rPr>
          <w:rFonts w:ascii="Times New Roman" w:eastAsia="Times New Roman" w:hAnsi="Times New Roman" w:cs="Times New Roman"/>
          <w:i/>
          <w:sz w:val="24"/>
          <w:szCs w:val="24"/>
        </w:rPr>
        <w:t>encialidad y el secreto profesional en salud. El respeto al principio de autonomía de las personas protegidas por esta ley trae consigo la obligación del personal de salud de proveerles de información, asegurar su comprensión, potenciar su participación en</w:t>
      </w:r>
      <w:r>
        <w:rPr>
          <w:rFonts w:ascii="Times New Roman" w:eastAsia="Times New Roman" w:hAnsi="Times New Roman" w:cs="Times New Roman"/>
          <w:i/>
          <w:sz w:val="24"/>
          <w:szCs w:val="24"/>
        </w:rPr>
        <w:t xml:space="preserve"> la toma de decisiones y su acción voluntaria, garantizando que la toma de decisiones se realice de forma libre, voluntaria e informada. Incluye el reconocer a todas las personas la potestad de decidir sobre su cuerpo, reafirmando su condición de seres lib</w:t>
      </w:r>
      <w:r>
        <w:rPr>
          <w:rFonts w:ascii="Times New Roman" w:eastAsia="Times New Roman" w:hAnsi="Times New Roman" w:cs="Times New Roman"/>
          <w:i/>
          <w:sz w:val="24"/>
          <w:szCs w:val="24"/>
        </w:rPr>
        <w:t>res, autónomos y dignos</w:t>
      </w:r>
      <w:r>
        <w:rPr>
          <w:rFonts w:ascii="Times New Roman" w:eastAsia="Times New Roman" w:hAnsi="Times New Roman" w:cs="Times New Roman"/>
          <w:sz w:val="24"/>
          <w:szCs w:val="24"/>
        </w:rPr>
        <w:t xml:space="preserve">; </w:t>
      </w:r>
    </w:p>
    <w:p w14:paraId="7A396828" w14:textId="77777777" w:rsidR="002E5DA8" w:rsidRDefault="0095632D">
      <w:pPr>
        <w:numPr>
          <w:ilvl w:val="0"/>
          <w:numId w:val="1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Artículo 12, numeral 6, </w:t>
      </w:r>
      <w:r>
        <w:rPr>
          <w:rFonts w:ascii="Times New Roman" w:eastAsia="Times New Roman" w:hAnsi="Times New Roman" w:cs="Times New Roman"/>
          <w:sz w:val="24"/>
          <w:szCs w:val="24"/>
        </w:rPr>
        <w:t xml:space="preserve">que indica: </w:t>
      </w:r>
    </w:p>
    <w:p w14:paraId="7A396829" w14:textId="77777777" w:rsidR="002E5DA8" w:rsidRDefault="0095632D">
      <w:pPr>
        <w:spacing w:line="360" w:lineRule="auto"/>
        <w:ind w:left="144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El Estado garantizará: 6. La </w:t>
      </w:r>
      <w:r>
        <w:rPr>
          <w:rFonts w:ascii="Times New Roman" w:eastAsia="Times New Roman" w:hAnsi="Times New Roman" w:cs="Times New Roman"/>
          <w:b/>
          <w:i/>
          <w:sz w:val="24"/>
          <w:szCs w:val="24"/>
          <w:u w:val="single"/>
        </w:rPr>
        <w:t>adaptación de los procesos, la información y las prácticas asociadas a la interrupción voluntaria del embarazo por violación, de manera que estas puedan ajustarse a</w:t>
      </w:r>
      <w:r>
        <w:rPr>
          <w:rFonts w:ascii="Times New Roman" w:eastAsia="Times New Roman" w:hAnsi="Times New Roman" w:cs="Times New Roman"/>
          <w:b/>
          <w:i/>
          <w:sz w:val="24"/>
          <w:szCs w:val="24"/>
          <w:u w:val="single"/>
        </w:rPr>
        <w:t>l desarrollo madurativo y necesidades particulares de la niña y adolescente</w:t>
      </w:r>
      <w:r>
        <w:rPr>
          <w:rFonts w:ascii="Times New Roman" w:eastAsia="Times New Roman" w:hAnsi="Times New Roman" w:cs="Times New Roman"/>
          <w:i/>
          <w:sz w:val="24"/>
          <w:szCs w:val="24"/>
        </w:rPr>
        <w:t>. Una consideración fundamental será que las niñas y adolescentes sean escuchadas y tengan la capacidad de manifestar su opinión en todo momento</w:t>
      </w:r>
      <w:r>
        <w:rPr>
          <w:rFonts w:ascii="Times New Roman" w:eastAsia="Times New Roman" w:hAnsi="Times New Roman" w:cs="Times New Roman"/>
          <w:sz w:val="24"/>
          <w:szCs w:val="24"/>
        </w:rPr>
        <w:t>, por último,</w:t>
      </w:r>
    </w:p>
    <w:p w14:paraId="7A39682A" w14:textId="77777777" w:rsidR="002E5DA8" w:rsidRDefault="0095632D">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Artículo 21,</w:t>
      </w:r>
      <w:r>
        <w:rPr>
          <w:rFonts w:ascii="Times New Roman" w:eastAsia="Times New Roman" w:hAnsi="Times New Roman" w:cs="Times New Roman"/>
          <w:sz w:val="24"/>
          <w:szCs w:val="24"/>
        </w:rPr>
        <w:t xml:space="preserve"> en la fras</w:t>
      </w:r>
      <w:r>
        <w:rPr>
          <w:rFonts w:ascii="Times New Roman" w:eastAsia="Times New Roman" w:hAnsi="Times New Roman" w:cs="Times New Roman"/>
          <w:sz w:val="24"/>
          <w:szCs w:val="24"/>
        </w:rPr>
        <w:t xml:space="preserve">e del párrafo inicial: </w:t>
      </w:r>
      <w:r>
        <w:rPr>
          <w:rFonts w:ascii="Times New Roman" w:eastAsia="Times New Roman" w:hAnsi="Times New Roman" w:cs="Times New Roman"/>
          <w:i/>
          <w:sz w:val="24"/>
          <w:szCs w:val="24"/>
        </w:rPr>
        <w:t xml:space="preserve">“El consentimiento se entenderá informado siempre que se cumpla con lo establecido a continuación” </w:t>
      </w:r>
      <w:r>
        <w:rPr>
          <w:rFonts w:ascii="Times New Roman" w:eastAsia="Times New Roman" w:hAnsi="Times New Roman" w:cs="Times New Roman"/>
          <w:sz w:val="24"/>
          <w:szCs w:val="24"/>
        </w:rPr>
        <w:t>y en la frase</w:t>
      </w:r>
      <w:r>
        <w:rPr>
          <w:rFonts w:ascii="Times New Roman" w:eastAsia="Times New Roman" w:hAnsi="Times New Roman" w:cs="Times New Roman"/>
          <w:i/>
          <w:sz w:val="24"/>
          <w:szCs w:val="24"/>
        </w:rPr>
        <w:t xml:space="preserve"> “realizar una ecografía para”.</w:t>
      </w:r>
    </w:p>
    <w:p w14:paraId="7A39682B" w14:textId="77777777" w:rsidR="002E5DA8" w:rsidRDefault="0095632D">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Artículo 21,</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en los numeral 1, 2, 3 y 4</w:t>
      </w:r>
      <w:r>
        <w:rPr>
          <w:rFonts w:ascii="Times New Roman" w:eastAsia="Times New Roman" w:hAnsi="Times New Roman" w:cs="Times New Roman"/>
          <w:sz w:val="24"/>
          <w:szCs w:val="24"/>
        </w:rPr>
        <w:t xml:space="preserve"> completos;</w:t>
      </w:r>
    </w:p>
    <w:p w14:paraId="7A39682C" w14:textId="77777777" w:rsidR="002E5DA8" w:rsidRDefault="0095632D">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Artículo 22, numeral 6, </w:t>
      </w:r>
      <w:r>
        <w:rPr>
          <w:rFonts w:ascii="Times New Roman" w:eastAsia="Times New Roman" w:hAnsi="Times New Roman" w:cs="Times New Roman"/>
          <w:sz w:val="24"/>
          <w:szCs w:val="24"/>
        </w:rPr>
        <w:t xml:space="preserve">que señala: </w:t>
      </w:r>
    </w:p>
    <w:p w14:paraId="7A39682D" w14:textId="77777777" w:rsidR="002E5DA8" w:rsidRDefault="0095632D">
      <w:pPr>
        <w:spacing w:line="360" w:lineRule="auto"/>
        <w:ind w:left="144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R</w:t>
      </w:r>
      <w:r>
        <w:rPr>
          <w:rFonts w:ascii="Times New Roman" w:eastAsia="Times New Roman" w:hAnsi="Times New Roman" w:cs="Times New Roman"/>
          <w:i/>
          <w:sz w:val="24"/>
          <w:szCs w:val="24"/>
        </w:rPr>
        <w:t>eglas Especiales del consentimiento informado para acceder al aborto consentido en caso de violación.-El consentimiento informado para acceder al aborto consentido en caso de violación, se regirá por lo siguiente: 6</w:t>
      </w:r>
      <w:r>
        <w:rPr>
          <w:rFonts w:ascii="Times New Roman" w:eastAsia="Times New Roman" w:hAnsi="Times New Roman" w:cs="Times New Roman"/>
          <w:b/>
          <w:i/>
          <w:sz w:val="24"/>
          <w:szCs w:val="24"/>
          <w:u w:val="single"/>
        </w:rPr>
        <w:t>. El Estado garantizará la disponibilidad</w:t>
      </w:r>
      <w:r>
        <w:rPr>
          <w:rFonts w:ascii="Times New Roman" w:eastAsia="Times New Roman" w:hAnsi="Times New Roman" w:cs="Times New Roman"/>
          <w:b/>
          <w:i/>
          <w:sz w:val="24"/>
          <w:szCs w:val="24"/>
          <w:u w:val="single"/>
        </w:rPr>
        <w:t xml:space="preserve"> de intérpretes para las niñas, adolescentes, mujeres o personas gestantes que deseen interrumpir su embarazo producto de violación que lo necesitaren</w:t>
      </w:r>
      <w:r>
        <w:rPr>
          <w:rFonts w:ascii="Times New Roman" w:eastAsia="Times New Roman" w:hAnsi="Times New Roman" w:cs="Times New Roman"/>
          <w:i/>
          <w:sz w:val="24"/>
          <w:szCs w:val="24"/>
        </w:rPr>
        <w:t>, con el fin de que puedan recibir la información necesaria y otorgar su consentimiento.</w:t>
      </w:r>
    </w:p>
    <w:p w14:paraId="7A39682E"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 el otro lado, la causa 76-22-IN, fue la segunda a la que se le concedió las medidas cautelares, en efecto, la Corte ordenó la suspensión provisional del </w:t>
      </w:r>
      <w:r>
        <w:rPr>
          <w:rFonts w:ascii="Times New Roman" w:eastAsia="Times New Roman" w:hAnsi="Times New Roman" w:cs="Times New Roman"/>
          <w:b/>
          <w:sz w:val="24"/>
          <w:szCs w:val="24"/>
        </w:rPr>
        <w:t>artículo 19</w:t>
      </w:r>
      <w:r>
        <w:rPr>
          <w:rFonts w:ascii="Times New Roman" w:eastAsia="Times New Roman" w:hAnsi="Times New Roman" w:cs="Times New Roman"/>
          <w:sz w:val="24"/>
          <w:szCs w:val="24"/>
        </w:rPr>
        <w:t xml:space="preserve"> en su totalidad. Dicha norma se refiere a los requisitos imprescindibles para permitir </w:t>
      </w:r>
      <w:r>
        <w:rPr>
          <w:rFonts w:ascii="Times New Roman" w:eastAsia="Times New Roman" w:hAnsi="Times New Roman" w:cs="Times New Roman"/>
          <w:sz w:val="24"/>
          <w:szCs w:val="24"/>
        </w:rPr>
        <w:t xml:space="preserve">la interrupción voluntaria del embarazo, conforme se discutió en líneas anteriores. </w:t>
      </w:r>
    </w:p>
    <w:p w14:paraId="7A39682F"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última medida cautelar concedida fue en torno a la causa 93-22-IN, donde se suspendió la aplicación de las siguientes normas: </w:t>
      </w:r>
    </w:p>
    <w:p w14:paraId="7A396830" w14:textId="77777777" w:rsidR="002E5DA8" w:rsidRDefault="0095632D">
      <w:pPr>
        <w:numPr>
          <w:ilvl w:val="0"/>
          <w:numId w:val="8"/>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Artículo 24, numeral 10</w:t>
      </w:r>
      <w:r>
        <w:rPr>
          <w:rFonts w:ascii="Times New Roman" w:eastAsia="Times New Roman" w:hAnsi="Times New Roman" w:cs="Times New Roman"/>
          <w:sz w:val="24"/>
          <w:szCs w:val="24"/>
        </w:rPr>
        <w:t>, respecto de la f</w:t>
      </w:r>
      <w:r>
        <w:rPr>
          <w:rFonts w:ascii="Times New Roman" w:eastAsia="Times New Roman" w:hAnsi="Times New Roman" w:cs="Times New Roman"/>
          <w:sz w:val="24"/>
          <w:szCs w:val="24"/>
        </w:rPr>
        <w:t>rase: “</w:t>
      </w:r>
      <w:r>
        <w:rPr>
          <w:rFonts w:ascii="Times New Roman" w:eastAsia="Times New Roman" w:hAnsi="Times New Roman" w:cs="Times New Roman"/>
          <w:i/>
          <w:sz w:val="24"/>
          <w:szCs w:val="24"/>
        </w:rPr>
        <w:t>cuando exista un profesional de salud objetor y este sea el único que pueda llevar a cabo el procedimiento de interrupción del embarazo, debe observar con debida diligencia y sin dilaciones el deber de derivación, es decir, redireccionar a la víctim</w:t>
      </w:r>
      <w:r>
        <w:rPr>
          <w:rFonts w:ascii="Times New Roman" w:eastAsia="Times New Roman" w:hAnsi="Times New Roman" w:cs="Times New Roman"/>
          <w:i/>
          <w:sz w:val="24"/>
          <w:szCs w:val="24"/>
        </w:rPr>
        <w:t>a que solicita el aborto a la clínica o centro de salud más cercano que contenga las condiciones y personal capaz de realizar la práctica de la terminación voluntaria del embarazo, indicando claramente la fecha de la solicitud de la mujer a fin de que el p</w:t>
      </w:r>
      <w:r>
        <w:rPr>
          <w:rFonts w:ascii="Times New Roman" w:eastAsia="Times New Roman" w:hAnsi="Times New Roman" w:cs="Times New Roman"/>
          <w:i/>
          <w:sz w:val="24"/>
          <w:szCs w:val="24"/>
        </w:rPr>
        <w:t>rocedimiento no sea restringido por las dilaciones que pueda causar la derivación</w:t>
      </w:r>
      <w:r>
        <w:rPr>
          <w:rFonts w:ascii="Times New Roman" w:eastAsia="Times New Roman" w:hAnsi="Times New Roman" w:cs="Times New Roman"/>
          <w:sz w:val="24"/>
          <w:szCs w:val="24"/>
        </w:rPr>
        <w:t xml:space="preserve">”; </w:t>
      </w:r>
    </w:p>
    <w:p w14:paraId="7A396831" w14:textId="77777777" w:rsidR="002E5DA8" w:rsidRDefault="0095632D">
      <w:pPr>
        <w:numPr>
          <w:ilvl w:val="0"/>
          <w:numId w:val="8"/>
        </w:num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Artículo 24, numeral 11, </w:t>
      </w:r>
      <w:r>
        <w:rPr>
          <w:rFonts w:ascii="Times New Roman" w:eastAsia="Times New Roman" w:hAnsi="Times New Roman" w:cs="Times New Roman"/>
          <w:sz w:val="24"/>
          <w:szCs w:val="24"/>
        </w:rPr>
        <w:t>respecto de la frase: “</w:t>
      </w:r>
      <w:r>
        <w:rPr>
          <w:rFonts w:ascii="Times New Roman" w:eastAsia="Times New Roman" w:hAnsi="Times New Roman" w:cs="Times New Roman"/>
          <w:i/>
          <w:sz w:val="24"/>
          <w:szCs w:val="24"/>
        </w:rPr>
        <w:t>únicamente en lo relacionado con el procedimiento e intervención médica a la niña, adolescente, mujer o persona gestante qu</w:t>
      </w:r>
      <w:r>
        <w:rPr>
          <w:rFonts w:ascii="Times New Roman" w:eastAsia="Times New Roman" w:hAnsi="Times New Roman" w:cs="Times New Roman"/>
          <w:i/>
          <w:sz w:val="24"/>
          <w:szCs w:val="24"/>
        </w:rPr>
        <w:t>e desee interrumpir su embarazo en caso de violación. Esta figura no se contrapone con el deber de denuncia que tiene el profesional de salud, conforme con el Código Orgánico Integral Penal, y de proporcionar la información que les sea requerida para la in</w:t>
      </w:r>
      <w:r>
        <w:rPr>
          <w:rFonts w:ascii="Times New Roman" w:eastAsia="Times New Roman" w:hAnsi="Times New Roman" w:cs="Times New Roman"/>
          <w:i/>
          <w:sz w:val="24"/>
          <w:szCs w:val="24"/>
        </w:rPr>
        <w:t>vestigación del delito de violación o de aborto consentido”.</w:t>
      </w:r>
    </w:p>
    <w:p w14:paraId="7A396832" w14:textId="77777777" w:rsidR="002E5DA8" w:rsidRDefault="0095632D">
      <w:pPr>
        <w:numPr>
          <w:ilvl w:val="0"/>
          <w:numId w:val="8"/>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Artículo 25 numeral 5, </w:t>
      </w:r>
      <w:r>
        <w:rPr>
          <w:rFonts w:ascii="Times New Roman" w:eastAsia="Times New Roman" w:hAnsi="Times New Roman" w:cs="Times New Roman"/>
          <w:sz w:val="24"/>
          <w:szCs w:val="24"/>
        </w:rPr>
        <w:t xml:space="preserve">respecto de la frase donde la objeción de conciencia no procederá </w:t>
      </w:r>
      <w:r>
        <w:rPr>
          <w:rFonts w:ascii="Times New Roman" w:eastAsia="Times New Roman" w:hAnsi="Times New Roman" w:cs="Times New Roman"/>
          <w:i/>
          <w:sz w:val="24"/>
          <w:szCs w:val="24"/>
        </w:rPr>
        <w:t>“cuando se trate de hospitales estatales”.</w:t>
      </w:r>
    </w:p>
    <w:p w14:paraId="7A396833" w14:textId="77777777" w:rsidR="002E5DA8" w:rsidRDefault="0095632D">
      <w:pPr>
        <w:numPr>
          <w:ilvl w:val="0"/>
          <w:numId w:val="8"/>
        </w:num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Artículo 26, numeral 3, </w:t>
      </w:r>
      <w:r>
        <w:rPr>
          <w:rFonts w:ascii="Times New Roman" w:eastAsia="Times New Roman" w:hAnsi="Times New Roman" w:cs="Times New Roman"/>
          <w:sz w:val="24"/>
          <w:szCs w:val="24"/>
        </w:rPr>
        <w:t>en la frase respecto de la objeción de conciencia</w:t>
      </w:r>
      <w:r>
        <w:rPr>
          <w:rFonts w:ascii="Times New Roman" w:eastAsia="Times New Roman" w:hAnsi="Times New Roman" w:cs="Times New Roman"/>
          <w:i/>
          <w:sz w:val="24"/>
          <w:szCs w:val="24"/>
        </w:rPr>
        <w:t>“, colectiva o institucional, en este último caso con la excepción de los hospitales públicos”.</w:t>
      </w:r>
      <w:r>
        <w:rPr>
          <w:rFonts w:ascii="Times New Roman" w:eastAsia="Times New Roman" w:hAnsi="Times New Roman" w:cs="Times New Roman"/>
          <w:sz w:val="24"/>
          <w:szCs w:val="24"/>
        </w:rPr>
        <w:t xml:space="preserve"> </w:t>
      </w:r>
    </w:p>
    <w:p w14:paraId="7A396834" w14:textId="77777777" w:rsidR="002E5DA8" w:rsidRDefault="0095632D">
      <w:pPr>
        <w:numPr>
          <w:ilvl w:val="0"/>
          <w:numId w:val="8"/>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Artículo 26 numeral 6,</w:t>
      </w:r>
      <w:r>
        <w:rPr>
          <w:rFonts w:ascii="Times New Roman" w:eastAsia="Times New Roman" w:hAnsi="Times New Roman" w:cs="Times New Roman"/>
          <w:sz w:val="24"/>
          <w:szCs w:val="24"/>
        </w:rPr>
        <w:t xml:space="preserve"> en la frase: </w:t>
      </w:r>
      <w:r>
        <w:rPr>
          <w:rFonts w:ascii="Times New Roman" w:eastAsia="Times New Roman" w:hAnsi="Times New Roman" w:cs="Times New Roman"/>
          <w:i/>
          <w:sz w:val="24"/>
          <w:szCs w:val="24"/>
        </w:rPr>
        <w:t>“salvo aquella que sea necesaria para la investigación de delitos penales,</w:t>
      </w:r>
      <w:r>
        <w:rPr>
          <w:rFonts w:ascii="Times New Roman" w:eastAsia="Times New Roman" w:hAnsi="Times New Roman" w:cs="Times New Roman"/>
          <w:i/>
          <w:sz w:val="24"/>
          <w:szCs w:val="24"/>
        </w:rPr>
        <w:t xml:space="preserve"> conforme la legislación de la materia”.</w:t>
      </w:r>
    </w:p>
    <w:p w14:paraId="7A396835" w14:textId="77777777" w:rsidR="002E5DA8" w:rsidRDefault="0095632D">
      <w:pPr>
        <w:numPr>
          <w:ilvl w:val="0"/>
          <w:numId w:val="8"/>
        </w:numPr>
        <w:spacing w:after="20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Artículo 27 numeral 13 en la frase:</w:t>
      </w:r>
      <w:r>
        <w:rPr>
          <w:rFonts w:ascii="Times New Roman" w:eastAsia="Times New Roman" w:hAnsi="Times New Roman" w:cs="Times New Roman"/>
          <w:i/>
          <w:sz w:val="24"/>
          <w:szCs w:val="24"/>
        </w:rPr>
        <w:t xml:space="preserve"> “sin perjuicio del deber del Estado de verificar la causa de exención de sanción penal por el delito del aborto</w:t>
      </w:r>
    </w:p>
    <w:p w14:paraId="7A396836" w14:textId="77777777" w:rsidR="002E5DA8" w:rsidRDefault="0095632D">
      <w:pPr>
        <w:numPr>
          <w:ilvl w:val="0"/>
          <w:numId w:val="8"/>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Artículo 29, </w:t>
      </w:r>
      <w:r>
        <w:rPr>
          <w:rFonts w:ascii="Times New Roman" w:eastAsia="Times New Roman" w:hAnsi="Times New Roman" w:cs="Times New Roman"/>
          <w:sz w:val="24"/>
          <w:szCs w:val="24"/>
        </w:rPr>
        <w:t xml:space="preserve">en la frase </w:t>
      </w:r>
      <w:r>
        <w:rPr>
          <w:rFonts w:ascii="Times New Roman" w:eastAsia="Times New Roman" w:hAnsi="Times New Roman" w:cs="Times New Roman"/>
          <w:i/>
          <w:sz w:val="24"/>
          <w:szCs w:val="24"/>
        </w:rPr>
        <w:t>“, siempre que estos hayan decidido ofrece</w:t>
      </w:r>
      <w:r>
        <w:rPr>
          <w:rFonts w:ascii="Times New Roman" w:eastAsia="Times New Roman" w:hAnsi="Times New Roman" w:cs="Times New Roman"/>
          <w:i/>
          <w:sz w:val="24"/>
          <w:szCs w:val="24"/>
        </w:rPr>
        <w:t>r este servicio”.</w:t>
      </w:r>
    </w:p>
    <w:p w14:paraId="7A396837" w14:textId="77777777" w:rsidR="002E5DA8" w:rsidRDefault="0095632D">
      <w:pPr>
        <w:numPr>
          <w:ilvl w:val="0"/>
          <w:numId w:val="8"/>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Artículo 30, numeral 4 </w:t>
      </w:r>
      <w:r>
        <w:rPr>
          <w:rFonts w:ascii="Times New Roman" w:eastAsia="Times New Roman" w:hAnsi="Times New Roman" w:cs="Times New Roman"/>
          <w:sz w:val="24"/>
          <w:szCs w:val="24"/>
        </w:rPr>
        <w:t xml:space="preserve">en la frase </w:t>
      </w:r>
      <w:r>
        <w:rPr>
          <w:rFonts w:ascii="Times New Roman" w:eastAsia="Times New Roman" w:hAnsi="Times New Roman" w:cs="Times New Roman"/>
          <w:i/>
          <w:sz w:val="24"/>
          <w:szCs w:val="24"/>
        </w:rPr>
        <w:t xml:space="preserve">“, en la medida en que estos hayan decidido ofrecer este servicio y no hayan ejercido el derecho de objeción de conciencia colectivo o institucional”.  </w:t>
      </w:r>
    </w:p>
    <w:p w14:paraId="7A396838" w14:textId="77777777" w:rsidR="002E5DA8" w:rsidRDefault="0095632D">
      <w:pPr>
        <w:numPr>
          <w:ilvl w:val="0"/>
          <w:numId w:val="8"/>
        </w:num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Artículo 30, numeral 18. </w:t>
      </w:r>
    </w:p>
    <w:p w14:paraId="7A396839" w14:textId="77777777" w:rsidR="002E5DA8" w:rsidRDefault="0095632D">
      <w:pPr>
        <w:numPr>
          <w:ilvl w:val="0"/>
          <w:numId w:val="8"/>
        </w:num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Artículo 31, numeral 2.</w:t>
      </w:r>
    </w:p>
    <w:p w14:paraId="7A39683A" w14:textId="77777777" w:rsidR="002E5DA8" w:rsidRDefault="0095632D">
      <w:pPr>
        <w:numPr>
          <w:ilvl w:val="0"/>
          <w:numId w:val="8"/>
        </w:num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Artículo 32 </w:t>
      </w:r>
      <w:r>
        <w:rPr>
          <w:rFonts w:ascii="Times New Roman" w:eastAsia="Times New Roman" w:hAnsi="Times New Roman" w:cs="Times New Roman"/>
          <w:sz w:val="24"/>
          <w:szCs w:val="24"/>
        </w:rPr>
        <w:t xml:space="preserve">en las frase del párrafo inicial: </w:t>
      </w:r>
      <w:r>
        <w:rPr>
          <w:rFonts w:ascii="Times New Roman" w:eastAsia="Times New Roman" w:hAnsi="Times New Roman" w:cs="Times New Roman"/>
          <w:i/>
          <w:sz w:val="24"/>
          <w:szCs w:val="24"/>
        </w:rPr>
        <w:t xml:space="preserve">“Así también deberá patrocinar a los profesionales de la salud en donde denuncien la comisión de un delito de infanticidio”; </w:t>
      </w:r>
    </w:p>
    <w:p w14:paraId="7A39683B" w14:textId="77777777" w:rsidR="002E5DA8" w:rsidRDefault="0095632D">
      <w:pPr>
        <w:numPr>
          <w:ilvl w:val="0"/>
          <w:numId w:val="8"/>
        </w:num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Artículo 32, numeral 3 </w:t>
      </w:r>
      <w:r>
        <w:rPr>
          <w:rFonts w:ascii="Times New Roman" w:eastAsia="Times New Roman" w:hAnsi="Times New Roman" w:cs="Times New Roman"/>
          <w:sz w:val="24"/>
          <w:szCs w:val="24"/>
        </w:rPr>
        <w:t xml:space="preserve">en la frase </w:t>
      </w:r>
      <w:r>
        <w:rPr>
          <w:rFonts w:ascii="Times New Roman" w:eastAsia="Times New Roman" w:hAnsi="Times New Roman" w:cs="Times New Roman"/>
          <w:i/>
          <w:sz w:val="24"/>
          <w:szCs w:val="24"/>
        </w:rPr>
        <w:t>“los denunciantes de la comisión del delito de in</w:t>
      </w:r>
      <w:r>
        <w:rPr>
          <w:rFonts w:ascii="Times New Roman" w:eastAsia="Times New Roman" w:hAnsi="Times New Roman" w:cs="Times New Roman"/>
          <w:i/>
          <w:sz w:val="24"/>
          <w:szCs w:val="24"/>
        </w:rPr>
        <w:t>fanticidio, y los profesionales de la salud que requieran asistencia con la tutela de su derecho a la objeción de conciencia”;</w:t>
      </w:r>
    </w:p>
    <w:p w14:paraId="7A39683C" w14:textId="77777777" w:rsidR="002E5DA8" w:rsidRDefault="0095632D">
      <w:pPr>
        <w:numPr>
          <w:ilvl w:val="0"/>
          <w:numId w:val="8"/>
        </w:num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Artículo 32, numeral 4</w:t>
      </w:r>
      <w:r>
        <w:rPr>
          <w:rFonts w:ascii="Times New Roman" w:eastAsia="Times New Roman" w:hAnsi="Times New Roman" w:cs="Times New Roman"/>
          <w:sz w:val="24"/>
          <w:szCs w:val="24"/>
        </w:rPr>
        <w:t xml:space="preserve"> en la frase </w:t>
      </w:r>
      <w:r>
        <w:rPr>
          <w:rFonts w:ascii="Times New Roman" w:eastAsia="Times New Roman" w:hAnsi="Times New Roman" w:cs="Times New Roman"/>
          <w:i/>
          <w:sz w:val="24"/>
          <w:szCs w:val="24"/>
        </w:rPr>
        <w:t xml:space="preserve">“atención a los denunciantes del delito de infanticidio”; </w:t>
      </w:r>
    </w:p>
    <w:p w14:paraId="7A39683D" w14:textId="77777777" w:rsidR="002E5DA8" w:rsidRDefault="0095632D">
      <w:pPr>
        <w:numPr>
          <w:ilvl w:val="0"/>
          <w:numId w:val="8"/>
        </w:num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Artículo 32, numeral 6 </w:t>
      </w:r>
      <w:r>
        <w:rPr>
          <w:rFonts w:ascii="Times New Roman" w:eastAsia="Times New Roman" w:hAnsi="Times New Roman" w:cs="Times New Roman"/>
          <w:sz w:val="24"/>
          <w:szCs w:val="24"/>
        </w:rPr>
        <w:t xml:space="preserve">en la frase </w:t>
      </w:r>
      <w:r>
        <w:rPr>
          <w:rFonts w:ascii="Times New Roman" w:eastAsia="Times New Roman" w:hAnsi="Times New Roman" w:cs="Times New Roman"/>
          <w:i/>
          <w:sz w:val="24"/>
          <w:szCs w:val="24"/>
        </w:rPr>
        <w:t>“profesionales de la salud que deseen presentar una denuncia ante la Fiscalía”</w:t>
      </w:r>
    </w:p>
    <w:p w14:paraId="7A39683E" w14:textId="77777777" w:rsidR="002E5DA8" w:rsidRDefault="0095632D">
      <w:pPr>
        <w:numPr>
          <w:ilvl w:val="0"/>
          <w:numId w:val="8"/>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Artículo 33 numeral 4</w:t>
      </w:r>
      <w:r>
        <w:rPr>
          <w:rFonts w:ascii="Times New Roman" w:eastAsia="Times New Roman" w:hAnsi="Times New Roman" w:cs="Times New Roman"/>
          <w:sz w:val="24"/>
          <w:szCs w:val="24"/>
        </w:rPr>
        <w:t xml:space="preserve"> en la frase: </w:t>
      </w:r>
      <w:r>
        <w:rPr>
          <w:rFonts w:ascii="Times New Roman" w:eastAsia="Times New Roman" w:hAnsi="Times New Roman" w:cs="Times New Roman"/>
          <w:i/>
          <w:sz w:val="24"/>
          <w:szCs w:val="24"/>
        </w:rPr>
        <w:t>“y de infanticidio, en el caso de los niños nacidos vivos después de las prácticas de los abortos que no reciban las atenciones médicas”.</w:t>
      </w:r>
    </w:p>
    <w:p w14:paraId="7A39683F" w14:textId="77777777" w:rsidR="002E5DA8" w:rsidRDefault="0095632D">
      <w:pPr>
        <w:numPr>
          <w:ilvl w:val="0"/>
          <w:numId w:val="8"/>
        </w:num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Artí</w:t>
      </w:r>
      <w:r>
        <w:rPr>
          <w:rFonts w:ascii="Times New Roman" w:eastAsia="Times New Roman" w:hAnsi="Times New Roman" w:cs="Times New Roman"/>
          <w:b/>
          <w:sz w:val="24"/>
          <w:szCs w:val="24"/>
        </w:rPr>
        <w:t>culo 35, numeral 3, literal c.</w:t>
      </w:r>
    </w:p>
    <w:p w14:paraId="7A396840" w14:textId="77777777" w:rsidR="002E5DA8" w:rsidRDefault="0095632D">
      <w:pPr>
        <w:numPr>
          <w:ilvl w:val="0"/>
          <w:numId w:val="8"/>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Artículo 37, numeral 1</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en la frase:</w:t>
      </w:r>
      <w:r>
        <w:rPr>
          <w:rFonts w:ascii="Times New Roman" w:eastAsia="Times New Roman" w:hAnsi="Times New Roman" w:cs="Times New Roman"/>
          <w:i/>
          <w:sz w:val="24"/>
          <w:szCs w:val="24"/>
        </w:rPr>
        <w:t xml:space="preserve"> de las responsabilidades de la Autoridad Nacional de Educación.-Será responsabilidad de la autoridad nacional de educación: 1. Incorporar dentro de las rutas y protocolos especializados par</w:t>
      </w:r>
      <w:r>
        <w:rPr>
          <w:rFonts w:ascii="Times New Roman" w:eastAsia="Times New Roman" w:hAnsi="Times New Roman" w:cs="Times New Roman"/>
          <w:i/>
          <w:sz w:val="24"/>
          <w:szCs w:val="24"/>
        </w:rPr>
        <w:t>a abordar casos de violencia contra las mujeres, niñas y adolescentes, las acciones y estrategias necesarias a efectos de que el personal docente pueda participar activamente en la identificación de casos de violencia sexual</w:t>
      </w:r>
      <w:r>
        <w:rPr>
          <w:rFonts w:ascii="Times New Roman" w:eastAsia="Times New Roman" w:hAnsi="Times New Roman" w:cs="Times New Roman"/>
          <w:sz w:val="24"/>
          <w:szCs w:val="24"/>
        </w:rPr>
        <w:t xml:space="preserve">; </w:t>
      </w:r>
    </w:p>
    <w:p w14:paraId="7A396841" w14:textId="77777777" w:rsidR="002E5DA8" w:rsidRDefault="0095632D">
      <w:pPr>
        <w:numPr>
          <w:ilvl w:val="0"/>
          <w:numId w:val="8"/>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Artículo 37, numeral 2</w:t>
      </w:r>
      <w:r>
        <w:rPr>
          <w:rFonts w:ascii="Times New Roman" w:eastAsia="Times New Roman" w:hAnsi="Times New Roman" w:cs="Times New Roman"/>
          <w:sz w:val="24"/>
          <w:szCs w:val="24"/>
        </w:rPr>
        <w:t xml:space="preserve"> en la frase: “</w:t>
      </w:r>
      <w:r>
        <w:rPr>
          <w:rFonts w:ascii="Times New Roman" w:eastAsia="Times New Roman" w:hAnsi="Times New Roman" w:cs="Times New Roman"/>
          <w:i/>
          <w:sz w:val="24"/>
          <w:szCs w:val="24"/>
        </w:rPr>
        <w:t>cuando se trate de hospitales estatales</w:t>
      </w:r>
      <w:r>
        <w:rPr>
          <w:rFonts w:ascii="Times New Roman" w:eastAsia="Times New Roman" w:hAnsi="Times New Roman" w:cs="Times New Roman"/>
          <w:sz w:val="24"/>
          <w:szCs w:val="24"/>
        </w:rPr>
        <w:t>”;</w:t>
      </w:r>
    </w:p>
    <w:p w14:paraId="7A396842" w14:textId="77777777" w:rsidR="002E5DA8" w:rsidRDefault="0095632D">
      <w:pPr>
        <w:numPr>
          <w:ilvl w:val="0"/>
          <w:numId w:val="8"/>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Artículo 37, numeral tres</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artículo 26, numeral 3</w:t>
      </w:r>
      <w:r>
        <w:rPr>
          <w:rFonts w:ascii="Times New Roman" w:eastAsia="Times New Roman" w:hAnsi="Times New Roman" w:cs="Times New Roman"/>
          <w:sz w:val="24"/>
          <w:szCs w:val="24"/>
        </w:rPr>
        <w:t>, respecto de la frase: “</w:t>
      </w:r>
      <w:r>
        <w:rPr>
          <w:rFonts w:ascii="Times New Roman" w:eastAsia="Times New Roman" w:hAnsi="Times New Roman" w:cs="Times New Roman"/>
          <w:i/>
          <w:sz w:val="24"/>
          <w:szCs w:val="24"/>
        </w:rPr>
        <w:t>colectiva o institucional, en este último caso con la excepción de los hospitales públicos</w:t>
      </w:r>
      <w:r>
        <w:rPr>
          <w:rFonts w:ascii="Times New Roman" w:eastAsia="Times New Roman" w:hAnsi="Times New Roman" w:cs="Times New Roman"/>
          <w:sz w:val="24"/>
          <w:szCs w:val="24"/>
        </w:rPr>
        <w:t>”; colectiva o institucional, en es</w:t>
      </w:r>
      <w:r>
        <w:rPr>
          <w:rFonts w:ascii="Times New Roman" w:eastAsia="Times New Roman" w:hAnsi="Times New Roman" w:cs="Times New Roman"/>
          <w:sz w:val="24"/>
          <w:szCs w:val="24"/>
        </w:rPr>
        <w:t xml:space="preserve">te último caso con la excepción de los hospitales públicos”; </w:t>
      </w:r>
    </w:p>
    <w:p w14:paraId="7A396843" w14:textId="77777777" w:rsidR="002E5DA8" w:rsidRDefault="0095632D">
      <w:pPr>
        <w:numPr>
          <w:ilvl w:val="0"/>
          <w:numId w:val="8"/>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Artículo 37, numeral 4</w:t>
      </w:r>
      <w:r>
        <w:rPr>
          <w:rFonts w:ascii="Times New Roman" w:eastAsia="Times New Roman" w:hAnsi="Times New Roman" w:cs="Times New Roman"/>
          <w:sz w:val="24"/>
          <w:szCs w:val="24"/>
        </w:rPr>
        <w:t xml:space="preserve">; </w:t>
      </w:r>
    </w:p>
    <w:p w14:paraId="7A396844" w14:textId="77777777" w:rsidR="002E5DA8" w:rsidRDefault="0095632D">
      <w:pPr>
        <w:numPr>
          <w:ilvl w:val="0"/>
          <w:numId w:val="8"/>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Artículo 37, numeral 5</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artículo 30 numeral 4</w:t>
      </w:r>
      <w:r>
        <w:rPr>
          <w:rFonts w:ascii="Times New Roman" w:eastAsia="Times New Roman" w:hAnsi="Times New Roman" w:cs="Times New Roman"/>
          <w:sz w:val="24"/>
          <w:szCs w:val="24"/>
        </w:rPr>
        <w:t>, la frase: “</w:t>
      </w:r>
      <w:r>
        <w:rPr>
          <w:rFonts w:ascii="Times New Roman" w:eastAsia="Times New Roman" w:hAnsi="Times New Roman" w:cs="Times New Roman"/>
          <w:i/>
          <w:sz w:val="24"/>
          <w:szCs w:val="24"/>
        </w:rPr>
        <w:t>en la medida en que estos hayan decidido ofrecer este servicio y no hayan ejercido el derecho de objeción de co</w:t>
      </w:r>
      <w:r>
        <w:rPr>
          <w:rFonts w:ascii="Times New Roman" w:eastAsia="Times New Roman" w:hAnsi="Times New Roman" w:cs="Times New Roman"/>
          <w:i/>
          <w:sz w:val="24"/>
          <w:szCs w:val="24"/>
        </w:rPr>
        <w:t>nciencia colectivo o institucional</w:t>
      </w:r>
      <w:r>
        <w:rPr>
          <w:rFonts w:ascii="Times New Roman" w:eastAsia="Times New Roman" w:hAnsi="Times New Roman" w:cs="Times New Roman"/>
          <w:sz w:val="24"/>
          <w:szCs w:val="24"/>
        </w:rPr>
        <w:t xml:space="preserve">”; </w:t>
      </w:r>
    </w:p>
    <w:p w14:paraId="7A396845" w14:textId="77777777" w:rsidR="002E5DA8" w:rsidRDefault="0095632D">
      <w:pPr>
        <w:numPr>
          <w:ilvl w:val="0"/>
          <w:numId w:val="8"/>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Artículo 37, numeral 6</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artículo 44</w:t>
      </w:r>
      <w:r>
        <w:rPr>
          <w:rFonts w:ascii="Times New Roman" w:eastAsia="Times New Roman" w:hAnsi="Times New Roman" w:cs="Times New Roman"/>
          <w:sz w:val="24"/>
          <w:szCs w:val="24"/>
        </w:rPr>
        <w:t>, la palabra “</w:t>
      </w:r>
      <w:r>
        <w:rPr>
          <w:rFonts w:ascii="Times New Roman" w:eastAsia="Times New Roman" w:hAnsi="Times New Roman" w:cs="Times New Roman"/>
          <w:i/>
          <w:sz w:val="24"/>
          <w:szCs w:val="24"/>
        </w:rPr>
        <w:t>indirecta</w:t>
      </w:r>
      <w:r>
        <w:rPr>
          <w:rFonts w:ascii="Times New Roman" w:eastAsia="Times New Roman" w:hAnsi="Times New Roman" w:cs="Times New Roman"/>
          <w:sz w:val="24"/>
          <w:szCs w:val="24"/>
        </w:rPr>
        <w:t>” y la frase: “</w:t>
      </w:r>
      <w:r>
        <w:rPr>
          <w:rFonts w:ascii="Times New Roman" w:eastAsia="Times New Roman" w:hAnsi="Times New Roman" w:cs="Times New Roman"/>
          <w:i/>
          <w:sz w:val="24"/>
          <w:szCs w:val="24"/>
        </w:rPr>
        <w:t>No cabe que las entidades del Estado, o los establecimientos de salud públicos o privados, establezcan límites aleatorios la objeción de concienc</w:t>
      </w:r>
      <w:r>
        <w:rPr>
          <w:rFonts w:ascii="Times New Roman" w:eastAsia="Times New Roman" w:hAnsi="Times New Roman" w:cs="Times New Roman"/>
          <w:i/>
          <w:sz w:val="24"/>
          <w:szCs w:val="24"/>
        </w:rPr>
        <w:t>ia, sea que esta se ejerza a título individual, colectiva o institucional</w:t>
      </w:r>
      <w:r>
        <w:rPr>
          <w:rFonts w:ascii="Times New Roman" w:eastAsia="Times New Roman" w:hAnsi="Times New Roman" w:cs="Times New Roman"/>
          <w:sz w:val="24"/>
          <w:szCs w:val="24"/>
        </w:rPr>
        <w:t>”.</w:t>
      </w:r>
    </w:p>
    <w:p w14:paraId="7A396846" w14:textId="77777777" w:rsidR="002E5DA8" w:rsidRDefault="0095632D">
      <w:pPr>
        <w:numPr>
          <w:ilvl w:val="0"/>
          <w:numId w:val="8"/>
        </w:num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Artículo 44 literal c) </w:t>
      </w:r>
      <w:r>
        <w:rPr>
          <w:rFonts w:ascii="Times New Roman" w:eastAsia="Times New Roman" w:hAnsi="Times New Roman" w:cs="Times New Roman"/>
          <w:sz w:val="24"/>
          <w:szCs w:val="24"/>
        </w:rPr>
        <w:t xml:space="preserve">en la frase: </w:t>
      </w:r>
      <w:r>
        <w:rPr>
          <w:rFonts w:ascii="Times New Roman" w:eastAsia="Times New Roman" w:hAnsi="Times New Roman" w:cs="Times New Roman"/>
          <w:i/>
          <w:sz w:val="24"/>
          <w:szCs w:val="24"/>
        </w:rPr>
        <w:t xml:space="preserve">“excepto en lo requerido para la notificación del presunto delito e investigación fiscal”; </w:t>
      </w:r>
    </w:p>
    <w:p w14:paraId="7A396847" w14:textId="77777777" w:rsidR="002E5DA8" w:rsidRDefault="0095632D">
      <w:pPr>
        <w:numPr>
          <w:ilvl w:val="0"/>
          <w:numId w:val="8"/>
        </w:numPr>
        <w:spacing w:after="20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Artículo 45 </w:t>
      </w:r>
      <w:r>
        <w:rPr>
          <w:rFonts w:ascii="Times New Roman" w:eastAsia="Times New Roman" w:hAnsi="Times New Roman" w:cs="Times New Roman"/>
          <w:sz w:val="24"/>
          <w:szCs w:val="24"/>
        </w:rPr>
        <w:t>en la frase:</w:t>
      </w:r>
      <w:r>
        <w:rPr>
          <w:rFonts w:ascii="Times New Roman" w:eastAsia="Times New Roman" w:hAnsi="Times New Roman" w:cs="Times New Roman"/>
          <w:i/>
          <w:sz w:val="24"/>
          <w:szCs w:val="24"/>
        </w:rPr>
        <w:t xml:space="preserve"> “excepto en lo que respecta</w:t>
      </w:r>
      <w:r>
        <w:rPr>
          <w:rFonts w:ascii="Times New Roman" w:eastAsia="Times New Roman" w:hAnsi="Times New Roman" w:cs="Times New Roman"/>
          <w:i/>
          <w:sz w:val="24"/>
          <w:szCs w:val="24"/>
        </w:rPr>
        <w:t xml:space="preserve"> a la notificación del delito y el desarrollo de la investigación fiscal”;t</w:t>
      </w:r>
    </w:p>
    <w:p w14:paraId="7A396848" w14:textId="77777777" w:rsidR="002E5DA8" w:rsidRDefault="0095632D">
      <w:pPr>
        <w:numPr>
          <w:ilvl w:val="0"/>
          <w:numId w:val="8"/>
        </w:numPr>
        <w:spacing w:after="20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Artículo 58 literal g)</w:t>
      </w:r>
      <w:r>
        <w:rPr>
          <w:rFonts w:ascii="Times New Roman" w:eastAsia="Times New Roman" w:hAnsi="Times New Roman" w:cs="Times New Roman"/>
          <w:sz w:val="24"/>
          <w:szCs w:val="24"/>
        </w:rPr>
        <w:t xml:space="preserve"> en la frase:</w:t>
      </w:r>
      <w:r>
        <w:rPr>
          <w:rFonts w:ascii="Times New Roman" w:eastAsia="Times New Roman" w:hAnsi="Times New Roman" w:cs="Times New Roman"/>
          <w:i/>
          <w:sz w:val="24"/>
          <w:szCs w:val="24"/>
        </w:rPr>
        <w:t xml:space="preserve"> “excepto la información que debe entregar a la Fiscalía para iniciar la investigación de delitos”</w:t>
      </w:r>
    </w:p>
    <w:p w14:paraId="7A396849" w14:textId="77777777" w:rsidR="002E5DA8" w:rsidRDefault="0095632D">
      <w:pPr>
        <w:numPr>
          <w:ilvl w:val="0"/>
          <w:numId w:val="8"/>
        </w:numPr>
        <w:spacing w:after="20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Artículo 59 literales c) (completo) y e) </w:t>
      </w:r>
      <w:r>
        <w:rPr>
          <w:rFonts w:ascii="Times New Roman" w:eastAsia="Times New Roman" w:hAnsi="Times New Roman" w:cs="Times New Roman"/>
          <w:sz w:val="24"/>
          <w:szCs w:val="24"/>
        </w:rPr>
        <w:t>en la frase:</w:t>
      </w:r>
      <w:r>
        <w:rPr>
          <w:rFonts w:ascii="Times New Roman" w:eastAsia="Times New Roman" w:hAnsi="Times New Roman" w:cs="Times New Roman"/>
          <w:i/>
          <w:sz w:val="24"/>
          <w:szCs w:val="24"/>
        </w:rPr>
        <w:t xml:space="preserve"> “salvo aquella información que se debe notificar a la autoridad competente para la investigación de delitos”</w:t>
      </w:r>
    </w:p>
    <w:p w14:paraId="7A39684A"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 así que existen un gran número de </w:t>
      </w:r>
      <w:r>
        <w:rPr>
          <w:rFonts w:ascii="Times New Roman" w:eastAsia="Times New Roman" w:hAnsi="Times New Roman" w:cs="Times New Roman"/>
          <w:b/>
          <w:sz w:val="24"/>
          <w:szCs w:val="24"/>
          <w:u w:val="single"/>
        </w:rPr>
        <w:t xml:space="preserve">normas de la LORIVE suspendidas </w:t>
      </w:r>
      <w:r>
        <w:rPr>
          <w:rFonts w:ascii="Times New Roman" w:eastAsia="Times New Roman" w:hAnsi="Times New Roman" w:cs="Times New Roman"/>
          <w:sz w:val="24"/>
          <w:szCs w:val="24"/>
        </w:rPr>
        <w:t>temporalmente hasta la e</w:t>
      </w:r>
      <w:r>
        <w:rPr>
          <w:rFonts w:ascii="Times New Roman" w:eastAsia="Times New Roman" w:hAnsi="Times New Roman" w:cs="Times New Roman"/>
          <w:sz w:val="24"/>
          <w:szCs w:val="24"/>
        </w:rPr>
        <w:t>misión de la respectiva sentencia. Entre sus efectos más importantes se pueden enunciar los siguientes:</w:t>
      </w:r>
    </w:p>
    <w:p w14:paraId="7A39684B" w14:textId="77777777" w:rsidR="002E5DA8" w:rsidRDefault="0095632D">
      <w:pPr>
        <w:numPr>
          <w:ilvl w:val="0"/>
          <w:numId w:val="5"/>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Requisitos de la LORIVE (art. 19):  ya no se requiere presentar una denuncia, un examen médico legal o una declaración jurada para acceder a este derech</w:t>
      </w:r>
      <w:r>
        <w:rPr>
          <w:rFonts w:ascii="Times New Roman" w:eastAsia="Times New Roman" w:hAnsi="Times New Roman" w:cs="Times New Roman"/>
          <w:sz w:val="24"/>
          <w:szCs w:val="24"/>
        </w:rPr>
        <w:t>o (Caso N°. 76-22-IN).</w:t>
      </w:r>
    </w:p>
    <w:p w14:paraId="7A39684C" w14:textId="77777777" w:rsidR="002E5DA8" w:rsidRDefault="0095632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Suspensión temporal de algunos articulados relacionados con: </w:t>
      </w:r>
    </w:p>
    <w:p w14:paraId="7A39684D" w14:textId="77777777" w:rsidR="002E5DA8" w:rsidRDefault="0095632D">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Se suspende el art. 12, numeral 6:</w:t>
      </w:r>
      <w:r>
        <w:rPr>
          <w:rFonts w:ascii="Times New Roman" w:eastAsia="Times New Roman" w:hAnsi="Times New Roman" w:cs="Times New Roman"/>
          <w:sz w:val="24"/>
          <w:szCs w:val="24"/>
        </w:rPr>
        <w:t xml:space="preserve"> No se requiere la autorización de los representantes legales para que las niñas y adolescentes puedan someterse a la práctica del aborto consentido en caso de violación (Caso N.º 41-22-IN).</w:t>
      </w:r>
    </w:p>
    <w:p w14:paraId="7A39684E" w14:textId="77777777" w:rsidR="002E5DA8" w:rsidRDefault="0095632D">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Objeción de conciencia (art. 24, numeral 10):</w:t>
      </w:r>
      <w:r>
        <w:rPr>
          <w:rFonts w:ascii="Times New Roman" w:eastAsia="Times New Roman" w:hAnsi="Times New Roman" w:cs="Times New Roman"/>
          <w:sz w:val="24"/>
          <w:szCs w:val="24"/>
        </w:rPr>
        <w:t xml:space="preserve"> el derecho de las v</w:t>
      </w:r>
      <w:r>
        <w:rPr>
          <w:rFonts w:ascii="Times New Roman" w:eastAsia="Times New Roman" w:hAnsi="Times New Roman" w:cs="Times New Roman"/>
          <w:sz w:val="24"/>
          <w:szCs w:val="24"/>
        </w:rPr>
        <w:t xml:space="preserve">íctimas de violencia a acceder a un aborto es prioritario y no puede verse afectado por la objeción de conciencia, sea que esta se ejerza a título individual, colectiva o institucional (Caso Nº. 93-22-IN).  </w:t>
      </w:r>
    </w:p>
    <w:p w14:paraId="7A39684F" w14:textId="77777777" w:rsidR="002E5DA8" w:rsidRDefault="0095632D">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Consentimiento informado (art. 21, numeral 1):</w:t>
      </w:r>
      <w:r>
        <w:rPr>
          <w:rFonts w:ascii="Times New Roman" w:eastAsia="Times New Roman" w:hAnsi="Times New Roman" w:cs="Times New Roman"/>
          <w:sz w:val="24"/>
          <w:szCs w:val="24"/>
        </w:rPr>
        <w:t xml:space="preserve"> L</w:t>
      </w:r>
      <w:r>
        <w:rPr>
          <w:rFonts w:ascii="Times New Roman" w:eastAsia="Times New Roman" w:hAnsi="Times New Roman" w:cs="Times New Roman"/>
          <w:sz w:val="24"/>
          <w:szCs w:val="24"/>
        </w:rPr>
        <w:t xml:space="preserve">a ecografía como un requisito obligatorio para acceder a un aborto por violación (Causa No. 31-23-IN). </w:t>
      </w:r>
    </w:p>
    <w:p w14:paraId="7A396850" w14:textId="77777777" w:rsidR="002E5DA8" w:rsidRDefault="0095632D">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Secreto profesional y confidencialidad en salud:</w:t>
      </w:r>
      <w:r>
        <w:rPr>
          <w:rFonts w:ascii="Times New Roman" w:eastAsia="Times New Roman" w:hAnsi="Times New Roman" w:cs="Times New Roman"/>
          <w:sz w:val="24"/>
          <w:szCs w:val="24"/>
        </w:rPr>
        <w:t xml:space="preserve"> Se reafirma que el personal de salud debe mantener la confidencialidad y no denuncia a las mujeres que </w:t>
      </w:r>
      <w:r>
        <w:rPr>
          <w:rFonts w:ascii="Times New Roman" w:eastAsia="Times New Roman" w:hAnsi="Times New Roman" w:cs="Times New Roman"/>
          <w:sz w:val="24"/>
          <w:szCs w:val="24"/>
        </w:rPr>
        <w:t>llegan en situación de aborto.</w:t>
      </w:r>
    </w:p>
    <w:p w14:paraId="7A396851" w14:textId="77777777" w:rsidR="002E5DA8" w:rsidRDefault="0095632D">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 resalta que el consentimiento informado es un derecho, debe ser gratuito y debe otorgarse después de recibir información científica, completa, oportuna e integral (Caso N.º 41-22-IN).</w:t>
      </w:r>
    </w:p>
    <w:p w14:paraId="7A396852" w14:textId="77777777" w:rsidR="002E5DA8" w:rsidRDefault="0095632D">
      <w:pPr>
        <w:pStyle w:val="Heading2"/>
        <w:numPr>
          <w:ilvl w:val="2"/>
          <w:numId w:val="9"/>
        </w:numPr>
        <w:ind w:firstLine="1800"/>
      </w:pPr>
      <w:bookmarkStart w:id="21" w:name="_heading=h.ptlbo4q7qpyp" w:colFirst="0" w:colLast="0"/>
      <w:bookmarkEnd w:id="21"/>
      <w:r>
        <w:t>Sobre la celeridad de la Corte Constit</w:t>
      </w:r>
      <w:r>
        <w:t xml:space="preserve">ucional. </w:t>
      </w:r>
    </w:p>
    <w:p w14:paraId="7A396853"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través del portal oficial de la Corte Constitucional, se puede constatar que existe una gran celeridad en cuanto a la emisión del auto de admisión una vez presentada la demanda, en general hay un promedio de dos meses de admisión o inadmisión d</w:t>
      </w:r>
      <w:r>
        <w:rPr>
          <w:rFonts w:ascii="Times New Roman" w:eastAsia="Times New Roman" w:hAnsi="Times New Roman" w:cs="Times New Roman"/>
          <w:sz w:val="24"/>
          <w:szCs w:val="24"/>
        </w:rPr>
        <w:t xml:space="preserve">e las causas. </w:t>
      </w:r>
    </w:p>
    <w:p w14:paraId="7A396854"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 menos, las diez primeras causas ingresadas en el 2022, fueron admitidas entre dos y tres meses, otras se demoraron más de un año en contar con dicho auto desde la fecha de presentación de la acción. Sin embargo, otras causas como la 155-2</w:t>
      </w:r>
      <w:r>
        <w:rPr>
          <w:rFonts w:ascii="Times New Roman" w:eastAsia="Times New Roman" w:hAnsi="Times New Roman" w:cs="Times New Roman"/>
          <w:sz w:val="24"/>
          <w:szCs w:val="24"/>
        </w:rPr>
        <w:t>2-IS, no tiene auto de admisión del tribunal, a pesar de ya haber transcurrido más de dos años de haber sido presentada, esto pone en evidencia un retraso inusual de la Corte en este caso específico.</w:t>
      </w:r>
    </w:p>
    <w:p w14:paraId="7A396855" w14:textId="77777777" w:rsidR="002E5DA8" w:rsidRDefault="0095632D">
      <w:pPr>
        <w:spacing w:line="360" w:lineRule="auto"/>
        <w:jc w:val="both"/>
        <w:rPr>
          <w:rFonts w:ascii="Times New Roman" w:eastAsia="Times New Roman" w:hAnsi="Times New Roman" w:cs="Times New Roman"/>
        </w:rPr>
      </w:pPr>
      <w:r>
        <w:rPr>
          <w:rFonts w:ascii="Times New Roman" w:eastAsia="Times New Roman" w:hAnsi="Times New Roman" w:cs="Times New Roman"/>
          <w:sz w:val="24"/>
          <w:szCs w:val="24"/>
        </w:rPr>
        <w:t>En cuanto a la ausencia de fallos respecto de las causas</w:t>
      </w:r>
      <w:r>
        <w:rPr>
          <w:rFonts w:ascii="Times New Roman" w:eastAsia="Times New Roman" w:hAnsi="Times New Roman" w:cs="Times New Roman"/>
          <w:sz w:val="24"/>
          <w:szCs w:val="24"/>
        </w:rPr>
        <w:t xml:space="preserve"> ingresadas, no existe mayor retraso procesal o dilación en sus decisiones, esto considerando que una acción de inconstitucionalidad suele recibir sentencia después de los tres años. Además, la Corte Constitucional en la mayoría de sus autos de admisión, h</w:t>
      </w:r>
      <w:r>
        <w:rPr>
          <w:rFonts w:ascii="Times New Roman" w:eastAsia="Times New Roman" w:hAnsi="Times New Roman" w:cs="Times New Roman"/>
          <w:sz w:val="24"/>
          <w:szCs w:val="24"/>
        </w:rPr>
        <w:t xml:space="preserve">a ordenado el salto cronológico para la sustanciación de los procesos. En consecuencia, la mayoría de las causas tendrán sentencia en un promedio de tiempo menor en comparación a otras acciones. </w:t>
      </w:r>
    </w:p>
    <w:p w14:paraId="7A396856" w14:textId="77777777" w:rsidR="002E5DA8" w:rsidRDefault="0095632D">
      <w:pPr>
        <w:pStyle w:val="Heading1"/>
        <w:numPr>
          <w:ilvl w:val="1"/>
          <w:numId w:val="9"/>
        </w:numPr>
      </w:pPr>
      <w:bookmarkStart w:id="22" w:name="_heading=h.heuyqxmo51l8" w:colFirst="0" w:colLast="0"/>
      <w:bookmarkEnd w:id="22"/>
      <w:r>
        <w:t>Fiscalía General del Estado: sobre las denuncias y casos ref</w:t>
      </w:r>
      <w:r>
        <w:t>erentes a violaciones sexuales y abortos practicados.</w:t>
      </w:r>
    </w:p>
    <w:p w14:paraId="7A396857"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Fiscalía General del Estado de Ecuador (FGE, en adelante) proporcionó la siguiente información: </w:t>
      </w:r>
    </w:p>
    <w:p w14:paraId="7A396858" w14:textId="77777777" w:rsidR="002E5DA8" w:rsidRDefault="0095632D">
      <w:pPr>
        <w:numPr>
          <w:ilvl w:val="0"/>
          <w:numId w:val="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Cantidad de denuncias por violación sexual en los años 2019, 2020, 2021, 2022, hasta junio de 2023.</w:t>
      </w:r>
    </w:p>
    <w:p w14:paraId="7A396859" w14:textId="77777777" w:rsidR="002E5DA8" w:rsidRDefault="0095632D">
      <w:pPr>
        <w:numPr>
          <w:ilvl w:val="0"/>
          <w:numId w:val="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Nú</w:t>
      </w:r>
      <w:r>
        <w:rPr>
          <w:rFonts w:ascii="Times New Roman" w:eastAsia="Times New Roman" w:hAnsi="Times New Roman" w:cs="Times New Roman"/>
          <w:sz w:val="24"/>
          <w:szCs w:val="24"/>
        </w:rPr>
        <w:t xml:space="preserve">mero de denuncias de abortos consentidos causados por sí misma o por dejar que otro se lo cause. </w:t>
      </w:r>
    </w:p>
    <w:p w14:paraId="7A39685A" w14:textId="77777777" w:rsidR="002E5DA8" w:rsidRDefault="0095632D">
      <w:pPr>
        <w:numPr>
          <w:ilvl w:val="0"/>
          <w:numId w:val="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Cantidad de sentencias condenatorias por el delito de abortar con consentimiento.</w:t>
      </w:r>
    </w:p>
    <w:p w14:paraId="7A39685B" w14:textId="77777777" w:rsidR="002E5DA8" w:rsidRDefault="0095632D">
      <w:pPr>
        <w:numPr>
          <w:ilvl w:val="0"/>
          <w:numId w:val="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Número de muertes de mujeres y personas con capacidad de gestar que han abor</w:t>
      </w:r>
      <w:r>
        <w:rPr>
          <w:rFonts w:ascii="Times New Roman" w:eastAsia="Times New Roman" w:hAnsi="Times New Roman" w:cs="Times New Roman"/>
          <w:sz w:val="24"/>
          <w:szCs w:val="24"/>
        </w:rPr>
        <w:t xml:space="preserve">tado fuera de las causales permitidas. </w:t>
      </w:r>
    </w:p>
    <w:p w14:paraId="7A39685C" w14:textId="77777777" w:rsidR="002E5DA8" w:rsidRDefault="0095632D">
      <w:pPr>
        <w:pStyle w:val="Heading2"/>
        <w:numPr>
          <w:ilvl w:val="2"/>
          <w:numId w:val="9"/>
        </w:numPr>
      </w:pPr>
      <w:bookmarkStart w:id="23" w:name="_heading=h.ve9wsj1brv62" w:colFirst="0" w:colLast="0"/>
      <w:bookmarkEnd w:id="23"/>
      <w:r>
        <w:t>Antes de Sentencia Constitucional 34-19-IN/21:</w:t>
      </w:r>
    </w:p>
    <w:tbl>
      <w:tblPr>
        <w:tblStyle w:val="ac"/>
        <w:tblW w:w="9350"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64"/>
        <w:gridCol w:w="1598"/>
        <w:gridCol w:w="1979"/>
        <w:gridCol w:w="2061"/>
        <w:gridCol w:w="1948"/>
      </w:tblGrid>
      <w:tr w:rsidR="002E5DA8" w14:paraId="7A396862" w14:textId="77777777">
        <w:tc>
          <w:tcPr>
            <w:tcW w:w="1764" w:type="dxa"/>
          </w:tcPr>
          <w:p w14:paraId="7A39685D" w14:textId="77777777" w:rsidR="002E5DA8" w:rsidRDefault="0095632D">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Años</w:t>
            </w:r>
          </w:p>
        </w:tc>
        <w:tc>
          <w:tcPr>
            <w:tcW w:w="1598" w:type="dxa"/>
          </w:tcPr>
          <w:p w14:paraId="7A39685E" w14:textId="77777777" w:rsidR="002E5DA8" w:rsidRDefault="0095632D">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Denuncias de violación sexual</w:t>
            </w:r>
          </w:p>
        </w:tc>
        <w:tc>
          <w:tcPr>
            <w:tcW w:w="1979" w:type="dxa"/>
          </w:tcPr>
          <w:p w14:paraId="7A39685F" w14:textId="77777777" w:rsidR="002E5DA8" w:rsidRDefault="0095632D">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Denuncias de abortos consentidos</w:t>
            </w:r>
          </w:p>
        </w:tc>
        <w:tc>
          <w:tcPr>
            <w:tcW w:w="2061" w:type="dxa"/>
          </w:tcPr>
          <w:p w14:paraId="7A396860" w14:textId="77777777" w:rsidR="002E5DA8" w:rsidRDefault="0095632D">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Sentencias condenatorias por delito de aborto consentido</w:t>
            </w:r>
          </w:p>
        </w:tc>
        <w:tc>
          <w:tcPr>
            <w:tcW w:w="1948" w:type="dxa"/>
          </w:tcPr>
          <w:p w14:paraId="7A396861" w14:textId="77777777" w:rsidR="002E5DA8" w:rsidRDefault="0095632D">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Abortos denunciados, con muerte </w:t>
            </w:r>
          </w:p>
        </w:tc>
      </w:tr>
      <w:tr w:rsidR="002E5DA8" w14:paraId="7A396868" w14:textId="77777777">
        <w:tc>
          <w:tcPr>
            <w:tcW w:w="1764" w:type="dxa"/>
          </w:tcPr>
          <w:p w14:paraId="7A396863" w14:textId="77777777" w:rsidR="002E5DA8" w:rsidRDefault="0095632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2019</w:t>
            </w:r>
          </w:p>
        </w:tc>
        <w:tc>
          <w:tcPr>
            <w:tcW w:w="1598" w:type="dxa"/>
          </w:tcPr>
          <w:p w14:paraId="7A396864" w14:textId="77777777" w:rsidR="002E5DA8" w:rsidRDefault="0095632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5693</w:t>
            </w:r>
          </w:p>
        </w:tc>
        <w:tc>
          <w:tcPr>
            <w:tcW w:w="1979" w:type="dxa"/>
          </w:tcPr>
          <w:p w14:paraId="7A396865" w14:textId="77777777" w:rsidR="002E5DA8" w:rsidRDefault="0095632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w:t>
            </w:r>
          </w:p>
        </w:tc>
        <w:tc>
          <w:tcPr>
            <w:tcW w:w="2061" w:type="dxa"/>
          </w:tcPr>
          <w:p w14:paraId="7A396866" w14:textId="77777777" w:rsidR="002E5DA8" w:rsidRDefault="0095632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948" w:type="dxa"/>
          </w:tcPr>
          <w:p w14:paraId="7A396867" w14:textId="77777777" w:rsidR="002E5DA8" w:rsidRDefault="0095632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2E5DA8" w14:paraId="7A39686E" w14:textId="77777777">
        <w:tc>
          <w:tcPr>
            <w:tcW w:w="1764" w:type="dxa"/>
          </w:tcPr>
          <w:p w14:paraId="7A396869" w14:textId="77777777" w:rsidR="002E5DA8" w:rsidRDefault="0095632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2020</w:t>
            </w:r>
          </w:p>
        </w:tc>
        <w:tc>
          <w:tcPr>
            <w:tcW w:w="1598" w:type="dxa"/>
          </w:tcPr>
          <w:p w14:paraId="7A39686A" w14:textId="77777777" w:rsidR="002E5DA8" w:rsidRDefault="0095632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4885</w:t>
            </w:r>
          </w:p>
        </w:tc>
        <w:tc>
          <w:tcPr>
            <w:tcW w:w="1979" w:type="dxa"/>
          </w:tcPr>
          <w:p w14:paraId="7A39686B" w14:textId="77777777" w:rsidR="002E5DA8" w:rsidRDefault="0095632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p>
        </w:tc>
        <w:tc>
          <w:tcPr>
            <w:tcW w:w="2061" w:type="dxa"/>
          </w:tcPr>
          <w:p w14:paraId="7A39686C" w14:textId="77777777" w:rsidR="002E5DA8" w:rsidRDefault="0095632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948" w:type="dxa"/>
          </w:tcPr>
          <w:p w14:paraId="7A39686D" w14:textId="77777777" w:rsidR="002E5DA8" w:rsidRDefault="0095632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r>
    </w:tbl>
    <w:p w14:paraId="7A39686F" w14:textId="77777777" w:rsidR="002E5DA8" w:rsidRDefault="002E5DA8">
      <w:pPr>
        <w:pStyle w:val="Heading3"/>
        <w:ind w:left="0" w:firstLine="0"/>
      </w:pPr>
      <w:bookmarkStart w:id="24" w:name="_heading=h.32943rcdygpv" w:colFirst="0" w:colLast="0"/>
      <w:bookmarkEnd w:id="24"/>
    </w:p>
    <w:p w14:paraId="7A396870" w14:textId="77777777" w:rsidR="002E5DA8" w:rsidRDefault="0095632D">
      <w:pPr>
        <w:pStyle w:val="Heading2"/>
        <w:numPr>
          <w:ilvl w:val="2"/>
          <w:numId w:val="9"/>
        </w:numPr>
        <w:ind w:firstLine="1800"/>
      </w:pPr>
      <w:bookmarkStart w:id="25" w:name="_heading=h.e4ajd2vnn7cw" w:colFirst="0" w:colLast="0"/>
      <w:bookmarkEnd w:id="25"/>
      <w:r>
        <w:t>Después de Sentencia Constitucional 34-19-IN/21:</w:t>
      </w:r>
    </w:p>
    <w:tbl>
      <w:tblPr>
        <w:tblStyle w:val="ad"/>
        <w:tblW w:w="9255" w:type="dxa"/>
        <w:tblInd w:w="3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25"/>
        <w:gridCol w:w="1575"/>
        <w:gridCol w:w="2070"/>
        <w:gridCol w:w="2040"/>
        <w:gridCol w:w="1845"/>
      </w:tblGrid>
      <w:tr w:rsidR="002E5DA8" w14:paraId="7A396876" w14:textId="77777777">
        <w:tc>
          <w:tcPr>
            <w:tcW w:w="1725" w:type="dxa"/>
          </w:tcPr>
          <w:p w14:paraId="7A396871" w14:textId="77777777" w:rsidR="002E5DA8" w:rsidRDefault="0095632D">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Años</w:t>
            </w:r>
          </w:p>
        </w:tc>
        <w:tc>
          <w:tcPr>
            <w:tcW w:w="1575" w:type="dxa"/>
          </w:tcPr>
          <w:p w14:paraId="7A396872" w14:textId="77777777" w:rsidR="002E5DA8" w:rsidRDefault="0095632D">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Denuncias de violación sexual</w:t>
            </w:r>
          </w:p>
        </w:tc>
        <w:tc>
          <w:tcPr>
            <w:tcW w:w="2070" w:type="dxa"/>
          </w:tcPr>
          <w:p w14:paraId="7A396873" w14:textId="77777777" w:rsidR="002E5DA8" w:rsidRDefault="0095632D">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Denuncias de abortos consentidos</w:t>
            </w:r>
          </w:p>
        </w:tc>
        <w:tc>
          <w:tcPr>
            <w:tcW w:w="2040" w:type="dxa"/>
          </w:tcPr>
          <w:p w14:paraId="7A396874" w14:textId="77777777" w:rsidR="002E5DA8" w:rsidRDefault="0095632D">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Sentencias condenatorias por delito de aborto consentido</w:t>
            </w:r>
          </w:p>
        </w:tc>
        <w:tc>
          <w:tcPr>
            <w:tcW w:w="1845" w:type="dxa"/>
          </w:tcPr>
          <w:p w14:paraId="7A396875" w14:textId="77777777" w:rsidR="002E5DA8" w:rsidRDefault="0095632D">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Abortos denunciados, con muerte </w:t>
            </w:r>
          </w:p>
        </w:tc>
      </w:tr>
      <w:tr w:rsidR="002E5DA8" w14:paraId="7A39687C" w14:textId="77777777">
        <w:tc>
          <w:tcPr>
            <w:tcW w:w="1725" w:type="dxa"/>
          </w:tcPr>
          <w:p w14:paraId="7A396877" w14:textId="77777777" w:rsidR="002E5DA8" w:rsidRDefault="0095632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2021</w:t>
            </w:r>
          </w:p>
        </w:tc>
        <w:tc>
          <w:tcPr>
            <w:tcW w:w="1575" w:type="dxa"/>
          </w:tcPr>
          <w:p w14:paraId="7A396878" w14:textId="77777777" w:rsidR="002E5DA8" w:rsidRDefault="0095632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5766</w:t>
            </w:r>
          </w:p>
        </w:tc>
        <w:tc>
          <w:tcPr>
            <w:tcW w:w="2070" w:type="dxa"/>
          </w:tcPr>
          <w:p w14:paraId="7A396879" w14:textId="77777777" w:rsidR="002E5DA8" w:rsidRDefault="0095632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p>
        </w:tc>
        <w:tc>
          <w:tcPr>
            <w:tcW w:w="2040" w:type="dxa"/>
          </w:tcPr>
          <w:p w14:paraId="7A39687A" w14:textId="77777777" w:rsidR="002E5DA8" w:rsidRDefault="0095632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845" w:type="dxa"/>
          </w:tcPr>
          <w:p w14:paraId="7A39687B" w14:textId="77777777" w:rsidR="002E5DA8" w:rsidRDefault="0095632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2E5DA8" w14:paraId="7A396882" w14:textId="77777777">
        <w:tc>
          <w:tcPr>
            <w:tcW w:w="1725" w:type="dxa"/>
          </w:tcPr>
          <w:p w14:paraId="7A39687D" w14:textId="77777777" w:rsidR="002E5DA8" w:rsidRDefault="0095632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2022</w:t>
            </w:r>
          </w:p>
        </w:tc>
        <w:tc>
          <w:tcPr>
            <w:tcW w:w="1575" w:type="dxa"/>
          </w:tcPr>
          <w:p w14:paraId="7A39687E" w14:textId="77777777" w:rsidR="002E5DA8" w:rsidRDefault="0095632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6114</w:t>
            </w:r>
          </w:p>
        </w:tc>
        <w:tc>
          <w:tcPr>
            <w:tcW w:w="2070" w:type="dxa"/>
          </w:tcPr>
          <w:p w14:paraId="7A39687F" w14:textId="77777777" w:rsidR="002E5DA8" w:rsidRDefault="0095632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w:t>
            </w:r>
          </w:p>
        </w:tc>
        <w:tc>
          <w:tcPr>
            <w:tcW w:w="2040" w:type="dxa"/>
          </w:tcPr>
          <w:p w14:paraId="7A396880" w14:textId="77777777" w:rsidR="002E5DA8" w:rsidRDefault="0095632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845" w:type="dxa"/>
          </w:tcPr>
          <w:p w14:paraId="7A396881" w14:textId="77777777" w:rsidR="002E5DA8" w:rsidRDefault="0095632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r>
      <w:tr w:rsidR="002E5DA8" w14:paraId="7A396888" w14:textId="77777777">
        <w:tc>
          <w:tcPr>
            <w:tcW w:w="1725" w:type="dxa"/>
          </w:tcPr>
          <w:p w14:paraId="7A396883" w14:textId="77777777" w:rsidR="002E5DA8" w:rsidRDefault="0095632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2023 hasta junio</w:t>
            </w:r>
          </w:p>
        </w:tc>
        <w:tc>
          <w:tcPr>
            <w:tcW w:w="1575" w:type="dxa"/>
          </w:tcPr>
          <w:p w14:paraId="7A396884" w14:textId="77777777" w:rsidR="002E5DA8" w:rsidRDefault="0095632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2910</w:t>
            </w:r>
          </w:p>
        </w:tc>
        <w:tc>
          <w:tcPr>
            <w:tcW w:w="2070" w:type="dxa"/>
          </w:tcPr>
          <w:p w14:paraId="7A396885" w14:textId="77777777" w:rsidR="002E5DA8" w:rsidRDefault="0095632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2040" w:type="dxa"/>
          </w:tcPr>
          <w:p w14:paraId="7A396886" w14:textId="77777777" w:rsidR="002E5DA8" w:rsidRDefault="0095632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845" w:type="dxa"/>
          </w:tcPr>
          <w:p w14:paraId="7A396887" w14:textId="77777777" w:rsidR="002E5DA8" w:rsidRDefault="0095632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bl>
    <w:p w14:paraId="7A396889" w14:textId="77777777" w:rsidR="002E5DA8" w:rsidRDefault="0095632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 igual forma, el Ministerio de Salud Pública publica anualmente gacetas de muertes maternas, mediante las cuales realiza un conteo del total de muertes maternas ocurridas entre los años 2021</w:t>
      </w:r>
      <w:r>
        <w:rPr>
          <w:rFonts w:ascii="Times New Roman" w:eastAsia="Times New Roman" w:hAnsi="Times New Roman" w:cs="Times New Roman"/>
          <w:sz w:val="24"/>
          <w:szCs w:val="24"/>
          <w:vertAlign w:val="superscript"/>
        </w:rPr>
        <w:footnoteReference w:id="56"/>
      </w:r>
      <w:r>
        <w:rPr>
          <w:rFonts w:ascii="Times New Roman" w:eastAsia="Times New Roman" w:hAnsi="Times New Roman" w:cs="Times New Roman"/>
          <w:sz w:val="24"/>
          <w:szCs w:val="24"/>
        </w:rPr>
        <w:t>, 2022</w:t>
      </w:r>
      <w:r>
        <w:rPr>
          <w:rFonts w:ascii="Times New Roman" w:eastAsia="Times New Roman" w:hAnsi="Times New Roman" w:cs="Times New Roman"/>
          <w:sz w:val="24"/>
          <w:szCs w:val="24"/>
          <w:vertAlign w:val="superscript"/>
        </w:rPr>
        <w:footnoteReference w:id="57"/>
      </w:r>
      <w:r>
        <w:rPr>
          <w:rFonts w:ascii="Times New Roman" w:eastAsia="Times New Roman" w:hAnsi="Times New Roman" w:cs="Times New Roman"/>
          <w:sz w:val="24"/>
          <w:szCs w:val="24"/>
        </w:rPr>
        <w:t>, 2023</w:t>
      </w:r>
      <w:r>
        <w:rPr>
          <w:rFonts w:ascii="Times New Roman" w:eastAsia="Times New Roman" w:hAnsi="Times New Roman" w:cs="Times New Roman"/>
          <w:sz w:val="24"/>
          <w:szCs w:val="24"/>
          <w:vertAlign w:val="superscript"/>
        </w:rPr>
        <w:footnoteReference w:id="58"/>
      </w:r>
      <w:r>
        <w:rPr>
          <w:rFonts w:ascii="Times New Roman" w:eastAsia="Times New Roman" w:hAnsi="Times New Roman" w:cs="Times New Roman"/>
          <w:sz w:val="24"/>
          <w:szCs w:val="24"/>
        </w:rPr>
        <w:t>. Estos datos se muestran a continuación:</w:t>
      </w:r>
    </w:p>
    <w:tbl>
      <w:tblPr>
        <w:tblStyle w:val="ae"/>
        <w:tblW w:w="7230" w:type="dxa"/>
        <w:tblInd w:w="13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00"/>
        <w:gridCol w:w="2340"/>
        <w:gridCol w:w="3090"/>
      </w:tblGrid>
      <w:tr w:rsidR="002E5DA8" w14:paraId="7A39688D" w14:textId="77777777">
        <w:tc>
          <w:tcPr>
            <w:tcW w:w="1800" w:type="dxa"/>
          </w:tcPr>
          <w:p w14:paraId="7A39688A" w14:textId="77777777" w:rsidR="002E5DA8" w:rsidRDefault="0095632D">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AÑO</w:t>
            </w:r>
          </w:p>
        </w:tc>
        <w:tc>
          <w:tcPr>
            <w:tcW w:w="2340" w:type="dxa"/>
          </w:tcPr>
          <w:p w14:paraId="7A39688B" w14:textId="77777777" w:rsidR="002E5DA8" w:rsidRDefault="0095632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MUERTES MATERNAS</w:t>
            </w:r>
          </w:p>
        </w:tc>
        <w:tc>
          <w:tcPr>
            <w:tcW w:w="3090" w:type="dxa"/>
          </w:tcPr>
          <w:p w14:paraId="7A39688C" w14:textId="77777777" w:rsidR="002E5DA8" w:rsidRDefault="0095632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MUERTES MATERNAS POR ABORTO</w:t>
            </w:r>
          </w:p>
        </w:tc>
      </w:tr>
      <w:tr w:rsidR="002E5DA8" w14:paraId="7A396891" w14:textId="77777777">
        <w:tc>
          <w:tcPr>
            <w:tcW w:w="1800" w:type="dxa"/>
          </w:tcPr>
          <w:p w14:paraId="7A39688E" w14:textId="77777777" w:rsidR="002E5DA8" w:rsidRDefault="0095632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2021</w:t>
            </w:r>
          </w:p>
        </w:tc>
        <w:tc>
          <w:tcPr>
            <w:tcW w:w="2340" w:type="dxa"/>
          </w:tcPr>
          <w:p w14:paraId="7A39688F" w14:textId="77777777" w:rsidR="002E5DA8" w:rsidRDefault="0095632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143</w:t>
            </w:r>
          </w:p>
        </w:tc>
        <w:tc>
          <w:tcPr>
            <w:tcW w:w="3090" w:type="dxa"/>
          </w:tcPr>
          <w:p w14:paraId="7A396890" w14:textId="77777777" w:rsidR="002E5DA8" w:rsidRDefault="0095632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2E5DA8" w14:paraId="7A396895" w14:textId="77777777">
        <w:tc>
          <w:tcPr>
            <w:tcW w:w="1800" w:type="dxa"/>
          </w:tcPr>
          <w:p w14:paraId="7A396892" w14:textId="77777777" w:rsidR="002E5DA8" w:rsidRDefault="0095632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2022</w:t>
            </w:r>
          </w:p>
        </w:tc>
        <w:tc>
          <w:tcPr>
            <w:tcW w:w="2340" w:type="dxa"/>
          </w:tcPr>
          <w:p w14:paraId="7A396893" w14:textId="77777777" w:rsidR="002E5DA8" w:rsidRDefault="0095632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119</w:t>
            </w:r>
          </w:p>
        </w:tc>
        <w:tc>
          <w:tcPr>
            <w:tcW w:w="3090" w:type="dxa"/>
          </w:tcPr>
          <w:p w14:paraId="7A396894" w14:textId="77777777" w:rsidR="002E5DA8" w:rsidRDefault="0095632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r>
      <w:tr w:rsidR="002E5DA8" w14:paraId="7A396899" w14:textId="77777777">
        <w:tc>
          <w:tcPr>
            <w:tcW w:w="1800" w:type="dxa"/>
          </w:tcPr>
          <w:p w14:paraId="7A396896" w14:textId="77777777" w:rsidR="002E5DA8" w:rsidRDefault="0095632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2023</w:t>
            </w:r>
          </w:p>
        </w:tc>
        <w:tc>
          <w:tcPr>
            <w:tcW w:w="2340" w:type="dxa"/>
          </w:tcPr>
          <w:p w14:paraId="7A396897" w14:textId="77777777" w:rsidR="002E5DA8" w:rsidRDefault="0095632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92</w:t>
            </w:r>
          </w:p>
        </w:tc>
        <w:tc>
          <w:tcPr>
            <w:tcW w:w="3090" w:type="dxa"/>
          </w:tcPr>
          <w:p w14:paraId="7A396898" w14:textId="77777777" w:rsidR="002E5DA8" w:rsidRDefault="0095632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r>
    </w:tbl>
    <w:p w14:paraId="7A39689A" w14:textId="77777777" w:rsidR="002E5DA8" w:rsidRDefault="002E5DA8">
      <w:pPr>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7A39689B" w14:textId="77777777" w:rsidR="002E5DA8" w:rsidRDefault="0095632D">
      <w:pPr>
        <w:pStyle w:val="Heading2"/>
        <w:numPr>
          <w:ilvl w:val="2"/>
          <w:numId w:val="9"/>
        </w:numPr>
        <w:ind w:firstLine="1800"/>
      </w:pPr>
      <w:bookmarkStart w:id="26" w:name="_heading=h.lz0s0owjr8dm" w:colFirst="0" w:colLast="0"/>
      <w:bookmarkEnd w:id="26"/>
      <w:r>
        <w:t xml:space="preserve">Conclusiones de los datos obtenidos: </w:t>
      </w:r>
    </w:p>
    <w:p w14:paraId="7A39689C"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 evidente el gran número de violaciones sexuales anuales, que contrasta con el pequeño número de denuncias por abortos consentidos causados por sí misma o por dejar que otro lo cause. De los cuales, en 5 años hubo 5 sentencias condenatorias por tal delit</w:t>
      </w:r>
      <w:r>
        <w:rPr>
          <w:rFonts w:ascii="Times New Roman" w:eastAsia="Times New Roman" w:hAnsi="Times New Roman" w:cs="Times New Roman"/>
          <w:sz w:val="24"/>
          <w:szCs w:val="24"/>
        </w:rPr>
        <w:t>o.</w:t>
      </w:r>
    </w:p>
    <w:p w14:paraId="7A39689D"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la mayoría de los casos, las violaciones sexuales no son denunciadas, debido a que según el MSP, solo el 10,8% de las mujeres adultas, adolescentes y niñas abusadas logran efectuar la denuncia y el 40% de niñas no informan de lo sucedido a nadie, est</w:t>
      </w:r>
      <w:r>
        <w:rPr>
          <w:rFonts w:ascii="Times New Roman" w:eastAsia="Times New Roman" w:hAnsi="Times New Roman" w:cs="Times New Roman"/>
          <w:sz w:val="24"/>
          <w:szCs w:val="24"/>
        </w:rPr>
        <w:t>o debido a que al 28 % de las que avisaron no les creyeron y al 16,3% les pidieron que no digan nada de lo sucedido</w:t>
      </w:r>
      <w:r>
        <w:rPr>
          <w:rFonts w:ascii="Times New Roman" w:eastAsia="Times New Roman" w:hAnsi="Times New Roman" w:cs="Times New Roman"/>
          <w:sz w:val="24"/>
          <w:szCs w:val="24"/>
          <w:vertAlign w:val="superscript"/>
        </w:rPr>
        <w:footnoteReference w:id="59"/>
      </w:r>
      <w:r>
        <w:rPr>
          <w:rFonts w:ascii="Times New Roman" w:eastAsia="Times New Roman" w:hAnsi="Times New Roman" w:cs="Times New Roman"/>
          <w:sz w:val="24"/>
          <w:szCs w:val="24"/>
        </w:rPr>
        <w:t xml:space="preserve">. </w:t>
      </w:r>
    </w:p>
    <w:p w14:paraId="7A39689E"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Por otra parte, se puede apreciar que, de aquellos abortos denunciados, 10 han terminado en muerte en 2022 y 4 en 2023.</w:t>
      </w:r>
    </w:p>
    <w:p w14:paraId="7A39689F"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Así mismo, se ev</w:t>
      </w:r>
      <w:r>
        <w:rPr>
          <w:rFonts w:ascii="Times New Roman" w:eastAsia="Times New Roman" w:hAnsi="Times New Roman" w:cs="Times New Roman"/>
          <w:sz w:val="24"/>
          <w:szCs w:val="24"/>
        </w:rPr>
        <w:t>idencia que mediante los datos obtenidos por las gacetas de muertes del MSP, las muertes maternas en general y las causadas por aborto han decrecido en los últimos dos años. Siendo así que del año 2021 al año 2023, el número de muertes por aborto ha bajado</w:t>
      </w:r>
      <w:r>
        <w:rPr>
          <w:rFonts w:ascii="Times New Roman" w:eastAsia="Times New Roman" w:hAnsi="Times New Roman" w:cs="Times New Roman"/>
          <w:sz w:val="24"/>
          <w:szCs w:val="24"/>
        </w:rPr>
        <w:t xml:space="preserve"> en un 70%, lo cual permite inferir que luego de la aprobación de la ley, estas situaciones de inseguridad han disminuido. </w:t>
      </w:r>
    </w:p>
    <w:p w14:paraId="7A3968A0"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Durante el período comprendido entre 2021 y 2023, se obtuvieron datos del MSP sobre abortos practicados legalmente. De estos, se lle</w:t>
      </w:r>
      <w:r>
        <w:rPr>
          <w:rFonts w:ascii="Times New Roman" w:eastAsia="Times New Roman" w:hAnsi="Times New Roman" w:cs="Times New Roman"/>
          <w:sz w:val="24"/>
          <w:szCs w:val="24"/>
        </w:rPr>
        <w:t>gó a la conclusión de que se registraron 19 casos fatales. Es importante destacar que estos abortos se llevaron a cabo de acuerdo con todos los requisitos y regulaciones médicas establecidas. No obstante, esta cifra no incluye los casos de muertes por abor</w:t>
      </w:r>
      <w:r>
        <w:rPr>
          <w:rFonts w:ascii="Times New Roman" w:eastAsia="Times New Roman" w:hAnsi="Times New Roman" w:cs="Times New Roman"/>
          <w:sz w:val="24"/>
          <w:szCs w:val="24"/>
        </w:rPr>
        <w:t>tos inseguros, debido a que no existe un monitoreo oficial al realizarse la mayoría de estos sin acompañamiento médico.</w:t>
      </w:r>
    </w:p>
    <w:p w14:paraId="7A3968A1" w14:textId="77777777" w:rsidR="002E5DA8" w:rsidRDefault="0095632D">
      <w:pPr>
        <w:pStyle w:val="Heading1"/>
        <w:numPr>
          <w:ilvl w:val="1"/>
          <w:numId w:val="9"/>
        </w:numPr>
      </w:pPr>
      <w:bookmarkStart w:id="27" w:name="_heading=h.w7dqzzmdf2xx" w:colFirst="0" w:colLast="0"/>
      <w:bookmarkEnd w:id="27"/>
      <w:r>
        <w:t>Ministerio de Salud Pública: sobre el número de abortos practicados.</w:t>
      </w:r>
    </w:p>
    <w:p w14:paraId="7A3968A2"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entidad tiene a su cargo la generación, recolección, procesamien</w:t>
      </w:r>
      <w:r>
        <w:rPr>
          <w:rFonts w:ascii="Times New Roman" w:eastAsia="Times New Roman" w:hAnsi="Times New Roman" w:cs="Times New Roman"/>
          <w:sz w:val="24"/>
          <w:szCs w:val="24"/>
        </w:rPr>
        <w:t>to y análisis de información estadística geográfica y sectorial, así como indicadores de salud. Sus responsabilidades abarcan el desarrollo de políticas, proyectos y normativas, la gestión de su implementación y aplicación, la supervisión de procesos estad</w:t>
      </w:r>
      <w:r>
        <w:rPr>
          <w:rFonts w:ascii="Times New Roman" w:eastAsia="Times New Roman" w:hAnsi="Times New Roman" w:cs="Times New Roman"/>
          <w:sz w:val="24"/>
          <w:szCs w:val="24"/>
        </w:rPr>
        <w:t xml:space="preserve">ísticos, la generación de información georreferenciada, la administración de bases de datos, la elaboración de estándares y la coordinación de comités y sistemas internacionales. </w:t>
      </w:r>
    </w:p>
    <w:p w14:paraId="7A3968A3"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Además, se encarga de producir publicaciones mensuales sobre datos, estadíst</w:t>
      </w:r>
      <w:r>
        <w:rPr>
          <w:rFonts w:ascii="Times New Roman" w:eastAsia="Times New Roman" w:hAnsi="Times New Roman" w:cs="Times New Roman"/>
          <w:sz w:val="24"/>
          <w:szCs w:val="24"/>
        </w:rPr>
        <w:t>icas e indicadores de salud, proporcionando instrumentos técnicos con pautas para la publicación de datos abiertos. Se destaca su rol en la educación continua y el cumplimiento de normativas legales vinculadas con la seguridad de la información.</w:t>
      </w:r>
    </w:p>
    <w:p w14:paraId="7A3968A4" w14:textId="77777777" w:rsidR="002E5DA8" w:rsidRDefault="0095632D">
      <w:pPr>
        <w:spacing w:line="360" w:lineRule="auto"/>
        <w:jc w:val="both"/>
      </w:pPr>
      <w:r>
        <w:rPr>
          <w:rFonts w:ascii="Times New Roman" w:eastAsia="Times New Roman" w:hAnsi="Times New Roman" w:cs="Times New Roman"/>
          <w:sz w:val="24"/>
          <w:szCs w:val="24"/>
        </w:rPr>
        <w:t>En el marc</w:t>
      </w:r>
      <w:r>
        <w:rPr>
          <w:rFonts w:ascii="Times New Roman" w:eastAsia="Times New Roman" w:hAnsi="Times New Roman" w:cs="Times New Roman"/>
          <w:sz w:val="24"/>
          <w:szCs w:val="24"/>
        </w:rPr>
        <w:t>o de estas actividades pendientes que mantiene el MSP, esta entidad estatal ha remitido la siguiente información:</w:t>
      </w:r>
    </w:p>
    <w:p w14:paraId="7A3968A5" w14:textId="77777777" w:rsidR="002E5DA8" w:rsidRDefault="0095632D">
      <w:pPr>
        <w:pStyle w:val="Heading2"/>
        <w:numPr>
          <w:ilvl w:val="2"/>
          <w:numId w:val="9"/>
        </w:numPr>
      </w:pPr>
      <w:bookmarkStart w:id="28" w:name="_heading=h.8sydcxfyg7cx" w:colFirst="0" w:colLast="0"/>
      <w:bookmarkEnd w:id="28"/>
      <w:r>
        <w:t>Situación después de la emisión de la sentencia 34-19-IN/21.</w:t>
      </w:r>
    </w:p>
    <w:p w14:paraId="7A3968A6"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 acuerdo con la información remitida por las coordinaciones zonales del Ministe</w:t>
      </w:r>
      <w:r>
        <w:rPr>
          <w:rFonts w:ascii="Times New Roman" w:eastAsia="Times New Roman" w:hAnsi="Times New Roman" w:cs="Times New Roman"/>
          <w:sz w:val="24"/>
          <w:szCs w:val="24"/>
        </w:rPr>
        <w:t xml:space="preserve">rio de Salud Pública, desde la sentencia 34-19-IN/21 de Corte Constitucional, desde el 28 de abril del 2021 hasta julio 2023, se han realizado 83 atenciones de interrupción voluntaria del embarazo en casos de violación. </w:t>
      </w:r>
    </w:p>
    <w:p w14:paraId="7A3968A7"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Según el MSP, de los 83 casos regis</w:t>
      </w:r>
      <w:r>
        <w:rPr>
          <w:rFonts w:ascii="Times New Roman" w:eastAsia="Times New Roman" w:hAnsi="Times New Roman" w:cs="Times New Roman"/>
          <w:sz w:val="24"/>
          <w:szCs w:val="24"/>
        </w:rPr>
        <w:t xml:space="preserve">trados de interrupción voluntaria del embarazo, la edad gestacional que prevalece son las 8 semanas gestacionales. </w:t>
      </w:r>
    </w:p>
    <w:p w14:paraId="7A3968A8"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Sin embargo, la entidad no cuenta con registros administrativos sobre el número de negativas al acceso de la interrupción del embarazo</w:t>
      </w:r>
      <w:r>
        <w:rPr>
          <w:rFonts w:ascii="Times New Roman" w:eastAsia="Times New Roman" w:hAnsi="Times New Roman" w:cs="Times New Roman"/>
          <w:sz w:val="24"/>
          <w:szCs w:val="24"/>
        </w:rPr>
        <w:t>.</w:t>
      </w:r>
    </w:p>
    <w:p w14:paraId="7A3968A9"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Por el otro lado, es importante destacar que, de información pública extraída por el Instituto Nacional de Estadísticas y Censos (en adelante, INEC); con corte el año 2022, la principal causa de morbilidad de mujeres es el parto único espontáneo y por cesá</w:t>
      </w:r>
      <w:r>
        <w:rPr>
          <w:rFonts w:ascii="Times New Roman" w:eastAsia="Times New Roman" w:hAnsi="Times New Roman" w:cs="Times New Roman"/>
          <w:sz w:val="24"/>
          <w:szCs w:val="24"/>
        </w:rPr>
        <w:t>rea, con un total de 113.364 casos por ambas consecuencias. Es decir que, las mujeres ecuatorianas están altamente expuestas a sufrir alguna complicación a causa de partos</w:t>
      </w:r>
      <w:r>
        <w:rPr>
          <w:rFonts w:ascii="Times New Roman" w:eastAsia="Times New Roman" w:hAnsi="Times New Roman" w:cs="Times New Roman"/>
          <w:sz w:val="24"/>
          <w:szCs w:val="24"/>
          <w:vertAlign w:val="superscript"/>
        </w:rPr>
        <w:footnoteReference w:id="60"/>
      </w:r>
      <w:r>
        <w:rPr>
          <w:rFonts w:ascii="Times New Roman" w:eastAsia="Times New Roman" w:hAnsi="Times New Roman" w:cs="Times New Roman"/>
          <w:sz w:val="24"/>
          <w:szCs w:val="24"/>
        </w:rPr>
        <w:t xml:space="preserve">. </w:t>
      </w:r>
    </w:p>
    <w:p w14:paraId="7A3968AA"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el mismo sentido, el INEC reportó en 2022, 2.671 casos de morbilidad por abor</w:t>
      </w:r>
      <w:r>
        <w:rPr>
          <w:rFonts w:ascii="Times New Roman" w:eastAsia="Times New Roman" w:hAnsi="Times New Roman" w:cs="Times New Roman"/>
          <w:sz w:val="24"/>
          <w:szCs w:val="24"/>
        </w:rPr>
        <w:t>tos no específicados</w:t>
      </w:r>
      <w:r>
        <w:rPr>
          <w:rFonts w:ascii="Times New Roman" w:eastAsia="Times New Roman" w:hAnsi="Times New Roman" w:cs="Times New Roman"/>
          <w:sz w:val="24"/>
          <w:szCs w:val="24"/>
          <w:vertAlign w:val="superscript"/>
        </w:rPr>
        <w:footnoteReference w:id="61"/>
      </w:r>
      <w:r>
        <w:rPr>
          <w:rFonts w:ascii="Times New Roman" w:eastAsia="Times New Roman" w:hAnsi="Times New Roman" w:cs="Times New Roman"/>
          <w:sz w:val="24"/>
          <w:szCs w:val="24"/>
        </w:rPr>
        <w:t xml:space="preserve"> aun después de la sentencia de la CCE. Además que no existen datos duros recabados por el INEC que permitan ver las estadísticas de los años 2023 y lo que queda del 2024. Lo que hace cuestionarse en qué proporción estas causas de mor</w:t>
      </w:r>
      <w:r>
        <w:rPr>
          <w:rFonts w:ascii="Times New Roman" w:eastAsia="Times New Roman" w:hAnsi="Times New Roman" w:cs="Times New Roman"/>
          <w:sz w:val="24"/>
          <w:szCs w:val="24"/>
        </w:rPr>
        <w:t>bilidad han variado en un año y medio, por lo que es importante que el Ecuador en su examen informe a este Comité sobre la información preliminar requerida en el informe CAT/C/ECU/QPR/8 cómo se “seguiría criminalizando a las mujeres que reciben atención mé</w:t>
      </w:r>
      <w:r>
        <w:rPr>
          <w:rFonts w:ascii="Times New Roman" w:eastAsia="Times New Roman" w:hAnsi="Times New Roman" w:cs="Times New Roman"/>
          <w:sz w:val="24"/>
          <w:szCs w:val="24"/>
        </w:rPr>
        <w:t>dica en hospitales del Estado parte como consecuencia de afecciones derivadas de abortos clandestinos”</w:t>
      </w:r>
      <w:r>
        <w:rPr>
          <w:rFonts w:ascii="Times New Roman" w:eastAsia="Times New Roman" w:hAnsi="Times New Roman" w:cs="Times New Roman"/>
          <w:sz w:val="24"/>
          <w:szCs w:val="24"/>
          <w:vertAlign w:val="superscript"/>
        </w:rPr>
        <w:footnoteReference w:id="62"/>
      </w:r>
      <w:r>
        <w:rPr>
          <w:rFonts w:ascii="Times New Roman" w:eastAsia="Times New Roman" w:hAnsi="Times New Roman" w:cs="Times New Roman"/>
          <w:sz w:val="24"/>
          <w:szCs w:val="24"/>
        </w:rPr>
        <w:t>. Además porque estos datos simplemente el MSP no los tiene mapeados.</w:t>
      </w:r>
    </w:p>
    <w:p w14:paraId="7A3968AB"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Por lo tanto, las suscritas organizaciones expresan su preocupación sobre informac</w:t>
      </w:r>
      <w:r>
        <w:rPr>
          <w:rFonts w:ascii="Times New Roman" w:eastAsia="Times New Roman" w:hAnsi="Times New Roman" w:cs="Times New Roman"/>
          <w:sz w:val="24"/>
          <w:szCs w:val="24"/>
        </w:rPr>
        <w:t>ión reducida y limitada emitida por el MSP, y es que el oficio de respuesta al acceso a información pública solicitado solamente expone estadísticas escuetas en lo absoluto singularizadas ni divididas por mes o resultado. Así, se esperaban reportes mensual</w:t>
      </w:r>
      <w:r>
        <w:rPr>
          <w:rFonts w:ascii="Times New Roman" w:eastAsia="Times New Roman" w:hAnsi="Times New Roman" w:cs="Times New Roman"/>
          <w:sz w:val="24"/>
          <w:szCs w:val="24"/>
        </w:rPr>
        <w:t>es basados en estándares geográficos. También se aborda una inquietud relacionada con la respuesta del MSP sobre la dificultad para obtener información sobre abortos inseguros y el número de negativas a la práctica de un aborto por parte de las casa de sal</w:t>
      </w:r>
      <w:r>
        <w:rPr>
          <w:rFonts w:ascii="Times New Roman" w:eastAsia="Times New Roman" w:hAnsi="Times New Roman" w:cs="Times New Roman"/>
          <w:sz w:val="24"/>
          <w:szCs w:val="24"/>
        </w:rPr>
        <w:t>ud, impidiendo un análisis comparativo con la tasa de morbilidad para obtener una perspectiva más completa.</w:t>
      </w:r>
    </w:p>
    <w:p w14:paraId="7A3968AC"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Asímismo, es importante destacar que el propio MSP ha creado diversos planes y políticas intersectoriales, como el Plan Nacional de Salud Sexual y S</w:t>
      </w:r>
      <w:r>
        <w:rPr>
          <w:rFonts w:ascii="Times New Roman" w:eastAsia="Times New Roman" w:hAnsi="Times New Roman" w:cs="Times New Roman"/>
          <w:sz w:val="24"/>
          <w:szCs w:val="24"/>
        </w:rPr>
        <w:t>alud reproductiva del año 2017 hasta 2021, cuyo informe concluyó que el 15,6% de las muertes maternas se debe a abortos realizados en condiciones inseguras. Para lo cual se dispone como recomendación el contemplar una “atención del aborto en condiciones de</w:t>
      </w:r>
      <w:r>
        <w:rPr>
          <w:rFonts w:ascii="Times New Roman" w:eastAsia="Times New Roman" w:hAnsi="Times New Roman" w:cs="Times New Roman"/>
          <w:sz w:val="24"/>
          <w:szCs w:val="24"/>
        </w:rPr>
        <w:t xml:space="preserve"> seguridad, asesoría y acceso a planificación familiar y anticoncepción”.</w:t>
      </w:r>
      <w:r>
        <w:rPr>
          <w:rFonts w:ascii="Times New Roman" w:eastAsia="Times New Roman" w:hAnsi="Times New Roman" w:cs="Times New Roman"/>
          <w:sz w:val="24"/>
          <w:szCs w:val="24"/>
          <w:vertAlign w:val="superscript"/>
        </w:rPr>
        <w:footnoteReference w:id="63"/>
      </w:r>
    </w:p>
    <w:p w14:paraId="7A3968AD"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Por el otro lado, se creó la Política Intersectorial de Prevención del Embarazo en Niñas y Adolescentes 2018 - 2025, plan que se encuentra actualmente en ejecución y que cuenta con</w:t>
      </w:r>
      <w:r>
        <w:rPr>
          <w:rFonts w:ascii="Times New Roman" w:eastAsia="Times New Roman" w:hAnsi="Times New Roman" w:cs="Times New Roman"/>
          <w:sz w:val="24"/>
          <w:szCs w:val="24"/>
        </w:rPr>
        <w:t xml:space="preserve"> el trabajo articulado y en conjunto de diferentes entidades estatales como el MSP, Ministerio de Inclusión Económica y Social, Ministerio de Educación, Secretaría Técnica Plan Toda una Vida, Ministerio del Interior, Ministerio de la Mujer y Derechos Human</w:t>
      </w:r>
      <w:r>
        <w:rPr>
          <w:rFonts w:ascii="Times New Roman" w:eastAsia="Times New Roman" w:hAnsi="Times New Roman" w:cs="Times New Roman"/>
          <w:sz w:val="24"/>
          <w:szCs w:val="24"/>
        </w:rPr>
        <w:t>os, entre otros</w:t>
      </w:r>
      <w:r>
        <w:rPr>
          <w:rFonts w:ascii="Times New Roman" w:eastAsia="Times New Roman" w:hAnsi="Times New Roman" w:cs="Times New Roman"/>
          <w:sz w:val="24"/>
          <w:szCs w:val="24"/>
          <w:vertAlign w:val="superscript"/>
        </w:rPr>
        <w:footnoteReference w:id="64"/>
      </w:r>
      <w:r>
        <w:rPr>
          <w:rFonts w:ascii="Times New Roman" w:eastAsia="Times New Roman" w:hAnsi="Times New Roman" w:cs="Times New Roman"/>
          <w:sz w:val="24"/>
          <w:szCs w:val="24"/>
        </w:rPr>
        <w:t xml:space="preserve">. </w:t>
      </w:r>
    </w:p>
    <w:p w14:paraId="7A3968AE"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Entre los objetivos que destaca esta estrategia nacional y un fundamental énfasis a que “los determinantes del embarazo en adolescentes de 10 a 14 años deben considerarse más frecuentemente </w:t>
      </w:r>
      <w:r>
        <w:rPr>
          <w:rFonts w:ascii="Times New Roman" w:eastAsia="Times New Roman" w:hAnsi="Times New Roman" w:cs="Times New Roman"/>
          <w:sz w:val="24"/>
          <w:szCs w:val="24"/>
          <w:u w:val="single"/>
        </w:rPr>
        <w:t xml:space="preserve">las situaciones de violencia sexual, incluido </w:t>
      </w:r>
      <w:r>
        <w:rPr>
          <w:rFonts w:ascii="Times New Roman" w:eastAsia="Times New Roman" w:hAnsi="Times New Roman" w:cs="Times New Roman"/>
          <w:sz w:val="24"/>
          <w:szCs w:val="24"/>
          <w:u w:val="single"/>
        </w:rPr>
        <w:t>el incesto (56) y de embarazos y maternidades infantiles forzadas</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65"/>
      </w:r>
      <w:r>
        <w:rPr>
          <w:rFonts w:ascii="Times New Roman" w:eastAsia="Times New Roman" w:hAnsi="Times New Roman" w:cs="Times New Roman"/>
          <w:sz w:val="24"/>
          <w:szCs w:val="24"/>
        </w:rPr>
        <w:t>.</w:t>
      </w:r>
    </w:p>
    <w:p w14:paraId="7A3968AF" w14:textId="77777777" w:rsidR="002E5DA8" w:rsidRDefault="0095632D">
      <w:pPr>
        <w:pStyle w:val="Heading2"/>
        <w:numPr>
          <w:ilvl w:val="2"/>
          <w:numId w:val="9"/>
        </w:numPr>
        <w:ind w:firstLine="1800"/>
      </w:pPr>
      <w:bookmarkStart w:id="29" w:name="_heading=h.f0l214gyatt0" w:colFirst="0" w:colLast="0"/>
      <w:bookmarkEnd w:id="29"/>
      <w:r>
        <w:t>Sobre los objetores de conciencia:</w:t>
      </w:r>
      <w:r>
        <w:t xml:space="preserve"> </w:t>
      </w:r>
    </w:p>
    <w:p w14:paraId="7A3968B0"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Desde la emisión de la LORIVE, se registraron 560 profesionales que objetan conciencia en establecimientos del primer nivel de atención en salud. Y en hospitales se registraron 226 profesionales que objetan conciencia. En total 786 objetores de conciencia.</w:t>
      </w:r>
      <w:r>
        <w:rPr>
          <w:rFonts w:ascii="Times New Roman" w:eastAsia="Times New Roman" w:hAnsi="Times New Roman" w:cs="Times New Roman"/>
          <w:sz w:val="24"/>
          <w:szCs w:val="24"/>
        </w:rPr>
        <w:t xml:space="preserve"> </w:t>
      </w:r>
    </w:p>
    <w:p w14:paraId="7A3968B1"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Según el INEC por información extraída del último año de base de información, en 2022 existieron un total de 632 establecimientos de salud.</w:t>
      </w:r>
      <w:r>
        <w:rPr>
          <w:rFonts w:ascii="Times New Roman" w:eastAsia="Times New Roman" w:hAnsi="Times New Roman" w:cs="Times New Roman"/>
          <w:sz w:val="24"/>
          <w:szCs w:val="24"/>
          <w:vertAlign w:val="superscript"/>
        </w:rPr>
        <w:footnoteReference w:id="66"/>
      </w:r>
      <w:r>
        <w:rPr>
          <w:rFonts w:ascii="Times New Roman" w:eastAsia="Times New Roman" w:hAnsi="Times New Roman" w:cs="Times New Roman"/>
          <w:sz w:val="24"/>
          <w:szCs w:val="24"/>
        </w:rPr>
        <w:t xml:space="preserve"> De los cuales 116 se encuentran en zonas rurales. </w:t>
      </w:r>
      <w:r>
        <w:rPr>
          <w:rFonts w:ascii="Times New Roman" w:eastAsia="Times New Roman" w:hAnsi="Times New Roman" w:cs="Times New Roman"/>
          <w:sz w:val="24"/>
          <w:szCs w:val="24"/>
          <w:vertAlign w:val="superscript"/>
        </w:rPr>
        <w:footnoteReference w:id="67"/>
      </w:r>
      <w:r>
        <w:rPr>
          <w:rFonts w:ascii="Times New Roman" w:eastAsia="Times New Roman" w:hAnsi="Times New Roman" w:cs="Times New Roman"/>
          <w:sz w:val="24"/>
          <w:szCs w:val="24"/>
        </w:rPr>
        <w:t xml:space="preserve"> Así también, en el año 2020, existen alrededor de 2,564 pro</w:t>
      </w:r>
      <w:r>
        <w:rPr>
          <w:rFonts w:ascii="Times New Roman" w:eastAsia="Times New Roman" w:hAnsi="Times New Roman" w:cs="Times New Roman"/>
          <w:sz w:val="24"/>
          <w:szCs w:val="24"/>
        </w:rPr>
        <w:t>fesionales de la salud obstetras, tanto en el sector privado como público.</w:t>
      </w:r>
      <w:r>
        <w:rPr>
          <w:rFonts w:ascii="Times New Roman" w:eastAsia="Times New Roman" w:hAnsi="Times New Roman" w:cs="Times New Roman"/>
          <w:sz w:val="24"/>
          <w:szCs w:val="24"/>
          <w:vertAlign w:val="superscript"/>
        </w:rPr>
        <w:footnoteReference w:id="68"/>
      </w:r>
      <w:r>
        <w:rPr>
          <w:rFonts w:ascii="Times New Roman" w:eastAsia="Times New Roman" w:hAnsi="Times New Roman" w:cs="Times New Roman"/>
          <w:sz w:val="24"/>
          <w:szCs w:val="24"/>
        </w:rPr>
        <w:t xml:space="preserve"> Es decir, alrededor del 30% de profesionales de la salud obstetra en el Ecuador han objetado conciencia, disminuyendo la posibilidad de acceso a un aborto seguro.  </w:t>
      </w:r>
    </w:p>
    <w:p w14:paraId="7A3968B2" w14:textId="77777777" w:rsidR="002E5DA8" w:rsidRDefault="0095632D">
      <w:pPr>
        <w:pStyle w:val="Heading2"/>
        <w:numPr>
          <w:ilvl w:val="2"/>
          <w:numId w:val="9"/>
        </w:numPr>
        <w:ind w:firstLine="1800"/>
      </w:pPr>
      <w:bookmarkStart w:id="30" w:name="_heading=h.h9nh6ykc6st0" w:colFirst="0" w:colLast="0"/>
      <w:bookmarkEnd w:id="30"/>
      <w:r>
        <w:t>¿Cómo ha imple</w:t>
      </w:r>
      <w:r>
        <w:t>mentado el Ministerio de Salud Pública la Ley de Interrupción Voluntaria del embarazo en casos de violación?</w:t>
      </w:r>
    </w:p>
    <w:p w14:paraId="7A3968B3"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 ha desarrollado como parte del marco normativo: </w:t>
      </w:r>
    </w:p>
    <w:p w14:paraId="7A3968B4" w14:textId="77777777" w:rsidR="002E5DA8" w:rsidRDefault="0095632D">
      <w:pPr>
        <w:numPr>
          <w:ilvl w:val="0"/>
          <w:numId w:val="18"/>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Los </w:t>
      </w:r>
      <w:r>
        <w:rPr>
          <w:rFonts w:ascii="Times New Roman" w:eastAsia="Times New Roman" w:hAnsi="Times New Roman" w:cs="Times New Roman"/>
          <w:b/>
          <w:sz w:val="24"/>
          <w:szCs w:val="24"/>
          <w:u w:val="single"/>
        </w:rPr>
        <w:t>“Lineamientos para la Atención Integral y Acceso Efectivo a Interrupción Voluntaria del Emb</w:t>
      </w:r>
      <w:r>
        <w:rPr>
          <w:rFonts w:ascii="Times New Roman" w:eastAsia="Times New Roman" w:hAnsi="Times New Roman" w:cs="Times New Roman"/>
          <w:b/>
          <w:sz w:val="24"/>
          <w:szCs w:val="24"/>
          <w:u w:val="single"/>
        </w:rPr>
        <w:t>arazo por violación</w:t>
      </w:r>
      <w:r>
        <w:rPr>
          <w:rFonts w:ascii="Times New Roman" w:eastAsia="Times New Roman" w:hAnsi="Times New Roman" w:cs="Times New Roman"/>
          <w:sz w:val="24"/>
          <w:szCs w:val="24"/>
        </w:rPr>
        <w:t>”, que fueron difundidos a nivel nacional en establecimientos de salud del Ministerio de Salud Pública, así como con a instituciones del Sistema Nacional de Salud.</w:t>
      </w:r>
    </w:p>
    <w:p w14:paraId="7A3968B5" w14:textId="77777777" w:rsidR="002E5DA8" w:rsidRDefault="0095632D">
      <w:pPr>
        <w:numPr>
          <w:ilvl w:val="0"/>
          <w:numId w:val="1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Capacitaciones presenciales dirigidas a profesionales de la salud del Min</w:t>
      </w:r>
      <w:r>
        <w:rPr>
          <w:rFonts w:ascii="Times New Roman" w:eastAsia="Times New Roman" w:hAnsi="Times New Roman" w:cs="Times New Roman"/>
          <w:sz w:val="24"/>
          <w:szCs w:val="24"/>
        </w:rPr>
        <w:t>isterio de Salud Pública y se detallan a continuación:</w:t>
      </w:r>
    </w:p>
    <w:p w14:paraId="7A3968B6"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política actual siendo el Plan Nacional de Salud Sexual y Salud Reproductiva 2017-2021, establece un lineamiento estratégico de:</w:t>
      </w:r>
    </w:p>
    <w:p w14:paraId="7A3968B7" w14:textId="77777777" w:rsidR="002E5DA8" w:rsidRDefault="0095632D">
      <w:pPr>
        <w:numPr>
          <w:ilvl w:val="0"/>
          <w:numId w:val="6"/>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Garantizar la salud materno y neonatal en el Sistema Nacional de Salud, mediante acciones de promoción de la salud, prevención y tratamiento de enfermedades y de sus complicaciones.</w:t>
      </w:r>
    </w:p>
    <w:p w14:paraId="7A3968B8" w14:textId="77777777" w:rsidR="002E5DA8" w:rsidRDefault="0095632D">
      <w:pPr>
        <w:numPr>
          <w:ilvl w:val="0"/>
          <w:numId w:val="6"/>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Garantizar la atención oportuna integral y de calidad a las mujeres y pers</w:t>
      </w:r>
      <w:r>
        <w:rPr>
          <w:rFonts w:ascii="Times New Roman" w:eastAsia="Times New Roman" w:hAnsi="Times New Roman" w:cs="Times New Roman"/>
          <w:sz w:val="24"/>
          <w:szCs w:val="24"/>
        </w:rPr>
        <w:t>onas con capacidad de gestar en situación de aborto terapéutico por violación en caso de discapacidad mental.</w:t>
      </w:r>
    </w:p>
    <w:p w14:paraId="7A3968B9" w14:textId="77777777" w:rsidR="002E5DA8" w:rsidRDefault="0095632D">
      <w:pPr>
        <w:numPr>
          <w:ilvl w:val="0"/>
          <w:numId w:val="6"/>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De manera presencial se han </w:t>
      </w:r>
      <w:r>
        <w:rPr>
          <w:rFonts w:ascii="Times New Roman" w:eastAsia="Times New Roman" w:hAnsi="Times New Roman" w:cs="Times New Roman"/>
          <w:sz w:val="24"/>
          <w:szCs w:val="24"/>
        </w:rPr>
        <w:t>capacitado</w:t>
      </w:r>
      <w:r>
        <w:rPr>
          <w:rFonts w:ascii="Times New Roman" w:eastAsia="Times New Roman" w:hAnsi="Times New Roman" w:cs="Times New Roman"/>
          <w:color w:val="000000"/>
          <w:sz w:val="24"/>
          <w:szCs w:val="24"/>
        </w:rPr>
        <w:t xml:space="preserve"> a 474 profesionales de la salud de </w:t>
      </w:r>
      <w:r>
        <w:rPr>
          <w:rFonts w:ascii="Times New Roman" w:eastAsia="Times New Roman" w:hAnsi="Times New Roman" w:cs="Times New Roman"/>
          <w:sz w:val="24"/>
          <w:szCs w:val="24"/>
        </w:rPr>
        <w:t>atención directa del Ministerio de Salud Pública, quienes son responsabl</w:t>
      </w:r>
      <w:r>
        <w:rPr>
          <w:rFonts w:ascii="Times New Roman" w:eastAsia="Times New Roman" w:hAnsi="Times New Roman" w:cs="Times New Roman"/>
          <w:sz w:val="24"/>
          <w:szCs w:val="24"/>
        </w:rPr>
        <w:t>es de realizar la respectiva réplica en los establecimientos de salud correspondiente.</w:t>
      </w:r>
    </w:p>
    <w:p w14:paraId="7A3968BA" w14:textId="77777777" w:rsidR="002E5DA8" w:rsidRDefault="0095632D">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De manera virtual se han beneficiado a 3769 profesionales, el objetivo es actualizar el conocimiento, generar un espacio de resolución a las dudas e inquietudes a través</w:t>
      </w:r>
      <w:r>
        <w:rPr>
          <w:rFonts w:ascii="Times New Roman" w:eastAsia="Times New Roman" w:hAnsi="Times New Roman" w:cs="Times New Roman"/>
          <w:color w:val="000000"/>
          <w:sz w:val="24"/>
          <w:szCs w:val="24"/>
        </w:rPr>
        <w:t xml:space="preserve"> de los temas impartidos, </w:t>
      </w:r>
      <w:r>
        <w:rPr>
          <w:rFonts w:ascii="Times New Roman" w:eastAsia="Times New Roman" w:hAnsi="Times New Roman" w:cs="Times New Roman"/>
          <w:sz w:val="24"/>
          <w:szCs w:val="24"/>
        </w:rPr>
        <w:t>en torno</w:t>
      </w:r>
      <w:r>
        <w:rPr>
          <w:rFonts w:ascii="Times New Roman" w:eastAsia="Times New Roman" w:hAnsi="Times New Roman" w:cs="Times New Roman"/>
          <w:color w:val="000000"/>
          <w:sz w:val="24"/>
          <w:szCs w:val="24"/>
        </w:rPr>
        <w:t xml:space="preserve"> a la Salud Sexual y Salud Reproductiva.</w:t>
      </w:r>
    </w:p>
    <w:p w14:paraId="7A3968BB"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conclusión, si bien el MSP ha hecho esfuerzos por capacitar al personal de la salud sobre la importancia del acceso a salud sexual y reproductiva, no se han evidenciado datos exa</w:t>
      </w:r>
      <w:r>
        <w:rPr>
          <w:rFonts w:ascii="Times New Roman" w:eastAsia="Times New Roman" w:hAnsi="Times New Roman" w:cs="Times New Roman"/>
          <w:sz w:val="24"/>
          <w:szCs w:val="24"/>
        </w:rPr>
        <w:t>ctos que permitan concluir que dichas jornadas de capacitación hayan cumplido con el fin último que es romper los estigmas conservadores y asegurar el acceso a servicios de aborto que son servicios de salud. Además que, por la poca información entregada, e</w:t>
      </w:r>
      <w:r>
        <w:rPr>
          <w:rFonts w:ascii="Times New Roman" w:eastAsia="Times New Roman" w:hAnsi="Times New Roman" w:cs="Times New Roman"/>
          <w:sz w:val="24"/>
          <w:szCs w:val="24"/>
        </w:rPr>
        <w:t>s escasa la evidencia de cómo el MSP está cumpliendo con el contenido de la sentencia constitucional, por lo que nos preguntamos si la institución está cumpliendo su obligación de ser el garante del acceso a salud efectiva para todos los ciudadanos. Y si e</w:t>
      </w:r>
      <w:r>
        <w:rPr>
          <w:rFonts w:ascii="Times New Roman" w:eastAsia="Times New Roman" w:hAnsi="Times New Roman" w:cs="Times New Roman"/>
          <w:sz w:val="24"/>
          <w:szCs w:val="24"/>
        </w:rPr>
        <w:t>stá  reconociendo y debidamente implementando lo expresado por la CCE en cuanto a la necesidad de atención prioritaria que se le deben dar a estos casos al ser el principal grupo vulnerable las niñas y adolescentes ecuatorianas, que son además sobrevivient</w:t>
      </w:r>
      <w:r>
        <w:rPr>
          <w:rFonts w:ascii="Times New Roman" w:eastAsia="Times New Roman" w:hAnsi="Times New Roman" w:cs="Times New Roman"/>
          <w:sz w:val="24"/>
          <w:szCs w:val="24"/>
        </w:rPr>
        <w:t xml:space="preserve">es de violencia sexual. </w:t>
      </w:r>
    </w:p>
    <w:p w14:paraId="7A3968BC" w14:textId="77777777" w:rsidR="002E5DA8" w:rsidRDefault="0095632D">
      <w:pPr>
        <w:pStyle w:val="Title"/>
        <w:numPr>
          <w:ilvl w:val="0"/>
          <w:numId w:val="9"/>
        </w:numPr>
        <w:jc w:val="both"/>
      </w:pPr>
      <w:bookmarkStart w:id="31" w:name="_heading=h.vqeogamg63b" w:colFirst="0" w:colLast="0"/>
      <w:bookmarkEnd w:id="31"/>
      <w:r>
        <w:t xml:space="preserve"> CONCLUSIONES:</w:t>
      </w:r>
    </w:p>
    <w:p w14:paraId="7A3968BD" w14:textId="77777777" w:rsidR="002E5DA8" w:rsidRDefault="0095632D">
      <w:pPr>
        <w:spacing w:line="360" w:lineRule="auto"/>
        <w:jc w:val="both"/>
      </w:pPr>
      <w:r>
        <w:rPr>
          <w:rFonts w:ascii="Times New Roman" w:eastAsia="Times New Roman" w:hAnsi="Times New Roman" w:cs="Times New Roman"/>
          <w:sz w:val="24"/>
          <w:szCs w:val="24"/>
        </w:rPr>
        <w:t>De la información pública obtenida, se esgrimen las siguientes conclusiones.</w:t>
      </w:r>
    </w:p>
    <w:p w14:paraId="7A3968BE" w14:textId="77777777" w:rsidR="002E5DA8" w:rsidRDefault="0095632D">
      <w:pPr>
        <w:pStyle w:val="Heading1"/>
        <w:numPr>
          <w:ilvl w:val="1"/>
          <w:numId w:val="9"/>
        </w:numPr>
      </w:pPr>
      <w:bookmarkStart w:id="32" w:name="_heading=h.ge7smepwjqwi" w:colFirst="0" w:colLast="0"/>
      <w:bookmarkEnd w:id="32"/>
      <w:r>
        <w:t>Sobre la información de la Corte Constitucional del Ecuador</w:t>
      </w:r>
    </w:p>
    <w:p w14:paraId="7A3968BF"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CCE ha presentado una postura abierta respecto a la solicitud de suspensión de ciertas normas de la Ley Orgánica que Regula la Interrupción Voluntaria del Embarazo, LORIVE, la cual se expresa esencialmente en lo siguiente: 1) suspensión de la autorizaci</w:t>
      </w:r>
      <w:r>
        <w:rPr>
          <w:rFonts w:ascii="Times New Roman" w:eastAsia="Times New Roman" w:hAnsi="Times New Roman" w:cs="Times New Roman"/>
          <w:sz w:val="24"/>
          <w:szCs w:val="24"/>
        </w:rPr>
        <w:t>ón parental; 2) suspensión de la obligación de denunciar una violación para acceder a un aborto consentido (de la persecución penal a profesionales de salud por infanticidio y cambio de las reglas de consentimiento); 3) suspensión de los requisitos para ac</w:t>
      </w:r>
      <w:r>
        <w:rPr>
          <w:rFonts w:ascii="Times New Roman" w:eastAsia="Times New Roman" w:hAnsi="Times New Roman" w:cs="Times New Roman"/>
          <w:sz w:val="24"/>
          <w:szCs w:val="24"/>
        </w:rPr>
        <w:t xml:space="preserve">ceder al aborto; 4) mejora del modelo de objeción de conciencia; 5) y suspensión de ecografía previa al aborto. </w:t>
      </w:r>
    </w:p>
    <w:p w14:paraId="7A3968C0"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Esto quiere decir que los requisitos aprobados en la ley, si bien ya no están vigentes de forma temporal y hasta que la Corte haga un pronuncia</w:t>
      </w:r>
      <w:r>
        <w:rPr>
          <w:rFonts w:ascii="Times New Roman" w:eastAsia="Times New Roman" w:hAnsi="Times New Roman" w:cs="Times New Roman"/>
          <w:sz w:val="24"/>
          <w:szCs w:val="24"/>
        </w:rPr>
        <w:t xml:space="preserve">miento definitivo, existe una falta de certeza jurídica y práctica sobre cuáles serán los requisitos legales en el futuro y si es que estos nuevos requisitos serán difundidos y de conocimiento generalizado de los servicios de salud.  </w:t>
      </w:r>
    </w:p>
    <w:p w14:paraId="7A3968C1" w14:textId="77777777" w:rsidR="002E5DA8" w:rsidRDefault="0095632D">
      <w:pPr>
        <w:pStyle w:val="Heading1"/>
        <w:numPr>
          <w:ilvl w:val="1"/>
          <w:numId w:val="9"/>
        </w:numPr>
        <w:spacing w:line="360" w:lineRule="auto"/>
        <w:jc w:val="both"/>
      </w:pPr>
      <w:bookmarkStart w:id="33" w:name="_heading=h.7dk8o4wvmd6v" w:colFirst="0" w:colLast="0"/>
      <w:bookmarkEnd w:id="33"/>
      <w:r>
        <w:t xml:space="preserve">Sobre la información </w:t>
      </w:r>
      <w:r>
        <w:t>de la Fiscalía General del Estado:</w:t>
      </w:r>
    </w:p>
    <w:p w14:paraId="7A3968C2" w14:textId="77777777" w:rsidR="002E5DA8" w:rsidRDefault="0095632D">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En comparación con los años 2019 y 2020, que precedieron a la sentencia constitucional, se observa una disminución en el número de casos de violación sexual denunciados. </w:t>
      </w:r>
      <w:r>
        <w:rPr>
          <w:rFonts w:ascii="Times New Roman" w:eastAsia="Times New Roman" w:hAnsi="Times New Roman" w:cs="Times New Roman"/>
          <w:sz w:val="24"/>
          <w:szCs w:val="24"/>
        </w:rPr>
        <w:t>Pero, en el período de 2021 a 2023, de hecho</w:t>
      </w:r>
      <w:r>
        <w:rPr>
          <w:rFonts w:ascii="Times New Roman" w:eastAsia="Times New Roman" w:hAnsi="Times New Roman" w:cs="Times New Roman"/>
          <w:color w:val="000000"/>
          <w:sz w:val="24"/>
          <w:szCs w:val="24"/>
        </w:rPr>
        <w:t>, en el</w:t>
      </w:r>
      <w:r>
        <w:rPr>
          <w:rFonts w:ascii="Times New Roman" w:eastAsia="Times New Roman" w:hAnsi="Times New Roman" w:cs="Times New Roman"/>
          <w:color w:val="000000"/>
          <w:sz w:val="24"/>
          <w:szCs w:val="24"/>
        </w:rPr>
        <w:t xml:space="preserve"> año 2022, el número de denuncias aumentó en comparación con los años anteriores.</w:t>
      </w:r>
      <w:r>
        <w:rPr>
          <w:rFonts w:ascii="Times New Roman" w:eastAsia="Times New Roman" w:hAnsi="Times New Roman" w:cs="Times New Roman"/>
          <w:sz w:val="24"/>
          <w:szCs w:val="24"/>
        </w:rPr>
        <w:t xml:space="preserve"> Por el otro lado, es importante mencionar que desde la sentencia de 2021, el número de denuncias por abortos no ha disminuido en comparación con los años 2019 y 2020.</w:t>
      </w:r>
    </w:p>
    <w:p w14:paraId="7A3968C3" w14:textId="77777777" w:rsidR="002E5DA8" w:rsidRDefault="0095632D">
      <w:pPr>
        <w:pStyle w:val="Heading1"/>
        <w:numPr>
          <w:ilvl w:val="1"/>
          <w:numId w:val="9"/>
        </w:numPr>
        <w:spacing w:after="200" w:line="360" w:lineRule="auto"/>
        <w:jc w:val="both"/>
      </w:pPr>
      <w:bookmarkStart w:id="34" w:name="_heading=h.o7cnb99sd47v" w:colFirst="0" w:colLast="0"/>
      <w:bookmarkEnd w:id="34"/>
      <w:r>
        <w:t>Sobre l</w:t>
      </w:r>
      <w:r>
        <w:t>a información del Ministerio de Salud Pública:</w:t>
      </w:r>
    </w:p>
    <w:p w14:paraId="7A3968C4" w14:textId="77777777" w:rsidR="002E5DA8" w:rsidRDefault="0095632D">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pesar de existir 14,790 </w:t>
      </w:r>
      <w:r>
        <w:rPr>
          <w:rFonts w:ascii="Times New Roman" w:eastAsia="Times New Roman" w:hAnsi="Times New Roman" w:cs="Times New Roman"/>
          <w:sz w:val="24"/>
          <w:szCs w:val="24"/>
        </w:rPr>
        <w:t>denuncias</w:t>
      </w:r>
      <w:r>
        <w:rPr>
          <w:rFonts w:ascii="Times New Roman" w:eastAsia="Times New Roman" w:hAnsi="Times New Roman" w:cs="Times New Roman"/>
          <w:color w:val="000000"/>
          <w:sz w:val="24"/>
          <w:szCs w:val="24"/>
        </w:rPr>
        <w:t xml:space="preserve"> de abuso sexual en el periodo expresado, el MSP solo ha practicado 83 abortos desde el año 2021. Esta brecha evidencia una importante limitación en la aplicación efectiva de</w:t>
      </w:r>
      <w:r>
        <w:rPr>
          <w:rFonts w:ascii="Times New Roman" w:eastAsia="Times New Roman" w:hAnsi="Times New Roman" w:cs="Times New Roman"/>
          <w:color w:val="000000"/>
          <w:sz w:val="24"/>
          <w:szCs w:val="24"/>
        </w:rPr>
        <w:t>l derecho a interrumpir el embarazo en casos de violación</w:t>
      </w:r>
      <w:r>
        <w:rPr>
          <w:rFonts w:ascii="Times New Roman" w:eastAsia="Times New Roman" w:hAnsi="Times New Roman" w:cs="Times New Roman"/>
          <w:sz w:val="24"/>
          <w:szCs w:val="24"/>
        </w:rPr>
        <w:t>.</w:t>
      </w:r>
    </w:p>
    <w:p w14:paraId="7A3968C5" w14:textId="77777777" w:rsidR="002E5DA8" w:rsidRDefault="0095632D">
      <w:pPr>
        <w:pBdr>
          <w:top w:val="nil"/>
          <w:left w:val="nil"/>
          <w:bottom w:val="nil"/>
          <w:right w:val="nil"/>
          <w:between w:val="nil"/>
        </w:pBdr>
        <w:spacing w:before="20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Existe un alto número de objetores de conciencia que asciende a 786, lo que representa cerca del 30% de profesionales de la salud con competencia para realizar un aborto. Este alto porcentaje de pr</w:t>
      </w:r>
      <w:r>
        <w:rPr>
          <w:rFonts w:ascii="Times New Roman" w:eastAsia="Times New Roman" w:hAnsi="Times New Roman" w:cs="Times New Roman"/>
          <w:color w:val="000000"/>
          <w:sz w:val="24"/>
          <w:szCs w:val="24"/>
        </w:rPr>
        <w:t>ofesiona</w:t>
      </w:r>
      <w:r>
        <w:rPr>
          <w:rFonts w:ascii="Times New Roman" w:eastAsia="Times New Roman" w:hAnsi="Times New Roman" w:cs="Times New Roman"/>
          <w:sz w:val="24"/>
          <w:szCs w:val="24"/>
        </w:rPr>
        <w:t>les que se niegan a participar en la práctica de interrupción del embarazo contribuye a la indisponibilidad de servicios, dificultando aún más el acceso de las mujeres a la interrupción del embarazo.</w:t>
      </w:r>
    </w:p>
    <w:p w14:paraId="7A3968C6" w14:textId="77777777" w:rsidR="002E5DA8" w:rsidRDefault="0095632D">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La labor del MSP en la materia se ve sumamente reducida en estos últimos tres años, además de que carece de información específica y detallada sobre todas las interrupciones voluntarias del embarazo llevadas a cabo. Esta falta de información detallada difi</w:t>
      </w:r>
      <w:r>
        <w:rPr>
          <w:rFonts w:ascii="Times New Roman" w:eastAsia="Times New Roman" w:hAnsi="Times New Roman" w:cs="Times New Roman"/>
          <w:color w:val="000000"/>
          <w:sz w:val="24"/>
          <w:szCs w:val="24"/>
        </w:rPr>
        <w:t>culta la evaluación y mejora de los servicios, así como la toma de decisiones informadas en la materia.</w:t>
      </w:r>
    </w:p>
    <w:p w14:paraId="7A3968C7"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conclusión, los datos presentados reflejan desafíos sustanciales en la implementación efectiva del derecho a interrumpir el embarazo en casos de viol</w:t>
      </w:r>
      <w:r>
        <w:rPr>
          <w:rFonts w:ascii="Times New Roman" w:eastAsia="Times New Roman" w:hAnsi="Times New Roman" w:cs="Times New Roman"/>
          <w:sz w:val="24"/>
          <w:szCs w:val="24"/>
        </w:rPr>
        <w:t>ación en los servicios de salud. Se evidencia la necesidad de abordar tanto las limitaciones en la prestación de servicios como las barreras éticas y profesionales que obstaculizan el acceso de las mujeres a la interrupción voluntaria del embarazo. Asimism</w:t>
      </w:r>
      <w:r>
        <w:rPr>
          <w:rFonts w:ascii="Times New Roman" w:eastAsia="Times New Roman" w:hAnsi="Times New Roman" w:cs="Times New Roman"/>
          <w:sz w:val="24"/>
          <w:szCs w:val="24"/>
        </w:rPr>
        <w:t>o, se subraya la importancia de mejorar la recopilación de datos para garantizar una gestión informada y transparente de estos casos.</w:t>
      </w:r>
    </w:p>
    <w:p w14:paraId="7A3968C8" w14:textId="77777777" w:rsidR="002E5DA8" w:rsidRDefault="0095632D">
      <w:pPr>
        <w:pStyle w:val="Title"/>
        <w:numPr>
          <w:ilvl w:val="0"/>
          <w:numId w:val="9"/>
        </w:numPr>
      </w:pPr>
      <w:bookmarkStart w:id="35" w:name="_heading=h.6necf9x5tgzf" w:colFirst="0" w:colLast="0"/>
      <w:bookmarkEnd w:id="35"/>
      <w:r>
        <w:t>SOLICITUDES A LA REPÚBLICA DEL ECUADOR</w:t>
      </w:r>
    </w:p>
    <w:p w14:paraId="7A3968C9"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la luz de la información presentada, solicitamos respetuosamente que en virtud de</w:t>
      </w:r>
      <w:r>
        <w:rPr>
          <w:rFonts w:ascii="Times New Roman" w:eastAsia="Times New Roman" w:hAnsi="Times New Roman" w:cs="Times New Roman"/>
          <w:sz w:val="24"/>
          <w:szCs w:val="24"/>
        </w:rPr>
        <w:t xml:space="preserve"> sus facultades otorgadas a que adopte las siguientes medidas en atención al próximo examen al Estado ecuatoriano en el 80 periodo de sesiones de este Comité: </w:t>
      </w:r>
    </w:p>
    <w:p w14:paraId="7A3968CA"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PRIMERO.- </w:t>
      </w:r>
      <w:r>
        <w:rPr>
          <w:rFonts w:ascii="Times New Roman" w:eastAsia="Times New Roman" w:hAnsi="Times New Roman" w:cs="Times New Roman"/>
          <w:sz w:val="24"/>
          <w:szCs w:val="24"/>
        </w:rPr>
        <w:t>Ampliar información sobre la implementación de la causal de violación en diferentes in</w:t>
      </w:r>
      <w:r>
        <w:rPr>
          <w:rFonts w:ascii="Times New Roman" w:eastAsia="Times New Roman" w:hAnsi="Times New Roman" w:cs="Times New Roman"/>
          <w:sz w:val="24"/>
          <w:szCs w:val="24"/>
        </w:rPr>
        <w:t xml:space="preserve">stancias estatales del gobierno central, gobiernos seccionales, locales por medio de sus funcionarias, funcionarios y autoridades. </w:t>
      </w:r>
    </w:p>
    <w:p w14:paraId="7A3968CB"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SEGUNDO.- </w:t>
      </w:r>
      <w:r>
        <w:rPr>
          <w:rFonts w:ascii="Times New Roman" w:eastAsia="Times New Roman" w:hAnsi="Times New Roman" w:cs="Times New Roman"/>
          <w:sz w:val="24"/>
          <w:szCs w:val="24"/>
        </w:rPr>
        <w:t>Recomendar al estado ecuatoriano avanzar hacia una despenalización total del aborto ya que el informe ha demostrad</w:t>
      </w:r>
      <w:r>
        <w:rPr>
          <w:rFonts w:ascii="Times New Roman" w:eastAsia="Times New Roman" w:hAnsi="Times New Roman" w:cs="Times New Roman"/>
          <w:sz w:val="24"/>
          <w:szCs w:val="24"/>
        </w:rPr>
        <w:t>o que el sistema de causales tiene muchas barreras institucionales especialmente en cuanto a la prestación del servicio en la esfera pública y privada.</w:t>
      </w:r>
    </w:p>
    <w:p w14:paraId="7A3968CC"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TERCERO.- </w:t>
      </w:r>
      <w:r>
        <w:rPr>
          <w:rFonts w:ascii="Times New Roman" w:eastAsia="Times New Roman" w:hAnsi="Times New Roman" w:cs="Times New Roman"/>
          <w:sz w:val="24"/>
          <w:szCs w:val="24"/>
        </w:rPr>
        <w:t>Ampliar la información sobre acceso a servicios de aborto en casos de violación en espacios do</w:t>
      </w:r>
      <w:r>
        <w:rPr>
          <w:rFonts w:ascii="Times New Roman" w:eastAsia="Times New Roman" w:hAnsi="Times New Roman" w:cs="Times New Roman"/>
          <w:sz w:val="24"/>
          <w:szCs w:val="24"/>
        </w:rPr>
        <w:t>nde se reciben denuncias como el sistema de salud, sistema educativo, juntas de protección de derechos, etc. Especialmente en el sistema de salud, es importante que se mantenga un sistema de información actualizado y ampliado sobre el acceso a servicios de</w:t>
      </w:r>
      <w:r>
        <w:rPr>
          <w:rFonts w:ascii="Times New Roman" w:eastAsia="Times New Roman" w:hAnsi="Times New Roman" w:cs="Times New Roman"/>
          <w:sz w:val="24"/>
          <w:szCs w:val="24"/>
        </w:rPr>
        <w:t xml:space="preserve"> aborto en casos de violación. </w:t>
      </w:r>
    </w:p>
    <w:p w14:paraId="7A3968CD" w14:textId="77777777" w:rsidR="002E5DA8" w:rsidRDefault="0095632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CUARTO.- </w:t>
      </w:r>
      <w:r>
        <w:rPr>
          <w:rFonts w:ascii="Times New Roman" w:eastAsia="Times New Roman" w:hAnsi="Times New Roman" w:cs="Times New Roman"/>
          <w:sz w:val="24"/>
          <w:szCs w:val="24"/>
        </w:rPr>
        <w:t>Conminar al Ecuador a reforzar la capacitación de profesionales de la salud sobre el contenido de la LORIVE y las medidas cautelares actualmente vigentes ante la CCE, varios aspectos de la ley son altamente revictimizantes y en la práctica podría ser fácil</w:t>
      </w:r>
      <w:r>
        <w:rPr>
          <w:rFonts w:ascii="Times New Roman" w:eastAsia="Times New Roman" w:hAnsi="Times New Roman" w:cs="Times New Roman"/>
          <w:sz w:val="24"/>
          <w:szCs w:val="24"/>
        </w:rPr>
        <w:t xml:space="preserve">mente equiparable a un trato cruel, inhumano y degradante, contrario a la CCT. </w:t>
      </w:r>
    </w:p>
    <w:p w14:paraId="7A3968CE" w14:textId="77777777" w:rsidR="002E5DA8" w:rsidRDefault="0095632D">
      <w:pPr>
        <w:spacing w:line="360" w:lineRule="auto"/>
        <w:jc w:val="both"/>
      </w:pPr>
      <w:r>
        <w:rPr>
          <w:rFonts w:ascii="Times New Roman" w:eastAsia="Times New Roman" w:hAnsi="Times New Roman" w:cs="Times New Roman"/>
          <w:b/>
          <w:sz w:val="24"/>
          <w:szCs w:val="24"/>
        </w:rPr>
        <w:t xml:space="preserve">QUINTO.- </w:t>
      </w:r>
      <w:r>
        <w:rPr>
          <w:rFonts w:ascii="Times New Roman" w:eastAsia="Times New Roman" w:hAnsi="Times New Roman" w:cs="Times New Roman"/>
          <w:sz w:val="24"/>
          <w:szCs w:val="24"/>
        </w:rPr>
        <w:t>Requerir al Ecuador  que se pronuncie de manera inmediata en cuanto al Estado de la LORIVE y los efectos que ésta debe surtir a partir de la sentencia constitucional.</w:t>
      </w:r>
    </w:p>
    <w:p w14:paraId="7A3968CF"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SEXTO.- </w:t>
      </w:r>
      <w:r>
        <w:rPr>
          <w:rFonts w:ascii="Times New Roman" w:eastAsia="Times New Roman" w:hAnsi="Times New Roman" w:cs="Times New Roman"/>
          <w:sz w:val="24"/>
          <w:szCs w:val="24"/>
        </w:rPr>
        <w:t>Por su intermedio, invite a las suscritas organizaciones; ODJ, PPG y CETDE-UIDE, a una Reunión Informativa con el Comité previo al diálogo con el Estado parte a exponer un breve resumen los principales hallazgos del informe y las preguntas necesari</w:t>
      </w:r>
      <w:r>
        <w:rPr>
          <w:rFonts w:ascii="Times New Roman" w:eastAsia="Times New Roman" w:hAnsi="Times New Roman" w:cs="Times New Roman"/>
          <w:sz w:val="24"/>
          <w:szCs w:val="24"/>
        </w:rPr>
        <w:t>as a formularse al Estado ecuatoriano.</w:t>
      </w:r>
    </w:p>
    <w:p w14:paraId="7A3968D0"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Atentamente, </w:t>
      </w:r>
    </w:p>
    <w:p w14:paraId="7A3968D1" w14:textId="77777777" w:rsidR="002E5DA8" w:rsidRDefault="009563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Observatorio de Derechos y Justicia (ODJ), Planned Parenthood Global, Inc (PPG) y el Centro de Estudios por la Transparencia y Derechos Humanos UIDE-ECUADOR (CETDE-UIDE).</w:t>
      </w:r>
    </w:p>
    <w:p w14:paraId="7A3968D2" w14:textId="77777777" w:rsidR="002E5DA8" w:rsidRDefault="002E5DA8">
      <w:pPr>
        <w:spacing w:line="360" w:lineRule="auto"/>
        <w:jc w:val="both"/>
        <w:rPr>
          <w:rFonts w:ascii="Times New Roman" w:eastAsia="Times New Roman" w:hAnsi="Times New Roman" w:cs="Times New Roman"/>
          <w:sz w:val="24"/>
          <w:szCs w:val="24"/>
        </w:rPr>
      </w:pPr>
    </w:p>
    <w:p w14:paraId="7A3968D3" w14:textId="77777777" w:rsidR="002E5DA8" w:rsidRDefault="002E5DA8">
      <w:pPr>
        <w:spacing w:line="360" w:lineRule="auto"/>
        <w:rPr>
          <w:rFonts w:ascii="Times New Roman" w:eastAsia="Times New Roman" w:hAnsi="Times New Roman" w:cs="Times New Roman"/>
          <w:b/>
          <w:sz w:val="24"/>
          <w:szCs w:val="24"/>
        </w:rPr>
      </w:pPr>
    </w:p>
    <w:sectPr w:rsidR="002E5DA8">
      <w:headerReference w:type="default" r:id="rId11"/>
      <w:footerReference w:type="default" r:id="rId12"/>
      <w:headerReference w:type="first" r:id="rId13"/>
      <w:footerReference w:type="first" r:id="rId14"/>
      <w:pgSz w:w="12240" w:h="15840"/>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3968E2" w14:textId="77777777" w:rsidR="0095632D" w:rsidRDefault="0095632D">
      <w:pPr>
        <w:spacing w:after="0" w:line="240" w:lineRule="auto"/>
      </w:pPr>
      <w:r>
        <w:separator/>
      </w:r>
    </w:p>
  </w:endnote>
  <w:endnote w:type="continuationSeparator" w:id="0">
    <w:p w14:paraId="7A3968E4" w14:textId="77777777" w:rsidR="0095632D" w:rsidRDefault="009563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968DB" w14:textId="122E9F71" w:rsidR="002E5DA8" w:rsidRDefault="0095632D">
    <w:pPr>
      <w:jc w:val="right"/>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Pr>
        <w:rFonts w:ascii="Times New Roman" w:eastAsia="Times New Roman" w:hAnsi="Times New Roman" w:cs="Times New Roman"/>
        <w:noProof/>
      </w:rPr>
      <w:t>1</w:t>
    </w:r>
    <w:r>
      <w:rPr>
        <w:rFonts w:ascii="Times New Roman" w:eastAsia="Times New Roman" w:hAnsi="Times New Roman" w:cs="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968DD" w14:textId="77777777" w:rsidR="002E5DA8" w:rsidRDefault="002E5DA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3968DE" w14:textId="77777777" w:rsidR="0095632D" w:rsidRDefault="0095632D">
      <w:pPr>
        <w:spacing w:after="0" w:line="240" w:lineRule="auto"/>
      </w:pPr>
      <w:r>
        <w:separator/>
      </w:r>
    </w:p>
  </w:footnote>
  <w:footnote w:type="continuationSeparator" w:id="0">
    <w:p w14:paraId="7A3968E0" w14:textId="77777777" w:rsidR="0095632D" w:rsidRDefault="0095632D">
      <w:pPr>
        <w:spacing w:after="0" w:line="240" w:lineRule="auto"/>
      </w:pPr>
      <w:r>
        <w:continuationSeparator/>
      </w:r>
    </w:p>
  </w:footnote>
  <w:footnote w:id="1">
    <w:p w14:paraId="7A3968DE" w14:textId="77777777" w:rsidR="002E5DA8" w:rsidRDefault="0095632D">
      <w:pPr>
        <w:spacing w:after="0" w:line="240" w:lineRule="auto"/>
        <w:jc w:val="both"/>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CAT, Observaciones finales sobre el séptimo informe periódico del Ecuador, 11 de enero de 2017, CAT/C/ECU/CO/7, párr. 45.</w:t>
      </w:r>
    </w:p>
  </w:footnote>
  <w:footnote w:id="2">
    <w:p w14:paraId="7A3968DF" w14:textId="77777777" w:rsidR="002E5DA8" w:rsidRDefault="0095632D">
      <w:pPr>
        <w:spacing w:after="0" w:line="240" w:lineRule="auto"/>
        <w:jc w:val="both"/>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CAT, Observaciones finales sobre el séptimo informe periódico del Ecuador, 11 de enero de 2017, CAT/C/ECU/CO/7</w:t>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párr</w:t>
      </w:r>
      <w:r>
        <w:rPr>
          <w:rFonts w:ascii="Times New Roman" w:eastAsia="Times New Roman" w:hAnsi="Times New Roman" w:cs="Times New Roman"/>
          <w:sz w:val="20"/>
          <w:szCs w:val="20"/>
        </w:rPr>
        <w:t>. 46</w:t>
      </w:r>
    </w:p>
  </w:footnote>
  <w:footnote w:id="3">
    <w:p w14:paraId="7A3968E0" w14:textId="77777777" w:rsidR="002E5DA8" w:rsidRDefault="0095632D">
      <w:pPr>
        <w:spacing w:after="0" w:line="240" w:lineRule="auto"/>
        <w:jc w:val="both"/>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CAT, Lista de cuestiones previa a la presentación del octavo informe periódico del Ecuador, Adoptada por el Comité durante su 68º período de sesiones (11 de noviembre a 6 de diciembre de 2019), 26 de diciembre de 2019,  párr. 37.</w:t>
      </w:r>
    </w:p>
  </w:footnote>
  <w:footnote w:id="4">
    <w:p w14:paraId="7A3968E1" w14:textId="77777777" w:rsidR="002E5DA8" w:rsidRDefault="0095632D">
      <w:pPr>
        <w:spacing w:after="0" w:line="240" w:lineRule="auto"/>
        <w:rPr>
          <w:rFonts w:ascii="Times New Roman" w:eastAsia="Times New Roman" w:hAnsi="Times New Roman" w:cs="Times New Roman"/>
          <w:i/>
          <w:sz w:val="20"/>
          <w:szCs w:val="20"/>
        </w:rPr>
      </w:pPr>
      <w:r>
        <w:rPr>
          <w:rStyle w:val="FootnoteReference"/>
        </w:rPr>
        <w:footnoteRef/>
      </w:r>
      <w:r>
        <w:rPr>
          <w:rFonts w:ascii="Times New Roman" w:eastAsia="Times New Roman" w:hAnsi="Times New Roman" w:cs="Times New Roman"/>
          <w:i/>
          <w:sz w:val="20"/>
          <w:szCs w:val="20"/>
        </w:rPr>
        <w:t xml:space="preserve"> Ibidem.</w:t>
      </w:r>
    </w:p>
  </w:footnote>
  <w:footnote w:id="5">
    <w:p w14:paraId="7A3968E2" w14:textId="77777777" w:rsidR="002E5DA8" w:rsidRDefault="0095632D">
      <w:pPr>
        <w:spacing w:after="0" w:line="240" w:lineRule="auto"/>
        <w:jc w:val="both"/>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CAT, Oc</w:t>
      </w:r>
      <w:r>
        <w:rPr>
          <w:rFonts w:ascii="Times New Roman" w:eastAsia="Times New Roman" w:hAnsi="Times New Roman" w:cs="Times New Roman"/>
          <w:sz w:val="20"/>
          <w:szCs w:val="20"/>
        </w:rPr>
        <w:t>tavo informe periódico que el Ecuador debía presentar en 2020 en virtud del artículo 19 de la Convención con arreglo al procedimiento simplificado de presentación de informes (02 de diciembre de 2020, 26 de abril de 2024, CAT/C/ECU/8, párr. 164.</w:t>
      </w:r>
    </w:p>
  </w:footnote>
  <w:footnote w:id="6">
    <w:p w14:paraId="7A3968E3" w14:textId="77777777" w:rsidR="002E5DA8" w:rsidRDefault="0095632D">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CAT, 80 S</w:t>
      </w:r>
      <w:r>
        <w:rPr>
          <w:rFonts w:ascii="Times New Roman" w:eastAsia="Times New Roman" w:hAnsi="Times New Roman" w:cs="Times New Roman"/>
          <w:sz w:val="20"/>
          <w:szCs w:val="20"/>
        </w:rPr>
        <w:t xml:space="preserve">ession (08 july 2024 - 26 july 2024), Recuperado de: </w:t>
      </w:r>
      <w:hyperlink r:id="rId1">
        <w:r>
          <w:rPr>
            <w:rFonts w:ascii="Times New Roman" w:eastAsia="Times New Roman" w:hAnsi="Times New Roman" w:cs="Times New Roman"/>
            <w:color w:val="1155CC"/>
            <w:sz w:val="20"/>
            <w:szCs w:val="20"/>
            <w:u w:val="single"/>
          </w:rPr>
          <w:t>https://tbinternet.ohchr.org/_layouts/15/treatybodyexternal/SessionDetails1.aspx?S</w:t>
        </w:r>
        <w:r>
          <w:rPr>
            <w:rFonts w:ascii="Times New Roman" w:eastAsia="Times New Roman" w:hAnsi="Times New Roman" w:cs="Times New Roman"/>
            <w:color w:val="1155CC"/>
            <w:sz w:val="20"/>
            <w:szCs w:val="20"/>
            <w:u w:val="single"/>
          </w:rPr>
          <w:t>essionID=2750&amp;Lang=en</w:t>
        </w:r>
      </w:hyperlink>
    </w:p>
    <w:bookmarkStart w:id="1" w:name="_heading=h.gjdgxs" w:colFirst="0" w:colLast="0"/>
    <w:bookmarkEnd w:id="1"/>
  </w:footnote>
  <w:footnote w:id="7">
    <w:p w14:paraId="7A3968E4" w14:textId="77777777" w:rsidR="002E5DA8" w:rsidRDefault="0095632D">
      <w:pPr>
        <w:spacing w:after="0" w:line="240" w:lineRule="auto"/>
        <w:ind w:hanging="15"/>
        <w:jc w:val="both"/>
        <w:rPr>
          <w:rFonts w:ascii="Times New Roman" w:eastAsia="Times New Roman" w:hAnsi="Times New Roman" w:cs="Times New Roman"/>
          <w:sz w:val="18"/>
          <w:szCs w:val="18"/>
        </w:rPr>
      </w:pPr>
      <w:bookmarkStart w:id="3" w:name="_heading=h.gjdgxs" w:colFirst="0" w:colLast="0"/>
      <w:bookmarkEnd w:id="3"/>
      <w:r>
        <w:rPr>
          <w:rStyle w:val="FootnoteReference"/>
        </w:rPr>
        <w:footnoteRef/>
      </w:r>
      <w:r>
        <w:rPr>
          <w:rFonts w:ascii="Times New Roman" w:eastAsia="Times New Roman" w:hAnsi="Times New Roman" w:cs="Times New Roman"/>
          <w:sz w:val="18"/>
          <w:szCs w:val="18"/>
        </w:rPr>
        <w:t xml:space="preserve">Organización Mundial de la Salud (2021). </w:t>
      </w:r>
      <w:r>
        <w:rPr>
          <w:rFonts w:ascii="Times New Roman" w:eastAsia="Times New Roman" w:hAnsi="Times New Roman" w:cs="Times New Roman"/>
          <w:i/>
          <w:sz w:val="18"/>
          <w:szCs w:val="18"/>
        </w:rPr>
        <w:t>Aborto</w:t>
      </w:r>
      <w:r>
        <w:rPr>
          <w:rFonts w:ascii="Times New Roman" w:eastAsia="Times New Roman" w:hAnsi="Times New Roman" w:cs="Times New Roman"/>
          <w:sz w:val="18"/>
          <w:szCs w:val="18"/>
        </w:rPr>
        <w:t xml:space="preserve">. Recuperado de: </w:t>
      </w:r>
      <w:hyperlink r:id="rId2" w:anchor=":~:text=Cada%20a%C3%B1o%20se%20provocan%20cerca,abortos%20en%20todo%20el%20mundo">
        <w:r>
          <w:rPr>
            <w:rFonts w:ascii="Times New Roman" w:eastAsia="Times New Roman" w:hAnsi="Times New Roman" w:cs="Times New Roman"/>
            <w:color w:val="1155CC"/>
            <w:sz w:val="18"/>
            <w:szCs w:val="18"/>
            <w:u w:val="single"/>
          </w:rPr>
          <w:t>https://www.who.int/es/news-</w:t>
        </w:r>
        <w:r>
          <w:rPr>
            <w:rFonts w:ascii="Times New Roman" w:eastAsia="Times New Roman" w:hAnsi="Times New Roman" w:cs="Times New Roman"/>
            <w:color w:val="1155CC"/>
            <w:sz w:val="18"/>
            <w:szCs w:val="18"/>
            <w:u w:val="single"/>
          </w:rPr>
          <w:t>room/fact-sheets/detail/abortion#:~:text=Cada%20a%C3%B1o%20se%20provocan%20cerca,abortos%20en%20todo%20el%20mundo</w:t>
        </w:r>
      </w:hyperlink>
    </w:p>
  </w:footnote>
  <w:footnote w:id="8">
    <w:p w14:paraId="7A3968E5" w14:textId="77777777" w:rsidR="002E5DA8" w:rsidRDefault="0095632D">
      <w:pPr>
        <w:spacing w:after="0" w:line="240" w:lineRule="auto"/>
        <w:jc w:val="both"/>
        <w:rPr>
          <w:rFonts w:ascii="Times New Roman" w:eastAsia="Times New Roman" w:hAnsi="Times New Roman" w:cs="Times New Roman"/>
          <w:i/>
          <w:sz w:val="18"/>
          <w:szCs w:val="18"/>
        </w:rPr>
      </w:pPr>
      <w:r>
        <w:rPr>
          <w:rStyle w:val="FootnoteReference"/>
        </w:rPr>
        <w:footnoteRef/>
      </w:r>
      <w:r>
        <w:rPr>
          <w:rFonts w:ascii="Times New Roman" w:eastAsia="Times New Roman" w:hAnsi="Times New Roman" w:cs="Times New Roman"/>
          <w:i/>
          <w:sz w:val="18"/>
          <w:szCs w:val="18"/>
        </w:rPr>
        <w:t xml:space="preserve"> Ibídem.</w:t>
      </w:r>
    </w:p>
  </w:footnote>
  <w:footnote w:id="9">
    <w:p w14:paraId="7A3968E6" w14:textId="77777777" w:rsidR="002E5DA8" w:rsidRDefault="0095632D">
      <w:pPr>
        <w:spacing w:after="0" w:line="240" w:lineRule="auto"/>
        <w:ind w:hanging="30"/>
        <w:rPr>
          <w:sz w:val="20"/>
          <w:szCs w:val="20"/>
        </w:rPr>
      </w:pPr>
      <w:r>
        <w:rPr>
          <w:rStyle w:val="FootnoteReference"/>
        </w:rPr>
        <w:footnoteRef/>
      </w:r>
      <w:r>
        <w:rPr>
          <w:rFonts w:ascii="Times New Roman" w:eastAsia="Times New Roman" w:hAnsi="Times New Roman" w:cs="Times New Roman"/>
          <w:sz w:val="24"/>
          <w:szCs w:val="24"/>
        </w:rPr>
        <w:t xml:space="preserve"> </w:t>
      </w:r>
      <w:r>
        <w:rPr>
          <w:rFonts w:ascii="Times New Roman" w:eastAsia="Times New Roman" w:hAnsi="Times New Roman" w:cs="Times New Roman"/>
          <w:i/>
          <w:sz w:val="18"/>
          <w:szCs w:val="18"/>
        </w:rPr>
        <w:t>Plan Nacional de Salud Sexual y Salud Reproductiva</w:t>
      </w:r>
      <w:r>
        <w:rPr>
          <w:rFonts w:ascii="Times New Roman" w:eastAsia="Times New Roman" w:hAnsi="Times New Roman" w:cs="Times New Roman"/>
          <w:sz w:val="18"/>
          <w:szCs w:val="18"/>
        </w:rPr>
        <w:t xml:space="preserve">. (2017). </w:t>
      </w:r>
      <w:hyperlink r:id="rId3">
        <w:r>
          <w:rPr>
            <w:rFonts w:ascii="Times New Roman" w:eastAsia="Times New Roman" w:hAnsi="Times New Roman" w:cs="Times New Roman"/>
            <w:color w:val="1155CC"/>
            <w:sz w:val="18"/>
            <w:szCs w:val="18"/>
            <w:u w:val="single"/>
          </w:rPr>
          <w:t>https://ecuador.unfpa.org/sites/default/files/pub-pdf/PLAN%20NACIONAL%20DE%20SS%20Y%20SR%202017-2021.pdf</w:t>
        </w:r>
      </w:hyperlink>
    </w:p>
  </w:footnote>
  <w:footnote w:id="10">
    <w:p w14:paraId="7A3968E7" w14:textId="77777777" w:rsidR="002E5DA8" w:rsidRDefault="0095632D">
      <w:pPr>
        <w:spacing w:after="0" w:line="240" w:lineRule="auto"/>
        <w:rPr>
          <w:rFonts w:ascii="Times New Roman" w:eastAsia="Times New Roman" w:hAnsi="Times New Roman" w:cs="Times New Roman"/>
          <w:sz w:val="18"/>
          <w:szCs w:val="18"/>
        </w:rPr>
      </w:pPr>
      <w:r>
        <w:rPr>
          <w:rStyle w:val="FootnoteReference"/>
        </w:rPr>
        <w:footnoteRef/>
      </w:r>
      <w:r>
        <w:rPr>
          <w:rFonts w:ascii="Times New Roman" w:eastAsia="Times New Roman" w:hAnsi="Times New Roman" w:cs="Times New Roman"/>
          <w:sz w:val="18"/>
          <w:szCs w:val="18"/>
        </w:rPr>
        <w:t xml:space="preserve"> Código Penal [CP] (1872). </w:t>
      </w:r>
      <w:hyperlink r:id="rId4">
        <w:r>
          <w:rPr>
            <w:rFonts w:ascii="Times New Roman" w:eastAsia="Times New Roman" w:hAnsi="Times New Roman" w:cs="Times New Roman"/>
            <w:color w:val="1155CC"/>
            <w:sz w:val="18"/>
            <w:szCs w:val="18"/>
            <w:u w:val="single"/>
          </w:rPr>
          <w:t>https://www.ethnodata.org/media/filer_public/a9/3a/a93a6ebe-b765-4ac2-990d-5e61ff2a8a12/1872_codigo_pe</w:t>
        </w:r>
        <w:r>
          <w:rPr>
            <w:rFonts w:ascii="Times New Roman" w:eastAsia="Times New Roman" w:hAnsi="Times New Roman" w:cs="Times New Roman"/>
            <w:color w:val="1155CC"/>
            <w:sz w:val="18"/>
            <w:szCs w:val="18"/>
            <w:u w:val="single"/>
          </w:rPr>
          <w:t>nal.pdf</w:t>
        </w:r>
      </w:hyperlink>
    </w:p>
  </w:footnote>
  <w:footnote w:id="11">
    <w:p w14:paraId="7A3968E8" w14:textId="77777777" w:rsidR="002E5DA8" w:rsidRDefault="0095632D">
      <w:pPr>
        <w:spacing w:after="0" w:line="240" w:lineRule="auto"/>
        <w:jc w:val="both"/>
        <w:rPr>
          <w:rFonts w:ascii="Times New Roman" w:eastAsia="Times New Roman" w:hAnsi="Times New Roman" w:cs="Times New Roman"/>
          <w:sz w:val="18"/>
          <w:szCs w:val="18"/>
        </w:rPr>
      </w:pPr>
      <w:r>
        <w:rPr>
          <w:rStyle w:val="FootnoteReference"/>
        </w:rPr>
        <w:footnoteRef/>
      </w:r>
      <w:r>
        <w:rPr>
          <w:rFonts w:ascii="Times New Roman" w:eastAsia="Times New Roman" w:hAnsi="Times New Roman" w:cs="Times New Roman"/>
          <w:sz w:val="18"/>
          <w:szCs w:val="18"/>
        </w:rPr>
        <w:t xml:space="preserve"> Código Orgánico Integral Penal [COIP]. Art. 149.  Reforma de 2023. 10 de febrero de 2014 (Ecuador). </w:t>
      </w:r>
      <w:hyperlink r:id="rId5">
        <w:r>
          <w:rPr>
            <w:rFonts w:ascii="Times New Roman" w:eastAsia="Times New Roman" w:hAnsi="Times New Roman" w:cs="Times New Roman"/>
            <w:color w:val="1155CC"/>
            <w:sz w:val="18"/>
            <w:szCs w:val="18"/>
            <w:u w:val="single"/>
          </w:rPr>
          <w:t>https://www.igualdadgenero.gob.ec/wp-content/uploads/2023/03/CODIGO-ORGANICO-INTEGRAL-PENAL-COIP.pdf</w:t>
        </w:r>
      </w:hyperlink>
    </w:p>
  </w:footnote>
  <w:footnote w:id="12">
    <w:p w14:paraId="7A3968E9" w14:textId="77777777" w:rsidR="002E5DA8" w:rsidRDefault="0095632D">
      <w:pPr>
        <w:spacing w:after="0" w:line="240" w:lineRule="auto"/>
        <w:jc w:val="both"/>
        <w:rPr>
          <w:rFonts w:ascii="Times New Roman" w:eastAsia="Times New Roman" w:hAnsi="Times New Roman" w:cs="Times New Roman"/>
          <w:sz w:val="18"/>
          <w:szCs w:val="18"/>
        </w:rPr>
      </w:pPr>
      <w:r>
        <w:rPr>
          <w:rStyle w:val="FootnoteReference"/>
        </w:rPr>
        <w:footnoteRef/>
      </w:r>
      <w:r>
        <w:rPr>
          <w:rFonts w:ascii="Times New Roman" w:eastAsia="Times New Roman" w:hAnsi="Times New Roman" w:cs="Times New Roman"/>
          <w:sz w:val="18"/>
          <w:szCs w:val="18"/>
        </w:rPr>
        <w:t xml:space="preserve"> Código Orgánico Integral Penal [COIP]. Art. 150.  Reforma de 2018. 10 de febrero de 2014(Ecuador). </w:t>
      </w:r>
      <w:hyperlink r:id="rId6">
        <w:r>
          <w:rPr>
            <w:rFonts w:ascii="Times New Roman" w:eastAsia="Times New Roman" w:hAnsi="Times New Roman" w:cs="Times New Roman"/>
            <w:color w:val="1155CC"/>
            <w:sz w:val="18"/>
            <w:szCs w:val="18"/>
            <w:u w:val="single"/>
          </w:rPr>
          <w:t>https://www.defensa.gob.ec/wp-content/uploads/downloads/2018/03/COIP_feb2018.pdf</w:t>
        </w:r>
      </w:hyperlink>
    </w:p>
  </w:footnote>
  <w:footnote w:id="13">
    <w:p w14:paraId="7A3968EA" w14:textId="77777777" w:rsidR="002E5DA8" w:rsidRDefault="0095632D">
      <w:pPr>
        <w:spacing w:after="0" w:line="240" w:lineRule="auto"/>
        <w:rPr>
          <w:sz w:val="20"/>
          <w:szCs w:val="20"/>
        </w:rPr>
      </w:pPr>
      <w:r>
        <w:rPr>
          <w:rStyle w:val="FootnoteReference"/>
        </w:rPr>
        <w:footnoteRef/>
      </w:r>
      <w:r>
        <w:rPr>
          <w:rFonts w:ascii="Times New Roman" w:eastAsia="Times New Roman" w:hAnsi="Times New Roman" w:cs="Times New Roman"/>
          <w:sz w:val="20"/>
          <w:szCs w:val="20"/>
        </w:rPr>
        <w:t xml:space="preserve"> Pacto Internacional de Derechos Civiles y </w:t>
      </w:r>
      <w:r>
        <w:rPr>
          <w:rFonts w:ascii="Times New Roman" w:eastAsia="Times New Roman" w:hAnsi="Times New Roman" w:cs="Times New Roman"/>
          <w:sz w:val="20"/>
          <w:szCs w:val="20"/>
        </w:rPr>
        <w:t xml:space="preserve">Políticos (PIDCP). Artículo 2. </w:t>
      </w:r>
      <w:hyperlink r:id="rId7">
        <w:r>
          <w:rPr>
            <w:rFonts w:ascii="Times New Roman" w:eastAsia="Times New Roman" w:hAnsi="Times New Roman" w:cs="Times New Roman"/>
            <w:color w:val="1155CC"/>
            <w:sz w:val="20"/>
            <w:szCs w:val="20"/>
            <w:u w:val="single"/>
          </w:rPr>
          <w:t>https://www.ohchr.org/es/instruments-mechanisms/instruments/international-covenant-civil-and-polit</w:t>
        </w:r>
        <w:r>
          <w:rPr>
            <w:rFonts w:ascii="Times New Roman" w:eastAsia="Times New Roman" w:hAnsi="Times New Roman" w:cs="Times New Roman"/>
            <w:color w:val="1155CC"/>
            <w:sz w:val="20"/>
            <w:szCs w:val="20"/>
            <w:u w:val="single"/>
          </w:rPr>
          <w:t>ical-rights</w:t>
        </w:r>
      </w:hyperlink>
      <w:r>
        <w:rPr>
          <w:rFonts w:ascii="Times New Roman" w:eastAsia="Times New Roman" w:hAnsi="Times New Roman" w:cs="Times New Roman"/>
          <w:sz w:val="20"/>
          <w:szCs w:val="20"/>
        </w:rPr>
        <w:t>.</w:t>
      </w:r>
    </w:p>
  </w:footnote>
  <w:footnote w:id="14">
    <w:p w14:paraId="7A3968EB" w14:textId="77777777" w:rsidR="002E5DA8" w:rsidRDefault="0095632D">
      <w:pPr>
        <w:spacing w:after="0" w:line="240" w:lineRule="auto"/>
        <w:jc w:val="both"/>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CAT sobre Timor-Leste, Doc. de la ONU CAT/C/TLS/CO/1 (2017); Irlanda, Doc. de la ONU CAT/C/IRL/CO/2 (2017); y Ecuador, Doc. de la ONU CAT/C/ECU/CO/7 (2016).</w:t>
      </w:r>
    </w:p>
  </w:footnote>
  <w:footnote w:id="15">
    <w:p w14:paraId="7A3968EC" w14:textId="77777777" w:rsidR="002E5DA8" w:rsidRDefault="0095632D">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Comité de Derechos Humanos. Observación General</w:t>
      </w:r>
      <w:r>
        <w:rPr>
          <w:rFonts w:ascii="Times New Roman" w:eastAsia="Times New Roman" w:hAnsi="Times New Roman" w:cs="Times New Roman"/>
          <w:sz w:val="20"/>
          <w:szCs w:val="20"/>
        </w:rPr>
        <w:t xml:space="preserve"> Nº 36: artículo 6 del PIDCP, sobre el derecho a la vida CCPR/C/GC/R.36/Rev.7. </w:t>
      </w:r>
      <w:hyperlink r:id="rId8">
        <w:r>
          <w:rPr>
            <w:rFonts w:ascii="Times New Roman" w:eastAsia="Times New Roman" w:hAnsi="Times New Roman" w:cs="Times New Roman"/>
            <w:color w:val="1155CC"/>
            <w:sz w:val="20"/>
            <w:szCs w:val="20"/>
            <w:u w:val="single"/>
          </w:rPr>
          <w:t>https://www.ohchr.org/sites/default/files/Documents/HRBodies/CCPR</w:t>
        </w:r>
        <w:r>
          <w:rPr>
            <w:rFonts w:ascii="Times New Roman" w:eastAsia="Times New Roman" w:hAnsi="Times New Roman" w:cs="Times New Roman"/>
            <w:color w:val="1155CC"/>
            <w:sz w:val="20"/>
            <w:szCs w:val="20"/>
            <w:u w:val="single"/>
          </w:rPr>
          <w:t>/GCArticle6/GCArticle6_SP.pdf</w:t>
        </w:r>
      </w:hyperlink>
    </w:p>
  </w:footnote>
  <w:footnote w:id="16">
    <w:p w14:paraId="7A3968ED" w14:textId="77777777" w:rsidR="002E5DA8" w:rsidRDefault="0095632D">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CEDAW. Recomendación General 35 sobre la violencia por razón de género contra la mujer, por la que se actualiza la recomendación general num. 19. CEDAW/C/GC/35. </w:t>
      </w:r>
      <w:hyperlink r:id="rId9">
        <w:r>
          <w:rPr>
            <w:rFonts w:ascii="Times New Roman" w:eastAsia="Times New Roman" w:hAnsi="Times New Roman" w:cs="Times New Roman"/>
            <w:color w:val="1155CC"/>
            <w:sz w:val="20"/>
            <w:szCs w:val="20"/>
            <w:u w:val="single"/>
          </w:rPr>
          <w:t>https://www.ohchr.org/es/documents/general-comments-and-recommendations/general-recommendation-no-35-gender-based-violence</w:t>
        </w:r>
      </w:hyperlink>
    </w:p>
  </w:footnote>
  <w:footnote w:id="17">
    <w:p w14:paraId="7A3968EE" w14:textId="77777777" w:rsidR="002E5DA8" w:rsidRDefault="0095632D">
      <w:pPr>
        <w:spacing w:after="0" w:line="240" w:lineRule="auto"/>
        <w:jc w:val="both"/>
        <w:rPr>
          <w:rFonts w:ascii="Times New Roman" w:eastAsia="Times New Roman" w:hAnsi="Times New Roman" w:cs="Times New Roman"/>
          <w:sz w:val="18"/>
          <w:szCs w:val="18"/>
        </w:rPr>
      </w:pPr>
      <w:r>
        <w:rPr>
          <w:rStyle w:val="FootnoteReference"/>
        </w:rPr>
        <w:footnoteRef/>
      </w:r>
      <w:r>
        <w:rPr>
          <w:rFonts w:ascii="Times New Roman" w:eastAsia="Times New Roman" w:hAnsi="Times New Roman" w:cs="Times New Roman"/>
          <w:sz w:val="18"/>
          <w:szCs w:val="18"/>
        </w:rPr>
        <w:t xml:space="preserve"> CIDH. Situación de derechos humanos en Honduras. OEA/Ser.L/V/II. Doc.146/19. 2019; CIDH. Informe Anual 2018. Nicaragua. Capítulo IV.B.</w:t>
      </w:r>
    </w:p>
  </w:footnote>
  <w:footnote w:id="18">
    <w:p w14:paraId="7A3968EF" w14:textId="77777777" w:rsidR="002E5DA8" w:rsidRDefault="0095632D">
      <w:pPr>
        <w:spacing w:after="0" w:line="240" w:lineRule="auto"/>
        <w:rPr>
          <w:rFonts w:ascii="Times New Roman" w:eastAsia="Times New Roman" w:hAnsi="Times New Roman" w:cs="Times New Roman"/>
          <w:sz w:val="18"/>
          <w:szCs w:val="18"/>
        </w:rPr>
      </w:pPr>
      <w:r>
        <w:rPr>
          <w:rStyle w:val="FootnoteReference"/>
        </w:rPr>
        <w:footnoteRef/>
      </w:r>
      <w:r>
        <w:rPr>
          <w:rFonts w:ascii="Times New Roman" w:eastAsia="Times New Roman" w:hAnsi="Times New Roman" w:cs="Times New Roman"/>
          <w:sz w:val="18"/>
          <w:szCs w:val="18"/>
        </w:rPr>
        <w:t xml:space="preserve"> Corte Interamericana de Derechos Humanos, Caso Artavia Murillo y otros (“Fecundación in vitro”). Sent</w:t>
      </w:r>
      <w:r>
        <w:rPr>
          <w:rFonts w:ascii="Times New Roman" w:eastAsia="Times New Roman" w:hAnsi="Times New Roman" w:cs="Times New Roman"/>
          <w:sz w:val="18"/>
          <w:szCs w:val="18"/>
        </w:rPr>
        <w:t xml:space="preserve">encia de 28 de noviembre de 2012 (Excepciones Preliminares, Fondo, Reparaciones y Costas). Párr. 147, </w:t>
      </w:r>
      <w:hyperlink r:id="rId10">
        <w:r>
          <w:rPr>
            <w:rFonts w:ascii="Times New Roman" w:eastAsia="Times New Roman" w:hAnsi="Times New Roman" w:cs="Times New Roman"/>
            <w:color w:val="1155CC"/>
            <w:sz w:val="18"/>
            <w:szCs w:val="18"/>
            <w:u w:val="single"/>
          </w:rPr>
          <w:t>https://www.corteidh.or.cr/docs/casos/articulos/seriec_257_esp.pdf</w:t>
        </w:r>
      </w:hyperlink>
    </w:p>
  </w:footnote>
  <w:footnote w:id="19">
    <w:p w14:paraId="7A3968F0" w14:textId="77777777" w:rsidR="002E5DA8" w:rsidRDefault="0095632D">
      <w:pPr>
        <w:spacing w:line="240" w:lineRule="auto"/>
        <w:jc w:val="both"/>
        <w:rPr>
          <w:rFonts w:ascii="Times New Roman" w:eastAsia="Times New Roman" w:hAnsi="Times New Roman" w:cs="Times New Roman"/>
          <w:sz w:val="18"/>
          <w:szCs w:val="18"/>
        </w:rPr>
      </w:pPr>
      <w:r>
        <w:rPr>
          <w:rStyle w:val="FootnoteReference"/>
        </w:rPr>
        <w:footnoteRef/>
      </w:r>
      <w:r>
        <w:rPr>
          <w:rFonts w:ascii="Times New Roman" w:eastAsia="Times New Roman" w:hAnsi="Times New Roman" w:cs="Times New Roman"/>
          <w:sz w:val="18"/>
          <w:szCs w:val="18"/>
        </w:rPr>
        <w:t xml:space="preserve"> La causa 34-19-IN analizó alrededor de 119 amicus curiae, de los cuales 72 son presentados por sus propios derechos, y 47 en representación de organizaciones nacionales e internacionales, fundaciones, institutos y colectivos. De los 47 amicus curiae (1</w:t>
      </w:r>
      <w:r>
        <w:rPr>
          <w:rFonts w:ascii="Times New Roman" w:eastAsia="Times New Roman" w:hAnsi="Times New Roman" w:cs="Times New Roman"/>
          <w:sz w:val="18"/>
          <w:szCs w:val="18"/>
        </w:rPr>
        <w:t>4) están en contra del aborto, y (33) exponen la favorabilidad hacia la despenalización del aborto por causal de violencia sexual y la inconstitucionalidad de los artículos impugnados en la causa.</w:t>
      </w:r>
    </w:p>
  </w:footnote>
  <w:footnote w:id="20">
    <w:p w14:paraId="7A3968F1" w14:textId="77777777" w:rsidR="002E5DA8" w:rsidRDefault="0095632D">
      <w:pPr>
        <w:spacing w:after="0" w:line="240" w:lineRule="auto"/>
        <w:jc w:val="both"/>
        <w:rPr>
          <w:rFonts w:ascii="Times New Roman" w:eastAsia="Times New Roman" w:hAnsi="Times New Roman" w:cs="Times New Roman"/>
          <w:sz w:val="18"/>
          <w:szCs w:val="18"/>
        </w:rPr>
      </w:pPr>
      <w:r>
        <w:rPr>
          <w:rStyle w:val="FootnoteReference"/>
        </w:rPr>
        <w:footnoteRef/>
      </w:r>
      <w:r>
        <w:rPr>
          <w:rFonts w:ascii="Times New Roman" w:eastAsia="Times New Roman" w:hAnsi="Times New Roman" w:cs="Times New Roman"/>
          <w:sz w:val="18"/>
          <w:szCs w:val="18"/>
        </w:rPr>
        <w:t>Corte Constitucional del Ecuador. Caso 34-19-IN del 28 de abril de 2021.</w:t>
      </w:r>
    </w:p>
  </w:footnote>
  <w:footnote w:id="21">
    <w:p w14:paraId="7A3968F2" w14:textId="77777777" w:rsidR="002E5DA8" w:rsidRDefault="0095632D">
      <w:pPr>
        <w:pBdr>
          <w:top w:val="nil"/>
          <w:left w:val="nil"/>
          <w:bottom w:val="nil"/>
          <w:right w:val="nil"/>
          <w:between w:val="nil"/>
        </w:pBdr>
        <w:spacing w:after="0" w:line="240" w:lineRule="auto"/>
        <w:jc w:val="both"/>
        <w:rPr>
          <w:rFonts w:ascii="Book Antiqua" w:eastAsia="Book Antiqua" w:hAnsi="Book Antiqua" w:cs="Book Antiqua"/>
          <w:color w:val="000000"/>
          <w:sz w:val="18"/>
          <w:szCs w:val="18"/>
        </w:rPr>
      </w:pPr>
      <w:r>
        <w:rPr>
          <w:rStyle w:val="FootnoteReference"/>
        </w:rPr>
        <w:footnoteRef/>
      </w:r>
      <w:r>
        <w:rPr>
          <w:rFonts w:ascii="Times New Roman" w:eastAsia="Times New Roman" w:hAnsi="Times New Roman" w:cs="Times New Roman"/>
          <w:color w:val="000000"/>
          <w:sz w:val="18"/>
          <w:szCs w:val="18"/>
        </w:rPr>
        <w:t xml:space="preserve"> Conforme consta en la acción presentada.</w:t>
      </w:r>
    </w:p>
  </w:footnote>
  <w:footnote w:id="22">
    <w:p w14:paraId="7A3968F3" w14:textId="77777777" w:rsidR="002E5DA8" w:rsidRDefault="0095632D">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Ibídem</w:t>
      </w:r>
      <w:r>
        <w:rPr>
          <w:rFonts w:ascii="Times New Roman" w:eastAsia="Times New Roman" w:hAnsi="Times New Roman" w:cs="Times New Roman"/>
          <w:color w:val="000000"/>
          <w:sz w:val="18"/>
          <w:szCs w:val="18"/>
        </w:rPr>
        <w:t>. p</w:t>
      </w:r>
      <w:r>
        <w:rPr>
          <w:rFonts w:ascii="Times New Roman" w:eastAsia="Times New Roman" w:hAnsi="Times New Roman" w:cs="Times New Roman"/>
          <w:sz w:val="18"/>
          <w:szCs w:val="18"/>
        </w:rPr>
        <w:t xml:space="preserve">árr. 21. </w:t>
      </w:r>
    </w:p>
  </w:footnote>
  <w:footnote w:id="23">
    <w:p w14:paraId="7A3968F4" w14:textId="77777777" w:rsidR="002E5DA8" w:rsidRDefault="0095632D">
      <w:pPr>
        <w:spacing w:after="0" w:line="240" w:lineRule="auto"/>
        <w:rPr>
          <w:rFonts w:ascii="Book Antiqua" w:eastAsia="Book Antiqua" w:hAnsi="Book Antiqua" w:cs="Book Antiqua"/>
          <w:sz w:val="18"/>
          <w:szCs w:val="18"/>
        </w:rPr>
      </w:pPr>
      <w:r>
        <w:rPr>
          <w:rStyle w:val="FootnoteReference"/>
        </w:rPr>
        <w:footnoteRef/>
      </w:r>
      <w:r>
        <w:rPr>
          <w:rFonts w:ascii="Times New Roman" w:eastAsia="Times New Roman" w:hAnsi="Times New Roman" w:cs="Times New Roman"/>
          <w:sz w:val="18"/>
          <w:szCs w:val="18"/>
        </w:rPr>
        <w:t xml:space="preserve"> Ibídem, párr. 20. </w:t>
      </w:r>
    </w:p>
  </w:footnote>
  <w:footnote w:id="24">
    <w:p w14:paraId="7A3968F5" w14:textId="77777777" w:rsidR="002E5DA8" w:rsidRDefault="0095632D">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Ibidem., párr. 30.</w:t>
      </w:r>
    </w:p>
  </w:footnote>
  <w:footnote w:id="25">
    <w:p w14:paraId="7A3968F6" w14:textId="77777777" w:rsidR="002E5DA8" w:rsidRDefault="0095632D">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Ibidem., párr. 129.</w:t>
      </w:r>
    </w:p>
  </w:footnote>
  <w:footnote w:id="26">
    <w:p w14:paraId="7A3968F7" w14:textId="77777777" w:rsidR="002E5DA8" w:rsidRDefault="0095632D">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CRE, Art. 45.</w:t>
      </w:r>
    </w:p>
  </w:footnote>
  <w:footnote w:id="27">
    <w:p w14:paraId="7A3968F8" w14:textId="77777777" w:rsidR="002E5DA8" w:rsidRDefault="0095632D">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Ibidem., párr. 122. </w:t>
      </w:r>
    </w:p>
  </w:footnote>
  <w:footnote w:id="28">
    <w:p w14:paraId="7A3968F9" w14:textId="77777777" w:rsidR="002E5DA8" w:rsidRDefault="0095632D">
      <w:pPr>
        <w:spacing w:after="0" w:line="240" w:lineRule="auto"/>
        <w:rPr>
          <w:sz w:val="20"/>
          <w:szCs w:val="20"/>
        </w:rPr>
      </w:pPr>
      <w:r>
        <w:rPr>
          <w:rStyle w:val="FootnoteReference"/>
        </w:rPr>
        <w:footnoteRef/>
      </w:r>
      <w:r>
        <w:rPr>
          <w:sz w:val="20"/>
          <w:szCs w:val="20"/>
        </w:rPr>
        <w:t xml:space="preserve"> </w:t>
      </w:r>
      <w:r>
        <w:rPr>
          <w:rFonts w:ascii="Times New Roman" w:eastAsia="Times New Roman" w:hAnsi="Times New Roman" w:cs="Times New Roman"/>
          <w:sz w:val="20"/>
          <w:szCs w:val="20"/>
        </w:rPr>
        <w:t xml:space="preserve"> Corte IDH. Caso Artavia Murillo y otros (“Fecundación in vitro) vs. Costa Rica. Fondo. Reparaciones y Costas. https://www.corteidh.or.cr/docs/casos/articulos/seriec_257_esp.pdf</w:t>
      </w:r>
    </w:p>
  </w:footnote>
  <w:footnote w:id="29">
    <w:p w14:paraId="7A3968FA" w14:textId="77777777" w:rsidR="002E5DA8" w:rsidRDefault="0095632D">
      <w:pPr>
        <w:spacing w:after="0" w:line="240" w:lineRule="auto"/>
        <w:rPr>
          <w:sz w:val="20"/>
          <w:szCs w:val="20"/>
        </w:rPr>
      </w:pPr>
      <w:r>
        <w:rPr>
          <w:rStyle w:val="FootnoteReference"/>
        </w:rPr>
        <w:footnoteRef/>
      </w:r>
      <w:r>
        <w:rPr>
          <w:sz w:val="20"/>
          <w:szCs w:val="20"/>
        </w:rPr>
        <w:t xml:space="preserve"> </w:t>
      </w:r>
      <w:r>
        <w:rPr>
          <w:rFonts w:ascii="Times New Roman" w:eastAsia="Times New Roman" w:hAnsi="Times New Roman" w:cs="Times New Roman"/>
          <w:sz w:val="18"/>
          <w:szCs w:val="18"/>
        </w:rPr>
        <w:t>Corte Constitucional del Ecuador. Caso 34-19-IN del 28 de abril de 2021, pár</w:t>
      </w:r>
      <w:r>
        <w:rPr>
          <w:rFonts w:ascii="Times New Roman" w:eastAsia="Times New Roman" w:hAnsi="Times New Roman" w:cs="Times New Roman"/>
          <w:sz w:val="18"/>
          <w:szCs w:val="18"/>
        </w:rPr>
        <w:t xml:space="preserve">r. 130-131. </w:t>
      </w:r>
    </w:p>
  </w:footnote>
  <w:footnote w:id="30">
    <w:p w14:paraId="7A3968FB" w14:textId="77777777" w:rsidR="002E5DA8" w:rsidRDefault="0095632D">
      <w:pPr>
        <w:spacing w:after="0" w:line="240" w:lineRule="auto"/>
        <w:jc w:val="both"/>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Revisar:</w:t>
      </w:r>
      <w:r>
        <w:rPr>
          <w:rFonts w:ascii="Times New Roman" w:eastAsia="Times New Roman" w:hAnsi="Times New Roman" w:cs="Times New Roman"/>
          <w:sz w:val="20"/>
          <w:szCs w:val="20"/>
        </w:rPr>
        <w:t xml:space="preserve"> Comité de Derechos Humanos, casos K.L. v. Perú, L.M.R. v. Argentina, Whelan v. Irlanda, Mellet v. Irlanda; Comité para la eliminación de la Discriminación contra la Mujer,</w:t>
      </w:r>
      <w:r>
        <w:rPr>
          <w:rFonts w:ascii="Times New Roman" w:eastAsia="Times New Roman" w:hAnsi="Times New Roman" w:cs="Times New Roman"/>
          <w:sz w:val="20"/>
          <w:szCs w:val="20"/>
        </w:rPr>
        <w:t xml:space="preserve"> caso L.C. v. Perú; Comisión Interamericana de Derechos Humanos (CIDH), caso Paulina del Carmen Ramírez Jacinto v. Nicaragua, B. v. El Salvador; Tribunal Europeo de Derechos Humanos, casos Tysiqc v. Polonia, R.R v. Polonia, A, B y C v. Irlanda, P y S v. Po</w:t>
      </w:r>
      <w:r>
        <w:rPr>
          <w:rFonts w:ascii="Times New Roman" w:eastAsia="Times New Roman" w:hAnsi="Times New Roman" w:cs="Times New Roman"/>
          <w:sz w:val="20"/>
          <w:szCs w:val="20"/>
        </w:rPr>
        <w:t>lonia,</w:t>
      </w:r>
    </w:p>
  </w:footnote>
  <w:footnote w:id="31">
    <w:p w14:paraId="7A3968FC" w14:textId="77777777" w:rsidR="002E5DA8" w:rsidRDefault="0095632D">
      <w:pPr>
        <w:spacing w:after="0" w:line="240" w:lineRule="auto"/>
        <w:rPr>
          <w:rFonts w:ascii="Times New Roman" w:eastAsia="Times New Roman" w:hAnsi="Times New Roman" w:cs="Times New Roman"/>
          <w:sz w:val="18"/>
          <w:szCs w:val="18"/>
        </w:rPr>
      </w:pPr>
      <w:r>
        <w:rPr>
          <w:rStyle w:val="FootnoteReference"/>
        </w:rPr>
        <w:footnoteRef/>
      </w:r>
      <w:r>
        <w:rPr>
          <w:rFonts w:ascii="Times New Roman" w:eastAsia="Times New Roman" w:hAnsi="Times New Roman" w:cs="Times New Roman"/>
          <w:sz w:val="18"/>
          <w:szCs w:val="18"/>
        </w:rPr>
        <w:t xml:space="preserve"> Ibidem., párr. 94. </w:t>
      </w:r>
    </w:p>
  </w:footnote>
  <w:footnote w:id="32">
    <w:p w14:paraId="7A3968FD" w14:textId="77777777" w:rsidR="002E5DA8" w:rsidRDefault="0095632D">
      <w:pPr>
        <w:spacing w:after="0" w:line="240" w:lineRule="auto"/>
        <w:rPr>
          <w:rFonts w:ascii="Times New Roman" w:eastAsia="Times New Roman" w:hAnsi="Times New Roman" w:cs="Times New Roman"/>
          <w:sz w:val="18"/>
          <w:szCs w:val="18"/>
        </w:rPr>
      </w:pPr>
      <w:r>
        <w:rPr>
          <w:rStyle w:val="FootnoteReference"/>
        </w:rPr>
        <w:footnoteRef/>
      </w:r>
      <w:r>
        <w:rPr>
          <w:rFonts w:ascii="Times New Roman" w:eastAsia="Times New Roman" w:hAnsi="Times New Roman" w:cs="Times New Roman"/>
          <w:sz w:val="18"/>
          <w:szCs w:val="18"/>
        </w:rPr>
        <w:t xml:space="preserve">  CIDH, Informe No. 21/07, Petición 161/02, Solución Amistosa, Paulina del Carm</w:t>
      </w:r>
      <w:r>
        <w:rPr>
          <w:rFonts w:ascii="Times New Roman" w:eastAsia="Times New Roman" w:hAnsi="Times New Roman" w:cs="Times New Roman"/>
          <w:sz w:val="18"/>
          <w:szCs w:val="18"/>
        </w:rPr>
        <w:t>en Ramirez Jacinto (México), 09 de marzo de 2007, párr. 19.</w:t>
      </w:r>
    </w:p>
  </w:footnote>
  <w:footnote w:id="33">
    <w:p w14:paraId="7A3968FE" w14:textId="77777777" w:rsidR="002E5DA8" w:rsidRDefault="0095632D">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Ibidem., párr. 196.</w:t>
      </w:r>
    </w:p>
  </w:footnote>
  <w:footnote w:id="34">
    <w:p w14:paraId="7A3968FF" w14:textId="77777777" w:rsidR="002E5DA8" w:rsidRDefault="0095632D">
      <w:pPr>
        <w:pBdr>
          <w:top w:val="nil"/>
          <w:left w:val="nil"/>
          <w:bottom w:val="nil"/>
          <w:right w:val="nil"/>
          <w:between w:val="nil"/>
        </w:pBdr>
        <w:spacing w:after="0" w:line="240" w:lineRule="auto"/>
        <w:jc w:val="both"/>
        <w:rPr>
          <w:rFonts w:ascii="Times New Roman" w:eastAsia="Times New Roman" w:hAnsi="Times New Roman" w:cs="Times New Roman"/>
          <w:sz w:val="18"/>
          <w:szCs w:val="18"/>
        </w:rPr>
      </w:pPr>
      <w:r>
        <w:rPr>
          <w:rStyle w:val="FootnoteReference"/>
        </w:rPr>
        <w:foot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z w:val="18"/>
          <w:szCs w:val="18"/>
        </w:rPr>
        <w:t>Defensoría del Pueblo del Ecuador</w:t>
      </w:r>
      <w:r>
        <w:rPr>
          <w:rFonts w:ascii="Times New Roman" w:eastAsia="Times New Roman" w:hAnsi="Times New Roman" w:cs="Times New Roman"/>
          <w:color w:val="000000"/>
          <w:sz w:val="18"/>
          <w:szCs w:val="18"/>
        </w:rPr>
        <w:t>.  </w:t>
      </w:r>
      <w:r>
        <w:rPr>
          <w:rFonts w:ascii="Times New Roman" w:eastAsia="Times New Roman" w:hAnsi="Times New Roman" w:cs="Times New Roman"/>
          <w:i/>
          <w:color w:val="000000"/>
          <w:sz w:val="18"/>
          <w:szCs w:val="18"/>
        </w:rPr>
        <w:t>La Defensoría del Pueblo entrega a la Asamblea Nacional el proyecto de ley para</w:t>
      </w:r>
      <w:r>
        <w:rPr>
          <w:rFonts w:ascii="Times New Roman" w:eastAsia="Times New Roman" w:hAnsi="Times New Roman" w:cs="Times New Roman"/>
          <w:i/>
          <w:sz w:val="18"/>
          <w:szCs w:val="18"/>
        </w:rPr>
        <w:t xml:space="preserve"> </w:t>
      </w:r>
      <w:r>
        <w:rPr>
          <w:rFonts w:ascii="Times New Roman" w:eastAsia="Times New Roman" w:hAnsi="Times New Roman" w:cs="Times New Roman"/>
          <w:i/>
          <w:color w:val="000000"/>
          <w:sz w:val="18"/>
          <w:szCs w:val="18"/>
        </w:rPr>
        <w:t xml:space="preserve">garantizar el derecho a la interrupción del embarazo por violación en Ecuador. </w:t>
      </w:r>
      <w:r>
        <w:rPr>
          <w:rFonts w:ascii="Times New Roman" w:eastAsia="Times New Roman" w:hAnsi="Times New Roman" w:cs="Times New Roman"/>
          <w:sz w:val="18"/>
          <w:szCs w:val="18"/>
        </w:rPr>
        <w:t xml:space="preserve">27 de junio de 2021. </w:t>
      </w:r>
      <w:r>
        <w:rPr>
          <w:rFonts w:ascii="Times New Roman" w:eastAsia="Times New Roman" w:hAnsi="Times New Roman" w:cs="Times New Roman"/>
          <w:color w:val="000000"/>
          <w:sz w:val="18"/>
          <w:szCs w:val="18"/>
        </w:rPr>
        <w:t xml:space="preserve">Recuperado de: </w:t>
      </w:r>
      <w:hyperlink r:id="rId11">
        <w:r>
          <w:rPr>
            <w:rFonts w:ascii="Times New Roman" w:eastAsia="Times New Roman" w:hAnsi="Times New Roman" w:cs="Times New Roman"/>
            <w:color w:val="1155CC"/>
            <w:sz w:val="18"/>
            <w:szCs w:val="18"/>
            <w:u w:val="single"/>
          </w:rPr>
          <w:t>https://www.dpe.gob.ec/la-defensoria-del-pueblo-entrega-a-l</w:t>
        </w:r>
        <w:r>
          <w:rPr>
            <w:rFonts w:ascii="Times New Roman" w:eastAsia="Times New Roman" w:hAnsi="Times New Roman" w:cs="Times New Roman"/>
            <w:color w:val="1155CC"/>
            <w:sz w:val="18"/>
            <w:szCs w:val="18"/>
            <w:u w:val="single"/>
          </w:rPr>
          <w:t>a-asamblea-nacional-el-proyecto-de-ley-para-garantizar-el-derecho-a-la-interrupcion-del-embarazo-por-violacion-en-ecuador/</w:t>
        </w:r>
      </w:hyperlink>
    </w:p>
  </w:footnote>
  <w:footnote w:id="35">
    <w:p w14:paraId="7A396900" w14:textId="77777777" w:rsidR="002E5DA8" w:rsidRDefault="0095632D">
      <w:pPr>
        <w:spacing w:after="0" w:line="240" w:lineRule="auto"/>
        <w:ind w:hanging="30"/>
        <w:jc w:val="both"/>
        <w:rPr>
          <w:rFonts w:ascii="Times New Roman" w:eastAsia="Times New Roman" w:hAnsi="Times New Roman" w:cs="Times New Roman"/>
          <w:sz w:val="18"/>
          <w:szCs w:val="18"/>
        </w:rPr>
      </w:pPr>
      <w:r>
        <w:rPr>
          <w:rStyle w:val="FootnoteReference"/>
        </w:rPr>
        <w:footnoteRef/>
      </w:r>
      <w:r>
        <w:rPr>
          <w:rFonts w:ascii="Times New Roman" w:eastAsia="Times New Roman" w:hAnsi="Times New Roman" w:cs="Times New Roman"/>
          <w:sz w:val="18"/>
          <w:szCs w:val="18"/>
        </w:rPr>
        <w:t xml:space="preserve"> Asamblea Nacional del Ecuador. (2021) </w:t>
      </w:r>
      <w:r>
        <w:rPr>
          <w:rFonts w:ascii="Times New Roman" w:eastAsia="Times New Roman" w:hAnsi="Times New Roman" w:cs="Times New Roman"/>
          <w:i/>
          <w:sz w:val="18"/>
          <w:szCs w:val="18"/>
        </w:rPr>
        <w:t>Pleno tramitó en primer debate proyecto para garantizar el</w:t>
      </w:r>
      <w:r>
        <w:rPr>
          <w:rFonts w:ascii="Times New Roman" w:eastAsia="Times New Roman" w:hAnsi="Times New Roman" w:cs="Times New Roman"/>
          <w:i/>
          <w:sz w:val="18"/>
          <w:szCs w:val="18"/>
        </w:rPr>
        <w:t xml:space="preserve"> derecho a la interrupción voluntaria del embarazo en caso de violación</w:t>
      </w:r>
      <w:r>
        <w:rPr>
          <w:rFonts w:ascii="Times New Roman" w:eastAsia="Times New Roman" w:hAnsi="Times New Roman" w:cs="Times New Roman"/>
          <w:sz w:val="18"/>
          <w:szCs w:val="18"/>
        </w:rPr>
        <w:t xml:space="preserve">. Recuperado de: </w:t>
      </w:r>
      <w:hyperlink r:id="rId12">
        <w:r>
          <w:rPr>
            <w:rFonts w:ascii="Times New Roman" w:eastAsia="Times New Roman" w:hAnsi="Times New Roman" w:cs="Times New Roman"/>
            <w:color w:val="1155CC"/>
            <w:sz w:val="18"/>
            <w:szCs w:val="18"/>
            <w:u w:val="single"/>
          </w:rPr>
          <w:t>https://www.asambleanacional.gob.ec/es/not</w:t>
        </w:r>
        <w:r>
          <w:rPr>
            <w:rFonts w:ascii="Times New Roman" w:eastAsia="Times New Roman" w:hAnsi="Times New Roman" w:cs="Times New Roman"/>
            <w:color w:val="1155CC"/>
            <w:sz w:val="18"/>
            <w:szCs w:val="18"/>
            <w:u w:val="single"/>
          </w:rPr>
          <w:t>icia/76049-pleno-tramito-en-primer-debate-proyecto-para-garantizar</w:t>
        </w:r>
      </w:hyperlink>
    </w:p>
  </w:footnote>
  <w:footnote w:id="36">
    <w:p w14:paraId="7A396901" w14:textId="77777777" w:rsidR="002E5DA8" w:rsidRDefault="0095632D">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rStyle w:val="FootnoteReference"/>
        </w:rPr>
        <w:footnoteRef/>
      </w:r>
      <w:r>
        <w:rPr>
          <w:rFonts w:ascii="Times New Roman" w:eastAsia="Times New Roman" w:hAnsi="Times New Roman" w:cs="Times New Roman"/>
          <w:color w:val="000000"/>
          <w:sz w:val="18"/>
          <w:szCs w:val="18"/>
        </w:rPr>
        <w:t xml:space="preserve"> Ibídem.</w:t>
      </w:r>
    </w:p>
  </w:footnote>
  <w:footnote w:id="37">
    <w:p w14:paraId="7A396902" w14:textId="77777777" w:rsidR="002E5DA8" w:rsidRDefault="0095632D">
      <w:pPr>
        <w:pBdr>
          <w:top w:val="nil"/>
          <w:left w:val="nil"/>
          <w:bottom w:val="nil"/>
          <w:right w:val="nil"/>
          <w:between w:val="nil"/>
        </w:pBdr>
        <w:spacing w:after="0" w:line="240" w:lineRule="auto"/>
        <w:ind w:hanging="30"/>
        <w:jc w:val="both"/>
        <w:rPr>
          <w:rFonts w:ascii="Times New Roman" w:eastAsia="Times New Roman" w:hAnsi="Times New Roman" w:cs="Times New Roman"/>
          <w:sz w:val="18"/>
          <w:szCs w:val="18"/>
        </w:rPr>
      </w:pPr>
      <w:r>
        <w:rPr>
          <w:rStyle w:val="FootnoteReference"/>
        </w:rPr>
        <w:footnoteRef/>
      </w:r>
      <w:r>
        <w:rPr>
          <w:rFonts w:ascii="Times New Roman" w:eastAsia="Times New Roman" w:hAnsi="Times New Roman" w:cs="Times New Roman"/>
          <w:color w:val="000000"/>
          <w:sz w:val="18"/>
          <w:szCs w:val="18"/>
        </w:rPr>
        <w:t xml:space="preserve"> Asamblea Nacional del Ecuador (2022) </w:t>
      </w:r>
      <w:r>
        <w:rPr>
          <w:rFonts w:ascii="Times New Roman" w:eastAsia="Times New Roman" w:hAnsi="Times New Roman" w:cs="Times New Roman"/>
          <w:i/>
          <w:color w:val="000000"/>
          <w:sz w:val="18"/>
          <w:szCs w:val="18"/>
        </w:rPr>
        <w:t>Pleno concluyó segundo debate de proyecto que garantiza interrupción voluntaria del embarazo en caso de v</w:t>
      </w:r>
      <w:r>
        <w:rPr>
          <w:rFonts w:ascii="Times New Roman" w:eastAsia="Times New Roman" w:hAnsi="Times New Roman" w:cs="Times New Roman"/>
          <w:i/>
          <w:color w:val="000000"/>
          <w:sz w:val="18"/>
          <w:szCs w:val="18"/>
        </w:rPr>
        <w:t>iolación</w:t>
      </w:r>
      <w:r>
        <w:rPr>
          <w:rFonts w:ascii="Times New Roman" w:eastAsia="Times New Roman" w:hAnsi="Times New Roman" w:cs="Times New Roman"/>
          <w:color w:val="000000"/>
          <w:sz w:val="18"/>
          <w:szCs w:val="18"/>
        </w:rPr>
        <w:t xml:space="preserve">. Recuperado de: </w:t>
      </w:r>
      <w:hyperlink r:id="rId13">
        <w:r>
          <w:rPr>
            <w:rFonts w:ascii="Times New Roman" w:eastAsia="Times New Roman" w:hAnsi="Times New Roman" w:cs="Times New Roman"/>
            <w:color w:val="1155CC"/>
            <w:sz w:val="18"/>
            <w:szCs w:val="18"/>
            <w:u w:val="single"/>
          </w:rPr>
          <w:t>https://www.asambleanacional.gob.ec/es/noticia/76953-pleno-concluyo-segundo-debate-de-proyecto-que-garant</w:t>
        </w:r>
        <w:r>
          <w:rPr>
            <w:rFonts w:ascii="Times New Roman" w:eastAsia="Times New Roman" w:hAnsi="Times New Roman" w:cs="Times New Roman"/>
            <w:color w:val="1155CC"/>
            <w:sz w:val="18"/>
            <w:szCs w:val="18"/>
            <w:u w:val="single"/>
          </w:rPr>
          <w:t>iza</w:t>
        </w:r>
      </w:hyperlink>
    </w:p>
  </w:footnote>
  <w:footnote w:id="38">
    <w:p w14:paraId="7A396903" w14:textId="77777777" w:rsidR="002E5DA8" w:rsidRDefault="0095632D">
      <w:pPr>
        <w:pBdr>
          <w:top w:val="nil"/>
          <w:left w:val="nil"/>
          <w:bottom w:val="nil"/>
          <w:right w:val="nil"/>
          <w:between w:val="nil"/>
        </w:pBdr>
        <w:spacing w:after="0" w:line="240" w:lineRule="auto"/>
        <w:ind w:hanging="30"/>
        <w:jc w:val="both"/>
        <w:rPr>
          <w:rFonts w:ascii="Times New Roman" w:eastAsia="Times New Roman" w:hAnsi="Times New Roman" w:cs="Times New Roman"/>
          <w:color w:val="000000"/>
          <w:sz w:val="18"/>
          <w:szCs w:val="18"/>
        </w:rPr>
      </w:pPr>
      <w:r>
        <w:rPr>
          <w:rStyle w:val="FootnoteReference"/>
        </w:rPr>
        <w:footnoteRef/>
      </w:r>
      <w:r>
        <w:rPr>
          <w:rFonts w:ascii="Times New Roman" w:eastAsia="Times New Roman" w:hAnsi="Times New Roman" w:cs="Times New Roman"/>
          <w:color w:val="000000"/>
          <w:sz w:val="18"/>
          <w:szCs w:val="18"/>
        </w:rPr>
        <w:t xml:space="preserve"> Asamblea Nacional del Ecuador (2022). </w:t>
      </w:r>
      <w:r>
        <w:rPr>
          <w:rFonts w:ascii="Times New Roman" w:eastAsia="Times New Roman" w:hAnsi="Times New Roman" w:cs="Times New Roman"/>
          <w:i/>
          <w:color w:val="000000"/>
          <w:sz w:val="18"/>
          <w:szCs w:val="18"/>
        </w:rPr>
        <w:t>Se aprueba proyecto que garantiza la interrupción voluntaria del embarazo en caso de violación</w:t>
      </w:r>
      <w:r>
        <w:rPr>
          <w:rFonts w:ascii="Times New Roman" w:eastAsia="Times New Roman" w:hAnsi="Times New Roman" w:cs="Times New Roman"/>
          <w:color w:val="000000"/>
          <w:sz w:val="18"/>
          <w:szCs w:val="18"/>
        </w:rPr>
        <w:t>. Recuperado de: https://www.asambleanacional.gob.ec/es/noticia/77184-se-aprueba-proyecto-que-garantiza-la-interrupcion</w:t>
      </w:r>
    </w:p>
  </w:footnote>
  <w:footnote w:id="39">
    <w:p w14:paraId="7A396904" w14:textId="77777777" w:rsidR="002E5DA8" w:rsidRDefault="0095632D">
      <w:pPr>
        <w:pBdr>
          <w:top w:val="nil"/>
          <w:left w:val="nil"/>
          <w:bottom w:val="nil"/>
          <w:right w:val="nil"/>
          <w:between w:val="nil"/>
        </w:pBdr>
        <w:spacing w:after="0" w:line="240" w:lineRule="auto"/>
        <w:jc w:val="both"/>
        <w:rPr>
          <w:rFonts w:ascii="Times New Roman" w:eastAsia="Times New Roman" w:hAnsi="Times New Roman" w:cs="Times New Roman"/>
          <w:sz w:val="18"/>
          <w:szCs w:val="18"/>
        </w:rPr>
      </w:pPr>
      <w:r>
        <w:rPr>
          <w:rStyle w:val="FootnoteReference"/>
        </w:rPr>
        <w:footnoteRef/>
      </w:r>
      <w:r>
        <w:rPr>
          <w:rFonts w:ascii="Times New Roman" w:eastAsia="Times New Roman" w:hAnsi="Times New Roman" w:cs="Times New Roman"/>
          <w:color w:val="000000"/>
          <w:sz w:val="18"/>
          <w:szCs w:val="18"/>
        </w:rPr>
        <w:t xml:space="preserve"> Presidencia de la República del Ecuador </w:t>
      </w:r>
      <w:r>
        <w:rPr>
          <w:rFonts w:ascii="Times New Roman" w:eastAsia="Times New Roman" w:hAnsi="Times New Roman" w:cs="Times New Roman"/>
          <w:color w:val="000000"/>
          <w:sz w:val="18"/>
          <w:szCs w:val="18"/>
        </w:rPr>
        <w:t xml:space="preserve">(2022). </w:t>
      </w:r>
      <w:r>
        <w:rPr>
          <w:rFonts w:ascii="Times New Roman" w:eastAsia="Times New Roman" w:hAnsi="Times New Roman" w:cs="Times New Roman"/>
          <w:i/>
          <w:color w:val="000000"/>
          <w:sz w:val="18"/>
          <w:szCs w:val="18"/>
        </w:rPr>
        <w:t xml:space="preserve">Oficio No. T. 180-SGJ-22-0050. </w:t>
      </w:r>
      <w:r>
        <w:rPr>
          <w:rFonts w:ascii="Times New Roman" w:eastAsia="Times New Roman" w:hAnsi="Times New Roman" w:cs="Times New Roman"/>
          <w:color w:val="000000"/>
          <w:sz w:val="18"/>
          <w:szCs w:val="18"/>
        </w:rPr>
        <w:t>Recuperado de:</w:t>
      </w:r>
      <w:r>
        <w:rPr>
          <w:rFonts w:ascii="Times New Roman" w:eastAsia="Times New Roman" w:hAnsi="Times New Roman" w:cs="Times New Roman"/>
          <w:i/>
          <w:color w:val="000000"/>
          <w:sz w:val="18"/>
          <w:szCs w:val="18"/>
        </w:rPr>
        <w:t xml:space="preserve"> </w:t>
      </w:r>
      <w:hyperlink r:id="rId14">
        <w:r>
          <w:rPr>
            <w:rFonts w:ascii="Times New Roman" w:eastAsia="Times New Roman" w:hAnsi="Times New Roman" w:cs="Times New Roman"/>
            <w:color w:val="1155CC"/>
            <w:sz w:val="18"/>
            <w:szCs w:val="18"/>
            <w:u w:val="single"/>
          </w:rPr>
          <w:t>https://derechoyreligion.uc.cl/es/centro-de-documentacion/internacional/otros-1/1367-ecuador-presidencia-de-la-republica-objecion-parcial-a-proyecto-de-ley-organica-que-garantiza-la-interrupcion-voluntari</w:t>
        </w:r>
        <w:r>
          <w:rPr>
            <w:rFonts w:ascii="Times New Roman" w:eastAsia="Times New Roman" w:hAnsi="Times New Roman" w:cs="Times New Roman"/>
            <w:color w:val="1155CC"/>
            <w:sz w:val="18"/>
            <w:szCs w:val="18"/>
            <w:u w:val="single"/>
          </w:rPr>
          <w:t>a-del-embarazo-para-ninas-adolescentes-y-mujeres-en-caso-de-violacion-15-marzo-2022/file</w:t>
        </w:r>
      </w:hyperlink>
    </w:p>
  </w:footnote>
  <w:footnote w:id="40">
    <w:p w14:paraId="7A396905" w14:textId="77777777" w:rsidR="002E5DA8" w:rsidRDefault="0095632D">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rStyle w:val="FootnoteReference"/>
        </w:rPr>
        <w:foot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z w:val="18"/>
          <w:szCs w:val="18"/>
        </w:rPr>
        <w:t>Ibidem</w:t>
      </w:r>
      <w:r>
        <w:rPr>
          <w:rFonts w:ascii="Times New Roman" w:eastAsia="Times New Roman" w:hAnsi="Times New Roman" w:cs="Times New Roman"/>
          <w:color w:val="000000"/>
          <w:sz w:val="18"/>
          <w:szCs w:val="18"/>
        </w:rPr>
        <w:t xml:space="preserve">. p. </w:t>
      </w:r>
      <w:r>
        <w:rPr>
          <w:rFonts w:ascii="Times New Roman" w:eastAsia="Times New Roman" w:hAnsi="Times New Roman" w:cs="Times New Roman"/>
          <w:sz w:val="18"/>
          <w:szCs w:val="18"/>
        </w:rPr>
        <w:t>09</w:t>
      </w:r>
      <w:r>
        <w:rPr>
          <w:rFonts w:ascii="Times New Roman" w:eastAsia="Times New Roman" w:hAnsi="Times New Roman" w:cs="Times New Roman"/>
          <w:color w:val="000000"/>
          <w:sz w:val="18"/>
          <w:szCs w:val="18"/>
        </w:rPr>
        <w:t>.</w:t>
      </w:r>
    </w:p>
  </w:footnote>
  <w:footnote w:id="41">
    <w:p w14:paraId="7A396906" w14:textId="77777777" w:rsidR="002E5DA8" w:rsidRDefault="0095632D">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rStyle w:val="FootnoteReference"/>
        </w:rPr>
        <w:footnoteRef/>
      </w:r>
      <w:r>
        <w:rPr>
          <w:rFonts w:ascii="Times New Roman" w:eastAsia="Times New Roman" w:hAnsi="Times New Roman" w:cs="Times New Roman"/>
          <w:color w:val="000000"/>
          <w:sz w:val="18"/>
          <w:szCs w:val="18"/>
        </w:rPr>
        <w:t xml:space="preserve"> Ibídem. p. 1</w:t>
      </w:r>
      <w:r>
        <w:rPr>
          <w:rFonts w:ascii="Times New Roman" w:eastAsia="Times New Roman" w:hAnsi="Times New Roman" w:cs="Times New Roman"/>
          <w:sz w:val="18"/>
          <w:szCs w:val="18"/>
        </w:rPr>
        <w:t>8.</w:t>
      </w:r>
    </w:p>
  </w:footnote>
  <w:footnote w:id="42">
    <w:p w14:paraId="7A396907" w14:textId="77777777" w:rsidR="002E5DA8" w:rsidRDefault="0095632D">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rStyle w:val="FootnoteReference"/>
        </w:rPr>
        <w:footnoteRef/>
      </w:r>
      <w:r>
        <w:rPr>
          <w:rFonts w:ascii="Times New Roman" w:eastAsia="Times New Roman" w:hAnsi="Times New Roman" w:cs="Times New Roman"/>
          <w:color w:val="000000"/>
          <w:sz w:val="18"/>
          <w:szCs w:val="18"/>
        </w:rPr>
        <w:t xml:space="preserve"> Ibídem. p. 60</w:t>
      </w:r>
    </w:p>
  </w:footnote>
  <w:footnote w:id="43">
    <w:p w14:paraId="7A396908" w14:textId="77777777" w:rsidR="002E5DA8" w:rsidRDefault="0095632D">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Ibidem., p. 38-40.</w:t>
      </w:r>
    </w:p>
  </w:footnote>
  <w:footnote w:id="44">
    <w:p w14:paraId="7A396909" w14:textId="77777777" w:rsidR="002E5DA8" w:rsidRDefault="0095632D">
      <w:pPr>
        <w:spacing w:after="0" w:line="240" w:lineRule="auto"/>
        <w:jc w:val="both"/>
        <w:rPr>
          <w:rFonts w:ascii="Times New Roman" w:eastAsia="Times New Roman" w:hAnsi="Times New Roman" w:cs="Times New Roman"/>
          <w:sz w:val="18"/>
          <w:szCs w:val="18"/>
        </w:rPr>
      </w:pPr>
      <w:r>
        <w:rPr>
          <w:rStyle w:val="FootnoteReference"/>
        </w:rPr>
        <w:footnoteRef/>
      </w:r>
      <w:r>
        <w:rPr>
          <w:rFonts w:ascii="Times New Roman" w:eastAsia="Times New Roman" w:hAnsi="Times New Roman" w:cs="Times New Roman"/>
          <w:sz w:val="18"/>
          <w:szCs w:val="18"/>
        </w:rPr>
        <w:t xml:space="preserve"> Corte Constitucional, febrero 28, 2008, Sentencia T 209/08,</w:t>
      </w:r>
      <w:r>
        <w:rPr>
          <w:rFonts w:ascii="Times New Roman" w:eastAsia="Times New Roman" w:hAnsi="Times New Roman" w:cs="Times New Roman"/>
          <w:sz w:val="18"/>
          <w:szCs w:val="18"/>
        </w:rPr>
        <w:t xml:space="preserve"> Gaceta de la Corte Constitucional [G.C.C.] (Colom.), citado en CIDH, </w:t>
      </w:r>
      <w:r>
        <w:rPr>
          <w:rFonts w:ascii="Times New Roman" w:eastAsia="Times New Roman" w:hAnsi="Times New Roman" w:cs="Times New Roman"/>
          <w:i/>
          <w:sz w:val="18"/>
          <w:szCs w:val="18"/>
        </w:rPr>
        <w:t>Acceso a la información en materia reproductiva</w:t>
      </w:r>
      <w:r>
        <w:rPr>
          <w:rFonts w:ascii="Times New Roman" w:eastAsia="Times New Roman" w:hAnsi="Times New Roman" w:cs="Times New Roman"/>
          <w:sz w:val="18"/>
          <w:szCs w:val="18"/>
        </w:rPr>
        <w:t xml:space="preserve">, supra nota 28, párr. 93, 97. </w:t>
      </w:r>
    </w:p>
  </w:footnote>
  <w:footnote w:id="45">
    <w:p w14:paraId="7A39690A" w14:textId="77777777" w:rsidR="002E5DA8" w:rsidRDefault="0095632D">
      <w:pPr>
        <w:spacing w:after="0" w:line="240" w:lineRule="auto"/>
        <w:jc w:val="both"/>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CDESC. Observación General No. 22 (2016), relativa al derecho a la salud sexual y reproductiva (artículo </w:t>
      </w:r>
      <w:r>
        <w:rPr>
          <w:rFonts w:ascii="Times New Roman" w:eastAsia="Times New Roman" w:hAnsi="Times New Roman" w:cs="Times New Roman"/>
          <w:sz w:val="20"/>
          <w:szCs w:val="20"/>
        </w:rPr>
        <w:t>12 del Pacto Internacional de Derechos Económicos, Sociales y Culturales), E/C.12/GC/22, 2 de mayo de 2016, párr. 14.</w:t>
      </w:r>
    </w:p>
  </w:footnote>
  <w:footnote w:id="46">
    <w:p w14:paraId="7A39690B" w14:textId="77777777" w:rsidR="002E5DA8" w:rsidRDefault="0095632D">
      <w:pPr>
        <w:pBdr>
          <w:top w:val="nil"/>
          <w:left w:val="nil"/>
          <w:bottom w:val="nil"/>
          <w:right w:val="nil"/>
          <w:between w:val="nil"/>
        </w:pBdr>
        <w:spacing w:after="0" w:line="240" w:lineRule="auto"/>
        <w:rPr>
          <w:color w:val="000000"/>
          <w:sz w:val="20"/>
          <w:szCs w:val="20"/>
        </w:rPr>
      </w:pPr>
      <w:r>
        <w:rPr>
          <w:rStyle w:val="FootnoteReference"/>
        </w:rPr>
        <w:footnoteRef/>
      </w:r>
      <w:r>
        <w:rPr>
          <w:rFonts w:ascii="Times New Roman" w:eastAsia="Times New Roman" w:hAnsi="Times New Roman" w:cs="Times New Roman"/>
          <w:color w:val="000000"/>
          <w:sz w:val="18"/>
          <w:szCs w:val="18"/>
        </w:rPr>
        <w:t xml:space="preserve"> Ibídem.</w:t>
      </w:r>
      <w:r>
        <w:rPr>
          <w:rFonts w:ascii="Times New Roman" w:eastAsia="Times New Roman" w:hAnsi="Times New Roman" w:cs="Times New Roman"/>
          <w:sz w:val="18"/>
          <w:szCs w:val="18"/>
        </w:rPr>
        <w:t>,</w:t>
      </w:r>
      <w:r>
        <w:rPr>
          <w:rFonts w:ascii="Times New Roman" w:eastAsia="Times New Roman" w:hAnsi="Times New Roman" w:cs="Times New Roman"/>
          <w:color w:val="000000"/>
          <w:sz w:val="18"/>
          <w:szCs w:val="18"/>
        </w:rPr>
        <w:t xml:space="preserve"> p.</w:t>
      </w:r>
      <w:r>
        <w:rPr>
          <w:rFonts w:ascii="Times New Roman" w:eastAsia="Times New Roman" w:hAnsi="Times New Roman" w:cs="Times New Roman"/>
          <w:sz w:val="18"/>
          <w:szCs w:val="18"/>
        </w:rPr>
        <w:t xml:space="preserve"> 30-31.</w:t>
      </w:r>
    </w:p>
  </w:footnote>
  <w:footnote w:id="47">
    <w:p w14:paraId="7A39690C" w14:textId="77777777" w:rsidR="002E5DA8" w:rsidRDefault="0095632D">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CIDH, Violencia y discriminación contra mujeres, niñas y adolescentes: Buenas prácticas y desafíos en América Latina y en el Caribe, OEA/Ser.L/V/II. Doc. 233 14 noviembre 2019, párr. 261-263.</w:t>
      </w:r>
    </w:p>
  </w:footnote>
  <w:footnote w:id="48">
    <w:p w14:paraId="7A39690D" w14:textId="77777777" w:rsidR="002E5DA8" w:rsidRDefault="0095632D">
      <w:pPr>
        <w:spacing w:after="0" w:line="240" w:lineRule="auto"/>
        <w:rPr>
          <w:rFonts w:ascii="Times New Roman" w:eastAsia="Times New Roman" w:hAnsi="Times New Roman" w:cs="Times New Roman"/>
          <w:i/>
          <w:sz w:val="20"/>
          <w:szCs w:val="20"/>
        </w:rPr>
      </w:pPr>
      <w:r>
        <w:rPr>
          <w:rStyle w:val="FootnoteReference"/>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ibidem.</w:t>
      </w:r>
    </w:p>
  </w:footnote>
  <w:footnote w:id="49">
    <w:p w14:paraId="7A39690E" w14:textId="77777777" w:rsidR="002E5DA8" w:rsidRDefault="0095632D">
      <w:pPr>
        <w:pBdr>
          <w:top w:val="nil"/>
          <w:left w:val="nil"/>
          <w:bottom w:val="nil"/>
          <w:right w:val="nil"/>
          <w:between w:val="nil"/>
        </w:pBdr>
        <w:spacing w:after="0" w:line="240" w:lineRule="auto"/>
        <w:ind w:hanging="30"/>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18"/>
          <w:szCs w:val="18"/>
        </w:rPr>
        <w:t xml:space="preserve"> Ordóñez, V.</w:t>
      </w:r>
      <w:r>
        <w:rPr>
          <w:rFonts w:ascii="Times New Roman" w:eastAsia="Times New Roman" w:hAnsi="Times New Roman" w:cs="Times New Roman"/>
          <w:sz w:val="18"/>
          <w:szCs w:val="18"/>
        </w:rPr>
        <w:t xml:space="preserve"> </w:t>
      </w:r>
      <w:r>
        <w:rPr>
          <w:rFonts w:ascii="Times New Roman" w:eastAsia="Times New Roman" w:hAnsi="Times New Roman" w:cs="Times New Roman"/>
          <w:i/>
          <w:color w:val="000000"/>
          <w:sz w:val="18"/>
          <w:szCs w:val="18"/>
        </w:rPr>
        <w:t>Asamblea Nacional no se pronuncia sobre</w:t>
      </w:r>
      <w:r>
        <w:rPr>
          <w:rFonts w:ascii="Times New Roman" w:eastAsia="Times New Roman" w:hAnsi="Times New Roman" w:cs="Times New Roman"/>
          <w:i/>
          <w:color w:val="000000"/>
          <w:sz w:val="18"/>
          <w:szCs w:val="18"/>
        </w:rPr>
        <w:t xml:space="preserve"> el veto parcial del proyecto de ley del aborto por violación</w:t>
      </w:r>
      <w:r>
        <w:rPr>
          <w:rFonts w:ascii="Times New Roman" w:eastAsia="Times New Roman" w:hAnsi="Times New Roman" w:cs="Times New Roman"/>
          <w:color w:val="000000"/>
          <w:sz w:val="18"/>
          <w:szCs w:val="18"/>
        </w:rPr>
        <w:t xml:space="preserve">. 15 de abril de 2022. </w:t>
      </w:r>
      <w:r>
        <w:rPr>
          <w:rFonts w:ascii="Times New Roman" w:eastAsia="Times New Roman" w:hAnsi="Times New Roman" w:cs="Times New Roman"/>
          <w:sz w:val="18"/>
          <w:szCs w:val="18"/>
        </w:rPr>
        <w:t xml:space="preserve">Recuperado de: </w:t>
      </w:r>
      <w:hyperlink r:id="rId15">
        <w:r>
          <w:rPr>
            <w:rFonts w:ascii="Times New Roman" w:eastAsia="Times New Roman" w:hAnsi="Times New Roman" w:cs="Times New Roman"/>
            <w:color w:val="1155CC"/>
            <w:sz w:val="18"/>
            <w:szCs w:val="18"/>
            <w:u w:val="single"/>
          </w:rPr>
          <w:t>https://www.eluniverso.com/noticias/politica/asamblea-nacional-no-se-pronuncia-sobre-el-veto-parcial-del-proyecto-de-ley-del-aborto-por-violacion-nota/</w:t>
        </w:r>
      </w:hyperlink>
    </w:p>
  </w:footnote>
  <w:footnote w:id="50">
    <w:p w14:paraId="7A39690F" w14:textId="77777777" w:rsidR="002E5DA8" w:rsidRDefault="0095632D">
      <w:pPr>
        <w:spacing w:after="0" w:line="240" w:lineRule="auto"/>
        <w:rPr>
          <w:rFonts w:ascii="Times New Roman" w:eastAsia="Times New Roman" w:hAnsi="Times New Roman" w:cs="Times New Roman"/>
          <w:sz w:val="18"/>
          <w:szCs w:val="18"/>
        </w:rPr>
      </w:pPr>
      <w:r>
        <w:rPr>
          <w:rStyle w:val="FootnoteReference"/>
        </w:rPr>
        <w:footnoteRef/>
      </w:r>
      <w:r>
        <w:rPr>
          <w:rFonts w:ascii="Times New Roman" w:eastAsia="Times New Roman" w:hAnsi="Times New Roman" w:cs="Times New Roman"/>
          <w:sz w:val="18"/>
          <w:szCs w:val="18"/>
        </w:rPr>
        <w:t xml:space="preserve"> El Universo. </w:t>
      </w:r>
      <w:r>
        <w:rPr>
          <w:rFonts w:ascii="Times New Roman" w:eastAsia="Times New Roman" w:hAnsi="Times New Roman" w:cs="Times New Roman"/>
          <w:i/>
          <w:sz w:val="18"/>
          <w:szCs w:val="18"/>
        </w:rPr>
        <w:t xml:space="preserve">Ley que regula el aborto en casos de violación se publicó en el Registro Oficial. </w:t>
      </w:r>
      <w:r>
        <w:rPr>
          <w:rFonts w:ascii="Times New Roman" w:eastAsia="Times New Roman" w:hAnsi="Times New Roman" w:cs="Times New Roman"/>
          <w:sz w:val="18"/>
          <w:szCs w:val="18"/>
        </w:rPr>
        <w:t xml:space="preserve">29 de abril de 2022. Recuperado de: </w:t>
      </w:r>
      <w:hyperlink r:id="rId16">
        <w:r>
          <w:rPr>
            <w:rFonts w:ascii="Times New Roman" w:eastAsia="Times New Roman" w:hAnsi="Times New Roman" w:cs="Times New Roman"/>
            <w:color w:val="1155CC"/>
            <w:sz w:val="18"/>
            <w:szCs w:val="18"/>
            <w:u w:val="single"/>
          </w:rPr>
          <w:t>https://www.eluniverso.com/noticias/politica/ley-que-regula-el-aborto-en-casos-de-violacion-se-publico-en-el-registro-oficial-nota/</w:t>
        </w:r>
      </w:hyperlink>
    </w:p>
  </w:footnote>
  <w:footnote w:id="51">
    <w:p w14:paraId="7A396910" w14:textId="77777777" w:rsidR="002E5DA8" w:rsidRDefault="0095632D">
      <w:pPr>
        <w:spacing w:after="0" w:line="240" w:lineRule="auto"/>
        <w:jc w:val="both"/>
        <w:rPr>
          <w:rFonts w:ascii="Times New Roman" w:eastAsia="Times New Roman" w:hAnsi="Times New Roman" w:cs="Times New Roman"/>
          <w:sz w:val="18"/>
          <w:szCs w:val="18"/>
        </w:rPr>
      </w:pPr>
      <w:r>
        <w:rPr>
          <w:rStyle w:val="FootnoteReference"/>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18"/>
          <w:szCs w:val="18"/>
        </w:rPr>
        <w:t>CAT, Observaciones finales del Comité contra la Tortura sobre Macedonia, Doc</w:t>
      </w:r>
      <w:r>
        <w:rPr>
          <w:rFonts w:ascii="Times New Roman" w:eastAsia="Times New Roman" w:hAnsi="Times New Roman" w:cs="Times New Roman"/>
          <w:sz w:val="18"/>
          <w:szCs w:val="18"/>
        </w:rPr>
        <w:t>. de la ONU CAT/C/MKD/CO/3 (2015); Perú, Doc. de la ONU CAT/C/PER/CO/5-6 (2013); Bolivia, Doc. de la ONU CAT/C/BOL/CO/2 (2013); Polonia, Doc. de la ONU CAT/C/POL/CO/5-6 (2013); y Kenia, Doc. de la ONU CAT/C/KEN/CO/2 (2013).</w:t>
      </w:r>
    </w:p>
  </w:footnote>
  <w:footnote w:id="52">
    <w:p w14:paraId="7A396911" w14:textId="77777777" w:rsidR="002E5DA8" w:rsidRDefault="0095632D">
      <w:pPr>
        <w:spacing w:after="0" w:line="240" w:lineRule="auto"/>
        <w:jc w:val="both"/>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Observatorio de Derechos y Justicia. Causas activas dentro de la Corte Constitucional del Ecuador respecto a Ley Orgánica de Regulación de la Interrupción Voluntaria del Em</w:t>
      </w:r>
      <w:r>
        <w:rPr>
          <w:rFonts w:ascii="Times New Roman" w:eastAsia="Times New Roman" w:hAnsi="Times New Roman" w:cs="Times New Roman"/>
          <w:sz w:val="20"/>
          <w:szCs w:val="20"/>
        </w:rPr>
        <w:t xml:space="preserve">barazo en casos de violación. Género. Información extraída de: </w:t>
      </w:r>
      <w:hyperlink r:id="rId17">
        <w:r>
          <w:rPr>
            <w:rFonts w:ascii="Times New Roman" w:eastAsia="Times New Roman" w:hAnsi="Times New Roman" w:cs="Times New Roman"/>
            <w:color w:val="1155CC"/>
            <w:sz w:val="20"/>
            <w:szCs w:val="20"/>
            <w:u w:val="single"/>
          </w:rPr>
          <w:t>https://odjec.org/genero/</w:t>
        </w:r>
      </w:hyperlink>
    </w:p>
  </w:footnote>
  <w:footnote w:id="53">
    <w:p w14:paraId="7A396912" w14:textId="77777777" w:rsidR="002E5DA8" w:rsidRDefault="0095632D">
      <w:pPr>
        <w:tabs>
          <w:tab w:val="center" w:pos="4252"/>
          <w:tab w:val="right" w:pos="8504"/>
        </w:tabs>
        <w:spacing w:after="0" w:line="240" w:lineRule="auto"/>
        <w:rPr>
          <w:rFonts w:ascii="Book Antiqua" w:eastAsia="Book Antiqua" w:hAnsi="Book Antiqua" w:cs="Book Antiqua"/>
          <w:sz w:val="20"/>
          <w:szCs w:val="20"/>
        </w:rPr>
      </w:pPr>
      <w:r>
        <w:rPr>
          <w:rStyle w:val="FootnoteReference"/>
        </w:rPr>
        <w:footnoteRef/>
      </w:r>
      <w:r>
        <w:rPr>
          <w:rFonts w:ascii="Times New Roman" w:eastAsia="Times New Roman" w:hAnsi="Times New Roman" w:cs="Times New Roman"/>
          <w:sz w:val="20"/>
          <w:szCs w:val="20"/>
        </w:rPr>
        <w:t xml:space="preserve"> Sobre la causa </w:t>
      </w:r>
      <w:r>
        <w:rPr>
          <w:rFonts w:ascii="Times New Roman" w:eastAsia="Times New Roman" w:hAnsi="Times New Roman" w:cs="Times New Roman"/>
          <w:b/>
          <w:sz w:val="20"/>
          <w:szCs w:val="20"/>
        </w:rPr>
        <w:t>38-19-AN</w:t>
      </w:r>
      <w:r>
        <w:rPr>
          <w:rFonts w:ascii="Times New Roman" w:eastAsia="Times New Roman" w:hAnsi="Times New Roman" w:cs="Times New Roman"/>
          <w:sz w:val="20"/>
          <w:szCs w:val="20"/>
        </w:rPr>
        <w:t>, se trata de una acción de incumplimiento, donde se demanda qu</w:t>
      </w:r>
      <w:r>
        <w:rPr>
          <w:rFonts w:ascii="Times New Roman" w:eastAsia="Times New Roman" w:hAnsi="Times New Roman" w:cs="Times New Roman"/>
          <w:sz w:val="20"/>
          <w:szCs w:val="20"/>
        </w:rPr>
        <w:t>e la Asamblea Nacional al momento del desarrollo y aprobación de la LORIVE no observó los instrumentos internacionales de derechos humanos relativos a derechos sexuales y reproductivos.</w:t>
      </w:r>
    </w:p>
  </w:footnote>
  <w:footnote w:id="54">
    <w:p w14:paraId="7A396913" w14:textId="77777777" w:rsidR="002E5DA8" w:rsidRDefault="0095632D">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i/>
          <w:sz w:val="20"/>
          <w:szCs w:val="20"/>
        </w:rPr>
        <w:t xml:space="preserve"> Consultar:</w:t>
      </w:r>
      <w:r>
        <w:rPr>
          <w:rFonts w:ascii="Times New Roman" w:eastAsia="Times New Roman" w:hAnsi="Times New Roman" w:cs="Times New Roman"/>
          <w:sz w:val="20"/>
          <w:szCs w:val="20"/>
        </w:rPr>
        <w:t xml:space="preserve"> </w:t>
      </w:r>
      <w:hyperlink r:id="rId18">
        <w:r>
          <w:rPr>
            <w:rFonts w:ascii="Times New Roman" w:eastAsia="Times New Roman" w:hAnsi="Times New Roman" w:cs="Times New Roman"/>
            <w:color w:val="1155CC"/>
            <w:sz w:val="20"/>
            <w:szCs w:val="20"/>
            <w:u w:val="single"/>
          </w:rPr>
          <w:t>https://dignidadyderecho.org/</w:t>
        </w:r>
      </w:hyperlink>
    </w:p>
  </w:footnote>
  <w:footnote w:id="55">
    <w:p w14:paraId="7A396914" w14:textId="77777777" w:rsidR="002E5DA8" w:rsidRDefault="0095632D">
      <w:pPr>
        <w:spacing w:after="0" w:line="240" w:lineRule="auto"/>
        <w:rPr>
          <w:rFonts w:ascii="Times New Roman" w:eastAsia="Times New Roman" w:hAnsi="Times New Roman" w:cs="Times New Roman"/>
          <w:sz w:val="20"/>
          <w:szCs w:val="20"/>
        </w:rPr>
      </w:pPr>
      <w:r>
        <w:rPr>
          <w:rStyle w:val="FootnoteReference"/>
        </w:rPr>
        <w:footnoteRef/>
      </w:r>
      <w:r>
        <w:rPr>
          <w:sz w:val="20"/>
          <w:szCs w:val="20"/>
        </w:rPr>
        <w:t xml:space="preserve"> </w:t>
      </w:r>
      <w:r>
        <w:rPr>
          <w:rFonts w:ascii="Times New Roman" w:eastAsia="Times New Roman" w:hAnsi="Times New Roman" w:cs="Times New Roman"/>
          <w:sz w:val="20"/>
          <w:szCs w:val="20"/>
        </w:rPr>
        <w:t xml:space="preserve">Escrito de recusación Fundación Dignidad y Derecho. Recuperado de: </w:t>
      </w:r>
      <w:hyperlink r:id="rId19">
        <w:r>
          <w:rPr>
            <w:rFonts w:ascii="Times New Roman" w:eastAsia="Times New Roman" w:hAnsi="Times New Roman" w:cs="Times New Roman"/>
            <w:color w:val="1155CC"/>
            <w:sz w:val="20"/>
            <w:szCs w:val="20"/>
            <w:u w:val="single"/>
          </w:rPr>
          <w:t>http://esacc.corteconstitucional.gob.ec/storage/api/v1/10_DWL_FL/e2NhcnBldGE6J2VzY3JpdG8nLCB1dWlkOicyYmRjYzFmOC0xMmJlLTRhNzItYjA0Mi02YjliODgwMjUyODEucGRmJ30=</w:t>
        </w:r>
      </w:hyperlink>
    </w:p>
  </w:footnote>
  <w:footnote w:id="56">
    <w:p w14:paraId="7A396915" w14:textId="77777777" w:rsidR="002E5DA8" w:rsidRDefault="0095632D">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Ministerio de Salud Pública de</w:t>
      </w:r>
      <w:r>
        <w:rPr>
          <w:rFonts w:ascii="Times New Roman" w:eastAsia="Times New Roman" w:hAnsi="Times New Roman" w:cs="Times New Roman"/>
          <w:sz w:val="20"/>
          <w:szCs w:val="20"/>
        </w:rPr>
        <w:t xml:space="preserve">l Ecuador. Gacetas de muerte materna 2021. Recuperado de: </w:t>
      </w:r>
      <w:hyperlink r:id="rId20">
        <w:r>
          <w:rPr>
            <w:rFonts w:ascii="Times New Roman" w:eastAsia="Times New Roman" w:hAnsi="Times New Roman" w:cs="Times New Roman"/>
            <w:color w:val="1155CC"/>
            <w:sz w:val="20"/>
            <w:szCs w:val="20"/>
            <w:u w:val="single"/>
          </w:rPr>
          <w:t>https://www.salud.gob.ec/gacetas-muerte-materna-2021/</w:t>
        </w:r>
      </w:hyperlink>
    </w:p>
  </w:footnote>
  <w:footnote w:id="57">
    <w:p w14:paraId="7A396916" w14:textId="77777777" w:rsidR="002E5DA8" w:rsidRDefault="0095632D">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Ibidem. </w:t>
      </w:r>
      <w:hyperlink r:id="rId21">
        <w:r>
          <w:rPr>
            <w:rFonts w:ascii="Times New Roman" w:eastAsia="Times New Roman" w:hAnsi="Times New Roman" w:cs="Times New Roman"/>
            <w:color w:val="1155CC"/>
            <w:sz w:val="20"/>
            <w:szCs w:val="20"/>
            <w:u w:val="single"/>
          </w:rPr>
          <w:t>https://www.salud.gob.ec/gacetas-muerte-materna-2022/</w:t>
        </w:r>
      </w:hyperlink>
    </w:p>
  </w:footnote>
  <w:footnote w:id="58">
    <w:p w14:paraId="7A396917" w14:textId="77777777" w:rsidR="002E5DA8" w:rsidRDefault="0095632D">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Ibidem. </w:t>
      </w:r>
      <w:hyperlink r:id="rId22">
        <w:r>
          <w:rPr>
            <w:rFonts w:ascii="Times New Roman" w:eastAsia="Times New Roman" w:hAnsi="Times New Roman" w:cs="Times New Roman"/>
            <w:color w:val="1155CC"/>
            <w:sz w:val="20"/>
            <w:szCs w:val="20"/>
            <w:u w:val="single"/>
          </w:rPr>
          <w:t>https://www.salud.gob.ec/gacetas-muerte-mate</w:t>
        </w:r>
        <w:r>
          <w:rPr>
            <w:rFonts w:ascii="Times New Roman" w:eastAsia="Times New Roman" w:hAnsi="Times New Roman" w:cs="Times New Roman"/>
            <w:color w:val="1155CC"/>
            <w:sz w:val="20"/>
            <w:szCs w:val="20"/>
            <w:u w:val="single"/>
          </w:rPr>
          <w:t>rna-2023/</w:t>
        </w:r>
      </w:hyperlink>
    </w:p>
  </w:footnote>
  <w:footnote w:id="59">
    <w:p w14:paraId="7A396918" w14:textId="77777777" w:rsidR="002E5DA8" w:rsidRDefault="0095632D">
      <w:pPr>
        <w:spacing w:after="0" w:line="240" w:lineRule="auto"/>
        <w:rPr>
          <w:sz w:val="20"/>
          <w:szCs w:val="20"/>
        </w:rPr>
      </w:pPr>
      <w:r>
        <w:rPr>
          <w:rStyle w:val="FootnoteReference"/>
        </w:rPr>
        <w:footnoteRef/>
      </w:r>
      <w:r>
        <w:rPr>
          <w:rFonts w:ascii="Times New Roman" w:eastAsia="Times New Roman" w:hAnsi="Times New Roman" w:cs="Times New Roman"/>
          <w:sz w:val="20"/>
          <w:szCs w:val="20"/>
        </w:rPr>
        <w:t xml:space="preserve"> Datos extraídos de la solicitud de acceso a la información pública realizada por ODJ al MSP y entregada el 07 de agosto de 2023.</w:t>
      </w:r>
      <w:r>
        <w:rPr>
          <w:sz w:val="20"/>
          <w:szCs w:val="20"/>
        </w:rPr>
        <w:t xml:space="preserve"> </w:t>
      </w:r>
    </w:p>
  </w:footnote>
  <w:footnote w:id="60">
    <w:p w14:paraId="7A396919" w14:textId="77777777" w:rsidR="002E5DA8" w:rsidRDefault="0095632D">
      <w:pPr>
        <w:spacing w:after="0" w:line="240" w:lineRule="auto"/>
        <w:jc w:val="both"/>
        <w:rPr>
          <w:rFonts w:ascii="Times New Roman" w:eastAsia="Times New Roman" w:hAnsi="Times New Roman" w:cs="Times New Roman"/>
          <w:sz w:val="18"/>
          <w:szCs w:val="18"/>
        </w:rPr>
      </w:pPr>
      <w:r>
        <w:rPr>
          <w:rStyle w:val="FootnoteReference"/>
        </w:rPr>
        <w:footnoteRef/>
      </w:r>
      <w:r>
        <w:rPr>
          <w:rFonts w:ascii="Times New Roman" w:eastAsia="Times New Roman" w:hAnsi="Times New Roman" w:cs="Times New Roman"/>
          <w:sz w:val="18"/>
          <w:szCs w:val="18"/>
        </w:rPr>
        <w:t xml:space="preserve"> Instituto de Estadísticas y Censos. Visualización de camas y egresos hospitalarios. Extraído de: </w:t>
      </w:r>
      <w:hyperlink r:id="rId23">
        <w:r>
          <w:rPr>
            <w:rFonts w:ascii="Times New Roman" w:eastAsia="Times New Roman" w:hAnsi="Times New Roman" w:cs="Times New Roman"/>
            <w:color w:val="1155CC"/>
            <w:sz w:val="18"/>
            <w:szCs w:val="18"/>
            <w:u w:val="single"/>
          </w:rPr>
          <w:t>https://app.powerbi.com/view?r=eyJrIjoiMmE3NDMwOGMtZGJlOC00MDJhLWEwYWMtZDg1MmMwZmViNDBmIiwidCI6ImYxNThhMmU4LWNhZWMtND</w:t>
        </w:r>
        <w:r>
          <w:rPr>
            <w:rFonts w:ascii="Times New Roman" w:eastAsia="Times New Roman" w:hAnsi="Times New Roman" w:cs="Times New Roman"/>
            <w:color w:val="1155CC"/>
            <w:sz w:val="18"/>
            <w:szCs w:val="18"/>
            <w:u w:val="single"/>
          </w:rPr>
          <w:t>QwNi1iMGFiLWY1ZTI1OWJkYTExMiJ9</w:t>
        </w:r>
      </w:hyperlink>
      <w:r>
        <w:rPr>
          <w:rFonts w:ascii="Times New Roman" w:eastAsia="Times New Roman" w:hAnsi="Times New Roman" w:cs="Times New Roman"/>
          <w:sz w:val="18"/>
          <w:szCs w:val="18"/>
        </w:rPr>
        <w:t>ç</w:t>
      </w:r>
    </w:p>
  </w:footnote>
  <w:footnote w:id="61">
    <w:p w14:paraId="7A39691A" w14:textId="77777777" w:rsidR="002E5DA8" w:rsidRDefault="0095632D">
      <w:pPr>
        <w:spacing w:after="0" w:line="240" w:lineRule="auto"/>
        <w:rPr>
          <w:rFonts w:ascii="Times New Roman" w:eastAsia="Times New Roman" w:hAnsi="Times New Roman" w:cs="Times New Roman"/>
          <w:i/>
          <w:sz w:val="18"/>
          <w:szCs w:val="18"/>
        </w:rPr>
      </w:pPr>
      <w:r>
        <w:rPr>
          <w:rStyle w:val="FootnoteReference"/>
        </w:rPr>
        <w:footnoteRef/>
      </w:r>
      <w:r>
        <w:rPr>
          <w:rFonts w:ascii="Times New Roman" w:eastAsia="Times New Roman" w:hAnsi="Times New Roman" w:cs="Times New Roman"/>
          <w:i/>
          <w:sz w:val="18"/>
          <w:szCs w:val="18"/>
        </w:rPr>
        <w:t xml:space="preserve"> Ibidem.</w:t>
      </w:r>
    </w:p>
  </w:footnote>
  <w:footnote w:id="62">
    <w:p w14:paraId="7A39691B" w14:textId="77777777" w:rsidR="002E5DA8" w:rsidRDefault="0095632D">
      <w:pPr>
        <w:spacing w:after="0" w:line="240" w:lineRule="auto"/>
        <w:jc w:val="both"/>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CAT, Lista de cuestiones previa a la presentación del octavo informe periódico del Ecuador, Adoptada por el Comité durante su 68º período de sesiones (11 de noviembre a 6 de diciembre de 2019), 26 de diciembre de 2019,  párr. 37.</w:t>
      </w:r>
    </w:p>
  </w:footnote>
  <w:footnote w:id="63">
    <w:p w14:paraId="7A39691C" w14:textId="77777777" w:rsidR="002E5DA8" w:rsidRDefault="0095632D">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Ministerio de Salud Pública del Ecuador. Plan Nacional de Salud Sexual y Salud reproductiva del año 2017 hasta 2021. p. 28. Recuperado de: </w:t>
      </w:r>
      <w:hyperlink r:id="rId24">
        <w:r>
          <w:rPr>
            <w:rFonts w:ascii="Times New Roman" w:eastAsia="Times New Roman" w:hAnsi="Times New Roman" w:cs="Times New Roman"/>
            <w:color w:val="1155CC"/>
            <w:sz w:val="20"/>
            <w:szCs w:val="20"/>
            <w:u w:val="single"/>
          </w:rPr>
          <w:t>https://ecuador.unfpa.org/sites/default/files/pub-pdf/PLAN%20NACIONAL%20DE%20SS%20Y%20SR%202017-2021.pdf</w:t>
        </w:r>
      </w:hyperlink>
    </w:p>
  </w:footnote>
  <w:footnote w:id="64">
    <w:p w14:paraId="7A39691D" w14:textId="77777777" w:rsidR="002E5DA8" w:rsidRDefault="0095632D">
      <w:pPr>
        <w:spacing w:after="0" w:line="240" w:lineRule="auto"/>
        <w:rPr>
          <w:rFonts w:ascii="Times New Roman" w:eastAsia="Times New Roman" w:hAnsi="Times New Roman" w:cs="Times New Roman"/>
          <w:sz w:val="20"/>
          <w:szCs w:val="20"/>
        </w:rPr>
      </w:pPr>
      <w:r>
        <w:rPr>
          <w:rStyle w:val="FootnoteReference"/>
        </w:rPr>
        <w:footnoteRef/>
      </w:r>
      <w:r>
        <w:rPr>
          <w:sz w:val="20"/>
          <w:szCs w:val="20"/>
        </w:rPr>
        <w:t xml:space="preserve"> </w:t>
      </w:r>
      <w:r>
        <w:rPr>
          <w:rFonts w:ascii="Times New Roman" w:eastAsia="Times New Roman" w:hAnsi="Times New Roman" w:cs="Times New Roman"/>
          <w:sz w:val="20"/>
          <w:szCs w:val="20"/>
        </w:rPr>
        <w:t xml:space="preserve">Ministerio de Salud Pública.  </w:t>
      </w:r>
      <w:r>
        <w:rPr>
          <w:rFonts w:ascii="Times New Roman" w:eastAsia="Times New Roman" w:hAnsi="Times New Roman" w:cs="Times New Roman"/>
          <w:sz w:val="20"/>
          <w:szCs w:val="20"/>
        </w:rPr>
        <w:t xml:space="preserve">Política Intersectorial de Prevención del Embarazo en Niñas y Adolescentes 2018 - 2025. p. 20-21. Recuperado de: </w:t>
      </w:r>
      <w:hyperlink r:id="rId25">
        <w:r>
          <w:rPr>
            <w:rFonts w:ascii="Times New Roman" w:eastAsia="Times New Roman" w:hAnsi="Times New Roman" w:cs="Times New Roman"/>
            <w:color w:val="1155CC"/>
            <w:sz w:val="20"/>
            <w:szCs w:val="20"/>
            <w:u w:val="single"/>
          </w:rPr>
          <w:t>https://www.salud.gob.ec/wp-content/uploads/2018/07/POL%C3%8DTICA-INTERSECTORIAL-DE-PREVENCI%C3%93N-DEL-EMBARAZO-EN-NI%C3%91AS-Y-ADOLESCENTES-para-registro-oficial.pdf</w:t>
        </w:r>
      </w:hyperlink>
    </w:p>
  </w:footnote>
  <w:footnote w:id="65">
    <w:p w14:paraId="7A39691E" w14:textId="77777777" w:rsidR="002E5DA8" w:rsidRDefault="0095632D">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Ibidem</w:t>
      </w:r>
      <w:r>
        <w:rPr>
          <w:rFonts w:ascii="Times New Roman" w:eastAsia="Times New Roman" w:hAnsi="Times New Roman" w:cs="Times New Roman"/>
          <w:sz w:val="20"/>
          <w:szCs w:val="20"/>
        </w:rPr>
        <w:t>. p. 16.</w:t>
      </w:r>
    </w:p>
  </w:footnote>
  <w:footnote w:id="66">
    <w:p w14:paraId="7A39691F" w14:textId="77777777" w:rsidR="002E5DA8" w:rsidRDefault="0095632D">
      <w:pPr>
        <w:spacing w:after="0" w:line="240" w:lineRule="auto"/>
        <w:jc w:val="both"/>
        <w:rPr>
          <w:rFonts w:ascii="Times New Roman" w:eastAsia="Times New Roman" w:hAnsi="Times New Roman" w:cs="Times New Roman"/>
          <w:i/>
          <w:sz w:val="18"/>
          <w:szCs w:val="18"/>
        </w:rPr>
      </w:pPr>
      <w:r>
        <w:rPr>
          <w:rStyle w:val="FootnoteReference"/>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Ibídem</w:t>
      </w:r>
    </w:p>
  </w:footnote>
  <w:footnote w:id="67">
    <w:p w14:paraId="7A396920" w14:textId="77777777" w:rsidR="002E5DA8" w:rsidRDefault="0095632D">
      <w:pPr>
        <w:spacing w:after="0" w:line="240" w:lineRule="auto"/>
        <w:jc w:val="both"/>
        <w:rPr>
          <w:rFonts w:ascii="Times New Roman" w:eastAsia="Times New Roman" w:hAnsi="Times New Roman" w:cs="Times New Roman"/>
          <w:sz w:val="18"/>
          <w:szCs w:val="18"/>
        </w:rPr>
      </w:pPr>
      <w:r>
        <w:rPr>
          <w:rStyle w:val="FootnoteReference"/>
        </w:rPr>
        <w:footnoteRef/>
      </w:r>
      <w:r>
        <w:rPr>
          <w:rFonts w:ascii="Times New Roman" w:eastAsia="Times New Roman" w:hAnsi="Times New Roman" w:cs="Times New Roman"/>
          <w:sz w:val="18"/>
          <w:szCs w:val="18"/>
        </w:rPr>
        <w:t xml:space="preserve">Ministerio de Salud Pública. (2021). Recuperado de: </w:t>
      </w:r>
      <w:hyperlink r:id="rId26">
        <w:r>
          <w:rPr>
            <w:rFonts w:ascii="Times New Roman" w:eastAsia="Times New Roman" w:hAnsi="Times New Roman" w:cs="Times New Roman"/>
            <w:color w:val="1155CC"/>
            <w:sz w:val="18"/>
            <w:szCs w:val="18"/>
            <w:u w:val="single"/>
          </w:rPr>
          <w:t>https://www.salud.gob.ec/wp-conte</w:t>
        </w:r>
        <w:r>
          <w:rPr>
            <w:rFonts w:ascii="Times New Roman" w:eastAsia="Times New Roman" w:hAnsi="Times New Roman" w:cs="Times New Roman"/>
            <w:color w:val="1155CC"/>
            <w:sz w:val="18"/>
            <w:szCs w:val="18"/>
            <w:u w:val="single"/>
          </w:rPr>
          <w:t>nt/uploads/2020/09/DEF.-ESTABLECIMIENTOS-DE-SALUD-PARA-VALORACIONES-A-ASPIRANTES-A-LA-RURAL.pdf</w:t>
        </w:r>
      </w:hyperlink>
    </w:p>
  </w:footnote>
  <w:footnote w:id="68">
    <w:p w14:paraId="7A396921" w14:textId="77777777" w:rsidR="002E5DA8" w:rsidRDefault="0095632D">
      <w:pPr>
        <w:pBdr>
          <w:top w:val="nil"/>
          <w:left w:val="nil"/>
          <w:bottom w:val="nil"/>
          <w:right w:val="nil"/>
          <w:between w:val="nil"/>
        </w:pBdr>
        <w:spacing w:after="0" w:line="240" w:lineRule="auto"/>
        <w:ind w:left="600" w:hanging="600"/>
        <w:jc w:val="both"/>
        <w:rPr>
          <w:rFonts w:ascii="Times New Roman" w:eastAsia="Times New Roman" w:hAnsi="Times New Roman" w:cs="Times New Roman"/>
          <w:color w:val="000000"/>
          <w:sz w:val="18"/>
          <w:szCs w:val="18"/>
        </w:rPr>
      </w:pPr>
      <w:r>
        <w:rPr>
          <w:rStyle w:val="FootnoteReference"/>
        </w:rPr>
        <w:footnoteRef/>
      </w:r>
      <w:r>
        <w:rPr>
          <w:rFonts w:ascii="Times New Roman" w:eastAsia="Times New Roman" w:hAnsi="Times New Roman" w:cs="Times New Roman"/>
          <w:color w:val="000000"/>
          <w:sz w:val="18"/>
          <w:szCs w:val="18"/>
        </w:rPr>
        <w:t xml:space="preserve"> Instituto Nacional de Estadística y Censos. Registro Estadístico de Recursos y Actividades de salud.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968DA" w14:textId="77777777" w:rsidR="002E5DA8" w:rsidRDefault="002E5DA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968DC" w14:textId="77777777" w:rsidR="002E5DA8" w:rsidRDefault="002E5DA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6115A"/>
    <w:multiLevelType w:val="multilevel"/>
    <w:tmpl w:val="CE7C1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58741E7"/>
    <w:multiLevelType w:val="multilevel"/>
    <w:tmpl w:val="E1F887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7353D56"/>
    <w:multiLevelType w:val="multilevel"/>
    <w:tmpl w:val="858009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8EB5EDD"/>
    <w:multiLevelType w:val="multilevel"/>
    <w:tmpl w:val="3624552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172B0F1C"/>
    <w:multiLevelType w:val="multilevel"/>
    <w:tmpl w:val="B43CF1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D9057F6"/>
    <w:multiLevelType w:val="multilevel"/>
    <w:tmpl w:val="9DB48B28"/>
    <w:lvl w:ilvl="0">
      <w:start w:val="1"/>
      <w:numFmt w:val="bullet"/>
      <w:lvlText w:val="●"/>
      <w:lvlJc w:val="left"/>
      <w:pPr>
        <w:ind w:left="992"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15:restartNumberingAfterBreak="0">
    <w:nsid w:val="238B4466"/>
    <w:multiLevelType w:val="multilevel"/>
    <w:tmpl w:val="610C697E"/>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rFonts w:ascii="Times New Roman" w:eastAsia="Times New Roman" w:hAnsi="Times New Roman" w:cs="Times New Roman"/>
        <w:b w:val="0"/>
        <w:sz w:val="24"/>
        <w:szCs w:val="24"/>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7" w15:restartNumberingAfterBreak="0">
    <w:nsid w:val="24B02C46"/>
    <w:multiLevelType w:val="multilevel"/>
    <w:tmpl w:val="61C422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2727564"/>
    <w:multiLevelType w:val="multilevel"/>
    <w:tmpl w:val="BB00A8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7177986"/>
    <w:multiLevelType w:val="multilevel"/>
    <w:tmpl w:val="99329C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7500631"/>
    <w:multiLevelType w:val="multilevel"/>
    <w:tmpl w:val="8F2E85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99457F2"/>
    <w:multiLevelType w:val="multilevel"/>
    <w:tmpl w:val="4A5058E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15:restartNumberingAfterBreak="0">
    <w:nsid w:val="5FE80E40"/>
    <w:multiLevelType w:val="multilevel"/>
    <w:tmpl w:val="DCFE77BA"/>
    <w:lvl w:ilvl="0">
      <w:start w:val="895"/>
      <w:numFmt w:val="bullet"/>
      <w:lvlText w:val="●"/>
      <w:lvlJc w:val="left"/>
      <w:pPr>
        <w:ind w:left="1286" w:hanging="360"/>
      </w:pPr>
      <w:rPr>
        <w:rFonts w:ascii="Book Antiqua" w:eastAsia="Book Antiqua" w:hAnsi="Book Antiqua" w:cs="Book Antiqua"/>
      </w:rPr>
    </w:lvl>
    <w:lvl w:ilvl="1">
      <w:start w:val="1"/>
      <w:numFmt w:val="bullet"/>
      <w:lvlText w:val="○"/>
      <w:lvlJc w:val="left"/>
      <w:pPr>
        <w:ind w:left="2880" w:hanging="360"/>
      </w:pPr>
      <w:rPr>
        <w:rFonts w:ascii="Courier New" w:eastAsia="Courier New" w:hAnsi="Courier New" w:cs="Courier New"/>
      </w:r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13" w15:restartNumberingAfterBreak="0">
    <w:nsid w:val="618730D7"/>
    <w:multiLevelType w:val="multilevel"/>
    <w:tmpl w:val="CCFA1AE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15:restartNumberingAfterBreak="0">
    <w:nsid w:val="65FB2812"/>
    <w:multiLevelType w:val="multilevel"/>
    <w:tmpl w:val="D04EBC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644193B"/>
    <w:multiLevelType w:val="multilevel"/>
    <w:tmpl w:val="604232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C997674"/>
    <w:multiLevelType w:val="multilevel"/>
    <w:tmpl w:val="256C1B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40775B4"/>
    <w:multiLevelType w:val="multilevel"/>
    <w:tmpl w:val="B16AA7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C3B4243"/>
    <w:multiLevelType w:val="multilevel"/>
    <w:tmpl w:val="983E0D78"/>
    <w:lvl w:ilvl="0">
      <w:start w:val="1"/>
      <w:numFmt w:val="decimal"/>
      <w:lvlText w:val="%1."/>
      <w:lvlJc w:val="left"/>
      <w:pPr>
        <w:ind w:left="1428" w:hanging="360"/>
      </w:pPr>
      <w:rPr>
        <w:rFonts w:ascii="Noto Sans Symbols" w:eastAsia="Noto Sans Symbols" w:hAnsi="Noto Sans Symbols" w:cs="Noto Sans Symbols"/>
      </w:rPr>
    </w:lvl>
    <w:lvl w:ilvl="1">
      <w:start w:val="1"/>
      <w:numFmt w:val="lowerLetter"/>
      <w:lvlText w:val="%2."/>
      <w:lvlJc w:val="left"/>
      <w:pPr>
        <w:ind w:left="2148" w:hanging="360"/>
      </w:pPr>
      <w:rPr>
        <w:rFonts w:ascii="Courier New" w:eastAsia="Courier New" w:hAnsi="Courier New" w:cs="Courier New"/>
      </w:rPr>
    </w:lvl>
    <w:lvl w:ilvl="2">
      <w:start w:val="1"/>
      <w:numFmt w:val="lowerRoman"/>
      <w:lvlText w:val="%3."/>
      <w:lvlJc w:val="right"/>
      <w:pPr>
        <w:ind w:left="2868" w:hanging="360"/>
      </w:pPr>
      <w:rPr>
        <w:rFonts w:ascii="Noto Sans Symbols" w:eastAsia="Noto Sans Symbols" w:hAnsi="Noto Sans Symbols" w:cs="Noto Sans Symbols"/>
      </w:rPr>
    </w:lvl>
    <w:lvl w:ilvl="3">
      <w:start w:val="1"/>
      <w:numFmt w:val="decimal"/>
      <w:lvlText w:val="%4."/>
      <w:lvlJc w:val="left"/>
      <w:pPr>
        <w:ind w:left="3588" w:hanging="360"/>
      </w:pPr>
      <w:rPr>
        <w:rFonts w:ascii="Noto Sans Symbols" w:eastAsia="Noto Sans Symbols" w:hAnsi="Noto Sans Symbols" w:cs="Noto Sans Symbols"/>
      </w:rPr>
    </w:lvl>
    <w:lvl w:ilvl="4">
      <w:start w:val="1"/>
      <w:numFmt w:val="lowerLetter"/>
      <w:lvlText w:val="%5."/>
      <w:lvlJc w:val="left"/>
      <w:pPr>
        <w:ind w:left="4308" w:hanging="360"/>
      </w:pPr>
      <w:rPr>
        <w:rFonts w:ascii="Courier New" w:eastAsia="Courier New" w:hAnsi="Courier New" w:cs="Courier New"/>
      </w:rPr>
    </w:lvl>
    <w:lvl w:ilvl="5">
      <w:start w:val="1"/>
      <w:numFmt w:val="lowerRoman"/>
      <w:lvlText w:val="%6."/>
      <w:lvlJc w:val="right"/>
      <w:pPr>
        <w:ind w:left="5028" w:hanging="360"/>
      </w:pPr>
      <w:rPr>
        <w:rFonts w:ascii="Noto Sans Symbols" w:eastAsia="Noto Sans Symbols" w:hAnsi="Noto Sans Symbols" w:cs="Noto Sans Symbols"/>
      </w:rPr>
    </w:lvl>
    <w:lvl w:ilvl="6">
      <w:start w:val="1"/>
      <w:numFmt w:val="decimal"/>
      <w:lvlText w:val="%7."/>
      <w:lvlJc w:val="left"/>
      <w:pPr>
        <w:ind w:left="5748" w:hanging="360"/>
      </w:pPr>
      <w:rPr>
        <w:rFonts w:ascii="Noto Sans Symbols" w:eastAsia="Noto Sans Symbols" w:hAnsi="Noto Sans Symbols" w:cs="Noto Sans Symbols"/>
      </w:rPr>
    </w:lvl>
    <w:lvl w:ilvl="7">
      <w:start w:val="1"/>
      <w:numFmt w:val="lowerLetter"/>
      <w:lvlText w:val="%8."/>
      <w:lvlJc w:val="left"/>
      <w:pPr>
        <w:ind w:left="6468" w:hanging="360"/>
      </w:pPr>
      <w:rPr>
        <w:rFonts w:ascii="Courier New" w:eastAsia="Courier New" w:hAnsi="Courier New" w:cs="Courier New"/>
      </w:rPr>
    </w:lvl>
    <w:lvl w:ilvl="8">
      <w:start w:val="1"/>
      <w:numFmt w:val="lowerRoman"/>
      <w:lvlText w:val="%9."/>
      <w:lvlJc w:val="right"/>
      <w:pPr>
        <w:ind w:left="7188" w:hanging="360"/>
      </w:pPr>
      <w:rPr>
        <w:rFonts w:ascii="Noto Sans Symbols" w:eastAsia="Noto Sans Symbols" w:hAnsi="Noto Sans Symbols" w:cs="Noto Sans Symbols"/>
      </w:rPr>
    </w:lvl>
  </w:abstractNum>
  <w:abstractNum w:abstractNumId="19" w15:restartNumberingAfterBreak="0">
    <w:nsid w:val="7CB158E5"/>
    <w:multiLevelType w:val="multilevel"/>
    <w:tmpl w:val="08C4A3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EE43A5B"/>
    <w:multiLevelType w:val="multilevel"/>
    <w:tmpl w:val="EA94DC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05995919">
    <w:abstractNumId w:val="2"/>
  </w:num>
  <w:num w:numId="2" w16cid:durableId="1693609531">
    <w:abstractNumId w:val="3"/>
  </w:num>
  <w:num w:numId="3" w16cid:durableId="1433668215">
    <w:abstractNumId w:val="8"/>
  </w:num>
  <w:num w:numId="4" w16cid:durableId="1008873365">
    <w:abstractNumId w:val="13"/>
  </w:num>
  <w:num w:numId="5" w16cid:durableId="1001007757">
    <w:abstractNumId w:val="17"/>
  </w:num>
  <w:num w:numId="6" w16cid:durableId="1035153703">
    <w:abstractNumId w:val="0"/>
  </w:num>
  <w:num w:numId="7" w16cid:durableId="825511212">
    <w:abstractNumId w:val="18"/>
  </w:num>
  <w:num w:numId="8" w16cid:durableId="1602641781">
    <w:abstractNumId w:val="5"/>
  </w:num>
  <w:num w:numId="9" w16cid:durableId="830145634">
    <w:abstractNumId w:val="6"/>
  </w:num>
  <w:num w:numId="10" w16cid:durableId="1150898722">
    <w:abstractNumId w:val="15"/>
  </w:num>
  <w:num w:numId="11" w16cid:durableId="2050910268">
    <w:abstractNumId w:val="20"/>
  </w:num>
  <w:num w:numId="12" w16cid:durableId="341668920">
    <w:abstractNumId w:val="11"/>
  </w:num>
  <w:num w:numId="13" w16cid:durableId="1240097142">
    <w:abstractNumId w:val="4"/>
  </w:num>
  <w:num w:numId="14" w16cid:durableId="193276267">
    <w:abstractNumId w:val="7"/>
  </w:num>
  <w:num w:numId="15" w16cid:durableId="2069104882">
    <w:abstractNumId w:val="10"/>
  </w:num>
  <w:num w:numId="16" w16cid:durableId="278802894">
    <w:abstractNumId w:val="12"/>
  </w:num>
  <w:num w:numId="17" w16cid:durableId="191648060">
    <w:abstractNumId w:val="9"/>
  </w:num>
  <w:num w:numId="18" w16cid:durableId="824904925">
    <w:abstractNumId w:val="14"/>
  </w:num>
  <w:num w:numId="19" w16cid:durableId="1518229959">
    <w:abstractNumId w:val="19"/>
  </w:num>
  <w:num w:numId="20" w16cid:durableId="407506945">
    <w:abstractNumId w:val="1"/>
  </w:num>
  <w:num w:numId="21" w16cid:durableId="25429110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DA8"/>
    <w:rsid w:val="002E5DA8"/>
    <w:rsid w:val="009563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9671F"/>
  <w15:docId w15:val="{19489821-E082-4C37-858F-964EEB8A7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C"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04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unhideWhenUsed/>
    <w:qFormat/>
    <w:pPr>
      <w:keepNext/>
      <w:keepLines/>
      <w:spacing w:line="360" w:lineRule="auto"/>
      <w:ind w:left="900" w:hanging="540"/>
      <w:jc w:val="both"/>
      <w:outlineLvl w:val="1"/>
    </w:pPr>
    <w:rPr>
      <w:rFonts w:ascii="Times New Roman" w:eastAsia="Times New Roman" w:hAnsi="Times New Roman" w:cs="Times New Roman"/>
      <w:b/>
      <w:i/>
      <w:sz w:val="24"/>
      <w:szCs w:val="24"/>
    </w:rPr>
  </w:style>
  <w:style w:type="paragraph" w:styleId="Heading3">
    <w:name w:val="heading 3"/>
    <w:basedOn w:val="Normal"/>
    <w:next w:val="Normal"/>
    <w:uiPriority w:val="9"/>
    <w:unhideWhenUsed/>
    <w:qFormat/>
    <w:pPr>
      <w:keepNext/>
      <w:keepLines/>
      <w:spacing w:line="360" w:lineRule="auto"/>
      <w:ind w:left="2160" w:hanging="720"/>
      <w:jc w:val="both"/>
      <w:outlineLvl w:val="2"/>
    </w:pPr>
    <w:rPr>
      <w:rFonts w:ascii="Times New Roman" w:eastAsia="Times New Roman" w:hAnsi="Times New Roman" w:cs="Times New Roman"/>
      <w:sz w:val="24"/>
      <w:szCs w:val="24"/>
      <w:highlight w:val="white"/>
    </w:rPr>
  </w:style>
  <w:style w:type="paragraph" w:styleId="Heading4">
    <w:name w:val="heading 4"/>
    <w:basedOn w:val="Normal"/>
    <w:next w:val="Normal"/>
    <w:uiPriority w:val="9"/>
    <w:semiHidden/>
    <w:unhideWhenUsed/>
    <w:qFormat/>
    <w:pPr>
      <w:keepNext/>
      <w:keepLines/>
      <w:spacing w:line="360" w:lineRule="auto"/>
      <w:ind w:firstLine="720"/>
      <w:jc w:val="both"/>
      <w:outlineLvl w:val="3"/>
    </w:pPr>
    <w:rPr>
      <w:rFonts w:ascii="Times New Roman" w:eastAsia="Times New Roman" w:hAnsi="Times New Roman" w:cs="Times New Roman"/>
      <w:sz w:val="24"/>
      <w:szCs w:val="24"/>
      <w:highlight w:val="white"/>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line="360" w:lineRule="auto"/>
      <w:ind w:left="720" w:hanging="360"/>
    </w:pPr>
    <w:rPr>
      <w:rFonts w:ascii="Times New Roman" w:eastAsia="Times New Roman" w:hAnsi="Times New Roman" w:cs="Times New Roman"/>
      <w:b/>
      <w:sz w:val="24"/>
      <w:szCs w:val="24"/>
    </w:rPr>
  </w:style>
  <w:style w:type="paragraph" w:styleId="ListParagraph">
    <w:name w:val="List Paragraph"/>
    <w:basedOn w:val="Normal"/>
    <w:uiPriority w:val="34"/>
    <w:qFormat/>
    <w:rsid w:val="00147A17"/>
    <w:pPr>
      <w:ind w:left="720"/>
      <w:contextualSpacing/>
    </w:pPr>
  </w:style>
  <w:style w:type="paragraph" w:styleId="NormalWeb">
    <w:name w:val="Normal (Web)"/>
    <w:basedOn w:val="Normal"/>
    <w:uiPriority w:val="99"/>
    <w:unhideWhenUsed/>
    <w:rsid w:val="0084364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
    <w:name w:val="paragraph"/>
    <w:basedOn w:val="Normal"/>
    <w:rsid w:val="001B238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rmar">
    <w:name w:val="nrmar"/>
    <w:basedOn w:val="DefaultParagraphFont"/>
    <w:rsid w:val="001B2386"/>
  </w:style>
  <w:style w:type="character" w:styleId="Hyperlink">
    <w:name w:val="Hyperlink"/>
    <w:basedOn w:val="DefaultParagraphFont"/>
    <w:uiPriority w:val="99"/>
    <w:unhideWhenUsed/>
    <w:rsid w:val="00C57B32"/>
    <w:rPr>
      <w:color w:val="0563C1" w:themeColor="hyperlink"/>
      <w:u w:val="single"/>
    </w:rPr>
  </w:style>
  <w:style w:type="character" w:styleId="UnresolvedMention">
    <w:name w:val="Unresolved Mention"/>
    <w:basedOn w:val="DefaultParagraphFont"/>
    <w:uiPriority w:val="99"/>
    <w:semiHidden/>
    <w:unhideWhenUsed/>
    <w:rsid w:val="00C57B32"/>
    <w:rPr>
      <w:color w:val="605E5C"/>
      <w:shd w:val="clear" w:color="auto" w:fill="E1DFDD"/>
    </w:rPr>
  </w:style>
  <w:style w:type="paragraph" w:styleId="Header">
    <w:name w:val="header"/>
    <w:basedOn w:val="Normal"/>
    <w:link w:val="HeaderChar"/>
    <w:uiPriority w:val="99"/>
    <w:unhideWhenUsed/>
    <w:rsid w:val="002A1D76"/>
    <w:pPr>
      <w:tabs>
        <w:tab w:val="center" w:pos="4252"/>
        <w:tab w:val="right" w:pos="8504"/>
      </w:tabs>
      <w:spacing w:after="0" w:line="240" w:lineRule="auto"/>
    </w:pPr>
  </w:style>
  <w:style w:type="character" w:customStyle="1" w:styleId="HeaderChar">
    <w:name w:val="Header Char"/>
    <w:basedOn w:val="DefaultParagraphFont"/>
    <w:link w:val="Header"/>
    <w:uiPriority w:val="99"/>
    <w:rsid w:val="002A1D76"/>
  </w:style>
  <w:style w:type="paragraph" w:styleId="Footer">
    <w:name w:val="footer"/>
    <w:basedOn w:val="Normal"/>
    <w:link w:val="FooterChar"/>
    <w:uiPriority w:val="99"/>
    <w:unhideWhenUsed/>
    <w:rsid w:val="002A1D76"/>
    <w:pPr>
      <w:tabs>
        <w:tab w:val="center" w:pos="4252"/>
        <w:tab w:val="right" w:pos="8504"/>
      </w:tabs>
      <w:spacing w:after="0" w:line="240" w:lineRule="auto"/>
    </w:pPr>
  </w:style>
  <w:style w:type="character" w:customStyle="1" w:styleId="FooterChar">
    <w:name w:val="Footer Char"/>
    <w:basedOn w:val="DefaultParagraphFont"/>
    <w:link w:val="Footer"/>
    <w:uiPriority w:val="99"/>
    <w:rsid w:val="002A1D76"/>
  </w:style>
  <w:style w:type="table" w:styleId="TableGrid">
    <w:name w:val="Table Grid"/>
    <w:basedOn w:val="TableNormal"/>
    <w:uiPriority w:val="39"/>
    <w:rsid w:val="002A1D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2A1D7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A1D76"/>
    <w:rPr>
      <w:sz w:val="20"/>
      <w:szCs w:val="20"/>
    </w:rPr>
  </w:style>
  <w:style w:type="character" w:styleId="FootnoteReference">
    <w:name w:val="footnote reference"/>
    <w:basedOn w:val="DefaultParagraphFont"/>
    <w:uiPriority w:val="99"/>
    <w:semiHidden/>
    <w:unhideWhenUsed/>
    <w:rsid w:val="002A1D76"/>
    <w:rPr>
      <w:vertAlign w:val="superscript"/>
    </w:rPr>
  </w:style>
  <w:style w:type="character" w:styleId="Strong">
    <w:name w:val="Strong"/>
    <w:basedOn w:val="DefaultParagraphFont"/>
    <w:uiPriority w:val="22"/>
    <w:qFormat/>
    <w:rsid w:val="00850493"/>
    <w:rPr>
      <w:b/>
      <w:bCs/>
    </w:rPr>
  </w:style>
  <w:style w:type="character" w:customStyle="1" w:styleId="Heading1Char">
    <w:name w:val="Heading 1 Char"/>
    <w:basedOn w:val="DefaultParagraphFont"/>
    <w:link w:val="Heading1"/>
    <w:uiPriority w:val="9"/>
    <w:rsid w:val="00850493"/>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D8142D"/>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4E404C"/>
    <w:rPr>
      <w:sz w:val="16"/>
      <w:szCs w:val="16"/>
    </w:rPr>
  </w:style>
  <w:style w:type="paragraph" w:styleId="CommentText">
    <w:name w:val="annotation text"/>
    <w:basedOn w:val="Normal"/>
    <w:link w:val="CommentTextChar"/>
    <w:uiPriority w:val="99"/>
    <w:unhideWhenUsed/>
    <w:rsid w:val="004E404C"/>
    <w:pPr>
      <w:spacing w:line="240" w:lineRule="auto"/>
    </w:pPr>
    <w:rPr>
      <w:sz w:val="20"/>
      <w:szCs w:val="20"/>
    </w:rPr>
  </w:style>
  <w:style w:type="character" w:customStyle="1" w:styleId="CommentTextChar">
    <w:name w:val="Comment Text Char"/>
    <w:basedOn w:val="DefaultParagraphFont"/>
    <w:link w:val="CommentText"/>
    <w:uiPriority w:val="99"/>
    <w:rsid w:val="004E404C"/>
    <w:rPr>
      <w:sz w:val="20"/>
      <w:szCs w:val="20"/>
      <w:lang w:val="es-EC"/>
    </w:rPr>
  </w:style>
  <w:style w:type="paragraph" w:styleId="CommentSubject">
    <w:name w:val="annotation subject"/>
    <w:basedOn w:val="CommentText"/>
    <w:next w:val="CommentText"/>
    <w:link w:val="CommentSubjectChar"/>
    <w:uiPriority w:val="99"/>
    <w:semiHidden/>
    <w:unhideWhenUsed/>
    <w:rsid w:val="004E404C"/>
    <w:rPr>
      <w:b/>
      <w:bCs/>
    </w:rPr>
  </w:style>
  <w:style w:type="character" w:customStyle="1" w:styleId="CommentSubjectChar">
    <w:name w:val="Comment Subject Char"/>
    <w:basedOn w:val="CommentTextChar"/>
    <w:link w:val="CommentSubject"/>
    <w:uiPriority w:val="99"/>
    <w:semiHidden/>
    <w:rsid w:val="004E404C"/>
    <w:rPr>
      <w:b/>
      <w:bCs/>
      <w:sz w:val="20"/>
      <w:szCs w:val="20"/>
      <w:lang w:val="es-EC"/>
    </w:rPr>
  </w:style>
  <w:style w:type="paragraph" w:styleId="Revision">
    <w:name w:val="Revision"/>
    <w:hidden/>
    <w:uiPriority w:val="99"/>
    <w:semiHidden/>
    <w:rsid w:val="00BF631A"/>
    <w:pPr>
      <w:spacing w:after="0" w:line="240" w:lineRule="auto"/>
    </w:pPr>
  </w:style>
  <w:style w:type="paragraph" w:styleId="Subtitle">
    <w:name w:val="Subtitle"/>
    <w:basedOn w:val="Normal"/>
    <w:next w:val="Normal"/>
    <w:uiPriority w:val="11"/>
    <w:qFormat/>
    <w:pPr>
      <w:keepNext/>
      <w:keepLines/>
      <w:spacing w:line="360" w:lineRule="auto"/>
      <w:jc w:val="both"/>
    </w:pPr>
    <w:rPr>
      <w:rFonts w:ascii="Times New Roman" w:eastAsia="Times New Roman" w:hAnsi="Times New Roman" w:cs="Times New Roman"/>
      <w:b/>
      <w:sz w:val="24"/>
      <w:szCs w:val="24"/>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sites/default/files/Documents/HRBodies/CCPR/GCArticle6/GCArticle6_SP.pdf" TargetMode="External"/><Relationship Id="rId13" Type="http://schemas.openxmlformats.org/officeDocument/2006/relationships/hyperlink" Target="https://www.asambleanacional.gob.ec/es/noticia/76953-pleno-concluyo-segundo-debate-de-proyecto-que-garantiza" TargetMode="External"/><Relationship Id="rId18" Type="http://schemas.openxmlformats.org/officeDocument/2006/relationships/hyperlink" Target="https://dignidadyderecho.org/" TargetMode="External"/><Relationship Id="rId26" Type="http://schemas.openxmlformats.org/officeDocument/2006/relationships/hyperlink" Target="https://www.salud.gob.ec/wp-content/uploads/2020/09/DEF.-ESTABLECIMIENTOS-DE-SALUD-PARA-VALORACIONES-A-ASPIRANTES-A-LA-RURAL.pdf" TargetMode="External"/><Relationship Id="rId3" Type="http://schemas.openxmlformats.org/officeDocument/2006/relationships/hyperlink" Target="https://ecuador.unfpa.org/sites/default/files/pub-pdf/PLAN%20NACIONAL%20DE%20SS%20Y%20SR%202017-2021.pdf" TargetMode="External"/><Relationship Id="rId21" Type="http://schemas.openxmlformats.org/officeDocument/2006/relationships/hyperlink" Target="https://www.salud.gob.ec/gacetas-muerte-materna-2022/" TargetMode="External"/><Relationship Id="rId7" Type="http://schemas.openxmlformats.org/officeDocument/2006/relationships/hyperlink" Target="https://www.ohchr.org/es/instruments-mechanisms/instruments/international-covenant-civil-and-political-rights" TargetMode="External"/><Relationship Id="rId12" Type="http://schemas.openxmlformats.org/officeDocument/2006/relationships/hyperlink" Target="https://www.asambleanacional.gob.ec/es/noticia/76049-pleno-tramito-en-primer-debate-proyecto-para-garantizar" TargetMode="External"/><Relationship Id="rId17" Type="http://schemas.openxmlformats.org/officeDocument/2006/relationships/hyperlink" Target="https://odjec.org/genero/" TargetMode="External"/><Relationship Id="rId25" Type="http://schemas.openxmlformats.org/officeDocument/2006/relationships/hyperlink" Target="https://www.salud.gob.ec/wp-content/uploads/2018/07/POL%C3%8DTICA-INTERSECTORIAL-DE-PREVENCI%C3%93N-DEL-EMBARAZO-EN-NI%C3%91AS-Y-ADOLESCENTES-para-registro-oficial.pdf" TargetMode="External"/><Relationship Id="rId2" Type="http://schemas.openxmlformats.org/officeDocument/2006/relationships/hyperlink" Target="https://www.who.int/es/news-room/fact-sheets/detail/abortion" TargetMode="External"/><Relationship Id="rId16" Type="http://schemas.openxmlformats.org/officeDocument/2006/relationships/hyperlink" Target="https://www.eluniverso.com/noticias/politica/ley-que-regula-el-aborto-en-casos-de-violacion-se-publico-en-el-registro-oficial-nota/" TargetMode="External"/><Relationship Id="rId20" Type="http://schemas.openxmlformats.org/officeDocument/2006/relationships/hyperlink" Target="https://www.salud.gob.ec/gacetas-muerte-materna-2021/" TargetMode="External"/><Relationship Id="rId1" Type="http://schemas.openxmlformats.org/officeDocument/2006/relationships/hyperlink" Target="https://tbinternet.ohchr.org/_layouts/15/treatybodyexternal/SessionDetails1.aspx?SessionID=2750&amp;Lang=en" TargetMode="External"/><Relationship Id="rId6" Type="http://schemas.openxmlformats.org/officeDocument/2006/relationships/hyperlink" Target="https://www.defensa.gob.ec/wp-content/uploads/downloads/2018/03/COIP_feb2018.pdf" TargetMode="External"/><Relationship Id="rId11" Type="http://schemas.openxmlformats.org/officeDocument/2006/relationships/hyperlink" Target="https://www.dpe.gob.ec/la-defensoria-del-pueblo-entrega-a-la-asamblea-nacional-el-proyecto-de-ley-para-garantizar-el-derecho-a-la-interrupcion-del-embarazo-por-violacion-en-ecuador/" TargetMode="External"/><Relationship Id="rId24" Type="http://schemas.openxmlformats.org/officeDocument/2006/relationships/hyperlink" Target="https://ecuador.unfpa.org/sites/default/files/pub-pdf/PLAN%20NACIONAL%20DE%20SS%20Y%20SR%202017-2021.pdf" TargetMode="External"/><Relationship Id="rId5" Type="http://schemas.openxmlformats.org/officeDocument/2006/relationships/hyperlink" Target="https://www.igualdadgenero.gob.ec/wp-content/uploads/2023/03/CODIGO-ORGANICO-INTEGRAL-PENAL-COIP.pdf" TargetMode="External"/><Relationship Id="rId15" Type="http://schemas.openxmlformats.org/officeDocument/2006/relationships/hyperlink" Target="https://www.eluniverso.com/noticias/politica/asamblea-nacional-no-se-pronuncia-sobre-el-veto-parcial-del-proyecto-de-ley-del-aborto-por-violacion-nota/" TargetMode="External"/><Relationship Id="rId23" Type="http://schemas.openxmlformats.org/officeDocument/2006/relationships/hyperlink" Target="https://app.powerbi.com/view?r=eyJrIjoiMmE3NDMwOGMtZGJlOC00MDJhLWEwYWMtZDg1MmMwZmViNDBmIiwidCI6ImYxNThhMmU4LWNhZWMtNDQwNi1iMGFiLWY1ZTI1OWJkYTExMiJ9" TargetMode="External"/><Relationship Id="rId10" Type="http://schemas.openxmlformats.org/officeDocument/2006/relationships/hyperlink" Target="https://www.corteidh.or.cr/docs/casos/articulos/seriec_257_esp.pdf" TargetMode="External"/><Relationship Id="rId19" Type="http://schemas.openxmlformats.org/officeDocument/2006/relationships/hyperlink" Target="http://esacc.corteconstitucional.gob.ec/storage/api/v1/10_DWL_FL/e2NhcnBldGE6J2VzY3JpdG8nLCB1dWlkOicyYmRjYzFmOC0xMmJlLTRhNzItYjA0Mi02YjliODgwMjUyODEucGRmJ30=" TargetMode="External"/><Relationship Id="rId4" Type="http://schemas.openxmlformats.org/officeDocument/2006/relationships/hyperlink" Target="https://www.ethnodata.org/media/filer_public/a9/3a/a93a6ebe-b765-4ac2-990d-5e61ff2a8a12/1872_codigo_penal.pdf" TargetMode="External"/><Relationship Id="rId9" Type="http://schemas.openxmlformats.org/officeDocument/2006/relationships/hyperlink" Target="https://www.ohchr.org/es/documents/general-comments-and-recommendations/general-recommendation-no-35-gender-based-violence" TargetMode="External"/><Relationship Id="rId14" Type="http://schemas.openxmlformats.org/officeDocument/2006/relationships/hyperlink" Target="https://derechoyreligion.uc.cl/es/centro-de-documentacion/internacional/otros-1/1367-ecuador-presidencia-de-la-republica-objecion-parcial-a-proyecto-de-ley-organica-que-garantiza-la-interrupcion-voluntaria-del-embarazo-para-ninas-adolescentes-y-mujeres-en-caso-de-violacion-15-marzo-2022/file" TargetMode="External"/><Relationship Id="rId22" Type="http://schemas.openxmlformats.org/officeDocument/2006/relationships/hyperlink" Target="https://www.salud.gob.ec/gacetas-muerte-materna-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LLUT8ndUgvo1ITsxwebanwnW0Q==">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</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c19ce48b07b3b2ed20e22d328b1a4e1e">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ad332bafb9a100121efb2dff1b3939aa"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2024-06-18T16:13:46+00:00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2024-06-18T16:13:46+00:00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2024-06-18T16:13:46+00:00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E696A9E6-B592-47D2-B9EA-08486E6A8A5B}"/>
</file>

<file path=customXml/itemProps3.xml><?xml version="1.0" encoding="utf-8"?>
<ds:datastoreItem xmlns:ds="http://schemas.openxmlformats.org/officeDocument/2006/customXml" ds:itemID="{03E4E972-CD8C-4335-89CA-37BED94FFCCE}"/>
</file>

<file path=customXml/itemProps4.xml><?xml version="1.0" encoding="utf-8"?>
<ds:datastoreItem xmlns:ds="http://schemas.openxmlformats.org/officeDocument/2006/customXml" ds:itemID="{2449A2F1-5B88-4AC3-8EB0-0ABCB972619B}"/>
</file>

<file path=docProps/app.xml><?xml version="1.0" encoding="utf-8"?>
<Properties xmlns="http://schemas.openxmlformats.org/officeDocument/2006/extended-properties" xmlns:vt="http://schemas.openxmlformats.org/officeDocument/2006/docPropsVTypes">
  <Template>Normal.dotm</Template>
  <TotalTime>1</TotalTime>
  <Pages>6</Pages>
  <Words>11341</Words>
  <Characters>64644</Characters>
  <Application>Microsoft Office Word</Application>
  <DocSecurity>0</DocSecurity>
  <Lines>538</Lines>
  <Paragraphs>151</Paragraphs>
  <ScaleCrop>false</ScaleCrop>
  <Company/>
  <LinksUpToDate>false</LinksUpToDate>
  <CharactersWithSpaces>75834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GUERRON PERUGACHI SAMIEL DAYAN</dc:creator>
  <cp:lastModifiedBy>Kristina Velcikova</cp:lastModifiedBy>
  <cp:revision>2</cp:revision>
  <dcterms:created xsi:type="dcterms:W3CDTF">2024-05-28T23:52:00Z</dcterms:created>
  <dcterms:modified xsi:type="dcterms:W3CDTF">2024-06-13T09:02:00Z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