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7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5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343EE" w14:textId="77777777" w:rsidR="00D7753F" w:rsidRDefault="00D7753F">
      <w:pPr>
        <w:ind w:left="0" w:hanging="2"/>
        <w:sectPr w:rsidR="00D7753F">
          <w:pgSz w:w="11906" w:h="16838"/>
          <w:pgMar w:top="1134" w:right="1134" w:bottom="1417" w:left="1134" w:header="720" w:footer="1134" w:gutter="0"/>
          <w:pgNumType w:start="1"/>
          <w:cols w:space="720"/>
        </w:sectPr>
      </w:pPr>
      <w:bookmarkStart w:id="0" w:name="_GoBack"/>
      <w:bookmarkEnd w:id="0"/>
    </w:p>
    <w:p w14:paraId="0D91F3BB" w14:textId="77777777" w:rsidR="00D7753F" w:rsidRDefault="00D7753F">
      <w:pPr>
        <w:ind w:left="0" w:hanging="2"/>
      </w:pPr>
    </w:p>
    <w:p w14:paraId="3340008F" w14:textId="77777777" w:rsidR="00D7753F" w:rsidRDefault="00D7753F">
      <w:pPr>
        <w:ind w:left="0" w:hanging="2"/>
        <w:jc w:val="both"/>
      </w:pPr>
    </w:p>
    <w:p w14:paraId="39624D8F" w14:textId="77777777" w:rsidR="00D7753F" w:rsidRDefault="000B69EA">
      <w:pPr>
        <w:ind w:left="0" w:hanging="2"/>
        <w:jc w:val="both"/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hidden="0" allowOverlap="1" wp14:anchorId="7C052FFD" wp14:editId="6E0EEF06">
            <wp:simplePos x="0" y="0"/>
            <wp:positionH relativeFrom="column">
              <wp:posOffset>-754379</wp:posOffset>
            </wp:positionH>
            <wp:positionV relativeFrom="paragraph">
              <wp:posOffset>14322</wp:posOffset>
            </wp:positionV>
            <wp:extent cx="7713257" cy="1235288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3257" cy="1235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B46381A" w14:textId="77777777" w:rsidR="00D7753F" w:rsidRDefault="00D7753F">
      <w:pPr>
        <w:ind w:left="0" w:hanging="2"/>
        <w:jc w:val="both"/>
      </w:pPr>
    </w:p>
    <w:p w14:paraId="1FE2E60F" w14:textId="77777777" w:rsidR="00D7753F" w:rsidRDefault="00D7753F">
      <w:pPr>
        <w:ind w:left="0" w:hanging="2"/>
        <w:jc w:val="both"/>
      </w:pPr>
    </w:p>
    <w:p w14:paraId="5EA09228" w14:textId="77777777" w:rsidR="00D7753F" w:rsidRDefault="00D7753F">
      <w:pPr>
        <w:ind w:left="0" w:hanging="2"/>
        <w:jc w:val="both"/>
      </w:pPr>
    </w:p>
    <w:p w14:paraId="5113F806" w14:textId="77777777" w:rsidR="00D7753F" w:rsidRDefault="00D7753F">
      <w:pPr>
        <w:ind w:left="0" w:hanging="2"/>
        <w:jc w:val="both"/>
      </w:pPr>
    </w:p>
    <w:p w14:paraId="061EE2D0" w14:textId="77777777" w:rsidR="00D7753F" w:rsidRDefault="00D7753F">
      <w:pPr>
        <w:ind w:left="0" w:hanging="2"/>
        <w:jc w:val="both"/>
      </w:pPr>
    </w:p>
    <w:p w14:paraId="69EFF6DD" w14:textId="77777777" w:rsidR="00D7753F" w:rsidRDefault="00D7753F">
      <w:pPr>
        <w:ind w:left="0" w:hanging="2"/>
        <w:jc w:val="both"/>
      </w:pPr>
    </w:p>
    <w:p w14:paraId="35DE6A0E" w14:textId="77777777" w:rsidR="00D7753F" w:rsidRDefault="00D7753F">
      <w:pPr>
        <w:ind w:left="0" w:hanging="2"/>
        <w:jc w:val="both"/>
      </w:pPr>
    </w:p>
    <w:p w14:paraId="309778E6" w14:textId="77777777" w:rsidR="00D7753F" w:rsidRDefault="00D7753F">
      <w:pPr>
        <w:ind w:left="0" w:hanging="2"/>
        <w:jc w:val="both"/>
      </w:pPr>
    </w:p>
    <w:p w14:paraId="3E05D2EA" w14:textId="77777777" w:rsidR="00D7753F" w:rsidRDefault="00D7753F">
      <w:pPr>
        <w:ind w:left="0" w:hanging="2"/>
        <w:jc w:val="both"/>
      </w:pPr>
    </w:p>
    <w:p w14:paraId="0079402A" w14:textId="77777777" w:rsidR="00D7753F" w:rsidRDefault="00D7753F">
      <w:pPr>
        <w:ind w:left="0" w:hanging="2"/>
        <w:jc w:val="both"/>
      </w:pPr>
    </w:p>
    <w:p w14:paraId="469F46FA" w14:textId="77777777" w:rsidR="00D7753F" w:rsidRDefault="00D7753F">
      <w:pPr>
        <w:ind w:left="0" w:hanging="2"/>
        <w:jc w:val="both"/>
      </w:pPr>
    </w:p>
    <w:p w14:paraId="6772B5BE" w14:textId="77777777" w:rsidR="00D7753F" w:rsidRDefault="00D7753F">
      <w:pPr>
        <w:ind w:left="0" w:hanging="2"/>
        <w:jc w:val="both"/>
      </w:pPr>
    </w:p>
    <w:p w14:paraId="36B325EC" w14:textId="77777777" w:rsidR="00D7753F" w:rsidRDefault="00D7753F">
      <w:pPr>
        <w:ind w:left="0" w:hanging="2"/>
        <w:jc w:val="both"/>
      </w:pPr>
    </w:p>
    <w:p w14:paraId="11C297CB" w14:textId="77777777" w:rsidR="00D7753F" w:rsidRDefault="00D7753F">
      <w:pPr>
        <w:ind w:left="0" w:hanging="2"/>
        <w:jc w:val="both"/>
      </w:pPr>
    </w:p>
    <w:p w14:paraId="7145FE0A" w14:textId="77777777" w:rsidR="00D7753F" w:rsidRPr="00C16F22" w:rsidRDefault="000B69EA">
      <w:pPr>
        <w:spacing w:before="12"/>
        <w:ind w:left="1" w:right="1774" w:hanging="3"/>
        <w:jc w:val="center"/>
        <w:rPr>
          <w:sz w:val="26"/>
          <w:szCs w:val="26"/>
          <w:lang w:val="es-PE"/>
        </w:rPr>
      </w:pPr>
      <w:r w:rsidRPr="00C16F22">
        <w:rPr>
          <w:b/>
          <w:sz w:val="26"/>
          <w:szCs w:val="26"/>
          <w:lang w:val="es-PE"/>
        </w:rPr>
        <w:t>INFORME ALTERNATIVO</w:t>
      </w:r>
    </w:p>
    <w:p w14:paraId="252FC7C9" w14:textId="77777777" w:rsidR="00D7753F" w:rsidRPr="00C16F22" w:rsidRDefault="000B69EA">
      <w:pPr>
        <w:ind w:left="1" w:right="1774" w:hanging="3"/>
        <w:jc w:val="center"/>
        <w:rPr>
          <w:sz w:val="26"/>
          <w:szCs w:val="26"/>
          <w:lang w:val="es-PE"/>
        </w:rPr>
      </w:pPr>
      <w:r w:rsidRPr="00C16F22">
        <w:rPr>
          <w:b/>
          <w:sz w:val="26"/>
          <w:szCs w:val="26"/>
          <w:lang w:val="es-PE"/>
        </w:rPr>
        <w:t>DE LA SOCIEDAD CIVIL A LA EXAMINACIÓN DEL ESTADO DE PERÚ</w:t>
      </w:r>
    </w:p>
    <w:p w14:paraId="35103121" w14:textId="77777777" w:rsidR="00D7753F" w:rsidRPr="00C16F22" w:rsidRDefault="000B69EA">
      <w:pPr>
        <w:ind w:left="1" w:right="1773" w:hanging="3"/>
        <w:jc w:val="center"/>
        <w:rPr>
          <w:sz w:val="26"/>
          <w:szCs w:val="26"/>
          <w:lang w:val="es-PE"/>
        </w:rPr>
      </w:pPr>
      <w:r w:rsidRPr="00C16F22">
        <w:rPr>
          <w:b/>
          <w:sz w:val="26"/>
          <w:szCs w:val="26"/>
          <w:lang w:val="es-PE"/>
        </w:rPr>
        <w:t>ANTE EL COMITÉ CEDAW</w:t>
      </w:r>
    </w:p>
    <w:p w14:paraId="493980ED" w14:textId="77777777" w:rsidR="00D7753F" w:rsidRPr="00C16F22" w:rsidRDefault="000B69EA">
      <w:pPr>
        <w:spacing w:before="1"/>
        <w:ind w:left="0" w:right="1774" w:hanging="2"/>
        <w:jc w:val="center"/>
        <w:rPr>
          <w:lang w:val="es-PE"/>
        </w:rPr>
      </w:pPr>
      <w:r w:rsidRPr="00C16F22">
        <w:rPr>
          <w:b/>
          <w:lang w:val="es-PE"/>
        </w:rPr>
        <w:t>Abril 2019</w:t>
      </w:r>
    </w:p>
    <w:p w14:paraId="3E13D7F1" w14:textId="77777777" w:rsidR="00D7753F" w:rsidRPr="00C16F22" w:rsidRDefault="00D7753F">
      <w:pPr>
        <w:ind w:left="0" w:hanging="2"/>
        <w:jc w:val="right"/>
        <w:rPr>
          <w:lang w:val="es-PE"/>
        </w:rPr>
      </w:pPr>
    </w:p>
    <w:p w14:paraId="1A501C35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0E56E710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36EB0111" w14:textId="77777777" w:rsidR="00D7753F" w:rsidRPr="00C16F22" w:rsidRDefault="00D7753F">
      <w:pPr>
        <w:spacing w:before="6"/>
        <w:ind w:left="0" w:hanging="2"/>
        <w:jc w:val="both"/>
        <w:rPr>
          <w:lang w:val="es-PE"/>
        </w:rPr>
      </w:pPr>
    </w:p>
    <w:p w14:paraId="7094C21D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32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Elaborado por:</w:t>
      </w:r>
    </w:p>
    <w:p w14:paraId="15E7C3AE" w14:textId="77777777" w:rsidR="00D7753F" w:rsidRPr="00C16F22" w:rsidRDefault="000B69EA">
      <w:pPr>
        <w:ind w:left="0" w:right="1132" w:hanging="2"/>
        <w:jc w:val="both"/>
        <w:rPr>
          <w:sz w:val="20"/>
          <w:szCs w:val="20"/>
          <w:lang w:val="es-PE"/>
        </w:rPr>
      </w:pPr>
      <w:r w:rsidRPr="00C16F22">
        <w:rPr>
          <w:lang w:val="es-PE"/>
        </w:rPr>
        <w:t xml:space="preserve">Amnistía Internacional-Perú, Articulación Lesbianas Feministas de Lima, Asociación Aurora Vivar, AQP Feminista, Asociación Humanidad Libre, Asociación de Mujeres </w:t>
      </w:r>
      <w:r w:rsidRPr="00C16F22">
        <w:rPr>
          <w:lang w:val="es-PE"/>
        </w:rPr>
        <w:lastRenderedPageBreak/>
        <w:t>Afectadas por Esterilizaciones Forzadas de Chumbivilcas, Asociación de Mujeres Defensoras del Territorio y Cultura K'ana de Espinar, Bloque Universitario Feminista, Calandria, Campaña Somos la Mitad Queremos Paridad sin Acoso, Católicas por el Derecho a Decidir-Perú, Central Única Provincial de Rondas Campesinas Femeninas de Bambamarca, CGTP-Mujer, CMP Flora Tristán, Colectiva por la Igualdad de Género de Piura, CEPEMA Lulay, CLADEM Perú, CPM Micaela Bastidas, Colectivo Feministas en el Estado, CHIRAPAQ, CNDDHH, CONAMOVIDI, COREMU-Cajamarca, Comunidad Trans Independiente, Defensoras de la Vida y la Pachamama-Cajamarca, DEMUS, Diversidades Trans Masculinas, FENMUCARINAP, Féminas, Fraternidad Cristiana de Personas con Discapacidad- Red Iberoamericana de Personas con Discapacidad, GRUFIDES, IDEL, IDPA Tarapoto, KALLPA, Karahuayllas, Lesbianas Independientes Feministas Socialistas-LIFS, Manada Feminista, Mesa de Concertación Salud y Ambiente-Comas, Movimiento El Pozo, Movimiento Manuela Ramos, Ni Una Menos-San Martín de Porres, Organización de Mujeres Defensoras de la Pachamama-Celendín, ONAMIAAP, Presencia y Palabra: Mujeres Afroperuanas, PRODEMU, PROMSEX, Proyecto Varela, RNPM-Cajamarca, Reforma Trans-PUCP, SINTRAHOGARP, SINTRAHOL.</w:t>
      </w:r>
    </w:p>
    <w:p w14:paraId="774AA879" w14:textId="77777777" w:rsidR="00D7753F" w:rsidRPr="00C16F22" w:rsidRDefault="00D7753F">
      <w:pPr>
        <w:spacing w:line="14" w:lineRule="auto"/>
        <w:ind w:left="0" w:hanging="2"/>
        <w:rPr>
          <w:sz w:val="20"/>
          <w:szCs w:val="20"/>
          <w:lang w:val="es-PE"/>
        </w:rPr>
        <w:sectPr w:rsidR="00D7753F" w:rsidRPr="00C16F22">
          <w:type w:val="continuous"/>
          <w:pgSz w:w="11906" w:h="16838"/>
          <w:pgMar w:top="1134" w:right="1134" w:bottom="1417" w:left="1134" w:header="720" w:footer="1134" w:gutter="0"/>
          <w:cols w:space="720"/>
        </w:sectPr>
      </w:pPr>
    </w:p>
    <w:p w14:paraId="062E27FE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1" w:right="6193" w:hanging="3"/>
        <w:jc w:val="both"/>
        <w:rPr>
          <w:rFonts w:eastAsia="Calibri"/>
          <w:b/>
          <w:color w:val="000000"/>
          <w:sz w:val="26"/>
          <w:szCs w:val="26"/>
        </w:rPr>
      </w:pPr>
      <w:r>
        <w:rPr>
          <w:rFonts w:eastAsia="Calibri"/>
          <w:b/>
          <w:color w:val="000000"/>
          <w:sz w:val="26"/>
          <w:szCs w:val="26"/>
        </w:rPr>
        <w:lastRenderedPageBreak/>
        <w:t>TABLA</w:t>
      </w:r>
      <w:r>
        <w:rPr>
          <w:b/>
          <w:sz w:val="26"/>
          <w:szCs w:val="26"/>
        </w:rPr>
        <w:t xml:space="preserve"> </w:t>
      </w:r>
      <w:r>
        <w:rPr>
          <w:rFonts w:eastAsia="Calibri"/>
          <w:b/>
          <w:color w:val="000000"/>
          <w:sz w:val="26"/>
          <w:szCs w:val="26"/>
        </w:rPr>
        <w:t>D</w:t>
      </w:r>
      <w:r>
        <w:rPr>
          <w:b/>
          <w:sz w:val="26"/>
          <w:szCs w:val="26"/>
        </w:rPr>
        <w:t xml:space="preserve">E </w:t>
      </w:r>
      <w:r>
        <w:rPr>
          <w:rFonts w:eastAsia="Calibri"/>
          <w:b/>
          <w:color w:val="000000"/>
          <w:sz w:val="26"/>
          <w:szCs w:val="26"/>
        </w:rPr>
        <w:t xml:space="preserve">CONTENIDOS </w:t>
      </w:r>
    </w:p>
    <w:p w14:paraId="33C0DC78" w14:textId="77777777" w:rsidR="00D7753F" w:rsidRDefault="00D7753F">
      <w:pPr>
        <w:spacing w:before="1"/>
        <w:ind w:left="0" w:hanging="2"/>
        <w:jc w:val="both"/>
      </w:pPr>
    </w:p>
    <w:p w14:paraId="08D6ACFB" w14:textId="77777777" w:rsidR="00D7753F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b/>
          <w:color w:val="000000"/>
        </w:rPr>
        <w:t>IGUALDAD Y NO DISCRIMINACIÓN</w:t>
      </w:r>
    </w:p>
    <w:p w14:paraId="2EB6D44E" w14:textId="77777777" w:rsidR="00D7753F" w:rsidRDefault="00D7753F">
      <w:pPr>
        <w:ind w:left="0" w:hanging="2"/>
        <w:jc w:val="both"/>
      </w:pPr>
    </w:p>
    <w:p w14:paraId="36FB73E0" w14:textId="77777777" w:rsidR="00D7753F" w:rsidRPr="00C16F22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DERECHO A LA PARTICIPACIÓN EN LA VIDA POLÍTICA Y PÚBLICA</w:t>
      </w:r>
    </w:p>
    <w:p w14:paraId="67993369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Participación política</w:t>
      </w:r>
    </w:p>
    <w:p w14:paraId="7B563794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Participación en la consulta previa</w:t>
      </w:r>
    </w:p>
    <w:p w14:paraId="359F334F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Derecho a la protesta y protección a defensoras de derechos humanos</w:t>
      </w:r>
    </w:p>
    <w:p w14:paraId="378031FF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4C0AC460" w14:textId="77777777" w:rsidR="00D7753F" w:rsidRPr="00C16F22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VIDA LIBRE DE VIOLENCIAS DE GÉNERO</w:t>
      </w:r>
    </w:p>
    <w:p w14:paraId="541C6E51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Violencia sexual durante el conflicto armado interno</w:t>
      </w:r>
    </w:p>
    <w:p w14:paraId="61C0F24A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before="1"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Acceso a la justicia: violencia contra niñas y mujeres indígenas</w:t>
      </w:r>
    </w:p>
    <w:p w14:paraId="421BEB0E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Violencia contra las mujeres en relación de pareja y feminicidio</w:t>
      </w:r>
    </w:p>
    <w:p w14:paraId="441560B0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Esterilizaciones forzadas</w:t>
      </w:r>
    </w:p>
    <w:p w14:paraId="032B094C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Violencia contra mujeres lesbianas, bisexuales y trans femeninas</w:t>
      </w:r>
    </w:p>
    <w:p w14:paraId="2510556B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7EA9B52C" w14:textId="77777777" w:rsidR="00D7753F" w:rsidRPr="00C16F22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SALUD REPRODUCTIVA DE LAS MUJERES, NIÑAS Y ADOLESCENTES</w:t>
      </w:r>
    </w:p>
    <w:p w14:paraId="4F985EE1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Legalización del aborto en los casos de violación, incesto o malformación fetal severa</w:t>
      </w:r>
    </w:p>
    <w:p w14:paraId="237CCE5C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Disponibilidad de servicios de aborto y atención de calidad post aborto</w:t>
      </w:r>
    </w:p>
    <w:p w14:paraId="06055320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09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Confidencialidad</w:t>
      </w:r>
    </w:p>
    <w:p w14:paraId="1552B2D7" w14:textId="77777777" w:rsidR="00D7753F" w:rsidRPr="00C16F22" w:rsidRDefault="000B69EA" w:rsidP="000F432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849" w:right="109" w:hangingChars="387" w:hanging="851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Divulgación de las directrices técnicas sobre el aborto terapéutico al personal de salud y mujeres</w:t>
      </w:r>
    </w:p>
    <w:p w14:paraId="20A3AF22" w14:textId="77777777" w:rsidR="00D7753F" w:rsidRPr="00C16F22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Protocolo especializado para niñas en situación de embarazo forzado</w:t>
      </w:r>
    </w:p>
    <w:p w14:paraId="42827AB3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22AA0C95" w14:textId="77777777" w:rsidR="00D7753F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4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MUJERES EN SU DIVERSIDAD </w:t>
      </w:r>
    </w:p>
    <w:p w14:paraId="70B164A7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Mujeres indígenas andinas y amazónicas</w:t>
      </w:r>
    </w:p>
    <w:p w14:paraId="606F412B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Mujeres afrodescendientes</w:t>
      </w:r>
    </w:p>
    <w:p w14:paraId="2723FB0B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Mujeres en situación de discapacidad</w:t>
      </w:r>
    </w:p>
    <w:p w14:paraId="2A62A878" w14:textId="77777777" w:rsidR="00D7753F" w:rsidRDefault="00D7753F">
      <w:pPr>
        <w:spacing w:before="1"/>
        <w:ind w:left="0" w:hanging="2"/>
        <w:jc w:val="both"/>
      </w:pPr>
    </w:p>
    <w:p w14:paraId="25E5C469" w14:textId="77777777" w:rsidR="00D7753F" w:rsidRPr="00C16F22" w:rsidRDefault="000B69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lastRenderedPageBreak/>
        <w:t>IGUALDAD DE DERECHOS EN LA ESFERA DE LA EDUCACIÓN</w:t>
      </w:r>
    </w:p>
    <w:p w14:paraId="7AACA830" w14:textId="77777777" w:rsidR="00D7753F" w:rsidRDefault="000B69EA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8"/>
        </w:tabs>
        <w:spacing w:line="240" w:lineRule="auto"/>
        <w:ind w:left="0" w:right="123" w:hanging="2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Educación Sexual Integral (ESI)</w:t>
      </w:r>
    </w:p>
    <w:p w14:paraId="4CBD348B" w14:textId="77777777" w:rsidR="00D7753F" w:rsidRDefault="00D7753F">
      <w:pPr>
        <w:ind w:left="0" w:hanging="2"/>
        <w:jc w:val="both"/>
        <w:sectPr w:rsidR="00D7753F">
          <w:footerReference w:type="default" r:id="rId9"/>
          <w:pgSz w:w="11906" w:h="16838"/>
          <w:pgMar w:top="1360" w:right="1300" w:bottom="880" w:left="1300" w:header="720" w:footer="690" w:gutter="0"/>
          <w:cols w:space="720"/>
        </w:sectPr>
      </w:pPr>
    </w:p>
    <w:p w14:paraId="1195A31F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1" w:right="6335" w:hanging="3"/>
        <w:jc w:val="both"/>
        <w:rPr>
          <w:rFonts w:eastAsia="Calibri"/>
          <w:b/>
          <w:color w:val="000000"/>
          <w:sz w:val="26"/>
          <w:szCs w:val="26"/>
        </w:rPr>
      </w:pPr>
      <w:r>
        <w:rPr>
          <w:rFonts w:eastAsia="Calibri"/>
          <w:b/>
          <w:color w:val="000000"/>
          <w:sz w:val="26"/>
          <w:szCs w:val="26"/>
        </w:rPr>
        <w:lastRenderedPageBreak/>
        <w:t>SIGLAS Y ACRÓNIMOS</w:t>
      </w:r>
    </w:p>
    <w:p w14:paraId="349FA1F2" w14:textId="77777777" w:rsidR="00D7753F" w:rsidRDefault="00D7753F">
      <w:pPr>
        <w:ind w:left="0" w:hanging="2"/>
        <w:jc w:val="both"/>
      </w:pPr>
    </w:p>
    <w:p w14:paraId="6B1497E7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520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AMAG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Academia de la Magistratura AMAN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Asignada mujer al nacer</w:t>
      </w:r>
    </w:p>
    <w:p w14:paraId="101474B4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58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AOE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Anticoncepción Oral de Emergencia CEM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Centro Emergencia Mujer</w:t>
      </w:r>
    </w:p>
    <w:p w14:paraId="7BCDD38F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297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CEDR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Comité para la Eliminación de la Discriminación Racial CP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Código Penal</w:t>
      </w:r>
    </w:p>
    <w:p w14:paraId="223A21AB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08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CUNEB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Currículo Nacional de la Educación Básica</w:t>
      </w:r>
    </w:p>
    <w:p w14:paraId="2B2A5565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256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DGVG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Dirección General contra la Violencia de Género del MIMP DNI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Documento Nacional de Identidad</w:t>
      </w:r>
    </w:p>
    <w:p w14:paraId="121AC6FB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580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D. Leg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 xml:space="preserve">Decreto Legislativo </w:t>
      </w:r>
    </w:p>
    <w:p w14:paraId="2850430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580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DP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Defensoría del Pueblo</w:t>
      </w:r>
    </w:p>
    <w:p w14:paraId="2A276391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543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EE.FF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Esterilizaciones Forzadas EIF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Embarazo Infantil Forzado</w:t>
      </w:r>
    </w:p>
    <w:p w14:paraId="4423823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05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ENARES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Encuesta Nacional de Relaciones Sociales ENDES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Encuesta Demográfica y de Salud Familiar</w:t>
      </w:r>
    </w:p>
    <w:p w14:paraId="2147A8A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237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ENEDIS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Primera Encuesta Nacional Especializada sobre Discapacidad ENUT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Encuesta Nacional de Uso del Tiempo</w:t>
      </w:r>
    </w:p>
    <w:p w14:paraId="551E411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ESI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Educación Sexual Integral</w:t>
      </w:r>
    </w:p>
    <w:p w14:paraId="04B33C0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8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INDECOPI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Instituto Nacional de Defensa de la Competencia y de la Propiedad Intelectual</w:t>
      </w:r>
    </w:p>
    <w:p w14:paraId="6B12FFB5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367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INEI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 xml:space="preserve">Instituto Nacional de Estadística e Informática </w:t>
      </w:r>
    </w:p>
    <w:p w14:paraId="52E8A5CF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340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MIMP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 la Mujer y Poblaciones Vulnerables MINAM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del Ambiente</w:t>
      </w:r>
    </w:p>
    <w:p w14:paraId="422DD52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56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MINEDU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 Educación</w:t>
      </w:r>
    </w:p>
    <w:p w14:paraId="7356588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394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MINJUS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 Justicia y Derechos Humanos MINSA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 Salud</w:t>
      </w:r>
    </w:p>
    <w:p w14:paraId="528E674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MTPE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Ministerio de Trabajo y Promoción del Empleo</w:t>
      </w:r>
    </w:p>
    <w:p w14:paraId="3C1D69A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93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ONAMIAP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Organización Nacional de Mujeres Indígenas, Andinas y Amazónicas del Perú PIR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Plan Integral de Reparaciones</w:t>
      </w:r>
    </w:p>
    <w:p w14:paraId="4F6B41D3" w14:textId="600353F6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before="2" w:line="235" w:lineRule="auto"/>
        <w:ind w:left="0" w:right="1907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PLANDEPA   </w:t>
      </w:r>
      <w:r w:rsidR="000F432B">
        <w:rPr>
          <w:rFonts w:eastAsia="Calibri"/>
          <w:color w:val="000000"/>
          <w:lang w:val="es-PE"/>
        </w:rPr>
        <w:t xml:space="preserve">   </w:t>
      </w:r>
      <w:r w:rsidRPr="00C16F22">
        <w:rPr>
          <w:rFonts w:eastAsia="Calibri"/>
          <w:color w:val="000000"/>
          <w:lang w:val="es-PE"/>
        </w:rPr>
        <w:t>:</w:t>
      </w:r>
      <w:r w:rsidRPr="00C16F22">
        <w:rPr>
          <w:rFonts w:eastAsia="Calibri"/>
          <w:color w:val="000000"/>
          <w:lang w:val="es-PE"/>
        </w:rPr>
        <w:tab/>
        <w:t xml:space="preserve">Plan Nacional de Desarrollo para la Población Afroperuana </w:t>
      </w:r>
    </w:p>
    <w:p w14:paraId="60C915C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before="2" w:line="235" w:lineRule="auto"/>
        <w:ind w:left="0" w:right="1907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PNCVFS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Programa Nacional contra la Violencia Familiar y Sexual del MIMP</w:t>
      </w:r>
    </w:p>
    <w:p w14:paraId="1D55D3EE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before="1" w:line="240" w:lineRule="auto"/>
        <w:ind w:left="0" w:right="3416" w:hanging="2"/>
        <w:jc w:val="both"/>
        <w:rPr>
          <w:rFonts w:eastAsia="Calibri"/>
          <w:color w:val="000000"/>
          <w:lang w:val="es-PE"/>
        </w:rPr>
        <w:sectPr w:rsidR="00D7753F" w:rsidRPr="00C16F22">
          <w:footerReference w:type="default" r:id="rId10"/>
          <w:pgSz w:w="11906" w:h="16838"/>
          <w:pgMar w:top="1360" w:right="1300" w:bottom="880" w:left="1300" w:header="720" w:footer="690" w:gutter="0"/>
          <w:cols w:space="720"/>
        </w:sectPr>
      </w:pPr>
      <w:r w:rsidRPr="00C16F22">
        <w:rPr>
          <w:rFonts w:eastAsia="Calibri"/>
          <w:color w:val="000000"/>
          <w:lang w:val="es-PE"/>
        </w:rPr>
        <w:t>REVIESFO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Registro de Víctimas de Esterilizaciones Forzadas RUV</w:t>
      </w:r>
      <w:r w:rsidRPr="00C16F22">
        <w:rPr>
          <w:rFonts w:eastAsia="Calibri"/>
          <w:color w:val="000000"/>
          <w:lang w:val="es-PE"/>
        </w:rPr>
        <w:tab/>
        <w:t>:</w:t>
      </w:r>
      <w:r w:rsidRPr="00C16F22">
        <w:rPr>
          <w:rFonts w:eastAsia="Calibri"/>
          <w:color w:val="000000"/>
          <w:lang w:val="es-PE"/>
        </w:rPr>
        <w:tab/>
        <w:t>Registro Único de Víctimas</w:t>
      </w:r>
    </w:p>
    <w:p w14:paraId="00B01A5F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1" w:hanging="3"/>
        <w:jc w:val="both"/>
        <w:rPr>
          <w:rFonts w:eastAsia="Calibri"/>
          <w:b/>
          <w:color w:val="000000"/>
          <w:sz w:val="26"/>
          <w:szCs w:val="26"/>
        </w:rPr>
      </w:pPr>
      <w:r>
        <w:rPr>
          <w:rFonts w:eastAsia="Calibri"/>
          <w:b/>
          <w:color w:val="000000"/>
          <w:sz w:val="26"/>
          <w:szCs w:val="26"/>
        </w:rPr>
        <w:lastRenderedPageBreak/>
        <w:t>PRESENTACIÓN</w:t>
      </w:r>
    </w:p>
    <w:p w14:paraId="7EF057DE" w14:textId="77777777" w:rsidR="00D7753F" w:rsidRDefault="00D7753F">
      <w:pPr>
        <w:ind w:left="0" w:hanging="2"/>
        <w:jc w:val="both"/>
      </w:pPr>
    </w:p>
    <w:p w14:paraId="6567EA0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El Estado peruano suscribió la Convención sobre la Eliminación de Todas las Formas de Discriminación contra la Mujer en 1982, a partir de ese hito histórico se han generado avances con relación a los derechos de las mujeres.</w:t>
      </w:r>
    </w:p>
    <w:p w14:paraId="5E8A79E4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01730E2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En estos 38 años las organizaciones feministas venimos asumiendo un rol de monitoreo permanente para su cumplimiento. Asimismo, hemos dado seguimiento a cada examinación que el Comité ha realizado al Estado, elevando información y casos sobre la situación de las mujeres, a través de los reportes alternativos elaborados por organizaciones y colectivas feministas, indígena, lésbico, trans, afrodescendiente y personas con discapacidad, permitiendo contar con oportunas Recomendaciones del Comité para revertir las situaciones discriminatorias.</w:t>
      </w:r>
    </w:p>
    <w:p w14:paraId="35F1A37D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1219BF4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Hacemos entrega de este Reporte Alternativo, esperando sea de utilidad para el Comité en el proceso de examinación al Estado peruano.</w:t>
      </w:r>
    </w:p>
    <w:p w14:paraId="00CC46C3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37C3684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E834F0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6E7C3E99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F7A591C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03B965CF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7A83797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0D8683C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92385B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2CD6EA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E1A1CB0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3ACB4BA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421221A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6260548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1BA559B9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316FDB6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B401BE4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57AB2C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F29319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A5F672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9046CED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9D39750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560C26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7C0E2023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4F3C63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70719C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675725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2B0352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CF489FC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2C5E80CF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0804D2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151BD337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6782B1D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1BEE065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1575DAAD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6552D29F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35670B4F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4D299E9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50B67008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01F4C6F1" w14:textId="77777777" w:rsidR="00D7753F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spacing w:before="39" w:line="240" w:lineRule="auto"/>
        <w:ind w:left="1" w:right="123" w:hanging="3"/>
        <w:jc w:val="both"/>
        <w:rPr>
          <w:rFonts w:eastAsia="Calibri"/>
          <w:b/>
          <w:color w:val="000000"/>
          <w:sz w:val="26"/>
          <w:szCs w:val="26"/>
        </w:rPr>
      </w:pPr>
      <w:r w:rsidRPr="00C16F22">
        <w:rPr>
          <w:rFonts w:eastAsia="Calibri"/>
          <w:b/>
          <w:color w:val="000000"/>
          <w:sz w:val="26"/>
          <w:szCs w:val="26"/>
          <w:lang w:val="es-PE"/>
        </w:rPr>
        <w:t xml:space="preserve"> </w:t>
      </w:r>
      <w:r>
        <w:rPr>
          <w:rFonts w:eastAsia="Calibri"/>
          <w:b/>
          <w:color w:val="000000"/>
          <w:sz w:val="26"/>
          <w:szCs w:val="26"/>
        </w:rPr>
        <w:t>IGUALDAD Y NO DISCRIMINACIÓN</w:t>
      </w:r>
    </w:p>
    <w:p w14:paraId="2680AB79" w14:textId="77777777" w:rsidR="00D7753F" w:rsidRDefault="00D7753F">
      <w:pPr>
        <w:pBdr>
          <w:top w:val="nil"/>
          <w:left w:val="nil"/>
          <w:bottom w:val="nil"/>
          <w:right w:val="nil"/>
          <w:between w:val="nil"/>
        </w:pBdr>
        <w:spacing w:before="56" w:line="240" w:lineRule="auto"/>
        <w:ind w:left="0" w:right="107" w:hanging="2"/>
        <w:jc w:val="both"/>
        <w:rPr>
          <w:rFonts w:eastAsia="Calibri"/>
          <w:color w:val="000000"/>
        </w:rPr>
      </w:pPr>
    </w:p>
    <w:p w14:paraId="313F02F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Según datos de la encuesta virtual para personas LGBTI aplicada en el 2017</w:t>
      </w:r>
      <w:r>
        <w:rPr>
          <w:rFonts w:eastAsia="Calibri"/>
          <w:color w:val="000000"/>
          <w:vertAlign w:val="superscript"/>
        </w:rPr>
        <w:footnoteReference w:id="1"/>
      </w:r>
      <w:r w:rsidRPr="00C16F22">
        <w:rPr>
          <w:rFonts w:eastAsia="Calibri"/>
          <w:color w:val="000000"/>
          <w:lang w:val="es-PE"/>
        </w:rPr>
        <w:t>, dos terceras partes (66%) de sus encuestados manifestaron que la sociedad peruana no es respetuosa de la orientación sexual ni de la identidad de género. Sin embargo, el 96% no denuncia porque lo considera pérdida de tiempo, no sabía dónde ir o temía represalias.</w:t>
      </w:r>
    </w:p>
    <w:p w14:paraId="5961D5E9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1958221D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A pesar de los planes de igualdad de género implementados, subsiste </w:t>
      </w:r>
      <w:r w:rsidRPr="00C16F22">
        <w:rPr>
          <w:rFonts w:eastAsia="Calibri"/>
          <w:b/>
          <w:color w:val="000000"/>
          <w:lang w:val="es-PE"/>
        </w:rPr>
        <w:t xml:space="preserve">legislación discriminatoria directa o indirectamente hacia las mujeres </w:t>
      </w:r>
      <w:r w:rsidRPr="00C16F22">
        <w:rPr>
          <w:rFonts w:eastAsia="Calibri"/>
          <w:color w:val="000000"/>
          <w:lang w:val="es-PE"/>
        </w:rPr>
        <w:t>(cismujeres, lesbianas, trans masculinos y femeninas, personas no binarias y asignadxs mujeres al nacer-AMAN, afrodescendientes e indígenas, mujeres con VIH y mujeres en situación de discapacidad). Esto ocurre con los delitos de discriminación y crímenes de odio, feminicidio y otras violencias de género; en el derecho a la identidad de género y la bimarentalidad, lo que contraviene los estándares que trascienden el enfoque binario de género.</w:t>
      </w:r>
    </w:p>
    <w:p w14:paraId="65217D89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50D9EA27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El Decreto Legislativo 1323 (6 de enero de 2017), modificó el artículo 323° del Código Penal, reconociendo expresamente como motivos de discriminación a la orientación sexual y la identidad de género, pero se eliminó la incitación pública de actos discriminatorios. </w:t>
      </w:r>
    </w:p>
    <w:p w14:paraId="52F8BDE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before="2" w:line="240" w:lineRule="auto"/>
        <w:ind w:left="0" w:hanging="2"/>
        <w:jc w:val="both"/>
        <w:rPr>
          <w:rFonts w:eastAsia="Calibri"/>
          <w:color w:val="000000"/>
          <w:lang w:val="es-PE"/>
        </w:rPr>
      </w:pPr>
    </w:p>
    <w:p w14:paraId="2B99F154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9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i/>
          <w:color w:val="000000"/>
          <w:lang w:val="es-PE"/>
        </w:rPr>
        <w:t>“El que, por sí o mediante terceros, realiza actos de distinción, exclusión, restricción o preferencia que anulan o menoscaban el reconocimiento, goce o ejercicio de cualquier derecho de una persona  o grupo de personas reconocido en la ley, la Constitución o en los tratados de derechos humanos de los cuales el Perú es parte, basados en motivos raciales, religiosos, nacionalidad, edad, sexo, orientación sexual, identidad de género, idioma, identidad étnica o cultural, opinión, nivel socio económico, condición migratoria, discapacidad, condición de salud, factor genético, filiación, o cualquier otro motivo, será reprimido con pena privativa de libertad no menor…”.</w:t>
      </w:r>
    </w:p>
    <w:p w14:paraId="4BCBF603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8" w:hanging="2"/>
        <w:jc w:val="both"/>
        <w:rPr>
          <w:rFonts w:eastAsia="Calibri"/>
          <w:color w:val="000000"/>
          <w:lang w:val="es-PE"/>
        </w:rPr>
      </w:pPr>
    </w:p>
    <w:p w14:paraId="6AA9AA67" w14:textId="0C9B7A98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 xml:space="preserve">Este mismo decreto modificó el artículo 46° del Código Penal, estableciendo de manera expresa, entre las circunstancias agravantes de los delitos cometidos por odio, la discriminación por orientación sexual e identidad de género. </w:t>
      </w:r>
    </w:p>
    <w:p w14:paraId="09FB1F0B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01E29283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6C1B50D4" w14:textId="77777777" w:rsidR="00D7753F" w:rsidRPr="00C16F22" w:rsidRDefault="000B69EA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Garantizar una legislación penal que sancione la discriminación (art. 323) y los crímenes de odio (art. 46) motivados por la orientación sexual, la identidad de género y el origen étnico y racial.</w:t>
      </w:r>
    </w:p>
    <w:p w14:paraId="6EF8B96B" w14:textId="77777777" w:rsidR="00D7753F" w:rsidRPr="00C16F22" w:rsidRDefault="000B69EA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Aprobar programas presupuestales para la implementación de la Política Nacional de Igualdad de género. </w:t>
      </w:r>
    </w:p>
    <w:p w14:paraId="56EE3E13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0CD030A7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29E730AA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2542B3DD" w14:textId="77777777" w:rsidR="00D7753F" w:rsidRPr="00C16F22" w:rsidRDefault="00D7753F">
      <w:pPr>
        <w:spacing w:before="12"/>
        <w:ind w:left="0" w:hanging="2"/>
        <w:jc w:val="both"/>
        <w:rPr>
          <w:lang w:val="es-PE"/>
        </w:rPr>
      </w:pPr>
    </w:p>
    <w:p w14:paraId="0AFAF16A" w14:textId="77777777" w:rsidR="00D7753F" w:rsidRPr="00C16F22" w:rsidRDefault="00D7753F">
      <w:pPr>
        <w:spacing w:before="12"/>
        <w:ind w:left="0" w:hanging="2"/>
        <w:jc w:val="both"/>
        <w:rPr>
          <w:lang w:val="es-PE"/>
        </w:rPr>
      </w:pPr>
    </w:p>
    <w:p w14:paraId="580C37F6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67CBCB01" w14:textId="77777777" w:rsidR="00D7753F" w:rsidRPr="00C16F22" w:rsidRDefault="00D7753F">
      <w:pPr>
        <w:spacing w:line="14" w:lineRule="auto"/>
        <w:ind w:left="0" w:hanging="2"/>
        <w:rPr>
          <w:sz w:val="20"/>
          <w:szCs w:val="20"/>
          <w:lang w:val="es-PE"/>
        </w:rPr>
        <w:sectPr w:rsidR="00D7753F" w:rsidRPr="00C16F22">
          <w:footerReference w:type="default" r:id="rId11"/>
          <w:pgSz w:w="11906" w:h="16838"/>
          <w:pgMar w:top="1360" w:right="1300" w:bottom="880" w:left="1300" w:header="720" w:footer="690" w:gutter="0"/>
          <w:cols w:space="720"/>
        </w:sectPr>
      </w:pPr>
    </w:p>
    <w:p w14:paraId="1037E21F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4AEA834C" w14:textId="77777777" w:rsidR="00D7753F" w:rsidRPr="00C16F22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1" w:hanging="3"/>
        <w:jc w:val="both"/>
        <w:rPr>
          <w:rFonts w:eastAsia="Calibri"/>
          <w:b/>
          <w:color w:val="000000"/>
          <w:sz w:val="26"/>
          <w:szCs w:val="26"/>
          <w:lang w:val="es-PE"/>
        </w:rPr>
      </w:pPr>
      <w:r w:rsidRPr="00C16F22">
        <w:rPr>
          <w:rFonts w:eastAsia="Calibri"/>
          <w:b/>
          <w:color w:val="000000"/>
          <w:sz w:val="26"/>
          <w:szCs w:val="26"/>
          <w:lang w:val="es-PE"/>
        </w:rPr>
        <w:t>DERECHO A LA PARTICIPACIÓN POLÍTICA Y PÚBLICA</w:t>
      </w:r>
    </w:p>
    <w:p w14:paraId="21BBD1C1" w14:textId="77777777" w:rsidR="00D7753F" w:rsidRPr="00C16F22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b/>
          <w:color w:val="000000"/>
          <w:lang w:val="es-PE"/>
        </w:rPr>
      </w:pPr>
    </w:p>
    <w:p w14:paraId="3D6A961B" w14:textId="77777777" w:rsidR="00D7753F" w:rsidRPr="00C16F22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cuota electoral de género se aplica en el Perú desde 1998 en las listas al Congreso, Parlamento Andino, con</w:t>
      </w:r>
      <w:r w:rsidRPr="00C16F22">
        <w:rPr>
          <w:lang w:val="es-PE"/>
        </w:rPr>
        <w:t>c</w:t>
      </w:r>
      <w:r w:rsidRPr="00C16F22">
        <w:rPr>
          <w:rFonts w:eastAsia="Calibri"/>
          <w:color w:val="000000"/>
          <w:lang w:val="es-PE"/>
        </w:rPr>
        <w:t xml:space="preserve">ejos regionales y concejos municipales. En veinte años de aplicación no se ha logrado alcanzar ni la cuota mínima prevista para la postulación. A partir de las elecciones generales del 2021, </w:t>
      </w:r>
      <w:r w:rsidRPr="00C16F22">
        <w:rPr>
          <w:lang w:val="es-PE"/>
        </w:rPr>
        <w:t>se incluye</w:t>
      </w:r>
      <w:r w:rsidRPr="00C16F22">
        <w:rPr>
          <w:rFonts w:eastAsia="Calibri"/>
          <w:color w:val="000000"/>
          <w:lang w:val="es-PE"/>
        </w:rPr>
        <w:t xml:space="preserve"> paridad y alternancia.</w:t>
      </w:r>
    </w:p>
    <w:p w14:paraId="3D0D5E1A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</w:p>
    <w:p w14:paraId="44DFF28C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En las </w:t>
      </w:r>
      <w:r w:rsidRPr="00C16F22">
        <w:rPr>
          <w:rFonts w:eastAsia="Calibri"/>
          <w:b/>
          <w:color w:val="000000"/>
          <w:lang w:val="es-PE"/>
        </w:rPr>
        <w:t>elecciones regionales</w:t>
      </w:r>
      <w:r w:rsidRPr="00C16F22">
        <w:rPr>
          <w:rFonts w:eastAsia="Calibri"/>
          <w:color w:val="000000"/>
          <w:lang w:val="es-PE"/>
        </w:rPr>
        <w:t xml:space="preserve"> 2018, ninguna mujer resultó elegida como gobernadora, hay 5 </w:t>
      </w:r>
      <w:r w:rsidRPr="00C16F22">
        <w:rPr>
          <w:lang w:val="es-PE"/>
        </w:rPr>
        <w:t>vicegobernadoras</w:t>
      </w:r>
      <w:r w:rsidRPr="00C16F22">
        <w:rPr>
          <w:rFonts w:eastAsia="Calibri"/>
          <w:color w:val="000000"/>
          <w:lang w:val="es-PE"/>
        </w:rPr>
        <w:t xml:space="preserve"> (20%) y 63 consejeras regionales. En las </w:t>
      </w:r>
      <w:r w:rsidRPr="00C16F22">
        <w:rPr>
          <w:rFonts w:eastAsia="Calibri"/>
          <w:b/>
          <w:color w:val="000000"/>
          <w:lang w:val="es-PE"/>
        </w:rPr>
        <w:t>elecciones municipales</w:t>
      </w:r>
      <w:r w:rsidRPr="00C16F22">
        <w:rPr>
          <w:rFonts w:eastAsia="Calibri"/>
          <w:color w:val="000000"/>
          <w:lang w:val="es-PE"/>
        </w:rPr>
        <w:t xml:space="preserve"> 2018, solo resultaron electas 7 alcaldesas provinciales, 453 regidoras provinciales, 81 alcaldesas distritales y 2733 regidoras distritales.</w:t>
      </w:r>
    </w:p>
    <w:p w14:paraId="5E68BC4D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</w:p>
    <w:p w14:paraId="730CAED6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Actualmente, las ONG CMP Flora Tristán, ACS Calandria, Movimiento Manuela Ramos y la Red Nacional de Mujeres Autoridades (RENAMA) impulsan el Proyecto de Ley 673, “Ley para prevenir, sancionar y erradicar el acoso político contra las mujeres”.</w:t>
      </w:r>
    </w:p>
    <w:p w14:paraId="489C31EA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2B33C6AF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7C59F7E5" w14:textId="77777777" w:rsidR="00D7753F" w:rsidRPr="00C16F22" w:rsidRDefault="000B69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Tipificar el acoso político hacia las mujeres como delito.</w:t>
      </w:r>
    </w:p>
    <w:p w14:paraId="2288019B" w14:textId="77777777" w:rsidR="00D7753F" w:rsidRPr="00C16F22" w:rsidRDefault="000B69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Implementar a cargo del Jurado Nacional de Elecciones, mecanismos para garantizar procesos electorales libres de acoso político y sancionarlos. También, debe sancionar los discursos de odio hacia mujeres lesbianas, trans masculinos y femeninas, personas no binarias y asignadxs mujeres al nacer (AMAN), indígenas y afroperuanas.</w:t>
      </w:r>
    </w:p>
    <w:p w14:paraId="56B2630F" w14:textId="77777777" w:rsidR="00D7753F" w:rsidRPr="00C16F22" w:rsidRDefault="00D7753F">
      <w:pPr>
        <w:tabs>
          <w:tab w:val="left" w:pos="400"/>
        </w:tabs>
        <w:ind w:left="0" w:right="111" w:hanging="2"/>
        <w:jc w:val="both"/>
        <w:rPr>
          <w:lang w:val="es-PE"/>
        </w:rPr>
      </w:pPr>
    </w:p>
    <w:p w14:paraId="148F28CB" w14:textId="77777777" w:rsidR="00D7753F" w:rsidRPr="00C16F22" w:rsidRDefault="000B69EA">
      <w:pPr>
        <w:tabs>
          <w:tab w:val="left" w:pos="400"/>
        </w:tabs>
        <w:ind w:left="0" w:right="111" w:hanging="2"/>
        <w:jc w:val="both"/>
        <w:rPr>
          <w:lang w:val="es-PE"/>
        </w:rPr>
      </w:pPr>
      <w:r w:rsidRPr="00C16F22">
        <w:rPr>
          <w:b/>
          <w:lang w:val="es-PE"/>
        </w:rPr>
        <w:t>Participación en la Consulta previa</w:t>
      </w:r>
    </w:p>
    <w:p w14:paraId="531CAE44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Ley 29785, sobre el derecho a la consulta previa, estableció que es vinculante la consulta, pero no su resultado. El MIMP intentó sin éxito la incorporación del enfoque de género.</w:t>
      </w:r>
    </w:p>
    <w:p w14:paraId="0E563B3A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1D2ACF5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La Organización Nacional de Mujeres Indígenas, Andinas y Amazónicas del Perú (ONAMIAP) señala, por ejemplo, que en el proceso de consulta del Lote 195, solo participó 1 mujer y 11 </w:t>
      </w:r>
      <w:r w:rsidRPr="00C16F22">
        <w:rPr>
          <w:rFonts w:eastAsia="Calibri"/>
          <w:color w:val="000000"/>
          <w:lang w:val="es-PE"/>
        </w:rPr>
        <w:lastRenderedPageBreak/>
        <w:t xml:space="preserve">hombres; en el Lote 175 participaron 2 mujeres y 14 hombres, debido a que en algunas comunidades no son calificadas como comuneras, o porque hay resistencia a su participación efectiva. </w:t>
      </w:r>
    </w:p>
    <w:p w14:paraId="0E617AC7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4CAFD7EB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 xml:space="preserve">Recomendaciones </w:t>
      </w:r>
    </w:p>
    <w:p w14:paraId="10FB31FC" w14:textId="77777777" w:rsidR="00D7753F" w:rsidRPr="00C16F22" w:rsidRDefault="000B69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5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el Viceministerio de Interculturalidad explicite el enfoque de género en los instrumentos normativos sobre la consulta previa.</w:t>
      </w:r>
    </w:p>
    <w:p w14:paraId="0FB93B56" w14:textId="77777777" w:rsidR="00D7753F" w:rsidRPr="00C16F22" w:rsidRDefault="000B69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5"/>
        </w:tabs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Constituir una comisión revisora del Reglamento de la Ley de Consulta Previa para garantizar la participación de las mujeres indígenas, con la participación del MIMP, Defensoría del Pueblo y representantes de las organizaciones indígenas.</w:t>
      </w:r>
    </w:p>
    <w:p w14:paraId="5025FADA" w14:textId="77777777" w:rsidR="00D7753F" w:rsidRPr="00C16F22" w:rsidRDefault="00D7753F">
      <w:pPr>
        <w:tabs>
          <w:tab w:val="left" w:pos="400"/>
        </w:tabs>
        <w:ind w:left="0" w:right="115" w:hanging="2"/>
        <w:jc w:val="both"/>
        <w:rPr>
          <w:lang w:val="es-PE"/>
        </w:rPr>
      </w:pPr>
    </w:p>
    <w:p w14:paraId="5C156844" w14:textId="77777777" w:rsidR="00D7753F" w:rsidRPr="00C16F22" w:rsidRDefault="000B69EA">
      <w:pPr>
        <w:tabs>
          <w:tab w:val="left" w:pos="400"/>
        </w:tabs>
        <w:ind w:left="0" w:right="115" w:hanging="2"/>
        <w:jc w:val="both"/>
        <w:rPr>
          <w:lang w:val="es-PE"/>
        </w:rPr>
      </w:pPr>
      <w:r w:rsidRPr="00C16F22">
        <w:rPr>
          <w:b/>
          <w:lang w:val="es-PE"/>
        </w:rPr>
        <w:t>Derecho a la protesta y defensoras de derechos humanos</w:t>
      </w:r>
    </w:p>
    <w:p w14:paraId="3C4DE83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protesta pública o social es un derecho o mecanismo tradicional para llamar la atención de las autoridades y solucionar demandas. Sin embargo, el Tribunal Constitucional</w:t>
      </w:r>
      <w:r>
        <w:rPr>
          <w:rFonts w:eastAsia="Calibri"/>
          <w:color w:val="000000"/>
          <w:vertAlign w:val="superscript"/>
        </w:rPr>
        <w:footnoteReference w:id="2"/>
      </w:r>
      <w:r w:rsidRPr="00C16F22">
        <w:rPr>
          <w:rFonts w:eastAsia="Calibri"/>
          <w:color w:val="000000"/>
          <w:lang w:val="es-PE"/>
        </w:rPr>
        <w:t xml:space="preserve">, convalidó la intervención de las Fuerzas Armadas en el control del orden interno sin declaratoria de emergencia. </w:t>
      </w:r>
    </w:p>
    <w:p w14:paraId="13D1AACC" w14:textId="77777777" w:rsidR="00D7753F" w:rsidRPr="00C16F22" w:rsidRDefault="00D7753F">
      <w:pPr>
        <w:spacing w:before="3"/>
        <w:ind w:left="0" w:hanging="2"/>
        <w:jc w:val="both"/>
        <w:rPr>
          <w:lang w:val="es-PE"/>
        </w:rPr>
      </w:pPr>
    </w:p>
    <w:p w14:paraId="6D92056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No hay data oficial del número de mujeres defensoras violentadas. En la actualidad, muchas mujeres defensoras son criminalizadas por el sistema de justicia, y difamadas por medios de comunicación y empresas. Desde el 2003, 10 mujeres han muerto por abuso de la fuerza pública; han sido agredidas con golpes en senos y nalgas, insultos racistas y sexistas. Además, viven en contextos de coerción y violencia, donde la autonomía sexual y sus elecciones están limitadas por la posición estructural de dominación del hombre y la presencia de las fuerzas del orden.</w:t>
      </w:r>
    </w:p>
    <w:p w14:paraId="15E67AEB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460640E5" w14:textId="6CB7FC08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Un caso emblemático es el de la comunera M</w:t>
      </w:r>
      <w:r w:rsidR="00837F91">
        <w:rPr>
          <w:rFonts w:eastAsia="Calibri"/>
          <w:color w:val="000000"/>
          <w:lang w:val="es-PE"/>
        </w:rPr>
        <w:t>.</w:t>
      </w:r>
      <w:r w:rsidRPr="00C16F22">
        <w:rPr>
          <w:rFonts w:eastAsia="Calibri"/>
          <w:color w:val="000000"/>
          <w:lang w:val="es-PE"/>
        </w:rPr>
        <w:t>A</w:t>
      </w:r>
      <w:r w:rsidR="00837F91">
        <w:rPr>
          <w:rFonts w:eastAsia="Calibri"/>
          <w:color w:val="000000"/>
          <w:lang w:val="es-PE"/>
        </w:rPr>
        <w:t>.</w:t>
      </w:r>
      <w:r w:rsidRPr="00C16F22">
        <w:rPr>
          <w:rFonts w:eastAsia="Calibri"/>
          <w:color w:val="000000"/>
          <w:lang w:val="es-PE"/>
        </w:rPr>
        <w:t>, hostilizada por su lucha contra el megaproyecto minero Conga en Cajamarca. Frente a esta realidad, la Comisión Interamericana de Derechos Humanos (CIDH) le otorgó medidas cautelares</w:t>
      </w:r>
      <w:r>
        <w:rPr>
          <w:rFonts w:eastAsia="Calibri"/>
          <w:color w:val="000000"/>
          <w:vertAlign w:val="superscript"/>
        </w:rPr>
        <w:footnoteReference w:id="3"/>
      </w:r>
      <w:r w:rsidRPr="00C16F22">
        <w:rPr>
          <w:rFonts w:eastAsia="Calibri"/>
          <w:color w:val="000000"/>
          <w:lang w:val="es-PE"/>
        </w:rPr>
        <w:t xml:space="preserve"> (Anexos 3, 4 y 5). </w:t>
      </w:r>
    </w:p>
    <w:p w14:paraId="78F45B84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</w:p>
    <w:p w14:paraId="5167DE5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El </w:t>
      </w:r>
      <w:r w:rsidRPr="00C16F22">
        <w:rPr>
          <w:rFonts w:eastAsia="Calibri"/>
          <w:i/>
          <w:color w:val="000000"/>
          <w:lang w:val="es-PE"/>
        </w:rPr>
        <w:t>Plan Nacional de Derechos Humanos 2018–2021</w:t>
      </w:r>
      <w:r>
        <w:rPr>
          <w:rFonts w:eastAsia="Calibri"/>
          <w:color w:val="000000"/>
          <w:vertAlign w:val="superscript"/>
        </w:rPr>
        <w:footnoteReference w:id="4"/>
      </w:r>
      <w:r w:rsidRPr="00C16F22">
        <w:rPr>
          <w:rFonts w:eastAsia="Calibri"/>
          <w:color w:val="000000"/>
          <w:lang w:val="es-PE"/>
        </w:rPr>
        <w:t xml:space="preserve">, incorporó la protección a defensoras de     derechos humanos, la creación de un registro de situaciones de riesgo al 2019 y un mecanismo para la protección de defensoras al 2021. Se cuenta con un </w:t>
      </w:r>
      <w:r w:rsidRPr="00C16F22">
        <w:rPr>
          <w:rFonts w:eastAsia="Calibri"/>
          <w:i/>
          <w:color w:val="000000"/>
          <w:lang w:val="es-PE"/>
        </w:rPr>
        <w:t>Protocolo para garantizar la protección de las defensoras</w:t>
      </w:r>
      <w:r>
        <w:rPr>
          <w:rFonts w:eastAsia="Calibri"/>
          <w:color w:val="000000"/>
          <w:vertAlign w:val="superscript"/>
        </w:rPr>
        <w:footnoteReference w:id="5"/>
      </w:r>
      <w:r w:rsidRPr="00C16F22">
        <w:rPr>
          <w:rFonts w:eastAsia="Calibri"/>
          <w:color w:val="000000"/>
          <w:lang w:val="es-PE"/>
        </w:rPr>
        <w:t xml:space="preserve"> pero no brinda medidas efectivas para defensoras que sufren ataques.  </w:t>
      </w:r>
    </w:p>
    <w:p w14:paraId="18C9DEDE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</w:p>
    <w:p w14:paraId="137798A8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6E282CBC" w14:textId="77777777" w:rsidR="00D7753F" w:rsidRPr="00C16F22" w:rsidRDefault="000B69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Aprobación e implementación de una política integral de protección a personas defensoras de derechos humanos, que establezca competencias de todos los sectores y niveles del Estado desde un enfoque de género. </w:t>
      </w:r>
    </w:p>
    <w:p w14:paraId="164921FC" w14:textId="77777777" w:rsidR="00D7753F" w:rsidRPr="00C16F22" w:rsidRDefault="000B69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Derogar las normas que criminalizan la protesta social y fortalecer las capacidades de operadores de justicia sobre derechos de defensoras y en perspectiva de género para la investigación y juzgamiento.  </w:t>
      </w:r>
    </w:p>
    <w:p w14:paraId="0EA9736D" w14:textId="77777777" w:rsidR="00D7753F" w:rsidRPr="00C16F22" w:rsidRDefault="000B69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Seguimiento al uso de la fuerza estatal en protestas y prácticas de violencia sexual durante detenciones policiales, garantizando investigaciones exhaustivas e imparciales y medidas de no repetición. </w:t>
      </w:r>
    </w:p>
    <w:p w14:paraId="15BDDCE4" w14:textId="77777777" w:rsidR="00D7753F" w:rsidRPr="00C16F22" w:rsidRDefault="00D7753F">
      <w:pPr>
        <w:spacing w:before="1"/>
        <w:ind w:left="0" w:right="124" w:hanging="2"/>
        <w:jc w:val="both"/>
        <w:rPr>
          <w:lang w:val="es-PE"/>
        </w:rPr>
      </w:pPr>
    </w:p>
    <w:p w14:paraId="2FCFC476" w14:textId="77777777" w:rsidR="00D7753F" w:rsidRPr="00C16F22" w:rsidRDefault="00D7753F">
      <w:pPr>
        <w:spacing w:before="1"/>
        <w:ind w:left="0" w:right="124" w:hanging="2"/>
        <w:jc w:val="both"/>
        <w:rPr>
          <w:lang w:val="es-PE"/>
        </w:rPr>
      </w:pPr>
    </w:p>
    <w:p w14:paraId="50B0AE18" w14:textId="77777777" w:rsidR="00D7753F" w:rsidRPr="00C16F22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1" w:right="123" w:hanging="3"/>
        <w:jc w:val="both"/>
        <w:rPr>
          <w:rFonts w:eastAsia="Calibri"/>
          <w:b/>
          <w:color w:val="000000"/>
          <w:sz w:val="26"/>
          <w:szCs w:val="26"/>
          <w:lang w:val="es-PE"/>
        </w:rPr>
      </w:pPr>
      <w:r w:rsidRPr="00C16F22">
        <w:rPr>
          <w:rFonts w:eastAsia="Calibri"/>
          <w:b/>
          <w:color w:val="000000"/>
          <w:sz w:val="26"/>
          <w:szCs w:val="26"/>
          <w:lang w:val="es-PE"/>
        </w:rPr>
        <w:t>VIDA LIBRE DE VIOLENCIAS DE GÉNERO</w:t>
      </w:r>
    </w:p>
    <w:p w14:paraId="2513B6A5" w14:textId="77777777" w:rsidR="00D7753F" w:rsidRPr="00C16F22" w:rsidRDefault="00D7753F">
      <w:pPr>
        <w:spacing w:before="8"/>
        <w:ind w:left="0" w:hanging="2"/>
        <w:jc w:val="both"/>
        <w:rPr>
          <w:lang w:val="es-PE"/>
        </w:rPr>
      </w:pPr>
    </w:p>
    <w:p w14:paraId="0052AF50" w14:textId="77777777" w:rsidR="00D7753F" w:rsidRPr="00C16F22" w:rsidRDefault="000B69EA">
      <w:pPr>
        <w:ind w:left="0" w:right="110" w:hanging="2"/>
        <w:jc w:val="both"/>
        <w:rPr>
          <w:lang w:val="es-PE"/>
        </w:rPr>
      </w:pPr>
      <w:r w:rsidRPr="00C16F22">
        <w:rPr>
          <w:lang w:val="es-PE"/>
        </w:rPr>
        <w:lastRenderedPageBreak/>
        <w:t>Cada hora, el Ministerio Público registra 3 denuncias por violación sexual. En el periodo 2013-2018 se registraron en el Perú un total de 124, 370 denuncias contra por violencia sexual. El 83,4% de las víctimas era menor de edad; el 41.2% de los imputados era un conocido y el 38,2% un familiar.</w:t>
      </w:r>
    </w:p>
    <w:p w14:paraId="7F1C3B98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</w:p>
    <w:p w14:paraId="79272483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Desde el 2015 rige la Ley N° 30364, Ley para prevenir, sancionar y erradicar la violencia contra las mujeres y los integrantes del grupo familiar, posteriormente su Reglamento, el Decreto Supremo N° 009-2016-MIMP, y el </w:t>
      </w:r>
      <w:r w:rsidRPr="00C16F22">
        <w:rPr>
          <w:rFonts w:eastAsia="Calibri"/>
          <w:i/>
          <w:color w:val="000000"/>
          <w:lang w:val="es-PE"/>
        </w:rPr>
        <w:t>Plan Nacional contra la Violencia de Género 2016 -2021</w:t>
      </w:r>
      <w:r w:rsidRPr="00C16F22">
        <w:rPr>
          <w:rFonts w:eastAsia="Calibri"/>
          <w:color w:val="000000"/>
          <w:lang w:val="es-PE"/>
        </w:rPr>
        <w:t>, que reconoce a las mujeres en su diversidad.</w:t>
      </w:r>
    </w:p>
    <w:p w14:paraId="6DB0AC33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2DCB0F0C" w14:textId="31BF9FDC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Sin embargo, hay mujeres excluidas de facto como las indígenas, campesinas y defensoras de la tierra, que no acceden a justicia; otras excluidas son las mujeres trans cuando se les niega protección y sanción, configurándose una discriminación en el acceso </w:t>
      </w:r>
      <w:r w:rsidR="00837F91">
        <w:rPr>
          <w:rFonts w:eastAsia="Calibri"/>
          <w:color w:val="000000"/>
          <w:lang w:val="es-PE"/>
        </w:rPr>
        <w:t>a justicia como ocurrió con A.</w:t>
      </w:r>
      <w:r w:rsidRPr="00C16F22">
        <w:rPr>
          <w:rFonts w:eastAsia="Calibri"/>
          <w:color w:val="000000"/>
          <w:lang w:val="es-PE"/>
        </w:rPr>
        <w:t>R</w:t>
      </w:r>
      <w:r w:rsidR="00837F91">
        <w:rPr>
          <w:rFonts w:eastAsia="Calibri"/>
          <w:color w:val="000000"/>
          <w:lang w:val="es-PE"/>
        </w:rPr>
        <w:t>.</w:t>
      </w:r>
      <w:r>
        <w:rPr>
          <w:rFonts w:eastAsia="Calibri"/>
          <w:color w:val="000000"/>
          <w:vertAlign w:val="superscript"/>
        </w:rPr>
        <w:footnoteReference w:id="6"/>
      </w:r>
      <w:r w:rsidRPr="00C16F22">
        <w:rPr>
          <w:rFonts w:eastAsia="Calibri"/>
          <w:color w:val="000000"/>
          <w:lang w:val="es-PE"/>
        </w:rPr>
        <w:t xml:space="preserve"> (lesiones físicas en contexto de acoso sexual), argumentando que la norma es para mujeres.</w:t>
      </w:r>
    </w:p>
    <w:p w14:paraId="620D1633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2B19906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ley establece que las medidas de protección son dictadas por el juzgado de familia en 24 horas, en casos de riesgo severo, y 48 horas, cuando hay riesgo leve o moderado</w:t>
      </w:r>
      <w:r>
        <w:rPr>
          <w:rFonts w:eastAsia="Calibri"/>
          <w:color w:val="000000"/>
          <w:vertAlign w:val="superscript"/>
        </w:rPr>
        <w:footnoteReference w:id="7"/>
      </w:r>
      <w:r w:rsidRPr="00C16F22">
        <w:rPr>
          <w:rFonts w:eastAsia="Calibri"/>
          <w:color w:val="000000"/>
          <w:lang w:val="es-PE"/>
        </w:rPr>
        <w:t>. Estos plazos no se cumplen. Preocupa que se ordene la terapia psicológica para la víctima como medida de protección, porque no responde a preservarla de agresiones; asimismo, preocupa que la ley sea utilizada por agresores para denunciar a víctimas que ejercen legítima defensa.</w:t>
      </w:r>
    </w:p>
    <w:p w14:paraId="0EC4714B" w14:textId="77777777" w:rsidR="00D7753F" w:rsidRPr="00C16F22" w:rsidRDefault="00D7753F">
      <w:pPr>
        <w:spacing w:before="7"/>
        <w:ind w:left="0" w:hanging="2"/>
        <w:jc w:val="both"/>
        <w:rPr>
          <w:lang w:val="es-PE"/>
        </w:rPr>
      </w:pPr>
    </w:p>
    <w:p w14:paraId="213B097D" w14:textId="77777777" w:rsidR="00D7753F" w:rsidRPr="00C16F22" w:rsidRDefault="000B69EA">
      <w:pPr>
        <w:ind w:left="0" w:right="110" w:hanging="2"/>
        <w:jc w:val="both"/>
        <w:rPr>
          <w:lang w:val="es-PE"/>
        </w:rPr>
      </w:pPr>
      <w:r w:rsidRPr="00C16F22">
        <w:rPr>
          <w:lang w:val="es-PE"/>
        </w:rPr>
        <w:t>El Estado realiza campañas comunicacionales, pero son iniciativas aisladas de fechas conmemorativas (8 de marzo y 25 de noviembre), con limitado impacto. Según la Encuesta Nacional sobre Relaciones Sociales (ENARES)</w:t>
      </w:r>
      <w:r>
        <w:rPr>
          <w:vertAlign w:val="superscript"/>
        </w:rPr>
        <w:footnoteReference w:id="8"/>
      </w:r>
      <w:r w:rsidRPr="00C16F22">
        <w:rPr>
          <w:lang w:val="es-PE"/>
        </w:rPr>
        <w:t xml:space="preserve">, que mide la tolerancia social hacia la violencia contra las mujeres, un 54,7%, de hombre y mujeres peruanas, está de acuerdo con la expresión </w:t>
      </w:r>
      <w:r w:rsidRPr="00C16F22">
        <w:rPr>
          <w:i/>
          <w:lang w:val="es-PE"/>
        </w:rPr>
        <w:lastRenderedPageBreak/>
        <w:t>“Toda mujer debe cumplir primero con su rol de madre, esposa o ama de casa y después realizar sus propios sueños”</w:t>
      </w:r>
      <w:r w:rsidRPr="00C16F22">
        <w:rPr>
          <w:lang w:val="es-PE"/>
        </w:rPr>
        <w:t>; un 43,8% “</w:t>
      </w:r>
      <w:r w:rsidRPr="00C16F22">
        <w:rPr>
          <w:i/>
          <w:lang w:val="es-PE"/>
        </w:rPr>
        <w:t>Una mujer que se viste provocativamente está buscando que la acosen sexualmente”</w:t>
      </w:r>
      <w:r w:rsidRPr="00C16F22">
        <w:rPr>
          <w:lang w:val="es-PE"/>
        </w:rPr>
        <w:t>; entre otras.</w:t>
      </w:r>
    </w:p>
    <w:p w14:paraId="70E7BF92" w14:textId="77777777" w:rsidR="00D7753F" w:rsidRPr="00C16F22" w:rsidRDefault="00D7753F">
      <w:pPr>
        <w:ind w:left="0" w:right="110" w:hanging="2"/>
        <w:jc w:val="both"/>
        <w:rPr>
          <w:lang w:val="es-PE"/>
        </w:rPr>
      </w:pPr>
    </w:p>
    <w:p w14:paraId="05AD48F7" w14:textId="77777777" w:rsidR="00D7753F" w:rsidRPr="00C16F22" w:rsidRDefault="000B69EA">
      <w:pPr>
        <w:ind w:left="0" w:right="110" w:hanging="2"/>
        <w:jc w:val="both"/>
        <w:rPr>
          <w:lang w:val="es-PE"/>
        </w:rPr>
      </w:pPr>
      <w:r w:rsidRPr="00C16F22">
        <w:rPr>
          <w:lang w:val="es-PE"/>
        </w:rPr>
        <w:t xml:space="preserve">La Ley N° 30838, considera que la violación sexual se puede cometer en “entornos coactivos”, </w:t>
      </w:r>
      <w:r w:rsidRPr="00C16F22">
        <w:rPr>
          <w:color w:val="1E1E1E"/>
          <w:lang w:val="es-PE"/>
        </w:rPr>
        <w:t>superando el requisito de la violencia física o grave amenaza</w:t>
      </w:r>
      <w:r w:rsidRPr="00C16F22">
        <w:rPr>
          <w:lang w:val="es-PE"/>
        </w:rPr>
        <w:t>. Asimismo, establece la imprescriptibilidad de los delitos sexuales. El Decreto Legislativo N° 1410, tipifica los delitos de acoso, acoso sexual, chantaje sexual y la difusión de imágenes, materiales audiovisuales, o audios con contenido sexual. No obstante, los estereotipos de género limitan la apreciación de las pruebas.</w:t>
      </w:r>
    </w:p>
    <w:p w14:paraId="63D4E832" w14:textId="77777777" w:rsidR="00D7753F" w:rsidRPr="00C16F22" w:rsidRDefault="00D7753F">
      <w:pPr>
        <w:ind w:left="0" w:right="110" w:hanging="2"/>
        <w:jc w:val="both"/>
        <w:rPr>
          <w:lang w:val="es-PE"/>
        </w:rPr>
      </w:pPr>
    </w:p>
    <w:p w14:paraId="79DCB667" w14:textId="77777777" w:rsidR="00D7753F" w:rsidRPr="00C16F22" w:rsidRDefault="000B69EA">
      <w:pPr>
        <w:ind w:left="0" w:right="110" w:hanging="2"/>
        <w:jc w:val="both"/>
        <w:rPr>
          <w:u w:val="single"/>
          <w:lang w:val="es-PE"/>
        </w:rPr>
      </w:pPr>
      <w:r w:rsidRPr="00C16F22">
        <w:rPr>
          <w:lang w:val="es-PE"/>
        </w:rPr>
        <w:t>Respecto a la capacidad de jueces y fiscales, hay pendientes y retrocesos. La Academia de la Magistratura (AMAG), encargada de la capacitación a estos operadores de justicia, en el 2016 derogó de su reglamento del Régimen de Estudios</w:t>
      </w:r>
      <w:r>
        <w:rPr>
          <w:vertAlign w:val="superscript"/>
        </w:rPr>
        <w:footnoteReference w:id="9"/>
      </w:r>
      <w:r w:rsidRPr="00C16F22">
        <w:rPr>
          <w:lang w:val="es-PE"/>
        </w:rPr>
        <w:t xml:space="preserve"> el curso sobre Género y Justicia. Asimismo, no existen criterios para evaluar la especialización en género e interculturalidad en la magistratura (Anexo 6). </w:t>
      </w:r>
    </w:p>
    <w:p w14:paraId="234E915E" w14:textId="77777777" w:rsidR="00D7753F" w:rsidRDefault="000B69EA">
      <w:pPr>
        <w:pBdr>
          <w:top w:val="nil"/>
          <w:left w:val="nil"/>
          <w:bottom w:val="nil"/>
          <w:right w:val="nil"/>
          <w:between w:val="nil"/>
        </w:pBdr>
        <w:spacing w:before="195" w:line="235" w:lineRule="auto"/>
        <w:ind w:left="0" w:right="111" w:hanging="2"/>
        <w:jc w:val="both"/>
        <w:rPr>
          <w:rFonts w:eastAsia="Calibri"/>
          <w:color w:val="000000"/>
        </w:rPr>
      </w:pPr>
      <w:r>
        <w:rPr>
          <w:rFonts w:eastAsia="Calibri"/>
          <w:b/>
          <w:color w:val="000000"/>
          <w:u w:val="single"/>
        </w:rPr>
        <w:t xml:space="preserve">Recomendaciones </w:t>
      </w:r>
    </w:p>
    <w:p w14:paraId="182B980C" w14:textId="77777777" w:rsidR="00D7753F" w:rsidRPr="00C16F22" w:rsidRDefault="000B69E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37"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la Academia de la Magistratura reponga el curso obligatorio de Género y Justicia en su malla curricular, y desarrolle incentivos para la valoración de los cursos de género.</w:t>
      </w:r>
    </w:p>
    <w:p w14:paraId="5B74B01E" w14:textId="77777777" w:rsidR="00D7753F" w:rsidRPr="00C16F22" w:rsidRDefault="000B69EA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Que la Junta Nacional de la Justicia apruebe e implemente una Guía con criterios de género para los procesos de selección, evaluación y ratificación de magistrados/as. </w:t>
      </w:r>
    </w:p>
    <w:p w14:paraId="26954BBD" w14:textId="77777777" w:rsidR="00D7753F" w:rsidRPr="00C16F22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</w:p>
    <w:p w14:paraId="48874729" w14:textId="77777777" w:rsidR="00D7753F" w:rsidRPr="00C16F22" w:rsidRDefault="000B69EA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Violencia sexual durante conflicto armado interno</w:t>
      </w:r>
    </w:p>
    <w:p w14:paraId="08C1BDE6" w14:textId="77777777" w:rsidR="00D7753F" w:rsidRPr="00C16F22" w:rsidRDefault="00D7753F">
      <w:pPr>
        <w:spacing w:before="3"/>
        <w:ind w:left="0" w:hanging="2"/>
        <w:jc w:val="both"/>
        <w:rPr>
          <w:lang w:val="es-PE"/>
        </w:rPr>
      </w:pPr>
    </w:p>
    <w:p w14:paraId="0B9ED768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Se mantiene pendiente la adecuación de los delitos sexuales al Estatuto de Roma de la Corte Penal Internacional, como delitos de lesa humanidad o crimen de guerra.</w:t>
      </w:r>
    </w:p>
    <w:p w14:paraId="67BA62C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746B8C3B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Solo se ha logrado una sentencia condenatoria por el delito de violación sexual durante el conflicto armado interno: (caso M.M.M.). Está en juicio el caso de</w:t>
      </w:r>
      <w:r w:rsidRPr="00C16F22">
        <w:rPr>
          <w:rFonts w:eastAsia="Calibri"/>
          <w:b/>
          <w:color w:val="000000"/>
          <w:lang w:val="es-PE"/>
        </w:rPr>
        <w:t xml:space="preserve"> Manta y Vilca</w:t>
      </w:r>
      <w:r w:rsidRPr="00C16F22">
        <w:rPr>
          <w:rFonts w:eastAsia="Calibri"/>
          <w:color w:val="000000"/>
          <w:lang w:val="es-PE"/>
        </w:rPr>
        <w:t>, que involucra a nueve víctimas y catorce agresores de las fuerzas del orden.</w:t>
      </w:r>
    </w:p>
    <w:p w14:paraId="5CEFB8E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73947CE8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La Ley N° 28592, crea el </w:t>
      </w:r>
      <w:r w:rsidRPr="00C16F22">
        <w:rPr>
          <w:rFonts w:eastAsia="Calibri"/>
          <w:i/>
          <w:color w:val="000000"/>
          <w:lang w:val="es-PE"/>
        </w:rPr>
        <w:t>Plan Integral de Reparaciones</w:t>
      </w:r>
      <w:r w:rsidRPr="00C16F22">
        <w:rPr>
          <w:rFonts w:eastAsia="Calibri"/>
          <w:color w:val="000000"/>
          <w:lang w:val="es-PE"/>
        </w:rPr>
        <w:t xml:space="preserve">. En mayo de 2012, el Congreso aprobó la ley que incorpora otras formas de violencia sexual, el Poder Ejecutivo la observó. A diciembre del 2018, el Registro Único de Víctimas (RUV) reconoce 5266 víctimas de violación sexual, 201 mujeres tuvieron hijas/os de sus violadores. </w:t>
      </w:r>
    </w:p>
    <w:p w14:paraId="2288C313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u w:val="single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 </w:t>
      </w:r>
    </w:p>
    <w:p w14:paraId="73B06DDD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5273BFCE" w14:textId="77777777" w:rsidR="00D7753F" w:rsidRPr="00C16F22" w:rsidRDefault="000B69E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Adecuar la legislación penal interna al Estatuto de Roma de la Corte Penal Internacional.</w:t>
      </w:r>
    </w:p>
    <w:p w14:paraId="3D9219E1" w14:textId="77777777" w:rsidR="00D7753F" w:rsidRPr="00C16F22" w:rsidRDefault="000B69E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5" w:hanging="2"/>
        <w:jc w:val="both"/>
        <w:rPr>
          <w:rFonts w:eastAsia="Calibri"/>
          <w:color w:val="212121"/>
          <w:lang w:val="es-PE"/>
        </w:rPr>
      </w:pPr>
      <w:r w:rsidRPr="00C16F22">
        <w:rPr>
          <w:rFonts w:eastAsia="Calibri"/>
          <w:color w:val="000000"/>
          <w:lang w:val="es-PE"/>
        </w:rPr>
        <w:t>Los juicios de Manta y Vilca y otros sobre las violaciones sexuales, deben garantizar: no discriminación, imparcialidad, no revictimización y abordaje como delito de lesa humanidad.</w:t>
      </w:r>
    </w:p>
    <w:p w14:paraId="28F790A0" w14:textId="77777777" w:rsidR="00D7753F" w:rsidRPr="00C16F22" w:rsidRDefault="000B69EA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212121"/>
          <w:lang w:val="es-PE"/>
        </w:rPr>
        <w:t xml:space="preserve">Modificar la Ley N° 28592, </w:t>
      </w:r>
      <w:r w:rsidRPr="00C16F22">
        <w:rPr>
          <w:rFonts w:eastAsia="Calibri"/>
          <w:i/>
          <w:color w:val="212121"/>
          <w:lang w:val="es-PE"/>
        </w:rPr>
        <w:t>Ley que crea el Programa Integral de Reparaciones</w:t>
      </w:r>
      <w:r w:rsidRPr="00C16F22">
        <w:rPr>
          <w:rFonts w:eastAsia="Calibri"/>
          <w:color w:val="212121"/>
          <w:lang w:val="es-PE"/>
        </w:rPr>
        <w:t xml:space="preserve"> incorporando como beneficiarias/os a las víctimas de todas las formas de violencias sexuales. </w:t>
      </w:r>
    </w:p>
    <w:p w14:paraId="3C741355" w14:textId="04D44B9F" w:rsidR="00D7753F" w:rsidRDefault="00D7753F">
      <w:pPr>
        <w:ind w:left="0" w:hanging="2"/>
        <w:jc w:val="both"/>
        <w:rPr>
          <w:lang w:val="es-PE"/>
        </w:rPr>
      </w:pPr>
    </w:p>
    <w:p w14:paraId="5F65BFCB" w14:textId="77777777" w:rsidR="000F432B" w:rsidRPr="00C16F22" w:rsidRDefault="000F432B">
      <w:pPr>
        <w:ind w:left="0" w:hanging="2"/>
        <w:jc w:val="both"/>
        <w:rPr>
          <w:lang w:val="es-PE"/>
        </w:rPr>
      </w:pPr>
    </w:p>
    <w:p w14:paraId="4C16691D" w14:textId="77777777" w:rsidR="00D7753F" w:rsidRPr="00C16F22" w:rsidRDefault="000B69EA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color w:val="000000"/>
          <w:lang w:val="es-PE"/>
        </w:rPr>
      </w:pPr>
      <w:r w:rsidRPr="00C16F22">
        <w:rPr>
          <w:b/>
          <w:color w:val="000000"/>
          <w:lang w:val="es-PE"/>
        </w:rPr>
        <w:t>Acceso a la justicia: violencia contra niñas y mujeres indígenas</w:t>
      </w:r>
    </w:p>
    <w:p w14:paraId="12CB5115" w14:textId="77777777" w:rsidR="00D7753F" w:rsidRPr="00C16F22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color w:val="000000"/>
          <w:lang w:val="es-PE"/>
        </w:rPr>
      </w:pPr>
    </w:p>
    <w:p w14:paraId="1CF25A6A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Constitución Política reconoce la jurisdicción indígena (artículo 149°); pero no ha desarrollado el mecanismo para la coordinación entre los dos sistemas de justicia. El Poder Judicial aprobó entre el 2013 y 2015, tres protocolos</w:t>
      </w:r>
      <w:r>
        <w:rPr>
          <w:rFonts w:eastAsia="Calibri"/>
          <w:color w:val="000000"/>
          <w:vertAlign w:val="superscript"/>
        </w:rPr>
        <w:footnoteReference w:id="10"/>
      </w:r>
      <w:r w:rsidRPr="00C16F22">
        <w:rPr>
          <w:rFonts w:eastAsia="Calibri"/>
          <w:color w:val="000000"/>
          <w:lang w:val="es-PE"/>
        </w:rPr>
        <w:t xml:space="preserve"> para su actuación en casos en que participen integrantes de comunidades indígenas o rondas campesinas, pero han sido poco difundido. La sentencia del Tribunal Constitucional (Exp. 7009-2013-PHC/TC</w:t>
      </w:r>
      <w:r>
        <w:rPr>
          <w:rFonts w:eastAsia="Calibri"/>
          <w:color w:val="000000"/>
          <w:vertAlign w:val="superscript"/>
        </w:rPr>
        <w:footnoteReference w:id="11"/>
      </w:r>
      <w:r w:rsidRPr="00C16F22">
        <w:rPr>
          <w:rFonts w:eastAsia="Calibri"/>
          <w:color w:val="000000"/>
          <w:lang w:val="es-PE"/>
        </w:rPr>
        <w:t xml:space="preserve">) reconoce que la </w:t>
      </w:r>
      <w:r w:rsidRPr="00C16F22">
        <w:rPr>
          <w:rFonts w:eastAsia="Calibri"/>
          <w:color w:val="000000"/>
          <w:lang w:val="es-PE"/>
        </w:rPr>
        <w:lastRenderedPageBreak/>
        <w:t xml:space="preserve">justicia estatal es competente para sancionar la violencia sexual contra menores de edad, porque atentan contra derechos fundamentales. </w:t>
      </w:r>
    </w:p>
    <w:p w14:paraId="18834870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</w:p>
    <w:p w14:paraId="7F7E9F7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El Poder Judicial cuenta con un Registro de Intérpretes de Lenguas Indígenas u Originarias; sin embargo, cubre 7 de los 33 distritos judiciales y solo para 13 de las 68 lenguas indígenas reconocidas.</w:t>
      </w:r>
    </w:p>
    <w:p w14:paraId="37B79914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</w:p>
    <w:p w14:paraId="197864D1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3AC06384" w14:textId="77777777" w:rsidR="00D7753F" w:rsidRPr="00C16F22" w:rsidRDefault="000B69E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Los ministerios de Cultura y de Justicia, debe garantizar recursos suficientes para la formación de intérpretes, traductores indígenas y de lenguaje de señas, en la especialidad de la justicia de género, con una cuota para mujeres.</w:t>
      </w:r>
    </w:p>
    <w:p w14:paraId="01B6A4A3" w14:textId="694CB777" w:rsidR="00D7753F" w:rsidRPr="00C16F22" w:rsidRDefault="000B69E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Los ministerios de Cultura y de la Mujer y Poblaciones Vulnerables deben promover espacios de diálogo intercultural con los pueblos indígenas, sobre la situación de los derechos de las mujeres y niñas.</w:t>
      </w:r>
    </w:p>
    <w:p w14:paraId="56D6A0FC" w14:textId="77777777" w:rsidR="00D7753F" w:rsidRPr="00C16F22" w:rsidRDefault="000B69EA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El Estado debe implementar más servicios de justicia y supervisar su actuación.</w:t>
      </w:r>
    </w:p>
    <w:p w14:paraId="02EABDFE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</w:p>
    <w:p w14:paraId="0287669C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1F781E08" w14:textId="77777777" w:rsidR="00D7753F" w:rsidRPr="00C16F22" w:rsidRDefault="000B69EA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spacing w:line="240" w:lineRule="auto"/>
        <w:ind w:left="0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Violencia en relación de pareja y feminicidio</w:t>
      </w:r>
    </w:p>
    <w:p w14:paraId="5E24DB9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4708F504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Alrededor de 7 de cada 10 mujeres peruanas, entre 15 y 49 años, sufre algún tipo de violencia por su pareja o expareja</w:t>
      </w:r>
      <w:r>
        <w:rPr>
          <w:rFonts w:eastAsia="Calibri"/>
          <w:color w:val="000000"/>
          <w:vertAlign w:val="superscript"/>
        </w:rPr>
        <w:footnoteReference w:id="12"/>
      </w:r>
      <w:r w:rsidRPr="00C16F22">
        <w:rPr>
          <w:rFonts w:eastAsia="Calibri"/>
          <w:color w:val="000000"/>
          <w:lang w:val="es-PE"/>
        </w:rPr>
        <w:t>. Según el Observatorio de Criminalidad del Ministerio Público, del 2009 a junio 2018 se registraron 1,129 feminicidios</w:t>
      </w:r>
      <w:r>
        <w:rPr>
          <w:rFonts w:eastAsia="Calibri"/>
          <w:color w:val="000000"/>
          <w:vertAlign w:val="superscript"/>
        </w:rPr>
        <w:footnoteReference w:id="13"/>
      </w:r>
      <w:r w:rsidRPr="00C16F22">
        <w:rPr>
          <w:rFonts w:eastAsia="Calibri"/>
          <w:color w:val="000000"/>
          <w:lang w:val="es-PE"/>
        </w:rPr>
        <w:t>.</w:t>
      </w:r>
    </w:p>
    <w:p w14:paraId="3DAC6708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</w:p>
    <w:p w14:paraId="19F969D0" w14:textId="3F27341C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El Acuerdo Plenario 01-2016/CJ-116, reconoce un contexto caracterizado por la discriminación, desigualdad y relaciones de poder entre hombres y mujeres; establece criterios para diferenciar la intención feminicida y restringe el tipo penal al señalar que solo puede ser cometido por un </w:t>
      </w:r>
      <w:r w:rsidRPr="00C16F22">
        <w:rPr>
          <w:rFonts w:eastAsia="Calibri"/>
          <w:color w:val="000000"/>
          <w:lang w:val="es-PE"/>
        </w:rPr>
        <w:lastRenderedPageBreak/>
        <w:t>hombre, no asimilable a la “identidad sexual”, y que el sujeto pasivo solo puede ser una mujer (cismujer).</w:t>
      </w:r>
    </w:p>
    <w:p w14:paraId="105D041E" w14:textId="77777777" w:rsidR="00D7753F" w:rsidRPr="00C16F22" w:rsidRDefault="00D7753F">
      <w:pPr>
        <w:spacing w:before="7"/>
        <w:ind w:left="0" w:hanging="2"/>
        <w:jc w:val="both"/>
        <w:rPr>
          <w:lang w:val="es-PE"/>
        </w:rPr>
      </w:pPr>
    </w:p>
    <w:p w14:paraId="5B73A52D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7E94849D" w14:textId="77777777" w:rsidR="00D7753F" w:rsidRPr="00C16F22" w:rsidRDefault="000B69EA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Cambios normativos para evitar la calificación del feminicidio como lesiones físicas. </w:t>
      </w:r>
    </w:p>
    <w:p w14:paraId="22B07000" w14:textId="77777777" w:rsidR="00D7753F" w:rsidRPr="00C16F22" w:rsidRDefault="000B69EA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Precisar que la tipificación del feminicidio, en el artículo 108°-B del Código Penal, no excluye a las mujeres trans atacadas por su condición de mujeres.</w:t>
      </w:r>
    </w:p>
    <w:p w14:paraId="65C5784E" w14:textId="77777777" w:rsidR="00D7753F" w:rsidRPr="00C16F22" w:rsidRDefault="00D7753F">
      <w:pPr>
        <w:tabs>
          <w:tab w:val="left" w:pos="400"/>
        </w:tabs>
        <w:ind w:left="0" w:right="123" w:hanging="2"/>
        <w:jc w:val="both"/>
        <w:rPr>
          <w:lang w:val="es-PE"/>
        </w:rPr>
      </w:pPr>
    </w:p>
    <w:p w14:paraId="63A52D0A" w14:textId="77777777" w:rsidR="00D7753F" w:rsidRDefault="000B69EA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Esterilizaciones forzadas</w:t>
      </w:r>
    </w:p>
    <w:p w14:paraId="52BDB744" w14:textId="77777777" w:rsidR="00D7753F" w:rsidRDefault="00D7753F">
      <w:pPr>
        <w:spacing w:before="3"/>
        <w:ind w:left="0" w:hanging="2"/>
        <w:jc w:val="both"/>
      </w:pPr>
    </w:p>
    <w:p w14:paraId="532C955A" w14:textId="22DE0DE3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 investigación fiscal preliminar sobre las esterilizaciones forzadas ocurridas entre 1996- 2000 se inició en el 2002 e involucra a 2074 víctimas. En octubre del 2018, la Segunda Fiscalía Supranacional Penal formalizó denuncia contra Alberto Fujimori y sus exministros, como autores mediatos del delito de lesiones graves seguidas de muerte en contexto de graves violaciones a los derechos humanos en los casos de M</w:t>
      </w:r>
      <w:r w:rsidR="00837F91">
        <w:rPr>
          <w:rFonts w:eastAsia="Calibri"/>
          <w:color w:val="000000"/>
          <w:lang w:val="es-PE"/>
        </w:rPr>
        <w:t>.M</w:t>
      </w:r>
      <w:r w:rsidRPr="00C16F22">
        <w:rPr>
          <w:rFonts w:eastAsia="Calibri"/>
          <w:color w:val="000000"/>
          <w:lang w:val="es-PE"/>
        </w:rPr>
        <w:t>, C</w:t>
      </w:r>
      <w:r w:rsidR="00837F91">
        <w:rPr>
          <w:rFonts w:eastAsia="Calibri"/>
          <w:color w:val="000000"/>
          <w:lang w:val="es-PE"/>
        </w:rPr>
        <w:t>.</w:t>
      </w:r>
      <w:r w:rsidRPr="00C16F22">
        <w:rPr>
          <w:rFonts w:eastAsia="Calibri"/>
          <w:color w:val="000000"/>
          <w:lang w:val="es-PE"/>
        </w:rPr>
        <w:t>R</w:t>
      </w:r>
      <w:r w:rsidR="00837F91">
        <w:rPr>
          <w:rFonts w:eastAsia="Calibri"/>
          <w:color w:val="000000"/>
          <w:lang w:val="es-PE"/>
        </w:rPr>
        <w:t>.</w:t>
      </w:r>
      <w:r w:rsidRPr="00C16F22">
        <w:rPr>
          <w:rFonts w:eastAsia="Calibri"/>
          <w:color w:val="000000"/>
          <w:lang w:val="es-PE"/>
        </w:rPr>
        <w:t xml:space="preserve"> y otras tres víctimas, por la política de </w:t>
      </w:r>
      <w:hyperlink r:id="rId12">
        <w:r w:rsidRPr="00837F91">
          <w:rPr>
            <w:rFonts w:eastAsia="Calibri"/>
            <w:lang w:val="es-PE"/>
          </w:rPr>
          <w:t>esterilizaciones forzadas</w:t>
        </w:r>
      </w:hyperlink>
      <w:r w:rsidRPr="00C16F22">
        <w:rPr>
          <w:rFonts w:eastAsia="Calibri"/>
          <w:color w:val="000000"/>
          <w:lang w:val="es-PE"/>
        </w:rPr>
        <w:t xml:space="preserve"> implementada en su gobierno. Al 2020 aún no inicia el juicio y hay intentos de los acusados por archivar el caso. </w:t>
      </w:r>
    </w:p>
    <w:p w14:paraId="706A7BE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</w:p>
    <w:p w14:paraId="401F4CF1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Un análisis en base a la información de la Encuesta Demográfica y de Salud Familiar (ENDES), indica que el 63.7% (211,000) de las mujeres esterilizadas entre 1993 y 2000 no recibieron información completa; y el 7.64% (25,000) de mujeres esterilizadas no recibieron información sobre lo definitivo de ese método. </w:t>
      </w:r>
    </w:p>
    <w:p w14:paraId="4B68CFF2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0EFE636A" w14:textId="77777777" w:rsidR="00D7753F" w:rsidRPr="00837F91" w:rsidRDefault="000B69EA">
      <w:p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14" w:hanging="2"/>
        <w:jc w:val="both"/>
        <w:rPr>
          <w:rFonts w:eastAsia="Calibri"/>
          <w:color w:val="000000"/>
          <w:u w:val="single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En enero de 2016 se inició un proceso de identificación de víctimas a través del Registro de Víctimas de Esterilizaciones Forzadas (REVIESFO). </w:t>
      </w:r>
      <w:r w:rsidRPr="00837F91">
        <w:rPr>
          <w:rFonts w:eastAsia="Calibri"/>
          <w:color w:val="000000"/>
          <w:lang w:val="es-PE"/>
        </w:rPr>
        <w:t>Hay 6196 personas registradas, el 97.4% son mujeres</w:t>
      </w:r>
      <w:r>
        <w:rPr>
          <w:rFonts w:eastAsia="Calibri"/>
          <w:color w:val="000000"/>
          <w:vertAlign w:val="superscript"/>
        </w:rPr>
        <w:footnoteReference w:id="14"/>
      </w:r>
      <w:r w:rsidRPr="00837F91">
        <w:rPr>
          <w:rFonts w:eastAsia="Calibri"/>
          <w:color w:val="000000"/>
          <w:lang w:val="es-PE"/>
        </w:rPr>
        <w:t xml:space="preserve">. </w:t>
      </w:r>
    </w:p>
    <w:p w14:paraId="50388D95" w14:textId="77777777" w:rsidR="00D7753F" w:rsidRPr="00837F91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  <w:u w:val="single"/>
          <w:lang w:val="es-PE"/>
        </w:rPr>
      </w:pPr>
    </w:p>
    <w:p w14:paraId="249C7030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lastRenderedPageBreak/>
        <w:t>Recomendaciones</w:t>
      </w:r>
    </w:p>
    <w:p w14:paraId="208899DC" w14:textId="77777777" w:rsidR="00D7753F" w:rsidRPr="00C16F22" w:rsidRDefault="000B69EA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37"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el Ministerio Público y el Poder Judicial, garanticen una investigación exhaustiva e imparcial de las esterilizaciones forzadas, aplicando jurisprudencia y estándares internacionales.</w:t>
      </w:r>
    </w:p>
    <w:p w14:paraId="33835E25" w14:textId="77777777" w:rsidR="00D7753F" w:rsidRPr="00C16F22" w:rsidRDefault="000B69EA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el Estado apruebe política integral de reparaciones para las víctimas de esterilizaciones forzadas.</w:t>
      </w:r>
    </w:p>
    <w:p w14:paraId="51BF8762" w14:textId="77777777" w:rsidR="00D7753F" w:rsidRPr="00C16F22" w:rsidRDefault="000B69EA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se cumpla con prestar los servicios de salud y justicia, registros itinerantes y resolución de barreras administrativas, presupuestales, geográficas, legales y lingüísticas.</w:t>
      </w:r>
    </w:p>
    <w:p w14:paraId="3BB9A18E" w14:textId="77777777" w:rsidR="00D7753F" w:rsidRPr="00C16F22" w:rsidRDefault="00D7753F">
      <w:pPr>
        <w:tabs>
          <w:tab w:val="left" w:pos="400"/>
        </w:tabs>
        <w:ind w:left="0" w:right="123" w:hanging="2"/>
        <w:jc w:val="both"/>
        <w:rPr>
          <w:lang w:val="es-PE"/>
        </w:rPr>
      </w:pPr>
    </w:p>
    <w:p w14:paraId="5B778E17" w14:textId="77777777" w:rsidR="00D7753F" w:rsidRPr="00C16F22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69" w:line="240" w:lineRule="auto"/>
        <w:ind w:left="1" w:right="123" w:hanging="3"/>
        <w:jc w:val="both"/>
        <w:rPr>
          <w:rFonts w:eastAsia="Calibri"/>
          <w:b/>
          <w:color w:val="000000"/>
          <w:sz w:val="26"/>
          <w:szCs w:val="26"/>
          <w:lang w:val="es-PE"/>
        </w:rPr>
      </w:pPr>
      <w:r w:rsidRPr="00C16F22">
        <w:rPr>
          <w:rFonts w:eastAsia="Calibri"/>
          <w:b/>
          <w:color w:val="000000"/>
          <w:sz w:val="26"/>
          <w:szCs w:val="26"/>
          <w:lang w:val="es-PE"/>
        </w:rPr>
        <w:t>SALUD REPRODUCTIVA DE LAS MUJERES, NIÑAS Y ADOLESCENTES</w:t>
      </w:r>
    </w:p>
    <w:p w14:paraId="1492E977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before="56"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</w:p>
    <w:p w14:paraId="63133D4A" w14:textId="3BC789D1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before="56"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El aborto se encuentra penalizado con excepción del terapéutico, artículo 119° del Código Penal, definido como aquel que es practicado por un médico con el consentimiento de la mujer o su representante legal, cuando es el único medio para salvar la vida de la gestante o evitar en su salud un mal grave y permanente.</w:t>
      </w:r>
    </w:p>
    <w:p w14:paraId="74232F8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</w:p>
    <w:p w14:paraId="04E31A4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1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En octubre de 2016 se presentó al Congreso el Proyecto de Ley 387/2016-CR, que despenaliza el aborto en los embarazos producto de una violación sexual. Posiciones contrarias propusieron los proyectos 290/216-CR y 211-2016/CR, sobre la protección del concebido, a través del nacimiento confidencial y su entrega anónima en cunas salvadoras, dentro de 27 días de nacido.</w:t>
      </w:r>
    </w:p>
    <w:p w14:paraId="1772B263" w14:textId="77777777" w:rsidR="00D7753F" w:rsidRPr="00C16F22" w:rsidRDefault="00D7753F">
      <w:pPr>
        <w:spacing w:before="11"/>
        <w:ind w:left="0" w:hanging="2"/>
        <w:jc w:val="both"/>
        <w:rPr>
          <w:lang w:val="es-PE"/>
        </w:rPr>
      </w:pPr>
    </w:p>
    <w:p w14:paraId="26324F17" w14:textId="77777777" w:rsidR="00D7753F" w:rsidRPr="00C16F22" w:rsidRDefault="000B69EA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b/>
          <w:lang w:val="es-PE"/>
        </w:rPr>
        <w:t>Disponiblidad de s</w:t>
      </w:r>
      <w:r w:rsidRPr="00C16F22">
        <w:rPr>
          <w:rFonts w:eastAsia="Calibri"/>
          <w:b/>
          <w:color w:val="000000"/>
          <w:lang w:val="es-PE"/>
        </w:rPr>
        <w:t>ervicios de calidad para aborto y post aborto</w:t>
      </w:r>
    </w:p>
    <w:p w14:paraId="7310F800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</w:p>
    <w:p w14:paraId="6D06FF4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El Ministerio de Salud reporta un promedio anual de 62,000 casos de atención post aborto.  En el 2017, el 8.5%, de muertes maternas fueron por aborto</w:t>
      </w:r>
      <w:r>
        <w:rPr>
          <w:rFonts w:eastAsia="Calibri"/>
          <w:color w:val="000000"/>
          <w:vertAlign w:val="superscript"/>
        </w:rPr>
        <w:footnoteReference w:id="15"/>
      </w:r>
      <w:r w:rsidRPr="00C16F22">
        <w:rPr>
          <w:rFonts w:eastAsia="Calibri"/>
          <w:color w:val="000000"/>
          <w:lang w:val="es-PE"/>
        </w:rPr>
        <w:t>. Se han totalizado 453 abortos terapéuticos en el año 2015 y    311 en el 2016</w:t>
      </w:r>
      <w:r>
        <w:rPr>
          <w:rFonts w:eastAsia="Calibri"/>
          <w:color w:val="000000"/>
          <w:vertAlign w:val="superscript"/>
        </w:rPr>
        <w:footnoteReference w:id="16"/>
      </w:r>
      <w:r w:rsidRPr="00C16F22">
        <w:rPr>
          <w:rFonts w:eastAsia="Calibri"/>
          <w:color w:val="000000"/>
          <w:lang w:val="es-PE"/>
        </w:rPr>
        <w:t xml:space="preserve">. </w:t>
      </w:r>
    </w:p>
    <w:p w14:paraId="407B1FC7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</w:p>
    <w:p w14:paraId="4E7EF3ED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El acceso al único aborto legal se ve limitado por el bajo conocimiento de la Guía para aborto terapéutico, la interpretación restrictiva de las causales, el enfoque de género y el interés superior del niño. Al no garantizarse la disponibilidad del aborto terapéutico para las niñas con embarazos forzados se pone en riesgo su vida, salud mental, física y social.</w:t>
      </w:r>
    </w:p>
    <w:p w14:paraId="7760B4BE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</w:p>
    <w:p w14:paraId="5402E19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Según el Ministerio de Salud, el 33% de muertes maternas se debe a causas indirectas, </w:t>
      </w:r>
      <w:r w:rsidRPr="00C16F22">
        <w:rPr>
          <w:rFonts w:eastAsia="Calibri"/>
          <w:i/>
          <w:color w:val="000000"/>
          <w:lang w:val="es-PE"/>
        </w:rPr>
        <w:t>“el 14.9% de mujeres muertas son adolescentes entre 12 y 19 años (…), entre el 2014 y 2017, el promedio de muertes maternas en menores de 19 años constituyó el 13.8% del total de casos”</w:t>
      </w:r>
      <w:r>
        <w:rPr>
          <w:rFonts w:eastAsia="Calibri"/>
          <w:color w:val="000000"/>
          <w:vertAlign w:val="superscript"/>
        </w:rPr>
        <w:footnoteReference w:id="17"/>
      </w:r>
      <w:r w:rsidRPr="00C16F22">
        <w:rPr>
          <w:rFonts w:eastAsia="Calibri"/>
          <w:color w:val="000000"/>
          <w:lang w:val="es-PE"/>
        </w:rPr>
        <w:t>. Todas estas muertes podrían haberse evitado con un aborto terapéutico.</w:t>
      </w:r>
    </w:p>
    <w:p w14:paraId="0D94845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</w:p>
    <w:p w14:paraId="15A4EEF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La confidencialidad es un derecho para cualquier usuaria del servicio de salud. Sin embargo, el artículo 30° de la </w:t>
      </w:r>
      <w:r w:rsidRPr="00C16F22">
        <w:rPr>
          <w:rFonts w:eastAsia="Calibri"/>
          <w:i/>
          <w:color w:val="000000"/>
          <w:lang w:val="es-PE"/>
        </w:rPr>
        <w:t>Ley General de Salud</w:t>
      </w:r>
      <w:r w:rsidRPr="00C16F22">
        <w:rPr>
          <w:rFonts w:eastAsia="Calibri"/>
          <w:color w:val="000000"/>
          <w:lang w:val="es-PE"/>
        </w:rPr>
        <w:t>, establece la obligación del médico/a que atiende a una mujer con indicios de aborto criminal, de comunicarlo a la autoridad. Mientras, el Código Procesal Penal señala en el artículo 165°, que los vinculados por el secreto profesional no podrán ser obligados a declarar. El Observatorio de Criminalidad del Ministerio Público, entre el 2015 y marzo del 2017, registra 2,119 casos investigados por aborto</w:t>
      </w:r>
      <w:r>
        <w:rPr>
          <w:rFonts w:eastAsia="Calibri"/>
          <w:color w:val="000000"/>
          <w:vertAlign w:val="superscript"/>
        </w:rPr>
        <w:footnoteReference w:id="18"/>
      </w:r>
      <w:r w:rsidRPr="00C16F22">
        <w:rPr>
          <w:rFonts w:eastAsia="Calibri"/>
          <w:color w:val="000000"/>
          <w:lang w:val="es-PE"/>
        </w:rPr>
        <w:t xml:space="preserve">. </w:t>
      </w:r>
    </w:p>
    <w:p w14:paraId="736F7362" w14:textId="77777777" w:rsidR="00D7753F" w:rsidRPr="00C16F22" w:rsidRDefault="00D7753F">
      <w:pPr>
        <w:tabs>
          <w:tab w:val="left" w:pos="400"/>
        </w:tabs>
        <w:ind w:left="0" w:right="111" w:hanging="2"/>
        <w:jc w:val="both"/>
        <w:rPr>
          <w:lang w:val="es-PE"/>
        </w:rPr>
      </w:pPr>
    </w:p>
    <w:p w14:paraId="15AA5CA8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43B15BCB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Recomendación</w:t>
      </w:r>
    </w:p>
    <w:p w14:paraId="061B4E85" w14:textId="70FEF449" w:rsidR="00D7753F" w:rsidRPr="00C16F22" w:rsidRDefault="000B69E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Que se remita opinión favorable sobre el Proyecto de Ley 387/2016-CR, que despenaliza el aborto en casos de embarazos por violación sexual.</w:t>
      </w:r>
    </w:p>
    <w:p w14:paraId="609FFAA3" w14:textId="77777777" w:rsidR="00D7753F" w:rsidRPr="00C16F22" w:rsidRDefault="000B69E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Que el Ministerio de Salud, incorpore en las </w:t>
      </w:r>
      <w:r w:rsidRPr="00C16F22">
        <w:rPr>
          <w:rFonts w:eastAsia="Calibri"/>
          <w:i/>
          <w:color w:val="000000"/>
          <w:lang w:val="es-PE"/>
        </w:rPr>
        <w:t xml:space="preserve">Guías Nacionales de Atención Integral de la Salud Sexual y Reproductiva </w:t>
      </w:r>
      <w:r w:rsidRPr="00C16F22">
        <w:rPr>
          <w:rFonts w:eastAsia="Calibri"/>
          <w:color w:val="000000"/>
          <w:lang w:val="es-PE"/>
        </w:rPr>
        <w:t>el tratamiento adecuado para las mujeres lesbianas, trans masculinos y femeninas y personas de género no binario.</w:t>
      </w:r>
    </w:p>
    <w:p w14:paraId="745F3380" w14:textId="77777777" w:rsidR="00D7753F" w:rsidRPr="00C16F22" w:rsidRDefault="000B69E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Modificar la legislación para proteger el secreto profesional y evitar la criminalización de las mujeres.</w:t>
      </w:r>
    </w:p>
    <w:p w14:paraId="0347B21C" w14:textId="77777777" w:rsidR="00D7753F" w:rsidRPr="00C16F22" w:rsidRDefault="000B69E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Implementar un sistema de registro nacional sobre los casos de aborto por causales, solicitudes y abortos realizados.</w:t>
      </w:r>
    </w:p>
    <w:p w14:paraId="70889258" w14:textId="77777777" w:rsidR="00D7753F" w:rsidRPr="00C16F22" w:rsidRDefault="00D7753F">
      <w:pPr>
        <w:spacing w:before="1"/>
        <w:ind w:left="0" w:right="123" w:hanging="2"/>
        <w:jc w:val="both"/>
        <w:rPr>
          <w:lang w:val="es-PE"/>
        </w:rPr>
      </w:pPr>
    </w:p>
    <w:p w14:paraId="42632053" w14:textId="7FEE7ACB" w:rsidR="00D7753F" w:rsidRPr="00C16F22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 xml:space="preserve">4.2 Protocolo especializado para niñas con embarazo forzado </w:t>
      </w:r>
    </w:p>
    <w:p w14:paraId="6FDBDF59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6114594F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Datos del Registro Nacional de Identificación y Estado Civil (RENIEC) señalan que entre el 2015 y 2018, un total de 1,780 niñas menores de 14 años registraron a sus hijas/os, lo que incluye a niñas desde los 7 años (Anexo 7).</w:t>
      </w:r>
    </w:p>
    <w:p w14:paraId="64B30ED4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</w:p>
    <w:p w14:paraId="444CC0C5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 pesar del riesgo para su vida y salud, estas niñas no logran acceder al aborto terapéutico, debido a: i) interpretación restrictiva de causales; ii) funcionariado poco informado y capacitado; iii) exigencia de requisitos no contemplados; iv) incumplimiento de plazos; v) inexistencia de una ruta específica para niñas; vi) protección centrada en la vida potencial del concebido; vii) objeción de conciencia; otras</w:t>
      </w:r>
      <w:r>
        <w:rPr>
          <w:rFonts w:eastAsia="Calibri"/>
          <w:color w:val="000000"/>
          <w:vertAlign w:val="superscript"/>
        </w:rPr>
        <w:footnoteReference w:id="19"/>
      </w:r>
      <w:r w:rsidRPr="00C16F22">
        <w:rPr>
          <w:rFonts w:eastAsia="Calibri"/>
          <w:i/>
          <w:color w:val="000000"/>
          <w:lang w:val="es-PE"/>
        </w:rPr>
        <w:t>.</w:t>
      </w:r>
    </w:p>
    <w:p w14:paraId="4F8C12AB" w14:textId="77777777" w:rsidR="00D7753F" w:rsidRPr="00C16F22" w:rsidRDefault="00D7753F">
      <w:pPr>
        <w:tabs>
          <w:tab w:val="left" w:pos="400"/>
        </w:tabs>
        <w:ind w:left="0" w:right="122" w:hanging="2"/>
        <w:jc w:val="both"/>
        <w:rPr>
          <w:lang w:val="es-PE"/>
        </w:rPr>
      </w:pPr>
    </w:p>
    <w:p w14:paraId="4BB5007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10" w:hanging="2"/>
        <w:jc w:val="both"/>
        <w:rPr>
          <w:rFonts w:eastAsia="Calibri"/>
          <w:color w:val="000000"/>
          <w:u w:val="single"/>
          <w:lang w:val="es-PE"/>
        </w:rPr>
      </w:pPr>
      <w:r w:rsidRPr="00C16F22">
        <w:rPr>
          <w:rFonts w:eastAsia="Calibri"/>
          <w:color w:val="000000"/>
          <w:lang w:val="es-PE"/>
        </w:rPr>
        <w:t>Todas estas situaciones han generado recomendaciones del Comité contra la Tortura</w:t>
      </w:r>
      <w:r>
        <w:rPr>
          <w:rFonts w:eastAsia="Calibri"/>
          <w:color w:val="000000"/>
          <w:vertAlign w:val="superscript"/>
        </w:rPr>
        <w:footnoteReference w:id="20"/>
      </w:r>
      <w:r w:rsidRPr="00C16F22">
        <w:rPr>
          <w:rFonts w:eastAsia="Calibri"/>
          <w:color w:val="000000"/>
          <w:lang w:val="es-PE"/>
        </w:rPr>
        <w:t xml:space="preserve"> y del Comité CEDAW </w:t>
      </w:r>
      <w:r>
        <w:rPr>
          <w:rFonts w:eastAsia="Calibri"/>
          <w:color w:val="000000"/>
          <w:vertAlign w:val="superscript"/>
        </w:rPr>
        <w:footnoteReference w:id="21"/>
      </w:r>
      <w:r w:rsidRPr="00C16F22">
        <w:rPr>
          <w:rFonts w:eastAsia="Calibri"/>
          <w:color w:val="000000"/>
          <w:lang w:val="es-PE"/>
        </w:rPr>
        <w:t xml:space="preserve">, para que Perú revise su legislación. Además, el Comité de los Derechos del </w:t>
      </w:r>
      <w:r w:rsidRPr="00C16F22">
        <w:rPr>
          <w:rFonts w:eastAsia="Calibri"/>
          <w:color w:val="000000"/>
          <w:lang w:val="es-PE"/>
        </w:rPr>
        <w:lastRenderedPageBreak/>
        <w:t>Niño precisa que las opiniones de las niñas embarazadas deben ser siempre escuchadas y respetadas con relación al aborto</w:t>
      </w:r>
      <w:r>
        <w:rPr>
          <w:rFonts w:eastAsia="Calibri"/>
          <w:color w:val="000000"/>
          <w:vertAlign w:val="superscript"/>
        </w:rPr>
        <w:footnoteReference w:id="22"/>
      </w:r>
      <w:r w:rsidRPr="00C16F22">
        <w:rPr>
          <w:rFonts w:eastAsia="Calibri"/>
          <w:color w:val="000000"/>
          <w:lang w:val="es-PE"/>
        </w:rPr>
        <w:t>.</w:t>
      </w:r>
    </w:p>
    <w:p w14:paraId="79DEAC1D" w14:textId="7AE9BBB3" w:rsidR="00D7753F" w:rsidRDefault="00D7753F" w:rsidP="00837F9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eastAsia="Calibri"/>
          <w:b/>
          <w:color w:val="000000"/>
          <w:u w:val="single"/>
          <w:lang w:val="es-PE"/>
        </w:rPr>
      </w:pPr>
    </w:p>
    <w:p w14:paraId="73D2A8E7" w14:textId="19A3DD1D" w:rsidR="00837F91" w:rsidRDefault="00837F91" w:rsidP="00837F9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eastAsia="Calibri"/>
          <w:b/>
          <w:color w:val="000000"/>
          <w:u w:val="single"/>
          <w:lang w:val="es-PE"/>
        </w:rPr>
      </w:pPr>
    </w:p>
    <w:p w14:paraId="3E6654B6" w14:textId="77777777" w:rsidR="00837F91" w:rsidRPr="00C16F22" w:rsidRDefault="00837F91" w:rsidP="00837F9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eastAsia="Calibri"/>
          <w:b/>
          <w:color w:val="000000"/>
          <w:u w:val="single"/>
          <w:lang w:val="es-PE"/>
        </w:rPr>
      </w:pPr>
    </w:p>
    <w:p w14:paraId="6E7DD629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6C8DC606" w14:textId="77777777" w:rsidR="00D7753F" w:rsidRPr="00C16F22" w:rsidRDefault="000B69E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Garantizar la distribución gratuita y oportuna de anticoncepción oral de emergencia (kits de atención de emergencia) en todos los establecimientos de salud, Instituto de Medicina Legal, Centro Emergencia Mujer (CEM) y Comisarías.</w:t>
      </w:r>
    </w:p>
    <w:p w14:paraId="15F2BA03" w14:textId="77777777" w:rsidR="00D7753F" w:rsidRPr="00C16F22" w:rsidRDefault="000B69E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7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Aprobación de protocolo que regule la interrupción del embarazo en los casos de maternidad forzada de las niñas y adolescentes, garantizando el acceso al aborto terapéutico.</w:t>
      </w:r>
    </w:p>
    <w:p w14:paraId="1BD6B2E0" w14:textId="77777777" w:rsidR="00D7753F" w:rsidRPr="00C16F22" w:rsidRDefault="00D7753F">
      <w:pPr>
        <w:tabs>
          <w:tab w:val="left" w:pos="3060"/>
          <w:tab w:val="left" w:pos="7984"/>
        </w:tabs>
        <w:spacing w:before="91"/>
        <w:ind w:left="0" w:right="130" w:hanging="2"/>
        <w:jc w:val="both"/>
        <w:rPr>
          <w:sz w:val="18"/>
          <w:szCs w:val="18"/>
          <w:lang w:val="es-PE"/>
        </w:rPr>
      </w:pPr>
    </w:p>
    <w:p w14:paraId="1698EE2E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03F61409" w14:textId="77777777" w:rsidR="00D7753F" w:rsidRPr="00C16F22" w:rsidRDefault="00D7753F">
      <w:pPr>
        <w:tabs>
          <w:tab w:val="left" w:pos="400"/>
        </w:tabs>
        <w:ind w:left="0" w:right="117" w:hanging="2"/>
        <w:jc w:val="both"/>
        <w:rPr>
          <w:sz w:val="18"/>
          <w:szCs w:val="18"/>
          <w:lang w:val="es-PE"/>
        </w:rPr>
      </w:pPr>
    </w:p>
    <w:p w14:paraId="126B4F06" w14:textId="77777777" w:rsidR="00D7753F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1" w:right="117" w:hanging="3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MUJERES EN SU DIVERSIDAD</w:t>
      </w:r>
    </w:p>
    <w:p w14:paraId="39C36409" w14:textId="77777777" w:rsidR="00D7753F" w:rsidRDefault="00D7753F">
      <w:pPr>
        <w:spacing w:before="3"/>
        <w:ind w:left="0" w:hanging="2"/>
        <w:jc w:val="both"/>
      </w:pPr>
    </w:p>
    <w:p w14:paraId="17E1725B" w14:textId="77777777" w:rsidR="00D7753F" w:rsidRPr="00C16F22" w:rsidRDefault="000B69E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spacing w:before="56" w:line="240" w:lineRule="auto"/>
        <w:ind w:left="0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Mujeres rurales, indígenas andinas y amazónicas</w:t>
      </w:r>
    </w:p>
    <w:p w14:paraId="3EECD2AB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8" w:hanging="2"/>
        <w:jc w:val="both"/>
        <w:rPr>
          <w:rFonts w:eastAsia="Calibri"/>
          <w:color w:val="000000"/>
          <w:lang w:val="es-PE"/>
        </w:rPr>
      </w:pPr>
    </w:p>
    <w:p w14:paraId="1E5ABA26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No existen datos oficiales sobre discriminación y violencia desagregados por población indígena, andina y amazónica. El Censo Nacional 2017, por primera vez incluyó la pregunta de autoidentificación étnica, señala que el 26% de la población peruana se reconoce como originaria: 48.5% son hombres y 51.5% mujeres. El 9.4% de la población indígena andina y el 14.4% de la población indígena amazónica no tiene ningún nivel de educación. En el caso de los hombres indígenas andinos, dicha tasa es de 4.9%, pero en las mujeres es 16.3%. En la Amazonía, la tasa de analfabetismo en los pueblos indígenas es 15.9%, frente a 5.7% de la población no indígena. En los hombres indígenas amazónicos es de 10.4%, y en el de las mujeres 21.2%.</w:t>
      </w:r>
    </w:p>
    <w:p w14:paraId="19A3F6FC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4246D758" w14:textId="77777777" w:rsidR="00D7753F" w:rsidRPr="00C16F22" w:rsidRDefault="000B69EA">
      <w:pPr>
        <w:ind w:left="0" w:right="109" w:hanging="2"/>
        <w:jc w:val="both"/>
        <w:rPr>
          <w:lang w:val="es-PE"/>
        </w:rPr>
      </w:pPr>
      <w:r w:rsidRPr="00C16F22">
        <w:rPr>
          <w:lang w:val="es-PE"/>
        </w:rPr>
        <w:t xml:space="preserve">En el campo de la salud, no se ha implementado la Política Sectorial de Salud Intercultural, aprobada en Consulta Previa Nacional. </w:t>
      </w:r>
    </w:p>
    <w:p w14:paraId="32C034D8" w14:textId="77777777" w:rsidR="00D7753F" w:rsidRPr="00C16F22" w:rsidRDefault="00D7753F">
      <w:pPr>
        <w:ind w:left="0" w:right="109" w:hanging="2"/>
        <w:jc w:val="both"/>
        <w:rPr>
          <w:lang w:val="es-PE"/>
        </w:rPr>
      </w:pPr>
    </w:p>
    <w:p w14:paraId="12B80F33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3A2BCB01" w14:textId="77777777" w:rsidR="00D7753F" w:rsidRPr="00C16F22" w:rsidRDefault="000B69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2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Las políticas públicas y planes nacionales deben abordar las necesidades de las mujeres indígenas y promover su participación efectiva en los espacios de toma de decisión comunales, en los procesos de diálogo con el Estado y de titulación comunal.</w:t>
      </w:r>
    </w:p>
    <w:p w14:paraId="3D17B709" w14:textId="77777777" w:rsidR="00D7753F" w:rsidRPr="00C16F22" w:rsidRDefault="000B69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2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Garantizar apoyo para las actividades productivas alternativas al extractivismo, desarrolladas por las mujeres indígenas, e implementar políticas de acceso al mercado y precios justos.</w:t>
      </w:r>
    </w:p>
    <w:p w14:paraId="51D5ADA9" w14:textId="77777777" w:rsidR="00D7753F" w:rsidRPr="00C16F22" w:rsidRDefault="000B69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Implementar una política nacional de atención integral a mujeres afectadas por metales pesados en sus cuerpos, producto de la contaminación de los recursos hídricos.</w:t>
      </w:r>
    </w:p>
    <w:p w14:paraId="0D73FAA0" w14:textId="77777777" w:rsidR="00D7753F" w:rsidRPr="00C16F22" w:rsidRDefault="00D7753F">
      <w:pPr>
        <w:spacing w:before="6"/>
        <w:ind w:left="0" w:hanging="2"/>
        <w:jc w:val="both"/>
        <w:rPr>
          <w:lang w:val="es-PE"/>
        </w:rPr>
      </w:pPr>
    </w:p>
    <w:p w14:paraId="35627184" w14:textId="77777777" w:rsidR="00D7753F" w:rsidRDefault="000B69EA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Mujeres afrodescendientes</w:t>
      </w:r>
    </w:p>
    <w:p w14:paraId="1CA9A0EF" w14:textId="77777777" w:rsidR="00D7753F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color w:val="000000"/>
        </w:rPr>
      </w:pPr>
    </w:p>
    <w:p w14:paraId="328FAB58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0" w:right="11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Según el censo de Población y Vivienda de 2017, el 3.6% de la población es afrodescendiente. El 7.1% de mujeres afrodescendientes de 15 a más años no ha logrado ningún nivel educativo, el 11.55 tiene educación universitaria, cifra por debajo del 21.7% para mestizas y 21.3% para blancas</w:t>
      </w:r>
      <w:r>
        <w:rPr>
          <w:rFonts w:eastAsia="Calibri"/>
          <w:color w:val="000000"/>
          <w:vertAlign w:val="superscript"/>
        </w:rPr>
        <w:footnoteReference w:id="23"/>
      </w:r>
      <w:r w:rsidRPr="00C16F22">
        <w:rPr>
          <w:rFonts w:eastAsia="Calibri"/>
          <w:color w:val="000000"/>
          <w:lang w:val="es-PE"/>
        </w:rPr>
        <w:t>.</w:t>
      </w:r>
    </w:p>
    <w:p w14:paraId="4CAD237D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0" w:right="118" w:hanging="2"/>
        <w:jc w:val="both"/>
        <w:rPr>
          <w:rFonts w:eastAsia="Calibri"/>
          <w:color w:val="000000"/>
          <w:lang w:val="es-PE"/>
        </w:rPr>
      </w:pPr>
    </w:p>
    <w:p w14:paraId="2937480E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Una encuesta del Ministerio de Cultura</w:t>
      </w:r>
      <w:r>
        <w:rPr>
          <w:rFonts w:eastAsia="Calibri"/>
          <w:color w:val="000000"/>
          <w:vertAlign w:val="superscript"/>
        </w:rPr>
        <w:footnoteReference w:id="24"/>
      </w:r>
      <w:r w:rsidRPr="00C16F22">
        <w:rPr>
          <w:rFonts w:eastAsia="Calibri"/>
          <w:color w:val="000000"/>
          <w:lang w:val="es-PE"/>
        </w:rPr>
        <w:t xml:space="preserve"> revela que el 53% de personas entrevistadas considera a las y los peruanos racistas y muy racistas; pero solo el 8% se considera a sí mismo como tal. El color de la piel es una de las más importantes causas de discriminación (28%). </w:t>
      </w:r>
    </w:p>
    <w:p w14:paraId="48D40C2A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0" w:hanging="2"/>
        <w:jc w:val="both"/>
        <w:rPr>
          <w:rFonts w:eastAsia="Calibri"/>
          <w:color w:val="000000"/>
          <w:lang w:val="es-PE"/>
        </w:rPr>
      </w:pPr>
    </w:p>
    <w:p w14:paraId="09E3814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 xml:space="preserve">Desde el 2013, el Ministerio de Cultura cuenta con la Dirección de Políticas para Población Afroperuana, en el 2016 impulsó el </w:t>
      </w:r>
      <w:r w:rsidRPr="00C16F22">
        <w:rPr>
          <w:rFonts w:eastAsia="Calibri"/>
          <w:i/>
          <w:color w:val="000000"/>
          <w:lang w:val="es-PE"/>
        </w:rPr>
        <w:t xml:space="preserve">Plan Nacional de Desarrollo para la Población Afroperuana </w:t>
      </w:r>
      <w:r w:rsidRPr="00C16F22">
        <w:rPr>
          <w:rFonts w:eastAsia="Calibri"/>
          <w:color w:val="000000"/>
          <w:lang w:val="es-PE"/>
        </w:rPr>
        <w:t xml:space="preserve">(PLANDEPA).  El CERD recomienda al Estado que </w:t>
      </w:r>
      <w:r w:rsidRPr="00C16F22">
        <w:rPr>
          <w:rFonts w:eastAsia="Calibri"/>
          <w:i/>
          <w:color w:val="000000"/>
          <w:lang w:val="es-PE"/>
        </w:rPr>
        <w:t>“adopte las medidas necesarias para garantizar la implementación efectiva del Plan Nacional de Desarrollo para la Población Afroperuana 2016-2020, entre otros, mediante la asignación de recursos humanos, técnicos y materiales adecuados”</w:t>
      </w:r>
      <w:r>
        <w:rPr>
          <w:rFonts w:eastAsia="Calibri"/>
          <w:color w:val="000000"/>
          <w:vertAlign w:val="superscript"/>
        </w:rPr>
        <w:footnoteReference w:id="25"/>
      </w:r>
      <w:r w:rsidRPr="00C16F22">
        <w:rPr>
          <w:rFonts w:eastAsia="Calibri"/>
          <w:color w:val="000000"/>
          <w:lang w:val="es-PE"/>
        </w:rPr>
        <w:t xml:space="preserve">. </w:t>
      </w:r>
    </w:p>
    <w:p w14:paraId="77E22D7E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08" w:hanging="2"/>
        <w:jc w:val="both"/>
        <w:rPr>
          <w:rFonts w:eastAsia="Calibri"/>
          <w:color w:val="000000"/>
          <w:lang w:val="es-PE"/>
        </w:rPr>
      </w:pPr>
    </w:p>
    <w:p w14:paraId="3AF83249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0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Desde el 2001, el Ministerio de la Mujer y Poblaciones Vulnerables cuenta con la Mesa de Trabajo Mujer Afroperuana</w:t>
      </w:r>
      <w:r>
        <w:rPr>
          <w:rFonts w:eastAsia="Calibri"/>
          <w:color w:val="000000"/>
          <w:vertAlign w:val="superscript"/>
        </w:rPr>
        <w:footnoteReference w:id="26"/>
      </w:r>
      <w:r w:rsidRPr="00C16F22">
        <w:rPr>
          <w:rFonts w:eastAsia="Calibri"/>
          <w:color w:val="000000"/>
          <w:lang w:val="es-PE"/>
        </w:rPr>
        <w:t xml:space="preserve">, creada para la articulación y trabajo entre Estado y sociedad civil; si bien el </w:t>
      </w:r>
      <w:r w:rsidRPr="00C16F22">
        <w:rPr>
          <w:rFonts w:eastAsia="Calibri"/>
          <w:i/>
          <w:color w:val="000000"/>
          <w:lang w:val="es-PE"/>
        </w:rPr>
        <w:t xml:space="preserve">Plan Nacional contra la Violencia de Género </w:t>
      </w:r>
      <w:r w:rsidRPr="00C16F22">
        <w:rPr>
          <w:rFonts w:eastAsia="Calibri"/>
          <w:color w:val="000000"/>
          <w:lang w:val="es-PE"/>
        </w:rPr>
        <w:t xml:space="preserve">incluye los enfoques de interculturalidad, interseccionalidad y género; no desarrolla el concepto de violencia racial, ni ha generado normativa para la atención específica de las mujeres afrodescendientes. </w:t>
      </w:r>
    </w:p>
    <w:p w14:paraId="5EADE99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0" w:hanging="2"/>
        <w:jc w:val="both"/>
        <w:rPr>
          <w:rFonts w:eastAsia="Calibri"/>
          <w:color w:val="000000"/>
          <w:lang w:val="es-PE"/>
        </w:rPr>
      </w:pPr>
    </w:p>
    <w:p w14:paraId="50E651B7" w14:textId="77777777" w:rsidR="00D7753F" w:rsidRPr="00C16F22" w:rsidRDefault="00D7753F">
      <w:pPr>
        <w:spacing w:before="4"/>
        <w:ind w:left="0" w:hanging="2"/>
        <w:jc w:val="both"/>
        <w:rPr>
          <w:lang w:val="es-PE"/>
        </w:rPr>
      </w:pPr>
    </w:p>
    <w:p w14:paraId="2ED9C4DB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 xml:space="preserve">Recomendaciones </w:t>
      </w:r>
    </w:p>
    <w:p w14:paraId="7361C432" w14:textId="77777777" w:rsidR="00D7753F" w:rsidRPr="00C16F22" w:rsidRDefault="000B69E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5"/>
        </w:tabs>
        <w:spacing w:line="242" w:lineRule="auto"/>
        <w:ind w:left="0" w:right="12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Armonización del sistema estadístico nacional, garantizando información desagregada respecto de la situación de las niñas y mujeres afrodescendientes.</w:t>
      </w:r>
    </w:p>
    <w:p w14:paraId="08B0ACAD" w14:textId="77777777" w:rsidR="00D7753F" w:rsidRPr="00C16F22" w:rsidRDefault="000B69E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Transversalización del </w:t>
      </w:r>
      <w:r w:rsidRPr="00C16F22">
        <w:rPr>
          <w:rFonts w:eastAsia="Calibri"/>
          <w:i/>
          <w:color w:val="000000"/>
          <w:lang w:val="es-PE"/>
        </w:rPr>
        <w:t xml:space="preserve">Plan Nacional de Desarrollo para la Población Afroperuana 2016-2021 </w:t>
      </w:r>
      <w:r w:rsidRPr="00C16F22">
        <w:rPr>
          <w:rFonts w:eastAsia="Calibri"/>
          <w:color w:val="000000"/>
          <w:lang w:val="es-PE"/>
        </w:rPr>
        <w:t>(PLANDEPA).</w:t>
      </w:r>
    </w:p>
    <w:p w14:paraId="7CDD1BB8" w14:textId="77777777" w:rsidR="00D7753F" w:rsidRPr="00C16F22" w:rsidRDefault="000B69EA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Impulsar políticas y acciones afirmativas orientadas a garantizar el acceso a la salud, educación y empleo de las mujeres afrodescendientes.</w:t>
      </w:r>
    </w:p>
    <w:p w14:paraId="497D6EDC" w14:textId="77777777" w:rsidR="00D7753F" w:rsidRPr="00C16F22" w:rsidRDefault="00D7753F">
      <w:pPr>
        <w:tabs>
          <w:tab w:val="left" w:pos="400"/>
        </w:tabs>
        <w:ind w:left="0" w:right="124" w:hanging="2"/>
        <w:jc w:val="both"/>
        <w:rPr>
          <w:lang w:val="es-PE"/>
        </w:rPr>
      </w:pPr>
    </w:p>
    <w:p w14:paraId="6C12C210" w14:textId="77777777" w:rsidR="00D7753F" w:rsidRPr="00C16F22" w:rsidRDefault="00D7753F">
      <w:pPr>
        <w:tabs>
          <w:tab w:val="left" w:pos="400"/>
        </w:tabs>
        <w:ind w:left="0" w:right="124" w:hanging="2"/>
        <w:jc w:val="both"/>
        <w:rPr>
          <w:lang w:val="es-PE"/>
        </w:rPr>
      </w:pPr>
    </w:p>
    <w:p w14:paraId="26ABDF58" w14:textId="77777777" w:rsidR="00D7753F" w:rsidRPr="00C16F22" w:rsidRDefault="000B69EA">
      <w:pPr>
        <w:tabs>
          <w:tab w:val="left" w:pos="560"/>
        </w:tabs>
        <w:ind w:left="0" w:right="124" w:hanging="2"/>
        <w:jc w:val="both"/>
        <w:rPr>
          <w:lang w:val="es-PE"/>
        </w:rPr>
      </w:pPr>
      <w:r w:rsidRPr="00C16F22">
        <w:rPr>
          <w:b/>
          <w:lang w:val="es-PE"/>
        </w:rPr>
        <w:t>5.3 Mujeres en situación de discapacidad</w:t>
      </w:r>
    </w:p>
    <w:p w14:paraId="2AA3EC71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6DB26ABD" w14:textId="0BF1EB68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>En el campo de la educación, del total de personas con discapacidad, el 29% de mujeres nunca fueron a la escuela, frente al 15% de hombres. En el área rural, el 57% de mujeres con discapacidad no tiene ningún nivel educativo y solo el 33% estudió la primaria</w:t>
      </w:r>
      <w:r>
        <w:rPr>
          <w:rFonts w:eastAsia="Calibri"/>
          <w:color w:val="000000"/>
          <w:vertAlign w:val="superscript"/>
        </w:rPr>
        <w:footnoteReference w:id="27"/>
      </w:r>
      <w:r w:rsidRPr="00C16F22">
        <w:rPr>
          <w:rFonts w:eastAsia="Calibri"/>
          <w:color w:val="000000"/>
          <w:lang w:val="es-PE"/>
        </w:rPr>
        <w:t>.</w:t>
      </w:r>
    </w:p>
    <w:p w14:paraId="70B5BDA2" w14:textId="77777777" w:rsidR="00D7753F" w:rsidRPr="00C16F22" w:rsidRDefault="00D7753F">
      <w:pPr>
        <w:spacing w:before="12"/>
        <w:ind w:left="0" w:hanging="2"/>
        <w:jc w:val="both"/>
        <w:rPr>
          <w:lang w:val="es-PE"/>
        </w:rPr>
      </w:pPr>
    </w:p>
    <w:p w14:paraId="0738DC20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Por otro lado, son consideradas como personas infantilizadas y asexuadas. Por ello, a las niñas con discapacidad no se les proporciona educación psicosexual integral</w:t>
      </w:r>
      <w:r>
        <w:rPr>
          <w:rFonts w:eastAsia="Calibri"/>
          <w:color w:val="000000"/>
          <w:vertAlign w:val="superscript"/>
        </w:rPr>
        <w:footnoteReference w:id="28"/>
      </w:r>
      <w:r w:rsidRPr="00C16F22">
        <w:rPr>
          <w:rFonts w:eastAsia="Calibri"/>
          <w:color w:val="000000"/>
          <w:lang w:val="es-PE"/>
        </w:rPr>
        <w:t>.</w:t>
      </w:r>
    </w:p>
    <w:p w14:paraId="2B617D3C" w14:textId="77777777" w:rsidR="00D7753F" w:rsidRPr="00C16F22" w:rsidRDefault="00D7753F">
      <w:pPr>
        <w:spacing w:before="6"/>
        <w:ind w:left="0" w:hanging="2"/>
        <w:jc w:val="both"/>
        <w:rPr>
          <w:lang w:val="es-PE"/>
        </w:rPr>
      </w:pPr>
    </w:p>
    <w:p w14:paraId="560E36D2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7A59EFD3" w14:textId="77777777" w:rsidR="00D7753F" w:rsidRPr="00C16F22" w:rsidRDefault="000B69EA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Desarrollo de investigación y generación de estadística oficial periódica, desagregada por sexo y discapacidad, que dé cuenta de la discriminación y violencia.</w:t>
      </w:r>
    </w:p>
    <w:p w14:paraId="6752742D" w14:textId="77777777" w:rsidR="00D7753F" w:rsidRPr="00C16F22" w:rsidRDefault="000B69EA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before="37" w:line="242" w:lineRule="auto"/>
        <w:ind w:left="0" w:right="12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Asegurar la participación de las mujeres en situación de discapacidad en el diseño de políticas.</w:t>
      </w:r>
    </w:p>
    <w:p w14:paraId="613FCC5F" w14:textId="77777777" w:rsidR="00D7753F" w:rsidRPr="00C16F22" w:rsidRDefault="000B69EA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Incorporar en la atención de los servicios del Ministerio de Salud el doble enfoque de género y discapacidad, desde la perspectiva comunitaria (Rehabilitación Basada en Comunidad).</w:t>
      </w:r>
    </w:p>
    <w:p w14:paraId="6790332C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220816F2" w14:textId="77777777" w:rsidR="00D7753F" w:rsidRPr="00C16F22" w:rsidRDefault="00D7753F">
      <w:pPr>
        <w:spacing w:before="6"/>
        <w:ind w:left="0" w:right="123" w:hanging="2"/>
        <w:jc w:val="both"/>
        <w:rPr>
          <w:sz w:val="18"/>
          <w:szCs w:val="18"/>
          <w:lang w:val="es-PE"/>
        </w:rPr>
      </w:pPr>
    </w:p>
    <w:p w14:paraId="2B651456" w14:textId="77777777" w:rsidR="00D7753F" w:rsidRPr="00C16F22" w:rsidRDefault="000B69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" w:line="240" w:lineRule="auto"/>
        <w:ind w:left="1" w:right="123" w:hanging="3"/>
        <w:jc w:val="both"/>
        <w:rPr>
          <w:color w:val="000000"/>
          <w:sz w:val="26"/>
          <w:szCs w:val="26"/>
          <w:lang w:val="es-PE"/>
        </w:rPr>
      </w:pPr>
      <w:r w:rsidRPr="00C16F22">
        <w:rPr>
          <w:b/>
          <w:color w:val="000000"/>
          <w:sz w:val="26"/>
          <w:szCs w:val="26"/>
          <w:lang w:val="es-PE"/>
        </w:rPr>
        <w:t>IGUALDAD DE DERECHOS EN LA ESFERA DE LA EDUCACIÓN</w:t>
      </w:r>
    </w:p>
    <w:p w14:paraId="5FC9F996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7" w:hanging="2"/>
        <w:jc w:val="both"/>
        <w:rPr>
          <w:rFonts w:eastAsia="Calibri"/>
          <w:color w:val="000000"/>
          <w:lang w:val="es-PE"/>
        </w:rPr>
      </w:pPr>
    </w:p>
    <w:p w14:paraId="6278E13B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7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Según el artículo 14 de la Constitución, el Estado tiene la obligación de enseñar determinados contenidos mínimos de derechos humanos, entre ellos el derecho a la igualdad y no discriminación.</w:t>
      </w:r>
    </w:p>
    <w:p w14:paraId="52658A4C" w14:textId="77777777" w:rsidR="00D7753F" w:rsidRPr="00C16F22" w:rsidRDefault="00D7753F">
      <w:pPr>
        <w:spacing w:before="1"/>
        <w:ind w:left="0" w:hanging="2"/>
        <w:jc w:val="both"/>
        <w:rPr>
          <w:lang w:val="es-PE"/>
        </w:rPr>
      </w:pPr>
    </w:p>
    <w:p w14:paraId="1C7754BC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Sin embargo, sectores religiosos conservadores y sus aliados en las bancadas del parlamento, desplegaron la campaña </w:t>
      </w:r>
      <w:r w:rsidRPr="00C16F22">
        <w:rPr>
          <w:rFonts w:eastAsia="Calibri"/>
          <w:i/>
          <w:color w:val="000000"/>
          <w:lang w:val="es-PE"/>
        </w:rPr>
        <w:t>“</w:t>
      </w:r>
      <w:r w:rsidRPr="00C16F22">
        <w:rPr>
          <w:rFonts w:eastAsia="Calibri"/>
          <w:color w:val="000000"/>
          <w:lang w:val="es-PE"/>
        </w:rPr>
        <w:t>Con mis hijos no te metas”</w:t>
      </w:r>
      <w:r w:rsidRPr="00C16F22">
        <w:rPr>
          <w:rFonts w:eastAsia="Calibri"/>
          <w:i/>
          <w:color w:val="000000"/>
          <w:lang w:val="es-PE"/>
        </w:rPr>
        <w:t xml:space="preserve">, </w:t>
      </w:r>
      <w:r w:rsidRPr="00C16F22">
        <w:rPr>
          <w:rFonts w:eastAsia="Calibri"/>
          <w:color w:val="000000"/>
          <w:lang w:val="es-PE"/>
        </w:rPr>
        <w:t xml:space="preserve">oponiéndose a la incorporación del enfoque de género y la Educación Sexual Integral (Anexo 9). A través de “Padres en Acción”, </w:t>
      </w:r>
      <w:r w:rsidRPr="00C16F22">
        <w:rPr>
          <w:rFonts w:eastAsia="Calibri"/>
          <w:color w:val="000000"/>
          <w:lang w:val="es-PE"/>
        </w:rPr>
        <w:lastRenderedPageBreak/>
        <w:t>judicializaron el nuevo currículo educativo, bajo el argumento que promovía la homosexualidad y la “ideología de género”. Luego de dos años, en abril de 2019, la Corte Suprema declaró infundada su demanda.</w:t>
      </w:r>
    </w:p>
    <w:p w14:paraId="28FA82F2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2D7E3ECE" w14:textId="77777777" w:rsidR="00D7753F" w:rsidRDefault="000B69E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5"/>
        </w:tabs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Educación Sexual Integral </w:t>
      </w:r>
    </w:p>
    <w:p w14:paraId="5F3C23D9" w14:textId="77777777" w:rsidR="00D7753F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7" w:hanging="2"/>
        <w:jc w:val="both"/>
        <w:rPr>
          <w:rFonts w:eastAsia="Calibri"/>
          <w:color w:val="000000"/>
        </w:rPr>
      </w:pPr>
    </w:p>
    <w:p w14:paraId="213832D2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7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En el Perú, se registran altas tasas de analfabetismo, ausentismo y deserción escolar. Actualmente, del total de adolescentes de 15 a 19 años, el 12.7% ya estuvo alguna vez embarazada. El MINEDU reportó que 8 de cada 10 niñas y adolescentes   embarazadas abandonan la escuela</w:t>
      </w:r>
      <w:r>
        <w:rPr>
          <w:rFonts w:eastAsia="Calibri"/>
          <w:color w:val="000000"/>
          <w:vertAlign w:val="superscript"/>
        </w:rPr>
        <w:footnoteReference w:id="29"/>
      </w:r>
      <w:r w:rsidRPr="00C16F22">
        <w:rPr>
          <w:rFonts w:eastAsia="Calibri"/>
          <w:color w:val="000000"/>
          <w:lang w:val="es-PE"/>
        </w:rPr>
        <w:t>, sin completar la educación primaria. El grupo comprendido entre los 9 y 14 años no está incluido en esta cifra.</w:t>
      </w:r>
    </w:p>
    <w:p w14:paraId="040266DA" w14:textId="77777777" w:rsidR="00D7753F" w:rsidRPr="00C16F22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07" w:hanging="2"/>
        <w:jc w:val="both"/>
        <w:rPr>
          <w:rFonts w:eastAsia="Calibri"/>
          <w:color w:val="000000"/>
          <w:lang w:val="es-PE"/>
        </w:rPr>
      </w:pPr>
    </w:p>
    <w:p w14:paraId="6B307463" w14:textId="77777777" w:rsidR="00D7753F" w:rsidRPr="00C16F22" w:rsidRDefault="000B69EA">
      <w:p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14" w:hanging="2"/>
        <w:jc w:val="both"/>
        <w:rPr>
          <w:rFonts w:eastAsia="Calibri"/>
          <w:color w:val="000000"/>
          <w:u w:val="single"/>
          <w:lang w:val="es-PE"/>
        </w:rPr>
      </w:pPr>
      <w:r w:rsidRPr="00C16F22">
        <w:rPr>
          <w:rFonts w:eastAsia="Calibri"/>
          <w:color w:val="000000"/>
          <w:lang w:val="es-PE"/>
        </w:rPr>
        <w:t xml:space="preserve">En el ordenamiento peruano existen Los Lineamientos de Educación Sexual Integral (ESI-2008) y el </w:t>
      </w:r>
      <w:r w:rsidRPr="00C16F22">
        <w:rPr>
          <w:rFonts w:eastAsia="Calibri"/>
          <w:i/>
          <w:color w:val="000000"/>
          <w:lang w:val="es-PE"/>
        </w:rPr>
        <w:t>Plan Multisectorial para la Prevención del Embarazo Adolescente 2013-2021</w:t>
      </w:r>
      <w:r>
        <w:rPr>
          <w:rFonts w:eastAsia="Calibri"/>
          <w:color w:val="000000"/>
          <w:vertAlign w:val="superscript"/>
        </w:rPr>
        <w:footnoteReference w:id="30"/>
      </w:r>
      <w:r w:rsidRPr="00C16F22">
        <w:rPr>
          <w:rFonts w:eastAsia="Calibri"/>
          <w:color w:val="000000"/>
          <w:lang w:val="es-PE"/>
        </w:rPr>
        <w:t>, que incluye entre sus                              objetivos, asegurar la Educación Sexual Integral en el marco curricular nacional.</w:t>
      </w:r>
    </w:p>
    <w:p w14:paraId="3CEDE6D6" w14:textId="77777777" w:rsidR="00D7753F" w:rsidRPr="00C16F22" w:rsidRDefault="00D7753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  <w:u w:val="single"/>
          <w:lang w:val="es-PE"/>
        </w:rPr>
      </w:pPr>
    </w:p>
    <w:p w14:paraId="0DBD76BD" w14:textId="77777777" w:rsidR="00D7753F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  <w:u w:val="single"/>
        </w:rPr>
        <w:t>Recomendaciones</w:t>
      </w:r>
    </w:p>
    <w:p w14:paraId="3880DFB7" w14:textId="77777777" w:rsidR="00D7753F" w:rsidRPr="00C16F22" w:rsidRDefault="000B69EA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Que el Ministerio de Educación actualice los Lineamientos ESI, incorporando la diversidad sexual LGTBI.</w:t>
      </w:r>
    </w:p>
    <w:p w14:paraId="43134C04" w14:textId="77777777" w:rsidR="00D7753F" w:rsidRPr="00C16F22" w:rsidRDefault="000B69EA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4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Implementación del enfoque de género en el Currículo Nacional de Educación Básica Regular</w:t>
      </w:r>
    </w:p>
    <w:p w14:paraId="56581BCE" w14:textId="77777777" w:rsidR="00D7753F" w:rsidRPr="00C16F22" w:rsidRDefault="000B69EA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416"/>
        </w:tabs>
        <w:spacing w:line="240" w:lineRule="auto"/>
        <w:ind w:left="0" w:right="119" w:hanging="2"/>
        <w:jc w:val="both"/>
        <w:rPr>
          <w:rFonts w:eastAsia="Calibri"/>
          <w:color w:val="000000"/>
          <w:sz w:val="20"/>
          <w:szCs w:val="20"/>
          <w:lang w:val="es-PE"/>
        </w:rPr>
      </w:pPr>
      <w:r w:rsidRPr="00C16F22">
        <w:rPr>
          <w:rFonts w:eastAsia="Calibri"/>
          <w:color w:val="000000"/>
          <w:lang w:val="es-PE"/>
        </w:rPr>
        <w:t>Reconocimiento de las personas trans en las instituciones educativas de nivel básico, respeto a la identidad de género autopercibida, orientación sexual y expresión de género.</w:t>
      </w:r>
    </w:p>
    <w:p w14:paraId="0D2F8C53" w14:textId="77777777" w:rsidR="00D7753F" w:rsidRPr="00C16F22" w:rsidRDefault="00D7753F">
      <w:pPr>
        <w:spacing w:line="14" w:lineRule="auto"/>
        <w:ind w:left="0" w:hanging="2"/>
        <w:rPr>
          <w:sz w:val="20"/>
          <w:szCs w:val="20"/>
          <w:lang w:val="es-PE"/>
        </w:rPr>
        <w:sectPr w:rsidR="00D7753F" w:rsidRPr="00C16F22">
          <w:footerReference w:type="default" r:id="rId13"/>
          <w:pgSz w:w="11906" w:h="16838"/>
          <w:pgMar w:top="1360" w:right="1300" w:bottom="880" w:left="1300" w:header="720" w:footer="690" w:gutter="0"/>
          <w:cols w:space="720"/>
        </w:sectPr>
      </w:pPr>
    </w:p>
    <w:p w14:paraId="74270180" w14:textId="77777777" w:rsidR="00D7753F" w:rsidRPr="00C16F22" w:rsidRDefault="000B69EA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39"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lastRenderedPageBreak/>
        <w:t>PROPUESTA DE PREGUNTAS PARA LA EXAMINACIÓN DEL ESTADO PERUANO</w:t>
      </w:r>
    </w:p>
    <w:p w14:paraId="177171EE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762C769F" w14:textId="0EF04EB9" w:rsidR="00D7753F" w:rsidRPr="000F432B" w:rsidRDefault="000F432B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0F432B">
        <w:rPr>
          <w:rFonts w:eastAsia="Calibri"/>
          <w:b/>
          <w:color w:val="000000"/>
          <w:lang w:val="es-PE"/>
        </w:rPr>
        <w:t xml:space="preserve">  </w:t>
      </w:r>
      <w:r w:rsidR="000B69EA" w:rsidRPr="000F432B">
        <w:rPr>
          <w:rFonts w:eastAsia="Calibri"/>
          <w:b/>
          <w:color w:val="000000"/>
          <w:lang w:val="es-PE"/>
        </w:rPr>
        <w:t>DERECHO A LA PARTICIPACIÓN POLÍTICA</w:t>
      </w:r>
    </w:p>
    <w:p w14:paraId="22CFB6B0" w14:textId="77777777" w:rsidR="00D7753F" w:rsidRDefault="000B69EA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Participación en la consulta previa</w:t>
      </w:r>
    </w:p>
    <w:p w14:paraId="15A03A68" w14:textId="77777777" w:rsidR="00D7753F" w:rsidRPr="00C16F22" w:rsidRDefault="000B69E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¿Qué acciones ha desarrollado el Estado peruano para implementar las recomendaciones del Comité para la Eliminación de la Discriminación Racial (CERD) y de la OIT, sobre los procesos de consulta previa?</w:t>
      </w:r>
    </w:p>
    <w:p w14:paraId="3EED71A9" w14:textId="77777777" w:rsidR="00D7753F" w:rsidRPr="00C16F22" w:rsidRDefault="000B69E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¿Cómo garantiza el Estado la participación política de las mujeres libre de acoso político?</w:t>
      </w:r>
    </w:p>
    <w:p w14:paraId="362E3DFB" w14:textId="77777777" w:rsidR="00D7753F" w:rsidRPr="00C16F22" w:rsidRDefault="000B69EA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¿Cómo se está garantizando el cumplimiento de los principios básicos de la consulta previa y la participación de las mujeres?</w:t>
      </w:r>
    </w:p>
    <w:p w14:paraId="270C9B01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29A34085" w14:textId="77777777" w:rsidR="00D7753F" w:rsidRPr="00C16F22" w:rsidRDefault="000B69EA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Derecho a la protesta y protección a defensoras de derechos humanos</w:t>
      </w:r>
    </w:p>
    <w:p w14:paraId="76EEE8E8" w14:textId="77777777" w:rsidR="00D7753F" w:rsidRPr="00C16F22" w:rsidRDefault="000B69E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8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¿El Protocolo para la protección de personas defensoras de derechos humanos ha sido aprobado en abril del 2019, qué otras normativas han sido aprobadas para proteger oportuna y adecuadamente a las mujeres defensoras?</w:t>
      </w:r>
    </w:p>
    <w:p w14:paraId="466A0E22" w14:textId="77777777" w:rsidR="00D7753F" w:rsidRPr="00C16F22" w:rsidRDefault="000B69E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¿Cómo garantizarán en la implementación del Protocolo el abordaje diferencial con enfoque de género, intercultural y perspectiva interseccional, tanto del órgano encargado como de los procedimientos para su implementación (registros de ataques, alertas, medidas de protección, juzgamientos, entre otros)?</w:t>
      </w:r>
    </w:p>
    <w:p w14:paraId="6DACFFF2" w14:textId="77777777" w:rsidR="00D7753F" w:rsidRPr="00C16F22" w:rsidRDefault="000B69EA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¿Qué avances hay en la implementación del adecuado uso de la fuerza por parte del Estado y el abordaje específico de la violencia de género contra mujeres defensoras y activistas (LGBTI) durante protestas sociales?</w:t>
      </w:r>
    </w:p>
    <w:p w14:paraId="20E3DFB3" w14:textId="77777777" w:rsidR="00D7753F" w:rsidRPr="00C16F22" w:rsidRDefault="00D7753F">
      <w:pPr>
        <w:ind w:left="0" w:hanging="2"/>
        <w:jc w:val="both"/>
        <w:rPr>
          <w:lang w:val="es-PE"/>
        </w:rPr>
      </w:pPr>
    </w:p>
    <w:p w14:paraId="6109A85F" w14:textId="77777777" w:rsidR="00D7753F" w:rsidRPr="00C16F22" w:rsidRDefault="000B69EA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C16F22">
        <w:rPr>
          <w:rFonts w:eastAsia="Calibri"/>
          <w:b/>
          <w:color w:val="000000"/>
          <w:lang w:val="es-PE"/>
        </w:rPr>
        <w:t>DERECHO A UNA VIDA LIBRE DE VIOLENCIA</w:t>
      </w:r>
    </w:p>
    <w:p w14:paraId="4A8D3641" w14:textId="77777777" w:rsidR="00D7753F" w:rsidRPr="00C16F22" w:rsidRDefault="000B69EA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5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t>¿Qué procedimientos administrativos o penales se han implementado para sancionar a los operadores de justicia que, basados en estereotipos de género, o incumpliendo la debida diligencia, no reciben o archivan las denuncias por violencia de género contra mujeres, lesbianas, trans masculinos y femeninas, personas no binarias y asignadxs mujeres al nacer (AMAN)?</w:t>
      </w:r>
    </w:p>
    <w:p w14:paraId="26672B1D" w14:textId="77777777" w:rsidR="00D7753F" w:rsidRPr="00543991" w:rsidRDefault="000B69EA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  <w:r w:rsidRPr="00C16F22">
        <w:rPr>
          <w:rFonts w:eastAsia="Calibri"/>
          <w:color w:val="000000"/>
          <w:lang w:val="es-PE"/>
        </w:rPr>
        <w:lastRenderedPageBreak/>
        <w:t xml:space="preserve">¿Cuál es el porcentaje de presupuesto, en relación al presupuesto público nacional, asignado al objetivo estratégico 1 del </w:t>
      </w:r>
      <w:r w:rsidRPr="00C16F22">
        <w:rPr>
          <w:rFonts w:eastAsia="Calibri"/>
          <w:i/>
          <w:color w:val="000000"/>
          <w:lang w:val="es-PE"/>
        </w:rPr>
        <w:t>Plan Nacional contra la Violencia de Género 2016-2021</w:t>
      </w:r>
      <w:r w:rsidRPr="00C16F22">
        <w:rPr>
          <w:rFonts w:eastAsia="Calibri"/>
          <w:color w:val="000000"/>
          <w:lang w:val="es-PE"/>
        </w:rPr>
        <w:t xml:space="preserve">, referido a la prevención y el cambio de patrones socioculturales que reproducen relaciones desiguales de poder y diferencias jerárquicas que legitiman y exacerban la violencia de género?, ¿Por qué no se han implementado estrategias y acciones preventivas permanentes en las 24 regiones del Perú, llegando a distritos, zonas rurales y comunidades y asegurando abordaje con enfoque de género e interculturalidad, así como perspectiva interseccional? </w:t>
      </w:r>
      <w:r w:rsidRPr="00543991">
        <w:rPr>
          <w:rFonts w:eastAsia="Calibri"/>
          <w:color w:val="000000"/>
          <w:lang w:val="es-PE"/>
        </w:rPr>
        <w:t>¿Por qué no se tiene programas presupuestales para la política Nacional de Igualdad de Género?</w:t>
      </w:r>
    </w:p>
    <w:p w14:paraId="5EEDC6A8" w14:textId="77777777" w:rsidR="00D7753F" w:rsidRPr="00543991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6" w:hanging="2"/>
        <w:jc w:val="both"/>
        <w:rPr>
          <w:rFonts w:eastAsia="Calibri"/>
          <w:color w:val="000000"/>
          <w:lang w:val="es-PE"/>
        </w:rPr>
      </w:pPr>
    </w:p>
    <w:p w14:paraId="62EB140A" w14:textId="77777777" w:rsidR="00D7753F" w:rsidRPr="00543991" w:rsidRDefault="00D7753F">
      <w:pPr>
        <w:ind w:left="0" w:hanging="2"/>
        <w:jc w:val="both"/>
        <w:rPr>
          <w:lang w:val="es-PE"/>
        </w:rPr>
      </w:pPr>
    </w:p>
    <w:p w14:paraId="6F6CAAE2" w14:textId="77777777" w:rsidR="00D7753F" w:rsidRPr="00543991" w:rsidRDefault="000B69EA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543991">
        <w:rPr>
          <w:rFonts w:eastAsia="Calibri"/>
          <w:b/>
          <w:color w:val="000000"/>
          <w:lang w:val="es-PE"/>
        </w:rPr>
        <w:t>Acceso a la justicia: violencia contra niñas y mujeres indígenas</w:t>
      </w:r>
    </w:p>
    <w:p w14:paraId="36E4857B" w14:textId="77777777" w:rsidR="00D7753F" w:rsidRPr="00543991" w:rsidRDefault="000B69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7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medidas ha tomado el Estado peruano para ampliar la cobertura de los Centros Emergencia Mujer (CEM) a nivel distrital, y para incrementar las zonas de aplicación de la estrategia rural, en coordinación con las organizaciones de mujeres indígenas?</w:t>
      </w:r>
    </w:p>
    <w:p w14:paraId="77E19061" w14:textId="77777777" w:rsidR="00D7753F" w:rsidRPr="00543991" w:rsidRDefault="000B69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acciones concretas ha tomado el Estado peruano para asegurar que en zonas rurales, remotas y aisladas, las mujeres puedan acceder a justicia y protección frente a la violencia?</w:t>
      </w:r>
    </w:p>
    <w:p w14:paraId="236CCB22" w14:textId="77777777" w:rsidR="00D7753F" w:rsidRPr="00543991" w:rsidRDefault="00D7753F">
      <w:pPr>
        <w:spacing w:line="14" w:lineRule="auto"/>
        <w:ind w:left="0" w:hanging="2"/>
        <w:rPr>
          <w:sz w:val="20"/>
          <w:szCs w:val="20"/>
          <w:lang w:val="es-PE"/>
        </w:rPr>
        <w:sectPr w:rsidR="00D7753F" w:rsidRPr="00543991">
          <w:footerReference w:type="default" r:id="rId14"/>
          <w:pgSz w:w="11906" w:h="16838"/>
          <w:pgMar w:top="1360" w:right="1300" w:bottom="880" w:left="1300" w:header="720" w:footer="690" w:gutter="0"/>
          <w:cols w:space="720"/>
        </w:sectPr>
      </w:pPr>
    </w:p>
    <w:p w14:paraId="1FB98E6D" w14:textId="77777777" w:rsidR="00D7753F" w:rsidRPr="00543991" w:rsidRDefault="000B69EA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before="88" w:line="240" w:lineRule="auto"/>
        <w:ind w:left="0" w:right="123" w:hanging="2"/>
        <w:jc w:val="both"/>
        <w:rPr>
          <w:rFonts w:eastAsia="Calibri"/>
          <w:b/>
          <w:color w:val="000000"/>
          <w:lang w:val="es-PE"/>
        </w:rPr>
      </w:pPr>
      <w:r w:rsidRPr="00543991">
        <w:rPr>
          <w:rFonts w:eastAsia="Calibri"/>
          <w:b/>
          <w:color w:val="000000"/>
          <w:lang w:val="es-PE"/>
        </w:rPr>
        <w:lastRenderedPageBreak/>
        <w:t>Esterilizaciones forzadas como violencia y control de la sexualidad</w:t>
      </w:r>
    </w:p>
    <w:p w14:paraId="2C99B27B" w14:textId="77777777" w:rsidR="00D7753F" w:rsidRPr="00543991" w:rsidRDefault="000B69EA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medidas ha tomado el Estado para la implementación continua y coordinada del Registro de Víctimas de Esterilizaciones Forzadas (REVIESFO); así como, para la atención integral, el acompañamiento psicosocial sostenible y la atención especializada en salud de las víctimas registradas?</w:t>
      </w:r>
    </w:p>
    <w:p w14:paraId="1F60EC15" w14:textId="77777777" w:rsidR="00D7753F" w:rsidRPr="00543991" w:rsidRDefault="000B69EA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acciones ha tomado el Estado para asegurar el presupuesto y los recursos humanos, y garantizar una adecuada defensa mediante la Defensa Pública de las víctimas de esterilizaciones forzadas?</w:t>
      </w:r>
    </w:p>
    <w:p w14:paraId="644D9B79" w14:textId="77777777" w:rsidR="00D7753F" w:rsidRPr="00543991" w:rsidRDefault="00D7753F">
      <w:pPr>
        <w:spacing w:before="1"/>
        <w:ind w:left="0" w:hanging="2"/>
        <w:jc w:val="both"/>
        <w:rPr>
          <w:lang w:val="es-PE"/>
        </w:rPr>
      </w:pPr>
    </w:p>
    <w:p w14:paraId="1052537E" w14:textId="77777777" w:rsidR="00D7753F" w:rsidRDefault="000B69EA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  <w:tab w:val="left" w:pos="1536"/>
          <w:tab w:val="left" w:pos="2855"/>
          <w:tab w:val="left" w:pos="4002"/>
          <w:tab w:val="left" w:pos="4405"/>
          <w:tab w:val="left" w:pos="6017"/>
          <w:tab w:val="left" w:pos="7160"/>
          <w:tab w:val="left" w:pos="8335"/>
        </w:tabs>
        <w:spacing w:line="240" w:lineRule="auto"/>
        <w:ind w:left="0" w:right="122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MUJERES EN SU DIVERSIDAD </w:t>
      </w:r>
    </w:p>
    <w:p w14:paraId="4159B6C8" w14:textId="77777777" w:rsidR="00D7753F" w:rsidRDefault="000B69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Mujeres indígenas andinas y amazónicas</w:t>
      </w:r>
    </w:p>
    <w:p w14:paraId="29C5DE5D" w14:textId="77777777" w:rsidR="00D7753F" w:rsidRPr="00543991" w:rsidRDefault="000B69EA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avances ha desarrollado el Estado peruano para la generación de data oficial desagregada por género y etnicidad?</w:t>
      </w:r>
    </w:p>
    <w:p w14:paraId="26F0691B" w14:textId="77777777" w:rsidR="00D7753F" w:rsidRPr="00543991" w:rsidRDefault="000B69EA">
      <w:pPr>
        <w:numPr>
          <w:ilvl w:val="0"/>
          <w:numId w:val="23"/>
        </w:numPr>
        <w:ind w:left="0" w:right="124" w:hanging="2"/>
        <w:jc w:val="both"/>
        <w:rPr>
          <w:lang w:val="es-PE"/>
        </w:rPr>
      </w:pPr>
      <w:r w:rsidRPr="00543991">
        <w:rPr>
          <w:lang w:val="es-PE"/>
        </w:rPr>
        <w:t xml:space="preserve">¿Qué avances existen en la implementación de la Política Sectorial de Salud Intercultural y del </w:t>
      </w:r>
      <w:r w:rsidRPr="00543991">
        <w:rPr>
          <w:i/>
          <w:lang w:val="es-PE"/>
        </w:rPr>
        <w:t>Plan Nacional de Educación Intercultural Bilingüe</w:t>
      </w:r>
      <w:r w:rsidRPr="00543991">
        <w:rPr>
          <w:lang w:val="es-PE"/>
        </w:rPr>
        <w:t>?</w:t>
      </w:r>
    </w:p>
    <w:p w14:paraId="6FFD0A0C" w14:textId="77777777" w:rsidR="00D7753F" w:rsidRPr="00543991" w:rsidRDefault="00D7753F">
      <w:pPr>
        <w:ind w:left="0" w:hanging="2"/>
        <w:jc w:val="both"/>
        <w:rPr>
          <w:lang w:val="es-PE"/>
        </w:rPr>
      </w:pPr>
    </w:p>
    <w:p w14:paraId="59775503" w14:textId="77777777" w:rsidR="00D7753F" w:rsidRDefault="000B69E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Mujeres afrodescendientes</w:t>
      </w:r>
    </w:p>
    <w:p w14:paraId="5205283C" w14:textId="77777777" w:rsidR="00D7753F" w:rsidRPr="00543991" w:rsidRDefault="000B69EA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avances ha desarrollado el Estado en la atención de las mujeres afrodescendientes y en cumplimiento del Plan Nacional de Desarrollo para Población Afroperuana (PLANDEPA)?</w:t>
      </w:r>
    </w:p>
    <w:p w14:paraId="2AE55EF7" w14:textId="77777777" w:rsidR="00D7753F" w:rsidRPr="00543991" w:rsidRDefault="000B69EA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19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¿Cuáles son las políticas y acciones implementadas por el Estado para la prevención y sanción de la discriminación y el racismo?</w:t>
      </w:r>
    </w:p>
    <w:p w14:paraId="3C78E30D" w14:textId="77777777" w:rsidR="00D7753F" w:rsidRPr="00543991" w:rsidRDefault="000B69EA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9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¿Cuáles son las políticas y acciones afirmativas implementadas por el Estado para asegurar el acceso de las mujeres afrodescendientes a la educación y el empleo?</w:t>
      </w:r>
    </w:p>
    <w:p w14:paraId="04AB41D8" w14:textId="77777777" w:rsidR="00D7753F" w:rsidRPr="00543991" w:rsidRDefault="00D7753F">
      <w:pPr>
        <w:ind w:left="0" w:hanging="2"/>
        <w:jc w:val="both"/>
        <w:rPr>
          <w:lang w:val="es-PE"/>
        </w:rPr>
      </w:pPr>
    </w:p>
    <w:p w14:paraId="39099FF6" w14:textId="77777777" w:rsidR="00D7753F" w:rsidRDefault="000B69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"/>
        </w:tabs>
        <w:spacing w:line="240" w:lineRule="auto"/>
        <w:ind w:left="0" w:right="123" w:hanging="2"/>
        <w:jc w:val="both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Mujeres en situación de discapacidad</w:t>
      </w:r>
    </w:p>
    <w:p w14:paraId="414A6574" w14:textId="77777777" w:rsidR="00D7753F" w:rsidRPr="00543991" w:rsidRDefault="000B69EA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4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avances ha desarrollado el Estado peruano para la implementación de la Política Nacional de Discapacidad?</w:t>
      </w:r>
    </w:p>
    <w:p w14:paraId="5E22D8BF" w14:textId="77777777" w:rsidR="00D7753F" w:rsidRPr="00543991" w:rsidRDefault="000B69EA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35" w:lineRule="auto"/>
        <w:ind w:left="0" w:right="120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¿Qué avances ha desarrollado el Estado peruano para la generación de data oficial en materia de discapacidad, desagregada por género, tipo de discapacidad, otras variables sociodemográficas?</w:t>
      </w:r>
    </w:p>
    <w:p w14:paraId="79E20DC5" w14:textId="77777777" w:rsidR="00D7753F" w:rsidRPr="00543991" w:rsidRDefault="000B69EA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lastRenderedPageBreak/>
        <w:t>¿Cómo se implementa el doble enfoque de género y discapacidad en los planes multisectoriales y en los gobiernos subnacionales?</w:t>
      </w:r>
    </w:p>
    <w:p w14:paraId="70373E77" w14:textId="77777777" w:rsidR="00D7753F" w:rsidRPr="00543991" w:rsidRDefault="00D7753F">
      <w:pPr>
        <w:spacing w:line="14" w:lineRule="auto"/>
        <w:ind w:left="0" w:hanging="2"/>
        <w:rPr>
          <w:sz w:val="20"/>
          <w:szCs w:val="20"/>
          <w:lang w:val="es-PE"/>
        </w:rPr>
        <w:sectPr w:rsidR="00D7753F" w:rsidRPr="00543991">
          <w:footerReference w:type="default" r:id="rId15"/>
          <w:pgSz w:w="11906" w:h="16838"/>
          <w:pgMar w:top="1580" w:right="1300" w:bottom="880" w:left="1300" w:header="720" w:footer="690" w:gutter="0"/>
          <w:cols w:space="720"/>
        </w:sectPr>
      </w:pPr>
    </w:p>
    <w:p w14:paraId="12645DD5" w14:textId="77777777" w:rsidR="00D7753F" w:rsidRPr="00543991" w:rsidRDefault="000B69EA">
      <w:pPr>
        <w:spacing w:before="40"/>
        <w:ind w:left="1" w:right="6873" w:hanging="3"/>
        <w:jc w:val="both"/>
        <w:rPr>
          <w:sz w:val="26"/>
          <w:szCs w:val="26"/>
          <w:lang w:val="es-PE"/>
        </w:rPr>
      </w:pPr>
      <w:r w:rsidRPr="00543991">
        <w:rPr>
          <w:b/>
          <w:sz w:val="26"/>
          <w:szCs w:val="26"/>
          <w:lang w:val="es-PE"/>
        </w:rPr>
        <w:lastRenderedPageBreak/>
        <w:t>ANEXOS</w:t>
      </w:r>
    </w:p>
    <w:p w14:paraId="2F707EEF" w14:textId="77777777" w:rsidR="00D7753F" w:rsidRPr="00543991" w:rsidRDefault="00D7753F">
      <w:pPr>
        <w:spacing w:before="12"/>
        <w:ind w:left="0" w:hanging="2"/>
        <w:jc w:val="both"/>
        <w:rPr>
          <w:lang w:val="es-PE"/>
        </w:rPr>
      </w:pPr>
    </w:p>
    <w:p w14:paraId="09C26667" w14:textId="77777777" w:rsidR="00D7753F" w:rsidRPr="00543991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 1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Discriminación y odio</w:t>
      </w:r>
    </w:p>
    <w:p w14:paraId="01DF2D27" w14:textId="77777777" w:rsidR="00D7753F" w:rsidRPr="00543991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228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 2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Vulneraciones a la participación política Anexo 3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Violencia, género y territorio</w:t>
      </w:r>
    </w:p>
    <w:p w14:paraId="69D3D954" w14:textId="16C453EC" w:rsidR="00D7753F" w:rsidRPr="00543991" w:rsidRDefault="000B69EA" w:rsidP="000F432B">
      <w:pPr>
        <w:pBdr>
          <w:top w:val="nil"/>
          <w:left w:val="nil"/>
          <w:bottom w:val="nil"/>
          <w:right w:val="nil"/>
          <w:between w:val="nil"/>
        </w:pBdr>
        <w:tabs>
          <w:tab w:val="left" w:pos="1532"/>
          <w:tab w:val="left" w:pos="1560"/>
        </w:tabs>
        <w:spacing w:line="240" w:lineRule="auto"/>
        <w:ind w:left="1560" w:right="123" w:hangingChars="710" w:hanging="156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</w:t>
      </w:r>
      <w:r w:rsidR="000F432B">
        <w:rPr>
          <w:rFonts w:eastAsia="Calibri"/>
          <w:color w:val="000000"/>
          <w:lang w:val="es-PE"/>
        </w:rPr>
        <w:t xml:space="preserve"> 4           </w:t>
      </w:r>
      <w:r w:rsidRPr="00543991">
        <w:rPr>
          <w:rFonts w:eastAsia="Calibri"/>
          <w:color w:val="000000"/>
          <w:lang w:val="es-PE"/>
        </w:rPr>
        <w:t>:</w:t>
      </w:r>
      <w:r w:rsidRPr="00543991">
        <w:rPr>
          <w:rFonts w:eastAsia="Calibri"/>
          <w:color w:val="000000"/>
          <w:lang w:val="es-PE"/>
        </w:rPr>
        <w:tab/>
        <w:t>Defensoras de cuerpos y territorios afectadas por violencia de género en conflictos ecoterritoriales</w:t>
      </w:r>
    </w:p>
    <w:p w14:paraId="7F455324" w14:textId="77777777" w:rsidR="00D7753F" w:rsidRPr="00543991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123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 5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Ataques contra defensoras de derechos sexuales y derechos reproductivos</w:t>
      </w:r>
    </w:p>
    <w:p w14:paraId="219384F1" w14:textId="77777777" w:rsidR="00D7753F" w:rsidRPr="00543991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67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 6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AMAG: derogación de formación obligatoria en género y justicia a magistradas/os Anexo 7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Embarazo infantil forzado</w:t>
      </w:r>
    </w:p>
    <w:p w14:paraId="335FC494" w14:textId="77777777" w:rsidR="00D7753F" w:rsidRPr="00543991" w:rsidRDefault="000B69EA">
      <w:pPr>
        <w:pBdr>
          <w:top w:val="nil"/>
          <w:left w:val="nil"/>
          <w:bottom w:val="nil"/>
          <w:right w:val="nil"/>
          <w:between w:val="nil"/>
        </w:pBdr>
        <w:tabs>
          <w:tab w:val="left" w:pos="1249"/>
          <w:tab w:val="left" w:pos="1532"/>
        </w:tabs>
        <w:spacing w:line="240" w:lineRule="auto"/>
        <w:ind w:left="0" w:right="4345" w:hanging="2"/>
        <w:jc w:val="both"/>
        <w:rPr>
          <w:rFonts w:eastAsia="Calibri"/>
          <w:color w:val="000000"/>
          <w:lang w:val="es-PE"/>
        </w:rPr>
      </w:pPr>
      <w:r w:rsidRPr="00543991">
        <w:rPr>
          <w:rFonts w:eastAsia="Calibri"/>
          <w:color w:val="000000"/>
          <w:lang w:val="es-PE"/>
        </w:rPr>
        <w:t>Anexo 8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Testimonio de mujer con discapacidad Anexo 9</w:t>
      </w:r>
      <w:r w:rsidRPr="00543991">
        <w:rPr>
          <w:rFonts w:eastAsia="Calibri"/>
          <w:color w:val="000000"/>
          <w:lang w:val="es-PE"/>
        </w:rPr>
        <w:tab/>
        <w:t>:</w:t>
      </w:r>
      <w:r w:rsidRPr="00543991">
        <w:rPr>
          <w:rFonts w:eastAsia="Calibri"/>
          <w:color w:val="000000"/>
          <w:lang w:val="es-PE"/>
        </w:rPr>
        <w:tab/>
        <w:t>Violencia trans</w:t>
      </w:r>
    </w:p>
    <w:sectPr w:rsidR="00D7753F" w:rsidRPr="00543991">
      <w:footerReference w:type="default" r:id="rId16"/>
      <w:pgSz w:w="11906" w:h="16838"/>
      <w:pgMar w:top="1360" w:right="1300" w:bottom="880" w:left="1300" w:header="720" w:footer="6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E9BAC" w14:textId="77777777" w:rsidR="0064209A" w:rsidRDefault="0064209A">
      <w:pPr>
        <w:spacing w:line="240" w:lineRule="auto"/>
        <w:ind w:left="0" w:hanging="2"/>
      </w:pPr>
      <w:r>
        <w:separator/>
      </w:r>
    </w:p>
  </w:endnote>
  <w:endnote w:type="continuationSeparator" w:id="0">
    <w:p w14:paraId="0361E31C" w14:textId="77777777" w:rsidR="0064209A" w:rsidRDefault="0064209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A8D2F" w14:textId="77777777" w:rsidR="00D7753F" w:rsidRDefault="00D775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eastAsia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F2D61" w14:textId="77777777" w:rsidR="00D7753F" w:rsidRDefault="00D775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rFonts w:eastAsia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E7A2A" w14:textId="77777777" w:rsidR="00D7753F" w:rsidRDefault="00D7753F">
    <w:pPr>
      <w:spacing w:line="14" w:lineRule="auto"/>
      <w:ind w:left="0" w:hanging="2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9BA3E" w14:textId="77777777" w:rsidR="00D7753F" w:rsidRDefault="00D7753F">
    <w:pPr>
      <w:spacing w:line="14" w:lineRule="auto"/>
      <w:ind w:left="0" w:hanging="2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C1C8E" w14:textId="77777777" w:rsidR="00D7753F" w:rsidRDefault="00D7753F">
    <w:pPr>
      <w:spacing w:line="14" w:lineRule="auto"/>
      <w:ind w:left="0" w:hanging="2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FF5CB" w14:textId="77777777" w:rsidR="00D7753F" w:rsidRDefault="00D7753F">
    <w:pPr>
      <w:spacing w:line="14" w:lineRule="auto"/>
      <w:ind w:left="0" w:hanging="2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84727" w14:textId="77777777" w:rsidR="00D7753F" w:rsidRDefault="00D7753F">
    <w:pPr>
      <w:spacing w:line="14" w:lineRule="auto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19AB8" w14:textId="77777777" w:rsidR="0064209A" w:rsidRDefault="0064209A">
      <w:pPr>
        <w:spacing w:line="240" w:lineRule="auto"/>
        <w:ind w:left="0" w:hanging="2"/>
      </w:pPr>
      <w:r>
        <w:separator/>
      </w:r>
    </w:p>
  </w:footnote>
  <w:footnote w:type="continuationSeparator" w:id="0">
    <w:p w14:paraId="396A6949" w14:textId="77777777" w:rsidR="0064209A" w:rsidRDefault="0064209A">
      <w:pPr>
        <w:spacing w:line="240" w:lineRule="auto"/>
        <w:ind w:left="0" w:hanging="2"/>
      </w:pPr>
      <w:r>
        <w:continuationSeparator/>
      </w:r>
    </w:p>
  </w:footnote>
  <w:footnote w:id="1">
    <w:p w14:paraId="0A44F468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INEI (2018). </w:t>
      </w:r>
      <w:r w:rsidRPr="00543991">
        <w:rPr>
          <w:i/>
          <w:sz w:val="18"/>
          <w:szCs w:val="18"/>
          <w:lang w:val="es-PE"/>
        </w:rPr>
        <w:t>Primera     encuesta    virtual     para     personas LGBTI, 2017. Principales resultados.</w:t>
      </w:r>
    </w:p>
  </w:footnote>
  <w:footnote w:id="2">
    <w:p w14:paraId="1260E11F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Tribunal Constitucional (8 de julio de 2015). Sentencia TC. Exp. 00022-2011-PI/TC.</w:t>
      </w:r>
    </w:p>
  </w:footnote>
  <w:footnote w:id="3">
    <w:p w14:paraId="29A9239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CIDH (5 de mayo de 2014). Resolución 9/2014, Líderes y lideresas de comunidades y rondas campesinas de Cajamarca respecto a la República de Perú.  Medida Cautelar 452-11.  </w:t>
      </w:r>
    </w:p>
  </w:footnote>
  <w:footnote w:id="4">
    <w:p w14:paraId="58C78D68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Decreto Supremo N° 002-2018-JUS.      </w:t>
      </w:r>
    </w:p>
  </w:footnote>
  <w:footnote w:id="5">
    <w:p w14:paraId="7A88AD0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Resolución Ministerial N° 0159-2019-JUS.  </w:t>
      </w:r>
    </w:p>
  </w:footnote>
  <w:footnote w:id="6">
    <w:p w14:paraId="686345CD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Paucar Albino, J. (15 de octubre de 2017). Miraflores: mujer trans es amenazada de muerte y la Policía no acepta su denuncia.</w:t>
      </w:r>
    </w:p>
  </w:footnote>
  <w:footnote w:id="7">
    <w:p w14:paraId="4379BC56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Decreto Legislativo N° 1386</w:t>
      </w:r>
    </w:p>
  </w:footnote>
  <w:footnote w:id="8">
    <w:p w14:paraId="303B1A8A" w14:textId="77777777" w:rsidR="00D7753F" w:rsidRPr="00543991" w:rsidRDefault="000B69E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40"/>
        </w:tabs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INEI (2016). </w:t>
      </w:r>
      <w:r w:rsidRPr="00543991">
        <w:rPr>
          <w:i/>
          <w:sz w:val="18"/>
          <w:szCs w:val="18"/>
          <w:lang w:val="es-PE"/>
        </w:rPr>
        <w:t>Encuesta Nacional sobre Relaciones Sociales ENARES 2015</w:t>
      </w:r>
      <w:r w:rsidRPr="00543991">
        <w:rPr>
          <w:sz w:val="18"/>
          <w:szCs w:val="18"/>
          <w:lang w:val="es-PE"/>
        </w:rPr>
        <w:t xml:space="preserve">. </w:t>
      </w:r>
      <w:r w:rsidRPr="00543991">
        <w:rPr>
          <w:sz w:val="18"/>
          <w:szCs w:val="18"/>
          <w:lang w:val="es-PE"/>
        </w:rPr>
        <w:tab/>
      </w:r>
    </w:p>
  </w:footnote>
  <w:footnote w:id="9">
    <w:p w14:paraId="6675FE2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sz w:val="18"/>
          <w:szCs w:val="18"/>
          <w:lang w:val="es-PE"/>
        </w:rPr>
        <w:t>Academia de la Magistratura (2014). Resolución Administrativa del Pleno del Consejo Directivo 03 -2014-AMAG-CD.</w:t>
      </w:r>
    </w:p>
  </w:footnote>
  <w:footnote w:id="10">
    <w:p w14:paraId="57A48FE3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Protocolo de atención y orientación legal con enfoque de interculturalidad dirigido a funcionarios del Sistema Estatal de Justicia; Protocolo de Coordinación entre Sistemas de Justicia y Protocolo de Actuación en Procesos Judiciales que Involucren a Comuneros y Ronderos.</w:t>
      </w:r>
    </w:p>
  </w:footnote>
  <w:footnote w:id="11">
    <w:p w14:paraId="5F30D041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Sentencia de </w:t>
      </w:r>
      <w:r w:rsidRPr="00543991">
        <w:rPr>
          <w:i/>
          <w:sz w:val="18"/>
          <w:szCs w:val="18"/>
          <w:lang w:val="es-PE"/>
        </w:rPr>
        <w:t xml:space="preserve">hábeas corpus </w:t>
      </w:r>
      <w:r w:rsidRPr="00543991">
        <w:rPr>
          <w:sz w:val="18"/>
          <w:szCs w:val="18"/>
          <w:lang w:val="es-PE"/>
        </w:rPr>
        <w:t>interpuesto por dos integrantes de la comunidad Nativa de Tres Islas. 03 de marzo de 2016.</w:t>
      </w:r>
    </w:p>
  </w:footnote>
  <w:footnote w:id="12">
    <w:p w14:paraId="6EB230D1" w14:textId="77777777" w:rsidR="00D7753F" w:rsidRPr="00543991" w:rsidRDefault="000B69EA">
      <w:pPr>
        <w:ind w:left="0" w:hanging="2"/>
        <w:rPr>
          <w:sz w:val="18"/>
          <w:szCs w:val="18"/>
          <w:lang w:val="es-PE"/>
        </w:rPr>
      </w:pPr>
      <w:r>
        <w:rPr>
          <w:vertAlign w:val="superscript"/>
        </w:rPr>
        <w:footnoteRef/>
      </w:r>
      <w:r w:rsidRPr="00543991">
        <w:rPr>
          <w:sz w:val="18"/>
          <w:szCs w:val="18"/>
          <w:lang w:val="es-PE"/>
        </w:rPr>
        <w:t xml:space="preserve"> ENDES, 2017</w:t>
      </w:r>
    </w:p>
  </w:footnote>
  <w:footnote w:id="13">
    <w:p w14:paraId="4507AEA6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Ministerio Público (2018).  </w:t>
      </w:r>
      <w:r w:rsidRPr="00543991">
        <w:rPr>
          <w:i/>
          <w:sz w:val="18"/>
          <w:szCs w:val="18"/>
          <w:lang w:val="es-PE"/>
        </w:rPr>
        <w:t>Feminicidio en el Perú. Enero 2009–Junio 2018</w:t>
      </w:r>
      <w:r w:rsidRPr="00543991">
        <w:rPr>
          <w:sz w:val="18"/>
          <w:szCs w:val="18"/>
          <w:lang w:val="es-PE"/>
        </w:rPr>
        <w:t xml:space="preserve">. </w:t>
      </w:r>
    </w:p>
    <w:p w14:paraId="52C3DF5C" w14:textId="77777777" w:rsidR="00D7753F" w:rsidRPr="00543991" w:rsidRDefault="00D7753F">
      <w:pPr>
        <w:spacing w:before="7"/>
        <w:ind w:left="0" w:hanging="2"/>
        <w:jc w:val="both"/>
        <w:rPr>
          <w:lang w:val="es-PE"/>
        </w:rPr>
      </w:pPr>
    </w:p>
    <w:p w14:paraId="3F5CAA15" w14:textId="77777777" w:rsidR="00D7753F" w:rsidRPr="00543991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Calibri"/>
          <w:color w:val="000000"/>
          <w:sz w:val="20"/>
          <w:szCs w:val="20"/>
          <w:lang w:val="es-PE"/>
        </w:rPr>
      </w:pPr>
    </w:p>
  </w:footnote>
  <w:footnote w:id="14">
    <w:p w14:paraId="60F5C36A" w14:textId="77777777" w:rsidR="00D7753F" w:rsidRPr="00543991" w:rsidRDefault="000B69EA" w:rsidP="00837F91">
      <w:pPr>
        <w:ind w:left="0" w:hanging="2"/>
        <w:jc w:val="both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Información remitida al Grupo de Seguimiento a las Reparaciones Integrales por Esterilizaciones Forzadas (GREF) por la Dirección de Defensa Pública del Ministerio de Justicia y Derechos Humanos, en el III Encuentro Nacional de Mujeres Afectadas por Esterilizaciones Forzadas, 19 de febrero de 2019.</w:t>
      </w:r>
    </w:p>
  </w:footnote>
  <w:footnote w:id="15">
    <w:p w14:paraId="4F56A6E7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Gil Cipirán, F. (2017). Situación epidemiológica. Mortalidad materna en el Perú. </w:t>
      </w:r>
      <w:r w:rsidRPr="00543991">
        <w:rPr>
          <w:i/>
          <w:sz w:val="18"/>
          <w:szCs w:val="18"/>
          <w:lang w:val="es-PE"/>
        </w:rPr>
        <w:t>Boletín Epidemiológico del Perú, 26</w:t>
      </w:r>
      <w:r w:rsidRPr="00543991">
        <w:rPr>
          <w:sz w:val="18"/>
          <w:szCs w:val="18"/>
          <w:lang w:val="es-PE"/>
        </w:rPr>
        <w:t>(SE 52), Semana epidemiológica.</w:t>
      </w:r>
    </w:p>
  </w:footnote>
  <w:footnote w:id="16">
    <w:p w14:paraId="4A4DCD40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OGEI-MINSA.  Sistema de Egresos Hospitalarios.</w:t>
      </w:r>
    </w:p>
  </w:footnote>
  <w:footnote w:id="17">
    <w:p w14:paraId="01246944" w14:textId="2F31840E" w:rsidR="00D7753F" w:rsidRPr="00543991" w:rsidRDefault="000B69EA" w:rsidP="00837F91">
      <w:pPr>
        <w:ind w:left="0" w:hanging="2"/>
        <w:rPr>
          <w:rFonts w:eastAsia="Calibri"/>
          <w:color w:val="000000"/>
          <w:sz w:val="20"/>
          <w:szCs w:val="20"/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Promsex (15 de octubre de 2018). Carta 404-2018. Ref. Informe Alternativo sobre el séptimo informe periódico presentado por el Estado Peruano [a la 65asesión del Comité Contra la Tortura], párr.35.</w:t>
      </w:r>
    </w:p>
  </w:footnote>
  <w:footnote w:id="18">
    <w:p w14:paraId="6CE6FCA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Católicas por el derecho a decidir (2018). </w:t>
      </w:r>
      <w:r w:rsidRPr="00543991">
        <w:rPr>
          <w:i/>
          <w:sz w:val="18"/>
          <w:szCs w:val="18"/>
          <w:lang w:val="es-PE"/>
        </w:rPr>
        <w:t>Monitoreo social a los compromisos asumidos por el Estado peruano en el Consenso de Montevideo. Laicidad y salud sexual y reproductiva</w:t>
      </w:r>
      <w:r w:rsidRPr="00543991">
        <w:rPr>
          <w:i/>
          <w:sz w:val="18"/>
          <w:szCs w:val="18"/>
          <w:lang w:val="es-PE"/>
        </w:rPr>
        <w:tab/>
        <w:t>.</w:t>
      </w:r>
    </w:p>
  </w:footnote>
  <w:footnote w:id="19">
    <w:p w14:paraId="7477F0F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CLADEM.  Diálogo ciudadano con autoridades para presentar medidas de prevención y atención del Embarazo Infantil Forzado.   Lima, 11 de abril de 2019.</w:t>
      </w:r>
    </w:p>
  </w:footnote>
  <w:footnote w:id="20">
    <w:p w14:paraId="3864AFDD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Comité contra la Tortura (29 de noviembre 2018).  </w:t>
      </w:r>
      <w:r w:rsidRPr="00543991">
        <w:rPr>
          <w:i/>
          <w:sz w:val="18"/>
          <w:szCs w:val="18"/>
          <w:lang w:val="es-PE"/>
        </w:rPr>
        <w:t>Observaciones finales sobre el séptimo informe periódico del Perú.  CAT/C/PER/CO/R.7</w:t>
      </w:r>
      <w:r w:rsidRPr="00543991">
        <w:rPr>
          <w:sz w:val="18"/>
          <w:szCs w:val="18"/>
          <w:lang w:val="es-PE"/>
        </w:rPr>
        <w:t>, párr.</w:t>
      </w:r>
    </w:p>
  </w:footnote>
  <w:footnote w:id="21">
    <w:p w14:paraId="09BB93AB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Comité para la Eliminación de la Discriminación contra la Mujer (24 de julio de 2014). </w:t>
      </w:r>
      <w:r w:rsidRPr="00543991">
        <w:rPr>
          <w:i/>
          <w:sz w:val="18"/>
          <w:szCs w:val="18"/>
          <w:lang w:val="es-PE"/>
        </w:rPr>
        <w:t>Observaciones finales sobre los informes periódicos sétimo y octavo combinados del Perú</w:t>
      </w:r>
      <w:r w:rsidRPr="00543991">
        <w:rPr>
          <w:sz w:val="18"/>
          <w:szCs w:val="18"/>
          <w:lang w:val="es-PE"/>
        </w:rPr>
        <w:t xml:space="preserve">. </w:t>
      </w:r>
      <w:r w:rsidRPr="00543991">
        <w:rPr>
          <w:i/>
          <w:sz w:val="18"/>
          <w:szCs w:val="18"/>
          <w:lang w:val="es-PE"/>
        </w:rPr>
        <w:t>CEDAW/C/PER/CO/7-8</w:t>
      </w:r>
      <w:r w:rsidRPr="00543991">
        <w:rPr>
          <w:sz w:val="18"/>
          <w:szCs w:val="18"/>
          <w:lang w:val="es-PE"/>
        </w:rPr>
        <w:t xml:space="preserve">, párrafo 3.     </w:t>
      </w:r>
    </w:p>
  </w:footnote>
  <w:footnote w:id="22">
    <w:p w14:paraId="7C1CCD8D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Comité de los Derechos del Niño (2 de marzo de 2016). </w:t>
      </w:r>
      <w:r w:rsidRPr="00543991">
        <w:rPr>
          <w:i/>
          <w:sz w:val="18"/>
          <w:szCs w:val="18"/>
          <w:lang w:val="es-PE"/>
        </w:rPr>
        <w:t>Observaciones finales sobre los informes periódicos cuarto y quinto combinados del Perú</w:t>
      </w:r>
      <w:r w:rsidRPr="00543991">
        <w:rPr>
          <w:sz w:val="18"/>
          <w:szCs w:val="18"/>
          <w:lang w:val="es-PE"/>
        </w:rPr>
        <w:t xml:space="preserve">. </w:t>
      </w:r>
      <w:r w:rsidRPr="00543991">
        <w:rPr>
          <w:i/>
          <w:sz w:val="18"/>
          <w:szCs w:val="18"/>
          <w:lang w:val="es-PE"/>
        </w:rPr>
        <w:t>CRC/C/PER/CO/4-5</w:t>
      </w:r>
      <w:r w:rsidRPr="00543991">
        <w:rPr>
          <w:sz w:val="18"/>
          <w:szCs w:val="18"/>
          <w:lang w:val="es-PE"/>
        </w:rPr>
        <w:t>, párrafo 56.b</w:t>
      </w:r>
    </w:p>
  </w:footnote>
  <w:footnote w:id="23">
    <w:p w14:paraId="78069088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INEI (2018). </w:t>
      </w:r>
      <w:r w:rsidRPr="00543991">
        <w:rPr>
          <w:i/>
          <w:sz w:val="18"/>
          <w:szCs w:val="18"/>
          <w:lang w:val="es-PE"/>
        </w:rPr>
        <w:t>Perú. Perfil sociodemográfico. Informe nacional. Censos Nacionales 2017. XII de Población, VII de Vivienda y III de Comunidades Indígenas.</w:t>
      </w:r>
      <w:r w:rsidRPr="00543991">
        <w:rPr>
          <w:sz w:val="18"/>
          <w:szCs w:val="18"/>
          <w:lang w:val="es-PE"/>
        </w:rPr>
        <w:t xml:space="preserve">  </w:t>
      </w:r>
    </w:p>
  </w:footnote>
  <w:footnote w:id="24">
    <w:p w14:paraId="2EE3AA6B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Ministerio de Cultura (2018). </w:t>
      </w:r>
      <w:r w:rsidRPr="00543991">
        <w:rPr>
          <w:i/>
          <w:sz w:val="18"/>
          <w:szCs w:val="18"/>
          <w:lang w:val="es-PE"/>
        </w:rPr>
        <w:t>I Encuesta Nacional. Percepciones y actitudes sobre Diversidad Cultural y Discriminación Étnico racial. Principales resultados</w:t>
      </w:r>
      <w:r w:rsidRPr="00543991">
        <w:rPr>
          <w:sz w:val="18"/>
          <w:szCs w:val="18"/>
          <w:lang w:val="es-PE"/>
        </w:rPr>
        <w:t>. Lima: Autor.</w:t>
      </w:r>
    </w:p>
  </w:footnote>
  <w:footnote w:id="25">
    <w:p w14:paraId="6F0D8BD5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Comité para Eliminación de la Discriminación Racial (23 de mayo de 2018).  </w:t>
      </w:r>
      <w:r w:rsidRPr="00543991">
        <w:rPr>
          <w:i/>
          <w:sz w:val="18"/>
          <w:szCs w:val="18"/>
          <w:lang w:val="es-PE"/>
        </w:rPr>
        <w:t>Op. cit.</w:t>
      </w:r>
      <w:r w:rsidRPr="00543991">
        <w:rPr>
          <w:sz w:val="18"/>
          <w:szCs w:val="18"/>
          <w:lang w:val="es-PE"/>
        </w:rPr>
        <w:t>, párr. 15.</w:t>
      </w:r>
    </w:p>
  </w:footnote>
  <w:footnote w:id="26">
    <w:p w14:paraId="75BA56B9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>Resolución Ministerial 427-2010-MIMDES, que modifica la Resolución Ministerial 294-2001- PROMUDEH</w:t>
      </w:r>
    </w:p>
  </w:footnote>
  <w:footnote w:id="27">
    <w:p w14:paraId="089DEA3A" w14:textId="7777777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Observatorio Nacional de la Violencia contra las Mujeres y los Integrantes del Grupo Familiar (20 de mayo de 2018). Mujeres, discapacidad y violencia. Recuperado de </w:t>
      </w:r>
      <w:hyperlink r:id="rId1">
        <w:r w:rsidRPr="00543991">
          <w:rPr>
            <w:color w:val="000080"/>
            <w:sz w:val="18"/>
            <w:szCs w:val="18"/>
            <w:u w:val="single"/>
            <w:lang w:val="es-PE"/>
          </w:rPr>
          <w:t>https://observatorioviolencia.pe/discapacidad-mujeres/</w:t>
        </w:r>
      </w:hyperlink>
    </w:p>
  </w:footnote>
  <w:footnote w:id="28">
    <w:p w14:paraId="2D2F5FA7" w14:textId="26B38267" w:rsidR="00D7753F" w:rsidRPr="00543991" w:rsidRDefault="000B69EA">
      <w:pPr>
        <w:ind w:left="0" w:hanging="2"/>
        <w:rPr>
          <w:lang w:val="es-PE"/>
        </w:rPr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Comunicadora Género y Discapacidad (29 de enero de 2019). </w:t>
      </w:r>
      <w:r w:rsidR="000F432B">
        <w:rPr>
          <w:i/>
          <w:sz w:val="18"/>
          <w:szCs w:val="18"/>
          <w:lang w:val="es-PE"/>
        </w:rPr>
        <w:t>J.</w:t>
      </w:r>
      <w:r w:rsidRPr="00543991">
        <w:rPr>
          <w:i/>
          <w:sz w:val="18"/>
          <w:szCs w:val="18"/>
          <w:lang w:val="es-PE"/>
        </w:rPr>
        <w:t xml:space="preserve"> testimonio </w:t>
      </w:r>
      <w:r w:rsidRPr="00543991">
        <w:rPr>
          <w:sz w:val="18"/>
          <w:szCs w:val="18"/>
          <w:lang w:val="es-PE"/>
        </w:rPr>
        <w:t>(archivo de video).</w:t>
      </w:r>
    </w:p>
  </w:footnote>
  <w:footnote w:id="29">
    <w:p w14:paraId="0D75666F" w14:textId="77777777" w:rsidR="00D7753F" w:rsidRDefault="000B69EA">
      <w:pPr>
        <w:ind w:left="0" w:hanging="2"/>
      </w:pPr>
      <w:r>
        <w:rPr>
          <w:vertAlign w:val="superscript"/>
        </w:rPr>
        <w:footnoteRef/>
      </w:r>
      <w:r w:rsidRPr="00543991">
        <w:rPr>
          <w:lang w:val="es-PE"/>
        </w:rPr>
        <w:t xml:space="preserve"> </w:t>
      </w:r>
      <w:r w:rsidRPr="00543991">
        <w:rPr>
          <w:sz w:val="18"/>
          <w:szCs w:val="18"/>
          <w:lang w:val="es-PE"/>
        </w:rPr>
        <w:t xml:space="preserve">MINEDU (2015). La deserción escolar en las adolescentes embarazadas del Perú. </w:t>
      </w:r>
      <w:r>
        <w:rPr>
          <w:i/>
          <w:sz w:val="18"/>
          <w:szCs w:val="18"/>
        </w:rPr>
        <w:t>EDUCATOS</w:t>
      </w:r>
      <w:r>
        <w:rPr>
          <w:sz w:val="18"/>
          <w:szCs w:val="18"/>
        </w:rPr>
        <w:t>, 20:</w:t>
      </w:r>
    </w:p>
  </w:footnote>
  <w:footnote w:id="30">
    <w:p w14:paraId="6BE75EDA" w14:textId="77777777" w:rsidR="00D7753F" w:rsidRDefault="000B69EA">
      <w:pPr>
        <w:ind w:left="0" w:hanging="2"/>
      </w:pPr>
      <w:r>
        <w:rPr>
          <w:vertAlign w:val="superscript"/>
        </w:rPr>
        <w:footnoteRef/>
      </w:r>
      <w:r>
        <w:t xml:space="preserve"> </w:t>
      </w:r>
      <w:r>
        <w:rPr>
          <w:sz w:val="18"/>
          <w:szCs w:val="18"/>
        </w:rPr>
        <w:t>MINSA (7 noviembre 2013). Decreto Supremo 012-2013-SA.</w:t>
      </w:r>
    </w:p>
    <w:p w14:paraId="262EC9AF" w14:textId="77777777" w:rsidR="00D7753F" w:rsidRDefault="00D775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Calibri"/>
          <w:color w:val="000000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852"/>
    <w:multiLevelType w:val="multilevel"/>
    <w:tmpl w:val="633086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35034D"/>
    <w:multiLevelType w:val="multilevel"/>
    <w:tmpl w:val="AFD2B2AC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AF3390D"/>
    <w:multiLevelType w:val="multilevel"/>
    <w:tmpl w:val="E4424F3C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CBA7881"/>
    <w:multiLevelType w:val="multilevel"/>
    <w:tmpl w:val="806875D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DBD367C"/>
    <w:multiLevelType w:val="multilevel"/>
    <w:tmpl w:val="ECB453A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2B314E8"/>
    <w:multiLevelType w:val="multilevel"/>
    <w:tmpl w:val="6FF68A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75A1511"/>
    <w:multiLevelType w:val="multilevel"/>
    <w:tmpl w:val="D9007F04"/>
    <w:lvl w:ilvl="0">
      <w:start w:val="3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7" w15:restartNumberingAfterBreak="0">
    <w:nsid w:val="17682AB1"/>
    <w:multiLevelType w:val="multilevel"/>
    <w:tmpl w:val="EFCAA0FE"/>
    <w:lvl w:ilvl="0">
      <w:start w:val="4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8" w15:restartNumberingAfterBreak="0">
    <w:nsid w:val="18064F9B"/>
    <w:multiLevelType w:val="multilevel"/>
    <w:tmpl w:val="648A8CB2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182A3ADB"/>
    <w:multiLevelType w:val="multilevel"/>
    <w:tmpl w:val="3A7C0642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10" w15:restartNumberingAfterBreak="0">
    <w:nsid w:val="19440335"/>
    <w:multiLevelType w:val="multilevel"/>
    <w:tmpl w:val="9468D974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1B025D60"/>
    <w:multiLevelType w:val="multilevel"/>
    <w:tmpl w:val="F264AF72"/>
    <w:lvl w:ilvl="0">
      <w:start w:val="5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12" w15:restartNumberingAfterBreak="0">
    <w:nsid w:val="1C192CFE"/>
    <w:multiLevelType w:val="multilevel"/>
    <w:tmpl w:val="6BAADC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1C9D5A30"/>
    <w:multiLevelType w:val="multilevel"/>
    <w:tmpl w:val="5E40267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D4A63D6"/>
    <w:multiLevelType w:val="multilevel"/>
    <w:tmpl w:val="B28C4906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1F453FAD"/>
    <w:multiLevelType w:val="multilevel"/>
    <w:tmpl w:val="0D8286A6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230B1F8B"/>
    <w:multiLevelType w:val="multilevel"/>
    <w:tmpl w:val="A63E4070"/>
    <w:lvl w:ilvl="0">
      <w:start w:val="1"/>
      <w:numFmt w:val="decimal"/>
      <w:pStyle w:val="Heading1"/>
      <w:lvlText w:val="%1."/>
      <w:lvlJc w:val="left"/>
      <w:pPr>
        <w:ind w:left="2554" w:hanging="428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2"/>
      <w:lvlJc w:val="left"/>
      <w:pPr>
        <w:ind w:left="544" w:hanging="428"/>
      </w:pPr>
      <w:rPr>
        <w:b/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683" w:hanging="284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3">
      <w:start w:val="1"/>
      <w:numFmt w:val="bullet"/>
      <w:lvlText w:val="●"/>
      <w:lvlJc w:val="left"/>
      <w:pPr>
        <w:ind w:left="1758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2837" w:hanging="284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3915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94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073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151" w:hanging="284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23FF39CA"/>
    <w:multiLevelType w:val="multilevel"/>
    <w:tmpl w:val="5F084FF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24352B40"/>
    <w:multiLevelType w:val="multilevel"/>
    <w:tmpl w:val="DB54C302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26012CD2"/>
    <w:multiLevelType w:val="multilevel"/>
    <w:tmpl w:val="71DC7A3A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283532B1"/>
    <w:multiLevelType w:val="multilevel"/>
    <w:tmpl w:val="E0D02F3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31097181"/>
    <w:multiLevelType w:val="multilevel"/>
    <w:tmpl w:val="64C65700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4A31E46"/>
    <w:multiLevelType w:val="multilevel"/>
    <w:tmpl w:val="187EE44C"/>
    <w:lvl w:ilvl="0">
      <w:start w:val="1"/>
      <w:numFmt w:val="bullet"/>
      <w:lvlText w:val="➢"/>
      <w:lvlJc w:val="left"/>
      <w:pPr>
        <w:ind w:left="399" w:hanging="284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○"/>
      <w:lvlJc w:val="left"/>
      <w:pPr>
        <w:ind w:left="683" w:hanging="284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2">
      <w:start w:val="1"/>
      <w:numFmt w:val="bullet"/>
      <w:lvlText w:val="■"/>
      <w:lvlJc w:val="left"/>
      <w:pPr>
        <w:ind w:left="1638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7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○"/>
      <w:lvlJc w:val="left"/>
      <w:pPr>
        <w:ind w:left="3556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■"/>
      <w:lvlJc w:val="left"/>
      <w:pPr>
        <w:ind w:left="4515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73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○"/>
      <w:lvlJc w:val="left"/>
      <w:pPr>
        <w:ind w:left="6432" w:hanging="283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■"/>
      <w:lvlJc w:val="left"/>
      <w:pPr>
        <w:ind w:left="7391" w:hanging="284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37FD3453"/>
    <w:multiLevelType w:val="multilevel"/>
    <w:tmpl w:val="2D2EAD3C"/>
    <w:lvl w:ilvl="0">
      <w:start w:val="1"/>
      <w:numFmt w:val="decimal"/>
      <w:lvlText w:val="%1."/>
      <w:lvlJc w:val="left"/>
      <w:pPr>
        <w:ind w:left="399" w:hanging="284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ind w:left="827" w:hanging="427"/>
      </w:pPr>
      <w:rPr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1400" w:hanging="428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388" w:hanging="428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377" w:hanging="428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365" w:hanging="428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54" w:hanging="428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343" w:hanging="428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331" w:hanging="427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4" w15:restartNumberingAfterBreak="0">
    <w:nsid w:val="3B7E180E"/>
    <w:multiLevelType w:val="multilevel"/>
    <w:tmpl w:val="F626CB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3AB2C27"/>
    <w:multiLevelType w:val="multilevel"/>
    <w:tmpl w:val="33A6E848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44E429DE"/>
    <w:multiLevelType w:val="multilevel"/>
    <w:tmpl w:val="A6245B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5AC1685"/>
    <w:multiLevelType w:val="multilevel"/>
    <w:tmpl w:val="5BE6E3A2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49F7492A"/>
    <w:multiLevelType w:val="multilevel"/>
    <w:tmpl w:val="4E50D76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4C7E46D3"/>
    <w:multiLevelType w:val="multilevel"/>
    <w:tmpl w:val="B1FC8F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D91607D"/>
    <w:multiLevelType w:val="multilevel"/>
    <w:tmpl w:val="D5F6DD78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E3D0941"/>
    <w:multiLevelType w:val="multilevel"/>
    <w:tmpl w:val="787484EE"/>
    <w:lvl w:ilvl="0">
      <w:start w:val="497353304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497351624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497351680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497351904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497351960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497352016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497352072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497352408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497352240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68427919"/>
    <w:multiLevelType w:val="multilevel"/>
    <w:tmpl w:val="287ED538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6D1752A0"/>
    <w:multiLevelType w:val="multilevel"/>
    <w:tmpl w:val="3196D42A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4" w15:restartNumberingAfterBreak="0">
    <w:nsid w:val="6E800624"/>
    <w:multiLevelType w:val="multilevel"/>
    <w:tmpl w:val="80BC52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EC00918"/>
    <w:multiLevelType w:val="multilevel"/>
    <w:tmpl w:val="0E8EB210"/>
    <w:lvl w:ilvl="0">
      <w:start w:val="6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36" w15:restartNumberingAfterBreak="0">
    <w:nsid w:val="6EFD2D71"/>
    <w:multiLevelType w:val="multilevel"/>
    <w:tmpl w:val="0BCE1E50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C61580C"/>
    <w:multiLevelType w:val="multilevel"/>
    <w:tmpl w:val="304C439C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E9D304C"/>
    <w:multiLevelType w:val="multilevel"/>
    <w:tmpl w:val="1368E484"/>
    <w:lvl w:ilvl="0">
      <w:start w:val="1"/>
      <w:numFmt w:val="bullet"/>
      <w:lvlText w:val="●"/>
      <w:lvlJc w:val="left"/>
      <w:pPr>
        <w:ind w:left="399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290" w:hanging="284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2181" w:hanging="284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72" w:hanging="284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963" w:hanging="283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854" w:hanging="284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5" w:hanging="284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636" w:hanging="284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527" w:hanging="283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6"/>
  </w:num>
  <w:num w:numId="2">
    <w:abstractNumId w:val="26"/>
  </w:num>
  <w:num w:numId="3">
    <w:abstractNumId w:val="23"/>
  </w:num>
  <w:num w:numId="4">
    <w:abstractNumId w:val="21"/>
  </w:num>
  <w:num w:numId="5">
    <w:abstractNumId w:val="7"/>
  </w:num>
  <w:num w:numId="6">
    <w:abstractNumId w:val="31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4"/>
  </w:num>
  <w:num w:numId="12">
    <w:abstractNumId w:val="35"/>
  </w:num>
  <w:num w:numId="13">
    <w:abstractNumId w:val="29"/>
  </w:num>
  <w:num w:numId="14">
    <w:abstractNumId w:val="33"/>
  </w:num>
  <w:num w:numId="15">
    <w:abstractNumId w:val="1"/>
  </w:num>
  <w:num w:numId="16">
    <w:abstractNumId w:val="0"/>
  </w:num>
  <w:num w:numId="17">
    <w:abstractNumId w:val="9"/>
  </w:num>
  <w:num w:numId="18">
    <w:abstractNumId w:val="22"/>
  </w:num>
  <w:num w:numId="19">
    <w:abstractNumId w:val="38"/>
  </w:num>
  <w:num w:numId="20">
    <w:abstractNumId w:val="3"/>
  </w:num>
  <w:num w:numId="21">
    <w:abstractNumId w:val="12"/>
  </w:num>
  <w:num w:numId="22">
    <w:abstractNumId w:val="27"/>
  </w:num>
  <w:num w:numId="23">
    <w:abstractNumId w:val="20"/>
  </w:num>
  <w:num w:numId="24">
    <w:abstractNumId w:val="37"/>
  </w:num>
  <w:num w:numId="25">
    <w:abstractNumId w:val="19"/>
  </w:num>
  <w:num w:numId="26">
    <w:abstractNumId w:val="25"/>
  </w:num>
  <w:num w:numId="27">
    <w:abstractNumId w:val="30"/>
  </w:num>
  <w:num w:numId="28">
    <w:abstractNumId w:val="32"/>
  </w:num>
  <w:num w:numId="29">
    <w:abstractNumId w:val="18"/>
  </w:num>
  <w:num w:numId="30">
    <w:abstractNumId w:val="34"/>
  </w:num>
  <w:num w:numId="31">
    <w:abstractNumId w:val="13"/>
  </w:num>
  <w:num w:numId="32">
    <w:abstractNumId w:val="28"/>
  </w:num>
  <w:num w:numId="33">
    <w:abstractNumId w:val="24"/>
  </w:num>
  <w:num w:numId="34">
    <w:abstractNumId w:val="4"/>
  </w:num>
  <w:num w:numId="35">
    <w:abstractNumId w:val="17"/>
  </w:num>
  <w:num w:numId="36">
    <w:abstractNumId w:val="36"/>
  </w:num>
  <w:num w:numId="37">
    <w:abstractNumId w:val="15"/>
  </w:num>
  <w:num w:numId="38">
    <w:abstractNumId w:val="8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3F"/>
    <w:rsid w:val="000B69EA"/>
    <w:rsid w:val="000F432B"/>
    <w:rsid w:val="001B64CA"/>
    <w:rsid w:val="00543991"/>
    <w:rsid w:val="0064209A"/>
    <w:rsid w:val="007144C4"/>
    <w:rsid w:val="00837F91"/>
    <w:rsid w:val="00944C62"/>
    <w:rsid w:val="00C16F22"/>
    <w:rsid w:val="00D7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CBDDC"/>
  <w15:docId w15:val="{1BC67F66-2D12-4DC8-AEF8-3B24D89B5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Arial Unicode MS"/>
      <w:position w:val="-1"/>
      <w:lang w:val="en-US" w:eastAsia="ar-SA"/>
    </w:rPr>
  </w:style>
  <w:style w:type="paragraph" w:styleId="Heading1">
    <w:name w:val="heading 1"/>
    <w:basedOn w:val="Normal"/>
    <w:next w:val="BodyText"/>
    <w:uiPriority w:val="9"/>
    <w:qFormat/>
    <w:pPr>
      <w:numPr>
        <w:numId w:val="1"/>
      </w:numPr>
      <w:ind w:left="544" w:firstLine="0"/>
    </w:pPr>
    <w:rPr>
      <w:rFonts w:eastAsia="Calibri"/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notapieCar">
    <w:name w:val="Texto nota pie C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EncabezadoCar">
    <w:name w:val="Encabezado C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PiedepginaCar">
    <w:name w:val="Pie de página C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2">
    <w:name w:val="ListLabel 2"/>
    <w:rPr>
      <w:i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3">
    <w:name w:val="ListLabel 3"/>
    <w:rPr>
      <w:i/>
      <w:spacing w:val="-4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4">
    <w:name w:val="ListLabel 4"/>
    <w:rPr>
      <w:i/>
      <w:spacing w:val="1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5">
    <w:name w:val="ListLabel 5"/>
    <w:rPr>
      <w:i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6">
    <w:name w:val="ListLabel 6"/>
    <w:rPr>
      <w:b/>
      <w:bCs/>
      <w:spacing w:val="-2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99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ListLabel9">
    <w:name w:val="ListLabel 9"/>
    <w:rPr>
      <w:spacing w:val="-2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sz w:val="10"/>
      <w:effect w:val="none"/>
      <w:vertAlign w:val="baseline"/>
      <w:cs w:val="0"/>
      <w:em w:val="none"/>
    </w:rPr>
  </w:style>
  <w:style w:type="character" w:customStyle="1" w:styleId="ListLabel11">
    <w:name w:val="ListLabel 1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b/>
      <w:w w:val="100"/>
      <w:position w:val="-1"/>
      <w:sz w:val="22"/>
      <w:effect w:val="none"/>
      <w:vertAlign w:val="baseline"/>
      <w:cs w:val="0"/>
      <w:em w:val="none"/>
    </w:rPr>
  </w:style>
  <w:style w:type="character" w:styleId="Hyperlink">
    <w:name w:val="Hyperlink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aracteresdenotaalpie">
    <w:name w:val="Caracteres de nota al pie"/>
    <w:rPr>
      <w:w w:val="100"/>
      <w:position w:val="-1"/>
      <w:effect w:val="none"/>
      <w:vertAlign w:val="baseline"/>
      <w:cs w:val="0"/>
      <w:em w:val="none"/>
    </w:rPr>
  </w:style>
  <w:style w:type="character" w:styleId="EndnoteReference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cteresdenotafinal">
    <w:name w:val="Caracteres de nota final"/>
    <w:rPr>
      <w:w w:val="100"/>
      <w:position w:val="-1"/>
      <w:effect w:val="none"/>
      <w:vertAlign w:val="baseline"/>
      <w:cs w:val="0"/>
      <w:em w:val="none"/>
    </w:rPr>
  </w:style>
  <w:style w:type="paragraph" w:customStyle="1" w:styleId="Encabezado1">
    <w:name w:val="Encabezado1"/>
    <w:basedOn w:val="Normal"/>
    <w:next w:val="BodyText"/>
    <w:pPr>
      <w:keepNext/>
      <w:spacing w:before="240" w:after="120"/>
    </w:pPr>
    <w:rPr>
      <w:rFonts w:ascii="Arial" w:hAnsi="Arial" w:cs="Arial Unicode MS"/>
      <w:sz w:val="28"/>
      <w:szCs w:val="28"/>
    </w:rPr>
  </w:style>
  <w:style w:type="paragraph" w:styleId="BodyText">
    <w:name w:val="Body Text"/>
    <w:basedOn w:val="Normal"/>
    <w:pPr>
      <w:ind w:left="116" w:firstLine="0"/>
    </w:pPr>
    <w:rPr>
      <w:rFonts w:eastAsia="Calibri"/>
    </w:rPr>
  </w:style>
  <w:style w:type="paragraph" w:styleId="List">
    <w:name w:val="List"/>
    <w:basedOn w:val="BodyText"/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ListParagraph">
    <w:name w:val="List Paragraph"/>
    <w:basedOn w:val="Normal"/>
  </w:style>
  <w:style w:type="paragraph" w:customStyle="1" w:styleId="TableParagraph">
    <w:name w:val="Table Paragraph"/>
    <w:basedOn w:val="Normal"/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Header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suppressLineNumbers/>
      <w:tabs>
        <w:tab w:val="center" w:pos="4252"/>
        <w:tab w:val="right" w:pos="8504"/>
      </w:tabs>
    </w:pPr>
  </w:style>
  <w:style w:type="character" w:customStyle="1" w:styleId="TextodegloboCar1">
    <w:name w:val="Texto de globo Car1"/>
    <w:rPr>
      <w:rFonts w:ascii="Segoe UI" w:eastAsia="Arial Unicode MS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 w:eastAsia="ar-SA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https://twitter.com/hashtag/EsterilizacionesForzadas?src=has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bservatorioviolencia.pe/discapacidad-muje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zH2GdJNPm/p+cpSQN467YSY78w==">AMUW2mUcu8RP4GTbfWCT8KK4z9AJ+gXe2E3mI08hRzUuI+Kq82+5iT68sqld5SDIhutAiub3WY5YlK+Wq5CEF7qfff2fEQF1/lokAaSgkYP9iHovMEz7huq+Er71K/hRTKOQbWxuqD7n89of3fR52JVukw+tcCDzkfyJx5a3Yd3/dOHPOb1Aq68lvfbqLjKXXouZLP9DZB5aHz2ZCeublovtS/bCt9iaP3dbsGullaTlcsYw3FGByt5vVgEWC/y+fLMtkx7iPiRpQ668rKICgCCXPpKaeUex74XV8QR6tvIHJdLY0qrVA4qsxDWOPtfGHNlqO3XPTFDlFFGBTZaAFS7nwX0Y6FKPdpwKRjiSMSF6XjsEtukNKQ5bdY4dLhIUSA5VeiHGXHYe+1INd/7cmIqFBYupCTfSRsc5dGZyjJ3mDKm9PVgeT+Y5QEPSPDIp6LkeWy+l6bj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8EB1069-9684-4272-A6D3-F4B4429E075A}"/>
</file>

<file path=customXml/itemProps3.xml><?xml version="1.0" encoding="utf-8"?>
<ds:datastoreItem xmlns:ds="http://schemas.openxmlformats.org/officeDocument/2006/customXml" ds:itemID="{C982D06B-16CD-4FC2-A853-CFC126A4998E}"/>
</file>

<file path=customXml/itemProps4.xml><?xml version="1.0" encoding="utf-8"?>
<ds:datastoreItem xmlns:ds="http://schemas.openxmlformats.org/officeDocument/2006/customXml" ds:itemID="{E12FE2C7-1366-4DC4-8655-649AAA4078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5480</Words>
  <Characters>31236</Characters>
  <Application>Microsoft Office Word</Application>
  <DocSecurity>4</DocSecurity>
  <Lines>260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comunicacionesdemus</dc:creator>
  <cp:lastModifiedBy>OUKO Robert</cp:lastModifiedBy>
  <cp:revision>2</cp:revision>
  <dcterms:created xsi:type="dcterms:W3CDTF">2020-12-18T09:05:00Z</dcterms:created>
  <dcterms:modified xsi:type="dcterms:W3CDTF">2020-12-18T09:05:00Z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0x010100F397614B75B84E4C841CE911BA0CCB9D</vt:lpwstr>
  </property>
</Properties>
</file>