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A169C" w14:textId="77777777" w:rsidR="00E26F24" w:rsidRPr="00742EE1" w:rsidRDefault="00E26F24" w:rsidP="00E26F24">
      <w:pPr>
        <w:pStyle w:val="Normal1"/>
        <w:spacing w:before="100" w:after="280" w:line="240" w:lineRule="auto"/>
        <w:jc w:val="center"/>
        <w:rPr>
          <w:rFonts w:asciiTheme="minorBidi" w:eastAsia="Arial" w:hAnsiTheme="minorBidi" w:cstheme="minorBidi"/>
          <w:b/>
        </w:rPr>
      </w:pPr>
      <w:r w:rsidRPr="00742EE1">
        <w:rPr>
          <w:rFonts w:asciiTheme="minorBidi" w:eastAsia="Arial" w:hAnsiTheme="minorBidi" w:cstheme="minorBidi"/>
          <w:noProof/>
        </w:rPr>
        <w:drawing>
          <wp:inline distT="0" distB="0" distL="0" distR="0" wp14:anchorId="63CAD31B" wp14:editId="7711A42C">
            <wp:extent cx="3658964" cy="1600945"/>
            <wp:effectExtent l="0" t="0" r="0" b="0"/>
            <wp:docPr id="2" name="image9.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9.jpg" descr="A picture containing graphical user interface&#10;&#10;Description automatically generated"/>
                    <pic:cNvPicPr preferRelativeResize="0"/>
                  </pic:nvPicPr>
                  <pic:blipFill>
                    <a:blip r:embed="rId7"/>
                    <a:srcRect/>
                    <a:stretch>
                      <a:fillRect/>
                    </a:stretch>
                  </pic:blipFill>
                  <pic:spPr>
                    <a:xfrm>
                      <a:off x="0" y="0"/>
                      <a:ext cx="3658964" cy="1600945"/>
                    </a:xfrm>
                    <a:prstGeom prst="rect">
                      <a:avLst/>
                    </a:prstGeom>
                    <a:ln/>
                  </pic:spPr>
                </pic:pic>
              </a:graphicData>
            </a:graphic>
          </wp:inline>
        </w:drawing>
      </w:r>
    </w:p>
    <w:p w14:paraId="2D923690" w14:textId="77777777" w:rsidR="00E26F24" w:rsidRPr="00742EE1" w:rsidRDefault="00E26F24" w:rsidP="00E26F24">
      <w:pPr>
        <w:pStyle w:val="Normal1"/>
        <w:spacing w:before="0" w:after="280" w:line="240" w:lineRule="auto"/>
        <w:jc w:val="center"/>
        <w:rPr>
          <w:rFonts w:asciiTheme="minorBidi" w:eastAsia="Arial" w:hAnsiTheme="minorBidi" w:cstheme="minorBidi"/>
          <w:b/>
          <w:sz w:val="28"/>
          <w:szCs w:val="28"/>
        </w:rPr>
      </w:pPr>
    </w:p>
    <w:p w14:paraId="5D440E9F" w14:textId="77777777" w:rsidR="00E26F24" w:rsidRPr="00892321" w:rsidRDefault="00E26F24" w:rsidP="00E26F24">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THEMATIC REPORT ON MUSLIM FAMILY LAW AND</w:t>
      </w:r>
    </w:p>
    <w:p w14:paraId="16F1E193" w14:textId="77777777" w:rsidR="00E26F24" w:rsidRPr="00892321" w:rsidRDefault="00E26F24" w:rsidP="00E26F24">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MUSLIM WOMEN’S RIGHTS IN</w:t>
      </w:r>
    </w:p>
    <w:p w14:paraId="586788E3" w14:textId="77777777" w:rsidR="00E26F24" w:rsidRPr="00892321" w:rsidRDefault="00E26F24" w:rsidP="00E26F24">
      <w:pPr>
        <w:pStyle w:val="Normal1"/>
        <w:spacing w:before="0" w:after="280" w:line="240" w:lineRule="auto"/>
        <w:jc w:val="center"/>
        <w:rPr>
          <w:rFonts w:ascii="Trebuchet MS" w:eastAsia="Arial" w:hAnsi="Trebuchet MS" w:cstheme="minorBidi"/>
          <w:b/>
          <w:sz w:val="40"/>
          <w:szCs w:val="40"/>
        </w:rPr>
      </w:pPr>
      <w:r w:rsidRPr="00892321">
        <w:rPr>
          <w:rFonts w:ascii="Trebuchet MS" w:eastAsia="Arial" w:hAnsi="Trebuchet MS" w:cstheme="minorBidi"/>
          <w:b/>
          <w:sz w:val="40"/>
          <w:szCs w:val="40"/>
        </w:rPr>
        <w:t>The United Arab Emirates (UAE)</w:t>
      </w:r>
    </w:p>
    <w:p w14:paraId="16FB470E"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40E1AEB7"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2CF87906"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5347AD26"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7FCA8010"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169FF048" w14:textId="77777777" w:rsidR="00E26F24" w:rsidRPr="00742EE1" w:rsidRDefault="00E26F24" w:rsidP="00E26F24">
      <w:pPr>
        <w:pStyle w:val="Normal1"/>
        <w:tabs>
          <w:tab w:val="left" w:pos="5532"/>
        </w:tabs>
        <w:spacing w:line="240" w:lineRule="auto"/>
        <w:jc w:val="center"/>
        <w:rPr>
          <w:rFonts w:asciiTheme="minorBidi" w:eastAsia="Arial" w:hAnsiTheme="minorBidi" w:cstheme="minorBidi"/>
          <w:b/>
        </w:rPr>
      </w:pPr>
    </w:p>
    <w:p w14:paraId="10D1C769" w14:textId="77777777" w:rsidR="00E26F24" w:rsidRPr="00892321" w:rsidRDefault="00E26F24" w:rsidP="00E26F24">
      <w:pPr>
        <w:pStyle w:val="Normal1"/>
        <w:spacing w:line="240" w:lineRule="auto"/>
        <w:jc w:val="center"/>
        <w:rPr>
          <w:rFonts w:ascii="Trebuchet MS" w:eastAsia="Arial" w:hAnsi="Trebuchet MS" w:cstheme="minorBidi"/>
          <w:b/>
          <w:sz w:val="28"/>
          <w:szCs w:val="28"/>
        </w:rPr>
      </w:pPr>
      <w:r w:rsidRPr="00892321">
        <w:rPr>
          <w:rFonts w:ascii="Trebuchet MS" w:eastAsia="Arial" w:hAnsi="Trebuchet MS" w:cstheme="minorBidi"/>
          <w:b/>
          <w:sz w:val="28"/>
          <w:szCs w:val="28"/>
        </w:rPr>
        <w:t>82</w:t>
      </w:r>
      <w:r w:rsidRPr="00892321">
        <w:rPr>
          <w:rFonts w:ascii="Trebuchet MS" w:eastAsia="Arial" w:hAnsi="Trebuchet MS" w:cstheme="minorBidi"/>
          <w:b/>
          <w:sz w:val="28"/>
          <w:szCs w:val="28"/>
          <w:vertAlign w:val="superscript"/>
        </w:rPr>
        <w:t>nd</w:t>
      </w:r>
      <w:r w:rsidRPr="00892321">
        <w:rPr>
          <w:rFonts w:ascii="Trebuchet MS" w:eastAsia="Arial" w:hAnsi="Trebuchet MS" w:cstheme="minorBidi"/>
          <w:b/>
          <w:sz w:val="28"/>
          <w:szCs w:val="28"/>
        </w:rPr>
        <w:t xml:space="preserve"> CEDAW Session</w:t>
      </w:r>
    </w:p>
    <w:p w14:paraId="5ADBC509" w14:textId="77777777" w:rsidR="00E26F24" w:rsidRPr="00892321" w:rsidRDefault="00E26F24" w:rsidP="00E26F24">
      <w:pPr>
        <w:pStyle w:val="Normal1"/>
        <w:spacing w:line="240" w:lineRule="auto"/>
        <w:jc w:val="center"/>
        <w:rPr>
          <w:rFonts w:ascii="Trebuchet MS" w:eastAsia="Arial" w:hAnsi="Trebuchet MS" w:cstheme="minorBidi"/>
          <w:b/>
          <w:sz w:val="28"/>
          <w:szCs w:val="28"/>
        </w:rPr>
      </w:pPr>
      <w:r w:rsidRPr="00892321">
        <w:rPr>
          <w:rFonts w:ascii="Trebuchet MS" w:eastAsia="Arial" w:hAnsi="Trebuchet MS" w:cstheme="minorBidi"/>
          <w:b/>
          <w:sz w:val="28"/>
          <w:szCs w:val="28"/>
        </w:rPr>
        <w:t>Geneva, Switzerland</w:t>
      </w:r>
    </w:p>
    <w:p w14:paraId="3C22C575" w14:textId="3F7BD796" w:rsidR="00E26F24" w:rsidRPr="00892321" w:rsidRDefault="00892321" w:rsidP="00E26F24">
      <w:pPr>
        <w:pStyle w:val="Normal1"/>
        <w:spacing w:line="240" w:lineRule="auto"/>
        <w:jc w:val="center"/>
        <w:rPr>
          <w:rFonts w:ascii="Trebuchet MS" w:eastAsia="Arial" w:hAnsi="Trebuchet MS" w:cstheme="minorBidi"/>
          <w:b/>
          <w:sz w:val="28"/>
          <w:szCs w:val="28"/>
        </w:rPr>
      </w:pPr>
      <w:r w:rsidRPr="00892321">
        <w:rPr>
          <w:rFonts w:ascii="Trebuchet MS" w:eastAsia="Arial" w:hAnsi="Trebuchet MS" w:cstheme="minorBidi"/>
          <w:b/>
          <w:sz w:val="28"/>
          <w:szCs w:val="28"/>
        </w:rPr>
        <w:t>JUNE</w:t>
      </w:r>
      <w:r w:rsidR="00E26F24" w:rsidRPr="00892321">
        <w:rPr>
          <w:rFonts w:ascii="Trebuchet MS" w:eastAsia="Arial" w:hAnsi="Trebuchet MS" w:cstheme="minorBidi"/>
          <w:b/>
          <w:sz w:val="28"/>
          <w:szCs w:val="28"/>
        </w:rPr>
        <w:t xml:space="preserve"> 2022</w:t>
      </w:r>
    </w:p>
    <w:p w14:paraId="1CFDF585" w14:textId="629549B8" w:rsidR="00E26F24" w:rsidRPr="00742EE1" w:rsidRDefault="00E26F24" w:rsidP="00E26F24">
      <w:pPr>
        <w:pStyle w:val="Normal1"/>
        <w:spacing w:before="280" w:after="280" w:line="240" w:lineRule="auto"/>
        <w:jc w:val="center"/>
        <w:rPr>
          <w:rFonts w:asciiTheme="minorBidi" w:eastAsia="Arial" w:hAnsiTheme="minorBidi" w:cstheme="minorBidi"/>
          <w:b/>
        </w:rPr>
      </w:pPr>
    </w:p>
    <w:p w14:paraId="55C0A4E4" w14:textId="28246D36" w:rsidR="00E26F24" w:rsidRPr="00742EE1" w:rsidRDefault="00E26F24" w:rsidP="00E26F24">
      <w:pPr>
        <w:pStyle w:val="Normal1"/>
        <w:spacing w:before="0" w:after="280" w:line="240" w:lineRule="auto"/>
        <w:jc w:val="center"/>
        <w:rPr>
          <w:rFonts w:asciiTheme="minorBidi" w:eastAsia="Arial" w:hAnsiTheme="minorBidi" w:cstheme="minorBidi"/>
          <w:b/>
        </w:rPr>
      </w:pPr>
    </w:p>
    <w:p w14:paraId="5A8293CC" w14:textId="1D538967" w:rsidR="00E26F24" w:rsidRPr="00742EE1" w:rsidRDefault="00E26F24" w:rsidP="00E26F24">
      <w:pPr>
        <w:pStyle w:val="Normal1"/>
        <w:spacing w:before="0" w:after="280" w:line="240" w:lineRule="auto"/>
        <w:jc w:val="center"/>
        <w:rPr>
          <w:rFonts w:asciiTheme="minorBidi" w:eastAsia="Arial" w:hAnsiTheme="minorBidi" w:cstheme="minorBidi"/>
          <w:b/>
        </w:rPr>
      </w:pPr>
    </w:p>
    <w:p w14:paraId="5E6CD233" w14:textId="15C6E604" w:rsidR="00E26F24" w:rsidRPr="00742EE1" w:rsidRDefault="00E26F24" w:rsidP="00E26F24">
      <w:pPr>
        <w:pStyle w:val="Normal1"/>
        <w:spacing w:before="0" w:after="280" w:line="240" w:lineRule="auto"/>
        <w:jc w:val="center"/>
        <w:rPr>
          <w:rFonts w:asciiTheme="minorBidi" w:eastAsia="Arial" w:hAnsiTheme="minorBidi" w:cstheme="minorBidi"/>
          <w:b/>
        </w:rPr>
      </w:pPr>
    </w:p>
    <w:p w14:paraId="0FC8C73F" w14:textId="77777777" w:rsidR="00E26F24" w:rsidRPr="00742EE1" w:rsidRDefault="00E26F24" w:rsidP="00E26F24">
      <w:pPr>
        <w:pStyle w:val="Normal1"/>
        <w:spacing w:line="240" w:lineRule="auto"/>
        <w:jc w:val="center"/>
        <w:rPr>
          <w:rFonts w:asciiTheme="minorBidi" w:eastAsia="Arial" w:hAnsiTheme="minorBidi" w:cstheme="minorBidi"/>
          <w:b/>
          <w:sz w:val="24"/>
          <w:szCs w:val="24"/>
        </w:rPr>
      </w:pPr>
      <w:proofErr w:type="spellStart"/>
      <w:r w:rsidRPr="00742EE1">
        <w:rPr>
          <w:rFonts w:asciiTheme="minorBidi" w:eastAsia="Arial" w:hAnsiTheme="minorBidi" w:cstheme="minorBidi"/>
          <w:b/>
          <w:sz w:val="24"/>
          <w:szCs w:val="24"/>
        </w:rPr>
        <w:t>Musawah</w:t>
      </w:r>
      <w:proofErr w:type="spellEnd"/>
    </w:p>
    <w:p w14:paraId="18CB1461" w14:textId="47EE8019" w:rsidR="00B42C0D" w:rsidRPr="00B42C0D" w:rsidRDefault="00E26F24" w:rsidP="00B42C0D">
      <w:pPr>
        <w:pStyle w:val="Normal1"/>
        <w:spacing w:before="0" w:after="0" w:line="240" w:lineRule="auto"/>
        <w:jc w:val="center"/>
      </w:pPr>
      <w:r w:rsidRPr="00742EE1">
        <w:rPr>
          <w:rFonts w:asciiTheme="minorBidi" w:eastAsia="Arial" w:hAnsiTheme="minorBidi" w:cstheme="minorBidi"/>
        </w:rPr>
        <w:t xml:space="preserve">15 Jalan </w:t>
      </w:r>
      <w:proofErr w:type="spellStart"/>
      <w:r w:rsidRPr="00742EE1">
        <w:rPr>
          <w:rFonts w:asciiTheme="minorBidi" w:eastAsia="Arial" w:hAnsiTheme="minorBidi" w:cstheme="minorBidi"/>
        </w:rPr>
        <w:t>Limau</w:t>
      </w:r>
      <w:proofErr w:type="spellEnd"/>
      <w:r w:rsidRPr="00742EE1">
        <w:rPr>
          <w:rFonts w:asciiTheme="minorBidi" w:eastAsia="Arial" w:hAnsiTheme="minorBidi" w:cstheme="minorBidi"/>
        </w:rPr>
        <w:t xml:space="preserve"> </w:t>
      </w:r>
      <w:proofErr w:type="spellStart"/>
      <w:r w:rsidRPr="00742EE1">
        <w:rPr>
          <w:rFonts w:asciiTheme="minorBidi" w:eastAsia="Arial" w:hAnsiTheme="minorBidi" w:cstheme="minorBidi"/>
        </w:rPr>
        <w:t>Purut</w:t>
      </w:r>
      <w:proofErr w:type="spellEnd"/>
      <w:r w:rsidRPr="00742EE1">
        <w:rPr>
          <w:rFonts w:asciiTheme="minorBidi" w:eastAsia="Arial" w:hAnsiTheme="minorBidi" w:cstheme="minorBidi"/>
        </w:rPr>
        <w:t>, Bangsar Park, 59000 Kuala Lumpur, Malaysia</w:t>
      </w:r>
      <w:r w:rsidRPr="00742EE1">
        <w:rPr>
          <w:rFonts w:asciiTheme="minorBidi" w:eastAsia="Arial" w:hAnsiTheme="minorBidi" w:cstheme="minorBidi"/>
        </w:rPr>
        <w:br/>
        <w:t>Tel: </w:t>
      </w:r>
      <w:hyperlink r:id="rId8">
        <w:r w:rsidRPr="00742EE1">
          <w:rPr>
            <w:rFonts w:asciiTheme="minorBidi" w:eastAsia="Arial" w:hAnsiTheme="minorBidi" w:cstheme="minorBidi"/>
          </w:rPr>
          <w:t>+603 2083 0202</w:t>
        </w:r>
      </w:hyperlink>
      <w:r w:rsidRPr="00742EE1">
        <w:rPr>
          <w:rFonts w:asciiTheme="minorBidi" w:eastAsia="Arial" w:hAnsiTheme="minorBidi" w:cstheme="minorBidi"/>
        </w:rPr>
        <w:t xml:space="preserve"> Fax: </w:t>
      </w:r>
      <w:hyperlink r:id="rId9">
        <w:r w:rsidRPr="00742EE1">
          <w:rPr>
            <w:rFonts w:asciiTheme="minorBidi" w:eastAsia="Arial" w:hAnsiTheme="minorBidi" w:cstheme="minorBidi"/>
          </w:rPr>
          <w:t>+603 2202 0303</w:t>
        </w:r>
      </w:hyperlink>
      <w:r w:rsidRPr="00742EE1">
        <w:rPr>
          <w:rFonts w:asciiTheme="minorBidi" w:eastAsia="Arial" w:hAnsiTheme="minorBidi" w:cstheme="minorBidi"/>
        </w:rPr>
        <w:br/>
        <w:t xml:space="preserve">Email: </w:t>
      </w:r>
      <w:hyperlink r:id="rId10">
        <w:r w:rsidRPr="00B42C0D">
          <w:rPr>
            <w:rFonts w:asciiTheme="minorBidi" w:eastAsia="Arial" w:hAnsiTheme="minorBidi" w:cstheme="minorBidi"/>
            <w:color w:val="0000FF"/>
            <w:u w:val="single"/>
          </w:rPr>
          <w:t>musawah@musawah.org</w:t>
        </w:r>
      </w:hyperlink>
    </w:p>
    <w:p w14:paraId="733116E7" w14:textId="55BDE1BB" w:rsidR="00E26F24" w:rsidRPr="007D41ED" w:rsidRDefault="00E26F24" w:rsidP="007D41ED">
      <w:pPr>
        <w:pStyle w:val="Normal1"/>
        <w:spacing w:before="0" w:after="0" w:line="240" w:lineRule="auto"/>
        <w:jc w:val="center"/>
        <w:rPr>
          <w:rFonts w:asciiTheme="minorBidi" w:eastAsia="Arial" w:hAnsiTheme="minorBidi" w:cstheme="minorBidi"/>
          <w:bCs/>
        </w:rPr>
        <w:sectPr w:rsidR="00E26F24" w:rsidRPr="007D41ED">
          <w:footerReference w:type="even" r:id="rId11"/>
          <w:footerReference w:type="default" r:id="rId12"/>
          <w:pgSz w:w="11900" w:h="16820"/>
          <w:pgMar w:top="1267" w:right="1454" w:bottom="990" w:left="1526" w:header="360" w:footer="360" w:gutter="0"/>
          <w:pgNumType w:start="1"/>
          <w:cols w:space="720"/>
          <w:titlePg/>
        </w:sectPr>
      </w:pPr>
      <w:r w:rsidRPr="00B42C0D">
        <w:rPr>
          <w:rFonts w:asciiTheme="minorBidi" w:eastAsia="Arial" w:hAnsiTheme="minorBidi" w:cstheme="minorBidi"/>
          <w:bCs/>
        </w:rPr>
        <w:t xml:space="preserve">Website: </w:t>
      </w:r>
      <w:hyperlink r:id="rId13">
        <w:r w:rsidRPr="00B42C0D">
          <w:rPr>
            <w:rFonts w:asciiTheme="minorBidi" w:eastAsia="Arial" w:hAnsiTheme="minorBidi" w:cstheme="minorBidi"/>
            <w:bCs/>
            <w:color w:val="0000FF"/>
            <w:u w:val="single"/>
          </w:rPr>
          <w:t>www.musawah.org</w:t>
        </w:r>
      </w:hyperlink>
    </w:p>
    <w:p w14:paraId="434F61A8" w14:textId="00A2C223" w:rsidR="00E26F24" w:rsidRPr="007D41ED" w:rsidRDefault="00E26F24" w:rsidP="007D41ED">
      <w:pPr>
        <w:pStyle w:val="Normal1"/>
        <w:tabs>
          <w:tab w:val="left" w:pos="2160"/>
          <w:tab w:val="right" w:pos="8920"/>
        </w:tabs>
        <w:spacing w:line="240" w:lineRule="auto"/>
        <w:rPr>
          <w:rFonts w:asciiTheme="minorBidi" w:eastAsia="Arial" w:hAnsiTheme="minorBidi" w:cstheme="minorBidi"/>
        </w:rPr>
        <w:sectPr w:rsidR="00E26F24" w:rsidRPr="007D41ED">
          <w:type w:val="continuous"/>
          <w:pgSz w:w="11900" w:h="16820"/>
          <w:pgMar w:top="1267" w:right="1454" w:bottom="990" w:left="1526" w:header="360" w:footer="360" w:gutter="0"/>
          <w:cols w:space="720"/>
        </w:sectPr>
      </w:pPr>
      <w:bookmarkStart w:id="0" w:name="_gjdgxs" w:colFirst="0" w:colLast="0"/>
      <w:bookmarkEnd w:id="0"/>
    </w:p>
    <w:p w14:paraId="57624285" w14:textId="77777777" w:rsidR="00E26F24" w:rsidRPr="00742EE1" w:rsidRDefault="00E26F24" w:rsidP="00E26F24">
      <w:pPr>
        <w:pStyle w:val="Heading1"/>
        <w:rPr>
          <w:rFonts w:asciiTheme="minorBidi" w:eastAsia="Arial" w:hAnsiTheme="minorBidi" w:cstheme="minorBidi"/>
          <w:color w:val="FFFFFF"/>
          <w:sz w:val="28"/>
          <w:szCs w:val="28"/>
        </w:rPr>
      </w:pPr>
      <w:bookmarkStart w:id="1" w:name="_30j0zll" w:colFirst="0" w:colLast="0"/>
      <w:bookmarkStart w:id="2" w:name="_Toc526513931"/>
      <w:bookmarkStart w:id="3" w:name="_Toc103472502"/>
      <w:bookmarkEnd w:id="1"/>
      <w:r w:rsidRPr="00742EE1">
        <w:rPr>
          <w:rFonts w:asciiTheme="minorBidi" w:eastAsia="Arial" w:hAnsiTheme="minorBidi" w:cstheme="minorBidi"/>
          <w:color w:val="FFFFFF"/>
          <w:sz w:val="28"/>
          <w:szCs w:val="28"/>
        </w:rPr>
        <w:lastRenderedPageBreak/>
        <w:t>A. INTRODUCTION</w:t>
      </w:r>
      <w:bookmarkEnd w:id="2"/>
      <w:bookmarkEnd w:id="3"/>
      <w:r w:rsidRPr="00742EE1">
        <w:rPr>
          <w:rFonts w:asciiTheme="minorBidi" w:eastAsia="Arial" w:hAnsiTheme="minorBidi" w:cstheme="minorBidi"/>
          <w:color w:val="FFFFFF"/>
          <w:sz w:val="28"/>
          <w:szCs w:val="28"/>
        </w:rPr>
        <w:tab/>
      </w:r>
    </w:p>
    <w:p w14:paraId="3B8507EF" w14:textId="471A4678" w:rsidR="00E26F24" w:rsidRPr="000C6DA6" w:rsidRDefault="00E26F24" w:rsidP="000C6DA6">
      <w:pPr>
        <w:pStyle w:val="Normal1"/>
        <w:spacing w:line="240" w:lineRule="auto"/>
        <w:jc w:val="both"/>
        <w:rPr>
          <w:rFonts w:ascii="Arial" w:eastAsia="Arial" w:hAnsi="Arial" w:cs="Arial"/>
          <w:sz w:val="20"/>
          <w:szCs w:val="20"/>
        </w:rPr>
      </w:pPr>
      <w:proofErr w:type="spellStart"/>
      <w:r w:rsidRPr="00BC09A3">
        <w:rPr>
          <w:rFonts w:ascii="Arial" w:eastAsia="Arial" w:hAnsi="Arial" w:cs="Arial"/>
          <w:b/>
          <w:bCs/>
          <w:sz w:val="20"/>
          <w:szCs w:val="20"/>
        </w:rPr>
        <w:t>Musawah</w:t>
      </w:r>
      <w:proofErr w:type="spellEnd"/>
      <w:r w:rsidRPr="000C6DA6">
        <w:rPr>
          <w:rFonts w:ascii="Arial" w:eastAsia="Arial" w:hAnsi="Arial" w:cs="Arial"/>
          <w:sz w:val="20"/>
          <w:szCs w:val="20"/>
        </w:rPr>
        <w:t>, the global movement for equality and justice in the Muslim family, submits this Thematic Report on concerns related to Muslim women’s legal equality in personal status matters, violence against women, and nationality rights for consideration by the CEDAW Committee in its review of the Government of the United Arab Emirates (UAE), reporting before the 82</w:t>
      </w:r>
      <w:r w:rsidRPr="000C6DA6">
        <w:rPr>
          <w:rFonts w:ascii="Arial" w:eastAsia="Arial" w:hAnsi="Arial" w:cs="Arial"/>
          <w:sz w:val="20"/>
          <w:szCs w:val="20"/>
          <w:vertAlign w:val="superscript"/>
        </w:rPr>
        <w:t>nd</w:t>
      </w:r>
      <w:r w:rsidRPr="000C6DA6">
        <w:rPr>
          <w:rFonts w:ascii="Arial" w:eastAsia="Arial" w:hAnsi="Arial" w:cs="Arial"/>
          <w:sz w:val="20"/>
          <w:szCs w:val="20"/>
        </w:rPr>
        <w:t xml:space="preserve"> Session of the CEDAW Committee in June 2022. </w:t>
      </w:r>
      <w:r w:rsidRPr="000C6DA6">
        <w:rPr>
          <w:rFonts w:ascii="Arial" w:hAnsi="Arial" w:cs="Arial"/>
          <w:sz w:val="20"/>
          <w:szCs w:val="20"/>
        </w:rPr>
        <w:t>This is the CEDAW Committee’s third periodic engagement with the UAE</w:t>
      </w:r>
      <w:r w:rsidR="00E00C6F" w:rsidRPr="000C6DA6">
        <w:rPr>
          <w:rFonts w:ascii="Arial" w:hAnsi="Arial" w:cs="Arial"/>
          <w:sz w:val="20"/>
          <w:szCs w:val="20"/>
        </w:rPr>
        <w:t xml:space="preserve">. Its last full review was in 2015. The UAE </w:t>
      </w:r>
      <w:r w:rsidRPr="000C6DA6">
        <w:rPr>
          <w:rFonts w:ascii="Arial" w:hAnsi="Arial" w:cs="Arial"/>
          <w:sz w:val="20"/>
          <w:szCs w:val="20"/>
        </w:rPr>
        <w:t>acceded to CEDAW on 6 October 2004</w:t>
      </w:r>
      <w:r w:rsidR="00E00C6F" w:rsidRPr="000C6DA6">
        <w:rPr>
          <w:rFonts w:ascii="Arial" w:hAnsi="Arial" w:cs="Arial"/>
          <w:sz w:val="20"/>
          <w:szCs w:val="20"/>
        </w:rPr>
        <w:t xml:space="preserve">, and </w:t>
      </w:r>
      <w:r w:rsidRPr="000C6DA6">
        <w:rPr>
          <w:rFonts w:ascii="Arial" w:hAnsi="Arial" w:cs="Arial"/>
          <w:sz w:val="20"/>
          <w:szCs w:val="20"/>
        </w:rPr>
        <w:t xml:space="preserve">took reservations to articles 2 (f), 15 (2), and 16 of the Convention on the </w:t>
      </w:r>
      <w:r w:rsidR="00E00C6F" w:rsidRPr="000C6DA6">
        <w:rPr>
          <w:rFonts w:ascii="Arial" w:hAnsi="Arial" w:cs="Arial"/>
          <w:sz w:val="20"/>
          <w:szCs w:val="20"/>
        </w:rPr>
        <w:t>basis of Islamic Sharia, in addition to articles 9 and 29 (1)</w:t>
      </w:r>
      <w:r w:rsidR="000E0833" w:rsidRPr="000C6DA6">
        <w:rPr>
          <w:rFonts w:ascii="Arial" w:hAnsi="Arial" w:cs="Arial"/>
          <w:sz w:val="20"/>
          <w:szCs w:val="20"/>
        </w:rPr>
        <w:t>.</w:t>
      </w:r>
    </w:p>
    <w:p w14:paraId="5F5A1ACA" w14:textId="77777777" w:rsidR="00471C44" w:rsidRDefault="00E26F24" w:rsidP="009C36BC">
      <w:pPr>
        <w:pStyle w:val="paragraph"/>
        <w:jc w:val="both"/>
        <w:textAlignment w:val="baseline"/>
        <w:rPr>
          <w:rFonts w:asciiTheme="minorBidi" w:hAnsiTheme="minorBidi" w:cstheme="minorBidi"/>
          <w:sz w:val="20"/>
          <w:szCs w:val="20"/>
        </w:rPr>
      </w:pPr>
      <w:r w:rsidRPr="000C6DA6">
        <w:rPr>
          <w:rFonts w:asciiTheme="minorBidi" w:hAnsiTheme="minorBidi" w:cstheme="minorBidi"/>
          <w:sz w:val="20"/>
          <w:szCs w:val="20"/>
        </w:rPr>
        <w:t>This report highlights key legal inequalities that Muslim women face in the UAE in the personal status sphere and their resulting negative impact on women and girls</w:t>
      </w:r>
      <w:r w:rsidR="009C36BC">
        <w:rPr>
          <w:rFonts w:asciiTheme="minorBidi" w:hAnsiTheme="minorBidi" w:cstheme="minorBidi"/>
          <w:sz w:val="20"/>
          <w:szCs w:val="20"/>
        </w:rPr>
        <w:t>, along with recommendations to address gaps</w:t>
      </w:r>
      <w:r w:rsidRPr="000C6DA6">
        <w:rPr>
          <w:rFonts w:asciiTheme="minorBidi" w:hAnsiTheme="minorBidi" w:cstheme="minorBidi"/>
          <w:sz w:val="20"/>
          <w:szCs w:val="20"/>
        </w:rPr>
        <w:t>. We encourage the UAE government to leverage its robust framework of diversity and inclusion to ensure full legal equality</w:t>
      </w:r>
      <w:r w:rsidR="006F3136" w:rsidRPr="000C6DA6">
        <w:rPr>
          <w:rFonts w:asciiTheme="minorBidi" w:hAnsiTheme="minorBidi" w:cstheme="minorBidi"/>
          <w:sz w:val="20"/>
          <w:szCs w:val="20"/>
        </w:rPr>
        <w:t xml:space="preserve"> and empowerment</w:t>
      </w:r>
      <w:r w:rsidRPr="000C6DA6">
        <w:rPr>
          <w:rFonts w:asciiTheme="minorBidi" w:hAnsiTheme="minorBidi" w:cstheme="minorBidi"/>
          <w:sz w:val="20"/>
          <w:szCs w:val="20"/>
        </w:rPr>
        <w:t xml:space="preserve"> for Muslim women in all aspects of public and private life</w:t>
      </w:r>
      <w:bookmarkStart w:id="4" w:name="_1fob9te" w:colFirst="0" w:colLast="0"/>
      <w:bookmarkEnd w:id="4"/>
      <w:r w:rsidRPr="000C6DA6">
        <w:rPr>
          <w:rFonts w:asciiTheme="minorBidi" w:hAnsiTheme="minorBidi" w:cstheme="minorBidi"/>
          <w:sz w:val="20"/>
          <w:szCs w:val="20"/>
        </w:rPr>
        <w:t>.</w:t>
      </w:r>
      <w:r w:rsidR="009C36BC">
        <w:rPr>
          <w:rFonts w:asciiTheme="minorBidi" w:hAnsiTheme="minorBidi" w:cstheme="minorBidi"/>
          <w:sz w:val="20"/>
          <w:szCs w:val="20"/>
        </w:rPr>
        <w:t xml:space="preserve"> </w:t>
      </w:r>
    </w:p>
    <w:p w14:paraId="5CF02BFC" w14:textId="6EAC9FAE" w:rsidR="00E26F24" w:rsidRPr="009C36BC" w:rsidRDefault="00E26F24" w:rsidP="009C36BC">
      <w:pPr>
        <w:pStyle w:val="paragraph"/>
        <w:jc w:val="both"/>
        <w:textAlignment w:val="baseline"/>
        <w:rPr>
          <w:rFonts w:asciiTheme="minorBidi" w:hAnsiTheme="minorBidi" w:cstheme="minorBidi"/>
          <w:sz w:val="20"/>
          <w:szCs w:val="20"/>
        </w:rPr>
      </w:pPr>
      <w:r w:rsidRPr="000C6DA6">
        <w:rPr>
          <w:rFonts w:ascii="Arial" w:eastAsia="Arial" w:hAnsi="Arial" w:cs="Arial"/>
          <w:sz w:val="20"/>
          <w:szCs w:val="20"/>
        </w:rPr>
        <w:t>We hope that the CEDAW Committee will utilize this report as a key resource during its constructive engagement with the State Party</w:t>
      </w:r>
      <w:r w:rsidR="00C57A20" w:rsidRPr="000C6DA6">
        <w:rPr>
          <w:rFonts w:ascii="Arial" w:eastAsia="Arial" w:hAnsi="Arial" w:cs="Arial"/>
          <w:sz w:val="20"/>
          <w:szCs w:val="20"/>
        </w:rPr>
        <w:t xml:space="preserve"> and</w:t>
      </w:r>
      <w:r w:rsidRPr="000C6DA6">
        <w:rPr>
          <w:rFonts w:ascii="Arial" w:eastAsia="Arial" w:hAnsi="Arial" w:cs="Arial"/>
          <w:sz w:val="20"/>
          <w:szCs w:val="20"/>
        </w:rPr>
        <w:t xml:space="preserve"> use the recommendations</w:t>
      </w:r>
      <w:r w:rsidR="00292461">
        <w:rPr>
          <w:rFonts w:ascii="Arial" w:eastAsia="Arial" w:hAnsi="Arial" w:cs="Arial"/>
          <w:sz w:val="20"/>
          <w:szCs w:val="20"/>
        </w:rPr>
        <w:t xml:space="preserve">, outlined in grey boxes </w:t>
      </w:r>
      <w:r w:rsidR="008813B4">
        <w:rPr>
          <w:rFonts w:ascii="Arial" w:eastAsia="Arial" w:hAnsi="Arial" w:cs="Arial"/>
          <w:sz w:val="20"/>
          <w:szCs w:val="20"/>
        </w:rPr>
        <w:t>withi</w:t>
      </w:r>
      <w:r w:rsidR="00292461">
        <w:rPr>
          <w:rFonts w:ascii="Arial" w:eastAsia="Arial" w:hAnsi="Arial" w:cs="Arial"/>
          <w:sz w:val="20"/>
          <w:szCs w:val="20"/>
        </w:rPr>
        <w:t>n the text,</w:t>
      </w:r>
      <w:r w:rsidRPr="000C6DA6">
        <w:rPr>
          <w:rFonts w:ascii="Arial" w:eastAsia="Arial" w:hAnsi="Arial" w:cs="Arial"/>
          <w:sz w:val="20"/>
          <w:szCs w:val="20"/>
        </w:rPr>
        <w:t xml:space="preserve"> to identify follow-up issues in its Concluding Observations. </w:t>
      </w:r>
    </w:p>
    <w:p w14:paraId="04D4442F" w14:textId="77777777" w:rsidR="00E26F24" w:rsidRPr="00BB744F" w:rsidRDefault="00E26F24" w:rsidP="00E26F24">
      <w:pPr>
        <w:pStyle w:val="NormalWeb"/>
        <w:rPr>
          <w:rFonts w:ascii="Arial" w:hAnsi="Arial" w:cs="Arial"/>
          <w:sz w:val="20"/>
          <w:szCs w:val="20"/>
        </w:rPr>
      </w:pPr>
    </w:p>
    <w:p w14:paraId="5E48662F" w14:textId="77777777" w:rsidR="00E26F24" w:rsidRPr="00742EE1" w:rsidRDefault="00E26F24" w:rsidP="00E26F24">
      <w:pPr>
        <w:pStyle w:val="Heading1"/>
        <w:spacing w:before="40" w:after="40"/>
        <w:ind w:left="0" w:firstLine="0"/>
        <w:rPr>
          <w:rStyle w:val="normaltextrun"/>
          <w:rFonts w:asciiTheme="minorBidi" w:eastAsia="Arial" w:hAnsiTheme="minorBidi" w:cstheme="minorBidi"/>
          <w:sz w:val="26"/>
          <w:szCs w:val="26"/>
        </w:rPr>
      </w:pPr>
      <w:bookmarkStart w:id="5" w:name="_Toc526513932"/>
      <w:bookmarkStart w:id="6" w:name="_Toc103472503"/>
      <w:r w:rsidRPr="00742EE1">
        <w:rPr>
          <w:rFonts w:asciiTheme="minorBidi" w:eastAsia="Arial" w:hAnsiTheme="minorBidi" w:cstheme="minorBidi"/>
          <w:color w:val="FFFFFF"/>
          <w:sz w:val="26"/>
          <w:szCs w:val="26"/>
        </w:rPr>
        <w:t>B. BACKGROUND</w:t>
      </w:r>
      <w:bookmarkEnd w:id="5"/>
      <w:r>
        <w:rPr>
          <w:rFonts w:asciiTheme="minorBidi" w:eastAsia="Arial" w:hAnsiTheme="minorBidi" w:cstheme="minorBidi"/>
          <w:color w:val="FFFFFF"/>
          <w:sz w:val="26"/>
          <w:szCs w:val="26"/>
        </w:rPr>
        <w:t xml:space="preserve"> AND LEGAL FRAMEWORK</w:t>
      </w:r>
      <w:bookmarkEnd w:id="6"/>
      <w:r w:rsidRPr="00742EE1">
        <w:rPr>
          <w:rFonts w:asciiTheme="minorBidi" w:eastAsia="Arial" w:hAnsiTheme="minorBidi" w:cstheme="minorBidi"/>
          <w:color w:val="FFFFFF"/>
          <w:sz w:val="26"/>
          <w:szCs w:val="26"/>
        </w:rPr>
        <w:t xml:space="preserve"> </w:t>
      </w:r>
    </w:p>
    <w:p w14:paraId="1A85123C" w14:textId="6BB76039" w:rsidR="00E26F24" w:rsidRPr="000C6DA6" w:rsidRDefault="00E26F24" w:rsidP="000C6DA6">
      <w:pPr>
        <w:pStyle w:val="paragraph"/>
        <w:jc w:val="both"/>
        <w:textAlignment w:val="baseline"/>
        <w:rPr>
          <w:rFonts w:asciiTheme="minorBidi" w:hAnsiTheme="minorBidi" w:cstheme="minorBidi"/>
          <w:sz w:val="20"/>
          <w:szCs w:val="20"/>
        </w:rPr>
      </w:pPr>
      <w:r w:rsidRPr="000C6DA6">
        <w:rPr>
          <w:rFonts w:asciiTheme="minorBidi" w:hAnsiTheme="minorBidi" w:cstheme="minorBidi"/>
          <w:sz w:val="20"/>
          <w:szCs w:val="20"/>
        </w:rPr>
        <w:t>The United Arab Emirates is a constitutional federation of seven Emirates, which formed a union in 1971, following independence from Britain. The UAE is a Muslim-majority country, with a sizable foreign resident population. Out of an estimated total population of 9.3 million, less than one million, or 11%, are Emirati nationals.</w:t>
      </w:r>
      <w:r w:rsidRPr="000C6DA6">
        <w:rPr>
          <w:rStyle w:val="FootnoteReference"/>
          <w:rFonts w:asciiTheme="minorBidi" w:hAnsiTheme="minorBidi" w:cstheme="minorBidi"/>
          <w:sz w:val="20"/>
          <w:szCs w:val="20"/>
        </w:rPr>
        <w:footnoteReference w:id="1"/>
      </w:r>
      <w:r w:rsidRPr="000C6DA6">
        <w:rPr>
          <w:rFonts w:asciiTheme="minorBidi" w:hAnsiTheme="minorBidi" w:cstheme="minorBidi"/>
          <w:sz w:val="20"/>
          <w:szCs w:val="20"/>
        </w:rPr>
        <w:t xml:space="preserve"> Islam</w:t>
      </w:r>
      <w:r w:rsidR="00233AE3">
        <w:rPr>
          <w:rFonts w:asciiTheme="minorBidi" w:hAnsiTheme="minorBidi" w:cstheme="minorBidi"/>
          <w:sz w:val="20"/>
          <w:szCs w:val="20"/>
        </w:rPr>
        <w:t xml:space="preserve"> is</w:t>
      </w:r>
      <w:r w:rsidRPr="000C6DA6">
        <w:rPr>
          <w:rFonts w:asciiTheme="minorBidi" w:hAnsiTheme="minorBidi" w:cstheme="minorBidi"/>
          <w:sz w:val="20"/>
          <w:szCs w:val="20"/>
        </w:rPr>
        <w:t xml:space="preserve"> the official religion of the state,</w:t>
      </w:r>
      <w:r w:rsidRPr="000C6DA6">
        <w:rPr>
          <w:rStyle w:val="FootnoteReference"/>
          <w:rFonts w:asciiTheme="minorBidi" w:hAnsiTheme="minorBidi" w:cstheme="minorBidi"/>
          <w:sz w:val="20"/>
          <w:szCs w:val="20"/>
        </w:rPr>
        <w:footnoteReference w:id="2"/>
      </w:r>
      <w:r w:rsidRPr="000C6DA6">
        <w:rPr>
          <w:rFonts w:asciiTheme="minorBidi" w:hAnsiTheme="minorBidi" w:cstheme="minorBidi"/>
          <w:sz w:val="20"/>
          <w:szCs w:val="20"/>
        </w:rPr>
        <w:t xml:space="preserve"> and the Constitution guarantees freedom of worship to adherents of all religions, within the limits of established customs, public order, and public morals.</w:t>
      </w:r>
      <w:r w:rsidRPr="000C6DA6">
        <w:rPr>
          <w:rStyle w:val="FootnoteReference"/>
          <w:rFonts w:asciiTheme="minorBidi" w:hAnsiTheme="minorBidi" w:cstheme="minorBidi"/>
          <w:sz w:val="20"/>
          <w:szCs w:val="20"/>
        </w:rPr>
        <w:footnoteReference w:id="3"/>
      </w:r>
      <w:r w:rsidRPr="000C6DA6">
        <w:rPr>
          <w:rFonts w:asciiTheme="minorBidi" w:hAnsiTheme="minorBidi" w:cstheme="minorBidi"/>
          <w:sz w:val="20"/>
          <w:szCs w:val="20"/>
        </w:rPr>
        <w:t xml:space="preserve"> The vast majority of Emirati nationals are Sunni Muslims, estimated at 85%, with a sizable Shia Muslim minority.</w:t>
      </w:r>
      <w:r w:rsidRPr="000C6DA6">
        <w:rPr>
          <w:rStyle w:val="FootnoteReference"/>
          <w:rFonts w:asciiTheme="minorBidi" w:hAnsiTheme="minorBidi" w:cstheme="minorBidi"/>
          <w:sz w:val="20"/>
          <w:szCs w:val="20"/>
        </w:rPr>
        <w:footnoteReference w:id="4"/>
      </w:r>
      <w:r w:rsidRPr="000C6DA6">
        <w:rPr>
          <w:rFonts w:asciiTheme="minorBidi" w:hAnsiTheme="minorBidi" w:cstheme="minorBidi"/>
          <w:sz w:val="20"/>
          <w:szCs w:val="20"/>
        </w:rPr>
        <w:t xml:space="preserve"> Out of the total population, Muslims comprise an estimated 76.9%, Christians 12.6%, along with communities of Hindus, Buddhists, and other faiths.</w:t>
      </w:r>
      <w:r w:rsidRPr="000C6DA6">
        <w:rPr>
          <w:rStyle w:val="FootnoteReference"/>
          <w:rFonts w:asciiTheme="minorBidi" w:hAnsiTheme="minorBidi" w:cstheme="minorBidi"/>
          <w:sz w:val="20"/>
          <w:szCs w:val="20"/>
        </w:rPr>
        <w:footnoteReference w:id="5"/>
      </w:r>
    </w:p>
    <w:p w14:paraId="7E19569E" w14:textId="604F664C" w:rsidR="00E26F24" w:rsidRPr="000C6DA6" w:rsidRDefault="00E26F24" w:rsidP="000C6DA6">
      <w:pPr>
        <w:widowControl w:val="0"/>
        <w:jc w:val="both"/>
        <w:rPr>
          <w:rFonts w:asciiTheme="minorBidi" w:hAnsiTheme="minorBidi" w:cstheme="minorBidi"/>
          <w:sz w:val="20"/>
          <w:szCs w:val="20"/>
        </w:rPr>
      </w:pPr>
      <w:r w:rsidRPr="000C6DA6">
        <w:rPr>
          <w:rFonts w:asciiTheme="minorBidi" w:hAnsiTheme="minorBidi" w:cstheme="minorBidi"/>
          <w:sz w:val="20"/>
          <w:szCs w:val="20"/>
        </w:rPr>
        <w:t xml:space="preserve">The </w:t>
      </w:r>
      <w:r w:rsidR="00D62A4D" w:rsidRPr="000C6DA6">
        <w:rPr>
          <w:rFonts w:asciiTheme="minorBidi" w:hAnsiTheme="minorBidi" w:cstheme="minorBidi"/>
          <w:sz w:val="20"/>
          <w:szCs w:val="20"/>
        </w:rPr>
        <w:t>UAE Constitution</w:t>
      </w:r>
      <w:r w:rsidRPr="000C6DA6">
        <w:rPr>
          <w:rFonts w:asciiTheme="minorBidi" w:hAnsiTheme="minorBidi" w:cstheme="minorBidi"/>
          <w:sz w:val="20"/>
          <w:szCs w:val="20"/>
        </w:rPr>
        <w:t xml:space="preserve"> provides that equality, social justice, the provision of safety and security and equality of opportunity for all citizens form the bases of the community.</w:t>
      </w:r>
      <w:r w:rsidRPr="000C6DA6">
        <w:rPr>
          <w:rStyle w:val="FootnoteReference"/>
          <w:rFonts w:asciiTheme="minorBidi" w:hAnsiTheme="minorBidi" w:cstheme="minorBidi"/>
          <w:sz w:val="20"/>
          <w:szCs w:val="20"/>
        </w:rPr>
        <w:footnoteReference w:id="6"/>
      </w:r>
      <w:r w:rsidRPr="000C6DA6">
        <w:rPr>
          <w:rFonts w:asciiTheme="minorBidi" w:hAnsiTheme="minorBidi" w:cstheme="minorBidi"/>
          <w:sz w:val="20"/>
          <w:szCs w:val="20"/>
        </w:rPr>
        <w:t xml:space="preserve"> Article 25 of the constitution states that “all persons shall be equal before the law,” and that there shall be no discrimination between citizens on the basis of “race, nationality, religious belief or social position.”</w:t>
      </w:r>
      <w:r w:rsidRPr="000C6DA6">
        <w:rPr>
          <w:rStyle w:val="FootnoteReference"/>
          <w:rFonts w:asciiTheme="minorBidi" w:hAnsiTheme="minorBidi" w:cstheme="minorBidi"/>
          <w:sz w:val="20"/>
          <w:szCs w:val="20"/>
        </w:rPr>
        <w:footnoteReference w:id="7"/>
      </w:r>
      <w:r w:rsidRPr="000C6DA6">
        <w:rPr>
          <w:rFonts w:asciiTheme="minorBidi" w:hAnsiTheme="minorBidi" w:cstheme="minorBidi"/>
          <w:sz w:val="20"/>
          <w:szCs w:val="20"/>
        </w:rPr>
        <w:t xml:space="preserve"> There is no specific prohibition of gender-based discrimination in the constitution. </w:t>
      </w:r>
    </w:p>
    <w:p w14:paraId="2D1CEEE6" w14:textId="08EE7ABA" w:rsidR="00E26F24" w:rsidRPr="000C6DA6" w:rsidRDefault="00E26F24" w:rsidP="000C6DA6">
      <w:pPr>
        <w:pStyle w:val="paragraph"/>
        <w:jc w:val="both"/>
        <w:textAlignment w:val="baseline"/>
        <w:rPr>
          <w:rFonts w:asciiTheme="minorBidi" w:hAnsiTheme="minorBidi" w:cstheme="minorBidi"/>
          <w:sz w:val="20"/>
          <w:szCs w:val="20"/>
        </w:rPr>
      </w:pPr>
      <w:r w:rsidRPr="000C6DA6">
        <w:rPr>
          <w:rFonts w:asciiTheme="minorBidi" w:hAnsiTheme="minorBidi" w:cstheme="minorBidi"/>
          <w:sz w:val="20"/>
          <w:szCs w:val="20"/>
        </w:rPr>
        <w:t>In terms of advancing the equality and welfare of women in society, the UAE has made strides in key indicators, such as access to education</w:t>
      </w:r>
      <w:r w:rsidR="00D62A4D" w:rsidRPr="000C6DA6">
        <w:rPr>
          <w:rFonts w:asciiTheme="minorBidi" w:hAnsiTheme="minorBidi" w:cstheme="minorBidi"/>
          <w:sz w:val="20"/>
          <w:szCs w:val="20"/>
        </w:rPr>
        <w:t xml:space="preserve"> and healthcare</w:t>
      </w:r>
      <w:r w:rsidRPr="000C6DA6">
        <w:rPr>
          <w:rFonts w:asciiTheme="minorBidi" w:hAnsiTheme="minorBidi" w:cstheme="minorBidi"/>
          <w:sz w:val="20"/>
          <w:szCs w:val="20"/>
        </w:rPr>
        <w:t>, increasing participation</w:t>
      </w:r>
      <w:r w:rsidR="00233AE3">
        <w:rPr>
          <w:rFonts w:asciiTheme="minorBidi" w:hAnsiTheme="minorBidi" w:cstheme="minorBidi"/>
          <w:sz w:val="20"/>
          <w:szCs w:val="20"/>
        </w:rPr>
        <w:t xml:space="preserve"> in</w:t>
      </w:r>
      <w:r w:rsidRPr="000C6DA6">
        <w:rPr>
          <w:rFonts w:asciiTheme="minorBidi" w:hAnsiTheme="minorBidi" w:cstheme="minorBidi"/>
          <w:sz w:val="20"/>
          <w:szCs w:val="20"/>
        </w:rPr>
        <w:t xml:space="preserve"> the workforce, and integration into national positions of leadership.</w:t>
      </w:r>
      <w:r w:rsidRPr="000C6DA6">
        <w:rPr>
          <w:rStyle w:val="FootnoteReference"/>
          <w:rFonts w:asciiTheme="minorBidi" w:hAnsiTheme="minorBidi" w:cstheme="minorBidi"/>
          <w:sz w:val="20"/>
          <w:szCs w:val="20"/>
        </w:rPr>
        <w:footnoteReference w:id="8"/>
      </w:r>
      <w:r w:rsidRPr="000C6DA6">
        <w:rPr>
          <w:rFonts w:asciiTheme="minorBidi" w:hAnsiTheme="minorBidi" w:cstheme="minorBidi"/>
          <w:sz w:val="20"/>
          <w:szCs w:val="20"/>
        </w:rPr>
        <w:t xml:space="preserve"> However, discrimination against women persists in the area of personal status. The legal framework continues to treat women as subordinate to men within the family</w:t>
      </w:r>
      <w:r w:rsidR="00A16DCD">
        <w:rPr>
          <w:rFonts w:asciiTheme="minorBidi" w:hAnsiTheme="minorBidi" w:cstheme="minorBidi"/>
          <w:sz w:val="20"/>
          <w:szCs w:val="20"/>
        </w:rPr>
        <w:t xml:space="preserve">, </w:t>
      </w:r>
      <w:r w:rsidRPr="000C6DA6">
        <w:rPr>
          <w:rFonts w:asciiTheme="minorBidi" w:hAnsiTheme="minorBidi" w:cstheme="minorBidi"/>
          <w:sz w:val="20"/>
          <w:szCs w:val="20"/>
        </w:rPr>
        <w:t>fails to provide adequate protections from domestic violence</w:t>
      </w:r>
      <w:r w:rsidR="00A16DCD">
        <w:rPr>
          <w:rFonts w:asciiTheme="minorBidi" w:hAnsiTheme="minorBidi" w:cstheme="minorBidi"/>
          <w:sz w:val="20"/>
          <w:szCs w:val="20"/>
        </w:rPr>
        <w:t xml:space="preserve">, and contains </w:t>
      </w:r>
      <w:r w:rsidR="00D02072">
        <w:rPr>
          <w:rFonts w:asciiTheme="minorBidi" w:hAnsiTheme="minorBidi" w:cstheme="minorBidi"/>
          <w:sz w:val="20"/>
          <w:szCs w:val="20"/>
        </w:rPr>
        <w:t>unequal</w:t>
      </w:r>
      <w:r w:rsidR="00A16DCD">
        <w:rPr>
          <w:rFonts w:asciiTheme="minorBidi" w:hAnsiTheme="minorBidi" w:cstheme="minorBidi"/>
          <w:sz w:val="20"/>
          <w:szCs w:val="20"/>
        </w:rPr>
        <w:t xml:space="preserve"> nationality laws.</w:t>
      </w:r>
      <w:r w:rsidRPr="000C6DA6">
        <w:rPr>
          <w:rFonts w:asciiTheme="minorBidi" w:hAnsiTheme="minorBidi" w:cstheme="minorBidi"/>
          <w:sz w:val="20"/>
          <w:szCs w:val="20"/>
        </w:rPr>
        <w:t xml:space="preserve"> </w:t>
      </w:r>
    </w:p>
    <w:p w14:paraId="4A05BF00" w14:textId="34EE6E28" w:rsidR="00E26F24" w:rsidRPr="000C6DA6" w:rsidRDefault="00E26F24" w:rsidP="000C6DA6">
      <w:pPr>
        <w:jc w:val="both"/>
        <w:rPr>
          <w:rFonts w:asciiTheme="minorBidi" w:hAnsiTheme="minorBidi" w:cstheme="minorBidi"/>
          <w:sz w:val="20"/>
          <w:szCs w:val="20"/>
        </w:rPr>
      </w:pPr>
      <w:r w:rsidRPr="000C6DA6">
        <w:rPr>
          <w:rFonts w:asciiTheme="minorBidi" w:hAnsiTheme="minorBidi" w:cstheme="minorBidi"/>
          <w:sz w:val="20"/>
          <w:szCs w:val="20"/>
        </w:rPr>
        <w:t>The UAE Personal Status Law of 2005</w:t>
      </w:r>
      <w:r w:rsidRPr="000C6DA6">
        <w:rPr>
          <w:rStyle w:val="FootnoteReference"/>
          <w:rFonts w:asciiTheme="minorBidi" w:hAnsiTheme="minorBidi" w:cstheme="minorBidi"/>
          <w:sz w:val="20"/>
          <w:szCs w:val="20"/>
        </w:rPr>
        <w:footnoteReference w:id="9"/>
      </w:r>
      <w:r w:rsidRPr="000C6DA6">
        <w:rPr>
          <w:rFonts w:asciiTheme="minorBidi" w:hAnsiTheme="minorBidi" w:cstheme="minorBidi"/>
          <w:sz w:val="20"/>
          <w:szCs w:val="20"/>
        </w:rPr>
        <w:t xml:space="preserve"> governs marriage, divorce, child custody and guardianship, inheritance, and other personal status matters for UAE nationals, with the exception of non-Muslims </w:t>
      </w:r>
      <w:r w:rsidRPr="000C6DA6">
        <w:rPr>
          <w:rFonts w:asciiTheme="minorBidi" w:hAnsiTheme="minorBidi" w:cstheme="minorBidi"/>
          <w:sz w:val="20"/>
          <w:szCs w:val="20"/>
        </w:rPr>
        <w:lastRenderedPageBreak/>
        <w:t>who may opt for the applications of provisions specific to their respective religion.</w:t>
      </w:r>
      <w:r w:rsidRPr="000C6DA6">
        <w:rPr>
          <w:rStyle w:val="FootnoteReference"/>
          <w:rFonts w:asciiTheme="minorBidi" w:hAnsiTheme="minorBidi" w:cstheme="minorBidi"/>
          <w:sz w:val="20"/>
          <w:szCs w:val="20"/>
        </w:rPr>
        <w:footnoteReference w:id="10"/>
      </w:r>
      <w:r w:rsidRPr="000C6DA6">
        <w:rPr>
          <w:rFonts w:asciiTheme="minorBidi" w:hAnsiTheme="minorBidi" w:cstheme="minorBidi"/>
          <w:sz w:val="20"/>
          <w:szCs w:val="20"/>
        </w:rPr>
        <w:t xml:space="preserve"> The Personal Status Law </w:t>
      </w:r>
      <w:r w:rsidR="00D62A4D" w:rsidRPr="000C6DA6">
        <w:rPr>
          <w:rFonts w:asciiTheme="minorBidi" w:hAnsiTheme="minorBidi" w:cstheme="minorBidi"/>
          <w:sz w:val="20"/>
          <w:szCs w:val="20"/>
        </w:rPr>
        <w:t>also applies</w:t>
      </w:r>
      <w:r w:rsidRPr="000C6DA6">
        <w:rPr>
          <w:rFonts w:asciiTheme="minorBidi" w:hAnsiTheme="minorBidi" w:cstheme="minorBidi"/>
          <w:sz w:val="20"/>
          <w:szCs w:val="20"/>
        </w:rPr>
        <w:t xml:space="preserve"> to non-nationals, unless they ask for the laws of their own countries to be applied.</w:t>
      </w:r>
      <w:r w:rsidRPr="000C6DA6">
        <w:rPr>
          <w:rStyle w:val="FootnoteReference"/>
          <w:rFonts w:asciiTheme="minorBidi" w:hAnsiTheme="minorBidi" w:cstheme="minorBidi"/>
          <w:sz w:val="20"/>
          <w:szCs w:val="20"/>
        </w:rPr>
        <w:footnoteReference w:id="11"/>
      </w:r>
      <w:r w:rsidRPr="000C6DA6">
        <w:rPr>
          <w:rFonts w:asciiTheme="minorBidi" w:hAnsiTheme="minorBidi" w:cstheme="minorBidi"/>
          <w:sz w:val="20"/>
          <w:szCs w:val="20"/>
        </w:rPr>
        <w:t xml:space="preserve"> Independently, Abu Dhabi enacted its own Personal Status Law for non-Muslims.</w:t>
      </w:r>
      <w:r w:rsidRPr="000C6DA6">
        <w:rPr>
          <w:rStyle w:val="FootnoteReference"/>
          <w:rFonts w:asciiTheme="minorBidi" w:hAnsiTheme="minorBidi" w:cstheme="minorBidi"/>
          <w:sz w:val="20"/>
          <w:szCs w:val="20"/>
        </w:rPr>
        <w:footnoteReference w:id="12"/>
      </w:r>
      <w:r w:rsidRPr="000C6DA6">
        <w:rPr>
          <w:rFonts w:asciiTheme="minorBidi" w:hAnsiTheme="minorBidi" w:cstheme="minorBidi"/>
          <w:sz w:val="20"/>
          <w:szCs w:val="20"/>
        </w:rPr>
        <w:t xml:space="preserve"> </w:t>
      </w:r>
    </w:p>
    <w:p w14:paraId="597D4DD9" w14:textId="77777777" w:rsidR="00E26F24" w:rsidRPr="000C6DA6" w:rsidRDefault="00E26F24" w:rsidP="000C6DA6">
      <w:pPr>
        <w:jc w:val="both"/>
        <w:rPr>
          <w:rFonts w:asciiTheme="minorBidi" w:hAnsiTheme="minorBidi" w:cstheme="minorBidi"/>
          <w:sz w:val="20"/>
          <w:szCs w:val="20"/>
        </w:rPr>
      </w:pPr>
    </w:p>
    <w:p w14:paraId="3720586C" w14:textId="74F36344" w:rsidR="00E26F24" w:rsidRPr="000C6DA6" w:rsidRDefault="00E26F24" w:rsidP="000C6DA6">
      <w:pPr>
        <w:jc w:val="both"/>
        <w:rPr>
          <w:rFonts w:asciiTheme="minorBidi" w:hAnsiTheme="minorBidi" w:cstheme="minorBidi"/>
          <w:color w:val="000000"/>
          <w:lang w:eastAsia="en-US"/>
        </w:rPr>
      </w:pPr>
      <w:r w:rsidRPr="000C6DA6">
        <w:rPr>
          <w:rFonts w:asciiTheme="minorBidi" w:hAnsiTheme="minorBidi" w:cstheme="minorBidi"/>
          <w:color w:val="000000"/>
          <w:sz w:val="20"/>
          <w:szCs w:val="20"/>
          <w:lang w:eastAsia="en-US"/>
        </w:rPr>
        <w:t xml:space="preserve">In 2019 and 2020, the UAE </w:t>
      </w:r>
      <w:r w:rsidR="00233AE3">
        <w:rPr>
          <w:rFonts w:asciiTheme="minorBidi" w:hAnsiTheme="minorBidi" w:cstheme="minorBidi"/>
          <w:color w:val="000000"/>
          <w:sz w:val="20"/>
          <w:szCs w:val="20"/>
          <w:lang w:eastAsia="en-US"/>
        </w:rPr>
        <w:t>took</w:t>
      </w:r>
      <w:r w:rsidRPr="000C6DA6">
        <w:rPr>
          <w:rFonts w:asciiTheme="minorBidi" w:hAnsiTheme="minorBidi" w:cstheme="minorBidi"/>
          <w:color w:val="000000"/>
          <w:sz w:val="20"/>
          <w:szCs w:val="20"/>
          <w:lang w:eastAsia="en-US"/>
        </w:rPr>
        <w:t xml:space="preserve"> several positive steps </w:t>
      </w:r>
      <w:r w:rsidR="00D62A4D" w:rsidRPr="000C6DA6">
        <w:rPr>
          <w:rFonts w:asciiTheme="minorBidi" w:hAnsiTheme="minorBidi" w:cstheme="minorBidi"/>
          <w:color w:val="000000"/>
          <w:sz w:val="20"/>
          <w:szCs w:val="20"/>
          <w:lang w:eastAsia="en-US"/>
        </w:rPr>
        <w:t>to eliminate certain</w:t>
      </w:r>
      <w:r w:rsidRPr="000C6DA6">
        <w:rPr>
          <w:rFonts w:asciiTheme="minorBidi" w:hAnsiTheme="minorBidi" w:cstheme="minorBidi"/>
          <w:color w:val="000000"/>
          <w:sz w:val="20"/>
          <w:szCs w:val="20"/>
          <w:lang w:eastAsia="en-US"/>
        </w:rPr>
        <w:t xml:space="preserve"> provisions in the Personal Status Law. For example, it eliminated the requirement of “obedience” by a wife of her husband, replacing it with a framework of mutual respect, compassion, and good treatment, and introduced provisions to guarantee a wife’s right to complete her education.</w:t>
      </w:r>
      <w:r w:rsidRPr="000C6DA6">
        <w:rPr>
          <w:rStyle w:val="FootnoteReference"/>
          <w:rFonts w:asciiTheme="minorBidi" w:hAnsiTheme="minorBidi" w:cstheme="minorBidi"/>
          <w:color w:val="000000"/>
          <w:sz w:val="20"/>
          <w:szCs w:val="20"/>
          <w:lang w:eastAsia="en-US"/>
        </w:rPr>
        <w:footnoteReference w:id="13"/>
      </w:r>
      <w:r w:rsidRPr="000C6DA6">
        <w:rPr>
          <w:rFonts w:asciiTheme="minorBidi" w:hAnsiTheme="minorBidi" w:cstheme="minorBidi"/>
          <w:color w:val="000000"/>
          <w:sz w:val="20"/>
          <w:szCs w:val="20"/>
          <w:lang w:eastAsia="en-US"/>
        </w:rPr>
        <w:t xml:space="preserve"> </w:t>
      </w:r>
      <w:r w:rsidR="00D62A4D" w:rsidRPr="000C6DA6">
        <w:rPr>
          <w:rFonts w:asciiTheme="minorBidi" w:hAnsiTheme="minorBidi" w:cstheme="minorBidi"/>
          <w:color w:val="000000"/>
          <w:sz w:val="20"/>
          <w:szCs w:val="20"/>
          <w:lang w:eastAsia="en-US"/>
        </w:rPr>
        <w:t>It</w:t>
      </w:r>
      <w:r w:rsidRPr="000C6DA6">
        <w:rPr>
          <w:rFonts w:asciiTheme="minorBidi" w:hAnsiTheme="minorBidi" w:cstheme="minorBidi"/>
          <w:color w:val="000000"/>
          <w:sz w:val="20"/>
          <w:szCs w:val="20"/>
          <w:lang w:eastAsia="en-US"/>
        </w:rPr>
        <w:t xml:space="preserve"> also introduced some positive changes </w:t>
      </w:r>
      <w:r w:rsidR="00D02072">
        <w:rPr>
          <w:rFonts w:asciiTheme="minorBidi" w:hAnsiTheme="minorBidi" w:cstheme="minorBidi"/>
          <w:color w:val="000000"/>
          <w:sz w:val="20"/>
          <w:szCs w:val="20"/>
          <w:lang w:eastAsia="en-US"/>
        </w:rPr>
        <w:t>regarding</w:t>
      </w:r>
      <w:r w:rsidRPr="000C6DA6">
        <w:rPr>
          <w:rFonts w:asciiTheme="minorBidi" w:hAnsiTheme="minorBidi" w:cstheme="minorBidi"/>
          <w:color w:val="000000"/>
          <w:sz w:val="20"/>
          <w:szCs w:val="20"/>
          <w:lang w:eastAsia="en-US"/>
        </w:rPr>
        <w:t xml:space="preserve"> the process of obtaining and registering a divorce. Nonetheless, the Personal Status Law continues to discriminate against women in several areas, as discussed </w:t>
      </w:r>
      <w:r w:rsidR="00A16DCD">
        <w:rPr>
          <w:rFonts w:asciiTheme="minorBidi" w:hAnsiTheme="minorBidi" w:cstheme="minorBidi"/>
          <w:color w:val="000000"/>
          <w:sz w:val="20"/>
          <w:szCs w:val="20"/>
          <w:lang w:eastAsia="en-US"/>
        </w:rPr>
        <w:t>subsequently.</w:t>
      </w:r>
    </w:p>
    <w:p w14:paraId="6EECF1DC" w14:textId="77777777" w:rsidR="00E26F24" w:rsidRPr="000C6DA6" w:rsidRDefault="00E26F24" w:rsidP="000C6DA6">
      <w:pPr>
        <w:jc w:val="both"/>
        <w:rPr>
          <w:rFonts w:asciiTheme="minorBidi" w:hAnsiTheme="minorBidi" w:cstheme="minorBidi"/>
          <w:sz w:val="20"/>
          <w:szCs w:val="20"/>
        </w:rPr>
      </w:pPr>
    </w:p>
    <w:p w14:paraId="130781D5" w14:textId="1D69A508" w:rsidR="00E26F24" w:rsidRPr="000C6DA6" w:rsidRDefault="00D62A4D" w:rsidP="000C6DA6">
      <w:pPr>
        <w:jc w:val="both"/>
        <w:rPr>
          <w:rFonts w:asciiTheme="minorBidi" w:hAnsiTheme="minorBidi" w:cstheme="minorBidi"/>
          <w:color w:val="000000"/>
          <w:sz w:val="20"/>
          <w:szCs w:val="20"/>
          <w:lang w:eastAsia="en-US"/>
        </w:rPr>
      </w:pPr>
      <w:r w:rsidRPr="004E2D1C">
        <w:rPr>
          <w:rFonts w:asciiTheme="minorBidi" w:hAnsiTheme="minorBidi" w:cstheme="minorBidi"/>
          <w:sz w:val="20"/>
          <w:szCs w:val="20"/>
        </w:rPr>
        <w:t>Personal Status</w:t>
      </w:r>
      <w:r w:rsidR="00E26F24" w:rsidRPr="004E2D1C">
        <w:rPr>
          <w:rFonts w:asciiTheme="minorBidi" w:hAnsiTheme="minorBidi" w:cstheme="minorBidi"/>
          <w:sz w:val="20"/>
          <w:szCs w:val="20"/>
        </w:rPr>
        <w:t xml:space="preserve"> cases for Muslims </w:t>
      </w:r>
      <w:r w:rsidRPr="004E2D1C">
        <w:rPr>
          <w:rFonts w:asciiTheme="minorBidi" w:hAnsiTheme="minorBidi" w:cstheme="minorBidi"/>
          <w:sz w:val="20"/>
          <w:szCs w:val="20"/>
        </w:rPr>
        <w:t>are adjudicated by</w:t>
      </w:r>
      <w:r w:rsidR="00E26F24" w:rsidRPr="004E2D1C">
        <w:rPr>
          <w:rFonts w:asciiTheme="minorBidi" w:hAnsiTheme="minorBidi" w:cstheme="minorBidi"/>
          <w:sz w:val="20"/>
          <w:szCs w:val="20"/>
        </w:rPr>
        <w:t xml:space="preserve"> Sharia courts, which are part of the UAE civil court system. In each </w:t>
      </w:r>
      <w:r w:rsidRPr="004E2D1C">
        <w:rPr>
          <w:rFonts w:asciiTheme="minorBidi" w:hAnsiTheme="minorBidi" w:cstheme="minorBidi"/>
          <w:sz w:val="20"/>
          <w:szCs w:val="20"/>
        </w:rPr>
        <w:t xml:space="preserve">of the seven </w:t>
      </w:r>
      <w:r w:rsidR="00E26F24" w:rsidRPr="004E2D1C">
        <w:rPr>
          <w:rFonts w:asciiTheme="minorBidi" w:hAnsiTheme="minorBidi" w:cstheme="minorBidi"/>
          <w:sz w:val="20"/>
          <w:szCs w:val="20"/>
        </w:rPr>
        <w:t>Emirate</w:t>
      </w:r>
      <w:r w:rsidRPr="004E2D1C">
        <w:rPr>
          <w:rFonts w:asciiTheme="minorBidi" w:hAnsiTheme="minorBidi" w:cstheme="minorBidi"/>
          <w:sz w:val="20"/>
          <w:szCs w:val="20"/>
        </w:rPr>
        <w:t>s</w:t>
      </w:r>
      <w:r w:rsidR="00E26F24" w:rsidRPr="004E2D1C">
        <w:rPr>
          <w:rFonts w:asciiTheme="minorBidi" w:hAnsiTheme="minorBidi" w:cstheme="minorBidi"/>
          <w:sz w:val="20"/>
          <w:szCs w:val="20"/>
        </w:rPr>
        <w:t>, Sharia court chambers are divided into courts of first instance and courts of appeal.</w:t>
      </w:r>
      <w:r w:rsidR="00E26F24" w:rsidRPr="004E2D1C">
        <w:rPr>
          <w:rStyle w:val="FootnoteReference"/>
          <w:rFonts w:asciiTheme="minorBidi" w:hAnsiTheme="minorBidi" w:cstheme="minorBidi"/>
          <w:sz w:val="20"/>
          <w:szCs w:val="20"/>
        </w:rPr>
        <w:footnoteReference w:id="14"/>
      </w:r>
      <w:r w:rsidR="00E26F24" w:rsidRPr="004E2D1C">
        <w:rPr>
          <w:rFonts w:asciiTheme="minorBidi" w:hAnsiTheme="minorBidi" w:cstheme="minorBidi"/>
          <w:sz w:val="20"/>
          <w:szCs w:val="20"/>
        </w:rPr>
        <w:t xml:space="preserve"> Judgment of Sharia appeals chambers may</w:t>
      </w:r>
      <w:r w:rsidR="00D02072">
        <w:rPr>
          <w:rFonts w:asciiTheme="minorBidi" w:hAnsiTheme="minorBidi" w:cstheme="minorBidi"/>
          <w:sz w:val="20"/>
          <w:szCs w:val="20"/>
        </w:rPr>
        <w:t>,</w:t>
      </w:r>
      <w:r w:rsidR="00E26F24" w:rsidRPr="004E2D1C">
        <w:rPr>
          <w:rFonts w:asciiTheme="minorBidi" w:hAnsiTheme="minorBidi" w:cstheme="minorBidi"/>
          <w:sz w:val="20"/>
          <w:szCs w:val="20"/>
        </w:rPr>
        <w:t xml:space="preserve"> in turn</w:t>
      </w:r>
      <w:r w:rsidR="00D02072">
        <w:rPr>
          <w:rFonts w:asciiTheme="minorBidi" w:hAnsiTheme="minorBidi" w:cstheme="minorBidi"/>
          <w:sz w:val="20"/>
          <w:szCs w:val="20"/>
        </w:rPr>
        <w:t>,</w:t>
      </w:r>
      <w:r w:rsidR="00E26F24" w:rsidRPr="004E2D1C">
        <w:rPr>
          <w:rFonts w:asciiTheme="minorBidi" w:hAnsiTheme="minorBidi" w:cstheme="minorBidi"/>
          <w:sz w:val="20"/>
          <w:szCs w:val="20"/>
        </w:rPr>
        <w:t xml:space="preserve"> be appealed to the Court of Cassation</w:t>
      </w:r>
      <w:r w:rsidRPr="004E2D1C">
        <w:rPr>
          <w:rFonts w:asciiTheme="minorBidi" w:hAnsiTheme="minorBidi" w:cstheme="minorBidi"/>
          <w:sz w:val="20"/>
          <w:szCs w:val="20"/>
        </w:rPr>
        <w:t xml:space="preserve"> of each Emirate, which can vacate Sharia appeals court rulings and decide on the merits of a case</w:t>
      </w:r>
      <w:r w:rsidR="00E26F24" w:rsidRPr="004E2D1C">
        <w:rPr>
          <w:rFonts w:asciiTheme="minorBidi" w:hAnsiTheme="minorBidi" w:cstheme="minorBidi"/>
          <w:sz w:val="20"/>
          <w:szCs w:val="20"/>
        </w:rPr>
        <w:t>.</w:t>
      </w:r>
      <w:r w:rsidR="00E26F24" w:rsidRPr="004E2D1C">
        <w:rPr>
          <w:rStyle w:val="FootnoteReference"/>
          <w:rFonts w:asciiTheme="minorBidi" w:hAnsiTheme="minorBidi" w:cstheme="minorBidi"/>
          <w:sz w:val="20"/>
          <w:szCs w:val="20"/>
        </w:rPr>
        <w:footnoteReference w:id="15"/>
      </w:r>
      <w:r w:rsidR="00E26F24" w:rsidRPr="000C6DA6">
        <w:rPr>
          <w:rFonts w:asciiTheme="minorBidi" w:hAnsiTheme="minorBidi" w:cstheme="minorBidi"/>
          <w:sz w:val="20"/>
          <w:szCs w:val="20"/>
        </w:rPr>
        <w:t xml:space="preserve"> </w:t>
      </w:r>
    </w:p>
    <w:p w14:paraId="220C7410" w14:textId="77777777" w:rsidR="00E26F24" w:rsidRPr="000C6DA6" w:rsidRDefault="00E26F24" w:rsidP="000C6DA6">
      <w:pPr>
        <w:jc w:val="both"/>
        <w:rPr>
          <w:rFonts w:asciiTheme="minorBidi" w:eastAsia="Arial" w:hAnsiTheme="minorBidi" w:cstheme="minorBidi"/>
          <w:color w:val="000000"/>
          <w:sz w:val="20"/>
          <w:szCs w:val="20"/>
        </w:rPr>
      </w:pPr>
    </w:p>
    <w:p w14:paraId="43AF29CA" w14:textId="38340B95" w:rsidR="00E26F24" w:rsidRPr="004E2D1C" w:rsidRDefault="00D62A4D" w:rsidP="004E2D1C">
      <w:pPr>
        <w:jc w:val="both"/>
        <w:rPr>
          <w:rFonts w:asciiTheme="minorBidi" w:eastAsia="Arial" w:hAnsiTheme="minorBidi" w:cstheme="minorBidi"/>
          <w:color w:val="000000"/>
          <w:sz w:val="20"/>
          <w:szCs w:val="20"/>
        </w:rPr>
      </w:pPr>
      <w:r w:rsidRPr="000C6DA6">
        <w:rPr>
          <w:rFonts w:asciiTheme="minorBidi" w:eastAsia="Arial" w:hAnsiTheme="minorBidi" w:cstheme="minorBidi"/>
          <w:color w:val="000000"/>
          <w:sz w:val="20"/>
          <w:szCs w:val="20"/>
        </w:rPr>
        <w:t>Law</w:t>
      </w:r>
      <w:r w:rsidR="00C705B5" w:rsidRPr="000C6DA6">
        <w:rPr>
          <w:rFonts w:asciiTheme="minorBidi" w:eastAsia="Arial" w:hAnsiTheme="minorBidi" w:cstheme="minorBidi"/>
          <w:color w:val="000000"/>
          <w:sz w:val="20"/>
          <w:szCs w:val="20"/>
        </w:rPr>
        <w:t>s</w:t>
      </w:r>
      <w:r w:rsidR="00E26F24" w:rsidRPr="000C6DA6">
        <w:rPr>
          <w:rFonts w:asciiTheme="minorBidi" w:eastAsia="Arial" w:hAnsiTheme="minorBidi" w:cstheme="minorBidi"/>
          <w:color w:val="000000"/>
          <w:sz w:val="20"/>
          <w:szCs w:val="20"/>
        </w:rPr>
        <w:t xml:space="preserve"> that </w:t>
      </w:r>
      <w:r w:rsidRPr="000C6DA6">
        <w:rPr>
          <w:rFonts w:asciiTheme="minorBidi" w:eastAsia="Arial" w:hAnsiTheme="minorBidi" w:cstheme="minorBidi"/>
          <w:color w:val="000000"/>
          <w:sz w:val="20"/>
          <w:szCs w:val="20"/>
        </w:rPr>
        <w:t>govern</w:t>
      </w:r>
      <w:r w:rsidR="00E26F24" w:rsidRPr="000C6DA6">
        <w:rPr>
          <w:rFonts w:asciiTheme="minorBidi" w:eastAsia="Arial" w:hAnsiTheme="minorBidi" w:cstheme="minorBidi"/>
          <w:color w:val="000000"/>
          <w:sz w:val="20"/>
          <w:szCs w:val="20"/>
        </w:rPr>
        <w:t xml:space="preserve"> the protection of women from violence, includ</w:t>
      </w:r>
      <w:r w:rsidR="00FC475C">
        <w:rPr>
          <w:rFonts w:asciiTheme="minorBidi" w:eastAsia="Arial" w:hAnsiTheme="minorBidi" w:cstheme="minorBidi"/>
          <w:color w:val="000000"/>
          <w:sz w:val="20"/>
          <w:szCs w:val="20"/>
        </w:rPr>
        <w:t>ing</w:t>
      </w:r>
      <w:r w:rsidR="00E26F24" w:rsidRPr="000C6DA6">
        <w:rPr>
          <w:rFonts w:asciiTheme="minorBidi" w:eastAsia="Arial" w:hAnsiTheme="minorBidi" w:cstheme="minorBidi"/>
          <w:color w:val="000000"/>
          <w:sz w:val="20"/>
          <w:szCs w:val="20"/>
        </w:rPr>
        <w:t xml:space="preserve"> the Penal Code</w:t>
      </w:r>
      <w:r w:rsidR="00E26F24" w:rsidRPr="000C6DA6">
        <w:rPr>
          <w:rStyle w:val="FootnoteReference"/>
          <w:rFonts w:asciiTheme="minorBidi" w:eastAsia="Arial" w:hAnsiTheme="minorBidi" w:cstheme="minorBidi"/>
          <w:color w:val="000000"/>
          <w:sz w:val="20"/>
          <w:szCs w:val="20"/>
        </w:rPr>
        <w:footnoteReference w:id="16"/>
      </w:r>
      <w:r w:rsidR="00E26F24" w:rsidRPr="000C6DA6">
        <w:rPr>
          <w:rFonts w:asciiTheme="minorBidi" w:eastAsia="Arial" w:hAnsiTheme="minorBidi" w:cstheme="minorBidi"/>
          <w:color w:val="000000"/>
          <w:sz w:val="20"/>
          <w:szCs w:val="20"/>
        </w:rPr>
        <w:t xml:space="preserve"> </w:t>
      </w:r>
      <w:r w:rsidR="00F27650" w:rsidRPr="000C6DA6">
        <w:rPr>
          <w:rFonts w:asciiTheme="minorBidi" w:eastAsia="Arial" w:hAnsiTheme="minorBidi" w:cstheme="minorBidi"/>
          <w:color w:val="000000"/>
          <w:sz w:val="20"/>
          <w:szCs w:val="20"/>
        </w:rPr>
        <w:t xml:space="preserve">and </w:t>
      </w:r>
      <w:r w:rsidR="00E26F24" w:rsidRPr="000C6DA6">
        <w:rPr>
          <w:rFonts w:asciiTheme="minorBidi" w:eastAsia="Arial" w:hAnsiTheme="minorBidi" w:cstheme="minorBidi"/>
          <w:color w:val="000000"/>
          <w:sz w:val="20"/>
          <w:szCs w:val="20"/>
        </w:rPr>
        <w:t>the Domestic Violence Law</w:t>
      </w:r>
      <w:r w:rsidR="004E2D1C">
        <w:rPr>
          <w:rFonts w:asciiTheme="minorBidi" w:eastAsia="Arial" w:hAnsiTheme="minorBidi" w:cstheme="minorBidi"/>
          <w:color w:val="000000"/>
          <w:sz w:val="20"/>
          <w:szCs w:val="20"/>
        </w:rPr>
        <w:t>,</w:t>
      </w:r>
      <w:r w:rsidR="00E26F24" w:rsidRPr="000C6DA6">
        <w:rPr>
          <w:rStyle w:val="FootnoteReference"/>
          <w:rFonts w:asciiTheme="minorBidi" w:eastAsia="Arial" w:hAnsiTheme="minorBidi" w:cstheme="minorBidi"/>
          <w:color w:val="000000"/>
          <w:sz w:val="20"/>
          <w:szCs w:val="20"/>
        </w:rPr>
        <w:footnoteReference w:id="17"/>
      </w:r>
      <w:r w:rsidR="00E26F24" w:rsidRPr="000C6DA6">
        <w:rPr>
          <w:rFonts w:asciiTheme="minorBidi" w:eastAsia="Arial" w:hAnsiTheme="minorBidi" w:cstheme="minorBidi"/>
          <w:color w:val="000000"/>
          <w:sz w:val="20"/>
          <w:szCs w:val="20"/>
        </w:rPr>
        <w:t xml:space="preserve"> </w:t>
      </w:r>
      <w:r w:rsidR="00233AE3">
        <w:rPr>
          <w:rFonts w:asciiTheme="minorBidi" w:eastAsia="Arial" w:hAnsiTheme="minorBidi" w:cstheme="minorBidi"/>
          <w:color w:val="000000"/>
          <w:sz w:val="20"/>
          <w:szCs w:val="20"/>
        </w:rPr>
        <w:t xml:space="preserve">are </w:t>
      </w:r>
      <w:r w:rsidR="00E26F24" w:rsidRPr="000C6DA6">
        <w:rPr>
          <w:rFonts w:asciiTheme="minorBidi" w:eastAsia="Arial" w:hAnsiTheme="minorBidi" w:cstheme="minorBidi"/>
          <w:color w:val="000000"/>
          <w:sz w:val="20"/>
          <w:szCs w:val="20"/>
        </w:rPr>
        <w:t>adjudicated in the criminal courts of each Emirate</w:t>
      </w:r>
      <w:r w:rsidR="004E2D1C">
        <w:rPr>
          <w:rFonts w:asciiTheme="minorBidi" w:eastAsia="Arial" w:hAnsiTheme="minorBidi" w:cstheme="minorBidi"/>
          <w:color w:val="000000"/>
          <w:sz w:val="20"/>
          <w:szCs w:val="20"/>
        </w:rPr>
        <w:t xml:space="preserve">. </w:t>
      </w:r>
      <w:r w:rsidR="00E26F24" w:rsidRPr="000C6DA6">
        <w:rPr>
          <w:rFonts w:asciiTheme="minorBidi" w:hAnsiTheme="minorBidi" w:cstheme="minorBidi"/>
          <w:color w:val="000000"/>
          <w:sz w:val="20"/>
          <w:szCs w:val="20"/>
        </w:rPr>
        <w:t xml:space="preserve">Matters relating to citizenship and naturalization are governed by </w:t>
      </w:r>
      <w:r w:rsidR="00E26F24" w:rsidRPr="000C6DA6">
        <w:rPr>
          <w:rFonts w:asciiTheme="minorBidi" w:eastAsia="Arial" w:hAnsiTheme="minorBidi" w:cstheme="minorBidi"/>
          <w:sz w:val="20"/>
          <w:szCs w:val="20"/>
        </w:rPr>
        <w:t>the 1972 Nationality Law and its subsequent amendments.</w:t>
      </w:r>
      <w:r w:rsidR="00E26F24" w:rsidRPr="000C6DA6">
        <w:rPr>
          <w:rStyle w:val="FootnoteReference"/>
          <w:rFonts w:asciiTheme="minorBidi" w:eastAsia="Arial" w:hAnsiTheme="minorBidi" w:cstheme="minorBidi"/>
          <w:sz w:val="20"/>
          <w:szCs w:val="20"/>
        </w:rPr>
        <w:footnoteReference w:id="18"/>
      </w:r>
      <w:r w:rsidR="00E26F24" w:rsidRPr="000C6DA6">
        <w:rPr>
          <w:rFonts w:asciiTheme="minorBidi" w:eastAsia="Arial" w:hAnsiTheme="minorBidi" w:cstheme="minorBidi"/>
          <w:sz w:val="20"/>
          <w:szCs w:val="20"/>
        </w:rPr>
        <w:t xml:space="preserve"> </w:t>
      </w:r>
    </w:p>
    <w:p w14:paraId="31E30B1E" w14:textId="59DDF656" w:rsidR="00E26F24" w:rsidRDefault="00E26F24" w:rsidP="00E26F24">
      <w:pPr>
        <w:rPr>
          <w:rFonts w:ascii="Arial" w:eastAsia="Arial" w:hAnsi="Arial" w:cs="Arial"/>
          <w:sz w:val="20"/>
          <w:szCs w:val="20"/>
        </w:rPr>
      </w:pPr>
    </w:p>
    <w:p w14:paraId="33403382" w14:textId="77777777" w:rsidR="00233AE3" w:rsidRPr="002F7D20" w:rsidRDefault="00233AE3" w:rsidP="00E26F24">
      <w:pPr>
        <w:rPr>
          <w:rFonts w:ascii="Arial" w:eastAsia="Arial" w:hAnsi="Arial" w:cs="Arial"/>
          <w:sz w:val="20"/>
          <w:szCs w:val="20"/>
        </w:rPr>
      </w:pPr>
    </w:p>
    <w:p w14:paraId="6E2E447A" w14:textId="77777777" w:rsidR="00E26F24" w:rsidRPr="00742EE1" w:rsidRDefault="00E26F24" w:rsidP="00E26F24">
      <w:pPr>
        <w:pStyle w:val="Heading1"/>
        <w:spacing w:before="40" w:after="40"/>
        <w:ind w:left="0" w:firstLine="0"/>
        <w:rPr>
          <w:rFonts w:asciiTheme="minorBidi" w:eastAsia="Arial" w:hAnsiTheme="minorBidi" w:cstheme="minorBidi"/>
          <w:sz w:val="26"/>
          <w:szCs w:val="26"/>
        </w:rPr>
      </w:pPr>
      <w:bookmarkStart w:id="7" w:name="_Toc526513933"/>
      <w:bookmarkStart w:id="8" w:name="_Toc103472504"/>
      <w:r w:rsidRPr="00742EE1">
        <w:rPr>
          <w:rFonts w:asciiTheme="minorBidi" w:eastAsia="Arial" w:hAnsiTheme="minorBidi" w:cstheme="minorBidi"/>
          <w:color w:val="FFFFFF"/>
          <w:sz w:val="26"/>
          <w:szCs w:val="26"/>
        </w:rPr>
        <w:t xml:space="preserve">C. </w:t>
      </w:r>
      <w:bookmarkEnd w:id="7"/>
      <w:r>
        <w:rPr>
          <w:rFonts w:asciiTheme="minorBidi" w:eastAsia="Arial" w:hAnsiTheme="minorBidi" w:cstheme="minorBidi"/>
          <w:color w:val="FFFFFF"/>
          <w:sz w:val="26"/>
          <w:szCs w:val="26"/>
        </w:rPr>
        <w:t>KEY ISSUES AND RECOMMENDATIONS</w:t>
      </w:r>
      <w:bookmarkEnd w:id="8"/>
      <w:r w:rsidRPr="00742EE1">
        <w:rPr>
          <w:rFonts w:asciiTheme="minorBidi" w:eastAsia="Arial" w:hAnsiTheme="minorBidi" w:cstheme="minorBidi"/>
          <w:color w:val="FFFFFF"/>
          <w:sz w:val="26"/>
          <w:szCs w:val="26"/>
        </w:rPr>
        <w:t xml:space="preserve"> </w:t>
      </w:r>
    </w:p>
    <w:p w14:paraId="00060093" w14:textId="77777777" w:rsidR="00E26F24" w:rsidRPr="00C70995" w:rsidRDefault="00E26F24" w:rsidP="00E26F24">
      <w:bookmarkStart w:id="9" w:name="_2et92p0" w:colFirst="0" w:colLast="0"/>
      <w:bookmarkStart w:id="10" w:name="_Toc526513939"/>
      <w:bookmarkEnd w:id="9"/>
    </w:p>
    <w:p w14:paraId="0150AB72" w14:textId="1247814D" w:rsidR="00E26F24" w:rsidRPr="00C70995" w:rsidRDefault="00E26F24" w:rsidP="00E26F24">
      <w:pPr>
        <w:pStyle w:val="Heading2"/>
        <w:numPr>
          <w:ilvl w:val="0"/>
          <w:numId w:val="21"/>
        </w:numPr>
        <w:spacing w:before="40" w:after="40" w:line="240" w:lineRule="auto"/>
        <w:ind w:left="270" w:hanging="270"/>
        <w:rPr>
          <w:rFonts w:asciiTheme="minorBidi" w:eastAsia="Arial" w:hAnsiTheme="minorBidi" w:cstheme="minorBidi"/>
          <w:sz w:val="24"/>
          <w:szCs w:val="24"/>
        </w:rPr>
      </w:pPr>
      <w:bookmarkStart w:id="11" w:name="_Toc71018500"/>
      <w:bookmarkStart w:id="12" w:name="_Toc103472505"/>
      <w:r w:rsidRPr="00C70995">
        <w:rPr>
          <w:rFonts w:asciiTheme="minorBidi" w:eastAsia="Arial" w:hAnsiTheme="minorBidi" w:cstheme="minorBidi"/>
          <w:sz w:val="24"/>
          <w:szCs w:val="24"/>
        </w:rPr>
        <w:t>Women’s Capacity to Enter into Marriage</w:t>
      </w:r>
      <w:bookmarkEnd w:id="11"/>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sidR="00D02072">
        <w:rPr>
          <w:rFonts w:asciiTheme="minorBidi" w:eastAsia="Arial" w:hAnsiTheme="minorBidi" w:cstheme="minorBidi"/>
          <w:sz w:val="24"/>
          <w:szCs w:val="24"/>
        </w:rPr>
        <w:t xml:space="preserve">          </w:t>
      </w:r>
      <w:r>
        <w:rPr>
          <w:rFonts w:asciiTheme="minorBidi" w:eastAsia="Arial" w:hAnsiTheme="minorBidi" w:cstheme="minorBidi"/>
          <w:sz w:val="24"/>
          <w:szCs w:val="24"/>
        </w:rPr>
        <w:t>Article 16</w:t>
      </w:r>
      <w:bookmarkEnd w:id="12"/>
    </w:p>
    <w:p w14:paraId="0ECDF60E" w14:textId="77777777" w:rsidR="00E26F24" w:rsidRDefault="00E26F24" w:rsidP="00E26F24">
      <w:pPr>
        <w:pBdr>
          <w:top w:val="nil"/>
          <w:left w:val="nil"/>
          <w:bottom w:val="nil"/>
          <w:right w:val="nil"/>
          <w:between w:val="nil"/>
        </w:pBdr>
      </w:pPr>
    </w:p>
    <w:p w14:paraId="0E653CB7" w14:textId="77777777" w:rsidR="00E26F24" w:rsidRPr="00753335" w:rsidRDefault="00E26F24" w:rsidP="000C6DA6">
      <w:pPr>
        <w:jc w:val="both"/>
        <w:rPr>
          <w:rFonts w:ascii="Arial" w:hAnsi="Arial" w:cs="Arial"/>
          <w:b/>
          <w:bCs/>
          <w:i/>
          <w:iCs/>
          <w:color w:val="000000"/>
          <w:sz w:val="20"/>
          <w:szCs w:val="20"/>
        </w:rPr>
      </w:pPr>
      <w:r w:rsidRPr="00753335">
        <w:rPr>
          <w:rFonts w:ascii="Arial" w:hAnsi="Arial" w:cs="Arial"/>
          <w:b/>
          <w:bCs/>
          <w:i/>
          <w:iCs/>
          <w:color w:val="000000"/>
          <w:sz w:val="20"/>
          <w:szCs w:val="20"/>
        </w:rPr>
        <w:t>Guardianship in Marriage</w:t>
      </w:r>
    </w:p>
    <w:p w14:paraId="5CD6F527" w14:textId="77777777" w:rsidR="00E26F24" w:rsidRDefault="00E26F24" w:rsidP="000C6DA6">
      <w:pPr>
        <w:jc w:val="both"/>
        <w:rPr>
          <w:rFonts w:ascii="Arial" w:hAnsi="Arial" w:cs="Arial"/>
          <w:color w:val="000000"/>
          <w:sz w:val="20"/>
          <w:szCs w:val="20"/>
          <w:rtl/>
        </w:rPr>
      </w:pPr>
    </w:p>
    <w:p w14:paraId="3D87BFCD" w14:textId="77777777" w:rsidR="00E26F24" w:rsidRDefault="00E26F24" w:rsidP="000C6DA6">
      <w:pPr>
        <w:jc w:val="both"/>
        <w:rPr>
          <w:rFonts w:ascii="Arial" w:hAnsi="Arial" w:cs="Arial"/>
          <w:sz w:val="20"/>
          <w:szCs w:val="20"/>
        </w:rPr>
      </w:pPr>
      <w:r w:rsidRPr="00F5377B">
        <w:rPr>
          <w:rFonts w:ascii="Arial" w:hAnsi="Arial" w:cs="Arial"/>
          <w:color w:val="000000"/>
          <w:sz w:val="20"/>
          <w:szCs w:val="20"/>
        </w:rPr>
        <w:t xml:space="preserve">Regardless of her age, a </w:t>
      </w:r>
      <w:r w:rsidRPr="00F5377B">
        <w:rPr>
          <w:rFonts w:ascii="Arial" w:hAnsi="Arial" w:cs="Arial"/>
          <w:sz w:val="20"/>
          <w:szCs w:val="20"/>
        </w:rPr>
        <w:t>woman</w:t>
      </w:r>
      <w:r w:rsidRPr="00F5377B">
        <w:rPr>
          <w:rFonts w:ascii="Arial" w:hAnsi="Arial" w:cs="Arial"/>
          <w:color w:val="000000"/>
          <w:sz w:val="20"/>
          <w:szCs w:val="20"/>
        </w:rPr>
        <w:t xml:space="preserve"> must obtain the consent of a m</w:t>
      </w:r>
      <w:r w:rsidRPr="00F5377B">
        <w:rPr>
          <w:rFonts w:ascii="Arial" w:hAnsi="Arial" w:cs="Arial"/>
          <w:sz w:val="20"/>
          <w:szCs w:val="20"/>
        </w:rPr>
        <w:t>ale</w:t>
      </w:r>
      <w:r w:rsidRPr="00F5377B">
        <w:rPr>
          <w:rFonts w:ascii="Arial" w:hAnsi="Arial" w:cs="Arial"/>
          <w:color w:val="000000"/>
          <w:sz w:val="20"/>
          <w:szCs w:val="20"/>
        </w:rPr>
        <w:t xml:space="preserve"> guardian (</w:t>
      </w:r>
      <w:proofErr w:type="spellStart"/>
      <w:r w:rsidRPr="00F5377B">
        <w:rPr>
          <w:rFonts w:ascii="Arial" w:hAnsi="Arial" w:cs="Arial"/>
          <w:i/>
          <w:color w:val="000000"/>
          <w:sz w:val="20"/>
          <w:szCs w:val="20"/>
        </w:rPr>
        <w:t>wali</w:t>
      </w:r>
      <w:proofErr w:type="spellEnd"/>
      <w:r w:rsidRPr="00F5377B">
        <w:rPr>
          <w:rFonts w:ascii="Arial" w:hAnsi="Arial" w:cs="Arial"/>
          <w:color w:val="000000"/>
          <w:sz w:val="20"/>
          <w:szCs w:val="20"/>
        </w:rPr>
        <w:t>) in order to enter into marriage</w:t>
      </w:r>
      <w:r w:rsidRPr="00F5377B">
        <w:rPr>
          <w:rFonts w:ascii="Arial" w:hAnsi="Arial" w:cs="Arial"/>
          <w:sz w:val="20"/>
          <w:szCs w:val="20"/>
        </w:rPr>
        <w:t>.</w:t>
      </w:r>
      <w:r w:rsidRPr="00F5377B">
        <w:rPr>
          <w:rStyle w:val="FootnoteReference"/>
          <w:rFonts w:ascii="Arial" w:hAnsi="Arial" w:cs="Arial"/>
          <w:sz w:val="20"/>
          <w:szCs w:val="20"/>
        </w:rPr>
        <w:footnoteReference w:id="19"/>
      </w:r>
      <w:r w:rsidRPr="00F5377B">
        <w:rPr>
          <w:rFonts w:ascii="Arial" w:hAnsi="Arial" w:cs="Arial"/>
          <w:sz w:val="20"/>
          <w:szCs w:val="20"/>
        </w:rPr>
        <w:t xml:space="preserve"> I</w:t>
      </w:r>
      <w:r w:rsidRPr="00F5377B">
        <w:rPr>
          <w:rFonts w:ascii="Arial" w:hAnsi="Arial" w:cs="Arial"/>
          <w:color w:val="000000"/>
          <w:sz w:val="20"/>
          <w:szCs w:val="20"/>
        </w:rPr>
        <w:t xml:space="preserve">f the guardian does not consent to the marriage, the </w:t>
      </w:r>
      <w:r w:rsidRPr="00F5377B">
        <w:rPr>
          <w:rFonts w:ascii="Arial" w:hAnsi="Arial" w:cs="Arial"/>
          <w:sz w:val="20"/>
          <w:szCs w:val="20"/>
        </w:rPr>
        <w:t>woman may only enter into marriage after seeking authorization of a judge</w:t>
      </w:r>
      <w:r w:rsidRPr="00F5377B">
        <w:rPr>
          <w:rFonts w:ascii="Arial" w:hAnsi="Arial" w:cs="Arial"/>
          <w:color w:val="000000"/>
          <w:sz w:val="20"/>
          <w:szCs w:val="20"/>
        </w:rPr>
        <w:t>.</w:t>
      </w:r>
      <w:r w:rsidRPr="00F5377B">
        <w:rPr>
          <w:rFonts w:ascii="Arial" w:hAnsi="Arial" w:cs="Arial"/>
          <w:color w:val="000000"/>
          <w:sz w:val="20"/>
          <w:szCs w:val="20"/>
          <w:vertAlign w:val="superscript"/>
        </w:rPr>
        <w:footnoteReference w:id="20"/>
      </w:r>
      <w:r w:rsidRPr="00F5377B">
        <w:rPr>
          <w:rFonts w:ascii="Arial" w:hAnsi="Arial" w:cs="Arial"/>
          <w:color w:val="000000"/>
          <w:sz w:val="20"/>
          <w:szCs w:val="20"/>
        </w:rPr>
        <w:t xml:space="preserve"> </w:t>
      </w:r>
      <w:r w:rsidRPr="00F5377B">
        <w:rPr>
          <w:rFonts w:ascii="Arial" w:hAnsi="Arial" w:cs="Arial"/>
          <w:sz w:val="20"/>
          <w:szCs w:val="20"/>
        </w:rPr>
        <w:t>The Personal Status Law specifies the order of male relatives who may take this guardianship role, prioritizing a woman’s father, followed by a son, brother, and uncle.</w:t>
      </w:r>
      <w:r w:rsidRPr="00F5377B">
        <w:rPr>
          <w:rStyle w:val="FootnoteReference"/>
          <w:rFonts w:ascii="Arial" w:hAnsi="Arial" w:cs="Arial"/>
          <w:sz w:val="20"/>
          <w:szCs w:val="20"/>
        </w:rPr>
        <w:footnoteReference w:id="21"/>
      </w:r>
      <w:r w:rsidRPr="00F5377B">
        <w:rPr>
          <w:rFonts w:ascii="Arial" w:hAnsi="Arial" w:cs="Arial"/>
          <w:sz w:val="20"/>
          <w:szCs w:val="20"/>
        </w:rPr>
        <w:t xml:space="preserve"> In all cases, a Muslim woman’s guardian must be an adult Muslim man of sound reasoning.</w:t>
      </w:r>
      <w:r w:rsidRPr="00F5377B">
        <w:rPr>
          <w:rStyle w:val="FootnoteReference"/>
          <w:rFonts w:ascii="Arial" w:hAnsi="Arial" w:cs="Arial"/>
          <w:sz w:val="20"/>
          <w:szCs w:val="20"/>
        </w:rPr>
        <w:footnoteReference w:id="22"/>
      </w:r>
      <w:r w:rsidRPr="00F5377B">
        <w:rPr>
          <w:rFonts w:ascii="Arial" w:hAnsi="Arial" w:cs="Arial"/>
          <w:sz w:val="20"/>
          <w:szCs w:val="20"/>
        </w:rPr>
        <w:t xml:space="preserve"> </w:t>
      </w:r>
      <w:r>
        <w:rPr>
          <w:rFonts w:ascii="Arial" w:hAnsi="Arial" w:cs="Arial"/>
          <w:sz w:val="20"/>
          <w:szCs w:val="20"/>
        </w:rPr>
        <w:t>By contrast, a man may choose his spouse freely and independently.</w:t>
      </w:r>
    </w:p>
    <w:p w14:paraId="1BD5F756" w14:textId="77777777" w:rsidR="00E26F24" w:rsidRDefault="00E26F24" w:rsidP="000C6DA6">
      <w:pPr>
        <w:jc w:val="both"/>
        <w:rPr>
          <w:rFonts w:ascii="Arial" w:hAnsi="Arial" w:cs="Arial"/>
          <w:sz w:val="20"/>
          <w:szCs w:val="20"/>
        </w:rPr>
      </w:pPr>
    </w:p>
    <w:p w14:paraId="7A7E6C3D" w14:textId="77777777" w:rsidR="00E26F24" w:rsidRPr="00F5377B" w:rsidRDefault="00E26F24" w:rsidP="000C6DA6">
      <w:pPr>
        <w:jc w:val="both"/>
        <w:rPr>
          <w:rFonts w:ascii="Arial" w:hAnsi="Arial" w:cs="Arial"/>
          <w:sz w:val="20"/>
          <w:szCs w:val="20"/>
        </w:rPr>
      </w:pPr>
      <w:r>
        <w:rPr>
          <w:rFonts w:ascii="Arial" w:hAnsi="Arial" w:cs="Arial"/>
          <w:sz w:val="20"/>
          <w:szCs w:val="20"/>
        </w:rPr>
        <w:t>The law stipulates that a male guardian contracts a woman’s marriage after obtaining her consent and that a marriage contract is invalid in the absence of a woman’s guardian.</w:t>
      </w:r>
      <w:r>
        <w:rPr>
          <w:rStyle w:val="FootnoteReference"/>
          <w:rFonts w:ascii="Arial" w:hAnsi="Arial" w:cs="Arial"/>
          <w:sz w:val="20"/>
          <w:szCs w:val="20"/>
        </w:rPr>
        <w:footnoteReference w:id="23"/>
      </w:r>
      <w:r>
        <w:rPr>
          <w:rFonts w:ascii="Arial" w:hAnsi="Arial" w:cs="Arial"/>
          <w:sz w:val="20"/>
          <w:szCs w:val="20"/>
        </w:rPr>
        <w:t xml:space="preserve"> Even in cases where such a marriage was consummated, the law provides that the marriage contract is annulled and the married couple are to be separated, with no mention of consulting the woman’s wishes on the matter of dissolution.</w:t>
      </w:r>
      <w:r>
        <w:rPr>
          <w:rStyle w:val="FootnoteReference"/>
          <w:rFonts w:ascii="Arial" w:hAnsi="Arial" w:cs="Arial"/>
          <w:sz w:val="20"/>
          <w:szCs w:val="20"/>
        </w:rPr>
        <w:footnoteReference w:id="24"/>
      </w:r>
      <w:r>
        <w:rPr>
          <w:rFonts w:ascii="Arial" w:hAnsi="Arial" w:cs="Arial"/>
          <w:sz w:val="20"/>
          <w:szCs w:val="20"/>
        </w:rPr>
        <w:t xml:space="preserve"> </w:t>
      </w:r>
      <w:r w:rsidRPr="00F5377B">
        <w:rPr>
          <w:rFonts w:ascii="Arial" w:hAnsi="Arial" w:cs="Arial"/>
          <w:color w:val="000000"/>
          <w:sz w:val="20"/>
          <w:szCs w:val="20"/>
        </w:rPr>
        <w:t xml:space="preserve">The law also requires a prospective husband to be “suitably qualified to deserve the </w:t>
      </w:r>
      <w:r w:rsidRPr="00F5377B">
        <w:rPr>
          <w:rFonts w:ascii="Arial" w:hAnsi="Arial" w:cs="Arial"/>
          <w:color w:val="000000"/>
          <w:sz w:val="20"/>
          <w:szCs w:val="20"/>
        </w:rPr>
        <w:lastRenderedPageBreak/>
        <w:t>woman” at the time of contracting the marriage</w:t>
      </w:r>
      <w:r>
        <w:rPr>
          <w:rFonts w:ascii="Arial" w:hAnsi="Arial" w:cs="Arial"/>
          <w:color w:val="000000"/>
          <w:sz w:val="20"/>
          <w:szCs w:val="20"/>
        </w:rPr>
        <w:t xml:space="preserve"> and authorizes a guardian to request the annulment</w:t>
      </w:r>
      <w:r w:rsidRPr="00F5377B">
        <w:rPr>
          <w:rFonts w:ascii="Arial" w:hAnsi="Arial" w:cs="Arial"/>
          <w:color w:val="000000"/>
          <w:sz w:val="20"/>
          <w:szCs w:val="20"/>
        </w:rPr>
        <w:t xml:space="preserve"> of marriage if he subsequently discovers the husband had not been suitably qualified.</w:t>
      </w:r>
      <w:r w:rsidRPr="00F5377B">
        <w:rPr>
          <w:rStyle w:val="FootnoteReference"/>
          <w:rFonts w:ascii="Arial" w:hAnsi="Arial" w:cs="Arial"/>
          <w:color w:val="000000"/>
          <w:sz w:val="20"/>
          <w:szCs w:val="20"/>
        </w:rPr>
        <w:footnoteReference w:id="25"/>
      </w:r>
      <w:r w:rsidRPr="00F5377B">
        <w:rPr>
          <w:rFonts w:ascii="Arial" w:hAnsi="Arial" w:cs="Arial"/>
          <w:color w:val="000000"/>
          <w:sz w:val="20"/>
          <w:szCs w:val="20"/>
        </w:rPr>
        <w:t xml:space="preserve"> </w:t>
      </w:r>
    </w:p>
    <w:p w14:paraId="5F0B63BC" w14:textId="77777777" w:rsidR="00E26F24" w:rsidRPr="00F5377B" w:rsidRDefault="00E26F24" w:rsidP="000C6DA6">
      <w:pPr>
        <w:jc w:val="both"/>
        <w:rPr>
          <w:rFonts w:ascii="Arial" w:hAnsi="Arial" w:cs="Arial"/>
          <w:color w:val="000000"/>
          <w:sz w:val="20"/>
          <w:szCs w:val="20"/>
        </w:rPr>
      </w:pPr>
    </w:p>
    <w:p w14:paraId="52FDFBA3" w14:textId="3FAD31EA" w:rsidR="00E26F24" w:rsidRPr="00DD0113" w:rsidRDefault="00E26F24" w:rsidP="000C6DA6">
      <w:pPr>
        <w:pStyle w:val="NoSpacing"/>
        <w:numPr>
          <w:ilvl w:val="0"/>
          <w:numId w:val="0"/>
        </w:numPr>
        <w:spacing w:after="240"/>
        <w:jc w:val="both"/>
        <w:rPr>
          <w:rFonts w:cs="Arial"/>
        </w:rPr>
      </w:pPr>
      <w:r w:rsidRPr="00F5377B">
        <w:rPr>
          <w:rFonts w:cs="Arial"/>
        </w:rPr>
        <w:t xml:space="preserve">In cases where no male guardian is available or has unreasonably refused to authorize the marriage (in what is known as an </w:t>
      </w:r>
      <w:r w:rsidRPr="00F5377B">
        <w:rPr>
          <w:rFonts w:cs="Arial"/>
          <w:i/>
          <w:iCs/>
        </w:rPr>
        <w:t>‘</w:t>
      </w:r>
      <w:proofErr w:type="spellStart"/>
      <w:r w:rsidRPr="00F5377B">
        <w:rPr>
          <w:rFonts w:cs="Arial"/>
          <w:i/>
          <w:iCs/>
        </w:rPr>
        <w:t>adhl</w:t>
      </w:r>
      <w:proofErr w:type="spellEnd"/>
      <w:r w:rsidRPr="00F5377B">
        <w:rPr>
          <w:rFonts w:cs="Arial"/>
          <w:i/>
          <w:iCs/>
        </w:rPr>
        <w:t xml:space="preserve"> </w:t>
      </w:r>
      <w:r w:rsidRPr="00F5377B">
        <w:rPr>
          <w:rFonts w:cs="Arial"/>
        </w:rPr>
        <w:t>case), a judge act</w:t>
      </w:r>
      <w:r w:rsidR="00045DC0">
        <w:rPr>
          <w:rFonts w:cs="Arial"/>
        </w:rPr>
        <w:t>s</w:t>
      </w:r>
      <w:r w:rsidRPr="00F5377B">
        <w:rPr>
          <w:rFonts w:cs="Arial"/>
        </w:rPr>
        <w:t xml:space="preserve"> as the woman’s guardian for purposes of contracting a marriage.</w:t>
      </w:r>
      <w:r w:rsidRPr="00F5377B">
        <w:rPr>
          <w:rStyle w:val="FootnoteReference"/>
          <w:rFonts w:cs="Arial"/>
        </w:rPr>
        <w:footnoteReference w:id="26"/>
      </w:r>
      <w:r w:rsidRPr="00F5377B">
        <w:rPr>
          <w:rFonts w:cs="Arial"/>
          <w:rtl/>
        </w:rPr>
        <w:t xml:space="preserve"> </w:t>
      </w:r>
      <w:r w:rsidRPr="00F5377B">
        <w:rPr>
          <w:rFonts w:cs="Arial"/>
        </w:rPr>
        <w:t xml:space="preserve">In practice, however, it remains socially and practically difficult for a woman to bring an </w:t>
      </w:r>
      <w:r w:rsidRPr="00F5377B">
        <w:rPr>
          <w:rFonts w:cs="Arial"/>
          <w:i/>
          <w:iCs/>
        </w:rPr>
        <w:t>‘</w:t>
      </w:r>
      <w:proofErr w:type="spellStart"/>
      <w:r w:rsidRPr="00F5377B">
        <w:rPr>
          <w:rFonts w:cs="Arial"/>
          <w:i/>
          <w:iCs/>
        </w:rPr>
        <w:t>adhl</w:t>
      </w:r>
      <w:proofErr w:type="spellEnd"/>
      <w:r w:rsidRPr="00F5377B">
        <w:rPr>
          <w:rFonts w:cs="Arial"/>
          <w:i/>
          <w:iCs/>
        </w:rPr>
        <w:t xml:space="preserve"> </w:t>
      </w:r>
      <w:r w:rsidRPr="00F5377B">
        <w:rPr>
          <w:rFonts w:cs="Arial"/>
        </w:rPr>
        <w:t xml:space="preserve">case to court, which essentially requires a woman to challenge her male guardian, often a father or another male authority figure in her family, </w:t>
      </w:r>
      <w:r w:rsidRPr="00471C44">
        <w:rPr>
          <w:rFonts w:cs="Arial"/>
        </w:rPr>
        <w:t xml:space="preserve">before </w:t>
      </w:r>
      <w:r w:rsidR="00471C44" w:rsidRPr="00471C44">
        <w:rPr>
          <w:rFonts w:cs="Arial"/>
        </w:rPr>
        <w:t xml:space="preserve">going to </w:t>
      </w:r>
      <w:r w:rsidRPr="00471C44">
        <w:rPr>
          <w:rFonts w:cs="Arial"/>
        </w:rPr>
        <w:t>court.</w:t>
      </w:r>
      <w:r w:rsidRPr="00471C44">
        <w:rPr>
          <w:rStyle w:val="FootnoteReference"/>
          <w:rFonts w:cs="Arial"/>
        </w:rPr>
        <w:footnoteReference w:id="27"/>
      </w:r>
      <w:r w:rsidRPr="00F5377B">
        <w:rPr>
          <w:rFonts w:cs="Arial"/>
        </w:rPr>
        <w:t xml:space="preserve"> </w:t>
      </w:r>
      <w:r w:rsidRPr="00F5377B">
        <w:rPr>
          <w:rFonts w:eastAsia="Arial" w:cs="Arial"/>
          <w:color w:val="2C2C2C"/>
        </w:rPr>
        <w:t>If such a request was denied, the woman would have to return to her family against whom she had brought a lawsuit</w:t>
      </w:r>
      <w:r w:rsidR="00233AE3">
        <w:rPr>
          <w:rFonts w:eastAsia="Arial" w:cs="Arial"/>
          <w:color w:val="2C2C2C"/>
        </w:rPr>
        <w:t>. M</w:t>
      </w:r>
      <w:r w:rsidRPr="00F5377B">
        <w:rPr>
          <w:rFonts w:eastAsia="Arial" w:cs="Arial"/>
          <w:color w:val="2C2C2C"/>
        </w:rPr>
        <w:t>any women opt to submit to the will of their guardians for fear of social ostracization or retribution by their own families.</w:t>
      </w:r>
      <w:r w:rsidRPr="00F5377B">
        <w:rPr>
          <w:rStyle w:val="FootnoteReference"/>
          <w:rFonts w:eastAsia="Arial" w:cs="Arial"/>
          <w:color w:val="2C2C2C"/>
        </w:rPr>
        <w:footnoteReference w:id="28"/>
      </w:r>
      <w:r w:rsidRPr="00F5377B">
        <w:rPr>
          <w:rFonts w:eastAsia="Arial" w:cs="Arial"/>
          <w:color w:val="2C2C2C"/>
        </w:rPr>
        <w:t xml:space="preserve"> Despite a number of successful recent cases whereby a court ruled to authorize a marriage due to a finding of </w:t>
      </w:r>
      <w:r w:rsidRPr="00F5377B">
        <w:rPr>
          <w:rFonts w:eastAsia="Arial" w:cs="Arial"/>
          <w:i/>
          <w:iCs/>
          <w:color w:val="2C2C2C"/>
        </w:rPr>
        <w:t>‘</w:t>
      </w:r>
      <w:proofErr w:type="spellStart"/>
      <w:r w:rsidRPr="00F5377B">
        <w:rPr>
          <w:rFonts w:eastAsia="Arial" w:cs="Arial"/>
          <w:i/>
          <w:iCs/>
          <w:color w:val="2C2C2C"/>
        </w:rPr>
        <w:t>adhl</w:t>
      </w:r>
      <w:proofErr w:type="spellEnd"/>
      <w:r w:rsidRPr="00F5377B">
        <w:rPr>
          <w:rFonts w:eastAsia="Arial" w:cs="Arial"/>
          <w:color w:val="2C2C2C"/>
        </w:rPr>
        <w:t xml:space="preserve">, research indicates that such cases often face significant delays, </w:t>
      </w:r>
      <w:r w:rsidR="00045DC0">
        <w:rPr>
          <w:rFonts w:eastAsia="Arial" w:cs="Arial"/>
          <w:color w:val="2C2C2C"/>
        </w:rPr>
        <w:t xml:space="preserve">taking </w:t>
      </w:r>
      <w:r w:rsidRPr="00F5377B">
        <w:rPr>
          <w:rFonts w:eastAsia="Arial" w:cs="Arial"/>
          <w:color w:val="2C2C2C"/>
        </w:rPr>
        <w:t>up to two years in court.</w:t>
      </w:r>
      <w:r w:rsidRPr="00F5377B">
        <w:rPr>
          <w:rStyle w:val="FootnoteReference"/>
          <w:rFonts w:eastAsia="Arial" w:cs="Arial"/>
          <w:color w:val="2C2C2C"/>
        </w:rPr>
        <w:footnoteReference w:id="29"/>
      </w:r>
      <w:r w:rsidRPr="00F5377B">
        <w:rPr>
          <w:rFonts w:eastAsia="Arial" w:cs="Arial"/>
          <w:color w:val="2C2C2C"/>
        </w:rPr>
        <w:t xml:space="preserve"> Moreover, the Personal Status Law </w:t>
      </w:r>
      <w:r w:rsidRPr="00F5377B">
        <w:rPr>
          <w:rFonts w:cs="Arial"/>
        </w:rPr>
        <w:t xml:space="preserve">does not specify on what basis a judge can accept or reject a woman’s request to get married, leaving the matter to </w:t>
      </w:r>
      <w:r w:rsidR="00045DC0">
        <w:rPr>
          <w:rFonts w:cs="Arial"/>
        </w:rPr>
        <w:t xml:space="preserve">the </w:t>
      </w:r>
      <w:r w:rsidRPr="00DD0113">
        <w:rPr>
          <w:rFonts w:cs="Arial"/>
        </w:rPr>
        <w:t xml:space="preserve">unfettered discretion of each individual judge. </w:t>
      </w:r>
    </w:p>
    <w:p w14:paraId="74AB7BF8" w14:textId="7260AF3A" w:rsidR="00E26F24" w:rsidRPr="00DD0113" w:rsidRDefault="00E26F24" w:rsidP="000C6DA6">
      <w:pPr>
        <w:pStyle w:val="NoSpacing"/>
        <w:numPr>
          <w:ilvl w:val="0"/>
          <w:numId w:val="0"/>
        </w:numPr>
        <w:spacing w:after="240"/>
        <w:jc w:val="both"/>
        <w:rPr>
          <w:rFonts w:cs="Arial"/>
        </w:rPr>
      </w:pPr>
      <w:r w:rsidRPr="00DD0113">
        <w:rPr>
          <w:rFonts w:cs="Arial"/>
        </w:rPr>
        <w:t>The adverse impact on a</w:t>
      </w:r>
      <w:r w:rsidR="00045DC0">
        <w:rPr>
          <w:rFonts w:cs="Arial"/>
        </w:rPr>
        <w:t>n adult</w:t>
      </w:r>
      <w:r w:rsidRPr="00DD0113">
        <w:rPr>
          <w:rFonts w:cs="Arial"/>
        </w:rPr>
        <w:t xml:space="preserve"> woman’s ability to enter into marriage </w:t>
      </w:r>
      <w:r w:rsidR="00045DC0">
        <w:rPr>
          <w:rFonts w:cs="Arial"/>
        </w:rPr>
        <w:t>of</w:t>
      </w:r>
      <w:r w:rsidRPr="00DD0113">
        <w:rPr>
          <w:rFonts w:cs="Arial"/>
        </w:rPr>
        <w:t xml:space="preserve"> her own free will because of a guardian’s exercise of authority, including the right to request an annulment of a marriage on the basis of unsuitability or simple unwillingness to authorize a marriage, </w:t>
      </w:r>
      <w:r w:rsidR="00045DC0">
        <w:rPr>
          <w:rFonts w:cs="Arial"/>
        </w:rPr>
        <w:t>must</w:t>
      </w:r>
      <w:r w:rsidRPr="00DD0113">
        <w:rPr>
          <w:rFonts w:cs="Arial"/>
        </w:rPr>
        <w:t xml:space="preserve"> not be underestimated.</w:t>
      </w:r>
    </w:p>
    <w:p w14:paraId="71BFDE8A" w14:textId="77777777" w:rsidR="00E26F24" w:rsidRPr="00DD0113" w:rsidRDefault="00E26F24" w:rsidP="000C6DA6">
      <w:pPr>
        <w:spacing w:after="240"/>
        <w:jc w:val="both"/>
        <w:rPr>
          <w:rFonts w:ascii="Arial" w:hAnsi="Arial" w:cs="Arial"/>
          <w:b/>
          <w:bCs/>
          <w:i/>
          <w:iCs/>
          <w:sz w:val="20"/>
          <w:szCs w:val="20"/>
        </w:rPr>
      </w:pPr>
      <w:r w:rsidRPr="00DD0113">
        <w:rPr>
          <w:rFonts w:ascii="Arial" w:hAnsi="Arial" w:cs="Arial"/>
          <w:b/>
          <w:bCs/>
          <w:i/>
          <w:iCs/>
          <w:sz w:val="20"/>
          <w:szCs w:val="20"/>
        </w:rPr>
        <w:t>Forced Marriage</w:t>
      </w:r>
    </w:p>
    <w:p w14:paraId="2163E54A" w14:textId="022F4061" w:rsidR="00927038" w:rsidRDefault="00E26F24" w:rsidP="00927038">
      <w:pPr>
        <w:widowControl w:val="0"/>
        <w:jc w:val="both"/>
        <w:rPr>
          <w:rFonts w:ascii="Arial" w:hAnsi="Arial" w:cs="Arial"/>
          <w:sz w:val="20"/>
          <w:szCs w:val="20"/>
        </w:rPr>
      </w:pPr>
      <w:r w:rsidRPr="00DD0113">
        <w:rPr>
          <w:rFonts w:ascii="Arial" w:hAnsi="Arial" w:cs="Arial"/>
          <w:sz w:val="20"/>
          <w:szCs w:val="20"/>
        </w:rPr>
        <w:t>The Personal Status Law states that the consent of both the bride and her guardian are required in order to officiate a marriage.</w:t>
      </w:r>
      <w:r w:rsidRPr="00DD0113">
        <w:rPr>
          <w:rStyle w:val="FootnoteReference"/>
          <w:rFonts w:ascii="Arial" w:hAnsi="Arial" w:cs="Arial"/>
          <w:sz w:val="20"/>
          <w:szCs w:val="20"/>
        </w:rPr>
        <w:footnoteReference w:id="30"/>
      </w:r>
      <w:r w:rsidRPr="00DD0113">
        <w:rPr>
          <w:rFonts w:ascii="Arial" w:hAnsi="Arial" w:cs="Arial"/>
          <w:sz w:val="20"/>
          <w:szCs w:val="20"/>
        </w:rPr>
        <w:t xml:space="preserve"> However, limiting a woman’s legal capacity to make independent decisions in marriage, and empowering male guardians to significantly control a woman’s marriage choices, in turn</w:t>
      </w:r>
      <w:r w:rsidR="0024631A">
        <w:rPr>
          <w:rFonts w:ascii="Arial" w:hAnsi="Arial" w:cs="Arial"/>
          <w:sz w:val="20"/>
          <w:szCs w:val="20"/>
        </w:rPr>
        <w:t>,</w:t>
      </w:r>
      <w:r w:rsidRPr="00DD0113">
        <w:rPr>
          <w:rFonts w:ascii="Arial" w:hAnsi="Arial" w:cs="Arial"/>
          <w:sz w:val="20"/>
          <w:szCs w:val="20"/>
        </w:rPr>
        <w:t xml:space="preserve"> enables the abuse of guardian powers and the coercion of women into unwanted marriages. Particularly in tribal and remote settings, women can be vulnerable to the control of their male relatives and are forced to contend with either submitting to the choices of </w:t>
      </w:r>
      <w:r w:rsidR="00233AE3">
        <w:rPr>
          <w:rFonts w:ascii="Arial" w:hAnsi="Arial" w:cs="Arial"/>
          <w:sz w:val="20"/>
          <w:szCs w:val="20"/>
        </w:rPr>
        <w:t>t</w:t>
      </w:r>
      <w:r w:rsidRPr="00DD0113">
        <w:rPr>
          <w:rFonts w:ascii="Arial" w:hAnsi="Arial" w:cs="Arial"/>
          <w:sz w:val="20"/>
          <w:szCs w:val="20"/>
        </w:rPr>
        <w:t>he</w:t>
      </w:r>
      <w:r w:rsidR="00233AE3">
        <w:rPr>
          <w:rFonts w:ascii="Arial" w:hAnsi="Arial" w:cs="Arial"/>
          <w:sz w:val="20"/>
          <w:szCs w:val="20"/>
        </w:rPr>
        <w:t>i</w:t>
      </w:r>
      <w:r w:rsidRPr="00DD0113">
        <w:rPr>
          <w:rFonts w:ascii="Arial" w:hAnsi="Arial" w:cs="Arial"/>
          <w:sz w:val="20"/>
          <w:szCs w:val="20"/>
        </w:rPr>
        <w:t>r guardian</w:t>
      </w:r>
      <w:r w:rsidR="00233AE3">
        <w:rPr>
          <w:rFonts w:ascii="Arial" w:hAnsi="Arial" w:cs="Arial"/>
          <w:sz w:val="20"/>
          <w:szCs w:val="20"/>
        </w:rPr>
        <w:t>s</w:t>
      </w:r>
      <w:r w:rsidRPr="00DD0113">
        <w:rPr>
          <w:rFonts w:ascii="Arial" w:hAnsi="Arial" w:cs="Arial"/>
          <w:sz w:val="20"/>
          <w:szCs w:val="20"/>
        </w:rPr>
        <w:t xml:space="preserve"> or otherwise be</w:t>
      </w:r>
      <w:r w:rsidR="00233AE3">
        <w:rPr>
          <w:rFonts w:ascii="Arial" w:hAnsi="Arial" w:cs="Arial"/>
          <w:sz w:val="20"/>
          <w:szCs w:val="20"/>
        </w:rPr>
        <w:t>ing</w:t>
      </w:r>
      <w:r w:rsidRPr="00DD0113">
        <w:rPr>
          <w:rFonts w:ascii="Arial" w:hAnsi="Arial" w:cs="Arial"/>
          <w:sz w:val="20"/>
          <w:szCs w:val="20"/>
        </w:rPr>
        <w:t xml:space="preserve"> prevented from enterin</w:t>
      </w:r>
      <w:r w:rsidR="00FC475C">
        <w:rPr>
          <w:rFonts w:ascii="Arial" w:hAnsi="Arial" w:cs="Arial"/>
          <w:sz w:val="20"/>
          <w:szCs w:val="20"/>
        </w:rPr>
        <w:t>g</w:t>
      </w:r>
      <w:r w:rsidRPr="00DD0113">
        <w:rPr>
          <w:rFonts w:ascii="Arial" w:hAnsi="Arial" w:cs="Arial"/>
          <w:sz w:val="20"/>
          <w:szCs w:val="20"/>
        </w:rPr>
        <w:t xml:space="preserve"> marriage</w:t>
      </w:r>
      <w:r w:rsidR="00233AE3">
        <w:rPr>
          <w:rFonts w:ascii="Arial" w:hAnsi="Arial" w:cs="Arial"/>
          <w:sz w:val="20"/>
          <w:szCs w:val="20"/>
        </w:rPr>
        <w:t>s</w:t>
      </w:r>
      <w:r w:rsidRPr="00DD0113">
        <w:rPr>
          <w:rFonts w:ascii="Arial" w:hAnsi="Arial" w:cs="Arial"/>
          <w:sz w:val="20"/>
          <w:szCs w:val="20"/>
        </w:rPr>
        <w:t xml:space="preserve"> of </w:t>
      </w:r>
      <w:r w:rsidR="00233AE3">
        <w:rPr>
          <w:rFonts w:ascii="Arial" w:hAnsi="Arial" w:cs="Arial"/>
          <w:sz w:val="20"/>
          <w:szCs w:val="20"/>
        </w:rPr>
        <w:t>t</w:t>
      </w:r>
      <w:r w:rsidRPr="00DD0113">
        <w:rPr>
          <w:rFonts w:ascii="Arial" w:hAnsi="Arial" w:cs="Arial"/>
          <w:sz w:val="20"/>
          <w:szCs w:val="20"/>
        </w:rPr>
        <w:t>he</w:t>
      </w:r>
      <w:r w:rsidR="00233AE3">
        <w:rPr>
          <w:rFonts w:ascii="Arial" w:hAnsi="Arial" w:cs="Arial"/>
          <w:sz w:val="20"/>
          <w:szCs w:val="20"/>
        </w:rPr>
        <w:t>i</w:t>
      </w:r>
      <w:r w:rsidRPr="00DD0113">
        <w:rPr>
          <w:rFonts w:ascii="Arial" w:hAnsi="Arial" w:cs="Arial"/>
          <w:sz w:val="20"/>
          <w:szCs w:val="20"/>
        </w:rPr>
        <w:t>r choosing.</w:t>
      </w:r>
      <w:r w:rsidRPr="00DD0113">
        <w:rPr>
          <w:rStyle w:val="FootnoteReference"/>
          <w:rFonts w:ascii="Arial" w:hAnsi="Arial" w:cs="Arial"/>
          <w:sz w:val="20"/>
          <w:szCs w:val="20"/>
        </w:rPr>
        <w:footnoteReference w:id="31"/>
      </w:r>
      <w:r w:rsidRPr="00DD0113">
        <w:rPr>
          <w:rFonts w:ascii="Arial" w:hAnsi="Arial" w:cs="Arial"/>
          <w:sz w:val="20"/>
          <w:szCs w:val="20"/>
        </w:rPr>
        <w:t xml:space="preserve"> There is no provision in the law to enable a woman to request annulment of a marriage that was contracted under coercion, and no penalties for forcing a woman to marry against her will. </w:t>
      </w:r>
    </w:p>
    <w:p w14:paraId="526FF1A1" w14:textId="77777777" w:rsidR="001C7C97" w:rsidRDefault="001C7C97" w:rsidP="00927038">
      <w:pPr>
        <w:widowControl w:val="0"/>
        <w:jc w:val="both"/>
        <w:rPr>
          <w:rFonts w:ascii="Arial" w:hAnsi="Arial" w:cs="Arial"/>
          <w:sz w:val="20"/>
          <w:szCs w:val="20"/>
        </w:rPr>
      </w:pPr>
    </w:p>
    <w:p w14:paraId="7982094C" w14:textId="2B9588C1" w:rsidR="00927038" w:rsidRPr="00DD0113" w:rsidRDefault="00927038" w:rsidP="001C7C97">
      <w:pPr>
        <w:widowControl w:val="0"/>
        <w:jc w:val="both"/>
        <w:rPr>
          <w:rFonts w:ascii="Arial" w:hAnsi="Arial" w:cs="Arial"/>
          <w:sz w:val="20"/>
          <w:szCs w:val="20"/>
        </w:rPr>
      </w:pPr>
      <w:r>
        <w:rPr>
          <w:rFonts w:ascii="Arial" w:hAnsi="Arial" w:cs="Arial"/>
          <w:noProof/>
          <w:sz w:val="20"/>
          <w:szCs w:val="20"/>
        </w:rPr>
        <w:drawing>
          <wp:inline distT="0" distB="0" distL="0" distR="0" wp14:anchorId="28FCD037" wp14:editId="59214198">
            <wp:extent cx="5664200" cy="3186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64200" cy="3186430"/>
                    </a:xfrm>
                    <a:prstGeom prst="rect">
                      <a:avLst/>
                    </a:prstGeom>
                  </pic:spPr>
                </pic:pic>
              </a:graphicData>
            </a:graphic>
          </wp:inline>
        </w:drawing>
      </w:r>
    </w:p>
    <w:p w14:paraId="0BDB19D7" w14:textId="77777777" w:rsidR="00E26F24" w:rsidRPr="00DD0113" w:rsidRDefault="00E26F24" w:rsidP="00E26F24">
      <w:pPr>
        <w:widowControl w:val="0"/>
        <w:rPr>
          <w:rFonts w:ascii="Arial" w:hAnsi="Arial" w:cs="Arial"/>
          <w:sz w:val="20"/>
          <w:szCs w:val="20"/>
        </w:rPr>
      </w:pPr>
      <w:r w:rsidRPr="00DD0113">
        <w:rPr>
          <w:rFonts w:ascii="Arial" w:hAnsi="Arial" w:cs="Arial"/>
          <w:sz w:val="20"/>
          <w:szCs w:val="20"/>
        </w:rPr>
        <w:t xml:space="preserve">  </w:t>
      </w:r>
    </w:p>
    <w:tbl>
      <w:tblPr>
        <w:tblW w:w="89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17"/>
      </w:tblGrid>
      <w:tr w:rsidR="00E26F24" w:rsidRPr="00DD0113" w14:paraId="153BE228" w14:textId="77777777" w:rsidTr="000C6DA6">
        <w:trPr>
          <w:trHeight w:val="2352"/>
        </w:trPr>
        <w:tc>
          <w:tcPr>
            <w:tcW w:w="8917" w:type="dxa"/>
            <w:shd w:val="clear" w:color="auto" w:fill="D9D9D9" w:themeFill="background1" w:themeFillShade="D9"/>
            <w:tcMar>
              <w:top w:w="100" w:type="dxa"/>
              <w:left w:w="100" w:type="dxa"/>
              <w:bottom w:w="100" w:type="dxa"/>
              <w:right w:w="100" w:type="dxa"/>
            </w:tcMar>
          </w:tcPr>
          <w:p w14:paraId="6F7B1209" w14:textId="4468F07F" w:rsidR="00E26F24" w:rsidRPr="00E91344" w:rsidRDefault="00E26F24" w:rsidP="00E81126">
            <w:pPr>
              <w:widowControl w:val="0"/>
              <w:spacing w:before="240" w:after="240"/>
              <w:rPr>
                <w:rFonts w:ascii="Arial" w:hAnsi="Arial" w:cs="Arial"/>
                <w:b/>
                <w:sz w:val="20"/>
                <w:szCs w:val="20"/>
                <w:u w:val="single"/>
              </w:rPr>
            </w:pPr>
            <w:r w:rsidRPr="00E91344">
              <w:rPr>
                <w:rFonts w:ascii="Arial" w:hAnsi="Arial" w:cs="Arial"/>
                <w:b/>
                <w:sz w:val="20"/>
                <w:szCs w:val="20"/>
                <w:u w:val="single"/>
              </w:rPr>
              <w:lastRenderedPageBreak/>
              <w:t>RECOMMENDATIONS</w:t>
            </w:r>
          </w:p>
          <w:p w14:paraId="08DF1A4C" w14:textId="5978522F" w:rsidR="00EB53C2" w:rsidRPr="00E91344" w:rsidRDefault="00EB53C2" w:rsidP="00EB53C2">
            <w:pPr>
              <w:rPr>
                <w:rFonts w:ascii="Arial" w:hAnsi="Arial" w:cs="Arial"/>
                <w:sz w:val="20"/>
                <w:szCs w:val="20"/>
              </w:rPr>
            </w:pPr>
            <w:r w:rsidRPr="00E91344">
              <w:rPr>
                <w:rFonts w:ascii="Arial" w:hAnsi="Arial" w:cs="Arial"/>
                <w:b/>
                <w:bCs/>
                <w:sz w:val="20"/>
                <w:szCs w:val="20"/>
              </w:rPr>
              <w:t>We recommend the CEDAW Committee urge the State party to:</w:t>
            </w:r>
          </w:p>
          <w:p w14:paraId="77F5B07C" w14:textId="77777777" w:rsidR="00EB53C2" w:rsidRPr="00E91344" w:rsidRDefault="00EB53C2" w:rsidP="00E91344"/>
          <w:p w14:paraId="5F6FE7AB" w14:textId="3EF590B4" w:rsidR="00E26F24" w:rsidRPr="00DD0113" w:rsidRDefault="00E26F24" w:rsidP="000C6DA6">
            <w:pPr>
              <w:pStyle w:val="ListParagraph"/>
              <w:numPr>
                <w:ilvl w:val="0"/>
                <w:numId w:val="12"/>
              </w:numPr>
              <w:spacing w:after="160" w:line="259" w:lineRule="auto"/>
              <w:jc w:val="both"/>
              <w:rPr>
                <w:rFonts w:ascii="Arial" w:eastAsiaTheme="minorEastAsia" w:hAnsi="Arial" w:cs="Arial"/>
                <w:sz w:val="20"/>
                <w:szCs w:val="20"/>
              </w:rPr>
            </w:pPr>
            <w:r w:rsidRPr="00DD0113">
              <w:rPr>
                <w:rFonts w:ascii="Arial" w:hAnsi="Arial" w:cs="Arial"/>
                <w:sz w:val="20"/>
                <w:szCs w:val="20"/>
              </w:rPr>
              <w:t xml:space="preserve">Amend the Personal Status Law to </w:t>
            </w:r>
            <w:r w:rsidR="00053017">
              <w:rPr>
                <w:rFonts w:ascii="Arial" w:hAnsi="Arial" w:cs="Arial"/>
                <w:sz w:val="20"/>
                <w:szCs w:val="20"/>
              </w:rPr>
              <w:t>give adult wom</w:t>
            </w:r>
            <w:r w:rsidR="00471C44">
              <w:rPr>
                <w:rFonts w:ascii="Arial" w:hAnsi="Arial" w:cs="Arial"/>
                <w:sz w:val="20"/>
                <w:szCs w:val="20"/>
              </w:rPr>
              <w:t>e</w:t>
            </w:r>
            <w:r w:rsidR="00053017">
              <w:rPr>
                <w:rFonts w:ascii="Arial" w:hAnsi="Arial" w:cs="Arial"/>
                <w:sz w:val="20"/>
                <w:szCs w:val="20"/>
              </w:rPr>
              <w:t>n</w:t>
            </w:r>
            <w:r w:rsidRPr="00DD0113">
              <w:rPr>
                <w:rFonts w:ascii="Arial" w:hAnsi="Arial" w:cs="Arial"/>
                <w:sz w:val="20"/>
                <w:szCs w:val="20"/>
              </w:rPr>
              <w:t xml:space="preserve"> equal right</w:t>
            </w:r>
            <w:r w:rsidR="00053017">
              <w:rPr>
                <w:rFonts w:ascii="Arial" w:hAnsi="Arial" w:cs="Arial"/>
                <w:sz w:val="20"/>
                <w:szCs w:val="20"/>
              </w:rPr>
              <w:t>s</w:t>
            </w:r>
            <w:r w:rsidRPr="00DD0113">
              <w:rPr>
                <w:rFonts w:ascii="Arial" w:hAnsi="Arial" w:cs="Arial"/>
                <w:sz w:val="20"/>
                <w:szCs w:val="20"/>
              </w:rPr>
              <w:t xml:space="preserve"> to enter marriage on their own accord without requiring the permission of a male guardian or judge</w:t>
            </w:r>
            <w:r>
              <w:rPr>
                <w:rFonts w:ascii="Arial" w:hAnsi="Arial" w:cs="Arial"/>
                <w:sz w:val="20"/>
                <w:szCs w:val="20"/>
              </w:rPr>
              <w:t>.</w:t>
            </w:r>
          </w:p>
          <w:p w14:paraId="63176376" w14:textId="77777777" w:rsidR="00E26F24" w:rsidRPr="00DD0113" w:rsidRDefault="00E26F24" w:rsidP="000C6DA6">
            <w:pPr>
              <w:pStyle w:val="ListParagraph"/>
              <w:spacing w:after="160" w:line="259" w:lineRule="auto"/>
              <w:jc w:val="both"/>
              <w:rPr>
                <w:rFonts w:ascii="Arial" w:eastAsiaTheme="minorEastAsia" w:hAnsi="Arial" w:cs="Arial"/>
                <w:sz w:val="20"/>
                <w:szCs w:val="20"/>
              </w:rPr>
            </w:pPr>
          </w:p>
          <w:p w14:paraId="134F85A1" w14:textId="5A442557" w:rsidR="00E26F24" w:rsidRPr="00DD0113" w:rsidRDefault="00E26F24" w:rsidP="000C6DA6">
            <w:pPr>
              <w:pStyle w:val="ListParagraph"/>
              <w:numPr>
                <w:ilvl w:val="0"/>
                <w:numId w:val="12"/>
              </w:numPr>
              <w:spacing w:after="160" w:line="259" w:lineRule="auto"/>
              <w:jc w:val="both"/>
              <w:rPr>
                <w:rFonts w:ascii="Arial" w:eastAsiaTheme="minorEastAsia" w:hAnsi="Arial" w:cs="Arial"/>
                <w:sz w:val="20"/>
                <w:szCs w:val="20"/>
              </w:rPr>
            </w:pPr>
            <w:r w:rsidRPr="00DD0113">
              <w:rPr>
                <w:rFonts w:ascii="Arial" w:hAnsi="Arial" w:cs="Arial"/>
                <w:sz w:val="20"/>
                <w:szCs w:val="20"/>
              </w:rPr>
              <w:t xml:space="preserve">Abolish provisions that </w:t>
            </w:r>
            <w:r>
              <w:rPr>
                <w:rFonts w:ascii="Arial" w:hAnsi="Arial" w:cs="Arial"/>
                <w:sz w:val="20"/>
                <w:szCs w:val="20"/>
              </w:rPr>
              <w:t>enable the annulment of</w:t>
            </w:r>
            <w:r w:rsidRPr="00DD0113">
              <w:rPr>
                <w:rFonts w:ascii="Arial" w:hAnsi="Arial" w:cs="Arial"/>
                <w:sz w:val="20"/>
                <w:szCs w:val="20"/>
              </w:rPr>
              <w:t xml:space="preserve"> a marriage contract due to</w:t>
            </w:r>
            <w:r w:rsidR="0024631A">
              <w:rPr>
                <w:rFonts w:ascii="Arial" w:hAnsi="Arial" w:cs="Arial"/>
                <w:sz w:val="20"/>
                <w:szCs w:val="20"/>
              </w:rPr>
              <w:t xml:space="preserve"> the</w:t>
            </w:r>
            <w:r w:rsidRPr="00DD0113">
              <w:rPr>
                <w:rFonts w:ascii="Arial" w:hAnsi="Arial" w:cs="Arial"/>
                <w:sz w:val="20"/>
                <w:szCs w:val="20"/>
              </w:rPr>
              <w:t xml:space="preserve"> </w:t>
            </w:r>
            <w:r w:rsidR="00053017">
              <w:rPr>
                <w:rFonts w:ascii="Arial" w:hAnsi="Arial" w:cs="Arial"/>
                <w:sz w:val="20"/>
                <w:szCs w:val="20"/>
              </w:rPr>
              <w:t>guardian</w:t>
            </w:r>
            <w:r w:rsidR="0024631A">
              <w:rPr>
                <w:rFonts w:ascii="Arial" w:hAnsi="Arial" w:cs="Arial"/>
                <w:sz w:val="20"/>
                <w:szCs w:val="20"/>
              </w:rPr>
              <w:t>’s</w:t>
            </w:r>
            <w:r w:rsidR="00053017">
              <w:rPr>
                <w:rFonts w:ascii="Arial" w:hAnsi="Arial" w:cs="Arial"/>
                <w:sz w:val="20"/>
                <w:szCs w:val="20"/>
              </w:rPr>
              <w:t xml:space="preserve"> objection.</w:t>
            </w:r>
          </w:p>
          <w:p w14:paraId="6CC62A35" w14:textId="77777777" w:rsidR="00E26F24" w:rsidRPr="00DD0113" w:rsidRDefault="00E26F24" w:rsidP="000C6DA6">
            <w:pPr>
              <w:pStyle w:val="ListParagraph"/>
              <w:jc w:val="both"/>
              <w:rPr>
                <w:rFonts w:ascii="Arial" w:eastAsiaTheme="minorEastAsia" w:hAnsi="Arial" w:cs="Arial"/>
                <w:sz w:val="20"/>
                <w:szCs w:val="20"/>
              </w:rPr>
            </w:pPr>
          </w:p>
          <w:p w14:paraId="094E205A" w14:textId="6C445CD1" w:rsidR="00E26F24" w:rsidRPr="00DD0113" w:rsidRDefault="00E26F24" w:rsidP="000C6DA6">
            <w:pPr>
              <w:pStyle w:val="ListParagraph"/>
              <w:numPr>
                <w:ilvl w:val="0"/>
                <w:numId w:val="12"/>
              </w:numPr>
              <w:spacing w:after="160" w:line="259" w:lineRule="auto"/>
              <w:jc w:val="both"/>
              <w:rPr>
                <w:rFonts w:ascii="Arial" w:eastAsiaTheme="minorEastAsia" w:hAnsi="Arial" w:cs="Arial"/>
                <w:sz w:val="20"/>
                <w:szCs w:val="20"/>
              </w:rPr>
            </w:pPr>
            <w:r w:rsidRPr="00DD0113">
              <w:rPr>
                <w:rFonts w:ascii="Arial" w:eastAsiaTheme="minorEastAsia" w:hAnsi="Arial" w:cs="Arial"/>
                <w:sz w:val="20"/>
                <w:szCs w:val="20"/>
              </w:rPr>
              <w:t xml:space="preserve">Enforce penalties </w:t>
            </w:r>
            <w:r w:rsidR="0024631A">
              <w:rPr>
                <w:rFonts w:ascii="Arial" w:eastAsiaTheme="minorEastAsia" w:hAnsi="Arial" w:cs="Arial"/>
                <w:sz w:val="20"/>
                <w:szCs w:val="20"/>
              </w:rPr>
              <w:t>on</w:t>
            </w:r>
            <w:r w:rsidRPr="00DD0113">
              <w:rPr>
                <w:rFonts w:ascii="Arial" w:eastAsiaTheme="minorEastAsia" w:hAnsi="Arial" w:cs="Arial"/>
                <w:sz w:val="20"/>
                <w:szCs w:val="20"/>
              </w:rPr>
              <w:t xml:space="preserve"> </w:t>
            </w:r>
            <w:r w:rsidR="00053017">
              <w:rPr>
                <w:rFonts w:ascii="Arial" w:eastAsiaTheme="minorEastAsia" w:hAnsi="Arial" w:cs="Arial"/>
                <w:sz w:val="20"/>
                <w:szCs w:val="20"/>
              </w:rPr>
              <w:t>those</w:t>
            </w:r>
            <w:r w:rsidRPr="00DD0113">
              <w:rPr>
                <w:rFonts w:ascii="Arial" w:eastAsiaTheme="minorEastAsia" w:hAnsi="Arial" w:cs="Arial"/>
                <w:sz w:val="20"/>
                <w:szCs w:val="20"/>
              </w:rPr>
              <w:t xml:space="preserve"> who conduct, enable, or fail to prevent forced marriages. </w:t>
            </w:r>
          </w:p>
        </w:tc>
      </w:tr>
    </w:tbl>
    <w:p w14:paraId="355FDA9E" w14:textId="77777777" w:rsidR="00E26F24" w:rsidRDefault="00E26F24" w:rsidP="00E26F24">
      <w:pPr>
        <w:jc w:val="both"/>
      </w:pPr>
    </w:p>
    <w:p w14:paraId="3952C12E" w14:textId="77777777" w:rsidR="00E26F24" w:rsidRDefault="00E26F24" w:rsidP="00E26F24"/>
    <w:p w14:paraId="36C9DD20" w14:textId="3B22EA30" w:rsidR="00E26F24" w:rsidRPr="00C70995" w:rsidRDefault="00E26F24" w:rsidP="00E26F24">
      <w:pPr>
        <w:pStyle w:val="Heading2"/>
        <w:numPr>
          <w:ilvl w:val="0"/>
          <w:numId w:val="21"/>
        </w:numPr>
        <w:spacing w:before="40" w:after="40" w:line="240" w:lineRule="auto"/>
        <w:ind w:left="270" w:hanging="270"/>
        <w:rPr>
          <w:rFonts w:asciiTheme="minorBidi" w:eastAsia="Arial" w:hAnsiTheme="minorBidi" w:cstheme="minorBidi"/>
          <w:sz w:val="24"/>
          <w:szCs w:val="24"/>
        </w:rPr>
      </w:pPr>
      <w:bookmarkStart w:id="13" w:name="_Toc103472506"/>
      <w:r>
        <w:rPr>
          <w:rFonts w:asciiTheme="minorBidi" w:eastAsia="Arial" w:hAnsiTheme="minorBidi" w:cstheme="minorBidi"/>
          <w:sz w:val="24"/>
          <w:szCs w:val="24"/>
        </w:rPr>
        <w:t>Early and Child Marriage</w:t>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sidR="00D02072">
        <w:rPr>
          <w:rFonts w:asciiTheme="minorBidi" w:eastAsia="Arial" w:hAnsiTheme="minorBidi" w:cstheme="minorBidi"/>
          <w:sz w:val="24"/>
          <w:szCs w:val="24"/>
        </w:rPr>
        <w:t xml:space="preserve">          </w:t>
      </w:r>
      <w:r>
        <w:rPr>
          <w:rFonts w:asciiTheme="minorBidi" w:eastAsia="Arial" w:hAnsiTheme="minorBidi" w:cstheme="minorBidi"/>
          <w:sz w:val="24"/>
          <w:szCs w:val="24"/>
        </w:rPr>
        <w:t>Article 16</w:t>
      </w:r>
      <w:bookmarkEnd w:id="13"/>
    </w:p>
    <w:p w14:paraId="7934DF2D" w14:textId="77777777" w:rsidR="00E26F24" w:rsidRDefault="00E26F24" w:rsidP="00E26F24">
      <w:pPr>
        <w:jc w:val="both"/>
      </w:pPr>
    </w:p>
    <w:p w14:paraId="7C62B748" w14:textId="69C589E6" w:rsidR="00E26F24" w:rsidRPr="00DD0113" w:rsidRDefault="00E26F24" w:rsidP="000C6DA6">
      <w:pPr>
        <w:jc w:val="both"/>
        <w:rPr>
          <w:rFonts w:ascii="Arial" w:hAnsi="Arial" w:cs="Arial"/>
          <w:sz w:val="20"/>
          <w:szCs w:val="20"/>
          <w:lang w:eastAsia="en-US"/>
        </w:rPr>
      </w:pPr>
      <w:r w:rsidRPr="00DD0113">
        <w:rPr>
          <w:rFonts w:ascii="Arial" w:hAnsi="Arial" w:cs="Arial"/>
          <w:color w:val="000000"/>
          <w:sz w:val="20"/>
          <w:szCs w:val="20"/>
        </w:rPr>
        <w:t>The P</w:t>
      </w:r>
      <w:r w:rsidRPr="00DD0113">
        <w:rPr>
          <w:rFonts w:ascii="Arial" w:hAnsi="Arial" w:cs="Arial"/>
          <w:sz w:val="20"/>
          <w:szCs w:val="20"/>
        </w:rPr>
        <w:t>ersonal Status Law</w:t>
      </w:r>
      <w:r w:rsidRPr="00DD0113">
        <w:rPr>
          <w:rFonts w:ascii="Arial" w:hAnsi="Arial" w:cs="Arial"/>
          <w:color w:val="000000"/>
          <w:sz w:val="20"/>
          <w:szCs w:val="20"/>
        </w:rPr>
        <w:t xml:space="preserve"> establishes a minimum age of marriage of 18 years for both girls and boys, but </w:t>
      </w:r>
      <w:r w:rsidRPr="00DD0113">
        <w:rPr>
          <w:rFonts w:ascii="Arial" w:hAnsi="Arial" w:cs="Arial"/>
          <w:sz w:val="20"/>
          <w:szCs w:val="20"/>
        </w:rPr>
        <w:t>continues to</w:t>
      </w:r>
      <w:r w:rsidRPr="00DD0113">
        <w:rPr>
          <w:rFonts w:ascii="Arial" w:hAnsi="Arial" w:cs="Arial"/>
          <w:color w:val="000000"/>
          <w:sz w:val="20"/>
          <w:szCs w:val="20"/>
        </w:rPr>
        <w:t xml:space="preserve"> allow for judicially granted exceptions to the minimum age.</w:t>
      </w:r>
      <w:r w:rsidRPr="00DD0113">
        <w:rPr>
          <w:rFonts w:ascii="Arial" w:hAnsi="Arial" w:cs="Arial"/>
          <w:color w:val="000000"/>
          <w:sz w:val="20"/>
          <w:szCs w:val="20"/>
          <w:vertAlign w:val="superscript"/>
        </w:rPr>
        <w:footnoteReference w:id="32"/>
      </w:r>
      <w:r w:rsidRPr="00DD0113">
        <w:rPr>
          <w:rFonts w:ascii="Arial" w:hAnsi="Arial" w:cs="Arial"/>
          <w:color w:val="000000"/>
          <w:sz w:val="20"/>
          <w:szCs w:val="20"/>
        </w:rPr>
        <w:t xml:space="preserve"> The law does not specify an absolute minimum age under which marriage cannot be contracted</w:t>
      </w:r>
      <w:r w:rsidRPr="00DD0113">
        <w:rPr>
          <w:rFonts w:ascii="Arial" w:hAnsi="Arial" w:cs="Arial"/>
          <w:color w:val="000000"/>
          <w:sz w:val="20"/>
          <w:szCs w:val="20"/>
          <w:rtl/>
        </w:rPr>
        <w:t>.</w:t>
      </w:r>
      <w:r w:rsidRPr="00DD0113">
        <w:rPr>
          <w:rFonts w:ascii="Arial" w:hAnsi="Arial" w:cs="Arial"/>
          <w:color w:val="000000"/>
          <w:sz w:val="20"/>
          <w:szCs w:val="20"/>
        </w:rPr>
        <w:t xml:space="preserve"> According to official marriage data from 2016-2021, the average marriage age of an Emirati woman is 25 years. Research points to a lack of accurate dat</w:t>
      </w:r>
      <w:r w:rsidR="00233AE3">
        <w:rPr>
          <w:rFonts w:ascii="Arial" w:hAnsi="Arial" w:cs="Arial"/>
          <w:color w:val="000000"/>
          <w:sz w:val="20"/>
          <w:szCs w:val="20"/>
        </w:rPr>
        <w:t>a</w:t>
      </w:r>
      <w:r w:rsidRPr="00DD0113">
        <w:rPr>
          <w:rFonts w:ascii="Arial" w:hAnsi="Arial" w:cs="Arial"/>
          <w:color w:val="000000"/>
          <w:sz w:val="20"/>
          <w:szCs w:val="20"/>
        </w:rPr>
        <w:t xml:space="preserve"> on child marriage, and to a concern that child marriage continues to be widespread </w:t>
      </w:r>
      <w:r w:rsidR="0024631A">
        <w:rPr>
          <w:rFonts w:ascii="Arial" w:hAnsi="Arial" w:cs="Arial"/>
          <w:color w:val="000000"/>
          <w:sz w:val="20"/>
          <w:szCs w:val="20"/>
        </w:rPr>
        <w:t xml:space="preserve">but </w:t>
      </w:r>
      <w:r w:rsidRPr="00DD0113">
        <w:rPr>
          <w:rFonts w:ascii="Arial" w:hAnsi="Arial" w:cs="Arial"/>
          <w:color w:val="000000"/>
          <w:sz w:val="20"/>
          <w:szCs w:val="20"/>
        </w:rPr>
        <w:t>uncaptured by official statistics.</w:t>
      </w:r>
      <w:r w:rsidRPr="00DD0113">
        <w:rPr>
          <w:rStyle w:val="FootnoteReference"/>
          <w:rFonts w:ascii="Arial" w:hAnsi="Arial" w:cs="Arial"/>
          <w:color w:val="000000"/>
          <w:sz w:val="20"/>
          <w:szCs w:val="20"/>
        </w:rPr>
        <w:footnoteReference w:id="33"/>
      </w:r>
    </w:p>
    <w:p w14:paraId="721E41C2" w14:textId="77777777" w:rsidR="00E26F24" w:rsidRPr="00DD0113" w:rsidRDefault="00E26F24" w:rsidP="000C6DA6">
      <w:pPr>
        <w:pBdr>
          <w:top w:val="nil"/>
          <w:left w:val="nil"/>
          <w:bottom w:val="nil"/>
          <w:right w:val="nil"/>
          <w:between w:val="nil"/>
        </w:pBdr>
        <w:jc w:val="both"/>
        <w:rPr>
          <w:rFonts w:ascii="Arial" w:hAnsi="Arial" w:cs="Arial"/>
          <w:color w:val="000000"/>
          <w:sz w:val="20"/>
          <w:szCs w:val="20"/>
        </w:rPr>
      </w:pPr>
    </w:p>
    <w:p w14:paraId="0DCDB261" w14:textId="35AACFB9" w:rsidR="00E26F24" w:rsidRPr="00DD0113" w:rsidRDefault="00E26F24" w:rsidP="000C6DA6">
      <w:pPr>
        <w:pBdr>
          <w:top w:val="nil"/>
          <w:left w:val="nil"/>
          <w:bottom w:val="nil"/>
          <w:right w:val="nil"/>
          <w:between w:val="nil"/>
        </w:pBdr>
        <w:jc w:val="both"/>
        <w:rPr>
          <w:rFonts w:ascii="Arial" w:hAnsi="Arial" w:cs="Arial"/>
          <w:color w:val="000000"/>
          <w:sz w:val="20"/>
          <w:szCs w:val="20"/>
        </w:rPr>
      </w:pPr>
      <w:r w:rsidRPr="00DD0113">
        <w:rPr>
          <w:rFonts w:ascii="Arial" w:hAnsi="Arial" w:cs="Arial"/>
          <w:color w:val="000000"/>
          <w:sz w:val="20"/>
          <w:szCs w:val="20"/>
        </w:rPr>
        <w:t xml:space="preserve">In 2020, </w:t>
      </w:r>
      <w:r w:rsidR="00233AE3">
        <w:rPr>
          <w:rFonts w:ascii="Arial" w:hAnsi="Arial" w:cs="Arial"/>
          <w:color w:val="000000"/>
          <w:sz w:val="20"/>
          <w:szCs w:val="20"/>
        </w:rPr>
        <w:t xml:space="preserve">the </w:t>
      </w:r>
      <w:r w:rsidRPr="00DD0113">
        <w:rPr>
          <w:rFonts w:ascii="Arial" w:hAnsi="Arial" w:cs="Arial"/>
          <w:color w:val="000000"/>
          <w:sz w:val="20"/>
          <w:szCs w:val="20"/>
        </w:rPr>
        <w:t>UAE Council of Ministers issued guidelines with respect to evaluating petitions for marriage of children below 18 years of old.</w:t>
      </w:r>
      <w:r w:rsidRPr="00DD0113">
        <w:rPr>
          <w:rStyle w:val="FootnoteReference"/>
          <w:rFonts w:ascii="Arial" w:hAnsi="Arial" w:cs="Arial"/>
          <w:color w:val="000000"/>
          <w:sz w:val="20"/>
          <w:szCs w:val="20"/>
        </w:rPr>
        <w:footnoteReference w:id="34"/>
      </w:r>
      <w:r w:rsidRPr="00DD0113">
        <w:rPr>
          <w:rFonts w:ascii="Arial" w:hAnsi="Arial" w:cs="Arial"/>
          <w:color w:val="000000"/>
          <w:sz w:val="20"/>
          <w:szCs w:val="20"/>
        </w:rPr>
        <w:t xml:space="preserve"> The guidelines provide for the establishment of a committee to evaluate such marriage requests by a decision of the Minister of Justice, and instructs the committee to consider all applications for marriage when the parties are below 18 but have reached puberty.</w:t>
      </w:r>
    </w:p>
    <w:p w14:paraId="2740F34E" w14:textId="77777777" w:rsidR="00E26F24" w:rsidRPr="00DD0113" w:rsidRDefault="00E26F24" w:rsidP="000C6DA6">
      <w:pPr>
        <w:pBdr>
          <w:top w:val="nil"/>
          <w:left w:val="nil"/>
          <w:bottom w:val="nil"/>
          <w:right w:val="nil"/>
          <w:between w:val="nil"/>
        </w:pBdr>
        <w:jc w:val="both"/>
        <w:rPr>
          <w:rFonts w:ascii="Arial" w:hAnsi="Arial" w:cs="Arial"/>
          <w:color w:val="000000"/>
          <w:sz w:val="20"/>
          <w:szCs w:val="20"/>
        </w:rPr>
      </w:pPr>
    </w:p>
    <w:p w14:paraId="01C2B66E" w14:textId="50E38DAD" w:rsidR="00E26F24" w:rsidRPr="00DD0113" w:rsidRDefault="00E26F24" w:rsidP="000C6DA6">
      <w:pPr>
        <w:pBdr>
          <w:top w:val="nil"/>
          <w:left w:val="nil"/>
          <w:bottom w:val="nil"/>
          <w:right w:val="nil"/>
          <w:between w:val="nil"/>
        </w:pBdr>
        <w:jc w:val="both"/>
        <w:rPr>
          <w:rFonts w:ascii="Arial" w:hAnsi="Arial" w:cs="Arial"/>
          <w:color w:val="000000"/>
          <w:sz w:val="20"/>
          <w:szCs w:val="20"/>
        </w:rPr>
      </w:pPr>
      <w:r w:rsidRPr="00DD0113">
        <w:rPr>
          <w:rFonts w:ascii="Arial" w:hAnsi="Arial" w:cs="Arial"/>
          <w:color w:val="000000"/>
          <w:sz w:val="20"/>
          <w:szCs w:val="20"/>
        </w:rPr>
        <w:t>In making a decision, the guidelines instruct the committee to verify (a) that the marriage would not result harm in relation to living standards of the marriage candidates; (b) suitability in terms of age difference and comparable social and economic standing; (c) the ability of the groom to provide an adequate marital home and financial maintenance after marriage; and (d) that the marriage would not adversely affect the bride’s ability to pursue an education.</w:t>
      </w:r>
      <w:r w:rsidRPr="00DD0113">
        <w:rPr>
          <w:rStyle w:val="FootnoteReference"/>
          <w:rFonts w:ascii="Arial" w:hAnsi="Arial" w:cs="Arial"/>
          <w:color w:val="000000"/>
          <w:sz w:val="20"/>
          <w:szCs w:val="20"/>
        </w:rPr>
        <w:footnoteReference w:id="35"/>
      </w:r>
      <w:r w:rsidRPr="00DD0113">
        <w:rPr>
          <w:rFonts w:ascii="Arial" w:hAnsi="Arial" w:cs="Arial"/>
          <w:color w:val="000000"/>
          <w:sz w:val="20"/>
          <w:szCs w:val="20"/>
        </w:rPr>
        <w:t xml:space="preserve"> The guidelines further instruct the committee to verify that the child has reached puberty and that there are no health side effects to a pregnancy at her young age (by way of a medical report), and to verify the consent of the female child and her understanding of her prospective marriage duties.</w:t>
      </w:r>
    </w:p>
    <w:p w14:paraId="25DD4B31" w14:textId="77777777" w:rsidR="00E26F24" w:rsidRPr="00DD0113" w:rsidRDefault="00E26F24" w:rsidP="000C6DA6">
      <w:pPr>
        <w:pBdr>
          <w:top w:val="nil"/>
          <w:left w:val="nil"/>
          <w:bottom w:val="nil"/>
          <w:right w:val="nil"/>
          <w:between w:val="nil"/>
        </w:pBdr>
        <w:jc w:val="both"/>
        <w:rPr>
          <w:rFonts w:ascii="Arial" w:hAnsi="Arial" w:cs="Arial"/>
          <w:color w:val="000000"/>
          <w:sz w:val="20"/>
          <w:szCs w:val="20"/>
        </w:rPr>
      </w:pPr>
    </w:p>
    <w:p w14:paraId="359A573E" w14:textId="0277F8DB" w:rsidR="00E26F24" w:rsidRDefault="00E26F24" w:rsidP="000C6DA6">
      <w:pPr>
        <w:pBdr>
          <w:top w:val="nil"/>
          <w:left w:val="nil"/>
          <w:bottom w:val="nil"/>
          <w:right w:val="nil"/>
          <w:between w:val="nil"/>
        </w:pBdr>
        <w:jc w:val="both"/>
        <w:rPr>
          <w:rFonts w:ascii="Arial" w:hAnsi="Arial" w:cs="Arial"/>
          <w:color w:val="000000"/>
          <w:sz w:val="20"/>
          <w:szCs w:val="20"/>
        </w:rPr>
      </w:pPr>
      <w:r w:rsidRPr="00DD0113">
        <w:rPr>
          <w:rFonts w:ascii="Arial" w:hAnsi="Arial" w:cs="Arial"/>
          <w:color w:val="000000"/>
          <w:sz w:val="20"/>
          <w:szCs w:val="20"/>
        </w:rPr>
        <w:t xml:space="preserve">While some of the aforementioned procedures and conditions provide a degree of restriction to the practice of child marriage, we wish to express a strong concern with permitting the marriage of children, especially with no absolute minimum age limit. Young girls, in particular, are highly vulnerable to coercion and child marriage, and lack the full legal capacity to make informed decisions with respect to such a critical lifelong commitment. </w:t>
      </w:r>
    </w:p>
    <w:p w14:paraId="4F929E62" w14:textId="77777777" w:rsidR="00D43C94" w:rsidRDefault="00D43C94" w:rsidP="000C6DA6">
      <w:pPr>
        <w:pBdr>
          <w:top w:val="nil"/>
          <w:left w:val="nil"/>
          <w:bottom w:val="nil"/>
          <w:right w:val="nil"/>
          <w:between w:val="nil"/>
        </w:pBdr>
        <w:jc w:val="both"/>
        <w:rPr>
          <w:rFonts w:ascii="Arial" w:hAnsi="Arial" w:cs="Arial"/>
          <w:color w:val="000000"/>
          <w:sz w:val="20"/>
          <w:szCs w:val="20"/>
        </w:rPr>
      </w:pPr>
    </w:p>
    <w:p w14:paraId="43ADD203" w14:textId="39F2C141" w:rsidR="00E30CB3" w:rsidRDefault="00D43C94" w:rsidP="000C6DA6">
      <w:pPr>
        <w:pBdr>
          <w:top w:val="nil"/>
          <w:left w:val="nil"/>
          <w:bottom w:val="nil"/>
          <w:right w:val="nil"/>
          <w:between w:val="nil"/>
        </w:pBdr>
        <w:jc w:val="both"/>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2629B219" wp14:editId="1FBBCB6E">
            <wp:extent cx="5664200" cy="32111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664200" cy="3211195"/>
                    </a:xfrm>
                    <a:prstGeom prst="rect">
                      <a:avLst/>
                    </a:prstGeom>
                  </pic:spPr>
                </pic:pic>
              </a:graphicData>
            </a:graphic>
          </wp:inline>
        </w:drawing>
      </w:r>
    </w:p>
    <w:p w14:paraId="30ECAF5C" w14:textId="0310209C" w:rsidR="003E6EAD" w:rsidRDefault="003E6EAD" w:rsidP="000C6DA6">
      <w:pPr>
        <w:pBdr>
          <w:top w:val="nil"/>
          <w:left w:val="nil"/>
          <w:bottom w:val="nil"/>
          <w:right w:val="nil"/>
          <w:between w:val="nil"/>
        </w:pBdr>
        <w:jc w:val="both"/>
        <w:rPr>
          <w:rFonts w:ascii="Arial" w:hAnsi="Arial" w:cs="Arial"/>
          <w:color w:val="000000"/>
          <w:sz w:val="20"/>
          <w:szCs w:val="20"/>
        </w:rPr>
      </w:pPr>
    </w:p>
    <w:p w14:paraId="5476F411" w14:textId="45778670" w:rsidR="003E6EAD" w:rsidRPr="003E6EAD" w:rsidRDefault="003E6EAD" w:rsidP="003E6EAD">
      <w:pPr>
        <w:rPr>
          <w:lang w:eastAsia="en-GB"/>
        </w:rPr>
      </w:pPr>
      <w:r w:rsidRPr="003E6EAD">
        <w:rPr>
          <w:rFonts w:ascii="Arial" w:hAnsi="Arial" w:cs="Arial"/>
          <w:color w:val="000000"/>
          <w:sz w:val="22"/>
          <w:szCs w:val="22"/>
          <w:bdr w:val="none" w:sz="0" w:space="0" w:color="auto" w:frame="1"/>
          <w:lang w:eastAsia="en-GB"/>
        </w:rPr>
        <w:fldChar w:fldCharType="begin"/>
      </w:r>
      <w:r w:rsidRPr="003E6EAD">
        <w:rPr>
          <w:rFonts w:ascii="Arial" w:hAnsi="Arial" w:cs="Arial"/>
          <w:color w:val="000000"/>
          <w:sz w:val="22"/>
          <w:szCs w:val="22"/>
          <w:bdr w:val="none" w:sz="0" w:space="0" w:color="auto" w:frame="1"/>
          <w:lang w:eastAsia="en-GB"/>
        </w:rPr>
        <w:instrText xml:space="preserve"> INCLUDEPICTURE "https://lh5.googleusercontent.com/OU61bUHKjC49YCTmdOdh2FrzSmR9MU7mPV4kpbKghKd-XVsPwkkT9F7bNPDCVxO8w8eMBUbiWsytLxul8I-Ou4nlZmAMe2tQFcOIChIMNityXuT4c8z7mgqNQI2S3E1Nh8AcHhx8Iobjmbg-OA" \* MERGEFORMATINET </w:instrText>
      </w:r>
      <w:r w:rsidRPr="003E6EAD">
        <w:rPr>
          <w:rFonts w:ascii="Arial" w:hAnsi="Arial" w:cs="Arial"/>
          <w:color w:val="000000"/>
          <w:sz w:val="22"/>
          <w:szCs w:val="22"/>
          <w:bdr w:val="none" w:sz="0" w:space="0" w:color="auto" w:frame="1"/>
          <w:lang w:eastAsia="en-GB"/>
        </w:rPr>
        <w:fldChar w:fldCharType="separate"/>
      </w:r>
      <w:r w:rsidRPr="003E6EAD">
        <w:rPr>
          <w:rFonts w:ascii="Arial" w:hAnsi="Arial" w:cs="Arial"/>
          <w:noProof/>
          <w:color w:val="000000"/>
          <w:sz w:val="22"/>
          <w:szCs w:val="22"/>
          <w:bdr w:val="none" w:sz="0" w:space="0" w:color="auto" w:frame="1"/>
          <w:lang w:eastAsia="en-GB"/>
        </w:rPr>
        <w:drawing>
          <wp:inline distT="0" distB="0" distL="0" distR="0" wp14:anchorId="49978285" wp14:editId="28CF14D7">
            <wp:extent cx="5763491" cy="32531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1" t="49192" r="-1753"/>
                    <a:stretch/>
                  </pic:blipFill>
                  <pic:spPr bwMode="auto">
                    <a:xfrm>
                      <a:off x="0" y="0"/>
                      <a:ext cx="5763491" cy="3253105"/>
                    </a:xfrm>
                    <a:prstGeom prst="rect">
                      <a:avLst/>
                    </a:prstGeom>
                    <a:noFill/>
                    <a:ln>
                      <a:noFill/>
                    </a:ln>
                    <a:extLst>
                      <a:ext uri="{53640926-AAD7-44D8-BBD7-CCE9431645EC}">
                        <a14:shadowObscured xmlns:a14="http://schemas.microsoft.com/office/drawing/2010/main"/>
                      </a:ext>
                    </a:extLst>
                  </pic:spPr>
                </pic:pic>
              </a:graphicData>
            </a:graphic>
          </wp:inline>
        </w:drawing>
      </w:r>
      <w:r w:rsidRPr="003E6EAD">
        <w:rPr>
          <w:rFonts w:ascii="Arial" w:hAnsi="Arial" w:cs="Arial"/>
          <w:color w:val="000000"/>
          <w:sz w:val="22"/>
          <w:szCs w:val="22"/>
          <w:bdr w:val="none" w:sz="0" w:space="0" w:color="auto" w:frame="1"/>
          <w:lang w:eastAsia="en-GB"/>
        </w:rPr>
        <w:fldChar w:fldCharType="end"/>
      </w:r>
    </w:p>
    <w:p w14:paraId="0FDBBA61" w14:textId="2890D5FB" w:rsidR="00E30CB3" w:rsidRPr="00DD0113" w:rsidRDefault="00E30CB3" w:rsidP="000C6DA6">
      <w:pPr>
        <w:pBdr>
          <w:top w:val="nil"/>
          <w:left w:val="nil"/>
          <w:bottom w:val="nil"/>
          <w:right w:val="nil"/>
          <w:between w:val="nil"/>
        </w:pBdr>
        <w:jc w:val="both"/>
        <w:rPr>
          <w:rFonts w:ascii="Arial" w:hAnsi="Arial" w:cs="Arial"/>
          <w:color w:val="000000"/>
          <w:sz w:val="20"/>
          <w:szCs w:val="20"/>
        </w:rPr>
      </w:pPr>
    </w:p>
    <w:p w14:paraId="7D11B817" w14:textId="77777777" w:rsidR="00E26F24" w:rsidRPr="00DD0113" w:rsidRDefault="00E26F24" w:rsidP="00E26F24">
      <w:pPr>
        <w:widowControl w:val="0"/>
        <w:rPr>
          <w:rFonts w:ascii="Arial" w:hAnsi="Arial" w:cs="Arial"/>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E26F24" w:rsidRPr="00DD0113" w14:paraId="6FAEBA70" w14:textId="77777777" w:rsidTr="000C6DA6">
        <w:trPr>
          <w:trHeight w:val="2942"/>
        </w:trPr>
        <w:tc>
          <w:tcPr>
            <w:tcW w:w="8903" w:type="dxa"/>
            <w:shd w:val="clear" w:color="auto" w:fill="D9D9D9" w:themeFill="background1" w:themeFillShade="D9"/>
            <w:tcMar>
              <w:top w:w="100" w:type="dxa"/>
              <w:left w:w="100" w:type="dxa"/>
              <w:bottom w:w="100" w:type="dxa"/>
              <w:right w:w="100" w:type="dxa"/>
            </w:tcMar>
          </w:tcPr>
          <w:p w14:paraId="2BD05101" w14:textId="71A4098A" w:rsidR="00E26F24" w:rsidRPr="00E91344" w:rsidRDefault="00E26F24" w:rsidP="00E81126">
            <w:pPr>
              <w:widowControl w:val="0"/>
              <w:spacing w:before="240" w:after="240"/>
              <w:rPr>
                <w:rFonts w:ascii="Arial" w:hAnsi="Arial" w:cs="Arial"/>
                <w:b/>
                <w:sz w:val="20"/>
                <w:szCs w:val="20"/>
                <w:u w:val="single"/>
              </w:rPr>
            </w:pPr>
            <w:r w:rsidRPr="00E91344">
              <w:rPr>
                <w:rFonts w:ascii="Arial" w:hAnsi="Arial" w:cs="Arial"/>
                <w:b/>
                <w:sz w:val="20"/>
                <w:szCs w:val="20"/>
                <w:u w:val="single"/>
              </w:rPr>
              <w:t>RECOMMENDATIONS</w:t>
            </w:r>
          </w:p>
          <w:p w14:paraId="2C6A73D3" w14:textId="324E3175" w:rsidR="00EB53C2" w:rsidRPr="00E91344" w:rsidRDefault="00EB53C2" w:rsidP="00E91344">
            <w:pPr>
              <w:rPr>
                <w:rFonts w:ascii="Arial" w:hAnsi="Arial" w:cs="Arial"/>
                <w:sz w:val="20"/>
                <w:szCs w:val="20"/>
              </w:rPr>
            </w:pPr>
            <w:r w:rsidRPr="00215E42">
              <w:rPr>
                <w:rFonts w:ascii="Arial" w:hAnsi="Arial" w:cs="Arial"/>
                <w:b/>
                <w:bCs/>
                <w:sz w:val="20"/>
                <w:szCs w:val="20"/>
              </w:rPr>
              <w:t>We recommend the CEDAW Committee urge the State party to:</w:t>
            </w:r>
          </w:p>
          <w:p w14:paraId="71C05692" w14:textId="77777777" w:rsidR="00E26F24" w:rsidRPr="00DD0113" w:rsidRDefault="00E26F24" w:rsidP="000C6DA6">
            <w:pPr>
              <w:pStyle w:val="ListParagraph"/>
              <w:widowControl w:val="0"/>
              <w:numPr>
                <w:ilvl w:val="0"/>
                <w:numId w:val="15"/>
              </w:numPr>
              <w:spacing w:before="240" w:after="240"/>
              <w:jc w:val="both"/>
              <w:rPr>
                <w:rFonts w:ascii="Arial" w:hAnsi="Arial" w:cs="Arial"/>
                <w:b/>
                <w:sz w:val="20"/>
                <w:szCs w:val="20"/>
              </w:rPr>
            </w:pPr>
            <w:r w:rsidRPr="00DD0113">
              <w:rPr>
                <w:rFonts w:ascii="Arial" w:hAnsi="Arial" w:cs="Arial"/>
                <w:sz w:val="20"/>
                <w:szCs w:val="20"/>
              </w:rPr>
              <w:t xml:space="preserve">Establish an absolute minimum age of marriage of 18 years old, and remove exceptions that enable child marriage. </w:t>
            </w:r>
          </w:p>
          <w:p w14:paraId="7AC61C9E" w14:textId="77777777" w:rsidR="00E26F24" w:rsidRPr="00DD0113" w:rsidRDefault="00E26F24" w:rsidP="000C6DA6">
            <w:pPr>
              <w:pStyle w:val="ListParagraph"/>
              <w:widowControl w:val="0"/>
              <w:spacing w:before="240" w:after="240"/>
              <w:jc w:val="both"/>
              <w:rPr>
                <w:rFonts w:ascii="Arial" w:hAnsi="Arial" w:cs="Arial"/>
                <w:b/>
                <w:sz w:val="20"/>
                <w:szCs w:val="20"/>
              </w:rPr>
            </w:pPr>
          </w:p>
          <w:p w14:paraId="1D44C3B9" w14:textId="6BC8BCF5" w:rsidR="00E26F24" w:rsidRPr="00DD0113" w:rsidRDefault="00E26F24" w:rsidP="000C6DA6">
            <w:pPr>
              <w:pStyle w:val="ListParagraph"/>
              <w:widowControl w:val="0"/>
              <w:numPr>
                <w:ilvl w:val="0"/>
                <w:numId w:val="15"/>
              </w:numPr>
              <w:spacing w:before="240" w:after="240"/>
              <w:jc w:val="both"/>
              <w:rPr>
                <w:rFonts w:ascii="Arial" w:hAnsi="Arial" w:cs="Arial"/>
                <w:bCs/>
                <w:sz w:val="20"/>
                <w:szCs w:val="20"/>
              </w:rPr>
            </w:pPr>
            <w:r w:rsidRPr="00DD0113">
              <w:rPr>
                <w:rFonts w:ascii="Arial" w:hAnsi="Arial" w:cs="Arial"/>
                <w:bCs/>
                <w:sz w:val="20"/>
                <w:szCs w:val="20"/>
              </w:rPr>
              <w:t xml:space="preserve">Introduce penalties for guardians and marriage officiators who contract </w:t>
            </w:r>
            <w:r w:rsidR="00233AE3">
              <w:rPr>
                <w:rFonts w:ascii="Arial" w:hAnsi="Arial" w:cs="Arial"/>
                <w:bCs/>
                <w:sz w:val="20"/>
                <w:szCs w:val="20"/>
              </w:rPr>
              <w:t xml:space="preserve">the </w:t>
            </w:r>
            <w:r w:rsidRPr="00DD0113">
              <w:rPr>
                <w:rFonts w:ascii="Arial" w:hAnsi="Arial" w:cs="Arial"/>
                <w:bCs/>
                <w:sz w:val="20"/>
                <w:szCs w:val="20"/>
              </w:rPr>
              <w:t>marriage of a child.</w:t>
            </w:r>
          </w:p>
          <w:p w14:paraId="72156074" w14:textId="77777777" w:rsidR="00E26F24" w:rsidRPr="00DD0113" w:rsidRDefault="00E26F24" w:rsidP="000C6DA6">
            <w:pPr>
              <w:pStyle w:val="ListParagraph"/>
              <w:widowControl w:val="0"/>
              <w:spacing w:before="240" w:after="240"/>
              <w:jc w:val="both"/>
              <w:rPr>
                <w:rFonts w:ascii="Arial" w:hAnsi="Arial" w:cs="Arial"/>
                <w:b/>
                <w:sz w:val="20"/>
                <w:szCs w:val="20"/>
              </w:rPr>
            </w:pPr>
          </w:p>
          <w:p w14:paraId="39223096" w14:textId="1EE87752" w:rsidR="00E26F24" w:rsidRPr="00DD0113" w:rsidRDefault="00E26F24" w:rsidP="000C6DA6">
            <w:pPr>
              <w:pStyle w:val="ListParagraph"/>
              <w:widowControl w:val="0"/>
              <w:numPr>
                <w:ilvl w:val="0"/>
                <w:numId w:val="15"/>
              </w:numPr>
              <w:spacing w:before="240" w:after="240"/>
              <w:jc w:val="both"/>
              <w:rPr>
                <w:rFonts w:ascii="Arial" w:hAnsi="Arial" w:cs="Arial"/>
                <w:b/>
                <w:sz w:val="20"/>
                <w:szCs w:val="20"/>
              </w:rPr>
            </w:pPr>
            <w:r w:rsidRPr="00DD0113">
              <w:rPr>
                <w:rFonts w:ascii="Arial" w:hAnsi="Arial" w:cs="Arial"/>
                <w:sz w:val="20"/>
                <w:szCs w:val="20"/>
              </w:rPr>
              <w:t>Provide targeted training programs to law enforcement officials, the judiciary, healthcare workers, and social workers to respond to reports of child marriage,</w:t>
            </w:r>
            <w:r>
              <w:rPr>
                <w:rFonts w:ascii="Arial" w:hAnsi="Arial" w:cs="Arial"/>
                <w:sz w:val="20"/>
                <w:szCs w:val="20"/>
              </w:rPr>
              <w:t xml:space="preserve"> </w:t>
            </w:r>
            <w:r w:rsidRPr="00DD0113">
              <w:rPr>
                <w:rFonts w:ascii="Arial" w:hAnsi="Arial" w:cs="Arial"/>
                <w:sz w:val="20"/>
                <w:szCs w:val="20"/>
              </w:rPr>
              <w:t xml:space="preserve">and provide adequate support to victims. </w:t>
            </w:r>
          </w:p>
        </w:tc>
      </w:tr>
    </w:tbl>
    <w:p w14:paraId="1D3353A0" w14:textId="77777777" w:rsidR="00E26F24" w:rsidRDefault="00E26F24" w:rsidP="00E26F24">
      <w:pPr>
        <w:widowControl w:val="0"/>
      </w:pPr>
    </w:p>
    <w:p w14:paraId="551BDB32" w14:textId="77777777" w:rsidR="00E26F24" w:rsidRDefault="00E26F24" w:rsidP="00E26F24"/>
    <w:p w14:paraId="28B4DE3D" w14:textId="660D1298" w:rsidR="00E26F24" w:rsidRPr="00DD0113" w:rsidRDefault="00E26F24" w:rsidP="00E26F24">
      <w:pPr>
        <w:pStyle w:val="Heading2"/>
        <w:numPr>
          <w:ilvl w:val="0"/>
          <w:numId w:val="21"/>
        </w:numPr>
        <w:spacing w:before="40" w:after="40" w:line="240" w:lineRule="auto"/>
        <w:ind w:left="270" w:hanging="270"/>
        <w:rPr>
          <w:rFonts w:asciiTheme="minorBidi" w:eastAsia="Arial" w:hAnsiTheme="minorBidi" w:cstheme="minorBidi"/>
          <w:sz w:val="24"/>
          <w:szCs w:val="24"/>
        </w:rPr>
      </w:pPr>
      <w:bookmarkStart w:id="14" w:name="_Toc103472507"/>
      <w:r>
        <w:rPr>
          <w:rFonts w:asciiTheme="minorBidi" w:eastAsia="Arial" w:hAnsiTheme="minorBidi" w:cstheme="minorBidi"/>
          <w:sz w:val="24"/>
          <w:szCs w:val="24"/>
        </w:rPr>
        <w:t>Polygamy</w:t>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sidR="00D02072">
        <w:rPr>
          <w:rFonts w:asciiTheme="minorBidi" w:eastAsia="Arial" w:hAnsiTheme="minorBidi" w:cstheme="minorBidi"/>
          <w:sz w:val="24"/>
          <w:szCs w:val="24"/>
        </w:rPr>
        <w:t xml:space="preserve">          </w:t>
      </w:r>
      <w:r>
        <w:rPr>
          <w:rFonts w:asciiTheme="minorBidi" w:eastAsia="Arial" w:hAnsiTheme="minorBidi" w:cstheme="minorBidi"/>
          <w:sz w:val="24"/>
          <w:szCs w:val="24"/>
        </w:rPr>
        <w:t>Article 16</w:t>
      </w:r>
      <w:bookmarkEnd w:id="14"/>
    </w:p>
    <w:p w14:paraId="3DBE922B" w14:textId="77777777" w:rsidR="00E26F24" w:rsidRDefault="00E26F24" w:rsidP="00E26F24">
      <w:pPr>
        <w:jc w:val="both"/>
      </w:pPr>
    </w:p>
    <w:p w14:paraId="52FA4473" w14:textId="5721CE7A" w:rsidR="00E26F24" w:rsidRPr="004D403D" w:rsidRDefault="00E26F24" w:rsidP="000C6DA6">
      <w:pPr>
        <w:pBdr>
          <w:top w:val="nil"/>
          <w:left w:val="nil"/>
          <w:bottom w:val="nil"/>
          <w:right w:val="nil"/>
          <w:between w:val="nil"/>
        </w:pBdr>
        <w:jc w:val="both"/>
        <w:rPr>
          <w:rFonts w:ascii="Arial" w:hAnsi="Arial" w:cs="Arial"/>
          <w:color w:val="000000"/>
          <w:sz w:val="20"/>
          <w:szCs w:val="20"/>
        </w:rPr>
      </w:pPr>
      <w:r w:rsidRPr="004D403D">
        <w:rPr>
          <w:rFonts w:ascii="Arial" w:hAnsi="Arial" w:cs="Arial"/>
          <w:color w:val="000000"/>
          <w:sz w:val="20"/>
          <w:szCs w:val="20"/>
        </w:rPr>
        <w:t xml:space="preserve">The Personal Status Law </w:t>
      </w:r>
      <w:r w:rsidRPr="004D403D">
        <w:rPr>
          <w:rFonts w:ascii="Arial" w:hAnsi="Arial" w:cs="Arial"/>
          <w:sz w:val="20"/>
          <w:szCs w:val="20"/>
        </w:rPr>
        <w:t>grants</w:t>
      </w:r>
      <w:r w:rsidRPr="004D403D">
        <w:rPr>
          <w:rFonts w:ascii="Arial" w:hAnsi="Arial" w:cs="Arial"/>
          <w:color w:val="000000"/>
          <w:sz w:val="20"/>
          <w:szCs w:val="20"/>
        </w:rPr>
        <w:t xml:space="preserve"> a man full discretion to marry up to four wives, and does not mandate either informing an existing wife of the intention to enter subsequent marriages, nor </w:t>
      </w:r>
      <w:r w:rsidR="00233AE3">
        <w:rPr>
          <w:rFonts w:ascii="Arial" w:hAnsi="Arial" w:cs="Arial"/>
          <w:color w:val="000000"/>
          <w:sz w:val="20"/>
          <w:szCs w:val="20"/>
        </w:rPr>
        <w:t>obtaining</w:t>
      </w:r>
      <w:r w:rsidRPr="004D403D">
        <w:rPr>
          <w:rFonts w:ascii="Arial" w:hAnsi="Arial" w:cs="Arial"/>
          <w:color w:val="000000"/>
          <w:sz w:val="20"/>
          <w:szCs w:val="20"/>
        </w:rPr>
        <w:t xml:space="preserve"> an existing wife’s consent to alter a monogamous marriage into a polygamous one. Marrying other wives is not a valid cause for a woman to seek divorce under the Personal Status Law, unless she had included an explicit condition in the marriage contract, which requires prior consent of the husband.</w:t>
      </w:r>
      <w:r w:rsidRPr="004D403D">
        <w:rPr>
          <w:rStyle w:val="FootnoteReference"/>
          <w:rFonts w:ascii="Arial" w:hAnsi="Arial" w:cs="Arial"/>
          <w:color w:val="000000"/>
          <w:sz w:val="20"/>
          <w:szCs w:val="20"/>
        </w:rPr>
        <w:footnoteReference w:id="36"/>
      </w:r>
      <w:r w:rsidRPr="004D403D">
        <w:rPr>
          <w:rFonts w:ascii="Arial" w:hAnsi="Arial" w:cs="Arial"/>
          <w:color w:val="000000"/>
          <w:sz w:val="20"/>
          <w:szCs w:val="20"/>
        </w:rPr>
        <w:t xml:space="preserve"> </w:t>
      </w:r>
    </w:p>
    <w:p w14:paraId="6620DEE5" w14:textId="77777777" w:rsidR="00E26F24" w:rsidRPr="004D403D" w:rsidRDefault="00E26F24" w:rsidP="000C6DA6">
      <w:pPr>
        <w:pBdr>
          <w:top w:val="nil"/>
          <w:left w:val="nil"/>
          <w:bottom w:val="nil"/>
          <w:right w:val="nil"/>
          <w:between w:val="nil"/>
        </w:pBdr>
        <w:jc w:val="both"/>
        <w:rPr>
          <w:rFonts w:ascii="Arial" w:hAnsi="Arial" w:cs="Arial"/>
          <w:color w:val="000000"/>
          <w:sz w:val="20"/>
          <w:szCs w:val="20"/>
        </w:rPr>
      </w:pPr>
    </w:p>
    <w:p w14:paraId="2BB45AA0" w14:textId="6C716FFC" w:rsidR="00E26F24" w:rsidRDefault="00E26F24" w:rsidP="00255633">
      <w:pPr>
        <w:pBdr>
          <w:top w:val="nil"/>
          <w:left w:val="nil"/>
          <w:bottom w:val="nil"/>
          <w:right w:val="nil"/>
          <w:between w:val="nil"/>
        </w:pBdr>
        <w:jc w:val="both"/>
        <w:rPr>
          <w:rFonts w:ascii="Arial" w:hAnsi="Arial" w:cs="Arial"/>
          <w:sz w:val="20"/>
          <w:szCs w:val="20"/>
        </w:rPr>
      </w:pPr>
      <w:r w:rsidRPr="004D403D">
        <w:rPr>
          <w:rFonts w:ascii="Arial" w:hAnsi="Arial" w:cs="Arial"/>
          <w:color w:val="000000"/>
          <w:sz w:val="20"/>
          <w:szCs w:val="20"/>
        </w:rPr>
        <w:t>The law explicitly ignores a woman’s consent to polygamous arrangements, and only offers protection in the form of encouraging a husband to treat all wives fairly.</w:t>
      </w:r>
      <w:r w:rsidRPr="004D403D">
        <w:rPr>
          <w:rStyle w:val="FootnoteReference"/>
          <w:rFonts w:ascii="Arial" w:hAnsi="Arial" w:cs="Arial"/>
          <w:color w:val="000000"/>
          <w:sz w:val="20"/>
          <w:szCs w:val="20"/>
        </w:rPr>
        <w:footnoteReference w:id="37"/>
      </w:r>
      <w:r w:rsidRPr="004D403D">
        <w:rPr>
          <w:rFonts w:ascii="Arial" w:hAnsi="Arial" w:cs="Arial"/>
          <w:color w:val="000000"/>
          <w:sz w:val="20"/>
          <w:szCs w:val="20"/>
        </w:rPr>
        <w:t xml:space="preserve"> According to recent reports, the number of polygamous marriages continues to decline in the UAE.</w:t>
      </w:r>
      <w:r w:rsidRPr="004D403D">
        <w:rPr>
          <w:rStyle w:val="FootnoteReference"/>
          <w:rFonts w:ascii="Arial" w:hAnsi="Arial" w:cs="Arial"/>
          <w:color w:val="000000"/>
          <w:sz w:val="20"/>
          <w:szCs w:val="20"/>
        </w:rPr>
        <w:footnoteReference w:id="38"/>
      </w:r>
      <w:r w:rsidRPr="004D403D">
        <w:rPr>
          <w:rFonts w:ascii="Arial" w:hAnsi="Arial" w:cs="Arial"/>
          <w:color w:val="000000"/>
          <w:sz w:val="20"/>
          <w:szCs w:val="20"/>
        </w:rPr>
        <w:t xml:space="preserve"> Nonetheless, polygamy continues to be practiced in a manner that harms women and causes negative consequences to the financial, psychological, and emotional wellbeing of the wives and children of polygamous unions.</w:t>
      </w:r>
      <w:r w:rsidRPr="004D403D">
        <w:rPr>
          <w:rStyle w:val="FootnoteReference"/>
          <w:rFonts w:ascii="Arial" w:hAnsi="Arial" w:cs="Arial"/>
          <w:color w:val="000000"/>
          <w:sz w:val="20"/>
          <w:szCs w:val="20"/>
        </w:rPr>
        <w:footnoteReference w:id="39"/>
      </w:r>
      <w:r w:rsidRPr="004D403D">
        <w:rPr>
          <w:rFonts w:ascii="Arial" w:hAnsi="Arial" w:cs="Arial"/>
          <w:color w:val="000000"/>
          <w:sz w:val="20"/>
          <w:szCs w:val="20"/>
        </w:rPr>
        <w:t xml:space="preserve"> At a</w:t>
      </w:r>
      <w:r>
        <w:rPr>
          <w:rFonts w:ascii="Arial" w:hAnsi="Arial" w:cs="Arial"/>
          <w:color w:val="000000"/>
          <w:sz w:val="20"/>
          <w:szCs w:val="20"/>
        </w:rPr>
        <w:t>n absolute</w:t>
      </w:r>
      <w:r w:rsidRPr="004D403D">
        <w:rPr>
          <w:rFonts w:ascii="Arial" w:hAnsi="Arial" w:cs="Arial"/>
          <w:color w:val="000000"/>
          <w:sz w:val="20"/>
          <w:szCs w:val="20"/>
        </w:rPr>
        <w:t xml:space="preserve"> minimum, </w:t>
      </w:r>
      <w:r>
        <w:rPr>
          <w:rFonts w:ascii="Arial" w:hAnsi="Arial" w:cs="Arial"/>
          <w:color w:val="000000"/>
          <w:sz w:val="20"/>
          <w:szCs w:val="20"/>
        </w:rPr>
        <w:t>the law must be reformed</w:t>
      </w:r>
      <w:r w:rsidRPr="004D403D">
        <w:rPr>
          <w:rFonts w:ascii="Arial" w:hAnsi="Arial" w:cs="Arial"/>
          <w:sz w:val="20"/>
          <w:szCs w:val="20"/>
        </w:rPr>
        <w:t xml:space="preserve"> </w:t>
      </w:r>
      <w:r>
        <w:rPr>
          <w:rFonts w:ascii="Arial" w:hAnsi="Arial" w:cs="Arial"/>
          <w:sz w:val="20"/>
          <w:szCs w:val="20"/>
        </w:rPr>
        <w:t xml:space="preserve">to </w:t>
      </w:r>
      <w:r w:rsidRPr="004D403D">
        <w:rPr>
          <w:rFonts w:ascii="Arial" w:hAnsi="Arial" w:cs="Arial"/>
          <w:sz w:val="20"/>
          <w:szCs w:val="20"/>
        </w:rPr>
        <w:t>make it a legal requirement for an existing wife to be informed and to consent to her husband’s subsequent marriage.</w:t>
      </w:r>
    </w:p>
    <w:p w14:paraId="56E20F2E" w14:textId="396D42A2" w:rsidR="001136EB" w:rsidRDefault="001136EB" w:rsidP="00255633">
      <w:pPr>
        <w:pBdr>
          <w:top w:val="nil"/>
          <w:left w:val="nil"/>
          <w:bottom w:val="nil"/>
          <w:right w:val="nil"/>
          <w:between w:val="nil"/>
        </w:pBdr>
        <w:jc w:val="both"/>
        <w:rPr>
          <w:rFonts w:ascii="Arial" w:hAnsi="Arial" w:cs="Arial"/>
          <w:sz w:val="20"/>
          <w:szCs w:val="20"/>
        </w:rPr>
      </w:pPr>
    </w:p>
    <w:p w14:paraId="2FA22269" w14:textId="7A0EDCA6" w:rsidR="001136EB" w:rsidRDefault="001136EB" w:rsidP="00255633">
      <w:pPr>
        <w:pBdr>
          <w:top w:val="nil"/>
          <w:left w:val="nil"/>
          <w:bottom w:val="nil"/>
          <w:right w:val="nil"/>
          <w:between w:val="nil"/>
        </w:pBdr>
        <w:jc w:val="both"/>
        <w:rPr>
          <w:rFonts w:ascii="Arial" w:hAnsi="Arial" w:cs="Arial"/>
          <w:sz w:val="20"/>
          <w:szCs w:val="20"/>
        </w:rPr>
      </w:pPr>
    </w:p>
    <w:p w14:paraId="2733C996" w14:textId="77A5C370" w:rsidR="001136EB" w:rsidRPr="00255633" w:rsidRDefault="001136EB" w:rsidP="00255633">
      <w:pPr>
        <w:pBdr>
          <w:top w:val="nil"/>
          <w:left w:val="nil"/>
          <w:bottom w:val="nil"/>
          <w:right w:val="nil"/>
          <w:between w:val="nil"/>
        </w:pBdr>
        <w:jc w:val="both"/>
        <w:rPr>
          <w:rFonts w:ascii="Arial" w:hAnsi="Arial" w:cs="Arial"/>
          <w:color w:val="000000"/>
          <w:sz w:val="20"/>
          <w:szCs w:val="20"/>
        </w:rPr>
      </w:pPr>
      <w:r>
        <w:rPr>
          <w:rFonts w:ascii="Arial" w:hAnsi="Arial" w:cs="Arial"/>
          <w:noProof/>
          <w:color w:val="000000"/>
          <w:sz w:val="20"/>
          <w:szCs w:val="20"/>
        </w:rPr>
        <w:drawing>
          <wp:inline distT="0" distB="0" distL="0" distR="0" wp14:anchorId="2D479002" wp14:editId="73413390">
            <wp:extent cx="5664200" cy="42551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7">
                      <a:extLst>
                        <a:ext uri="{28A0092B-C50C-407E-A947-70E740481C1C}">
                          <a14:useLocalDpi xmlns:a14="http://schemas.microsoft.com/office/drawing/2010/main" val="0"/>
                        </a:ext>
                      </a:extLst>
                    </a:blip>
                    <a:srcRect b="88937"/>
                    <a:stretch/>
                  </pic:blipFill>
                  <pic:spPr bwMode="auto">
                    <a:xfrm>
                      <a:off x="0" y="0"/>
                      <a:ext cx="5664200" cy="425513"/>
                    </a:xfrm>
                    <a:prstGeom prst="rect">
                      <a:avLst/>
                    </a:prstGeom>
                    <a:ln>
                      <a:noFill/>
                    </a:ln>
                    <a:extLst>
                      <a:ext uri="{53640926-AAD7-44D8-BBD7-CCE9431645EC}">
                        <a14:shadowObscured xmlns:a14="http://schemas.microsoft.com/office/drawing/2010/main"/>
                      </a:ext>
                    </a:extLst>
                  </pic:spPr>
                </pic:pic>
              </a:graphicData>
            </a:graphic>
          </wp:inline>
        </w:drawing>
      </w:r>
    </w:p>
    <w:p w14:paraId="6E4B0952" w14:textId="662421EB" w:rsidR="001136EB" w:rsidRDefault="00255633" w:rsidP="001136EB">
      <w:pPr>
        <w:jc w:val="both"/>
      </w:pPr>
      <w:r>
        <w:rPr>
          <w:noProof/>
        </w:rPr>
        <w:drawing>
          <wp:inline distT="0" distB="0" distL="0" distR="0" wp14:anchorId="7A4B5737" wp14:editId="1D9807D6">
            <wp:extent cx="5664200" cy="2433854"/>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7">
                      <a:extLst>
                        <a:ext uri="{28A0092B-C50C-407E-A947-70E740481C1C}">
                          <a14:useLocalDpi xmlns:a14="http://schemas.microsoft.com/office/drawing/2010/main" val="0"/>
                        </a:ext>
                      </a:extLst>
                    </a:blip>
                    <a:srcRect t="36721"/>
                    <a:stretch/>
                  </pic:blipFill>
                  <pic:spPr bwMode="auto">
                    <a:xfrm>
                      <a:off x="0" y="0"/>
                      <a:ext cx="5664200" cy="2433854"/>
                    </a:xfrm>
                    <a:prstGeom prst="rect">
                      <a:avLst/>
                    </a:prstGeom>
                    <a:ln>
                      <a:noFill/>
                    </a:ln>
                    <a:extLst>
                      <a:ext uri="{53640926-AAD7-44D8-BBD7-CCE9431645EC}">
                        <a14:shadowObscured xmlns:a14="http://schemas.microsoft.com/office/drawing/2010/main"/>
                      </a:ext>
                    </a:extLst>
                  </pic:spPr>
                </pic:pic>
              </a:graphicData>
            </a:graphic>
          </wp:inline>
        </w:drawing>
      </w:r>
    </w:p>
    <w:p w14:paraId="1336339A" w14:textId="77777777" w:rsidR="001136EB" w:rsidRDefault="001136EB" w:rsidP="001136EB">
      <w:pPr>
        <w:jc w:val="both"/>
      </w:pPr>
    </w:p>
    <w:p w14:paraId="6BCD22D4" w14:textId="2B34CA13" w:rsidR="00D43C94" w:rsidRDefault="001136EB" w:rsidP="000D5C07">
      <w:pPr>
        <w:jc w:val="center"/>
      </w:pPr>
      <w:r>
        <w:rPr>
          <w:noProof/>
        </w:rPr>
        <w:lastRenderedPageBreak/>
        <w:drawing>
          <wp:inline distT="0" distB="0" distL="0" distR="0" wp14:anchorId="2338FCC4" wp14:editId="7705C41D">
            <wp:extent cx="5357722" cy="5052291"/>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8" cstate="print">
                      <a:extLst>
                        <a:ext uri="{28A0092B-C50C-407E-A947-70E740481C1C}">
                          <a14:useLocalDpi xmlns:a14="http://schemas.microsoft.com/office/drawing/2010/main" val="0"/>
                        </a:ext>
                      </a:extLst>
                    </a:blip>
                    <a:srcRect l="1" t="1386" r="-965"/>
                    <a:stretch/>
                  </pic:blipFill>
                  <pic:spPr bwMode="auto">
                    <a:xfrm>
                      <a:off x="0" y="0"/>
                      <a:ext cx="5440077" cy="5129952"/>
                    </a:xfrm>
                    <a:prstGeom prst="rect">
                      <a:avLst/>
                    </a:prstGeom>
                    <a:ln>
                      <a:noFill/>
                    </a:ln>
                    <a:extLst>
                      <a:ext uri="{53640926-AAD7-44D8-BBD7-CCE9431645EC}">
                        <a14:shadowObscured xmlns:a14="http://schemas.microsoft.com/office/drawing/2010/main"/>
                      </a:ext>
                    </a:extLst>
                  </pic:spPr>
                </pic:pic>
              </a:graphicData>
            </a:graphic>
          </wp:inline>
        </w:drawing>
      </w:r>
    </w:p>
    <w:p w14:paraId="41056C0A" w14:textId="77777777" w:rsidR="00E26F24" w:rsidRPr="00DD0113" w:rsidRDefault="00E26F24" w:rsidP="00E26F24">
      <w:pPr>
        <w:widowControl w:val="0"/>
        <w:rPr>
          <w:rFonts w:ascii="Arial" w:hAnsi="Arial" w:cs="Arial"/>
          <w:sz w:val="20"/>
          <w:szCs w:val="20"/>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46"/>
      </w:tblGrid>
      <w:tr w:rsidR="00E26F24" w:rsidRPr="00DD0113" w14:paraId="0885F11F" w14:textId="77777777" w:rsidTr="000C6DA6">
        <w:trPr>
          <w:trHeight w:val="2445"/>
        </w:trPr>
        <w:tc>
          <w:tcPr>
            <w:tcW w:w="8946" w:type="dxa"/>
            <w:shd w:val="clear" w:color="auto" w:fill="D9D9D9" w:themeFill="background1" w:themeFillShade="D9"/>
            <w:tcMar>
              <w:top w:w="100" w:type="dxa"/>
              <w:left w:w="100" w:type="dxa"/>
              <w:bottom w:w="100" w:type="dxa"/>
              <w:right w:w="100" w:type="dxa"/>
            </w:tcMar>
          </w:tcPr>
          <w:p w14:paraId="080E9327" w14:textId="356C6368" w:rsidR="00E26F24" w:rsidRPr="00E91344" w:rsidRDefault="00E26F24" w:rsidP="00E81126">
            <w:pPr>
              <w:widowControl w:val="0"/>
              <w:spacing w:before="240" w:after="240"/>
              <w:rPr>
                <w:rFonts w:ascii="Arial" w:hAnsi="Arial" w:cs="Arial"/>
                <w:b/>
                <w:sz w:val="20"/>
                <w:szCs w:val="20"/>
                <w:u w:val="single"/>
              </w:rPr>
            </w:pPr>
            <w:r w:rsidRPr="00E91344">
              <w:rPr>
                <w:rFonts w:ascii="Arial" w:hAnsi="Arial" w:cs="Arial"/>
                <w:b/>
                <w:sz w:val="20"/>
                <w:szCs w:val="20"/>
                <w:u w:val="single"/>
              </w:rPr>
              <w:t>RECOMMENDATIONS</w:t>
            </w:r>
          </w:p>
          <w:p w14:paraId="1A2E60A1" w14:textId="453F89E0" w:rsidR="00EB53C2" w:rsidRPr="00E91344" w:rsidRDefault="00EB53C2" w:rsidP="00E91344">
            <w:pPr>
              <w:rPr>
                <w:rFonts w:ascii="Arial" w:hAnsi="Arial" w:cs="Arial"/>
                <w:sz w:val="20"/>
                <w:szCs w:val="20"/>
              </w:rPr>
            </w:pPr>
            <w:r w:rsidRPr="00215E42">
              <w:rPr>
                <w:rFonts w:ascii="Arial" w:hAnsi="Arial" w:cs="Arial"/>
                <w:b/>
                <w:bCs/>
                <w:sz w:val="20"/>
                <w:szCs w:val="20"/>
              </w:rPr>
              <w:t>We recommend the CEDAW Committee urge the State party to:</w:t>
            </w:r>
          </w:p>
          <w:p w14:paraId="322FF8A4" w14:textId="14860EBF" w:rsidR="00E26F24" w:rsidRPr="00E91344" w:rsidRDefault="00E26F24" w:rsidP="000C6DA6">
            <w:pPr>
              <w:pStyle w:val="ListParagraph"/>
              <w:widowControl w:val="0"/>
              <w:numPr>
                <w:ilvl w:val="0"/>
                <w:numId w:val="15"/>
              </w:numPr>
              <w:spacing w:before="240" w:after="240"/>
              <w:jc w:val="both"/>
              <w:rPr>
                <w:rStyle w:val="Strong"/>
                <w:rFonts w:ascii="Arial" w:hAnsi="Arial" w:cs="Arial"/>
                <w:bCs w:val="0"/>
                <w:sz w:val="20"/>
                <w:szCs w:val="20"/>
              </w:rPr>
            </w:pPr>
            <w:r>
              <w:rPr>
                <w:rFonts w:ascii="Arial" w:hAnsi="Arial" w:cs="Arial"/>
                <w:sz w:val="20"/>
                <w:szCs w:val="20"/>
              </w:rPr>
              <w:t xml:space="preserve">Introduce </w:t>
            </w:r>
            <w:r w:rsidRPr="004D403D">
              <w:rPr>
                <w:rFonts w:ascii="Arial" w:hAnsi="Arial" w:cs="Arial"/>
                <w:sz w:val="20"/>
                <w:szCs w:val="20"/>
              </w:rPr>
              <w:t>conditions in the Personal Status Law to</w:t>
            </w:r>
            <w:r w:rsidRPr="004D403D">
              <w:rPr>
                <w:rFonts w:ascii="Arial" w:hAnsi="Arial" w:cs="Arial"/>
                <w:b/>
                <w:bCs/>
                <w:sz w:val="20"/>
                <w:szCs w:val="20"/>
              </w:rPr>
              <w:t xml:space="preserve"> </w:t>
            </w:r>
            <w:r w:rsidRPr="004D403D">
              <w:rPr>
                <w:rStyle w:val="Strong"/>
                <w:rFonts w:ascii="Arial" w:hAnsi="Arial" w:cs="Arial"/>
                <w:b w:val="0"/>
                <w:bCs w:val="0"/>
                <w:sz w:val="20"/>
                <w:szCs w:val="20"/>
              </w:rPr>
              <w:t>restrict the practice of polygamy to minimize harm and injustice done to the wives and children</w:t>
            </w:r>
            <w:r>
              <w:rPr>
                <w:rStyle w:val="Strong"/>
                <w:rFonts w:ascii="Arial" w:hAnsi="Arial" w:cs="Arial"/>
                <w:b w:val="0"/>
                <w:bCs w:val="0"/>
                <w:sz w:val="20"/>
                <w:szCs w:val="20"/>
              </w:rPr>
              <w:t>, and in particular:</w:t>
            </w:r>
          </w:p>
          <w:p w14:paraId="75F07CF1" w14:textId="77777777" w:rsidR="00EB53C2" w:rsidRPr="00E91344" w:rsidRDefault="00EB53C2" w:rsidP="00E91344">
            <w:pPr>
              <w:pStyle w:val="ListParagraph"/>
              <w:widowControl w:val="0"/>
              <w:spacing w:before="240" w:after="240"/>
              <w:jc w:val="both"/>
              <w:rPr>
                <w:rStyle w:val="Strong"/>
                <w:rFonts w:ascii="Arial" w:hAnsi="Arial" w:cs="Arial"/>
                <w:bCs w:val="0"/>
                <w:sz w:val="20"/>
                <w:szCs w:val="20"/>
              </w:rPr>
            </w:pPr>
          </w:p>
          <w:p w14:paraId="6DFE5645" w14:textId="0E15AE79" w:rsidR="00EB53C2" w:rsidRPr="00E91344" w:rsidRDefault="00EB53C2" w:rsidP="00EB53C2">
            <w:pPr>
              <w:pStyle w:val="ListParagraph"/>
              <w:widowControl w:val="0"/>
              <w:numPr>
                <w:ilvl w:val="1"/>
                <w:numId w:val="15"/>
              </w:numPr>
              <w:spacing w:before="240" w:after="240"/>
              <w:jc w:val="both"/>
              <w:rPr>
                <w:rFonts w:ascii="Arial" w:hAnsi="Arial" w:cs="Arial"/>
                <w:b/>
                <w:sz w:val="20"/>
                <w:szCs w:val="20"/>
              </w:rPr>
            </w:pPr>
            <w:r>
              <w:rPr>
                <w:rFonts w:ascii="Arial" w:hAnsi="Arial" w:cs="Arial"/>
                <w:bCs/>
                <w:sz w:val="20"/>
                <w:szCs w:val="20"/>
              </w:rPr>
              <w:t>Require marriage officiators to notify a man’s existing wife at the time of contracting a subsequent marriage and to seek her consent; and</w:t>
            </w:r>
          </w:p>
          <w:p w14:paraId="70D30091" w14:textId="77777777" w:rsidR="00EB53C2" w:rsidRPr="00E91344" w:rsidRDefault="00EB53C2" w:rsidP="00E91344">
            <w:pPr>
              <w:pStyle w:val="ListParagraph"/>
              <w:widowControl w:val="0"/>
              <w:spacing w:before="240" w:after="240"/>
              <w:ind w:left="1440"/>
              <w:jc w:val="both"/>
              <w:rPr>
                <w:rFonts w:ascii="Arial" w:hAnsi="Arial" w:cs="Arial"/>
                <w:b/>
                <w:sz w:val="20"/>
                <w:szCs w:val="20"/>
              </w:rPr>
            </w:pPr>
          </w:p>
          <w:p w14:paraId="5BB9F8AD" w14:textId="08301383" w:rsidR="00E26F24" w:rsidRPr="00EB53C2" w:rsidRDefault="00EB53C2" w:rsidP="00E91344">
            <w:pPr>
              <w:pStyle w:val="ListParagraph"/>
              <w:widowControl w:val="0"/>
              <w:numPr>
                <w:ilvl w:val="1"/>
                <w:numId w:val="15"/>
              </w:numPr>
              <w:spacing w:before="240" w:after="240"/>
              <w:jc w:val="both"/>
            </w:pPr>
            <w:r>
              <w:rPr>
                <w:rStyle w:val="Strong"/>
                <w:rFonts w:ascii="Arial" w:hAnsi="Arial" w:cs="Arial"/>
                <w:b w:val="0"/>
                <w:sz w:val="20"/>
                <w:szCs w:val="20"/>
              </w:rPr>
              <w:t>Include polygamy as a valid cause for judicial divorce.</w:t>
            </w:r>
          </w:p>
        </w:tc>
      </w:tr>
    </w:tbl>
    <w:p w14:paraId="5850B81F" w14:textId="77777777" w:rsidR="00E26F24" w:rsidRDefault="00E26F24" w:rsidP="00E26F24">
      <w:pPr>
        <w:widowControl w:val="0"/>
        <w:rPr>
          <w:color w:val="FF0000"/>
        </w:rPr>
      </w:pPr>
    </w:p>
    <w:p w14:paraId="5F66677C" w14:textId="77777777" w:rsidR="00E26F24" w:rsidRDefault="00E26F24" w:rsidP="00E26F24"/>
    <w:p w14:paraId="769CDDB4" w14:textId="79D79AB8" w:rsidR="00E26F24" w:rsidRPr="00DD0113" w:rsidRDefault="00E26F24" w:rsidP="00E26F24">
      <w:pPr>
        <w:pStyle w:val="Heading2"/>
        <w:numPr>
          <w:ilvl w:val="0"/>
          <w:numId w:val="21"/>
        </w:numPr>
        <w:spacing w:before="40" w:after="40" w:line="240" w:lineRule="auto"/>
        <w:ind w:left="270" w:hanging="270"/>
        <w:rPr>
          <w:rFonts w:asciiTheme="minorBidi" w:eastAsia="Arial" w:hAnsiTheme="minorBidi" w:cstheme="minorBidi"/>
          <w:sz w:val="24"/>
          <w:szCs w:val="24"/>
        </w:rPr>
      </w:pPr>
      <w:bookmarkStart w:id="15" w:name="_Toc103472508"/>
      <w:r>
        <w:rPr>
          <w:rFonts w:asciiTheme="minorBidi" w:eastAsia="Arial" w:hAnsiTheme="minorBidi" w:cstheme="minorBidi"/>
          <w:sz w:val="24"/>
          <w:szCs w:val="24"/>
        </w:rPr>
        <w:t>Violence Against Women</w:t>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sidR="00D02072">
        <w:rPr>
          <w:rFonts w:asciiTheme="minorBidi" w:eastAsia="Arial" w:hAnsiTheme="minorBidi" w:cstheme="minorBidi"/>
          <w:sz w:val="24"/>
          <w:szCs w:val="24"/>
        </w:rPr>
        <w:t xml:space="preserve">        </w:t>
      </w:r>
      <w:r w:rsidRPr="00892321">
        <w:rPr>
          <w:rFonts w:asciiTheme="minorBidi" w:eastAsia="Arial" w:hAnsiTheme="minorBidi" w:cstheme="minorBidi"/>
          <w:sz w:val="24"/>
          <w:szCs w:val="24"/>
        </w:rPr>
        <w:t>Articles 11-5, 16 &amp; 19, &amp; GR35</w:t>
      </w:r>
      <w:bookmarkEnd w:id="15"/>
    </w:p>
    <w:p w14:paraId="7AF2448A" w14:textId="77777777" w:rsidR="00E26F24" w:rsidRDefault="00E26F24" w:rsidP="00E26F24">
      <w:pPr>
        <w:jc w:val="both"/>
      </w:pPr>
    </w:p>
    <w:p w14:paraId="3B3C4F9B" w14:textId="3769377F" w:rsidR="00E26F24" w:rsidRPr="00DF20F7" w:rsidRDefault="00E26F24" w:rsidP="000C6DA6">
      <w:pPr>
        <w:widowControl w:val="0"/>
        <w:jc w:val="both"/>
        <w:rPr>
          <w:rFonts w:ascii="Arial" w:eastAsia="Arial" w:hAnsi="Arial" w:cs="Arial"/>
          <w:color w:val="000000"/>
          <w:sz w:val="20"/>
          <w:szCs w:val="20"/>
        </w:rPr>
      </w:pPr>
      <w:r>
        <w:rPr>
          <w:rFonts w:ascii="Arial" w:hAnsi="Arial" w:cs="Arial"/>
          <w:color w:val="000000" w:themeColor="text1"/>
          <w:sz w:val="20"/>
          <w:szCs w:val="20"/>
        </w:rPr>
        <w:t xml:space="preserve">In 2016, the UAE </w:t>
      </w:r>
      <w:r>
        <w:rPr>
          <w:rFonts w:ascii="Arial" w:eastAsia="Arial" w:hAnsi="Arial" w:cs="Arial"/>
          <w:color w:val="000000"/>
          <w:sz w:val="20"/>
          <w:szCs w:val="20"/>
        </w:rPr>
        <w:t>amended</w:t>
      </w:r>
      <w:r w:rsidRPr="00EF2459">
        <w:rPr>
          <w:rFonts w:ascii="Arial" w:eastAsia="Arial" w:hAnsi="Arial" w:cs="Arial"/>
          <w:color w:val="000000"/>
          <w:sz w:val="20"/>
          <w:szCs w:val="20"/>
        </w:rPr>
        <w:t xml:space="preserve"> article 53 of the Penal Code,</w:t>
      </w:r>
      <w:r>
        <w:rPr>
          <w:rFonts w:ascii="Arial" w:eastAsia="Arial" w:hAnsi="Arial" w:cs="Arial"/>
          <w:color w:val="000000"/>
          <w:sz w:val="20"/>
          <w:szCs w:val="20"/>
        </w:rPr>
        <w:t xml:space="preserve"> removing spousal “discipline” as a permitted act of violence</w:t>
      </w:r>
      <w:r w:rsidR="00233AE3">
        <w:rPr>
          <w:rFonts w:ascii="Arial" w:eastAsia="Arial" w:hAnsi="Arial" w:cs="Arial"/>
          <w:color w:val="000000"/>
          <w:sz w:val="20"/>
          <w:szCs w:val="20"/>
        </w:rPr>
        <w:t>;</w:t>
      </w:r>
      <w:r>
        <w:rPr>
          <w:rFonts w:ascii="Arial" w:eastAsia="Arial" w:hAnsi="Arial" w:cs="Arial"/>
          <w:color w:val="000000"/>
          <w:sz w:val="20"/>
          <w:szCs w:val="20"/>
        </w:rPr>
        <w:t xml:space="preserve"> in 2020, it repealed article 334 of the same law, which enabled lenient sentences for honor killings.</w:t>
      </w:r>
      <w:r>
        <w:rPr>
          <w:rStyle w:val="FootnoteReference"/>
          <w:rFonts w:ascii="Arial" w:eastAsia="Arial" w:hAnsi="Arial" w:cs="Arial"/>
          <w:color w:val="000000"/>
          <w:sz w:val="20"/>
          <w:szCs w:val="20"/>
        </w:rPr>
        <w:footnoteReference w:id="40"/>
      </w:r>
      <w:r w:rsidRPr="00EF2459">
        <w:rPr>
          <w:rFonts w:ascii="Arial" w:eastAsia="Arial" w:hAnsi="Arial" w:cs="Arial"/>
          <w:color w:val="000000"/>
          <w:sz w:val="20"/>
          <w:szCs w:val="20"/>
        </w:rPr>
        <w:t xml:space="preserve"> </w:t>
      </w:r>
      <w:r w:rsidRPr="00CB0E9F">
        <w:rPr>
          <w:rFonts w:ascii="Arial" w:hAnsi="Arial" w:cs="Arial"/>
          <w:color w:val="000000" w:themeColor="text1"/>
          <w:sz w:val="20"/>
          <w:szCs w:val="20"/>
        </w:rPr>
        <w:t>In 2019, the UAE enacted the Domestic Violence Law</w:t>
      </w:r>
      <w:r>
        <w:rPr>
          <w:rFonts w:ascii="Arial" w:hAnsi="Arial" w:cs="Arial"/>
          <w:color w:val="000000" w:themeColor="text1"/>
          <w:sz w:val="20"/>
          <w:szCs w:val="20"/>
        </w:rPr>
        <w:t xml:space="preserve">, which enshrines certain protections for women from acts of violence within the family. </w:t>
      </w:r>
    </w:p>
    <w:p w14:paraId="13C6AF53" w14:textId="77777777" w:rsidR="00E26F24" w:rsidRDefault="00E26F24" w:rsidP="000C6DA6">
      <w:pPr>
        <w:widowControl w:val="0"/>
        <w:jc w:val="both"/>
        <w:rPr>
          <w:rFonts w:ascii="Arial" w:hAnsi="Arial" w:cs="Arial"/>
          <w:color w:val="000000" w:themeColor="text1"/>
          <w:sz w:val="20"/>
          <w:szCs w:val="20"/>
        </w:rPr>
      </w:pPr>
    </w:p>
    <w:p w14:paraId="4840B79A" w14:textId="0F8AF956" w:rsidR="00E26F24" w:rsidRPr="00CB0E9F" w:rsidRDefault="00E26F24" w:rsidP="000C6DA6">
      <w:pPr>
        <w:widowControl w:val="0"/>
        <w:jc w:val="both"/>
        <w:rPr>
          <w:rFonts w:ascii="Arial" w:hAnsi="Arial" w:cs="Arial"/>
          <w:color w:val="000000" w:themeColor="text1"/>
          <w:sz w:val="20"/>
          <w:szCs w:val="20"/>
        </w:rPr>
      </w:pPr>
      <w:r w:rsidRPr="00CB0E9F">
        <w:rPr>
          <w:rFonts w:ascii="Arial" w:hAnsi="Arial" w:cs="Arial"/>
          <w:color w:val="000000" w:themeColor="text1"/>
          <w:sz w:val="20"/>
          <w:szCs w:val="20"/>
        </w:rPr>
        <w:t xml:space="preserve">Domestic violence is defined in the law as any act or threat that one member of the family commits against another, </w:t>
      </w:r>
      <w:r w:rsidRPr="00CB0E9F">
        <w:rPr>
          <w:rFonts w:ascii="Arial" w:hAnsi="Arial" w:cs="Arial"/>
          <w:i/>
          <w:iCs/>
          <w:color w:val="000000" w:themeColor="text1"/>
          <w:sz w:val="20"/>
          <w:szCs w:val="20"/>
        </w:rPr>
        <w:t xml:space="preserve">in excess of his guardianship, maintenance, authority, or responsibility, </w:t>
      </w:r>
      <w:r w:rsidRPr="00CB0E9F">
        <w:rPr>
          <w:rFonts w:ascii="Arial" w:hAnsi="Arial" w:cs="Arial"/>
          <w:color w:val="000000" w:themeColor="text1"/>
          <w:sz w:val="20"/>
          <w:szCs w:val="20"/>
        </w:rPr>
        <w:t xml:space="preserve">and results in </w:t>
      </w:r>
      <w:r w:rsidRPr="00CB0E9F">
        <w:rPr>
          <w:rFonts w:ascii="Arial" w:hAnsi="Arial" w:cs="Arial"/>
          <w:color w:val="000000" w:themeColor="text1"/>
          <w:sz w:val="20"/>
          <w:szCs w:val="20"/>
        </w:rPr>
        <w:lastRenderedPageBreak/>
        <w:t>physical, psychological, sexual, or economic harm.</w:t>
      </w:r>
      <w:r>
        <w:rPr>
          <w:rStyle w:val="FootnoteReference"/>
          <w:rFonts w:ascii="Arial" w:hAnsi="Arial" w:cs="Arial"/>
          <w:color w:val="000000" w:themeColor="text1"/>
          <w:sz w:val="20"/>
          <w:szCs w:val="20"/>
        </w:rPr>
        <w:footnoteReference w:id="41"/>
      </w:r>
      <w:r w:rsidRPr="00CB0E9F">
        <w:rPr>
          <w:rFonts w:ascii="Arial" w:hAnsi="Arial" w:cs="Arial"/>
          <w:color w:val="000000" w:themeColor="text1"/>
          <w:sz w:val="20"/>
          <w:szCs w:val="20"/>
        </w:rPr>
        <w:t xml:space="preserve"> In this definition, the law appears to offer justification for acts or threats of violence that are </w:t>
      </w:r>
      <w:r w:rsidRPr="00CB0E9F">
        <w:rPr>
          <w:rFonts w:ascii="Arial" w:hAnsi="Arial" w:cs="Arial"/>
          <w:i/>
          <w:iCs/>
          <w:color w:val="000000" w:themeColor="text1"/>
          <w:sz w:val="20"/>
          <w:szCs w:val="20"/>
        </w:rPr>
        <w:t xml:space="preserve">within </w:t>
      </w:r>
      <w:r w:rsidRPr="00CB0E9F">
        <w:rPr>
          <w:rFonts w:ascii="Arial" w:hAnsi="Arial" w:cs="Arial"/>
          <w:color w:val="000000" w:themeColor="text1"/>
          <w:sz w:val="20"/>
          <w:szCs w:val="20"/>
        </w:rPr>
        <w:t>a perpetrator’s “guardianship, maintenance, authority, or responsibility,” thereby significantly weakening the protection of women from violence and threats of violence within the family.</w:t>
      </w:r>
    </w:p>
    <w:p w14:paraId="75D06E7A" w14:textId="77777777" w:rsidR="00E26F24" w:rsidRPr="00CB0E9F" w:rsidRDefault="00E26F24" w:rsidP="000C6DA6">
      <w:pPr>
        <w:widowControl w:val="0"/>
        <w:jc w:val="both"/>
        <w:rPr>
          <w:rFonts w:ascii="Arial" w:hAnsi="Arial" w:cs="Arial"/>
          <w:color w:val="000000" w:themeColor="text1"/>
          <w:sz w:val="20"/>
          <w:szCs w:val="20"/>
        </w:rPr>
      </w:pPr>
    </w:p>
    <w:p w14:paraId="582B2EDD" w14:textId="5A82D1BC" w:rsidR="00E26F24" w:rsidRPr="008B67D1" w:rsidRDefault="00E26F24" w:rsidP="000C6DA6">
      <w:pPr>
        <w:jc w:val="both"/>
        <w:rPr>
          <w:lang w:eastAsia="en-US"/>
        </w:rPr>
      </w:pPr>
      <w:r w:rsidRPr="00CB0E9F">
        <w:rPr>
          <w:rFonts w:ascii="Arial" w:hAnsi="Arial" w:cs="Arial"/>
          <w:color w:val="000000" w:themeColor="text1"/>
          <w:sz w:val="20"/>
          <w:szCs w:val="20"/>
        </w:rPr>
        <w:t>The law enables victims of domestic violence to obtain protection orders, within certain time limits. The public prosecution may issue a 30-day protection order, renewable for an additional 60 days</w:t>
      </w:r>
      <w:r w:rsidR="00233AE3">
        <w:rPr>
          <w:rFonts w:ascii="Arial" w:hAnsi="Arial" w:cs="Arial"/>
          <w:color w:val="000000" w:themeColor="text1"/>
          <w:sz w:val="20"/>
          <w:szCs w:val="20"/>
        </w:rPr>
        <w:t>,</w:t>
      </w:r>
      <w:r w:rsidRPr="00CB0E9F">
        <w:rPr>
          <w:rFonts w:ascii="Arial" w:hAnsi="Arial" w:cs="Arial"/>
          <w:color w:val="000000" w:themeColor="text1"/>
          <w:sz w:val="20"/>
          <w:szCs w:val="20"/>
        </w:rPr>
        <w:t xml:space="preserve"> after which a renewal order must be issued by a competent court, for a period not to exceed six months.</w:t>
      </w:r>
      <w:r>
        <w:rPr>
          <w:rStyle w:val="FootnoteReference"/>
          <w:rFonts w:ascii="Arial" w:hAnsi="Arial" w:cs="Arial"/>
          <w:color w:val="000000" w:themeColor="text1"/>
          <w:sz w:val="20"/>
          <w:szCs w:val="20"/>
        </w:rPr>
        <w:footnoteReference w:id="42"/>
      </w:r>
      <w:r>
        <w:rPr>
          <w:rFonts w:ascii="Arial" w:hAnsi="Arial" w:cs="Arial"/>
          <w:color w:val="000000" w:themeColor="text1"/>
          <w:sz w:val="20"/>
          <w:szCs w:val="20"/>
        </w:rPr>
        <w:t xml:space="preserve"> The law introduces fines and prison penalties for violating protection orders and for specific acts of domestic violence.</w:t>
      </w:r>
      <w:r>
        <w:rPr>
          <w:rStyle w:val="FootnoteReference"/>
          <w:rFonts w:ascii="Arial" w:hAnsi="Arial" w:cs="Arial"/>
          <w:color w:val="000000" w:themeColor="text1"/>
          <w:sz w:val="20"/>
          <w:szCs w:val="20"/>
        </w:rPr>
        <w:footnoteReference w:id="43"/>
      </w:r>
      <w:r>
        <w:rPr>
          <w:rFonts w:ascii="Arial" w:hAnsi="Arial" w:cs="Arial"/>
          <w:color w:val="000000" w:themeColor="text1"/>
          <w:sz w:val="20"/>
          <w:szCs w:val="20"/>
        </w:rPr>
        <w:t xml:space="preserve"> </w:t>
      </w:r>
    </w:p>
    <w:p w14:paraId="0BB1A789" w14:textId="77777777" w:rsidR="00E26F24" w:rsidRDefault="00E26F24" w:rsidP="000C6DA6">
      <w:pPr>
        <w:widowControl w:val="0"/>
        <w:jc w:val="both"/>
        <w:rPr>
          <w:rFonts w:ascii="Arial" w:hAnsi="Arial" w:cs="Arial"/>
          <w:color w:val="000000" w:themeColor="text1"/>
          <w:sz w:val="20"/>
          <w:szCs w:val="20"/>
        </w:rPr>
      </w:pPr>
    </w:p>
    <w:p w14:paraId="4E9AF71D" w14:textId="77777777" w:rsidR="00233AE3" w:rsidRDefault="00E26F24" w:rsidP="000C6DA6">
      <w:pPr>
        <w:widowControl w:val="0"/>
        <w:jc w:val="both"/>
        <w:rPr>
          <w:rFonts w:ascii="Arial" w:hAnsi="Arial" w:cs="Arial"/>
          <w:color w:val="000000" w:themeColor="text1"/>
          <w:sz w:val="20"/>
          <w:szCs w:val="20"/>
        </w:rPr>
      </w:pPr>
      <w:r>
        <w:rPr>
          <w:rFonts w:ascii="Arial" w:hAnsi="Arial" w:cs="Arial"/>
          <w:color w:val="000000" w:themeColor="text1"/>
          <w:sz w:val="20"/>
          <w:szCs w:val="20"/>
        </w:rPr>
        <w:t>However, article 10 of the Domestic Violence Law mandates that the public prosecution offer a “</w:t>
      </w:r>
      <w:r w:rsidRPr="00601D43">
        <w:rPr>
          <w:rFonts w:ascii="Arial" w:hAnsi="Arial" w:cs="Arial"/>
          <w:color w:val="000000" w:themeColor="text1"/>
          <w:sz w:val="20"/>
          <w:szCs w:val="20"/>
        </w:rPr>
        <w:t xml:space="preserve">reconciliation” option to victims of domestic violence. It is a strong concern that a mandated reconciliation offer in fact operates to discourage victims from seeking protection and accountability, and creates pressure to return to abusive households. </w:t>
      </w:r>
    </w:p>
    <w:p w14:paraId="665772D9" w14:textId="77777777" w:rsidR="00233AE3" w:rsidRDefault="00233AE3" w:rsidP="000C6DA6">
      <w:pPr>
        <w:widowControl w:val="0"/>
        <w:jc w:val="both"/>
        <w:rPr>
          <w:rFonts w:ascii="Arial" w:hAnsi="Arial" w:cs="Arial"/>
          <w:color w:val="000000" w:themeColor="text1"/>
          <w:sz w:val="20"/>
          <w:szCs w:val="20"/>
        </w:rPr>
      </w:pPr>
    </w:p>
    <w:p w14:paraId="3974DEAE" w14:textId="2A06EA4E" w:rsidR="00E26F24" w:rsidRPr="00601D43" w:rsidRDefault="00E26F24" w:rsidP="000C6DA6">
      <w:pPr>
        <w:widowControl w:val="0"/>
        <w:jc w:val="both"/>
        <w:rPr>
          <w:rFonts w:ascii="Arial" w:hAnsi="Arial" w:cs="Arial"/>
          <w:color w:val="000000" w:themeColor="text1"/>
          <w:sz w:val="20"/>
          <w:szCs w:val="20"/>
        </w:rPr>
      </w:pPr>
      <w:r w:rsidRPr="00601D43">
        <w:rPr>
          <w:rFonts w:ascii="Arial" w:hAnsi="Arial" w:cs="Arial"/>
          <w:color w:val="000000" w:themeColor="text1"/>
          <w:sz w:val="20"/>
          <w:szCs w:val="20"/>
        </w:rPr>
        <w:t xml:space="preserve">In the absence of official statistics on domestic violence, it is difficult to estimate the scale of the problem and its social harms, but anecdotal evidence </w:t>
      </w:r>
      <w:r>
        <w:rPr>
          <w:rFonts w:ascii="Arial" w:hAnsi="Arial" w:cs="Arial"/>
          <w:color w:val="000000" w:themeColor="text1"/>
          <w:sz w:val="20"/>
          <w:szCs w:val="20"/>
        </w:rPr>
        <w:t>points to</w:t>
      </w:r>
      <w:r w:rsidRPr="00601D43">
        <w:rPr>
          <w:rFonts w:ascii="Arial" w:hAnsi="Arial" w:cs="Arial"/>
          <w:color w:val="000000" w:themeColor="text1"/>
          <w:sz w:val="20"/>
          <w:szCs w:val="20"/>
        </w:rPr>
        <w:t xml:space="preserve"> a </w:t>
      </w:r>
      <w:r>
        <w:rPr>
          <w:rFonts w:ascii="Arial" w:hAnsi="Arial" w:cs="Arial"/>
          <w:color w:val="000000" w:themeColor="text1"/>
          <w:sz w:val="20"/>
          <w:szCs w:val="20"/>
        </w:rPr>
        <w:t xml:space="preserve">degree of </w:t>
      </w:r>
      <w:r w:rsidRPr="00601D43">
        <w:rPr>
          <w:rFonts w:ascii="Arial" w:hAnsi="Arial" w:cs="Arial"/>
          <w:color w:val="000000" w:themeColor="text1"/>
          <w:sz w:val="20"/>
          <w:szCs w:val="20"/>
        </w:rPr>
        <w:t>prevalence of spousal abuse that often goes unreported or unpunished due to loopholes in the law and authorities’ reported prioritization of reconciliation and the preservation of “family unity and integration,” often at the expense of women’s safety.</w:t>
      </w:r>
      <w:r w:rsidRPr="00601D43">
        <w:rPr>
          <w:rStyle w:val="FootnoteReference"/>
          <w:rFonts w:ascii="Arial" w:hAnsi="Arial" w:cs="Arial"/>
          <w:color w:val="000000" w:themeColor="text1"/>
          <w:sz w:val="20"/>
          <w:szCs w:val="20"/>
        </w:rPr>
        <w:footnoteReference w:id="44"/>
      </w:r>
    </w:p>
    <w:p w14:paraId="538F7D9F" w14:textId="548A0968" w:rsidR="00E26F24" w:rsidRPr="002A08FB" w:rsidRDefault="00E26F24" w:rsidP="000C6DA6">
      <w:pPr>
        <w:widowControl w:val="0"/>
        <w:jc w:val="both"/>
        <w:rPr>
          <w:rFonts w:ascii="Arial" w:hAnsi="Arial" w:cs="Arial"/>
          <w:b/>
          <w:bCs/>
          <w:color w:val="000000" w:themeColor="text1"/>
          <w:sz w:val="20"/>
          <w:szCs w:val="20"/>
        </w:rPr>
      </w:pPr>
      <w:r w:rsidRPr="002A08FB">
        <w:rPr>
          <w:rFonts w:ascii="Arial" w:hAnsi="Arial" w:cs="Arial"/>
          <w:b/>
          <w:bCs/>
          <w:color w:val="000000" w:themeColor="text1"/>
          <w:sz w:val="20"/>
          <w:szCs w:val="20"/>
        </w:rPr>
        <w:t xml:space="preserve"> </w:t>
      </w:r>
    </w:p>
    <w:p w14:paraId="4E97C687" w14:textId="22DDBF12" w:rsidR="002A08FB" w:rsidRPr="002A08FB" w:rsidRDefault="002A08FB" w:rsidP="000C6DA6">
      <w:pPr>
        <w:widowControl w:val="0"/>
        <w:jc w:val="both"/>
        <w:rPr>
          <w:rFonts w:ascii="Arial" w:hAnsi="Arial" w:cs="Arial"/>
          <w:b/>
          <w:bCs/>
          <w:i/>
          <w:iCs/>
          <w:color w:val="000000" w:themeColor="text1"/>
          <w:sz w:val="20"/>
          <w:szCs w:val="20"/>
        </w:rPr>
      </w:pPr>
      <w:r w:rsidRPr="002A08FB">
        <w:rPr>
          <w:rFonts w:ascii="Arial" w:hAnsi="Arial" w:cs="Arial"/>
          <w:b/>
          <w:bCs/>
          <w:i/>
          <w:iCs/>
          <w:color w:val="000000" w:themeColor="text1"/>
          <w:sz w:val="20"/>
          <w:szCs w:val="20"/>
        </w:rPr>
        <w:t>Female Genital Mutilation</w:t>
      </w:r>
    </w:p>
    <w:p w14:paraId="2FF7E9AF" w14:textId="77777777" w:rsidR="002A08FB" w:rsidRPr="002A08FB" w:rsidRDefault="002A08FB" w:rsidP="000C6DA6">
      <w:pPr>
        <w:widowControl w:val="0"/>
        <w:jc w:val="both"/>
        <w:rPr>
          <w:rFonts w:ascii="Arial" w:hAnsi="Arial" w:cs="Arial"/>
          <w:i/>
          <w:iCs/>
          <w:color w:val="FF0000"/>
          <w:sz w:val="20"/>
          <w:szCs w:val="20"/>
        </w:rPr>
      </w:pPr>
    </w:p>
    <w:p w14:paraId="2A30D7D2" w14:textId="26FC9391" w:rsidR="00EE39D6" w:rsidRPr="00EE39D6" w:rsidRDefault="00E26F24" w:rsidP="00E91344">
      <w:pPr>
        <w:jc w:val="both"/>
        <w:rPr>
          <w:lang w:eastAsia="en-GB"/>
        </w:rPr>
      </w:pPr>
      <w:r w:rsidRPr="00601D43">
        <w:rPr>
          <w:rFonts w:ascii="Arial" w:hAnsi="Arial" w:cs="Arial"/>
          <w:sz w:val="20"/>
          <w:szCs w:val="20"/>
        </w:rPr>
        <w:t>The UAE has not adopted legislation to criminalize female genital mutilation (FGM), despite evidence that FGM remains a prevalent practice. A recent study conducted between 2016 and 2017 revealed an FGM prevalence rate of over 41% among female participants.</w:t>
      </w:r>
      <w:r w:rsidRPr="00601D43">
        <w:rPr>
          <w:rStyle w:val="FootnoteReference"/>
          <w:rFonts w:ascii="Arial" w:hAnsi="Arial" w:cs="Arial"/>
          <w:sz w:val="20"/>
          <w:szCs w:val="20"/>
        </w:rPr>
        <w:footnoteReference w:id="45"/>
      </w:r>
      <w:r w:rsidRPr="00601D43">
        <w:rPr>
          <w:rFonts w:ascii="Arial" w:hAnsi="Arial" w:cs="Arial"/>
          <w:sz w:val="20"/>
          <w:szCs w:val="20"/>
        </w:rPr>
        <w:t xml:space="preserve"> Over 69% percent of participants considered FGM to be a social custom, whereas only 5% considered it a religious obligation and 20% considered it a recommended act.</w:t>
      </w:r>
      <w:r w:rsidRPr="00601D43">
        <w:rPr>
          <w:rStyle w:val="FootnoteReference"/>
          <w:rFonts w:ascii="Arial" w:hAnsi="Arial" w:cs="Arial"/>
          <w:sz w:val="20"/>
          <w:szCs w:val="20"/>
        </w:rPr>
        <w:footnoteReference w:id="46"/>
      </w:r>
      <w:r w:rsidRPr="00601D43">
        <w:rPr>
          <w:rFonts w:ascii="Arial" w:hAnsi="Arial" w:cs="Arial"/>
          <w:sz w:val="20"/>
          <w:szCs w:val="20"/>
        </w:rPr>
        <w:t xml:space="preserve"> Encouragingly, around 73% of participants were against FGM.</w:t>
      </w:r>
      <w:r w:rsidRPr="00601D43">
        <w:rPr>
          <w:rStyle w:val="FootnoteReference"/>
          <w:rFonts w:ascii="Arial" w:hAnsi="Arial" w:cs="Arial"/>
          <w:sz w:val="20"/>
          <w:szCs w:val="20"/>
        </w:rPr>
        <w:footnoteReference w:id="47"/>
      </w:r>
      <w:r w:rsidRPr="00601D43">
        <w:rPr>
          <w:rFonts w:ascii="Arial" w:hAnsi="Arial" w:cs="Arial"/>
          <w:sz w:val="20"/>
          <w:szCs w:val="20"/>
        </w:rPr>
        <w:t xml:space="preserve"> It is critical that the legal framework is upgraded to criminalize FGM in order to deter this harmful practice.</w:t>
      </w:r>
    </w:p>
    <w:p w14:paraId="30642EB2" w14:textId="77777777" w:rsidR="00EE39D6" w:rsidRDefault="00EE39D6" w:rsidP="00E26F24">
      <w:pPr>
        <w:widowControl w:val="0"/>
      </w:pPr>
    </w:p>
    <w:p w14:paraId="08F429CE" w14:textId="77777777" w:rsidR="00905973" w:rsidRDefault="00905973" w:rsidP="00E26F24">
      <w:pPr>
        <w:widowControl w:val="0"/>
      </w:pPr>
    </w:p>
    <w:tbl>
      <w:tblPr>
        <w:tblW w:w="8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60"/>
      </w:tblGrid>
      <w:tr w:rsidR="00E26F24" w14:paraId="187EC847" w14:textId="77777777" w:rsidTr="000C6DA6">
        <w:trPr>
          <w:trHeight w:val="3603"/>
        </w:trPr>
        <w:tc>
          <w:tcPr>
            <w:tcW w:w="8960" w:type="dxa"/>
            <w:shd w:val="clear" w:color="auto" w:fill="D9D9D9" w:themeFill="background1" w:themeFillShade="D9"/>
            <w:tcMar>
              <w:top w:w="100" w:type="dxa"/>
              <w:left w:w="100" w:type="dxa"/>
              <w:bottom w:w="100" w:type="dxa"/>
              <w:right w:w="100" w:type="dxa"/>
            </w:tcMar>
          </w:tcPr>
          <w:p w14:paraId="4352A8DD" w14:textId="64521B3A" w:rsidR="00E26F24" w:rsidRPr="00E91344" w:rsidRDefault="00E26F24" w:rsidP="000C6DA6">
            <w:pPr>
              <w:widowControl w:val="0"/>
              <w:spacing w:before="240" w:after="240"/>
              <w:jc w:val="both"/>
              <w:rPr>
                <w:rFonts w:ascii="Arial" w:hAnsi="Arial" w:cs="Arial"/>
                <w:b/>
                <w:sz w:val="20"/>
                <w:szCs w:val="20"/>
                <w:u w:val="single"/>
              </w:rPr>
            </w:pPr>
            <w:r w:rsidRPr="00E91344">
              <w:rPr>
                <w:rFonts w:ascii="Arial" w:hAnsi="Arial" w:cs="Arial"/>
                <w:b/>
                <w:sz w:val="20"/>
                <w:szCs w:val="20"/>
                <w:u w:val="single"/>
              </w:rPr>
              <w:t>RECOMMENDATIONS</w:t>
            </w:r>
          </w:p>
          <w:p w14:paraId="40F4D151" w14:textId="02ACC994" w:rsidR="009E240A" w:rsidRDefault="009E240A" w:rsidP="009E240A">
            <w:pPr>
              <w:rPr>
                <w:rFonts w:ascii="Arial" w:hAnsi="Arial" w:cs="Arial"/>
                <w:sz w:val="20"/>
                <w:szCs w:val="20"/>
              </w:rPr>
            </w:pPr>
            <w:r w:rsidRPr="00215E42">
              <w:rPr>
                <w:rFonts w:ascii="Arial" w:hAnsi="Arial" w:cs="Arial"/>
                <w:b/>
                <w:bCs/>
                <w:sz w:val="20"/>
                <w:szCs w:val="20"/>
              </w:rPr>
              <w:t>We recommend the CEDAW Committee urge the State party to:</w:t>
            </w:r>
          </w:p>
          <w:p w14:paraId="39BDF634" w14:textId="77777777" w:rsidR="009E240A" w:rsidRPr="00E91344" w:rsidRDefault="009E240A" w:rsidP="00E91344">
            <w:pPr>
              <w:rPr>
                <w:rFonts w:ascii="Arial" w:hAnsi="Arial" w:cs="Arial"/>
                <w:sz w:val="20"/>
                <w:szCs w:val="20"/>
              </w:rPr>
            </w:pPr>
          </w:p>
          <w:p w14:paraId="5524FBC7" w14:textId="42B5DE11" w:rsidR="00E26F24" w:rsidRPr="007D010D" w:rsidRDefault="00E26F24" w:rsidP="000C6DA6">
            <w:pPr>
              <w:widowControl w:val="0"/>
              <w:numPr>
                <w:ilvl w:val="0"/>
                <w:numId w:val="12"/>
              </w:numPr>
              <w:jc w:val="both"/>
              <w:rPr>
                <w:rFonts w:ascii="Arial" w:hAnsi="Arial" w:cs="Arial"/>
                <w:sz w:val="20"/>
                <w:szCs w:val="20"/>
              </w:rPr>
            </w:pPr>
            <w:r w:rsidRPr="007D010D">
              <w:rPr>
                <w:rFonts w:ascii="Arial" w:hAnsi="Arial" w:cs="Arial"/>
                <w:sz w:val="20"/>
                <w:szCs w:val="20"/>
              </w:rPr>
              <w:t xml:space="preserve">Amend the definitions </w:t>
            </w:r>
            <w:r w:rsidR="00053017">
              <w:rPr>
                <w:rFonts w:ascii="Arial" w:hAnsi="Arial" w:cs="Arial"/>
                <w:sz w:val="20"/>
                <w:szCs w:val="20"/>
              </w:rPr>
              <w:t>in the</w:t>
            </w:r>
            <w:r w:rsidRPr="007D010D">
              <w:rPr>
                <w:rFonts w:ascii="Arial" w:hAnsi="Arial" w:cs="Arial"/>
                <w:sz w:val="20"/>
                <w:szCs w:val="20"/>
              </w:rPr>
              <w:t xml:space="preserve"> Domestic Violence Law to eliminate any loopholes that enable the use of a perpetrator’s authority over a victim as a justification for acts of domestic violence.  </w:t>
            </w:r>
          </w:p>
          <w:p w14:paraId="06DBE4CD" w14:textId="77777777" w:rsidR="00E26F24" w:rsidRPr="007D010D" w:rsidRDefault="00E26F24" w:rsidP="000C6DA6">
            <w:pPr>
              <w:widowControl w:val="0"/>
              <w:ind w:left="720"/>
              <w:jc w:val="both"/>
              <w:rPr>
                <w:rFonts w:ascii="Arial" w:hAnsi="Arial" w:cs="Arial"/>
                <w:sz w:val="20"/>
                <w:szCs w:val="20"/>
              </w:rPr>
            </w:pPr>
          </w:p>
          <w:p w14:paraId="3CE54857" w14:textId="73E4404C" w:rsidR="00E26F24" w:rsidRPr="007D010D" w:rsidRDefault="00053017" w:rsidP="000C6DA6">
            <w:pPr>
              <w:widowControl w:val="0"/>
              <w:numPr>
                <w:ilvl w:val="0"/>
                <w:numId w:val="12"/>
              </w:numPr>
              <w:jc w:val="both"/>
              <w:rPr>
                <w:rFonts w:ascii="Arial" w:hAnsi="Arial" w:cs="Arial"/>
                <w:sz w:val="20"/>
                <w:szCs w:val="20"/>
              </w:rPr>
            </w:pPr>
            <w:r>
              <w:rPr>
                <w:rFonts w:ascii="Arial" w:hAnsi="Arial" w:cs="Arial"/>
                <w:sz w:val="20"/>
                <w:szCs w:val="20"/>
              </w:rPr>
              <w:t>Strengthen</w:t>
            </w:r>
            <w:r w:rsidR="00E26F24" w:rsidRPr="007D010D">
              <w:rPr>
                <w:rFonts w:ascii="Arial" w:hAnsi="Arial" w:cs="Arial"/>
                <w:sz w:val="20"/>
                <w:szCs w:val="20"/>
              </w:rPr>
              <w:t xml:space="preserve"> protection of domestic violence victims</w:t>
            </w:r>
            <w:r>
              <w:rPr>
                <w:rFonts w:ascii="Arial" w:hAnsi="Arial" w:cs="Arial"/>
                <w:sz w:val="20"/>
                <w:szCs w:val="20"/>
              </w:rPr>
              <w:t xml:space="preserve"> in the law</w:t>
            </w:r>
            <w:r w:rsidR="00E26F24" w:rsidRPr="007D010D">
              <w:rPr>
                <w:rFonts w:ascii="Arial" w:hAnsi="Arial" w:cs="Arial"/>
                <w:sz w:val="20"/>
                <w:szCs w:val="20"/>
              </w:rPr>
              <w:t xml:space="preserve"> and eliminate provisions that prioritize reconciliation over the safety of women and encourage </w:t>
            </w:r>
            <w:r>
              <w:rPr>
                <w:rFonts w:ascii="Arial" w:hAnsi="Arial" w:cs="Arial"/>
                <w:sz w:val="20"/>
                <w:szCs w:val="20"/>
              </w:rPr>
              <w:t>impunity.</w:t>
            </w:r>
          </w:p>
          <w:p w14:paraId="43151077" w14:textId="77777777" w:rsidR="00E26F24" w:rsidRPr="007D010D" w:rsidRDefault="00E26F24" w:rsidP="000C6DA6">
            <w:pPr>
              <w:widowControl w:val="0"/>
              <w:ind w:left="720"/>
              <w:jc w:val="both"/>
              <w:rPr>
                <w:rFonts w:ascii="Arial" w:hAnsi="Arial" w:cs="Arial"/>
                <w:sz w:val="20"/>
                <w:szCs w:val="20"/>
              </w:rPr>
            </w:pPr>
          </w:p>
          <w:p w14:paraId="1A257D6C" w14:textId="77777777" w:rsidR="00E26F24" w:rsidRPr="007D010D" w:rsidRDefault="00E26F24" w:rsidP="000C6DA6">
            <w:pPr>
              <w:widowControl w:val="0"/>
              <w:numPr>
                <w:ilvl w:val="0"/>
                <w:numId w:val="12"/>
              </w:numPr>
              <w:jc w:val="both"/>
              <w:rPr>
                <w:rFonts w:ascii="Arial" w:hAnsi="Arial" w:cs="Arial"/>
                <w:sz w:val="20"/>
                <w:szCs w:val="20"/>
              </w:rPr>
            </w:pPr>
            <w:r w:rsidRPr="007D010D">
              <w:rPr>
                <w:rFonts w:ascii="Arial" w:hAnsi="Arial" w:cs="Arial"/>
                <w:sz w:val="20"/>
                <w:szCs w:val="20"/>
              </w:rPr>
              <w:t xml:space="preserve">Criminalize </w:t>
            </w:r>
            <w:r>
              <w:rPr>
                <w:rFonts w:ascii="Arial" w:hAnsi="Arial" w:cs="Arial"/>
                <w:sz w:val="20"/>
                <w:szCs w:val="20"/>
              </w:rPr>
              <w:t>FGM</w:t>
            </w:r>
            <w:r w:rsidRPr="007D010D">
              <w:rPr>
                <w:rFonts w:ascii="Arial" w:hAnsi="Arial" w:cs="Arial"/>
                <w:sz w:val="20"/>
                <w:szCs w:val="20"/>
              </w:rPr>
              <w:t xml:space="preserve">, enforce strict penalties for </w:t>
            </w:r>
            <w:r>
              <w:rPr>
                <w:rFonts w:ascii="Arial" w:hAnsi="Arial" w:cs="Arial"/>
                <w:sz w:val="20"/>
                <w:szCs w:val="20"/>
              </w:rPr>
              <w:t>perpetrators</w:t>
            </w:r>
            <w:r w:rsidRPr="007D010D">
              <w:rPr>
                <w:rFonts w:ascii="Arial" w:hAnsi="Arial" w:cs="Arial"/>
                <w:sz w:val="20"/>
                <w:szCs w:val="20"/>
              </w:rPr>
              <w:t>, and strengthen awareness-raising and educational efforts</w:t>
            </w:r>
            <w:r>
              <w:rPr>
                <w:rFonts w:ascii="Arial" w:hAnsi="Arial" w:cs="Arial"/>
                <w:sz w:val="20"/>
                <w:szCs w:val="20"/>
              </w:rPr>
              <w:t xml:space="preserve"> </w:t>
            </w:r>
            <w:r w:rsidRPr="007D010D">
              <w:rPr>
                <w:rFonts w:ascii="Arial" w:hAnsi="Arial" w:cs="Arial"/>
                <w:sz w:val="20"/>
                <w:szCs w:val="20"/>
              </w:rPr>
              <w:t>to completely eliminate this practice and its underlying justifications.</w:t>
            </w:r>
          </w:p>
          <w:p w14:paraId="2B496A0F" w14:textId="77777777" w:rsidR="00E26F24" w:rsidRPr="007D010D" w:rsidRDefault="00E26F24" w:rsidP="000C6DA6">
            <w:pPr>
              <w:widowControl w:val="0"/>
              <w:ind w:left="720"/>
              <w:jc w:val="both"/>
              <w:rPr>
                <w:rFonts w:ascii="Arial" w:hAnsi="Arial" w:cs="Arial"/>
                <w:sz w:val="20"/>
                <w:szCs w:val="20"/>
              </w:rPr>
            </w:pPr>
          </w:p>
          <w:p w14:paraId="3A76826A" w14:textId="77777777" w:rsidR="00E26F24" w:rsidRPr="007D010D" w:rsidRDefault="00E26F24" w:rsidP="000C6DA6">
            <w:pPr>
              <w:widowControl w:val="0"/>
              <w:numPr>
                <w:ilvl w:val="0"/>
                <w:numId w:val="12"/>
              </w:numPr>
              <w:jc w:val="both"/>
              <w:rPr>
                <w:rFonts w:ascii="Arial" w:hAnsi="Arial" w:cs="Arial"/>
                <w:sz w:val="20"/>
                <w:szCs w:val="20"/>
              </w:rPr>
            </w:pPr>
            <w:r w:rsidRPr="007D010D">
              <w:rPr>
                <w:rFonts w:ascii="Arial" w:hAnsi="Arial" w:cs="Arial"/>
                <w:sz w:val="20"/>
                <w:szCs w:val="20"/>
              </w:rPr>
              <w:t>Train law enforcement, the judiciary, healthcare workers, and social workers to respond to reports of domestic violence effectively and provide adequate support to victims of violence.</w:t>
            </w:r>
          </w:p>
          <w:p w14:paraId="6F75E27D" w14:textId="77777777" w:rsidR="00E26F24" w:rsidRDefault="00E26F24" w:rsidP="00E81126">
            <w:pPr>
              <w:widowControl w:val="0"/>
              <w:ind w:left="720"/>
            </w:pPr>
          </w:p>
        </w:tc>
      </w:tr>
    </w:tbl>
    <w:p w14:paraId="52D610CD" w14:textId="77777777" w:rsidR="00E26F24" w:rsidRDefault="00E26F24" w:rsidP="00E26F24">
      <w:pPr>
        <w:rPr>
          <w:bCs/>
          <w:iCs/>
        </w:rPr>
      </w:pPr>
      <w:bookmarkStart w:id="16" w:name="_qou8bpda6w2p" w:colFirst="0" w:colLast="0"/>
      <w:bookmarkStart w:id="17" w:name="_lfrhxajdbsjq" w:colFirst="0" w:colLast="0"/>
      <w:bookmarkEnd w:id="16"/>
      <w:bookmarkEnd w:id="17"/>
    </w:p>
    <w:p w14:paraId="794F6D79" w14:textId="77777777" w:rsidR="00E26F24" w:rsidRDefault="00E26F24" w:rsidP="00E26F24"/>
    <w:p w14:paraId="7727B576" w14:textId="71FF44D4" w:rsidR="00E26F24" w:rsidRPr="00DD0113" w:rsidRDefault="00E26F24" w:rsidP="00E26F24">
      <w:pPr>
        <w:pStyle w:val="Heading2"/>
        <w:numPr>
          <w:ilvl w:val="0"/>
          <w:numId w:val="21"/>
        </w:numPr>
        <w:spacing w:before="40" w:after="40" w:line="240" w:lineRule="auto"/>
        <w:ind w:left="270" w:hanging="270"/>
        <w:rPr>
          <w:rFonts w:asciiTheme="minorBidi" w:eastAsia="Arial" w:hAnsiTheme="minorBidi" w:cstheme="minorBidi"/>
          <w:sz w:val="24"/>
          <w:szCs w:val="24"/>
        </w:rPr>
      </w:pPr>
      <w:bookmarkStart w:id="18" w:name="_Toc103472509"/>
      <w:r>
        <w:rPr>
          <w:rFonts w:asciiTheme="minorBidi" w:eastAsia="Arial" w:hAnsiTheme="minorBidi" w:cstheme="minorBidi"/>
          <w:sz w:val="24"/>
          <w:szCs w:val="24"/>
        </w:rPr>
        <w:t>Nationality</w:t>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Pr>
          <w:rFonts w:asciiTheme="minorBidi" w:eastAsia="Arial" w:hAnsiTheme="minorBidi" w:cstheme="minorBidi"/>
          <w:sz w:val="24"/>
          <w:szCs w:val="24"/>
        </w:rPr>
        <w:tab/>
      </w:r>
      <w:r w:rsidR="00892321">
        <w:rPr>
          <w:rFonts w:asciiTheme="minorBidi" w:eastAsia="Arial" w:hAnsiTheme="minorBidi" w:cstheme="minorBidi"/>
          <w:sz w:val="24"/>
          <w:szCs w:val="24"/>
        </w:rPr>
        <w:t xml:space="preserve">            </w:t>
      </w:r>
      <w:r w:rsidRPr="00892321">
        <w:rPr>
          <w:rFonts w:asciiTheme="minorBidi" w:eastAsia="Arial" w:hAnsiTheme="minorBidi" w:cstheme="minorBidi"/>
          <w:sz w:val="24"/>
          <w:szCs w:val="24"/>
        </w:rPr>
        <w:t>Article 9</w:t>
      </w:r>
      <w:bookmarkEnd w:id="18"/>
    </w:p>
    <w:p w14:paraId="49696F78" w14:textId="77777777" w:rsidR="00E26F24" w:rsidRDefault="00E26F24" w:rsidP="00E26F24">
      <w:pPr>
        <w:rPr>
          <w:bCs/>
          <w:iCs/>
        </w:rPr>
      </w:pPr>
    </w:p>
    <w:p w14:paraId="09381BFD" w14:textId="633174B9" w:rsidR="00177C52" w:rsidRPr="002A08FB" w:rsidRDefault="00E26F24" w:rsidP="000C6DA6">
      <w:pPr>
        <w:spacing w:line="276" w:lineRule="auto"/>
        <w:jc w:val="both"/>
        <w:rPr>
          <w:rFonts w:ascii="Arial" w:hAnsi="Arial" w:cs="Arial"/>
          <w:bCs/>
          <w:iCs/>
          <w:sz w:val="20"/>
          <w:szCs w:val="20"/>
        </w:rPr>
      </w:pPr>
      <w:r w:rsidRPr="002A08FB">
        <w:rPr>
          <w:rFonts w:ascii="Arial" w:hAnsi="Arial" w:cs="Arial"/>
          <w:bCs/>
          <w:iCs/>
          <w:sz w:val="20"/>
          <w:szCs w:val="20"/>
        </w:rPr>
        <w:t>The Nationality Law discriminates between men and women in their capacity to confer citizenship on their respective children or foreign spouses. The law enables</w:t>
      </w:r>
      <w:r w:rsidR="0082090E" w:rsidRPr="002A08FB">
        <w:rPr>
          <w:rFonts w:ascii="Arial" w:hAnsi="Arial" w:cs="Arial"/>
          <w:bCs/>
          <w:iCs/>
          <w:sz w:val="20"/>
          <w:szCs w:val="20"/>
        </w:rPr>
        <w:t xml:space="preserve"> an</w:t>
      </w:r>
      <w:r w:rsidRPr="002A08FB">
        <w:rPr>
          <w:rFonts w:ascii="Arial" w:hAnsi="Arial" w:cs="Arial"/>
          <w:bCs/>
          <w:iCs/>
          <w:sz w:val="20"/>
          <w:szCs w:val="20"/>
        </w:rPr>
        <w:t xml:space="preserve"> Emirati m</w:t>
      </w:r>
      <w:r w:rsidR="0082090E" w:rsidRPr="002A08FB">
        <w:rPr>
          <w:rFonts w:ascii="Arial" w:hAnsi="Arial" w:cs="Arial"/>
          <w:bCs/>
          <w:iCs/>
          <w:sz w:val="20"/>
          <w:szCs w:val="20"/>
        </w:rPr>
        <w:t>a</w:t>
      </w:r>
      <w:r w:rsidRPr="002A08FB">
        <w:rPr>
          <w:rFonts w:ascii="Arial" w:hAnsi="Arial" w:cs="Arial"/>
          <w:bCs/>
          <w:iCs/>
          <w:sz w:val="20"/>
          <w:szCs w:val="20"/>
        </w:rPr>
        <w:t>n to confer citizenship to</w:t>
      </w:r>
      <w:r w:rsidR="00177C52" w:rsidRPr="002A08FB">
        <w:rPr>
          <w:rFonts w:ascii="Arial" w:hAnsi="Arial" w:cs="Arial"/>
          <w:bCs/>
          <w:iCs/>
          <w:sz w:val="20"/>
          <w:szCs w:val="20"/>
        </w:rPr>
        <w:t xml:space="preserve"> </w:t>
      </w:r>
      <w:r w:rsidR="0082090E" w:rsidRPr="002A08FB">
        <w:rPr>
          <w:rFonts w:ascii="Arial" w:hAnsi="Arial" w:cs="Arial"/>
          <w:bCs/>
          <w:iCs/>
          <w:sz w:val="20"/>
          <w:szCs w:val="20"/>
        </w:rPr>
        <w:t>his</w:t>
      </w:r>
      <w:r w:rsidR="00177C52" w:rsidRPr="002A08FB">
        <w:rPr>
          <w:rFonts w:ascii="Arial" w:hAnsi="Arial" w:cs="Arial"/>
          <w:bCs/>
          <w:iCs/>
          <w:sz w:val="20"/>
          <w:szCs w:val="20"/>
        </w:rPr>
        <w:t xml:space="preserve"> children, regardless of </w:t>
      </w:r>
      <w:r w:rsidR="0082090E" w:rsidRPr="002A08FB">
        <w:rPr>
          <w:rFonts w:ascii="Arial" w:hAnsi="Arial" w:cs="Arial"/>
          <w:bCs/>
          <w:iCs/>
          <w:sz w:val="20"/>
          <w:szCs w:val="20"/>
        </w:rPr>
        <w:t>their</w:t>
      </w:r>
      <w:r w:rsidR="00177C52" w:rsidRPr="002A08FB">
        <w:rPr>
          <w:rFonts w:ascii="Arial" w:hAnsi="Arial" w:cs="Arial"/>
          <w:bCs/>
          <w:iCs/>
          <w:sz w:val="20"/>
          <w:szCs w:val="20"/>
        </w:rPr>
        <w:t xml:space="preserve"> mother’s nationality, at the time of </w:t>
      </w:r>
      <w:r w:rsidR="0082090E" w:rsidRPr="002A08FB">
        <w:rPr>
          <w:rFonts w:ascii="Arial" w:hAnsi="Arial" w:cs="Arial"/>
          <w:bCs/>
          <w:iCs/>
          <w:sz w:val="20"/>
          <w:szCs w:val="20"/>
        </w:rPr>
        <w:t>birth.</w:t>
      </w:r>
      <w:r w:rsidR="0082090E" w:rsidRPr="002A08FB">
        <w:rPr>
          <w:rStyle w:val="FootnoteReference"/>
          <w:rFonts w:ascii="Arial" w:hAnsi="Arial" w:cs="Arial"/>
          <w:bCs/>
          <w:iCs/>
          <w:sz w:val="20"/>
          <w:szCs w:val="20"/>
        </w:rPr>
        <w:footnoteReference w:id="48"/>
      </w:r>
      <w:r w:rsidR="0082090E" w:rsidRPr="002A08FB">
        <w:rPr>
          <w:rFonts w:ascii="Arial" w:hAnsi="Arial" w:cs="Arial"/>
          <w:bCs/>
          <w:iCs/>
          <w:sz w:val="20"/>
          <w:szCs w:val="20"/>
        </w:rPr>
        <w:t xml:space="preserve"> A foreign wife of an Emirati man may be naturalized after seven years of applying for citizenship if the couple has children, and after ten years if no children were born.</w:t>
      </w:r>
      <w:r w:rsidR="0082090E" w:rsidRPr="002A08FB">
        <w:rPr>
          <w:rStyle w:val="FootnoteReference"/>
          <w:rFonts w:ascii="Arial" w:hAnsi="Arial" w:cs="Arial"/>
          <w:bCs/>
          <w:iCs/>
          <w:sz w:val="20"/>
          <w:szCs w:val="20"/>
        </w:rPr>
        <w:footnoteReference w:id="49"/>
      </w:r>
      <w:r w:rsidR="0082090E" w:rsidRPr="002A08FB">
        <w:rPr>
          <w:rFonts w:ascii="Arial" w:hAnsi="Arial" w:cs="Arial"/>
          <w:bCs/>
          <w:iCs/>
          <w:sz w:val="20"/>
          <w:szCs w:val="20"/>
        </w:rPr>
        <w:t xml:space="preserve"> </w:t>
      </w:r>
    </w:p>
    <w:p w14:paraId="17047E88" w14:textId="4E411A90" w:rsidR="00177C52" w:rsidRPr="002A08FB" w:rsidRDefault="00177C52" w:rsidP="000C6DA6">
      <w:pPr>
        <w:spacing w:line="276" w:lineRule="auto"/>
        <w:jc w:val="both"/>
        <w:rPr>
          <w:rFonts w:ascii="Arial" w:hAnsi="Arial" w:cs="Arial"/>
          <w:bCs/>
          <w:iCs/>
          <w:sz w:val="20"/>
          <w:szCs w:val="20"/>
        </w:rPr>
      </w:pPr>
    </w:p>
    <w:p w14:paraId="6EBE46AA" w14:textId="1D38742F" w:rsidR="002A08FB" w:rsidRPr="002A08FB" w:rsidRDefault="00E26F24" w:rsidP="000C6DA6">
      <w:pPr>
        <w:spacing w:line="276" w:lineRule="auto"/>
        <w:jc w:val="both"/>
        <w:rPr>
          <w:rFonts w:ascii="Arial" w:hAnsi="Arial" w:cs="Arial"/>
          <w:sz w:val="20"/>
          <w:szCs w:val="20"/>
          <w:lang w:val="en"/>
        </w:rPr>
      </w:pPr>
      <w:r w:rsidRPr="002A08FB">
        <w:rPr>
          <w:rFonts w:ascii="Arial" w:hAnsi="Arial" w:cs="Arial"/>
          <w:sz w:val="20"/>
          <w:szCs w:val="20"/>
        </w:rPr>
        <w:t>Emirati women, by contrast, lack the capacity to confer citizenship</w:t>
      </w:r>
      <w:r w:rsidR="0082090E" w:rsidRPr="002A08FB">
        <w:rPr>
          <w:rFonts w:ascii="Arial" w:hAnsi="Arial" w:cs="Arial"/>
          <w:sz w:val="20"/>
          <w:szCs w:val="20"/>
        </w:rPr>
        <w:t xml:space="preserve"> to </w:t>
      </w:r>
      <w:r w:rsidR="00233AE3">
        <w:rPr>
          <w:rFonts w:ascii="Arial" w:hAnsi="Arial" w:cs="Arial"/>
          <w:sz w:val="20"/>
          <w:szCs w:val="20"/>
        </w:rPr>
        <w:t>t</w:t>
      </w:r>
      <w:r w:rsidR="0082090E" w:rsidRPr="002A08FB">
        <w:rPr>
          <w:rFonts w:ascii="Arial" w:hAnsi="Arial" w:cs="Arial"/>
          <w:sz w:val="20"/>
          <w:szCs w:val="20"/>
        </w:rPr>
        <w:t>he</w:t>
      </w:r>
      <w:r w:rsidR="00233AE3">
        <w:rPr>
          <w:rFonts w:ascii="Arial" w:hAnsi="Arial" w:cs="Arial"/>
          <w:sz w:val="20"/>
          <w:szCs w:val="20"/>
        </w:rPr>
        <w:t>i</w:t>
      </w:r>
      <w:r w:rsidR="0082090E" w:rsidRPr="002A08FB">
        <w:rPr>
          <w:rFonts w:ascii="Arial" w:hAnsi="Arial" w:cs="Arial"/>
          <w:sz w:val="20"/>
          <w:szCs w:val="20"/>
        </w:rPr>
        <w:t>r children at the time of birth, except in cases where the father is stateless or unknown. A 2017 amendment to the Nationality Law enables an Emirati woman to apply for citizenship for her children</w:t>
      </w:r>
      <w:r w:rsidR="002A08FB" w:rsidRPr="002A08FB">
        <w:rPr>
          <w:rFonts w:ascii="Arial" w:hAnsi="Arial" w:cs="Arial"/>
          <w:sz w:val="20"/>
          <w:szCs w:val="20"/>
        </w:rPr>
        <w:t xml:space="preserve">, </w:t>
      </w:r>
      <w:r w:rsidR="002A08FB" w:rsidRPr="002A08FB">
        <w:rPr>
          <w:rFonts w:ascii="Arial" w:hAnsi="Arial" w:cs="Arial"/>
          <w:color w:val="000000"/>
          <w:sz w:val="20"/>
          <w:szCs w:val="20"/>
          <w:lang w:bidi="en-US"/>
        </w:rPr>
        <w:t>after the lapse at least six years from the date of birth.</w:t>
      </w:r>
      <w:r w:rsidR="002A08FB" w:rsidRPr="002A08FB">
        <w:rPr>
          <w:rStyle w:val="FootnoteReference"/>
          <w:rFonts w:ascii="Arial" w:hAnsi="Arial" w:cs="Arial"/>
          <w:color w:val="000000"/>
          <w:sz w:val="20"/>
          <w:szCs w:val="20"/>
          <w:lang w:bidi="en-US"/>
        </w:rPr>
        <w:footnoteReference w:id="50"/>
      </w:r>
      <w:r w:rsidR="002A08FB" w:rsidRPr="002A08FB">
        <w:rPr>
          <w:rFonts w:ascii="Arial" w:hAnsi="Arial" w:cs="Arial"/>
          <w:color w:val="000000"/>
          <w:sz w:val="20"/>
          <w:szCs w:val="20"/>
          <w:lang w:bidi="en-US"/>
        </w:rPr>
        <w:t xml:space="preserve"> An Emirati woman may not confer citizenship on her foreign husband. In all cases, no one may be naturalized without renouncing the nationality of origin.</w:t>
      </w:r>
      <w:r w:rsidR="002A08FB" w:rsidRPr="002A08FB">
        <w:rPr>
          <w:rStyle w:val="FootnoteReference"/>
          <w:rFonts w:ascii="Arial" w:hAnsi="Arial" w:cs="Arial"/>
          <w:color w:val="000000"/>
          <w:sz w:val="20"/>
          <w:szCs w:val="20"/>
          <w:lang w:bidi="en-US"/>
        </w:rPr>
        <w:footnoteReference w:id="51"/>
      </w:r>
    </w:p>
    <w:p w14:paraId="36B96A99" w14:textId="023B4F1F" w:rsidR="00E26F24" w:rsidRPr="002A08FB" w:rsidRDefault="00E26F24" w:rsidP="000C6DA6">
      <w:pPr>
        <w:jc w:val="both"/>
        <w:rPr>
          <w:rFonts w:ascii="Arial" w:hAnsi="Arial" w:cs="Arial"/>
          <w:sz w:val="20"/>
          <w:szCs w:val="20"/>
        </w:rPr>
      </w:pPr>
    </w:p>
    <w:p w14:paraId="3856FC14" w14:textId="29ED5586" w:rsidR="00E26F24" w:rsidRDefault="00E26F24" w:rsidP="000C6DA6">
      <w:pPr>
        <w:spacing w:line="276" w:lineRule="auto"/>
        <w:jc w:val="both"/>
        <w:rPr>
          <w:rFonts w:ascii="Arial" w:hAnsi="Arial" w:cs="Arial"/>
          <w:sz w:val="20"/>
          <w:szCs w:val="20"/>
        </w:rPr>
      </w:pPr>
      <w:r w:rsidRPr="002A08FB">
        <w:rPr>
          <w:rFonts w:ascii="Arial" w:hAnsi="Arial" w:cs="Arial"/>
          <w:sz w:val="20"/>
          <w:szCs w:val="20"/>
        </w:rPr>
        <w:t>There are no reliable statistics with respect to the number of stateless children of Emirati women. In 2019, the UAE granted citizenship to 3,354 sons and daughters of Emirati women who had applied and met the required conditions in the law in 2019.</w:t>
      </w:r>
      <w:r w:rsidRPr="002A08FB">
        <w:rPr>
          <w:rStyle w:val="FootnoteReference"/>
          <w:rFonts w:ascii="Arial" w:hAnsi="Arial" w:cs="Arial"/>
          <w:sz w:val="20"/>
          <w:szCs w:val="20"/>
        </w:rPr>
        <w:footnoteReference w:id="52"/>
      </w:r>
      <w:r w:rsidRPr="002A08FB">
        <w:rPr>
          <w:rFonts w:ascii="Arial" w:hAnsi="Arial" w:cs="Arial"/>
          <w:sz w:val="20"/>
          <w:szCs w:val="20"/>
        </w:rPr>
        <w:t xml:space="preserve"> It is important that the UAE offers a more systematic and sustainable solution that eliminates the problem of statelessness of the child of Emirati women, and introduces legal equality in citizenship and naturalization.</w:t>
      </w:r>
    </w:p>
    <w:p w14:paraId="10F6AD48" w14:textId="62624E17" w:rsidR="00C62C67" w:rsidRDefault="00C62C67" w:rsidP="000C6DA6">
      <w:pPr>
        <w:spacing w:line="276" w:lineRule="auto"/>
        <w:jc w:val="both"/>
        <w:rPr>
          <w:rFonts w:ascii="Arial" w:hAnsi="Arial" w:cs="Arial"/>
          <w:sz w:val="20"/>
          <w:szCs w:val="20"/>
        </w:rPr>
      </w:pPr>
    </w:p>
    <w:p w14:paraId="705AA544" w14:textId="709A3736" w:rsidR="00C62C67" w:rsidRDefault="00C62C67" w:rsidP="000C6DA6">
      <w:pPr>
        <w:spacing w:line="276" w:lineRule="auto"/>
        <w:jc w:val="both"/>
        <w:rPr>
          <w:rFonts w:ascii="Arial" w:hAnsi="Arial" w:cs="Arial"/>
          <w:sz w:val="20"/>
          <w:szCs w:val="20"/>
        </w:rPr>
      </w:pPr>
      <w:r>
        <w:rPr>
          <w:rFonts w:ascii="Arial" w:hAnsi="Arial" w:cs="Arial"/>
          <w:noProof/>
          <w:sz w:val="20"/>
          <w:szCs w:val="20"/>
        </w:rPr>
        <w:drawing>
          <wp:inline distT="0" distB="0" distL="0" distR="0" wp14:anchorId="7C09DCA8" wp14:editId="11DD0D8C">
            <wp:extent cx="5664200" cy="31864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64200" cy="3186430"/>
                    </a:xfrm>
                    <a:prstGeom prst="rect">
                      <a:avLst/>
                    </a:prstGeom>
                  </pic:spPr>
                </pic:pic>
              </a:graphicData>
            </a:graphic>
          </wp:inline>
        </w:drawing>
      </w:r>
    </w:p>
    <w:p w14:paraId="6744FC44" w14:textId="77777777" w:rsidR="00843BD1" w:rsidRPr="002A08FB" w:rsidRDefault="00843BD1" w:rsidP="000C6DA6">
      <w:pPr>
        <w:spacing w:line="276" w:lineRule="auto"/>
        <w:jc w:val="both"/>
        <w:rPr>
          <w:rFonts w:ascii="Arial" w:hAnsi="Arial" w:cs="Arial"/>
          <w:sz w:val="20"/>
          <w:szCs w:val="20"/>
        </w:rPr>
      </w:pPr>
    </w:p>
    <w:p w14:paraId="2F84645F" w14:textId="73C69F1B" w:rsidR="00E26F24" w:rsidRDefault="00D27CFF" w:rsidP="00E26F24">
      <w:pPr>
        <w:widowControl w:val="0"/>
      </w:pPr>
      <w:r>
        <w:rPr>
          <w:noProof/>
        </w:rPr>
        <w:drawing>
          <wp:inline distT="0" distB="0" distL="0" distR="0" wp14:anchorId="25D2BB28" wp14:editId="26B334C5">
            <wp:extent cx="5664200" cy="13277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64200" cy="1327785"/>
                    </a:xfrm>
                    <a:prstGeom prst="rect">
                      <a:avLst/>
                    </a:prstGeom>
                  </pic:spPr>
                </pic:pic>
              </a:graphicData>
            </a:graphic>
          </wp:inline>
        </w:drawing>
      </w:r>
    </w:p>
    <w:p w14:paraId="428A2FFF" w14:textId="77777777" w:rsidR="00D27CFF" w:rsidRPr="00253B8F" w:rsidRDefault="00D27CFF" w:rsidP="00253B8F">
      <w:pPr>
        <w:rPr>
          <w:rFonts w:asciiTheme="minorBidi" w:eastAsia="Trebuchet MS" w:hAnsiTheme="minorBidi" w:cstheme="minorBidi"/>
          <w:b/>
          <w:smallCaps/>
          <w:color w:val="FFFFFF" w:themeColor="background1"/>
          <w:sz w:val="20"/>
          <w:szCs w:val="20"/>
          <w:lang w:eastAsia="en-US"/>
        </w:rPr>
      </w:pPr>
      <w:bookmarkStart w:id="19" w:name="_zgnksmnhjfqn" w:colFirst="0" w:colLast="0"/>
      <w:bookmarkEnd w:id="10"/>
      <w:bookmarkEnd w:id="19"/>
    </w:p>
    <w:sectPr w:rsidR="00D27CFF" w:rsidRPr="00253B8F" w:rsidSect="008077FA">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F21BF" w14:textId="77777777" w:rsidR="001367A5" w:rsidRDefault="001367A5" w:rsidP="00E26F24">
      <w:r>
        <w:separator/>
      </w:r>
    </w:p>
  </w:endnote>
  <w:endnote w:type="continuationSeparator" w:id="0">
    <w:p w14:paraId="050D97A3" w14:textId="77777777" w:rsidR="001367A5" w:rsidRDefault="001367A5"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ACD2" w14:textId="77777777" w:rsidR="00E26F24" w:rsidRDefault="00E26F24">
    <w:pPr>
      <w:pStyle w:val="Normal1"/>
      <w:spacing w:before="0" w:after="0" w:line="240" w:lineRule="auto"/>
      <w:jc w:val="right"/>
    </w:pPr>
    <w:r>
      <w:fldChar w:fldCharType="begin"/>
    </w:r>
    <w:r>
      <w:instrText>PAGE</w:instrText>
    </w:r>
    <w:r>
      <w:fldChar w:fldCharType="separate"/>
    </w:r>
    <w:r>
      <w:rPr>
        <w:noProof/>
      </w:rPr>
      <w:t>3</w:t>
    </w:r>
    <w:r>
      <w:fldChar w:fldCharType="end"/>
    </w: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BC76" w14:textId="77777777" w:rsidR="00E26F24" w:rsidRDefault="00E26F24" w:rsidP="00C70E87">
    <w:pPr>
      <w:pStyle w:val="Normal1"/>
      <w:spacing w:before="0" w:after="0" w:line="240" w:lineRule="auto"/>
    </w:pPr>
  </w:p>
  <w:p w14:paraId="6BB1B0D0" w14:textId="77777777" w:rsidR="00E26F24" w:rsidRPr="00034A52" w:rsidRDefault="00E26F24"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Pr>
        <w:rFonts w:ascii="Arial" w:eastAsia="Arial" w:hAnsi="Arial" w:cs="Arial"/>
        <w:noProof/>
        <w:sz w:val="18"/>
        <w:szCs w:val="18"/>
      </w:rPr>
      <w:t>12</w:t>
    </w:r>
    <w:r w:rsidRPr="00034A52">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74DA1" w14:textId="77777777" w:rsidR="001367A5" w:rsidRDefault="001367A5" w:rsidP="00E26F24">
      <w:r>
        <w:separator/>
      </w:r>
    </w:p>
  </w:footnote>
  <w:footnote w:type="continuationSeparator" w:id="0">
    <w:p w14:paraId="06B5C93F" w14:textId="77777777" w:rsidR="001367A5" w:rsidRDefault="001367A5" w:rsidP="00E26F24">
      <w:r>
        <w:continuationSeparator/>
      </w:r>
    </w:p>
  </w:footnote>
  <w:footnote w:id="1">
    <w:p w14:paraId="63CEA53B" w14:textId="4104DC24"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Fact</w:t>
      </w:r>
      <w:r w:rsidR="00E00C6F" w:rsidRPr="000437A2">
        <w:rPr>
          <w:rFonts w:asciiTheme="minorBidi" w:hAnsiTheme="minorBidi" w:cstheme="minorBidi"/>
          <w:sz w:val="18"/>
          <w:szCs w:val="18"/>
        </w:rPr>
        <w:t>s</w:t>
      </w:r>
      <w:r w:rsidRPr="000437A2">
        <w:rPr>
          <w:rFonts w:asciiTheme="minorBidi" w:hAnsiTheme="minorBidi" w:cstheme="minorBidi"/>
          <w:sz w:val="18"/>
          <w:szCs w:val="18"/>
        </w:rPr>
        <w:t xml:space="preserve">heet, Official </w:t>
      </w:r>
      <w:r w:rsidR="00E00C6F" w:rsidRPr="000437A2">
        <w:rPr>
          <w:rFonts w:asciiTheme="minorBidi" w:hAnsiTheme="minorBidi" w:cstheme="minorBidi"/>
          <w:sz w:val="18"/>
          <w:szCs w:val="18"/>
        </w:rPr>
        <w:t>UAE Government Portal</w:t>
      </w:r>
      <w:r w:rsidRPr="000437A2">
        <w:rPr>
          <w:rFonts w:asciiTheme="minorBidi" w:hAnsiTheme="minorBidi" w:cstheme="minorBidi"/>
          <w:sz w:val="18"/>
          <w:szCs w:val="18"/>
        </w:rPr>
        <w:t xml:space="preserve">, </w:t>
      </w:r>
      <w:hyperlink r:id="rId1" w:history="1">
        <w:r w:rsidRPr="000437A2">
          <w:rPr>
            <w:rStyle w:val="Hyperlink"/>
            <w:rFonts w:asciiTheme="minorBidi" w:hAnsiTheme="minorBidi" w:cstheme="minorBidi"/>
            <w:sz w:val="18"/>
            <w:szCs w:val="18"/>
          </w:rPr>
          <w:t>https://u.ae/en/about-the-uae/fact-sheet</w:t>
        </w:r>
      </w:hyperlink>
      <w:r w:rsidR="00233AE3">
        <w:rPr>
          <w:rStyle w:val="Hyperlink"/>
          <w:rFonts w:asciiTheme="minorBidi" w:hAnsiTheme="minorBidi" w:cstheme="minorBidi"/>
          <w:sz w:val="18"/>
          <w:szCs w:val="18"/>
        </w:rPr>
        <w:t>.</w:t>
      </w:r>
      <w:r w:rsidRPr="000437A2">
        <w:rPr>
          <w:rFonts w:asciiTheme="minorBidi" w:hAnsiTheme="minorBidi" w:cstheme="minorBidi"/>
          <w:sz w:val="18"/>
          <w:szCs w:val="18"/>
        </w:rPr>
        <w:t xml:space="preserve"> </w:t>
      </w:r>
    </w:p>
  </w:footnote>
  <w:footnote w:id="2">
    <w:p w14:paraId="09A5C232" w14:textId="09C1CCCA"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United Arab Emirates Constitution of 1971 (hereinafter “UAE Constitution”), art. 7, </w:t>
      </w:r>
      <w:hyperlink r:id="rId2" w:history="1">
        <w:r w:rsidRPr="000437A2">
          <w:rPr>
            <w:rStyle w:val="Hyperlink"/>
            <w:rFonts w:asciiTheme="minorBidi" w:hAnsiTheme="minorBidi" w:cstheme="minorBidi"/>
            <w:sz w:val="18"/>
            <w:szCs w:val="18"/>
          </w:rPr>
          <w:t>https://www.constituteproject.org/constitution/United_Arab_Emirates_2004.pdf</w:t>
        </w:r>
      </w:hyperlink>
      <w:r w:rsidRPr="000437A2">
        <w:rPr>
          <w:rStyle w:val="Hyperlink"/>
          <w:rFonts w:asciiTheme="minorBidi" w:hAnsiTheme="minorBidi" w:cstheme="minorBidi"/>
          <w:sz w:val="18"/>
          <w:szCs w:val="18"/>
        </w:rPr>
        <w:t>.</w:t>
      </w:r>
    </w:p>
  </w:footnote>
  <w:footnote w:id="3">
    <w:p w14:paraId="3717B202"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UAE Constitution, art. 32.</w:t>
      </w:r>
    </w:p>
  </w:footnote>
  <w:footnote w:id="4">
    <w:p w14:paraId="2314D942" w14:textId="3C5977A0"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2020 Report on International Religious Freedom: </w:t>
      </w:r>
      <w:r w:rsidR="00D62A4D" w:rsidRPr="000437A2">
        <w:rPr>
          <w:rFonts w:asciiTheme="minorBidi" w:hAnsiTheme="minorBidi" w:cstheme="minorBidi"/>
          <w:sz w:val="18"/>
          <w:szCs w:val="18"/>
        </w:rPr>
        <w:t>UAE</w:t>
      </w:r>
      <w:r w:rsidRPr="000437A2">
        <w:rPr>
          <w:rFonts w:asciiTheme="minorBidi" w:hAnsiTheme="minorBidi" w:cstheme="minorBidi"/>
          <w:sz w:val="18"/>
          <w:szCs w:val="18"/>
        </w:rPr>
        <w:t xml:space="preserve">, US Department of State, 12 May 2021, </w:t>
      </w:r>
      <w:hyperlink r:id="rId3" w:history="1">
        <w:r w:rsidRPr="000437A2">
          <w:rPr>
            <w:rStyle w:val="Hyperlink"/>
            <w:rFonts w:asciiTheme="minorBidi" w:hAnsiTheme="minorBidi" w:cstheme="minorBidi"/>
            <w:sz w:val="18"/>
            <w:szCs w:val="18"/>
          </w:rPr>
          <w:t>https://www.state.gov/reports/2020-report-on-international-religious-freedom/united-arab-emirates/</w:t>
        </w:r>
      </w:hyperlink>
      <w:r w:rsidRPr="000437A2">
        <w:rPr>
          <w:rFonts w:asciiTheme="minorBidi" w:hAnsiTheme="minorBidi" w:cstheme="minorBidi"/>
          <w:sz w:val="18"/>
          <w:szCs w:val="18"/>
        </w:rPr>
        <w:t xml:space="preserve">. </w:t>
      </w:r>
    </w:p>
  </w:footnote>
  <w:footnote w:id="5">
    <w:p w14:paraId="71DF8D58"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6">
    <w:p w14:paraId="283E570A" w14:textId="77777777" w:rsidR="00E26F24" w:rsidRPr="000437A2" w:rsidRDefault="00E26F24" w:rsidP="00E26F24">
      <w:pPr>
        <w:pStyle w:val="FootnoteText"/>
        <w:rPr>
          <w:rFonts w:asciiTheme="minorBidi" w:hAnsiTheme="minorBidi" w:cstheme="minorBidi"/>
          <w:sz w:val="18"/>
          <w:szCs w:val="18"/>
          <w:highlight w:val="yellow"/>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UAE Constitution, art. 14.</w:t>
      </w:r>
    </w:p>
  </w:footnote>
  <w:footnote w:id="7">
    <w:p w14:paraId="7A9DEE06" w14:textId="77777777" w:rsidR="00E26F24" w:rsidRPr="000437A2" w:rsidRDefault="00E26F24" w:rsidP="00E26F24">
      <w:pPr>
        <w:pStyle w:val="FootnoteText"/>
        <w:rPr>
          <w:rFonts w:asciiTheme="minorBidi" w:hAnsiTheme="minorBidi" w:cstheme="minorBidi"/>
          <w:sz w:val="18"/>
          <w:szCs w:val="18"/>
          <w:highlight w:val="yellow"/>
          <w:rtl/>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25.</w:t>
      </w:r>
    </w:p>
  </w:footnote>
  <w:footnote w:id="8">
    <w:p w14:paraId="17C162C1" w14:textId="012FDCFF"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See UAE State Report, paras. 102-103, Annex IV.</w:t>
      </w:r>
    </w:p>
  </w:footnote>
  <w:footnote w:id="9">
    <w:p w14:paraId="70F64247" w14:textId="02CAEC7D"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Federal Law No. 24, issued 19 November 2005, on Personal Status, as amended (hereinafter “Personal Status Law”), </w:t>
      </w:r>
      <w:hyperlink r:id="rId4" w:history="1">
        <w:r w:rsidR="00233AE3" w:rsidRPr="00233AE3">
          <w:rPr>
            <w:rStyle w:val="Hyperlink"/>
            <w:rFonts w:asciiTheme="minorBidi" w:hAnsiTheme="minorBidi" w:cstheme="minorBidi"/>
            <w:sz w:val="18"/>
            <w:szCs w:val="18"/>
          </w:rPr>
          <w:t>https://elaws.moj.gov.ae/UAE-MOJ_LC-En/00_PERSONAL%20STATUS/UAE-LC-En_2005-11-19_00028_Kait.html</w:t>
        </w:r>
      </w:hyperlink>
      <w:r w:rsidR="00233AE3">
        <w:rPr>
          <w:rFonts w:asciiTheme="minorBidi" w:hAnsiTheme="minorBidi" w:cstheme="minorBidi"/>
          <w:sz w:val="18"/>
          <w:szCs w:val="18"/>
        </w:rPr>
        <w:t>.</w:t>
      </w:r>
    </w:p>
  </w:footnote>
  <w:footnote w:id="10">
    <w:p w14:paraId="32599887" w14:textId="77777777" w:rsidR="00E26F24" w:rsidRPr="000437A2" w:rsidRDefault="00E26F24" w:rsidP="00E26F24">
      <w:pPr>
        <w:pStyle w:val="FootnoteText"/>
        <w:rPr>
          <w:rFonts w:asciiTheme="minorBidi" w:hAnsiTheme="minorBidi" w:cstheme="minorBidi"/>
          <w:b/>
          <w:bCs/>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1(2). </w:t>
      </w:r>
    </w:p>
  </w:footnote>
  <w:footnote w:id="11">
    <w:p w14:paraId="323D3AE6"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1(3). </w:t>
      </w:r>
    </w:p>
  </w:footnote>
  <w:footnote w:id="12">
    <w:p w14:paraId="72096ACF" w14:textId="47737414"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Personal Status for Non-Muslims, Official UAE Government</w:t>
      </w:r>
      <w:r w:rsidR="0046167A" w:rsidRPr="000437A2">
        <w:rPr>
          <w:rFonts w:asciiTheme="minorBidi" w:hAnsiTheme="minorBidi" w:cstheme="minorBidi"/>
          <w:sz w:val="18"/>
          <w:szCs w:val="18"/>
        </w:rPr>
        <w:t xml:space="preserve"> Portal</w:t>
      </w:r>
      <w:r w:rsidRPr="000437A2">
        <w:rPr>
          <w:rFonts w:asciiTheme="minorBidi" w:hAnsiTheme="minorBidi" w:cstheme="minorBidi"/>
          <w:sz w:val="18"/>
          <w:szCs w:val="18"/>
        </w:rPr>
        <w:t xml:space="preserve">, </w:t>
      </w:r>
      <w:hyperlink r:id="rId5" w:history="1">
        <w:r w:rsidRPr="000437A2">
          <w:rPr>
            <w:rStyle w:val="Hyperlink"/>
            <w:rFonts w:asciiTheme="minorBidi" w:hAnsiTheme="minorBidi" w:cstheme="minorBidi"/>
            <w:sz w:val="18"/>
            <w:szCs w:val="18"/>
          </w:rPr>
          <w:t>https://u.ae/en/information-and-services/justice-safety-and-the-law/personal-status-for-non-muslims</w:t>
        </w:r>
      </w:hyperlink>
      <w:r w:rsidRPr="000437A2">
        <w:rPr>
          <w:rFonts w:asciiTheme="minorBidi" w:hAnsiTheme="minorBidi" w:cstheme="minorBidi"/>
          <w:sz w:val="18"/>
          <w:szCs w:val="18"/>
        </w:rPr>
        <w:t>.</w:t>
      </w:r>
    </w:p>
  </w:footnote>
  <w:footnote w:id="13">
    <w:p w14:paraId="6E537E8F"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Personal Status Law, arts. 54-56.</w:t>
      </w:r>
    </w:p>
  </w:footnote>
  <w:footnote w:id="14">
    <w:p w14:paraId="142B1B6E" w14:textId="413151F5"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Federal Judiciary, </w:t>
      </w:r>
      <w:r w:rsidR="0046167A" w:rsidRPr="000437A2">
        <w:rPr>
          <w:rFonts w:asciiTheme="minorBidi" w:hAnsiTheme="minorBidi" w:cstheme="minorBidi"/>
          <w:sz w:val="18"/>
          <w:szCs w:val="18"/>
        </w:rPr>
        <w:t>Official UAE Government Portal</w:t>
      </w:r>
      <w:r w:rsidRPr="000437A2">
        <w:rPr>
          <w:rFonts w:asciiTheme="minorBidi" w:hAnsiTheme="minorBidi" w:cstheme="minorBidi"/>
          <w:sz w:val="18"/>
          <w:szCs w:val="18"/>
        </w:rPr>
        <w:t xml:space="preserve">, </w:t>
      </w:r>
      <w:hyperlink r:id="rId6" w:history="1">
        <w:r w:rsidRPr="000437A2">
          <w:rPr>
            <w:rStyle w:val="Hyperlink"/>
            <w:rFonts w:asciiTheme="minorBidi" w:hAnsiTheme="minorBidi" w:cstheme="minorBidi"/>
            <w:sz w:val="18"/>
            <w:szCs w:val="18"/>
          </w:rPr>
          <w:t>https://u.ae/en/about-the-uae/the-uae-government/the-federal-judiciary</w:t>
        </w:r>
      </w:hyperlink>
      <w:r w:rsidRPr="000437A2">
        <w:rPr>
          <w:rFonts w:asciiTheme="minorBidi" w:hAnsiTheme="minorBidi" w:cstheme="minorBidi"/>
          <w:sz w:val="18"/>
          <w:szCs w:val="18"/>
        </w:rPr>
        <w:t xml:space="preserve">. </w:t>
      </w:r>
    </w:p>
  </w:footnote>
  <w:footnote w:id="15">
    <w:p w14:paraId="54C7F897" w14:textId="616CF5A3" w:rsidR="00E26F24" w:rsidRPr="000437A2" w:rsidRDefault="00E26F24" w:rsidP="00D62A4D">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r w:rsidR="00D62A4D" w:rsidRPr="000437A2">
        <w:rPr>
          <w:rFonts w:asciiTheme="minorBidi" w:hAnsiTheme="minorBidi" w:cstheme="minorBidi"/>
          <w:sz w:val="18"/>
          <w:szCs w:val="18"/>
        </w:rPr>
        <w:t>; Personal Status Law, art. 13.</w:t>
      </w:r>
    </w:p>
  </w:footnote>
  <w:footnote w:id="16">
    <w:p w14:paraId="79CFBF56"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Federal Law No. 3 of 1987 on the Penal Code, as amended (hereinafter “Penal Code”), </w:t>
      </w:r>
      <w:hyperlink r:id="rId7" w:history="1">
        <w:r w:rsidRPr="000437A2">
          <w:rPr>
            <w:rStyle w:val="Hyperlink"/>
            <w:rFonts w:asciiTheme="minorBidi" w:hAnsiTheme="minorBidi" w:cstheme="minorBidi"/>
            <w:sz w:val="18"/>
            <w:szCs w:val="18"/>
          </w:rPr>
          <w:t>https://elaws.moj.gov.ae/UAE-MOJ_LC-En/00_PENALTIES%20AND%20CRIMINAL%20MEASURES/UAE-LC-En_1987-12-08_00003_Kait.html?val=EL1</w:t>
        </w:r>
      </w:hyperlink>
      <w:r w:rsidRPr="000437A2">
        <w:rPr>
          <w:rFonts w:asciiTheme="minorBidi" w:hAnsiTheme="minorBidi" w:cstheme="minorBidi"/>
          <w:sz w:val="18"/>
          <w:szCs w:val="18"/>
        </w:rPr>
        <w:t xml:space="preserve">. </w:t>
      </w:r>
    </w:p>
  </w:footnote>
  <w:footnote w:id="17">
    <w:p w14:paraId="31EC43F9"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Federal Law No. 10 of 2019 on the Protection from Domestic Violence (hereinafter “Domestic Violence Law”), </w:t>
      </w:r>
      <w:hyperlink r:id="rId8" w:history="1">
        <w:r w:rsidRPr="000437A2">
          <w:rPr>
            <w:rStyle w:val="Hyperlink"/>
            <w:rFonts w:asciiTheme="minorBidi" w:hAnsiTheme="minorBidi" w:cstheme="minorBidi"/>
            <w:sz w:val="18"/>
            <w:szCs w:val="18"/>
          </w:rPr>
          <w:t>https://u.ae/en/about-the-uae/strategies-initiatives-and-awards/federal-governments-strategies-and-plans/family-protection-policy</w:t>
        </w:r>
      </w:hyperlink>
      <w:r w:rsidRPr="000437A2">
        <w:rPr>
          <w:rFonts w:asciiTheme="minorBidi" w:hAnsiTheme="minorBidi" w:cstheme="minorBidi"/>
          <w:sz w:val="18"/>
          <w:szCs w:val="18"/>
        </w:rPr>
        <w:t xml:space="preserve">. </w:t>
      </w:r>
    </w:p>
  </w:footnote>
  <w:footnote w:id="18">
    <w:p w14:paraId="4FF87981"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w:t>
      </w:r>
      <w:r w:rsidRPr="000437A2">
        <w:rPr>
          <w:rFonts w:asciiTheme="minorBidi" w:eastAsia="Arial" w:hAnsiTheme="minorBidi" w:cstheme="minorBidi"/>
          <w:sz w:val="18"/>
          <w:szCs w:val="18"/>
        </w:rPr>
        <w:t xml:space="preserve">Federal Law No 17 for 1972 Concerning Nationality and Passports, as amended (hereinafter “Nationality Law”), </w:t>
      </w:r>
      <w:hyperlink r:id="rId9" w:history="1">
        <w:r w:rsidRPr="000437A2">
          <w:rPr>
            <w:rStyle w:val="Hyperlink"/>
            <w:rFonts w:asciiTheme="minorBidi" w:eastAsia="Arial" w:hAnsiTheme="minorBidi" w:cstheme="minorBidi"/>
            <w:sz w:val="18"/>
            <w:szCs w:val="18"/>
          </w:rPr>
          <w:t>https://icp.gov.ae/en/about-icp/laws-and-legislation/</w:t>
        </w:r>
      </w:hyperlink>
      <w:r w:rsidRPr="000437A2">
        <w:rPr>
          <w:rFonts w:asciiTheme="minorBidi" w:eastAsia="Arial" w:hAnsiTheme="minorBidi" w:cstheme="minorBidi"/>
          <w:sz w:val="18"/>
          <w:szCs w:val="18"/>
        </w:rPr>
        <w:t>.</w:t>
      </w:r>
    </w:p>
  </w:footnote>
  <w:footnote w:id="19">
    <w:p w14:paraId="0A5A1FBC" w14:textId="73FACC4D" w:rsidR="00E26F24" w:rsidRPr="000437A2" w:rsidRDefault="00E26F24" w:rsidP="00E26F24">
      <w:pPr>
        <w:pStyle w:val="FootnoteText"/>
        <w:rPr>
          <w:rFonts w:asciiTheme="minorBidi" w:hAnsiTheme="minorBidi" w:cstheme="minorBidi"/>
          <w:sz w:val="18"/>
          <w:szCs w:val="18"/>
          <w:rtl/>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w:t>
      </w:r>
      <w:r w:rsidRPr="000437A2">
        <w:rPr>
          <w:rFonts w:asciiTheme="minorBidi" w:hAnsiTheme="minorBidi" w:cstheme="minorBidi"/>
          <w:color w:val="000000"/>
          <w:sz w:val="18"/>
          <w:szCs w:val="18"/>
        </w:rPr>
        <w:t xml:space="preserve">Personal Status Law, </w:t>
      </w:r>
      <w:r w:rsidRPr="000437A2">
        <w:rPr>
          <w:rFonts w:asciiTheme="minorBidi" w:hAnsiTheme="minorBidi" w:cstheme="minorBidi"/>
          <w:sz w:val="18"/>
          <w:szCs w:val="18"/>
        </w:rPr>
        <w:t>arts. 32-35, 39</w:t>
      </w:r>
      <w:r w:rsidR="0046167A" w:rsidRPr="000437A2">
        <w:rPr>
          <w:rFonts w:asciiTheme="minorBidi" w:hAnsiTheme="minorBidi" w:cstheme="minorBidi"/>
          <w:sz w:val="18"/>
          <w:szCs w:val="18"/>
        </w:rPr>
        <w:t>.</w:t>
      </w:r>
    </w:p>
  </w:footnote>
  <w:footnote w:id="20">
    <w:p w14:paraId="3E8028EB" w14:textId="62DAE6FB" w:rsidR="00E26F24" w:rsidRPr="000437A2" w:rsidRDefault="00E26F24" w:rsidP="00E26F24">
      <w:pPr>
        <w:pBdr>
          <w:top w:val="nil"/>
          <w:left w:val="nil"/>
          <w:bottom w:val="nil"/>
          <w:right w:val="nil"/>
          <w:between w:val="nil"/>
        </w:pBdr>
        <w:rPr>
          <w:rFonts w:asciiTheme="minorBidi" w:hAnsiTheme="minorBidi" w:cstheme="minorBidi"/>
          <w:color w:val="000000"/>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color w:val="000000"/>
          <w:sz w:val="18"/>
          <w:szCs w:val="18"/>
        </w:rPr>
        <w:t xml:space="preserve"> Id.</w:t>
      </w:r>
      <w:r w:rsidR="0046167A" w:rsidRPr="000437A2">
        <w:rPr>
          <w:rFonts w:asciiTheme="minorBidi" w:hAnsiTheme="minorBidi" w:cstheme="minorBidi"/>
          <w:sz w:val="18"/>
          <w:szCs w:val="18"/>
        </w:rPr>
        <w:t>, art. 34.</w:t>
      </w:r>
    </w:p>
  </w:footnote>
  <w:footnote w:id="21">
    <w:p w14:paraId="55AE8CFF"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32.</w:t>
      </w:r>
    </w:p>
  </w:footnote>
  <w:footnote w:id="22">
    <w:p w14:paraId="2463F35F"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33.</w:t>
      </w:r>
    </w:p>
  </w:footnote>
  <w:footnote w:id="23">
    <w:p w14:paraId="297C4A19"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39.</w:t>
      </w:r>
    </w:p>
  </w:footnote>
  <w:footnote w:id="24">
    <w:p w14:paraId="2033589B"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25">
    <w:p w14:paraId="6CDAFCA3"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21.</w:t>
      </w:r>
    </w:p>
  </w:footnote>
  <w:footnote w:id="26">
    <w:p w14:paraId="281ADA40"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35.</w:t>
      </w:r>
    </w:p>
  </w:footnote>
  <w:footnote w:id="27">
    <w:p w14:paraId="2933856B" w14:textId="2C3CF5C2"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Interview with </w:t>
      </w:r>
      <w:r w:rsidR="0046167A" w:rsidRPr="000437A2">
        <w:rPr>
          <w:rFonts w:asciiTheme="minorBidi" w:hAnsiTheme="minorBidi" w:cstheme="minorBidi"/>
          <w:sz w:val="18"/>
          <w:szCs w:val="18"/>
        </w:rPr>
        <w:t>advocate</w:t>
      </w:r>
      <w:r w:rsidRPr="000437A2">
        <w:rPr>
          <w:rFonts w:asciiTheme="minorBidi" w:hAnsiTheme="minorBidi" w:cstheme="minorBidi"/>
          <w:sz w:val="18"/>
          <w:szCs w:val="18"/>
        </w:rPr>
        <w:t>, January 2020.</w:t>
      </w:r>
    </w:p>
  </w:footnote>
  <w:footnote w:id="28">
    <w:p w14:paraId="38922E3E"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29">
    <w:p w14:paraId="5B04C83A"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30">
    <w:p w14:paraId="618252C1"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Personal Status Law, arts. 39, 41.</w:t>
      </w:r>
    </w:p>
  </w:footnote>
  <w:footnote w:id="31">
    <w:p w14:paraId="5FAD8F5A" w14:textId="309FBCFB"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Interview with </w:t>
      </w:r>
      <w:r w:rsidR="0046167A" w:rsidRPr="000437A2">
        <w:rPr>
          <w:rFonts w:asciiTheme="minorBidi" w:hAnsiTheme="minorBidi" w:cstheme="minorBidi"/>
          <w:sz w:val="18"/>
          <w:szCs w:val="18"/>
        </w:rPr>
        <w:t>advocate</w:t>
      </w:r>
      <w:r w:rsidRPr="000437A2">
        <w:rPr>
          <w:rFonts w:asciiTheme="minorBidi" w:hAnsiTheme="minorBidi" w:cstheme="minorBidi"/>
          <w:sz w:val="18"/>
          <w:szCs w:val="18"/>
        </w:rPr>
        <w:t>, January 2020.</w:t>
      </w:r>
    </w:p>
  </w:footnote>
  <w:footnote w:id="32">
    <w:p w14:paraId="20615659" w14:textId="77777777" w:rsidR="00E26F24" w:rsidRPr="000437A2" w:rsidRDefault="00E26F24" w:rsidP="00E26F24">
      <w:pPr>
        <w:pBdr>
          <w:top w:val="nil"/>
          <w:left w:val="nil"/>
          <w:bottom w:val="nil"/>
          <w:right w:val="nil"/>
          <w:between w:val="nil"/>
        </w:pBdr>
        <w:rPr>
          <w:rFonts w:asciiTheme="minorBidi" w:hAnsiTheme="minorBidi" w:cstheme="minorBidi"/>
          <w:color w:val="000000"/>
          <w:sz w:val="18"/>
          <w:szCs w:val="18"/>
          <w:rtl/>
        </w:rPr>
      </w:pPr>
      <w:r w:rsidRPr="000437A2">
        <w:rPr>
          <w:rStyle w:val="FootnoteReference"/>
          <w:rFonts w:asciiTheme="minorBidi" w:hAnsiTheme="minorBidi" w:cstheme="minorBidi"/>
          <w:sz w:val="18"/>
          <w:szCs w:val="18"/>
        </w:rPr>
        <w:footnoteRef/>
      </w:r>
      <w:r w:rsidRPr="000437A2">
        <w:rPr>
          <w:rFonts w:asciiTheme="minorBidi" w:hAnsiTheme="minorBidi" w:cstheme="minorBidi"/>
          <w:color w:val="000000"/>
          <w:sz w:val="18"/>
          <w:szCs w:val="18"/>
        </w:rPr>
        <w:t xml:space="preserve"> Personal Status Law, art. 30.</w:t>
      </w:r>
    </w:p>
  </w:footnote>
  <w:footnote w:id="33">
    <w:p w14:paraId="513A6853" w14:textId="67FFBD76"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Children of the </w:t>
      </w:r>
      <w:r w:rsidR="00053017" w:rsidRPr="000437A2">
        <w:rPr>
          <w:rFonts w:asciiTheme="minorBidi" w:hAnsiTheme="minorBidi" w:cstheme="minorBidi"/>
          <w:sz w:val="18"/>
          <w:szCs w:val="18"/>
        </w:rPr>
        <w:t>UAE</w:t>
      </w:r>
      <w:r w:rsidRPr="000437A2">
        <w:rPr>
          <w:rFonts w:asciiTheme="minorBidi" w:hAnsiTheme="minorBidi" w:cstheme="minorBidi"/>
          <w:sz w:val="18"/>
          <w:szCs w:val="18"/>
        </w:rPr>
        <w:t xml:space="preserve">, </w:t>
      </w:r>
      <w:proofErr w:type="spellStart"/>
      <w:r w:rsidRPr="000437A2">
        <w:rPr>
          <w:rFonts w:asciiTheme="minorBidi" w:hAnsiTheme="minorBidi" w:cstheme="minorBidi"/>
          <w:sz w:val="18"/>
          <w:szCs w:val="18"/>
        </w:rPr>
        <w:t>Humanium</w:t>
      </w:r>
      <w:proofErr w:type="spellEnd"/>
      <w:r w:rsidRPr="000437A2">
        <w:rPr>
          <w:rFonts w:asciiTheme="minorBidi" w:hAnsiTheme="minorBidi" w:cstheme="minorBidi"/>
          <w:sz w:val="18"/>
          <w:szCs w:val="18"/>
        </w:rPr>
        <w:t xml:space="preserve">, </w:t>
      </w:r>
      <w:hyperlink r:id="rId10" w:history="1">
        <w:r w:rsidRPr="000437A2">
          <w:rPr>
            <w:rStyle w:val="Hyperlink"/>
            <w:rFonts w:asciiTheme="minorBidi" w:hAnsiTheme="minorBidi" w:cstheme="minorBidi"/>
            <w:sz w:val="18"/>
            <w:szCs w:val="18"/>
          </w:rPr>
          <w:t>https://www.humanium.org/en/united-arab-emirates/</w:t>
        </w:r>
      </w:hyperlink>
      <w:r w:rsidR="00053017" w:rsidRPr="000437A2">
        <w:rPr>
          <w:rFonts w:asciiTheme="minorBidi" w:hAnsiTheme="minorBidi" w:cstheme="minorBidi"/>
          <w:sz w:val="18"/>
          <w:szCs w:val="18"/>
        </w:rPr>
        <w:t>.</w:t>
      </w:r>
    </w:p>
  </w:footnote>
  <w:footnote w:id="34">
    <w:p w14:paraId="48C129BE" w14:textId="79273C5A"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w:t>
      </w:r>
      <w:r w:rsidR="00053017" w:rsidRPr="000437A2">
        <w:rPr>
          <w:rFonts w:asciiTheme="minorBidi" w:hAnsiTheme="minorBidi" w:cstheme="minorBidi"/>
          <w:sz w:val="18"/>
          <w:szCs w:val="18"/>
        </w:rPr>
        <w:t xml:space="preserve">UAE </w:t>
      </w:r>
      <w:r w:rsidRPr="000437A2">
        <w:rPr>
          <w:rFonts w:asciiTheme="minorBidi" w:hAnsiTheme="minorBidi" w:cstheme="minorBidi"/>
          <w:sz w:val="18"/>
          <w:szCs w:val="18"/>
        </w:rPr>
        <w:t>C</w:t>
      </w:r>
      <w:r w:rsidR="00053017" w:rsidRPr="000437A2">
        <w:rPr>
          <w:rFonts w:asciiTheme="minorBidi" w:hAnsiTheme="minorBidi" w:cstheme="minorBidi"/>
          <w:sz w:val="18"/>
          <w:szCs w:val="18"/>
        </w:rPr>
        <w:t>ouncil</w:t>
      </w:r>
      <w:r w:rsidRPr="000437A2">
        <w:rPr>
          <w:rFonts w:asciiTheme="minorBidi" w:hAnsiTheme="minorBidi" w:cstheme="minorBidi"/>
          <w:sz w:val="18"/>
          <w:szCs w:val="18"/>
        </w:rPr>
        <w:t xml:space="preserve"> of Ministers Decision No. 71 of 2020.</w:t>
      </w:r>
    </w:p>
  </w:footnote>
  <w:footnote w:id="35">
    <w:p w14:paraId="356B45F3" w14:textId="3BA70471"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w:t>
      </w:r>
    </w:p>
  </w:footnote>
  <w:footnote w:id="36">
    <w:p w14:paraId="6F6752A4"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Personal Status Law, art</w:t>
      </w:r>
      <w:r w:rsidRPr="000437A2">
        <w:rPr>
          <w:rFonts w:asciiTheme="minorBidi" w:hAnsiTheme="minorBidi" w:cstheme="minorBidi"/>
          <w:sz w:val="18"/>
          <w:szCs w:val="18"/>
          <w:rtl/>
        </w:rPr>
        <w:t>.</w:t>
      </w:r>
      <w:r w:rsidRPr="000437A2">
        <w:rPr>
          <w:rFonts w:asciiTheme="minorBidi" w:hAnsiTheme="minorBidi" w:cstheme="minorBidi"/>
          <w:sz w:val="18"/>
          <w:szCs w:val="18"/>
        </w:rPr>
        <w:t xml:space="preserve"> 20.</w:t>
      </w:r>
    </w:p>
  </w:footnote>
  <w:footnote w:id="37">
    <w:p w14:paraId="69DA55D6"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55.</w:t>
      </w:r>
    </w:p>
  </w:footnote>
  <w:footnote w:id="38">
    <w:p w14:paraId="781BE11C" w14:textId="77777777" w:rsidR="00E26F24" w:rsidRPr="000437A2" w:rsidRDefault="00E26F24" w:rsidP="00E26F24">
      <w:pPr>
        <w:pStyle w:val="FootnoteText"/>
        <w:rPr>
          <w:rFonts w:asciiTheme="minorBidi" w:hAnsiTheme="minorBidi" w:cstheme="minorBidi"/>
          <w:b/>
          <w:bCs/>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“70% of polygamists in 4 emirates are non-Emiratis,” </w:t>
      </w:r>
      <w:r w:rsidRPr="000437A2">
        <w:rPr>
          <w:rFonts w:asciiTheme="minorBidi" w:hAnsiTheme="minorBidi" w:cstheme="minorBidi"/>
          <w:i/>
          <w:iCs/>
          <w:sz w:val="18"/>
          <w:szCs w:val="18"/>
        </w:rPr>
        <w:t>Khaleej Times</w:t>
      </w:r>
      <w:r w:rsidRPr="000437A2">
        <w:rPr>
          <w:rFonts w:asciiTheme="minorBidi" w:hAnsiTheme="minorBidi" w:cstheme="minorBidi"/>
          <w:sz w:val="18"/>
          <w:szCs w:val="18"/>
        </w:rPr>
        <w:t xml:space="preserve">, 6 June 2020, </w:t>
      </w:r>
      <w:hyperlink r:id="rId11" w:history="1">
        <w:r w:rsidRPr="000437A2">
          <w:rPr>
            <w:rStyle w:val="Hyperlink"/>
            <w:rFonts w:asciiTheme="minorBidi" w:hAnsiTheme="minorBidi" w:cstheme="minorBidi"/>
            <w:sz w:val="18"/>
            <w:szCs w:val="18"/>
          </w:rPr>
          <w:t>https://www.khaleejtimes.com/uae/70-of-polygamists-in-4-emirates-are-non-emiratis</w:t>
        </w:r>
      </w:hyperlink>
      <w:r w:rsidRPr="000437A2">
        <w:rPr>
          <w:rFonts w:asciiTheme="minorBidi" w:hAnsiTheme="minorBidi" w:cstheme="minorBidi"/>
          <w:sz w:val="18"/>
          <w:szCs w:val="18"/>
        </w:rPr>
        <w:t>.</w:t>
      </w:r>
      <w:r w:rsidRPr="000437A2">
        <w:rPr>
          <w:rFonts w:asciiTheme="minorBidi" w:hAnsiTheme="minorBidi" w:cstheme="minorBidi"/>
          <w:b/>
          <w:bCs/>
          <w:sz w:val="18"/>
          <w:szCs w:val="18"/>
        </w:rPr>
        <w:t xml:space="preserve"> </w:t>
      </w:r>
    </w:p>
  </w:footnote>
  <w:footnote w:id="39">
    <w:p w14:paraId="6097DE5D"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40">
    <w:p w14:paraId="3D3A84E8"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Penal Code, arts. 53, 334.</w:t>
      </w:r>
    </w:p>
  </w:footnote>
  <w:footnote w:id="41">
    <w:p w14:paraId="09097A12"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Domestic Violence Law, art. 3.</w:t>
      </w:r>
    </w:p>
  </w:footnote>
  <w:footnote w:id="42">
    <w:p w14:paraId="4B9CCA72"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arts. 6-7.</w:t>
      </w:r>
    </w:p>
  </w:footnote>
  <w:footnote w:id="43">
    <w:p w14:paraId="590F634F"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arts. 8-9.</w:t>
      </w:r>
    </w:p>
  </w:footnote>
  <w:footnote w:id="44">
    <w:p w14:paraId="3E61BD1E" w14:textId="2CEC9171" w:rsidR="00E26F24" w:rsidRPr="000437A2" w:rsidRDefault="00E26F24" w:rsidP="00E26F24">
      <w:pPr>
        <w:pStyle w:val="FootnoteText"/>
        <w:rPr>
          <w:rFonts w:asciiTheme="minorBidi" w:hAnsiTheme="minorBidi" w:cstheme="minorBidi"/>
          <w:sz w:val="18"/>
          <w:szCs w:val="18"/>
          <w:rtl/>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Interview with </w:t>
      </w:r>
      <w:r w:rsidR="0046167A" w:rsidRPr="000437A2">
        <w:rPr>
          <w:rFonts w:asciiTheme="minorBidi" w:hAnsiTheme="minorBidi" w:cstheme="minorBidi"/>
          <w:sz w:val="18"/>
          <w:szCs w:val="18"/>
        </w:rPr>
        <w:t>advocate</w:t>
      </w:r>
      <w:r w:rsidRPr="000437A2">
        <w:rPr>
          <w:rFonts w:asciiTheme="minorBidi" w:hAnsiTheme="minorBidi" w:cstheme="minorBidi"/>
          <w:sz w:val="18"/>
          <w:szCs w:val="18"/>
        </w:rPr>
        <w:t>, January 2020.</w:t>
      </w:r>
    </w:p>
  </w:footnote>
  <w:footnote w:id="45">
    <w:p w14:paraId="46A1058F" w14:textId="77777777" w:rsidR="00E26F24" w:rsidRPr="000437A2" w:rsidRDefault="00E26F24" w:rsidP="00E26F24">
      <w:pPr>
        <w:pStyle w:val="FootnoteText"/>
        <w:rPr>
          <w:rFonts w:asciiTheme="minorBidi" w:hAnsiTheme="minorBidi" w:cstheme="minorBidi"/>
          <w:b/>
          <w:bCs/>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Prevalence, knowledge, attitude and practices of female genital mutilation and cutting (FGM/C) among United Arab Emirates population, 20 April 2020, </w:t>
      </w:r>
      <w:hyperlink r:id="rId12" w:history="1">
        <w:r w:rsidRPr="000437A2">
          <w:rPr>
            <w:rStyle w:val="Hyperlink"/>
            <w:rFonts w:asciiTheme="minorBidi" w:hAnsiTheme="minorBidi" w:cstheme="minorBidi"/>
            <w:sz w:val="18"/>
            <w:szCs w:val="18"/>
          </w:rPr>
          <w:t>https://bmcwomenshealth.biomedcentral.com/articles/10.1186/s12905-020-00949-z</w:t>
        </w:r>
      </w:hyperlink>
      <w:r w:rsidRPr="000437A2">
        <w:rPr>
          <w:rFonts w:asciiTheme="minorBidi" w:hAnsiTheme="minorBidi" w:cstheme="minorBidi"/>
          <w:sz w:val="18"/>
          <w:szCs w:val="18"/>
        </w:rPr>
        <w:t xml:space="preserve">. </w:t>
      </w:r>
    </w:p>
  </w:footnote>
  <w:footnote w:id="46">
    <w:p w14:paraId="2A5F1ABD"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47">
    <w:p w14:paraId="1D918BB2" w14:textId="77777777" w:rsidR="00E26F24" w:rsidRPr="000437A2" w:rsidRDefault="00E26F24" w:rsidP="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w:t>
      </w:r>
    </w:p>
  </w:footnote>
  <w:footnote w:id="48">
    <w:p w14:paraId="77F790E6" w14:textId="205FA627" w:rsidR="0082090E" w:rsidRPr="000437A2" w:rsidRDefault="0082090E">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Nationality Law, art. 2.</w:t>
      </w:r>
    </w:p>
  </w:footnote>
  <w:footnote w:id="49">
    <w:p w14:paraId="7B57D696" w14:textId="4566A06E" w:rsidR="0082090E" w:rsidRPr="000437A2" w:rsidRDefault="0082090E">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3</w:t>
      </w:r>
    </w:p>
  </w:footnote>
  <w:footnote w:id="50">
    <w:p w14:paraId="297D6817" w14:textId="62E39157" w:rsidR="002A08FB" w:rsidRPr="000437A2" w:rsidRDefault="002A08FB">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10 Bis.</w:t>
      </w:r>
    </w:p>
  </w:footnote>
  <w:footnote w:id="51">
    <w:p w14:paraId="3A1AE689" w14:textId="355337A2" w:rsidR="002A08FB" w:rsidRPr="000437A2" w:rsidRDefault="002A08FB">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Id., art. 11.</w:t>
      </w:r>
    </w:p>
  </w:footnote>
  <w:footnote w:id="52">
    <w:p w14:paraId="73E21760" w14:textId="5CC09C18" w:rsidR="00E26F24" w:rsidRPr="000437A2" w:rsidRDefault="00E26F24">
      <w:pPr>
        <w:pStyle w:val="FootnoteText"/>
        <w:rPr>
          <w:rFonts w:asciiTheme="minorBidi" w:hAnsiTheme="minorBidi" w:cstheme="minorBidi"/>
          <w:sz w:val="18"/>
          <w:szCs w:val="18"/>
        </w:rPr>
      </w:pPr>
      <w:r w:rsidRPr="000437A2">
        <w:rPr>
          <w:rStyle w:val="FootnoteReference"/>
          <w:rFonts w:asciiTheme="minorBidi" w:hAnsiTheme="minorBidi" w:cstheme="minorBidi"/>
          <w:sz w:val="18"/>
          <w:szCs w:val="18"/>
        </w:rPr>
        <w:footnoteRef/>
      </w:r>
      <w:r w:rsidRPr="000437A2">
        <w:rPr>
          <w:rFonts w:asciiTheme="minorBidi" w:hAnsiTheme="minorBidi" w:cstheme="minorBidi"/>
          <w:sz w:val="18"/>
          <w:szCs w:val="18"/>
        </w:rPr>
        <w:t xml:space="preserve"> </w:t>
      </w:r>
      <w:r w:rsidR="000E0833" w:rsidRPr="000437A2">
        <w:rPr>
          <w:rFonts w:asciiTheme="minorBidi" w:eastAsia="Arial" w:hAnsiTheme="minorBidi" w:cstheme="minorBidi"/>
          <w:color w:val="000000"/>
          <w:sz w:val="18"/>
          <w:szCs w:val="18"/>
        </w:rPr>
        <w:t xml:space="preserve">UAE State </w:t>
      </w:r>
      <w:r w:rsidR="00D1046C" w:rsidRPr="000437A2">
        <w:rPr>
          <w:rFonts w:asciiTheme="minorBidi" w:eastAsia="Arial" w:hAnsiTheme="minorBidi" w:cstheme="minorBidi"/>
          <w:color w:val="000000"/>
          <w:sz w:val="18"/>
          <w:szCs w:val="18"/>
        </w:rPr>
        <w:t>P</w:t>
      </w:r>
      <w:r w:rsidR="000E0833" w:rsidRPr="000437A2">
        <w:rPr>
          <w:rFonts w:asciiTheme="minorBidi" w:eastAsia="Arial" w:hAnsiTheme="minorBidi" w:cstheme="minorBidi"/>
          <w:color w:val="000000"/>
          <w:sz w:val="18"/>
          <w:szCs w:val="18"/>
        </w:rPr>
        <w:t xml:space="preserve">arty </w:t>
      </w:r>
      <w:r w:rsidR="00D1046C" w:rsidRPr="000437A2">
        <w:rPr>
          <w:rFonts w:asciiTheme="minorBidi" w:eastAsia="Arial" w:hAnsiTheme="minorBidi" w:cstheme="minorBidi"/>
          <w:color w:val="000000"/>
          <w:sz w:val="18"/>
          <w:szCs w:val="18"/>
        </w:rPr>
        <w:t>R</w:t>
      </w:r>
      <w:r w:rsidR="000E0833" w:rsidRPr="000437A2">
        <w:rPr>
          <w:rFonts w:asciiTheme="minorBidi" w:eastAsia="Arial" w:hAnsiTheme="minorBidi" w:cstheme="minorBidi"/>
          <w:color w:val="000000"/>
          <w:sz w:val="18"/>
          <w:szCs w:val="18"/>
        </w:rPr>
        <w:t>eport, December 2020, U.N. Doc. CEDAW/C/ARE/4</w:t>
      </w:r>
      <w:r w:rsidRPr="000437A2">
        <w:rPr>
          <w:rFonts w:asciiTheme="minorBidi" w:hAnsiTheme="minorBidi" w:cstheme="minorBidi"/>
          <w:sz w:val="18"/>
          <w:szCs w:val="18"/>
        </w:rPr>
        <w:t>, para. 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0"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14"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5516CD"/>
    <w:multiLevelType w:val="hybridMultilevel"/>
    <w:tmpl w:val="E9888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E2E36E0"/>
    <w:multiLevelType w:val="hybridMultilevel"/>
    <w:tmpl w:val="F2706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8651579">
    <w:abstractNumId w:val="3"/>
  </w:num>
  <w:num w:numId="2" w16cid:durableId="160120109">
    <w:abstractNumId w:val="18"/>
  </w:num>
  <w:num w:numId="3" w16cid:durableId="634994659">
    <w:abstractNumId w:val="12"/>
  </w:num>
  <w:num w:numId="4" w16cid:durableId="512689417">
    <w:abstractNumId w:val="11"/>
  </w:num>
  <w:num w:numId="5" w16cid:durableId="1774980088">
    <w:abstractNumId w:val="7"/>
  </w:num>
  <w:num w:numId="6" w16cid:durableId="1572960671">
    <w:abstractNumId w:val="8"/>
  </w:num>
  <w:num w:numId="7" w16cid:durableId="732002307">
    <w:abstractNumId w:val="4"/>
  </w:num>
  <w:num w:numId="8" w16cid:durableId="1517117698">
    <w:abstractNumId w:val="10"/>
  </w:num>
  <w:num w:numId="9" w16cid:durableId="1251230389">
    <w:abstractNumId w:val="14"/>
  </w:num>
  <w:num w:numId="10" w16cid:durableId="1662124475">
    <w:abstractNumId w:val="13"/>
  </w:num>
  <w:num w:numId="11" w16cid:durableId="2144881787">
    <w:abstractNumId w:val="1"/>
  </w:num>
  <w:num w:numId="12" w16cid:durableId="1602372304">
    <w:abstractNumId w:val="6"/>
  </w:num>
  <w:num w:numId="13" w16cid:durableId="1903445239">
    <w:abstractNumId w:val="20"/>
  </w:num>
  <w:num w:numId="14" w16cid:durableId="1774326014">
    <w:abstractNumId w:val="16"/>
  </w:num>
  <w:num w:numId="15" w16cid:durableId="563833423">
    <w:abstractNumId w:val="15"/>
  </w:num>
  <w:num w:numId="16" w16cid:durableId="458109590">
    <w:abstractNumId w:val="22"/>
  </w:num>
  <w:num w:numId="17" w16cid:durableId="1771008842">
    <w:abstractNumId w:val="0"/>
  </w:num>
  <w:num w:numId="18" w16cid:durableId="808013456">
    <w:abstractNumId w:val="19"/>
  </w:num>
  <w:num w:numId="19" w16cid:durableId="484981107">
    <w:abstractNumId w:val="17"/>
  </w:num>
  <w:num w:numId="20" w16cid:durableId="577600106">
    <w:abstractNumId w:val="5"/>
  </w:num>
  <w:num w:numId="21" w16cid:durableId="445999976">
    <w:abstractNumId w:val="21"/>
  </w:num>
  <w:num w:numId="22" w16cid:durableId="1431849944">
    <w:abstractNumId w:val="9"/>
  </w:num>
  <w:num w:numId="23" w16cid:durableId="1411540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24"/>
    <w:rsid w:val="000437A2"/>
    <w:rsid w:val="00045DC0"/>
    <w:rsid w:val="00053017"/>
    <w:rsid w:val="000C6DA6"/>
    <w:rsid w:val="000D5C07"/>
    <w:rsid w:val="000E0833"/>
    <w:rsid w:val="001136EB"/>
    <w:rsid w:val="001367A5"/>
    <w:rsid w:val="00177C52"/>
    <w:rsid w:val="00177C89"/>
    <w:rsid w:val="001A6111"/>
    <w:rsid w:val="001C7C97"/>
    <w:rsid w:val="00233AE3"/>
    <w:rsid w:val="0024631A"/>
    <w:rsid w:val="00253B8F"/>
    <w:rsid w:val="00255633"/>
    <w:rsid w:val="00256E2F"/>
    <w:rsid w:val="00260B49"/>
    <w:rsid w:val="00283DEA"/>
    <w:rsid w:val="00292461"/>
    <w:rsid w:val="002A08FB"/>
    <w:rsid w:val="003C59ED"/>
    <w:rsid w:val="003E6EAD"/>
    <w:rsid w:val="0046167A"/>
    <w:rsid w:val="00471C44"/>
    <w:rsid w:val="00484C23"/>
    <w:rsid w:val="004E2D1C"/>
    <w:rsid w:val="00537F93"/>
    <w:rsid w:val="00612FDF"/>
    <w:rsid w:val="0062020E"/>
    <w:rsid w:val="006B5CCF"/>
    <w:rsid w:val="006F3136"/>
    <w:rsid w:val="00782803"/>
    <w:rsid w:val="007D41ED"/>
    <w:rsid w:val="007D7D36"/>
    <w:rsid w:val="0082090E"/>
    <w:rsid w:val="00827ECA"/>
    <w:rsid w:val="00843BD1"/>
    <w:rsid w:val="008813B4"/>
    <w:rsid w:val="00892321"/>
    <w:rsid w:val="008A4A52"/>
    <w:rsid w:val="008C7591"/>
    <w:rsid w:val="00905973"/>
    <w:rsid w:val="0091437E"/>
    <w:rsid w:val="00927038"/>
    <w:rsid w:val="00965FC9"/>
    <w:rsid w:val="009C36BC"/>
    <w:rsid w:val="009E240A"/>
    <w:rsid w:val="00A16DCD"/>
    <w:rsid w:val="00A265C8"/>
    <w:rsid w:val="00A436FC"/>
    <w:rsid w:val="00A5436C"/>
    <w:rsid w:val="00AD75BA"/>
    <w:rsid w:val="00B03BB8"/>
    <w:rsid w:val="00B42C0D"/>
    <w:rsid w:val="00BC09A3"/>
    <w:rsid w:val="00C02A70"/>
    <w:rsid w:val="00C57A20"/>
    <w:rsid w:val="00C62C67"/>
    <w:rsid w:val="00C705B5"/>
    <w:rsid w:val="00CF1FC1"/>
    <w:rsid w:val="00D02072"/>
    <w:rsid w:val="00D1046C"/>
    <w:rsid w:val="00D15DDA"/>
    <w:rsid w:val="00D27CFF"/>
    <w:rsid w:val="00D326D7"/>
    <w:rsid w:val="00D43C94"/>
    <w:rsid w:val="00D62A4D"/>
    <w:rsid w:val="00DB0729"/>
    <w:rsid w:val="00E00C6F"/>
    <w:rsid w:val="00E12411"/>
    <w:rsid w:val="00E26F24"/>
    <w:rsid w:val="00E30CB3"/>
    <w:rsid w:val="00E538E6"/>
    <w:rsid w:val="00E91344"/>
    <w:rsid w:val="00EB53C2"/>
    <w:rsid w:val="00EE39D6"/>
    <w:rsid w:val="00F27650"/>
    <w:rsid w:val="00F31A60"/>
    <w:rsid w:val="00F47F80"/>
    <w:rsid w:val="00F564A5"/>
    <w:rsid w:val="00FC47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F24"/>
    <w:rPr>
      <w:rFonts w:ascii="Times New Roman" w:eastAsia="Times New Roman" w:hAnsi="Times New Roman" w:cs="Times New Roman"/>
      <w:lang w:eastAsia="zh-CN"/>
    </w:rPr>
  </w:style>
  <w:style w:type="paragraph" w:styleId="Heading1">
    <w:name w:val="heading 1"/>
    <w:basedOn w:val="Normal1"/>
    <w:next w:val="Normal1"/>
    <w:link w:val="Heading1Char"/>
    <w:rsid w:val="00E26F24"/>
    <w:pPr>
      <w:shd w:val="clear" w:color="auto" w:fill="BD0014"/>
      <w:tabs>
        <w:tab w:val="left" w:pos="270"/>
        <w:tab w:val="left" w:pos="630"/>
      </w:tabs>
      <w:spacing w:after="0" w:line="240" w:lineRule="auto"/>
      <w:ind w:left="540" w:hanging="540"/>
      <w:outlineLvl w:val="0"/>
    </w:pPr>
    <w:rPr>
      <w:rFonts w:ascii="Trebuchet MS" w:eastAsia="Trebuchet MS" w:hAnsi="Trebuchet MS" w:cs="Trebuchet MS"/>
      <w:b/>
      <w:smallCaps/>
      <w:sz w:val="30"/>
      <w:szCs w:val="30"/>
    </w:rPr>
  </w:style>
  <w:style w:type="paragraph" w:styleId="Heading2">
    <w:name w:val="heading 2"/>
    <w:basedOn w:val="Normal1"/>
    <w:next w:val="Normal1"/>
    <w:link w:val="Heading2Char"/>
    <w:rsid w:val="00E26F24"/>
    <w:pPr>
      <w:shd w:val="clear" w:color="auto" w:fill="FCB040"/>
      <w:spacing w:after="0"/>
      <w:outlineLvl w:val="1"/>
    </w:pPr>
    <w:rPr>
      <w:rFonts w:ascii="Trebuchet MS" w:eastAsia="Trebuchet MS" w:hAnsi="Trebuchet MS" w:cs="Trebuchet MS"/>
      <w:b/>
      <w:smallCaps/>
      <w:sz w:val="26"/>
      <w:szCs w:val="26"/>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F24"/>
    <w:rPr>
      <w:rFonts w:ascii="Trebuchet MS" w:eastAsia="Trebuchet MS" w:hAnsi="Trebuchet MS" w:cs="Trebuchet MS"/>
      <w:b/>
      <w:smallCaps/>
      <w:color w:val="000000"/>
      <w:sz w:val="30"/>
      <w:szCs w:val="30"/>
      <w:shd w:val="clear" w:color="auto" w:fill="BD0014"/>
    </w:rPr>
  </w:style>
  <w:style w:type="character" w:customStyle="1" w:styleId="Heading2Char">
    <w:name w:val="Heading 2 Char"/>
    <w:basedOn w:val="DefaultParagraphFont"/>
    <w:link w:val="Heading2"/>
    <w:rsid w:val="00E26F24"/>
    <w:rPr>
      <w:rFonts w:ascii="Trebuchet MS" w:eastAsia="Trebuchet MS" w:hAnsi="Trebuchet MS" w:cs="Trebuchet MS"/>
      <w:b/>
      <w:smallCaps/>
      <w:color w:val="000000"/>
      <w:sz w:val="26"/>
      <w:szCs w:val="26"/>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semiHidden/>
    <w:unhideWhenUsed/>
    <w:rsid w:val="00E26F24"/>
  </w:style>
  <w:style w:type="character" w:customStyle="1" w:styleId="CommentTextChar">
    <w:name w:val="Comment Text Char"/>
    <w:basedOn w:val="DefaultParagraphFont"/>
    <w:link w:val="CommentText"/>
    <w:uiPriority w:val="99"/>
    <w:semiHidden/>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sz w:val="28"/>
      <w:szCs w:val="28"/>
    </w:rPr>
  </w:style>
  <w:style w:type="paragraph" w:styleId="TOC1">
    <w:name w:val="toc 1"/>
    <w:basedOn w:val="Normal"/>
    <w:next w:val="Normal"/>
    <w:autoRedefine/>
    <w:uiPriority w:val="39"/>
    <w:unhideWhenUsed/>
    <w:rsid w:val="00E26F24"/>
    <w:pPr>
      <w:tabs>
        <w:tab w:val="right" w:leader="dot" w:pos="8910"/>
      </w:tabs>
    </w:pPr>
    <w:rPr>
      <w:rFonts w:asciiTheme="minorHAnsi" w:hAnsiTheme="minorHAnsi"/>
      <w:b/>
    </w:rPr>
  </w:style>
  <w:style w:type="paragraph" w:styleId="TOC2">
    <w:name w:val="toc 2"/>
    <w:basedOn w:val="Normal"/>
    <w:next w:val="Normal"/>
    <w:autoRedefine/>
    <w:uiPriority w:val="39"/>
    <w:unhideWhenUsed/>
    <w:rsid w:val="00E26F24"/>
    <w:pPr>
      <w:tabs>
        <w:tab w:val="right" w:leader="dot" w:pos="8910"/>
      </w:tabs>
    </w:pPr>
    <w:rPr>
      <w:rFonts w:ascii="Trebuchet MS" w:eastAsia="Arial" w:hAnsi="Trebuchet MS"/>
      <w:b/>
      <w:noProof/>
      <w:sz w:val="22"/>
      <w:szCs w:val="22"/>
    </w:rPr>
  </w:style>
  <w:style w:type="paragraph" w:styleId="TOC3">
    <w:name w:val="toc 3"/>
    <w:basedOn w:val="Normal"/>
    <w:next w:val="Normal"/>
    <w:autoRedefine/>
    <w:uiPriority w:val="39"/>
    <w:semiHidden/>
    <w:unhideWhenUsed/>
    <w:rsid w:val="00E26F24"/>
    <w:pPr>
      <w:ind w:left="440"/>
    </w:pPr>
    <w:rPr>
      <w:rFonts w:asciiTheme="minorHAnsi" w:hAnsiTheme="minorHAnsi"/>
    </w:rPr>
  </w:style>
  <w:style w:type="paragraph" w:styleId="TOC4">
    <w:name w:val="toc 4"/>
    <w:basedOn w:val="Normal"/>
    <w:next w:val="Normal"/>
    <w:autoRedefine/>
    <w:uiPriority w:val="39"/>
    <w:semiHidden/>
    <w:unhideWhenUsed/>
    <w:rsid w:val="00E26F24"/>
    <w:pPr>
      <w:ind w:left="660"/>
    </w:pPr>
    <w:rPr>
      <w:rFonts w:asciiTheme="minorHAnsi" w:hAnsiTheme="minorHAnsi"/>
      <w:sz w:val="20"/>
      <w:szCs w:val="20"/>
    </w:rPr>
  </w:style>
  <w:style w:type="paragraph" w:styleId="TOC5">
    <w:name w:val="toc 5"/>
    <w:basedOn w:val="Normal"/>
    <w:next w:val="Normal"/>
    <w:autoRedefine/>
    <w:uiPriority w:val="39"/>
    <w:semiHidden/>
    <w:unhideWhenUsed/>
    <w:rsid w:val="00E26F24"/>
    <w:pPr>
      <w:ind w:left="880"/>
    </w:pPr>
    <w:rPr>
      <w:rFonts w:asciiTheme="minorHAnsi" w:hAnsiTheme="minorHAnsi"/>
      <w:sz w:val="20"/>
      <w:szCs w:val="20"/>
    </w:rPr>
  </w:style>
  <w:style w:type="paragraph" w:styleId="TOC6">
    <w:name w:val="toc 6"/>
    <w:basedOn w:val="Normal"/>
    <w:next w:val="Normal"/>
    <w:autoRedefine/>
    <w:uiPriority w:val="39"/>
    <w:semiHidden/>
    <w:unhideWhenUsed/>
    <w:rsid w:val="00E26F24"/>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E26F24"/>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E26F24"/>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E26F24"/>
    <w:pPr>
      <w:ind w:left="1760"/>
    </w:pPr>
    <w:rPr>
      <w:rFonts w:asciiTheme="minorHAnsi" w:hAnsiTheme="minorHAnsi"/>
      <w:sz w:val="20"/>
      <w:szCs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styleId="UnresolvedMention">
    <w:name w:val="Unresolved Mention"/>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www.musawah.org"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customXml" Target="../customXml/item1.xml"/><Relationship Id="rId10" Type="http://schemas.openxmlformats.org/officeDocument/2006/relationships/hyperlink" Target="mailto:musawah@musawah.org"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image" Target="media/image2.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u.ae/en/about-the-uae/strategies-initiatives-and-awards/federal-governments-strategies-and-plans/family-protection-policy" TargetMode="External"/><Relationship Id="rId3" Type="http://schemas.openxmlformats.org/officeDocument/2006/relationships/hyperlink" Target="https://www.state.gov/reports/2020-report-on-international-religious-freedom/united-arab-emirates/" TargetMode="External"/><Relationship Id="rId7" Type="http://schemas.openxmlformats.org/officeDocument/2006/relationships/hyperlink" Target="https://elaws.moj.gov.ae/UAE-MOJ_LC-En/00_PENALTIES%20AND%20CRIMINAL%20MEASURES/UAE-LC-En_1987-12-08_00003_Kait.html?val=EL1" TargetMode="External"/><Relationship Id="rId12" Type="http://schemas.openxmlformats.org/officeDocument/2006/relationships/hyperlink" Target="https://bmcwomenshealth.biomedcentral.com/articles/10.1186/s12905-020-00949-z" TargetMode="External"/><Relationship Id="rId2" Type="http://schemas.openxmlformats.org/officeDocument/2006/relationships/hyperlink" Target="https://www.constituteproject.org/constitution/United_Arab_Emirates_2004.pdf" TargetMode="External"/><Relationship Id="rId1" Type="http://schemas.openxmlformats.org/officeDocument/2006/relationships/hyperlink" Target="https://u.ae/en/about-the-uae/fact-sheet" TargetMode="External"/><Relationship Id="rId6" Type="http://schemas.openxmlformats.org/officeDocument/2006/relationships/hyperlink" Target="https://u.ae/en/about-the-uae/the-uae-government/the-federal-judiciary" TargetMode="External"/><Relationship Id="rId11" Type="http://schemas.openxmlformats.org/officeDocument/2006/relationships/hyperlink" Target="https://www.khaleejtimes.com/uae/70-of-polygamists-in-4-emirates-are-non-emiratis" TargetMode="External"/><Relationship Id="rId5" Type="http://schemas.openxmlformats.org/officeDocument/2006/relationships/hyperlink" Target="https://u.ae/en/information-and-services/justice-safety-and-the-law/personal-status-for-non-muslims" TargetMode="External"/><Relationship Id="rId10" Type="http://schemas.openxmlformats.org/officeDocument/2006/relationships/hyperlink" Target="https://www.humanium.org/en/united-arab-emirates/" TargetMode="External"/><Relationship Id="rId4" Type="http://schemas.openxmlformats.org/officeDocument/2006/relationships/hyperlink" Target="https://elaws.moj.gov.ae/UAE-MOJ_LC-En/00_PERSONAL%20STATUS/UAE-LC-En_2005-11-19_00028_Kait.html" TargetMode="External"/><Relationship Id="rId9" Type="http://schemas.openxmlformats.org/officeDocument/2006/relationships/hyperlink" Target="https://icp.gov.ae/en/about-icp/laws-and-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756EBC-EF24-45EE-BCAD-5B3AA8C06B0C}"/>
</file>

<file path=customXml/itemProps2.xml><?xml version="1.0" encoding="utf-8"?>
<ds:datastoreItem xmlns:ds="http://schemas.openxmlformats.org/officeDocument/2006/customXml" ds:itemID="{5EE785F5-7A4E-400D-B08B-0A2B701BB236}"/>
</file>

<file path=customXml/itemProps3.xml><?xml version="1.0" encoding="utf-8"?>
<ds:datastoreItem xmlns:ds="http://schemas.openxmlformats.org/officeDocument/2006/customXml" ds:itemID="{B5761BDC-42E0-42D7-97A3-C0343A778972}"/>
</file>

<file path=docProps/app.xml><?xml version="1.0" encoding="utf-8"?>
<Properties xmlns="http://schemas.openxmlformats.org/officeDocument/2006/extended-properties" xmlns:vt="http://schemas.openxmlformats.org/officeDocument/2006/docPropsVTypes">
  <Template>Normal.dotm</Template>
  <TotalTime>49</TotalTime>
  <Pages>10</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14</cp:revision>
  <dcterms:created xsi:type="dcterms:W3CDTF">2022-05-16T02:36:00Z</dcterms:created>
  <dcterms:modified xsi:type="dcterms:W3CDTF">2022-05-16T13:22:00Z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