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28B15C" w14:textId="77777777" w:rsidR="00B27021" w:rsidRDefault="00B27021" w:rsidP="00B27021">
      <w:pPr>
        <w:jc w:val="center"/>
        <w:rPr>
          <w:rFonts w:ascii="Times New Roman" w:hAnsi="Times New Roman" w:cs="Times New Roman"/>
          <w:b/>
          <w:sz w:val="32"/>
          <w:szCs w:val="32"/>
          <w:lang w:val="es-CL"/>
        </w:rPr>
      </w:pPr>
    </w:p>
    <w:p w14:paraId="07A8945C" w14:textId="558B798E" w:rsidR="00B27021" w:rsidRDefault="00B27021" w:rsidP="002D2639">
      <w:pPr>
        <w:jc w:val="center"/>
        <w:rPr>
          <w:rFonts w:ascii="Times New Roman" w:hAnsi="Times New Roman" w:cs="Times New Roman"/>
          <w:b/>
          <w:sz w:val="32"/>
          <w:szCs w:val="32"/>
          <w:lang w:val="es-CL"/>
        </w:rPr>
      </w:pPr>
      <w:r w:rsidRPr="005F4056">
        <w:rPr>
          <w:rFonts w:ascii="Times New Roman" w:hAnsi="Times New Roman" w:cs="Times New Roman"/>
          <w:noProof/>
          <w:lang w:val="en-GB" w:eastAsia="en-GB"/>
        </w:rPr>
        <w:drawing>
          <wp:inline distT="0" distB="0" distL="0" distR="0" wp14:anchorId="2934CAC2" wp14:editId="69532A46">
            <wp:extent cx="1548765" cy="969645"/>
            <wp:effectExtent l="0" t="0" r="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8765" cy="969645"/>
                    </a:xfrm>
                    <a:prstGeom prst="rect">
                      <a:avLst/>
                    </a:prstGeom>
                    <a:noFill/>
                  </pic:spPr>
                </pic:pic>
              </a:graphicData>
            </a:graphic>
          </wp:inline>
        </w:drawing>
      </w:r>
    </w:p>
    <w:p w14:paraId="47B6BF24" w14:textId="77777777" w:rsidR="00B27021" w:rsidRDefault="00B27021" w:rsidP="00B27021">
      <w:pPr>
        <w:jc w:val="center"/>
        <w:rPr>
          <w:rFonts w:ascii="Times New Roman" w:hAnsi="Times New Roman" w:cs="Times New Roman"/>
          <w:b/>
          <w:sz w:val="32"/>
          <w:szCs w:val="32"/>
          <w:lang w:val="es-CL"/>
        </w:rPr>
      </w:pPr>
    </w:p>
    <w:p w14:paraId="46F0A0DE" w14:textId="3FDB7873" w:rsidR="00B27021" w:rsidRPr="00B27021" w:rsidRDefault="00B27021" w:rsidP="00B27021">
      <w:pPr>
        <w:jc w:val="center"/>
        <w:rPr>
          <w:rFonts w:ascii="Times New Roman" w:hAnsi="Times New Roman" w:cs="Times New Roman"/>
          <w:b/>
          <w:sz w:val="32"/>
          <w:szCs w:val="32"/>
          <w:lang w:val="es-CL"/>
        </w:rPr>
      </w:pPr>
      <w:r w:rsidRPr="00B27021">
        <w:rPr>
          <w:rFonts w:ascii="Times New Roman" w:hAnsi="Times New Roman" w:cs="Times New Roman"/>
          <w:b/>
          <w:sz w:val="32"/>
          <w:szCs w:val="32"/>
          <w:lang w:val="es-CL"/>
        </w:rPr>
        <w:t xml:space="preserve">Informe Alternativo Conjunto presentado por Global Initiative for Economic, Social and Cultural Rights y </w:t>
      </w:r>
      <w:r w:rsidRPr="002D2639">
        <w:rPr>
          <w:rFonts w:ascii="Times New Roman" w:hAnsi="Times New Roman" w:cs="Times New Roman"/>
          <w:b/>
          <w:sz w:val="32"/>
          <w:szCs w:val="32"/>
          <w:lang w:val="es-CL"/>
        </w:rPr>
        <w:t>Red de Nuevo Pacto Social (Chile)</w:t>
      </w:r>
    </w:p>
    <w:p w14:paraId="185838A5" w14:textId="77777777" w:rsidR="00B27021" w:rsidRPr="00B27021" w:rsidRDefault="00B27021" w:rsidP="00B27021">
      <w:pPr>
        <w:jc w:val="center"/>
        <w:rPr>
          <w:rFonts w:ascii="Times New Roman" w:hAnsi="Times New Roman" w:cs="Times New Roman"/>
          <w:b/>
          <w:sz w:val="32"/>
          <w:szCs w:val="32"/>
          <w:lang w:val="es-CL"/>
        </w:rPr>
      </w:pPr>
    </w:p>
    <w:p w14:paraId="0B81DD2C" w14:textId="77777777" w:rsidR="00B27021" w:rsidRPr="00B27021" w:rsidRDefault="00B27021" w:rsidP="00B27021">
      <w:pPr>
        <w:jc w:val="center"/>
        <w:rPr>
          <w:rFonts w:ascii="Times New Roman" w:hAnsi="Times New Roman" w:cs="Times New Roman"/>
          <w:b/>
          <w:sz w:val="32"/>
          <w:szCs w:val="32"/>
          <w:lang w:val="es-CL"/>
        </w:rPr>
      </w:pPr>
    </w:p>
    <w:p w14:paraId="100EA28D" w14:textId="17585976" w:rsidR="00B27021" w:rsidRPr="00B27021" w:rsidRDefault="00B27021" w:rsidP="00B27021">
      <w:pPr>
        <w:jc w:val="center"/>
        <w:rPr>
          <w:rFonts w:ascii="Times New Roman" w:hAnsi="Times New Roman" w:cs="Times New Roman"/>
          <w:b/>
          <w:sz w:val="32"/>
          <w:szCs w:val="32"/>
          <w:lang w:val="es-CL"/>
        </w:rPr>
      </w:pPr>
      <w:r w:rsidRPr="00B27021">
        <w:rPr>
          <w:rFonts w:ascii="Times New Roman" w:hAnsi="Times New Roman" w:cs="Times New Roman"/>
          <w:b/>
          <w:sz w:val="32"/>
          <w:szCs w:val="32"/>
          <w:lang w:val="es-CL"/>
        </w:rPr>
        <w:t xml:space="preserve">Presentación al Comité de Derechos Económicos, Sociales y Culturales de Naciones Unidas, para la formulación del Listado de Cuestiones Previas al Informe de Chile – </w:t>
      </w:r>
      <w:r>
        <w:rPr>
          <w:rFonts w:ascii="Times New Roman" w:hAnsi="Times New Roman" w:cs="Times New Roman"/>
          <w:b/>
          <w:sz w:val="32"/>
          <w:szCs w:val="32"/>
          <w:lang w:val="es-CL"/>
        </w:rPr>
        <w:t>Quinto Informe Periódico del Estado de Chile</w:t>
      </w:r>
    </w:p>
    <w:p w14:paraId="1C7EAC3A" w14:textId="77777777" w:rsidR="00B27021" w:rsidRPr="00B27021" w:rsidRDefault="00B27021" w:rsidP="00B27021">
      <w:pPr>
        <w:rPr>
          <w:rFonts w:ascii="Times New Roman" w:hAnsi="Times New Roman" w:cs="Times New Roman"/>
          <w:b/>
          <w:sz w:val="32"/>
          <w:szCs w:val="32"/>
          <w:lang w:val="es-CL"/>
        </w:rPr>
      </w:pPr>
    </w:p>
    <w:p w14:paraId="42A1FEF8" w14:textId="77777777" w:rsidR="00B27021" w:rsidRPr="00B27021" w:rsidRDefault="00B27021" w:rsidP="00B27021">
      <w:pPr>
        <w:rPr>
          <w:rFonts w:ascii="Times New Roman" w:hAnsi="Times New Roman" w:cs="Times New Roman"/>
          <w:b/>
          <w:sz w:val="32"/>
          <w:szCs w:val="32"/>
          <w:lang w:val="es-CL"/>
        </w:rPr>
      </w:pPr>
    </w:p>
    <w:p w14:paraId="5BBF3806" w14:textId="688578DA" w:rsidR="00B27021" w:rsidRPr="002D2639" w:rsidRDefault="0030376A" w:rsidP="00B27021">
      <w:pPr>
        <w:jc w:val="center"/>
        <w:rPr>
          <w:rFonts w:ascii="Times New Roman" w:hAnsi="Times New Roman" w:cs="Times New Roman"/>
          <w:b/>
          <w:sz w:val="32"/>
          <w:szCs w:val="32"/>
          <w:lang w:val="es-ES"/>
        </w:rPr>
      </w:pPr>
      <w:r>
        <w:rPr>
          <w:rFonts w:ascii="Times New Roman" w:hAnsi="Times New Roman" w:cs="Times New Roman"/>
          <w:b/>
          <w:sz w:val="32"/>
          <w:szCs w:val="32"/>
          <w:lang w:val="es-CL"/>
        </w:rPr>
        <w:t>F</w:t>
      </w:r>
      <w:r w:rsidR="00B27021" w:rsidRPr="00B27021">
        <w:rPr>
          <w:rFonts w:ascii="Times New Roman" w:hAnsi="Times New Roman" w:cs="Times New Roman"/>
          <w:b/>
          <w:sz w:val="32"/>
          <w:szCs w:val="32"/>
          <w:lang w:val="es-CL"/>
        </w:rPr>
        <w:t>ebrero</w:t>
      </w:r>
      <w:r w:rsidR="00B27021" w:rsidRPr="002D2639">
        <w:rPr>
          <w:rFonts w:ascii="Times New Roman" w:hAnsi="Times New Roman" w:cs="Times New Roman"/>
          <w:b/>
          <w:sz w:val="32"/>
          <w:szCs w:val="32"/>
          <w:lang w:val="es-ES"/>
        </w:rPr>
        <w:t xml:space="preserve"> de 2020</w:t>
      </w:r>
    </w:p>
    <w:p w14:paraId="51D52667" w14:textId="77777777" w:rsidR="00B27021" w:rsidRPr="002D2639" w:rsidRDefault="00B27021" w:rsidP="00B27021">
      <w:pPr>
        <w:rPr>
          <w:rFonts w:ascii="Times New Roman" w:hAnsi="Times New Roman" w:cs="Times New Roman"/>
          <w:lang w:val="es-ES"/>
        </w:rPr>
      </w:pPr>
    </w:p>
    <w:p w14:paraId="792F30A8" w14:textId="77777777" w:rsidR="00B27021" w:rsidRPr="002D2639" w:rsidRDefault="00B27021" w:rsidP="00B27021">
      <w:pPr>
        <w:rPr>
          <w:rFonts w:ascii="Times New Roman" w:hAnsi="Times New Roman" w:cs="Times New Roman"/>
          <w:lang w:val="es-ES"/>
        </w:rPr>
      </w:pPr>
    </w:p>
    <w:p w14:paraId="226A84CF" w14:textId="77777777" w:rsidR="00B27021" w:rsidRPr="002D2639" w:rsidRDefault="00B27021" w:rsidP="00B27021">
      <w:pPr>
        <w:rPr>
          <w:rFonts w:ascii="Times New Roman" w:hAnsi="Times New Roman" w:cs="Times New Roman"/>
          <w:lang w:val="es-ES"/>
        </w:rPr>
      </w:pPr>
    </w:p>
    <w:p w14:paraId="6B75C2B4" w14:textId="77777777" w:rsidR="00B27021" w:rsidRPr="002D2639" w:rsidRDefault="00B27021" w:rsidP="00B27021">
      <w:pPr>
        <w:rPr>
          <w:rFonts w:ascii="Times New Roman" w:hAnsi="Times New Roman" w:cs="Times New Roman"/>
          <w:lang w:val="es-ES"/>
        </w:rPr>
      </w:pPr>
    </w:p>
    <w:p w14:paraId="1FBB5480" w14:textId="77777777" w:rsidR="00B27021" w:rsidRPr="002D2639" w:rsidRDefault="00B27021" w:rsidP="00B27021">
      <w:pPr>
        <w:rPr>
          <w:rFonts w:ascii="Times New Roman" w:hAnsi="Times New Roman" w:cs="Times New Roman"/>
          <w:lang w:val="es-ES"/>
        </w:rPr>
      </w:pPr>
    </w:p>
    <w:p w14:paraId="70A5758F" w14:textId="77777777" w:rsidR="00B27021" w:rsidRPr="002D2639" w:rsidRDefault="00B27021" w:rsidP="00B27021">
      <w:pPr>
        <w:rPr>
          <w:rFonts w:ascii="Times New Roman" w:hAnsi="Times New Roman" w:cs="Times New Roman"/>
          <w:lang w:val="es-ES"/>
        </w:rPr>
      </w:pPr>
    </w:p>
    <w:p w14:paraId="169BDE98" w14:textId="77777777" w:rsidR="00B27021" w:rsidRPr="002D2639" w:rsidRDefault="00B27021" w:rsidP="00B27021">
      <w:pPr>
        <w:rPr>
          <w:rFonts w:ascii="Times New Roman" w:hAnsi="Times New Roman" w:cs="Times New Roman"/>
          <w:lang w:val="es-ES"/>
        </w:rPr>
      </w:pPr>
    </w:p>
    <w:p w14:paraId="74B73991" w14:textId="77777777" w:rsidR="00B27021" w:rsidRPr="002D2639" w:rsidRDefault="00B27021" w:rsidP="00B27021">
      <w:pPr>
        <w:rPr>
          <w:rFonts w:ascii="Times New Roman" w:hAnsi="Times New Roman" w:cs="Times New Roman"/>
          <w:lang w:val="es-ES"/>
        </w:rPr>
      </w:pPr>
    </w:p>
    <w:p w14:paraId="34287367" w14:textId="77777777" w:rsidR="00B27021" w:rsidRPr="002D2639" w:rsidRDefault="00B27021" w:rsidP="00B27021">
      <w:pPr>
        <w:rPr>
          <w:rFonts w:ascii="Times New Roman" w:hAnsi="Times New Roman" w:cs="Times New Roman"/>
          <w:lang w:val="es-ES"/>
        </w:rPr>
      </w:pPr>
    </w:p>
    <w:p w14:paraId="2C61C04F" w14:textId="1F4A35E0" w:rsidR="00B27021" w:rsidRPr="002D2639" w:rsidRDefault="00B27021" w:rsidP="00B27021">
      <w:pPr>
        <w:rPr>
          <w:rFonts w:ascii="Times New Roman" w:hAnsi="Times New Roman" w:cs="Times New Roman"/>
          <w:sz w:val="24"/>
          <w:szCs w:val="24"/>
          <w:lang w:val="es-ES"/>
        </w:rPr>
      </w:pPr>
    </w:p>
    <w:p w14:paraId="3D1B5723" w14:textId="5761923E" w:rsidR="00B27021" w:rsidRPr="00B27021" w:rsidRDefault="00B27021" w:rsidP="00B27021">
      <w:pPr>
        <w:jc w:val="both"/>
        <w:rPr>
          <w:rFonts w:ascii="Times New Roman" w:eastAsia="Times New Roman" w:hAnsi="Times New Roman" w:cs="Times New Roman"/>
          <w:color w:val="000000"/>
          <w:sz w:val="24"/>
          <w:szCs w:val="24"/>
          <w:bdr w:val="none" w:sz="0" w:space="0" w:color="auto" w:frame="1"/>
          <w:lang w:val="es-ES" w:eastAsia="en-GB"/>
        </w:rPr>
      </w:pPr>
      <w:r w:rsidRPr="00B27021">
        <w:rPr>
          <w:rFonts w:ascii="Times New Roman" w:eastAsia="Times New Roman" w:hAnsi="Times New Roman" w:cs="Times New Roman"/>
          <w:color w:val="000000"/>
          <w:sz w:val="24"/>
          <w:szCs w:val="24"/>
          <w:bdr w:val="none" w:sz="0" w:space="0" w:color="auto" w:frame="1"/>
          <w:lang w:val="es-ES" w:eastAsia="en-GB"/>
        </w:rPr>
        <w:lastRenderedPageBreak/>
        <w:t>1. Entre el 9 y 13 de marzo del 2020 el Comité de Derechos Económicos, Sociales y Culturales de Naciones Unidas (</w:t>
      </w:r>
      <w:r w:rsidR="00BB42DE">
        <w:rPr>
          <w:rFonts w:ascii="Times New Roman" w:eastAsia="Times New Roman" w:hAnsi="Times New Roman" w:cs="Times New Roman"/>
          <w:color w:val="000000"/>
          <w:sz w:val="24"/>
          <w:szCs w:val="24"/>
          <w:bdr w:val="none" w:sz="0" w:space="0" w:color="auto" w:frame="1"/>
          <w:lang w:val="es-ES" w:eastAsia="en-GB"/>
        </w:rPr>
        <w:t xml:space="preserve">Comité </w:t>
      </w:r>
      <w:r w:rsidRPr="00B27021">
        <w:rPr>
          <w:rFonts w:ascii="Times New Roman" w:eastAsia="Times New Roman" w:hAnsi="Times New Roman" w:cs="Times New Roman"/>
          <w:color w:val="000000"/>
          <w:sz w:val="24"/>
          <w:szCs w:val="24"/>
          <w:bdr w:val="none" w:sz="0" w:space="0" w:color="auto" w:frame="1"/>
          <w:lang w:val="es-ES" w:eastAsia="en-GB"/>
        </w:rPr>
        <w:t xml:space="preserve">DESC) formulará el Listado de Cuestiones Previas al Reporte </w:t>
      </w:r>
      <w:r w:rsidR="00BB42DE">
        <w:rPr>
          <w:rFonts w:ascii="Times New Roman" w:eastAsia="Times New Roman" w:hAnsi="Times New Roman" w:cs="Times New Roman"/>
          <w:color w:val="000000"/>
          <w:sz w:val="24"/>
          <w:szCs w:val="24"/>
          <w:bdr w:val="none" w:sz="0" w:space="0" w:color="auto" w:frame="1"/>
          <w:lang w:val="es-ES" w:eastAsia="en-GB"/>
        </w:rPr>
        <w:t>para</w:t>
      </w:r>
      <w:r w:rsidRPr="00B27021">
        <w:rPr>
          <w:rFonts w:ascii="Times New Roman" w:eastAsia="Times New Roman" w:hAnsi="Times New Roman" w:cs="Times New Roman"/>
          <w:color w:val="000000"/>
          <w:sz w:val="24"/>
          <w:szCs w:val="24"/>
          <w:bdr w:val="none" w:sz="0" w:space="0" w:color="auto" w:frame="1"/>
          <w:lang w:val="es-ES" w:eastAsia="en-GB"/>
        </w:rPr>
        <w:t xml:space="preserve"> Chile que tendrá lugar durante su </w:t>
      </w:r>
      <w:r w:rsidRPr="002D2639">
        <w:rPr>
          <w:rFonts w:ascii="Times New Roman" w:eastAsia="Times New Roman" w:hAnsi="Times New Roman" w:cs="Times New Roman"/>
          <w:color w:val="000000"/>
          <w:sz w:val="24"/>
          <w:szCs w:val="24"/>
          <w:bdr w:val="none" w:sz="0" w:space="0" w:color="auto" w:frame="1"/>
          <w:lang w:val="es-ES" w:eastAsia="en-GB"/>
        </w:rPr>
        <w:t>66</w:t>
      </w:r>
      <w:r w:rsidRPr="00B27021">
        <w:rPr>
          <w:rFonts w:ascii="Times New Roman" w:eastAsia="Times New Roman" w:hAnsi="Times New Roman" w:cs="Times New Roman"/>
          <w:color w:val="000000"/>
          <w:sz w:val="24"/>
          <w:szCs w:val="24"/>
          <w:bdr w:val="none" w:sz="0" w:space="0" w:color="auto" w:frame="1"/>
          <w:lang w:val="es-ES" w:eastAsia="en-GB"/>
        </w:rPr>
        <w:t xml:space="preserve"> pre-sesión del Grupo de Trabajo, como parte del proceso de revisión del quinto informe periódico de Chile sobre la implementación del Pacto Internacional de Derechos, Económicos, Sociales y Culturales.  El presente informe es presentado como parte de ese proceso, </w:t>
      </w:r>
      <w:r w:rsidR="003222F3">
        <w:rPr>
          <w:rFonts w:ascii="Times New Roman" w:eastAsia="Times New Roman" w:hAnsi="Times New Roman" w:cs="Times New Roman"/>
          <w:color w:val="000000"/>
          <w:sz w:val="24"/>
          <w:szCs w:val="24"/>
          <w:bdr w:val="none" w:sz="0" w:space="0" w:color="auto" w:frame="1"/>
          <w:lang w:val="es-ES" w:eastAsia="en-GB"/>
        </w:rPr>
        <w:t xml:space="preserve">en un esfuerzo conjunto </w:t>
      </w:r>
      <w:r w:rsidRPr="00B27021">
        <w:rPr>
          <w:rFonts w:ascii="Times New Roman" w:eastAsia="Times New Roman" w:hAnsi="Times New Roman" w:cs="Times New Roman"/>
          <w:color w:val="000000"/>
          <w:sz w:val="24"/>
          <w:szCs w:val="24"/>
          <w:bdr w:val="none" w:sz="0" w:space="0" w:color="auto" w:frame="1"/>
          <w:lang w:val="es-ES" w:eastAsia="en-GB"/>
        </w:rPr>
        <w:t xml:space="preserve">por las siguientes organizaciones de la sociedad civil. </w:t>
      </w:r>
    </w:p>
    <w:p w14:paraId="32C3BF6B" w14:textId="7F3CBBCE" w:rsidR="00C4117E" w:rsidRPr="00B27021" w:rsidRDefault="00B27021" w:rsidP="00B27021">
      <w:pPr>
        <w:jc w:val="both"/>
        <w:rPr>
          <w:rFonts w:ascii="Times New Roman" w:hAnsi="Times New Roman" w:cs="Times New Roman"/>
          <w:sz w:val="24"/>
          <w:szCs w:val="24"/>
          <w:lang w:val="es-CL"/>
        </w:rPr>
      </w:pPr>
      <w:r w:rsidRPr="00B27021">
        <w:rPr>
          <w:rFonts w:ascii="Times New Roman" w:eastAsia="Times New Roman" w:hAnsi="Times New Roman" w:cs="Times New Roman"/>
          <w:color w:val="000000"/>
          <w:sz w:val="24"/>
          <w:szCs w:val="24"/>
          <w:bdr w:val="none" w:sz="0" w:space="0" w:color="auto" w:frame="1"/>
          <w:lang w:val="es-CL" w:eastAsia="en-GB"/>
        </w:rPr>
        <w:t xml:space="preserve">2. </w:t>
      </w:r>
      <w:r w:rsidRPr="00B27021">
        <w:rPr>
          <w:rFonts w:ascii="Times New Roman" w:hAnsi="Times New Roman" w:cs="Times New Roman"/>
          <w:sz w:val="24"/>
          <w:szCs w:val="24"/>
          <w:lang w:val="es-CL"/>
        </w:rPr>
        <w:t>Global Initiative for Economic, Social and Cultural Rights (GI-ESCR)</w:t>
      </w:r>
      <w:r w:rsidRPr="00B27021">
        <w:rPr>
          <w:rFonts w:ascii="Times New Roman" w:hAnsi="Times New Roman" w:cs="Times New Roman"/>
          <w:sz w:val="24"/>
          <w:szCs w:val="24"/>
          <w:vertAlign w:val="superscript"/>
          <w:lang w:val="es-CL"/>
        </w:rPr>
        <w:footnoteReference w:id="1"/>
      </w:r>
      <w:r w:rsidRPr="00B27021">
        <w:rPr>
          <w:rFonts w:ascii="Times New Roman" w:hAnsi="Times New Roman" w:cs="Times New Roman"/>
          <w:sz w:val="24"/>
          <w:szCs w:val="24"/>
          <w:lang w:val="es-CL"/>
        </w:rPr>
        <w:t xml:space="preserve"> es una organización </w:t>
      </w:r>
      <w:r w:rsidR="001C26EA">
        <w:rPr>
          <w:rFonts w:ascii="Times New Roman" w:hAnsi="Times New Roman" w:cs="Times New Roman"/>
          <w:sz w:val="24"/>
          <w:szCs w:val="24"/>
          <w:lang w:val="es-CL"/>
        </w:rPr>
        <w:t>internacional</w:t>
      </w:r>
      <w:r w:rsidR="001C26EA" w:rsidRPr="00B27021">
        <w:rPr>
          <w:rFonts w:ascii="Times New Roman" w:hAnsi="Times New Roman" w:cs="Times New Roman"/>
          <w:sz w:val="24"/>
          <w:szCs w:val="24"/>
          <w:lang w:val="es-CL"/>
        </w:rPr>
        <w:t xml:space="preserve"> </w:t>
      </w:r>
      <w:r w:rsidRPr="00B27021">
        <w:rPr>
          <w:rFonts w:ascii="Times New Roman" w:hAnsi="Times New Roman" w:cs="Times New Roman"/>
          <w:sz w:val="24"/>
          <w:szCs w:val="24"/>
          <w:lang w:val="es-CL"/>
        </w:rPr>
        <w:t>no-gubernamental</w:t>
      </w:r>
      <w:r w:rsidR="00C4117E">
        <w:rPr>
          <w:rFonts w:ascii="Times New Roman" w:hAnsi="Times New Roman" w:cs="Times New Roman"/>
          <w:sz w:val="24"/>
          <w:szCs w:val="24"/>
          <w:lang w:val="es-CL"/>
        </w:rPr>
        <w:t xml:space="preserve"> </w:t>
      </w:r>
      <w:r w:rsidR="001C26EA">
        <w:rPr>
          <w:rFonts w:ascii="Times New Roman" w:hAnsi="Times New Roman" w:cs="Times New Roman"/>
          <w:sz w:val="24"/>
          <w:szCs w:val="24"/>
          <w:lang w:val="es-CL"/>
        </w:rPr>
        <w:t>de derechos humanos que</w:t>
      </w:r>
      <w:r w:rsidRPr="00B27021">
        <w:rPr>
          <w:rFonts w:ascii="Times New Roman" w:hAnsi="Times New Roman" w:cs="Times New Roman"/>
          <w:sz w:val="24"/>
          <w:szCs w:val="24"/>
          <w:lang w:val="es-CL"/>
        </w:rPr>
        <w:t xml:space="preserve"> busca avanzar la realización de los derechos eco</w:t>
      </w:r>
      <w:r w:rsidR="001C26EA">
        <w:rPr>
          <w:rFonts w:ascii="Times New Roman" w:hAnsi="Times New Roman" w:cs="Times New Roman"/>
          <w:sz w:val="24"/>
          <w:szCs w:val="24"/>
          <w:lang w:val="es-CL"/>
        </w:rPr>
        <w:t>nómicos, sociales y culturales</w:t>
      </w:r>
      <w:r w:rsidRPr="00B27021">
        <w:rPr>
          <w:rFonts w:ascii="Times New Roman" w:hAnsi="Times New Roman" w:cs="Times New Roman"/>
          <w:sz w:val="24"/>
          <w:szCs w:val="24"/>
          <w:lang w:val="es-CL"/>
        </w:rPr>
        <w:t xml:space="preserve"> alrededor del mundo, enfrentando los problemas estructurales de </w:t>
      </w:r>
      <w:r w:rsidR="00C4117E">
        <w:rPr>
          <w:rFonts w:ascii="Times New Roman" w:hAnsi="Times New Roman" w:cs="Times New Roman"/>
          <w:sz w:val="24"/>
          <w:szCs w:val="24"/>
          <w:lang w:val="es-CL"/>
        </w:rPr>
        <w:t xml:space="preserve">desigualdad y </w:t>
      </w:r>
      <w:r w:rsidRPr="00B27021">
        <w:rPr>
          <w:rFonts w:ascii="Times New Roman" w:hAnsi="Times New Roman" w:cs="Times New Roman"/>
          <w:sz w:val="24"/>
          <w:szCs w:val="24"/>
          <w:lang w:val="es-CL"/>
        </w:rPr>
        <w:t xml:space="preserve">pobreza global con un enfoque de derechos humanos. La visión de GI-ESCR es un mundo donde </w:t>
      </w:r>
      <w:r w:rsidR="00DA5A4E">
        <w:rPr>
          <w:rFonts w:ascii="Times New Roman" w:hAnsi="Times New Roman" w:cs="Times New Roman"/>
          <w:sz w:val="24"/>
          <w:szCs w:val="24"/>
          <w:lang w:val="es-CL"/>
        </w:rPr>
        <w:t>el marc</w:t>
      </w:r>
      <w:r w:rsidR="00C4117E">
        <w:rPr>
          <w:rFonts w:ascii="Times New Roman" w:hAnsi="Times New Roman" w:cs="Times New Roman"/>
          <w:sz w:val="24"/>
          <w:szCs w:val="24"/>
          <w:lang w:val="es-CL"/>
        </w:rPr>
        <w:t xml:space="preserve">o de </w:t>
      </w:r>
      <w:r w:rsidRPr="00B27021">
        <w:rPr>
          <w:rFonts w:ascii="Times New Roman" w:hAnsi="Times New Roman" w:cs="Times New Roman"/>
          <w:sz w:val="24"/>
          <w:szCs w:val="24"/>
          <w:lang w:val="es-CL"/>
        </w:rPr>
        <w:t xml:space="preserve">los </w:t>
      </w:r>
      <w:r w:rsidR="001C26EA">
        <w:rPr>
          <w:rFonts w:ascii="Times New Roman" w:hAnsi="Times New Roman" w:cs="Times New Roman"/>
          <w:sz w:val="24"/>
          <w:szCs w:val="24"/>
          <w:lang w:val="es-CL"/>
        </w:rPr>
        <w:t xml:space="preserve">derechos humanos refleje las experiencias reales de vida de todas las personas, </w:t>
      </w:r>
      <w:r w:rsidR="00DA5A4E">
        <w:rPr>
          <w:rFonts w:ascii="Times New Roman" w:hAnsi="Times New Roman" w:cs="Times New Roman"/>
          <w:sz w:val="24"/>
          <w:szCs w:val="24"/>
          <w:lang w:val="es-CL"/>
        </w:rPr>
        <w:t xml:space="preserve">fomentando la justicia social, la dignidad humana </w:t>
      </w:r>
      <w:r w:rsidR="001C26EA">
        <w:rPr>
          <w:rFonts w:ascii="Times New Roman" w:hAnsi="Times New Roman" w:cs="Times New Roman"/>
          <w:sz w:val="24"/>
          <w:szCs w:val="24"/>
          <w:lang w:val="es-CL"/>
        </w:rPr>
        <w:t xml:space="preserve">y catalizando cambios desde lo local hacia lo global. </w:t>
      </w:r>
    </w:p>
    <w:p w14:paraId="342D924B" w14:textId="37CB42FF" w:rsidR="00B27021" w:rsidRDefault="00B27021" w:rsidP="00B27021">
      <w:pPr>
        <w:jc w:val="both"/>
        <w:rPr>
          <w:rFonts w:ascii="Times New Roman" w:hAnsi="Times New Roman" w:cs="Times New Roman"/>
          <w:sz w:val="24"/>
          <w:szCs w:val="24"/>
          <w:lang w:val="es-CL"/>
        </w:rPr>
      </w:pPr>
      <w:r w:rsidRPr="00B27021">
        <w:rPr>
          <w:rFonts w:ascii="Times New Roman" w:hAnsi="Times New Roman" w:cs="Times New Roman"/>
          <w:sz w:val="24"/>
          <w:szCs w:val="24"/>
          <w:lang w:val="es-CL"/>
        </w:rPr>
        <w:t xml:space="preserve">3. </w:t>
      </w:r>
      <w:r w:rsidR="00160607">
        <w:rPr>
          <w:rFonts w:ascii="Times New Roman" w:hAnsi="Times New Roman" w:cs="Times New Roman"/>
          <w:sz w:val="24"/>
          <w:szCs w:val="24"/>
          <w:lang w:val="es-CL"/>
        </w:rPr>
        <w:t xml:space="preserve">Nuevo Pacto Social </w:t>
      </w:r>
      <w:r w:rsidR="00BB42DE">
        <w:rPr>
          <w:rFonts w:ascii="Times New Roman" w:hAnsi="Times New Roman" w:cs="Times New Roman"/>
          <w:sz w:val="24"/>
          <w:szCs w:val="24"/>
          <w:lang w:val="es-CL"/>
        </w:rPr>
        <w:t xml:space="preserve">(NPS) </w:t>
      </w:r>
      <w:r w:rsidR="00160607">
        <w:rPr>
          <w:rFonts w:ascii="Times New Roman" w:hAnsi="Times New Roman" w:cs="Times New Roman"/>
          <w:sz w:val="24"/>
          <w:szCs w:val="24"/>
          <w:lang w:val="es-CL"/>
        </w:rPr>
        <w:t xml:space="preserve">es una red </w:t>
      </w:r>
      <w:r w:rsidR="008E0999">
        <w:rPr>
          <w:rFonts w:ascii="Times New Roman" w:hAnsi="Times New Roman" w:cs="Times New Roman"/>
          <w:sz w:val="24"/>
          <w:szCs w:val="24"/>
          <w:lang w:val="es-CL"/>
        </w:rPr>
        <w:t xml:space="preserve">chilena </w:t>
      </w:r>
      <w:r w:rsidR="00697014">
        <w:rPr>
          <w:rFonts w:ascii="Times New Roman" w:hAnsi="Times New Roman" w:cs="Times New Roman"/>
          <w:sz w:val="24"/>
          <w:szCs w:val="24"/>
          <w:lang w:val="es-CL"/>
        </w:rPr>
        <w:t xml:space="preserve">de organizaciones de la sociedad civil </w:t>
      </w:r>
      <w:r w:rsidR="00BB42DE">
        <w:rPr>
          <w:rFonts w:ascii="Times New Roman" w:hAnsi="Times New Roman" w:cs="Times New Roman"/>
          <w:sz w:val="24"/>
          <w:szCs w:val="24"/>
          <w:lang w:val="es-CL"/>
        </w:rPr>
        <w:t>que trabaja por los derechos humanos</w:t>
      </w:r>
      <w:r w:rsidR="00DA5A4E">
        <w:rPr>
          <w:rFonts w:ascii="Times New Roman" w:hAnsi="Times New Roman" w:cs="Times New Roman"/>
          <w:sz w:val="24"/>
          <w:szCs w:val="24"/>
          <w:lang w:val="es-CL"/>
        </w:rPr>
        <w:t xml:space="preserve"> de las comunidades más excluidas de nuestro territorio</w:t>
      </w:r>
      <w:r w:rsidR="00BB42DE">
        <w:rPr>
          <w:rFonts w:ascii="Times New Roman" w:hAnsi="Times New Roman" w:cs="Times New Roman"/>
          <w:sz w:val="24"/>
          <w:szCs w:val="24"/>
          <w:lang w:val="es-CL"/>
        </w:rPr>
        <w:t xml:space="preserve"> con el propósito de construir un país más justo, democrático y sostenible. NPS está </w:t>
      </w:r>
      <w:r w:rsidR="008E0999" w:rsidRPr="008E0999">
        <w:rPr>
          <w:rFonts w:ascii="Times New Roman" w:hAnsi="Times New Roman" w:cs="Times New Roman"/>
          <w:sz w:val="24"/>
          <w:szCs w:val="24"/>
          <w:lang w:val="es-CL"/>
        </w:rPr>
        <w:t>integrad</w:t>
      </w:r>
      <w:r w:rsidR="008E0999">
        <w:rPr>
          <w:rFonts w:ascii="Times New Roman" w:hAnsi="Times New Roman" w:cs="Times New Roman"/>
          <w:sz w:val="24"/>
          <w:szCs w:val="24"/>
          <w:lang w:val="es-CL"/>
        </w:rPr>
        <w:t>a</w:t>
      </w:r>
      <w:r w:rsidR="00697014">
        <w:rPr>
          <w:rFonts w:ascii="Times New Roman" w:hAnsi="Times New Roman" w:cs="Times New Roman"/>
          <w:sz w:val="24"/>
          <w:szCs w:val="24"/>
          <w:lang w:val="es-CL"/>
        </w:rPr>
        <w:t xml:space="preserve"> por 10</w:t>
      </w:r>
      <w:r w:rsidR="008E0999" w:rsidRPr="008E0999">
        <w:rPr>
          <w:rFonts w:ascii="Times New Roman" w:hAnsi="Times New Roman" w:cs="Times New Roman"/>
          <w:sz w:val="24"/>
          <w:szCs w:val="24"/>
          <w:lang w:val="es-CL"/>
        </w:rPr>
        <w:t xml:space="preserve"> redes en las que convergen </w:t>
      </w:r>
      <w:r w:rsidR="008E0999">
        <w:rPr>
          <w:rFonts w:ascii="Times New Roman" w:hAnsi="Times New Roman" w:cs="Times New Roman"/>
          <w:sz w:val="24"/>
          <w:szCs w:val="24"/>
          <w:lang w:val="es-CL"/>
        </w:rPr>
        <w:t xml:space="preserve">más de </w:t>
      </w:r>
      <w:r w:rsidR="002D2639">
        <w:rPr>
          <w:rFonts w:ascii="Times New Roman" w:hAnsi="Times New Roman" w:cs="Times New Roman"/>
          <w:sz w:val="24"/>
          <w:szCs w:val="24"/>
          <w:lang w:val="es-CL"/>
        </w:rPr>
        <w:t>750 organizaciones de la sociedad c</w:t>
      </w:r>
      <w:r w:rsidR="008E0999" w:rsidRPr="008E0999">
        <w:rPr>
          <w:rFonts w:ascii="Times New Roman" w:hAnsi="Times New Roman" w:cs="Times New Roman"/>
          <w:sz w:val="24"/>
          <w:szCs w:val="24"/>
          <w:lang w:val="es-CL"/>
        </w:rPr>
        <w:t>ivil, desplegadas territorialmente en todas las regiones del país</w:t>
      </w:r>
      <w:r w:rsidR="00BB42DE">
        <w:rPr>
          <w:rFonts w:ascii="Times New Roman" w:hAnsi="Times New Roman" w:cs="Times New Roman"/>
          <w:sz w:val="24"/>
          <w:szCs w:val="24"/>
          <w:lang w:val="es-CL"/>
        </w:rPr>
        <w:t>.</w:t>
      </w:r>
      <w:r w:rsidR="008E0999">
        <w:rPr>
          <w:rStyle w:val="Refdenotaalpie"/>
          <w:rFonts w:ascii="Times New Roman" w:hAnsi="Times New Roman"/>
          <w:sz w:val="24"/>
          <w:szCs w:val="24"/>
          <w:lang w:val="es-CL"/>
        </w:rPr>
        <w:footnoteReference w:id="2"/>
      </w:r>
      <w:r w:rsidRPr="00B27021">
        <w:rPr>
          <w:rFonts w:ascii="Times New Roman" w:hAnsi="Times New Roman" w:cs="Times New Roman"/>
          <w:sz w:val="24"/>
          <w:szCs w:val="24"/>
          <w:lang w:val="es-CL"/>
        </w:rPr>
        <w:t xml:space="preserve"> </w:t>
      </w:r>
    </w:p>
    <w:p w14:paraId="0BD5F041" w14:textId="0841A1BD" w:rsidR="00953824" w:rsidRPr="00B27021" w:rsidRDefault="00953824" w:rsidP="00E61542">
      <w:pPr>
        <w:jc w:val="both"/>
        <w:rPr>
          <w:rFonts w:ascii="Times New Roman" w:hAnsi="Times New Roman" w:cs="Times New Roman"/>
          <w:sz w:val="24"/>
          <w:szCs w:val="24"/>
          <w:lang w:val="es-CL"/>
        </w:rPr>
      </w:pPr>
      <w:r>
        <w:rPr>
          <w:rFonts w:ascii="Times New Roman" w:hAnsi="Times New Roman" w:cs="Times New Roman"/>
          <w:sz w:val="24"/>
          <w:szCs w:val="24"/>
          <w:lang w:val="es-CL"/>
        </w:rPr>
        <w:t xml:space="preserve">4. Las </w:t>
      </w:r>
      <w:r w:rsidR="00E61542">
        <w:rPr>
          <w:rFonts w:ascii="Times New Roman" w:hAnsi="Times New Roman" w:cs="Times New Roman"/>
          <w:sz w:val="24"/>
          <w:szCs w:val="24"/>
          <w:lang w:val="es-CL"/>
        </w:rPr>
        <w:t>organizaciones que participaron en la redacción del informe son: Fundación para la Superación de la Pobreza, Techo-Chile, Educación 2020, Observatorio Ciudadano, Colegio Médico de Chile A.G. de Chile, Comunida</w:t>
      </w:r>
      <w:r w:rsidR="0054642B">
        <w:rPr>
          <w:rFonts w:ascii="Times New Roman" w:hAnsi="Times New Roman" w:cs="Times New Roman"/>
          <w:sz w:val="24"/>
          <w:szCs w:val="24"/>
          <w:lang w:val="es-CL"/>
        </w:rPr>
        <w:t>d</w:t>
      </w:r>
      <w:r w:rsidR="00536972">
        <w:rPr>
          <w:rFonts w:ascii="Times New Roman" w:hAnsi="Times New Roman" w:cs="Times New Roman"/>
          <w:sz w:val="24"/>
          <w:szCs w:val="24"/>
          <w:lang w:val="es-CL"/>
        </w:rPr>
        <w:t xml:space="preserve"> de Organizaciones Solidarias, </w:t>
      </w:r>
      <w:r w:rsidR="0054642B">
        <w:rPr>
          <w:rFonts w:ascii="Times New Roman" w:hAnsi="Times New Roman" w:cs="Times New Roman"/>
          <w:sz w:val="24"/>
          <w:szCs w:val="24"/>
          <w:lang w:val="es-CL"/>
        </w:rPr>
        <w:t>ACCIÓN</w:t>
      </w:r>
      <w:r w:rsidR="00536972">
        <w:rPr>
          <w:rFonts w:ascii="Times New Roman" w:hAnsi="Times New Roman" w:cs="Times New Roman"/>
          <w:sz w:val="24"/>
          <w:szCs w:val="24"/>
          <w:lang w:val="es-CL"/>
        </w:rPr>
        <w:t xml:space="preserve"> y GI-ESCR.</w:t>
      </w:r>
    </w:p>
    <w:p w14:paraId="5352098F" w14:textId="58FAD074" w:rsidR="00B27021" w:rsidRPr="00B27021" w:rsidRDefault="00A17794" w:rsidP="00B27021">
      <w:pPr>
        <w:jc w:val="both"/>
        <w:rPr>
          <w:rFonts w:ascii="Times New Roman" w:hAnsi="Times New Roman" w:cs="Times New Roman"/>
          <w:sz w:val="24"/>
          <w:szCs w:val="24"/>
          <w:lang w:val="es-CL"/>
        </w:rPr>
      </w:pPr>
      <w:r>
        <w:rPr>
          <w:rFonts w:ascii="Times New Roman" w:hAnsi="Times New Roman" w:cs="Times New Roman"/>
          <w:sz w:val="24"/>
          <w:szCs w:val="24"/>
          <w:lang w:val="es-CL"/>
        </w:rPr>
        <w:t>5</w:t>
      </w:r>
      <w:bookmarkStart w:id="0" w:name="_GoBack"/>
      <w:bookmarkEnd w:id="0"/>
      <w:r w:rsidR="00B27021" w:rsidRPr="00B27021">
        <w:rPr>
          <w:rFonts w:ascii="Times New Roman" w:hAnsi="Times New Roman" w:cs="Times New Roman"/>
          <w:sz w:val="24"/>
          <w:szCs w:val="24"/>
          <w:lang w:val="es-CL"/>
        </w:rPr>
        <w:t>. El informe también ha recibido los valiosos insumos de</w:t>
      </w:r>
      <w:r w:rsidR="00E61542">
        <w:rPr>
          <w:rFonts w:ascii="Times New Roman" w:hAnsi="Times New Roman" w:cs="Times New Roman"/>
          <w:sz w:val="24"/>
          <w:szCs w:val="24"/>
          <w:lang w:val="es-CL"/>
        </w:rPr>
        <w:t xml:space="preserve">l </w:t>
      </w:r>
      <w:r w:rsidR="00697014">
        <w:rPr>
          <w:rFonts w:ascii="Times New Roman" w:hAnsi="Times New Roman" w:cs="Times New Roman"/>
          <w:sz w:val="24"/>
          <w:szCs w:val="24"/>
          <w:lang w:val="es-CL"/>
        </w:rPr>
        <w:t>Foro por el Derecho a la Educació</w:t>
      </w:r>
      <w:r w:rsidR="00536972">
        <w:rPr>
          <w:rFonts w:ascii="Times New Roman" w:hAnsi="Times New Roman" w:cs="Times New Roman"/>
          <w:sz w:val="24"/>
          <w:szCs w:val="24"/>
          <w:lang w:val="es-CL"/>
        </w:rPr>
        <w:t xml:space="preserve">n Pública y RED. </w:t>
      </w:r>
    </w:p>
    <w:p w14:paraId="72C474F3" w14:textId="77777777" w:rsidR="00B27021" w:rsidRDefault="00B27021" w:rsidP="009B0EA1">
      <w:pPr>
        <w:pStyle w:val="NormalWeb"/>
        <w:shd w:val="clear" w:color="auto" w:fill="FFFFFF"/>
        <w:spacing w:before="240" w:beforeAutospacing="0" w:after="0" w:afterAutospacing="0"/>
        <w:jc w:val="both"/>
        <w:rPr>
          <w:b/>
          <w:bCs/>
          <w:color w:val="4472C4" w:themeColor="accent1"/>
        </w:rPr>
      </w:pPr>
    </w:p>
    <w:p w14:paraId="3EFD12C8" w14:textId="3661336B" w:rsidR="00B27021" w:rsidRDefault="00B27021" w:rsidP="00F7760A">
      <w:pPr>
        <w:pStyle w:val="NormalWeb"/>
        <w:shd w:val="clear" w:color="auto" w:fill="FFFFFF"/>
        <w:spacing w:before="240" w:beforeAutospacing="0" w:after="0" w:afterAutospacing="0"/>
        <w:jc w:val="center"/>
        <w:rPr>
          <w:b/>
          <w:bCs/>
          <w:color w:val="4472C4" w:themeColor="accent1"/>
        </w:rPr>
      </w:pPr>
    </w:p>
    <w:p w14:paraId="49FE721A" w14:textId="5C768215" w:rsidR="00CD0DC8" w:rsidRDefault="00CD0DC8" w:rsidP="009B0EA1">
      <w:pPr>
        <w:pStyle w:val="NormalWeb"/>
        <w:shd w:val="clear" w:color="auto" w:fill="FFFFFF"/>
        <w:spacing w:before="240" w:beforeAutospacing="0" w:after="0" w:afterAutospacing="0"/>
        <w:jc w:val="both"/>
        <w:rPr>
          <w:b/>
          <w:bCs/>
          <w:color w:val="4472C4" w:themeColor="accent1"/>
        </w:rPr>
      </w:pPr>
    </w:p>
    <w:p w14:paraId="4DF3E13E" w14:textId="0D77EA21" w:rsidR="00B27021" w:rsidRDefault="00B27021" w:rsidP="009B0EA1">
      <w:pPr>
        <w:pStyle w:val="NormalWeb"/>
        <w:shd w:val="clear" w:color="auto" w:fill="FFFFFF"/>
        <w:spacing w:before="240" w:beforeAutospacing="0" w:after="0" w:afterAutospacing="0"/>
        <w:jc w:val="both"/>
        <w:rPr>
          <w:b/>
          <w:bCs/>
          <w:color w:val="4472C4" w:themeColor="accent1"/>
        </w:rPr>
      </w:pPr>
    </w:p>
    <w:p w14:paraId="4C5DADE8" w14:textId="0610BA8F" w:rsidR="003222F3" w:rsidRDefault="003222F3" w:rsidP="009B0EA1">
      <w:pPr>
        <w:pStyle w:val="NormalWeb"/>
        <w:shd w:val="clear" w:color="auto" w:fill="FFFFFF"/>
        <w:spacing w:before="240" w:beforeAutospacing="0" w:after="0" w:afterAutospacing="0"/>
        <w:jc w:val="both"/>
        <w:rPr>
          <w:b/>
          <w:bCs/>
          <w:color w:val="4472C4" w:themeColor="accent1"/>
        </w:rPr>
      </w:pPr>
    </w:p>
    <w:p w14:paraId="4AD1B0E1" w14:textId="61890652" w:rsidR="003222F3" w:rsidRDefault="003222F3" w:rsidP="009B0EA1">
      <w:pPr>
        <w:pStyle w:val="NormalWeb"/>
        <w:shd w:val="clear" w:color="auto" w:fill="FFFFFF"/>
        <w:spacing w:before="240" w:beforeAutospacing="0" w:after="0" w:afterAutospacing="0"/>
        <w:jc w:val="both"/>
        <w:rPr>
          <w:b/>
          <w:bCs/>
          <w:color w:val="4472C4" w:themeColor="accent1"/>
        </w:rPr>
      </w:pPr>
    </w:p>
    <w:p w14:paraId="586295CA" w14:textId="77777777" w:rsidR="00E61542" w:rsidRDefault="00E61542" w:rsidP="009B0EA1">
      <w:pPr>
        <w:pStyle w:val="NormalWeb"/>
        <w:shd w:val="clear" w:color="auto" w:fill="FFFFFF"/>
        <w:spacing w:before="240" w:beforeAutospacing="0" w:after="0" w:afterAutospacing="0"/>
        <w:jc w:val="both"/>
        <w:rPr>
          <w:b/>
          <w:bCs/>
          <w:color w:val="4472C4" w:themeColor="accent1"/>
        </w:rPr>
      </w:pPr>
    </w:p>
    <w:p w14:paraId="35EEE0E6" w14:textId="6CD8E8A9" w:rsidR="004F797B" w:rsidRPr="00B27021" w:rsidRDefault="00392C74" w:rsidP="009B0EA1">
      <w:pPr>
        <w:pStyle w:val="NormalWeb"/>
        <w:shd w:val="clear" w:color="auto" w:fill="FFFFFF"/>
        <w:spacing w:before="240" w:beforeAutospacing="0" w:after="0" w:afterAutospacing="0"/>
        <w:jc w:val="both"/>
        <w:rPr>
          <w:b/>
          <w:bCs/>
          <w:color w:val="4472C4" w:themeColor="accent1"/>
        </w:rPr>
      </w:pPr>
      <w:r w:rsidRPr="00B27021">
        <w:rPr>
          <w:b/>
          <w:bCs/>
          <w:color w:val="4472C4" w:themeColor="accent1"/>
        </w:rPr>
        <w:lastRenderedPageBreak/>
        <w:t>I</w:t>
      </w:r>
      <w:r w:rsidR="004F797B" w:rsidRPr="00B27021">
        <w:rPr>
          <w:b/>
          <w:bCs/>
          <w:color w:val="4472C4" w:themeColor="accent1"/>
        </w:rPr>
        <w:t>-</w:t>
      </w:r>
      <w:r w:rsidR="00D31F95">
        <w:rPr>
          <w:b/>
          <w:bCs/>
          <w:color w:val="4472C4" w:themeColor="accent1"/>
        </w:rPr>
        <w:t xml:space="preserve"> ANTECEDENTES GENERALES Y ANÁLISIS DE CONTEXTO DE LOS </w:t>
      </w:r>
      <w:r w:rsidR="004F797B" w:rsidRPr="00B27021">
        <w:rPr>
          <w:b/>
          <w:bCs/>
          <w:color w:val="4472C4" w:themeColor="accent1"/>
        </w:rPr>
        <w:t>D</w:t>
      </w:r>
      <w:r w:rsidR="00946F61" w:rsidRPr="00B27021">
        <w:rPr>
          <w:b/>
          <w:bCs/>
          <w:color w:val="4472C4" w:themeColor="accent1"/>
        </w:rPr>
        <w:t>ERECHOS ECONÓMICOS, SOCIAL</w:t>
      </w:r>
      <w:r w:rsidR="00FB6BA8" w:rsidRPr="00B27021">
        <w:rPr>
          <w:b/>
          <w:bCs/>
          <w:color w:val="4472C4" w:themeColor="accent1"/>
        </w:rPr>
        <w:t>E</w:t>
      </w:r>
      <w:r w:rsidR="00D31F95">
        <w:rPr>
          <w:b/>
          <w:bCs/>
          <w:color w:val="4472C4" w:themeColor="accent1"/>
        </w:rPr>
        <w:t>S Y CULTURALES</w:t>
      </w:r>
      <w:r w:rsidR="00B27021" w:rsidRPr="00B27021">
        <w:rPr>
          <w:b/>
          <w:bCs/>
          <w:color w:val="4472C4" w:themeColor="accent1"/>
        </w:rPr>
        <w:t xml:space="preserve"> EN CHILE</w:t>
      </w:r>
    </w:p>
    <w:p w14:paraId="7E029014" w14:textId="77777777" w:rsidR="00FB6BA8" w:rsidRPr="003E4533" w:rsidRDefault="00FB6BA8" w:rsidP="003947B1">
      <w:pPr>
        <w:pStyle w:val="NormalWeb"/>
        <w:shd w:val="clear" w:color="auto" w:fill="FFFFFF"/>
        <w:spacing w:before="120" w:beforeAutospacing="0" w:after="0" w:afterAutospacing="0"/>
        <w:jc w:val="both"/>
        <w:rPr>
          <w:b/>
          <w:bCs/>
        </w:rPr>
      </w:pPr>
    </w:p>
    <w:p w14:paraId="7721D741" w14:textId="50E8DBA7" w:rsidR="00E61542" w:rsidRPr="00E61542" w:rsidRDefault="008D4D94" w:rsidP="00E439F5">
      <w:pPr>
        <w:pStyle w:val="NormalWeb"/>
        <w:shd w:val="clear" w:color="auto" w:fill="FFFFFF"/>
        <w:spacing w:before="120" w:beforeAutospacing="0" w:after="0" w:afterAutospacing="0" w:line="276" w:lineRule="auto"/>
        <w:jc w:val="both"/>
        <w:rPr>
          <w:b/>
          <w:bCs/>
          <w:sz w:val="28"/>
          <w:szCs w:val="28"/>
        </w:rPr>
      </w:pPr>
      <w:r w:rsidRPr="00E61542">
        <w:rPr>
          <w:b/>
          <w:bCs/>
          <w:sz w:val="28"/>
          <w:szCs w:val="28"/>
        </w:rPr>
        <w:t xml:space="preserve">1.- </w:t>
      </w:r>
      <w:r w:rsidR="00D31F95" w:rsidRPr="00E61542">
        <w:rPr>
          <w:b/>
          <w:bCs/>
          <w:sz w:val="28"/>
          <w:szCs w:val="28"/>
        </w:rPr>
        <w:t>Contexto Social y Normativo de los DESC en Chile</w:t>
      </w:r>
    </w:p>
    <w:p w14:paraId="25638442" w14:textId="08AD726E" w:rsidR="002D2639" w:rsidRDefault="002D2639" w:rsidP="002D2639">
      <w:pPr>
        <w:pStyle w:val="NormalWeb"/>
        <w:shd w:val="clear" w:color="auto" w:fill="FFFFFF"/>
        <w:spacing w:before="0" w:beforeAutospacing="0" w:after="0" w:afterAutospacing="0" w:line="276" w:lineRule="auto"/>
        <w:ind w:firstLine="708"/>
        <w:jc w:val="both"/>
      </w:pPr>
      <w:r w:rsidRPr="003E4533">
        <w:rPr>
          <w:lang w:val="es-ES"/>
        </w:rPr>
        <w:t>Chile se encuentra en un momento único en su historia desde el regreso a la democracia. Este momento crítico surge con el estallido social el 18 de octubre de 2019, el cual se produce luego de décadas de profundización de un modelo de desarrollo basado en el crecimiento económico, cuyos beneficios no fueron distribuidos equitativamente.</w:t>
      </w:r>
      <w:r>
        <w:rPr>
          <w:lang w:val="es-ES"/>
        </w:rPr>
        <w:t xml:space="preserve"> </w:t>
      </w:r>
      <w:r w:rsidRPr="003E4533">
        <w:rPr>
          <w:lang w:val="es-ES"/>
        </w:rPr>
        <w:t>El modelo económico neoliberal fue construido durante los 17 años de la dictadura militar, el cual desreguló los mercados y privatizó los servicios de protección social concentrando la riqueza, los ingresos y las oportunidades en manos de los más aventajados.</w:t>
      </w:r>
      <w:r w:rsidRPr="003E4533">
        <w:rPr>
          <w:rStyle w:val="Refdenotaalpie"/>
          <w:lang w:val="es-ES"/>
        </w:rPr>
        <w:footnoteReference w:id="3"/>
      </w:r>
      <w:r w:rsidRPr="003E4533">
        <w:rPr>
          <w:lang w:val="es-ES"/>
        </w:rPr>
        <w:t xml:space="preserve">  De acuerdo a la CEPAL, los ingresos del 10% más rico son 26 veces más altos que los del 10% más pobre, y el 1% de mayores ingresos posee un 26,5% de la riqueza total del país.</w:t>
      </w:r>
      <w:r w:rsidRPr="003E4533">
        <w:rPr>
          <w:rStyle w:val="Refdenotaalpie"/>
          <w:lang w:val="es-ES"/>
        </w:rPr>
        <w:footnoteReference w:id="4"/>
      </w:r>
      <w:r w:rsidRPr="003E4533">
        <w:rPr>
          <w:lang w:val="es-ES"/>
        </w:rPr>
        <w:t xml:space="preserve"> Además, Chile tiene un índice de Gini de 49.6 que lo convierte en el país más desigual de la OECD y uno de los 30 países más desiguales del mundo. Esta división social y económica ha sido el resultado manifiesto de políticas sociales diseñadas e implementadas desde 1973. Políticas de vivienda que segregaron a los chilenos en territorios “de ricos” y territorios “para pobres”</w:t>
      </w:r>
      <w:r w:rsidRPr="003E4533">
        <w:rPr>
          <w:rStyle w:val="Refdenotaalpie"/>
        </w:rPr>
        <w:footnoteReference w:id="5"/>
      </w:r>
      <w:r w:rsidRPr="003E4533">
        <w:t>, donde el acceso a bienes y servicios también quedó distribuido de la misma manera, un sistema de pensiones que tiene como consecuencia un grave empobrecimiento en la vejez, con un impacto desproporcionado en las mujeres</w:t>
      </w:r>
      <w:r w:rsidRPr="003E4533">
        <w:rPr>
          <w:rStyle w:val="Refdenotaalpie"/>
        </w:rPr>
        <w:footnoteReference w:id="6"/>
      </w:r>
      <w:r w:rsidRPr="003E4533">
        <w:t>, falta de acceso a la salud de manera oportuna y sin estándares adecuados de calidad</w:t>
      </w:r>
      <w:r w:rsidRPr="003E4533">
        <w:rPr>
          <w:rStyle w:val="Refdenotaalpie"/>
        </w:rPr>
        <w:footnoteReference w:id="7"/>
      </w:r>
      <w:r w:rsidRPr="003E4533">
        <w:t>, y un sistema de educación que ha segregado y otorgado por años oportunidades distintas a ricos y pobres.</w:t>
      </w:r>
      <w:r w:rsidRPr="003E4533">
        <w:rPr>
          <w:rStyle w:val="Refdenotaalpie"/>
        </w:rPr>
        <w:footnoteReference w:id="8"/>
      </w:r>
      <w:r w:rsidRPr="003E4533">
        <w:t xml:space="preserve"> </w:t>
      </w:r>
    </w:p>
    <w:p w14:paraId="439722FB" w14:textId="15A699A8" w:rsidR="000C4C35" w:rsidRDefault="000C4C35" w:rsidP="00AF45C8">
      <w:pPr>
        <w:pStyle w:val="NormalWeb"/>
        <w:spacing w:before="0" w:beforeAutospacing="0" w:after="0" w:afterAutospacing="0" w:line="276" w:lineRule="auto"/>
        <w:ind w:firstLine="360"/>
        <w:jc w:val="both"/>
      </w:pPr>
      <w:r w:rsidRPr="003E4533">
        <w:t>La movilización nacional que estamos viviendo ha dejado en evidencia</w:t>
      </w:r>
      <w:r w:rsidR="00B60327" w:rsidRPr="003E4533">
        <w:t xml:space="preserve"> </w:t>
      </w:r>
      <w:r w:rsidRPr="003E4533">
        <w:t>la diferencia en la calidad de vida entre quienes tienen privilegios y quienes no los tienen</w:t>
      </w:r>
      <w:r w:rsidR="00E439F5" w:rsidRPr="003E4533">
        <w:t>.</w:t>
      </w:r>
      <w:r w:rsidR="009322E4" w:rsidRPr="003E4533">
        <w:rPr>
          <w:rStyle w:val="Refdenotaalpie"/>
        </w:rPr>
        <w:footnoteReference w:id="9"/>
      </w:r>
      <w:r w:rsidRPr="003E4533">
        <w:t xml:space="preserve"> </w:t>
      </w:r>
      <w:r w:rsidR="00946F61" w:rsidRPr="003E4533">
        <w:t xml:space="preserve">Los sucesivos gobiernos </w:t>
      </w:r>
      <w:r w:rsidR="00B60327" w:rsidRPr="003E4533">
        <w:t>han sostenido que</w:t>
      </w:r>
      <w:r w:rsidR="00946F61" w:rsidRPr="003E4533">
        <w:t xml:space="preserve"> la población</w:t>
      </w:r>
      <w:r w:rsidRPr="003E4533">
        <w:t xml:space="preserve"> </w:t>
      </w:r>
      <w:r w:rsidR="00B60327" w:rsidRPr="003E4533">
        <w:t>y sus</w:t>
      </w:r>
      <w:r w:rsidRPr="003E4533">
        <w:t xml:space="preserve"> los logros</w:t>
      </w:r>
      <w:r w:rsidR="00B60327" w:rsidRPr="003E4533">
        <w:t>,</w:t>
      </w:r>
      <w:r w:rsidRPr="003E4533">
        <w:t xml:space="preserve"> están basados en el mérito individual, que solo el esfuerzo de cada cual es garantía de movilidad social. Sin </w:t>
      </w:r>
      <w:r w:rsidR="00946F61" w:rsidRPr="003E4533">
        <w:t xml:space="preserve">embargo, sin </w:t>
      </w:r>
      <w:r w:rsidRPr="003E4533">
        <w:t>igualdad de oportunidades</w:t>
      </w:r>
      <w:r w:rsidR="00DA5A4E">
        <w:t>, participación</w:t>
      </w:r>
      <w:r w:rsidRPr="003E4533">
        <w:t xml:space="preserve"> y respeto de los derechos fundamentales, ello no es posible. Así lo ha señalado el Informe del Relator Especial sobre la extrema pobreza y los derechos humanos,</w:t>
      </w:r>
      <w:r w:rsidR="00946F61" w:rsidRPr="003E4533">
        <w:t xml:space="preserve"> señor Philip Alston,</w:t>
      </w:r>
      <w:r w:rsidRPr="003E4533">
        <w:t xml:space="preserve"> en su misión a Chile</w:t>
      </w:r>
      <w:r w:rsidR="00B60327" w:rsidRPr="003E4533">
        <w:t xml:space="preserve"> entre el 16 al 24 de marzo </w:t>
      </w:r>
      <w:r w:rsidR="00B60327" w:rsidRPr="003E4533">
        <w:lastRenderedPageBreak/>
        <w:t xml:space="preserve">de 2015. </w:t>
      </w:r>
      <w:r w:rsidR="00946F61" w:rsidRPr="003E4533">
        <w:t xml:space="preserve">En su informe, se establece: </w:t>
      </w:r>
      <w:r w:rsidRPr="003E4533">
        <w:t>“19. Las desigualdades descritas en el presente informe resultan profundamente problemáticas y tienen como resultado una sociedad muy segregada en que la existencia de zonas residenciales y escuelas segregadas afianza los priv</w:t>
      </w:r>
      <w:r w:rsidR="00E439F5" w:rsidRPr="003E4533">
        <w:t>ilegios e inhibe la movilidad.”</w:t>
      </w:r>
      <w:r w:rsidRPr="003E4533">
        <w:rPr>
          <w:rStyle w:val="Refdenotaalpie"/>
        </w:rPr>
        <w:footnoteReference w:id="10"/>
      </w:r>
    </w:p>
    <w:p w14:paraId="25FAECE5" w14:textId="39379B5F" w:rsidR="00AF45C8" w:rsidRDefault="00AF45C8" w:rsidP="00AF45C8">
      <w:pPr>
        <w:pStyle w:val="NormalWeb"/>
        <w:shd w:val="clear" w:color="auto" w:fill="FFFFFF"/>
        <w:spacing w:before="0" w:beforeAutospacing="0" w:after="0" w:afterAutospacing="0" w:line="276" w:lineRule="auto"/>
        <w:ind w:firstLine="708"/>
        <w:jc w:val="both"/>
      </w:pPr>
      <w:r>
        <w:t xml:space="preserve">Asimismo, los niveles de participación de las personas y comunidades en Chile </w:t>
      </w:r>
      <w:r w:rsidRPr="008E0999">
        <w:t xml:space="preserve">son </w:t>
      </w:r>
      <w:r>
        <w:t>de los m</w:t>
      </w:r>
      <w:r w:rsidR="0082404C">
        <w:t>ás bajos del continente, lo que dificulta enormemente el disfrute de los DESC.</w:t>
      </w:r>
      <w:r>
        <w:rPr>
          <w:rStyle w:val="Refdenotaalpie"/>
        </w:rPr>
        <w:footnoteReference w:id="11"/>
      </w:r>
      <w:r>
        <w:t xml:space="preserve"> L</w:t>
      </w:r>
      <w:r w:rsidRPr="003E4533">
        <w:t xml:space="preserve">a falta de interés de los partidos políticos por canalizar la participación ciudadana en la gestión pública, lleva a las organizaciones de la sociedad civil a demandar al Estado el desarrollo de una institucionalidad de participación ciudadana en la materia. Pese a </w:t>
      </w:r>
      <w:r>
        <w:t>algunos</w:t>
      </w:r>
      <w:r w:rsidRPr="003E4533">
        <w:t xml:space="preserve"> avances normativos en la materia,</w:t>
      </w:r>
      <w:r>
        <w:t xml:space="preserve"> particularmente la dictación de</w:t>
      </w:r>
      <w:r w:rsidRPr="003E4533">
        <w:t xml:space="preserve"> la ley 20.500</w:t>
      </w:r>
      <w:r>
        <w:t xml:space="preserve"> en el 2011,</w:t>
      </w:r>
      <w:r w:rsidRPr="003E4533">
        <w:t xml:space="preserve"> no incluyó la participación en el diseño, implementación o eval</w:t>
      </w:r>
      <w:r>
        <w:t>uación de políticas públicas en los ámbitos de los derechos sociales, incluyendo vivienda, educación y medio ambiente</w:t>
      </w:r>
      <w:r w:rsidRPr="003E4533">
        <w:t>.</w:t>
      </w:r>
      <w:r>
        <w:t xml:space="preserve"> </w:t>
      </w:r>
      <w:r w:rsidRPr="003E4533">
        <w:t xml:space="preserve">En el gobierno de Michelle </w:t>
      </w:r>
      <w:r w:rsidRPr="00D63E9A">
        <w:t xml:space="preserve">Bachelet </w:t>
      </w:r>
      <w:r w:rsidRPr="003E4533">
        <w:t>(2014-2018) se creó el Consejo Nacional de Participación Ciudadana y Fortalecimiento de la Sociedad Civil</w:t>
      </w:r>
      <w:r>
        <w:t xml:space="preserve">, el cual </w:t>
      </w:r>
      <w:r w:rsidRPr="003E4533">
        <w:t>entregó una serie de propuestas, las que, bajo el enfoque de los derechos humanos, abordan cambios normativos, constitucionales y administrativos. Hasta la fecha, dichas propuestas han sido olvidadas por las actuales autoridades. Las diversas propuestas formuladas por el Consejo Participación, mantienen plena validez a la fecha</w:t>
      </w:r>
      <w:r w:rsidRPr="003E4533">
        <w:rPr>
          <w:rStyle w:val="Refdenotaalpie"/>
        </w:rPr>
        <w:footnoteReference w:id="12"/>
      </w:r>
      <w:r w:rsidRPr="003E4533">
        <w:t xml:space="preserve"> y estas debieran ser incorporadas en el proceso de cambio constitucional que el país comenzará a vivir prontamente. </w:t>
      </w:r>
    </w:p>
    <w:p w14:paraId="1825D752" w14:textId="65865ADE" w:rsidR="000C4C35" w:rsidRPr="003E4533" w:rsidRDefault="0082404C" w:rsidP="00AF45C8">
      <w:pPr>
        <w:pStyle w:val="NormalWeb"/>
        <w:shd w:val="clear" w:color="auto" w:fill="FFFFFF"/>
        <w:spacing w:before="0" w:beforeAutospacing="0" w:after="0" w:afterAutospacing="0" w:line="276" w:lineRule="auto"/>
        <w:ind w:firstLine="708"/>
        <w:jc w:val="both"/>
      </w:pPr>
      <w:r>
        <w:t>Por otra parte, además de los niveles de desigualdad descritos y la falta de participación ciudadana, nos preocupa especialmente las</w:t>
      </w:r>
      <w:r w:rsidR="000C4C35" w:rsidRPr="003E4533">
        <w:t xml:space="preserve"> numerosas violaciones de los derechos humanos </w:t>
      </w:r>
      <w:r>
        <w:t xml:space="preserve">cometidas </w:t>
      </w:r>
      <w:r w:rsidR="000C4C35" w:rsidRPr="003E4533">
        <w:t xml:space="preserve">por parte de </w:t>
      </w:r>
      <w:r>
        <w:t>agentes de seguridad del Estado desde q</w:t>
      </w:r>
      <w:r w:rsidRPr="003E4533">
        <w:t xml:space="preserve">ue </w:t>
      </w:r>
      <w:r>
        <w:t>comenzaron las movilizaciones sociales</w:t>
      </w:r>
      <w:r w:rsidR="005D5785">
        <w:t xml:space="preserve"> el 18 de octubre</w:t>
      </w:r>
      <w:r w:rsidRPr="003E4533">
        <w:t xml:space="preserve">, </w:t>
      </w:r>
      <w:r>
        <w:t xml:space="preserve">las cuales </w:t>
      </w:r>
      <w:r w:rsidR="000C4C35" w:rsidRPr="003E4533">
        <w:t>han sido denunciadas por organismo</w:t>
      </w:r>
      <w:r>
        <w:t xml:space="preserve">s nacionales e internacionales, pero que han sido relativizadas por </w:t>
      </w:r>
      <w:r w:rsidR="000C4C35" w:rsidRPr="003E4533">
        <w:t>el Es</w:t>
      </w:r>
      <w:r>
        <w:t>tado</w:t>
      </w:r>
      <w:r w:rsidR="000C4C35" w:rsidRPr="003E4533">
        <w:t>.</w:t>
      </w:r>
      <w:r w:rsidR="000C4C35" w:rsidRPr="003E4533">
        <w:rPr>
          <w:rStyle w:val="Refdenotaalpie"/>
        </w:rPr>
        <w:footnoteReference w:id="13"/>
      </w:r>
      <w:r w:rsidR="000C4C35" w:rsidRPr="003E4533">
        <w:t xml:space="preserve"> </w:t>
      </w:r>
    </w:p>
    <w:p w14:paraId="6A67B600" w14:textId="5B2D1ED0" w:rsidR="006F126F" w:rsidRPr="003E4533" w:rsidRDefault="000C4C35" w:rsidP="00C73ED6">
      <w:pPr>
        <w:pStyle w:val="NormalWeb"/>
        <w:shd w:val="clear" w:color="auto" w:fill="FFFFFF"/>
        <w:spacing w:before="0" w:beforeAutospacing="0" w:after="0" w:afterAutospacing="0" w:line="276" w:lineRule="auto"/>
        <w:ind w:firstLine="708"/>
        <w:jc w:val="both"/>
      </w:pPr>
      <w:r w:rsidRPr="003E4533">
        <w:lastRenderedPageBreak/>
        <w:t xml:space="preserve">En el contexto descrito, el Estado de Chile debe enfrentar dos grandes desafíos: primero, asumir las responsabilidades de las violaciones a los derechos humanos que se han producido durante todo el proceso de movilización social. Ello implicará investigar todas las violaciones </w:t>
      </w:r>
      <w:r w:rsidR="006F126F" w:rsidRPr="003E4533">
        <w:t>a los derechos humanos</w:t>
      </w:r>
      <w:r w:rsidRPr="003E4533">
        <w:t>, sancionar a los responsables y reparar a las víctimas</w:t>
      </w:r>
      <w:r w:rsidR="006F126F" w:rsidRPr="003E4533">
        <w:t>. Asimismo, ha de realizar algunas reformas estructurales, tales como modificar la institución de Carabineros de Chile, que ya antes de la crisis social, se encontraba envuelta en una serie de escándalos de corrupción</w:t>
      </w:r>
      <w:r w:rsidR="00E905B4" w:rsidRPr="003E4533">
        <w:rPr>
          <w:rStyle w:val="Refdenotaalpie"/>
        </w:rPr>
        <w:footnoteReference w:id="14"/>
      </w:r>
      <w:r w:rsidR="006F126F" w:rsidRPr="003E4533">
        <w:t xml:space="preserve"> y cuyo actuar, ha estado marcado por un excesi</w:t>
      </w:r>
      <w:r w:rsidR="00B60327" w:rsidRPr="003E4533">
        <w:t>v</w:t>
      </w:r>
      <w:r w:rsidR="006F126F" w:rsidRPr="003E4533">
        <w:t>o uso de la fuerza, que ha sido criticado tanto por entidades nacionales como internacionales.</w:t>
      </w:r>
      <w:r w:rsidR="00824291" w:rsidRPr="003E4533">
        <w:rPr>
          <w:rStyle w:val="Refdenotaalpie"/>
        </w:rPr>
        <w:footnoteReference w:id="15"/>
      </w:r>
      <w:r w:rsidR="00C73ED6" w:rsidRPr="003E4533">
        <w:t xml:space="preserve"> </w:t>
      </w:r>
      <w:r w:rsidRPr="003E4533">
        <w:t xml:space="preserve">En segundo lugar, el Estado de Chile </w:t>
      </w:r>
      <w:r w:rsidR="006F126F" w:rsidRPr="003E4533">
        <w:t xml:space="preserve">finalmente </w:t>
      </w:r>
      <w:r w:rsidR="00534628" w:rsidRPr="003E4533">
        <w:t>se enfrenta</w:t>
      </w:r>
      <w:r w:rsidRPr="003E4533">
        <w:t xml:space="preserve"> a </w:t>
      </w:r>
      <w:r w:rsidR="006F126F" w:rsidRPr="003E4533">
        <w:t xml:space="preserve">realizar </w:t>
      </w:r>
      <w:r w:rsidRPr="003E4533">
        <w:t>un profundo cambio normativo</w:t>
      </w:r>
      <w:r w:rsidR="006F126F" w:rsidRPr="003E4533">
        <w:t xml:space="preserve"> y </w:t>
      </w:r>
      <w:r w:rsidRPr="003E4533">
        <w:t xml:space="preserve">avanzar hacia la creación de una nueva Constitución. </w:t>
      </w:r>
    </w:p>
    <w:p w14:paraId="776BD766" w14:textId="3C2C4309" w:rsidR="000C4C35" w:rsidRPr="003E4533" w:rsidRDefault="000C4C35" w:rsidP="00E439F5">
      <w:pPr>
        <w:pStyle w:val="NormalWeb"/>
        <w:shd w:val="clear" w:color="auto" w:fill="FFFFFF"/>
        <w:spacing w:before="0" w:beforeAutospacing="0" w:after="0" w:afterAutospacing="0" w:line="276" w:lineRule="auto"/>
        <w:ind w:firstLine="284"/>
        <w:jc w:val="both"/>
      </w:pPr>
      <w:r w:rsidRPr="003E4533">
        <w:t xml:space="preserve">El proceso constituyente ya está trazado y comenzará con un plebiscito el próximo 26 de </w:t>
      </w:r>
      <w:r w:rsidR="006144AB" w:rsidRPr="003E4533">
        <w:t>abril</w:t>
      </w:r>
      <w:r w:rsidRPr="003E4533">
        <w:t xml:space="preserve"> de 2020</w:t>
      </w:r>
      <w:r w:rsidR="006F126F" w:rsidRPr="003E4533">
        <w:t xml:space="preserve">. En este referéndum, </w:t>
      </w:r>
      <w:r w:rsidRPr="003E4533">
        <w:t>la ciudadanía deberá decidir si desea o no una nueva constitución y cuál es el mecanismo para su redacción</w:t>
      </w:r>
      <w:r w:rsidR="003E4533">
        <w:t>.</w:t>
      </w:r>
      <w:r w:rsidRPr="003E4533">
        <w:rPr>
          <w:rStyle w:val="Refdenotaalpie"/>
        </w:rPr>
        <w:footnoteReference w:id="16"/>
      </w:r>
    </w:p>
    <w:p w14:paraId="30DEBD74" w14:textId="7C4C1439" w:rsidR="006F126F" w:rsidRPr="003E4533" w:rsidRDefault="000C4C35" w:rsidP="00E439F5">
      <w:pPr>
        <w:pStyle w:val="NormalWeb"/>
        <w:shd w:val="clear" w:color="auto" w:fill="FFFFFF"/>
        <w:spacing w:before="0" w:beforeAutospacing="0" w:after="0" w:afterAutospacing="0" w:line="276" w:lineRule="auto"/>
        <w:ind w:firstLine="284"/>
        <w:jc w:val="both"/>
      </w:pPr>
      <w:r w:rsidRPr="003E4533">
        <w:t>La actual Carta Fundamental tiene una grave anomalía de origen: fue dictada sin las garantías democráticas mínimas, en el contexto de una dictadura</w:t>
      </w:r>
      <w:r w:rsidR="006F126F" w:rsidRPr="003E4533">
        <w:t xml:space="preserve"> cívico militar de Augusto Pinochet (1973-1990)</w:t>
      </w:r>
      <w:r w:rsidRPr="003E4533">
        <w:t xml:space="preserve">. La evidente imposición de </w:t>
      </w:r>
      <w:r w:rsidR="006F126F" w:rsidRPr="003E4533">
        <w:t xml:space="preserve">la </w:t>
      </w:r>
      <w:r w:rsidRPr="003E4533">
        <w:t>Constitución</w:t>
      </w:r>
      <w:r w:rsidR="006F126F" w:rsidRPr="003E4533">
        <w:t xml:space="preserve"> de 1980</w:t>
      </w:r>
      <w:r w:rsidRPr="003E4533">
        <w:t xml:space="preserve"> se advierte en la derogación unilateral de la carta magna predecesora, la de 1925, por la Junta Militar que rigió al país luego del golpe de estado del 11 de septiembre de 1973.</w:t>
      </w:r>
      <w:r w:rsidR="006F126F" w:rsidRPr="003E4533">
        <w:t xml:space="preserve"> Asimismo, dicha Constitución sienta las bases del modelo económico y social imperante, que se ha traducido en las desigualdades estructurales que vive el país. </w:t>
      </w:r>
    </w:p>
    <w:p w14:paraId="3DA52924" w14:textId="69B79C6A" w:rsidR="001E356D" w:rsidRPr="003E4533" w:rsidRDefault="000C4C35" w:rsidP="00E439F5">
      <w:pPr>
        <w:pStyle w:val="Textonotapie"/>
        <w:spacing w:line="276" w:lineRule="auto"/>
        <w:ind w:firstLine="284"/>
        <w:jc w:val="both"/>
        <w:rPr>
          <w:rFonts w:ascii="Times New Roman" w:eastAsia="Times New Roman" w:hAnsi="Times New Roman" w:cs="Times New Roman"/>
          <w:sz w:val="24"/>
          <w:szCs w:val="24"/>
          <w:lang w:eastAsia="es-MX"/>
        </w:rPr>
      </w:pPr>
      <w:r w:rsidRPr="003E4533">
        <w:rPr>
          <w:rFonts w:ascii="Times New Roman" w:eastAsia="Times New Roman" w:hAnsi="Times New Roman" w:cs="Times New Roman"/>
          <w:sz w:val="24"/>
          <w:szCs w:val="24"/>
          <w:lang w:eastAsia="es-MX"/>
        </w:rPr>
        <w:t>E</w:t>
      </w:r>
      <w:r w:rsidR="006F126F" w:rsidRPr="003E4533">
        <w:rPr>
          <w:rFonts w:ascii="Times New Roman" w:eastAsia="Times New Roman" w:hAnsi="Times New Roman" w:cs="Times New Roman"/>
          <w:sz w:val="24"/>
          <w:szCs w:val="24"/>
          <w:lang w:eastAsia="es-MX"/>
        </w:rPr>
        <w:t>n efecto, e</w:t>
      </w:r>
      <w:r w:rsidRPr="003E4533">
        <w:rPr>
          <w:rFonts w:ascii="Times New Roman" w:eastAsia="Times New Roman" w:hAnsi="Times New Roman" w:cs="Times New Roman"/>
          <w:sz w:val="24"/>
          <w:szCs w:val="24"/>
          <w:lang w:eastAsia="es-MX"/>
        </w:rPr>
        <w:t xml:space="preserve">l carácter liberal en materia </w:t>
      </w:r>
      <w:r w:rsidR="004F797B" w:rsidRPr="003E4533">
        <w:rPr>
          <w:rFonts w:ascii="Times New Roman" w:eastAsia="Times New Roman" w:hAnsi="Times New Roman" w:cs="Times New Roman"/>
          <w:sz w:val="24"/>
          <w:szCs w:val="24"/>
          <w:lang w:eastAsia="es-MX"/>
        </w:rPr>
        <w:t>económica</w:t>
      </w:r>
      <w:r w:rsidRPr="003E4533">
        <w:rPr>
          <w:rFonts w:ascii="Times New Roman" w:eastAsia="Times New Roman" w:hAnsi="Times New Roman" w:cs="Times New Roman"/>
          <w:sz w:val="24"/>
          <w:szCs w:val="24"/>
          <w:lang w:eastAsia="es-MX"/>
        </w:rPr>
        <w:t xml:space="preserve"> </w:t>
      </w:r>
      <w:r w:rsidR="006F126F" w:rsidRPr="003E4533">
        <w:rPr>
          <w:rFonts w:ascii="Times New Roman" w:eastAsia="Times New Roman" w:hAnsi="Times New Roman" w:cs="Times New Roman"/>
          <w:sz w:val="24"/>
          <w:szCs w:val="24"/>
          <w:lang w:eastAsia="es-MX"/>
        </w:rPr>
        <w:t xml:space="preserve">de la Constitución vigente </w:t>
      </w:r>
      <w:r w:rsidRPr="003E4533">
        <w:rPr>
          <w:rFonts w:ascii="Times New Roman" w:eastAsia="Times New Roman" w:hAnsi="Times New Roman" w:cs="Times New Roman"/>
          <w:sz w:val="24"/>
          <w:szCs w:val="24"/>
          <w:lang w:eastAsia="es-MX"/>
        </w:rPr>
        <w:t>se encuentra dispersa a lo largo de todo el texto constitucional.</w:t>
      </w:r>
      <w:r w:rsidRPr="003E4533">
        <w:rPr>
          <w:rStyle w:val="Refdenotaalpie"/>
          <w:rFonts w:ascii="Times New Roman" w:eastAsia="Times New Roman" w:hAnsi="Times New Roman"/>
          <w:sz w:val="24"/>
          <w:szCs w:val="24"/>
          <w:lang w:eastAsia="es-MX"/>
        </w:rPr>
        <w:footnoteReference w:id="17"/>
      </w:r>
      <w:r w:rsidRPr="003E4533">
        <w:rPr>
          <w:rFonts w:ascii="Times New Roman" w:eastAsia="Times New Roman" w:hAnsi="Times New Roman" w:cs="Times New Roman"/>
          <w:sz w:val="24"/>
          <w:szCs w:val="24"/>
          <w:lang w:eastAsia="es-MX"/>
        </w:rPr>
        <w:t xml:space="preserve"> Por otra parte, el listado de derechos constitucionales </w:t>
      </w:r>
      <w:r w:rsidR="001E356D" w:rsidRPr="003E4533">
        <w:rPr>
          <w:rFonts w:ascii="Times New Roman" w:eastAsia="Times New Roman" w:hAnsi="Times New Roman" w:cs="Times New Roman"/>
          <w:sz w:val="24"/>
          <w:szCs w:val="24"/>
          <w:lang w:eastAsia="es-MX"/>
        </w:rPr>
        <w:t xml:space="preserve">contiene </w:t>
      </w:r>
      <w:r w:rsidRPr="003E4533">
        <w:rPr>
          <w:rFonts w:ascii="Times New Roman" w:eastAsia="Times New Roman" w:hAnsi="Times New Roman" w:cs="Times New Roman"/>
          <w:sz w:val="24"/>
          <w:szCs w:val="24"/>
          <w:lang w:eastAsia="es-MX"/>
        </w:rPr>
        <w:t xml:space="preserve">mayoritariamente un catálogo de derechos civiles y políticos, en donde el Estado asume un rol secundario, de no intervención más que de promoción activa, entregándole a los privados la tarea de satisfacer, mediante mecanismos de mercado, la provisión de los bienes jurídicos protegidos por los derechos económicos sociales y culturales. </w:t>
      </w:r>
    </w:p>
    <w:p w14:paraId="698DE57F" w14:textId="638D66B1" w:rsidR="00791F46" w:rsidRPr="003E4533" w:rsidRDefault="000C4C35" w:rsidP="00E439F5">
      <w:pPr>
        <w:pStyle w:val="Textonotapie"/>
        <w:spacing w:line="276" w:lineRule="auto"/>
        <w:ind w:firstLine="284"/>
        <w:jc w:val="both"/>
        <w:rPr>
          <w:rFonts w:ascii="Times New Roman" w:eastAsia="Times New Roman" w:hAnsi="Times New Roman" w:cs="Times New Roman"/>
          <w:sz w:val="24"/>
          <w:szCs w:val="24"/>
          <w:lang w:eastAsia="es-MX"/>
        </w:rPr>
      </w:pPr>
      <w:r w:rsidRPr="003E4533">
        <w:rPr>
          <w:rFonts w:ascii="Times New Roman" w:eastAsia="Times New Roman" w:hAnsi="Times New Roman" w:cs="Times New Roman"/>
          <w:sz w:val="24"/>
          <w:szCs w:val="24"/>
          <w:lang w:eastAsia="es-MX"/>
        </w:rPr>
        <w:t xml:space="preserve">Así, </w:t>
      </w:r>
      <w:r w:rsidR="001E356D" w:rsidRPr="003E4533">
        <w:rPr>
          <w:rFonts w:ascii="Times New Roman" w:eastAsia="Times New Roman" w:hAnsi="Times New Roman" w:cs="Times New Roman"/>
          <w:sz w:val="24"/>
          <w:szCs w:val="24"/>
          <w:lang w:eastAsia="es-MX"/>
        </w:rPr>
        <w:t xml:space="preserve">la Constitución no </w:t>
      </w:r>
      <w:r w:rsidRPr="003E4533">
        <w:rPr>
          <w:rFonts w:ascii="Times New Roman" w:eastAsia="Times New Roman" w:hAnsi="Times New Roman" w:cs="Times New Roman"/>
          <w:sz w:val="24"/>
          <w:szCs w:val="24"/>
          <w:lang w:eastAsia="es-MX"/>
        </w:rPr>
        <w:t>busca una igualdad sustantiva de la población, ni siquiera una real igualdad de oportunidades</w:t>
      </w:r>
      <w:r w:rsidR="001E356D" w:rsidRPr="003E4533">
        <w:rPr>
          <w:rFonts w:ascii="Times New Roman" w:eastAsia="Times New Roman" w:hAnsi="Times New Roman" w:cs="Times New Roman"/>
          <w:sz w:val="24"/>
          <w:szCs w:val="24"/>
          <w:lang w:eastAsia="es-MX"/>
        </w:rPr>
        <w:t xml:space="preserve">. Se basa en mecanismos de mercado para la satisfacción de derechos económicos, sociales y culturales, sin que existan garantías mínimas de </w:t>
      </w:r>
      <w:r w:rsidR="00791F46" w:rsidRPr="003E4533">
        <w:rPr>
          <w:rFonts w:ascii="Times New Roman" w:eastAsia="Times New Roman" w:hAnsi="Times New Roman" w:cs="Times New Roman"/>
          <w:sz w:val="24"/>
          <w:szCs w:val="24"/>
          <w:lang w:eastAsia="es-MX"/>
        </w:rPr>
        <w:t xml:space="preserve">calidad para </w:t>
      </w:r>
      <w:r w:rsidR="00791F46" w:rsidRPr="003E4533">
        <w:rPr>
          <w:rFonts w:ascii="Times New Roman" w:eastAsia="Times New Roman" w:hAnsi="Times New Roman" w:cs="Times New Roman"/>
          <w:sz w:val="24"/>
          <w:szCs w:val="24"/>
          <w:lang w:eastAsia="es-MX"/>
        </w:rPr>
        <w:lastRenderedPageBreak/>
        <w:t xml:space="preserve">su </w:t>
      </w:r>
      <w:r w:rsidR="001E356D" w:rsidRPr="003E4533">
        <w:rPr>
          <w:rFonts w:ascii="Times New Roman" w:eastAsia="Times New Roman" w:hAnsi="Times New Roman" w:cs="Times New Roman"/>
          <w:sz w:val="24"/>
          <w:szCs w:val="24"/>
          <w:lang w:eastAsia="es-MX"/>
        </w:rPr>
        <w:t xml:space="preserve">satisfacción. La forma en que se ha (des)regulado el mercado ha </w:t>
      </w:r>
      <w:r w:rsidR="00791F46" w:rsidRPr="003E4533">
        <w:rPr>
          <w:rFonts w:ascii="Times New Roman" w:eastAsia="Times New Roman" w:hAnsi="Times New Roman" w:cs="Times New Roman"/>
          <w:sz w:val="24"/>
          <w:szCs w:val="24"/>
          <w:lang w:eastAsia="es-MX"/>
        </w:rPr>
        <w:t xml:space="preserve">hecho que este funcione para la ventaja de los más ricos a costa de </w:t>
      </w:r>
      <w:r w:rsidR="002A0938" w:rsidRPr="003E4533">
        <w:rPr>
          <w:rFonts w:ascii="Times New Roman" w:eastAsia="Times New Roman" w:hAnsi="Times New Roman" w:cs="Times New Roman"/>
          <w:sz w:val="24"/>
          <w:szCs w:val="24"/>
          <w:lang w:eastAsia="es-MX"/>
        </w:rPr>
        <w:t>todo el resto</w:t>
      </w:r>
      <w:r w:rsidR="00791F46" w:rsidRPr="003E4533">
        <w:rPr>
          <w:rFonts w:ascii="Times New Roman" w:eastAsia="Times New Roman" w:hAnsi="Times New Roman" w:cs="Times New Roman"/>
          <w:sz w:val="24"/>
          <w:szCs w:val="24"/>
          <w:lang w:eastAsia="es-MX"/>
        </w:rPr>
        <w:t xml:space="preserve"> de la población.  </w:t>
      </w:r>
    </w:p>
    <w:p w14:paraId="183A1A52" w14:textId="32266993" w:rsidR="00791F46" w:rsidRPr="003E4533" w:rsidRDefault="00791F46" w:rsidP="00E439F5">
      <w:pPr>
        <w:pStyle w:val="Textonotapie"/>
        <w:spacing w:line="276" w:lineRule="auto"/>
        <w:ind w:firstLine="284"/>
        <w:jc w:val="both"/>
        <w:rPr>
          <w:rFonts w:ascii="Times New Roman" w:eastAsia="Times New Roman" w:hAnsi="Times New Roman" w:cs="Times New Roman"/>
          <w:sz w:val="24"/>
          <w:szCs w:val="24"/>
          <w:lang w:eastAsia="es-MX"/>
        </w:rPr>
      </w:pPr>
      <w:r w:rsidRPr="003E4533">
        <w:rPr>
          <w:rFonts w:ascii="Times New Roman" w:eastAsia="Times New Roman" w:hAnsi="Times New Roman" w:cs="Times New Roman"/>
          <w:sz w:val="24"/>
          <w:szCs w:val="24"/>
          <w:lang w:eastAsia="es-MX"/>
        </w:rPr>
        <w:t>A</w:t>
      </w:r>
      <w:r w:rsidR="000C4C35" w:rsidRPr="003E4533">
        <w:rPr>
          <w:rFonts w:ascii="Times New Roman" w:eastAsia="Times New Roman" w:hAnsi="Times New Roman" w:cs="Times New Roman"/>
          <w:sz w:val="24"/>
          <w:szCs w:val="24"/>
          <w:lang w:eastAsia="es-MX"/>
        </w:rPr>
        <w:t xml:space="preserve">quellos que tienen más recursos económicos, </w:t>
      </w:r>
      <w:r w:rsidRPr="003E4533">
        <w:rPr>
          <w:rFonts w:ascii="Times New Roman" w:eastAsia="Times New Roman" w:hAnsi="Times New Roman" w:cs="Times New Roman"/>
          <w:sz w:val="24"/>
          <w:szCs w:val="24"/>
          <w:lang w:eastAsia="es-MX"/>
        </w:rPr>
        <w:t xml:space="preserve">pueden recurrir al mercado apara </w:t>
      </w:r>
      <w:r w:rsidR="000C4C35" w:rsidRPr="003E4533">
        <w:rPr>
          <w:rFonts w:ascii="Times New Roman" w:eastAsia="Times New Roman" w:hAnsi="Times New Roman" w:cs="Times New Roman"/>
          <w:sz w:val="24"/>
          <w:szCs w:val="24"/>
          <w:lang w:eastAsia="es-MX"/>
        </w:rPr>
        <w:t xml:space="preserve">satisfacen sus </w:t>
      </w:r>
      <w:r w:rsidRPr="003E4533">
        <w:rPr>
          <w:rFonts w:ascii="Times New Roman" w:eastAsia="Times New Roman" w:hAnsi="Times New Roman" w:cs="Times New Roman"/>
          <w:sz w:val="24"/>
          <w:szCs w:val="24"/>
          <w:lang w:eastAsia="es-MX"/>
        </w:rPr>
        <w:t xml:space="preserve">derechos, por ejemplo, de educación, salud y pensiones. </w:t>
      </w:r>
      <w:r w:rsidR="000C4C35" w:rsidRPr="003E4533">
        <w:rPr>
          <w:rFonts w:ascii="Times New Roman" w:eastAsia="Times New Roman" w:hAnsi="Times New Roman" w:cs="Times New Roman"/>
          <w:sz w:val="24"/>
          <w:szCs w:val="24"/>
          <w:lang w:eastAsia="es-MX"/>
        </w:rPr>
        <w:t>El resto, debe buscar en el Estado dichas garantías, las que han resultado muy inferiores a las ofrecidas por el mercado</w:t>
      </w:r>
      <w:r w:rsidRPr="003E4533">
        <w:rPr>
          <w:rFonts w:ascii="Times New Roman" w:eastAsia="Times New Roman" w:hAnsi="Times New Roman" w:cs="Times New Roman"/>
          <w:sz w:val="24"/>
          <w:szCs w:val="24"/>
          <w:lang w:eastAsia="es-MX"/>
        </w:rPr>
        <w:t xml:space="preserve"> y en muchos casos inexistentes</w:t>
      </w:r>
      <w:r w:rsidR="000C4C35" w:rsidRPr="003E4533">
        <w:rPr>
          <w:rFonts w:ascii="Times New Roman" w:eastAsia="Times New Roman" w:hAnsi="Times New Roman" w:cs="Times New Roman"/>
          <w:sz w:val="24"/>
          <w:szCs w:val="24"/>
          <w:lang w:eastAsia="es-MX"/>
        </w:rPr>
        <w:t xml:space="preserve">.  Adicionalmente, y como parte del modelo aplicado, se ha optado por la </w:t>
      </w:r>
      <w:r w:rsidRPr="003E4533">
        <w:rPr>
          <w:rFonts w:ascii="Times New Roman" w:eastAsia="Times New Roman" w:hAnsi="Times New Roman" w:cs="Times New Roman"/>
          <w:sz w:val="24"/>
          <w:szCs w:val="24"/>
          <w:lang w:eastAsia="es-MX"/>
        </w:rPr>
        <w:t xml:space="preserve">adopción de medidas de superación de la pobreza </w:t>
      </w:r>
      <w:r w:rsidR="000C4C35" w:rsidRPr="003E4533">
        <w:rPr>
          <w:rFonts w:ascii="Times New Roman" w:eastAsia="Times New Roman" w:hAnsi="Times New Roman" w:cs="Times New Roman"/>
          <w:sz w:val="24"/>
          <w:szCs w:val="24"/>
          <w:lang w:eastAsia="es-MX"/>
        </w:rPr>
        <w:t>focaliza</w:t>
      </w:r>
      <w:r w:rsidRPr="003E4533">
        <w:rPr>
          <w:rFonts w:ascii="Times New Roman" w:eastAsia="Times New Roman" w:hAnsi="Times New Roman" w:cs="Times New Roman"/>
          <w:sz w:val="24"/>
          <w:szCs w:val="24"/>
          <w:lang w:eastAsia="es-MX"/>
        </w:rPr>
        <w:t xml:space="preserve">das </w:t>
      </w:r>
      <w:r w:rsidR="000C4C35" w:rsidRPr="003E4533">
        <w:rPr>
          <w:rFonts w:ascii="Times New Roman" w:eastAsia="Times New Roman" w:hAnsi="Times New Roman" w:cs="Times New Roman"/>
          <w:sz w:val="24"/>
          <w:szCs w:val="24"/>
          <w:lang w:eastAsia="es-MX"/>
        </w:rPr>
        <w:t xml:space="preserve">en los más pobres, rompiendo así con el principio de universalidad, entendida esta como una “vocación de universalidad”. </w:t>
      </w:r>
      <w:r w:rsidRPr="003E4533">
        <w:rPr>
          <w:rFonts w:ascii="Times New Roman" w:eastAsia="Times New Roman" w:hAnsi="Times New Roman" w:cs="Times New Roman"/>
          <w:sz w:val="24"/>
          <w:szCs w:val="24"/>
          <w:lang w:eastAsia="es-MX"/>
        </w:rPr>
        <w:t xml:space="preserve">Estas medidas han desencadenado en servicios y programas de baja calidad en los más pobres. </w:t>
      </w:r>
    </w:p>
    <w:p w14:paraId="45CA1D89" w14:textId="31F964A5" w:rsidR="000C4C35" w:rsidRPr="003E4533" w:rsidRDefault="000C4C35" w:rsidP="00E439F5">
      <w:pPr>
        <w:pStyle w:val="Textonotapie"/>
        <w:spacing w:line="276" w:lineRule="auto"/>
        <w:ind w:firstLine="284"/>
        <w:jc w:val="both"/>
        <w:rPr>
          <w:rFonts w:ascii="Times New Roman" w:eastAsia="Times New Roman" w:hAnsi="Times New Roman" w:cs="Times New Roman"/>
          <w:sz w:val="24"/>
          <w:szCs w:val="24"/>
          <w:lang w:eastAsia="es-MX"/>
        </w:rPr>
      </w:pPr>
      <w:r w:rsidRPr="003E4533">
        <w:rPr>
          <w:rFonts w:ascii="Times New Roman" w:eastAsia="Times New Roman" w:hAnsi="Times New Roman" w:cs="Times New Roman"/>
          <w:sz w:val="24"/>
          <w:szCs w:val="24"/>
          <w:lang w:eastAsia="es-MX"/>
        </w:rPr>
        <w:t xml:space="preserve">Los efectos subjetivos del modelo han sido devastadores en la </w:t>
      </w:r>
      <w:r w:rsidR="00791F46" w:rsidRPr="003E4533">
        <w:rPr>
          <w:rFonts w:ascii="Times New Roman" w:eastAsia="Times New Roman" w:hAnsi="Times New Roman" w:cs="Times New Roman"/>
          <w:sz w:val="24"/>
          <w:szCs w:val="24"/>
          <w:lang w:eastAsia="es-MX"/>
        </w:rPr>
        <w:t xml:space="preserve">mayoría de la </w:t>
      </w:r>
      <w:r w:rsidRPr="003E4533">
        <w:rPr>
          <w:rFonts w:ascii="Times New Roman" w:eastAsia="Times New Roman" w:hAnsi="Times New Roman" w:cs="Times New Roman"/>
          <w:sz w:val="24"/>
          <w:szCs w:val="24"/>
          <w:lang w:eastAsia="es-MX"/>
        </w:rPr>
        <w:t>población</w:t>
      </w:r>
      <w:r w:rsidR="00791F46" w:rsidRPr="003E4533">
        <w:rPr>
          <w:rFonts w:ascii="Times New Roman" w:eastAsia="Times New Roman" w:hAnsi="Times New Roman" w:cs="Times New Roman"/>
          <w:sz w:val="24"/>
          <w:szCs w:val="24"/>
          <w:lang w:eastAsia="es-MX"/>
        </w:rPr>
        <w:t>,</w:t>
      </w:r>
      <w:r w:rsidRPr="003E4533">
        <w:rPr>
          <w:rFonts w:ascii="Times New Roman" w:eastAsia="Times New Roman" w:hAnsi="Times New Roman" w:cs="Times New Roman"/>
          <w:sz w:val="24"/>
          <w:szCs w:val="24"/>
          <w:lang w:eastAsia="es-MX"/>
        </w:rPr>
        <w:t xml:space="preserve"> percibiéndose una desigualdad en el ejercicio de derechos fundamentales arraigada en privilegios económicos</w:t>
      </w:r>
      <w:r w:rsidR="00931DC6">
        <w:rPr>
          <w:rFonts w:ascii="Times New Roman" w:eastAsia="Times New Roman" w:hAnsi="Times New Roman" w:cs="Times New Roman"/>
          <w:sz w:val="24"/>
          <w:szCs w:val="24"/>
          <w:lang w:eastAsia="es-MX"/>
        </w:rPr>
        <w:t>.</w:t>
      </w:r>
      <w:r w:rsidR="003551EF" w:rsidRPr="003E4533">
        <w:rPr>
          <w:rStyle w:val="Refdenotaalpie"/>
          <w:rFonts w:ascii="Times New Roman" w:eastAsia="Times New Roman" w:hAnsi="Times New Roman"/>
          <w:sz w:val="24"/>
          <w:szCs w:val="24"/>
          <w:lang w:eastAsia="es-MX"/>
        </w:rPr>
        <w:footnoteReference w:id="18"/>
      </w:r>
      <w:r w:rsidRPr="003E4533">
        <w:rPr>
          <w:rFonts w:ascii="Times New Roman" w:eastAsia="Times New Roman" w:hAnsi="Times New Roman" w:cs="Times New Roman"/>
          <w:sz w:val="24"/>
          <w:szCs w:val="24"/>
          <w:lang w:eastAsia="es-MX"/>
        </w:rPr>
        <w:t xml:space="preserve"> Por su parte, la focalización del gasto público ha instalado un criterio de mercado: la competencia entre posibles usuarios por beneficios estatales. Esto ha arraigado la idea de aprovechar las oportunidades que se ofrecen, más que ser titulares de derechos garantizados por el mero hecho de ser ciudadano/a y formar parte de una misma comunidad.</w:t>
      </w:r>
    </w:p>
    <w:p w14:paraId="278A5CC5" w14:textId="06178C31" w:rsidR="00565210" w:rsidRPr="003E4533" w:rsidRDefault="000C4C35" w:rsidP="00E439F5">
      <w:pPr>
        <w:pStyle w:val="Textonotapie"/>
        <w:spacing w:line="276" w:lineRule="auto"/>
        <w:ind w:firstLine="284"/>
        <w:jc w:val="both"/>
        <w:rPr>
          <w:rFonts w:ascii="Times New Roman" w:eastAsia="Times New Roman" w:hAnsi="Times New Roman" w:cs="Times New Roman"/>
          <w:sz w:val="24"/>
          <w:szCs w:val="24"/>
          <w:lang w:eastAsia="es-MX"/>
        </w:rPr>
      </w:pPr>
      <w:r w:rsidRPr="003E4533">
        <w:rPr>
          <w:rFonts w:ascii="Times New Roman" w:eastAsia="Times New Roman" w:hAnsi="Times New Roman" w:cs="Times New Roman"/>
          <w:sz w:val="24"/>
          <w:szCs w:val="24"/>
          <w:lang w:eastAsia="es-MX"/>
        </w:rPr>
        <w:t xml:space="preserve">El principio de subsidiariedad y el acotado rol del Estado en materia de realización de derechos, </w:t>
      </w:r>
      <w:r w:rsidR="00A43633" w:rsidRPr="003E4533">
        <w:rPr>
          <w:rFonts w:ascii="Times New Roman" w:eastAsia="Times New Roman" w:hAnsi="Times New Roman" w:cs="Times New Roman"/>
          <w:sz w:val="24"/>
          <w:szCs w:val="24"/>
          <w:lang w:eastAsia="es-MX"/>
        </w:rPr>
        <w:t>queda de manifiesto</w:t>
      </w:r>
      <w:r w:rsidRPr="003E4533">
        <w:rPr>
          <w:rFonts w:ascii="Times New Roman" w:eastAsia="Times New Roman" w:hAnsi="Times New Roman" w:cs="Times New Roman"/>
          <w:sz w:val="24"/>
          <w:szCs w:val="24"/>
          <w:lang w:eastAsia="es-MX"/>
        </w:rPr>
        <w:t xml:space="preserve"> al observar </w:t>
      </w:r>
      <w:r w:rsidR="004421E3" w:rsidRPr="003E4533">
        <w:rPr>
          <w:rFonts w:ascii="Times New Roman" w:eastAsia="Times New Roman" w:hAnsi="Times New Roman" w:cs="Times New Roman"/>
          <w:sz w:val="24"/>
          <w:szCs w:val="24"/>
          <w:lang w:eastAsia="es-MX"/>
        </w:rPr>
        <w:t xml:space="preserve">que los mecanismos </w:t>
      </w:r>
      <w:r w:rsidRPr="003E4533">
        <w:rPr>
          <w:rFonts w:ascii="Times New Roman" w:eastAsia="Times New Roman" w:hAnsi="Times New Roman" w:cs="Times New Roman"/>
          <w:sz w:val="24"/>
          <w:szCs w:val="24"/>
          <w:lang w:eastAsia="es-MX"/>
        </w:rPr>
        <w:t>de protección ante la afectación de los derechos constitucionales</w:t>
      </w:r>
      <w:r w:rsidR="004421E3" w:rsidRPr="003E4533">
        <w:rPr>
          <w:rFonts w:ascii="Times New Roman" w:eastAsia="Times New Roman" w:hAnsi="Times New Roman" w:cs="Times New Roman"/>
          <w:sz w:val="24"/>
          <w:szCs w:val="24"/>
          <w:lang w:eastAsia="es-MX"/>
        </w:rPr>
        <w:t xml:space="preserve"> son extremadamente débiles. Así, l</w:t>
      </w:r>
      <w:r w:rsidR="00565210" w:rsidRPr="003E4533">
        <w:rPr>
          <w:rFonts w:ascii="Times New Roman" w:eastAsia="Times New Roman" w:hAnsi="Times New Roman" w:cs="Times New Roman"/>
          <w:sz w:val="24"/>
          <w:szCs w:val="24"/>
          <w:lang w:eastAsia="es-MX"/>
        </w:rPr>
        <w:t xml:space="preserve">a Constitución vigente establece </w:t>
      </w:r>
      <w:r w:rsidRPr="003E4533">
        <w:rPr>
          <w:rFonts w:ascii="Times New Roman" w:eastAsia="Times New Roman" w:hAnsi="Times New Roman" w:cs="Times New Roman"/>
          <w:sz w:val="24"/>
          <w:szCs w:val="24"/>
          <w:lang w:eastAsia="es-MX"/>
        </w:rPr>
        <w:t xml:space="preserve">en el artículo 20 de la Constitución </w:t>
      </w:r>
      <w:r w:rsidR="00565210" w:rsidRPr="003E4533">
        <w:rPr>
          <w:rFonts w:ascii="Times New Roman" w:eastAsia="Times New Roman" w:hAnsi="Times New Roman" w:cs="Times New Roman"/>
          <w:sz w:val="24"/>
          <w:szCs w:val="24"/>
          <w:lang w:eastAsia="es-MX"/>
        </w:rPr>
        <w:t xml:space="preserve">el </w:t>
      </w:r>
      <w:r w:rsidRPr="003E4533">
        <w:rPr>
          <w:rFonts w:ascii="Times New Roman" w:eastAsia="Times New Roman" w:hAnsi="Times New Roman" w:cs="Times New Roman"/>
          <w:sz w:val="24"/>
          <w:szCs w:val="24"/>
          <w:lang w:eastAsia="es-MX"/>
        </w:rPr>
        <w:t xml:space="preserve">llamado genéricamente “Recurso de Protección”. Este recurso consagra la facultad de reclamar la protección de la autoridad judicial, solo en cuanto se atente contra la libertad de optar por algunas de las diversas alternativas disponibles </w:t>
      </w:r>
      <w:r w:rsidR="004421E3" w:rsidRPr="003E4533">
        <w:rPr>
          <w:rFonts w:ascii="Times New Roman" w:eastAsia="Times New Roman" w:hAnsi="Times New Roman" w:cs="Times New Roman"/>
          <w:sz w:val="24"/>
          <w:szCs w:val="24"/>
          <w:lang w:eastAsia="es-MX"/>
        </w:rPr>
        <w:t xml:space="preserve">para </w:t>
      </w:r>
      <w:r w:rsidR="008B6FD0" w:rsidRPr="003E4533">
        <w:rPr>
          <w:rFonts w:ascii="Times New Roman" w:eastAsia="Times New Roman" w:hAnsi="Times New Roman" w:cs="Times New Roman"/>
          <w:sz w:val="24"/>
          <w:szCs w:val="24"/>
          <w:lang w:eastAsia="es-MX"/>
        </w:rPr>
        <w:t>ejercer</w:t>
      </w:r>
      <w:r w:rsidR="004421E3" w:rsidRPr="003E4533">
        <w:rPr>
          <w:rFonts w:ascii="Times New Roman" w:eastAsia="Times New Roman" w:hAnsi="Times New Roman" w:cs="Times New Roman"/>
          <w:sz w:val="24"/>
          <w:szCs w:val="24"/>
          <w:lang w:eastAsia="es-MX"/>
        </w:rPr>
        <w:t xml:space="preserve"> un derecho social</w:t>
      </w:r>
      <w:r w:rsidRPr="003E4533">
        <w:rPr>
          <w:rFonts w:ascii="Times New Roman" w:eastAsia="Times New Roman" w:hAnsi="Times New Roman" w:cs="Times New Roman"/>
          <w:sz w:val="24"/>
          <w:szCs w:val="24"/>
          <w:lang w:eastAsia="es-MX"/>
        </w:rPr>
        <w:t>, pero no cuan</w:t>
      </w:r>
      <w:r w:rsidR="004421E3" w:rsidRPr="003E4533">
        <w:rPr>
          <w:rFonts w:ascii="Times New Roman" w:eastAsia="Times New Roman" w:hAnsi="Times New Roman" w:cs="Times New Roman"/>
          <w:sz w:val="24"/>
          <w:szCs w:val="24"/>
          <w:lang w:eastAsia="es-MX"/>
        </w:rPr>
        <w:t>d</w:t>
      </w:r>
      <w:r w:rsidRPr="003E4533">
        <w:rPr>
          <w:rFonts w:ascii="Times New Roman" w:eastAsia="Times New Roman" w:hAnsi="Times New Roman" w:cs="Times New Roman"/>
          <w:sz w:val="24"/>
          <w:szCs w:val="24"/>
          <w:lang w:eastAsia="es-MX"/>
        </w:rPr>
        <w:t xml:space="preserve">o </w:t>
      </w:r>
      <w:r w:rsidR="006234BC" w:rsidRPr="003E4533">
        <w:rPr>
          <w:rFonts w:ascii="Times New Roman" w:eastAsia="Times New Roman" w:hAnsi="Times New Roman" w:cs="Times New Roman"/>
          <w:sz w:val="24"/>
          <w:szCs w:val="24"/>
          <w:lang w:eastAsia="es-MX"/>
        </w:rPr>
        <w:t>el mínimo</w:t>
      </w:r>
      <w:r w:rsidRPr="003E4533">
        <w:rPr>
          <w:rFonts w:ascii="Times New Roman" w:eastAsia="Times New Roman" w:hAnsi="Times New Roman" w:cs="Times New Roman"/>
          <w:sz w:val="24"/>
          <w:szCs w:val="24"/>
          <w:lang w:eastAsia="es-MX"/>
        </w:rPr>
        <w:t xml:space="preserve"> esencia</w:t>
      </w:r>
      <w:r w:rsidR="006234BC" w:rsidRPr="003E4533">
        <w:rPr>
          <w:rFonts w:ascii="Times New Roman" w:eastAsia="Times New Roman" w:hAnsi="Times New Roman" w:cs="Times New Roman"/>
          <w:sz w:val="24"/>
          <w:szCs w:val="24"/>
          <w:lang w:eastAsia="es-MX"/>
        </w:rPr>
        <w:t>l</w:t>
      </w:r>
      <w:r w:rsidRPr="003E4533">
        <w:rPr>
          <w:rFonts w:ascii="Times New Roman" w:eastAsia="Times New Roman" w:hAnsi="Times New Roman" w:cs="Times New Roman"/>
          <w:sz w:val="24"/>
          <w:szCs w:val="24"/>
          <w:lang w:eastAsia="es-MX"/>
        </w:rPr>
        <w:t xml:space="preserve"> de un </w:t>
      </w:r>
      <w:r w:rsidR="006234BC" w:rsidRPr="003E4533">
        <w:rPr>
          <w:rFonts w:ascii="Times New Roman" w:eastAsia="Times New Roman" w:hAnsi="Times New Roman" w:cs="Times New Roman"/>
          <w:sz w:val="24"/>
          <w:szCs w:val="24"/>
          <w:lang w:eastAsia="es-MX"/>
        </w:rPr>
        <w:t xml:space="preserve">derecho </w:t>
      </w:r>
      <w:r w:rsidRPr="003E4533">
        <w:rPr>
          <w:rFonts w:ascii="Times New Roman" w:eastAsia="Times New Roman" w:hAnsi="Times New Roman" w:cs="Times New Roman"/>
          <w:sz w:val="24"/>
          <w:szCs w:val="24"/>
          <w:lang w:eastAsia="es-MX"/>
        </w:rPr>
        <w:t xml:space="preserve">sea vulnerado. </w:t>
      </w:r>
      <w:r w:rsidR="004421E3" w:rsidRPr="003E4533">
        <w:rPr>
          <w:rFonts w:ascii="Times New Roman" w:eastAsia="Times New Roman" w:hAnsi="Times New Roman" w:cs="Times New Roman"/>
          <w:sz w:val="24"/>
          <w:szCs w:val="24"/>
          <w:lang w:eastAsia="es-MX"/>
        </w:rPr>
        <w:t xml:space="preserve">Ello es </w:t>
      </w:r>
      <w:r w:rsidR="006234BC" w:rsidRPr="003E4533">
        <w:rPr>
          <w:rFonts w:ascii="Times New Roman" w:eastAsia="Times New Roman" w:hAnsi="Times New Roman" w:cs="Times New Roman"/>
          <w:sz w:val="24"/>
          <w:szCs w:val="24"/>
          <w:lang w:eastAsia="es-MX"/>
        </w:rPr>
        <w:t xml:space="preserve">consecuencia lógica de la lectura liberal y restringida que la Constitución hace de los DESC. </w:t>
      </w:r>
      <w:r w:rsidRPr="003E4533">
        <w:rPr>
          <w:rFonts w:ascii="Times New Roman" w:eastAsia="Times New Roman" w:hAnsi="Times New Roman" w:cs="Times New Roman"/>
          <w:sz w:val="24"/>
          <w:szCs w:val="24"/>
          <w:lang w:eastAsia="es-MX"/>
        </w:rPr>
        <w:t xml:space="preserve"> </w:t>
      </w:r>
      <w:r w:rsidR="00867192" w:rsidRPr="003E4533">
        <w:rPr>
          <w:rFonts w:ascii="Times New Roman" w:eastAsia="Times New Roman" w:hAnsi="Times New Roman" w:cs="Times New Roman"/>
          <w:sz w:val="24"/>
          <w:szCs w:val="24"/>
          <w:lang w:eastAsia="es-MX"/>
        </w:rPr>
        <w:t xml:space="preserve">Ello ocurre </w:t>
      </w:r>
      <w:r w:rsidRPr="003E4533">
        <w:rPr>
          <w:rFonts w:ascii="Times New Roman" w:eastAsia="Times New Roman" w:hAnsi="Times New Roman" w:cs="Times New Roman"/>
          <w:sz w:val="24"/>
          <w:szCs w:val="24"/>
          <w:lang w:eastAsia="es-MX"/>
        </w:rPr>
        <w:t xml:space="preserve">con el derecho a la salud y la seguridad social (art. 19 N° 9 y N° 16 de la CPRP).  </w:t>
      </w:r>
    </w:p>
    <w:p w14:paraId="75DBF8D8" w14:textId="3C229ACB" w:rsidR="000C4C35" w:rsidRPr="003E4533" w:rsidRDefault="00565210" w:rsidP="00E439F5">
      <w:pPr>
        <w:pStyle w:val="Textonotapie"/>
        <w:spacing w:line="276" w:lineRule="auto"/>
        <w:ind w:firstLine="284"/>
        <w:jc w:val="both"/>
        <w:rPr>
          <w:rFonts w:ascii="Times New Roman" w:hAnsi="Times New Roman" w:cs="Times New Roman"/>
          <w:sz w:val="24"/>
          <w:szCs w:val="24"/>
        </w:rPr>
      </w:pPr>
      <w:r w:rsidRPr="003E4533">
        <w:rPr>
          <w:rFonts w:ascii="Times New Roman" w:eastAsia="Times New Roman" w:hAnsi="Times New Roman" w:cs="Times New Roman"/>
          <w:sz w:val="24"/>
          <w:szCs w:val="24"/>
          <w:lang w:eastAsia="es-MX"/>
        </w:rPr>
        <w:t>Por su parte, el derecho a la</w:t>
      </w:r>
      <w:r w:rsidR="000C4C35" w:rsidRPr="003E4533">
        <w:rPr>
          <w:rFonts w:ascii="Times New Roman" w:eastAsia="Times New Roman" w:hAnsi="Times New Roman" w:cs="Times New Roman"/>
          <w:sz w:val="24"/>
          <w:szCs w:val="24"/>
          <w:lang w:eastAsia="es-MX"/>
        </w:rPr>
        <w:t xml:space="preserve"> educación y el derecho a vivir en un medio ambiente libre de contaminación, no están </w:t>
      </w:r>
      <w:r w:rsidRPr="003E4533">
        <w:rPr>
          <w:rFonts w:ascii="Times New Roman" w:eastAsia="Times New Roman" w:hAnsi="Times New Roman" w:cs="Times New Roman"/>
          <w:sz w:val="24"/>
          <w:szCs w:val="24"/>
          <w:lang w:eastAsia="es-MX"/>
        </w:rPr>
        <w:t xml:space="preserve">sujetos a la </w:t>
      </w:r>
      <w:r w:rsidR="000C4C35" w:rsidRPr="003E4533">
        <w:rPr>
          <w:rFonts w:ascii="Times New Roman" w:eastAsia="Times New Roman" w:hAnsi="Times New Roman" w:cs="Times New Roman"/>
          <w:sz w:val="24"/>
          <w:szCs w:val="24"/>
          <w:lang w:eastAsia="es-MX"/>
        </w:rPr>
        <w:t xml:space="preserve">protección </w:t>
      </w:r>
      <w:r w:rsidRPr="003E4533">
        <w:rPr>
          <w:rFonts w:ascii="Times New Roman" w:eastAsia="Times New Roman" w:hAnsi="Times New Roman" w:cs="Times New Roman"/>
          <w:sz w:val="24"/>
          <w:szCs w:val="24"/>
          <w:lang w:eastAsia="es-MX"/>
        </w:rPr>
        <w:t>d</w:t>
      </w:r>
      <w:r w:rsidR="000C4C35" w:rsidRPr="003E4533">
        <w:rPr>
          <w:rFonts w:ascii="Times New Roman" w:eastAsia="Times New Roman" w:hAnsi="Times New Roman" w:cs="Times New Roman"/>
          <w:sz w:val="24"/>
          <w:szCs w:val="24"/>
          <w:lang w:eastAsia="es-MX"/>
        </w:rPr>
        <w:t>el artículo 20.</w:t>
      </w:r>
      <w:r w:rsidR="000C4C35" w:rsidRPr="003E4533">
        <w:rPr>
          <w:rStyle w:val="Refdenotaalpie"/>
          <w:rFonts w:ascii="Times New Roman" w:eastAsia="Times New Roman" w:hAnsi="Times New Roman"/>
          <w:sz w:val="24"/>
          <w:szCs w:val="24"/>
          <w:lang w:eastAsia="es-MX"/>
        </w:rPr>
        <w:footnoteReference w:id="19"/>
      </w:r>
      <w:r w:rsidR="000C4C35" w:rsidRPr="003E4533">
        <w:rPr>
          <w:rFonts w:ascii="Times New Roman" w:eastAsia="Times New Roman" w:hAnsi="Times New Roman" w:cs="Times New Roman"/>
          <w:sz w:val="24"/>
          <w:szCs w:val="24"/>
          <w:lang w:eastAsia="es-MX"/>
        </w:rPr>
        <w:t xml:space="preserve">  Otros derechos, como la vivienda adecuada, simplemente no están consagrados</w:t>
      </w:r>
      <w:r w:rsidRPr="003E4533">
        <w:rPr>
          <w:rFonts w:ascii="Times New Roman" w:eastAsia="Times New Roman" w:hAnsi="Times New Roman" w:cs="Times New Roman"/>
          <w:sz w:val="24"/>
          <w:szCs w:val="24"/>
          <w:lang w:eastAsia="es-MX"/>
        </w:rPr>
        <w:t xml:space="preserve"> en el texto constitucional</w:t>
      </w:r>
      <w:r w:rsidR="000C4C35" w:rsidRPr="003E4533">
        <w:rPr>
          <w:rFonts w:ascii="Times New Roman" w:eastAsia="Times New Roman" w:hAnsi="Times New Roman" w:cs="Times New Roman"/>
          <w:sz w:val="24"/>
          <w:szCs w:val="24"/>
          <w:lang w:eastAsia="es-MX"/>
        </w:rPr>
        <w:t xml:space="preserve">. </w:t>
      </w:r>
    </w:p>
    <w:p w14:paraId="12E65BC6" w14:textId="4EE050F3" w:rsidR="000C4C35" w:rsidRPr="003E4533" w:rsidRDefault="000C4C35" w:rsidP="00E439F5">
      <w:pPr>
        <w:spacing w:after="0" w:line="276" w:lineRule="auto"/>
        <w:ind w:firstLine="284"/>
        <w:jc w:val="both"/>
        <w:rPr>
          <w:rFonts w:ascii="Times New Roman" w:eastAsia="Times New Roman" w:hAnsi="Times New Roman" w:cs="Times New Roman"/>
          <w:sz w:val="24"/>
          <w:szCs w:val="24"/>
          <w:lang w:eastAsia="es-MX"/>
        </w:rPr>
      </w:pPr>
      <w:r w:rsidRPr="003E4533">
        <w:rPr>
          <w:rFonts w:ascii="Times New Roman" w:eastAsia="Times New Roman" w:hAnsi="Times New Roman" w:cs="Times New Roman"/>
          <w:sz w:val="24"/>
          <w:szCs w:val="24"/>
          <w:lang w:eastAsia="es-MX"/>
        </w:rPr>
        <w:t xml:space="preserve">En el proceso de transición a la democracia, se realizaron diversas reformas al </w:t>
      </w:r>
      <w:r w:rsidR="00565210" w:rsidRPr="003E4533">
        <w:rPr>
          <w:rFonts w:ascii="Times New Roman" w:eastAsia="Times New Roman" w:hAnsi="Times New Roman" w:cs="Times New Roman"/>
          <w:sz w:val="24"/>
          <w:szCs w:val="24"/>
          <w:lang w:eastAsia="es-MX"/>
        </w:rPr>
        <w:t>t</w:t>
      </w:r>
      <w:r w:rsidRPr="003E4533">
        <w:rPr>
          <w:rFonts w:ascii="Times New Roman" w:eastAsia="Times New Roman" w:hAnsi="Times New Roman" w:cs="Times New Roman"/>
          <w:sz w:val="24"/>
          <w:szCs w:val="24"/>
          <w:lang w:eastAsia="es-MX"/>
        </w:rPr>
        <w:t>exto constitucional</w:t>
      </w:r>
      <w:r w:rsidR="00824291" w:rsidRPr="003E4533">
        <w:rPr>
          <w:rFonts w:ascii="Times New Roman" w:eastAsia="Times New Roman" w:hAnsi="Times New Roman" w:cs="Times New Roman"/>
          <w:sz w:val="24"/>
          <w:szCs w:val="24"/>
          <w:lang w:eastAsia="es-MX"/>
        </w:rPr>
        <w:t>.</w:t>
      </w:r>
      <w:r w:rsidRPr="003E4533">
        <w:rPr>
          <w:rFonts w:ascii="Times New Roman" w:eastAsia="Times New Roman" w:hAnsi="Times New Roman" w:cs="Times New Roman"/>
          <w:sz w:val="24"/>
          <w:szCs w:val="24"/>
          <w:vertAlign w:val="superscript"/>
          <w:lang w:eastAsia="es-MX"/>
        </w:rPr>
        <w:footnoteReference w:id="20"/>
      </w:r>
      <w:r w:rsidRPr="003E4533">
        <w:rPr>
          <w:rFonts w:ascii="Times New Roman" w:eastAsia="Times New Roman" w:hAnsi="Times New Roman" w:cs="Times New Roman"/>
          <w:sz w:val="24"/>
          <w:szCs w:val="24"/>
          <w:lang w:eastAsia="es-MX"/>
        </w:rPr>
        <w:t xml:space="preserve"> La primera de ellas, aprobada por la Ley Nº 18.825</w:t>
      </w:r>
      <w:r w:rsidR="004421E3" w:rsidRPr="003E4533">
        <w:rPr>
          <w:rFonts w:ascii="Times New Roman" w:eastAsia="Times New Roman" w:hAnsi="Times New Roman" w:cs="Times New Roman"/>
          <w:sz w:val="24"/>
          <w:szCs w:val="24"/>
          <w:lang w:eastAsia="es-MX"/>
        </w:rPr>
        <w:t>en 1989,</w:t>
      </w:r>
      <w:r w:rsidRPr="003E4533">
        <w:rPr>
          <w:rFonts w:ascii="Times New Roman" w:eastAsia="Times New Roman" w:hAnsi="Times New Roman" w:cs="Times New Roman"/>
          <w:sz w:val="24"/>
          <w:szCs w:val="24"/>
          <w:lang w:eastAsia="es-MX"/>
        </w:rPr>
        <w:t xml:space="preserve"> </w:t>
      </w:r>
      <w:r w:rsidR="00565210" w:rsidRPr="003E4533">
        <w:rPr>
          <w:rFonts w:ascii="Times New Roman" w:eastAsia="Times New Roman" w:hAnsi="Times New Roman" w:cs="Times New Roman"/>
          <w:sz w:val="24"/>
          <w:szCs w:val="24"/>
          <w:lang w:eastAsia="es-MX"/>
        </w:rPr>
        <w:t xml:space="preserve">resultado </w:t>
      </w:r>
      <w:r w:rsidRPr="003E4533">
        <w:rPr>
          <w:rFonts w:ascii="Times New Roman" w:eastAsia="Times New Roman" w:hAnsi="Times New Roman" w:cs="Times New Roman"/>
          <w:sz w:val="24"/>
          <w:szCs w:val="24"/>
          <w:lang w:eastAsia="es-MX"/>
        </w:rPr>
        <w:t xml:space="preserve">de acuerdos entre el Régimen Militar de Augusto Pinochet y la oposición de la época, incorpora </w:t>
      </w:r>
      <w:r w:rsidRPr="003E4533">
        <w:rPr>
          <w:rFonts w:ascii="Times New Roman" w:eastAsia="Times New Roman" w:hAnsi="Times New Roman" w:cs="Times New Roman"/>
          <w:sz w:val="24"/>
          <w:szCs w:val="24"/>
          <w:lang w:eastAsia="es-MX"/>
        </w:rPr>
        <w:lastRenderedPageBreak/>
        <w:t>de manera “indirecta” derechos económicos sociales y culturales</w:t>
      </w:r>
      <w:r w:rsidR="00565210" w:rsidRPr="003E4533">
        <w:rPr>
          <w:rFonts w:ascii="Times New Roman" w:eastAsia="Times New Roman" w:hAnsi="Times New Roman" w:cs="Times New Roman"/>
          <w:sz w:val="24"/>
          <w:szCs w:val="24"/>
          <w:lang w:eastAsia="es-MX"/>
        </w:rPr>
        <w:t xml:space="preserve">. Se agregó </w:t>
      </w:r>
      <w:r w:rsidRPr="003E4533">
        <w:rPr>
          <w:rFonts w:ascii="Times New Roman" w:eastAsia="Times New Roman" w:hAnsi="Times New Roman" w:cs="Times New Roman"/>
          <w:sz w:val="24"/>
          <w:szCs w:val="24"/>
          <w:lang w:eastAsia="es-MX"/>
        </w:rPr>
        <w:t>un inciso</w:t>
      </w:r>
      <w:r w:rsidR="00565210" w:rsidRPr="003E4533">
        <w:rPr>
          <w:rFonts w:ascii="Times New Roman" w:eastAsia="Times New Roman" w:hAnsi="Times New Roman" w:cs="Times New Roman"/>
          <w:sz w:val="24"/>
          <w:szCs w:val="24"/>
          <w:lang w:eastAsia="es-MX"/>
        </w:rPr>
        <w:t xml:space="preserve"> segundo</w:t>
      </w:r>
      <w:r w:rsidRPr="003E4533">
        <w:rPr>
          <w:rFonts w:ascii="Times New Roman" w:eastAsia="Times New Roman" w:hAnsi="Times New Roman" w:cs="Times New Roman"/>
          <w:sz w:val="24"/>
          <w:szCs w:val="24"/>
          <w:lang w:eastAsia="es-MX"/>
        </w:rPr>
        <w:t xml:space="preserve"> al artículo 5 </w:t>
      </w:r>
      <w:r w:rsidR="00565210" w:rsidRPr="003E4533">
        <w:rPr>
          <w:rFonts w:ascii="Times New Roman" w:eastAsia="Times New Roman" w:hAnsi="Times New Roman" w:cs="Times New Roman"/>
          <w:sz w:val="24"/>
          <w:szCs w:val="24"/>
          <w:lang w:eastAsia="es-MX"/>
        </w:rPr>
        <w:t>de la Constitución</w:t>
      </w:r>
      <w:r w:rsidRPr="003E4533">
        <w:rPr>
          <w:rFonts w:ascii="Times New Roman" w:eastAsia="Times New Roman" w:hAnsi="Times New Roman" w:cs="Times New Roman"/>
          <w:sz w:val="24"/>
          <w:szCs w:val="24"/>
          <w:lang w:eastAsia="es-MX"/>
        </w:rPr>
        <w:t xml:space="preserve">, </w:t>
      </w:r>
      <w:r w:rsidR="002A0938" w:rsidRPr="003E4533">
        <w:rPr>
          <w:rFonts w:ascii="Times New Roman" w:eastAsia="Times New Roman" w:hAnsi="Times New Roman" w:cs="Times New Roman"/>
          <w:sz w:val="24"/>
          <w:szCs w:val="24"/>
          <w:lang w:eastAsia="es-MX"/>
        </w:rPr>
        <w:t>que establece que los derechos fundamentales limitan la soberanía</w:t>
      </w:r>
      <w:r w:rsidR="00824291" w:rsidRPr="003E4533">
        <w:rPr>
          <w:rFonts w:ascii="Times New Roman" w:eastAsia="Times New Roman" w:hAnsi="Times New Roman" w:cs="Times New Roman"/>
          <w:sz w:val="24"/>
          <w:szCs w:val="24"/>
          <w:lang w:eastAsia="es-MX"/>
        </w:rPr>
        <w:t>.</w:t>
      </w:r>
      <w:r w:rsidRPr="003E4533">
        <w:rPr>
          <w:rStyle w:val="Refdenotaalpie"/>
          <w:rFonts w:ascii="Times New Roman" w:eastAsia="Times New Roman" w:hAnsi="Times New Roman"/>
          <w:sz w:val="24"/>
          <w:szCs w:val="24"/>
          <w:lang w:eastAsia="es-MX"/>
        </w:rPr>
        <w:footnoteReference w:id="21"/>
      </w:r>
      <w:r w:rsidRPr="003E4533">
        <w:rPr>
          <w:rFonts w:ascii="Times New Roman" w:eastAsia="Times New Roman" w:hAnsi="Times New Roman" w:cs="Times New Roman"/>
          <w:sz w:val="24"/>
          <w:szCs w:val="24"/>
          <w:lang w:eastAsia="es-MX"/>
        </w:rPr>
        <w:t xml:space="preserve"> Existen diversas posturas respecto a cuál sería el rango o jerarquización de los tratados a que se refiere e</w:t>
      </w:r>
      <w:r w:rsidR="002A0938" w:rsidRPr="003E4533">
        <w:rPr>
          <w:rFonts w:ascii="Times New Roman" w:eastAsia="Times New Roman" w:hAnsi="Times New Roman" w:cs="Times New Roman"/>
          <w:sz w:val="24"/>
          <w:szCs w:val="24"/>
          <w:lang w:eastAsia="es-MX"/>
        </w:rPr>
        <w:t>ste</w:t>
      </w:r>
      <w:r w:rsidRPr="003E4533">
        <w:rPr>
          <w:rFonts w:ascii="Times New Roman" w:eastAsia="Times New Roman" w:hAnsi="Times New Roman" w:cs="Times New Roman"/>
          <w:sz w:val="24"/>
          <w:szCs w:val="24"/>
          <w:lang w:eastAsia="es-MX"/>
        </w:rPr>
        <w:t xml:space="preserve"> artículo 5° de la Constitución. </w:t>
      </w:r>
      <w:r w:rsidR="002A0938" w:rsidRPr="003E4533">
        <w:rPr>
          <w:rFonts w:ascii="Times New Roman" w:eastAsia="Times New Roman" w:hAnsi="Times New Roman" w:cs="Times New Roman"/>
          <w:sz w:val="24"/>
          <w:szCs w:val="24"/>
          <w:lang w:eastAsia="es-MX"/>
        </w:rPr>
        <w:t>Existe acuerdo en la d</w:t>
      </w:r>
      <w:r w:rsidRPr="003E4533">
        <w:rPr>
          <w:rFonts w:ascii="Times New Roman" w:eastAsia="Times New Roman" w:hAnsi="Times New Roman" w:cs="Times New Roman"/>
          <w:sz w:val="24"/>
          <w:szCs w:val="24"/>
          <w:lang w:eastAsia="es-MX"/>
        </w:rPr>
        <w:t xml:space="preserve">octrina </w:t>
      </w:r>
      <w:r w:rsidR="002A0938" w:rsidRPr="003E4533">
        <w:rPr>
          <w:rFonts w:ascii="Times New Roman" w:eastAsia="Times New Roman" w:hAnsi="Times New Roman" w:cs="Times New Roman"/>
          <w:sz w:val="24"/>
          <w:szCs w:val="24"/>
          <w:lang w:eastAsia="es-MX"/>
        </w:rPr>
        <w:t xml:space="preserve">que </w:t>
      </w:r>
      <w:r w:rsidRPr="003E4533">
        <w:rPr>
          <w:rFonts w:ascii="Times New Roman" w:eastAsia="Times New Roman" w:hAnsi="Times New Roman" w:cs="Times New Roman"/>
          <w:sz w:val="24"/>
          <w:szCs w:val="24"/>
          <w:lang w:eastAsia="es-MX"/>
        </w:rPr>
        <w:t xml:space="preserve">los derechos reconocidos en los diversos pactos y convenciones sobre </w:t>
      </w:r>
      <w:r w:rsidR="002A0938" w:rsidRPr="003E4533">
        <w:rPr>
          <w:rFonts w:ascii="Times New Roman" w:eastAsia="Times New Roman" w:hAnsi="Times New Roman" w:cs="Times New Roman"/>
          <w:sz w:val="24"/>
          <w:szCs w:val="24"/>
          <w:lang w:eastAsia="es-MX"/>
        </w:rPr>
        <w:t>derechos humanos (</w:t>
      </w:r>
      <w:r w:rsidRPr="003E4533">
        <w:rPr>
          <w:rFonts w:ascii="Times New Roman" w:eastAsia="Times New Roman" w:hAnsi="Times New Roman" w:cs="Times New Roman"/>
          <w:sz w:val="24"/>
          <w:szCs w:val="24"/>
          <w:lang w:eastAsia="es-MX"/>
        </w:rPr>
        <w:t>DDHH</w:t>
      </w:r>
      <w:r w:rsidR="002A0938" w:rsidRPr="003E4533">
        <w:rPr>
          <w:rFonts w:ascii="Times New Roman" w:eastAsia="Times New Roman" w:hAnsi="Times New Roman" w:cs="Times New Roman"/>
          <w:sz w:val="24"/>
          <w:szCs w:val="24"/>
          <w:lang w:eastAsia="es-MX"/>
        </w:rPr>
        <w:t>)</w:t>
      </w:r>
      <w:r w:rsidRPr="003E4533">
        <w:rPr>
          <w:rFonts w:ascii="Times New Roman" w:eastAsia="Times New Roman" w:hAnsi="Times New Roman" w:cs="Times New Roman"/>
          <w:sz w:val="24"/>
          <w:szCs w:val="24"/>
          <w:lang w:eastAsia="es-MX"/>
        </w:rPr>
        <w:t xml:space="preserve"> </w:t>
      </w:r>
      <w:r w:rsidR="002A0938" w:rsidRPr="003E4533">
        <w:rPr>
          <w:rFonts w:ascii="Times New Roman" w:eastAsia="Times New Roman" w:hAnsi="Times New Roman" w:cs="Times New Roman"/>
          <w:sz w:val="24"/>
          <w:szCs w:val="24"/>
          <w:lang w:eastAsia="es-MX"/>
        </w:rPr>
        <w:t xml:space="preserve">ratificados por Chile tendrían </w:t>
      </w:r>
      <w:r w:rsidRPr="003E4533">
        <w:rPr>
          <w:rFonts w:ascii="Times New Roman" w:eastAsia="Times New Roman" w:hAnsi="Times New Roman" w:cs="Times New Roman"/>
          <w:sz w:val="24"/>
          <w:szCs w:val="24"/>
          <w:lang w:eastAsia="es-MX"/>
        </w:rPr>
        <w:t>rango constitucional. La jerarquía adquiere relevancia cuando existen notorias diferencias en el establecimiento de derechos sin los estándares internacionales en la Constitución; y, aquellos consagrados en los tratados que Chile ha ratificado.</w:t>
      </w:r>
    </w:p>
    <w:p w14:paraId="2A5B8496" w14:textId="01E6CF9E" w:rsidR="000C4C35" w:rsidRPr="00E61542" w:rsidRDefault="008D4D94" w:rsidP="00E439F5">
      <w:pPr>
        <w:spacing w:before="240" w:after="240" w:line="276" w:lineRule="auto"/>
        <w:jc w:val="both"/>
        <w:rPr>
          <w:rFonts w:ascii="Times New Roman" w:eastAsia="Times New Roman" w:hAnsi="Times New Roman" w:cs="Times New Roman"/>
          <w:b/>
          <w:bCs/>
          <w:sz w:val="28"/>
          <w:szCs w:val="28"/>
          <w:lang w:eastAsia="es-MX"/>
        </w:rPr>
      </w:pPr>
      <w:r w:rsidRPr="00E61542">
        <w:rPr>
          <w:rFonts w:ascii="Times New Roman" w:eastAsia="Times New Roman" w:hAnsi="Times New Roman" w:cs="Times New Roman"/>
          <w:b/>
          <w:bCs/>
          <w:sz w:val="28"/>
          <w:szCs w:val="28"/>
          <w:lang w:eastAsia="es-MX"/>
        </w:rPr>
        <w:t xml:space="preserve">2.- </w:t>
      </w:r>
      <w:r w:rsidR="001C26EA" w:rsidRPr="00E61542">
        <w:rPr>
          <w:rFonts w:ascii="Times New Roman" w:eastAsia="Times New Roman" w:hAnsi="Times New Roman" w:cs="Times New Roman"/>
          <w:b/>
          <w:bCs/>
          <w:sz w:val="28"/>
          <w:szCs w:val="28"/>
          <w:lang w:eastAsia="es-MX"/>
        </w:rPr>
        <w:t>DESC: Justiciabilidad y Reconocimiento Constitucional</w:t>
      </w:r>
    </w:p>
    <w:p w14:paraId="13FA372D" w14:textId="03552A8F" w:rsidR="000C4C35" w:rsidRPr="003E4533" w:rsidRDefault="002A0938" w:rsidP="00E439F5">
      <w:pPr>
        <w:spacing w:after="0" w:line="276" w:lineRule="auto"/>
        <w:ind w:firstLine="284"/>
        <w:jc w:val="both"/>
        <w:rPr>
          <w:rFonts w:ascii="Times New Roman" w:eastAsia="Times New Roman" w:hAnsi="Times New Roman" w:cs="Times New Roman"/>
          <w:sz w:val="24"/>
          <w:szCs w:val="24"/>
          <w:lang w:eastAsia="es-MX"/>
        </w:rPr>
      </w:pPr>
      <w:r w:rsidRPr="003E4533">
        <w:rPr>
          <w:rFonts w:ascii="Times New Roman" w:eastAsia="Times New Roman" w:hAnsi="Times New Roman" w:cs="Times New Roman"/>
          <w:sz w:val="24"/>
          <w:szCs w:val="24"/>
          <w:lang w:eastAsia="es-MX"/>
        </w:rPr>
        <w:t xml:space="preserve">La Constitución actual no garantiza los </w:t>
      </w:r>
      <w:r w:rsidR="000C4C35" w:rsidRPr="003E4533">
        <w:rPr>
          <w:rFonts w:ascii="Times New Roman" w:eastAsia="Times New Roman" w:hAnsi="Times New Roman" w:cs="Times New Roman"/>
          <w:sz w:val="24"/>
          <w:szCs w:val="24"/>
          <w:lang w:eastAsia="es-MX"/>
        </w:rPr>
        <w:t>DESC</w:t>
      </w:r>
      <w:r w:rsidRPr="003E4533">
        <w:rPr>
          <w:rFonts w:ascii="Times New Roman" w:eastAsia="Times New Roman" w:hAnsi="Times New Roman" w:cs="Times New Roman"/>
          <w:sz w:val="24"/>
          <w:szCs w:val="24"/>
          <w:lang w:eastAsia="es-MX"/>
        </w:rPr>
        <w:t xml:space="preserve"> de forma directa ni de conformidad a los estándares del derecho internacional de los derechos humanos.  </w:t>
      </w:r>
      <w:r w:rsidR="000C4C35" w:rsidRPr="003E4533">
        <w:rPr>
          <w:rFonts w:ascii="Times New Roman" w:eastAsia="Times New Roman" w:hAnsi="Times New Roman" w:cs="Times New Roman"/>
          <w:sz w:val="24"/>
          <w:szCs w:val="24"/>
          <w:lang w:eastAsia="es-MX"/>
        </w:rPr>
        <w:t>E</w:t>
      </w:r>
      <w:r w:rsidRPr="003E4533">
        <w:rPr>
          <w:rFonts w:ascii="Times New Roman" w:eastAsia="Times New Roman" w:hAnsi="Times New Roman" w:cs="Times New Roman"/>
          <w:sz w:val="24"/>
          <w:szCs w:val="24"/>
          <w:lang w:eastAsia="es-MX"/>
        </w:rPr>
        <w:t xml:space="preserve">sto ya la señalado el </w:t>
      </w:r>
      <w:bookmarkStart w:id="2" w:name="_Hlk29013151"/>
      <w:r w:rsidR="000C4C35" w:rsidRPr="003E4533">
        <w:rPr>
          <w:rFonts w:ascii="Times New Roman" w:eastAsia="Times New Roman" w:hAnsi="Times New Roman" w:cs="Times New Roman"/>
          <w:sz w:val="24"/>
          <w:szCs w:val="24"/>
          <w:lang w:eastAsia="es-MX"/>
        </w:rPr>
        <w:t xml:space="preserve">Informe del Relator Especial </w:t>
      </w:r>
      <w:r w:rsidRPr="003E4533">
        <w:rPr>
          <w:rFonts w:ascii="Times New Roman" w:eastAsia="Times New Roman" w:hAnsi="Times New Roman" w:cs="Times New Roman"/>
          <w:sz w:val="24"/>
          <w:szCs w:val="24"/>
          <w:lang w:eastAsia="es-MX"/>
        </w:rPr>
        <w:t xml:space="preserve">de extrema pobreza, </w:t>
      </w:r>
      <w:r w:rsidR="000C4C35" w:rsidRPr="003E4533">
        <w:rPr>
          <w:rFonts w:ascii="Times New Roman" w:eastAsia="Times New Roman" w:hAnsi="Times New Roman" w:cs="Times New Roman"/>
          <w:sz w:val="24"/>
          <w:szCs w:val="24"/>
          <w:lang w:eastAsia="es-MX"/>
        </w:rPr>
        <w:t>ya citado</w:t>
      </w:r>
      <w:r w:rsidR="00583D5C" w:rsidRPr="003E4533">
        <w:rPr>
          <w:rFonts w:ascii="Times New Roman" w:eastAsia="Times New Roman" w:hAnsi="Times New Roman" w:cs="Times New Roman"/>
          <w:sz w:val="24"/>
          <w:szCs w:val="24"/>
          <w:lang w:eastAsia="es-MX"/>
        </w:rPr>
        <w:t>.</w:t>
      </w:r>
      <w:r w:rsidR="000C4C35" w:rsidRPr="003E4533">
        <w:rPr>
          <w:rStyle w:val="Refdenotaalpie"/>
          <w:rFonts w:ascii="Times New Roman" w:eastAsia="Times New Roman" w:hAnsi="Times New Roman"/>
          <w:sz w:val="24"/>
          <w:szCs w:val="24"/>
          <w:lang w:eastAsia="es-MX"/>
        </w:rPr>
        <w:footnoteReference w:id="22"/>
      </w:r>
      <w:r w:rsidR="000C4C35" w:rsidRPr="003E4533">
        <w:rPr>
          <w:rFonts w:ascii="Times New Roman" w:eastAsia="Times New Roman" w:hAnsi="Times New Roman" w:cs="Times New Roman"/>
          <w:sz w:val="24"/>
          <w:szCs w:val="24"/>
          <w:lang w:eastAsia="es-MX"/>
        </w:rPr>
        <w:t xml:space="preserve"> Asimismo, </w:t>
      </w:r>
      <w:r w:rsidRPr="003E4533">
        <w:rPr>
          <w:rFonts w:ascii="Times New Roman" w:eastAsia="Times New Roman" w:hAnsi="Times New Roman" w:cs="Times New Roman"/>
          <w:sz w:val="24"/>
          <w:szCs w:val="24"/>
          <w:lang w:eastAsia="es-MX"/>
        </w:rPr>
        <w:t xml:space="preserve">como lo señalara ya el Comité de Derechos Económicos, Sociales y Culturales (Comité DESC) en su observaciones a Chile en el </w:t>
      </w:r>
      <w:r w:rsidR="00B94197" w:rsidRPr="003E4533">
        <w:rPr>
          <w:rFonts w:ascii="Times New Roman" w:eastAsia="Times New Roman" w:hAnsi="Times New Roman" w:cs="Times New Roman"/>
          <w:sz w:val="24"/>
          <w:szCs w:val="24"/>
          <w:lang w:eastAsia="es-MX"/>
        </w:rPr>
        <w:t>2004</w:t>
      </w:r>
      <w:r w:rsidRPr="003E4533">
        <w:rPr>
          <w:rFonts w:ascii="Times New Roman" w:eastAsia="Times New Roman" w:hAnsi="Times New Roman" w:cs="Times New Roman"/>
          <w:sz w:val="24"/>
          <w:szCs w:val="24"/>
          <w:lang w:eastAsia="es-MX"/>
        </w:rPr>
        <w:t xml:space="preserve">, </w:t>
      </w:r>
      <w:bookmarkEnd w:id="2"/>
      <w:r w:rsidRPr="003E4533">
        <w:rPr>
          <w:rFonts w:ascii="Times New Roman" w:eastAsia="Times New Roman" w:hAnsi="Times New Roman" w:cs="Times New Roman"/>
          <w:sz w:val="24"/>
          <w:szCs w:val="24"/>
          <w:lang w:eastAsia="es-MX"/>
        </w:rPr>
        <w:t xml:space="preserve">varios </w:t>
      </w:r>
      <w:r w:rsidR="000C4C35" w:rsidRPr="003E4533">
        <w:rPr>
          <w:rFonts w:ascii="Times New Roman" w:eastAsia="Times New Roman" w:hAnsi="Times New Roman" w:cs="Times New Roman"/>
          <w:sz w:val="24"/>
          <w:szCs w:val="24"/>
          <w:lang w:eastAsia="es-MX"/>
        </w:rPr>
        <w:t>derechos económicos, sociales y culturales</w:t>
      </w:r>
      <w:r w:rsidRPr="003E4533">
        <w:rPr>
          <w:rFonts w:ascii="Times New Roman" w:eastAsia="Times New Roman" w:hAnsi="Times New Roman" w:cs="Times New Roman"/>
          <w:sz w:val="24"/>
          <w:szCs w:val="24"/>
          <w:lang w:eastAsia="es-MX"/>
        </w:rPr>
        <w:t xml:space="preserve">, como el derecho a la vivienda </w:t>
      </w:r>
      <w:r w:rsidR="000C4C35" w:rsidRPr="003E4533">
        <w:rPr>
          <w:rFonts w:ascii="Times New Roman" w:eastAsia="Times New Roman" w:hAnsi="Times New Roman" w:cs="Times New Roman"/>
          <w:sz w:val="24"/>
          <w:szCs w:val="24"/>
          <w:lang w:eastAsia="es-MX"/>
        </w:rPr>
        <w:t>no s</w:t>
      </w:r>
      <w:r w:rsidRPr="003E4533">
        <w:rPr>
          <w:rFonts w:ascii="Times New Roman" w:eastAsia="Times New Roman" w:hAnsi="Times New Roman" w:cs="Times New Roman"/>
          <w:sz w:val="24"/>
          <w:szCs w:val="24"/>
          <w:lang w:eastAsia="es-MX"/>
        </w:rPr>
        <w:t xml:space="preserve">on </w:t>
      </w:r>
      <w:r w:rsidR="000C4C35" w:rsidRPr="003E4533">
        <w:rPr>
          <w:rFonts w:ascii="Times New Roman" w:eastAsia="Times New Roman" w:hAnsi="Times New Roman" w:cs="Times New Roman"/>
          <w:sz w:val="24"/>
          <w:szCs w:val="24"/>
          <w:lang w:eastAsia="es-MX"/>
        </w:rPr>
        <w:t>justiciables</w:t>
      </w:r>
      <w:r w:rsidRPr="003E4533">
        <w:rPr>
          <w:rFonts w:ascii="Times New Roman" w:eastAsia="Times New Roman" w:hAnsi="Times New Roman" w:cs="Times New Roman"/>
          <w:sz w:val="24"/>
          <w:szCs w:val="24"/>
          <w:lang w:eastAsia="es-MX"/>
        </w:rPr>
        <w:t>.</w:t>
      </w:r>
      <w:r w:rsidR="000C4C35" w:rsidRPr="003E4533">
        <w:rPr>
          <w:rStyle w:val="Refdenotaalpie"/>
          <w:rFonts w:ascii="Times New Roman" w:hAnsi="Times New Roman"/>
          <w:sz w:val="24"/>
          <w:szCs w:val="24"/>
        </w:rPr>
        <w:footnoteReference w:id="23"/>
      </w:r>
    </w:p>
    <w:p w14:paraId="0123742C" w14:textId="250CC83F" w:rsidR="000C4C35" w:rsidRPr="003E4533" w:rsidRDefault="002A0938" w:rsidP="00E439F5">
      <w:pPr>
        <w:spacing w:after="0" w:line="276" w:lineRule="auto"/>
        <w:ind w:firstLine="284"/>
        <w:jc w:val="both"/>
        <w:rPr>
          <w:rFonts w:ascii="Times New Roman" w:eastAsia="Times New Roman" w:hAnsi="Times New Roman" w:cs="Times New Roman"/>
          <w:sz w:val="24"/>
          <w:szCs w:val="24"/>
          <w:lang w:eastAsia="es-MX"/>
        </w:rPr>
      </w:pPr>
      <w:r w:rsidRPr="003E4533">
        <w:rPr>
          <w:rFonts w:ascii="Times New Roman" w:eastAsia="Times New Roman" w:hAnsi="Times New Roman" w:cs="Times New Roman"/>
          <w:sz w:val="24"/>
          <w:szCs w:val="24"/>
          <w:lang w:eastAsia="es-MX"/>
        </w:rPr>
        <w:t>E</w:t>
      </w:r>
      <w:r w:rsidR="000C4C35" w:rsidRPr="003E4533">
        <w:rPr>
          <w:rFonts w:ascii="Times New Roman" w:eastAsia="Times New Roman" w:hAnsi="Times New Roman" w:cs="Times New Roman"/>
          <w:sz w:val="24"/>
          <w:szCs w:val="24"/>
          <w:lang w:eastAsia="es-MX"/>
        </w:rPr>
        <w:t>n el año 2015</w:t>
      </w:r>
      <w:r w:rsidRPr="003E4533">
        <w:rPr>
          <w:rFonts w:ascii="Times New Roman" w:eastAsia="Times New Roman" w:hAnsi="Times New Roman" w:cs="Times New Roman"/>
          <w:sz w:val="24"/>
          <w:szCs w:val="24"/>
          <w:lang w:eastAsia="es-MX"/>
        </w:rPr>
        <w:t>, el</w:t>
      </w:r>
      <w:r w:rsidR="000C4C35" w:rsidRPr="003E4533">
        <w:rPr>
          <w:rFonts w:ascii="Times New Roman" w:eastAsia="Times New Roman" w:hAnsi="Times New Roman" w:cs="Times New Roman"/>
          <w:sz w:val="24"/>
          <w:szCs w:val="24"/>
          <w:lang w:eastAsia="es-MX"/>
        </w:rPr>
        <w:t xml:space="preserve"> Comité </w:t>
      </w:r>
      <w:r w:rsidRPr="003E4533">
        <w:rPr>
          <w:rFonts w:ascii="Times New Roman" w:eastAsia="Times New Roman" w:hAnsi="Times New Roman" w:cs="Times New Roman"/>
          <w:sz w:val="24"/>
          <w:szCs w:val="24"/>
          <w:lang w:eastAsia="es-MX"/>
        </w:rPr>
        <w:t xml:space="preserve">DESC </w:t>
      </w:r>
      <w:r w:rsidR="000C4C35" w:rsidRPr="003E4533">
        <w:rPr>
          <w:rFonts w:ascii="Times New Roman" w:eastAsia="Times New Roman" w:hAnsi="Times New Roman" w:cs="Times New Roman"/>
          <w:sz w:val="24"/>
          <w:szCs w:val="24"/>
          <w:lang w:eastAsia="es-MX"/>
        </w:rPr>
        <w:t xml:space="preserve">manifestó su satisfacción </w:t>
      </w:r>
      <w:r w:rsidR="004417E3" w:rsidRPr="003E4533">
        <w:rPr>
          <w:rFonts w:ascii="Times New Roman" w:eastAsia="Times New Roman" w:hAnsi="Times New Roman" w:cs="Times New Roman"/>
          <w:sz w:val="24"/>
          <w:szCs w:val="24"/>
          <w:lang w:eastAsia="es-MX"/>
        </w:rPr>
        <w:t xml:space="preserve">respecto al proceso de reforma constitucional que estaba por iniciarse en el gobierno de la ex Presidenta Michelle Bachelet </w:t>
      </w:r>
      <w:r w:rsidR="00B94197" w:rsidRPr="003E4533">
        <w:rPr>
          <w:rFonts w:ascii="Times New Roman" w:eastAsia="Times New Roman" w:hAnsi="Times New Roman" w:cs="Times New Roman"/>
          <w:sz w:val="24"/>
          <w:szCs w:val="24"/>
          <w:lang w:eastAsia="es-MX"/>
        </w:rPr>
        <w:t>(2014-2018)</w:t>
      </w:r>
      <w:r w:rsidR="004417E3" w:rsidRPr="003E4533">
        <w:rPr>
          <w:rFonts w:ascii="Times New Roman" w:eastAsia="Times New Roman" w:hAnsi="Times New Roman" w:cs="Times New Roman"/>
          <w:sz w:val="24"/>
          <w:szCs w:val="24"/>
          <w:lang w:eastAsia="es-MX"/>
        </w:rPr>
        <w:t xml:space="preserve"> y </w:t>
      </w:r>
      <w:r w:rsidR="000C4C35" w:rsidRPr="003E4533">
        <w:rPr>
          <w:rFonts w:ascii="Times New Roman" w:eastAsia="Times New Roman" w:hAnsi="Times New Roman" w:cs="Times New Roman"/>
          <w:sz w:val="24"/>
          <w:szCs w:val="24"/>
          <w:lang w:eastAsia="es-MX"/>
        </w:rPr>
        <w:t>recomendó a Chile que, “el nuevo texto constitucional, garantizara los derechos de los pueblos indígenas y el reconocimiento integral y la protección jurídica necesaria de los derechos económicos, sociales y culturales</w:t>
      </w:r>
      <w:r w:rsidR="00D31F95">
        <w:rPr>
          <w:rFonts w:ascii="Times New Roman" w:eastAsia="Times New Roman" w:hAnsi="Times New Roman" w:cs="Times New Roman"/>
          <w:sz w:val="24"/>
          <w:szCs w:val="24"/>
          <w:lang w:eastAsia="es-MX"/>
        </w:rPr>
        <w:t>.</w:t>
      </w:r>
      <w:r w:rsidR="000C4C35" w:rsidRPr="003E4533">
        <w:rPr>
          <w:rFonts w:ascii="Times New Roman" w:eastAsia="Times New Roman" w:hAnsi="Times New Roman" w:cs="Times New Roman"/>
          <w:sz w:val="24"/>
          <w:szCs w:val="24"/>
          <w:lang w:eastAsia="es-MX"/>
        </w:rPr>
        <w:t>”</w:t>
      </w:r>
      <w:r w:rsidR="000C4C35" w:rsidRPr="00931DC6">
        <w:rPr>
          <w:rFonts w:ascii="Times New Roman" w:eastAsia="Times New Roman" w:hAnsi="Times New Roman" w:cs="Times New Roman"/>
          <w:sz w:val="24"/>
          <w:szCs w:val="24"/>
          <w:vertAlign w:val="superscript"/>
          <w:lang w:eastAsia="es-MX"/>
        </w:rPr>
        <w:footnoteReference w:id="24"/>
      </w:r>
      <w:r w:rsidR="000C4C35" w:rsidRPr="003E4533">
        <w:rPr>
          <w:rFonts w:ascii="Times New Roman" w:eastAsia="Times New Roman" w:hAnsi="Times New Roman" w:cs="Times New Roman"/>
          <w:sz w:val="24"/>
          <w:szCs w:val="24"/>
          <w:lang w:eastAsia="es-MX"/>
        </w:rPr>
        <w:t xml:space="preserve"> </w:t>
      </w:r>
      <w:r w:rsidR="004417E3" w:rsidRPr="003E4533">
        <w:rPr>
          <w:rFonts w:ascii="Times New Roman" w:eastAsia="Times New Roman" w:hAnsi="Times New Roman" w:cs="Times New Roman"/>
          <w:sz w:val="24"/>
          <w:szCs w:val="24"/>
          <w:lang w:eastAsia="es-MX"/>
        </w:rPr>
        <w:t xml:space="preserve">Sin embargo, como informó el </w:t>
      </w:r>
      <w:r w:rsidR="000C4C35" w:rsidRPr="003E4533">
        <w:rPr>
          <w:rFonts w:ascii="Times New Roman" w:eastAsia="Times New Roman" w:hAnsi="Times New Roman" w:cs="Times New Roman"/>
          <w:sz w:val="24"/>
          <w:szCs w:val="24"/>
          <w:lang w:eastAsia="es-MX"/>
        </w:rPr>
        <w:t xml:space="preserve">equipo de las Naciones Unidas en el país en marzo de 2018, </w:t>
      </w:r>
      <w:r w:rsidR="004417E3" w:rsidRPr="003E4533">
        <w:rPr>
          <w:rFonts w:ascii="Times New Roman" w:eastAsia="Times New Roman" w:hAnsi="Times New Roman" w:cs="Times New Roman"/>
          <w:sz w:val="24"/>
          <w:szCs w:val="24"/>
          <w:lang w:eastAsia="es-MX"/>
        </w:rPr>
        <w:t>“</w:t>
      </w:r>
      <w:r w:rsidR="000C4C35" w:rsidRPr="003E4533">
        <w:rPr>
          <w:rFonts w:ascii="Times New Roman" w:eastAsia="Times New Roman" w:hAnsi="Times New Roman" w:cs="Times New Roman"/>
          <w:sz w:val="24"/>
          <w:szCs w:val="24"/>
          <w:lang w:eastAsia="es-MX"/>
        </w:rPr>
        <w:t>el proyecto de ley de reforma constitucional había ingresado al Congreso, pero que no había registrado movimientos legislativos</w:t>
      </w:r>
      <w:r w:rsidR="00583D5C" w:rsidRPr="003E4533">
        <w:rPr>
          <w:rFonts w:ascii="Times New Roman" w:eastAsia="Times New Roman" w:hAnsi="Times New Roman" w:cs="Times New Roman"/>
          <w:sz w:val="24"/>
          <w:szCs w:val="24"/>
          <w:lang w:eastAsia="es-MX"/>
        </w:rPr>
        <w:t>.</w:t>
      </w:r>
      <w:r w:rsidR="000C4C35" w:rsidRPr="003E4533">
        <w:rPr>
          <w:rFonts w:ascii="Times New Roman" w:eastAsia="Times New Roman" w:hAnsi="Times New Roman" w:cs="Times New Roman"/>
          <w:sz w:val="24"/>
          <w:szCs w:val="24"/>
          <w:lang w:eastAsia="es-MX"/>
        </w:rPr>
        <w:t>”</w:t>
      </w:r>
      <w:r w:rsidR="000C4C35" w:rsidRPr="003E4533">
        <w:rPr>
          <w:rStyle w:val="Refdenotaalpie"/>
          <w:rFonts w:ascii="Times New Roman" w:hAnsi="Times New Roman"/>
          <w:sz w:val="24"/>
          <w:szCs w:val="24"/>
        </w:rPr>
        <w:footnoteReference w:id="25"/>
      </w:r>
      <w:r w:rsidR="000C4C35" w:rsidRPr="003E4533">
        <w:rPr>
          <w:rFonts w:ascii="Times New Roman" w:eastAsia="Times New Roman" w:hAnsi="Times New Roman" w:cs="Times New Roman"/>
          <w:sz w:val="24"/>
          <w:szCs w:val="24"/>
          <w:lang w:eastAsia="es-MX"/>
        </w:rPr>
        <w:t xml:space="preserve"> </w:t>
      </w:r>
    </w:p>
    <w:p w14:paraId="0D07723A" w14:textId="51EDF8E7" w:rsidR="00AE6384" w:rsidRPr="003E4533" w:rsidRDefault="004417E3" w:rsidP="00E439F5">
      <w:pPr>
        <w:spacing w:after="0" w:line="276" w:lineRule="auto"/>
        <w:ind w:firstLine="284"/>
        <w:jc w:val="both"/>
        <w:rPr>
          <w:rFonts w:ascii="Times New Roman" w:hAnsi="Times New Roman" w:cs="Times New Roman"/>
          <w:sz w:val="24"/>
          <w:szCs w:val="24"/>
        </w:rPr>
      </w:pPr>
      <w:r w:rsidRPr="003E4533">
        <w:rPr>
          <w:rFonts w:ascii="Times New Roman" w:eastAsia="Times New Roman" w:hAnsi="Times New Roman" w:cs="Times New Roman"/>
          <w:sz w:val="24"/>
          <w:szCs w:val="24"/>
          <w:lang w:eastAsia="es-MX"/>
        </w:rPr>
        <w:t>L</w:t>
      </w:r>
      <w:r w:rsidR="000C4C35" w:rsidRPr="003E4533">
        <w:rPr>
          <w:rFonts w:ascii="Times New Roman" w:eastAsia="Times New Roman" w:hAnsi="Times New Roman" w:cs="Times New Roman"/>
          <w:sz w:val="24"/>
          <w:szCs w:val="24"/>
          <w:lang w:eastAsia="es-MX"/>
        </w:rPr>
        <w:t xml:space="preserve">a falta de reconocimiento constitucional de los </w:t>
      </w:r>
      <w:r w:rsidRPr="003E4533">
        <w:rPr>
          <w:rFonts w:ascii="Times New Roman" w:eastAsia="Times New Roman" w:hAnsi="Times New Roman" w:cs="Times New Roman"/>
          <w:sz w:val="24"/>
          <w:szCs w:val="24"/>
          <w:lang w:eastAsia="es-MX"/>
        </w:rPr>
        <w:t xml:space="preserve">DESC, se encuentra en la raíz </w:t>
      </w:r>
      <w:r w:rsidR="000C4C35" w:rsidRPr="003E4533">
        <w:rPr>
          <w:rFonts w:ascii="Times New Roman" w:eastAsia="Times New Roman" w:hAnsi="Times New Roman" w:cs="Times New Roman"/>
          <w:sz w:val="24"/>
          <w:szCs w:val="24"/>
          <w:lang w:eastAsia="es-MX"/>
        </w:rPr>
        <w:t>mism</w:t>
      </w:r>
      <w:r w:rsidRPr="003E4533">
        <w:rPr>
          <w:rFonts w:ascii="Times New Roman" w:eastAsia="Times New Roman" w:hAnsi="Times New Roman" w:cs="Times New Roman"/>
          <w:sz w:val="24"/>
          <w:szCs w:val="24"/>
          <w:lang w:eastAsia="es-MX"/>
        </w:rPr>
        <w:t>a de la falta de protección y garantía de los DESC en el país</w:t>
      </w:r>
      <w:r w:rsidR="000C4C35" w:rsidRPr="003E4533">
        <w:rPr>
          <w:rFonts w:ascii="Times New Roman" w:eastAsia="Times New Roman" w:hAnsi="Times New Roman" w:cs="Times New Roman"/>
          <w:sz w:val="24"/>
          <w:szCs w:val="24"/>
          <w:lang w:eastAsia="es-MX"/>
        </w:rPr>
        <w:t xml:space="preserve">. </w:t>
      </w:r>
      <w:r w:rsidRPr="003E4533">
        <w:rPr>
          <w:rFonts w:ascii="Times New Roman" w:eastAsia="Times New Roman" w:hAnsi="Times New Roman" w:cs="Times New Roman"/>
          <w:sz w:val="24"/>
          <w:szCs w:val="24"/>
          <w:lang w:eastAsia="es-MX"/>
        </w:rPr>
        <w:t xml:space="preserve">Ya en el 2016, el </w:t>
      </w:r>
      <w:r w:rsidR="000C4C35" w:rsidRPr="003E4533">
        <w:rPr>
          <w:rFonts w:ascii="Times New Roman" w:eastAsia="Times New Roman" w:hAnsi="Times New Roman" w:cs="Times New Roman"/>
          <w:sz w:val="24"/>
          <w:szCs w:val="24"/>
          <w:lang w:eastAsia="es-MX"/>
        </w:rPr>
        <w:t xml:space="preserve">Informe del Relator </w:t>
      </w:r>
      <w:r w:rsidRPr="003E4533">
        <w:rPr>
          <w:rFonts w:ascii="Times New Roman" w:eastAsia="Times New Roman" w:hAnsi="Times New Roman" w:cs="Times New Roman"/>
          <w:sz w:val="24"/>
          <w:szCs w:val="24"/>
          <w:lang w:eastAsia="es-MX"/>
        </w:rPr>
        <w:t xml:space="preserve">Especial sobre extrema pobreza exhortaba al Estado chileno a que </w:t>
      </w:r>
      <w:r w:rsidR="000C4C35" w:rsidRPr="003E4533">
        <w:rPr>
          <w:rFonts w:ascii="Times New Roman" w:eastAsia="Times New Roman" w:hAnsi="Times New Roman" w:cs="Times New Roman"/>
          <w:sz w:val="24"/>
          <w:szCs w:val="24"/>
          <w:lang w:eastAsia="es-MX"/>
        </w:rPr>
        <w:t>“todos los derechos económicos, sociales y culturales estén reconocidos en la nueva versión de la Constitución.”</w:t>
      </w:r>
      <w:r w:rsidR="000C4C35" w:rsidRPr="003E4533">
        <w:rPr>
          <w:rFonts w:ascii="Times New Roman" w:eastAsia="Times New Roman" w:hAnsi="Times New Roman" w:cs="Times New Roman"/>
          <w:sz w:val="24"/>
          <w:szCs w:val="24"/>
          <w:vertAlign w:val="superscript"/>
          <w:lang w:eastAsia="es-MX"/>
        </w:rPr>
        <w:footnoteReference w:id="26"/>
      </w:r>
      <w:r w:rsidR="000C4C35" w:rsidRPr="003E4533">
        <w:rPr>
          <w:rFonts w:ascii="Times New Roman" w:eastAsia="Times New Roman" w:hAnsi="Times New Roman" w:cs="Times New Roman"/>
          <w:sz w:val="24"/>
          <w:szCs w:val="24"/>
          <w:lang w:eastAsia="es-MX"/>
        </w:rPr>
        <w:t xml:space="preserve"> La exhortación sigue siendo totalmente válida en el marco del nuevo proceso </w:t>
      </w:r>
      <w:r w:rsidR="000C4C35" w:rsidRPr="003E4533">
        <w:rPr>
          <w:rFonts w:ascii="Times New Roman" w:eastAsia="Times New Roman" w:hAnsi="Times New Roman" w:cs="Times New Roman"/>
          <w:sz w:val="24"/>
          <w:szCs w:val="24"/>
          <w:lang w:eastAsia="es-MX"/>
        </w:rPr>
        <w:lastRenderedPageBreak/>
        <w:t>de reforma constitucional que el país se apronta a vivir.</w:t>
      </w:r>
      <w:r w:rsidR="0003155D" w:rsidRPr="003E4533">
        <w:rPr>
          <w:rFonts w:ascii="Times New Roman" w:eastAsia="Times New Roman" w:hAnsi="Times New Roman" w:cs="Times New Roman"/>
          <w:sz w:val="24"/>
          <w:szCs w:val="24"/>
          <w:lang w:eastAsia="es-MX"/>
        </w:rPr>
        <w:t xml:space="preserve"> </w:t>
      </w:r>
      <w:r w:rsidR="00AE6384" w:rsidRPr="003E4533">
        <w:rPr>
          <w:rFonts w:ascii="Times New Roman" w:eastAsia="Times New Roman" w:hAnsi="Times New Roman" w:cs="Times New Roman"/>
          <w:sz w:val="24"/>
          <w:szCs w:val="24"/>
          <w:lang w:eastAsia="es-MX"/>
        </w:rPr>
        <w:t>Como lo recomendara el Comité DESC en 2015, el Estado también debiera ratificar el Protocolo Facultativo al Pacto de Derechos Económicos, Sociales y Culturales y al Protocolo Facultativo de la Convención sobre la Eliminación de todas las Formas de Discriminación contra la Mujer.</w:t>
      </w:r>
      <w:r w:rsidR="00AE6384" w:rsidRPr="003E4533">
        <w:rPr>
          <w:rStyle w:val="Refdenotaalpie"/>
          <w:rFonts w:ascii="Times New Roman" w:eastAsia="Times New Roman" w:hAnsi="Times New Roman"/>
          <w:sz w:val="24"/>
          <w:szCs w:val="24"/>
          <w:lang w:eastAsia="es-MX"/>
        </w:rPr>
        <w:footnoteReference w:id="27"/>
      </w:r>
      <w:r w:rsidR="00AE6384" w:rsidRPr="003E4533">
        <w:rPr>
          <w:rFonts w:ascii="Times New Roman" w:eastAsia="Times New Roman" w:hAnsi="Times New Roman" w:cs="Times New Roman"/>
          <w:sz w:val="24"/>
          <w:szCs w:val="24"/>
          <w:lang w:eastAsia="es-MX"/>
        </w:rPr>
        <w:t xml:space="preserve"> Permanece también pendiente la ratificación del </w:t>
      </w:r>
      <w:r w:rsidR="00AE6384" w:rsidRPr="003E4533">
        <w:rPr>
          <w:rFonts w:ascii="Times New Roman" w:hAnsi="Times New Roman" w:cs="Times New Roman"/>
          <w:sz w:val="24"/>
          <w:szCs w:val="24"/>
        </w:rPr>
        <w:t>Protocolo Adicional a la Convención Americana sobre Derechos Humanos en Materia de Derechos Económicos, Sociales y Culturales</w:t>
      </w:r>
      <w:r w:rsidR="00F37D79" w:rsidRPr="003E4533">
        <w:rPr>
          <w:rFonts w:ascii="Times New Roman" w:hAnsi="Times New Roman" w:cs="Times New Roman"/>
          <w:sz w:val="24"/>
          <w:szCs w:val="24"/>
        </w:rPr>
        <w:t xml:space="preserve"> (</w:t>
      </w:r>
      <w:r w:rsidR="00AE6384" w:rsidRPr="003E4533">
        <w:rPr>
          <w:rFonts w:ascii="Times New Roman" w:hAnsi="Times New Roman" w:cs="Times New Roman"/>
          <w:sz w:val="24"/>
          <w:szCs w:val="24"/>
        </w:rPr>
        <w:t>"Protocolo de San Salvador</w:t>
      </w:r>
      <w:r w:rsidR="00F37D79" w:rsidRPr="003E4533">
        <w:rPr>
          <w:rFonts w:ascii="Times New Roman" w:hAnsi="Times New Roman" w:cs="Times New Roman"/>
          <w:sz w:val="24"/>
          <w:szCs w:val="24"/>
        </w:rPr>
        <w:t>)</w:t>
      </w:r>
      <w:r w:rsidR="00824291" w:rsidRPr="003E4533">
        <w:rPr>
          <w:rFonts w:ascii="Times New Roman" w:hAnsi="Times New Roman" w:cs="Times New Roman"/>
          <w:sz w:val="24"/>
          <w:szCs w:val="24"/>
        </w:rPr>
        <w:t>.</w:t>
      </w:r>
      <w:r w:rsidR="00AE6384" w:rsidRPr="003E4533">
        <w:rPr>
          <w:rStyle w:val="Refdenotaalpie"/>
          <w:rFonts w:ascii="Times New Roman" w:hAnsi="Times New Roman"/>
          <w:sz w:val="24"/>
          <w:szCs w:val="24"/>
        </w:rPr>
        <w:footnoteReference w:id="28"/>
      </w:r>
    </w:p>
    <w:p w14:paraId="38B04A20" w14:textId="344B6548" w:rsidR="00AE6384" w:rsidRDefault="00AE6384" w:rsidP="00E439F5">
      <w:pPr>
        <w:spacing w:after="0" w:line="276" w:lineRule="auto"/>
        <w:ind w:firstLine="284"/>
        <w:jc w:val="both"/>
        <w:rPr>
          <w:rFonts w:ascii="Times New Roman" w:hAnsi="Times New Roman" w:cs="Times New Roman"/>
          <w:sz w:val="24"/>
          <w:szCs w:val="24"/>
        </w:rPr>
      </w:pPr>
      <w:r w:rsidRPr="003E4533">
        <w:rPr>
          <w:rFonts w:ascii="Times New Roman" w:hAnsi="Times New Roman" w:cs="Times New Roman"/>
          <w:sz w:val="24"/>
          <w:szCs w:val="24"/>
        </w:rPr>
        <w:t xml:space="preserve">En relación al marco nacional de los DDHH, cabe señalar que el Plan Nacional de DDHH </w:t>
      </w:r>
      <w:r w:rsidR="008549BB" w:rsidRPr="003E4533">
        <w:rPr>
          <w:rFonts w:ascii="Times New Roman" w:hAnsi="Times New Roman" w:cs="Times New Roman"/>
          <w:sz w:val="24"/>
          <w:szCs w:val="24"/>
        </w:rPr>
        <w:t>instaurado en diciembre del año 2017, dictado en el marco de aplicación de la ley 20.885 que creó la Subsecretaria de DDHH e</w:t>
      </w:r>
      <w:r w:rsidR="00F37D79" w:rsidRPr="003E4533">
        <w:rPr>
          <w:rFonts w:ascii="Times New Roman" w:hAnsi="Times New Roman" w:cs="Times New Roman"/>
          <w:sz w:val="24"/>
          <w:szCs w:val="24"/>
        </w:rPr>
        <w:t xml:space="preserve"> </w:t>
      </w:r>
      <w:r w:rsidRPr="003E4533">
        <w:rPr>
          <w:rFonts w:ascii="Times New Roman" w:hAnsi="Times New Roman" w:cs="Times New Roman"/>
          <w:sz w:val="24"/>
          <w:szCs w:val="24"/>
        </w:rPr>
        <w:t xml:space="preserve"> implementado por el Ministerio de Justicia y DDHH</w:t>
      </w:r>
      <w:r w:rsidR="008549BB" w:rsidRPr="003E4533">
        <w:rPr>
          <w:rFonts w:ascii="Times New Roman" w:hAnsi="Times New Roman" w:cs="Times New Roman"/>
          <w:sz w:val="24"/>
          <w:szCs w:val="24"/>
        </w:rPr>
        <w:t xml:space="preserve"> para el periodo 2018-2021,</w:t>
      </w:r>
      <w:r w:rsidRPr="003E4533">
        <w:rPr>
          <w:rFonts w:ascii="Times New Roman" w:hAnsi="Times New Roman" w:cs="Times New Roman"/>
          <w:sz w:val="24"/>
          <w:szCs w:val="24"/>
        </w:rPr>
        <w:t xml:space="preserve"> contempla 15 temas y solo </w:t>
      </w:r>
      <w:r w:rsidR="008549BB" w:rsidRPr="003E4533">
        <w:rPr>
          <w:rFonts w:ascii="Times New Roman" w:hAnsi="Times New Roman" w:cs="Times New Roman"/>
          <w:sz w:val="24"/>
          <w:szCs w:val="24"/>
        </w:rPr>
        <w:t xml:space="preserve">uno de ellos </w:t>
      </w:r>
      <w:r w:rsidRPr="003E4533">
        <w:rPr>
          <w:rFonts w:ascii="Times New Roman" w:hAnsi="Times New Roman" w:cs="Times New Roman"/>
          <w:sz w:val="24"/>
          <w:szCs w:val="24"/>
        </w:rPr>
        <w:t>se refiere a DESC</w:t>
      </w:r>
      <w:r w:rsidR="008549BB" w:rsidRPr="003E4533">
        <w:rPr>
          <w:rFonts w:ascii="Times New Roman" w:hAnsi="Times New Roman" w:cs="Times New Roman"/>
          <w:sz w:val="24"/>
          <w:szCs w:val="24"/>
        </w:rPr>
        <w:t xml:space="preserve">, </w:t>
      </w:r>
      <w:r w:rsidRPr="003E4533">
        <w:rPr>
          <w:rFonts w:ascii="Times New Roman" w:hAnsi="Times New Roman" w:cs="Times New Roman"/>
          <w:sz w:val="24"/>
          <w:szCs w:val="24"/>
        </w:rPr>
        <w:t>titulado “Equidad territorial: DESC y desastres naturales.”</w:t>
      </w:r>
      <w:r w:rsidRPr="003E4533">
        <w:rPr>
          <w:rStyle w:val="Refdenotaalpie"/>
          <w:rFonts w:ascii="Times New Roman" w:hAnsi="Times New Roman"/>
          <w:sz w:val="24"/>
          <w:szCs w:val="24"/>
        </w:rPr>
        <w:footnoteReference w:id="29"/>
      </w:r>
      <w:r w:rsidRPr="003E4533">
        <w:rPr>
          <w:rFonts w:ascii="Times New Roman" w:hAnsi="Times New Roman" w:cs="Times New Roman"/>
          <w:sz w:val="24"/>
          <w:szCs w:val="24"/>
        </w:rPr>
        <w:t xml:space="preserve"> Hasta la fecha </w:t>
      </w:r>
      <w:r w:rsidR="005020C8">
        <w:rPr>
          <w:rFonts w:ascii="Times New Roman" w:hAnsi="Times New Roman" w:cs="Times New Roman"/>
          <w:sz w:val="24"/>
          <w:szCs w:val="24"/>
        </w:rPr>
        <w:t xml:space="preserve">solo </w:t>
      </w:r>
      <w:r w:rsidRPr="003E4533">
        <w:rPr>
          <w:rFonts w:ascii="Times New Roman" w:hAnsi="Times New Roman" w:cs="Times New Roman"/>
          <w:sz w:val="24"/>
          <w:szCs w:val="24"/>
        </w:rPr>
        <w:t>se reportan actividades parciales</w:t>
      </w:r>
      <w:r w:rsidR="005020C8">
        <w:rPr>
          <w:rFonts w:ascii="Times New Roman" w:hAnsi="Times New Roman" w:cs="Times New Roman"/>
          <w:sz w:val="24"/>
          <w:szCs w:val="24"/>
        </w:rPr>
        <w:t xml:space="preserve"> del Plan Nacional DDHH.</w:t>
      </w:r>
      <w:r w:rsidR="008549BB" w:rsidRPr="003E4533">
        <w:rPr>
          <w:rStyle w:val="Refdenotaalpie"/>
          <w:rFonts w:ascii="Times New Roman" w:hAnsi="Times New Roman"/>
          <w:sz w:val="24"/>
          <w:szCs w:val="24"/>
        </w:rPr>
        <w:footnoteReference w:id="30"/>
      </w:r>
    </w:p>
    <w:p w14:paraId="4C2317D0" w14:textId="12470FBB" w:rsidR="00FD1987" w:rsidRDefault="00FD1987" w:rsidP="005D5785">
      <w:pPr>
        <w:spacing w:after="0" w:line="276" w:lineRule="auto"/>
        <w:jc w:val="both"/>
        <w:rPr>
          <w:rFonts w:ascii="Times New Roman" w:hAnsi="Times New Roman" w:cs="Times New Roman"/>
          <w:sz w:val="24"/>
          <w:szCs w:val="24"/>
        </w:rPr>
      </w:pPr>
    </w:p>
    <w:p w14:paraId="5C79D46A" w14:textId="0D47C021" w:rsidR="00FD1987" w:rsidRPr="00501443" w:rsidRDefault="00FD1987" w:rsidP="00E439F5">
      <w:pPr>
        <w:spacing w:after="0" w:line="276" w:lineRule="auto"/>
        <w:ind w:firstLine="284"/>
        <w:jc w:val="both"/>
        <w:rPr>
          <w:rFonts w:ascii="Times New Roman" w:hAnsi="Times New Roman" w:cs="Times New Roman"/>
          <w:b/>
          <w:sz w:val="24"/>
          <w:szCs w:val="24"/>
          <w:u w:val="single"/>
        </w:rPr>
      </w:pPr>
      <w:r w:rsidRPr="00501443">
        <w:rPr>
          <w:rFonts w:ascii="Times New Roman" w:hAnsi="Times New Roman" w:cs="Times New Roman"/>
          <w:b/>
          <w:sz w:val="24"/>
          <w:szCs w:val="24"/>
          <w:u w:val="single"/>
        </w:rPr>
        <w:t xml:space="preserve">Preguntas sugeridas al Estado: </w:t>
      </w:r>
    </w:p>
    <w:p w14:paraId="14A25BE0" w14:textId="2B8B14F9" w:rsidR="00FD1987" w:rsidRDefault="00FD1987" w:rsidP="00E439F5">
      <w:pPr>
        <w:spacing w:after="0" w:line="276" w:lineRule="auto"/>
        <w:ind w:firstLine="284"/>
        <w:jc w:val="both"/>
        <w:rPr>
          <w:rFonts w:ascii="Times New Roman" w:hAnsi="Times New Roman" w:cs="Times New Roman"/>
          <w:sz w:val="24"/>
          <w:szCs w:val="24"/>
        </w:rPr>
      </w:pPr>
    </w:p>
    <w:p w14:paraId="11B0569F" w14:textId="4E5F55B3" w:rsidR="00FD1987" w:rsidRDefault="00FD1987" w:rsidP="00E40541">
      <w:pPr>
        <w:pStyle w:val="Prrafodelista"/>
        <w:numPr>
          <w:ilvl w:val="0"/>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¿Qué medidas ha tomado el Estado para asegurar que la Constitución reconozca y proteja todos los DESC como derechos fundamentales de acuerdo al derecho internacional de los derechos humanos? </w:t>
      </w:r>
    </w:p>
    <w:p w14:paraId="01022A43" w14:textId="77777777" w:rsidR="00501443" w:rsidRPr="00501443" w:rsidRDefault="00501443" w:rsidP="00E40541">
      <w:pPr>
        <w:pStyle w:val="Prrafodelista"/>
        <w:numPr>
          <w:ilvl w:val="0"/>
          <w:numId w:val="2"/>
        </w:numPr>
        <w:spacing w:after="0" w:line="276" w:lineRule="auto"/>
        <w:jc w:val="both"/>
        <w:rPr>
          <w:rFonts w:ascii="Times New Roman" w:eastAsia="Times New Roman" w:hAnsi="Times New Roman" w:cs="Times New Roman"/>
          <w:bCs/>
          <w:sz w:val="24"/>
          <w:szCs w:val="24"/>
          <w:lang w:eastAsia="es-MX"/>
        </w:rPr>
      </w:pPr>
      <w:r w:rsidRPr="00501443">
        <w:rPr>
          <w:rFonts w:ascii="Times New Roman" w:eastAsia="Times New Roman" w:hAnsi="Times New Roman" w:cs="Times New Roman"/>
          <w:bCs/>
          <w:sz w:val="24"/>
          <w:szCs w:val="24"/>
          <w:lang w:eastAsia="es-MX"/>
        </w:rPr>
        <w:t>¿Qué acciones concretas se han tomado para r</w:t>
      </w:r>
      <w:r w:rsidR="00FD1987" w:rsidRPr="00501443">
        <w:rPr>
          <w:rFonts w:ascii="Times New Roman" w:eastAsia="Times New Roman" w:hAnsi="Times New Roman" w:cs="Times New Roman"/>
          <w:bCs/>
          <w:sz w:val="24"/>
          <w:szCs w:val="24"/>
          <w:lang w:eastAsia="es-MX"/>
        </w:rPr>
        <w:t xml:space="preserve">atificar el Protocolo Facultativo del </w:t>
      </w:r>
      <w:r w:rsidRPr="00501443">
        <w:rPr>
          <w:rFonts w:ascii="Times New Roman" w:eastAsia="Times New Roman" w:hAnsi="Times New Roman" w:cs="Times New Roman"/>
          <w:bCs/>
          <w:sz w:val="24"/>
          <w:szCs w:val="24"/>
          <w:lang w:eastAsia="es-MX"/>
        </w:rPr>
        <w:t>PIDESC y r</w:t>
      </w:r>
      <w:r w:rsidR="00FD1987" w:rsidRPr="00501443">
        <w:rPr>
          <w:rFonts w:ascii="Times New Roman" w:eastAsia="Times New Roman" w:hAnsi="Times New Roman" w:cs="Times New Roman"/>
          <w:bCs/>
          <w:sz w:val="24"/>
          <w:szCs w:val="24"/>
          <w:lang w:eastAsia="es-MX"/>
        </w:rPr>
        <w:t xml:space="preserve">atificar el </w:t>
      </w:r>
      <w:r w:rsidR="00FD1987" w:rsidRPr="00501443">
        <w:rPr>
          <w:rFonts w:ascii="Times New Roman" w:hAnsi="Times New Roman" w:cs="Times New Roman"/>
          <w:bCs/>
          <w:sz w:val="24"/>
          <w:szCs w:val="24"/>
        </w:rPr>
        <w:t xml:space="preserve">Protocolo Adicional a la Convención Americana sobre Derechos Humanos en </w:t>
      </w:r>
      <w:r w:rsidRPr="00501443">
        <w:rPr>
          <w:rFonts w:ascii="Times New Roman" w:hAnsi="Times New Roman" w:cs="Times New Roman"/>
          <w:bCs/>
          <w:sz w:val="24"/>
          <w:szCs w:val="24"/>
        </w:rPr>
        <w:t>m</w:t>
      </w:r>
      <w:r w:rsidR="00FD1987" w:rsidRPr="00501443">
        <w:rPr>
          <w:rFonts w:ascii="Times New Roman" w:hAnsi="Times New Roman" w:cs="Times New Roman"/>
          <w:bCs/>
          <w:sz w:val="24"/>
          <w:szCs w:val="24"/>
        </w:rPr>
        <w:t xml:space="preserve">ateria de </w:t>
      </w:r>
      <w:r w:rsidRPr="00501443">
        <w:rPr>
          <w:rFonts w:ascii="Times New Roman" w:hAnsi="Times New Roman" w:cs="Times New Roman"/>
          <w:bCs/>
          <w:sz w:val="24"/>
          <w:szCs w:val="24"/>
        </w:rPr>
        <w:t xml:space="preserve">DESC? </w:t>
      </w:r>
    </w:p>
    <w:p w14:paraId="6C5FA378" w14:textId="0EB8C736" w:rsidR="00501443" w:rsidRPr="00501443" w:rsidRDefault="00501443" w:rsidP="00E40541">
      <w:pPr>
        <w:pStyle w:val="Prrafodelista"/>
        <w:numPr>
          <w:ilvl w:val="0"/>
          <w:numId w:val="2"/>
        </w:numPr>
        <w:spacing w:after="0" w:line="276" w:lineRule="auto"/>
        <w:jc w:val="both"/>
        <w:rPr>
          <w:rFonts w:ascii="Times New Roman" w:eastAsia="Times New Roman" w:hAnsi="Times New Roman" w:cs="Times New Roman"/>
          <w:bCs/>
          <w:sz w:val="24"/>
          <w:szCs w:val="24"/>
          <w:lang w:eastAsia="es-MX"/>
        </w:rPr>
      </w:pPr>
      <w:r w:rsidRPr="00501443">
        <w:rPr>
          <w:rFonts w:ascii="Times New Roman" w:hAnsi="Times New Roman" w:cs="Times New Roman"/>
          <w:sz w:val="24"/>
          <w:szCs w:val="24"/>
        </w:rPr>
        <w:t xml:space="preserve">¿Qué acciones se están llevando a cabo </w:t>
      </w:r>
      <w:r w:rsidRPr="00501443">
        <w:rPr>
          <w:rFonts w:ascii="Times New Roman" w:hAnsi="Times New Roman" w:cs="Times New Roman"/>
          <w:bCs/>
          <w:sz w:val="24"/>
          <w:szCs w:val="24"/>
        </w:rPr>
        <w:t xml:space="preserve">asegurar que el Plan Nacional de DDHH contenga un enfoque integral e indivisible de todos los DDHH, dando a los DESC </w:t>
      </w:r>
      <w:r>
        <w:rPr>
          <w:rFonts w:ascii="Times New Roman" w:hAnsi="Times New Roman" w:cs="Times New Roman"/>
          <w:bCs/>
          <w:sz w:val="24"/>
          <w:szCs w:val="24"/>
        </w:rPr>
        <w:t xml:space="preserve">la importancia que corresponde? </w:t>
      </w:r>
    </w:p>
    <w:p w14:paraId="14DFC217" w14:textId="03390ADE" w:rsidR="006144AB" w:rsidRPr="006144AB" w:rsidRDefault="00501443" w:rsidP="00E40541">
      <w:pPr>
        <w:pStyle w:val="Prrafodelista"/>
        <w:numPr>
          <w:ilvl w:val="0"/>
          <w:numId w:val="2"/>
        </w:numPr>
        <w:spacing w:after="0" w:line="276" w:lineRule="auto"/>
        <w:jc w:val="both"/>
        <w:rPr>
          <w:rFonts w:ascii="Times New Roman" w:eastAsia="Times New Roman" w:hAnsi="Times New Roman" w:cs="Times New Roman"/>
          <w:bCs/>
          <w:sz w:val="24"/>
          <w:szCs w:val="24"/>
          <w:lang w:eastAsia="es-MX"/>
        </w:rPr>
      </w:pPr>
      <w:r>
        <w:rPr>
          <w:rFonts w:ascii="Times New Roman" w:hAnsi="Times New Roman" w:cs="Times New Roman"/>
          <w:bCs/>
          <w:sz w:val="24"/>
          <w:szCs w:val="24"/>
        </w:rPr>
        <w:t xml:space="preserve">¿Qué plan tiene el Estado para incorporar un enfoque de género y derechos humanos en las políticas sociales </w:t>
      </w:r>
      <w:r w:rsidR="00D63E9A">
        <w:rPr>
          <w:rFonts w:ascii="Times New Roman" w:hAnsi="Times New Roman" w:cs="Times New Roman"/>
          <w:bCs/>
          <w:sz w:val="24"/>
          <w:szCs w:val="24"/>
        </w:rPr>
        <w:t xml:space="preserve">que enfrentan la pobreza y la desigualdad socioeconómica? </w:t>
      </w:r>
    </w:p>
    <w:p w14:paraId="34A1C96A" w14:textId="699169F3" w:rsidR="006144AB" w:rsidRPr="006144AB" w:rsidRDefault="006144AB" w:rsidP="00E40541">
      <w:pPr>
        <w:pStyle w:val="NormalWeb"/>
        <w:numPr>
          <w:ilvl w:val="0"/>
          <w:numId w:val="2"/>
        </w:numPr>
        <w:spacing w:before="0" w:beforeAutospacing="0" w:after="0" w:afterAutospacing="0" w:line="276" w:lineRule="auto"/>
        <w:jc w:val="both"/>
        <w:rPr>
          <w:b/>
          <w:u w:val="single"/>
        </w:rPr>
      </w:pPr>
      <w:r>
        <w:t xml:space="preserve">¿Qué acciones se contemplan realizar para asegurar el derecho a la participación como medio de ejercicio de la soberanía y de los DESC? En particular, ¿Qué acciones se planean llevar a cabo para complementar los mecanismos de democracia representativa con mecanismos de democracia directa, participativa y de iniciativa popular? </w:t>
      </w:r>
    </w:p>
    <w:p w14:paraId="0A9A82D2" w14:textId="48F9ACA1" w:rsidR="006144AB" w:rsidRDefault="006144AB" w:rsidP="006144AB">
      <w:pPr>
        <w:pStyle w:val="NormalWeb"/>
        <w:spacing w:before="0" w:beforeAutospacing="0" w:after="0" w:afterAutospacing="0" w:line="276" w:lineRule="auto"/>
        <w:jc w:val="both"/>
      </w:pPr>
    </w:p>
    <w:p w14:paraId="2D607787" w14:textId="77777777" w:rsidR="006144AB" w:rsidRPr="006144AB" w:rsidRDefault="006144AB" w:rsidP="006144AB">
      <w:pPr>
        <w:pStyle w:val="NormalWeb"/>
        <w:spacing w:before="0" w:beforeAutospacing="0" w:after="0" w:afterAutospacing="0" w:line="276" w:lineRule="auto"/>
        <w:jc w:val="both"/>
        <w:rPr>
          <w:b/>
          <w:u w:val="single"/>
        </w:rPr>
      </w:pPr>
    </w:p>
    <w:p w14:paraId="04BB5AC2" w14:textId="250EBE93" w:rsidR="00F37D79" w:rsidRPr="00B27021" w:rsidRDefault="00F37D79" w:rsidP="003754D8">
      <w:pPr>
        <w:pStyle w:val="NormalWeb"/>
        <w:spacing w:before="0" w:beforeAutospacing="0" w:after="0" w:afterAutospacing="0" w:line="276" w:lineRule="auto"/>
        <w:jc w:val="both"/>
        <w:rPr>
          <w:color w:val="4472C4" w:themeColor="accent1"/>
        </w:rPr>
      </w:pPr>
    </w:p>
    <w:p w14:paraId="122A2699" w14:textId="089FFB56" w:rsidR="00353BE6" w:rsidRPr="00B27021" w:rsidRDefault="005D5785" w:rsidP="00EC116B">
      <w:pPr>
        <w:spacing w:line="276" w:lineRule="auto"/>
        <w:jc w:val="both"/>
        <w:rPr>
          <w:rFonts w:ascii="Times New Roman" w:hAnsi="Times New Roman" w:cs="Times New Roman"/>
          <w:b/>
          <w:bCs/>
          <w:color w:val="4472C4" w:themeColor="accent1"/>
          <w:sz w:val="24"/>
          <w:szCs w:val="24"/>
          <w:lang w:val="es-CL"/>
        </w:rPr>
      </w:pPr>
      <w:r>
        <w:rPr>
          <w:rFonts w:ascii="Times New Roman" w:hAnsi="Times New Roman" w:cs="Times New Roman"/>
          <w:b/>
          <w:bCs/>
          <w:color w:val="4472C4" w:themeColor="accent1"/>
          <w:sz w:val="24"/>
          <w:szCs w:val="24"/>
          <w:lang w:val="es-CL"/>
        </w:rPr>
        <w:lastRenderedPageBreak/>
        <w:t>I</w:t>
      </w:r>
      <w:r w:rsidR="003B294A" w:rsidRPr="00B27021">
        <w:rPr>
          <w:rFonts w:ascii="Times New Roman" w:hAnsi="Times New Roman" w:cs="Times New Roman"/>
          <w:b/>
          <w:bCs/>
          <w:color w:val="4472C4" w:themeColor="accent1"/>
          <w:sz w:val="24"/>
          <w:szCs w:val="24"/>
          <w:lang w:val="es-CL"/>
        </w:rPr>
        <w:t xml:space="preserve">I. </w:t>
      </w:r>
      <w:r w:rsidR="00EC116B" w:rsidRPr="00B27021">
        <w:rPr>
          <w:rFonts w:ascii="Times New Roman" w:hAnsi="Times New Roman" w:cs="Times New Roman"/>
          <w:b/>
          <w:bCs/>
          <w:color w:val="4472C4" w:themeColor="accent1"/>
          <w:sz w:val="24"/>
          <w:szCs w:val="24"/>
          <w:lang w:val="es-CL"/>
        </w:rPr>
        <w:t xml:space="preserve"> </w:t>
      </w:r>
      <w:r w:rsidR="00B27021" w:rsidRPr="00B27021">
        <w:rPr>
          <w:rFonts w:ascii="Times New Roman" w:hAnsi="Times New Roman" w:cs="Times New Roman"/>
          <w:b/>
          <w:bCs/>
          <w:color w:val="4472C4" w:themeColor="accent1"/>
          <w:sz w:val="24"/>
          <w:szCs w:val="24"/>
          <w:lang w:val="es-CL"/>
        </w:rPr>
        <w:t>GRUPOS ESPECÍFICOS Y DISFRUTE DE LOS DESC</w:t>
      </w:r>
    </w:p>
    <w:p w14:paraId="44B3EC6C" w14:textId="77777777" w:rsidR="005D5785" w:rsidRPr="00E61542" w:rsidRDefault="005D5785" w:rsidP="005D5785">
      <w:pPr>
        <w:rPr>
          <w:rFonts w:ascii="Times New Roman" w:hAnsi="Times New Roman" w:cs="Times New Roman"/>
          <w:b/>
          <w:bCs/>
          <w:sz w:val="28"/>
          <w:szCs w:val="28"/>
          <w:lang w:val="es-CL"/>
        </w:rPr>
      </w:pPr>
      <w:r w:rsidRPr="00E61542">
        <w:rPr>
          <w:rFonts w:ascii="Times New Roman" w:hAnsi="Times New Roman" w:cs="Times New Roman"/>
          <w:b/>
          <w:bCs/>
          <w:sz w:val="28"/>
          <w:szCs w:val="28"/>
          <w:lang w:val="es-CL"/>
        </w:rPr>
        <w:t>1. Mujeres</w:t>
      </w:r>
    </w:p>
    <w:p w14:paraId="147AFAD2" w14:textId="77777777" w:rsidR="005D5785" w:rsidRDefault="005D5785" w:rsidP="005D5785">
      <w:pPr>
        <w:rPr>
          <w:rFonts w:ascii="Times New Roman" w:hAnsi="Times New Roman" w:cs="Times New Roman"/>
          <w:bCs/>
          <w:i/>
          <w:sz w:val="24"/>
          <w:szCs w:val="24"/>
          <w:u w:val="single"/>
          <w:lang w:val="es-CL"/>
        </w:rPr>
      </w:pPr>
      <w:r w:rsidRPr="005D5785">
        <w:rPr>
          <w:rFonts w:ascii="Times New Roman" w:hAnsi="Times New Roman" w:cs="Times New Roman"/>
          <w:bCs/>
          <w:i/>
          <w:sz w:val="24"/>
          <w:szCs w:val="24"/>
          <w:u w:val="single"/>
          <w:lang w:val="es-CL"/>
        </w:rPr>
        <w:t>A. El enfoque de género en el disfrute de los DESC</w:t>
      </w:r>
    </w:p>
    <w:p w14:paraId="1BE2D910" w14:textId="215351EF" w:rsidR="005D5785" w:rsidRPr="005D5785" w:rsidRDefault="005D5785" w:rsidP="005D5785">
      <w:pPr>
        <w:spacing w:after="0"/>
        <w:ind w:firstLine="357"/>
        <w:rPr>
          <w:rFonts w:ascii="Times New Roman" w:hAnsi="Times New Roman" w:cs="Times New Roman"/>
          <w:bCs/>
          <w:i/>
          <w:sz w:val="24"/>
          <w:szCs w:val="24"/>
          <w:u w:val="single"/>
          <w:lang w:val="es-CL"/>
        </w:rPr>
      </w:pPr>
      <w:r w:rsidRPr="005D5785">
        <w:rPr>
          <w:rFonts w:ascii="Times New Roman" w:hAnsi="Times New Roman" w:cs="Times New Roman"/>
          <w:sz w:val="24"/>
          <w:szCs w:val="24"/>
          <w:lang w:val="es-CL"/>
        </w:rPr>
        <w:t>El enfoque de género clave para analizar, comprender y modificar la desigualdad en el acceso, ejercicio y disfrute de los DESC en Chile y asegurar una igualdad substantiva. Las mujeres en Chile han sido directamente afectadas por el modelo económico imperante y por la privatización de los servicios públicos y las pensiones.  Las mujeres en Chile no tienen igualdad en el disfrute de sus derechos, haciéndolas vulnerables a la violencia, la explotación sexual y laboral.</w:t>
      </w:r>
    </w:p>
    <w:p w14:paraId="68AE00B8" w14:textId="77777777" w:rsidR="005D5785" w:rsidRPr="005D5785" w:rsidRDefault="005D5785" w:rsidP="005D5785">
      <w:pPr>
        <w:spacing w:after="0" w:line="276" w:lineRule="auto"/>
        <w:ind w:firstLine="357"/>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Durante las revueltas sociales que se viven en Chile, se ha hecho evidente la ceguera de género de los grupos dominantes y de la falta de comprensión de amplios sectores políticos sobre las denuncias y demandas de las mujeres. Las mujeres perciben todos los días, una gran brecha entre los discursos de igualdad y su experiencia cotidiana. El sentimiento de impunidad de los actos de violencia económica, social, sexual y/o política contra las mujeres, constituye un malestar que las chilenas sobrellevaron en silencio por muchos años, ante el cual las jóvenes se han rebelado. Se hace necesario develar aquellos aspectos de desigualdad de género que han permanecido invisibilizados.</w:t>
      </w:r>
      <w:r w:rsidRPr="005D5785">
        <w:rPr>
          <w:rFonts w:ascii="Times New Roman" w:hAnsi="Times New Roman" w:cs="Times New Roman"/>
          <w:sz w:val="24"/>
          <w:szCs w:val="24"/>
          <w:vertAlign w:val="superscript"/>
          <w:lang w:val="es-CL"/>
        </w:rPr>
        <w:footnoteReference w:id="31"/>
      </w:r>
      <w:r w:rsidRPr="005D5785">
        <w:rPr>
          <w:rFonts w:ascii="Times New Roman" w:hAnsi="Times New Roman" w:cs="Times New Roman"/>
          <w:sz w:val="24"/>
          <w:szCs w:val="24"/>
          <w:lang w:val="es-CL"/>
        </w:rPr>
        <w:t xml:space="preserve">  </w:t>
      </w:r>
    </w:p>
    <w:p w14:paraId="765E7EBD" w14:textId="77777777" w:rsidR="005D5785" w:rsidRPr="005D5785" w:rsidRDefault="005D5785" w:rsidP="005D5785">
      <w:pPr>
        <w:spacing w:after="0" w:line="276" w:lineRule="auto"/>
        <w:ind w:firstLine="357"/>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Asimismo, la demanda de derechos y la visibilización y denuncia de la violencia contra las mujeres que han llevado a cabo los movimientos de mujeres y feministas, se han encontrado con un resurgimiento de discursos conservadores y prácticas que configuran un escenario de retroceso material y simbólico de los derechos de las mujeres. Estos retrocesos afectan especialmente a integrantes de comunidades LGTBI, afrodescendientes, pueblos originarios y migrantes.</w:t>
      </w:r>
      <w:r w:rsidRPr="005D5785">
        <w:rPr>
          <w:rFonts w:ascii="Times New Roman" w:hAnsi="Times New Roman" w:cs="Times New Roman"/>
          <w:sz w:val="24"/>
          <w:szCs w:val="24"/>
          <w:vertAlign w:val="superscript"/>
          <w:lang w:val="es-CL"/>
        </w:rPr>
        <w:footnoteReference w:id="32"/>
      </w:r>
      <w:r w:rsidRPr="005D5785">
        <w:rPr>
          <w:rFonts w:ascii="Times New Roman" w:hAnsi="Times New Roman" w:cs="Times New Roman"/>
          <w:sz w:val="24"/>
          <w:szCs w:val="24"/>
          <w:lang w:val="es-CL"/>
        </w:rPr>
        <w:t xml:space="preserve"> </w:t>
      </w:r>
    </w:p>
    <w:p w14:paraId="22310815" w14:textId="77777777" w:rsidR="005D5785" w:rsidRPr="005D5785" w:rsidRDefault="005D5785" w:rsidP="005D5785">
      <w:pPr>
        <w:spacing w:after="0" w:line="276" w:lineRule="auto"/>
        <w:jc w:val="both"/>
        <w:rPr>
          <w:rFonts w:ascii="Times New Roman" w:hAnsi="Times New Roman" w:cs="Times New Roman"/>
          <w:sz w:val="24"/>
          <w:szCs w:val="24"/>
          <w:lang w:val="es-CL"/>
        </w:rPr>
      </w:pPr>
    </w:p>
    <w:p w14:paraId="4E0573C1" w14:textId="53BA7BB9" w:rsidR="005D5785" w:rsidRPr="005D5785" w:rsidRDefault="005D5785" w:rsidP="005D5785">
      <w:pPr>
        <w:spacing w:after="0" w:line="276" w:lineRule="auto"/>
        <w:jc w:val="both"/>
        <w:rPr>
          <w:rFonts w:ascii="Times New Roman" w:hAnsi="Times New Roman" w:cs="Times New Roman"/>
          <w:i/>
          <w:sz w:val="24"/>
          <w:szCs w:val="24"/>
          <w:u w:val="single"/>
          <w:lang w:val="es-CL"/>
        </w:rPr>
      </w:pPr>
      <w:r w:rsidRPr="005D5785">
        <w:rPr>
          <w:rFonts w:ascii="Times New Roman" w:hAnsi="Times New Roman" w:cs="Times New Roman"/>
          <w:i/>
          <w:sz w:val="24"/>
          <w:szCs w:val="24"/>
          <w:u w:val="single"/>
          <w:lang w:val="es-CL"/>
        </w:rPr>
        <w:t>B. Protesta social y desigualdad estructural</w:t>
      </w:r>
    </w:p>
    <w:p w14:paraId="42369C63" w14:textId="77777777" w:rsidR="005D5785" w:rsidRPr="005D5785" w:rsidRDefault="005D5785" w:rsidP="005D5785">
      <w:pPr>
        <w:spacing w:after="0" w:line="276" w:lineRule="auto"/>
        <w:ind w:firstLine="360"/>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En el actual estallido social de octubre 2019 los movimientos de mujeres se han expresado de manera pacífica, creativa y organizada a través de protestas e instalaciones como la del Colectivo Las Tesis, cuya performance ha recorrido el mundo. </w:t>
      </w:r>
    </w:p>
    <w:p w14:paraId="441A63AC" w14:textId="77777777" w:rsidR="005D5785" w:rsidRPr="005D5785" w:rsidRDefault="005D5785" w:rsidP="005D5785">
      <w:pPr>
        <w:spacing w:after="0" w:line="276" w:lineRule="auto"/>
        <w:ind w:firstLine="360"/>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Las demandas de las mujeres en contra de la violencia, por los derechos sexuales y reproductivos y la igualdad y no discriminación ha sido claramente manifestadas durante el estallido social en Chile. Sin embargo, sus demandas han sido recibidas con violencia. </w:t>
      </w:r>
    </w:p>
    <w:p w14:paraId="436E91EE" w14:textId="77777777" w:rsidR="005D5785" w:rsidRPr="005D5785" w:rsidRDefault="005D5785" w:rsidP="005D5785">
      <w:pPr>
        <w:spacing w:after="0" w:line="276" w:lineRule="auto"/>
        <w:ind w:firstLine="360"/>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Durante las manifestaciones, las mujeres han sido víctimas de todas las modalidades de las violaciones a los derechos humanos y han estado más expuestas a la violencia sexual</w:t>
      </w:r>
      <w:r w:rsidRPr="005D5785">
        <w:rPr>
          <w:rFonts w:ascii="Times New Roman" w:hAnsi="Times New Roman" w:cs="Times New Roman"/>
          <w:sz w:val="24"/>
          <w:szCs w:val="24"/>
          <w:vertAlign w:val="superscript"/>
          <w:lang w:val="es-CL"/>
        </w:rPr>
        <w:footnoteReference w:id="33"/>
      </w:r>
      <w:r w:rsidRPr="005D5785">
        <w:rPr>
          <w:rFonts w:ascii="Times New Roman" w:hAnsi="Times New Roman" w:cs="Times New Roman"/>
          <w:sz w:val="24"/>
          <w:szCs w:val="24"/>
          <w:lang w:val="es-CL"/>
        </w:rPr>
        <w:t xml:space="preserve">. Según el Ministerio Público, las mujeres representan el 25% de las denuncias relacionadas con violaciones a los derechos humanos y alrededor de un 17% de las detenciones son niñas. </w:t>
      </w:r>
      <w:r w:rsidRPr="005D5785">
        <w:rPr>
          <w:rFonts w:ascii="Times New Roman" w:hAnsi="Times New Roman" w:cs="Times New Roman"/>
          <w:sz w:val="24"/>
          <w:szCs w:val="24"/>
          <w:lang w:val="es-CL"/>
        </w:rPr>
        <w:lastRenderedPageBreak/>
        <w:t>La violencia política- sexual ha sido una práctica que ha caracterizado la actuación de la policía chilena, durante las protestas. El aumento de los casos de violencia sexual contra las mujeres, en particular de la violencia política y sexual de la que han sido objeto las mujeres por el hecho de participar en las protestas, ha sido denunciado en el Informe de la Misión ONU .</w:t>
      </w:r>
      <w:r w:rsidRPr="005D5785">
        <w:rPr>
          <w:rFonts w:ascii="Times New Roman" w:hAnsi="Times New Roman" w:cs="Times New Roman"/>
          <w:sz w:val="24"/>
          <w:szCs w:val="24"/>
          <w:vertAlign w:val="superscript"/>
          <w:lang w:val="es-CL"/>
        </w:rPr>
        <w:footnoteReference w:id="34"/>
      </w:r>
      <w:r w:rsidRPr="005D5785">
        <w:rPr>
          <w:rFonts w:ascii="Times New Roman" w:hAnsi="Times New Roman" w:cs="Times New Roman"/>
          <w:sz w:val="24"/>
          <w:szCs w:val="24"/>
          <w:lang w:val="es-CL"/>
        </w:rPr>
        <w:t xml:space="preserve"> </w:t>
      </w:r>
    </w:p>
    <w:p w14:paraId="03E12624" w14:textId="77777777" w:rsidR="005D5785" w:rsidRPr="005D5785" w:rsidRDefault="005D5785" w:rsidP="005D5785">
      <w:pPr>
        <w:spacing w:after="0" w:line="276" w:lineRule="auto"/>
        <w:ind w:firstLine="360"/>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El Instituto Nacional de Derechos Humanos (INDH) reporta que, de un total de 1.140 querellas presentadas, 244 corresponden a mujeres, 197 a niños, niñas y adolescentes y de estas 10 son personas LBTGI, 10 personas con discapacidad, 3 de pueblos originarios y 7 inmigrantes.</w:t>
      </w:r>
      <w:r w:rsidRPr="005D5785">
        <w:rPr>
          <w:rFonts w:ascii="Times New Roman" w:hAnsi="Times New Roman" w:cs="Times New Roman"/>
          <w:sz w:val="24"/>
          <w:szCs w:val="24"/>
          <w:vertAlign w:val="superscript"/>
          <w:lang w:val="es-CL"/>
        </w:rPr>
        <w:footnoteReference w:id="35"/>
      </w:r>
      <w:r w:rsidRPr="005D5785">
        <w:rPr>
          <w:rFonts w:ascii="Times New Roman" w:hAnsi="Times New Roman" w:cs="Times New Roman"/>
          <w:sz w:val="24"/>
          <w:szCs w:val="24"/>
          <w:lang w:val="es-CL"/>
        </w:rPr>
        <w:t>.</w:t>
      </w:r>
    </w:p>
    <w:p w14:paraId="6F80DBE9" w14:textId="77777777" w:rsidR="005D5785" w:rsidRPr="005D5785" w:rsidRDefault="005D5785" w:rsidP="005D5785">
      <w:pPr>
        <w:spacing w:after="0" w:line="276" w:lineRule="auto"/>
        <w:ind w:firstLine="360"/>
        <w:jc w:val="both"/>
        <w:textAlignment w:val="baseline"/>
        <w:rPr>
          <w:rFonts w:ascii="Times New Roman" w:hAnsi="Times New Roman" w:cs="Times New Roman"/>
          <w:sz w:val="24"/>
          <w:szCs w:val="24"/>
          <w:bdr w:val="none" w:sz="0" w:space="0" w:color="auto" w:frame="1"/>
          <w:lang w:val="es-CL"/>
        </w:rPr>
      </w:pPr>
      <w:r w:rsidRPr="005D5785">
        <w:rPr>
          <w:rFonts w:ascii="Times New Roman" w:hAnsi="Times New Roman" w:cs="Times New Roman"/>
          <w:sz w:val="24"/>
          <w:szCs w:val="24"/>
          <w:bdr w:val="none" w:sz="0" w:space="0" w:color="auto" w:frame="1"/>
          <w:lang w:val="es-CL"/>
        </w:rPr>
        <w:t>La discriminación estructural contra las mujeres es una situación que ha perdurado durante todos los gobiernos democráticos. Las mujeres chilenas tienen una clara percepción de su discriminación. Los resultados de una reciente encuesta señalan que esta percepción es mayoritaria 86,4%. El 92,5% de las mujeres sostiene que Chile es un país machista, y el 82,5% considera que es un país racista. Las mujeres son discriminadas en el ámbito del trabajo (97,7%), y más del 80% considera que lo son en la política, el acceso a la justicia y en el ejercicio de su libertad sexual.</w:t>
      </w:r>
      <w:r w:rsidRPr="005D5785">
        <w:rPr>
          <w:rFonts w:ascii="Times New Roman" w:hAnsi="Times New Roman" w:cs="Times New Roman"/>
          <w:sz w:val="24"/>
          <w:szCs w:val="24"/>
          <w:bdr w:val="none" w:sz="0" w:space="0" w:color="auto" w:frame="1"/>
          <w:vertAlign w:val="superscript"/>
          <w:lang w:val="es-CL"/>
        </w:rPr>
        <w:t xml:space="preserve"> </w:t>
      </w:r>
      <w:r w:rsidRPr="005D5785">
        <w:rPr>
          <w:rFonts w:ascii="Times New Roman" w:hAnsi="Times New Roman" w:cs="Times New Roman"/>
          <w:sz w:val="24"/>
          <w:szCs w:val="24"/>
          <w:bdr w:val="none" w:sz="0" w:space="0" w:color="auto" w:frame="1"/>
          <w:vertAlign w:val="superscript"/>
          <w:lang w:val="es-CL"/>
        </w:rPr>
        <w:footnoteReference w:id="36"/>
      </w:r>
    </w:p>
    <w:p w14:paraId="3D81799F" w14:textId="77777777" w:rsidR="005D5785" w:rsidRPr="005D5785" w:rsidRDefault="005D5785" w:rsidP="005D5785">
      <w:pPr>
        <w:spacing w:after="0" w:line="276" w:lineRule="auto"/>
        <w:ind w:firstLine="360"/>
        <w:jc w:val="both"/>
        <w:textAlignment w:val="baseline"/>
        <w:rPr>
          <w:rFonts w:ascii="Times New Roman" w:eastAsia="Times New Roman" w:hAnsi="Times New Roman" w:cs="Times New Roman"/>
          <w:sz w:val="24"/>
          <w:szCs w:val="24"/>
          <w:bdr w:val="none" w:sz="0" w:space="0" w:color="auto" w:frame="1"/>
          <w:lang w:val="es-CL" w:eastAsia="es-CL"/>
        </w:rPr>
      </w:pPr>
      <w:r w:rsidRPr="005D5785">
        <w:rPr>
          <w:rFonts w:ascii="Times New Roman" w:eastAsia="Times New Roman" w:hAnsi="Times New Roman" w:cs="Times New Roman"/>
          <w:sz w:val="24"/>
          <w:szCs w:val="24"/>
          <w:bdr w:val="none" w:sz="0" w:space="0" w:color="auto" w:frame="1"/>
          <w:lang w:val="es-CL" w:eastAsia="es-CL"/>
        </w:rPr>
        <w:t xml:space="preserve">Los medidas legales y políticas públicas adoptadas por gobiernos sucesivos, han sido insuficientes para revertir las desigualdades, discriminaciones y violencia de las que son objeto las mujeres. Existen proyectos de ley que avanzan en reconocimiento de derechos, programas y recursos que abordan distintas materias, de modo fragmentario, pero hasta ahora no ha existido una política articulada para erradicar la violencia de género, la desigualdad y discriminación. Un obstáculo central es la comprensión limitada del enfoque de género, como relacionado con asuntos de mujeres, sin hacerse cargo de las dimensiones relacionales, ni de las construcciones culturales que las sustentan. </w:t>
      </w:r>
    </w:p>
    <w:p w14:paraId="2B23ABE5" w14:textId="77777777" w:rsidR="005D5785" w:rsidRPr="005D5785" w:rsidRDefault="005D5785" w:rsidP="005D5785">
      <w:pPr>
        <w:spacing w:after="0" w:line="276" w:lineRule="auto"/>
        <w:ind w:firstLine="709"/>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Las mujeres no se han beneficiado de los avances y el crecimiento económico de la misma proporción que los varones en el país y su aporte a la economía a través de tareas domésticas y de cuidado, sigue siendo invisibilizado. </w:t>
      </w:r>
    </w:p>
    <w:p w14:paraId="12862F95" w14:textId="77777777" w:rsidR="005D5785" w:rsidRPr="005D5785" w:rsidRDefault="005D5785" w:rsidP="005D5785">
      <w:pPr>
        <w:spacing w:after="0" w:line="276" w:lineRule="auto"/>
        <w:ind w:firstLine="360"/>
        <w:jc w:val="both"/>
        <w:rPr>
          <w:rFonts w:ascii="Times New Roman" w:hAnsi="Times New Roman" w:cs="Times New Roman"/>
          <w:b/>
          <w:bCs/>
          <w:sz w:val="24"/>
          <w:szCs w:val="24"/>
          <w:lang w:val="es-CL"/>
        </w:rPr>
      </w:pPr>
      <w:r w:rsidRPr="005D5785">
        <w:rPr>
          <w:rFonts w:ascii="Times New Roman" w:hAnsi="Times New Roman" w:cs="Times New Roman"/>
          <w:sz w:val="24"/>
          <w:szCs w:val="24"/>
          <w:lang w:val="es-CL"/>
        </w:rPr>
        <w:t xml:space="preserve">El estallido social ha abierto un camino para un proceso constituyente que dote al país de una Nueva Constitución y garantice los mecanismos democráticos de consulta popular y participación ciudadana. En este contexto y después de 18 años de tramitación, el Senado de Chile ratificó el Protocolo Facultativo de la Convención para la Eliminación de toda forma de Discriminación contra la Mujer (CEDAW), el que hasta la fecha no ha sido promulgado. </w:t>
      </w:r>
    </w:p>
    <w:p w14:paraId="40DC343B" w14:textId="77777777" w:rsidR="005D5785" w:rsidRPr="005D5785" w:rsidRDefault="005D5785" w:rsidP="005D5785">
      <w:pPr>
        <w:spacing w:after="0" w:line="276" w:lineRule="auto"/>
        <w:ind w:firstLine="360"/>
        <w:jc w:val="both"/>
        <w:rPr>
          <w:rFonts w:ascii="Times New Roman" w:hAnsi="Times New Roman" w:cs="Times New Roman"/>
          <w:b/>
          <w:bCs/>
          <w:sz w:val="24"/>
          <w:szCs w:val="24"/>
          <w:lang w:val="es-CL"/>
        </w:rPr>
      </w:pPr>
    </w:p>
    <w:p w14:paraId="7500562D" w14:textId="6A6A4DD3" w:rsidR="005D5785" w:rsidRPr="005D5785" w:rsidRDefault="005D5785" w:rsidP="005D5785">
      <w:pPr>
        <w:contextualSpacing/>
        <w:jc w:val="both"/>
        <w:rPr>
          <w:rFonts w:ascii="Times New Roman" w:hAnsi="Times New Roman" w:cs="Times New Roman"/>
          <w:i/>
          <w:iCs/>
          <w:sz w:val="24"/>
          <w:szCs w:val="24"/>
          <w:u w:val="single"/>
          <w:lang w:val="es-CL"/>
        </w:rPr>
      </w:pPr>
      <w:r w:rsidRPr="005D5785">
        <w:rPr>
          <w:rFonts w:ascii="Times New Roman" w:hAnsi="Times New Roman" w:cs="Times New Roman"/>
          <w:i/>
          <w:iCs/>
          <w:sz w:val="24"/>
          <w:szCs w:val="24"/>
          <w:u w:val="single"/>
          <w:lang w:val="es-CL"/>
        </w:rPr>
        <w:t>C. Paridad e igualdad de género</w:t>
      </w:r>
    </w:p>
    <w:p w14:paraId="28F6FDFA"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Actualmente existe un proyecto de reforma constitucional de equidad de género presentado por el Ejecutivo (Boletín 11758-07) en julio del 2018. Su principal contenido es incorporar al artículo 19 de la Constitución la garantía de equidad de género y no </w:t>
      </w:r>
      <w:r w:rsidRPr="005D5785">
        <w:rPr>
          <w:rFonts w:ascii="Times New Roman" w:hAnsi="Times New Roman" w:cs="Times New Roman"/>
          <w:sz w:val="24"/>
          <w:szCs w:val="24"/>
          <w:lang w:val="es-CL"/>
        </w:rPr>
        <w:lastRenderedPageBreak/>
        <w:t>discriminación, el deber del Congreso de tutelar, legislar y promover medidas en favor de las personas que allí se indica e incorpora un numeral que modifica el artículo 78 de la Constitución Política para efectos de incluir el género femenino en las menciones de los altos cargos que allí se indican y establecer la equidad de género en el proceso de selección de dichos altos cargos. La reforma ha sido criticada pues se refiere solo a la igualdad formal.</w:t>
      </w:r>
    </w:p>
    <w:p w14:paraId="267A1C97"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bdr w:val="none" w:sz="0" w:space="0" w:color="auto" w:frame="1"/>
          <w:lang w:val="es-CL"/>
        </w:rPr>
      </w:pPr>
      <w:r w:rsidRPr="005D5785">
        <w:rPr>
          <w:rFonts w:ascii="Times New Roman" w:hAnsi="Times New Roman" w:cs="Times New Roman"/>
          <w:sz w:val="24"/>
          <w:szCs w:val="24"/>
          <w:bdr w:val="none" w:sz="0" w:space="0" w:color="auto" w:frame="1"/>
          <w:lang w:val="es-CL"/>
        </w:rPr>
        <w:t>Asimismo, el tema de la paridad en el contexto de un proceso constituyente ha sido objeto de un intenso debate que, al momento de este informe, aún no se resuelve. L</w:t>
      </w:r>
      <w:r w:rsidRPr="005D5785">
        <w:rPr>
          <w:rFonts w:ascii="Times New Roman" w:hAnsi="Times New Roman" w:cs="Times New Roman"/>
          <w:sz w:val="24"/>
          <w:szCs w:val="24"/>
          <w:lang w:val="es-CL"/>
        </w:rPr>
        <w:t>a paridad es una condición determinante de la democracia y una meta para erradicar la exclusión estructural de las mujeres. La paridad tiene por objeto alcanzar la igualdad en el ejercicio del poder, en la toma de decisiones, en los mecanismos de representación social y política y en las relaciones familiares, económicas, políticas, sociales y culturales.</w:t>
      </w:r>
      <w:r w:rsidRPr="005D5785">
        <w:rPr>
          <w:rFonts w:ascii="Times New Roman" w:hAnsi="Times New Roman" w:cs="Times New Roman"/>
          <w:sz w:val="24"/>
          <w:szCs w:val="24"/>
          <w:vertAlign w:val="superscript"/>
          <w:lang w:val="es-CL"/>
        </w:rPr>
        <w:footnoteReference w:id="37"/>
      </w:r>
      <w:r w:rsidRPr="005D5785">
        <w:rPr>
          <w:rFonts w:ascii="Times New Roman" w:hAnsi="Times New Roman" w:cs="Times New Roman"/>
          <w:sz w:val="24"/>
          <w:szCs w:val="24"/>
          <w:lang w:val="es-CL"/>
        </w:rPr>
        <w:t xml:space="preserve"> </w:t>
      </w:r>
    </w:p>
    <w:p w14:paraId="35A78C3F" w14:textId="77777777" w:rsidR="005D5785" w:rsidRPr="005D5785" w:rsidRDefault="005D5785" w:rsidP="005D5785">
      <w:pPr>
        <w:contextualSpacing/>
        <w:jc w:val="both"/>
        <w:rPr>
          <w:rFonts w:ascii="Times New Roman" w:hAnsi="Times New Roman" w:cs="Times New Roman"/>
          <w:b/>
          <w:bCs/>
          <w:sz w:val="24"/>
          <w:szCs w:val="24"/>
          <w:lang w:val="es-CL"/>
        </w:rPr>
      </w:pPr>
    </w:p>
    <w:p w14:paraId="063DD53B" w14:textId="2D4FF29A" w:rsidR="005D5785" w:rsidRPr="005D5785" w:rsidRDefault="005D5785" w:rsidP="005D5785">
      <w:pPr>
        <w:contextualSpacing/>
        <w:jc w:val="both"/>
        <w:rPr>
          <w:rFonts w:ascii="Times New Roman" w:hAnsi="Times New Roman" w:cs="Times New Roman"/>
          <w:i/>
          <w:iCs/>
          <w:sz w:val="24"/>
          <w:szCs w:val="24"/>
          <w:u w:val="single"/>
          <w:lang w:val="es-CL"/>
        </w:rPr>
      </w:pPr>
      <w:r w:rsidRPr="005D5785">
        <w:rPr>
          <w:rFonts w:ascii="Times New Roman" w:hAnsi="Times New Roman" w:cs="Times New Roman"/>
          <w:i/>
          <w:iCs/>
          <w:sz w:val="24"/>
          <w:szCs w:val="24"/>
          <w:u w:val="single"/>
          <w:lang w:val="es-CL"/>
        </w:rPr>
        <w:t>D. Reconocimiento, redistribución y apoyo a tareas domésticas y de cuidado</w:t>
      </w:r>
    </w:p>
    <w:p w14:paraId="0D29F581" w14:textId="77777777" w:rsidR="005D5785" w:rsidRPr="005D5785" w:rsidRDefault="005D5785" w:rsidP="005D5785">
      <w:pPr>
        <w:spacing w:after="0" w:line="276" w:lineRule="auto"/>
        <w:ind w:firstLine="709"/>
        <w:jc w:val="both"/>
        <w:rPr>
          <w:rFonts w:ascii="Times New Roman" w:hAnsi="Times New Roman" w:cs="Times New Roman"/>
          <w:sz w:val="24"/>
          <w:szCs w:val="24"/>
        </w:rPr>
      </w:pPr>
      <w:r w:rsidRPr="005D5785">
        <w:rPr>
          <w:rFonts w:ascii="Times New Roman" w:hAnsi="Times New Roman" w:cs="Times New Roman"/>
          <w:sz w:val="24"/>
          <w:szCs w:val="24"/>
          <w:lang w:val="es-CL"/>
        </w:rPr>
        <w:t>Es indispensable el reconocimiento del aporte silencioso que realizan las mujeres a la economía y a la sostenibilidad de la vida humana a través de las labores de cuidado. Los cuidados del ámbito doméstico, como lo demuestran múltiples estudios relativos al trabajo no remunerado, son actividades realizadas principalmente por las mujeres, las cuales ven afectadas gravemente el disfrute de sus derechos humanos sin discriminación. Tal como lo expresó la ex Relatora Especial de Naciones Unidas para la Pobreza y los Derechos Humanos “</w:t>
      </w:r>
      <w:r w:rsidRPr="005D5785">
        <w:rPr>
          <w:rFonts w:ascii="Times New Roman" w:hAnsi="Times New Roman" w:cs="Times New Roman"/>
          <w:sz w:val="24"/>
          <w:szCs w:val="24"/>
        </w:rPr>
        <w:t>Las dificultades, la intensidad y la distribución basada en el género del trabajo doméstico no remunerado crean y perpetúan el disfrute desigual de los derechos y la desigualdad entre los géneros, y dan lugar a violaciones de los derechos humanos.”</w:t>
      </w:r>
      <w:r w:rsidRPr="005D5785">
        <w:rPr>
          <w:rFonts w:ascii="Times New Roman" w:hAnsi="Times New Roman" w:cs="Times New Roman"/>
          <w:sz w:val="24"/>
          <w:szCs w:val="24"/>
          <w:vertAlign w:val="superscript"/>
        </w:rPr>
        <w:footnoteReference w:id="38"/>
      </w:r>
      <w:r w:rsidRPr="005D5785">
        <w:rPr>
          <w:rFonts w:ascii="Times New Roman" w:hAnsi="Times New Roman" w:cs="Times New Roman"/>
          <w:sz w:val="24"/>
          <w:szCs w:val="24"/>
        </w:rPr>
        <w:t xml:space="preserve"> Particularmente, la relatora llama la atención que la desigual distribución del trabajo no remunerado, afecta los derechos económicos, sociales y culturales de las mujeres, incluyendo el derecho al trabajo, el derecho a la salud, el derecho a la educación y el derecho a la seguridad social, entre otros.</w:t>
      </w:r>
      <w:r w:rsidRPr="005D5785">
        <w:rPr>
          <w:rFonts w:ascii="Times New Roman" w:hAnsi="Times New Roman" w:cs="Times New Roman"/>
          <w:sz w:val="24"/>
          <w:szCs w:val="24"/>
          <w:vertAlign w:val="superscript"/>
        </w:rPr>
        <w:footnoteReference w:id="39"/>
      </w:r>
      <w:r w:rsidRPr="005D5785">
        <w:rPr>
          <w:rFonts w:ascii="Times New Roman" w:hAnsi="Times New Roman" w:cs="Times New Roman"/>
          <w:sz w:val="24"/>
          <w:szCs w:val="24"/>
        </w:rPr>
        <w:t xml:space="preserve"> </w:t>
      </w:r>
    </w:p>
    <w:p w14:paraId="51F5BDD2" w14:textId="1A58E0C1" w:rsidR="005D5785" w:rsidRDefault="005D5785" w:rsidP="005D5785">
      <w:pPr>
        <w:spacing w:after="0" w:line="276" w:lineRule="auto"/>
        <w:ind w:firstLine="709"/>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Los gobiernos de la región ya se han comprometido con adoptar iniciativas en este sentido.</w:t>
      </w:r>
      <w:r w:rsidRPr="005D5785">
        <w:rPr>
          <w:rFonts w:ascii="Times New Roman" w:hAnsi="Times New Roman" w:cs="Times New Roman"/>
          <w:sz w:val="24"/>
          <w:szCs w:val="24"/>
          <w:vertAlign w:val="superscript"/>
          <w:lang w:val="es-CL"/>
        </w:rPr>
        <w:footnoteReference w:id="40"/>
      </w:r>
      <w:r w:rsidRPr="005D5785">
        <w:rPr>
          <w:rFonts w:ascii="Times New Roman" w:hAnsi="Times New Roman" w:cs="Times New Roman"/>
          <w:sz w:val="24"/>
          <w:szCs w:val="24"/>
          <w:lang w:val="es-CL"/>
        </w:rPr>
        <w:t xml:space="preserve"> La incorporación en la constitución de la organización social del cuidado es un asunto público y una fuente de desigualdades para las mujeres toda vez que recae sobre ellas casi exclusivamente, su reconocimiento es una obligación del Estado. </w:t>
      </w:r>
    </w:p>
    <w:p w14:paraId="5EB310BF" w14:textId="77777777" w:rsidR="005D5785" w:rsidRPr="005D5785" w:rsidRDefault="005D5785" w:rsidP="005D5785">
      <w:pPr>
        <w:spacing w:after="0" w:line="276" w:lineRule="auto"/>
        <w:ind w:firstLine="709"/>
        <w:jc w:val="both"/>
        <w:rPr>
          <w:rFonts w:ascii="Times New Roman" w:hAnsi="Times New Roman" w:cs="Times New Roman"/>
          <w:sz w:val="24"/>
          <w:szCs w:val="24"/>
          <w:lang w:val="es-CL"/>
        </w:rPr>
      </w:pPr>
    </w:p>
    <w:p w14:paraId="57845627" w14:textId="6A2EF361" w:rsidR="005D5785" w:rsidRPr="005D5785" w:rsidRDefault="005D5785" w:rsidP="005D5785">
      <w:pPr>
        <w:spacing w:after="0"/>
        <w:contextualSpacing/>
        <w:jc w:val="both"/>
        <w:textAlignment w:val="baseline"/>
        <w:rPr>
          <w:rFonts w:ascii="Times New Roman" w:hAnsi="Times New Roman" w:cs="Times New Roman"/>
          <w:i/>
          <w:iCs/>
          <w:sz w:val="24"/>
          <w:szCs w:val="24"/>
          <w:u w:val="single"/>
          <w:bdr w:val="none" w:sz="0" w:space="0" w:color="auto" w:frame="1"/>
          <w:lang w:val="es-CL"/>
        </w:rPr>
      </w:pPr>
      <w:r w:rsidRPr="005D5785">
        <w:rPr>
          <w:rFonts w:ascii="Times New Roman" w:hAnsi="Times New Roman" w:cs="Times New Roman"/>
          <w:i/>
          <w:iCs/>
          <w:sz w:val="24"/>
          <w:szCs w:val="24"/>
          <w:u w:val="single"/>
          <w:bdr w:val="none" w:sz="0" w:space="0" w:color="auto" w:frame="1"/>
          <w:lang w:val="es-CL"/>
        </w:rPr>
        <w:lastRenderedPageBreak/>
        <w:t>E. Violencia contra las mujeres</w:t>
      </w:r>
    </w:p>
    <w:p w14:paraId="0AE9EBBD"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La violencia contra las mujeres en Chile es un fenómeno estructural que está relacionada con fenómenos que viven las mujeres en todos los ámbitos de su vida. La violencia se expresa en: la feminización del trabajo, el impacto de las políticas neoliberales en sus condiciones de trabajo y de vida, las intersecciones (raza, clase, género), la relación entre las construcciones de identidad sexual.</w:t>
      </w:r>
      <w:r w:rsidRPr="005D5785">
        <w:rPr>
          <w:rFonts w:ascii="Times New Roman" w:hAnsi="Times New Roman" w:cs="Times New Roman"/>
          <w:sz w:val="24"/>
          <w:szCs w:val="24"/>
          <w:shd w:val="clear" w:color="auto" w:fill="FFFFFF"/>
          <w:lang w:val="es-CL"/>
        </w:rPr>
        <w:t xml:space="preserve"> El Estado tiene la obligación jurídica de adoptar todas las medidas para erradicar todas las violencias.</w:t>
      </w:r>
    </w:p>
    <w:p w14:paraId="4B0575C5"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Datos disponibles de la Red Chilena contra la Violencia hacia las Mujeres, muestran que la acción del Estado –legislativa, de justicia y de política pública– no ha tenido impacto significativo sobre la prevalencia del problema. Advierten que las estadísticas presentan el sesgo de un Estado que no reconoce la violencia contra las mujeres y, por lo tanto, no genera herramientas apropiadas para su registro, comprensión ni mucho menos para prevenirla y erradicarla. El Estado es uno de los mayores productores y reproductores de la violencia patriarcal a través de todas sus instituciones y aparatos. </w:t>
      </w:r>
    </w:p>
    <w:p w14:paraId="2B83E4AE"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La negligencia y desidia con la que se investigan los crímenes contra mujeres, la continua fragmentación de la violencia machista a través de leyes parciales que impiden reconocer el continuo de violencia al cual están expuestas las mujeres durante la vida y los nulos recursos que se destinan a prevenir crímenes como los femicidios, agresiones sexuales y violencia intrafamiliar, son sólo algunas de las situaciones que lo grafican. En una revisión de datos oficiales y de sus propios registros, constata que el número de femicidios y de femicidios frustrados, ocurridos en esta década, no ha bajado sustancialmente. En 2009, la Red registró 55 femicidios; en 2018 fueron 57 (7 de ellas eran migrantes). En 2011, el primer registro de femicidio frustrado reportó 87 casos y en 2018 se contabilizaron 121. El incremento no necesariamente significa mayor número de casos pues, entre otras razones, puede ser atribuible a que hoy la formalización es por femicidio frustrado y no por lesiones, como se acostumbraba anteriormente. Sin perjuicio de lo anterior, es posible afirmar que el número de casos conocidos se ha mantenido en parámetros similares en estos años.</w:t>
      </w:r>
      <w:r w:rsidRPr="005D5785">
        <w:rPr>
          <w:rFonts w:ascii="Times New Roman" w:hAnsi="Times New Roman" w:cs="Times New Roman"/>
          <w:sz w:val="24"/>
          <w:szCs w:val="24"/>
          <w:vertAlign w:val="superscript"/>
          <w:lang w:val="es-CL"/>
        </w:rPr>
        <w:footnoteReference w:id="41"/>
      </w:r>
      <w:r w:rsidRPr="005D5785">
        <w:rPr>
          <w:rFonts w:ascii="Times New Roman" w:hAnsi="Times New Roman" w:cs="Times New Roman"/>
          <w:sz w:val="24"/>
          <w:szCs w:val="24"/>
          <w:lang w:val="es-CL"/>
        </w:rPr>
        <w:t xml:space="preserve">  </w:t>
      </w:r>
    </w:p>
    <w:p w14:paraId="7DE8A014" w14:textId="2E42751D" w:rsid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En materia de violencia sexual, los casos reportados a Carabineros y la Policía de Investigaciones (PDI) de violaciones, abusos sexuales y otros delitos sexuales –entre 2009 y 2018– se mantienen en el rango de 13.000 a 15.000 anuales. En 2018 se reportaron 15.533; como todos los años, cerca del 90% de las víctimas fueron mujeres y más de 95% de los agresores fueron hombres. Para la Red, el Estado chileno es uno de los mayores productores y reproductores de la violencia patriarcal a través de todas sus instituciones y aparatos. La negligencia y desidia con la que se investigan los crímenes contra mujeres, la continua fragmentación de la violencia machista a través de leyes parciales que impiden reconocer el continuo de violencia al cual estamos expuestas las mujeres durante la vida y los nulos recursos que se destinan a prevenir crímenes como los femicidios, agresiones sexuales y violencia intrafamiliar, son sólo algunas de las situaciones que lo grafican.</w:t>
      </w:r>
      <w:r w:rsidRPr="005D5785">
        <w:rPr>
          <w:rFonts w:ascii="Times New Roman" w:hAnsi="Times New Roman" w:cs="Times New Roman"/>
          <w:sz w:val="24"/>
          <w:szCs w:val="24"/>
          <w:vertAlign w:val="superscript"/>
          <w:lang w:val="es-CL"/>
        </w:rPr>
        <w:footnoteReference w:id="42"/>
      </w:r>
    </w:p>
    <w:p w14:paraId="4693B6AC" w14:textId="7FA741AC" w:rsidR="005D5785" w:rsidRDefault="005D5785" w:rsidP="005D5785">
      <w:pPr>
        <w:spacing w:after="0" w:line="276" w:lineRule="auto"/>
        <w:ind w:firstLine="708"/>
        <w:jc w:val="both"/>
        <w:textAlignment w:val="baseline"/>
        <w:rPr>
          <w:rFonts w:ascii="Times New Roman" w:hAnsi="Times New Roman" w:cs="Times New Roman"/>
          <w:sz w:val="24"/>
          <w:szCs w:val="24"/>
          <w:lang w:val="es-CL"/>
        </w:rPr>
      </w:pPr>
    </w:p>
    <w:p w14:paraId="11EAB070" w14:textId="2A75C65B" w:rsidR="005D5785" w:rsidRPr="005D5785" w:rsidRDefault="005D5785" w:rsidP="005D5785">
      <w:pPr>
        <w:spacing w:after="0"/>
        <w:jc w:val="both"/>
        <w:textAlignment w:val="baseline"/>
        <w:rPr>
          <w:rFonts w:ascii="Times New Roman" w:hAnsi="Times New Roman" w:cs="Times New Roman"/>
          <w:i/>
          <w:iCs/>
          <w:sz w:val="24"/>
          <w:szCs w:val="24"/>
          <w:u w:val="single"/>
          <w:lang w:val="es-ES_tradnl"/>
        </w:rPr>
      </w:pPr>
      <w:r>
        <w:rPr>
          <w:rFonts w:ascii="Times New Roman" w:hAnsi="Times New Roman" w:cs="Times New Roman"/>
          <w:i/>
          <w:iCs/>
          <w:sz w:val="24"/>
          <w:szCs w:val="24"/>
          <w:u w:val="single"/>
          <w:lang w:val="es-ES_tradnl"/>
        </w:rPr>
        <w:t>F</w:t>
      </w:r>
      <w:r w:rsidRPr="005D5785">
        <w:rPr>
          <w:rFonts w:ascii="Times New Roman" w:hAnsi="Times New Roman" w:cs="Times New Roman"/>
          <w:i/>
          <w:iCs/>
          <w:sz w:val="24"/>
          <w:szCs w:val="24"/>
          <w:u w:val="single"/>
          <w:lang w:val="es-ES_tradnl"/>
        </w:rPr>
        <w:t>. Violencia contra mujeres rurales e indígenas</w:t>
      </w:r>
    </w:p>
    <w:p w14:paraId="737F78C0"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En Chile los territorios con bajo grado de urbanización, con bajo tamaño poblacional y con alta proporción de población perteneciente a pueblos originarios, constituyen el perfil predominante en las zonas más rezagadas. </w:t>
      </w:r>
      <w:r w:rsidRPr="005D5785">
        <w:rPr>
          <w:rFonts w:ascii="Times New Roman" w:hAnsi="Times New Roman" w:cs="Times New Roman"/>
          <w:sz w:val="24"/>
          <w:szCs w:val="24"/>
          <w:vertAlign w:val="superscript"/>
          <w:lang w:val="es-CL"/>
        </w:rPr>
        <w:footnoteReference w:id="43"/>
      </w:r>
      <w:r w:rsidRPr="005D5785">
        <w:rPr>
          <w:rFonts w:ascii="Times New Roman" w:hAnsi="Times New Roman" w:cs="Times New Roman"/>
          <w:sz w:val="24"/>
          <w:szCs w:val="24"/>
          <w:lang w:val="es-CL"/>
        </w:rPr>
        <w:t xml:space="preserve">Así, la desigualdad de género se expresa de distintos modos en distintos territorios y da lugar a una experiencia cualitativamente diferente de discriminación y violencia. Cabe señalar que el Estado no elabora información desagregada por etnicidad y ruralidad, con relación a la violencia contra la mujer. No hay información cuantitativa y cualitativa sobre la magnitud y las características de la violencia que enfrentan este grupo de mujeres. </w:t>
      </w:r>
    </w:p>
    <w:p w14:paraId="7C484333"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La situación de pobreza es de 16% en zonas urbanas y 32% en zonas rurales. La pobreza por ingresos también es significativamente mayor para la población indígena, donde las mujeres presentan un 50% más de pobreza que la media de las mujeres a nivel nacional. No obstante, la intersección mujer, joven y rural encierra los mayores de pobreza y desigualdad de género. En el año 2015, 1 de cada 4 mujeres jóvenes rurales se encontraban en situación de pobreza, dos veces más que las mujeres jóvenes urbanas (RIMISP, 2018). Las mujeres rurales presentan una brecha de 2,4 años menos de escolaridad frente a sus pares urbanas, hombres y mujeres indígenas tienen en promedio un año menos de escolaridad que el promedio nacional. La tasa de participación laboral de las mujeres rurales es un 30% menor que la de las mujeres urbanas y un 50% menos que los hombres rurales. Las mujeres indígenas tienen un 11% menos de ingresos que las mujeres a nivel nacional. </w:t>
      </w:r>
      <w:r w:rsidRPr="005D5785">
        <w:rPr>
          <w:rFonts w:ascii="Times New Roman" w:hAnsi="Times New Roman" w:cs="Times New Roman"/>
          <w:sz w:val="24"/>
          <w:szCs w:val="24"/>
        </w:rPr>
        <w:t>En 2017 la encuesta Casen señala que la pobreza y la pobreza extrema tiene una incidencia mayor en zonas rurales (16,5% y 4,4% respectivamente) que en zonas urbanas (7,4% y 2,0% respectivamente).</w:t>
      </w:r>
      <w:r w:rsidRPr="005D5785">
        <w:rPr>
          <w:sz w:val="24"/>
          <w:szCs w:val="24"/>
        </w:rPr>
        <w:t xml:space="preserve"> </w:t>
      </w:r>
      <w:r w:rsidRPr="005D5785">
        <w:rPr>
          <w:rFonts w:ascii="Times New Roman" w:hAnsi="Times New Roman" w:cs="Times New Roman"/>
          <w:sz w:val="24"/>
          <w:szCs w:val="24"/>
        </w:rPr>
        <w:t>La población indígena presenta niveles de pobreza significativamente mayores que la población no indígena (14,5% y 8,0% en 2017. A nivel de zonas, la incidencia de la pobreza multidimensional es mayor en zonas rurales (37,4%) que en zonas urbanas (18,3%).</w:t>
      </w:r>
      <w:r w:rsidRPr="005D5785">
        <w:rPr>
          <w:rFonts w:ascii="Times New Roman" w:hAnsi="Times New Roman" w:cs="Times New Roman"/>
          <w:sz w:val="24"/>
          <w:szCs w:val="24"/>
          <w:vertAlign w:val="superscript"/>
        </w:rPr>
        <w:footnoteReference w:id="44"/>
      </w:r>
    </w:p>
    <w:p w14:paraId="7B46F9A1"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La Mesa de Mujer Mapuche, en relación al tratamiento de las comunidades indígenas, señala que lo que prima en el Estado es “la negación del otro”, la negación del pueblo mapuche, incluidas las mujeres. “Hay mucha violencia en lo rural y particularmente en las comunidades mapuche y el fenómeno se ha naturalizado y normalizado, ocurriendo en algunos casos en un contexto de alcoholismo”.</w:t>
      </w:r>
      <w:r w:rsidRPr="005D5785">
        <w:rPr>
          <w:rFonts w:ascii="Times New Roman" w:hAnsi="Times New Roman" w:cs="Times New Roman"/>
          <w:sz w:val="24"/>
          <w:szCs w:val="24"/>
          <w:vertAlign w:val="superscript"/>
          <w:lang w:val="es-CL"/>
        </w:rPr>
        <w:footnoteReference w:id="45"/>
      </w:r>
      <w:r w:rsidRPr="005D5785">
        <w:rPr>
          <w:rFonts w:ascii="Times New Roman" w:hAnsi="Times New Roman" w:cs="Times New Roman"/>
          <w:sz w:val="24"/>
          <w:szCs w:val="24"/>
          <w:lang w:val="es-CL"/>
        </w:rPr>
        <w:t xml:space="preserve"> Así, La violencia contra la mujer mapuche queda invisibilizada en relación a los problemas de violencia que les afectan como pueblo</w:t>
      </w:r>
      <w:r w:rsidRPr="005D5785">
        <w:rPr>
          <w:rFonts w:ascii="Times New Roman" w:hAnsi="Times New Roman" w:cs="Times New Roman"/>
          <w:sz w:val="24"/>
          <w:szCs w:val="24"/>
          <w:vertAlign w:val="superscript"/>
          <w:lang w:val="es-CL"/>
        </w:rPr>
        <w:footnoteReference w:id="46"/>
      </w:r>
      <w:r w:rsidRPr="005D5785">
        <w:rPr>
          <w:rFonts w:ascii="Times New Roman" w:hAnsi="Times New Roman" w:cs="Times New Roman"/>
          <w:sz w:val="24"/>
          <w:szCs w:val="24"/>
          <w:lang w:val="es-CL"/>
        </w:rPr>
        <w:t xml:space="preserve">. </w:t>
      </w:r>
    </w:p>
    <w:p w14:paraId="6CE38A4D"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En relación a la violencia de las empresas ubicadas en zonas mapuche, en la comuna de Panguipulli se levantan ocho proyectos hidroeléctricos y existen más de 300 derechos de agua concesionados, ocurrió un hecho de connotación pública: la muerte de Macarena </w:t>
      </w:r>
      <w:r w:rsidRPr="005D5785">
        <w:rPr>
          <w:rFonts w:ascii="Times New Roman" w:hAnsi="Times New Roman" w:cs="Times New Roman"/>
          <w:sz w:val="24"/>
          <w:szCs w:val="24"/>
          <w:lang w:val="es-CL"/>
        </w:rPr>
        <w:lastRenderedPageBreak/>
        <w:t>Valdés, en agosto de 2016. Según informes médicos, se habría suicidado por ahorcamiento. Ella y su esposo, vocero de la Coordinación Newen Tranguil, se oponían a la construcción de una central de paso a cargo de la empresa hidroeléctrica RP Global Chile. Dos días antes de la muerte de Macarena, la familia recibió amenazas por parte de trabajadores contratistas de RP Global. En 2017, un año después de su muerte la Fiscalía Regional de Los Ríos reabrió la causa y ordenó la exhumación del cuerpo. El médico forense manifestó que en el informe de autopsia no se logró comprobar el suicidio. La investigación aún está en desarrollo.</w:t>
      </w:r>
    </w:p>
    <w:p w14:paraId="703D8CB4"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En el caso de las mujeres aymaras, se repite la carencia de datos cuantitativos relativos a la magnitud de la violencia. La situación que viven las mujeres de Isla de Pascua es más compleja en relación con la Violencia Intrafamiliar por cuanto es delito un delito cuya frecuencia aumenta. La Ley 16.441, de 1966 creó el Departamento de Isla de Pascua, beneficia a responsables de delitos en ese territorio, entre ellos los de carácter sexual, con la rebaja en un grado de la pena (si el autor es natural de la isla) y con la posibilidad de que el condenado cumpla hasta dos tercios de su sanción fuera de la cárcel. Ante esta situación, se ha presentado dos proyectos de ley por dos senadores de la Región de Valparaíso con el fin de derogar los artículos 13 y 14 de la Ley 16.441 (proyectos de ley 10.788-06 proyecto de ley 10.787-06). Ambos proyectos fueron presentados el 2016 y se encuentran en trámite.</w:t>
      </w:r>
    </w:p>
    <w:p w14:paraId="4E8F535A" w14:textId="125D3E42"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El proyecto de ley sobre el derecho de la mujer a una vida libre de violencia, actualmente en trámite en el Parlamento no da cuenta de la multiculturalidad existente en el país. La homogenización de las realidades de las mujeres y del tratamiento de la violencia, impide el diseño de políticas específicas a las mujeres indígenas y rurales. Las intervenciones del Estado para abordar la violencia están dirigidas a mujeres urbanas y no a mujeres rurales ni indígenas no consideran la especificidad cultural ni territorial.</w:t>
      </w:r>
    </w:p>
    <w:p w14:paraId="60521A4C" w14:textId="77777777" w:rsidR="005D5785" w:rsidRPr="005D5785" w:rsidRDefault="005D5785" w:rsidP="005D5785">
      <w:pPr>
        <w:spacing w:after="0"/>
        <w:jc w:val="both"/>
        <w:textAlignment w:val="baseline"/>
        <w:rPr>
          <w:rFonts w:ascii="Times New Roman" w:hAnsi="Times New Roman" w:cs="Times New Roman"/>
          <w:b/>
          <w:bCs/>
          <w:sz w:val="24"/>
          <w:szCs w:val="24"/>
          <w:lang w:val="es-CL"/>
        </w:rPr>
      </w:pPr>
    </w:p>
    <w:p w14:paraId="48C7B957" w14:textId="3CB53D8A" w:rsidR="005D5785" w:rsidRPr="005D5785" w:rsidRDefault="005D5785" w:rsidP="005D5785">
      <w:pPr>
        <w:spacing w:after="0"/>
        <w:jc w:val="both"/>
        <w:textAlignment w:val="baseline"/>
        <w:rPr>
          <w:rFonts w:ascii="Times New Roman" w:hAnsi="Times New Roman" w:cs="Times New Roman"/>
          <w:i/>
          <w:iCs/>
          <w:sz w:val="24"/>
          <w:szCs w:val="24"/>
          <w:u w:val="single"/>
          <w:lang w:val="es-CL"/>
        </w:rPr>
      </w:pPr>
      <w:r>
        <w:rPr>
          <w:rFonts w:ascii="Times New Roman" w:hAnsi="Times New Roman" w:cs="Times New Roman"/>
          <w:i/>
          <w:iCs/>
          <w:sz w:val="24"/>
          <w:szCs w:val="24"/>
          <w:u w:val="single"/>
          <w:lang w:val="es-CL"/>
        </w:rPr>
        <w:t>G</w:t>
      </w:r>
      <w:r w:rsidRPr="005D5785">
        <w:rPr>
          <w:rFonts w:ascii="Times New Roman" w:hAnsi="Times New Roman" w:cs="Times New Roman"/>
          <w:i/>
          <w:iCs/>
          <w:sz w:val="24"/>
          <w:szCs w:val="24"/>
          <w:u w:val="single"/>
          <w:lang w:val="es-CL"/>
        </w:rPr>
        <w:t>. Interrupción voluntaria del embarazo</w:t>
      </w:r>
    </w:p>
    <w:p w14:paraId="311E0F61"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Con fecha 23 de septiembre de 2017 entró en vigencia la ley N°21.030 de interrupción del embarazo de tres causales </w:t>
      </w:r>
    </w:p>
    <w:p w14:paraId="6940CEBB" w14:textId="7D65FF71"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En el 2019, el Ministerio de Salud promulgó el reglamento que regula la objeción de conciencia relativa a esta ley. Este establece una amplia excepción al cumplimiento del derecho establecido en la ley a través de la objeción de conciencia, entendida no solo como una potestad individual de aplicación excepcional y restringida, como debería. Datos publicados, en junio de 2019, por el Ministerio de Salud muestran que uno de cada dos obstetras de hospitales públicos se declaró objetor en la causal violación sexual (50,5%), uno de cada cuatro en caso de inviabilidad fetal (28,6%) y uno de cada cinco en caso de riesgo vital (20,7%). Se constata un incremento del número de objetores en todas las causales y, particularmente, en violación, la cual varió en más de tres puntos (en 2018 eran un 47,2% los objetores por causal de violación). Respecto de la objeción de conciencia en la causal riesgo vital, la situación es alarmante, pues se verifica una regresión en la protección del derecho a la vida de las mujeres.</w:t>
      </w:r>
      <w:r w:rsidRPr="005D5785">
        <w:rPr>
          <w:rFonts w:ascii="Times New Roman" w:hAnsi="Times New Roman" w:cs="Times New Roman"/>
          <w:sz w:val="24"/>
          <w:szCs w:val="24"/>
          <w:vertAlign w:val="superscript"/>
          <w:lang w:val="es-CL"/>
        </w:rPr>
        <w:footnoteReference w:id="47"/>
      </w:r>
      <w:r>
        <w:rPr>
          <w:rFonts w:ascii="Times New Roman" w:hAnsi="Times New Roman" w:cs="Times New Roman"/>
          <w:sz w:val="24"/>
          <w:szCs w:val="24"/>
          <w:lang w:val="es-CL"/>
        </w:rPr>
        <w:t xml:space="preserve"> </w:t>
      </w:r>
      <w:r w:rsidRPr="005D5785">
        <w:rPr>
          <w:rFonts w:ascii="Times New Roman" w:hAnsi="Times New Roman" w:cs="Times New Roman"/>
          <w:sz w:val="24"/>
          <w:szCs w:val="24"/>
          <w:lang w:val="es-CL"/>
        </w:rPr>
        <w:t xml:space="preserve">La Mesa de Acción por el Aborto en Chile en julio de 2019, dio a </w:t>
      </w:r>
      <w:r w:rsidRPr="005D5785">
        <w:rPr>
          <w:rFonts w:ascii="Times New Roman" w:hAnsi="Times New Roman" w:cs="Times New Roman"/>
          <w:sz w:val="24"/>
          <w:szCs w:val="24"/>
          <w:lang w:val="es-CL"/>
        </w:rPr>
        <w:lastRenderedPageBreak/>
        <w:t>conocer los resultados de un monitoreo social a la implementación de la Ley de Interrupción Voluntaria del Embarazo (IVE) en la red pública de atención, en siete territorios del país. Se constata en dicho monitoreo que “existen falencias en la atención a las mujeres que se convierten, para ellas, en obstáculos para la toma de decisión sobre sus embarazos y el acceso expedito a la interrupción, si esa es su opción”.</w:t>
      </w:r>
    </w:p>
    <w:p w14:paraId="7647DB9C" w14:textId="77777777" w:rsidR="005D5785" w:rsidRPr="005D5785" w:rsidRDefault="005D5785" w:rsidP="005D5785">
      <w:pPr>
        <w:spacing w:after="0" w:line="276" w:lineRule="auto"/>
        <w:ind w:firstLine="708"/>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Cabe señalar, que los derechos sexuales y reproductivos son cuestionados por sectores conservadores. En efecto, la existencia de grupos contrarios al género y anti derechos tienen expresión en los espacios institucionales y en organizaciones políticas y sociales, y en agrupaciones cuyo discurso y prácticas exacerban la inseguridad, el temor y el prejuicio sobre lo diferente y diverso de los cuerpos y las afectividades, los proyectos de vida y las culturas.</w:t>
      </w:r>
      <w:r w:rsidRPr="005D5785">
        <w:rPr>
          <w:rFonts w:ascii="Times New Roman" w:hAnsi="Times New Roman" w:cs="Times New Roman"/>
          <w:sz w:val="24"/>
          <w:szCs w:val="24"/>
          <w:vertAlign w:val="superscript"/>
          <w:lang w:val="es-CL"/>
        </w:rPr>
        <w:footnoteReference w:id="48"/>
      </w:r>
      <w:r w:rsidRPr="005D5785">
        <w:rPr>
          <w:rFonts w:ascii="Times New Roman" w:hAnsi="Times New Roman" w:cs="Times New Roman"/>
          <w:sz w:val="24"/>
          <w:szCs w:val="24"/>
          <w:lang w:val="es-CL"/>
        </w:rPr>
        <w:t xml:space="preserve"> Se requiere adicionalmente:</w:t>
      </w:r>
    </w:p>
    <w:p w14:paraId="3DC0DD4B" w14:textId="77777777" w:rsidR="005D5785" w:rsidRPr="005D5785" w:rsidRDefault="005D5785" w:rsidP="005D5785">
      <w:pPr>
        <w:spacing w:after="0"/>
        <w:jc w:val="both"/>
        <w:textAlignment w:val="baseline"/>
        <w:rPr>
          <w:rFonts w:ascii="Times New Roman" w:hAnsi="Times New Roman" w:cs="Times New Roman"/>
          <w:b/>
          <w:bCs/>
          <w:sz w:val="24"/>
          <w:szCs w:val="24"/>
          <w:lang w:val="es-CL"/>
        </w:rPr>
      </w:pPr>
    </w:p>
    <w:p w14:paraId="2AF65632" w14:textId="142C999D" w:rsidR="005D5785" w:rsidRPr="005D5785" w:rsidRDefault="005D5785" w:rsidP="005D5785">
      <w:pPr>
        <w:jc w:val="both"/>
        <w:rPr>
          <w:rFonts w:ascii="Times New Roman" w:hAnsi="Times New Roman" w:cs="Times New Roman"/>
          <w:i/>
          <w:iCs/>
          <w:sz w:val="24"/>
          <w:szCs w:val="24"/>
          <w:u w:val="single"/>
          <w:lang w:val="es-CL"/>
        </w:rPr>
      </w:pPr>
      <w:r>
        <w:rPr>
          <w:rFonts w:ascii="Times New Roman" w:hAnsi="Times New Roman" w:cs="Times New Roman"/>
          <w:i/>
          <w:iCs/>
          <w:sz w:val="24"/>
          <w:szCs w:val="24"/>
          <w:u w:val="single"/>
          <w:lang w:val="es-CL"/>
        </w:rPr>
        <w:t>H</w:t>
      </w:r>
      <w:r w:rsidRPr="005D5785">
        <w:rPr>
          <w:rFonts w:ascii="Times New Roman" w:hAnsi="Times New Roman" w:cs="Times New Roman"/>
          <w:i/>
          <w:iCs/>
          <w:sz w:val="24"/>
          <w:szCs w:val="24"/>
          <w:u w:val="single"/>
          <w:lang w:val="es-CL"/>
        </w:rPr>
        <w:t>. Régimen patrimonial de sociedad conyugal</w:t>
      </w:r>
    </w:p>
    <w:p w14:paraId="47558EBC" w14:textId="77777777" w:rsidR="005D5785" w:rsidRPr="005D5785" w:rsidRDefault="005D5785" w:rsidP="005D5785">
      <w:pPr>
        <w:spacing w:after="0" w:line="240" w:lineRule="auto"/>
        <w:ind w:firstLine="708"/>
        <w:jc w:val="both"/>
        <w:rPr>
          <w:rFonts w:ascii="Times New Roman" w:eastAsia="Times New Roman" w:hAnsi="Times New Roman" w:cs="Times New Roman"/>
          <w:sz w:val="24"/>
          <w:szCs w:val="24"/>
          <w:lang w:val="es-CL" w:eastAsia="es-MX"/>
        </w:rPr>
      </w:pPr>
      <w:r w:rsidRPr="005D5785">
        <w:rPr>
          <w:rFonts w:ascii="Times New Roman" w:eastAsia="Times New Roman" w:hAnsi="Times New Roman" w:cs="Times New Roman"/>
          <w:sz w:val="24"/>
          <w:szCs w:val="24"/>
          <w:lang w:val="es-CL" w:eastAsia="es-MX"/>
        </w:rPr>
        <w:t xml:space="preserve">Esta iniciativa legal Boletín legislativo 7567-07, que modifica Código Civil y otras leyes, regula el régimen patrimonial de sociedad conyugal, con el fin de establecer la plena igualdad entre los cónyuges en lo que se refiere a la administración de los bienes sociales, como también reconocer, en forma efectiva, la total capacidad de las mujeres para la administración de sus bienes. Este proyecto de ley lleva 9 años en tramitación. Su aprobación es relevante para las mujeres emprendedoras por cuanto no pueden administrar sus bienes, mientras no se realice esta modificación. El Comité de la CEDAW ha señalado desde la década del 90 en las Recomendaciones al Estado de Chile la importancia de su aprobación. </w:t>
      </w:r>
    </w:p>
    <w:p w14:paraId="49440AA7" w14:textId="1BE4F62A" w:rsidR="005D5785" w:rsidRPr="005D5785" w:rsidRDefault="005D5785" w:rsidP="005D5785">
      <w:pPr>
        <w:spacing w:after="0" w:line="276" w:lineRule="auto"/>
        <w:jc w:val="both"/>
        <w:textAlignment w:val="baseline"/>
        <w:rPr>
          <w:rFonts w:ascii="Times New Roman" w:hAnsi="Times New Roman" w:cs="Times New Roman"/>
          <w:sz w:val="24"/>
          <w:szCs w:val="24"/>
          <w:lang w:val="es-CL"/>
        </w:rPr>
      </w:pPr>
    </w:p>
    <w:p w14:paraId="525974B8" w14:textId="77777777" w:rsidR="005D5785" w:rsidRPr="005D5785" w:rsidRDefault="005D5785" w:rsidP="005D5785">
      <w:pPr>
        <w:spacing w:after="0" w:line="276" w:lineRule="auto"/>
        <w:jc w:val="both"/>
        <w:textAlignment w:val="baseline"/>
        <w:rPr>
          <w:rFonts w:ascii="Times New Roman" w:hAnsi="Times New Roman" w:cs="Times New Roman"/>
          <w:b/>
          <w:sz w:val="24"/>
          <w:szCs w:val="24"/>
          <w:u w:val="single"/>
          <w:lang w:val="es-CL"/>
        </w:rPr>
      </w:pPr>
      <w:r w:rsidRPr="005D5785">
        <w:rPr>
          <w:rFonts w:ascii="Times New Roman" w:hAnsi="Times New Roman" w:cs="Times New Roman"/>
          <w:b/>
          <w:sz w:val="24"/>
          <w:szCs w:val="24"/>
          <w:u w:val="single"/>
          <w:lang w:val="es-CL"/>
        </w:rPr>
        <w:t xml:space="preserve">Preguntas sugeridas al Estado: </w:t>
      </w:r>
    </w:p>
    <w:p w14:paraId="4CDF9EB2" w14:textId="77777777" w:rsidR="005D5785" w:rsidRPr="005D5785" w:rsidRDefault="005D5785" w:rsidP="005D5785">
      <w:pPr>
        <w:spacing w:after="0" w:line="276" w:lineRule="auto"/>
        <w:jc w:val="both"/>
        <w:textAlignment w:val="baseline"/>
        <w:rPr>
          <w:rFonts w:ascii="Times New Roman" w:hAnsi="Times New Roman" w:cs="Times New Roman"/>
          <w:b/>
          <w:sz w:val="24"/>
          <w:szCs w:val="24"/>
          <w:u w:val="single"/>
          <w:lang w:val="es-CL"/>
        </w:rPr>
      </w:pPr>
    </w:p>
    <w:p w14:paraId="39D7E310" w14:textId="77777777" w:rsidR="005D5785" w:rsidRPr="005D5785" w:rsidRDefault="005D5785" w:rsidP="00E40541">
      <w:pPr>
        <w:numPr>
          <w:ilvl w:val="0"/>
          <w:numId w:val="3"/>
        </w:numPr>
        <w:spacing w:after="0" w:line="276" w:lineRule="auto"/>
        <w:contextualSpacing/>
        <w:jc w:val="both"/>
        <w:rPr>
          <w:rFonts w:ascii="Times New Roman" w:hAnsi="Times New Roman" w:cs="Times New Roman"/>
          <w:bCs/>
          <w:sz w:val="24"/>
          <w:szCs w:val="24"/>
          <w:lang w:val="es-CL"/>
        </w:rPr>
      </w:pPr>
      <w:r w:rsidRPr="005D5785">
        <w:rPr>
          <w:rFonts w:ascii="Times New Roman" w:hAnsi="Times New Roman" w:cs="Times New Roman"/>
          <w:sz w:val="24"/>
          <w:szCs w:val="24"/>
          <w:u w:val="single"/>
          <w:lang w:val="es-CL"/>
        </w:rPr>
        <w:t>¿</w:t>
      </w:r>
      <w:r w:rsidRPr="005D5785">
        <w:rPr>
          <w:rFonts w:ascii="Times New Roman" w:hAnsi="Times New Roman" w:cs="Times New Roman"/>
          <w:bCs/>
          <w:sz w:val="24"/>
          <w:szCs w:val="24"/>
          <w:lang w:val="es-CL"/>
        </w:rPr>
        <w:t xml:space="preserve">En qué plazo pretende promulgar el Protocolo Facultativo de la Convención para la Eliminación de toda forma de Discriminación contra la Mujer? </w:t>
      </w:r>
    </w:p>
    <w:p w14:paraId="2A2EB2D5" w14:textId="77777777" w:rsidR="005D5785" w:rsidRPr="005D5785" w:rsidRDefault="005D5785" w:rsidP="00E40541">
      <w:pPr>
        <w:numPr>
          <w:ilvl w:val="0"/>
          <w:numId w:val="3"/>
        </w:numPr>
        <w:spacing w:after="0" w:line="276" w:lineRule="auto"/>
        <w:contextualSpacing/>
        <w:jc w:val="both"/>
        <w:textAlignment w:val="baseline"/>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¿Qué iniciativas se están implementando para asegurar que las mujeres puedan participar del proceso constituyente en igualdad de condiciones que los hombres? </w:t>
      </w:r>
    </w:p>
    <w:p w14:paraId="5C8F5CEF" w14:textId="77777777" w:rsidR="005D5785" w:rsidRPr="005D5785" w:rsidRDefault="005D5785" w:rsidP="00E40541">
      <w:pPr>
        <w:numPr>
          <w:ilvl w:val="0"/>
          <w:numId w:val="3"/>
        </w:numPr>
        <w:contextualSpacing/>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¿Qué medidas ha adoptado o pretende adoptar a fin de que la formulación de políticas públicas tenga un enfoque de género y se establezcan mecanismos para su exigibilidad a través de acciones y recursos? Particularmente, ¿De qué manera pretende reconocer el valor público del </w:t>
      </w:r>
      <w:r w:rsidRPr="005D5785">
        <w:rPr>
          <w:rFonts w:ascii="Times New Roman" w:hAnsi="Times New Roman" w:cs="Times New Roman"/>
          <w:sz w:val="24"/>
          <w:szCs w:val="24"/>
        </w:rPr>
        <w:t xml:space="preserve">trabajo doméstico no remunerado y prevenir que se perpetúe el igual disfrute desigual de los derechos entre hombres y mujeres? </w:t>
      </w:r>
    </w:p>
    <w:p w14:paraId="02ED2893" w14:textId="77777777" w:rsidR="005D5785" w:rsidRPr="005D5785" w:rsidRDefault="005D5785" w:rsidP="00E40541">
      <w:pPr>
        <w:numPr>
          <w:ilvl w:val="0"/>
          <w:numId w:val="3"/>
        </w:numPr>
        <w:contextualSpacing/>
        <w:jc w:val="both"/>
        <w:rPr>
          <w:rFonts w:ascii="Times New Roman" w:hAnsi="Times New Roman" w:cs="Times New Roman"/>
          <w:sz w:val="24"/>
          <w:szCs w:val="24"/>
          <w:lang w:val="es-CL"/>
        </w:rPr>
      </w:pPr>
      <w:r w:rsidRPr="005D5785">
        <w:rPr>
          <w:rFonts w:ascii="Times New Roman" w:hAnsi="Times New Roman" w:cs="Times New Roman"/>
          <w:sz w:val="24"/>
          <w:szCs w:val="24"/>
          <w:lang w:val="es-CL"/>
        </w:rPr>
        <w:t xml:space="preserve">¿Qué tipo de acciones se pretenden implementar para erradicar la violencia estructural que sufren las mujeres, incluyendo aquellas que habitan en zonas rurales y las mujeres indígenas? </w:t>
      </w:r>
    </w:p>
    <w:p w14:paraId="2711312C" w14:textId="53946E17" w:rsidR="00492CF6" w:rsidRDefault="00492CF6" w:rsidP="00353BE6">
      <w:pPr>
        <w:pStyle w:val="NormalWeb"/>
        <w:spacing w:before="0" w:beforeAutospacing="0" w:after="0" w:afterAutospacing="0"/>
        <w:jc w:val="both"/>
        <w:rPr>
          <w:lang w:val="es-CL"/>
        </w:rPr>
      </w:pPr>
    </w:p>
    <w:p w14:paraId="005047BE" w14:textId="161280F7" w:rsidR="006144AB" w:rsidRDefault="006144AB" w:rsidP="00353BE6">
      <w:pPr>
        <w:pStyle w:val="NormalWeb"/>
        <w:spacing w:before="0" w:beforeAutospacing="0" w:after="0" w:afterAutospacing="0"/>
        <w:jc w:val="both"/>
        <w:rPr>
          <w:lang w:val="es-CL"/>
        </w:rPr>
      </w:pPr>
    </w:p>
    <w:p w14:paraId="5EEA5207" w14:textId="6B6CD275" w:rsidR="006144AB" w:rsidRDefault="006144AB" w:rsidP="00353BE6">
      <w:pPr>
        <w:pStyle w:val="NormalWeb"/>
        <w:spacing w:before="0" w:beforeAutospacing="0" w:after="0" w:afterAutospacing="0"/>
        <w:jc w:val="both"/>
        <w:rPr>
          <w:lang w:val="es-CL"/>
        </w:rPr>
      </w:pPr>
    </w:p>
    <w:p w14:paraId="48D2B8EE" w14:textId="77777777" w:rsidR="006144AB" w:rsidRPr="003E4533" w:rsidRDefault="006144AB" w:rsidP="00353BE6">
      <w:pPr>
        <w:pStyle w:val="NormalWeb"/>
        <w:spacing w:before="0" w:beforeAutospacing="0" w:after="0" w:afterAutospacing="0"/>
        <w:jc w:val="both"/>
        <w:rPr>
          <w:lang w:val="es-CL"/>
        </w:rPr>
      </w:pPr>
    </w:p>
    <w:p w14:paraId="0C556A5C" w14:textId="10256800" w:rsidR="00392C74" w:rsidRPr="00E61542" w:rsidRDefault="004C3FCD" w:rsidP="00392C74">
      <w:pPr>
        <w:pStyle w:val="SingleTxtG"/>
        <w:spacing w:line="276" w:lineRule="auto"/>
        <w:ind w:left="0"/>
        <w:rPr>
          <w:b/>
          <w:bCs/>
          <w:sz w:val="28"/>
          <w:szCs w:val="28"/>
          <w:lang w:val="es-419"/>
        </w:rPr>
      </w:pPr>
      <w:r w:rsidRPr="00E61542">
        <w:rPr>
          <w:b/>
          <w:bCs/>
          <w:sz w:val="28"/>
          <w:szCs w:val="28"/>
          <w:lang w:val="es-419"/>
        </w:rPr>
        <w:lastRenderedPageBreak/>
        <w:t>2</w:t>
      </w:r>
      <w:r w:rsidR="003B294A" w:rsidRPr="00E61542">
        <w:rPr>
          <w:b/>
          <w:bCs/>
          <w:sz w:val="28"/>
          <w:szCs w:val="28"/>
          <w:lang w:val="es-419"/>
        </w:rPr>
        <w:t>.</w:t>
      </w:r>
      <w:r w:rsidR="0099534C" w:rsidRPr="00E61542">
        <w:rPr>
          <w:b/>
          <w:bCs/>
          <w:sz w:val="28"/>
          <w:szCs w:val="28"/>
          <w:lang w:val="es-419"/>
        </w:rPr>
        <w:t xml:space="preserve"> </w:t>
      </w:r>
      <w:r w:rsidRPr="00E61542">
        <w:rPr>
          <w:b/>
          <w:bCs/>
          <w:sz w:val="28"/>
          <w:szCs w:val="28"/>
          <w:lang w:val="es-419"/>
        </w:rPr>
        <w:t>Pueblos Indígenas</w:t>
      </w:r>
    </w:p>
    <w:p w14:paraId="6305EA54" w14:textId="4D65A7C8" w:rsidR="00FB6BA8" w:rsidRPr="003E4533" w:rsidRDefault="00392C74" w:rsidP="004C3FCD">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rPr>
        <w:t>Oficialmente el Estado de Chile reconoce la existencia de nueve pueblos indígenas</w:t>
      </w:r>
      <w:r w:rsidRPr="003E4533">
        <w:rPr>
          <w:rStyle w:val="Refdenotaalpie"/>
          <w:rFonts w:ascii="Times New Roman" w:hAnsi="Times New Roman"/>
          <w:sz w:val="24"/>
          <w:szCs w:val="24"/>
        </w:rPr>
        <w:footnoteReference w:id="49"/>
      </w:r>
      <w:r w:rsidRPr="003E4533">
        <w:rPr>
          <w:rFonts w:ascii="Times New Roman" w:hAnsi="Times New Roman" w:cs="Times New Roman"/>
          <w:sz w:val="24"/>
          <w:szCs w:val="24"/>
        </w:rPr>
        <w:t>; Aimaras, Quechuas, Atacameños o Licán Antai, Collas, Diaguitas, Rapa Nui o Pascuenses, Mapuche, Kawaskar o Alacalufe y Yamán o Yagán. A ello se agregan los afrodescendientes o afro-chilenos, concentrados en el Valle de Azapa, Región de Arica y Parinacota, y diseminados en distint</w:t>
      </w:r>
      <w:r w:rsidR="004E5E3C" w:rsidRPr="003E4533">
        <w:rPr>
          <w:rFonts w:ascii="Times New Roman" w:hAnsi="Times New Roman" w:cs="Times New Roman"/>
          <w:sz w:val="24"/>
          <w:szCs w:val="24"/>
        </w:rPr>
        <w:t>o</w:t>
      </w:r>
      <w:r w:rsidRPr="003E4533">
        <w:rPr>
          <w:rFonts w:ascii="Times New Roman" w:hAnsi="Times New Roman" w:cs="Times New Roman"/>
          <w:sz w:val="24"/>
          <w:szCs w:val="24"/>
        </w:rPr>
        <w:t>s sectores del país, reconocidos recientemente como pueblo tribal de acuerdo con el Convenio 169 de la OIT.</w:t>
      </w:r>
      <w:r w:rsidR="00FB6BA8" w:rsidRPr="003E4533">
        <w:rPr>
          <w:rFonts w:ascii="Times New Roman" w:hAnsi="Times New Roman" w:cs="Times New Roman"/>
          <w:sz w:val="24"/>
          <w:szCs w:val="24"/>
        </w:rPr>
        <w:t xml:space="preserve"> E</w:t>
      </w:r>
      <w:r w:rsidRPr="003E4533">
        <w:rPr>
          <w:rFonts w:ascii="Times New Roman" w:hAnsi="Times New Roman" w:cs="Times New Roman"/>
          <w:sz w:val="24"/>
          <w:szCs w:val="24"/>
        </w:rPr>
        <w:t>l último Censo Nacional de Población (2017) situó en un 12,8% la población que se reconoce como perteneciente a alguno de estos pueblos</w:t>
      </w:r>
      <w:r w:rsidRPr="003E4533">
        <w:rPr>
          <w:rStyle w:val="Refdenotaalpie"/>
          <w:rFonts w:ascii="Times New Roman" w:hAnsi="Times New Roman"/>
          <w:sz w:val="24"/>
          <w:szCs w:val="24"/>
        </w:rPr>
        <w:footnoteReference w:id="50"/>
      </w:r>
      <w:r w:rsidR="00FB6BA8" w:rsidRPr="003E4533">
        <w:rPr>
          <w:rFonts w:ascii="Times New Roman" w:hAnsi="Times New Roman" w:cs="Times New Roman"/>
          <w:sz w:val="24"/>
          <w:szCs w:val="24"/>
        </w:rPr>
        <w:t>.</w:t>
      </w:r>
    </w:p>
    <w:p w14:paraId="37E46509" w14:textId="697B7D84" w:rsidR="00392C74" w:rsidRPr="003E4533" w:rsidRDefault="00FB6BA8" w:rsidP="00392C74">
      <w:pPr>
        <w:spacing w:after="0"/>
        <w:jc w:val="both"/>
        <w:rPr>
          <w:rFonts w:ascii="Times New Roman" w:hAnsi="Times New Roman" w:cs="Times New Roman"/>
          <w:sz w:val="24"/>
          <w:szCs w:val="24"/>
        </w:rPr>
      </w:pPr>
      <w:r w:rsidRPr="003E4533">
        <w:rPr>
          <w:rFonts w:ascii="Times New Roman" w:hAnsi="Times New Roman" w:cs="Times New Roman"/>
          <w:sz w:val="24"/>
          <w:szCs w:val="24"/>
        </w:rPr>
        <w:t xml:space="preserve">Sin embargo, </w:t>
      </w:r>
      <w:r w:rsidR="00392C74" w:rsidRPr="003E4533">
        <w:rPr>
          <w:rFonts w:ascii="Times New Roman" w:hAnsi="Times New Roman" w:cs="Times New Roman"/>
          <w:sz w:val="24"/>
          <w:szCs w:val="24"/>
        </w:rPr>
        <w:t>aún se encuentra pendiente el reconocimiento Constitucional de los pueblos originarios</w:t>
      </w:r>
      <w:r w:rsidRPr="003E4533">
        <w:rPr>
          <w:rFonts w:ascii="Times New Roman" w:hAnsi="Times New Roman" w:cs="Times New Roman"/>
          <w:sz w:val="24"/>
          <w:szCs w:val="24"/>
        </w:rPr>
        <w:t>.</w:t>
      </w:r>
      <w:r w:rsidR="00392C74" w:rsidRPr="003E4533">
        <w:rPr>
          <w:rFonts w:ascii="Times New Roman" w:hAnsi="Times New Roman" w:cs="Times New Roman"/>
          <w:sz w:val="24"/>
          <w:szCs w:val="24"/>
        </w:rPr>
        <w:t xml:space="preserve">  Siendo éste junto a otros temas sociales algunas de las materias causantes de la extensa movilización ciudadana que actualmente se mantiene en el país exigiendo una nueva Constitución.</w:t>
      </w:r>
    </w:p>
    <w:p w14:paraId="7AE81321" w14:textId="5707A4E7" w:rsidR="00FB6BA8" w:rsidRPr="003E4533" w:rsidRDefault="00FB6BA8" w:rsidP="004C3FCD">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lang w:val="es-419"/>
        </w:rPr>
        <w:t>L</w:t>
      </w:r>
      <w:r w:rsidRPr="003E4533">
        <w:rPr>
          <w:rFonts w:ascii="Times New Roman" w:hAnsi="Times New Roman" w:cs="Times New Roman"/>
          <w:sz w:val="24"/>
          <w:szCs w:val="24"/>
        </w:rPr>
        <w:t>a resultados de la CASEN</w:t>
      </w:r>
      <w:r w:rsidRPr="003E4533">
        <w:rPr>
          <w:rStyle w:val="Refdenotaalpie"/>
          <w:rFonts w:ascii="Times New Roman" w:hAnsi="Times New Roman"/>
          <w:sz w:val="24"/>
          <w:szCs w:val="24"/>
        </w:rPr>
        <w:footnoteReference w:id="51"/>
      </w:r>
      <w:r w:rsidRPr="003E4533">
        <w:rPr>
          <w:rFonts w:ascii="Times New Roman" w:hAnsi="Times New Roman" w:cs="Times New Roman"/>
          <w:sz w:val="24"/>
          <w:szCs w:val="24"/>
        </w:rPr>
        <w:t xml:space="preserve"> (2017), que mide el bienestar material de los hogares y arroja los índices de pobreza en el país, usando una metodología adecuada para cumplir con los estándares y mandato de la Agenda 2030, evidenció un estancamiento de la economía que trajo como consecuencia una agudización de las brechas de desigualdad económica y social, siendo los más afectados, una vez más, los pueblos indígenas, con los mayores índices de pobreza, subdesarrollo y analfabetismo, discriminación y aislamiento a la cual han sido sometidos desde la época colonial.  </w:t>
      </w:r>
    </w:p>
    <w:p w14:paraId="7E8D4DD4" w14:textId="77777777" w:rsidR="00FB6BA8" w:rsidRPr="003E4533" w:rsidRDefault="00FB6BA8" w:rsidP="00FB6BA8">
      <w:pPr>
        <w:spacing w:after="0"/>
        <w:jc w:val="both"/>
        <w:rPr>
          <w:rFonts w:ascii="Times New Roman" w:hAnsi="Times New Roman" w:cs="Times New Roman"/>
          <w:sz w:val="24"/>
          <w:szCs w:val="24"/>
        </w:rPr>
      </w:pPr>
      <w:r w:rsidRPr="003E4533">
        <w:rPr>
          <w:rFonts w:ascii="Times New Roman" w:hAnsi="Times New Roman" w:cs="Times New Roman"/>
          <w:sz w:val="24"/>
          <w:szCs w:val="24"/>
        </w:rPr>
        <w:t>Dicha medición sostuvo que la Región de la Araucanía -que concentra la mayor población indígena del país (mapuche)-, tiene el más alto índice de incidencia de la pobreza con un 17,2%, superando por más del doble a la media nacional (8,6%), y la mayor incidencia de la pobreza extrema (4,6%), 2,3% más del promedio del país</w:t>
      </w:r>
      <w:r w:rsidRPr="003E4533">
        <w:rPr>
          <w:rStyle w:val="Refdenotaalpie"/>
          <w:rFonts w:ascii="Times New Roman" w:hAnsi="Times New Roman"/>
          <w:sz w:val="24"/>
          <w:szCs w:val="24"/>
        </w:rPr>
        <w:footnoteReference w:id="52"/>
      </w:r>
      <w:r w:rsidRPr="003E4533">
        <w:rPr>
          <w:rFonts w:ascii="Times New Roman" w:hAnsi="Times New Roman" w:cs="Times New Roman"/>
          <w:sz w:val="24"/>
          <w:szCs w:val="24"/>
        </w:rPr>
        <w:t xml:space="preserve">, una tendencia que se ha mantenido entre los años 2006 y 2017 como constata la misma encuesta y a incrementarse. </w:t>
      </w:r>
    </w:p>
    <w:p w14:paraId="730683B4" w14:textId="0AD1CB2A" w:rsidR="00392C74" w:rsidRPr="005D5785" w:rsidRDefault="00FB6BA8" w:rsidP="005D5785">
      <w:pPr>
        <w:ind w:firstLine="708"/>
        <w:jc w:val="both"/>
        <w:rPr>
          <w:b/>
          <w:bCs/>
          <w:sz w:val="24"/>
          <w:szCs w:val="24"/>
        </w:rPr>
      </w:pPr>
      <w:r w:rsidRPr="003E4533">
        <w:rPr>
          <w:rFonts w:ascii="Times New Roman" w:hAnsi="Times New Roman" w:cs="Times New Roman"/>
          <w:sz w:val="24"/>
          <w:szCs w:val="24"/>
        </w:rPr>
        <w:t>Lo anterior, evidencia que las diversas políticas públicas llevadas adelante por los Gobiernos no han sido suficientes para hacer frente a la exclusión socioeconómica que viven los pueblos indígenas en Chile, la que además de contener un enfoque economicista con marcado discurso hacia el “desarrollo”, no considera para su implementación un enfoque de derechos y, en particular, la garantía del derecho a la consulta de estos pueblos</w:t>
      </w:r>
      <w:r w:rsidR="0099534C" w:rsidRPr="003E4533">
        <w:rPr>
          <w:rFonts w:ascii="Times New Roman" w:hAnsi="Times New Roman" w:cs="Times New Roman"/>
          <w:sz w:val="24"/>
          <w:szCs w:val="24"/>
        </w:rPr>
        <w:t xml:space="preserve">. </w:t>
      </w:r>
    </w:p>
    <w:p w14:paraId="0D86CC3B" w14:textId="0DFEB7C5" w:rsidR="004C3FCD" w:rsidRPr="003E4533" w:rsidRDefault="009F2333" w:rsidP="00CF1BA8">
      <w:pPr>
        <w:spacing w:after="0" w:line="276" w:lineRule="auto"/>
        <w:jc w:val="both"/>
        <w:rPr>
          <w:rFonts w:ascii="Times New Roman" w:hAnsi="Times New Roman" w:cs="Times New Roman"/>
          <w:bCs/>
          <w:i/>
          <w:sz w:val="24"/>
          <w:szCs w:val="24"/>
          <w:u w:val="single"/>
        </w:rPr>
      </w:pPr>
      <w:r>
        <w:rPr>
          <w:rFonts w:ascii="Times New Roman" w:hAnsi="Times New Roman" w:cs="Times New Roman"/>
          <w:bCs/>
          <w:i/>
          <w:sz w:val="24"/>
          <w:szCs w:val="24"/>
          <w:u w:val="single"/>
        </w:rPr>
        <w:t>A</w:t>
      </w:r>
      <w:r w:rsidR="004C3FCD">
        <w:rPr>
          <w:rFonts w:ascii="Times New Roman" w:hAnsi="Times New Roman" w:cs="Times New Roman"/>
          <w:bCs/>
          <w:i/>
          <w:sz w:val="24"/>
          <w:szCs w:val="24"/>
          <w:u w:val="single"/>
        </w:rPr>
        <w:t xml:space="preserve">. </w:t>
      </w:r>
      <w:r w:rsidR="00392C74" w:rsidRPr="003E4533">
        <w:rPr>
          <w:rFonts w:ascii="Times New Roman" w:hAnsi="Times New Roman" w:cs="Times New Roman"/>
          <w:bCs/>
          <w:i/>
          <w:sz w:val="24"/>
          <w:szCs w:val="24"/>
          <w:u w:val="single"/>
        </w:rPr>
        <w:t>Derecho a la consulta</w:t>
      </w:r>
    </w:p>
    <w:p w14:paraId="78BB5F9A" w14:textId="501FFFEB" w:rsidR="00392C74" w:rsidRPr="003E4533" w:rsidRDefault="00FB6BA8" w:rsidP="006503BB">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rPr>
        <w:t>E</w:t>
      </w:r>
      <w:r w:rsidR="00392C74" w:rsidRPr="003E4533">
        <w:rPr>
          <w:rFonts w:ascii="Times New Roman" w:hAnsi="Times New Roman" w:cs="Times New Roman"/>
          <w:sz w:val="24"/>
          <w:szCs w:val="24"/>
        </w:rPr>
        <w:t xml:space="preserve">l Convenio Nº 169 de la OIT </w:t>
      </w:r>
      <w:r w:rsidRPr="003E4533">
        <w:rPr>
          <w:rFonts w:ascii="Times New Roman" w:hAnsi="Times New Roman" w:cs="Times New Roman"/>
          <w:sz w:val="24"/>
          <w:szCs w:val="24"/>
        </w:rPr>
        <w:t>entro en vigor en e</w:t>
      </w:r>
      <w:r w:rsidR="00392C74" w:rsidRPr="003E4533">
        <w:rPr>
          <w:rFonts w:ascii="Times New Roman" w:hAnsi="Times New Roman" w:cs="Times New Roman"/>
          <w:sz w:val="24"/>
          <w:szCs w:val="24"/>
        </w:rPr>
        <w:t xml:space="preserve">l país </w:t>
      </w:r>
      <w:r w:rsidRPr="003E4533">
        <w:rPr>
          <w:rFonts w:ascii="Times New Roman" w:hAnsi="Times New Roman" w:cs="Times New Roman"/>
          <w:sz w:val="24"/>
          <w:szCs w:val="24"/>
        </w:rPr>
        <w:t>en</w:t>
      </w:r>
      <w:r w:rsidR="00392C74" w:rsidRPr="003E4533">
        <w:rPr>
          <w:rFonts w:ascii="Times New Roman" w:hAnsi="Times New Roman" w:cs="Times New Roman"/>
          <w:sz w:val="24"/>
          <w:szCs w:val="24"/>
        </w:rPr>
        <w:t xml:space="preserve"> septiembre de 2009, </w:t>
      </w:r>
      <w:r w:rsidRPr="003E4533">
        <w:rPr>
          <w:rFonts w:ascii="Times New Roman" w:hAnsi="Times New Roman" w:cs="Times New Roman"/>
          <w:sz w:val="24"/>
          <w:szCs w:val="24"/>
        </w:rPr>
        <w:t xml:space="preserve">sin embargo, </w:t>
      </w:r>
      <w:r w:rsidR="00392C74" w:rsidRPr="003E4533">
        <w:rPr>
          <w:rFonts w:ascii="Times New Roman" w:hAnsi="Times New Roman" w:cs="Times New Roman"/>
          <w:sz w:val="24"/>
          <w:szCs w:val="24"/>
        </w:rPr>
        <w:t xml:space="preserve">el derecho de los pueblos indígenas a ser consultados ha sido uno de los derechos que ha generado mayor discusión y polémica en su implementación, en particular en el contexto de la evaluación ambiental de proyectos de inversión. </w:t>
      </w:r>
      <w:r w:rsidR="000D1864" w:rsidRPr="003E4533">
        <w:rPr>
          <w:rFonts w:ascii="Times New Roman" w:hAnsi="Times New Roman" w:cs="Times New Roman"/>
          <w:sz w:val="24"/>
          <w:szCs w:val="24"/>
        </w:rPr>
        <w:t>En efecto, e</w:t>
      </w:r>
      <w:r w:rsidR="00392C74" w:rsidRPr="003E4533">
        <w:rPr>
          <w:rFonts w:ascii="Times New Roman" w:hAnsi="Times New Roman" w:cs="Times New Roman"/>
          <w:sz w:val="24"/>
          <w:szCs w:val="24"/>
        </w:rPr>
        <w:t xml:space="preserve">l 4 de marzo de </w:t>
      </w:r>
      <w:r w:rsidR="00392C74" w:rsidRPr="003E4533">
        <w:rPr>
          <w:rFonts w:ascii="Times New Roman" w:hAnsi="Times New Roman" w:cs="Times New Roman"/>
          <w:sz w:val="24"/>
          <w:szCs w:val="24"/>
        </w:rPr>
        <w:lastRenderedPageBreak/>
        <w:t xml:space="preserve">2014 el Ministerio de Desarrollo Social publicó el Decreto Supremo Nº 66, que vino a regular el procedimiento de consulta indígena en virtud del artículo 6 del Convenio Nº 169 de la OIT y derogó la anterior normativa, mientras que en materia de calificación ambiental, dicha consulta se encuentra contenida en el Decreto Supremo Nº40 de 2013 del Ministerio del Medio Ambiente, que aprueba el Reglamento del </w:t>
      </w:r>
      <w:r w:rsidR="007C0FCD" w:rsidRPr="003E4533">
        <w:rPr>
          <w:rFonts w:ascii="Roboto" w:hAnsi="Roboto"/>
          <w:shd w:val="clear" w:color="auto" w:fill="FFFFFF"/>
        </w:rPr>
        <w:t> </w:t>
      </w:r>
      <w:r w:rsidR="007C0FCD" w:rsidRPr="004C3FCD">
        <w:rPr>
          <w:rFonts w:ascii="Times New Roman" w:hAnsi="Times New Roman" w:cs="Times New Roman"/>
          <w:sz w:val="24"/>
          <w:szCs w:val="24"/>
          <w:shd w:val="clear" w:color="auto" w:fill="FFFFFF"/>
        </w:rPr>
        <w:t>Sistema de Evaluación de Impacto Ambiental</w:t>
      </w:r>
      <w:r w:rsidR="007C0FCD" w:rsidRPr="003E4533">
        <w:rPr>
          <w:rFonts w:ascii="Times New Roman" w:hAnsi="Times New Roman" w:cs="Times New Roman"/>
          <w:sz w:val="24"/>
          <w:szCs w:val="24"/>
          <w:shd w:val="clear" w:color="auto" w:fill="FFFFFF"/>
        </w:rPr>
        <w:t xml:space="preserve"> (</w:t>
      </w:r>
      <w:r w:rsidR="00392C74" w:rsidRPr="003E4533">
        <w:rPr>
          <w:rFonts w:ascii="Times New Roman" w:hAnsi="Times New Roman" w:cs="Times New Roman"/>
          <w:sz w:val="24"/>
          <w:szCs w:val="24"/>
        </w:rPr>
        <w:t>SEIA</w:t>
      </w:r>
      <w:r w:rsidR="007C0FCD" w:rsidRPr="003E4533">
        <w:rPr>
          <w:rFonts w:ascii="Times New Roman" w:hAnsi="Times New Roman" w:cs="Times New Roman"/>
          <w:sz w:val="24"/>
          <w:szCs w:val="24"/>
        </w:rPr>
        <w:t>)</w:t>
      </w:r>
      <w:r w:rsidR="00392C74" w:rsidRPr="003E4533">
        <w:rPr>
          <w:rFonts w:ascii="Times New Roman" w:hAnsi="Times New Roman" w:cs="Times New Roman"/>
          <w:sz w:val="24"/>
          <w:szCs w:val="24"/>
        </w:rPr>
        <w:t xml:space="preserve">, y en un Instructivo interno de la autoridad ambiental (Oficio Ordinario 161116, de 24 de agosto de 2016, del Director Ejecutivo del SEA). Estos decretos han sido </w:t>
      </w:r>
      <w:r w:rsidR="008C592C" w:rsidRPr="003E4533">
        <w:rPr>
          <w:rFonts w:ascii="Times New Roman" w:hAnsi="Times New Roman" w:cs="Times New Roman"/>
          <w:sz w:val="24"/>
          <w:szCs w:val="24"/>
        </w:rPr>
        <w:t>ampliamente cuestionados</w:t>
      </w:r>
      <w:r w:rsidR="00392C74" w:rsidRPr="003E4533">
        <w:rPr>
          <w:rFonts w:ascii="Times New Roman" w:hAnsi="Times New Roman" w:cs="Times New Roman"/>
          <w:sz w:val="24"/>
          <w:szCs w:val="24"/>
        </w:rPr>
        <w:t xml:space="preserve"> por haber sido adoptadas sin procesos de consulta previa, ni tramitación parlamentaria, habiéndose comprometido el Estado a modificarlas, lo que no ha ocurrido a la fecha. </w:t>
      </w:r>
    </w:p>
    <w:p w14:paraId="36AA9E65" w14:textId="3DD10524" w:rsidR="005D5785" w:rsidRDefault="00392C74" w:rsidP="005D5785">
      <w:pPr>
        <w:spacing w:after="100" w:afterAutospacing="1"/>
        <w:ind w:firstLine="360"/>
        <w:jc w:val="both"/>
        <w:rPr>
          <w:rFonts w:ascii="Times New Roman" w:hAnsi="Times New Roman" w:cs="Times New Roman"/>
          <w:sz w:val="24"/>
          <w:szCs w:val="24"/>
        </w:rPr>
      </w:pPr>
      <w:r w:rsidRPr="003E4533">
        <w:rPr>
          <w:rFonts w:ascii="Times New Roman" w:hAnsi="Times New Roman" w:cs="Times New Roman"/>
          <w:sz w:val="24"/>
          <w:szCs w:val="24"/>
        </w:rPr>
        <w:t xml:space="preserve">Estas normativas contienen además restricciones al ejercicio del derecho de los pueblos indígenas a ser consultados en el contexto del SEIA, que se expresan en el reducido número de procesos de consulta indígena que se han implementado hasta el momento. Los artículos 85 y 86 del actual Reglamento del SEIA, establecen el derecho de consulta de pueblos indígenas cuando se produce susceptibilidad de </w:t>
      </w:r>
      <w:r w:rsidRPr="006503BB">
        <w:rPr>
          <w:rFonts w:ascii="Times New Roman" w:hAnsi="Times New Roman" w:cs="Times New Roman"/>
          <w:sz w:val="24"/>
          <w:szCs w:val="24"/>
        </w:rPr>
        <w:t>afectación directa</w:t>
      </w:r>
      <w:r w:rsidRPr="003E4533">
        <w:rPr>
          <w:rFonts w:ascii="Times New Roman" w:hAnsi="Times New Roman" w:cs="Times New Roman"/>
          <w:sz w:val="24"/>
          <w:szCs w:val="24"/>
        </w:rPr>
        <w:t>, debiendo la autoridad ambiental diseñar e implementar dicho proceso de consulta de un proyecto de inversión sometido a evaluación. De acuerdo al artículo 85, esto sucede cuando el proyecto genera o presenta alguno “impacto significativo”</w:t>
      </w:r>
      <w:r w:rsidRPr="003E4533">
        <w:rPr>
          <w:rStyle w:val="Refdenotaalpie"/>
          <w:rFonts w:ascii="Times New Roman" w:hAnsi="Times New Roman"/>
          <w:sz w:val="24"/>
          <w:szCs w:val="24"/>
        </w:rPr>
        <w:footnoteReference w:id="53"/>
      </w:r>
      <w:r w:rsidRPr="003E4533">
        <w:rPr>
          <w:rFonts w:ascii="Times New Roman" w:hAnsi="Times New Roman" w:cs="Times New Roman"/>
          <w:sz w:val="24"/>
          <w:szCs w:val="24"/>
        </w:rPr>
        <w:t xml:space="preserve"> y, adicionalmente, “afecte directamente a uno o más grupos humanos pertenecientes a pueblos indígenas”. Esta forma de definir la susceptibilidad de afectación directa en el contexto del SEIA vino a normalizar la interpretación de la Corte Suprema en su jurisprudencia, </w:t>
      </w:r>
      <w:r w:rsidR="000D1864" w:rsidRPr="003E4533">
        <w:rPr>
          <w:rFonts w:ascii="Times New Roman" w:hAnsi="Times New Roman" w:cs="Times New Roman"/>
          <w:sz w:val="24"/>
          <w:szCs w:val="24"/>
        </w:rPr>
        <w:t>que,</w:t>
      </w:r>
      <w:r w:rsidRPr="003E4533">
        <w:rPr>
          <w:rFonts w:ascii="Times New Roman" w:hAnsi="Times New Roman" w:cs="Times New Roman"/>
          <w:sz w:val="24"/>
          <w:szCs w:val="24"/>
        </w:rPr>
        <w:t xml:space="preserve"> si bien reconoció la especificidad de la consulta en tanto proceso de participación incidente y de diálogo intercultural, limitó su procedencia </w:t>
      </w:r>
      <w:r w:rsidRPr="006503BB">
        <w:rPr>
          <w:rFonts w:ascii="Times New Roman" w:hAnsi="Times New Roman" w:cs="Times New Roman"/>
          <w:sz w:val="24"/>
          <w:szCs w:val="24"/>
        </w:rPr>
        <w:t>solo</w:t>
      </w:r>
      <w:r w:rsidRPr="003E4533">
        <w:rPr>
          <w:rFonts w:ascii="Times New Roman" w:hAnsi="Times New Roman" w:cs="Times New Roman"/>
          <w:sz w:val="24"/>
          <w:szCs w:val="24"/>
        </w:rPr>
        <w:t xml:space="preserve"> para aquellos proyectos que, por generar impactos significativos, deben ingresar a evaluación ambiental mediante un EIA. Bajo esta lógica, quedan sin un proceso de consulta indígena la gran mayoría de proyectos que ingresan al SEIA y son evaluados ambientalmente por medio únicamente de una Declaración Ambiental (DIA).</w:t>
      </w:r>
    </w:p>
    <w:p w14:paraId="252BF465" w14:textId="0AA218B4" w:rsidR="00392C74" w:rsidRPr="005D5785" w:rsidRDefault="009F2333" w:rsidP="005D5785">
      <w:pPr>
        <w:spacing w:after="0" w:line="276" w:lineRule="auto"/>
        <w:jc w:val="both"/>
        <w:rPr>
          <w:rFonts w:ascii="Times New Roman" w:hAnsi="Times New Roman" w:cs="Times New Roman"/>
          <w:bCs/>
          <w:i/>
          <w:iCs/>
          <w:sz w:val="24"/>
          <w:szCs w:val="24"/>
          <w:u w:val="single"/>
        </w:rPr>
      </w:pPr>
      <w:r>
        <w:rPr>
          <w:rFonts w:ascii="Times New Roman" w:hAnsi="Times New Roman" w:cs="Times New Roman"/>
          <w:bCs/>
          <w:i/>
          <w:iCs/>
          <w:sz w:val="24"/>
          <w:szCs w:val="24"/>
          <w:u w:val="single"/>
        </w:rPr>
        <w:t xml:space="preserve">B. </w:t>
      </w:r>
      <w:r w:rsidR="00392C74" w:rsidRPr="003E4533">
        <w:rPr>
          <w:rFonts w:ascii="Times New Roman" w:hAnsi="Times New Roman" w:cs="Times New Roman"/>
          <w:bCs/>
          <w:i/>
          <w:iCs/>
          <w:sz w:val="24"/>
          <w:szCs w:val="24"/>
          <w:u w:val="single"/>
        </w:rPr>
        <w:t xml:space="preserve">Derechos a la tierra, al </w:t>
      </w:r>
      <w:r w:rsidR="005D5785">
        <w:rPr>
          <w:rFonts w:ascii="Times New Roman" w:hAnsi="Times New Roman" w:cs="Times New Roman"/>
          <w:bCs/>
          <w:i/>
          <w:iCs/>
          <w:sz w:val="24"/>
          <w:szCs w:val="24"/>
          <w:u w:val="single"/>
        </w:rPr>
        <w:t>territorio y recursos naturales</w:t>
      </w:r>
    </w:p>
    <w:p w14:paraId="224B8050" w14:textId="77777777" w:rsidR="00392C74" w:rsidRPr="003E4533" w:rsidRDefault="00392C74" w:rsidP="005D5785">
      <w:pPr>
        <w:spacing w:after="0"/>
        <w:ind w:firstLine="708"/>
        <w:jc w:val="both"/>
        <w:rPr>
          <w:rFonts w:ascii="Times New Roman" w:hAnsi="Times New Roman" w:cs="Times New Roman"/>
          <w:sz w:val="24"/>
          <w:szCs w:val="24"/>
          <w:lang w:val="es-419"/>
        </w:rPr>
      </w:pPr>
      <w:r w:rsidRPr="003E4533">
        <w:rPr>
          <w:rFonts w:ascii="Times New Roman" w:hAnsi="Times New Roman" w:cs="Times New Roman"/>
          <w:sz w:val="24"/>
          <w:szCs w:val="24"/>
          <w:lang w:val="es-419"/>
        </w:rPr>
        <w:t xml:space="preserve">En relación con el reconocimiento, restitución, preservación y protección de tierras, territorios y recursos naturales que tradicionalmente han sido ocupados por los pueblos indígenas, persiste la lentitud y limitantes de la política pública en la materia. </w:t>
      </w:r>
    </w:p>
    <w:p w14:paraId="4BEC22AB" w14:textId="0BC198DF" w:rsidR="00392C74" w:rsidRPr="003E4533" w:rsidRDefault="00392C74" w:rsidP="005D5785">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lang w:val="es-419"/>
        </w:rPr>
        <w:t xml:space="preserve">Desde la </w:t>
      </w:r>
      <w:r w:rsidRPr="003E4533">
        <w:rPr>
          <w:rFonts w:ascii="Times New Roman" w:hAnsi="Times New Roman" w:cs="Times New Roman"/>
          <w:sz w:val="24"/>
          <w:szCs w:val="24"/>
        </w:rPr>
        <w:t xml:space="preserve">entrada en vigencia del Convenio 169 de OIT (2009), el Estado implementó el </w:t>
      </w:r>
      <w:r w:rsidRPr="00AC6150">
        <w:rPr>
          <w:rFonts w:ascii="Times New Roman" w:hAnsi="Times New Roman" w:cs="Times New Roman"/>
          <w:sz w:val="24"/>
          <w:szCs w:val="24"/>
        </w:rPr>
        <w:t>Programa subsidios FTAI CONADI (artículo 20 a Ley 19.253)</w:t>
      </w:r>
      <w:r w:rsidRPr="003E4533">
        <w:rPr>
          <w:rFonts w:ascii="Times New Roman" w:hAnsi="Times New Roman" w:cs="Times New Roman"/>
          <w:sz w:val="24"/>
          <w:szCs w:val="24"/>
        </w:rPr>
        <w:t>, que durante el periodo 2009-2018 permitió la adquisición de 25.772 hectáreas, con una inversión equivalente a Pesos CH $ 71.686.844.966 (aproximadamente US $ 100 millones)</w:t>
      </w:r>
      <w:r w:rsidRPr="003E4533">
        <w:rPr>
          <w:rStyle w:val="Refdenotaalpie"/>
          <w:rFonts w:ascii="Times New Roman" w:hAnsi="Times New Roman"/>
          <w:sz w:val="24"/>
          <w:szCs w:val="24"/>
        </w:rPr>
        <w:footnoteReference w:id="54"/>
      </w:r>
      <w:r w:rsidRPr="003E4533">
        <w:rPr>
          <w:rFonts w:ascii="Times New Roman" w:hAnsi="Times New Roman" w:cs="Times New Roman"/>
          <w:sz w:val="24"/>
          <w:szCs w:val="24"/>
        </w:rPr>
        <w:t xml:space="preserve">, y el </w:t>
      </w:r>
      <w:r w:rsidRPr="00AC6150">
        <w:rPr>
          <w:rFonts w:ascii="Times New Roman" w:hAnsi="Times New Roman" w:cs="Times New Roman"/>
          <w:sz w:val="24"/>
          <w:szCs w:val="24"/>
        </w:rPr>
        <w:t xml:space="preserve">Programa compra </w:t>
      </w:r>
      <w:r w:rsidRPr="00AC6150">
        <w:rPr>
          <w:rFonts w:ascii="Times New Roman" w:hAnsi="Times New Roman" w:cs="Times New Roman"/>
          <w:sz w:val="24"/>
          <w:szCs w:val="24"/>
        </w:rPr>
        <w:lastRenderedPageBreak/>
        <w:t>tierras en conflicto FTAI CONADI (artículo 20 b Ley 19.253)</w:t>
      </w:r>
      <w:r w:rsidRPr="003E4533">
        <w:rPr>
          <w:rFonts w:ascii="Times New Roman" w:hAnsi="Times New Roman" w:cs="Times New Roman"/>
          <w:sz w:val="24"/>
          <w:szCs w:val="24"/>
        </w:rPr>
        <w:t>, que en el mismo periodo permitió la adquisición de 96.823 hectáreas, con una inversión total equivalente a Pesos CH $ 331.014.619.782 (aproximadamente US $ 400 millones)</w:t>
      </w:r>
      <w:r w:rsidRPr="003E4533">
        <w:rPr>
          <w:rStyle w:val="Refdenotaalpie"/>
          <w:rFonts w:ascii="Times New Roman" w:hAnsi="Times New Roman"/>
          <w:sz w:val="24"/>
          <w:szCs w:val="24"/>
        </w:rPr>
        <w:footnoteReference w:id="55"/>
      </w:r>
      <w:r w:rsidRPr="003E4533">
        <w:rPr>
          <w:rFonts w:ascii="Times New Roman" w:hAnsi="Times New Roman" w:cs="Times New Roman"/>
          <w:sz w:val="24"/>
          <w:szCs w:val="24"/>
        </w:rPr>
        <w:t>, existiendo de acuerdo a CONADI un total de 589 carpetas con demandas por tierras, por una superficie indeterminada, derivadas de conflictos de tierras (artículo 20 b) con resolución administrativa de aplicabilidad que aún no han sido procesadas por este entidad</w:t>
      </w:r>
      <w:r w:rsidRPr="003E4533">
        <w:rPr>
          <w:rStyle w:val="Refdenotaalpie"/>
          <w:rFonts w:ascii="Times New Roman" w:hAnsi="Times New Roman"/>
          <w:sz w:val="24"/>
          <w:szCs w:val="24"/>
        </w:rPr>
        <w:footnoteReference w:id="56"/>
      </w:r>
      <w:r w:rsidRPr="003E4533">
        <w:rPr>
          <w:rFonts w:ascii="Times New Roman" w:hAnsi="Times New Roman" w:cs="Times New Roman"/>
          <w:sz w:val="24"/>
          <w:szCs w:val="24"/>
        </w:rPr>
        <w:t xml:space="preserve">. A ello se suman programas de </w:t>
      </w:r>
      <w:r w:rsidRPr="00AC6150">
        <w:rPr>
          <w:rFonts w:ascii="Times New Roman" w:hAnsi="Times New Roman" w:cs="Times New Roman"/>
          <w:sz w:val="24"/>
          <w:szCs w:val="24"/>
        </w:rPr>
        <w:t>transferencia de propiedad fiscal y de regularización</w:t>
      </w:r>
      <w:r w:rsidRPr="003E4533">
        <w:rPr>
          <w:rFonts w:ascii="Times New Roman" w:hAnsi="Times New Roman" w:cs="Times New Roman"/>
          <w:sz w:val="24"/>
          <w:szCs w:val="24"/>
        </w:rPr>
        <w:t>, que han ido en beneficio principalmente de pueblos indígenas en el norte del país</w:t>
      </w:r>
      <w:r w:rsidRPr="003E4533">
        <w:rPr>
          <w:rStyle w:val="Refdenotaalpie"/>
          <w:rFonts w:ascii="Times New Roman" w:hAnsi="Times New Roman"/>
          <w:sz w:val="24"/>
          <w:szCs w:val="24"/>
        </w:rPr>
        <w:footnoteReference w:id="57"/>
      </w:r>
      <w:r w:rsidR="005D5785">
        <w:rPr>
          <w:rFonts w:ascii="Times New Roman" w:hAnsi="Times New Roman" w:cs="Times New Roman"/>
          <w:sz w:val="24"/>
          <w:szCs w:val="24"/>
        </w:rPr>
        <w:t>.</w:t>
      </w:r>
    </w:p>
    <w:p w14:paraId="3CFAE711" w14:textId="77777777" w:rsidR="00392C74" w:rsidRPr="003E4533" w:rsidRDefault="00392C74" w:rsidP="005D5785">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rPr>
        <w:t>Cabe señalar la aplicabilidad es otorgada por CONADI solo a demandas por tierra que derivan de títulos previamente otorgados por el Estado a indígenas, por lo que la demanda por tierras basadas en tierras de ocupación tradicional conforme al Convenio 169 de la OIT, que no es reconocida por el Estado y que no han sido procesadas por CONADI, es aún mayor, con base en el hecho de que el Estado radicó a los mapuche a fines del Siglo XIX y comienzos del Siglo XX en medio millón de hectáreas de un territorio de ocupación tradicional de 10 millones de hectáreas y que tierras expropiadas en la Araucanía durante el proceso de reforma agraria (1970 y 1973) en favor de personas mapuche, fueron posteriormente desposeídas tras el golpe cívico-militar</w:t>
      </w:r>
      <w:r w:rsidRPr="003E4533">
        <w:rPr>
          <w:rStyle w:val="Refdenotaalpie"/>
          <w:rFonts w:ascii="Times New Roman" w:hAnsi="Times New Roman"/>
          <w:sz w:val="24"/>
          <w:szCs w:val="24"/>
        </w:rPr>
        <w:footnoteReference w:id="58"/>
      </w:r>
      <w:r w:rsidRPr="003E4533">
        <w:rPr>
          <w:rFonts w:ascii="Times New Roman" w:hAnsi="Times New Roman" w:cs="Times New Roman"/>
          <w:sz w:val="24"/>
          <w:szCs w:val="24"/>
        </w:rPr>
        <w:t xml:space="preserve">. </w:t>
      </w:r>
    </w:p>
    <w:p w14:paraId="0A15B9B3" w14:textId="77777777" w:rsidR="00AC6150" w:rsidRDefault="00392C74" w:rsidP="005D5785">
      <w:pPr>
        <w:spacing w:after="0"/>
        <w:ind w:firstLine="708"/>
        <w:jc w:val="both"/>
        <w:rPr>
          <w:rFonts w:ascii="Times New Roman" w:eastAsia="Times New Roman" w:hAnsi="Times New Roman" w:cs="Times New Roman"/>
          <w:sz w:val="24"/>
          <w:szCs w:val="24"/>
          <w:lang w:eastAsia="es-CL"/>
        </w:rPr>
      </w:pPr>
      <w:r w:rsidRPr="003E4533">
        <w:rPr>
          <w:rFonts w:ascii="Times New Roman" w:hAnsi="Times New Roman" w:cs="Times New Roman"/>
          <w:sz w:val="24"/>
          <w:szCs w:val="24"/>
        </w:rPr>
        <w:t xml:space="preserve">Por otra parte, el monto total destinado por el Estado al Fondo de Tierras y Aguas de CONADI para la adquisición de tierras indígenas en el período 2009-2018 alcanzó a $ 402.701.464.748 (pesos chilenos) (aproximadamente US $ 600 millones), </w:t>
      </w:r>
      <w:r w:rsidRPr="003E4533">
        <w:rPr>
          <w:rFonts w:ascii="Times New Roman" w:eastAsia="Times New Roman" w:hAnsi="Times New Roman" w:cs="Times New Roman"/>
          <w:sz w:val="24"/>
          <w:szCs w:val="24"/>
          <w:lang w:eastAsia="es-CL"/>
        </w:rPr>
        <w:t>representado en promedio 0,1615% del Presupuesto Nacional, que contrasta, por ejemplo, con aquellos fondos asignados para las Fuerzas Armadas durante el periodo, los que en promedio llegaron al 2.6998 % del mismo presupuesto</w:t>
      </w:r>
      <w:r w:rsidRPr="003E4533">
        <w:rPr>
          <w:rStyle w:val="Refdenotaalpie"/>
          <w:rFonts w:ascii="Times New Roman" w:eastAsia="Times New Roman" w:hAnsi="Times New Roman"/>
          <w:sz w:val="24"/>
          <w:szCs w:val="24"/>
          <w:lang w:eastAsia="es-CL"/>
        </w:rPr>
        <w:footnoteReference w:id="59"/>
      </w:r>
      <w:r w:rsidRPr="003E4533">
        <w:rPr>
          <w:rFonts w:ascii="Times New Roman" w:eastAsia="Times New Roman" w:hAnsi="Times New Roman" w:cs="Times New Roman"/>
          <w:sz w:val="24"/>
          <w:szCs w:val="24"/>
          <w:lang w:eastAsia="es-CL"/>
        </w:rPr>
        <w:t>.</w:t>
      </w:r>
      <w:r w:rsidR="005915BA">
        <w:rPr>
          <w:rFonts w:ascii="Times New Roman" w:eastAsia="Times New Roman" w:hAnsi="Times New Roman" w:cs="Times New Roman"/>
          <w:sz w:val="24"/>
          <w:szCs w:val="24"/>
          <w:lang w:eastAsia="es-CL"/>
        </w:rPr>
        <w:t xml:space="preserve"> </w:t>
      </w:r>
      <w:r w:rsidRPr="003E4533">
        <w:rPr>
          <w:rFonts w:ascii="Times New Roman" w:hAnsi="Times New Roman" w:cs="Times New Roman"/>
          <w:sz w:val="24"/>
          <w:szCs w:val="24"/>
        </w:rPr>
        <w:t>A ello se agregan los elevados precios pagados por CONADI por las adquiridas a indígenas. Así el valor promedio de la hectárea adquirida a través del programa de subsidios (artículo 20 a) en el mismo período fue de $ 2.933.360 (US $ 4 mil aproximados), en tanto el valor promedio de la hectárea adquirida por CONADI a través de su programa de tierras en conflicto (artículo b) alcanzó a $ 3.716.280 (US $ 5.000 aproximados)</w:t>
      </w:r>
      <w:r w:rsidRPr="003E4533">
        <w:rPr>
          <w:rStyle w:val="Refdenotaalpie"/>
          <w:rFonts w:ascii="Times New Roman" w:hAnsi="Times New Roman"/>
          <w:sz w:val="24"/>
          <w:szCs w:val="24"/>
        </w:rPr>
        <w:footnoteReference w:id="60"/>
      </w:r>
      <w:r w:rsidRPr="003E4533">
        <w:rPr>
          <w:rFonts w:ascii="Times New Roman" w:hAnsi="Times New Roman" w:cs="Times New Roman"/>
          <w:sz w:val="24"/>
          <w:szCs w:val="24"/>
        </w:rPr>
        <w:t>.</w:t>
      </w:r>
    </w:p>
    <w:p w14:paraId="7859E720" w14:textId="10BEFDA7" w:rsidR="00392C74" w:rsidRPr="00AC6150" w:rsidRDefault="00392C74" w:rsidP="005D5785">
      <w:pPr>
        <w:spacing w:after="0"/>
        <w:ind w:firstLine="708"/>
        <w:jc w:val="both"/>
        <w:rPr>
          <w:rFonts w:ascii="Times New Roman" w:eastAsia="Times New Roman" w:hAnsi="Times New Roman" w:cs="Times New Roman"/>
          <w:sz w:val="24"/>
          <w:szCs w:val="24"/>
          <w:lang w:eastAsia="es-CL"/>
        </w:rPr>
      </w:pPr>
      <w:r w:rsidRPr="003E4533">
        <w:rPr>
          <w:rFonts w:ascii="Times New Roman" w:hAnsi="Times New Roman" w:cs="Times New Roman"/>
          <w:sz w:val="24"/>
          <w:szCs w:val="24"/>
        </w:rPr>
        <w:t xml:space="preserve">Si consideramos el valor promedio de la hectárea adquiridas por CONADI a través de su programa de tierras en conflicto (artículo 20 b) en el período 1994- 2018, este subió de </w:t>
      </w:r>
      <w:r w:rsidRPr="003E4533">
        <w:rPr>
          <w:rFonts w:ascii="Times New Roman" w:hAnsi="Times New Roman" w:cs="Times New Roman"/>
          <w:sz w:val="24"/>
          <w:szCs w:val="24"/>
        </w:rPr>
        <w:lastRenderedPageBreak/>
        <w:t>$ 608.038 a $ 5.523.198 (pesos chilenos), esto es más de nueve veces su valor, pues el Estado está a merced del precio que el vendedor de tierras ponga para su venta, un valor especulativo y muchas veces de carácter político. Frente a ello, el Estado no ha recurrido a mecanismos como la expropiación por causa de utilidad pública o de interés nacional, mediante ley especial o general, que está establecida en la Constitución Política de la República (artículo 18 N° 24), la que garantizaría un precio justo y no especulativo, lo que fue también recomendado por la Comisión de Verdad Histórica y Nuevo Trato en su informe de 2003, sin que a la fecha haya sido utilizada.</w:t>
      </w:r>
    </w:p>
    <w:p w14:paraId="4C3B8C60" w14:textId="54EF696F" w:rsidR="00392C74" w:rsidRPr="003E4533" w:rsidRDefault="00392C74" w:rsidP="005D5785">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rPr>
        <w:t>Estas limitantes han resultado en la relocalización o traslado de comunidades. De acuerdo a información de CONADI, del total de compras efectuadas en virtud de su programa de compra de tierras en conflicto, solo el 14% ha sido en tierras aledañas al Título de Merced anterior y el 86 % restante en tierras distantes de ellas (55% en la misma comuna y 31% en otras comunas)</w:t>
      </w:r>
      <w:r w:rsidRPr="003E4533">
        <w:rPr>
          <w:rStyle w:val="Refdenotaalpie"/>
          <w:rFonts w:ascii="Times New Roman" w:hAnsi="Times New Roman"/>
          <w:sz w:val="24"/>
          <w:szCs w:val="24"/>
        </w:rPr>
        <w:footnoteReference w:id="61"/>
      </w:r>
      <w:r w:rsidRPr="003E4533">
        <w:rPr>
          <w:rFonts w:ascii="Times New Roman" w:hAnsi="Times New Roman" w:cs="Times New Roman"/>
          <w:sz w:val="24"/>
          <w:szCs w:val="24"/>
        </w:rPr>
        <w:t>, sin garantías para que la comunidad respectiva otorgue su consentimiento, como exige el artículo 16.2 del Convenio 169. Asimismo, a partir de 2016 en la glosa del Presupuesto Nacional ha establecido una restricción a la compra de tierras en favor de comunidades que hayan usado vías “no institucionales” para reivindicar tierras</w:t>
      </w:r>
      <w:r w:rsidRPr="003E4533">
        <w:rPr>
          <w:rStyle w:val="Refdenotaalpie"/>
          <w:rFonts w:ascii="Times New Roman" w:hAnsi="Times New Roman"/>
          <w:sz w:val="24"/>
          <w:szCs w:val="24"/>
        </w:rPr>
        <w:footnoteReference w:id="62"/>
      </w:r>
      <w:r w:rsidRPr="003E4533">
        <w:rPr>
          <w:rFonts w:ascii="Times New Roman" w:hAnsi="Times New Roman" w:cs="Times New Roman"/>
          <w:sz w:val="24"/>
          <w:szCs w:val="24"/>
        </w:rPr>
        <w:t>, afectando a aquellas comunidades que ante la demora en el procesamiento de sus demandas de restitución, han recurrido a la ocupación como una manera de llamar la atención de la a</w:t>
      </w:r>
      <w:r w:rsidR="005D5785">
        <w:rPr>
          <w:rFonts w:ascii="Times New Roman" w:hAnsi="Times New Roman" w:cs="Times New Roman"/>
          <w:sz w:val="24"/>
          <w:szCs w:val="24"/>
        </w:rPr>
        <w:t>utoridad frente a su situación.</w:t>
      </w:r>
    </w:p>
    <w:p w14:paraId="23850D41" w14:textId="6B969E71" w:rsidR="00392C74" w:rsidRPr="003E4533" w:rsidRDefault="00392C74" w:rsidP="005D5785">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shd w:val="clear" w:color="auto" w:fill="FFFFFF"/>
        </w:rPr>
        <w:t xml:space="preserve">Finalmente </w:t>
      </w:r>
      <w:r w:rsidRPr="003E4533">
        <w:rPr>
          <w:rFonts w:ascii="Times New Roman" w:hAnsi="Times New Roman" w:cs="Times New Roman"/>
          <w:sz w:val="24"/>
          <w:szCs w:val="24"/>
        </w:rPr>
        <w:t>cabe denunciar que mediante Resolución Exenta</w:t>
      </w:r>
      <w:r w:rsidR="00D05BD3" w:rsidRPr="003E4533">
        <w:rPr>
          <w:rFonts w:ascii="Times New Roman" w:hAnsi="Times New Roman" w:cs="Times New Roman"/>
          <w:sz w:val="24"/>
          <w:szCs w:val="24"/>
        </w:rPr>
        <w:t xml:space="preserve"> N°</w:t>
      </w:r>
      <w:r w:rsidRPr="003E4533">
        <w:rPr>
          <w:rFonts w:ascii="Times New Roman" w:hAnsi="Times New Roman" w:cs="Times New Roman"/>
          <w:sz w:val="24"/>
          <w:szCs w:val="24"/>
        </w:rPr>
        <w:t>241</w:t>
      </w:r>
      <w:r w:rsidR="00D05BD3" w:rsidRPr="003E4533">
        <w:rPr>
          <w:rFonts w:ascii="Times New Roman" w:hAnsi="Times New Roman" w:cs="Times New Roman"/>
          <w:sz w:val="24"/>
          <w:szCs w:val="24"/>
        </w:rPr>
        <w:t xml:space="preserve"> </w:t>
      </w:r>
      <w:r w:rsidRPr="003E4533">
        <w:rPr>
          <w:rFonts w:ascii="Times New Roman" w:hAnsi="Times New Roman" w:cs="Times New Roman"/>
          <w:sz w:val="24"/>
          <w:szCs w:val="24"/>
        </w:rPr>
        <w:t>del Ministerio de Desarrollo Social (MIDESOC) de 3 de abril de 2019, se dieron a conocer  y fueron sometidas a consulta indígena los contenidos de las reformas que el gobierno pretendía introducir a la Ley 19.253, que se pueden agrupar en dos grandes categorías; las que tienen por objeto flexibilizar las normas de protección de las tierras indígena consideradas en la ley, promoviendo su división, enajenación y arrendamiento, y establecer mecanismos compensatorios alternativos al mecanismos de adquisición de tierras en ella considerados; y aquellas que modifican las normas referidas a las instancias de organización  indígena - las comunidades y las asociaciones - reconocidas en la misma ley.</w:t>
      </w:r>
    </w:p>
    <w:p w14:paraId="205A7DDC" w14:textId="25FDBA06" w:rsidR="00FB6BA8" w:rsidRDefault="00392C74" w:rsidP="005D5785">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rPr>
        <w:t xml:space="preserve">Esta propuesta regresiva del gobierno para reformar la ley </w:t>
      </w:r>
      <w:r w:rsidR="00005C7C" w:rsidRPr="003E4533">
        <w:rPr>
          <w:rFonts w:ascii="Times New Roman" w:hAnsi="Times New Roman" w:cs="Times New Roman"/>
          <w:sz w:val="24"/>
          <w:szCs w:val="24"/>
        </w:rPr>
        <w:t>indígena</w:t>
      </w:r>
      <w:r w:rsidRPr="003E4533">
        <w:rPr>
          <w:rFonts w:ascii="Times New Roman" w:hAnsi="Times New Roman" w:cs="Times New Roman"/>
          <w:sz w:val="24"/>
          <w:szCs w:val="24"/>
        </w:rPr>
        <w:t xml:space="preserve"> no solo no respeta el derecho internacional aplicable a pueblos indígenas, sino que además demuestra una incapacidad total para entender las demandas de los pueblos indígenas, provocando un rechazo generalizado de esta consulta por parte de los pueblos indígenas en el país, lo que llevó al gobierno a su suspensión</w:t>
      </w:r>
      <w:r w:rsidRPr="003E4533">
        <w:rPr>
          <w:rStyle w:val="Refdenotaalpie"/>
          <w:rFonts w:ascii="Times New Roman" w:hAnsi="Times New Roman"/>
          <w:sz w:val="24"/>
          <w:szCs w:val="24"/>
        </w:rPr>
        <w:footnoteReference w:id="63"/>
      </w:r>
      <w:r w:rsidRPr="003E4533">
        <w:rPr>
          <w:rFonts w:ascii="Times New Roman" w:hAnsi="Times New Roman" w:cs="Times New Roman"/>
          <w:sz w:val="24"/>
          <w:szCs w:val="24"/>
        </w:rPr>
        <w:t>.</w:t>
      </w:r>
    </w:p>
    <w:p w14:paraId="11D63DCB" w14:textId="77777777" w:rsidR="005D5785" w:rsidRPr="003E4533" w:rsidRDefault="005D5785" w:rsidP="005D5785">
      <w:pPr>
        <w:spacing w:after="0"/>
        <w:ind w:firstLine="708"/>
        <w:jc w:val="both"/>
        <w:rPr>
          <w:rFonts w:ascii="Times New Roman" w:hAnsi="Times New Roman" w:cs="Times New Roman"/>
          <w:sz w:val="24"/>
          <w:szCs w:val="24"/>
        </w:rPr>
      </w:pPr>
    </w:p>
    <w:p w14:paraId="10326701" w14:textId="50711BE5" w:rsidR="009F2333" w:rsidRPr="003E4533" w:rsidRDefault="009F2333" w:rsidP="005D5785">
      <w:pPr>
        <w:spacing w:after="0" w:line="276" w:lineRule="auto"/>
        <w:jc w:val="both"/>
        <w:rPr>
          <w:rFonts w:ascii="Times New Roman" w:hAnsi="Times New Roman" w:cs="Times New Roman"/>
          <w:bCs/>
          <w:i/>
          <w:iCs/>
          <w:sz w:val="24"/>
          <w:szCs w:val="24"/>
          <w:u w:val="single"/>
        </w:rPr>
      </w:pPr>
      <w:r>
        <w:rPr>
          <w:rFonts w:ascii="Times New Roman" w:hAnsi="Times New Roman" w:cs="Times New Roman"/>
          <w:bCs/>
          <w:i/>
          <w:iCs/>
          <w:sz w:val="24"/>
          <w:szCs w:val="24"/>
          <w:u w:val="single"/>
        </w:rPr>
        <w:lastRenderedPageBreak/>
        <w:t xml:space="preserve">C. </w:t>
      </w:r>
      <w:r w:rsidR="00392C74" w:rsidRPr="003E4533">
        <w:rPr>
          <w:rFonts w:ascii="Times New Roman" w:hAnsi="Times New Roman" w:cs="Times New Roman"/>
          <w:bCs/>
          <w:i/>
          <w:iCs/>
          <w:sz w:val="24"/>
          <w:szCs w:val="24"/>
          <w:u w:val="single"/>
        </w:rPr>
        <w:t xml:space="preserve">Participación política e </w:t>
      </w:r>
      <w:r w:rsidR="00FB6BA8" w:rsidRPr="003E4533">
        <w:rPr>
          <w:rFonts w:ascii="Times New Roman" w:hAnsi="Times New Roman" w:cs="Times New Roman"/>
          <w:bCs/>
          <w:i/>
          <w:iCs/>
          <w:sz w:val="24"/>
          <w:szCs w:val="24"/>
          <w:u w:val="single"/>
        </w:rPr>
        <w:t>i</w:t>
      </w:r>
      <w:r w:rsidR="00392C74" w:rsidRPr="003E4533">
        <w:rPr>
          <w:rFonts w:ascii="Times New Roman" w:hAnsi="Times New Roman" w:cs="Times New Roman"/>
          <w:bCs/>
          <w:i/>
          <w:iCs/>
          <w:sz w:val="24"/>
          <w:szCs w:val="24"/>
          <w:u w:val="single"/>
        </w:rPr>
        <w:t xml:space="preserve">nstitucionalidad </w:t>
      </w:r>
      <w:r w:rsidR="00FB6BA8" w:rsidRPr="003E4533">
        <w:rPr>
          <w:rFonts w:ascii="Times New Roman" w:hAnsi="Times New Roman" w:cs="Times New Roman"/>
          <w:bCs/>
          <w:i/>
          <w:iCs/>
          <w:sz w:val="24"/>
          <w:szCs w:val="24"/>
          <w:u w:val="single"/>
        </w:rPr>
        <w:t>i</w:t>
      </w:r>
      <w:r w:rsidR="00392C74" w:rsidRPr="003E4533">
        <w:rPr>
          <w:rFonts w:ascii="Times New Roman" w:hAnsi="Times New Roman" w:cs="Times New Roman"/>
          <w:bCs/>
          <w:i/>
          <w:iCs/>
          <w:sz w:val="24"/>
          <w:szCs w:val="24"/>
          <w:u w:val="single"/>
        </w:rPr>
        <w:t>ndígena</w:t>
      </w:r>
    </w:p>
    <w:p w14:paraId="7BFE3DE2" w14:textId="28DC5C91" w:rsidR="00392C74" w:rsidRPr="003E4533" w:rsidRDefault="00392C74" w:rsidP="005D5785">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rPr>
        <w:t>Producto de la inexistencia de una legislación que consideré mecanismos especiales para la participación política de pueblos indígenas, estos se encuentran severamente sub</w:t>
      </w:r>
      <w:r w:rsidR="002C1406" w:rsidRPr="003E4533">
        <w:rPr>
          <w:rFonts w:ascii="Times New Roman" w:hAnsi="Times New Roman" w:cs="Times New Roman"/>
          <w:sz w:val="24"/>
          <w:szCs w:val="24"/>
        </w:rPr>
        <w:t>-</w:t>
      </w:r>
      <w:r w:rsidRPr="003E4533">
        <w:rPr>
          <w:rFonts w:ascii="Times New Roman" w:hAnsi="Times New Roman" w:cs="Times New Roman"/>
          <w:sz w:val="24"/>
          <w:szCs w:val="24"/>
        </w:rPr>
        <w:t xml:space="preserve">representados en las instancias que toman decisiones en los asuntos que les conciernen. En el Congreso Nacional solo se cuenta con tres parlamentarios que se identifican como tales, de un total de 198 integrantes en </w:t>
      </w:r>
      <w:r w:rsidR="00FB6BA8" w:rsidRPr="003E4533">
        <w:rPr>
          <w:rFonts w:ascii="Times New Roman" w:hAnsi="Times New Roman" w:cs="Times New Roman"/>
          <w:sz w:val="24"/>
          <w:szCs w:val="24"/>
        </w:rPr>
        <w:t>ambas cámaras</w:t>
      </w:r>
      <w:r w:rsidRPr="003E4533">
        <w:rPr>
          <w:rFonts w:ascii="Times New Roman" w:hAnsi="Times New Roman" w:cs="Times New Roman"/>
          <w:sz w:val="24"/>
          <w:szCs w:val="24"/>
        </w:rPr>
        <w:t>. Existen además barreras institucionales que han limitado severamente la posibilidad de que ciudadanos indígenas se organicen en partidos políticos y así contar con representación en órganos electivos del Estado en igualdad de condiciones que otros sectores de la población, como dispone el Convenio 169</w:t>
      </w:r>
      <w:r w:rsidR="00FB6BA8" w:rsidRPr="003E4533">
        <w:rPr>
          <w:rFonts w:ascii="Times New Roman" w:hAnsi="Times New Roman" w:cs="Times New Roman"/>
          <w:sz w:val="24"/>
          <w:szCs w:val="24"/>
        </w:rPr>
        <w:t xml:space="preserve"> de la OIT</w:t>
      </w:r>
      <w:r w:rsidRPr="003E4533">
        <w:rPr>
          <w:rFonts w:ascii="Times New Roman" w:hAnsi="Times New Roman" w:cs="Times New Roman"/>
          <w:sz w:val="24"/>
          <w:szCs w:val="24"/>
        </w:rPr>
        <w:t xml:space="preserve">. </w:t>
      </w:r>
    </w:p>
    <w:p w14:paraId="63990A39" w14:textId="4A3C3D6E" w:rsidR="00392C74" w:rsidRPr="003E4533" w:rsidRDefault="00392C74" w:rsidP="005D5785">
      <w:pPr>
        <w:spacing w:after="0"/>
        <w:ind w:firstLine="708"/>
        <w:jc w:val="both"/>
        <w:rPr>
          <w:rFonts w:ascii="Times New Roman" w:hAnsi="Times New Roman" w:cs="Times New Roman"/>
          <w:sz w:val="24"/>
          <w:szCs w:val="24"/>
        </w:rPr>
      </w:pPr>
      <w:r w:rsidRPr="003E4533">
        <w:rPr>
          <w:rFonts w:ascii="Times New Roman" w:hAnsi="Times New Roman" w:cs="Times New Roman"/>
          <w:sz w:val="24"/>
          <w:szCs w:val="24"/>
        </w:rPr>
        <w:t xml:space="preserve">Es el caso del partido mapuche Wallmapuwen, que tras gestiones iniciadas el 2010, recién pudo inscribirse como partido regional el 2016. Ello luego de que el Servicio Electoral, en virtud de la Ley Orgánica Constitucional de Partidos Políticos y de la Constitución Política de la República, exigiera el retiro vocablos en </w:t>
      </w:r>
      <w:r w:rsidRPr="003E4533">
        <w:rPr>
          <w:rFonts w:ascii="Times New Roman" w:hAnsi="Times New Roman" w:cs="Times New Roman"/>
          <w:i/>
          <w:sz w:val="24"/>
          <w:szCs w:val="24"/>
        </w:rPr>
        <w:t>mapuzugun</w:t>
      </w:r>
      <w:r w:rsidRPr="003E4533">
        <w:rPr>
          <w:rFonts w:ascii="Times New Roman" w:hAnsi="Times New Roman" w:cs="Times New Roman"/>
          <w:sz w:val="24"/>
          <w:szCs w:val="24"/>
        </w:rPr>
        <w:t xml:space="preserve"> (idioma Mapuche) de su proyecto de estatutos y de conceptos que contravendrían la Constitución, tales como derecho a la autodeterminación, autonomía, territorio y Wallmapu (país mapuche)</w:t>
      </w:r>
      <w:r w:rsidRPr="003E4533">
        <w:rPr>
          <w:rStyle w:val="Refdenotaalpie"/>
          <w:rFonts w:ascii="Times New Roman" w:hAnsi="Times New Roman"/>
          <w:sz w:val="24"/>
          <w:szCs w:val="24"/>
        </w:rPr>
        <w:footnoteReference w:id="64"/>
      </w:r>
      <w:r w:rsidRPr="003E4533">
        <w:rPr>
          <w:rFonts w:ascii="Times New Roman" w:hAnsi="Times New Roman" w:cs="Times New Roman"/>
          <w:sz w:val="24"/>
          <w:szCs w:val="24"/>
        </w:rPr>
        <w:t>. Un año más tarde, el Servicio Electoral disolvió a Wallmapuwen, al no lograr constituirse en tres regiones continuas u ocho discontinuas, lo que es causal de disolución</w:t>
      </w:r>
      <w:r w:rsidR="00AC6150">
        <w:rPr>
          <w:rFonts w:ascii="Times New Roman" w:hAnsi="Times New Roman" w:cs="Times New Roman"/>
          <w:sz w:val="24"/>
          <w:szCs w:val="24"/>
        </w:rPr>
        <w:t>.</w:t>
      </w:r>
      <w:r w:rsidRPr="003E4533">
        <w:rPr>
          <w:rStyle w:val="Refdenotaalpie"/>
          <w:rFonts w:ascii="Times New Roman" w:hAnsi="Times New Roman"/>
          <w:sz w:val="24"/>
          <w:szCs w:val="24"/>
        </w:rPr>
        <w:footnoteReference w:id="65"/>
      </w:r>
    </w:p>
    <w:p w14:paraId="4951C098" w14:textId="0CEB7E77" w:rsidR="00392C74" w:rsidRDefault="00392C74" w:rsidP="005D5785">
      <w:pPr>
        <w:spacing w:after="0"/>
        <w:jc w:val="both"/>
        <w:rPr>
          <w:rFonts w:ascii="Times New Roman" w:hAnsi="Times New Roman" w:cs="Times New Roman"/>
          <w:sz w:val="24"/>
          <w:szCs w:val="24"/>
        </w:rPr>
      </w:pPr>
      <w:r w:rsidRPr="003E4533">
        <w:rPr>
          <w:rFonts w:ascii="Times New Roman" w:hAnsi="Times New Roman" w:cs="Times New Roman"/>
          <w:sz w:val="24"/>
          <w:szCs w:val="24"/>
        </w:rPr>
        <w:t>En la actualidad existen dos proyectos de ley referidos a nueva institucionalidad indígena; para la creación de un Consejo Nacional y Consejos de Pueblos indígenas (Boletín N° 10526- 06), como entes públicos de participación indígena, y del Ministerio de Asuntos indígenas (Boletín N° 10.687- de 06), los que han sido cuestionados por el riesgo de que estos asuman una representación indígena que suplante sus instituciones. Ambos proyectos fueron objeto de procesos de consulta a pueblos indígenas, los que fueron impugnados por no atenderse a los estándares del Convenio 169</w:t>
      </w:r>
      <w:r w:rsidR="00AC6150">
        <w:rPr>
          <w:rFonts w:ascii="Times New Roman" w:hAnsi="Times New Roman" w:cs="Times New Roman"/>
          <w:sz w:val="24"/>
          <w:szCs w:val="24"/>
        </w:rPr>
        <w:t>.</w:t>
      </w:r>
      <w:r w:rsidRPr="003E4533">
        <w:rPr>
          <w:rStyle w:val="Refdenotaalpie"/>
          <w:rFonts w:ascii="Times New Roman" w:hAnsi="Times New Roman"/>
          <w:sz w:val="24"/>
          <w:szCs w:val="24"/>
        </w:rPr>
        <w:footnoteReference w:id="66"/>
      </w:r>
      <w:r w:rsidRPr="003E4533">
        <w:rPr>
          <w:rFonts w:ascii="Times New Roman" w:hAnsi="Times New Roman" w:cs="Times New Roman"/>
          <w:sz w:val="24"/>
          <w:szCs w:val="24"/>
        </w:rPr>
        <w:t xml:space="preserve">  </w:t>
      </w:r>
    </w:p>
    <w:p w14:paraId="415F5F0A" w14:textId="77777777" w:rsidR="005D5785" w:rsidRPr="003E4533" w:rsidRDefault="005D5785" w:rsidP="005D5785">
      <w:pPr>
        <w:spacing w:after="0"/>
        <w:jc w:val="both"/>
        <w:rPr>
          <w:rFonts w:ascii="Times New Roman" w:hAnsi="Times New Roman" w:cs="Times New Roman"/>
          <w:sz w:val="24"/>
          <w:szCs w:val="24"/>
        </w:rPr>
      </w:pPr>
    </w:p>
    <w:p w14:paraId="60565BD0" w14:textId="3D98500E" w:rsidR="00392C74" w:rsidRPr="003E4533" w:rsidRDefault="007F5E98" w:rsidP="005D5785">
      <w:pPr>
        <w:spacing w:after="0" w:line="276" w:lineRule="auto"/>
        <w:jc w:val="both"/>
        <w:rPr>
          <w:rFonts w:ascii="Times New Roman" w:hAnsi="Times New Roman" w:cs="Times New Roman"/>
          <w:bCs/>
          <w:i/>
          <w:iCs/>
          <w:sz w:val="24"/>
          <w:szCs w:val="24"/>
          <w:u w:val="single"/>
        </w:rPr>
      </w:pPr>
      <w:r>
        <w:rPr>
          <w:rFonts w:ascii="Times New Roman" w:hAnsi="Times New Roman" w:cs="Times New Roman"/>
          <w:bCs/>
          <w:i/>
          <w:iCs/>
          <w:sz w:val="24"/>
          <w:szCs w:val="24"/>
          <w:u w:val="single"/>
        </w:rPr>
        <w:t xml:space="preserve">D. </w:t>
      </w:r>
      <w:r w:rsidR="002C1406" w:rsidRPr="003E4533">
        <w:rPr>
          <w:rFonts w:ascii="Times New Roman" w:hAnsi="Times New Roman" w:cs="Times New Roman"/>
          <w:bCs/>
          <w:i/>
          <w:iCs/>
          <w:sz w:val="24"/>
          <w:szCs w:val="24"/>
          <w:u w:val="single"/>
        </w:rPr>
        <w:t>C</w:t>
      </w:r>
      <w:r w:rsidR="00392C74" w:rsidRPr="003E4533">
        <w:rPr>
          <w:rFonts w:ascii="Times New Roman" w:hAnsi="Times New Roman" w:cs="Times New Roman"/>
          <w:bCs/>
          <w:i/>
          <w:iCs/>
          <w:sz w:val="24"/>
          <w:szCs w:val="24"/>
          <w:u w:val="single"/>
        </w:rPr>
        <w:t xml:space="preserve">riminalización de la protesta social </w:t>
      </w:r>
    </w:p>
    <w:p w14:paraId="6C0D22A3" w14:textId="417966E7" w:rsidR="00392C74" w:rsidRDefault="007D3690" w:rsidP="007D3690">
      <w:pPr>
        <w:spacing w:before="100" w:beforeAutospacing="1"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 situación espe</w:t>
      </w:r>
      <w:r w:rsidR="00392C74" w:rsidRPr="003E4533">
        <w:rPr>
          <w:rFonts w:ascii="Times New Roman" w:eastAsia="Times New Roman" w:hAnsi="Times New Roman" w:cs="Times New Roman"/>
          <w:sz w:val="24"/>
          <w:szCs w:val="24"/>
        </w:rPr>
        <w:t xml:space="preserve">cialmente grave desde la perspectiva del derecho de los pueblos indígenas a gozar plenamente de los derechos humanos y libertades fundamentales, sin discriminación, es la que viven las personas pertenecientes al pueblo mapuche en el contexto de la criminalización de la protesta social. La respuesta del Estado frente a sus legítimas demandas ha incluido el uso de la legislación penal, en especial de normas de excepción como la Ley Antiterrorista, por lo cual el Estado de Chile ha sido condenado por la Corte Interamericana de Derechos Humanos; así como el uso desmedido de la fuerza policial en su contra, que ha tenido como consecuencia en algunos casos la muerte de comuneros a manos de efectivos policiales, por impactos de bala, en varios de ellos por la espalda. Como ocurrió recientemente -14 de noviembre de 2018- con el joven mapuche Camilo Catrillanca, de 24 </w:t>
      </w:r>
      <w:r w:rsidR="00392C74" w:rsidRPr="003E4533">
        <w:rPr>
          <w:rFonts w:ascii="Times New Roman" w:eastAsia="Times New Roman" w:hAnsi="Times New Roman" w:cs="Times New Roman"/>
          <w:sz w:val="24"/>
          <w:szCs w:val="24"/>
        </w:rPr>
        <w:lastRenderedPageBreak/>
        <w:t xml:space="preserve">años, quien fue interceptado por un piquete de fuerzas especiales mientras se dirigía en tractor a su casa, acompañado de un menor de edad, hecho que causó gran conmoción pública. </w:t>
      </w:r>
    </w:p>
    <w:p w14:paraId="5EDB9C94" w14:textId="563870D7" w:rsidR="009F2333" w:rsidRDefault="009F2333" w:rsidP="00392C74">
      <w:pPr>
        <w:spacing w:before="100" w:beforeAutospacing="1" w:after="100" w:afterAutospacing="1"/>
        <w:jc w:val="both"/>
        <w:rPr>
          <w:rFonts w:ascii="Times New Roman" w:eastAsia="Times New Roman" w:hAnsi="Times New Roman" w:cs="Times New Roman"/>
          <w:b/>
          <w:sz w:val="24"/>
          <w:szCs w:val="24"/>
          <w:u w:val="single"/>
        </w:rPr>
      </w:pPr>
      <w:r w:rsidRPr="009F2333">
        <w:rPr>
          <w:rFonts w:ascii="Times New Roman" w:eastAsia="Times New Roman" w:hAnsi="Times New Roman" w:cs="Times New Roman"/>
          <w:b/>
          <w:sz w:val="24"/>
          <w:szCs w:val="24"/>
          <w:u w:val="single"/>
        </w:rPr>
        <w:t xml:space="preserve">Preguntas sugeridas al Estado: </w:t>
      </w:r>
    </w:p>
    <w:p w14:paraId="4E4DD474" w14:textId="48CBE392" w:rsidR="009F2333" w:rsidRDefault="00535C7C" w:rsidP="00E40541">
      <w:pPr>
        <w:numPr>
          <w:ilvl w:val="0"/>
          <w:numId w:val="1"/>
        </w:numPr>
        <w:spacing w:before="100" w:beforeAutospacing="1" w:after="100" w:afterAutospacing="1"/>
        <w:jc w:val="both"/>
        <w:rPr>
          <w:rFonts w:ascii="Times New Roman" w:eastAsia="Times New Roman" w:hAnsi="Times New Roman" w:cs="Times New Roman"/>
          <w:bCs/>
          <w:sz w:val="24"/>
          <w:szCs w:val="24"/>
          <w:lang w:val="es-419"/>
        </w:rPr>
      </w:pPr>
      <w:r>
        <w:rPr>
          <w:rFonts w:ascii="Times New Roman" w:eastAsia="Times New Roman" w:hAnsi="Times New Roman" w:cs="Times New Roman"/>
          <w:sz w:val="24"/>
          <w:szCs w:val="24"/>
        </w:rPr>
        <w:t xml:space="preserve">¿Qué tipo de políticas pública e iniciativas legales se pretenden implementar para </w:t>
      </w:r>
      <w:r w:rsidRPr="00535C7C">
        <w:rPr>
          <w:rFonts w:ascii="Times New Roman" w:eastAsia="Times New Roman" w:hAnsi="Times New Roman" w:cs="Times New Roman"/>
          <w:bCs/>
          <w:sz w:val="24"/>
          <w:szCs w:val="24"/>
          <w:lang w:val="es-419"/>
        </w:rPr>
        <w:t xml:space="preserve">garantizar la inclusión social y disfrute de los derechos económicos, sociales y culturales de los pueblos indígenas? </w:t>
      </w:r>
    </w:p>
    <w:p w14:paraId="18977BA6" w14:textId="1338E0EE" w:rsidR="00E17ACA" w:rsidRDefault="004D5911" w:rsidP="00E40541">
      <w:pPr>
        <w:numPr>
          <w:ilvl w:val="0"/>
          <w:numId w:val="1"/>
        </w:numPr>
        <w:spacing w:before="100" w:beforeAutospacing="1" w:after="100" w:afterAutospacing="1"/>
        <w:jc w:val="both"/>
        <w:rPr>
          <w:rFonts w:ascii="Times New Roman" w:eastAsia="Times New Roman" w:hAnsi="Times New Roman" w:cs="Times New Roman"/>
          <w:bCs/>
          <w:sz w:val="24"/>
          <w:szCs w:val="24"/>
          <w:lang w:val="es-419"/>
        </w:rPr>
      </w:pPr>
      <w:r>
        <w:rPr>
          <w:rFonts w:ascii="Times New Roman" w:eastAsia="Times New Roman" w:hAnsi="Times New Roman" w:cs="Times New Roman"/>
          <w:bCs/>
          <w:sz w:val="24"/>
          <w:szCs w:val="24"/>
          <w:lang w:val="es-419"/>
        </w:rPr>
        <w:t xml:space="preserve">¿Qué procesos y acciones se </w:t>
      </w:r>
      <w:r w:rsidR="007F5E98">
        <w:rPr>
          <w:rFonts w:ascii="Times New Roman" w:eastAsia="Times New Roman" w:hAnsi="Times New Roman" w:cs="Times New Roman"/>
          <w:bCs/>
          <w:sz w:val="24"/>
          <w:szCs w:val="24"/>
          <w:lang w:val="es-419"/>
        </w:rPr>
        <w:t xml:space="preserve">planean llevar </w:t>
      </w:r>
      <w:r>
        <w:rPr>
          <w:rFonts w:ascii="Times New Roman" w:eastAsia="Times New Roman" w:hAnsi="Times New Roman" w:cs="Times New Roman"/>
          <w:bCs/>
          <w:sz w:val="24"/>
          <w:szCs w:val="24"/>
          <w:lang w:val="es-419"/>
        </w:rPr>
        <w:t>a cabo para avanzar</w:t>
      </w:r>
      <w:r w:rsidR="007F5E98">
        <w:rPr>
          <w:rFonts w:ascii="Times New Roman" w:eastAsia="Times New Roman" w:hAnsi="Times New Roman" w:cs="Times New Roman"/>
          <w:bCs/>
          <w:sz w:val="24"/>
          <w:szCs w:val="24"/>
          <w:lang w:val="es-419"/>
        </w:rPr>
        <w:t xml:space="preserve"> en la </w:t>
      </w:r>
      <w:r w:rsidRPr="004D5911">
        <w:rPr>
          <w:rFonts w:ascii="Times New Roman" w:eastAsia="Times New Roman" w:hAnsi="Times New Roman" w:cs="Times New Roman"/>
          <w:bCs/>
          <w:sz w:val="24"/>
          <w:szCs w:val="24"/>
          <w:lang w:val="es-419"/>
        </w:rPr>
        <w:t>restitución, preservación y protección de tierras, territorios y recursos naturales</w:t>
      </w:r>
      <w:r>
        <w:rPr>
          <w:rFonts w:ascii="Times New Roman" w:eastAsia="Times New Roman" w:hAnsi="Times New Roman" w:cs="Times New Roman"/>
          <w:bCs/>
          <w:sz w:val="24"/>
          <w:szCs w:val="24"/>
          <w:lang w:val="es-419"/>
        </w:rPr>
        <w:t xml:space="preserve"> de los pueblos indígenas, de acuerdo a los estándares internacionales de derechos humanos? </w:t>
      </w:r>
    </w:p>
    <w:p w14:paraId="0819C9DB" w14:textId="5371EA24" w:rsidR="007F5E98" w:rsidRPr="004D5911" w:rsidRDefault="007F5E98" w:rsidP="00E40541">
      <w:pPr>
        <w:numPr>
          <w:ilvl w:val="0"/>
          <w:numId w:val="1"/>
        </w:numPr>
        <w:spacing w:before="100" w:beforeAutospacing="1" w:after="100" w:afterAutospacing="1"/>
        <w:jc w:val="both"/>
        <w:rPr>
          <w:rFonts w:ascii="Times New Roman" w:eastAsia="Times New Roman" w:hAnsi="Times New Roman" w:cs="Times New Roman"/>
          <w:bCs/>
          <w:sz w:val="24"/>
          <w:szCs w:val="24"/>
          <w:lang w:val="es-419"/>
        </w:rPr>
      </w:pPr>
      <w:r>
        <w:rPr>
          <w:rFonts w:ascii="Times New Roman" w:eastAsia="Times New Roman" w:hAnsi="Times New Roman" w:cs="Times New Roman"/>
          <w:bCs/>
          <w:sz w:val="24"/>
          <w:szCs w:val="24"/>
          <w:lang w:val="es-419"/>
        </w:rPr>
        <w:t xml:space="preserve">¿De qué modo se pretende asegurar que las protestas sociales y las legítimas demandas de los pueblos indígenas no sean criminalizadas y se puedan desarrollar libres de discriminación por parte del Estado? </w:t>
      </w:r>
    </w:p>
    <w:p w14:paraId="3E6BF6F0" w14:textId="1964F5C2" w:rsidR="00707BF0" w:rsidRPr="00E61542" w:rsidRDefault="003B294A" w:rsidP="00C77BC3">
      <w:pPr>
        <w:spacing w:after="0"/>
        <w:jc w:val="both"/>
        <w:textAlignment w:val="baseline"/>
        <w:rPr>
          <w:rFonts w:ascii="Times New Roman" w:hAnsi="Times New Roman" w:cs="Times New Roman"/>
          <w:b/>
          <w:bCs/>
          <w:sz w:val="28"/>
          <w:szCs w:val="28"/>
          <w:lang w:val="es-CL"/>
        </w:rPr>
      </w:pPr>
      <w:r w:rsidRPr="00E61542">
        <w:rPr>
          <w:rFonts w:ascii="Times New Roman" w:hAnsi="Times New Roman" w:cs="Times New Roman"/>
          <w:b/>
          <w:bCs/>
          <w:sz w:val="28"/>
          <w:szCs w:val="28"/>
          <w:lang w:val="es-CL"/>
        </w:rPr>
        <w:t xml:space="preserve">3. </w:t>
      </w:r>
      <w:r w:rsidR="002C1406" w:rsidRPr="00E61542">
        <w:rPr>
          <w:rFonts w:ascii="Times New Roman" w:hAnsi="Times New Roman" w:cs="Times New Roman"/>
          <w:b/>
          <w:bCs/>
          <w:sz w:val="28"/>
          <w:szCs w:val="28"/>
          <w:lang w:val="es-CL"/>
        </w:rPr>
        <w:t>Comunidad LBTGI</w:t>
      </w:r>
      <w:r w:rsidR="008433F3" w:rsidRPr="00E61542">
        <w:rPr>
          <w:rStyle w:val="Refdenotaalpie"/>
          <w:rFonts w:ascii="Times New Roman" w:hAnsi="Times New Roman"/>
          <w:b/>
          <w:bCs/>
          <w:sz w:val="28"/>
          <w:szCs w:val="28"/>
          <w:lang w:val="es-CL"/>
        </w:rPr>
        <w:footnoteReference w:id="67"/>
      </w:r>
    </w:p>
    <w:p w14:paraId="236F83C0" w14:textId="77777777" w:rsidR="002C1406" w:rsidRPr="003E4533" w:rsidRDefault="002C1406" w:rsidP="002C1406">
      <w:pPr>
        <w:spacing w:after="0" w:line="276" w:lineRule="auto"/>
        <w:ind w:firstLine="708"/>
        <w:jc w:val="both"/>
        <w:textAlignment w:val="baseline"/>
        <w:rPr>
          <w:rFonts w:ascii="Times New Roman" w:hAnsi="Times New Roman" w:cs="Times New Roman"/>
          <w:sz w:val="24"/>
          <w:szCs w:val="24"/>
          <w:lang w:val="es-CL"/>
        </w:rPr>
      </w:pPr>
      <w:r w:rsidRPr="003E4533">
        <w:rPr>
          <w:rFonts w:ascii="Times New Roman" w:hAnsi="Times New Roman" w:cs="Times New Roman"/>
          <w:sz w:val="24"/>
          <w:szCs w:val="24"/>
          <w:lang w:val="es-CL"/>
        </w:rPr>
        <w:t>Durante el 2017 los casos y denuncias por discriminación a la población LGBTI en Chile incrementaron un 45,7%, registrándose un total de 458 abusos, la cifra más alta de la que se tiene registro. Si bien desde el 2014 las denuncias por atropellos han aumentado porque las personas se están atreviendo a reportarlos, el incremento en 2017 se relaciona también con una mayor violencia, sistematización y coordinación de los grupos anti-derechos que no toleran los avances en materia de igualdad.</w:t>
      </w:r>
      <w:r w:rsidRPr="003E4533">
        <w:rPr>
          <w:rFonts w:ascii="Times New Roman" w:hAnsi="Times New Roman" w:cs="Times New Roman"/>
          <w:sz w:val="24"/>
          <w:szCs w:val="24"/>
          <w:vertAlign w:val="superscript"/>
          <w:lang w:val="es-CL"/>
        </w:rPr>
        <w:footnoteReference w:id="68"/>
      </w:r>
    </w:p>
    <w:p w14:paraId="549B3808" w14:textId="5D53FD38" w:rsidR="00F26A3D" w:rsidRDefault="002C1406" w:rsidP="007D3690">
      <w:pPr>
        <w:spacing w:after="0" w:line="276" w:lineRule="auto"/>
        <w:ind w:firstLine="708"/>
        <w:jc w:val="both"/>
        <w:textAlignment w:val="baseline"/>
        <w:rPr>
          <w:rFonts w:ascii="Times New Roman" w:hAnsi="Times New Roman" w:cs="Times New Roman"/>
          <w:sz w:val="24"/>
          <w:szCs w:val="24"/>
          <w:lang w:val="es-CL"/>
        </w:rPr>
      </w:pPr>
      <w:r w:rsidRPr="003E4533">
        <w:rPr>
          <w:rFonts w:ascii="Times New Roman" w:hAnsi="Times New Roman" w:cs="Times New Roman"/>
          <w:sz w:val="24"/>
          <w:szCs w:val="24"/>
          <w:lang w:val="es-ES_tradnl"/>
        </w:rPr>
        <w:t>Las denuncias de uso de la violencia por agentes del Estado contra mujeres lesbianas, bisexuales y transgénero son frecuentes, no obstante falta información sobre los juicios y las condenas.</w:t>
      </w:r>
      <w:r w:rsidRPr="003E4533">
        <w:rPr>
          <w:rFonts w:ascii="Times New Roman" w:hAnsi="Times New Roman" w:cs="Times New Roman"/>
          <w:b/>
          <w:bCs/>
          <w:sz w:val="24"/>
          <w:szCs w:val="24"/>
          <w:lang w:val="es-CL"/>
        </w:rPr>
        <w:t xml:space="preserve"> </w:t>
      </w:r>
      <w:r w:rsidRPr="003E4533">
        <w:rPr>
          <w:rFonts w:ascii="Times New Roman" w:hAnsi="Times New Roman" w:cs="Times New Roman"/>
          <w:sz w:val="24"/>
          <w:szCs w:val="24"/>
          <w:lang w:val="es-CL"/>
        </w:rPr>
        <w:t>Un estudio exploratorio sobre la situación de las mujeres lesbianas en el país mostró que la calle es el espacio donde se produce mayor discriminación y acoso (75,2% de las entrevistadas así lo señala). En materia de justicia, se constata los asesinatos de mujeres que no se han esclarecido y</w:t>
      </w:r>
      <w:r w:rsidR="007D3690">
        <w:rPr>
          <w:rFonts w:ascii="Times New Roman" w:hAnsi="Times New Roman" w:cs="Times New Roman"/>
          <w:sz w:val="24"/>
          <w:szCs w:val="24"/>
          <w:lang w:val="es-CL"/>
        </w:rPr>
        <w:t xml:space="preserve"> se mantienen en la impunidad. </w:t>
      </w:r>
    </w:p>
    <w:p w14:paraId="7A263318" w14:textId="77777777" w:rsidR="007D3690" w:rsidRPr="007D3690" w:rsidRDefault="007D3690" w:rsidP="007D3690">
      <w:pPr>
        <w:spacing w:after="0" w:line="276" w:lineRule="auto"/>
        <w:ind w:firstLine="708"/>
        <w:jc w:val="both"/>
        <w:textAlignment w:val="baseline"/>
        <w:rPr>
          <w:rFonts w:ascii="Times New Roman" w:hAnsi="Times New Roman" w:cs="Times New Roman"/>
          <w:sz w:val="24"/>
          <w:szCs w:val="24"/>
          <w:lang w:val="es-CL"/>
        </w:rPr>
      </w:pPr>
    </w:p>
    <w:p w14:paraId="09991850" w14:textId="19737003" w:rsidR="00F26A3D" w:rsidRDefault="00F26A3D" w:rsidP="00F26A3D">
      <w:pPr>
        <w:rPr>
          <w:rFonts w:ascii="Times New Roman" w:hAnsi="Times New Roman" w:cs="Times New Roman"/>
          <w:b/>
          <w:bCs/>
          <w:sz w:val="24"/>
          <w:szCs w:val="24"/>
          <w:u w:val="single"/>
          <w:lang w:val="es-CL"/>
        </w:rPr>
      </w:pPr>
      <w:r w:rsidRPr="00F26A3D">
        <w:rPr>
          <w:rFonts w:ascii="Times New Roman" w:hAnsi="Times New Roman" w:cs="Times New Roman"/>
          <w:b/>
          <w:bCs/>
          <w:sz w:val="24"/>
          <w:szCs w:val="24"/>
          <w:u w:val="single"/>
          <w:lang w:val="es-CL"/>
        </w:rPr>
        <w:t xml:space="preserve">Preguntas sugeridas al Estado: </w:t>
      </w:r>
    </w:p>
    <w:p w14:paraId="1D152913" w14:textId="273FD56D" w:rsidR="00F26A3D" w:rsidRPr="00F26A3D" w:rsidRDefault="00F26A3D" w:rsidP="00E40541">
      <w:pPr>
        <w:pStyle w:val="Prrafodelista"/>
        <w:numPr>
          <w:ilvl w:val="0"/>
          <w:numId w:val="4"/>
        </w:numPr>
        <w:rPr>
          <w:rFonts w:ascii="Times New Roman" w:hAnsi="Times New Roman" w:cs="Times New Roman"/>
          <w:b/>
          <w:bCs/>
          <w:sz w:val="24"/>
          <w:szCs w:val="24"/>
          <w:u w:val="single"/>
          <w:lang w:val="es-CL"/>
        </w:rPr>
      </w:pPr>
      <w:r>
        <w:rPr>
          <w:rFonts w:ascii="Times New Roman" w:hAnsi="Times New Roman" w:cs="Times New Roman"/>
          <w:bCs/>
          <w:sz w:val="24"/>
          <w:szCs w:val="24"/>
          <w:lang w:val="es-CL"/>
        </w:rPr>
        <w:t xml:space="preserve">¿Qué tipo de reformas y mecanismos se tienen contemplados para combatir la discriminación contra la población LGTBI, incluyendo medidas de reparación a las víctimas y legislación que sancione penalmente los crímenes de odio?  </w:t>
      </w:r>
    </w:p>
    <w:p w14:paraId="3F1F7146" w14:textId="3000BE3E" w:rsidR="00932242" w:rsidRPr="00B27021" w:rsidRDefault="006144AB" w:rsidP="00932242">
      <w:pPr>
        <w:spacing w:before="100" w:beforeAutospacing="1" w:after="100" w:afterAutospacing="1"/>
        <w:jc w:val="both"/>
        <w:rPr>
          <w:rFonts w:ascii="Times New Roman" w:eastAsia="Times New Roman" w:hAnsi="Times New Roman" w:cs="Times New Roman"/>
          <w:b/>
          <w:bCs/>
          <w:color w:val="4472C4" w:themeColor="accent1"/>
          <w:sz w:val="24"/>
          <w:szCs w:val="24"/>
        </w:rPr>
      </w:pPr>
      <w:r>
        <w:rPr>
          <w:rFonts w:ascii="Times New Roman" w:eastAsia="Times New Roman" w:hAnsi="Times New Roman" w:cs="Times New Roman"/>
          <w:b/>
          <w:bCs/>
          <w:color w:val="4472C4" w:themeColor="accent1"/>
          <w:sz w:val="24"/>
          <w:szCs w:val="24"/>
        </w:rPr>
        <w:lastRenderedPageBreak/>
        <w:t>III</w:t>
      </w:r>
      <w:r w:rsidR="003B294A" w:rsidRPr="00B27021">
        <w:rPr>
          <w:rFonts w:ascii="Times New Roman" w:eastAsia="Times New Roman" w:hAnsi="Times New Roman" w:cs="Times New Roman"/>
          <w:b/>
          <w:bCs/>
          <w:color w:val="4472C4" w:themeColor="accent1"/>
          <w:sz w:val="24"/>
          <w:szCs w:val="24"/>
        </w:rPr>
        <w:t xml:space="preserve">. </w:t>
      </w:r>
      <w:r w:rsidR="007D3690">
        <w:rPr>
          <w:rFonts w:ascii="Times New Roman" w:eastAsia="Times New Roman" w:hAnsi="Times New Roman" w:cs="Times New Roman"/>
          <w:b/>
          <w:bCs/>
          <w:color w:val="4472C4" w:themeColor="accent1"/>
          <w:sz w:val="24"/>
          <w:szCs w:val="24"/>
        </w:rPr>
        <w:t xml:space="preserve">ANÁLISIS DE </w:t>
      </w:r>
      <w:r w:rsidR="00D43446" w:rsidRPr="00B27021">
        <w:rPr>
          <w:rFonts w:ascii="Times New Roman" w:eastAsia="Times New Roman" w:hAnsi="Times New Roman" w:cs="Times New Roman"/>
          <w:b/>
          <w:bCs/>
          <w:color w:val="4472C4" w:themeColor="accent1"/>
          <w:sz w:val="24"/>
          <w:szCs w:val="24"/>
        </w:rPr>
        <w:t>DERECHOS ECONÓMICOS, SOCIALES Y CULTURALES ESPECÍFICOS</w:t>
      </w:r>
      <w:r w:rsidR="00932242" w:rsidRPr="00B27021">
        <w:rPr>
          <w:rFonts w:ascii="Times New Roman" w:eastAsia="Times New Roman" w:hAnsi="Times New Roman" w:cs="Times New Roman"/>
          <w:b/>
          <w:bCs/>
          <w:color w:val="4472C4" w:themeColor="accent1"/>
          <w:sz w:val="24"/>
          <w:szCs w:val="24"/>
        </w:rPr>
        <w:t xml:space="preserve"> </w:t>
      </w:r>
      <w:r w:rsidR="007D3690">
        <w:rPr>
          <w:rFonts w:ascii="Times New Roman" w:eastAsia="Times New Roman" w:hAnsi="Times New Roman" w:cs="Times New Roman"/>
          <w:b/>
          <w:bCs/>
          <w:color w:val="4472C4" w:themeColor="accent1"/>
          <w:sz w:val="24"/>
          <w:szCs w:val="24"/>
        </w:rPr>
        <w:t>EN CHILE</w:t>
      </w:r>
    </w:p>
    <w:p w14:paraId="41A18D1E" w14:textId="3AC3DC49" w:rsidR="00D43446" w:rsidRPr="00D969AC" w:rsidRDefault="00D43446" w:rsidP="00D43446">
      <w:pPr>
        <w:spacing w:after="200" w:line="276" w:lineRule="auto"/>
        <w:jc w:val="both"/>
        <w:rPr>
          <w:rFonts w:ascii="Times New Roman" w:eastAsia="Calibri" w:hAnsi="Times New Roman" w:cs="Times New Roman"/>
          <w:b/>
          <w:sz w:val="28"/>
          <w:szCs w:val="28"/>
        </w:rPr>
      </w:pPr>
      <w:r w:rsidRPr="00D969AC">
        <w:rPr>
          <w:rFonts w:ascii="Times New Roman" w:eastAsia="Calibri" w:hAnsi="Times New Roman" w:cs="Times New Roman"/>
          <w:b/>
          <w:sz w:val="28"/>
          <w:szCs w:val="28"/>
        </w:rPr>
        <w:t xml:space="preserve">1. </w:t>
      </w:r>
      <w:r w:rsidR="00B27021" w:rsidRPr="00D969AC">
        <w:rPr>
          <w:rFonts w:ascii="Times New Roman" w:eastAsia="Calibri" w:hAnsi="Times New Roman" w:cs="Times New Roman"/>
          <w:b/>
          <w:sz w:val="28"/>
          <w:szCs w:val="28"/>
        </w:rPr>
        <w:t xml:space="preserve">Derecho a la Seguridad Social </w:t>
      </w:r>
      <w:r w:rsidRPr="00D969AC">
        <w:rPr>
          <w:rFonts w:ascii="Times New Roman" w:eastAsia="Calibri" w:hAnsi="Times New Roman" w:cs="Times New Roman"/>
          <w:b/>
          <w:sz w:val="28"/>
          <w:szCs w:val="28"/>
        </w:rPr>
        <w:t>(Artículo 9 PIDESC)</w:t>
      </w:r>
    </w:p>
    <w:p w14:paraId="6DAF8EF6" w14:textId="77777777" w:rsidR="00D43446" w:rsidRPr="00441C49" w:rsidRDefault="00D43446" w:rsidP="007D3690">
      <w:pPr>
        <w:spacing w:after="0" w:line="276" w:lineRule="auto"/>
        <w:ind w:firstLine="708"/>
        <w:jc w:val="both"/>
        <w:rPr>
          <w:rFonts w:ascii="Times New Roman" w:eastAsia="Calibri" w:hAnsi="Times New Roman" w:cs="Times New Roman"/>
          <w:sz w:val="24"/>
          <w:szCs w:val="24"/>
          <w:lang w:val="es-ES"/>
        </w:rPr>
      </w:pPr>
      <w:r w:rsidRPr="00441C49">
        <w:rPr>
          <w:rFonts w:ascii="Times New Roman" w:eastAsia="Calibri" w:hAnsi="Times New Roman" w:cs="Times New Roman"/>
          <w:sz w:val="24"/>
          <w:szCs w:val="24"/>
          <w:lang w:val="es-ES"/>
        </w:rPr>
        <w:t>En 1981, la dictadura militar instauró una reforma estructural al sistema de pensiones de Chile a través de la promulgación del Decreto Ley Nº 3500.</w:t>
      </w:r>
      <w:r w:rsidRPr="00441C49">
        <w:rPr>
          <w:rFonts w:ascii="Times New Roman" w:eastAsia="Calibri" w:hAnsi="Times New Roman" w:cs="Times New Roman"/>
          <w:sz w:val="24"/>
          <w:szCs w:val="24"/>
          <w:vertAlign w:val="superscript"/>
          <w:lang w:val="es-ES"/>
        </w:rPr>
        <w:footnoteReference w:id="69"/>
      </w:r>
      <w:r w:rsidRPr="00441C49">
        <w:rPr>
          <w:rFonts w:ascii="Times New Roman" w:eastAsia="Calibri" w:hAnsi="Times New Roman" w:cs="Times New Roman"/>
          <w:sz w:val="24"/>
          <w:szCs w:val="24"/>
          <w:lang w:val="es-ES"/>
        </w:rPr>
        <w:t xml:space="preserve"> Dicho instrumento estableció un régimen de previsión social derivado de la capitalización individual que tuvo por objeto reemplazar al sistema estatal de reparto.</w:t>
      </w:r>
      <w:r w:rsidRPr="00441C49">
        <w:rPr>
          <w:rFonts w:ascii="Times New Roman" w:eastAsia="Calibri" w:hAnsi="Times New Roman" w:cs="Times New Roman"/>
          <w:sz w:val="24"/>
          <w:szCs w:val="24"/>
          <w:vertAlign w:val="superscript"/>
          <w:lang w:val="es-ES"/>
        </w:rPr>
        <w:footnoteReference w:id="70"/>
      </w:r>
      <w:r w:rsidRPr="00441C49">
        <w:rPr>
          <w:rFonts w:ascii="Times New Roman" w:eastAsia="Calibri" w:hAnsi="Times New Roman" w:cs="Times New Roman"/>
          <w:sz w:val="24"/>
          <w:szCs w:val="24"/>
          <w:lang w:val="es-ES"/>
        </w:rPr>
        <w:t xml:space="preserve"> La administración de los fondos, reunidos durante la vida laboral, está a cargo de sociedades anónimas especializadas, denominadas Administradoras de Fondos de Pensiones (AFP). Cada AFP administra cinco Fondos, que se dividen de acuerdo al tipo de instrumentos en que se invierten los recursos (de acuerdo al perfil de riesgo que tenga el cotizante)</w:t>
      </w:r>
      <w:r w:rsidRPr="00441C49">
        <w:rPr>
          <w:rFonts w:ascii="Times New Roman" w:eastAsia="Calibri" w:hAnsi="Times New Roman" w:cs="Times New Roman"/>
          <w:sz w:val="24"/>
          <w:szCs w:val="24"/>
          <w:vertAlign w:val="superscript"/>
          <w:lang w:val="es-ES"/>
        </w:rPr>
        <w:footnoteReference w:id="71"/>
      </w:r>
      <w:r w:rsidRPr="00441C49">
        <w:rPr>
          <w:rFonts w:ascii="Times New Roman" w:eastAsia="Calibri" w:hAnsi="Times New Roman" w:cs="Times New Roman"/>
          <w:sz w:val="24"/>
          <w:szCs w:val="24"/>
          <w:lang w:val="es-ES"/>
        </w:rPr>
        <w:t>. El año 2008, a través de la Ley 20.255 estableció la creación y financiamiento de un pilar solidario, la cual ha sido reconocida como un esfuerzo destinado a la focalización de recursos para las personas con menores ingresos que no pueden cubrir sus necesidades básicas.</w:t>
      </w:r>
    </w:p>
    <w:p w14:paraId="030C761F" w14:textId="77777777" w:rsidR="00D43446" w:rsidRPr="00441C49" w:rsidRDefault="00D43446" w:rsidP="007D3690">
      <w:pPr>
        <w:spacing w:after="0" w:line="276" w:lineRule="auto"/>
        <w:ind w:firstLine="708"/>
        <w:jc w:val="both"/>
        <w:rPr>
          <w:rFonts w:ascii="Times New Roman" w:eastAsia="Calibri" w:hAnsi="Times New Roman" w:cs="Times New Roman"/>
          <w:sz w:val="24"/>
          <w:szCs w:val="24"/>
          <w:lang w:val="es-ES"/>
        </w:rPr>
      </w:pPr>
      <w:r w:rsidRPr="00441C49">
        <w:rPr>
          <w:rFonts w:ascii="Times New Roman" w:eastAsia="Calibri" w:hAnsi="Times New Roman" w:cs="Times New Roman"/>
          <w:sz w:val="24"/>
          <w:szCs w:val="24"/>
          <w:lang w:val="es-ES"/>
        </w:rPr>
        <w:t>Sin embargo, existen una serie de temáticas que han sido incompletamente abordadas por las políticas públicas impulsadas por el Estado. Este mismo Comité ha mostrado una profunda preocupación debido a que un gran sector de la población aún se encuentra fuera del sistema previsional,</w:t>
      </w:r>
      <w:r w:rsidRPr="00441C49">
        <w:rPr>
          <w:rFonts w:ascii="Times New Roman" w:eastAsia="Calibri" w:hAnsi="Times New Roman" w:cs="Times New Roman"/>
          <w:sz w:val="24"/>
          <w:szCs w:val="24"/>
          <w:vertAlign w:val="superscript"/>
          <w:lang w:val="es-ES"/>
        </w:rPr>
        <w:footnoteReference w:id="72"/>
      </w:r>
      <w:r w:rsidRPr="00441C49">
        <w:rPr>
          <w:rFonts w:ascii="Times New Roman" w:eastAsia="Calibri" w:hAnsi="Times New Roman" w:cs="Times New Roman"/>
          <w:sz w:val="24"/>
          <w:szCs w:val="24"/>
          <w:lang w:val="es-ES"/>
        </w:rPr>
        <w:t xml:space="preserve"> y el Estado aún no cuenta con un sistema de protección social universal que brinde niveles mínimos de protección a toda la población. Por su parte, la Fundación Sol en su Presentación para la Comisión Asesora Presidencial sobre el Sistema de Pensiones</w:t>
      </w:r>
      <w:r w:rsidRPr="00441C49">
        <w:rPr>
          <w:rFonts w:ascii="Times New Roman" w:eastAsia="Calibri" w:hAnsi="Times New Roman" w:cs="Times New Roman"/>
          <w:sz w:val="24"/>
          <w:szCs w:val="24"/>
          <w:vertAlign w:val="superscript"/>
          <w:lang w:val="es-ES"/>
        </w:rPr>
        <w:footnoteReference w:id="73"/>
      </w:r>
      <w:r w:rsidRPr="00441C49">
        <w:rPr>
          <w:rFonts w:ascii="Times New Roman" w:eastAsia="Calibri" w:hAnsi="Times New Roman" w:cs="Times New Roman"/>
          <w:sz w:val="24"/>
          <w:szCs w:val="24"/>
          <w:lang w:val="es-ES"/>
        </w:rPr>
        <w:t xml:space="preserve"> advierte sobre algunas materias que nos parecen importante relevar ante este Comité: trato desigual</w:t>
      </w:r>
      <w:r w:rsidRPr="00441C49">
        <w:rPr>
          <w:rFonts w:ascii="Times New Roman" w:eastAsia="Calibri" w:hAnsi="Times New Roman" w:cs="Times New Roman"/>
          <w:sz w:val="24"/>
          <w:szCs w:val="24"/>
          <w:vertAlign w:val="superscript"/>
          <w:lang w:val="es-ES"/>
        </w:rPr>
        <w:footnoteReference w:id="74"/>
      </w:r>
      <w:r w:rsidRPr="00441C49">
        <w:rPr>
          <w:rFonts w:ascii="Times New Roman" w:eastAsia="Calibri" w:hAnsi="Times New Roman" w:cs="Times New Roman"/>
          <w:sz w:val="24"/>
          <w:szCs w:val="24"/>
          <w:lang w:val="es-ES"/>
        </w:rPr>
        <w:t>, exigua solidaridad social, discriminación de género, insuficiencia de las prestaciones, ineficiencia y costos administrativos, falta de participación social en la gestión</w:t>
      </w:r>
      <w:r w:rsidRPr="00441C49">
        <w:rPr>
          <w:rFonts w:ascii="Times New Roman" w:eastAsia="Calibri" w:hAnsi="Times New Roman" w:cs="Times New Roman"/>
          <w:sz w:val="24"/>
          <w:szCs w:val="24"/>
          <w:vertAlign w:val="superscript"/>
          <w:lang w:val="es-ES"/>
        </w:rPr>
        <w:footnoteReference w:id="75"/>
      </w:r>
      <w:r w:rsidRPr="00441C49">
        <w:rPr>
          <w:rFonts w:ascii="Times New Roman" w:eastAsia="Calibri" w:hAnsi="Times New Roman" w:cs="Times New Roman"/>
          <w:sz w:val="24"/>
          <w:szCs w:val="24"/>
          <w:lang w:val="es-ES"/>
        </w:rPr>
        <w:t xml:space="preserve">, débil rol del Estado y falta de supervisión. </w:t>
      </w:r>
    </w:p>
    <w:p w14:paraId="101C3564" w14:textId="77777777" w:rsidR="00D43446" w:rsidRPr="00441C49" w:rsidRDefault="00D43446" w:rsidP="007D3690">
      <w:pPr>
        <w:spacing w:after="0" w:line="276" w:lineRule="auto"/>
        <w:ind w:firstLine="708"/>
        <w:jc w:val="both"/>
        <w:rPr>
          <w:rFonts w:ascii="Times New Roman" w:eastAsia="Calibri" w:hAnsi="Times New Roman" w:cs="Times New Roman"/>
          <w:sz w:val="24"/>
          <w:szCs w:val="24"/>
          <w:lang w:val="es-ES"/>
        </w:rPr>
      </w:pPr>
      <w:r w:rsidRPr="00441C49">
        <w:rPr>
          <w:rFonts w:ascii="Times New Roman" w:eastAsia="Calibri" w:hAnsi="Times New Roman" w:cs="Times New Roman"/>
          <w:sz w:val="24"/>
          <w:szCs w:val="24"/>
          <w:lang w:val="es-ES"/>
        </w:rPr>
        <w:t xml:space="preserve">Dichas problemáticas se presentan como una de las mayores inquietudes de la población. Un estudio realizado con posterioridad a las movilizaciones sociales que se iniciaron el día 18 de octubre de 2019, identificó que el 23,41% de la ciudadanía identifica el tema en cuestión como su mayor preocupación, seguido de sueldos (18,88%) y alza de </w:t>
      </w:r>
      <w:r w:rsidRPr="00441C49">
        <w:rPr>
          <w:rFonts w:ascii="Times New Roman" w:eastAsia="Calibri" w:hAnsi="Times New Roman" w:cs="Times New Roman"/>
          <w:sz w:val="24"/>
          <w:szCs w:val="24"/>
          <w:lang w:val="es-ES"/>
        </w:rPr>
        <w:lastRenderedPageBreak/>
        <w:t>servicios básicos (16,58%).</w:t>
      </w:r>
      <w:r w:rsidRPr="00441C49">
        <w:rPr>
          <w:rFonts w:ascii="Times New Roman" w:eastAsia="Calibri" w:hAnsi="Times New Roman" w:cs="Times New Roman"/>
          <w:sz w:val="24"/>
          <w:szCs w:val="24"/>
          <w:vertAlign w:val="superscript"/>
          <w:lang w:val="es-ES"/>
        </w:rPr>
        <w:footnoteReference w:id="76"/>
      </w:r>
      <w:r w:rsidRPr="00441C49">
        <w:rPr>
          <w:rFonts w:ascii="Times New Roman" w:eastAsia="Calibri" w:hAnsi="Times New Roman" w:cs="Times New Roman"/>
          <w:sz w:val="24"/>
          <w:szCs w:val="24"/>
          <w:lang w:val="es-ES"/>
        </w:rPr>
        <w:t xml:space="preserve"> Por su parte, la Encuesta de Opinión y Percepción del Sistema de Pensiones en Chile (2014) nos revela que un 74% de los pensionados declara que la pensión recibida no alcanza para satisfacer sus necesidades, y cuando son preguntados por el grado de satisfacción que tienen con ella, un 80% reporta estar insatisfecho o muy insatisfecho.</w:t>
      </w:r>
      <w:r w:rsidRPr="00441C49">
        <w:rPr>
          <w:rFonts w:ascii="Times New Roman" w:eastAsia="Calibri" w:hAnsi="Times New Roman" w:cs="Times New Roman"/>
          <w:sz w:val="24"/>
          <w:szCs w:val="24"/>
          <w:vertAlign w:val="superscript"/>
          <w:lang w:val="es-ES"/>
        </w:rPr>
        <w:footnoteReference w:id="77"/>
      </w:r>
      <w:r w:rsidRPr="00441C49">
        <w:rPr>
          <w:rFonts w:ascii="Times New Roman" w:eastAsia="Calibri" w:hAnsi="Times New Roman" w:cs="Times New Roman"/>
          <w:sz w:val="24"/>
          <w:szCs w:val="24"/>
          <w:lang w:val="es-ES"/>
        </w:rPr>
        <w:t xml:space="preserve"> Todas las problemáticas anteriormente esbozadas se ven reforzadas por las excesivas utilidades que han percibidos las AFP.</w:t>
      </w:r>
      <w:r w:rsidRPr="00441C49">
        <w:rPr>
          <w:rFonts w:ascii="Times New Roman" w:eastAsia="Calibri" w:hAnsi="Times New Roman" w:cs="Times New Roman"/>
          <w:sz w:val="24"/>
          <w:szCs w:val="24"/>
          <w:vertAlign w:val="superscript"/>
          <w:lang w:val="es-ES"/>
        </w:rPr>
        <w:footnoteReference w:id="78"/>
      </w:r>
    </w:p>
    <w:p w14:paraId="253904AA" w14:textId="77777777" w:rsidR="00D43446" w:rsidRPr="00441C49" w:rsidRDefault="00D43446" w:rsidP="007D3690">
      <w:pPr>
        <w:spacing w:after="0" w:line="276" w:lineRule="auto"/>
        <w:ind w:firstLine="708"/>
        <w:jc w:val="both"/>
        <w:rPr>
          <w:rFonts w:ascii="Times New Roman" w:eastAsia="Calibri" w:hAnsi="Times New Roman" w:cs="Times New Roman"/>
          <w:sz w:val="24"/>
          <w:szCs w:val="24"/>
          <w:lang w:val="es-ES"/>
        </w:rPr>
      </w:pPr>
      <w:r w:rsidRPr="00441C49">
        <w:rPr>
          <w:rFonts w:ascii="Times New Roman" w:eastAsia="Calibri" w:hAnsi="Times New Roman" w:cs="Times New Roman"/>
          <w:sz w:val="24"/>
          <w:szCs w:val="24"/>
          <w:lang w:val="es-ES"/>
        </w:rPr>
        <w:t>Las percepciones ciudadanas son refrendadas por cifras que nos parecen alarmantes. La Comisión Presidencial de Pensiones (2015) identificó que el 79% de las pensiones eran inferiores al salario mínimo y un 44% se encontraban por debajo de la línea de pobreza</w:t>
      </w:r>
      <w:r w:rsidRPr="00441C49">
        <w:rPr>
          <w:rFonts w:ascii="Times New Roman" w:eastAsia="Calibri" w:hAnsi="Times New Roman" w:cs="Times New Roman"/>
          <w:sz w:val="24"/>
          <w:szCs w:val="24"/>
          <w:vertAlign w:val="superscript"/>
          <w:lang w:val="es-ES"/>
        </w:rPr>
        <w:footnoteReference w:id="79"/>
      </w:r>
      <w:r w:rsidRPr="00441C49">
        <w:rPr>
          <w:rFonts w:ascii="Times New Roman" w:eastAsia="Calibri" w:hAnsi="Times New Roman" w:cs="Times New Roman"/>
          <w:sz w:val="24"/>
          <w:szCs w:val="24"/>
          <w:lang w:val="es-ES"/>
        </w:rPr>
        <w:t>. En particular, a diciembre del año 2018, el 50 % de los 684 mil jubilados que recibieron una pensión de vejez por edad obtuvieron menos de $151.000. Esta situación se agudiza en el caso de las mujeres, ya que debido a que las mujeres en promedio reciben menores salarios y contribuyen al sistema por períodos más cortos de tiempo que los hombres, sus pensiones son más bajas que la de los hombres</w:t>
      </w:r>
      <w:r w:rsidRPr="00441C49">
        <w:rPr>
          <w:rFonts w:ascii="Times New Roman" w:eastAsia="Calibri" w:hAnsi="Times New Roman" w:cs="Times New Roman"/>
          <w:sz w:val="24"/>
          <w:szCs w:val="24"/>
          <w:vertAlign w:val="superscript"/>
          <w:lang w:val="es-ES"/>
        </w:rPr>
        <w:footnoteReference w:id="80"/>
      </w:r>
      <w:r w:rsidRPr="00441C49">
        <w:rPr>
          <w:rFonts w:ascii="Times New Roman" w:eastAsia="Calibri" w:hAnsi="Times New Roman" w:cs="Times New Roman"/>
          <w:sz w:val="24"/>
          <w:szCs w:val="24"/>
          <w:lang w:val="es-ES"/>
        </w:rPr>
        <w:t>, lo cual refleja que la privatización del sistema de pensiones profundiza la desigualdad de género.</w:t>
      </w:r>
      <w:r w:rsidRPr="00441C49">
        <w:rPr>
          <w:rFonts w:ascii="Times New Roman" w:eastAsia="Calibri" w:hAnsi="Times New Roman" w:cs="Times New Roman"/>
          <w:sz w:val="24"/>
          <w:szCs w:val="24"/>
          <w:vertAlign w:val="superscript"/>
          <w:lang w:val="es-ES"/>
        </w:rPr>
        <w:footnoteReference w:id="81"/>
      </w:r>
      <w:r w:rsidRPr="00441C49">
        <w:rPr>
          <w:rFonts w:ascii="Times New Roman" w:eastAsia="Calibri" w:hAnsi="Times New Roman" w:cs="Times New Roman"/>
          <w:sz w:val="24"/>
          <w:szCs w:val="24"/>
          <w:lang w:val="es-ES"/>
        </w:rPr>
        <w:t xml:space="preserve"> Al respecto, la Organización Internacional del Trabajo (OIT) ha advertido recientemente que los sistemas de pensiones privatizados han fracasado debido a su efecto adverso en el monto de las pensiones, en el crecimiento económico y en el goce de los derechos de las personas, de modo que han propuesto revertir la privatización del sistema de pensiones por un sistema público de pensiones, respecto del cual “ya se pueden observar mejoras claras y mensurables en cuanto a sus efectos positivos en la reducción de las presiones fiscales y de los costos administrativos, los mayores niveles de cobertura y de las prestaciones, así como en cuanto a la reducción de las desigualdades de género y de los ingresos.”</w:t>
      </w:r>
      <w:r w:rsidRPr="00441C49">
        <w:rPr>
          <w:rFonts w:ascii="Times New Roman" w:eastAsia="Calibri" w:hAnsi="Times New Roman" w:cs="Times New Roman"/>
          <w:sz w:val="24"/>
          <w:szCs w:val="24"/>
          <w:vertAlign w:val="superscript"/>
          <w:lang w:val="es-ES"/>
        </w:rPr>
        <w:footnoteReference w:id="82"/>
      </w:r>
    </w:p>
    <w:p w14:paraId="1774B53E" w14:textId="0808C660" w:rsidR="00D43446" w:rsidRDefault="00D43446" w:rsidP="007D3690">
      <w:pPr>
        <w:spacing w:after="0" w:line="276" w:lineRule="auto"/>
        <w:ind w:firstLine="708"/>
        <w:jc w:val="both"/>
        <w:rPr>
          <w:rFonts w:ascii="Times New Roman" w:eastAsia="Calibri" w:hAnsi="Times New Roman" w:cs="Times New Roman"/>
          <w:sz w:val="24"/>
          <w:szCs w:val="24"/>
          <w:lang w:val="es-ES"/>
        </w:rPr>
      </w:pPr>
      <w:r w:rsidRPr="00441C49">
        <w:rPr>
          <w:rFonts w:ascii="Times New Roman" w:eastAsia="Calibri" w:hAnsi="Times New Roman" w:cs="Times New Roman"/>
          <w:sz w:val="24"/>
          <w:szCs w:val="24"/>
        </w:rPr>
        <w:t xml:space="preserve">Un enfoque de derechos humanos en esta materia nos obliga a </w:t>
      </w:r>
      <w:r w:rsidRPr="00441C49">
        <w:rPr>
          <w:rFonts w:ascii="Times New Roman" w:eastAsia="Calibri" w:hAnsi="Times New Roman" w:cs="Times New Roman"/>
          <w:sz w:val="24"/>
          <w:szCs w:val="24"/>
          <w:lang w:val="es-ES"/>
        </w:rPr>
        <w:t>diseñar un nuevo sistema de público de pensiones que cuente con bases sólidas de legitimidad ciudadana, fortaleciendo el</w:t>
      </w:r>
      <w:r w:rsidRPr="00441C49">
        <w:rPr>
          <w:rFonts w:ascii="Times New Roman" w:eastAsia="Calibri" w:hAnsi="Times New Roman" w:cs="Times New Roman"/>
          <w:b/>
          <w:bCs/>
          <w:sz w:val="24"/>
          <w:szCs w:val="24"/>
          <w:lang w:val="es-ES"/>
        </w:rPr>
        <w:t xml:space="preserve"> </w:t>
      </w:r>
      <w:r w:rsidRPr="00441C49">
        <w:rPr>
          <w:rFonts w:ascii="Times New Roman" w:eastAsia="Calibri" w:hAnsi="Times New Roman" w:cs="Times New Roman"/>
          <w:bCs/>
          <w:sz w:val="24"/>
          <w:szCs w:val="24"/>
          <w:lang w:val="es-ES"/>
        </w:rPr>
        <w:t>rol del Estado como garante de la seguridad social</w:t>
      </w:r>
      <w:r w:rsidRPr="00441C49">
        <w:rPr>
          <w:rFonts w:ascii="Times New Roman" w:eastAsia="Calibri" w:hAnsi="Times New Roman" w:cs="Times New Roman"/>
          <w:sz w:val="24"/>
          <w:szCs w:val="24"/>
          <w:lang w:val="es-ES"/>
        </w:rPr>
        <w:t xml:space="preserve"> e incorporando nuevos elementos solidarios y redistributivos que refuercen los componentes de aseguramiento </w:t>
      </w:r>
      <w:r w:rsidRPr="00441C49">
        <w:rPr>
          <w:rFonts w:ascii="Times New Roman" w:eastAsia="Calibri" w:hAnsi="Times New Roman" w:cs="Times New Roman"/>
          <w:sz w:val="24"/>
          <w:szCs w:val="24"/>
          <w:lang w:val="es-ES"/>
        </w:rPr>
        <w:lastRenderedPageBreak/>
        <w:t>colectivo del sistema, y permita aumentar el monto de las pensiones actuales y futuras de todos los chilenos.</w:t>
      </w:r>
      <w:r w:rsidRPr="00441C49">
        <w:rPr>
          <w:rFonts w:ascii="Times New Roman" w:eastAsia="Calibri" w:hAnsi="Times New Roman" w:cs="Times New Roman"/>
          <w:sz w:val="24"/>
          <w:szCs w:val="24"/>
          <w:vertAlign w:val="superscript"/>
          <w:lang w:val="es-ES"/>
        </w:rPr>
        <w:footnoteReference w:id="83"/>
      </w:r>
      <w:r w:rsidRPr="00441C49">
        <w:rPr>
          <w:rFonts w:ascii="Times New Roman" w:eastAsia="Calibri" w:hAnsi="Times New Roman" w:cs="Times New Roman"/>
          <w:sz w:val="24"/>
          <w:szCs w:val="24"/>
          <w:lang w:val="es-ES"/>
        </w:rPr>
        <w:t xml:space="preserve"> </w:t>
      </w:r>
    </w:p>
    <w:p w14:paraId="338E3798" w14:textId="390EE41C" w:rsidR="007D3690" w:rsidRPr="00441C49" w:rsidRDefault="007D3690" w:rsidP="00D969AC">
      <w:pPr>
        <w:spacing w:after="0" w:line="276" w:lineRule="auto"/>
        <w:jc w:val="both"/>
        <w:rPr>
          <w:rFonts w:ascii="Times New Roman" w:eastAsia="Calibri" w:hAnsi="Times New Roman" w:cs="Times New Roman"/>
          <w:sz w:val="24"/>
          <w:szCs w:val="24"/>
          <w:lang w:val="es-ES"/>
        </w:rPr>
      </w:pPr>
    </w:p>
    <w:p w14:paraId="7359C9F0" w14:textId="77777777" w:rsidR="00D43446" w:rsidRPr="00441C49" w:rsidRDefault="00D43446" w:rsidP="00D43446">
      <w:pPr>
        <w:spacing w:after="200" w:line="276" w:lineRule="auto"/>
        <w:jc w:val="both"/>
        <w:rPr>
          <w:rFonts w:ascii="Times New Roman" w:eastAsia="Calibri" w:hAnsi="Times New Roman" w:cs="Times New Roman"/>
          <w:b/>
          <w:sz w:val="24"/>
          <w:szCs w:val="24"/>
          <w:u w:val="single"/>
          <w:lang w:val="es-ES"/>
        </w:rPr>
      </w:pPr>
      <w:r w:rsidRPr="00441C49">
        <w:rPr>
          <w:rFonts w:ascii="Times New Roman" w:eastAsia="Calibri" w:hAnsi="Times New Roman" w:cs="Times New Roman"/>
          <w:b/>
          <w:sz w:val="24"/>
          <w:szCs w:val="24"/>
          <w:u w:val="single"/>
          <w:lang w:val="es-ES"/>
        </w:rPr>
        <w:t xml:space="preserve">Preguntas sugeridas al Estado: </w:t>
      </w:r>
    </w:p>
    <w:p w14:paraId="56A4E1CA" w14:textId="3B2E95C4" w:rsidR="00D43446" w:rsidRDefault="00D43446" w:rsidP="00E40541">
      <w:pPr>
        <w:numPr>
          <w:ilvl w:val="0"/>
          <w:numId w:val="6"/>
        </w:numPr>
        <w:spacing w:after="200" w:line="276" w:lineRule="auto"/>
        <w:contextualSpacing/>
        <w:jc w:val="both"/>
        <w:rPr>
          <w:rFonts w:ascii="Times New Roman" w:eastAsia="Calibri" w:hAnsi="Times New Roman" w:cs="Times New Roman"/>
          <w:sz w:val="24"/>
          <w:szCs w:val="24"/>
          <w:lang w:val="es-ES"/>
        </w:rPr>
      </w:pPr>
      <w:r w:rsidRPr="00441C49">
        <w:rPr>
          <w:rFonts w:ascii="Times New Roman" w:eastAsia="Calibri" w:hAnsi="Times New Roman" w:cs="Times New Roman"/>
          <w:sz w:val="24"/>
          <w:szCs w:val="24"/>
          <w:lang w:val="es-ES"/>
        </w:rPr>
        <w:t xml:space="preserve">¿Qué pasos planea dar el Estado para garantizar un sistema de protección social universal, revertir el sistema privado de pensiones y asegurar pensiones dignas para todos los chilenos sin discriminación? </w:t>
      </w:r>
    </w:p>
    <w:p w14:paraId="05345BEB" w14:textId="44B7066F" w:rsidR="00D43446" w:rsidRDefault="00D43446" w:rsidP="00D43446">
      <w:pPr>
        <w:spacing w:after="200" w:line="276" w:lineRule="auto"/>
        <w:contextualSpacing/>
        <w:jc w:val="both"/>
        <w:rPr>
          <w:rFonts w:ascii="Times New Roman" w:eastAsia="Calibri" w:hAnsi="Times New Roman" w:cs="Times New Roman"/>
          <w:sz w:val="24"/>
          <w:szCs w:val="24"/>
          <w:lang w:val="es-ES"/>
        </w:rPr>
      </w:pPr>
    </w:p>
    <w:p w14:paraId="64106AE2" w14:textId="531CCF55" w:rsidR="00D43446" w:rsidRPr="00D969AC" w:rsidRDefault="00D43446" w:rsidP="00D43446">
      <w:pPr>
        <w:jc w:val="both"/>
        <w:rPr>
          <w:rFonts w:ascii="Times New Roman" w:hAnsi="Times New Roman" w:cs="Times New Roman"/>
          <w:b/>
          <w:sz w:val="28"/>
          <w:szCs w:val="28"/>
          <w:lang w:val="es-ES"/>
        </w:rPr>
      </w:pPr>
      <w:r w:rsidRPr="00D969AC">
        <w:rPr>
          <w:rFonts w:ascii="Times New Roman" w:hAnsi="Times New Roman" w:cs="Times New Roman"/>
          <w:b/>
          <w:sz w:val="28"/>
          <w:szCs w:val="28"/>
          <w:lang w:val="es-ES"/>
        </w:rPr>
        <w:t xml:space="preserve">2. </w:t>
      </w:r>
      <w:r w:rsidR="00B27021" w:rsidRPr="00D969AC">
        <w:rPr>
          <w:rFonts w:ascii="Times New Roman" w:hAnsi="Times New Roman" w:cs="Times New Roman"/>
          <w:b/>
          <w:sz w:val="28"/>
          <w:szCs w:val="28"/>
          <w:lang w:val="es-ES"/>
        </w:rPr>
        <w:t xml:space="preserve">Derecho a la Vivienda </w:t>
      </w:r>
      <w:r w:rsidRPr="00D969AC">
        <w:rPr>
          <w:rFonts w:ascii="Times New Roman" w:hAnsi="Times New Roman" w:cs="Times New Roman"/>
          <w:b/>
          <w:sz w:val="28"/>
          <w:szCs w:val="28"/>
          <w:lang w:val="es-ES"/>
        </w:rPr>
        <w:t>(Artículo 11 PIDESC)</w:t>
      </w:r>
    </w:p>
    <w:p w14:paraId="03CF2F64" w14:textId="15A71E18" w:rsidR="005B7F66" w:rsidRPr="005B7F66" w:rsidRDefault="00D43446" w:rsidP="00D43446">
      <w:pPr>
        <w:spacing w:after="0" w:line="240" w:lineRule="auto"/>
        <w:jc w:val="both"/>
        <w:rPr>
          <w:rFonts w:ascii="Times New Roman" w:eastAsia="Times New Roman" w:hAnsi="Times New Roman" w:cs="Times New Roman"/>
          <w:b/>
          <w:bCs/>
          <w:color w:val="000000"/>
          <w:sz w:val="24"/>
          <w:szCs w:val="24"/>
          <w:lang w:eastAsia="es-MX"/>
        </w:rPr>
      </w:pPr>
      <w:r>
        <w:rPr>
          <w:rFonts w:ascii="Times New Roman" w:eastAsia="Times New Roman" w:hAnsi="Times New Roman" w:cs="Times New Roman"/>
          <w:b/>
          <w:bCs/>
          <w:color w:val="000000"/>
          <w:sz w:val="24"/>
          <w:szCs w:val="24"/>
          <w:lang w:eastAsia="es-MX"/>
        </w:rPr>
        <w:t>2.</w:t>
      </w:r>
      <w:r w:rsidRPr="00392C74">
        <w:rPr>
          <w:rFonts w:ascii="Times New Roman" w:eastAsia="Times New Roman" w:hAnsi="Times New Roman" w:cs="Times New Roman"/>
          <w:b/>
          <w:bCs/>
          <w:color w:val="000000"/>
          <w:sz w:val="24"/>
          <w:szCs w:val="24"/>
          <w:lang w:eastAsia="es-MX"/>
        </w:rPr>
        <w:t xml:space="preserve">1. </w:t>
      </w:r>
      <w:r w:rsidR="005B7F66">
        <w:rPr>
          <w:rFonts w:ascii="Times New Roman" w:eastAsia="Times New Roman" w:hAnsi="Times New Roman" w:cs="Times New Roman"/>
          <w:b/>
          <w:bCs/>
          <w:color w:val="000000"/>
          <w:sz w:val="24"/>
          <w:szCs w:val="24"/>
          <w:lang w:eastAsia="es-MX"/>
        </w:rPr>
        <w:t>Neoliberalismo y financiarización de la vivienda en Chile</w:t>
      </w:r>
    </w:p>
    <w:p w14:paraId="3169EDDA" w14:textId="2DBB554E"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La conversión de la economía política urbana y de la vivienda como un eje estructurante del proceso de transformación y expansión del capitalismo ha sido reconocido como un fenómeno global en los tiempos contemporáneos</w:t>
      </w:r>
      <w:r>
        <w:rPr>
          <w:rStyle w:val="Refdenotaalpie"/>
          <w:rFonts w:ascii="Times New Roman" w:eastAsia="Times New Roman" w:hAnsi="Times New Roman"/>
          <w:color w:val="000000"/>
          <w:sz w:val="24"/>
          <w:szCs w:val="24"/>
          <w:lang w:eastAsia="es-MX"/>
        </w:rPr>
        <w:footnoteReference w:id="84"/>
      </w:r>
      <w:r>
        <w:rPr>
          <w:rFonts w:ascii="Times New Roman" w:eastAsia="Times New Roman" w:hAnsi="Times New Roman" w:cs="Times New Roman"/>
          <w:color w:val="000000"/>
          <w:sz w:val="24"/>
          <w:szCs w:val="24"/>
          <w:lang w:eastAsia="es-MX"/>
        </w:rPr>
        <w:t>.</w:t>
      </w:r>
      <w:r w:rsidRPr="00392C74">
        <w:rPr>
          <w:rFonts w:ascii="Times New Roman" w:eastAsia="Times New Roman" w:hAnsi="Times New Roman" w:cs="Times New Roman"/>
          <w:color w:val="000000"/>
          <w:sz w:val="24"/>
          <w:szCs w:val="24"/>
          <w:lang w:eastAsia="es-MX"/>
        </w:rPr>
        <w:t xml:space="preserve"> </w:t>
      </w:r>
    </w:p>
    <w:p w14:paraId="47D6872E"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Entre los años 1973 y 1978, la política habitacional urbana chilena fue testigo de la materialización, en términos formales, de las doctrinas inspiradas en la Escuela de Economía de Chicago</w:t>
      </w:r>
      <w:r w:rsidRPr="00392C74">
        <w:rPr>
          <w:rStyle w:val="Refdenotaalpie"/>
          <w:rFonts w:ascii="Times New Roman" w:eastAsia="Times New Roman" w:hAnsi="Times New Roman"/>
          <w:color w:val="000000"/>
          <w:sz w:val="24"/>
          <w:szCs w:val="24"/>
          <w:lang w:eastAsia="es-MX"/>
        </w:rPr>
        <w:footnoteReference w:id="85"/>
      </w:r>
      <w:r w:rsidRPr="00392C74">
        <w:rPr>
          <w:rFonts w:ascii="Times New Roman" w:eastAsia="Times New Roman" w:hAnsi="Times New Roman" w:cs="Times New Roman"/>
          <w:color w:val="000000"/>
          <w:sz w:val="24"/>
          <w:szCs w:val="24"/>
          <w:lang w:eastAsia="es-MX"/>
        </w:rPr>
        <w:t>. Ello se cristaliza</w:t>
      </w:r>
      <w:r>
        <w:rPr>
          <w:rFonts w:ascii="Times New Roman" w:eastAsia="Times New Roman" w:hAnsi="Times New Roman" w:cs="Times New Roman"/>
          <w:color w:val="000000"/>
          <w:sz w:val="24"/>
          <w:szCs w:val="24"/>
          <w:lang w:eastAsia="es-MX"/>
        </w:rPr>
        <w:t>, en primer lugar,</w:t>
      </w:r>
      <w:r w:rsidRPr="00392C74">
        <w:rPr>
          <w:rFonts w:ascii="Times New Roman" w:eastAsia="Times New Roman" w:hAnsi="Times New Roman" w:cs="Times New Roman"/>
          <w:color w:val="000000"/>
          <w:sz w:val="24"/>
          <w:szCs w:val="24"/>
          <w:lang w:eastAsia="es-MX"/>
        </w:rPr>
        <w:t xml:space="preserve"> con la creación del subsidio habitacional en 1978, un instrumento tipo </w:t>
      </w:r>
      <w:r w:rsidRPr="00392C74">
        <w:rPr>
          <w:rFonts w:ascii="Times New Roman" w:eastAsia="Times New Roman" w:hAnsi="Times New Roman" w:cs="Times New Roman"/>
          <w:i/>
          <w:iCs/>
          <w:color w:val="000000"/>
          <w:sz w:val="24"/>
          <w:szCs w:val="24"/>
          <w:lang w:eastAsia="es-MX"/>
        </w:rPr>
        <w:t>voucher</w:t>
      </w:r>
      <w:r w:rsidRPr="00392C74">
        <w:rPr>
          <w:rFonts w:ascii="Times New Roman" w:eastAsia="Times New Roman" w:hAnsi="Times New Roman" w:cs="Times New Roman"/>
          <w:color w:val="000000"/>
          <w:sz w:val="24"/>
          <w:szCs w:val="24"/>
          <w:lang w:eastAsia="es-MX"/>
        </w:rPr>
        <w:t xml:space="preserve"> consistente en un aporte en dinero para la adquisición de una vivienda disponible en el mercado; y en segundo lugar, </w:t>
      </w:r>
      <w:r>
        <w:rPr>
          <w:rFonts w:ascii="Times New Roman" w:eastAsia="Times New Roman" w:hAnsi="Times New Roman" w:cs="Times New Roman"/>
          <w:color w:val="000000"/>
          <w:sz w:val="24"/>
          <w:szCs w:val="24"/>
          <w:lang w:eastAsia="es-MX"/>
        </w:rPr>
        <w:t xml:space="preserve">con </w:t>
      </w:r>
      <w:r w:rsidRPr="00392C74">
        <w:rPr>
          <w:rFonts w:ascii="Times New Roman" w:eastAsia="Times New Roman" w:hAnsi="Times New Roman" w:cs="Times New Roman"/>
          <w:color w:val="000000"/>
          <w:sz w:val="24"/>
          <w:szCs w:val="24"/>
          <w:lang w:eastAsia="es-MX"/>
        </w:rPr>
        <w:t xml:space="preserve">la </w:t>
      </w:r>
      <w:r>
        <w:rPr>
          <w:rFonts w:ascii="Times New Roman" w:eastAsia="Times New Roman" w:hAnsi="Times New Roman" w:cs="Times New Roman"/>
          <w:color w:val="000000"/>
          <w:sz w:val="24"/>
          <w:szCs w:val="24"/>
          <w:lang w:eastAsia="es-MX"/>
        </w:rPr>
        <w:t>instauración</w:t>
      </w:r>
      <w:r w:rsidRPr="00392C74">
        <w:rPr>
          <w:rFonts w:ascii="Times New Roman" w:eastAsia="Times New Roman" w:hAnsi="Times New Roman" w:cs="Times New Roman"/>
          <w:color w:val="000000"/>
          <w:sz w:val="24"/>
          <w:szCs w:val="24"/>
          <w:lang w:eastAsia="es-MX"/>
        </w:rPr>
        <w:t xml:space="preserve"> de la Política Nacional de Desarrollo urbano (1979) que, a través del decreto N° 420 del mismo año, declaró al suelo como un bien libre sujeto a las transacciones mercantiles</w:t>
      </w:r>
      <w:r w:rsidRPr="00392C74">
        <w:rPr>
          <w:rStyle w:val="Refdenotaalpie"/>
          <w:rFonts w:ascii="Times New Roman" w:eastAsia="Times New Roman" w:hAnsi="Times New Roman"/>
          <w:color w:val="000000"/>
          <w:sz w:val="24"/>
          <w:szCs w:val="24"/>
          <w:lang w:eastAsia="es-MX"/>
        </w:rPr>
        <w:footnoteReference w:id="86"/>
      </w:r>
      <w:r w:rsidRPr="00392C74">
        <w:rPr>
          <w:rFonts w:ascii="Times New Roman" w:eastAsia="Times New Roman" w:hAnsi="Times New Roman" w:cs="Times New Roman"/>
          <w:color w:val="000000"/>
          <w:sz w:val="24"/>
          <w:szCs w:val="24"/>
          <w:lang w:eastAsia="es-MX"/>
        </w:rPr>
        <w:t>.</w:t>
      </w:r>
    </w:p>
    <w:p w14:paraId="0C0CD864" w14:textId="45271161" w:rsidR="00D43446" w:rsidRPr="00CF24E8" w:rsidRDefault="0047270D" w:rsidP="00D43446">
      <w:pPr>
        <w:spacing w:after="0" w:line="276" w:lineRule="auto"/>
        <w:ind w:firstLine="708"/>
        <w:jc w:val="both"/>
        <w:rPr>
          <w:rFonts w:ascii="Times New Roman" w:eastAsia="Times New Roman" w:hAnsi="Times New Roman" w:cs="Times New Roman"/>
          <w:color w:val="000000"/>
          <w:sz w:val="24"/>
          <w:szCs w:val="24"/>
          <w:lang w:eastAsia="es-MX"/>
        </w:rPr>
      </w:pPr>
      <w:r>
        <w:rPr>
          <w:rFonts w:ascii="Times New Roman" w:eastAsia="Times New Roman" w:hAnsi="Times New Roman" w:cs="Times New Roman"/>
          <w:color w:val="000000"/>
          <w:sz w:val="24"/>
          <w:szCs w:val="24"/>
          <w:lang w:eastAsia="es-MX"/>
        </w:rPr>
        <w:t>Las implementación de</w:t>
      </w:r>
      <w:r w:rsidRPr="00392C74">
        <w:rPr>
          <w:rFonts w:ascii="Times New Roman" w:eastAsia="Times New Roman" w:hAnsi="Times New Roman" w:cs="Times New Roman"/>
          <w:color w:val="000000"/>
          <w:sz w:val="24"/>
          <w:szCs w:val="24"/>
          <w:lang w:eastAsia="es-MX"/>
        </w:rPr>
        <w:t xml:space="preserve"> políticas de vivienda basadas en el modelo neoliberal lograron</w:t>
      </w:r>
      <w:r w:rsidR="00D43446" w:rsidRPr="00392C74">
        <w:rPr>
          <w:rFonts w:ascii="Times New Roman" w:eastAsia="Times New Roman" w:hAnsi="Times New Roman" w:cs="Times New Roman"/>
          <w:color w:val="000000"/>
          <w:sz w:val="24"/>
          <w:szCs w:val="24"/>
          <w:lang w:eastAsia="es-MX"/>
        </w:rPr>
        <w:t xml:space="preserve"> reducir el déficit cuantitativo a través de la construcción de viviendas de bajo costo e incentivaron la circulación de capital. Además, permitieron que muchas personas salieran de la marginalidad habitacional, y que se mejoraran las condiciones de salubridad de la población de bajos ingresos</w:t>
      </w:r>
      <w:r w:rsidR="00D43446">
        <w:rPr>
          <w:rStyle w:val="Refdenotaalpie"/>
          <w:rFonts w:ascii="Times New Roman" w:eastAsia="Times New Roman" w:hAnsi="Times New Roman"/>
          <w:color w:val="000000"/>
          <w:sz w:val="24"/>
          <w:szCs w:val="24"/>
          <w:lang w:eastAsia="es-MX"/>
        </w:rPr>
        <w:footnoteReference w:id="87"/>
      </w:r>
      <w:r w:rsidR="00D43446">
        <w:rPr>
          <w:rFonts w:ascii="Times New Roman" w:eastAsia="Times New Roman" w:hAnsi="Times New Roman" w:cs="Times New Roman"/>
          <w:color w:val="000000"/>
          <w:sz w:val="24"/>
          <w:szCs w:val="24"/>
          <w:lang w:eastAsia="es-MX"/>
        </w:rPr>
        <w:t>.</w:t>
      </w:r>
      <w:r w:rsidR="00D43446" w:rsidRPr="00392C74">
        <w:rPr>
          <w:rFonts w:ascii="Times New Roman" w:eastAsia="Times New Roman" w:hAnsi="Times New Roman" w:cs="Times New Roman"/>
          <w:color w:val="000000"/>
          <w:sz w:val="24"/>
          <w:szCs w:val="24"/>
          <w:lang w:eastAsia="es-MX"/>
        </w:rPr>
        <w:t xml:space="preserve"> No obstante, este aparente “éxito” contrasta con las externalidades negativas que el modelo subsidiario trajo consigo. La política habitacional ha expulsado la vivienda social a la periferia de la ciudad y, paradójicamente, la obtención de la </w:t>
      </w:r>
      <w:r w:rsidR="00D43446" w:rsidRPr="00392C74">
        <w:rPr>
          <w:rFonts w:ascii="Times New Roman" w:eastAsia="Times New Roman" w:hAnsi="Times New Roman" w:cs="Times New Roman"/>
          <w:color w:val="000000"/>
          <w:sz w:val="24"/>
          <w:szCs w:val="24"/>
          <w:lang w:eastAsia="es-MX"/>
        </w:rPr>
        <w:lastRenderedPageBreak/>
        <w:t>casa propia ha implicado nuevos y profundos problemas:</w:t>
      </w:r>
      <w:r w:rsidR="00D43446">
        <w:rPr>
          <w:rFonts w:ascii="Times New Roman" w:eastAsia="Times New Roman" w:hAnsi="Times New Roman" w:cs="Times New Roman"/>
          <w:color w:val="000000"/>
          <w:sz w:val="24"/>
          <w:szCs w:val="24"/>
          <w:lang w:eastAsia="es-MX"/>
        </w:rPr>
        <w:t xml:space="preserve"> </w:t>
      </w:r>
      <w:r w:rsidR="00D43446" w:rsidRPr="00392C74">
        <w:rPr>
          <w:rFonts w:ascii="Times New Roman" w:eastAsia="Times New Roman" w:hAnsi="Times New Roman" w:cs="Times New Roman"/>
          <w:color w:val="000000"/>
          <w:sz w:val="24"/>
          <w:szCs w:val="24"/>
          <w:lang w:eastAsia="es-MX"/>
        </w:rPr>
        <w:t>concentración de pobreza, inseguridad, hacinamiento, mala conectividad y falta de acceso a bienes públicos urbanos</w:t>
      </w:r>
      <w:r w:rsidR="00D43446">
        <w:rPr>
          <w:rStyle w:val="Refdenotaalpie"/>
          <w:rFonts w:ascii="Times New Roman" w:eastAsia="Times New Roman" w:hAnsi="Times New Roman"/>
          <w:color w:val="000000"/>
          <w:sz w:val="24"/>
          <w:szCs w:val="24"/>
          <w:lang w:eastAsia="es-MX"/>
        </w:rPr>
        <w:footnoteReference w:id="88"/>
      </w:r>
      <w:r w:rsidR="00D43446">
        <w:rPr>
          <w:rFonts w:ascii="Times New Roman" w:eastAsia="Times New Roman" w:hAnsi="Times New Roman" w:cs="Times New Roman"/>
          <w:color w:val="000000"/>
          <w:sz w:val="24"/>
          <w:szCs w:val="24"/>
          <w:lang w:eastAsia="es-MX"/>
        </w:rPr>
        <w:t>.</w:t>
      </w:r>
    </w:p>
    <w:p w14:paraId="63D61E49"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 xml:space="preserve">Asimismo, </w:t>
      </w:r>
      <w:r>
        <w:rPr>
          <w:rFonts w:ascii="Times New Roman" w:eastAsia="Times New Roman" w:hAnsi="Times New Roman" w:cs="Times New Roman"/>
          <w:color w:val="000000"/>
          <w:sz w:val="24"/>
          <w:szCs w:val="24"/>
          <w:lang w:eastAsia="es-MX"/>
        </w:rPr>
        <w:t>el modelo imperante ha</w:t>
      </w:r>
      <w:r w:rsidRPr="00392C74">
        <w:rPr>
          <w:rFonts w:ascii="Times New Roman" w:eastAsia="Times New Roman" w:hAnsi="Times New Roman" w:cs="Times New Roman"/>
          <w:color w:val="000000"/>
          <w:sz w:val="24"/>
          <w:szCs w:val="24"/>
          <w:lang w:eastAsia="es-MX"/>
        </w:rPr>
        <w:t xml:space="preserve"> impuls</w:t>
      </w:r>
      <w:r>
        <w:rPr>
          <w:rFonts w:ascii="Times New Roman" w:eastAsia="Times New Roman" w:hAnsi="Times New Roman" w:cs="Times New Roman"/>
          <w:color w:val="000000"/>
          <w:sz w:val="24"/>
          <w:szCs w:val="24"/>
          <w:lang w:eastAsia="es-MX"/>
        </w:rPr>
        <w:t>ado</w:t>
      </w:r>
      <w:r w:rsidRPr="00392C74">
        <w:rPr>
          <w:rFonts w:ascii="Times New Roman" w:eastAsia="Times New Roman" w:hAnsi="Times New Roman" w:cs="Times New Roman"/>
          <w:color w:val="000000"/>
          <w:sz w:val="24"/>
          <w:szCs w:val="24"/>
          <w:lang w:eastAsia="es-MX"/>
        </w:rPr>
        <w:t xml:space="preserve"> la conversión de la vivienda en un activo financiero integrado a un mercado globalizado, potenciando su valor de cambio y abandonando el enfoque de la vivienda como un derecho humano. Dicho fenómeno, que en la literatura internacional sobre</w:t>
      </w:r>
      <w:r>
        <w:rPr>
          <w:rFonts w:ascii="Times New Roman" w:eastAsia="Times New Roman" w:hAnsi="Times New Roman" w:cs="Times New Roman"/>
          <w:color w:val="000000"/>
          <w:sz w:val="24"/>
          <w:szCs w:val="24"/>
          <w:lang w:eastAsia="es-MX"/>
        </w:rPr>
        <w:t xml:space="preserve"> </w:t>
      </w:r>
      <w:r w:rsidRPr="00392C74">
        <w:rPr>
          <w:rFonts w:ascii="Times New Roman" w:eastAsia="Times New Roman" w:hAnsi="Times New Roman" w:cs="Times New Roman"/>
          <w:color w:val="000000"/>
          <w:sz w:val="24"/>
          <w:szCs w:val="24"/>
          <w:lang w:eastAsia="es-MX"/>
        </w:rPr>
        <w:t xml:space="preserve">economía política de la habitación ha sido conceptualizado como el proceso de </w:t>
      </w:r>
      <w:r w:rsidRPr="00392C74">
        <w:rPr>
          <w:rFonts w:ascii="Times New Roman" w:eastAsia="Times New Roman" w:hAnsi="Times New Roman" w:cs="Times New Roman"/>
          <w:i/>
          <w:iCs/>
          <w:color w:val="000000"/>
          <w:sz w:val="24"/>
          <w:szCs w:val="24"/>
          <w:lang w:eastAsia="es-MX"/>
        </w:rPr>
        <w:t>financiarización de la vivienda</w:t>
      </w:r>
      <w:r w:rsidRPr="00392C74">
        <w:rPr>
          <w:rStyle w:val="Refdenotaalpie"/>
          <w:rFonts w:ascii="Times New Roman" w:eastAsia="Times New Roman" w:hAnsi="Times New Roman"/>
          <w:i/>
          <w:iCs/>
          <w:color w:val="000000"/>
          <w:sz w:val="24"/>
          <w:szCs w:val="24"/>
          <w:lang w:eastAsia="es-MX"/>
        </w:rPr>
        <w:footnoteReference w:id="89"/>
      </w:r>
      <w:r w:rsidRPr="00392C74">
        <w:rPr>
          <w:rFonts w:ascii="Times New Roman" w:eastAsia="Times New Roman" w:hAnsi="Times New Roman" w:cs="Times New Roman"/>
          <w:i/>
          <w:iCs/>
          <w:color w:val="000000"/>
          <w:sz w:val="24"/>
          <w:szCs w:val="24"/>
          <w:lang w:eastAsia="es-MX"/>
        </w:rPr>
        <w:t>,</w:t>
      </w:r>
      <w:r w:rsidRPr="00392C74">
        <w:rPr>
          <w:rFonts w:ascii="Times New Roman" w:eastAsia="Times New Roman" w:hAnsi="Times New Roman" w:cs="Times New Roman"/>
          <w:color w:val="000000"/>
          <w:sz w:val="24"/>
          <w:szCs w:val="24"/>
          <w:lang w:eastAsia="es-MX"/>
        </w:rPr>
        <w:t xml:space="preserve"> ha tenido una importancia progresiva en la producción social del espacio urbano. Los efectos quedan en evidencia al observar la magnitud de los flujos financieros destinados a inversiones inmobiliarias</w:t>
      </w:r>
      <w:r w:rsidRPr="00392C74">
        <w:rPr>
          <w:rStyle w:val="Refdenotaalpie"/>
          <w:rFonts w:ascii="Times New Roman" w:eastAsia="Times New Roman" w:hAnsi="Times New Roman"/>
          <w:color w:val="000000"/>
          <w:sz w:val="24"/>
          <w:szCs w:val="24"/>
          <w:lang w:eastAsia="es-MX"/>
        </w:rPr>
        <w:footnoteReference w:id="90"/>
      </w:r>
      <w:r w:rsidRPr="00392C74">
        <w:rPr>
          <w:rFonts w:ascii="Times New Roman" w:eastAsia="Times New Roman" w:hAnsi="Times New Roman" w:cs="Times New Roman"/>
          <w:color w:val="000000"/>
          <w:sz w:val="24"/>
          <w:szCs w:val="24"/>
          <w:lang w:eastAsia="es-MX"/>
        </w:rPr>
        <w:t>, el destino inter-urbano de las inversiones inmobiliarias, la implosión/explosión de las áreas urbanas en crecimiento, la desigual distribución intra-urbana de las inversiones inmobiliarias, el aumento de la demanda habitacional y del crédito hipotecario</w:t>
      </w:r>
      <w:r w:rsidRPr="00392C74">
        <w:rPr>
          <w:rStyle w:val="Refdenotaalpie"/>
          <w:rFonts w:ascii="Times New Roman" w:eastAsia="Times New Roman" w:hAnsi="Times New Roman"/>
          <w:color w:val="000000"/>
          <w:sz w:val="24"/>
          <w:szCs w:val="24"/>
          <w:lang w:eastAsia="es-MX"/>
        </w:rPr>
        <w:footnoteReference w:id="91"/>
      </w:r>
      <w:r w:rsidRPr="00392C74">
        <w:rPr>
          <w:rFonts w:ascii="Times New Roman" w:eastAsia="Times New Roman" w:hAnsi="Times New Roman" w:cs="Times New Roman"/>
          <w:color w:val="000000"/>
          <w:sz w:val="24"/>
          <w:szCs w:val="24"/>
          <w:lang w:eastAsia="es-MX"/>
        </w:rPr>
        <w:t>, el aumento de las operaciones de “destrucción-creativa” y de “gentrificación”, y finalmente la proliferación de nuevos productos inmobiliarios</w:t>
      </w:r>
      <w:r>
        <w:rPr>
          <w:rStyle w:val="Refdenotaalpie"/>
          <w:rFonts w:ascii="Times New Roman" w:eastAsia="Times New Roman" w:hAnsi="Times New Roman"/>
          <w:color w:val="000000"/>
          <w:sz w:val="24"/>
          <w:szCs w:val="24"/>
          <w:lang w:eastAsia="es-MX"/>
        </w:rPr>
        <w:footnoteReference w:id="92"/>
      </w:r>
      <w:r>
        <w:rPr>
          <w:rFonts w:ascii="Times New Roman" w:eastAsia="Times New Roman" w:hAnsi="Times New Roman" w:cs="Times New Roman"/>
          <w:color w:val="000000"/>
          <w:sz w:val="24"/>
          <w:szCs w:val="24"/>
          <w:lang w:eastAsia="es-MX"/>
        </w:rPr>
        <w:t>.</w:t>
      </w:r>
      <w:r w:rsidRPr="00392C74">
        <w:rPr>
          <w:rFonts w:ascii="Times New Roman" w:eastAsia="Times New Roman" w:hAnsi="Times New Roman" w:cs="Times New Roman"/>
          <w:color w:val="000000"/>
          <w:sz w:val="24"/>
          <w:szCs w:val="24"/>
          <w:lang w:eastAsia="es-MX"/>
        </w:rPr>
        <w:t xml:space="preserve"> </w:t>
      </w:r>
      <w:r>
        <w:rPr>
          <w:rFonts w:ascii="Times New Roman" w:eastAsia="Times New Roman" w:hAnsi="Times New Roman" w:cs="Times New Roman"/>
          <w:color w:val="000000"/>
          <w:sz w:val="24"/>
          <w:szCs w:val="24"/>
          <w:lang w:eastAsia="es-MX"/>
        </w:rPr>
        <w:t>En síntesis</w:t>
      </w:r>
      <w:r w:rsidRPr="00392C74">
        <w:rPr>
          <w:rFonts w:ascii="Times New Roman" w:eastAsia="Times New Roman" w:hAnsi="Times New Roman" w:cs="Times New Roman"/>
          <w:color w:val="000000"/>
          <w:sz w:val="24"/>
          <w:szCs w:val="24"/>
          <w:lang w:eastAsia="es-MX"/>
        </w:rPr>
        <w:t>, el nuevo modelo ha transformado en consumidores a los titulares de derecho</w:t>
      </w:r>
      <w:r>
        <w:rPr>
          <w:rFonts w:ascii="Times New Roman" w:eastAsia="Times New Roman" w:hAnsi="Times New Roman" w:cs="Times New Roman"/>
          <w:color w:val="000000"/>
          <w:sz w:val="24"/>
          <w:szCs w:val="24"/>
          <w:lang w:eastAsia="es-MX"/>
        </w:rPr>
        <w:t>s</w:t>
      </w:r>
      <w:r>
        <w:rPr>
          <w:rStyle w:val="Refdenotaalpie"/>
          <w:rFonts w:ascii="Times New Roman" w:eastAsia="Times New Roman" w:hAnsi="Times New Roman"/>
          <w:color w:val="000000"/>
          <w:sz w:val="24"/>
          <w:szCs w:val="24"/>
          <w:lang w:eastAsia="es-MX"/>
        </w:rPr>
        <w:footnoteReference w:id="93"/>
      </w:r>
      <w:r w:rsidRPr="00392C74">
        <w:rPr>
          <w:rFonts w:ascii="Times New Roman" w:eastAsia="Times New Roman" w:hAnsi="Times New Roman" w:cs="Times New Roman"/>
          <w:color w:val="000000"/>
          <w:sz w:val="24"/>
          <w:szCs w:val="24"/>
          <w:lang w:eastAsia="es-MX"/>
        </w:rPr>
        <w:t>. </w:t>
      </w:r>
    </w:p>
    <w:p w14:paraId="2854CBEF" w14:textId="77777777" w:rsidR="00D43446" w:rsidRPr="00392C74" w:rsidRDefault="00D43446" w:rsidP="00D43446">
      <w:pPr>
        <w:spacing w:after="0" w:line="276" w:lineRule="auto"/>
        <w:ind w:firstLine="708"/>
        <w:jc w:val="both"/>
        <w:rPr>
          <w:rFonts w:ascii="Times New Roman" w:eastAsia="Times New Roman" w:hAnsi="Times New Roman" w:cs="Times New Roman"/>
          <w:color w:val="000000"/>
          <w:sz w:val="24"/>
          <w:szCs w:val="24"/>
          <w:lang w:eastAsia="es-MX"/>
        </w:rPr>
      </w:pPr>
    </w:p>
    <w:p w14:paraId="58205B80" w14:textId="6898772A" w:rsidR="00D43446" w:rsidRDefault="00D43446" w:rsidP="00D43446">
      <w:pPr>
        <w:spacing w:after="0" w:line="240" w:lineRule="auto"/>
        <w:jc w:val="both"/>
        <w:rPr>
          <w:rFonts w:ascii="Times New Roman" w:eastAsia="Times New Roman" w:hAnsi="Times New Roman" w:cs="Times New Roman"/>
          <w:b/>
          <w:bCs/>
          <w:color w:val="000000"/>
          <w:sz w:val="24"/>
          <w:szCs w:val="24"/>
          <w:lang w:eastAsia="es-MX"/>
        </w:rPr>
      </w:pPr>
      <w:r>
        <w:rPr>
          <w:rFonts w:ascii="Times New Roman" w:eastAsia="Times New Roman" w:hAnsi="Times New Roman" w:cs="Times New Roman"/>
          <w:b/>
          <w:bCs/>
          <w:color w:val="000000"/>
          <w:sz w:val="24"/>
          <w:szCs w:val="24"/>
          <w:lang w:eastAsia="es-MX"/>
        </w:rPr>
        <w:t>2.</w:t>
      </w:r>
      <w:r w:rsidRPr="00392C74">
        <w:rPr>
          <w:rFonts w:ascii="Times New Roman" w:eastAsia="Times New Roman" w:hAnsi="Times New Roman" w:cs="Times New Roman"/>
          <w:b/>
          <w:bCs/>
          <w:color w:val="000000"/>
          <w:sz w:val="24"/>
          <w:szCs w:val="24"/>
          <w:lang w:eastAsia="es-MX"/>
        </w:rPr>
        <w:t xml:space="preserve">2. Análisis </w:t>
      </w:r>
      <w:r w:rsidR="005B7F66">
        <w:rPr>
          <w:rFonts w:ascii="Times New Roman" w:eastAsia="Times New Roman" w:hAnsi="Times New Roman" w:cs="Times New Roman"/>
          <w:b/>
          <w:bCs/>
          <w:color w:val="000000"/>
          <w:sz w:val="24"/>
          <w:szCs w:val="24"/>
          <w:lang w:eastAsia="es-MX"/>
        </w:rPr>
        <w:t xml:space="preserve">normativo y </w:t>
      </w:r>
      <w:r w:rsidRPr="00392C74">
        <w:rPr>
          <w:rFonts w:ascii="Times New Roman" w:eastAsia="Times New Roman" w:hAnsi="Times New Roman" w:cs="Times New Roman"/>
          <w:b/>
          <w:bCs/>
          <w:color w:val="000000"/>
          <w:sz w:val="24"/>
          <w:szCs w:val="24"/>
          <w:lang w:eastAsia="es-MX"/>
        </w:rPr>
        <w:t>estado de avance de recomendaciones </w:t>
      </w:r>
      <w:r>
        <w:rPr>
          <w:rFonts w:ascii="Times New Roman" w:eastAsia="Times New Roman" w:hAnsi="Times New Roman" w:cs="Times New Roman"/>
          <w:b/>
          <w:bCs/>
          <w:color w:val="000000"/>
          <w:sz w:val="24"/>
          <w:szCs w:val="24"/>
          <w:lang w:eastAsia="es-MX"/>
        </w:rPr>
        <w:t xml:space="preserve">del </w:t>
      </w:r>
      <w:r w:rsidR="005B7F66">
        <w:rPr>
          <w:rFonts w:ascii="Times New Roman" w:eastAsia="Times New Roman" w:hAnsi="Times New Roman" w:cs="Times New Roman"/>
          <w:b/>
          <w:bCs/>
          <w:color w:val="000000"/>
          <w:sz w:val="24"/>
          <w:szCs w:val="24"/>
          <w:lang w:eastAsia="es-MX"/>
        </w:rPr>
        <w:t>Comité DESC</w:t>
      </w:r>
    </w:p>
    <w:p w14:paraId="3C207E85" w14:textId="282261EC" w:rsidR="00AB6552" w:rsidRDefault="00AB6552" w:rsidP="00D43446">
      <w:pPr>
        <w:spacing w:after="0" w:line="240" w:lineRule="auto"/>
        <w:jc w:val="both"/>
        <w:rPr>
          <w:rFonts w:ascii="Times New Roman" w:eastAsia="Times New Roman" w:hAnsi="Times New Roman" w:cs="Times New Roman"/>
          <w:b/>
          <w:bCs/>
          <w:color w:val="000000"/>
          <w:sz w:val="24"/>
          <w:szCs w:val="24"/>
          <w:lang w:eastAsia="es-MX"/>
        </w:rPr>
      </w:pPr>
    </w:p>
    <w:p w14:paraId="6C6328DF" w14:textId="73B6D6B7" w:rsidR="00D43446" w:rsidRPr="007D3690" w:rsidRDefault="00AB6552" w:rsidP="007D3690">
      <w:pPr>
        <w:spacing w:after="0" w:line="240" w:lineRule="auto"/>
        <w:jc w:val="both"/>
        <w:rPr>
          <w:rFonts w:ascii="Times New Roman" w:eastAsia="Times New Roman" w:hAnsi="Times New Roman" w:cs="Times New Roman"/>
          <w:i/>
          <w:sz w:val="24"/>
          <w:szCs w:val="24"/>
          <w:u w:val="single"/>
          <w:lang w:eastAsia="es-MX"/>
        </w:rPr>
      </w:pPr>
      <w:r w:rsidRPr="00AB6552">
        <w:rPr>
          <w:rFonts w:ascii="Times New Roman" w:eastAsia="Times New Roman" w:hAnsi="Times New Roman" w:cs="Times New Roman"/>
          <w:bCs/>
          <w:i/>
          <w:color w:val="000000"/>
          <w:sz w:val="24"/>
          <w:szCs w:val="24"/>
          <w:u w:val="single"/>
          <w:lang w:eastAsia="es-MX"/>
        </w:rPr>
        <w:t>A. Segregación urbana, asequibilidad y goce del derecho a la vivienda</w:t>
      </w:r>
    </w:p>
    <w:p w14:paraId="3323D804" w14:textId="2C368570"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 xml:space="preserve">El Comité </w:t>
      </w:r>
      <w:r w:rsidR="005B7F66">
        <w:rPr>
          <w:rFonts w:ascii="Times New Roman" w:eastAsia="Times New Roman" w:hAnsi="Times New Roman" w:cs="Times New Roman"/>
          <w:color w:val="000000"/>
          <w:sz w:val="24"/>
          <w:szCs w:val="24"/>
          <w:lang w:eastAsia="es-MX"/>
        </w:rPr>
        <w:t>DESC</w:t>
      </w:r>
      <w:r w:rsidRPr="00392C74">
        <w:rPr>
          <w:rFonts w:ascii="Times New Roman" w:eastAsia="Times New Roman" w:hAnsi="Times New Roman" w:cs="Times New Roman"/>
          <w:color w:val="000000"/>
          <w:sz w:val="24"/>
          <w:szCs w:val="24"/>
          <w:lang w:eastAsia="es-MX"/>
        </w:rPr>
        <w:t xml:space="preserve"> advierte sobre </w:t>
      </w:r>
      <w:r w:rsidR="005B7F66">
        <w:rPr>
          <w:rFonts w:ascii="Times New Roman" w:eastAsia="Times New Roman" w:hAnsi="Times New Roman" w:cs="Times New Roman"/>
          <w:color w:val="000000"/>
          <w:sz w:val="24"/>
          <w:szCs w:val="24"/>
          <w:lang w:eastAsia="es-MX"/>
        </w:rPr>
        <w:t>las</w:t>
      </w:r>
      <w:r w:rsidRPr="00392C74">
        <w:rPr>
          <w:rFonts w:ascii="Times New Roman" w:eastAsia="Times New Roman" w:hAnsi="Times New Roman" w:cs="Times New Roman"/>
          <w:color w:val="000000"/>
          <w:sz w:val="24"/>
          <w:szCs w:val="24"/>
          <w:lang w:eastAsia="es-MX"/>
        </w:rPr>
        <w:t xml:space="preserve"> problemáticas </w:t>
      </w:r>
      <w:r w:rsidR="005B7F66">
        <w:rPr>
          <w:rFonts w:ascii="Times New Roman" w:eastAsia="Times New Roman" w:hAnsi="Times New Roman" w:cs="Times New Roman"/>
          <w:color w:val="000000"/>
          <w:sz w:val="24"/>
          <w:szCs w:val="24"/>
          <w:lang w:eastAsia="es-MX"/>
        </w:rPr>
        <w:t xml:space="preserve">en el goce del derecho a la vivienda en Chile </w:t>
      </w:r>
      <w:r w:rsidRPr="00392C74">
        <w:rPr>
          <w:rFonts w:ascii="Times New Roman" w:eastAsia="Times New Roman" w:hAnsi="Times New Roman" w:cs="Times New Roman"/>
          <w:color w:val="000000"/>
          <w:sz w:val="24"/>
          <w:szCs w:val="24"/>
          <w:lang w:eastAsia="es-MX"/>
        </w:rPr>
        <w:t>en sus “</w:t>
      </w:r>
      <w:bookmarkStart w:id="6" w:name="_Hlk31124159"/>
      <w:r w:rsidRPr="00392C74">
        <w:rPr>
          <w:rFonts w:ascii="Times New Roman" w:eastAsia="Times New Roman" w:hAnsi="Times New Roman" w:cs="Times New Roman"/>
          <w:i/>
          <w:iCs/>
          <w:color w:val="000000"/>
          <w:sz w:val="24"/>
          <w:szCs w:val="24"/>
          <w:lang w:eastAsia="es-MX"/>
        </w:rPr>
        <w:t>Observaciones finales sobre el cuarto informe periódico de Chile</w:t>
      </w:r>
      <w:bookmarkEnd w:id="6"/>
      <w:r w:rsidRPr="00392C74">
        <w:rPr>
          <w:rFonts w:ascii="Times New Roman" w:eastAsia="Times New Roman" w:hAnsi="Times New Roman" w:cs="Times New Roman"/>
          <w:i/>
          <w:iCs/>
          <w:color w:val="000000"/>
          <w:sz w:val="24"/>
          <w:szCs w:val="24"/>
          <w:lang w:eastAsia="es-MX"/>
        </w:rPr>
        <w:t>”</w:t>
      </w:r>
      <w:r>
        <w:rPr>
          <w:rStyle w:val="Refdenotaalpie"/>
          <w:rFonts w:ascii="Times New Roman" w:eastAsia="Times New Roman" w:hAnsi="Times New Roman"/>
          <w:i/>
          <w:iCs/>
          <w:color w:val="000000"/>
          <w:sz w:val="24"/>
          <w:szCs w:val="24"/>
          <w:lang w:eastAsia="es-MX"/>
        </w:rPr>
        <w:footnoteReference w:id="94"/>
      </w:r>
      <w:r w:rsidRPr="00392C74">
        <w:rPr>
          <w:rFonts w:ascii="Times New Roman" w:eastAsia="Times New Roman" w:hAnsi="Times New Roman" w:cs="Times New Roman"/>
          <w:color w:val="000000"/>
          <w:sz w:val="24"/>
          <w:szCs w:val="24"/>
          <w:lang w:eastAsia="es-MX"/>
        </w:rPr>
        <w:t xml:space="preserve">. </w:t>
      </w:r>
      <w:r w:rsidR="005B7F66">
        <w:rPr>
          <w:rFonts w:ascii="Times New Roman" w:eastAsia="Times New Roman" w:hAnsi="Times New Roman" w:cs="Times New Roman"/>
          <w:color w:val="000000"/>
          <w:sz w:val="24"/>
          <w:szCs w:val="24"/>
          <w:lang w:eastAsia="es-MX"/>
        </w:rPr>
        <w:t>El C</w:t>
      </w:r>
      <w:r w:rsidR="0047270D">
        <w:rPr>
          <w:rFonts w:ascii="Times New Roman" w:eastAsia="Times New Roman" w:hAnsi="Times New Roman" w:cs="Times New Roman"/>
          <w:color w:val="000000"/>
          <w:sz w:val="24"/>
          <w:szCs w:val="24"/>
          <w:lang w:eastAsia="es-MX"/>
        </w:rPr>
        <w:t>omité</w:t>
      </w:r>
      <w:r w:rsidRPr="00392C74">
        <w:rPr>
          <w:rFonts w:ascii="Times New Roman" w:eastAsia="Times New Roman" w:hAnsi="Times New Roman" w:cs="Times New Roman"/>
          <w:color w:val="000000"/>
          <w:sz w:val="24"/>
          <w:szCs w:val="24"/>
          <w:lang w:eastAsia="es-MX"/>
        </w:rPr>
        <w:t xml:space="preserve"> manifiesta una preocupación creciente por el persistente déficit habitacional, que afecta particularmente a las personas más desfavorecidas de la sociedad. Adicionalmente, se recomienda al Estado tomar todas aquellas medidas pertinentes para adoptar una estrategia integral de vivienda social que permita garantizar a toda persona una vivienda adecuada y asequible, asegurando los recursos necesarios para combatir la segregación y exclusión social, brindando la debida prioridad a los grupos más perjudicados. </w:t>
      </w:r>
    </w:p>
    <w:p w14:paraId="0122E59A" w14:textId="40EDBF28" w:rsidR="00D43446" w:rsidRPr="00E01FB8" w:rsidRDefault="00D43446" w:rsidP="00E01FB8">
      <w:pPr>
        <w:spacing w:after="0" w:line="276" w:lineRule="auto"/>
        <w:ind w:firstLine="708"/>
        <w:jc w:val="both"/>
        <w:rPr>
          <w:rFonts w:ascii="Times New Roman" w:eastAsia="Times New Roman" w:hAnsi="Times New Roman" w:cs="Times New Roman"/>
          <w:color w:val="000000"/>
          <w:sz w:val="24"/>
          <w:szCs w:val="24"/>
          <w:lang w:eastAsia="es-MX"/>
        </w:rPr>
      </w:pPr>
      <w:r w:rsidRPr="00392C74">
        <w:rPr>
          <w:rFonts w:ascii="Times New Roman" w:eastAsia="Times New Roman" w:hAnsi="Times New Roman" w:cs="Times New Roman"/>
          <w:color w:val="000000"/>
          <w:sz w:val="24"/>
          <w:szCs w:val="24"/>
          <w:lang w:eastAsia="es-MX"/>
        </w:rPr>
        <w:t>Sin embargo, y a pesar de la magnitud de los fenómenos anteriormente descritos, éstos no han sido adecuadamente abordados por las políticas</w:t>
      </w:r>
      <w:r w:rsidR="00E01FB8">
        <w:rPr>
          <w:rFonts w:ascii="Times New Roman" w:eastAsia="Times New Roman" w:hAnsi="Times New Roman" w:cs="Times New Roman"/>
          <w:color w:val="000000"/>
          <w:sz w:val="24"/>
          <w:szCs w:val="24"/>
          <w:lang w:eastAsia="es-MX"/>
        </w:rPr>
        <w:t xml:space="preserve"> y programas estatales </w:t>
      </w:r>
      <w:r w:rsidR="00E01FB8">
        <w:rPr>
          <w:rFonts w:ascii="Times New Roman" w:eastAsia="Times New Roman" w:hAnsi="Times New Roman" w:cs="Times New Roman"/>
          <w:color w:val="000000"/>
          <w:sz w:val="24"/>
          <w:szCs w:val="24"/>
          <w:lang w:eastAsia="es-MX"/>
        </w:rPr>
        <w:lastRenderedPageBreak/>
        <w:t>implementado</w:t>
      </w:r>
      <w:r w:rsidRPr="00392C74">
        <w:rPr>
          <w:rFonts w:ascii="Times New Roman" w:eastAsia="Times New Roman" w:hAnsi="Times New Roman" w:cs="Times New Roman"/>
          <w:color w:val="000000"/>
          <w:sz w:val="24"/>
          <w:szCs w:val="24"/>
          <w:lang w:eastAsia="es-MX"/>
        </w:rPr>
        <w:t xml:space="preserve">s en los últimos años. La política habitacional chilena se ha continuado configurando casi exclusivamente en base a los subsidios habitacionales a la demanda. Dicha política resulta absolutamente insuficiente para hacer frente al sostenido aumento de los precios que han experimentado las viviendas. Recientemente, un estudio realizado por la Cámara Chilena de la Construcción (CChC), detalla que el precio de las viviendas </w:t>
      </w:r>
      <w:r>
        <w:rPr>
          <w:rFonts w:ascii="Times New Roman" w:eastAsia="Times New Roman" w:hAnsi="Times New Roman" w:cs="Times New Roman"/>
          <w:color w:val="000000"/>
          <w:sz w:val="24"/>
          <w:szCs w:val="24"/>
          <w:lang w:eastAsia="es-MX"/>
        </w:rPr>
        <w:t xml:space="preserve">en Chile </w:t>
      </w:r>
      <w:r w:rsidRPr="00392C74">
        <w:rPr>
          <w:rFonts w:ascii="Times New Roman" w:eastAsia="Times New Roman" w:hAnsi="Times New Roman" w:cs="Times New Roman"/>
          <w:color w:val="000000"/>
          <w:sz w:val="24"/>
          <w:szCs w:val="24"/>
          <w:lang w:eastAsia="es-MX"/>
        </w:rPr>
        <w:t>ha aumentado un 67,8 por ciento entre 2011 y 2019, periodo donde los ingresos aumentaron sólo un 24,7 por ciento</w:t>
      </w:r>
      <w:r>
        <w:rPr>
          <w:rStyle w:val="Refdenotaalpie"/>
          <w:rFonts w:ascii="Times New Roman" w:eastAsia="Times New Roman" w:hAnsi="Times New Roman"/>
          <w:color w:val="000000"/>
          <w:sz w:val="24"/>
          <w:szCs w:val="24"/>
          <w:lang w:eastAsia="es-MX"/>
        </w:rPr>
        <w:footnoteReference w:id="95"/>
      </w:r>
      <w:r w:rsidRPr="00392C74">
        <w:rPr>
          <w:rFonts w:ascii="Times New Roman" w:eastAsia="Times New Roman" w:hAnsi="Times New Roman" w:cs="Times New Roman"/>
          <w:color w:val="000000"/>
          <w:sz w:val="24"/>
          <w:szCs w:val="24"/>
          <w:lang w:eastAsia="es-MX"/>
        </w:rPr>
        <w:t>.</w:t>
      </w:r>
      <w:r>
        <w:rPr>
          <w:rFonts w:ascii="Times New Roman" w:eastAsia="Times New Roman" w:hAnsi="Times New Roman" w:cs="Times New Roman"/>
          <w:color w:val="000000"/>
          <w:sz w:val="24"/>
          <w:szCs w:val="24"/>
          <w:lang w:eastAsia="es-MX"/>
        </w:rPr>
        <w:t xml:space="preserve"> Por su parte, las cifras de la encuesta CASEN 2017 nos demuestran que la  “crisis de la vivienda”</w:t>
      </w:r>
      <w:r w:rsidRPr="005C7E8E">
        <w:rPr>
          <w:rStyle w:val="Refdenotaalpie"/>
          <w:rFonts w:ascii="Times New Roman" w:eastAsia="Times New Roman" w:hAnsi="Times New Roman"/>
          <w:color w:val="000000"/>
          <w:sz w:val="24"/>
          <w:szCs w:val="24"/>
          <w:lang w:eastAsia="es-MX"/>
        </w:rPr>
        <w:t xml:space="preserve"> </w:t>
      </w:r>
      <w:r w:rsidRPr="00A6296D">
        <w:rPr>
          <w:rStyle w:val="Refdenotaalpie"/>
          <w:rFonts w:ascii="Times New Roman" w:eastAsia="Times New Roman" w:hAnsi="Times New Roman"/>
          <w:color w:val="000000"/>
          <w:sz w:val="24"/>
          <w:szCs w:val="24"/>
          <w:lang w:eastAsia="es-MX"/>
        </w:rPr>
        <w:footnoteReference w:id="96"/>
      </w:r>
      <w:r>
        <w:rPr>
          <w:rFonts w:ascii="Times New Roman" w:eastAsia="Times New Roman" w:hAnsi="Times New Roman" w:cs="Times New Roman"/>
          <w:color w:val="000000"/>
          <w:sz w:val="24"/>
          <w:szCs w:val="24"/>
          <w:lang w:eastAsia="es-MX"/>
        </w:rPr>
        <w:t xml:space="preserve"> afecta especialmente a los sectores más vulnerables; los datos nos indican que </w:t>
      </w:r>
      <w:r w:rsidRPr="00B42885">
        <w:rPr>
          <w:rFonts w:ascii="Times New Roman" w:eastAsia="Times New Roman" w:hAnsi="Times New Roman" w:cs="Times New Roman"/>
          <w:color w:val="000000"/>
          <w:sz w:val="24"/>
          <w:szCs w:val="24"/>
          <w:lang w:eastAsia="es-MX"/>
        </w:rPr>
        <w:t xml:space="preserve">el 28,0% (499.777) de los hogares chilenos destinan más del 30% de sus ingresos mensuales para acceder a vivienda, sea en arriendo o dividendo </w:t>
      </w:r>
      <w:r w:rsidRPr="005C7E8E">
        <w:rPr>
          <w:rStyle w:val="Refdenotaalpie"/>
          <w:rFonts w:ascii="Times New Roman" w:eastAsia="Times New Roman" w:hAnsi="Times New Roman"/>
          <w:color w:val="000000"/>
          <w:sz w:val="24"/>
          <w:szCs w:val="24"/>
          <w:lang w:eastAsia="es-MX"/>
        </w:rPr>
        <w:footnoteReference w:id="97"/>
      </w:r>
      <w:r w:rsidRPr="005C7E8E">
        <w:rPr>
          <w:rFonts w:ascii="Times New Roman" w:eastAsia="Times New Roman" w:hAnsi="Times New Roman" w:cs="Times New Roman"/>
          <w:color w:val="000000"/>
          <w:sz w:val="24"/>
          <w:szCs w:val="24"/>
          <w:lang w:eastAsia="es-MX"/>
        </w:rPr>
        <w:t xml:space="preserve">. </w:t>
      </w:r>
      <w:r w:rsidR="00E01FB8" w:rsidRPr="00E01FB8">
        <w:rPr>
          <w:rFonts w:ascii="Times New Roman" w:eastAsia="Times New Roman" w:hAnsi="Times New Roman" w:cs="Times New Roman"/>
          <w:color w:val="000000"/>
          <w:sz w:val="24"/>
          <w:szCs w:val="24"/>
          <w:lang w:eastAsia="es-MX"/>
        </w:rPr>
        <w:t xml:space="preserve">El alza frenética en el precio de los </w:t>
      </w:r>
      <w:r w:rsidR="00E01FB8">
        <w:rPr>
          <w:rFonts w:ascii="Times New Roman" w:eastAsia="Times New Roman" w:hAnsi="Times New Roman" w:cs="Times New Roman"/>
          <w:color w:val="000000"/>
          <w:sz w:val="24"/>
          <w:szCs w:val="24"/>
          <w:lang w:eastAsia="es-MX"/>
        </w:rPr>
        <w:t xml:space="preserve">de la vivienda y los </w:t>
      </w:r>
      <w:r w:rsidR="00E01FB8" w:rsidRPr="00E01FB8">
        <w:rPr>
          <w:rFonts w:ascii="Times New Roman" w:eastAsia="Times New Roman" w:hAnsi="Times New Roman" w:cs="Times New Roman"/>
          <w:color w:val="000000"/>
          <w:sz w:val="24"/>
          <w:szCs w:val="24"/>
          <w:lang w:eastAsia="es-MX"/>
        </w:rPr>
        <w:t>alquile</w:t>
      </w:r>
      <w:r w:rsidR="00E01FB8">
        <w:rPr>
          <w:rFonts w:ascii="Times New Roman" w:eastAsia="Times New Roman" w:hAnsi="Times New Roman" w:cs="Times New Roman"/>
          <w:color w:val="000000"/>
          <w:sz w:val="24"/>
          <w:szCs w:val="24"/>
          <w:lang w:eastAsia="es-MX"/>
        </w:rPr>
        <w:t xml:space="preserve">res en los últimos años es ilustrativo </w:t>
      </w:r>
      <w:r w:rsidR="00E01FB8" w:rsidRPr="00E01FB8">
        <w:rPr>
          <w:rFonts w:ascii="Times New Roman" w:eastAsia="Times New Roman" w:hAnsi="Times New Roman" w:cs="Times New Roman"/>
          <w:color w:val="000000"/>
          <w:sz w:val="24"/>
          <w:szCs w:val="24"/>
          <w:lang w:eastAsia="es-MX"/>
        </w:rPr>
        <w:t>de la incapacidad de la acción estatal para hacerse cargo de las imperfecciones del mercado inmobiliario. Entre los años 2009 y 2015, el precio promedio de alquileres en zonas urbanas aumentó en un 31,2%</w:t>
      </w:r>
      <w:r w:rsidR="00E01FB8" w:rsidRPr="00E01FB8">
        <w:rPr>
          <w:rFonts w:ascii="Times New Roman" w:eastAsia="Times New Roman" w:hAnsi="Times New Roman" w:cs="Times New Roman"/>
          <w:color w:val="000000"/>
          <w:sz w:val="24"/>
          <w:szCs w:val="24"/>
          <w:vertAlign w:val="superscript"/>
          <w:lang w:eastAsia="es-MX"/>
        </w:rPr>
        <w:footnoteReference w:id="98"/>
      </w:r>
      <w:r w:rsidR="00E01FB8" w:rsidRPr="00E01FB8">
        <w:rPr>
          <w:rFonts w:ascii="Times New Roman" w:eastAsia="Times New Roman" w:hAnsi="Times New Roman" w:cs="Times New Roman"/>
          <w:color w:val="000000"/>
          <w:sz w:val="24"/>
          <w:szCs w:val="24"/>
          <w:lang w:eastAsia="es-MX"/>
        </w:rPr>
        <w:t>. La regulación de precios de los arriendos y el impulso de una oferta pública de alquiler para ofrecer alternativas de arriendo asequibles se deben considerar en forma urgente para responder a una serie de necesidades habitacionales que no logran ser satisfechas accediendo a una vivienda en propiedad</w:t>
      </w:r>
      <w:r w:rsidR="00E01FB8" w:rsidRPr="00E01FB8">
        <w:rPr>
          <w:rFonts w:ascii="Times New Roman" w:eastAsia="Times New Roman" w:hAnsi="Times New Roman" w:cs="Times New Roman"/>
          <w:color w:val="000000"/>
          <w:sz w:val="24"/>
          <w:szCs w:val="24"/>
          <w:vertAlign w:val="superscript"/>
          <w:lang w:eastAsia="es-MX"/>
        </w:rPr>
        <w:footnoteReference w:id="99"/>
      </w:r>
      <w:r w:rsidR="00E01FB8" w:rsidRPr="00E01FB8">
        <w:rPr>
          <w:rFonts w:ascii="Times New Roman" w:eastAsia="Times New Roman" w:hAnsi="Times New Roman" w:cs="Times New Roman"/>
          <w:color w:val="000000"/>
          <w:sz w:val="24"/>
          <w:szCs w:val="24"/>
          <w:lang w:eastAsia="es-MX"/>
        </w:rPr>
        <w:t>. </w:t>
      </w:r>
    </w:p>
    <w:p w14:paraId="32CEF7BF"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Resulta</w:t>
      </w:r>
      <w:r>
        <w:rPr>
          <w:rFonts w:ascii="Times New Roman" w:eastAsia="Times New Roman" w:hAnsi="Times New Roman" w:cs="Times New Roman"/>
          <w:color w:val="000000"/>
          <w:sz w:val="24"/>
          <w:szCs w:val="24"/>
          <w:lang w:eastAsia="es-MX"/>
        </w:rPr>
        <w:t xml:space="preserve"> evidente que es ilusorio pretender afrontar</w:t>
      </w:r>
      <w:r w:rsidRPr="00392C74">
        <w:rPr>
          <w:rFonts w:ascii="Times New Roman" w:eastAsia="Times New Roman" w:hAnsi="Times New Roman" w:cs="Times New Roman"/>
          <w:color w:val="000000"/>
          <w:sz w:val="24"/>
          <w:szCs w:val="24"/>
          <w:lang w:eastAsia="es-MX"/>
        </w:rPr>
        <w:t xml:space="preserve"> </w:t>
      </w:r>
      <w:r>
        <w:rPr>
          <w:rFonts w:ascii="Times New Roman" w:eastAsia="Times New Roman" w:hAnsi="Times New Roman" w:cs="Times New Roman"/>
          <w:color w:val="000000"/>
          <w:sz w:val="24"/>
          <w:szCs w:val="24"/>
          <w:lang w:eastAsia="es-MX"/>
        </w:rPr>
        <w:t>los desafíos de asequibilidad de la vivienda</w:t>
      </w:r>
      <w:r w:rsidRPr="00392C74">
        <w:rPr>
          <w:rFonts w:ascii="Times New Roman" w:eastAsia="Times New Roman" w:hAnsi="Times New Roman" w:cs="Times New Roman"/>
          <w:color w:val="000000"/>
          <w:sz w:val="24"/>
          <w:szCs w:val="24"/>
          <w:lang w:eastAsia="es-MX"/>
        </w:rPr>
        <w:t xml:space="preserve"> a través de la lógica subsidiaria, en la medida que el monto de los subsidios debe incrementarse progresivamente para absorber el alza de los precios del suelo que </w:t>
      </w:r>
      <w:r>
        <w:rPr>
          <w:rFonts w:ascii="Times New Roman" w:eastAsia="Times New Roman" w:hAnsi="Times New Roman" w:cs="Times New Roman"/>
          <w:color w:val="000000"/>
          <w:sz w:val="24"/>
          <w:szCs w:val="24"/>
          <w:lang w:eastAsia="es-MX"/>
        </w:rPr>
        <w:t>ayuda a producir</w:t>
      </w:r>
      <w:r>
        <w:rPr>
          <w:rStyle w:val="Refdenotaalpie"/>
          <w:rFonts w:ascii="Times New Roman" w:eastAsia="Times New Roman" w:hAnsi="Times New Roman"/>
          <w:color w:val="000000"/>
          <w:sz w:val="24"/>
          <w:szCs w:val="24"/>
          <w:lang w:eastAsia="es-MX"/>
        </w:rPr>
        <w:footnoteReference w:id="100"/>
      </w:r>
      <w:r w:rsidRPr="00392C74">
        <w:rPr>
          <w:rFonts w:ascii="Times New Roman" w:eastAsia="Times New Roman" w:hAnsi="Times New Roman" w:cs="Times New Roman"/>
          <w:color w:val="000000"/>
          <w:sz w:val="24"/>
          <w:szCs w:val="24"/>
          <w:lang w:eastAsia="es-MX"/>
        </w:rPr>
        <w:t xml:space="preserve">. El fracaso del </w:t>
      </w:r>
      <w:r>
        <w:rPr>
          <w:rFonts w:ascii="Times New Roman" w:eastAsia="Times New Roman" w:hAnsi="Times New Roman" w:cs="Times New Roman"/>
          <w:color w:val="000000"/>
          <w:sz w:val="24"/>
          <w:szCs w:val="24"/>
          <w:lang w:eastAsia="es-MX"/>
        </w:rPr>
        <w:t>sistema de vivienda</w:t>
      </w:r>
      <w:r w:rsidRPr="00392C74">
        <w:rPr>
          <w:rFonts w:ascii="Times New Roman" w:eastAsia="Times New Roman" w:hAnsi="Times New Roman" w:cs="Times New Roman"/>
          <w:color w:val="000000"/>
          <w:sz w:val="24"/>
          <w:szCs w:val="24"/>
          <w:lang w:eastAsia="es-MX"/>
        </w:rPr>
        <w:t xml:space="preserve"> en cuestión se refleja, entre otros aspectos, en las bajas tasas de aplicación de subsidios que han sido otorgados</w:t>
      </w:r>
      <w:r>
        <w:rPr>
          <w:rFonts w:ascii="Times New Roman" w:eastAsia="Times New Roman" w:hAnsi="Times New Roman" w:cs="Times New Roman"/>
          <w:color w:val="000000"/>
          <w:sz w:val="24"/>
          <w:szCs w:val="24"/>
          <w:lang w:eastAsia="es-MX"/>
        </w:rPr>
        <w:t>,</w:t>
      </w:r>
      <w:r w:rsidRPr="00392C74">
        <w:rPr>
          <w:rFonts w:ascii="Times New Roman" w:eastAsia="Times New Roman" w:hAnsi="Times New Roman" w:cs="Times New Roman"/>
          <w:color w:val="000000"/>
          <w:sz w:val="24"/>
          <w:szCs w:val="24"/>
          <w:lang w:eastAsia="es-MX"/>
        </w:rPr>
        <w:t xml:space="preserve"> pero que no han logrado ejecutarse</w:t>
      </w:r>
      <w:r>
        <w:rPr>
          <w:rFonts w:ascii="Times New Roman" w:eastAsia="Times New Roman" w:hAnsi="Times New Roman" w:cs="Times New Roman"/>
          <w:color w:val="000000"/>
          <w:sz w:val="24"/>
          <w:szCs w:val="24"/>
          <w:lang w:eastAsia="es-MX"/>
        </w:rPr>
        <w:t xml:space="preserve"> debido al alto precio del suelo y de las viviendas</w:t>
      </w:r>
      <w:r w:rsidRPr="00392C74">
        <w:rPr>
          <w:rStyle w:val="Refdenotaalpie"/>
          <w:rFonts w:ascii="Times New Roman" w:eastAsia="Times New Roman" w:hAnsi="Times New Roman"/>
          <w:color w:val="000000"/>
          <w:sz w:val="24"/>
          <w:szCs w:val="24"/>
          <w:lang w:eastAsia="es-MX"/>
        </w:rPr>
        <w:footnoteReference w:id="101"/>
      </w:r>
      <w:r w:rsidRPr="00392C74">
        <w:rPr>
          <w:rFonts w:ascii="Times New Roman" w:eastAsia="Times New Roman" w:hAnsi="Times New Roman" w:cs="Times New Roman"/>
          <w:color w:val="000000"/>
          <w:sz w:val="24"/>
          <w:szCs w:val="24"/>
          <w:lang w:eastAsia="es-MX"/>
        </w:rPr>
        <w:t>.</w:t>
      </w:r>
    </w:p>
    <w:p w14:paraId="49033A12"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 xml:space="preserve">Las dificultades de acceso a la vivienda que han sido esbozadas en los párrafos precedentes se refuerzan en virtud de la convergencia de dos factores adicionales. Por una </w:t>
      </w:r>
      <w:r w:rsidRPr="00392C74">
        <w:rPr>
          <w:rFonts w:ascii="Times New Roman" w:eastAsia="Times New Roman" w:hAnsi="Times New Roman" w:cs="Times New Roman"/>
          <w:color w:val="000000"/>
          <w:sz w:val="24"/>
          <w:szCs w:val="24"/>
          <w:lang w:eastAsia="es-MX"/>
        </w:rPr>
        <w:lastRenderedPageBreak/>
        <w:t>parte, existe un absoluto desentendimiento de la informalidad</w:t>
      </w:r>
      <w:r w:rsidRPr="00392C74">
        <w:rPr>
          <w:rStyle w:val="Refdenotaalpie"/>
          <w:rFonts w:ascii="Times New Roman" w:eastAsia="Times New Roman" w:hAnsi="Times New Roman"/>
          <w:color w:val="000000"/>
          <w:sz w:val="24"/>
          <w:szCs w:val="24"/>
          <w:lang w:eastAsia="es-MX"/>
        </w:rPr>
        <w:footnoteReference w:id="102"/>
      </w:r>
      <w:r w:rsidRPr="00392C74">
        <w:rPr>
          <w:rFonts w:ascii="Times New Roman" w:eastAsia="Times New Roman" w:hAnsi="Times New Roman" w:cs="Times New Roman"/>
          <w:color w:val="000000"/>
          <w:sz w:val="24"/>
          <w:szCs w:val="24"/>
          <w:lang w:eastAsia="es-MX"/>
        </w:rPr>
        <w:t> como síntoma de un problema estructural respecto a la provisión de vivienda asequible para los sectores populares</w:t>
      </w:r>
      <w:r>
        <w:rPr>
          <w:rStyle w:val="Refdenotaalpie"/>
          <w:rFonts w:ascii="Times New Roman" w:eastAsia="Times New Roman" w:hAnsi="Times New Roman"/>
          <w:color w:val="000000"/>
          <w:sz w:val="24"/>
          <w:szCs w:val="24"/>
          <w:lang w:eastAsia="es-MX"/>
        </w:rPr>
        <w:footnoteReference w:id="103"/>
      </w:r>
      <w:r w:rsidRPr="00392C74">
        <w:rPr>
          <w:rFonts w:ascii="Times New Roman" w:eastAsia="Times New Roman" w:hAnsi="Times New Roman" w:cs="Times New Roman"/>
          <w:color w:val="000000"/>
          <w:sz w:val="24"/>
          <w:szCs w:val="24"/>
          <w:lang w:eastAsia="es-MX"/>
        </w:rPr>
        <w:t xml:space="preserve">. Por otro lado, existe un porcentaje importante de la población que no “califica” para ser beneficiaria de subsidio ni tampoco es sujeto de crédito, lo que se ha reflejado en una frase alzada en las recientes movilizaciones sociales: </w:t>
      </w:r>
      <w:r w:rsidRPr="00392C74">
        <w:rPr>
          <w:rFonts w:ascii="Times New Roman" w:eastAsia="Times New Roman" w:hAnsi="Times New Roman" w:cs="Times New Roman"/>
          <w:i/>
          <w:iCs/>
          <w:color w:val="000000"/>
          <w:sz w:val="24"/>
          <w:szCs w:val="24"/>
          <w:lang w:eastAsia="es-MX"/>
        </w:rPr>
        <w:t>“Muy pobre para el banco, muy rica para el SERVIU</w:t>
      </w:r>
      <w:r w:rsidRPr="00392C74">
        <w:rPr>
          <w:rStyle w:val="Refdenotaalpie"/>
          <w:rFonts w:ascii="Times New Roman" w:eastAsia="Times New Roman" w:hAnsi="Times New Roman"/>
          <w:i/>
          <w:iCs/>
          <w:color w:val="000000"/>
          <w:sz w:val="24"/>
          <w:szCs w:val="24"/>
          <w:lang w:eastAsia="es-MX"/>
        </w:rPr>
        <w:footnoteReference w:id="104"/>
      </w:r>
      <w:r w:rsidRPr="00392C74">
        <w:rPr>
          <w:rFonts w:ascii="Times New Roman" w:eastAsia="Times New Roman" w:hAnsi="Times New Roman" w:cs="Times New Roman"/>
          <w:i/>
          <w:iCs/>
          <w:color w:val="000000"/>
          <w:sz w:val="24"/>
          <w:szCs w:val="24"/>
          <w:lang w:eastAsia="es-MX"/>
        </w:rPr>
        <w:t>”</w:t>
      </w:r>
      <w:r>
        <w:rPr>
          <w:rFonts w:ascii="Times New Roman" w:eastAsia="Times New Roman" w:hAnsi="Times New Roman" w:cs="Times New Roman"/>
          <w:i/>
          <w:iCs/>
          <w:color w:val="000000"/>
          <w:sz w:val="24"/>
          <w:szCs w:val="24"/>
          <w:lang w:eastAsia="es-MX"/>
        </w:rPr>
        <w:t>.</w:t>
      </w:r>
      <w:r w:rsidRPr="00392C74">
        <w:rPr>
          <w:rStyle w:val="Refdenotaalpie"/>
          <w:rFonts w:ascii="Times New Roman" w:eastAsia="Times New Roman" w:hAnsi="Times New Roman"/>
          <w:i/>
          <w:iCs/>
          <w:color w:val="000000"/>
          <w:sz w:val="24"/>
          <w:szCs w:val="24"/>
          <w:lang w:eastAsia="es-MX"/>
        </w:rPr>
        <w:footnoteReference w:id="105"/>
      </w:r>
    </w:p>
    <w:p w14:paraId="1BD7A829" w14:textId="77777777" w:rsidR="00D43446" w:rsidRDefault="00D43446" w:rsidP="00D43446">
      <w:pPr>
        <w:spacing w:after="0" w:line="276" w:lineRule="auto"/>
        <w:ind w:firstLine="708"/>
        <w:jc w:val="both"/>
        <w:rPr>
          <w:rFonts w:ascii="Times New Roman" w:eastAsia="Times New Roman" w:hAnsi="Times New Roman" w:cs="Times New Roman"/>
          <w:color w:val="000000"/>
          <w:sz w:val="24"/>
          <w:szCs w:val="24"/>
          <w:lang w:eastAsia="es-MX"/>
        </w:rPr>
      </w:pPr>
      <w:r w:rsidRPr="00392C74">
        <w:rPr>
          <w:rFonts w:ascii="Times New Roman" w:eastAsia="Times New Roman" w:hAnsi="Times New Roman" w:cs="Times New Roman"/>
          <w:color w:val="000000"/>
          <w:sz w:val="24"/>
          <w:szCs w:val="24"/>
          <w:lang w:eastAsia="es-MX"/>
        </w:rPr>
        <w:t>Por su parte, la segregación habitacional y exclusión social continúan presentándose como aspectos críticos en la configuración de las ciudades chilenas</w:t>
      </w:r>
      <w:r>
        <w:rPr>
          <w:rStyle w:val="Refdenotaalpie"/>
          <w:rFonts w:ascii="Times New Roman" w:eastAsia="Times New Roman" w:hAnsi="Times New Roman"/>
          <w:color w:val="000000"/>
          <w:sz w:val="24"/>
          <w:szCs w:val="24"/>
          <w:lang w:eastAsia="es-MX"/>
        </w:rPr>
        <w:footnoteReference w:id="106"/>
      </w:r>
      <w:r>
        <w:rPr>
          <w:rFonts w:ascii="Times New Roman" w:eastAsia="Times New Roman" w:hAnsi="Times New Roman" w:cs="Times New Roman"/>
          <w:color w:val="000000"/>
          <w:sz w:val="24"/>
          <w:szCs w:val="24"/>
          <w:lang w:eastAsia="es-MX"/>
        </w:rPr>
        <w:t>. Un estudio realizado por la Fundación Vivienda, grafica la magnitud de la desigualdad urbana en la ciudad de Santiago:</w:t>
      </w:r>
    </w:p>
    <w:p w14:paraId="3B5ADFFF" w14:textId="77777777" w:rsidR="00D43446" w:rsidRPr="00CF24E8" w:rsidRDefault="00D43446" w:rsidP="00D43446">
      <w:pPr>
        <w:spacing w:after="0" w:line="276" w:lineRule="auto"/>
        <w:ind w:firstLine="708"/>
        <w:jc w:val="both"/>
        <w:rPr>
          <w:rFonts w:ascii="Times New Roman" w:eastAsia="Times New Roman" w:hAnsi="Times New Roman" w:cs="Times New Roman"/>
          <w:b/>
          <w:bCs/>
          <w:color w:val="000000"/>
          <w:sz w:val="24"/>
          <w:szCs w:val="24"/>
          <w:lang w:eastAsia="es-MX"/>
        </w:rPr>
      </w:pPr>
      <w:r w:rsidRPr="00CF24E8">
        <w:rPr>
          <w:rFonts w:ascii="Times New Roman" w:eastAsia="Times New Roman" w:hAnsi="Times New Roman" w:cs="Times New Roman"/>
          <w:b/>
          <w:bCs/>
          <w:color w:val="000000"/>
          <w:sz w:val="24"/>
          <w:szCs w:val="24"/>
          <w:lang w:eastAsia="es-MX"/>
        </w:rPr>
        <w:t xml:space="preserve">Mapa N°1: Segregación </w:t>
      </w:r>
      <w:r w:rsidRPr="00835D6D">
        <w:rPr>
          <w:rFonts w:ascii="Times New Roman" w:eastAsia="Times New Roman" w:hAnsi="Times New Roman" w:cs="Times New Roman"/>
          <w:b/>
          <w:bCs/>
          <w:color w:val="000000"/>
          <w:sz w:val="24"/>
          <w:szCs w:val="24"/>
          <w:lang w:eastAsia="es-MX"/>
        </w:rPr>
        <w:t>socioeconómica</w:t>
      </w:r>
      <w:r w:rsidRPr="00CF24E8">
        <w:rPr>
          <w:rFonts w:ascii="Times New Roman" w:eastAsia="Times New Roman" w:hAnsi="Times New Roman" w:cs="Times New Roman"/>
          <w:b/>
          <w:bCs/>
          <w:color w:val="000000"/>
          <w:sz w:val="24"/>
          <w:szCs w:val="24"/>
          <w:lang w:eastAsia="es-MX"/>
        </w:rPr>
        <w:t xml:space="preserve">. </w:t>
      </w:r>
      <w:r w:rsidRPr="00835D6D">
        <w:rPr>
          <w:rFonts w:ascii="Times New Roman" w:eastAsia="Times New Roman" w:hAnsi="Times New Roman" w:cs="Times New Roman"/>
          <w:b/>
          <w:bCs/>
          <w:color w:val="000000"/>
          <w:sz w:val="24"/>
          <w:szCs w:val="24"/>
          <w:lang w:eastAsia="es-MX"/>
        </w:rPr>
        <w:t>Área</w:t>
      </w:r>
      <w:r w:rsidRPr="00CF24E8">
        <w:rPr>
          <w:rFonts w:ascii="Times New Roman" w:eastAsia="Times New Roman" w:hAnsi="Times New Roman" w:cs="Times New Roman"/>
          <w:b/>
          <w:bCs/>
          <w:color w:val="000000"/>
          <w:sz w:val="24"/>
          <w:szCs w:val="24"/>
          <w:lang w:eastAsia="es-MX"/>
        </w:rPr>
        <w:t xml:space="preserve"> Metropolitana de Santiago. Fuente: Fundación Vivienda.</w:t>
      </w:r>
    </w:p>
    <w:p w14:paraId="28500ED5" w14:textId="77777777" w:rsidR="00D43446" w:rsidRDefault="00D43446" w:rsidP="00D43446">
      <w:pPr>
        <w:spacing w:after="0" w:line="276" w:lineRule="auto"/>
        <w:ind w:firstLine="708"/>
        <w:jc w:val="both"/>
        <w:rPr>
          <w:rFonts w:ascii="Times New Roman" w:eastAsia="Times New Roman" w:hAnsi="Times New Roman" w:cs="Times New Roman"/>
          <w:color w:val="000000"/>
          <w:sz w:val="24"/>
          <w:szCs w:val="24"/>
          <w:lang w:eastAsia="es-MX"/>
        </w:rPr>
      </w:pPr>
    </w:p>
    <w:p w14:paraId="2255C903" w14:textId="77777777" w:rsidR="00D43446" w:rsidRDefault="00D43446" w:rsidP="00D43446">
      <w:pPr>
        <w:spacing w:after="0" w:line="276" w:lineRule="auto"/>
        <w:jc w:val="both"/>
        <w:rPr>
          <w:rFonts w:ascii="Times New Roman" w:eastAsia="Times New Roman" w:hAnsi="Times New Roman" w:cs="Times New Roman"/>
          <w:color w:val="000000"/>
          <w:sz w:val="24"/>
          <w:szCs w:val="24"/>
          <w:lang w:eastAsia="es-MX"/>
        </w:rPr>
      </w:pPr>
      <w:r>
        <w:rPr>
          <w:noProof/>
          <w:lang w:val="en-GB" w:eastAsia="en-GB"/>
        </w:rPr>
        <w:lastRenderedPageBreak/>
        <w:drawing>
          <wp:inline distT="0" distB="0" distL="0" distR="0" wp14:anchorId="45B7421E" wp14:editId="227060E7">
            <wp:extent cx="5762463" cy="4546932"/>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5536" cy="4565138"/>
                    </a:xfrm>
                    <a:prstGeom prst="rect">
                      <a:avLst/>
                    </a:prstGeom>
                    <a:noFill/>
                    <a:ln>
                      <a:noFill/>
                    </a:ln>
                  </pic:spPr>
                </pic:pic>
              </a:graphicData>
            </a:graphic>
          </wp:inline>
        </w:drawing>
      </w:r>
    </w:p>
    <w:p w14:paraId="500D4471" w14:textId="77777777" w:rsidR="00D43446" w:rsidRDefault="00D43446" w:rsidP="00D43446">
      <w:pPr>
        <w:spacing w:after="0" w:line="276" w:lineRule="auto"/>
        <w:ind w:firstLine="708"/>
        <w:jc w:val="both"/>
        <w:rPr>
          <w:rFonts w:ascii="Times New Roman" w:eastAsia="Times New Roman" w:hAnsi="Times New Roman" w:cs="Times New Roman"/>
          <w:color w:val="000000"/>
          <w:sz w:val="24"/>
          <w:szCs w:val="24"/>
          <w:lang w:eastAsia="es-MX"/>
        </w:rPr>
      </w:pPr>
    </w:p>
    <w:p w14:paraId="2807806A" w14:textId="1B0B3EA7" w:rsidR="00D43446" w:rsidRPr="00392C74" w:rsidRDefault="00E01FB8" w:rsidP="00D43446">
      <w:pPr>
        <w:spacing w:after="0" w:line="276" w:lineRule="auto"/>
        <w:ind w:firstLine="708"/>
        <w:jc w:val="both"/>
        <w:rPr>
          <w:rFonts w:ascii="Times New Roman" w:eastAsia="Times New Roman" w:hAnsi="Times New Roman" w:cs="Times New Roman"/>
          <w:sz w:val="24"/>
          <w:szCs w:val="24"/>
          <w:lang w:eastAsia="es-MX"/>
        </w:rPr>
      </w:pPr>
      <w:r>
        <w:rPr>
          <w:rFonts w:ascii="Times New Roman" w:eastAsia="Times New Roman" w:hAnsi="Times New Roman" w:cs="Times New Roman"/>
          <w:color w:val="000000"/>
          <w:sz w:val="24"/>
          <w:szCs w:val="24"/>
          <w:lang w:eastAsia="es-MX"/>
        </w:rPr>
        <w:t xml:space="preserve">Esta </w:t>
      </w:r>
      <w:r w:rsidR="00D43446">
        <w:rPr>
          <w:rFonts w:ascii="Times New Roman" w:eastAsia="Times New Roman" w:hAnsi="Times New Roman" w:cs="Times New Roman"/>
          <w:color w:val="000000"/>
          <w:sz w:val="24"/>
          <w:szCs w:val="24"/>
          <w:lang w:eastAsia="es-MX"/>
        </w:rPr>
        <w:t>exclusión social se ha puesto de manifiesto a través de la caracterización de los denominados “barrios críticos”. A</w:t>
      </w:r>
      <w:r w:rsidR="00D43446" w:rsidRPr="00392C74">
        <w:rPr>
          <w:rFonts w:ascii="Times New Roman" w:eastAsia="Times New Roman" w:hAnsi="Times New Roman" w:cs="Times New Roman"/>
          <w:color w:val="000000"/>
          <w:sz w:val="24"/>
          <w:szCs w:val="24"/>
          <w:lang w:eastAsia="es-MX"/>
        </w:rPr>
        <w:t xml:space="preserve">l respecto, en 2017 </w:t>
      </w:r>
      <w:r w:rsidR="00D43446">
        <w:rPr>
          <w:rFonts w:ascii="Times New Roman" w:eastAsia="Times New Roman" w:hAnsi="Times New Roman" w:cs="Times New Roman"/>
          <w:color w:val="000000"/>
          <w:sz w:val="24"/>
          <w:szCs w:val="24"/>
          <w:lang w:eastAsia="es-MX"/>
        </w:rPr>
        <w:t>el Reporte de Atisba Monitor</w:t>
      </w:r>
      <w:r w:rsidR="00D43446" w:rsidRPr="00392C74">
        <w:rPr>
          <w:rFonts w:ascii="Times New Roman" w:eastAsia="Times New Roman" w:hAnsi="Times New Roman" w:cs="Times New Roman"/>
          <w:color w:val="000000"/>
          <w:sz w:val="24"/>
          <w:szCs w:val="24"/>
          <w:lang w:eastAsia="es-MX"/>
        </w:rPr>
        <w:t xml:space="preserve"> identificó -sólo en Santiago, la capital nacional- 162 barrios críticos por narcotráfico y violencia urbana, donde viven 702.510 personas</w:t>
      </w:r>
      <w:r w:rsidR="00D43446">
        <w:rPr>
          <w:rStyle w:val="Refdenotaalpie"/>
          <w:rFonts w:ascii="Times New Roman" w:eastAsia="Times New Roman" w:hAnsi="Times New Roman"/>
          <w:color w:val="000000"/>
          <w:sz w:val="24"/>
          <w:szCs w:val="24"/>
          <w:lang w:eastAsia="es-MX"/>
        </w:rPr>
        <w:footnoteReference w:id="107"/>
      </w:r>
      <w:r w:rsidR="00D43446" w:rsidRPr="00392C74">
        <w:rPr>
          <w:rFonts w:ascii="Times New Roman" w:eastAsia="Times New Roman" w:hAnsi="Times New Roman" w:cs="Times New Roman"/>
          <w:color w:val="000000"/>
          <w:sz w:val="24"/>
          <w:szCs w:val="24"/>
          <w:lang w:eastAsia="es-MX"/>
        </w:rPr>
        <w:t>. Para 2018, la misma investigación se realizó en cinco ciudades regionales (Copiapó, La Serena, Valparaíso, Rancagua, Talca y se incluyó también a Colina), identificándose 27 barrios críticos en los cuales viven 202.575 personas</w:t>
      </w:r>
      <w:r w:rsidR="00D43446">
        <w:rPr>
          <w:rStyle w:val="Refdenotaalpie"/>
          <w:rFonts w:ascii="Times New Roman" w:eastAsia="Times New Roman" w:hAnsi="Times New Roman"/>
          <w:color w:val="000000"/>
          <w:sz w:val="24"/>
          <w:szCs w:val="24"/>
          <w:lang w:eastAsia="es-MX"/>
        </w:rPr>
        <w:footnoteReference w:id="108"/>
      </w:r>
      <w:r w:rsidR="00D43446" w:rsidRPr="00392C74">
        <w:rPr>
          <w:rFonts w:ascii="Times New Roman" w:eastAsia="Times New Roman" w:hAnsi="Times New Roman" w:cs="Times New Roman"/>
          <w:color w:val="000000"/>
          <w:sz w:val="24"/>
          <w:szCs w:val="24"/>
          <w:lang w:eastAsia="es-MX"/>
        </w:rPr>
        <w:t>. Sumando los resultados de ambos estudios, existe un total de 905.085 personas viviendo en 189 barrios con situación crítica de narcotráfico y violencia barrial. </w:t>
      </w:r>
    </w:p>
    <w:p w14:paraId="42D6226C"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En línea con lo anterior, resulta especialmente alarmante la profundización de la desigualdad territorial a través de las mismas políticas impulsadas por el Estado en su afán por intentar combatirla. En particular, ha generado enorme preocupación en las comunidades y organizaciones de la sociedad civil el Proyecto de Ley de Integración Social y Urbana presentado por el gobierno</w:t>
      </w:r>
      <w:r w:rsidRPr="00392C74">
        <w:rPr>
          <w:rStyle w:val="Refdenotaalpie"/>
          <w:rFonts w:ascii="Times New Roman" w:eastAsia="Times New Roman" w:hAnsi="Times New Roman"/>
          <w:color w:val="000000"/>
          <w:sz w:val="24"/>
          <w:szCs w:val="24"/>
          <w:lang w:eastAsia="es-MX"/>
        </w:rPr>
        <w:footnoteReference w:id="109"/>
      </w:r>
      <w:r w:rsidRPr="00392C74">
        <w:rPr>
          <w:rFonts w:ascii="Times New Roman" w:eastAsia="Times New Roman" w:hAnsi="Times New Roman" w:cs="Times New Roman"/>
          <w:color w:val="000000"/>
          <w:sz w:val="24"/>
          <w:szCs w:val="24"/>
          <w:lang w:eastAsia="es-MX"/>
        </w:rPr>
        <w:t xml:space="preserve">. Dicha iniciativa otorga beneficios normativos a inmobiliarias </w:t>
      </w:r>
      <w:r w:rsidRPr="00392C74">
        <w:rPr>
          <w:rFonts w:ascii="Times New Roman" w:eastAsia="Times New Roman" w:hAnsi="Times New Roman" w:cs="Times New Roman"/>
          <w:color w:val="000000"/>
          <w:sz w:val="24"/>
          <w:szCs w:val="24"/>
          <w:lang w:eastAsia="es-MX"/>
        </w:rPr>
        <w:lastRenderedPageBreak/>
        <w:t>para el desarrollo de proyectos que consideraren cuotas de viviendas sociales (sin asegurar un mínimo razonable), desatendiendo los instrumentos de planificación territorial locales y desplazando, directa o indirectamente, los costos al público</w:t>
      </w:r>
      <w:r>
        <w:rPr>
          <w:rStyle w:val="Refdenotaalpie"/>
          <w:rFonts w:ascii="Times New Roman" w:eastAsia="Times New Roman" w:hAnsi="Times New Roman"/>
          <w:color w:val="000000"/>
          <w:sz w:val="24"/>
          <w:szCs w:val="24"/>
          <w:lang w:eastAsia="es-MX"/>
        </w:rPr>
        <w:footnoteReference w:id="110"/>
      </w:r>
      <w:r w:rsidRPr="00392C74">
        <w:rPr>
          <w:rFonts w:ascii="Times New Roman" w:eastAsia="Times New Roman" w:hAnsi="Times New Roman" w:cs="Times New Roman"/>
          <w:color w:val="000000"/>
          <w:sz w:val="24"/>
          <w:szCs w:val="24"/>
          <w:lang w:eastAsia="es-MX"/>
        </w:rPr>
        <w:t>. Políticas como esta, en vez de fortalecer el rol del Estado y propiciar el surgimiento de figuras alternativas en la provisión de vivienda, atentan contra la planificación urbana y acrecientan la mercantilización de la vivienda. </w:t>
      </w:r>
    </w:p>
    <w:p w14:paraId="2BF360C1" w14:textId="51F1786E"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Tampoco las políticas urbanas impulsadas han sido capaces de responder a la urgencia que demandan las desigualdades territoriales existentes</w:t>
      </w:r>
      <w:r>
        <w:rPr>
          <w:rFonts w:ascii="Times New Roman" w:eastAsia="Times New Roman" w:hAnsi="Times New Roman" w:cs="Times New Roman"/>
          <w:color w:val="000000"/>
          <w:sz w:val="24"/>
          <w:szCs w:val="24"/>
          <w:lang w:eastAsia="es-MX"/>
        </w:rPr>
        <w:t>, y han mostrado su ineficacia para</w:t>
      </w:r>
      <w:r w:rsidRPr="00392C74">
        <w:rPr>
          <w:rFonts w:ascii="Times New Roman" w:eastAsia="Times New Roman" w:hAnsi="Times New Roman" w:cs="Times New Roman"/>
          <w:color w:val="000000"/>
          <w:sz w:val="24"/>
          <w:szCs w:val="24"/>
          <w:lang w:eastAsia="es-MX"/>
        </w:rPr>
        <w:t xml:space="preserve"> brindar la debida prioridad a aquellos grupos más excluidos </w:t>
      </w:r>
      <w:r w:rsidR="00E01FB8">
        <w:rPr>
          <w:rFonts w:ascii="Times New Roman" w:eastAsia="Times New Roman" w:hAnsi="Times New Roman" w:cs="Times New Roman"/>
          <w:color w:val="000000"/>
          <w:sz w:val="24"/>
          <w:szCs w:val="24"/>
          <w:lang w:eastAsia="es-MX"/>
        </w:rPr>
        <w:t xml:space="preserve">y desfavorecidos de la sociedad, </w:t>
      </w:r>
      <w:r w:rsidRPr="00392C74">
        <w:rPr>
          <w:rFonts w:ascii="Times New Roman" w:eastAsia="Times New Roman" w:hAnsi="Times New Roman" w:cs="Times New Roman"/>
          <w:color w:val="000000"/>
          <w:sz w:val="24"/>
          <w:szCs w:val="24"/>
          <w:lang w:eastAsia="es-MX"/>
        </w:rPr>
        <w:t>existiendo una discordancia entre el discurso político y las medidas concretas formuladas. En este punto es importante destacar que el anuncio planteado por el ejecutivo a propósito de la crisis social en orden a fortalecer el Fondo Común Municipal</w:t>
      </w:r>
      <w:r w:rsidRPr="00392C74">
        <w:rPr>
          <w:rStyle w:val="Refdenotaalpie"/>
          <w:rFonts w:ascii="Times New Roman" w:eastAsia="Times New Roman" w:hAnsi="Times New Roman"/>
          <w:color w:val="000000"/>
          <w:sz w:val="24"/>
          <w:szCs w:val="24"/>
          <w:lang w:eastAsia="es-MX"/>
        </w:rPr>
        <w:footnoteReference w:id="111"/>
      </w:r>
      <w:r w:rsidRPr="00392C74">
        <w:rPr>
          <w:rFonts w:ascii="Times New Roman" w:eastAsia="Times New Roman" w:hAnsi="Times New Roman" w:cs="Times New Roman"/>
          <w:color w:val="000000"/>
          <w:sz w:val="24"/>
          <w:szCs w:val="24"/>
          <w:lang w:eastAsia="es-MX"/>
        </w:rPr>
        <w:t>, estableciendo mayores aportes de las comunas de mayores ingresos, en beneficio de las comunas de menores ingresos, resulta ser insuficiente para asegurar criterios mínimos de equidad territorial</w:t>
      </w:r>
      <w:r w:rsidRPr="00392C74">
        <w:rPr>
          <w:rStyle w:val="Refdenotaalpie"/>
          <w:rFonts w:ascii="Times New Roman" w:eastAsia="Times New Roman" w:hAnsi="Times New Roman"/>
          <w:color w:val="000000"/>
          <w:sz w:val="24"/>
          <w:szCs w:val="24"/>
          <w:lang w:eastAsia="es-MX"/>
        </w:rPr>
        <w:footnoteReference w:id="112"/>
      </w:r>
      <w:r w:rsidRPr="00392C74">
        <w:rPr>
          <w:rFonts w:ascii="Times New Roman" w:eastAsia="Times New Roman" w:hAnsi="Times New Roman" w:cs="Times New Roman"/>
          <w:color w:val="000000"/>
          <w:sz w:val="24"/>
          <w:szCs w:val="24"/>
          <w:lang w:eastAsia="es-MX"/>
        </w:rPr>
        <w:t xml:space="preserve">. Adicionalmente, nos parece absolutamente imprescindible que los criterios redistributivos sean igualmente considerados en la Ley 20.958 que establece un </w:t>
      </w:r>
      <w:r>
        <w:rPr>
          <w:rFonts w:ascii="Times New Roman" w:eastAsia="Times New Roman" w:hAnsi="Times New Roman" w:cs="Times New Roman"/>
          <w:color w:val="000000"/>
          <w:sz w:val="24"/>
          <w:szCs w:val="24"/>
          <w:lang w:eastAsia="es-MX"/>
        </w:rPr>
        <w:t>S</w:t>
      </w:r>
      <w:r w:rsidRPr="00392C74">
        <w:rPr>
          <w:rFonts w:ascii="Times New Roman" w:eastAsia="Times New Roman" w:hAnsi="Times New Roman" w:cs="Times New Roman"/>
          <w:color w:val="000000"/>
          <w:sz w:val="24"/>
          <w:szCs w:val="24"/>
          <w:lang w:eastAsia="es-MX"/>
        </w:rPr>
        <w:t>istema de</w:t>
      </w:r>
      <w:r>
        <w:rPr>
          <w:rFonts w:ascii="Times New Roman" w:eastAsia="Times New Roman" w:hAnsi="Times New Roman" w:cs="Times New Roman"/>
          <w:color w:val="000000"/>
          <w:sz w:val="24"/>
          <w:szCs w:val="24"/>
          <w:lang w:eastAsia="es-MX"/>
        </w:rPr>
        <w:t xml:space="preserve"> A</w:t>
      </w:r>
      <w:r w:rsidRPr="00392C74">
        <w:rPr>
          <w:rFonts w:ascii="Times New Roman" w:eastAsia="Times New Roman" w:hAnsi="Times New Roman" w:cs="Times New Roman"/>
          <w:color w:val="000000"/>
          <w:sz w:val="24"/>
          <w:szCs w:val="24"/>
          <w:lang w:eastAsia="es-MX"/>
        </w:rPr>
        <w:t xml:space="preserve">portes al </w:t>
      </w:r>
      <w:r>
        <w:rPr>
          <w:rFonts w:ascii="Times New Roman" w:eastAsia="Times New Roman" w:hAnsi="Times New Roman" w:cs="Times New Roman"/>
          <w:color w:val="000000"/>
          <w:sz w:val="24"/>
          <w:szCs w:val="24"/>
          <w:lang w:eastAsia="es-MX"/>
        </w:rPr>
        <w:t>E</w:t>
      </w:r>
      <w:r w:rsidRPr="00392C74">
        <w:rPr>
          <w:rFonts w:ascii="Times New Roman" w:eastAsia="Times New Roman" w:hAnsi="Times New Roman" w:cs="Times New Roman"/>
          <w:color w:val="000000"/>
          <w:sz w:val="24"/>
          <w:szCs w:val="24"/>
          <w:lang w:eastAsia="es-MX"/>
        </w:rPr>
        <w:t xml:space="preserve">spacio </w:t>
      </w:r>
      <w:r>
        <w:rPr>
          <w:rFonts w:ascii="Times New Roman" w:eastAsia="Times New Roman" w:hAnsi="Times New Roman" w:cs="Times New Roman"/>
          <w:color w:val="000000"/>
          <w:sz w:val="24"/>
          <w:szCs w:val="24"/>
          <w:lang w:eastAsia="es-MX"/>
        </w:rPr>
        <w:t>P</w:t>
      </w:r>
      <w:r w:rsidRPr="00392C74">
        <w:rPr>
          <w:rFonts w:ascii="Times New Roman" w:eastAsia="Times New Roman" w:hAnsi="Times New Roman" w:cs="Times New Roman"/>
          <w:color w:val="000000"/>
          <w:sz w:val="24"/>
          <w:szCs w:val="24"/>
          <w:lang w:eastAsia="es-MX"/>
        </w:rPr>
        <w:t>úblico. </w:t>
      </w:r>
    </w:p>
    <w:p w14:paraId="32D38596" w14:textId="52E9B9FF"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Por otra parte,  y a pesar de las numerosas advertencias realizadas por los organismos internacionales al Estado de Chile</w:t>
      </w:r>
      <w:r w:rsidRPr="00392C74">
        <w:rPr>
          <w:rStyle w:val="Refdenotaalpie"/>
          <w:rFonts w:ascii="Times New Roman" w:eastAsia="Times New Roman" w:hAnsi="Times New Roman"/>
          <w:color w:val="000000"/>
          <w:sz w:val="24"/>
          <w:szCs w:val="24"/>
          <w:lang w:eastAsia="es-MX"/>
        </w:rPr>
        <w:footnoteReference w:id="113"/>
      </w:r>
      <w:r w:rsidRPr="00392C74">
        <w:rPr>
          <w:rFonts w:ascii="Times New Roman" w:eastAsia="Times New Roman" w:hAnsi="Times New Roman" w:cs="Times New Roman"/>
          <w:color w:val="000000"/>
          <w:sz w:val="24"/>
          <w:szCs w:val="24"/>
          <w:lang w:eastAsia="es-MX"/>
        </w:rPr>
        <w:t>, hemos seguido presenciando numerosos casos de desalojos forzosos. En estos procedimientos consideramos especialmente crítico el ejercicio de violencia policial durante el desarrollo de los mismos</w:t>
      </w:r>
      <w:r w:rsidRPr="00392C74">
        <w:rPr>
          <w:rStyle w:val="Refdenotaalpie"/>
          <w:rFonts w:ascii="Times New Roman" w:eastAsia="Times New Roman" w:hAnsi="Times New Roman"/>
          <w:color w:val="000000"/>
          <w:sz w:val="24"/>
          <w:szCs w:val="24"/>
          <w:lang w:eastAsia="es-MX"/>
        </w:rPr>
        <w:footnoteReference w:id="114"/>
      </w:r>
      <w:r w:rsidRPr="00392C74">
        <w:rPr>
          <w:rFonts w:ascii="Times New Roman" w:eastAsia="Times New Roman" w:hAnsi="Times New Roman" w:cs="Times New Roman"/>
          <w:color w:val="000000"/>
          <w:sz w:val="24"/>
          <w:szCs w:val="24"/>
          <w:lang w:eastAsia="es-MX"/>
        </w:rPr>
        <w:t xml:space="preserve"> y, en general, la falta de apego a</w:t>
      </w:r>
      <w:r w:rsidR="00AB6552">
        <w:rPr>
          <w:rFonts w:ascii="Times New Roman" w:eastAsia="Times New Roman" w:hAnsi="Times New Roman" w:cs="Times New Roman"/>
          <w:color w:val="000000"/>
          <w:sz w:val="24"/>
          <w:szCs w:val="24"/>
          <w:lang w:eastAsia="es-MX"/>
        </w:rPr>
        <w:t xml:space="preserve"> la Observación General Nº4 y 7 del Comité DESC y de</w:t>
      </w:r>
      <w:r w:rsidRPr="00392C74">
        <w:rPr>
          <w:rFonts w:ascii="Times New Roman" w:eastAsia="Times New Roman" w:hAnsi="Times New Roman" w:cs="Times New Roman"/>
          <w:color w:val="000000"/>
          <w:sz w:val="24"/>
          <w:szCs w:val="24"/>
          <w:lang w:eastAsia="es-MX"/>
        </w:rPr>
        <w:t xml:space="preserve"> los </w:t>
      </w:r>
      <w:r w:rsidRPr="00AB6552">
        <w:rPr>
          <w:rFonts w:ascii="Times New Roman" w:eastAsia="Times New Roman" w:hAnsi="Times New Roman" w:cs="Times New Roman"/>
          <w:iCs/>
          <w:color w:val="000000"/>
          <w:sz w:val="24"/>
          <w:szCs w:val="24"/>
          <w:lang w:eastAsia="es-MX"/>
        </w:rPr>
        <w:t>principios básicos y directrices sobre los desalojos y el desplazamiento generados por el desarrollo</w:t>
      </w:r>
      <w:r w:rsidRPr="00392C74">
        <w:rPr>
          <w:rStyle w:val="Refdenotaalpie"/>
          <w:rFonts w:ascii="Times New Roman" w:eastAsia="Times New Roman" w:hAnsi="Times New Roman"/>
          <w:i/>
          <w:iCs/>
          <w:color w:val="000000"/>
          <w:sz w:val="24"/>
          <w:szCs w:val="24"/>
          <w:lang w:eastAsia="es-MX"/>
        </w:rPr>
        <w:footnoteReference w:id="115"/>
      </w:r>
      <w:r w:rsidRPr="00392C74">
        <w:rPr>
          <w:rFonts w:ascii="Times New Roman" w:eastAsia="Times New Roman" w:hAnsi="Times New Roman" w:cs="Times New Roman"/>
          <w:color w:val="000000"/>
          <w:sz w:val="24"/>
          <w:szCs w:val="24"/>
          <w:lang w:eastAsia="es-MX"/>
        </w:rPr>
        <w:t>. Es necesario recalcar la gravedad de la situación</w:t>
      </w:r>
      <w:r>
        <w:rPr>
          <w:rFonts w:ascii="Times New Roman" w:eastAsia="Times New Roman" w:hAnsi="Times New Roman" w:cs="Times New Roman"/>
          <w:color w:val="000000"/>
          <w:sz w:val="24"/>
          <w:szCs w:val="24"/>
          <w:lang w:eastAsia="es-MX"/>
        </w:rPr>
        <w:t>,</w:t>
      </w:r>
      <w:r w:rsidRPr="00392C74">
        <w:rPr>
          <w:rFonts w:ascii="Times New Roman" w:eastAsia="Times New Roman" w:hAnsi="Times New Roman" w:cs="Times New Roman"/>
          <w:color w:val="000000"/>
          <w:sz w:val="24"/>
          <w:szCs w:val="24"/>
          <w:lang w:eastAsia="es-MX"/>
        </w:rPr>
        <w:t xml:space="preserve"> en la medida que el Estado se hace parte activa de la vulneración </w:t>
      </w:r>
      <w:r w:rsidRPr="00392C74">
        <w:rPr>
          <w:rFonts w:ascii="Times New Roman" w:eastAsia="Times New Roman" w:hAnsi="Times New Roman" w:cs="Times New Roman"/>
          <w:color w:val="000000"/>
          <w:sz w:val="24"/>
          <w:szCs w:val="24"/>
          <w:lang w:eastAsia="es-MX"/>
        </w:rPr>
        <w:lastRenderedPageBreak/>
        <w:t>de los derechos básicos de las mujeres, los niños, las minorías, los pueblos indígenas y los más pobres.</w:t>
      </w:r>
    </w:p>
    <w:p w14:paraId="77B88B2E" w14:textId="09C2E5D2"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Las problemáticas identificadas se ven reflejadas inapelablemente en las cifras. Considerando los datos de</w:t>
      </w:r>
      <w:r w:rsidR="0047270D">
        <w:rPr>
          <w:rFonts w:ascii="Times New Roman" w:eastAsia="Times New Roman" w:hAnsi="Times New Roman" w:cs="Times New Roman"/>
          <w:color w:val="000000"/>
          <w:sz w:val="24"/>
          <w:szCs w:val="24"/>
          <w:lang w:eastAsia="es-MX"/>
        </w:rPr>
        <w:t xml:space="preserve"> la Encuesta de Caracterización</w:t>
      </w:r>
      <w:r w:rsidRPr="00392C74">
        <w:rPr>
          <w:rFonts w:ascii="Times New Roman" w:eastAsia="Times New Roman" w:hAnsi="Times New Roman" w:cs="Times New Roman"/>
          <w:color w:val="000000"/>
          <w:sz w:val="24"/>
          <w:szCs w:val="24"/>
          <w:lang w:eastAsia="es-MX"/>
        </w:rPr>
        <w:t xml:space="preserve"> Socioeconómica Nacional (CASEN), es posible evidenciar el aumento del déficit habitacional en los últimos años. Según las estimaciones de la Encuesta CASEN 2017, se requieren 497.625 viviendas nuevas para solucionar el déficit cuantitativo, mientras existen 1.303.484 viviendas que necesitan atención para subsanar el déficit cualitativo (ampliaciones, mejoras y acceso a servicios sanitarios); ambas cifras representan un aumento de 27% y 7% respectivamente en relación a los resultados de la Encuesta CASEN 2015, al mismo tiempo que son indicadores similares a los del año 2011, evidenciando un retroceso en condiciones de habitabilidad en el país.</w:t>
      </w:r>
    </w:p>
    <w:p w14:paraId="7DC04CAF"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Como hemos venido señalando, resulta extremadamente grave constatar que las condiciones de inequidad afectan especialmente a determinados grupos de la sociedad. En cuanto a ciudadanos migrantes, el 15,1% de los hogares en situación de déficit cuantitativo cuenta con miembros migrantes; además, mientras en 2015 el 7,9% de los hogares migrantes estaban en situación de déficit cuantitativo, esta cifra se elevó a 14,6% para el año 2017 (CASEN 2015, 2017). Por otra parte, uno de cada diez hogares afectados por el déficit cuantitativo cuenta con presencia de miembros pertenecientes a pueblos indígenas, mientras el 14,1% de los hogares en déficit tiene jefatura de hogar de tercera edad (sobre 60 años). Adoptando una perspectiva de género, el 34,1% de los hogares con requerimientos cuantitativos de vivienda son comandados por mujeres solteras. Además, una de cada tres viviendas irrecuperables (33,8%) está ubicada en zonas rurales.</w:t>
      </w:r>
    </w:p>
    <w:p w14:paraId="554AC1D8"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Asimismo, la situación de hacinamiento resulta particularmente alarmante. Aproximadamente 377.572 hogares viven en condiciones de hacinamiento, afectando a 1.745.665 personas que son parte de dichos hogares. Dicha situación vuelve a afectar a los grupos más desfavorecidos de la sociedad; dos de cada tres hogares pertenecen al 40% más pobre por ingresos, el 20,6% de los hogares migrantes se encuentra en situación de hacinamiento, uno de cada diez hogares cuenta con un jefe o jefa de hogar indígena, y uno de cada cinco hogares es liderado por madres solteras (CASEN 2017). </w:t>
      </w:r>
    </w:p>
    <w:p w14:paraId="2FFB6771"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Por otro lado, verificamos un aumento de hogares en situación de allegamiento (estrategia utilizada en los hogares para solucionar el problema de alojamiento que consiste en compartir una vivienda con otro hogar), pasando de 183.533 en 2015 a 300.158 en 2017, lo que representa un incremento equivalente al 63,5% en dos años (CASEN 2015, 2017). De los hogares allegados es posible detallar que el 12,6% son hogares con miembros indígenas, el 10,7% tiene un jefe o jefa de hogar de tercera edad y 35,2% es liderado por mujeres solteras. Además, en dos años se duplicó la proporción de hogares migrantes allegados; en 2015 el 6,5% de los hogares migrantes se encontraban en situación de allegamiento externo, mientras que en 2017 la cifra se elevó a 13,5% (CASEN 2015, 2017).</w:t>
      </w:r>
    </w:p>
    <w:p w14:paraId="5ABC2A13" w14:textId="06841BE9" w:rsidR="00D43446" w:rsidRDefault="00D43446" w:rsidP="00D43446">
      <w:pPr>
        <w:spacing w:after="0" w:line="276" w:lineRule="auto"/>
        <w:ind w:firstLine="708"/>
        <w:jc w:val="both"/>
        <w:rPr>
          <w:rFonts w:ascii="Times New Roman" w:eastAsia="Times New Roman" w:hAnsi="Times New Roman" w:cs="Times New Roman"/>
          <w:color w:val="000000"/>
          <w:sz w:val="24"/>
          <w:szCs w:val="24"/>
          <w:lang w:eastAsia="es-MX"/>
        </w:rPr>
      </w:pPr>
      <w:r w:rsidRPr="00392C74">
        <w:rPr>
          <w:rFonts w:ascii="Times New Roman" w:eastAsia="Times New Roman" w:hAnsi="Times New Roman" w:cs="Times New Roman"/>
          <w:color w:val="000000"/>
          <w:sz w:val="24"/>
          <w:szCs w:val="24"/>
          <w:lang w:eastAsia="es-MX"/>
        </w:rPr>
        <w:lastRenderedPageBreak/>
        <w:t>Todo lo anterior ha generado las condiciones propicias para el aumento del número de asentamientos informales</w:t>
      </w:r>
      <w:r>
        <w:rPr>
          <w:rStyle w:val="Refdenotaalpie"/>
          <w:rFonts w:ascii="Times New Roman" w:eastAsia="Times New Roman" w:hAnsi="Times New Roman"/>
          <w:color w:val="000000"/>
          <w:sz w:val="24"/>
          <w:szCs w:val="24"/>
          <w:lang w:eastAsia="es-MX"/>
        </w:rPr>
        <w:footnoteReference w:id="116"/>
      </w:r>
      <w:r w:rsidRPr="00392C74">
        <w:rPr>
          <w:rFonts w:ascii="Times New Roman" w:eastAsia="Times New Roman" w:hAnsi="Times New Roman" w:cs="Times New Roman"/>
          <w:color w:val="000000"/>
          <w:sz w:val="24"/>
          <w:szCs w:val="24"/>
          <w:lang w:eastAsia="es-MX"/>
        </w:rPr>
        <w:t>. Muestra de la ineficacia para abordar dicho fenómeno es su aumento durante la última década (2011-2019). Según cifras del Catastro Nacional de Campamentos 2019, los campamentos han aumentado de 657 en 2011 a 802 en 2019, lo que significa un aumento de un 22%; asimismo, las familias pasaron de 27.378 a 47.050 y las estimaciones indican que 111.767 personas habitan en dichos asentamientos informales</w:t>
      </w:r>
      <w:r>
        <w:rPr>
          <w:rStyle w:val="Refdenotaalpie"/>
          <w:rFonts w:ascii="Times New Roman" w:eastAsia="Times New Roman" w:hAnsi="Times New Roman"/>
          <w:color w:val="000000"/>
          <w:sz w:val="24"/>
          <w:szCs w:val="24"/>
          <w:lang w:eastAsia="es-MX"/>
        </w:rPr>
        <w:footnoteReference w:id="117"/>
      </w:r>
      <w:r w:rsidRPr="00392C74">
        <w:rPr>
          <w:rFonts w:ascii="Times New Roman" w:eastAsia="Times New Roman" w:hAnsi="Times New Roman" w:cs="Times New Roman"/>
          <w:color w:val="000000"/>
          <w:sz w:val="24"/>
          <w:szCs w:val="24"/>
          <w:lang w:eastAsia="es-MX"/>
        </w:rPr>
        <w:t>. Considerando los datos del Catastro Nacional de Campamentos 2015</w:t>
      </w:r>
      <w:r>
        <w:rPr>
          <w:rStyle w:val="Refdenotaalpie"/>
          <w:rFonts w:ascii="Times New Roman" w:eastAsia="Times New Roman" w:hAnsi="Times New Roman"/>
          <w:color w:val="000000"/>
          <w:sz w:val="24"/>
          <w:szCs w:val="24"/>
          <w:lang w:eastAsia="es-MX"/>
        </w:rPr>
        <w:footnoteReference w:id="118"/>
      </w:r>
      <w:r w:rsidRPr="00392C74">
        <w:rPr>
          <w:rFonts w:ascii="Times New Roman" w:eastAsia="Times New Roman" w:hAnsi="Times New Roman" w:cs="Times New Roman"/>
          <w:color w:val="000000"/>
          <w:sz w:val="24"/>
          <w:szCs w:val="24"/>
          <w:lang w:eastAsia="es-MX"/>
        </w:rPr>
        <w:t>, desde el año en que se elaboró el cuarto informe con observaciones para Chile, la cantidad de campamentos ha aumentado un 15,7% y han llegado 11.027 “nuevas” familias a vivir a estos territorios. La caracterización actual de estos asentamientos indica que el 27,4% de la población que vive en campamentos es migrante, el 55% cuenta con una jefatura de hogar femenina, el 24% de las familias decidió ir a vivir a campamentos para dejar su situación de allegamiento y el 31% por los altos costos de arriendo que ofrece el mercado.</w:t>
      </w:r>
    </w:p>
    <w:p w14:paraId="152F7045" w14:textId="57F2CA80" w:rsidR="00E01FB8" w:rsidRDefault="00E01FB8" w:rsidP="00D43446">
      <w:pPr>
        <w:spacing w:after="0" w:line="276" w:lineRule="auto"/>
        <w:ind w:firstLine="708"/>
        <w:jc w:val="both"/>
        <w:rPr>
          <w:rFonts w:ascii="Times New Roman" w:eastAsia="Times New Roman" w:hAnsi="Times New Roman" w:cs="Times New Roman"/>
          <w:color w:val="000000"/>
          <w:sz w:val="24"/>
          <w:szCs w:val="24"/>
          <w:lang w:eastAsia="es-MX"/>
        </w:rPr>
      </w:pPr>
    </w:p>
    <w:p w14:paraId="5C256CE7" w14:textId="0465120B" w:rsidR="00E01FB8" w:rsidRPr="007D3690" w:rsidRDefault="00AB6552" w:rsidP="00E01FB8">
      <w:pPr>
        <w:spacing w:after="0" w:line="276" w:lineRule="auto"/>
        <w:rPr>
          <w:rFonts w:ascii="Times New Roman" w:eastAsia="Times New Roman" w:hAnsi="Times New Roman" w:cs="Times New Roman"/>
          <w:i/>
          <w:sz w:val="24"/>
          <w:szCs w:val="24"/>
          <w:u w:val="single"/>
          <w:lang w:eastAsia="es-MX"/>
        </w:rPr>
      </w:pPr>
      <w:r>
        <w:rPr>
          <w:rFonts w:ascii="Times New Roman" w:eastAsia="Times New Roman" w:hAnsi="Times New Roman" w:cs="Times New Roman"/>
          <w:i/>
          <w:sz w:val="24"/>
          <w:szCs w:val="24"/>
          <w:u w:val="single"/>
          <w:lang w:eastAsia="es-MX"/>
        </w:rPr>
        <w:t xml:space="preserve">B. </w:t>
      </w:r>
      <w:r w:rsidR="00E01FB8" w:rsidRPr="00E01FB8">
        <w:rPr>
          <w:rFonts w:ascii="Times New Roman" w:eastAsia="Times New Roman" w:hAnsi="Times New Roman" w:cs="Times New Roman"/>
          <w:i/>
          <w:sz w:val="24"/>
          <w:szCs w:val="24"/>
          <w:u w:val="single"/>
          <w:lang w:eastAsia="es-MX"/>
        </w:rPr>
        <w:t>Instituciona</w:t>
      </w:r>
      <w:r w:rsidR="007D3690">
        <w:rPr>
          <w:rFonts w:ascii="Times New Roman" w:eastAsia="Times New Roman" w:hAnsi="Times New Roman" w:cs="Times New Roman"/>
          <w:i/>
          <w:sz w:val="24"/>
          <w:szCs w:val="24"/>
          <w:u w:val="single"/>
          <w:lang w:eastAsia="es-MX"/>
        </w:rPr>
        <w:t>lidad y participación ciudadana</w:t>
      </w:r>
    </w:p>
    <w:p w14:paraId="7FA6F470"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Además de las problemáticas ya tratadas, existen una serie de situaciones preocupantes en materia de ciudad y vivienda que creemos necesario poner en conocimiento del Comité. En especial, nos inquieta la falta de reconocimiento expreso a nivel constitucional del derecho a la vivienda adecuada y el establecimiento de los mecanismos orgánicos, jurídicos y presupuestarios para asegurar su cumplimiento. En relación a este punto, hemos podido verificar que el entendimiento de la vivienda como un bien de consumo, cuya transacción queda en manos de las condiciones que impone el mercado, ha posibilitado un aumento significativo del valor del suelo, y en particular del precio de las viviendas</w:t>
      </w:r>
      <w:r w:rsidRPr="00392C74">
        <w:rPr>
          <w:rStyle w:val="Refdenotaalpie"/>
          <w:rFonts w:ascii="Times New Roman" w:eastAsia="Times New Roman" w:hAnsi="Times New Roman"/>
          <w:color w:val="000000"/>
          <w:sz w:val="24"/>
          <w:szCs w:val="24"/>
          <w:lang w:eastAsia="es-MX"/>
        </w:rPr>
        <w:footnoteReference w:id="119"/>
      </w:r>
      <w:r w:rsidRPr="00392C74">
        <w:rPr>
          <w:rFonts w:ascii="Times New Roman" w:eastAsia="Times New Roman" w:hAnsi="Times New Roman" w:cs="Times New Roman"/>
          <w:color w:val="000000"/>
          <w:sz w:val="24"/>
          <w:szCs w:val="24"/>
          <w:lang w:eastAsia="es-MX"/>
        </w:rPr>
        <w:t>. Lo anterior es un fiel reflejo del abandono del rol garante del Estado en materia habitacional, y que junto a la falta de regulación en materia urbanística, ha tolerado que la planificación de la ciudad quede en manos de la rentabilidad y especulación inmobiliaria, privilegiando los intereses particulares sobre el bien común</w:t>
      </w:r>
      <w:r w:rsidRPr="00392C74">
        <w:rPr>
          <w:rStyle w:val="Refdenotaalpie"/>
          <w:rFonts w:ascii="Times New Roman" w:eastAsia="Times New Roman" w:hAnsi="Times New Roman"/>
          <w:color w:val="000000"/>
          <w:sz w:val="24"/>
          <w:szCs w:val="24"/>
          <w:lang w:eastAsia="es-MX"/>
        </w:rPr>
        <w:footnoteReference w:id="120"/>
      </w:r>
      <w:r w:rsidRPr="00392C74">
        <w:rPr>
          <w:rFonts w:ascii="Times New Roman" w:eastAsia="Times New Roman" w:hAnsi="Times New Roman" w:cs="Times New Roman"/>
          <w:color w:val="000000"/>
          <w:sz w:val="24"/>
          <w:szCs w:val="24"/>
          <w:lang w:eastAsia="es-MX"/>
        </w:rPr>
        <w:t>. </w:t>
      </w:r>
    </w:p>
    <w:p w14:paraId="694354A3" w14:textId="77777777" w:rsidR="00D43446" w:rsidRPr="00392C74" w:rsidRDefault="00D43446" w:rsidP="00D43446">
      <w:pPr>
        <w:spacing w:after="0" w:line="276" w:lineRule="auto"/>
        <w:ind w:firstLine="708"/>
        <w:jc w:val="both"/>
        <w:rPr>
          <w:rFonts w:ascii="Times New Roman" w:eastAsia="Times New Roman" w:hAnsi="Times New Roman" w:cs="Times New Roman"/>
          <w:sz w:val="24"/>
          <w:szCs w:val="24"/>
          <w:lang w:eastAsia="es-MX"/>
        </w:rPr>
      </w:pPr>
      <w:r w:rsidRPr="00392C74">
        <w:rPr>
          <w:rFonts w:ascii="Times New Roman" w:eastAsia="Times New Roman" w:hAnsi="Times New Roman" w:cs="Times New Roman"/>
          <w:color w:val="000000"/>
          <w:sz w:val="24"/>
          <w:szCs w:val="24"/>
          <w:lang w:eastAsia="es-MX"/>
        </w:rPr>
        <w:t xml:space="preserve">También nos inquieta la configuración de la institucionalidad política en materia urbanística. La Política Nacional de Desarrollo Urbano ha reconocido la necesidad de </w:t>
      </w:r>
      <w:r w:rsidRPr="00392C74">
        <w:rPr>
          <w:rFonts w:ascii="Times New Roman" w:eastAsia="Times New Roman" w:hAnsi="Times New Roman" w:cs="Times New Roman"/>
          <w:i/>
          <w:iCs/>
          <w:color w:val="000000"/>
          <w:sz w:val="24"/>
          <w:szCs w:val="24"/>
          <w:lang w:eastAsia="es-MX"/>
        </w:rPr>
        <w:t>“efectuar un reordenamiento institucional, tanto de la administración central como de los gobiernos locales…No basta con mejorar la coordinación. Nuestra institucionalidad debe avanzar hacia procesos integrados, planificados, descentralizados y participativos.”</w:t>
      </w:r>
      <w:r w:rsidRPr="00392C74">
        <w:rPr>
          <w:rFonts w:ascii="Times New Roman" w:eastAsia="Times New Roman" w:hAnsi="Times New Roman" w:cs="Times New Roman"/>
          <w:color w:val="000000"/>
          <w:sz w:val="24"/>
          <w:szCs w:val="24"/>
          <w:lang w:eastAsia="es-MX"/>
        </w:rPr>
        <w:t xml:space="preserve"> No </w:t>
      </w:r>
      <w:r w:rsidRPr="00392C74">
        <w:rPr>
          <w:rFonts w:ascii="Times New Roman" w:eastAsia="Times New Roman" w:hAnsi="Times New Roman" w:cs="Times New Roman"/>
          <w:color w:val="000000"/>
          <w:sz w:val="24"/>
          <w:szCs w:val="24"/>
          <w:lang w:eastAsia="es-MX"/>
        </w:rPr>
        <w:lastRenderedPageBreak/>
        <w:t>obstante, lamentablemente el Estado de Chile no ha sido capaz de movilizar dicha manifestación de nobles intenciones desde el papel hacia los territorios. Para cumplir con los estándares internacionales del derecho a la vivienda adecuada, es menester asumir el compromiso de diseñar una nueva institucionalidad territorial a través de mecanismos concretos y presupuestos que respondan a la magnitud del desafío.</w:t>
      </w:r>
    </w:p>
    <w:p w14:paraId="5712F23E" w14:textId="77777777" w:rsidR="00D43446" w:rsidRDefault="00D43446" w:rsidP="00D43446">
      <w:pPr>
        <w:spacing w:after="0" w:line="276" w:lineRule="auto"/>
        <w:ind w:firstLine="708"/>
        <w:jc w:val="both"/>
        <w:rPr>
          <w:rFonts w:ascii="Times New Roman" w:eastAsia="Times New Roman" w:hAnsi="Times New Roman" w:cs="Times New Roman"/>
          <w:color w:val="000000"/>
          <w:sz w:val="24"/>
          <w:szCs w:val="24"/>
          <w:lang w:eastAsia="es-MX"/>
        </w:rPr>
      </w:pPr>
      <w:r w:rsidRPr="00392C74">
        <w:rPr>
          <w:rFonts w:ascii="Times New Roman" w:eastAsia="Times New Roman" w:hAnsi="Times New Roman" w:cs="Times New Roman"/>
          <w:color w:val="000000"/>
          <w:sz w:val="24"/>
          <w:szCs w:val="24"/>
          <w:lang w:eastAsia="es-MX"/>
        </w:rPr>
        <w:t>Finalmente, creemos pertinente alertar sobre la falta de mecanismos en que se reconozca la participación de la ciudadanía. El reciente estallido social ha puesto de manifiesto la necesidad de asegurar una participación ciudadana directa, real y efectiva, en virtud de la cual las decisiones sobre la forma en que planificamos nuestras ciudades se tomen de manera conjunta con las comunidades, fomentando la autogestión de las mismas</w:t>
      </w:r>
      <w:r>
        <w:rPr>
          <w:rStyle w:val="Refdenotaalpie"/>
          <w:rFonts w:ascii="Times New Roman" w:eastAsia="Times New Roman" w:hAnsi="Times New Roman"/>
          <w:color w:val="000000"/>
          <w:sz w:val="24"/>
          <w:szCs w:val="24"/>
          <w:lang w:eastAsia="es-MX"/>
        </w:rPr>
        <w:footnoteReference w:id="121"/>
      </w:r>
      <w:r w:rsidRPr="00392C74">
        <w:rPr>
          <w:rFonts w:ascii="Times New Roman" w:eastAsia="Times New Roman" w:hAnsi="Times New Roman" w:cs="Times New Roman"/>
          <w:color w:val="000000"/>
          <w:sz w:val="24"/>
          <w:szCs w:val="24"/>
          <w:lang w:eastAsia="es-MX"/>
        </w:rPr>
        <w:t>. La voluntad política para lograr dicho objetivo también requiere establecer un marco de rendición de cuentas para la aplicación de políticas y planes no solo frente a los poderes del Estado, sino también ante la ciudadanía. </w:t>
      </w:r>
    </w:p>
    <w:p w14:paraId="0CE40620" w14:textId="77777777" w:rsidR="00D43446" w:rsidRDefault="00D43446" w:rsidP="00D43446">
      <w:pPr>
        <w:spacing w:after="0" w:line="276" w:lineRule="auto"/>
        <w:ind w:firstLine="708"/>
        <w:jc w:val="both"/>
        <w:rPr>
          <w:rFonts w:ascii="Times New Roman" w:eastAsia="Times New Roman" w:hAnsi="Times New Roman" w:cs="Times New Roman"/>
          <w:color w:val="000000"/>
          <w:sz w:val="24"/>
          <w:szCs w:val="24"/>
          <w:lang w:eastAsia="es-MX"/>
        </w:rPr>
      </w:pPr>
    </w:p>
    <w:p w14:paraId="22CBA5AF" w14:textId="77777777" w:rsidR="00D43446" w:rsidRPr="00CF24E8" w:rsidRDefault="00D43446" w:rsidP="00D43446">
      <w:pPr>
        <w:spacing w:after="0" w:line="276" w:lineRule="auto"/>
        <w:jc w:val="both"/>
        <w:rPr>
          <w:rFonts w:ascii="Times New Roman" w:eastAsia="Times New Roman" w:hAnsi="Times New Roman" w:cs="Times New Roman"/>
          <w:b/>
          <w:color w:val="000000"/>
          <w:sz w:val="24"/>
          <w:szCs w:val="24"/>
          <w:u w:val="single"/>
          <w:lang w:eastAsia="es-MX"/>
        </w:rPr>
      </w:pPr>
      <w:r w:rsidRPr="00CF24E8">
        <w:rPr>
          <w:rFonts w:ascii="Times New Roman" w:eastAsia="Times New Roman" w:hAnsi="Times New Roman" w:cs="Times New Roman"/>
          <w:b/>
          <w:color w:val="000000"/>
          <w:sz w:val="24"/>
          <w:szCs w:val="24"/>
          <w:u w:val="single"/>
          <w:lang w:eastAsia="es-MX"/>
        </w:rPr>
        <w:t xml:space="preserve">Preguntas sugeridas al Estado: </w:t>
      </w:r>
    </w:p>
    <w:p w14:paraId="799FFCEB" w14:textId="77777777" w:rsidR="00D43446" w:rsidRDefault="00D43446" w:rsidP="00D43446">
      <w:pPr>
        <w:spacing w:after="0" w:line="276" w:lineRule="auto"/>
        <w:jc w:val="both"/>
        <w:rPr>
          <w:rFonts w:ascii="Times New Roman" w:eastAsia="Times New Roman" w:hAnsi="Times New Roman" w:cs="Times New Roman"/>
          <w:color w:val="000000"/>
          <w:sz w:val="24"/>
          <w:szCs w:val="24"/>
          <w:lang w:eastAsia="es-MX"/>
        </w:rPr>
      </w:pPr>
    </w:p>
    <w:p w14:paraId="09B6B51E" w14:textId="50F840B1" w:rsidR="00D43446" w:rsidRDefault="00D43446" w:rsidP="00E40541">
      <w:pPr>
        <w:pStyle w:val="Prrafodelista"/>
        <w:numPr>
          <w:ilvl w:val="0"/>
          <w:numId w:val="6"/>
        </w:numPr>
        <w:spacing w:after="0" w:line="276" w:lineRule="auto"/>
        <w:jc w:val="both"/>
        <w:rPr>
          <w:rFonts w:ascii="Times New Roman" w:eastAsia="Times New Roman" w:hAnsi="Times New Roman" w:cs="Times New Roman"/>
          <w:sz w:val="24"/>
          <w:szCs w:val="24"/>
          <w:lang w:eastAsia="es-MX"/>
        </w:rPr>
      </w:pPr>
      <w:r>
        <w:rPr>
          <w:rFonts w:ascii="Times New Roman" w:eastAsia="Times New Roman" w:hAnsi="Times New Roman" w:cs="Times New Roman"/>
          <w:sz w:val="24"/>
          <w:szCs w:val="24"/>
          <w:lang w:eastAsia="es-MX"/>
        </w:rPr>
        <w:t>¿</w:t>
      </w:r>
      <w:r w:rsidRPr="00D43446">
        <w:rPr>
          <w:rFonts w:ascii="Times New Roman" w:eastAsia="Times New Roman" w:hAnsi="Times New Roman" w:cs="Times New Roman"/>
          <w:sz w:val="24"/>
          <w:szCs w:val="24"/>
          <w:lang w:eastAsia="es-MX"/>
        </w:rPr>
        <w:t xml:space="preserve">De qué manera el Estado ha implementado un enfoque de derechos humanos en el diseño e implementación de políticas públicas con el propósito de combatir la desigualdad urbana? </w:t>
      </w:r>
    </w:p>
    <w:p w14:paraId="7D1C70E7" w14:textId="77777777" w:rsidR="00D43446" w:rsidRPr="00CF24E8" w:rsidRDefault="00D43446" w:rsidP="00E40541">
      <w:pPr>
        <w:pStyle w:val="Prrafodelista"/>
        <w:numPr>
          <w:ilvl w:val="0"/>
          <w:numId w:val="6"/>
        </w:numPr>
        <w:spacing w:after="0" w:line="276" w:lineRule="auto"/>
        <w:jc w:val="both"/>
        <w:rPr>
          <w:rFonts w:ascii="Times New Roman" w:eastAsia="Times New Roman" w:hAnsi="Times New Roman" w:cs="Times New Roman"/>
          <w:sz w:val="24"/>
          <w:szCs w:val="24"/>
          <w:lang w:eastAsia="es-MX"/>
        </w:rPr>
      </w:pPr>
      <w:r>
        <w:rPr>
          <w:rFonts w:ascii="Times New Roman" w:eastAsia="Times New Roman" w:hAnsi="Times New Roman" w:cs="Times New Roman"/>
          <w:sz w:val="24"/>
          <w:szCs w:val="24"/>
          <w:lang w:eastAsia="es-MX"/>
        </w:rPr>
        <w:t xml:space="preserve">¿Qué medidas progresivas </w:t>
      </w:r>
      <w:r w:rsidRPr="00F3329B">
        <w:rPr>
          <w:rFonts w:ascii="Times New Roman" w:eastAsia="Times New Roman" w:hAnsi="Times New Roman" w:cs="Times New Roman"/>
          <w:sz w:val="24"/>
          <w:szCs w:val="24"/>
          <w:lang w:eastAsia="es-MX"/>
        </w:rPr>
        <w:t xml:space="preserve">ha adoptado </w:t>
      </w:r>
      <w:r>
        <w:rPr>
          <w:rFonts w:ascii="Times New Roman" w:eastAsia="Times New Roman" w:hAnsi="Times New Roman" w:cs="Times New Roman"/>
          <w:sz w:val="24"/>
          <w:szCs w:val="24"/>
          <w:lang w:eastAsia="es-MX"/>
        </w:rPr>
        <w:t>el E</w:t>
      </w:r>
      <w:r w:rsidRPr="00F3329B">
        <w:rPr>
          <w:rFonts w:ascii="Times New Roman" w:eastAsia="Times New Roman" w:hAnsi="Times New Roman" w:cs="Times New Roman"/>
          <w:sz w:val="24"/>
          <w:szCs w:val="24"/>
          <w:lang w:eastAsia="es-MX"/>
        </w:rPr>
        <w:t xml:space="preserve">stado para asegurar que los desalojos </w:t>
      </w:r>
      <w:r>
        <w:rPr>
          <w:rFonts w:ascii="Times New Roman" w:eastAsia="Times New Roman" w:hAnsi="Times New Roman" w:cs="Times New Roman"/>
          <w:sz w:val="24"/>
          <w:szCs w:val="24"/>
          <w:lang w:eastAsia="es-MX"/>
        </w:rPr>
        <w:t xml:space="preserve">forzosos </w:t>
      </w:r>
      <w:r w:rsidRPr="00F3329B">
        <w:rPr>
          <w:rFonts w:ascii="Times New Roman" w:eastAsia="Times New Roman" w:hAnsi="Times New Roman" w:cs="Times New Roman"/>
          <w:sz w:val="24"/>
          <w:szCs w:val="24"/>
          <w:lang w:eastAsia="es-MX"/>
        </w:rPr>
        <w:t>que se llevan a cabo cumplan con los estándares</w:t>
      </w:r>
      <w:r>
        <w:rPr>
          <w:rFonts w:ascii="Times New Roman" w:eastAsia="Times New Roman" w:hAnsi="Times New Roman" w:cs="Times New Roman"/>
          <w:sz w:val="24"/>
          <w:szCs w:val="24"/>
          <w:lang w:eastAsia="es-MX"/>
        </w:rPr>
        <w:t xml:space="preserve"> de derechos humanos</w:t>
      </w:r>
      <w:r w:rsidRPr="00F3329B">
        <w:rPr>
          <w:rFonts w:ascii="Times New Roman" w:eastAsia="Times New Roman" w:hAnsi="Times New Roman" w:cs="Times New Roman"/>
          <w:sz w:val="24"/>
          <w:szCs w:val="24"/>
          <w:lang w:eastAsia="es-MX"/>
        </w:rPr>
        <w:t xml:space="preserve"> y aseguren el derecho a una vivienda adecuada sin discriminación?</w:t>
      </w:r>
    </w:p>
    <w:p w14:paraId="7C76386F" w14:textId="644C7C24" w:rsidR="0047270D" w:rsidRDefault="00D43446" w:rsidP="00E40541">
      <w:pPr>
        <w:pStyle w:val="Prrafodelista"/>
        <w:numPr>
          <w:ilvl w:val="0"/>
          <w:numId w:val="6"/>
        </w:numPr>
        <w:spacing w:after="0" w:line="276" w:lineRule="auto"/>
        <w:jc w:val="both"/>
        <w:rPr>
          <w:rFonts w:ascii="Times New Roman" w:eastAsia="Times New Roman" w:hAnsi="Times New Roman" w:cs="Times New Roman"/>
          <w:sz w:val="24"/>
          <w:szCs w:val="24"/>
          <w:lang w:eastAsia="es-MX"/>
        </w:rPr>
      </w:pPr>
      <w:r w:rsidRPr="00CF24E8">
        <w:rPr>
          <w:rFonts w:ascii="Times New Roman" w:eastAsia="Times New Roman" w:hAnsi="Times New Roman" w:cs="Times New Roman"/>
          <w:sz w:val="24"/>
          <w:szCs w:val="24"/>
          <w:lang w:eastAsia="es-MX"/>
        </w:rPr>
        <w:t>¿</w:t>
      </w:r>
      <w:r w:rsidRPr="00F3329B">
        <w:rPr>
          <w:rFonts w:ascii="Times New Roman" w:eastAsia="Times New Roman" w:hAnsi="Times New Roman" w:cs="Times New Roman"/>
          <w:sz w:val="24"/>
          <w:szCs w:val="24"/>
          <w:lang w:eastAsia="es-MX"/>
        </w:rPr>
        <w:t>Cuáles son los pasos que el Estado está dando</w:t>
      </w:r>
      <w:r w:rsidR="0047270D">
        <w:rPr>
          <w:rFonts w:ascii="Times New Roman" w:eastAsia="Times New Roman" w:hAnsi="Times New Roman" w:cs="Times New Roman"/>
          <w:sz w:val="24"/>
          <w:szCs w:val="24"/>
          <w:lang w:eastAsia="es-MX"/>
        </w:rPr>
        <w:t xml:space="preserve"> para </w:t>
      </w:r>
      <w:r w:rsidRPr="00F3329B">
        <w:rPr>
          <w:rFonts w:ascii="Times New Roman" w:eastAsia="Times New Roman" w:hAnsi="Times New Roman" w:cs="Times New Roman"/>
          <w:sz w:val="24"/>
          <w:szCs w:val="24"/>
          <w:lang w:eastAsia="es-MX"/>
        </w:rPr>
        <w:t>revertir el proceso de financiarizacion de la vivienda y garantizar que la vivienda sea asequible para todos y todas?</w:t>
      </w:r>
    </w:p>
    <w:p w14:paraId="65436238" w14:textId="77777777" w:rsidR="00D969AC" w:rsidRPr="00D969AC" w:rsidRDefault="00D969AC" w:rsidP="00D969AC">
      <w:pPr>
        <w:pStyle w:val="Prrafodelista"/>
        <w:spacing w:after="0" w:line="276" w:lineRule="auto"/>
        <w:jc w:val="both"/>
        <w:rPr>
          <w:rFonts w:ascii="Times New Roman" w:eastAsia="Times New Roman" w:hAnsi="Times New Roman" w:cs="Times New Roman"/>
          <w:sz w:val="24"/>
          <w:szCs w:val="24"/>
          <w:lang w:eastAsia="es-MX"/>
        </w:rPr>
      </w:pPr>
    </w:p>
    <w:p w14:paraId="1E5E4D7C" w14:textId="6E4CA368" w:rsidR="00D43446" w:rsidRPr="00D969AC" w:rsidRDefault="00D43446" w:rsidP="00D43446">
      <w:pPr>
        <w:rPr>
          <w:rFonts w:ascii="Times New Roman" w:hAnsi="Times New Roman" w:cs="Times New Roman"/>
          <w:b/>
          <w:bCs/>
          <w:sz w:val="28"/>
          <w:szCs w:val="28"/>
          <w:lang w:val="es-CL"/>
        </w:rPr>
      </w:pPr>
      <w:r w:rsidRPr="00D969AC">
        <w:rPr>
          <w:rFonts w:ascii="Times New Roman" w:hAnsi="Times New Roman" w:cs="Times New Roman"/>
          <w:b/>
          <w:bCs/>
          <w:sz w:val="28"/>
          <w:szCs w:val="28"/>
          <w:lang w:val="es-CL"/>
        </w:rPr>
        <w:t xml:space="preserve">3. </w:t>
      </w:r>
      <w:r w:rsidR="00B27021" w:rsidRPr="00D969AC">
        <w:rPr>
          <w:rFonts w:ascii="Times New Roman" w:hAnsi="Times New Roman" w:cs="Times New Roman"/>
          <w:b/>
          <w:bCs/>
          <w:sz w:val="28"/>
          <w:szCs w:val="28"/>
          <w:lang w:val="es-CL"/>
        </w:rPr>
        <w:t xml:space="preserve">Derecho a la Salud Física y Mental </w:t>
      </w:r>
      <w:r w:rsidRPr="00D969AC">
        <w:rPr>
          <w:rFonts w:ascii="Times New Roman" w:hAnsi="Times New Roman" w:cs="Times New Roman"/>
          <w:b/>
          <w:bCs/>
          <w:sz w:val="28"/>
          <w:szCs w:val="28"/>
          <w:lang w:val="es-CL"/>
        </w:rPr>
        <w:t xml:space="preserve">(Artículo 12 PIDESC) </w:t>
      </w:r>
    </w:p>
    <w:p w14:paraId="22CF44D2" w14:textId="7EF56B5F" w:rsidR="00D43446" w:rsidRPr="00E46C81" w:rsidRDefault="0056525B" w:rsidP="00E46C81">
      <w:pPr>
        <w:spacing w:after="0"/>
        <w:ind w:firstLine="708"/>
        <w:jc w:val="both"/>
        <w:rPr>
          <w:rFonts w:ascii="Times New Roman" w:hAnsi="Times New Roman" w:cs="Times New Roman"/>
          <w:bCs/>
          <w:sz w:val="24"/>
          <w:szCs w:val="24"/>
          <w:lang w:val="es-CL"/>
        </w:rPr>
      </w:pPr>
      <w:r>
        <w:rPr>
          <w:rFonts w:ascii="Times New Roman" w:hAnsi="Times New Roman" w:cs="Times New Roman"/>
          <w:bCs/>
          <w:sz w:val="24"/>
          <w:szCs w:val="24"/>
          <w:lang w:val="es-CL"/>
        </w:rPr>
        <w:t>En el año 2015 el Comité DESC mostró su preocupación por la falta de acceso a servicios básicos de salud por parte de los sectores más vulnerables de la población en Chile, incluyendo las personas de bajos recursos, migrantes, refugiados y de grupos indígenas.</w:t>
      </w:r>
      <w:r>
        <w:rPr>
          <w:rStyle w:val="Refdenotaalpie"/>
          <w:rFonts w:ascii="Times New Roman" w:hAnsi="Times New Roman"/>
          <w:bCs/>
          <w:sz w:val="24"/>
          <w:szCs w:val="24"/>
          <w:lang w:val="es-CL"/>
        </w:rPr>
        <w:footnoteReference w:id="122"/>
      </w:r>
      <w:r>
        <w:rPr>
          <w:rFonts w:ascii="Times New Roman" w:hAnsi="Times New Roman" w:cs="Times New Roman"/>
          <w:bCs/>
          <w:sz w:val="24"/>
          <w:szCs w:val="24"/>
          <w:lang w:val="es-CL"/>
        </w:rPr>
        <w:t xml:space="preserve"> Cuatro años más tarde, la falta de acceso oportuno a la salud sigue siendo alarmante </w:t>
      </w:r>
      <w:r w:rsidR="00E46C81">
        <w:rPr>
          <w:rFonts w:ascii="Times New Roman" w:hAnsi="Times New Roman" w:cs="Times New Roman"/>
          <w:bCs/>
          <w:sz w:val="24"/>
          <w:szCs w:val="24"/>
          <w:lang w:val="es-CL"/>
        </w:rPr>
        <w:t>y es percibida como uno de los problemas más importantes para las personas en Chile.</w:t>
      </w:r>
      <w:r w:rsidR="00D43446" w:rsidRPr="003E4533">
        <w:rPr>
          <w:rStyle w:val="Refdenotaalpie"/>
          <w:rFonts w:ascii="Times New Roman" w:hAnsi="Times New Roman"/>
          <w:sz w:val="24"/>
          <w:szCs w:val="24"/>
          <w:lang w:val="es-CL"/>
        </w:rPr>
        <w:footnoteReference w:id="123"/>
      </w:r>
    </w:p>
    <w:p w14:paraId="048FFDAA" w14:textId="0C62B3AB" w:rsidR="00D43446" w:rsidRPr="00E448C5" w:rsidRDefault="00D43446" w:rsidP="00E46C81">
      <w:pPr>
        <w:spacing w:after="0"/>
        <w:ind w:firstLine="708"/>
        <w:jc w:val="both"/>
        <w:rPr>
          <w:rFonts w:ascii="Times New Roman" w:hAnsi="Times New Roman" w:cs="Times New Roman"/>
          <w:sz w:val="24"/>
          <w:szCs w:val="24"/>
          <w:lang w:val="es-CL"/>
        </w:rPr>
      </w:pPr>
      <w:r w:rsidRPr="00E448C5">
        <w:rPr>
          <w:rFonts w:ascii="Times New Roman" w:hAnsi="Times New Roman" w:cs="Times New Roman"/>
          <w:sz w:val="24"/>
          <w:szCs w:val="24"/>
          <w:lang w:val="es-CL"/>
        </w:rPr>
        <w:t xml:space="preserve">El último informe oficial de tiempos de espera para </w:t>
      </w:r>
      <w:r w:rsidRPr="003E4533">
        <w:rPr>
          <w:rFonts w:ascii="Times New Roman" w:hAnsi="Times New Roman" w:cs="Times New Roman"/>
          <w:sz w:val="24"/>
          <w:szCs w:val="24"/>
          <w:lang w:val="es-CL"/>
        </w:rPr>
        <w:t>atenciones</w:t>
      </w:r>
      <w:r w:rsidRPr="00E448C5">
        <w:rPr>
          <w:rFonts w:ascii="Times New Roman" w:hAnsi="Times New Roman" w:cs="Times New Roman"/>
          <w:sz w:val="24"/>
          <w:szCs w:val="24"/>
          <w:lang w:val="es-CL"/>
        </w:rPr>
        <w:t xml:space="preserve"> muestra </w:t>
      </w:r>
      <w:r w:rsidRPr="003E4533">
        <w:rPr>
          <w:rFonts w:ascii="Times New Roman" w:hAnsi="Times New Roman" w:cs="Times New Roman"/>
          <w:sz w:val="24"/>
          <w:szCs w:val="24"/>
          <w:lang w:val="es-CL"/>
        </w:rPr>
        <w:t>que,</w:t>
      </w:r>
      <w:r w:rsidRPr="00E448C5">
        <w:rPr>
          <w:rFonts w:ascii="Times New Roman" w:hAnsi="Times New Roman" w:cs="Times New Roman"/>
          <w:sz w:val="24"/>
          <w:szCs w:val="24"/>
          <w:lang w:val="es-CL"/>
        </w:rPr>
        <w:t xml:space="preserve"> en Chile en promedio, se espera cerca de un año por una atención de especialista en enfermeda</w:t>
      </w:r>
      <w:r w:rsidR="00E46C81">
        <w:rPr>
          <w:rFonts w:ascii="Times New Roman" w:hAnsi="Times New Roman" w:cs="Times New Roman"/>
          <w:sz w:val="24"/>
          <w:szCs w:val="24"/>
          <w:lang w:val="es-CL"/>
        </w:rPr>
        <w:t xml:space="preserve">des no incluidas en el plan GES, lo que afecta especialmente a los grupos más desventajados. </w:t>
      </w:r>
      <w:r w:rsidRPr="00E448C5">
        <w:rPr>
          <w:rFonts w:ascii="Times New Roman" w:hAnsi="Times New Roman" w:cs="Times New Roman"/>
          <w:sz w:val="24"/>
          <w:szCs w:val="24"/>
          <w:lang w:val="es-CL"/>
        </w:rPr>
        <w:t xml:space="preserve"> </w:t>
      </w:r>
      <w:r w:rsidR="00E46C81">
        <w:rPr>
          <w:rFonts w:ascii="Times New Roman" w:hAnsi="Times New Roman" w:cs="Times New Roman"/>
          <w:sz w:val="24"/>
          <w:szCs w:val="24"/>
          <w:lang w:val="es-CL"/>
        </w:rPr>
        <w:t>A</w:t>
      </w:r>
      <w:r w:rsidRPr="00E448C5">
        <w:rPr>
          <w:rFonts w:ascii="Times New Roman" w:hAnsi="Times New Roman" w:cs="Times New Roman"/>
          <w:sz w:val="24"/>
          <w:szCs w:val="24"/>
          <w:lang w:val="es-CL"/>
        </w:rPr>
        <w:t xml:space="preserve"> marzo de 2019 existían 1.860.581 casos en espera de una atención por especialista, con un </w:t>
      </w:r>
      <w:r w:rsidRPr="00E448C5">
        <w:rPr>
          <w:rFonts w:ascii="Times New Roman" w:hAnsi="Times New Roman" w:cs="Times New Roman"/>
          <w:sz w:val="24"/>
          <w:szCs w:val="24"/>
          <w:lang w:val="es-CL"/>
        </w:rPr>
        <w:lastRenderedPageBreak/>
        <w:t xml:space="preserve">tiempo de espera promedio de 363 días. En el caso de </w:t>
      </w:r>
      <w:r w:rsidRPr="003E4533">
        <w:rPr>
          <w:rFonts w:ascii="Times New Roman" w:hAnsi="Times New Roman" w:cs="Times New Roman"/>
          <w:sz w:val="24"/>
          <w:szCs w:val="24"/>
          <w:lang w:val="es-CL"/>
        </w:rPr>
        <w:t>las cirugías</w:t>
      </w:r>
      <w:r w:rsidRPr="00E448C5">
        <w:rPr>
          <w:rFonts w:ascii="Times New Roman" w:hAnsi="Times New Roman" w:cs="Times New Roman"/>
          <w:sz w:val="24"/>
          <w:szCs w:val="24"/>
          <w:lang w:val="es-CL"/>
        </w:rPr>
        <w:t xml:space="preserve"> que no están en el plan GES</w:t>
      </w:r>
      <w:r w:rsidRPr="003E4533">
        <w:rPr>
          <w:rStyle w:val="Refdenotaalpie"/>
          <w:rFonts w:ascii="Times New Roman" w:hAnsi="Times New Roman"/>
          <w:sz w:val="24"/>
          <w:szCs w:val="24"/>
          <w:lang w:val="es-CL"/>
        </w:rPr>
        <w:footnoteReference w:id="124"/>
      </w:r>
      <w:r w:rsidRPr="00E448C5">
        <w:rPr>
          <w:rFonts w:ascii="Times New Roman" w:hAnsi="Times New Roman" w:cs="Times New Roman"/>
          <w:sz w:val="24"/>
          <w:szCs w:val="24"/>
          <w:lang w:val="es-CL"/>
        </w:rPr>
        <w:t>, 250.968 casos esperan en promedio 331 días para operarse, una vez que fuera indicada la necesidad de la operación</w:t>
      </w:r>
      <w:r w:rsidRPr="003E4533">
        <w:rPr>
          <w:rStyle w:val="Refdenotaalpie"/>
          <w:rFonts w:ascii="Times New Roman" w:hAnsi="Times New Roman"/>
          <w:sz w:val="24"/>
          <w:szCs w:val="24"/>
          <w:lang w:val="es-CL"/>
        </w:rPr>
        <w:footnoteReference w:id="125"/>
      </w:r>
      <w:r w:rsidRPr="00E448C5">
        <w:rPr>
          <w:rFonts w:ascii="Times New Roman" w:hAnsi="Times New Roman" w:cs="Times New Roman"/>
          <w:sz w:val="24"/>
          <w:szCs w:val="24"/>
          <w:lang w:val="es-CL"/>
        </w:rPr>
        <w:t>.</w:t>
      </w:r>
      <w:r w:rsidR="00E46C81">
        <w:rPr>
          <w:rFonts w:ascii="Times New Roman" w:hAnsi="Times New Roman" w:cs="Times New Roman"/>
          <w:sz w:val="24"/>
          <w:szCs w:val="24"/>
          <w:lang w:val="es-CL"/>
        </w:rPr>
        <w:t xml:space="preserve"> Ambas circunstancias comprometen seriamente el goce del derecho a la salud física y mental sin discriminación de acuerdo a los estándares internacionales. </w:t>
      </w:r>
    </w:p>
    <w:p w14:paraId="23032047" w14:textId="77777777" w:rsidR="00D43446" w:rsidRPr="00E448C5" w:rsidRDefault="00D43446" w:rsidP="0056525B">
      <w:pPr>
        <w:spacing w:after="0"/>
        <w:ind w:firstLine="708"/>
        <w:jc w:val="both"/>
        <w:rPr>
          <w:rFonts w:ascii="Times New Roman" w:hAnsi="Times New Roman" w:cs="Times New Roman"/>
          <w:sz w:val="24"/>
          <w:szCs w:val="24"/>
          <w:lang w:val="es-CL"/>
        </w:rPr>
      </w:pPr>
      <w:r w:rsidRPr="00E448C5">
        <w:rPr>
          <w:rFonts w:ascii="Times New Roman" w:hAnsi="Times New Roman" w:cs="Times New Roman"/>
          <w:sz w:val="24"/>
          <w:szCs w:val="24"/>
          <w:lang w:val="es-CL"/>
        </w:rPr>
        <w:t>En términos de resultados, si bien nuestro país cuenta con una destacada trayectoria sanitaria, un estudio reciente mostró que la ciudad de Santiago es una de las más inequitativas de las grandes urbes del continente, respecto a la esperanza de vida en relación el barrio donde se habita. Este dramático resultado, fue una diferencia de 8,9 años en hombres y 17,7 años en mujeres en esperanza de vida, cifras solo superadas en su mal desempeño por la Ciudad de Panamá</w:t>
      </w:r>
      <w:r w:rsidRPr="003E4533">
        <w:rPr>
          <w:rStyle w:val="Refdenotaalpie"/>
          <w:rFonts w:ascii="Times New Roman" w:hAnsi="Times New Roman"/>
          <w:sz w:val="24"/>
          <w:szCs w:val="24"/>
          <w:lang w:val="es-CL"/>
        </w:rPr>
        <w:footnoteReference w:id="126"/>
      </w:r>
      <w:r w:rsidRPr="00E448C5">
        <w:rPr>
          <w:rFonts w:ascii="Times New Roman" w:hAnsi="Times New Roman" w:cs="Times New Roman"/>
          <w:sz w:val="24"/>
          <w:szCs w:val="24"/>
          <w:lang w:val="es-CL"/>
        </w:rPr>
        <w:t>.</w:t>
      </w:r>
    </w:p>
    <w:p w14:paraId="49F9FC24" w14:textId="37DA5E6B" w:rsidR="00D43446" w:rsidRPr="00E448C5" w:rsidRDefault="00D43446" w:rsidP="0056525B">
      <w:pPr>
        <w:spacing w:after="0"/>
        <w:ind w:firstLine="708"/>
        <w:jc w:val="both"/>
        <w:rPr>
          <w:rFonts w:ascii="Times New Roman" w:hAnsi="Times New Roman" w:cs="Times New Roman"/>
          <w:sz w:val="24"/>
          <w:szCs w:val="24"/>
          <w:lang w:val="es-CL"/>
        </w:rPr>
      </w:pPr>
      <w:r w:rsidRPr="00E448C5">
        <w:rPr>
          <w:rFonts w:ascii="Times New Roman" w:hAnsi="Times New Roman" w:cs="Times New Roman"/>
          <w:sz w:val="24"/>
          <w:szCs w:val="24"/>
          <w:lang w:val="es-CL"/>
        </w:rPr>
        <w:t xml:space="preserve">Las listas de espera y la desigualdad en nuestra esperanza de </w:t>
      </w:r>
      <w:r w:rsidRPr="003E4533">
        <w:rPr>
          <w:rFonts w:ascii="Times New Roman" w:hAnsi="Times New Roman" w:cs="Times New Roman"/>
          <w:sz w:val="24"/>
          <w:szCs w:val="24"/>
          <w:lang w:val="es-CL"/>
        </w:rPr>
        <w:t>vida</w:t>
      </w:r>
      <w:r w:rsidRPr="00E448C5">
        <w:rPr>
          <w:rFonts w:ascii="Times New Roman" w:hAnsi="Times New Roman" w:cs="Times New Roman"/>
          <w:sz w:val="24"/>
          <w:szCs w:val="24"/>
          <w:lang w:val="es-CL"/>
        </w:rPr>
        <w:t xml:space="preserve"> son solo algunos de los indicadores que reflejan los resultados de un sistema de salud </w:t>
      </w:r>
      <w:r w:rsidR="00A20F0F">
        <w:rPr>
          <w:rFonts w:ascii="Times New Roman" w:hAnsi="Times New Roman" w:cs="Times New Roman"/>
          <w:sz w:val="24"/>
          <w:szCs w:val="24"/>
          <w:lang w:val="es-CL"/>
        </w:rPr>
        <w:t xml:space="preserve">que segrega a las </w:t>
      </w:r>
      <w:r w:rsidRPr="00E448C5">
        <w:rPr>
          <w:rFonts w:ascii="Times New Roman" w:hAnsi="Times New Roman" w:cs="Times New Roman"/>
          <w:sz w:val="24"/>
          <w:szCs w:val="24"/>
          <w:lang w:val="es-CL"/>
        </w:rPr>
        <w:t>donde pers</w:t>
      </w:r>
      <w:r w:rsidR="00A20F0F">
        <w:rPr>
          <w:rFonts w:ascii="Times New Roman" w:hAnsi="Times New Roman" w:cs="Times New Roman"/>
          <w:sz w:val="24"/>
          <w:szCs w:val="24"/>
          <w:lang w:val="es-CL"/>
        </w:rPr>
        <w:t>onas según su capacidad de pago. El 80% de la población -</w:t>
      </w:r>
      <w:r w:rsidRPr="00E448C5">
        <w:rPr>
          <w:rFonts w:ascii="Times New Roman" w:hAnsi="Times New Roman" w:cs="Times New Roman"/>
          <w:sz w:val="24"/>
          <w:szCs w:val="24"/>
          <w:lang w:val="es-CL"/>
        </w:rPr>
        <w:t>de mayor vulnerabilidad</w:t>
      </w:r>
      <w:r w:rsidR="00A20F0F">
        <w:rPr>
          <w:rFonts w:ascii="Times New Roman" w:hAnsi="Times New Roman" w:cs="Times New Roman"/>
          <w:sz w:val="24"/>
          <w:szCs w:val="24"/>
          <w:lang w:val="es-CL"/>
        </w:rPr>
        <w:t>-</w:t>
      </w:r>
      <w:r w:rsidRPr="00E448C5">
        <w:rPr>
          <w:rFonts w:ascii="Times New Roman" w:hAnsi="Times New Roman" w:cs="Times New Roman"/>
          <w:sz w:val="24"/>
          <w:szCs w:val="24"/>
          <w:lang w:val="es-CL"/>
        </w:rPr>
        <w:t xml:space="preserve"> se encuentra asegurada por una entidad pública, que recibe en promedio un 32% menos de recursos por persona, que el sistema paralelo de seguros privados llamado ISAPRE</w:t>
      </w:r>
      <w:r w:rsidR="00A20F0F">
        <w:rPr>
          <w:rFonts w:ascii="Times New Roman" w:hAnsi="Times New Roman" w:cs="Times New Roman"/>
          <w:sz w:val="24"/>
          <w:szCs w:val="24"/>
          <w:lang w:val="es-CL"/>
        </w:rPr>
        <w:t>.</w:t>
      </w:r>
      <w:r w:rsidRPr="003E4533">
        <w:rPr>
          <w:rStyle w:val="Refdenotaalpie"/>
          <w:rFonts w:ascii="Times New Roman" w:hAnsi="Times New Roman"/>
          <w:sz w:val="24"/>
          <w:szCs w:val="24"/>
          <w:lang w:val="es-CL"/>
        </w:rPr>
        <w:footnoteReference w:id="127"/>
      </w:r>
      <w:r w:rsidRPr="00E448C5">
        <w:rPr>
          <w:rFonts w:ascii="Times New Roman" w:hAnsi="Times New Roman" w:cs="Times New Roman"/>
          <w:sz w:val="24"/>
          <w:szCs w:val="24"/>
          <w:lang w:val="es-CL"/>
        </w:rPr>
        <w:t xml:space="preserve"> Diferentes fallas de regulación han mantenido</w:t>
      </w:r>
      <w:r w:rsidR="00A20F0F">
        <w:rPr>
          <w:rFonts w:ascii="Times New Roman" w:hAnsi="Times New Roman" w:cs="Times New Roman"/>
          <w:sz w:val="24"/>
          <w:szCs w:val="24"/>
          <w:lang w:val="es-CL"/>
        </w:rPr>
        <w:t xml:space="preserve"> </w:t>
      </w:r>
      <w:r w:rsidR="00A20F0F" w:rsidRPr="00E448C5">
        <w:rPr>
          <w:rFonts w:ascii="Times New Roman" w:hAnsi="Times New Roman" w:cs="Times New Roman"/>
          <w:sz w:val="24"/>
          <w:szCs w:val="24"/>
          <w:lang w:val="es-CL"/>
        </w:rPr>
        <w:t>durante más de 40 años</w:t>
      </w:r>
      <w:r w:rsidRPr="00E448C5">
        <w:rPr>
          <w:rFonts w:ascii="Times New Roman" w:hAnsi="Times New Roman" w:cs="Times New Roman"/>
          <w:sz w:val="24"/>
          <w:szCs w:val="24"/>
          <w:lang w:val="es-CL"/>
        </w:rPr>
        <w:t xml:space="preserve"> sin cambios a estas entidades con fines de lucro creadas durante la dictadura militar, que tienen en la practica la capacidad de seleccionar a sus asegurados y presionar por “retornar” al sector público a quienes adquieren mayor riesgo o ya no pueden pagar sus primas</w:t>
      </w:r>
      <w:r w:rsidR="00A20F0F">
        <w:rPr>
          <w:rFonts w:ascii="Times New Roman" w:hAnsi="Times New Roman" w:cs="Times New Roman"/>
          <w:sz w:val="24"/>
          <w:szCs w:val="24"/>
          <w:lang w:val="es-CL"/>
        </w:rPr>
        <w:t>.</w:t>
      </w:r>
      <w:r w:rsidRPr="003E4533">
        <w:rPr>
          <w:rStyle w:val="Refdenotaalpie"/>
          <w:rFonts w:ascii="Times New Roman" w:hAnsi="Times New Roman"/>
          <w:sz w:val="24"/>
          <w:szCs w:val="24"/>
          <w:lang w:val="es-CL"/>
        </w:rPr>
        <w:footnoteReference w:id="128"/>
      </w:r>
      <w:r w:rsidRPr="00E448C5">
        <w:rPr>
          <w:rFonts w:ascii="Times New Roman" w:hAnsi="Times New Roman" w:cs="Times New Roman"/>
          <w:sz w:val="24"/>
          <w:szCs w:val="24"/>
          <w:lang w:val="es-CL"/>
        </w:rPr>
        <w:t xml:space="preserve"> </w:t>
      </w:r>
    </w:p>
    <w:p w14:paraId="164ABB56" w14:textId="5DC09AFD" w:rsidR="00D43446" w:rsidRPr="00E448C5" w:rsidRDefault="00D43446" w:rsidP="0056525B">
      <w:pPr>
        <w:spacing w:after="0"/>
        <w:ind w:firstLine="708"/>
        <w:jc w:val="both"/>
        <w:rPr>
          <w:rFonts w:ascii="Times New Roman" w:hAnsi="Times New Roman" w:cs="Times New Roman"/>
          <w:sz w:val="24"/>
          <w:szCs w:val="24"/>
          <w:lang w:val="es-CL"/>
        </w:rPr>
      </w:pPr>
      <w:r w:rsidRPr="00E448C5">
        <w:rPr>
          <w:rFonts w:ascii="Times New Roman" w:hAnsi="Times New Roman" w:cs="Times New Roman"/>
          <w:sz w:val="24"/>
          <w:szCs w:val="24"/>
          <w:lang w:val="es-CL"/>
        </w:rPr>
        <w:t>El</w:t>
      </w:r>
      <w:r w:rsidR="00AB6552">
        <w:rPr>
          <w:rFonts w:ascii="Times New Roman" w:hAnsi="Times New Roman" w:cs="Times New Roman"/>
          <w:sz w:val="24"/>
          <w:szCs w:val="24"/>
          <w:lang w:val="es-CL"/>
        </w:rPr>
        <w:t xml:space="preserve"> resultado de este desbalance se traduce en</w:t>
      </w:r>
      <w:r w:rsidRPr="00E448C5">
        <w:rPr>
          <w:rFonts w:ascii="Times New Roman" w:hAnsi="Times New Roman" w:cs="Times New Roman"/>
          <w:sz w:val="24"/>
          <w:szCs w:val="24"/>
          <w:lang w:val="es-CL"/>
        </w:rPr>
        <w:t xml:space="preserve"> que el sector público cuenta con menos recursos para hacerse cargo de este enorme número de personas, con mayor riesgo y carga de enfermedad</w:t>
      </w:r>
      <w:r w:rsidR="00A20F0F">
        <w:rPr>
          <w:rFonts w:ascii="Times New Roman" w:hAnsi="Times New Roman" w:cs="Times New Roman"/>
          <w:sz w:val="24"/>
          <w:szCs w:val="24"/>
          <w:lang w:val="es-CL"/>
        </w:rPr>
        <w:t>es</w:t>
      </w:r>
      <w:r w:rsidRPr="00E448C5">
        <w:rPr>
          <w:rFonts w:ascii="Times New Roman" w:hAnsi="Times New Roman" w:cs="Times New Roman"/>
          <w:sz w:val="24"/>
          <w:szCs w:val="24"/>
          <w:lang w:val="es-CL"/>
        </w:rPr>
        <w:t>. En el caso de los profesionales médicos</w:t>
      </w:r>
      <w:r w:rsidR="00A20F0F">
        <w:rPr>
          <w:rFonts w:ascii="Times New Roman" w:hAnsi="Times New Roman" w:cs="Times New Roman"/>
          <w:sz w:val="24"/>
          <w:szCs w:val="24"/>
          <w:lang w:val="es-CL"/>
        </w:rPr>
        <w:t>,</w:t>
      </w:r>
      <w:r w:rsidRPr="00E448C5">
        <w:rPr>
          <w:rFonts w:ascii="Times New Roman" w:hAnsi="Times New Roman" w:cs="Times New Roman"/>
          <w:sz w:val="24"/>
          <w:szCs w:val="24"/>
          <w:lang w:val="es-CL"/>
        </w:rPr>
        <w:t xml:space="preserve"> de un total de </w:t>
      </w:r>
      <w:r w:rsidR="00A20F0F">
        <w:rPr>
          <w:rFonts w:ascii="Times New Roman" w:hAnsi="Times New Roman" w:cs="Times New Roman"/>
          <w:sz w:val="24"/>
          <w:szCs w:val="24"/>
          <w:lang w:val="es-CL"/>
        </w:rPr>
        <w:t xml:space="preserve">40.173 facultativos en el país </w:t>
      </w:r>
      <w:r w:rsidRPr="00E448C5">
        <w:rPr>
          <w:rFonts w:ascii="Times New Roman" w:hAnsi="Times New Roman" w:cs="Times New Roman"/>
          <w:sz w:val="24"/>
          <w:szCs w:val="24"/>
          <w:lang w:val="es-CL"/>
        </w:rPr>
        <w:t>solo 21.438 trabajan en el sector público para atender al 80% de la población; siendo este indicador una evidencia robusta de un sistema dividido según capacidad de pago, donde el 80% de las personas cuentan con casi la misma cantidad de médicos para atenderse que el 15% más acomodado</w:t>
      </w:r>
      <w:r w:rsidR="00A20F0F">
        <w:rPr>
          <w:rFonts w:ascii="Times New Roman" w:hAnsi="Times New Roman" w:cs="Times New Roman"/>
          <w:sz w:val="24"/>
          <w:szCs w:val="24"/>
          <w:lang w:val="es-CL"/>
        </w:rPr>
        <w:t>.</w:t>
      </w:r>
      <w:r w:rsidRPr="003E4533">
        <w:rPr>
          <w:rStyle w:val="Refdenotaalpie"/>
          <w:rFonts w:ascii="Times New Roman" w:hAnsi="Times New Roman"/>
          <w:sz w:val="24"/>
          <w:szCs w:val="24"/>
          <w:lang w:val="es-CL"/>
        </w:rPr>
        <w:footnoteReference w:id="129"/>
      </w:r>
      <w:r w:rsidRPr="00E448C5">
        <w:rPr>
          <w:rFonts w:ascii="Times New Roman" w:hAnsi="Times New Roman" w:cs="Times New Roman"/>
          <w:sz w:val="24"/>
          <w:szCs w:val="24"/>
          <w:lang w:val="es-CL"/>
        </w:rPr>
        <w:t xml:space="preserve"> Adicionalmente, nuestra población presenta altos factores de riesgo para enfermar, alta prevalencia de malnutrición por exceso, consumo de tabaco y alcohol, entre otros</w:t>
      </w:r>
      <w:r w:rsidR="00A20F0F">
        <w:rPr>
          <w:rFonts w:ascii="Times New Roman" w:hAnsi="Times New Roman" w:cs="Times New Roman"/>
          <w:sz w:val="24"/>
          <w:szCs w:val="24"/>
          <w:lang w:val="es-CL"/>
        </w:rPr>
        <w:t>.</w:t>
      </w:r>
      <w:r w:rsidRPr="003E4533">
        <w:rPr>
          <w:rStyle w:val="Refdenotaalpie"/>
          <w:rFonts w:ascii="Times New Roman" w:hAnsi="Times New Roman"/>
          <w:sz w:val="24"/>
          <w:szCs w:val="24"/>
          <w:lang w:val="es-CL"/>
        </w:rPr>
        <w:footnoteReference w:id="130"/>
      </w:r>
    </w:p>
    <w:p w14:paraId="717C5520" w14:textId="585B5D8E" w:rsidR="00D43446" w:rsidRPr="00E448C5" w:rsidRDefault="00D43446" w:rsidP="00A20F0F">
      <w:pPr>
        <w:spacing w:after="0"/>
        <w:ind w:firstLine="708"/>
        <w:jc w:val="both"/>
        <w:rPr>
          <w:rFonts w:ascii="Times New Roman" w:hAnsi="Times New Roman" w:cs="Times New Roman"/>
          <w:sz w:val="24"/>
          <w:szCs w:val="24"/>
          <w:lang w:val="es-CL"/>
        </w:rPr>
      </w:pPr>
      <w:r w:rsidRPr="00E448C5">
        <w:rPr>
          <w:rFonts w:ascii="Times New Roman" w:hAnsi="Times New Roman" w:cs="Times New Roman"/>
          <w:sz w:val="24"/>
          <w:szCs w:val="24"/>
          <w:lang w:val="es-CL"/>
        </w:rPr>
        <w:t>Estimaciones en base al último presupuesto de la nación, concluyen que nuestro país invierte aproximadamente un 4,9% del PIB en gasto público para salud. Comparaciones de gasto en salud ajustado a poder de compra, concluyen que Chile gasta casi la mitad que el promedio de los países agrupados en la OECD</w:t>
      </w:r>
      <w:r w:rsidR="00A20F0F">
        <w:rPr>
          <w:rFonts w:ascii="Times New Roman" w:hAnsi="Times New Roman" w:cs="Times New Roman"/>
          <w:sz w:val="24"/>
          <w:szCs w:val="24"/>
          <w:lang w:val="es-CL"/>
        </w:rPr>
        <w:t>.</w:t>
      </w:r>
      <w:r w:rsidRPr="003E4533">
        <w:rPr>
          <w:rStyle w:val="Refdenotaalpie"/>
          <w:rFonts w:ascii="Times New Roman" w:hAnsi="Times New Roman"/>
          <w:sz w:val="24"/>
          <w:szCs w:val="24"/>
          <w:lang w:val="es-CL"/>
        </w:rPr>
        <w:footnoteReference w:id="131"/>
      </w:r>
      <w:r w:rsidR="00A20F0F">
        <w:rPr>
          <w:rFonts w:ascii="Times New Roman" w:hAnsi="Times New Roman" w:cs="Times New Roman"/>
          <w:sz w:val="24"/>
          <w:szCs w:val="24"/>
          <w:lang w:val="es-CL"/>
        </w:rPr>
        <w:t xml:space="preserve"> </w:t>
      </w:r>
      <w:r w:rsidRPr="00E448C5">
        <w:rPr>
          <w:rFonts w:ascii="Times New Roman" w:hAnsi="Times New Roman" w:cs="Times New Roman"/>
          <w:sz w:val="24"/>
          <w:szCs w:val="24"/>
          <w:lang w:val="es-CL"/>
        </w:rPr>
        <w:t xml:space="preserve">El gasto público reducido se acompaña de </w:t>
      </w:r>
      <w:r w:rsidRPr="00E448C5">
        <w:rPr>
          <w:rFonts w:ascii="Times New Roman" w:hAnsi="Times New Roman" w:cs="Times New Roman"/>
          <w:sz w:val="24"/>
          <w:szCs w:val="24"/>
          <w:lang w:val="es-CL"/>
        </w:rPr>
        <w:lastRenderedPageBreak/>
        <w:t xml:space="preserve">un alto gasto </w:t>
      </w:r>
      <w:r w:rsidR="00A20F0F">
        <w:rPr>
          <w:rFonts w:ascii="Times New Roman" w:hAnsi="Times New Roman" w:cs="Times New Roman"/>
          <w:sz w:val="24"/>
          <w:szCs w:val="24"/>
          <w:lang w:val="es-CL"/>
        </w:rPr>
        <w:t>por hogar</w:t>
      </w:r>
      <w:r w:rsidRPr="00E448C5">
        <w:rPr>
          <w:rFonts w:ascii="Times New Roman" w:hAnsi="Times New Roman" w:cs="Times New Roman"/>
          <w:sz w:val="24"/>
          <w:szCs w:val="24"/>
          <w:lang w:val="es-CL"/>
        </w:rPr>
        <w:t>, el cual corresponde a un 34% del gasto total en salud</w:t>
      </w:r>
      <w:r w:rsidR="00AB6552">
        <w:rPr>
          <w:rFonts w:ascii="Times New Roman" w:hAnsi="Times New Roman" w:cs="Times New Roman"/>
          <w:sz w:val="24"/>
          <w:szCs w:val="24"/>
          <w:lang w:val="es-CL"/>
        </w:rPr>
        <w:t>.</w:t>
      </w:r>
      <w:r w:rsidRPr="003E4533">
        <w:rPr>
          <w:rStyle w:val="Refdenotaalpie"/>
          <w:rFonts w:ascii="Times New Roman" w:hAnsi="Times New Roman"/>
          <w:sz w:val="24"/>
          <w:szCs w:val="24"/>
          <w:lang w:val="es-CL"/>
        </w:rPr>
        <w:footnoteReference w:id="132"/>
      </w:r>
      <w:r w:rsidRPr="00E448C5">
        <w:rPr>
          <w:rFonts w:ascii="Times New Roman" w:hAnsi="Times New Roman" w:cs="Times New Roman"/>
          <w:sz w:val="24"/>
          <w:szCs w:val="24"/>
          <w:lang w:val="es-CL"/>
        </w:rPr>
        <w:t xml:space="preserve"> A pesar de que el gasto de bolsillo es un componente del gasto suma</w:t>
      </w:r>
      <w:r w:rsidR="00AB6552">
        <w:rPr>
          <w:rFonts w:ascii="Times New Roman" w:hAnsi="Times New Roman" w:cs="Times New Roman"/>
          <w:sz w:val="24"/>
          <w:szCs w:val="24"/>
          <w:lang w:val="es-CL"/>
        </w:rPr>
        <w:t>mente regresivo, Chile es el cuarto</w:t>
      </w:r>
      <w:r w:rsidRPr="00E448C5">
        <w:rPr>
          <w:rFonts w:ascii="Times New Roman" w:hAnsi="Times New Roman" w:cs="Times New Roman"/>
          <w:sz w:val="24"/>
          <w:szCs w:val="24"/>
          <w:lang w:val="es-CL"/>
        </w:rPr>
        <w:t xml:space="preserve"> país de la OECD con las mayores cifras en este ítem. El mayor componente del gasto de bolsillo corresponde a los medicamentos, que no han logrado tener una cobertura adecuada por el sistema de salud. </w:t>
      </w:r>
    </w:p>
    <w:p w14:paraId="49DAA004" w14:textId="5D56F8C7" w:rsidR="00D43446" w:rsidRDefault="00D43446" w:rsidP="0056525B">
      <w:pPr>
        <w:spacing w:after="0"/>
        <w:ind w:firstLine="708"/>
        <w:jc w:val="both"/>
        <w:rPr>
          <w:rFonts w:ascii="Times New Roman" w:hAnsi="Times New Roman" w:cs="Times New Roman"/>
          <w:sz w:val="24"/>
          <w:szCs w:val="24"/>
          <w:lang w:val="es-CL"/>
        </w:rPr>
      </w:pPr>
      <w:r w:rsidRPr="00E448C5">
        <w:rPr>
          <w:rFonts w:ascii="Times New Roman" w:hAnsi="Times New Roman" w:cs="Times New Roman"/>
          <w:sz w:val="24"/>
          <w:szCs w:val="24"/>
          <w:lang w:val="es-CL"/>
        </w:rPr>
        <w:t xml:space="preserve">Lamentablemente, la actual propuesta de reforma a la salud planteada por el ejecutivo consiste en reformas parciales al seguro público y privado, que se reducen a la resolución de listas de espera del sector público y el abordaje de ciertos abusos del sector privado. Las reformas planteadas mantienen las falencias estructurales del sistema de salud arrastradas por décadas, perpetuando la segmentación de la población, y la coexistencia de un sistema de salud para la población de bajos recursos, y otro para la de altos recursos. También, estas tampoco aumentan la necesaria solidaridad a un sistema que responda a las lógicas de la seguridad social. Es fundamental que en las próximas discusiones se aborden desde la raíz los problemas de un sistema de salud que no cumple con la necesaria protección equitativa de la ciudadanía en materia de derecho a la salud. </w:t>
      </w:r>
    </w:p>
    <w:p w14:paraId="6C92D836" w14:textId="77777777" w:rsidR="0056525B" w:rsidRPr="00E448C5" w:rsidRDefault="0056525B" w:rsidP="0056525B">
      <w:pPr>
        <w:spacing w:after="0"/>
        <w:ind w:firstLine="708"/>
        <w:jc w:val="both"/>
        <w:rPr>
          <w:rFonts w:ascii="Times New Roman" w:hAnsi="Times New Roman" w:cs="Times New Roman"/>
          <w:sz w:val="24"/>
          <w:szCs w:val="24"/>
          <w:lang w:val="es-CL"/>
        </w:rPr>
      </w:pPr>
    </w:p>
    <w:p w14:paraId="633988CD" w14:textId="77777777" w:rsidR="00D43446" w:rsidRDefault="00D43446" w:rsidP="00D43446">
      <w:pPr>
        <w:rPr>
          <w:rFonts w:ascii="Times New Roman" w:hAnsi="Times New Roman" w:cs="Times New Roman"/>
          <w:b/>
          <w:bCs/>
          <w:sz w:val="24"/>
          <w:szCs w:val="24"/>
          <w:u w:val="single"/>
          <w:lang w:val="es-CL"/>
        </w:rPr>
      </w:pPr>
      <w:r w:rsidRPr="00441C49">
        <w:rPr>
          <w:rFonts w:ascii="Times New Roman" w:hAnsi="Times New Roman" w:cs="Times New Roman"/>
          <w:b/>
          <w:bCs/>
          <w:sz w:val="24"/>
          <w:szCs w:val="24"/>
          <w:u w:val="single"/>
          <w:lang w:val="es-CL"/>
        </w:rPr>
        <w:t>Preguntas sugeridas al Estado</w:t>
      </w:r>
      <w:r>
        <w:rPr>
          <w:rFonts w:ascii="Times New Roman" w:hAnsi="Times New Roman" w:cs="Times New Roman"/>
          <w:b/>
          <w:bCs/>
          <w:sz w:val="24"/>
          <w:szCs w:val="24"/>
          <w:u w:val="single"/>
          <w:lang w:val="es-CL"/>
        </w:rPr>
        <w:t>:</w:t>
      </w:r>
    </w:p>
    <w:p w14:paraId="31420806" w14:textId="77777777" w:rsidR="00D43446" w:rsidRDefault="00D43446" w:rsidP="00E40541">
      <w:pPr>
        <w:pStyle w:val="Prrafodelista"/>
        <w:numPr>
          <w:ilvl w:val="0"/>
          <w:numId w:val="7"/>
        </w:numPr>
        <w:rPr>
          <w:rFonts w:ascii="Times New Roman" w:hAnsi="Times New Roman" w:cs="Times New Roman"/>
          <w:bCs/>
          <w:sz w:val="24"/>
          <w:szCs w:val="24"/>
          <w:lang w:val="es-CL"/>
        </w:rPr>
      </w:pPr>
      <w:r>
        <w:rPr>
          <w:rFonts w:ascii="Times New Roman" w:hAnsi="Times New Roman" w:cs="Times New Roman"/>
          <w:bCs/>
          <w:sz w:val="24"/>
          <w:szCs w:val="24"/>
          <w:lang w:val="es-CL"/>
        </w:rPr>
        <w:t xml:space="preserve">¿Qué acciones e iniciativas ha desarrollado el Estado para abordar las desigualdades en el ámbito de la salud, particularmente aquellas que refieren a mortalidad infantil, esperanza de vida y enfermedades crónicas? </w:t>
      </w:r>
    </w:p>
    <w:p w14:paraId="2DD4C7B5" w14:textId="2CBCACAB" w:rsidR="0047270D" w:rsidRPr="007D3690" w:rsidRDefault="00D43446" w:rsidP="00E40541">
      <w:pPr>
        <w:pStyle w:val="Prrafodelista"/>
        <w:numPr>
          <w:ilvl w:val="0"/>
          <w:numId w:val="7"/>
        </w:numPr>
        <w:rPr>
          <w:rFonts w:ascii="Times New Roman" w:hAnsi="Times New Roman" w:cs="Times New Roman"/>
          <w:bCs/>
          <w:sz w:val="24"/>
          <w:szCs w:val="24"/>
          <w:lang w:val="es-CL"/>
        </w:rPr>
      </w:pPr>
      <w:r>
        <w:rPr>
          <w:rFonts w:ascii="Times New Roman" w:hAnsi="Times New Roman" w:cs="Times New Roman"/>
          <w:bCs/>
          <w:sz w:val="24"/>
          <w:szCs w:val="24"/>
          <w:lang w:val="es-CL"/>
        </w:rPr>
        <w:t xml:space="preserve">¿Qué medidas ha adoptado el Estado para realizar progresivamente el derecho a la salud </w:t>
      </w:r>
      <w:r>
        <w:rPr>
          <w:rFonts w:ascii="Times New Roman" w:hAnsi="Times New Roman" w:cs="Times New Roman"/>
          <w:bCs/>
          <w:sz w:val="24"/>
          <w:szCs w:val="24"/>
        </w:rPr>
        <w:t xml:space="preserve">considerando la disponibilidad, accesibilidad, adecuación y </w:t>
      </w:r>
      <w:r w:rsidRPr="002E4B47">
        <w:rPr>
          <w:rFonts w:ascii="Times New Roman" w:hAnsi="Times New Roman" w:cs="Times New Roman"/>
          <w:bCs/>
          <w:sz w:val="24"/>
          <w:szCs w:val="24"/>
        </w:rPr>
        <w:t xml:space="preserve">calidad de las </w:t>
      </w:r>
      <w:r>
        <w:rPr>
          <w:rFonts w:ascii="Times New Roman" w:hAnsi="Times New Roman" w:cs="Times New Roman"/>
          <w:bCs/>
          <w:sz w:val="24"/>
          <w:szCs w:val="24"/>
        </w:rPr>
        <w:t xml:space="preserve">de las prestaciones públicas de salud sin discriminación? </w:t>
      </w:r>
    </w:p>
    <w:p w14:paraId="68D89714" w14:textId="0C5920EF" w:rsidR="009F5D3E" w:rsidRPr="00D969AC" w:rsidRDefault="00D43446" w:rsidP="00BA10EF">
      <w:pPr>
        <w:spacing w:after="0" w:line="276" w:lineRule="auto"/>
        <w:jc w:val="both"/>
        <w:rPr>
          <w:rFonts w:ascii="Times New Roman" w:eastAsia="Times New Roman" w:hAnsi="Times New Roman" w:cs="Times New Roman"/>
          <w:b/>
          <w:bCs/>
          <w:sz w:val="28"/>
          <w:szCs w:val="28"/>
          <w:lang w:eastAsia="es-MX"/>
        </w:rPr>
      </w:pPr>
      <w:r w:rsidRPr="00D969AC">
        <w:rPr>
          <w:rFonts w:ascii="Times New Roman" w:eastAsia="Times New Roman" w:hAnsi="Times New Roman" w:cs="Times New Roman"/>
          <w:b/>
          <w:bCs/>
          <w:color w:val="000000"/>
          <w:sz w:val="28"/>
          <w:szCs w:val="28"/>
          <w:lang w:eastAsia="es-MX"/>
        </w:rPr>
        <w:t>4</w:t>
      </w:r>
      <w:r w:rsidR="009F5D3E" w:rsidRPr="00D969AC">
        <w:rPr>
          <w:rFonts w:ascii="Times New Roman" w:eastAsia="Times New Roman" w:hAnsi="Times New Roman" w:cs="Times New Roman"/>
          <w:b/>
          <w:bCs/>
          <w:color w:val="000000"/>
          <w:sz w:val="28"/>
          <w:szCs w:val="28"/>
          <w:lang w:eastAsia="es-MX"/>
        </w:rPr>
        <w:t xml:space="preserve">. </w:t>
      </w:r>
      <w:r w:rsidR="00B27021" w:rsidRPr="00D969AC">
        <w:rPr>
          <w:rFonts w:ascii="Times New Roman" w:eastAsia="Times New Roman" w:hAnsi="Times New Roman" w:cs="Times New Roman"/>
          <w:b/>
          <w:bCs/>
          <w:color w:val="000000"/>
          <w:sz w:val="28"/>
          <w:szCs w:val="28"/>
          <w:lang w:eastAsia="es-MX"/>
        </w:rPr>
        <w:t xml:space="preserve">Derecho a la Educación </w:t>
      </w:r>
      <w:r w:rsidRPr="00D969AC">
        <w:rPr>
          <w:rFonts w:ascii="Times New Roman" w:eastAsia="Times New Roman" w:hAnsi="Times New Roman" w:cs="Times New Roman"/>
          <w:b/>
          <w:bCs/>
          <w:color w:val="000000"/>
          <w:sz w:val="28"/>
          <w:szCs w:val="28"/>
          <w:lang w:eastAsia="es-MX"/>
        </w:rPr>
        <w:t>(Artículo 13 y 14 PIDESC)</w:t>
      </w:r>
    </w:p>
    <w:p w14:paraId="71E5D093" w14:textId="5A874688" w:rsidR="005874AF" w:rsidRPr="00BA10EF" w:rsidRDefault="005874AF" w:rsidP="00BA10EF">
      <w:pPr>
        <w:spacing w:after="0" w:line="276" w:lineRule="auto"/>
        <w:jc w:val="both"/>
        <w:rPr>
          <w:rFonts w:ascii="Times New Roman" w:eastAsia="Times New Roman" w:hAnsi="Times New Roman" w:cs="Times New Roman"/>
          <w:sz w:val="24"/>
          <w:szCs w:val="24"/>
          <w:lang w:eastAsia="es-MX"/>
        </w:rPr>
      </w:pPr>
    </w:p>
    <w:p w14:paraId="187F88C6" w14:textId="6E426D8E" w:rsidR="005874AF" w:rsidRPr="00BA10EF" w:rsidRDefault="005874AF" w:rsidP="00BA10EF">
      <w:pPr>
        <w:spacing w:after="0" w:line="276" w:lineRule="auto"/>
        <w:jc w:val="both"/>
        <w:rPr>
          <w:rFonts w:ascii="Times New Roman" w:eastAsia="Times New Roman" w:hAnsi="Times New Roman" w:cs="Times New Roman"/>
          <w:b/>
          <w:bCs/>
          <w:color w:val="000000"/>
          <w:sz w:val="24"/>
          <w:szCs w:val="24"/>
          <w:lang w:eastAsia="es-MX"/>
        </w:rPr>
      </w:pPr>
      <w:bookmarkStart w:id="9" w:name="_Hlk29678434"/>
      <w:r w:rsidRPr="00BA10EF">
        <w:rPr>
          <w:rFonts w:ascii="Times New Roman" w:eastAsia="Times New Roman" w:hAnsi="Times New Roman" w:cs="Times New Roman"/>
          <w:b/>
          <w:bCs/>
          <w:color w:val="000000"/>
          <w:sz w:val="24"/>
          <w:szCs w:val="24"/>
          <w:lang w:eastAsia="es-MX"/>
        </w:rPr>
        <w:t>4.1. Contexto normativo en materia de derechos, deberes y libertades educativas en Chile</w:t>
      </w:r>
    </w:p>
    <w:p w14:paraId="6FAEC0A9" w14:textId="77777777" w:rsidR="005874AF" w:rsidRPr="00BA10EF" w:rsidRDefault="005874AF" w:rsidP="00BA10EF">
      <w:pPr>
        <w:spacing w:after="0" w:line="276" w:lineRule="auto"/>
        <w:jc w:val="both"/>
        <w:rPr>
          <w:rFonts w:ascii="Times New Roman" w:eastAsia="Times New Roman" w:hAnsi="Times New Roman" w:cs="Times New Roman"/>
          <w:sz w:val="24"/>
          <w:szCs w:val="24"/>
          <w:lang w:eastAsia="es-MX"/>
        </w:rPr>
      </w:pPr>
    </w:p>
    <w:bookmarkEnd w:id="9"/>
    <w:p w14:paraId="1E21FE18" w14:textId="77777777" w:rsidR="005874AF" w:rsidRPr="00BA10EF" w:rsidRDefault="005874AF" w:rsidP="00BA10EF">
      <w:pPr>
        <w:spacing w:after="0" w:line="276" w:lineRule="auto"/>
        <w:ind w:firstLine="720"/>
        <w:jc w:val="both"/>
        <w:rPr>
          <w:rFonts w:ascii="Times New Roman" w:eastAsia="Times New Roman" w:hAnsi="Times New Roman" w:cs="Times New Roman"/>
          <w:sz w:val="24"/>
          <w:szCs w:val="24"/>
          <w:lang w:eastAsia="es-MX"/>
        </w:rPr>
      </w:pPr>
      <w:r w:rsidRPr="00BA10EF">
        <w:rPr>
          <w:rFonts w:ascii="Times New Roman" w:eastAsia="Times New Roman" w:hAnsi="Times New Roman" w:cs="Times New Roman"/>
          <w:color w:val="000000"/>
          <w:sz w:val="24"/>
          <w:szCs w:val="24"/>
          <w:lang w:eastAsia="es-MX"/>
        </w:rPr>
        <w:t>El Estado chileno ha asumido obligaciones en materia del derecho a la educación a través de varios tratados internacionales incluyendo el Pacto Internacional de Derechos Económicos, Sociales y Culturales (en adelante, PIDESC) y la  Convención internacional sobre la protección de los derechos de todos los trabajadores migratorios y de sus familiares (ratificada por Chile el año 2005), en especial lo que se refiere a la protección del derecho a la educación en igualdad de condiciones que los nacionales, la continuidad de las trayectorias educativas de niños, niñas y adolescentes cuyos padres se encuentran en situación migratoria y el aseguramiento de la libertad de los padres de entregar a sus hijos la educación que prefieran.</w:t>
      </w:r>
    </w:p>
    <w:p w14:paraId="191DAB60" w14:textId="77777777" w:rsidR="005874AF" w:rsidRPr="00BA10EF" w:rsidRDefault="005874AF" w:rsidP="00BA10EF">
      <w:pPr>
        <w:spacing w:after="0" w:line="276" w:lineRule="auto"/>
        <w:ind w:firstLine="709"/>
        <w:jc w:val="both"/>
        <w:rPr>
          <w:rFonts w:ascii="Times New Roman" w:eastAsia="Times New Roman" w:hAnsi="Times New Roman" w:cs="Times New Roman"/>
          <w:color w:val="000000"/>
          <w:sz w:val="24"/>
          <w:szCs w:val="24"/>
          <w:lang w:eastAsia="es-MX"/>
        </w:rPr>
      </w:pPr>
      <w:r w:rsidRPr="00BA10EF">
        <w:rPr>
          <w:rFonts w:ascii="Times New Roman" w:eastAsia="Times New Roman" w:hAnsi="Times New Roman" w:cs="Times New Roman"/>
          <w:color w:val="000000"/>
          <w:sz w:val="24"/>
          <w:szCs w:val="24"/>
          <w:lang w:eastAsia="es-MX"/>
        </w:rPr>
        <w:t xml:space="preserve">A nivel constitucional el derecho a la educación no se encuentra consagrado de acuerdo a los estándares internacionales de derechos humanos. La actual Constitución señala </w:t>
      </w:r>
      <w:r w:rsidRPr="00BA10EF">
        <w:rPr>
          <w:rFonts w:ascii="Times New Roman" w:eastAsia="Times New Roman" w:hAnsi="Times New Roman" w:cs="Times New Roman"/>
          <w:color w:val="000000"/>
          <w:sz w:val="24"/>
          <w:szCs w:val="24"/>
          <w:lang w:eastAsia="es-MX"/>
        </w:rPr>
        <w:lastRenderedPageBreak/>
        <w:t>en el artículo 19 Nº10 que “la educación es un derecho de todas las personas” pero agrega que “corresponde preferentemente a los padres el derecho y el deber de educar a sus hijos” y asimismo a “escoger el establecimiento de enseñanza para sus hijos.”</w:t>
      </w:r>
      <w:r w:rsidRPr="00BA10EF">
        <w:rPr>
          <w:rStyle w:val="Refdenotaalpie"/>
          <w:rFonts w:ascii="Times New Roman" w:eastAsia="Times New Roman" w:hAnsi="Times New Roman"/>
          <w:color w:val="000000"/>
          <w:sz w:val="24"/>
          <w:szCs w:val="24"/>
          <w:lang w:eastAsia="es-MX"/>
        </w:rPr>
        <w:footnoteReference w:id="133"/>
      </w:r>
      <w:r w:rsidRPr="00BA10EF">
        <w:rPr>
          <w:rFonts w:ascii="Times New Roman" w:eastAsia="Times New Roman" w:hAnsi="Times New Roman" w:cs="Times New Roman"/>
          <w:color w:val="000000"/>
          <w:sz w:val="24"/>
          <w:szCs w:val="24"/>
          <w:lang w:eastAsia="es-MX"/>
        </w:rPr>
        <w:t xml:space="preserve"> El Estado sólo tiene “el deber de otorgar especial protección al ejercicio de este derecho”, en consecuencia, el Estado reduce su rol a financiar sistemas gratuitos de enseñanza y a “fomentar” el desarrollo educativo del país, asumiendo un rol subsidiario en la provisión y garantía del derecho a la educación sin discriminación. </w:t>
      </w:r>
    </w:p>
    <w:p w14:paraId="22442E62" w14:textId="7A98E4DA" w:rsidR="005874AF" w:rsidRPr="00BA10EF" w:rsidRDefault="005874AF" w:rsidP="00BA10EF">
      <w:pPr>
        <w:spacing w:after="0" w:line="276" w:lineRule="auto"/>
        <w:ind w:firstLine="709"/>
        <w:jc w:val="both"/>
        <w:rPr>
          <w:rFonts w:ascii="Times New Roman" w:eastAsia="Times New Roman" w:hAnsi="Times New Roman" w:cs="Times New Roman"/>
          <w:sz w:val="24"/>
          <w:szCs w:val="24"/>
          <w:lang w:eastAsia="es-MX"/>
        </w:rPr>
      </w:pPr>
      <w:r w:rsidRPr="00BA10EF">
        <w:rPr>
          <w:rFonts w:ascii="Times New Roman" w:eastAsia="Times New Roman" w:hAnsi="Times New Roman" w:cs="Times New Roman"/>
          <w:color w:val="000000"/>
          <w:sz w:val="24"/>
          <w:szCs w:val="24"/>
          <w:lang w:eastAsia="es-MX"/>
        </w:rPr>
        <w:t>A nivel legal, la ley General de Educación</w:t>
      </w:r>
      <w:r w:rsidR="002A2432" w:rsidRPr="00BA10EF">
        <w:rPr>
          <w:rStyle w:val="Refdenotaalpie"/>
          <w:rFonts w:ascii="Times New Roman" w:eastAsia="Times New Roman" w:hAnsi="Times New Roman"/>
          <w:color w:val="000000"/>
          <w:sz w:val="24"/>
          <w:szCs w:val="24"/>
          <w:lang w:eastAsia="es-MX"/>
        </w:rPr>
        <w:footnoteReference w:id="134"/>
      </w:r>
      <w:r w:rsidRPr="00BA10EF">
        <w:rPr>
          <w:rFonts w:ascii="Times New Roman" w:eastAsia="Times New Roman" w:hAnsi="Times New Roman" w:cs="Times New Roman"/>
          <w:color w:val="000000"/>
          <w:sz w:val="24"/>
          <w:szCs w:val="24"/>
          <w:lang w:eastAsia="es-MX"/>
        </w:rPr>
        <w:t xml:space="preserve"> reconoce explícitamente la universalidad en el derecho a la educación, y la ley de Inclusión Escolar</w:t>
      </w:r>
      <w:r w:rsidR="002A2432" w:rsidRPr="00BA10EF">
        <w:rPr>
          <w:rStyle w:val="Refdenotaalpie"/>
          <w:rFonts w:ascii="Times New Roman" w:eastAsia="Times New Roman" w:hAnsi="Times New Roman"/>
          <w:color w:val="000000"/>
          <w:sz w:val="24"/>
          <w:szCs w:val="24"/>
          <w:lang w:eastAsia="es-MX"/>
        </w:rPr>
        <w:footnoteReference w:id="135"/>
      </w:r>
      <w:r w:rsidRPr="00BA10EF">
        <w:rPr>
          <w:rFonts w:ascii="Times New Roman" w:eastAsia="Times New Roman" w:hAnsi="Times New Roman" w:cs="Times New Roman"/>
          <w:color w:val="000000"/>
          <w:sz w:val="24"/>
          <w:szCs w:val="24"/>
          <w:lang w:eastAsia="es-MX"/>
        </w:rPr>
        <w:t xml:space="preserve"> garantiza la comprensión inclusiva del acceso, eliminando la selección por parte de las escuelas que reciben financiamiento público.</w:t>
      </w:r>
    </w:p>
    <w:p w14:paraId="49A57380" w14:textId="2F509B6F" w:rsidR="005874AF" w:rsidRPr="00BA10EF" w:rsidRDefault="005874AF" w:rsidP="00BA10EF">
      <w:pPr>
        <w:spacing w:after="0" w:line="276" w:lineRule="auto"/>
        <w:ind w:firstLine="708"/>
        <w:jc w:val="both"/>
        <w:rPr>
          <w:rFonts w:ascii="Times New Roman" w:eastAsia="Times New Roman" w:hAnsi="Times New Roman" w:cs="Times New Roman"/>
          <w:sz w:val="24"/>
          <w:szCs w:val="24"/>
          <w:lang w:val="es-ES" w:eastAsia="es-MX"/>
        </w:rPr>
      </w:pPr>
      <w:r w:rsidRPr="00BA10EF">
        <w:rPr>
          <w:rFonts w:ascii="Times New Roman" w:eastAsia="Times New Roman" w:hAnsi="Times New Roman" w:cs="Times New Roman"/>
          <w:color w:val="000000"/>
          <w:sz w:val="24"/>
          <w:szCs w:val="24"/>
          <w:lang w:eastAsia="es-MX"/>
        </w:rPr>
        <w:t xml:space="preserve">Sin embargo, en la práctica, a pesar de grandes logros producidos por las políticas de las últimas décadas en cuanto a la obligatoriedad y el acceso de los estudiantes a todos los niveles de educación, Chile sigue siendo </w:t>
      </w:r>
      <w:r w:rsidR="002A2432" w:rsidRPr="00BA10EF">
        <w:rPr>
          <w:rFonts w:ascii="Times New Roman" w:eastAsia="Times New Roman" w:hAnsi="Times New Roman" w:cs="Times New Roman"/>
          <w:sz w:val="24"/>
          <w:szCs w:val="24"/>
          <w:lang w:val="es-ES" w:eastAsia="es-MX"/>
        </w:rPr>
        <w:t>el país</w:t>
      </w:r>
      <w:r w:rsidRPr="00BA10EF">
        <w:rPr>
          <w:rFonts w:ascii="Times New Roman" w:eastAsia="Times New Roman" w:hAnsi="Times New Roman" w:cs="Times New Roman"/>
          <w:sz w:val="24"/>
          <w:szCs w:val="24"/>
          <w:lang w:val="es-ES" w:eastAsia="es-MX"/>
        </w:rPr>
        <w:t xml:space="preserve"> con mayor inequidad y segregación educacional de la OECD, en el cual el desempeño académico está altamente ligado a la condición socioeconómica de los estudiantes.</w:t>
      </w:r>
      <w:r w:rsidRPr="00BA10EF">
        <w:rPr>
          <w:rStyle w:val="Refdenotaalpie"/>
          <w:rFonts w:ascii="Times New Roman" w:eastAsia="Times New Roman" w:hAnsi="Times New Roman"/>
          <w:sz w:val="24"/>
          <w:szCs w:val="24"/>
          <w:lang w:val="es-ES" w:eastAsia="es-MX"/>
        </w:rPr>
        <w:footnoteReference w:id="136"/>
      </w:r>
      <w:r w:rsidRPr="00BA10EF">
        <w:rPr>
          <w:rStyle w:val="Refdenotaalpie"/>
          <w:rFonts w:ascii="Times New Roman" w:hAnsi="Times New Roman"/>
          <w:sz w:val="24"/>
          <w:szCs w:val="24"/>
        </w:rPr>
        <w:t xml:space="preserve"> </w:t>
      </w:r>
      <w:r w:rsidRPr="00BA10EF">
        <w:rPr>
          <w:rFonts w:ascii="Times New Roman" w:hAnsi="Times New Roman" w:cs="Times New Roman"/>
          <w:sz w:val="24"/>
          <w:szCs w:val="24"/>
        </w:rPr>
        <w:t xml:space="preserve"> </w:t>
      </w:r>
      <w:r w:rsidRPr="00BA10EF">
        <w:rPr>
          <w:rFonts w:ascii="Times New Roman" w:eastAsia="Times New Roman" w:hAnsi="Times New Roman" w:cs="Times New Roman"/>
          <w:sz w:val="24"/>
          <w:szCs w:val="24"/>
          <w:lang w:val="es-ES" w:eastAsia="es-MX"/>
        </w:rPr>
        <w:t xml:space="preserve">Particularmente, la selección de estudiantes, el modelo de financiamiento y la privatización de las escuelas han limitado la igualdad de oportunidades y han jugado un rol fundamental en la comprensión de la educación como un bien de mercado, posicionándose como barreras estructurales que dificultan el acceso a la educación como un derecho humano. </w:t>
      </w:r>
      <w:r w:rsidRPr="00BA10EF">
        <w:rPr>
          <w:rFonts w:ascii="Times New Roman" w:hAnsi="Times New Roman" w:cs="Times New Roman"/>
          <w:sz w:val="24"/>
          <w:szCs w:val="24"/>
        </w:rPr>
        <w:t xml:space="preserve">De hecho, </w:t>
      </w:r>
      <w:r w:rsidRPr="00BA10EF">
        <w:rPr>
          <w:rFonts w:ascii="Times New Roman" w:eastAsia="Times New Roman" w:hAnsi="Times New Roman" w:cs="Times New Roman"/>
          <w:sz w:val="24"/>
          <w:szCs w:val="24"/>
          <w:lang w:eastAsia="es-MX"/>
        </w:rPr>
        <w:t xml:space="preserve">es precisamente el alto nivel de inequidad y segregación en la educación lo que gatilló masivas movilizaciones estudiantiles en los últimos 15 años, y que forzó a la clase política a realizar una serie de reformas para el fortalecimiento de la educación pública a partir del año 2014. </w:t>
      </w:r>
    </w:p>
    <w:p w14:paraId="6B4CD5DB" w14:textId="77777777" w:rsidR="005874AF" w:rsidRPr="00BA10EF" w:rsidRDefault="005874AF" w:rsidP="00BA10EF">
      <w:pPr>
        <w:spacing w:after="0" w:line="276" w:lineRule="auto"/>
        <w:jc w:val="both"/>
        <w:rPr>
          <w:rFonts w:ascii="Times New Roman" w:eastAsia="Times New Roman" w:hAnsi="Times New Roman" w:cs="Times New Roman"/>
          <w:sz w:val="24"/>
          <w:szCs w:val="24"/>
          <w:lang w:eastAsia="es-MX"/>
        </w:rPr>
      </w:pPr>
    </w:p>
    <w:p w14:paraId="7DB52306" w14:textId="4ACCD8B1" w:rsidR="005874AF" w:rsidRPr="00BA10EF" w:rsidRDefault="008B5B05" w:rsidP="00BA10EF">
      <w:pPr>
        <w:spacing w:line="276" w:lineRule="auto"/>
        <w:rPr>
          <w:rFonts w:ascii="Times New Roman" w:eastAsia="Times New Roman" w:hAnsi="Times New Roman" w:cs="Times New Roman"/>
          <w:b/>
          <w:bCs/>
          <w:sz w:val="24"/>
          <w:szCs w:val="24"/>
          <w:lang w:eastAsia="es-MX"/>
        </w:rPr>
      </w:pPr>
      <w:r w:rsidRPr="00BA10EF">
        <w:rPr>
          <w:rFonts w:ascii="Times New Roman" w:eastAsia="Times New Roman" w:hAnsi="Times New Roman" w:cs="Times New Roman"/>
          <w:b/>
          <w:bCs/>
          <w:color w:val="000000"/>
          <w:sz w:val="24"/>
          <w:szCs w:val="24"/>
          <w:lang w:eastAsia="es-MX"/>
        </w:rPr>
        <w:t>4.</w:t>
      </w:r>
      <w:r w:rsidR="005874AF" w:rsidRPr="00BA10EF">
        <w:rPr>
          <w:rFonts w:ascii="Times New Roman" w:eastAsia="Times New Roman" w:hAnsi="Times New Roman" w:cs="Times New Roman"/>
          <w:b/>
          <w:bCs/>
          <w:color w:val="000000"/>
          <w:sz w:val="24"/>
          <w:szCs w:val="24"/>
          <w:lang w:eastAsia="es-MX"/>
        </w:rPr>
        <w:t xml:space="preserve">2. Análisis de estado de avance de recomendaciones </w:t>
      </w:r>
      <w:r w:rsidR="005874AF" w:rsidRPr="00BA10EF">
        <w:rPr>
          <w:rFonts w:ascii="Times New Roman" w:eastAsia="Times New Roman" w:hAnsi="Times New Roman" w:cs="Times New Roman"/>
          <w:b/>
          <w:bCs/>
          <w:sz w:val="24"/>
          <w:szCs w:val="24"/>
          <w:lang w:eastAsia="es-MX"/>
        </w:rPr>
        <w:t>del comité DESC</w:t>
      </w:r>
    </w:p>
    <w:p w14:paraId="290D8FBF" w14:textId="5A9C4B11" w:rsidR="005874AF" w:rsidRPr="00BA10EF" w:rsidRDefault="005874AF" w:rsidP="00BA10EF">
      <w:pPr>
        <w:spacing w:line="276" w:lineRule="auto"/>
        <w:ind w:firstLine="720"/>
        <w:jc w:val="both"/>
        <w:rPr>
          <w:rFonts w:ascii="Times New Roman" w:eastAsia="Times New Roman" w:hAnsi="Times New Roman" w:cs="Times New Roman"/>
          <w:bCs/>
          <w:sz w:val="24"/>
          <w:szCs w:val="24"/>
          <w:lang w:val="es-ES" w:eastAsia="es-MX"/>
        </w:rPr>
      </w:pPr>
      <w:r w:rsidRPr="00BA10EF">
        <w:rPr>
          <w:rFonts w:ascii="Times New Roman" w:eastAsia="Times New Roman" w:hAnsi="Times New Roman" w:cs="Times New Roman"/>
          <w:bCs/>
          <w:sz w:val="24"/>
          <w:szCs w:val="24"/>
          <w:lang w:eastAsia="es-MX"/>
        </w:rPr>
        <w:t xml:space="preserve">Los altos niveles de segregación y desigualdad que Chile experimenta en el ámbito educativo fueron una de las principales preocupaciones del Comité DESC en sus Observaciones Finales sobre Chile el año 2015. </w:t>
      </w:r>
      <w:r w:rsidRPr="00BA10EF">
        <w:rPr>
          <w:rFonts w:ascii="Times New Roman" w:eastAsia="Times New Roman" w:hAnsi="Times New Roman" w:cs="Times New Roman"/>
          <w:bCs/>
          <w:sz w:val="24"/>
          <w:szCs w:val="24"/>
          <w:lang w:val="es-ES" w:eastAsia="es-MX"/>
        </w:rPr>
        <w:t xml:space="preserve">El Comité DESC </w:t>
      </w:r>
      <w:r w:rsidR="008B5B05" w:rsidRPr="00BA10EF">
        <w:rPr>
          <w:rFonts w:ascii="Times New Roman" w:eastAsia="Times New Roman" w:hAnsi="Times New Roman" w:cs="Times New Roman"/>
          <w:bCs/>
          <w:sz w:val="24"/>
          <w:szCs w:val="24"/>
          <w:lang w:val="es-ES" w:eastAsia="es-MX"/>
        </w:rPr>
        <w:t>recomendó que el Estado “</w:t>
      </w:r>
      <w:r w:rsidR="00D969AC">
        <w:rPr>
          <w:rFonts w:ascii="Times New Roman" w:hAnsi="Times New Roman" w:cs="Times New Roman"/>
          <w:sz w:val="24"/>
          <w:szCs w:val="24"/>
        </w:rPr>
        <w:t>t</w:t>
      </w:r>
      <w:r w:rsidR="008B5B05" w:rsidRPr="00BA10EF">
        <w:rPr>
          <w:rFonts w:ascii="Times New Roman" w:hAnsi="Times New Roman" w:cs="Times New Roman"/>
          <w:sz w:val="24"/>
          <w:szCs w:val="24"/>
        </w:rPr>
        <w:t xml:space="preserve">ome las medidas necesarias para asegurar que la reforma al sistema educativo elimine todos los mecanismos que provocan la discriminación y segregación de los estudiantes debido a su condición económica y social, y entre otros, asegure la implementación efectiva de la Ley de Inclusión que regula la admisión de los y las estudiantes, elimina el financiamiento compartido y prohíbe el lucro de los establecimientos educacionales que reciben aportes del </w:t>
      </w:r>
      <w:r w:rsidR="008B5B05" w:rsidRPr="00BA10EF">
        <w:rPr>
          <w:rFonts w:ascii="Times New Roman" w:hAnsi="Times New Roman" w:cs="Times New Roman"/>
          <w:sz w:val="24"/>
          <w:szCs w:val="24"/>
        </w:rPr>
        <w:lastRenderedPageBreak/>
        <w:t>Estado.”</w:t>
      </w:r>
      <w:r w:rsidRPr="00BA10EF">
        <w:rPr>
          <w:rStyle w:val="Refdenotaalpie"/>
          <w:rFonts w:ascii="Times New Roman" w:eastAsia="Times New Roman" w:hAnsi="Times New Roman"/>
          <w:bCs/>
          <w:sz w:val="24"/>
          <w:szCs w:val="24"/>
          <w:lang w:val="es-ES" w:eastAsia="es-MX"/>
        </w:rPr>
        <w:footnoteReference w:id="137"/>
      </w:r>
      <w:r w:rsidRPr="00BA10EF">
        <w:rPr>
          <w:rFonts w:ascii="Times New Roman" w:eastAsia="Times New Roman" w:hAnsi="Times New Roman" w:cs="Times New Roman"/>
          <w:bCs/>
          <w:sz w:val="24"/>
          <w:szCs w:val="24"/>
          <w:lang w:val="es-ES" w:eastAsia="es-MX"/>
        </w:rPr>
        <w:t xml:space="preserve"> Al respecto, durante los años 2014-2018, el Gobierno implementó una “Reforma Educacional” que contenía significativas iniciativas legales y programáticas dirigidas a mejorar la inclusión y la calidad en la educación desde la sala cuna hasta la educación superior</w:t>
      </w:r>
      <w:r w:rsidRPr="00BA10EF">
        <w:rPr>
          <w:rStyle w:val="Refdenotaalpie"/>
          <w:rFonts w:ascii="Times New Roman" w:eastAsia="Times New Roman" w:hAnsi="Times New Roman"/>
          <w:bCs/>
          <w:sz w:val="24"/>
          <w:szCs w:val="24"/>
          <w:lang w:val="es-ES" w:eastAsia="es-MX"/>
        </w:rPr>
        <w:footnoteReference w:id="138"/>
      </w:r>
      <w:r w:rsidRPr="00BA10EF">
        <w:rPr>
          <w:rFonts w:ascii="Times New Roman" w:eastAsia="Times New Roman" w:hAnsi="Times New Roman" w:cs="Times New Roman"/>
          <w:bCs/>
          <w:sz w:val="24"/>
          <w:szCs w:val="24"/>
          <w:lang w:val="es-ES" w:eastAsia="es-MX"/>
        </w:rPr>
        <w:t xml:space="preserve">, sin embargo, </w:t>
      </w:r>
      <w:r w:rsidR="00D969AC">
        <w:rPr>
          <w:rFonts w:ascii="Times New Roman" w:eastAsia="Times New Roman" w:hAnsi="Times New Roman" w:cs="Times New Roman"/>
          <w:bCs/>
          <w:sz w:val="24"/>
          <w:szCs w:val="24"/>
          <w:lang w:val="es-ES" w:eastAsia="es-MX"/>
        </w:rPr>
        <w:t xml:space="preserve">la actual administración no ha hecho esfuerzos suficientes para implementar las recomendaciones </w:t>
      </w:r>
      <w:r w:rsidRPr="00BA10EF">
        <w:rPr>
          <w:rFonts w:ascii="Times New Roman" w:eastAsia="Times New Roman" w:hAnsi="Times New Roman" w:cs="Times New Roman"/>
          <w:bCs/>
          <w:sz w:val="24"/>
          <w:szCs w:val="24"/>
          <w:lang w:val="es-ES" w:eastAsia="es-MX"/>
        </w:rPr>
        <w:t xml:space="preserve">planteadas por este </w:t>
      </w:r>
      <w:r w:rsidR="00D969AC">
        <w:rPr>
          <w:rFonts w:ascii="Times New Roman" w:eastAsia="Times New Roman" w:hAnsi="Times New Roman" w:cs="Times New Roman"/>
          <w:bCs/>
          <w:sz w:val="24"/>
          <w:szCs w:val="24"/>
          <w:lang w:val="es-ES" w:eastAsia="es-MX"/>
        </w:rPr>
        <w:t xml:space="preserve">Comité en el año 2015, sobre todo aquellas que dicen relación con </w:t>
      </w:r>
      <w:r w:rsidR="00953824">
        <w:rPr>
          <w:rFonts w:ascii="Times New Roman" w:eastAsia="Times New Roman" w:hAnsi="Times New Roman" w:cs="Times New Roman"/>
          <w:bCs/>
          <w:sz w:val="24"/>
          <w:szCs w:val="24"/>
          <w:lang w:val="es-ES" w:eastAsia="es-MX"/>
        </w:rPr>
        <w:t xml:space="preserve">mayor igualdad y no discriminación. </w:t>
      </w:r>
      <w:r w:rsidRPr="00BA10EF">
        <w:rPr>
          <w:rFonts w:ascii="Times New Roman" w:eastAsia="Times New Roman" w:hAnsi="Times New Roman" w:cs="Times New Roman"/>
          <w:bCs/>
          <w:sz w:val="24"/>
          <w:szCs w:val="24"/>
          <w:lang w:val="es-ES" w:eastAsia="es-MX"/>
        </w:rPr>
        <w:t xml:space="preserve"> </w:t>
      </w:r>
    </w:p>
    <w:p w14:paraId="085061E4" w14:textId="0582FD41" w:rsidR="005874AF" w:rsidRPr="00BA10EF" w:rsidRDefault="00BE05CC" w:rsidP="00BA10EF">
      <w:pPr>
        <w:spacing w:line="276" w:lineRule="auto"/>
        <w:jc w:val="both"/>
        <w:rPr>
          <w:rFonts w:ascii="Times New Roman" w:eastAsia="Times New Roman" w:hAnsi="Times New Roman" w:cs="Times New Roman"/>
          <w:b/>
          <w:bCs/>
          <w:sz w:val="24"/>
          <w:szCs w:val="24"/>
          <w:lang w:eastAsia="es-MX"/>
        </w:rPr>
      </w:pPr>
      <w:r>
        <w:rPr>
          <w:rFonts w:ascii="Times New Roman" w:eastAsia="Times New Roman" w:hAnsi="Times New Roman" w:cs="Times New Roman"/>
          <w:b/>
          <w:bCs/>
          <w:sz w:val="24"/>
          <w:szCs w:val="24"/>
          <w:lang w:eastAsia="es-MX"/>
        </w:rPr>
        <w:t>4.</w:t>
      </w:r>
      <w:r w:rsidR="005874AF" w:rsidRPr="00BA10EF">
        <w:rPr>
          <w:rFonts w:ascii="Times New Roman" w:eastAsia="Times New Roman" w:hAnsi="Times New Roman" w:cs="Times New Roman"/>
          <w:b/>
          <w:bCs/>
          <w:sz w:val="24"/>
          <w:szCs w:val="24"/>
          <w:lang w:eastAsia="es-MX"/>
        </w:rPr>
        <w:t xml:space="preserve">2.1. Derecho a la Educación y Segregación Escolar </w:t>
      </w:r>
    </w:p>
    <w:p w14:paraId="0EC81098" w14:textId="0B968625" w:rsidR="005874AF" w:rsidRPr="00953824" w:rsidRDefault="00BE05CC" w:rsidP="00BA10EF">
      <w:pPr>
        <w:spacing w:line="276" w:lineRule="auto"/>
        <w:jc w:val="both"/>
        <w:rPr>
          <w:rFonts w:ascii="Times New Roman" w:eastAsia="Times New Roman" w:hAnsi="Times New Roman" w:cs="Times New Roman"/>
          <w:bCs/>
          <w:i/>
          <w:sz w:val="24"/>
          <w:szCs w:val="24"/>
          <w:u w:val="single"/>
          <w:lang w:eastAsia="es-MX"/>
        </w:rPr>
      </w:pPr>
      <w:r w:rsidRPr="00953824">
        <w:rPr>
          <w:rFonts w:ascii="Times New Roman" w:eastAsia="Times New Roman" w:hAnsi="Times New Roman" w:cs="Times New Roman"/>
          <w:bCs/>
          <w:i/>
          <w:sz w:val="24"/>
          <w:szCs w:val="24"/>
          <w:u w:val="single"/>
          <w:lang w:eastAsia="es-MX"/>
        </w:rPr>
        <w:t xml:space="preserve">A. </w:t>
      </w:r>
      <w:r w:rsidR="005874AF" w:rsidRPr="00953824">
        <w:rPr>
          <w:rFonts w:ascii="Times New Roman" w:eastAsia="Times New Roman" w:hAnsi="Times New Roman" w:cs="Times New Roman"/>
          <w:bCs/>
          <w:i/>
          <w:sz w:val="24"/>
          <w:szCs w:val="24"/>
          <w:u w:val="single"/>
          <w:lang w:eastAsia="es-MX"/>
        </w:rPr>
        <w:t>Discriminación en el sistema escolar</w:t>
      </w:r>
    </w:p>
    <w:p w14:paraId="2C314381" w14:textId="215CE9C8" w:rsidR="005874AF" w:rsidRPr="00BA10EF" w:rsidRDefault="005874AF" w:rsidP="00BA10EF">
      <w:pPr>
        <w:spacing w:after="0" w:line="276" w:lineRule="auto"/>
        <w:ind w:firstLine="720"/>
        <w:jc w:val="both"/>
        <w:rPr>
          <w:rFonts w:ascii="Times New Roman" w:eastAsia="Times New Roman" w:hAnsi="Times New Roman" w:cs="Times New Roman"/>
          <w:bCs/>
          <w:sz w:val="24"/>
          <w:szCs w:val="24"/>
          <w:lang w:eastAsia="es-MX"/>
        </w:rPr>
      </w:pPr>
      <w:r w:rsidRPr="00BA10EF">
        <w:rPr>
          <w:rFonts w:ascii="Times New Roman" w:eastAsia="Times New Roman" w:hAnsi="Times New Roman" w:cs="Times New Roman"/>
          <w:bCs/>
          <w:sz w:val="24"/>
          <w:szCs w:val="24"/>
          <w:lang w:eastAsia="es-MX"/>
        </w:rPr>
        <w:t>En el año 2015, el gobierno de Chile promulgó la “Ley de Inclusión”, que eliminó el copago, el lucro y la selección arbitraria en escuelas particulares subvencionadas. El objetivo de la ley es permitirle a los padres elegir y acceder a instituciones educativas independiente de su capacidad de pago y combatir la segregación escolar. Lo anterior significó un paso adelante en el reconocimiento de la educación como un derecho humano, tal como fue expresado por el Relator Especial sobre el derecho a la educación en su misión a Chile entre el 6 a 23 de junio de 2017, “La Ley de Inclusión Escolar se centra en la igualdad de derechos y oportunidades, al tiempo que procura lograr una educación de calidad integral e inclusiva”</w:t>
      </w:r>
      <w:r w:rsidRPr="00BA10EF">
        <w:rPr>
          <w:rFonts w:ascii="Times New Roman" w:hAnsi="Times New Roman" w:cs="Times New Roman"/>
          <w:sz w:val="24"/>
          <w:szCs w:val="24"/>
        </w:rPr>
        <w:t>.</w:t>
      </w:r>
      <w:r w:rsidRPr="00BA10EF">
        <w:rPr>
          <w:rFonts w:ascii="Times New Roman" w:eastAsia="Times New Roman" w:hAnsi="Times New Roman" w:cs="Times New Roman"/>
          <w:bCs/>
          <w:sz w:val="24"/>
          <w:szCs w:val="24"/>
          <w:vertAlign w:val="superscript"/>
          <w:lang w:eastAsia="es-MX"/>
        </w:rPr>
        <w:footnoteReference w:id="139"/>
      </w:r>
    </w:p>
    <w:p w14:paraId="78F76CBF" w14:textId="2DD23C44" w:rsidR="005874AF" w:rsidRPr="00BA10EF" w:rsidRDefault="005874AF" w:rsidP="00BA10EF">
      <w:pPr>
        <w:spacing w:after="0" w:line="276" w:lineRule="auto"/>
        <w:ind w:firstLine="720"/>
        <w:jc w:val="both"/>
        <w:rPr>
          <w:rFonts w:ascii="Times New Roman" w:eastAsia="Times New Roman" w:hAnsi="Times New Roman" w:cs="Times New Roman"/>
          <w:bCs/>
          <w:sz w:val="24"/>
          <w:szCs w:val="24"/>
          <w:lang w:eastAsia="es-MX"/>
        </w:rPr>
      </w:pPr>
      <w:r w:rsidRPr="00BA10EF">
        <w:rPr>
          <w:rFonts w:ascii="Times New Roman" w:eastAsia="Times New Roman" w:hAnsi="Times New Roman" w:cs="Times New Roman"/>
          <w:bCs/>
          <w:sz w:val="24"/>
          <w:szCs w:val="24"/>
          <w:lang w:eastAsia="es-MX"/>
        </w:rPr>
        <w:t>A pesar de este importante avance para la educación en Chile, el año 2019 el actual gobierno presentó dos proyectos de ley para introducir cambios significativos al proceso de selección escolar.</w:t>
      </w:r>
      <w:r w:rsidRPr="00BA10EF">
        <w:rPr>
          <w:rFonts w:ascii="Times New Roman" w:eastAsia="Times New Roman" w:hAnsi="Times New Roman" w:cs="Times New Roman"/>
          <w:bCs/>
          <w:sz w:val="24"/>
          <w:szCs w:val="24"/>
          <w:vertAlign w:val="superscript"/>
          <w:lang w:eastAsia="es-MX"/>
        </w:rPr>
        <w:footnoteReference w:id="140"/>
      </w:r>
      <w:r w:rsidRPr="00BA10EF">
        <w:rPr>
          <w:rFonts w:ascii="Times New Roman" w:eastAsia="Times New Roman" w:hAnsi="Times New Roman" w:cs="Times New Roman"/>
          <w:bCs/>
          <w:sz w:val="24"/>
          <w:szCs w:val="24"/>
          <w:lang w:eastAsia="es-MX"/>
        </w:rPr>
        <w:t xml:space="preserve"> Los cambios propuestos buscaban permitir a las escuelas que reciben recursos públicos utilizar sus propios mecanismos de admisión escolar para considerar el mérito académico. En el primer proyecto se buscó reservar un 30% de los cupos para estudiantes con los mejores rendimientos. En el caso del segundo proyecto, que fue rechazado en su primer trámite legislativo, se buscaba permitir hasta un 100% de selección en ciertas escuelas que cumplieran las condiciones consignadas en el propio proyecto de ley. Los defensores de la propuesta argumentaron que “el mérito existe y reconocerlo es cultivar el talento, mientras que no reconocerlo es recompensar la flojera (pereza).”</w:t>
      </w:r>
      <w:r w:rsidRPr="00BA10EF">
        <w:rPr>
          <w:rFonts w:ascii="Times New Roman" w:eastAsia="Times New Roman" w:hAnsi="Times New Roman" w:cs="Times New Roman"/>
          <w:bCs/>
          <w:sz w:val="24"/>
          <w:szCs w:val="24"/>
          <w:vertAlign w:val="superscript"/>
          <w:lang w:eastAsia="es-MX"/>
        </w:rPr>
        <w:footnoteReference w:id="141"/>
      </w:r>
      <w:r w:rsidRPr="00BA10EF">
        <w:rPr>
          <w:rFonts w:ascii="Times New Roman" w:eastAsia="Times New Roman" w:hAnsi="Times New Roman" w:cs="Times New Roman"/>
          <w:bCs/>
          <w:sz w:val="24"/>
          <w:szCs w:val="24"/>
          <w:lang w:eastAsia="es-MX"/>
        </w:rPr>
        <w:t xml:space="preserve"> Sin embargo, cuando se intenta relacionar el mérito, el esfuerzo y el talento a los resultados académicos, los actuales niveles de segregación y desigualdad que Chile experimenta no pueden ser obviados. Seleccionar estudiantes en educación básica en base a su rendimiento académico ignora por completo las desventajas educacionales que esos estudiantes enfrentaron cuando fueron niños. En este sentido, los mecanismos de selección escolar revelan una serie de problemas en términ</w:t>
      </w:r>
      <w:r w:rsidR="008B5B05" w:rsidRPr="00BA10EF">
        <w:rPr>
          <w:rFonts w:ascii="Times New Roman" w:eastAsia="Times New Roman" w:hAnsi="Times New Roman" w:cs="Times New Roman"/>
          <w:bCs/>
          <w:sz w:val="24"/>
          <w:szCs w:val="24"/>
          <w:lang w:eastAsia="es-MX"/>
        </w:rPr>
        <w:t xml:space="preserve">os de igualdad de oportunidades </w:t>
      </w:r>
      <w:r w:rsidRPr="00BA10EF">
        <w:rPr>
          <w:rFonts w:ascii="Times New Roman" w:eastAsia="Times New Roman" w:hAnsi="Times New Roman" w:cs="Times New Roman"/>
          <w:bCs/>
          <w:sz w:val="24"/>
          <w:szCs w:val="24"/>
          <w:lang w:eastAsia="es-MX"/>
        </w:rPr>
        <w:t xml:space="preserve">y aseguramiento del derecho de la educación sin discriminación para todos. La evidencia empírica ha demostrado que bajo un </w:t>
      </w:r>
      <w:r w:rsidRPr="00BA10EF">
        <w:rPr>
          <w:rFonts w:ascii="Times New Roman" w:eastAsia="Times New Roman" w:hAnsi="Times New Roman" w:cs="Times New Roman"/>
          <w:bCs/>
          <w:sz w:val="24"/>
          <w:szCs w:val="24"/>
          <w:lang w:eastAsia="es-MX"/>
        </w:rPr>
        <w:lastRenderedPageBreak/>
        <w:t>sistema de selección, las escuelas tienden a elegir aquellos estudiantes de alto rendimiento o de status socioeconómico alto en desmedro de los más pobres y de bajo rendimiento.</w:t>
      </w:r>
      <w:r w:rsidRPr="00BA10EF">
        <w:rPr>
          <w:rFonts w:ascii="Times New Roman" w:eastAsia="Times New Roman" w:hAnsi="Times New Roman" w:cs="Times New Roman"/>
          <w:bCs/>
          <w:sz w:val="24"/>
          <w:szCs w:val="24"/>
          <w:vertAlign w:val="superscript"/>
          <w:lang w:eastAsia="es-MX"/>
        </w:rPr>
        <w:footnoteReference w:id="142"/>
      </w:r>
      <w:r w:rsidRPr="00BA10EF">
        <w:rPr>
          <w:rFonts w:ascii="Times New Roman" w:eastAsia="Times New Roman" w:hAnsi="Times New Roman" w:cs="Times New Roman"/>
          <w:bCs/>
          <w:sz w:val="24"/>
          <w:szCs w:val="24"/>
          <w:lang w:eastAsia="es-MX"/>
        </w:rPr>
        <w:t xml:space="preserve"> Dado que los estudiantes menos aventajados requieren mayores recursos económicos y de tiempo para lograr los mismos resultados que aquellos más aventajados, la selección de escuelas se convierte en el mejor método para maximizar las ganancias y mejorar artificialmente los resultados académicos, lo cual conduce a un sesgo continuo hacia los estudiantes más desfavorecidos.</w:t>
      </w:r>
      <w:r w:rsidRPr="00BA10EF">
        <w:rPr>
          <w:rFonts w:ascii="Times New Roman" w:eastAsia="Times New Roman" w:hAnsi="Times New Roman" w:cs="Times New Roman"/>
          <w:bCs/>
          <w:sz w:val="24"/>
          <w:szCs w:val="24"/>
          <w:vertAlign w:val="superscript"/>
          <w:lang w:eastAsia="es-MX"/>
        </w:rPr>
        <w:footnoteReference w:id="143"/>
      </w:r>
      <w:r w:rsidRPr="00BA10EF">
        <w:rPr>
          <w:rFonts w:ascii="Times New Roman" w:eastAsia="Times New Roman" w:hAnsi="Times New Roman" w:cs="Times New Roman"/>
          <w:bCs/>
          <w:sz w:val="24"/>
          <w:szCs w:val="24"/>
          <w:lang w:eastAsia="es-MX"/>
        </w:rPr>
        <w:t xml:space="preserve"> Además, la selección ha provocado otros efectos sociales adversos que influyen en el goce del derecho a la educación, tales como “la estratificación por ingreso de los padres, incremento de la transmisión en desigualdad de ingreso y una reducción en el esfuerzo de los estudiantes”.</w:t>
      </w:r>
      <w:r w:rsidRPr="00BA10EF">
        <w:rPr>
          <w:rFonts w:ascii="Times New Roman" w:eastAsia="Times New Roman" w:hAnsi="Times New Roman" w:cs="Times New Roman"/>
          <w:sz w:val="24"/>
          <w:szCs w:val="24"/>
          <w:vertAlign w:val="superscript"/>
          <w:lang w:eastAsia="es-MX"/>
        </w:rPr>
        <w:footnoteReference w:id="144"/>
      </w:r>
      <w:r w:rsidRPr="00BA10EF">
        <w:rPr>
          <w:rFonts w:ascii="Times New Roman" w:eastAsia="Times New Roman" w:hAnsi="Times New Roman" w:cs="Times New Roman"/>
          <w:bCs/>
          <w:sz w:val="24"/>
          <w:szCs w:val="24"/>
          <w:lang w:eastAsia="es-MX"/>
        </w:rPr>
        <w:t xml:space="preserve"> </w:t>
      </w:r>
    </w:p>
    <w:p w14:paraId="4713E721" w14:textId="588E8D16" w:rsidR="005874AF" w:rsidRPr="00BA10EF" w:rsidRDefault="005874AF" w:rsidP="00BA10EF">
      <w:pPr>
        <w:spacing w:line="276" w:lineRule="auto"/>
        <w:ind w:firstLine="720"/>
        <w:jc w:val="both"/>
        <w:rPr>
          <w:rFonts w:ascii="Times New Roman" w:eastAsia="Times New Roman" w:hAnsi="Times New Roman" w:cs="Times New Roman"/>
          <w:bCs/>
          <w:sz w:val="24"/>
          <w:szCs w:val="24"/>
          <w:lang w:eastAsia="es-MX"/>
        </w:rPr>
      </w:pPr>
      <w:r w:rsidRPr="00BA10EF">
        <w:rPr>
          <w:rFonts w:ascii="Times New Roman" w:eastAsia="Times New Roman" w:hAnsi="Times New Roman" w:cs="Times New Roman"/>
          <w:bCs/>
          <w:sz w:val="24"/>
          <w:szCs w:val="24"/>
          <w:lang w:eastAsia="es-MX"/>
        </w:rPr>
        <w:t>Por tanto</w:t>
      </w:r>
      <w:r w:rsidRPr="00BA10EF">
        <w:rPr>
          <w:rFonts w:ascii="Times New Roman" w:eastAsia="Times New Roman" w:hAnsi="Times New Roman" w:cs="Times New Roman"/>
          <w:bCs/>
          <w:sz w:val="24"/>
          <w:szCs w:val="24"/>
          <w:lang w:val="es-ES" w:eastAsia="es-MX"/>
        </w:rPr>
        <w:t xml:space="preserve">, </w:t>
      </w:r>
      <w:r w:rsidR="00BA10EF">
        <w:rPr>
          <w:rFonts w:ascii="Times New Roman" w:eastAsia="Times New Roman" w:hAnsi="Times New Roman" w:cs="Times New Roman"/>
          <w:bCs/>
          <w:sz w:val="24"/>
          <w:szCs w:val="24"/>
          <w:lang w:eastAsia="es-MX"/>
        </w:rPr>
        <w:t>debido a que los esfuerzos del Gobierno para reformar</w:t>
      </w:r>
      <w:r w:rsidRPr="00BA10EF">
        <w:rPr>
          <w:rFonts w:ascii="Times New Roman" w:eastAsia="Times New Roman" w:hAnsi="Times New Roman" w:cs="Times New Roman"/>
          <w:bCs/>
          <w:sz w:val="24"/>
          <w:szCs w:val="24"/>
          <w:lang w:eastAsia="es-MX"/>
        </w:rPr>
        <w:t xml:space="preserve"> la Ley de Inclusión en el año 2019 </w:t>
      </w:r>
      <w:r w:rsidRPr="00BA10EF">
        <w:rPr>
          <w:rFonts w:ascii="Times New Roman" w:eastAsia="Times New Roman" w:hAnsi="Times New Roman" w:cs="Times New Roman"/>
          <w:bCs/>
          <w:sz w:val="24"/>
          <w:szCs w:val="24"/>
          <w:lang w:val="es-ES" w:eastAsia="es-MX"/>
        </w:rPr>
        <w:t>pueden llevar a resultados evidentemente discriminatorios (discriminación indirecta)</w:t>
      </w:r>
      <w:r w:rsidRPr="00BA10EF">
        <w:rPr>
          <w:rStyle w:val="Refdenotaalpie"/>
          <w:rFonts w:ascii="Times New Roman" w:eastAsia="Times New Roman" w:hAnsi="Times New Roman"/>
          <w:bCs/>
          <w:sz w:val="24"/>
          <w:szCs w:val="24"/>
          <w:lang w:val="es-ES" w:eastAsia="es-MX"/>
        </w:rPr>
        <w:footnoteReference w:id="145"/>
      </w:r>
      <w:r w:rsidRPr="00BA10EF">
        <w:rPr>
          <w:rFonts w:ascii="Times New Roman" w:eastAsia="Times New Roman" w:hAnsi="Times New Roman" w:cs="Times New Roman"/>
          <w:bCs/>
          <w:sz w:val="24"/>
          <w:szCs w:val="24"/>
          <w:lang w:val="es-ES" w:eastAsia="es-MX"/>
        </w:rPr>
        <w:t xml:space="preserve">, e incrementar la desigualdad y la segregación escolar, </w:t>
      </w:r>
      <w:r w:rsidRPr="00BA10EF">
        <w:rPr>
          <w:rFonts w:ascii="Times New Roman" w:eastAsia="Times New Roman" w:hAnsi="Times New Roman" w:cs="Times New Roman"/>
          <w:bCs/>
          <w:sz w:val="24"/>
          <w:szCs w:val="24"/>
          <w:lang w:eastAsia="es-MX"/>
        </w:rPr>
        <w:t xml:space="preserve">ellos también podrían constituir una medida regresiva que viola las obligaciones internacionales de derechos humanos que Chile se ha comprometido a cumplir en el ámbito educacional. </w:t>
      </w:r>
    </w:p>
    <w:p w14:paraId="6196ADAF" w14:textId="7CDF4D84" w:rsidR="005874AF" w:rsidRPr="00953824" w:rsidRDefault="00BE05CC" w:rsidP="00BA10EF">
      <w:pPr>
        <w:spacing w:line="276" w:lineRule="auto"/>
        <w:jc w:val="both"/>
        <w:rPr>
          <w:rFonts w:ascii="Times New Roman" w:eastAsia="Times New Roman" w:hAnsi="Times New Roman" w:cs="Times New Roman"/>
          <w:bCs/>
          <w:i/>
          <w:sz w:val="24"/>
          <w:szCs w:val="24"/>
          <w:u w:val="single"/>
          <w:lang w:eastAsia="es-MX"/>
        </w:rPr>
      </w:pPr>
      <w:r w:rsidRPr="00953824">
        <w:rPr>
          <w:rFonts w:ascii="Times New Roman" w:eastAsia="Times New Roman" w:hAnsi="Times New Roman" w:cs="Times New Roman"/>
          <w:bCs/>
          <w:i/>
          <w:sz w:val="24"/>
          <w:szCs w:val="24"/>
          <w:u w:val="single"/>
          <w:lang w:eastAsia="es-MX"/>
        </w:rPr>
        <w:t xml:space="preserve">B. </w:t>
      </w:r>
      <w:r w:rsidR="005874AF" w:rsidRPr="00953824">
        <w:rPr>
          <w:rFonts w:ascii="Times New Roman" w:eastAsia="Times New Roman" w:hAnsi="Times New Roman" w:cs="Times New Roman"/>
          <w:bCs/>
          <w:i/>
          <w:sz w:val="24"/>
          <w:szCs w:val="24"/>
          <w:u w:val="single"/>
          <w:lang w:eastAsia="es-MX"/>
        </w:rPr>
        <w:t>Interrupción de trayectorias educativas y grupos excluidos</w:t>
      </w:r>
    </w:p>
    <w:p w14:paraId="6C920476" w14:textId="37965603" w:rsidR="005874AF" w:rsidRPr="00BA10EF" w:rsidRDefault="005874AF" w:rsidP="00BA10EF">
      <w:pPr>
        <w:pStyle w:val="NormalWeb"/>
        <w:shd w:val="clear" w:color="auto" w:fill="FFFFFF"/>
        <w:spacing w:before="0" w:beforeAutospacing="0" w:after="0" w:afterAutospacing="0" w:line="276" w:lineRule="auto"/>
        <w:ind w:firstLine="720"/>
        <w:jc w:val="both"/>
        <w:rPr>
          <w:color w:val="000000"/>
          <w:shd w:val="clear" w:color="auto" w:fill="FFFFFF"/>
          <w:lang w:val="es-CL"/>
        </w:rPr>
      </w:pPr>
      <w:r w:rsidRPr="00BA10EF">
        <w:rPr>
          <w:color w:val="000000"/>
          <w:lang w:val="es-CL" w:eastAsia="es-CL"/>
        </w:rPr>
        <w:t>A pesar del avance que ha significad</w:t>
      </w:r>
      <w:r w:rsidR="00BA10EF" w:rsidRPr="00BA10EF">
        <w:rPr>
          <w:color w:val="000000"/>
          <w:lang w:val="es-CL" w:eastAsia="es-CL"/>
        </w:rPr>
        <w:t>o la entrada en vigencia de la L</w:t>
      </w:r>
      <w:r w:rsidRPr="00BA10EF">
        <w:rPr>
          <w:color w:val="000000"/>
          <w:lang w:val="es-CL" w:eastAsia="es-CL"/>
        </w:rPr>
        <w:t xml:space="preserve">ey de Inclusión </w:t>
      </w:r>
      <w:r w:rsidR="00BA10EF" w:rsidRPr="00BA10EF">
        <w:rPr>
          <w:color w:val="000000"/>
          <w:lang w:val="es-CL" w:eastAsia="es-CL"/>
        </w:rPr>
        <w:t xml:space="preserve">antes mencionada, </w:t>
      </w:r>
      <w:r w:rsidRPr="00BA10EF">
        <w:rPr>
          <w:color w:val="000000"/>
          <w:lang w:val="es-CL" w:eastAsia="es-CL"/>
        </w:rPr>
        <w:t xml:space="preserve">aún se observa la existencia de obstáculos en el acceso a una educación de calidad y la permanencia en el sistema escolar, las que deben abordarse con urgencia. El Estado de Chile no ha asegurado el resguardo de las trayectorias educativas de los jóvenes que han sido excluidos del sistema educativo, lo que tiene profundas consecuencias sociales e individuales en el desarrollo pleno de la persona y la comunidad, reproduciendo desventajas y exclusiones sociales. Al respecto, preocupa especialmente la falta de </w:t>
      </w:r>
      <w:r w:rsidRPr="00BA10EF">
        <w:rPr>
          <w:color w:val="000000"/>
          <w:shd w:val="clear" w:color="auto" w:fill="FFFFFF"/>
        </w:rPr>
        <w:t>especial protección al derecho a la educación de los estudiantes inmigrantes. El Estado debe resguardar que no se interrumpan las trayectorias educativas de niños y niñas de padres inmigrantes en razón de los procesos formales en relación a la situación migratoria de sus padres, evitando la estigmatización de los estudiantes extranjeros. </w:t>
      </w:r>
      <w:r w:rsidRPr="00BA10EF">
        <w:rPr>
          <w:color w:val="000000"/>
          <w:shd w:val="clear" w:color="auto" w:fill="FFFFFF"/>
          <w:lang w:val="es-CL"/>
        </w:rPr>
        <w:t>Este aseguramiento de trayectorias debe construirse pensando en la realidad de esas trayectorias, según el contexto e interés de cada persona, sea nacional o extranjero. </w:t>
      </w:r>
      <w:r w:rsidRPr="00BA10EF">
        <w:rPr>
          <w:color w:val="000000"/>
          <w:shd w:val="clear" w:color="auto" w:fill="FFFFFF"/>
        </w:rPr>
        <w:t>Además, los esfuerzos deben estar dirigidos para que las comunidades educativas dispongan de herramientas para la formación en educación intercultural de funcionarios públicos, personal administrativo y docente, para de ese modo contar con herramientas que permitan superar las barreras idiomáticas, respetando las diferencias culturales y facilitando la incorporación de las familias migrantes en las comunidades educativas.</w:t>
      </w:r>
    </w:p>
    <w:p w14:paraId="38C226AB" w14:textId="77777777" w:rsidR="005874AF" w:rsidRPr="00BA10EF" w:rsidRDefault="005874AF" w:rsidP="00BA10EF">
      <w:pPr>
        <w:spacing w:after="0" w:line="276" w:lineRule="auto"/>
        <w:jc w:val="both"/>
        <w:rPr>
          <w:rFonts w:ascii="Times New Roman" w:eastAsia="Times New Roman" w:hAnsi="Times New Roman" w:cs="Times New Roman"/>
          <w:b/>
          <w:bCs/>
          <w:color w:val="000000"/>
          <w:sz w:val="24"/>
          <w:szCs w:val="24"/>
          <w:lang w:eastAsia="es-MX"/>
        </w:rPr>
      </w:pPr>
    </w:p>
    <w:p w14:paraId="0B523515" w14:textId="2A312E28" w:rsidR="005874AF" w:rsidRDefault="005874AF" w:rsidP="00BA10EF">
      <w:pPr>
        <w:spacing w:after="0" w:line="276" w:lineRule="auto"/>
        <w:jc w:val="both"/>
        <w:rPr>
          <w:rFonts w:ascii="Times New Roman" w:eastAsia="Times New Roman" w:hAnsi="Times New Roman" w:cs="Times New Roman"/>
          <w:b/>
          <w:bCs/>
          <w:color w:val="000000"/>
          <w:sz w:val="24"/>
          <w:szCs w:val="24"/>
          <w:lang w:eastAsia="es-MX"/>
        </w:rPr>
      </w:pPr>
    </w:p>
    <w:p w14:paraId="3BC47CD6" w14:textId="77777777" w:rsidR="00BA10EF" w:rsidRPr="00BA10EF" w:rsidRDefault="00BA10EF" w:rsidP="00BA10EF">
      <w:pPr>
        <w:spacing w:after="0" w:line="276" w:lineRule="auto"/>
        <w:jc w:val="both"/>
        <w:rPr>
          <w:rFonts w:ascii="Times New Roman" w:eastAsia="Times New Roman" w:hAnsi="Times New Roman" w:cs="Times New Roman"/>
          <w:b/>
          <w:bCs/>
          <w:color w:val="000000"/>
          <w:sz w:val="24"/>
          <w:szCs w:val="24"/>
          <w:lang w:eastAsia="es-MX"/>
        </w:rPr>
      </w:pPr>
    </w:p>
    <w:p w14:paraId="6BCB1AA0" w14:textId="4F3C2CF1" w:rsidR="005874AF" w:rsidRPr="00BA10EF" w:rsidRDefault="00BE05CC" w:rsidP="00BA10EF">
      <w:pPr>
        <w:shd w:val="clear" w:color="auto" w:fill="FFFFFF"/>
        <w:spacing w:after="0" w:line="276" w:lineRule="auto"/>
        <w:jc w:val="both"/>
        <w:rPr>
          <w:rFonts w:ascii="Times New Roman" w:eastAsia="Times New Roman" w:hAnsi="Times New Roman" w:cs="Times New Roman"/>
          <w:b/>
          <w:bCs/>
          <w:color w:val="000000"/>
          <w:sz w:val="24"/>
          <w:szCs w:val="24"/>
          <w:lang w:eastAsia="es-MX"/>
        </w:rPr>
      </w:pPr>
      <w:r>
        <w:rPr>
          <w:rFonts w:ascii="Times New Roman" w:eastAsia="Times New Roman" w:hAnsi="Times New Roman" w:cs="Times New Roman"/>
          <w:b/>
          <w:bCs/>
          <w:color w:val="000000"/>
          <w:sz w:val="24"/>
          <w:szCs w:val="24"/>
          <w:lang w:eastAsia="es-MX"/>
        </w:rPr>
        <w:t>4.2.3</w:t>
      </w:r>
      <w:r w:rsidR="005874AF" w:rsidRPr="00BA10EF">
        <w:rPr>
          <w:rFonts w:ascii="Times New Roman" w:eastAsia="Times New Roman" w:hAnsi="Times New Roman" w:cs="Times New Roman"/>
          <w:b/>
          <w:bCs/>
          <w:color w:val="000000"/>
          <w:sz w:val="24"/>
          <w:szCs w:val="24"/>
          <w:lang w:eastAsia="es-MX"/>
        </w:rPr>
        <w:t xml:space="preserve">. Privatización de la Educación en Chile </w:t>
      </w:r>
      <w:r w:rsidR="00462D77">
        <w:rPr>
          <w:rFonts w:ascii="Times New Roman" w:eastAsia="Times New Roman" w:hAnsi="Times New Roman" w:cs="Times New Roman"/>
          <w:b/>
          <w:bCs/>
          <w:color w:val="000000"/>
          <w:sz w:val="24"/>
          <w:szCs w:val="24"/>
          <w:lang w:eastAsia="es-MX"/>
        </w:rPr>
        <w:t>y Aplicación de los Principios de Abidjan</w:t>
      </w:r>
    </w:p>
    <w:p w14:paraId="69C96E93" w14:textId="77777777" w:rsidR="005874AF" w:rsidRPr="00BA10EF" w:rsidRDefault="005874AF" w:rsidP="00BA10EF">
      <w:pPr>
        <w:shd w:val="clear" w:color="auto" w:fill="FFFFFF"/>
        <w:spacing w:after="0" w:line="276" w:lineRule="auto"/>
        <w:jc w:val="both"/>
        <w:rPr>
          <w:rFonts w:ascii="Times New Roman" w:eastAsia="Times New Roman" w:hAnsi="Times New Roman" w:cs="Times New Roman"/>
          <w:sz w:val="24"/>
          <w:szCs w:val="24"/>
          <w:lang w:eastAsia="es-MX"/>
        </w:rPr>
      </w:pPr>
    </w:p>
    <w:p w14:paraId="6701189F" w14:textId="59FBBA64" w:rsidR="005874AF" w:rsidRPr="00BA10EF" w:rsidRDefault="005874AF" w:rsidP="00BA10EF">
      <w:pPr>
        <w:shd w:val="clear" w:color="auto" w:fill="FFFFFF"/>
        <w:spacing w:after="0" w:line="276" w:lineRule="auto"/>
        <w:ind w:firstLine="720"/>
        <w:jc w:val="both"/>
        <w:rPr>
          <w:rFonts w:ascii="Times New Roman" w:hAnsi="Times New Roman" w:cs="Times New Roman"/>
          <w:color w:val="000000"/>
          <w:sz w:val="24"/>
          <w:szCs w:val="24"/>
          <w:shd w:val="clear" w:color="auto" w:fill="FFFFFF"/>
        </w:rPr>
      </w:pPr>
      <w:r w:rsidRPr="00BA10EF">
        <w:rPr>
          <w:rFonts w:ascii="Times New Roman" w:eastAsia="Times New Roman" w:hAnsi="Times New Roman" w:cs="Times New Roman"/>
          <w:bCs/>
          <w:color w:val="000000"/>
          <w:sz w:val="24"/>
          <w:szCs w:val="24"/>
          <w:lang w:eastAsia="es-MX"/>
        </w:rPr>
        <w:t>A la luz de la Declaración Universal de los Derechos Humanos, del PIDESC y de otros tratados internacionales ratificados por Chile y que se encuentran vigente, el Estado de Chile se encuentra obligado a proveer una educación gratuita, inclusiva, pública y de calidad.</w:t>
      </w:r>
      <w:r w:rsidRPr="00BA10EF">
        <w:rPr>
          <w:rStyle w:val="Refdenotaalpie"/>
          <w:rFonts w:ascii="Times New Roman" w:eastAsia="Times New Roman" w:hAnsi="Times New Roman"/>
          <w:bCs/>
          <w:color w:val="000000"/>
          <w:sz w:val="24"/>
          <w:szCs w:val="24"/>
          <w:lang w:eastAsia="es-MX"/>
        </w:rPr>
        <w:footnoteReference w:id="146"/>
      </w:r>
      <w:r w:rsidRPr="00BA10EF">
        <w:rPr>
          <w:rFonts w:ascii="Times New Roman" w:eastAsia="Times New Roman" w:hAnsi="Times New Roman" w:cs="Times New Roman"/>
          <w:bCs/>
          <w:color w:val="000000"/>
          <w:sz w:val="24"/>
          <w:szCs w:val="24"/>
          <w:lang w:eastAsia="es-MX"/>
        </w:rPr>
        <w:t xml:space="preserve"> </w:t>
      </w:r>
      <w:r w:rsidRPr="00BA10EF">
        <w:rPr>
          <w:rFonts w:ascii="Times New Roman" w:hAnsi="Times New Roman" w:cs="Times New Roman"/>
          <w:color w:val="000000"/>
          <w:sz w:val="24"/>
          <w:szCs w:val="24"/>
          <w:shd w:val="clear" w:color="auto" w:fill="FFFFFF"/>
        </w:rPr>
        <w:t xml:space="preserve">En ese espíritu es necesario asegurar un acceso de calidad a la educación para todos los sectores de la sociedad, sin importar su nivel socioeconómico, ubicación territorial o cualquier otra condición o característica. </w:t>
      </w:r>
    </w:p>
    <w:p w14:paraId="278967F5" w14:textId="748654B3" w:rsidR="005874AF" w:rsidRPr="00BA10EF" w:rsidRDefault="005874AF" w:rsidP="00BA10EF">
      <w:pPr>
        <w:shd w:val="clear" w:color="auto" w:fill="FFFFFF"/>
        <w:spacing w:after="0" w:line="276" w:lineRule="auto"/>
        <w:ind w:firstLine="720"/>
        <w:jc w:val="both"/>
        <w:rPr>
          <w:rFonts w:ascii="Times New Roman" w:eastAsia="Times New Roman" w:hAnsi="Times New Roman" w:cs="Times New Roman"/>
          <w:bCs/>
          <w:color w:val="000000"/>
          <w:sz w:val="24"/>
          <w:szCs w:val="24"/>
          <w:lang w:eastAsia="es-MX"/>
        </w:rPr>
      </w:pPr>
      <w:r w:rsidRPr="00BA10EF">
        <w:rPr>
          <w:rFonts w:ascii="Times New Roman" w:eastAsia="Times New Roman" w:hAnsi="Times New Roman" w:cs="Times New Roman"/>
          <w:bCs/>
          <w:color w:val="000000"/>
          <w:sz w:val="24"/>
          <w:szCs w:val="24"/>
          <w:lang w:val="es-ES" w:eastAsia="es-MX"/>
        </w:rPr>
        <w:t xml:space="preserve">También, el derecho internacional de los derechos humanos – y la Constitución Chilena - permite la educación privada y establece que los actores privados tienen la libertad de establecer y dirigir instituciones </w:t>
      </w:r>
      <w:r w:rsidR="002C59B3">
        <w:rPr>
          <w:rFonts w:ascii="Times New Roman" w:eastAsia="Times New Roman" w:hAnsi="Times New Roman" w:cs="Times New Roman"/>
          <w:bCs/>
          <w:color w:val="000000"/>
          <w:sz w:val="24"/>
          <w:szCs w:val="24"/>
          <w:lang w:val="es-ES" w:eastAsia="es-MX"/>
        </w:rPr>
        <w:t>educacionales, cumpliendo</w:t>
      </w:r>
      <w:r w:rsidRPr="00BA10EF">
        <w:rPr>
          <w:rFonts w:ascii="Times New Roman" w:eastAsia="Times New Roman" w:hAnsi="Times New Roman" w:cs="Times New Roman"/>
          <w:bCs/>
          <w:color w:val="000000"/>
          <w:sz w:val="24"/>
          <w:szCs w:val="24"/>
          <w:lang w:val="es-ES" w:eastAsia="es-MX"/>
        </w:rPr>
        <w:t xml:space="preserve"> con los estándares mínimos fijados por el Estado, quien tiene la </w:t>
      </w:r>
      <w:r w:rsidR="002C59B3" w:rsidRPr="00BA10EF">
        <w:rPr>
          <w:rFonts w:ascii="Times New Roman" w:eastAsia="Times New Roman" w:hAnsi="Times New Roman" w:cs="Times New Roman"/>
          <w:bCs/>
          <w:color w:val="000000"/>
          <w:sz w:val="24"/>
          <w:szCs w:val="24"/>
          <w:lang w:val="es-ES" w:eastAsia="es-MX"/>
        </w:rPr>
        <w:t>obligación</w:t>
      </w:r>
      <w:r w:rsidRPr="00BA10EF">
        <w:rPr>
          <w:rFonts w:ascii="Times New Roman" w:eastAsia="Times New Roman" w:hAnsi="Times New Roman" w:cs="Times New Roman"/>
          <w:bCs/>
          <w:color w:val="000000"/>
          <w:sz w:val="24"/>
          <w:szCs w:val="24"/>
          <w:lang w:val="es-ES" w:eastAsia="es-MX"/>
        </w:rPr>
        <w:t xml:space="preserve"> de proteger el derecho a la educación.</w:t>
      </w:r>
      <w:r w:rsidR="002C59B3" w:rsidRPr="00BA10EF">
        <w:rPr>
          <w:rStyle w:val="Refdenotaalpie"/>
          <w:rFonts w:ascii="Times New Roman" w:eastAsia="Times New Roman" w:hAnsi="Times New Roman"/>
          <w:bCs/>
          <w:color w:val="000000"/>
          <w:sz w:val="24"/>
          <w:szCs w:val="24"/>
          <w:lang w:val="es-ES" w:eastAsia="es-MX"/>
        </w:rPr>
        <w:footnoteReference w:id="147"/>
      </w:r>
      <w:r w:rsidR="002C59B3" w:rsidRPr="00BA10EF">
        <w:rPr>
          <w:rFonts w:ascii="Times New Roman" w:eastAsia="Times New Roman" w:hAnsi="Times New Roman" w:cs="Times New Roman"/>
          <w:bCs/>
          <w:color w:val="000000"/>
          <w:sz w:val="24"/>
          <w:szCs w:val="24"/>
          <w:lang w:val="es-ES" w:eastAsia="es-MX"/>
        </w:rPr>
        <w:t xml:space="preserve"> </w:t>
      </w:r>
      <w:r w:rsidRPr="00BA10EF">
        <w:rPr>
          <w:rFonts w:ascii="Times New Roman" w:eastAsia="Times New Roman" w:hAnsi="Times New Roman" w:cs="Times New Roman"/>
          <w:bCs/>
          <w:color w:val="000000"/>
          <w:sz w:val="24"/>
          <w:szCs w:val="24"/>
          <w:lang w:val="es-ES" w:eastAsia="es-MX"/>
        </w:rPr>
        <w:t xml:space="preserve"> </w:t>
      </w:r>
    </w:p>
    <w:p w14:paraId="6AC9EC84" w14:textId="77777777" w:rsidR="00EE4829" w:rsidRDefault="005874AF" w:rsidP="005436A6">
      <w:pPr>
        <w:spacing w:after="0" w:line="276" w:lineRule="auto"/>
        <w:ind w:firstLine="720"/>
        <w:jc w:val="both"/>
        <w:rPr>
          <w:rFonts w:ascii="Times New Roman" w:hAnsi="Times New Roman" w:cs="Times New Roman"/>
          <w:sz w:val="24"/>
          <w:szCs w:val="24"/>
        </w:rPr>
      </w:pPr>
      <w:r w:rsidRPr="00BA10EF">
        <w:rPr>
          <w:rFonts w:ascii="Times New Roman" w:eastAsia="Times New Roman" w:hAnsi="Times New Roman" w:cs="Times New Roman"/>
          <w:bCs/>
          <w:color w:val="000000"/>
          <w:sz w:val="24"/>
          <w:szCs w:val="24"/>
          <w:lang w:val="es-ES" w:eastAsia="es-MX"/>
        </w:rPr>
        <w:t xml:space="preserve">Desafortunadamente, </w:t>
      </w:r>
      <w:r w:rsidR="002C59B3">
        <w:rPr>
          <w:rFonts w:ascii="Times New Roman" w:eastAsia="Times New Roman" w:hAnsi="Times New Roman" w:cs="Times New Roman"/>
          <w:bCs/>
          <w:color w:val="000000"/>
          <w:sz w:val="24"/>
          <w:szCs w:val="24"/>
          <w:lang w:val="es-ES" w:eastAsia="es-MX"/>
        </w:rPr>
        <w:t xml:space="preserve">el derecho a la educación pública </w:t>
      </w:r>
      <w:r w:rsidRPr="00BA10EF">
        <w:rPr>
          <w:rFonts w:ascii="Times New Roman" w:eastAsia="Times New Roman" w:hAnsi="Times New Roman" w:cs="Times New Roman"/>
          <w:bCs/>
          <w:color w:val="000000"/>
          <w:sz w:val="24"/>
          <w:szCs w:val="24"/>
          <w:lang w:val="es-ES" w:eastAsia="es-MX"/>
        </w:rPr>
        <w:t>en Chile ha sufrido un desmoronamiento durante los últimos 40 años, lo cual afecta</w:t>
      </w:r>
      <w:r w:rsidR="002C59B3">
        <w:rPr>
          <w:rFonts w:ascii="Times New Roman" w:eastAsia="Times New Roman" w:hAnsi="Times New Roman" w:cs="Times New Roman"/>
          <w:bCs/>
          <w:color w:val="000000"/>
          <w:sz w:val="24"/>
          <w:szCs w:val="24"/>
          <w:lang w:val="es-ES" w:eastAsia="es-MX"/>
        </w:rPr>
        <w:t xml:space="preserve"> seriamente el goce del derecho, </w:t>
      </w:r>
      <w:r w:rsidRPr="00BA10EF">
        <w:rPr>
          <w:rFonts w:ascii="Times New Roman" w:eastAsia="Times New Roman" w:hAnsi="Times New Roman" w:cs="Times New Roman"/>
          <w:bCs/>
          <w:color w:val="000000"/>
          <w:sz w:val="24"/>
          <w:szCs w:val="24"/>
          <w:lang w:val="es-ES" w:eastAsia="es-MX"/>
        </w:rPr>
        <w:t xml:space="preserve">en especial de los sectores más vulnerables. Las reformas educacionales neoliberales llevadas a cabo llevadas durante la dictadura jugaron un papel significativo en la transferencia de la responsabilidad en la provisión de la educación por parte del Estado a actores privados, esto es, en la privatización de la educación. </w:t>
      </w:r>
      <w:r w:rsidR="00454B29">
        <w:rPr>
          <w:rFonts w:ascii="Times New Roman" w:eastAsia="Times New Roman" w:hAnsi="Times New Roman" w:cs="Times New Roman"/>
          <w:bCs/>
          <w:color w:val="000000"/>
          <w:sz w:val="24"/>
          <w:szCs w:val="24"/>
          <w:lang w:val="es-ES" w:eastAsia="es-MX"/>
        </w:rPr>
        <w:t xml:space="preserve">De </w:t>
      </w:r>
      <w:r w:rsidR="00454B29" w:rsidRPr="00454B29">
        <w:rPr>
          <w:rFonts w:ascii="Times New Roman" w:eastAsia="Times New Roman" w:hAnsi="Times New Roman" w:cs="Times New Roman"/>
          <w:bCs/>
          <w:color w:val="000000"/>
          <w:sz w:val="24"/>
          <w:szCs w:val="24"/>
          <w:lang w:val="es-ES" w:eastAsia="es-MX"/>
        </w:rPr>
        <w:t xml:space="preserve">acuerdo a análisis </w:t>
      </w:r>
      <w:r w:rsidR="00282425">
        <w:rPr>
          <w:rFonts w:ascii="Times New Roman" w:eastAsia="Times New Roman" w:hAnsi="Times New Roman" w:cs="Times New Roman"/>
          <w:bCs/>
          <w:color w:val="000000"/>
          <w:sz w:val="24"/>
          <w:szCs w:val="24"/>
          <w:lang w:val="es-ES" w:eastAsia="es-MX"/>
        </w:rPr>
        <w:t>hechos en el año 2019</w:t>
      </w:r>
      <w:r w:rsidR="00454B29" w:rsidRPr="00454B29">
        <w:rPr>
          <w:rFonts w:ascii="Times New Roman" w:eastAsia="Times New Roman" w:hAnsi="Times New Roman" w:cs="Times New Roman"/>
          <w:bCs/>
          <w:color w:val="000000"/>
          <w:sz w:val="24"/>
          <w:szCs w:val="24"/>
          <w:lang w:val="es-ES" w:eastAsia="es-MX"/>
        </w:rPr>
        <w:t xml:space="preserve"> por el Foro por el Derecho a la Educación Pública</w:t>
      </w:r>
      <w:r w:rsidR="00454B29" w:rsidRPr="00454B29">
        <w:rPr>
          <w:rFonts w:ascii="Times New Roman" w:hAnsi="Times New Roman" w:cs="Times New Roman"/>
          <w:sz w:val="24"/>
          <w:szCs w:val="24"/>
        </w:rPr>
        <w:t xml:space="preserve"> “la </w:t>
      </w:r>
      <w:r w:rsidR="00462D77" w:rsidRPr="00454B29">
        <w:rPr>
          <w:rFonts w:ascii="Times New Roman" w:hAnsi="Times New Roman" w:cs="Times New Roman"/>
          <w:sz w:val="24"/>
          <w:szCs w:val="24"/>
        </w:rPr>
        <w:t>matrícula en la educación municipal va en un declive sostenido a la vez que se fortalece al sector privado, en especial a los sostenedores que, por medio del financiamiento compartido, han recibidos aportes de las familias y del Estado. Los establecimientos educacionales cubren solo un 34,8% de la matrícula del sistema escolar chileno</w:t>
      </w:r>
      <w:r w:rsidR="00454B29" w:rsidRPr="00454B29">
        <w:rPr>
          <w:rFonts w:ascii="Times New Roman" w:hAnsi="Times New Roman" w:cs="Times New Roman"/>
          <w:sz w:val="24"/>
          <w:szCs w:val="24"/>
        </w:rPr>
        <w:t>.</w:t>
      </w:r>
      <w:r w:rsidR="00454B29" w:rsidRPr="00454B29">
        <w:rPr>
          <w:rFonts w:ascii="Times New Roman" w:eastAsia="Times New Roman" w:hAnsi="Times New Roman" w:cs="Times New Roman"/>
          <w:bCs/>
          <w:color w:val="000000"/>
          <w:sz w:val="24"/>
          <w:szCs w:val="24"/>
          <w:lang w:eastAsia="es-MX"/>
        </w:rPr>
        <w:t>”</w:t>
      </w:r>
      <w:r w:rsidR="00282425">
        <w:rPr>
          <w:rStyle w:val="Refdenotaalpie"/>
          <w:rFonts w:ascii="Times New Roman" w:eastAsia="Times New Roman" w:hAnsi="Times New Roman"/>
          <w:bCs/>
          <w:color w:val="000000"/>
          <w:sz w:val="24"/>
          <w:szCs w:val="24"/>
          <w:lang w:eastAsia="es-MX"/>
        </w:rPr>
        <w:footnoteReference w:id="148"/>
      </w:r>
      <w:r w:rsidR="00454B29" w:rsidRPr="00454B29">
        <w:rPr>
          <w:rFonts w:ascii="Times New Roman" w:eastAsia="Times New Roman" w:hAnsi="Times New Roman" w:cs="Times New Roman"/>
          <w:bCs/>
          <w:color w:val="000000"/>
          <w:sz w:val="24"/>
          <w:szCs w:val="24"/>
          <w:lang w:val="es-ES" w:eastAsia="es-MX"/>
        </w:rPr>
        <w:t xml:space="preserve"> </w:t>
      </w:r>
      <w:r w:rsidRPr="00454B29">
        <w:rPr>
          <w:rFonts w:ascii="Times New Roman" w:eastAsia="Times New Roman" w:hAnsi="Times New Roman" w:cs="Times New Roman"/>
          <w:bCs/>
          <w:color w:val="000000"/>
          <w:sz w:val="24"/>
          <w:szCs w:val="24"/>
          <w:lang w:val="es-ES" w:eastAsia="es-MX"/>
        </w:rPr>
        <w:t xml:space="preserve">Por el contrario, en países de la OECD, </w:t>
      </w:r>
      <w:r w:rsidR="00454B29">
        <w:rPr>
          <w:rFonts w:ascii="Times New Roman" w:eastAsia="Times New Roman" w:hAnsi="Times New Roman" w:cs="Times New Roman"/>
          <w:bCs/>
          <w:color w:val="000000"/>
          <w:sz w:val="24"/>
          <w:szCs w:val="24"/>
          <w:lang w:val="es-ES" w:eastAsia="es-MX"/>
        </w:rPr>
        <w:t>el</w:t>
      </w:r>
      <w:r w:rsidR="00454B29" w:rsidRPr="00454B29">
        <w:rPr>
          <w:rFonts w:ascii="Times New Roman" w:eastAsia="Times New Roman" w:hAnsi="Times New Roman" w:cs="Times New Roman"/>
          <w:bCs/>
          <w:color w:val="000000"/>
          <w:sz w:val="24"/>
          <w:szCs w:val="24"/>
          <w:lang w:val="es-ES" w:eastAsia="es-MX"/>
        </w:rPr>
        <w:t xml:space="preserve"> porcentaje </w:t>
      </w:r>
      <w:r w:rsidR="00454B29">
        <w:rPr>
          <w:rFonts w:ascii="Times New Roman" w:eastAsia="Times New Roman" w:hAnsi="Times New Roman" w:cs="Times New Roman"/>
          <w:bCs/>
          <w:color w:val="000000"/>
          <w:sz w:val="24"/>
          <w:szCs w:val="24"/>
          <w:lang w:val="es-ES" w:eastAsia="es-MX"/>
        </w:rPr>
        <w:t xml:space="preserve">de cobertura de la educación pública </w:t>
      </w:r>
      <w:r w:rsidR="00454B29" w:rsidRPr="00454B29">
        <w:rPr>
          <w:rFonts w:ascii="Times New Roman" w:eastAsia="Times New Roman" w:hAnsi="Times New Roman" w:cs="Times New Roman"/>
          <w:bCs/>
          <w:color w:val="000000"/>
          <w:sz w:val="24"/>
          <w:szCs w:val="24"/>
          <w:lang w:val="es-ES" w:eastAsia="es-MX"/>
        </w:rPr>
        <w:t>alcanza alrededor del 80%</w:t>
      </w:r>
      <w:r w:rsidRPr="00454B29">
        <w:rPr>
          <w:rFonts w:ascii="Times New Roman" w:eastAsia="Times New Roman" w:hAnsi="Times New Roman" w:cs="Times New Roman"/>
          <w:bCs/>
          <w:color w:val="000000"/>
          <w:sz w:val="24"/>
          <w:szCs w:val="24"/>
          <w:lang w:val="es-ES" w:eastAsia="es-MX"/>
        </w:rPr>
        <w:t>.</w:t>
      </w:r>
      <w:r w:rsidRPr="00454B29">
        <w:rPr>
          <w:rStyle w:val="Refdenotaalpie"/>
          <w:rFonts w:ascii="Times New Roman" w:eastAsia="Times New Roman" w:hAnsi="Times New Roman"/>
          <w:bCs/>
          <w:color w:val="000000"/>
          <w:sz w:val="24"/>
          <w:szCs w:val="24"/>
          <w:lang w:val="es-ES" w:eastAsia="es-MX"/>
        </w:rPr>
        <w:footnoteReference w:id="149"/>
      </w:r>
      <w:r w:rsidRPr="00454B29">
        <w:rPr>
          <w:rFonts w:ascii="Times New Roman" w:hAnsi="Times New Roman" w:cs="Times New Roman"/>
          <w:sz w:val="24"/>
          <w:szCs w:val="24"/>
        </w:rPr>
        <w:t xml:space="preserve"> </w:t>
      </w:r>
    </w:p>
    <w:p w14:paraId="3760E4F5" w14:textId="1717F2FC" w:rsidR="00EE4829" w:rsidRDefault="00EE4829" w:rsidP="005436A6">
      <w:pPr>
        <w:spacing w:after="0" w:line="276" w:lineRule="auto"/>
        <w:ind w:firstLine="720"/>
        <w:jc w:val="both"/>
        <w:rPr>
          <w:rFonts w:ascii="Times New Roman" w:hAnsi="Times New Roman" w:cs="Times New Roman"/>
          <w:sz w:val="24"/>
          <w:szCs w:val="24"/>
        </w:rPr>
      </w:pPr>
    </w:p>
    <w:p w14:paraId="0CD16453" w14:textId="7D326E1B" w:rsidR="00E86B4E" w:rsidRDefault="00E86B4E" w:rsidP="005436A6">
      <w:pPr>
        <w:spacing w:after="0" w:line="276" w:lineRule="auto"/>
        <w:ind w:firstLine="720"/>
        <w:jc w:val="both"/>
        <w:rPr>
          <w:rFonts w:ascii="Times New Roman" w:hAnsi="Times New Roman" w:cs="Times New Roman"/>
          <w:sz w:val="24"/>
          <w:szCs w:val="24"/>
        </w:rPr>
      </w:pPr>
    </w:p>
    <w:p w14:paraId="12B6FA39" w14:textId="451EEC7F" w:rsidR="00E86B4E" w:rsidRDefault="00E86B4E" w:rsidP="005436A6">
      <w:pPr>
        <w:spacing w:after="0" w:line="276" w:lineRule="auto"/>
        <w:ind w:firstLine="720"/>
        <w:jc w:val="both"/>
        <w:rPr>
          <w:rFonts w:ascii="Times New Roman" w:hAnsi="Times New Roman" w:cs="Times New Roman"/>
          <w:sz w:val="24"/>
          <w:szCs w:val="24"/>
        </w:rPr>
      </w:pPr>
    </w:p>
    <w:p w14:paraId="4E639AE7" w14:textId="4B992841" w:rsidR="00E86B4E" w:rsidRDefault="00E86B4E" w:rsidP="005436A6">
      <w:pPr>
        <w:spacing w:after="0" w:line="276" w:lineRule="auto"/>
        <w:ind w:firstLine="720"/>
        <w:jc w:val="both"/>
        <w:rPr>
          <w:rFonts w:ascii="Times New Roman" w:hAnsi="Times New Roman" w:cs="Times New Roman"/>
          <w:sz w:val="24"/>
          <w:szCs w:val="24"/>
        </w:rPr>
      </w:pPr>
    </w:p>
    <w:p w14:paraId="4DAA2320" w14:textId="3EEAB39D" w:rsidR="00E86B4E" w:rsidRDefault="00E86B4E" w:rsidP="005436A6">
      <w:pPr>
        <w:spacing w:after="0" w:line="276" w:lineRule="auto"/>
        <w:ind w:firstLine="720"/>
        <w:jc w:val="both"/>
        <w:rPr>
          <w:rFonts w:ascii="Times New Roman" w:hAnsi="Times New Roman" w:cs="Times New Roman"/>
          <w:sz w:val="24"/>
          <w:szCs w:val="24"/>
        </w:rPr>
      </w:pPr>
    </w:p>
    <w:p w14:paraId="4CF956CA" w14:textId="2870F0A9" w:rsidR="00E86B4E" w:rsidRDefault="00E86B4E" w:rsidP="005436A6">
      <w:pPr>
        <w:spacing w:after="0" w:line="276" w:lineRule="auto"/>
        <w:ind w:firstLine="720"/>
        <w:jc w:val="both"/>
        <w:rPr>
          <w:rFonts w:ascii="Times New Roman" w:hAnsi="Times New Roman" w:cs="Times New Roman"/>
          <w:sz w:val="24"/>
          <w:szCs w:val="24"/>
        </w:rPr>
      </w:pPr>
    </w:p>
    <w:p w14:paraId="0FCD4051" w14:textId="0DEA2B78" w:rsidR="00E86B4E" w:rsidRDefault="00E86B4E" w:rsidP="005436A6">
      <w:pPr>
        <w:spacing w:after="0" w:line="276" w:lineRule="auto"/>
        <w:ind w:firstLine="720"/>
        <w:jc w:val="both"/>
        <w:rPr>
          <w:rFonts w:ascii="Times New Roman" w:hAnsi="Times New Roman" w:cs="Times New Roman"/>
          <w:sz w:val="24"/>
          <w:szCs w:val="24"/>
        </w:rPr>
      </w:pPr>
    </w:p>
    <w:p w14:paraId="6B924813" w14:textId="5DB186FB" w:rsidR="00E86B4E" w:rsidRDefault="00E86B4E" w:rsidP="005436A6">
      <w:pPr>
        <w:spacing w:after="0" w:line="276" w:lineRule="auto"/>
        <w:ind w:firstLine="720"/>
        <w:jc w:val="both"/>
        <w:rPr>
          <w:rFonts w:ascii="Times New Roman" w:hAnsi="Times New Roman" w:cs="Times New Roman"/>
          <w:sz w:val="24"/>
          <w:szCs w:val="24"/>
        </w:rPr>
      </w:pPr>
    </w:p>
    <w:p w14:paraId="7E9431D5" w14:textId="63133AD2" w:rsidR="00E86B4E" w:rsidRDefault="00E86B4E" w:rsidP="005436A6">
      <w:pPr>
        <w:spacing w:after="0" w:line="276" w:lineRule="auto"/>
        <w:ind w:firstLine="720"/>
        <w:jc w:val="both"/>
        <w:rPr>
          <w:rFonts w:ascii="Times New Roman" w:hAnsi="Times New Roman" w:cs="Times New Roman"/>
          <w:sz w:val="24"/>
          <w:szCs w:val="24"/>
        </w:rPr>
      </w:pPr>
    </w:p>
    <w:p w14:paraId="73C48625" w14:textId="2E0F47FF" w:rsidR="00E86B4E" w:rsidRDefault="00E86B4E" w:rsidP="005436A6">
      <w:pPr>
        <w:spacing w:after="0" w:line="276" w:lineRule="auto"/>
        <w:ind w:firstLine="720"/>
        <w:jc w:val="both"/>
        <w:rPr>
          <w:rFonts w:ascii="Times New Roman" w:hAnsi="Times New Roman" w:cs="Times New Roman"/>
          <w:sz w:val="24"/>
          <w:szCs w:val="24"/>
        </w:rPr>
      </w:pPr>
    </w:p>
    <w:p w14:paraId="1B49CB25" w14:textId="01258FC4" w:rsidR="00E86B4E" w:rsidRDefault="00E86B4E" w:rsidP="005436A6">
      <w:pPr>
        <w:spacing w:after="0" w:line="276" w:lineRule="auto"/>
        <w:ind w:firstLine="720"/>
        <w:jc w:val="both"/>
        <w:rPr>
          <w:rFonts w:ascii="Times New Roman" w:hAnsi="Times New Roman" w:cs="Times New Roman"/>
          <w:sz w:val="24"/>
          <w:szCs w:val="24"/>
        </w:rPr>
      </w:pPr>
    </w:p>
    <w:p w14:paraId="1908FF76" w14:textId="0694E718" w:rsidR="00E86B4E" w:rsidRPr="00E86B4E" w:rsidRDefault="00E86B4E" w:rsidP="005436A6">
      <w:pPr>
        <w:spacing w:after="0" w:line="276" w:lineRule="auto"/>
        <w:ind w:firstLine="720"/>
        <w:jc w:val="both"/>
        <w:rPr>
          <w:rFonts w:ascii="Times New Roman" w:hAnsi="Times New Roman" w:cs="Times New Roman"/>
          <w:b/>
          <w:sz w:val="24"/>
          <w:szCs w:val="24"/>
          <w:u w:val="single"/>
        </w:rPr>
      </w:pPr>
      <w:r w:rsidRPr="00E86B4E">
        <w:rPr>
          <w:rFonts w:ascii="Times New Roman" w:hAnsi="Times New Roman" w:cs="Times New Roman"/>
          <w:b/>
          <w:sz w:val="24"/>
          <w:szCs w:val="24"/>
          <w:u w:val="single"/>
        </w:rPr>
        <w:t xml:space="preserve">Tabla 1: </w:t>
      </w:r>
    </w:p>
    <w:p w14:paraId="69F79CD9" w14:textId="435654BB" w:rsidR="00EE4829" w:rsidRDefault="00EE4829" w:rsidP="00EE4829">
      <w:pPr>
        <w:spacing w:after="0" w:line="276" w:lineRule="auto"/>
        <w:ind w:firstLine="720"/>
        <w:jc w:val="center"/>
        <w:rPr>
          <w:rFonts w:ascii="Times New Roman" w:hAnsi="Times New Roman" w:cs="Times New Roman"/>
          <w:sz w:val="24"/>
          <w:szCs w:val="24"/>
        </w:rPr>
      </w:pPr>
      <w:r>
        <w:rPr>
          <w:noProof/>
          <w:lang w:val="en-GB" w:eastAsia="en-GB"/>
        </w:rPr>
        <w:drawing>
          <wp:inline distT="0" distB="0" distL="0" distR="0" wp14:anchorId="70E79618" wp14:editId="48FF00C7">
            <wp:extent cx="5086350" cy="2809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86350" cy="2809875"/>
                    </a:xfrm>
                    <a:prstGeom prst="rect">
                      <a:avLst/>
                    </a:prstGeom>
                  </pic:spPr>
                </pic:pic>
              </a:graphicData>
            </a:graphic>
          </wp:inline>
        </w:drawing>
      </w:r>
    </w:p>
    <w:p w14:paraId="6719D00C" w14:textId="118918FD" w:rsidR="00EE4829" w:rsidRPr="00EE4829" w:rsidRDefault="00EE4829" w:rsidP="005436A6">
      <w:pPr>
        <w:spacing w:after="0" w:line="276" w:lineRule="auto"/>
        <w:ind w:firstLine="720"/>
        <w:jc w:val="both"/>
        <w:rPr>
          <w:rFonts w:ascii="Times New Roman" w:hAnsi="Times New Roman" w:cs="Times New Roman"/>
          <w:i/>
          <w:sz w:val="18"/>
          <w:szCs w:val="18"/>
        </w:rPr>
      </w:pPr>
      <w:r>
        <w:rPr>
          <w:rFonts w:ascii="Times New Roman" w:hAnsi="Times New Roman" w:cs="Times New Roman"/>
          <w:i/>
          <w:sz w:val="18"/>
          <w:szCs w:val="18"/>
        </w:rPr>
        <w:t>Tabla elaborada</w:t>
      </w:r>
      <w:r w:rsidRPr="00EE4829">
        <w:rPr>
          <w:rFonts w:ascii="Times New Roman" w:hAnsi="Times New Roman" w:cs="Times New Roman"/>
          <w:i/>
          <w:sz w:val="18"/>
          <w:szCs w:val="18"/>
        </w:rPr>
        <w:t xml:space="preserve"> por Foro por el Derecho a la Educación Pública en base a datos del Ministerio de Educación (2019). </w:t>
      </w:r>
    </w:p>
    <w:p w14:paraId="7EDE5515" w14:textId="77777777" w:rsidR="00EE4829" w:rsidRDefault="00EE4829" w:rsidP="005436A6">
      <w:pPr>
        <w:spacing w:after="0" w:line="276" w:lineRule="auto"/>
        <w:ind w:firstLine="720"/>
        <w:jc w:val="both"/>
        <w:rPr>
          <w:rFonts w:ascii="Times New Roman" w:hAnsi="Times New Roman" w:cs="Times New Roman"/>
          <w:sz w:val="24"/>
          <w:szCs w:val="24"/>
        </w:rPr>
      </w:pPr>
    </w:p>
    <w:p w14:paraId="1FFEF6C4" w14:textId="08E9729B" w:rsidR="00A464F4" w:rsidRDefault="005874AF" w:rsidP="005436A6">
      <w:pPr>
        <w:spacing w:after="0" w:line="276" w:lineRule="auto"/>
        <w:ind w:firstLine="720"/>
        <w:jc w:val="both"/>
        <w:rPr>
          <w:rFonts w:ascii="Times New Roman" w:eastAsia="Times New Roman" w:hAnsi="Times New Roman" w:cs="Times New Roman"/>
          <w:bCs/>
          <w:color w:val="000000"/>
          <w:sz w:val="24"/>
          <w:szCs w:val="24"/>
          <w:lang w:val="es-ES" w:eastAsia="es-MX"/>
        </w:rPr>
      </w:pPr>
      <w:r w:rsidRPr="00454B29">
        <w:rPr>
          <w:rFonts w:ascii="Times New Roman" w:eastAsia="Times New Roman" w:hAnsi="Times New Roman" w:cs="Times New Roman"/>
          <w:bCs/>
          <w:color w:val="000000"/>
          <w:sz w:val="24"/>
          <w:szCs w:val="24"/>
          <w:lang w:val="es-ES" w:eastAsia="es-MX"/>
        </w:rPr>
        <w:t>La consolidación de un mercado educativo a través de la implementación</w:t>
      </w:r>
      <w:r w:rsidRPr="00BA10EF">
        <w:rPr>
          <w:rFonts w:ascii="Times New Roman" w:eastAsia="Times New Roman" w:hAnsi="Times New Roman" w:cs="Times New Roman"/>
          <w:bCs/>
          <w:color w:val="000000"/>
          <w:sz w:val="24"/>
          <w:szCs w:val="24"/>
          <w:lang w:val="es-ES" w:eastAsia="es-MX"/>
        </w:rPr>
        <w:t xml:space="preserve"> de políticas de privatización provocadas por la instauración de un sistema de escuelas de propiedad privada con fines de lucro, selección y la posibilidad del financiamiento compartido, crearon una segmentación de la demanda según capacidad de pago que segregó bajo la lógica de mercado a las familias al momento de acceder a las escuelas. </w:t>
      </w:r>
    </w:p>
    <w:p w14:paraId="6C2752C3" w14:textId="67A01A29" w:rsidR="00A464F4" w:rsidRPr="00282425" w:rsidRDefault="00A464F4" w:rsidP="00282425">
      <w:pPr>
        <w:spacing w:after="0" w:line="276" w:lineRule="auto"/>
        <w:ind w:firstLine="720"/>
        <w:jc w:val="both"/>
        <w:rPr>
          <w:rFonts w:ascii="Times New Roman" w:eastAsia="Times New Roman" w:hAnsi="Times New Roman" w:cs="Times New Roman"/>
          <w:bCs/>
          <w:sz w:val="24"/>
          <w:szCs w:val="24"/>
          <w:lang w:eastAsia="es-MX"/>
        </w:rPr>
      </w:pPr>
      <w:r>
        <w:rPr>
          <w:rFonts w:ascii="Times New Roman" w:eastAsia="Times New Roman" w:hAnsi="Times New Roman" w:cs="Times New Roman"/>
          <w:bCs/>
          <w:sz w:val="24"/>
          <w:szCs w:val="24"/>
          <w:lang w:eastAsia="es-MX"/>
        </w:rPr>
        <w:t xml:space="preserve">Un claro ejemplo del </w:t>
      </w:r>
      <w:r w:rsidR="002A0CB0">
        <w:rPr>
          <w:rFonts w:ascii="Times New Roman" w:eastAsia="Times New Roman" w:hAnsi="Times New Roman" w:cs="Times New Roman"/>
          <w:bCs/>
          <w:sz w:val="24"/>
          <w:szCs w:val="24"/>
          <w:lang w:eastAsia="es-MX"/>
        </w:rPr>
        <w:t>intento de fortalecer la privatización de la educación en desmedro</w:t>
      </w:r>
      <w:r>
        <w:rPr>
          <w:rFonts w:ascii="Times New Roman" w:eastAsia="Times New Roman" w:hAnsi="Times New Roman" w:cs="Times New Roman"/>
          <w:bCs/>
          <w:sz w:val="24"/>
          <w:szCs w:val="24"/>
          <w:lang w:eastAsia="es-MX"/>
        </w:rPr>
        <w:t xml:space="preserve"> del derecho a la educación pública</w:t>
      </w:r>
      <w:r w:rsidR="002A0CB0">
        <w:rPr>
          <w:rFonts w:ascii="Times New Roman" w:eastAsia="Times New Roman" w:hAnsi="Times New Roman" w:cs="Times New Roman"/>
          <w:bCs/>
          <w:sz w:val="24"/>
          <w:szCs w:val="24"/>
          <w:lang w:eastAsia="es-MX"/>
        </w:rPr>
        <w:t xml:space="preserve"> </w:t>
      </w:r>
      <w:r w:rsidR="000A4DBB">
        <w:rPr>
          <w:rFonts w:ascii="Times New Roman" w:eastAsia="Times New Roman" w:hAnsi="Times New Roman" w:cs="Times New Roman"/>
          <w:bCs/>
          <w:sz w:val="24"/>
          <w:szCs w:val="24"/>
          <w:lang w:eastAsia="es-MX"/>
        </w:rPr>
        <w:t>ha sido el</w:t>
      </w:r>
      <w:r w:rsidR="005874AF" w:rsidRPr="00BA10EF">
        <w:rPr>
          <w:rFonts w:ascii="Times New Roman" w:eastAsia="Times New Roman" w:hAnsi="Times New Roman" w:cs="Times New Roman"/>
          <w:bCs/>
          <w:sz w:val="24"/>
          <w:szCs w:val="24"/>
          <w:lang w:eastAsia="es-MX"/>
        </w:rPr>
        <w:t xml:space="preserve"> aumento de la cobertura de la educación parvularia a través de proveedores privados. Actualmente el Congreso Nacional se encuentra tramitando dos proyectos de ley que priorizan la entrega de recursos a proveedores privados. Por un lado la ley que aumenta la subvención para la educación parvularia</w:t>
      </w:r>
      <w:r w:rsidR="005874AF" w:rsidRPr="00BA10EF">
        <w:rPr>
          <w:rStyle w:val="Refdenotaalpie"/>
          <w:rFonts w:ascii="Times New Roman" w:eastAsia="Times New Roman" w:hAnsi="Times New Roman"/>
          <w:bCs/>
          <w:sz w:val="24"/>
          <w:szCs w:val="24"/>
          <w:lang w:eastAsia="es-MX"/>
        </w:rPr>
        <w:footnoteReference w:id="150"/>
      </w:r>
      <w:r w:rsidR="005874AF" w:rsidRPr="00BA10EF">
        <w:rPr>
          <w:rFonts w:ascii="Times New Roman" w:eastAsia="Times New Roman" w:hAnsi="Times New Roman" w:cs="Times New Roman"/>
          <w:bCs/>
          <w:sz w:val="24"/>
          <w:szCs w:val="24"/>
          <w:lang w:eastAsia="es-MX"/>
        </w:rPr>
        <w:t xml:space="preserve"> y por otro la ley que crea el beneficio de sala cuna</w:t>
      </w:r>
      <w:r w:rsidR="00AC4CB7">
        <w:rPr>
          <w:rFonts w:ascii="Times New Roman" w:eastAsia="Times New Roman" w:hAnsi="Times New Roman" w:cs="Times New Roman"/>
          <w:bCs/>
          <w:sz w:val="24"/>
          <w:szCs w:val="24"/>
          <w:lang w:eastAsia="es-MX"/>
        </w:rPr>
        <w:t>.</w:t>
      </w:r>
      <w:r w:rsidR="005874AF" w:rsidRPr="00BA10EF">
        <w:rPr>
          <w:rStyle w:val="Refdenotaalpie"/>
          <w:rFonts w:ascii="Times New Roman" w:eastAsia="Times New Roman" w:hAnsi="Times New Roman"/>
          <w:bCs/>
          <w:sz w:val="24"/>
          <w:szCs w:val="24"/>
          <w:lang w:eastAsia="es-MX"/>
        </w:rPr>
        <w:footnoteReference w:id="151"/>
      </w:r>
      <w:r w:rsidR="002A0CB0">
        <w:rPr>
          <w:rFonts w:ascii="Times New Roman" w:eastAsia="Times New Roman" w:hAnsi="Times New Roman" w:cs="Times New Roman"/>
          <w:bCs/>
          <w:sz w:val="24"/>
          <w:szCs w:val="24"/>
          <w:lang w:eastAsia="es-MX"/>
        </w:rPr>
        <w:t xml:space="preserve"> </w:t>
      </w:r>
    </w:p>
    <w:p w14:paraId="051F52D8" w14:textId="77777777" w:rsidR="00282425" w:rsidRPr="00AC4CB7" w:rsidRDefault="005874AF" w:rsidP="00AC4CB7">
      <w:pPr>
        <w:spacing w:after="0" w:line="276" w:lineRule="auto"/>
        <w:ind w:firstLine="720"/>
        <w:jc w:val="both"/>
        <w:rPr>
          <w:rFonts w:ascii="Times New Roman" w:eastAsia="Times New Roman" w:hAnsi="Times New Roman" w:cs="Times New Roman"/>
          <w:bCs/>
          <w:color w:val="000000"/>
          <w:sz w:val="24"/>
          <w:szCs w:val="24"/>
          <w:lang w:val="es-ES" w:eastAsia="es-MX"/>
        </w:rPr>
      </w:pPr>
      <w:r w:rsidRPr="00BA10EF">
        <w:rPr>
          <w:rFonts w:ascii="Times New Roman" w:eastAsia="Times New Roman" w:hAnsi="Times New Roman" w:cs="Times New Roman"/>
          <w:bCs/>
          <w:color w:val="000000"/>
          <w:sz w:val="24"/>
          <w:szCs w:val="24"/>
          <w:lang w:val="es-ES" w:eastAsia="es-MX"/>
        </w:rPr>
        <w:t xml:space="preserve">Tal como lo evidenció Global Initiative for Economic and Social Rights, en conjunto </w:t>
      </w:r>
      <w:r w:rsidRPr="00AC4CB7">
        <w:rPr>
          <w:rFonts w:ascii="Times New Roman" w:eastAsia="Times New Roman" w:hAnsi="Times New Roman" w:cs="Times New Roman"/>
          <w:bCs/>
          <w:color w:val="000000"/>
          <w:sz w:val="24"/>
          <w:szCs w:val="24"/>
          <w:lang w:val="es-ES" w:eastAsia="es-MX"/>
        </w:rPr>
        <w:t>con la Universidad Sciense Po Paris y otras organizaciones en el año 2014, la privatización de la educación en Chile ha producido mayor segregación, exclusión y desigualdad, y ha afectado gravemente la capacidad del estado para garantizar el derecho a la educación para todos.</w:t>
      </w:r>
      <w:r w:rsidRPr="00AC4CB7">
        <w:rPr>
          <w:rStyle w:val="Refdenotaalpie"/>
          <w:rFonts w:ascii="Times New Roman" w:eastAsia="Times New Roman" w:hAnsi="Times New Roman"/>
          <w:bCs/>
          <w:color w:val="000000"/>
          <w:sz w:val="24"/>
          <w:szCs w:val="24"/>
          <w:lang w:val="es-ES" w:eastAsia="es-MX"/>
        </w:rPr>
        <w:footnoteReference w:id="152"/>
      </w:r>
      <w:r w:rsidRPr="00AC4CB7">
        <w:rPr>
          <w:rFonts w:ascii="Times New Roman" w:eastAsia="Times New Roman" w:hAnsi="Times New Roman" w:cs="Times New Roman"/>
          <w:bCs/>
          <w:color w:val="000000"/>
          <w:sz w:val="24"/>
          <w:szCs w:val="24"/>
          <w:lang w:val="es-ES" w:eastAsia="es-MX"/>
        </w:rPr>
        <w:t xml:space="preserve"> </w:t>
      </w:r>
    </w:p>
    <w:p w14:paraId="1C8DBD23" w14:textId="1A418B16" w:rsidR="00336EE6" w:rsidRPr="00AC4CB7" w:rsidRDefault="00282425" w:rsidP="00AC4CB7">
      <w:pPr>
        <w:spacing w:after="0" w:line="276" w:lineRule="auto"/>
        <w:ind w:firstLine="720"/>
        <w:jc w:val="both"/>
        <w:rPr>
          <w:rFonts w:ascii="Times New Roman" w:eastAsia="Times New Roman" w:hAnsi="Times New Roman" w:cs="Times New Roman"/>
          <w:bCs/>
          <w:color w:val="000000"/>
          <w:sz w:val="24"/>
          <w:szCs w:val="24"/>
          <w:lang w:val="es-ES" w:eastAsia="es-MX"/>
        </w:rPr>
      </w:pPr>
      <w:r w:rsidRPr="00AC4CB7">
        <w:rPr>
          <w:rFonts w:ascii="Times New Roman" w:eastAsia="Times New Roman" w:hAnsi="Times New Roman" w:cs="Times New Roman"/>
          <w:bCs/>
          <w:color w:val="000000"/>
          <w:sz w:val="24"/>
          <w:szCs w:val="24"/>
          <w:lang w:val="es-ES" w:eastAsia="es-MX"/>
        </w:rPr>
        <w:t>En este contexto, la aplicación de los Principios de Abidjan es particularmente relevante para el caso chileno.</w:t>
      </w:r>
      <w:r w:rsidRPr="00AC4CB7">
        <w:rPr>
          <w:rStyle w:val="Refdenotaalpie"/>
          <w:rFonts w:ascii="Times New Roman" w:eastAsia="Times New Roman" w:hAnsi="Times New Roman"/>
          <w:bCs/>
          <w:color w:val="000000"/>
          <w:sz w:val="24"/>
          <w:szCs w:val="24"/>
          <w:lang w:val="es-ES" w:eastAsia="es-MX"/>
        </w:rPr>
        <w:footnoteReference w:id="153"/>
      </w:r>
      <w:r w:rsidRPr="00AC4CB7">
        <w:rPr>
          <w:rFonts w:ascii="Times New Roman" w:eastAsia="Times New Roman" w:hAnsi="Times New Roman" w:cs="Times New Roman"/>
          <w:bCs/>
          <w:color w:val="000000"/>
          <w:sz w:val="24"/>
          <w:szCs w:val="24"/>
          <w:lang w:val="es-ES" w:eastAsia="es-MX"/>
        </w:rPr>
        <w:t xml:space="preserve"> </w:t>
      </w:r>
      <w:r w:rsidR="00EE4829" w:rsidRPr="00AC4CB7">
        <w:rPr>
          <w:rFonts w:ascii="Times New Roman" w:eastAsia="Times New Roman" w:hAnsi="Times New Roman" w:cs="Times New Roman"/>
          <w:bCs/>
          <w:color w:val="000000"/>
          <w:sz w:val="24"/>
          <w:szCs w:val="24"/>
          <w:lang w:val="es-ES" w:eastAsia="es-MX"/>
        </w:rPr>
        <w:t xml:space="preserve">Los Principio de Abidjan sobre las obligaciones de derechos </w:t>
      </w:r>
      <w:r w:rsidR="00EE4829" w:rsidRPr="00AC4CB7">
        <w:rPr>
          <w:rFonts w:ascii="Times New Roman" w:eastAsia="Times New Roman" w:hAnsi="Times New Roman" w:cs="Times New Roman"/>
          <w:bCs/>
          <w:color w:val="000000"/>
          <w:sz w:val="24"/>
          <w:szCs w:val="24"/>
          <w:lang w:val="es-ES" w:eastAsia="es-MX"/>
        </w:rPr>
        <w:lastRenderedPageBreak/>
        <w:t xml:space="preserve">humanos de los Estados en proveer educación pública y regular la participación de los actores privados en la educación, fueron adoptados el 13 de febrero de 2019 por un grupo de 55 reconocidos expertos a nivel mundial en el derecho a la educación.  </w:t>
      </w:r>
    </w:p>
    <w:p w14:paraId="64610E80" w14:textId="524814E4" w:rsidR="008340EA" w:rsidRPr="00AC4CB7" w:rsidRDefault="00282425" w:rsidP="00AC4CB7">
      <w:pPr>
        <w:spacing w:after="0" w:line="276" w:lineRule="auto"/>
        <w:ind w:firstLine="708"/>
        <w:jc w:val="both"/>
        <w:rPr>
          <w:rFonts w:ascii="Times New Roman" w:eastAsia="Times New Roman" w:hAnsi="Times New Roman" w:cs="Times New Roman"/>
          <w:bCs/>
          <w:color w:val="000000"/>
          <w:sz w:val="24"/>
          <w:szCs w:val="24"/>
          <w:lang w:val="es-ES" w:eastAsia="es-MX"/>
        </w:rPr>
      </w:pPr>
      <w:r w:rsidRPr="00AC4CB7">
        <w:rPr>
          <w:rFonts w:ascii="Times New Roman" w:eastAsia="Times New Roman" w:hAnsi="Times New Roman" w:cs="Times New Roman"/>
          <w:bCs/>
          <w:color w:val="000000"/>
          <w:sz w:val="24"/>
          <w:szCs w:val="24"/>
          <w:lang w:val="es-ES" w:eastAsia="es-MX"/>
        </w:rPr>
        <w:t xml:space="preserve">Los Principios de Abidjan </w:t>
      </w:r>
      <w:r w:rsidR="00336EE6" w:rsidRPr="00AC4CB7">
        <w:rPr>
          <w:rFonts w:ascii="Times New Roman" w:eastAsia="Times New Roman" w:hAnsi="Times New Roman" w:cs="Times New Roman"/>
          <w:bCs/>
          <w:color w:val="000000"/>
          <w:sz w:val="24"/>
          <w:szCs w:val="24"/>
          <w:lang w:val="es-ES" w:eastAsia="es-MX"/>
        </w:rPr>
        <w:t xml:space="preserve">proveen una guía a los Estados respecto al derecho a la educación y sobre la participación de actores privados en los sistemas educativos bajo normas de derechos humanos ya existentes. Los principios </w:t>
      </w:r>
      <w:r w:rsidR="00E86B4E" w:rsidRPr="00AC4CB7">
        <w:rPr>
          <w:rFonts w:ascii="Times New Roman" w:eastAsia="Times New Roman" w:hAnsi="Times New Roman" w:cs="Times New Roman"/>
          <w:bCs/>
          <w:color w:val="000000"/>
          <w:sz w:val="24"/>
          <w:szCs w:val="24"/>
          <w:lang w:val="es-ES" w:eastAsia="es-MX"/>
        </w:rPr>
        <w:t xml:space="preserve">destacan que, </w:t>
      </w:r>
      <w:r w:rsidR="00336EE6" w:rsidRPr="00AC4CB7">
        <w:rPr>
          <w:rFonts w:ascii="Times New Roman" w:eastAsia="Times New Roman" w:hAnsi="Times New Roman" w:cs="Times New Roman"/>
          <w:bCs/>
          <w:color w:val="000000"/>
          <w:sz w:val="24"/>
          <w:szCs w:val="24"/>
          <w:lang w:val="es-ES" w:eastAsia="es-MX"/>
        </w:rPr>
        <w:t>de acuerdo al derecho interna</w:t>
      </w:r>
      <w:r w:rsidR="00E86B4E" w:rsidRPr="00AC4CB7">
        <w:rPr>
          <w:rFonts w:ascii="Times New Roman" w:eastAsia="Times New Roman" w:hAnsi="Times New Roman" w:cs="Times New Roman"/>
          <w:bCs/>
          <w:color w:val="000000"/>
          <w:sz w:val="24"/>
          <w:szCs w:val="24"/>
          <w:lang w:val="es-ES" w:eastAsia="es-MX"/>
        </w:rPr>
        <w:t>cional de los derechos humanos, el derecho de los padres a elegir el establecimiento educacional de sus hijos y optar por una educación privada no puede menoscabar el derecho a una educaci</w:t>
      </w:r>
      <w:r w:rsidR="008340EA" w:rsidRPr="00AC4CB7">
        <w:rPr>
          <w:rFonts w:ascii="Times New Roman" w:eastAsia="Times New Roman" w:hAnsi="Times New Roman" w:cs="Times New Roman"/>
          <w:bCs/>
          <w:color w:val="000000"/>
          <w:sz w:val="24"/>
          <w:szCs w:val="24"/>
          <w:lang w:val="es-ES" w:eastAsia="es-MX"/>
        </w:rPr>
        <w:t xml:space="preserve">ón gratuita, pública, </w:t>
      </w:r>
      <w:r w:rsidR="00E86B4E" w:rsidRPr="00AC4CB7">
        <w:rPr>
          <w:rFonts w:ascii="Times New Roman" w:eastAsia="Times New Roman" w:hAnsi="Times New Roman" w:cs="Times New Roman"/>
          <w:bCs/>
          <w:color w:val="000000"/>
          <w:sz w:val="24"/>
          <w:szCs w:val="24"/>
          <w:lang w:val="es-ES" w:eastAsia="es-MX"/>
        </w:rPr>
        <w:t>e inclusiva para todos o el derecho a la igualdad y no discriminación.</w:t>
      </w:r>
      <w:r w:rsidR="008340EA" w:rsidRPr="00AC4CB7">
        <w:rPr>
          <w:rFonts w:ascii="Times New Roman" w:eastAsia="Times New Roman" w:hAnsi="Times New Roman" w:cs="Times New Roman"/>
          <w:bCs/>
          <w:color w:val="000000"/>
          <w:sz w:val="24"/>
          <w:szCs w:val="24"/>
          <w:lang w:val="es-ES" w:eastAsia="es-MX"/>
        </w:rPr>
        <w:t xml:space="preserve"> Además, los principios señalan que todos los actores relacionados en la provisión de educación - públicos o privados- deben estar alineados hacia el objetivo común de realizar el derecho a la educación.  </w:t>
      </w:r>
    </w:p>
    <w:p w14:paraId="5D78C36B" w14:textId="2A967D1B" w:rsidR="008340EA" w:rsidRPr="00AC4CB7" w:rsidRDefault="008340EA" w:rsidP="00AC4CB7">
      <w:pPr>
        <w:spacing w:after="0" w:line="276" w:lineRule="auto"/>
        <w:ind w:firstLine="708"/>
        <w:jc w:val="both"/>
        <w:rPr>
          <w:rFonts w:ascii="Times New Roman" w:eastAsia="Times New Roman" w:hAnsi="Times New Roman" w:cs="Times New Roman"/>
          <w:bCs/>
          <w:color w:val="000000"/>
          <w:sz w:val="24"/>
          <w:szCs w:val="24"/>
          <w:lang w:val="es-ES" w:eastAsia="es-MX"/>
        </w:rPr>
      </w:pPr>
      <w:r w:rsidRPr="00AC4CB7">
        <w:rPr>
          <w:rFonts w:ascii="Times New Roman" w:eastAsia="Times New Roman" w:hAnsi="Times New Roman" w:cs="Times New Roman"/>
          <w:bCs/>
          <w:color w:val="000000"/>
          <w:sz w:val="24"/>
          <w:szCs w:val="24"/>
          <w:lang w:val="es-ES" w:eastAsia="es-MX"/>
        </w:rPr>
        <w:t xml:space="preserve">Así, el </w:t>
      </w:r>
      <w:r w:rsidR="002501A7" w:rsidRPr="00AC4CB7">
        <w:rPr>
          <w:rFonts w:ascii="Times New Roman" w:eastAsia="Times New Roman" w:hAnsi="Times New Roman" w:cs="Times New Roman"/>
          <w:bCs/>
          <w:color w:val="000000"/>
          <w:sz w:val="24"/>
          <w:szCs w:val="24"/>
          <w:lang w:val="es-ES" w:eastAsia="es-MX"/>
        </w:rPr>
        <w:t>principio general Nº</w:t>
      </w:r>
      <w:r w:rsidRPr="00AC4CB7">
        <w:rPr>
          <w:rFonts w:ascii="Times New Roman" w:eastAsia="Times New Roman" w:hAnsi="Times New Roman" w:cs="Times New Roman"/>
          <w:bCs/>
          <w:color w:val="000000"/>
          <w:sz w:val="24"/>
          <w:szCs w:val="24"/>
          <w:lang w:val="es-ES" w:eastAsia="es-MX"/>
        </w:rPr>
        <w:t>2 de los Principios de Abidja</w:t>
      </w:r>
      <w:r w:rsidR="00EF033A" w:rsidRPr="00AC4CB7">
        <w:rPr>
          <w:rFonts w:ascii="Times New Roman" w:eastAsia="Times New Roman" w:hAnsi="Times New Roman" w:cs="Times New Roman"/>
          <w:bCs/>
          <w:color w:val="000000"/>
          <w:sz w:val="24"/>
          <w:szCs w:val="24"/>
          <w:lang w:val="es-ES" w:eastAsia="es-MX"/>
        </w:rPr>
        <w:t>n es claro en señalar que los Estados tienen la obligación de respetar, proteger y realizar el derecho una educación pública, gratuita y de calidad, hasta el máximo de sus recursos disponibles.</w:t>
      </w:r>
      <w:r w:rsidR="00EF033A" w:rsidRPr="00AC4CB7">
        <w:rPr>
          <w:rStyle w:val="Refdenotaalpie"/>
          <w:rFonts w:ascii="Times New Roman" w:eastAsia="Times New Roman" w:hAnsi="Times New Roman"/>
          <w:bCs/>
          <w:color w:val="000000"/>
          <w:sz w:val="24"/>
          <w:szCs w:val="24"/>
          <w:lang w:val="es-ES" w:eastAsia="es-MX"/>
        </w:rPr>
        <w:footnoteReference w:id="154"/>
      </w:r>
      <w:r w:rsidR="00EF033A" w:rsidRPr="00AC4CB7">
        <w:rPr>
          <w:rFonts w:ascii="Times New Roman" w:eastAsia="Times New Roman" w:hAnsi="Times New Roman" w:cs="Times New Roman"/>
          <w:bCs/>
          <w:color w:val="000000"/>
          <w:sz w:val="24"/>
          <w:szCs w:val="24"/>
          <w:lang w:val="es-ES" w:eastAsia="es-MX"/>
        </w:rPr>
        <w:t xml:space="preserve"> </w:t>
      </w:r>
      <w:r w:rsidR="002248F7" w:rsidRPr="00AC4CB7">
        <w:rPr>
          <w:rFonts w:ascii="Times New Roman" w:eastAsia="Times New Roman" w:hAnsi="Times New Roman" w:cs="Times New Roman"/>
          <w:bCs/>
          <w:color w:val="000000"/>
          <w:sz w:val="24"/>
          <w:szCs w:val="24"/>
          <w:lang w:val="es-ES" w:eastAsia="es-MX"/>
        </w:rPr>
        <w:t>Además, destaca que cualquier medida regresiva respecto a la realización del derecho a una educación pública, debe cumplir con los más estrictos criterios establecidos en las normas y estándares de derechos humanos.</w:t>
      </w:r>
      <w:r w:rsidR="002248F7" w:rsidRPr="00AC4CB7">
        <w:rPr>
          <w:rStyle w:val="Refdenotaalpie"/>
          <w:rFonts w:ascii="Times New Roman" w:eastAsia="Times New Roman" w:hAnsi="Times New Roman"/>
          <w:bCs/>
          <w:color w:val="000000"/>
          <w:sz w:val="24"/>
          <w:szCs w:val="24"/>
          <w:lang w:val="es-ES" w:eastAsia="es-MX"/>
        </w:rPr>
        <w:footnoteReference w:id="155"/>
      </w:r>
      <w:r w:rsidR="002248F7" w:rsidRPr="00AC4CB7">
        <w:rPr>
          <w:rFonts w:ascii="Times New Roman" w:eastAsia="Times New Roman" w:hAnsi="Times New Roman" w:cs="Times New Roman"/>
          <w:bCs/>
          <w:color w:val="000000"/>
          <w:sz w:val="24"/>
          <w:szCs w:val="24"/>
          <w:lang w:val="es-ES" w:eastAsia="es-MX"/>
        </w:rPr>
        <w:t xml:space="preserve"> </w:t>
      </w:r>
      <w:r w:rsidRPr="00AC4CB7">
        <w:rPr>
          <w:rFonts w:ascii="Times New Roman" w:eastAsia="Times New Roman" w:hAnsi="Times New Roman" w:cs="Times New Roman"/>
          <w:bCs/>
          <w:color w:val="000000"/>
          <w:sz w:val="24"/>
          <w:szCs w:val="24"/>
          <w:lang w:val="es-ES" w:eastAsia="es-MX"/>
        </w:rPr>
        <w:t>Sin embargo, los altos niveles de privatización de la educación que se constatan en Chile ponen el riesgo el goce del derecho a la educación p</w:t>
      </w:r>
      <w:r w:rsidR="00693F32" w:rsidRPr="00AC4CB7">
        <w:rPr>
          <w:rFonts w:ascii="Times New Roman" w:eastAsia="Times New Roman" w:hAnsi="Times New Roman" w:cs="Times New Roman"/>
          <w:bCs/>
          <w:color w:val="000000"/>
          <w:sz w:val="24"/>
          <w:szCs w:val="24"/>
          <w:lang w:val="es-ES" w:eastAsia="es-MX"/>
        </w:rPr>
        <w:t xml:space="preserve">ública para todos, tal cual fue señalado por </w:t>
      </w:r>
      <w:r w:rsidRPr="00AC4CB7">
        <w:rPr>
          <w:rFonts w:ascii="Times New Roman" w:eastAsia="Times New Roman" w:hAnsi="Times New Roman" w:cs="Times New Roman"/>
          <w:bCs/>
          <w:color w:val="000000"/>
          <w:sz w:val="24"/>
          <w:szCs w:val="24"/>
          <w:lang w:val="es-ES" w:eastAsia="es-MX"/>
        </w:rPr>
        <w:t>el Relator Especial por el Derecho a la Educación en su misión a C</w:t>
      </w:r>
      <w:r w:rsidR="00693F32" w:rsidRPr="00AC4CB7">
        <w:rPr>
          <w:rFonts w:ascii="Times New Roman" w:eastAsia="Times New Roman" w:hAnsi="Times New Roman" w:cs="Times New Roman"/>
          <w:bCs/>
          <w:color w:val="000000"/>
          <w:sz w:val="24"/>
          <w:szCs w:val="24"/>
          <w:lang w:val="es-ES" w:eastAsia="es-MX"/>
        </w:rPr>
        <w:t>hile el año 2017 “El sistema de educación privatizada en Chile ha socavado la prestación de educación pública.</w:t>
      </w:r>
      <w:r w:rsidR="00693F32" w:rsidRPr="00AC4CB7">
        <w:rPr>
          <w:rFonts w:ascii="Times New Roman" w:hAnsi="Times New Roman" w:cs="Times New Roman"/>
          <w:sz w:val="24"/>
          <w:szCs w:val="24"/>
          <w:lang w:val="es-ES"/>
        </w:rPr>
        <w:t>”</w:t>
      </w:r>
      <w:r w:rsidR="00693F32" w:rsidRPr="00AC4CB7">
        <w:rPr>
          <w:rStyle w:val="Refdenotaalpie"/>
          <w:rFonts w:ascii="Times New Roman" w:hAnsi="Times New Roman"/>
          <w:sz w:val="24"/>
          <w:szCs w:val="24"/>
          <w:lang w:val="es-ES"/>
        </w:rPr>
        <w:footnoteReference w:id="156"/>
      </w:r>
      <w:r w:rsidRPr="00AC4CB7">
        <w:rPr>
          <w:rFonts w:ascii="Times New Roman" w:eastAsia="Times New Roman" w:hAnsi="Times New Roman" w:cs="Times New Roman"/>
          <w:bCs/>
          <w:color w:val="000000"/>
          <w:sz w:val="24"/>
          <w:szCs w:val="24"/>
          <w:lang w:val="es-ES" w:eastAsia="es-MX"/>
        </w:rPr>
        <w:t xml:space="preserve"> </w:t>
      </w:r>
      <w:r w:rsidR="002248F7" w:rsidRPr="00AC4CB7">
        <w:rPr>
          <w:rFonts w:ascii="Times New Roman" w:eastAsia="Times New Roman" w:hAnsi="Times New Roman" w:cs="Times New Roman"/>
          <w:bCs/>
          <w:color w:val="000000"/>
          <w:sz w:val="24"/>
          <w:szCs w:val="24"/>
          <w:lang w:val="es-ES" w:eastAsia="es-MX"/>
        </w:rPr>
        <w:t xml:space="preserve">Además, </w:t>
      </w:r>
      <w:r w:rsidR="00C972C8" w:rsidRPr="00AC4CB7">
        <w:rPr>
          <w:rFonts w:ascii="Times New Roman" w:eastAsia="Times New Roman" w:hAnsi="Times New Roman" w:cs="Times New Roman"/>
          <w:bCs/>
          <w:color w:val="000000"/>
          <w:sz w:val="24"/>
          <w:szCs w:val="24"/>
          <w:lang w:val="es-ES" w:eastAsia="es-MX"/>
        </w:rPr>
        <w:t>las medidas regresivas destinadas a reformar la Ley de Inclusión a través de la presentación del proyecto de ley “Admisión Justa”, claramente no cumplen con los requisitos que hagan procedentes la regresividad de acuerdo a los derechos humanos, en especial aquel</w:t>
      </w:r>
      <w:r w:rsidR="00693F32" w:rsidRPr="00AC4CB7">
        <w:rPr>
          <w:rFonts w:ascii="Times New Roman" w:eastAsia="Times New Roman" w:hAnsi="Times New Roman" w:cs="Times New Roman"/>
          <w:bCs/>
          <w:color w:val="000000"/>
          <w:sz w:val="24"/>
          <w:szCs w:val="24"/>
          <w:lang w:val="es-ES" w:eastAsia="es-MX"/>
        </w:rPr>
        <w:t>los</w:t>
      </w:r>
      <w:r w:rsidR="00C972C8" w:rsidRPr="00AC4CB7">
        <w:rPr>
          <w:rFonts w:ascii="Times New Roman" w:eastAsia="Times New Roman" w:hAnsi="Times New Roman" w:cs="Times New Roman"/>
          <w:bCs/>
          <w:color w:val="000000"/>
          <w:sz w:val="24"/>
          <w:szCs w:val="24"/>
          <w:lang w:val="es-ES" w:eastAsia="es-MX"/>
        </w:rPr>
        <w:t xml:space="preserve"> contenido en los Principios de Abidjan relativo a que las medidas regresivas “no sean directa o indirectamente discriminatorios”</w:t>
      </w:r>
      <w:r w:rsidR="00C972C8" w:rsidRPr="00AC4CB7">
        <w:rPr>
          <w:rStyle w:val="Refdenotaalpie"/>
          <w:rFonts w:ascii="Times New Roman" w:eastAsia="Times New Roman" w:hAnsi="Times New Roman"/>
          <w:bCs/>
          <w:color w:val="000000"/>
          <w:sz w:val="24"/>
          <w:szCs w:val="24"/>
          <w:lang w:val="es-ES" w:eastAsia="es-MX"/>
        </w:rPr>
        <w:t xml:space="preserve"> </w:t>
      </w:r>
      <w:r w:rsidR="00C972C8" w:rsidRPr="00AC4CB7">
        <w:rPr>
          <w:rStyle w:val="Refdenotaalpie"/>
          <w:rFonts w:ascii="Times New Roman" w:eastAsia="Times New Roman" w:hAnsi="Times New Roman"/>
          <w:bCs/>
          <w:color w:val="000000"/>
          <w:sz w:val="24"/>
          <w:szCs w:val="24"/>
          <w:lang w:val="es-ES" w:eastAsia="es-MX"/>
        </w:rPr>
        <w:footnoteReference w:id="157"/>
      </w:r>
      <w:r w:rsidR="00C972C8" w:rsidRPr="00AC4CB7">
        <w:rPr>
          <w:rFonts w:ascii="Times New Roman" w:eastAsia="Times New Roman" w:hAnsi="Times New Roman" w:cs="Times New Roman"/>
          <w:bCs/>
          <w:color w:val="000000"/>
          <w:sz w:val="24"/>
          <w:szCs w:val="24"/>
          <w:lang w:val="es-ES" w:eastAsia="es-MX"/>
        </w:rPr>
        <w:t xml:space="preserve"> </w:t>
      </w:r>
      <w:r w:rsidR="00693F32" w:rsidRPr="00AC4CB7">
        <w:rPr>
          <w:rFonts w:ascii="Times New Roman" w:eastAsia="Times New Roman" w:hAnsi="Times New Roman" w:cs="Times New Roman"/>
          <w:bCs/>
          <w:color w:val="000000"/>
          <w:sz w:val="24"/>
          <w:szCs w:val="24"/>
          <w:lang w:val="es-ES" w:eastAsia="es-MX"/>
        </w:rPr>
        <w:t>y que “presten especial atención a los derechos de los grupos e individuos vulnerables y marginalizados.”</w:t>
      </w:r>
      <w:r w:rsidR="00693F32" w:rsidRPr="00AC4CB7">
        <w:rPr>
          <w:rStyle w:val="Refdenotaalpie"/>
          <w:rFonts w:ascii="Times New Roman" w:eastAsia="Times New Roman" w:hAnsi="Times New Roman"/>
          <w:bCs/>
          <w:color w:val="000000"/>
          <w:sz w:val="24"/>
          <w:szCs w:val="24"/>
          <w:lang w:val="es-ES" w:eastAsia="es-MX"/>
        </w:rPr>
        <w:footnoteReference w:id="158"/>
      </w:r>
    </w:p>
    <w:p w14:paraId="1F1F78F8" w14:textId="770BAD16" w:rsidR="008340EA" w:rsidRPr="00AC4CB7" w:rsidRDefault="00693F32" w:rsidP="00AC4CB7">
      <w:pPr>
        <w:spacing w:after="0" w:line="276" w:lineRule="auto"/>
        <w:ind w:firstLine="708"/>
        <w:jc w:val="both"/>
        <w:rPr>
          <w:rFonts w:ascii="Times New Roman" w:eastAsia="Times New Roman" w:hAnsi="Times New Roman" w:cs="Times New Roman"/>
          <w:bCs/>
          <w:color w:val="000000"/>
          <w:sz w:val="24"/>
          <w:szCs w:val="24"/>
          <w:lang w:val="es-ES" w:eastAsia="es-MX"/>
        </w:rPr>
      </w:pPr>
      <w:r w:rsidRPr="00AC4CB7">
        <w:rPr>
          <w:rFonts w:ascii="Times New Roman" w:eastAsia="Times New Roman" w:hAnsi="Times New Roman" w:cs="Times New Roman"/>
          <w:bCs/>
          <w:color w:val="000000"/>
          <w:sz w:val="24"/>
          <w:szCs w:val="24"/>
          <w:lang w:val="es-ES" w:eastAsia="es-MX"/>
        </w:rPr>
        <w:t>Finalmente, es pertinente tener en consideraci</w:t>
      </w:r>
      <w:r w:rsidR="002501A7" w:rsidRPr="00AC4CB7">
        <w:rPr>
          <w:rFonts w:ascii="Times New Roman" w:eastAsia="Times New Roman" w:hAnsi="Times New Roman" w:cs="Times New Roman"/>
          <w:bCs/>
          <w:color w:val="000000"/>
          <w:sz w:val="24"/>
          <w:szCs w:val="24"/>
          <w:lang w:val="es-ES" w:eastAsia="es-MX"/>
        </w:rPr>
        <w:t xml:space="preserve">ón el principio general Nº5 de los Principios de Abidjan que establece que los Estados están obligados a priorizar la provisión y el financiamiento de la educación pública, gratuita y de calidad, y que sólo podrán financiar instituciones educacionales privadas considerando los estándares de derechos humanos </w:t>
      </w:r>
      <w:r w:rsidR="00BA784E" w:rsidRPr="00AC4CB7">
        <w:rPr>
          <w:rFonts w:ascii="Times New Roman" w:eastAsia="Times New Roman" w:hAnsi="Times New Roman" w:cs="Times New Roman"/>
          <w:bCs/>
          <w:color w:val="000000"/>
          <w:sz w:val="24"/>
          <w:szCs w:val="24"/>
          <w:lang w:val="es-ES" w:eastAsia="es-MX"/>
        </w:rPr>
        <w:t xml:space="preserve">y </w:t>
      </w:r>
      <w:r w:rsidR="002501A7" w:rsidRPr="00AC4CB7">
        <w:rPr>
          <w:rFonts w:ascii="Times New Roman" w:eastAsia="Times New Roman" w:hAnsi="Times New Roman" w:cs="Times New Roman"/>
          <w:bCs/>
          <w:color w:val="000000"/>
          <w:sz w:val="24"/>
          <w:szCs w:val="24"/>
          <w:lang w:val="es-ES" w:eastAsia="es-MX"/>
        </w:rPr>
        <w:t xml:space="preserve">con estricta observancia </w:t>
      </w:r>
      <w:r w:rsidR="00BA784E" w:rsidRPr="00AC4CB7">
        <w:rPr>
          <w:rFonts w:ascii="Times New Roman" w:eastAsia="Times New Roman" w:hAnsi="Times New Roman" w:cs="Times New Roman"/>
          <w:bCs/>
          <w:color w:val="000000"/>
          <w:sz w:val="24"/>
          <w:szCs w:val="24"/>
          <w:lang w:val="es-ES" w:eastAsia="es-MX"/>
        </w:rPr>
        <w:t>de los requerimientos substantivos, procedimentales y operacionales.</w:t>
      </w:r>
      <w:r w:rsidR="00BA784E" w:rsidRPr="00AC4CB7">
        <w:rPr>
          <w:rStyle w:val="Refdenotaalpie"/>
          <w:rFonts w:ascii="Times New Roman" w:eastAsia="Times New Roman" w:hAnsi="Times New Roman"/>
          <w:bCs/>
          <w:color w:val="000000"/>
          <w:sz w:val="24"/>
          <w:szCs w:val="24"/>
          <w:lang w:val="es-ES" w:eastAsia="es-MX"/>
        </w:rPr>
        <w:footnoteReference w:id="159"/>
      </w:r>
      <w:r w:rsidR="00BA784E" w:rsidRPr="00AC4CB7">
        <w:rPr>
          <w:rFonts w:ascii="Times New Roman" w:eastAsia="Times New Roman" w:hAnsi="Times New Roman" w:cs="Times New Roman"/>
          <w:bCs/>
          <w:color w:val="000000"/>
          <w:sz w:val="24"/>
          <w:szCs w:val="24"/>
          <w:lang w:val="es-ES" w:eastAsia="es-MX"/>
        </w:rPr>
        <w:t xml:space="preserve"> </w:t>
      </w:r>
    </w:p>
    <w:p w14:paraId="10D2CB09" w14:textId="2317C6C1" w:rsidR="00FA7D3E" w:rsidRPr="00AC4CB7" w:rsidRDefault="003721C9" w:rsidP="00AC4CB7">
      <w:pPr>
        <w:spacing w:after="0" w:line="276" w:lineRule="auto"/>
        <w:ind w:firstLine="708"/>
        <w:jc w:val="both"/>
        <w:rPr>
          <w:rFonts w:ascii="Times New Roman" w:hAnsi="Times New Roman" w:cs="Times New Roman"/>
          <w:sz w:val="24"/>
          <w:szCs w:val="24"/>
        </w:rPr>
      </w:pPr>
      <w:r w:rsidRPr="00AC4CB7">
        <w:rPr>
          <w:rFonts w:ascii="Times New Roman" w:hAnsi="Times New Roman" w:cs="Times New Roman"/>
          <w:sz w:val="24"/>
          <w:szCs w:val="24"/>
        </w:rPr>
        <w:t xml:space="preserve">Sin embargo, el sistema de financiamiento de la educación en Chile está lejos de cumplir con estos estándares. </w:t>
      </w:r>
      <w:r w:rsidR="00FA7D3E" w:rsidRPr="00AC4CB7">
        <w:rPr>
          <w:rFonts w:ascii="Times New Roman" w:hAnsi="Times New Roman" w:cs="Times New Roman"/>
          <w:sz w:val="24"/>
          <w:szCs w:val="24"/>
        </w:rPr>
        <w:t xml:space="preserve">Debido a que en Chile </w:t>
      </w:r>
      <w:r w:rsidRPr="00AC4CB7">
        <w:rPr>
          <w:rFonts w:ascii="Times New Roman" w:hAnsi="Times New Roman" w:cs="Times New Roman"/>
          <w:sz w:val="24"/>
          <w:szCs w:val="24"/>
        </w:rPr>
        <w:t>la educación pública es financiada del mismo modo que la educación particular subvencionada (subvención básica</w:t>
      </w:r>
      <w:r w:rsidR="00AC4CB7" w:rsidRPr="00AC4CB7">
        <w:rPr>
          <w:rFonts w:ascii="Times New Roman" w:hAnsi="Times New Roman" w:cs="Times New Roman"/>
          <w:sz w:val="24"/>
          <w:szCs w:val="24"/>
        </w:rPr>
        <w:t xml:space="preserve"> vía voucher</w:t>
      </w:r>
      <w:r w:rsidRPr="00AC4CB7">
        <w:rPr>
          <w:rFonts w:ascii="Times New Roman" w:hAnsi="Times New Roman" w:cs="Times New Roman"/>
          <w:sz w:val="24"/>
          <w:szCs w:val="24"/>
        </w:rPr>
        <w:t xml:space="preserve"> por estudiante que asiste a clases), las escuelas compiten por captar las matr</w:t>
      </w:r>
      <w:r w:rsidR="00402E56" w:rsidRPr="00AC4CB7">
        <w:rPr>
          <w:rFonts w:ascii="Times New Roman" w:hAnsi="Times New Roman" w:cs="Times New Roman"/>
          <w:sz w:val="24"/>
          <w:szCs w:val="24"/>
        </w:rPr>
        <w:t xml:space="preserve">ículas de los </w:t>
      </w:r>
      <w:r w:rsidR="00402E56" w:rsidRPr="00AC4CB7">
        <w:rPr>
          <w:rFonts w:ascii="Times New Roman" w:hAnsi="Times New Roman" w:cs="Times New Roman"/>
          <w:sz w:val="24"/>
          <w:szCs w:val="24"/>
        </w:rPr>
        <w:lastRenderedPageBreak/>
        <w:t>estudiantes, generando un aumento masivo de actores privados que buscan lucrar con recursos públicos y privados.</w:t>
      </w:r>
      <w:r w:rsidR="00402E56" w:rsidRPr="00AC4CB7">
        <w:rPr>
          <w:rStyle w:val="Refdenotaalpie"/>
          <w:rFonts w:ascii="Times New Roman" w:hAnsi="Times New Roman"/>
          <w:sz w:val="24"/>
          <w:szCs w:val="24"/>
        </w:rPr>
        <w:footnoteReference w:id="160"/>
      </w:r>
      <w:r w:rsidR="00402E56" w:rsidRPr="00AC4CB7">
        <w:rPr>
          <w:rFonts w:ascii="Times New Roman" w:hAnsi="Times New Roman" w:cs="Times New Roman"/>
          <w:sz w:val="24"/>
          <w:szCs w:val="24"/>
        </w:rPr>
        <w:t xml:space="preserve"> </w:t>
      </w:r>
      <w:r w:rsidR="00ED6705" w:rsidRPr="00AC4CB7">
        <w:rPr>
          <w:rFonts w:ascii="Times New Roman" w:hAnsi="Times New Roman" w:cs="Times New Roman"/>
          <w:sz w:val="24"/>
          <w:szCs w:val="24"/>
        </w:rPr>
        <w:t>En este sentido, considerando la alta concentración de actores privados en el ámbito educacional, “los aumentos en los recursos en educación van subsecuentemente a beneficiar mayoritariamente a estos sectores privados, aumentando aún más sus ganancias y la segregación socio educativa en el sistema chileno”</w:t>
      </w:r>
      <w:r w:rsidR="00ED6705" w:rsidRPr="00AC4CB7">
        <w:rPr>
          <w:rStyle w:val="Refdenotaalpie"/>
          <w:rFonts w:ascii="Times New Roman" w:hAnsi="Times New Roman"/>
          <w:sz w:val="24"/>
          <w:szCs w:val="24"/>
        </w:rPr>
        <w:footnoteReference w:id="161"/>
      </w:r>
      <w:r w:rsidR="00ED6705" w:rsidRPr="00AC4CB7">
        <w:rPr>
          <w:rFonts w:ascii="Times New Roman" w:hAnsi="Times New Roman" w:cs="Times New Roman"/>
          <w:sz w:val="24"/>
          <w:szCs w:val="24"/>
        </w:rPr>
        <w:t xml:space="preserve"> lo cual va en directo detrimento del cumplimiento de los requisitos sobre el financiamiento de entidades privadas, según lo expresado en los Principios de Abidjan.</w:t>
      </w:r>
      <w:r w:rsidR="007679B1" w:rsidRPr="00AC4CB7">
        <w:rPr>
          <w:rStyle w:val="Refdenotaalpie"/>
          <w:rFonts w:ascii="Times New Roman" w:hAnsi="Times New Roman"/>
          <w:sz w:val="24"/>
          <w:szCs w:val="24"/>
        </w:rPr>
        <w:footnoteReference w:id="162"/>
      </w:r>
      <w:r w:rsidR="00ED6705" w:rsidRPr="00AC4CB7">
        <w:rPr>
          <w:rFonts w:ascii="Times New Roman" w:hAnsi="Times New Roman" w:cs="Times New Roman"/>
          <w:sz w:val="24"/>
          <w:szCs w:val="24"/>
        </w:rPr>
        <w:t xml:space="preserve"> </w:t>
      </w:r>
      <w:r w:rsidR="007679B1" w:rsidRPr="00AC4CB7">
        <w:rPr>
          <w:rFonts w:ascii="Times New Roman" w:hAnsi="Times New Roman" w:cs="Times New Roman"/>
          <w:sz w:val="24"/>
          <w:szCs w:val="24"/>
        </w:rPr>
        <w:t>Por estos motivos causa especial preocupación</w:t>
      </w:r>
      <w:r w:rsidR="006144AB">
        <w:rPr>
          <w:rFonts w:ascii="Times New Roman" w:hAnsi="Times New Roman" w:cs="Times New Roman"/>
          <w:sz w:val="24"/>
          <w:szCs w:val="24"/>
        </w:rPr>
        <w:t xml:space="preserve"> los </w:t>
      </w:r>
      <w:r w:rsidR="006144AB" w:rsidRPr="00AC4CB7">
        <w:rPr>
          <w:rFonts w:ascii="Times New Roman" w:eastAsia="Times New Roman" w:hAnsi="Times New Roman" w:cs="Times New Roman"/>
          <w:bCs/>
          <w:sz w:val="24"/>
          <w:szCs w:val="24"/>
          <w:lang w:eastAsia="es-MX"/>
        </w:rPr>
        <w:t xml:space="preserve">efectos adversos en la equidad e inclusión </w:t>
      </w:r>
      <w:r w:rsidR="006144AB">
        <w:rPr>
          <w:rFonts w:ascii="Times New Roman" w:eastAsia="Times New Roman" w:hAnsi="Times New Roman" w:cs="Times New Roman"/>
          <w:bCs/>
          <w:sz w:val="24"/>
          <w:szCs w:val="24"/>
          <w:lang w:eastAsia="es-MX"/>
        </w:rPr>
        <w:t xml:space="preserve">del sistema escolar </w:t>
      </w:r>
      <w:r w:rsidR="00AC4CB7">
        <w:rPr>
          <w:rFonts w:ascii="Times New Roman" w:hAnsi="Times New Roman" w:cs="Times New Roman"/>
          <w:sz w:val="24"/>
          <w:szCs w:val="24"/>
        </w:rPr>
        <w:t>los proyectos de ley que se encuentran actualmente en tramitación</w:t>
      </w:r>
      <w:r w:rsidR="006144AB">
        <w:rPr>
          <w:rFonts w:ascii="Times New Roman" w:hAnsi="Times New Roman" w:cs="Times New Roman"/>
          <w:sz w:val="24"/>
          <w:szCs w:val="24"/>
        </w:rPr>
        <w:t xml:space="preserve"> en el Congreso</w:t>
      </w:r>
      <w:r w:rsidR="00AC4CB7" w:rsidRPr="00AC4CB7">
        <w:rPr>
          <w:rFonts w:ascii="Times New Roman" w:hAnsi="Times New Roman" w:cs="Times New Roman"/>
          <w:sz w:val="24"/>
          <w:szCs w:val="24"/>
        </w:rPr>
        <w:t xml:space="preserve"> que </w:t>
      </w:r>
      <w:r w:rsidR="00AC4CB7">
        <w:rPr>
          <w:rFonts w:ascii="Times New Roman" w:hAnsi="Times New Roman" w:cs="Times New Roman"/>
          <w:sz w:val="24"/>
          <w:szCs w:val="24"/>
        </w:rPr>
        <w:t xml:space="preserve">priorizan la asignación de recursos a actores privados a nivel de </w:t>
      </w:r>
      <w:r w:rsidR="006144AB">
        <w:rPr>
          <w:rFonts w:ascii="Times New Roman" w:hAnsi="Times New Roman" w:cs="Times New Roman"/>
          <w:sz w:val="24"/>
          <w:szCs w:val="24"/>
        </w:rPr>
        <w:t>sala cuna y educación parvularia, en desmedro del derecho a la educación pública.</w:t>
      </w:r>
      <w:r w:rsidR="00AC4CB7" w:rsidRPr="00AC4CB7">
        <w:rPr>
          <w:rFonts w:ascii="Times New Roman" w:hAnsi="Times New Roman" w:cs="Times New Roman"/>
          <w:sz w:val="24"/>
          <w:szCs w:val="24"/>
        </w:rPr>
        <w:t xml:space="preserve"> </w:t>
      </w:r>
    </w:p>
    <w:p w14:paraId="76ADAD74" w14:textId="72BC909F" w:rsidR="005874AF" w:rsidRPr="00693F32" w:rsidRDefault="005874AF" w:rsidP="00BA10EF">
      <w:pPr>
        <w:shd w:val="clear" w:color="auto" w:fill="FFFFFF"/>
        <w:spacing w:after="0" w:line="276" w:lineRule="auto"/>
        <w:jc w:val="both"/>
        <w:rPr>
          <w:rFonts w:ascii="Times New Roman" w:eastAsia="Times New Roman" w:hAnsi="Times New Roman" w:cs="Times New Roman"/>
          <w:sz w:val="24"/>
          <w:szCs w:val="24"/>
          <w:lang w:val="es-ES" w:eastAsia="es-MX"/>
        </w:rPr>
      </w:pPr>
    </w:p>
    <w:p w14:paraId="7FE426A9" w14:textId="77777777" w:rsidR="005874AF" w:rsidRPr="00BA10EF" w:rsidRDefault="005874AF" w:rsidP="00BA10EF">
      <w:pPr>
        <w:spacing w:line="276" w:lineRule="auto"/>
        <w:jc w:val="both"/>
        <w:rPr>
          <w:rFonts w:ascii="Times New Roman" w:hAnsi="Times New Roman" w:cs="Times New Roman"/>
          <w:b/>
          <w:sz w:val="24"/>
          <w:szCs w:val="24"/>
        </w:rPr>
      </w:pPr>
      <w:r w:rsidRPr="00BA10EF">
        <w:rPr>
          <w:rFonts w:ascii="Times New Roman" w:hAnsi="Times New Roman" w:cs="Times New Roman"/>
          <w:b/>
          <w:sz w:val="24"/>
          <w:szCs w:val="24"/>
        </w:rPr>
        <w:t xml:space="preserve">Preguntas sugeridas al Estado: </w:t>
      </w:r>
    </w:p>
    <w:p w14:paraId="6EAC1468" w14:textId="0E8C8AE3" w:rsidR="005874AF" w:rsidRPr="00BA10EF" w:rsidRDefault="005874AF" w:rsidP="00E40541">
      <w:pPr>
        <w:pStyle w:val="Prrafodelista"/>
        <w:numPr>
          <w:ilvl w:val="0"/>
          <w:numId w:val="5"/>
        </w:numPr>
        <w:spacing w:line="276" w:lineRule="auto"/>
        <w:jc w:val="both"/>
        <w:rPr>
          <w:rFonts w:ascii="Times New Roman" w:hAnsi="Times New Roman" w:cs="Times New Roman"/>
          <w:sz w:val="24"/>
          <w:szCs w:val="24"/>
        </w:rPr>
      </w:pPr>
      <w:r w:rsidRPr="00BA10EF">
        <w:rPr>
          <w:rFonts w:ascii="Times New Roman" w:hAnsi="Times New Roman" w:cs="Times New Roman"/>
          <w:sz w:val="24"/>
          <w:szCs w:val="24"/>
        </w:rPr>
        <w:t>¿</w:t>
      </w:r>
      <w:r w:rsidR="008F67E1">
        <w:rPr>
          <w:rFonts w:ascii="Times New Roman" w:hAnsi="Times New Roman" w:cs="Times New Roman"/>
          <w:sz w:val="24"/>
          <w:szCs w:val="24"/>
        </w:rPr>
        <w:t>Por qué el Estado no está realizando esfuerzos progresivos para implementar las recomendaciones realizadas por este Comité el año 2015 en cuanto</w:t>
      </w:r>
      <w:r w:rsidRPr="00BA10EF">
        <w:rPr>
          <w:rFonts w:ascii="Times New Roman" w:hAnsi="Times New Roman" w:cs="Times New Roman"/>
          <w:sz w:val="24"/>
          <w:szCs w:val="24"/>
        </w:rPr>
        <w:t xml:space="preserve"> a corregir desigualdades estructurales</w:t>
      </w:r>
      <w:r w:rsidR="008F67E1">
        <w:rPr>
          <w:rFonts w:ascii="Times New Roman" w:hAnsi="Times New Roman" w:cs="Times New Roman"/>
          <w:sz w:val="24"/>
          <w:szCs w:val="24"/>
        </w:rPr>
        <w:t xml:space="preserve"> en el ámbito educativo, no discriminar</w:t>
      </w:r>
      <w:r w:rsidRPr="00BA10EF">
        <w:rPr>
          <w:rFonts w:ascii="Times New Roman" w:hAnsi="Times New Roman" w:cs="Times New Roman"/>
          <w:sz w:val="24"/>
          <w:szCs w:val="24"/>
        </w:rPr>
        <w:t xml:space="preserve"> por condición socioeconómica y, en definitiva, realizar el derecho a la educación para todos? </w:t>
      </w:r>
    </w:p>
    <w:p w14:paraId="5A97D317" w14:textId="77777777" w:rsidR="005874AF" w:rsidRPr="00BA10EF" w:rsidRDefault="005874AF" w:rsidP="00BA10EF">
      <w:pPr>
        <w:pStyle w:val="Prrafodelista"/>
        <w:spacing w:line="276" w:lineRule="auto"/>
        <w:jc w:val="both"/>
        <w:rPr>
          <w:rFonts w:ascii="Times New Roman" w:hAnsi="Times New Roman" w:cs="Times New Roman"/>
          <w:sz w:val="24"/>
          <w:szCs w:val="24"/>
        </w:rPr>
      </w:pPr>
    </w:p>
    <w:p w14:paraId="0D89F632" w14:textId="4006B13E" w:rsidR="005874AF" w:rsidRPr="00BA10EF" w:rsidRDefault="005874AF" w:rsidP="00E40541">
      <w:pPr>
        <w:pStyle w:val="Prrafodelista"/>
        <w:numPr>
          <w:ilvl w:val="0"/>
          <w:numId w:val="5"/>
        </w:numPr>
        <w:spacing w:line="276" w:lineRule="auto"/>
        <w:jc w:val="both"/>
        <w:rPr>
          <w:rFonts w:ascii="Times New Roman" w:hAnsi="Times New Roman" w:cs="Times New Roman"/>
          <w:sz w:val="24"/>
          <w:szCs w:val="24"/>
        </w:rPr>
      </w:pPr>
      <w:r w:rsidRPr="00BA10EF">
        <w:rPr>
          <w:rFonts w:ascii="Times New Roman" w:hAnsi="Times New Roman" w:cs="Times New Roman"/>
          <w:sz w:val="24"/>
          <w:szCs w:val="24"/>
        </w:rPr>
        <w:t xml:space="preserve">¿Qué medidas está adoptando el Gobierno para asegurar que los actores públicos y privados cumplan con los estándares de derechos humanos sobre </w:t>
      </w:r>
      <w:r w:rsidR="008F67E1">
        <w:rPr>
          <w:rFonts w:ascii="Times New Roman" w:hAnsi="Times New Roman" w:cs="Times New Roman"/>
          <w:sz w:val="24"/>
          <w:szCs w:val="24"/>
        </w:rPr>
        <w:t xml:space="preserve">el derecho a la </w:t>
      </w:r>
      <w:r w:rsidR="008F67E1" w:rsidRPr="00BA10EF">
        <w:rPr>
          <w:rFonts w:ascii="Times New Roman" w:hAnsi="Times New Roman" w:cs="Times New Roman"/>
          <w:sz w:val="24"/>
          <w:szCs w:val="24"/>
        </w:rPr>
        <w:t>educación</w:t>
      </w:r>
      <w:r w:rsidRPr="00BA10EF">
        <w:rPr>
          <w:rFonts w:ascii="Times New Roman" w:hAnsi="Times New Roman" w:cs="Times New Roman"/>
          <w:sz w:val="24"/>
          <w:szCs w:val="24"/>
        </w:rPr>
        <w:t>,</w:t>
      </w:r>
      <w:r w:rsidR="008F67E1">
        <w:rPr>
          <w:rFonts w:ascii="Times New Roman" w:hAnsi="Times New Roman" w:cs="Times New Roman"/>
          <w:sz w:val="24"/>
          <w:szCs w:val="24"/>
        </w:rPr>
        <w:t xml:space="preserve"> y en particular, para asegurar que los actores privados no impacten negativamente el goce del derecho a la educación</w:t>
      </w:r>
      <w:r w:rsidRPr="00BA10EF">
        <w:rPr>
          <w:rFonts w:ascii="Times New Roman" w:hAnsi="Times New Roman" w:cs="Times New Roman"/>
          <w:sz w:val="24"/>
          <w:szCs w:val="24"/>
        </w:rPr>
        <w:t xml:space="preserve">, </w:t>
      </w:r>
      <w:r w:rsidR="008F67E1">
        <w:rPr>
          <w:rFonts w:ascii="Times New Roman" w:hAnsi="Times New Roman" w:cs="Times New Roman"/>
          <w:sz w:val="24"/>
          <w:szCs w:val="24"/>
        </w:rPr>
        <w:t xml:space="preserve">basados en instrumentos </w:t>
      </w:r>
      <w:r w:rsidRPr="00BA10EF">
        <w:rPr>
          <w:rFonts w:ascii="Times New Roman" w:hAnsi="Times New Roman" w:cs="Times New Roman"/>
          <w:sz w:val="24"/>
          <w:szCs w:val="24"/>
        </w:rPr>
        <w:t xml:space="preserve">como los Principios de Abidjan?  </w:t>
      </w:r>
    </w:p>
    <w:p w14:paraId="768D6F42" w14:textId="28FFD2FA" w:rsidR="00953824" w:rsidRDefault="005874AF" w:rsidP="00E40541">
      <w:pPr>
        <w:pStyle w:val="NormalWeb"/>
        <w:numPr>
          <w:ilvl w:val="0"/>
          <w:numId w:val="5"/>
        </w:numPr>
        <w:shd w:val="clear" w:color="auto" w:fill="FFFFFF"/>
        <w:spacing w:before="0" w:beforeAutospacing="0" w:after="240" w:afterAutospacing="0" w:line="276" w:lineRule="auto"/>
        <w:jc w:val="both"/>
      </w:pPr>
      <w:r w:rsidRPr="006144AB">
        <w:rPr>
          <w:color w:val="000000"/>
          <w:shd w:val="clear" w:color="auto" w:fill="FFFFFF"/>
        </w:rPr>
        <w:t xml:space="preserve">¿Qué </w:t>
      </w:r>
      <w:r w:rsidR="006144AB">
        <w:rPr>
          <w:color w:val="000000"/>
          <w:shd w:val="clear" w:color="auto" w:fill="FFFFFF"/>
        </w:rPr>
        <w:t>esfuerzos concreto</w:t>
      </w:r>
      <w:r w:rsidRPr="006144AB">
        <w:rPr>
          <w:color w:val="000000"/>
          <w:shd w:val="clear" w:color="auto" w:fill="FFFFFF"/>
        </w:rPr>
        <w:t>s se están llevando a cabo para implementar de manera diligente la ley 21.040 que crea el Sistema de Educación Pública, reemplazando el modelo de administración municipal</w:t>
      </w:r>
      <w:r w:rsidR="006144AB">
        <w:rPr>
          <w:color w:val="000000"/>
          <w:shd w:val="clear" w:color="auto" w:fill="FFFFFF"/>
        </w:rPr>
        <w:t>, considerando las recomendaciones hechas por este Comité el año 2015</w:t>
      </w:r>
      <w:r w:rsidRPr="006144AB">
        <w:rPr>
          <w:color w:val="000000"/>
          <w:shd w:val="clear" w:color="auto" w:fill="FFFFFF"/>
        </w:rPr>
        <w:t xml:space="preserve">? </w:t>
      </w:r>
    </w:p>
    <w:p w14:paraId="794D8500" w14:textId="77777777" w:rsidR="00953824" w:rsidRPr="006144AB" w:rsidRDefault="00953824" w:rsidP="00953824">
      <w:pPr>
        <w:pStyle w:val="NormalWeb"/>
        <w:shd w:val="clear" w:color="auto" w:fill="FFFFFF"/>
        <w:spacing w:before="0" w:beforeAutospacing="0" w:after="240" w:afterAutospacing="0" w:line="276" w:lineRule="auto"/>
        <w:ind w:left="720"/>
        <w:jc w:val="both"/>
      </w:pPr>
    </w:p>
    <w:tbl>
      <w:tblPr>
        <w:tblW w:w="9044" w:type="dxa"/>
        <w:tblLook w:val="04A0" w:firstRow="1" w:lastRow="0" w:firstColumn="1" w:lastColumn="0" w:noHBand="0" w:noVBand="1"/>
      </w:tblPr>
      <w:tblGrid>
        <w:gridCol w:w="3960"/>
        <w:gridCol w:w="5084"/>
      </w:tblGrid>
      <w:tr w:rsidR="003222F3" w:rsidRPr="00F7760A" w14:paraId="5B40CCA6" w14:textId="77777777" w:rsidTr="0030376A">
        <w:trPr>
          <w:trHeight w:val="279"/>
        </w:trPr>
        <w:tc>
          <w:tcPr>
            <w:tcW w:w="3960" w:type="dxa"/>
            <w:tcBorders>
              <w:top w:val="single" w:sz="4" w:space="0" w:color="auto"/>
              <w:left w:val="single" w:sz="4" w:space="0" w:color="auto"/>
              <w:bottom w:val="single" w:sz="4" w:space="0" w:color="auto"/>
              <w:right w:val="nil"/>
            </w:tcBorders>
            <w:shd w:val="clear" w:color="000000" w:fill="9BC2E6"/>
            <w:noWrap/>
            <w:vAlign w:val="bottom"/>
            <w:hideMark/>
          </w:tcPr>
          <w:p w14:paraId="4872FF42" w14:textId="77777777" w:rsidR="003222F3" w:rsidRPr="00F7760A" w:rsidRDefault="003222F3" w:rsidP="0030376A">
            <w:pPr>
              <w:spacing w:after="0" w:line="240" w:lineRule="auto"/>
              <w:rPr>
                <w:rFonts w:ascii="Calibri" w:eastAsia="Times New Roman" w:hAnsi="Calibri" w:cs="Times New Roman"/>
                <w:b/>
                <w:color w:val="000000"/>
                <w:lang w:val="en-GB" w:eastAsia="en-GB"/>
              </w:rPr>
            </w:pPr>
            <w:r w:rsidRPr="00F7760A">
              <w:rPr>
                <w:rFonts w:ascii="Calibri" w:eastAsia="Times New Roman" w:hAnsi="Calibri" w:cs="Times New Roman"/>
                <w:b/>
                <w:color w:val="000000"/>
                <w:lang w:val="en-GB" w:eastAsia="en-GB"/>
              </w:rPr>
              <w:t>Información de contacto</w:t>
            </w:r>
          </w:p>
        </w:tc>
        <w:tc>
          <w:tcPr>
            <w:tcW w:w="5084" w:type="dxa"/>
            <w:tcBorders>
              <w:top w:val="single" w:sz="4" w:space="0" w:color="auto"/>
              <w:left w:val="nil"/>
              <w:bottom w:val="single" w:sz="4" w:space="0" w:color="auto"/>
              <w:right w:val="single" w:sz="4" w:space="0" w:color="auto"/>
            </w:tcBorders>
            <w:shd w:val="clear" w:color="000000" w:fill="9BC2E6"/>
            <w:noWrap/>
            <w:vAlign w:val="bottom"/>
            <w:hideMark/>
          </w:tcPr>
          <w:p w14:paraId="7EB75B91" w14:textId="77777777" w:rsidR="003222F3" w:rsidRPr="00F7760A" w:rsidRDefault="003222F3" w:rsidP="0030376A">
            <w:pPr>
              <w:spacing w:after="0" w:line="240" w:lineRule="auto"/>
              <w:jc w:val="center"/>
              <w:rPr>
                <w:rFonts w:ascii="Calibri" w:eastAsia="Times New Roman" w:hAnsi="Calibri" w:cs="Times New Roman"/>
                <w:color w:val="000000"/>
                <w:lang w:val="en-GB" w:eastAsia="en-GB"/>
              </w:rPr>
            </w:pPr>
            <w:r w:rsidRPr="00F7760A">
              <w:rPr>
                <w:rFonts w:ascii="Calibri" w:eastAsia="Times New Roman" w:hAnsi="Calibri" w:cs="Times New Roman"/>
                <w:color w:val="000000"/>
                <w:lang w:val="en-GB" w:eastAsia="en-GB"/>
              </w:rPr>
              <w:t> </w:t>
            </w:r>
          </w:p>
        </w:tc>
      </w:tr>
      <w:tr w:rsidR="003222F3" w:rsidRPr="00F7760A" w14:paraId="26A38C80" w14:textId="77777777" w:rsidTr="0030376A">
        <w:trPr>
          <w:trHeight w:val="279"/>
        </w:trPr>
        <w:tc>
          <w:tcPr>
            <w:tcW w:w="3960" w:type="dxa"/>
            <w:tcBorders>
              <w:top w:val="nil"/>
              <w:left w:val="single" w:sz="4" w:space="0" w:color="auto"/>
              <w:bottom w:val="nil"/>
              <w:right w:val="single" w:sz="4" w:space="0" w:color="auto"/>
            </w:tcBorders>
            <w:shd w:val="clear" w:color="000000" w:fill="E2EFDA"/>
            <w:noWrap/>
            <w:vAlign w:val="bottom"/>
            <w:hideMark/>
          </w:tcPr>
          <w:p w14:paraId="5FF7E9A0" w14:textId="77777777" w:rsidR="003222F3" w:rsidRPr="00F7760A" w:rsidRDefault="003222F3" w:rsidP="0030376A">
            <w:pPr>
              <w:spacing w:after="0" w:line="240" w:lineRule="auto"/>
              <w:rPr>
                <w:rFonts w:ascii="Calibri" w:eastAsia="Times New Roman" w:hAnsi="Calibri" w:cs="Times New Roman"/>
                <w:b/>
                <w:color w:val="000000"/>
                <w:lang w:val="en-GB" w:eastAsia="en-GB"/>
              </w:rPr>
            </w:pPr>
            <w:r w:rsidRPr="00F7760A">
              <w:rPr>
                <w:rFonts w:ascii="Calibri" w:eastAsia="Times New Roman" w:hAnsi="Calibri" w:cs="Times New Roman"/>
                <w:b/>
                <w:color w:val="000000"/>
                <w:lang w:val="en-GB" w:eastAsia="en-GB"/>
              </w:rPr>
              <w:t>Vicente Silva</w:t>
            </w:r>
          </w:p>
        </w:tc>
        <w:tc>
          <w:tcPr>
            <w:tcW w:w="5084" w:type="dxa"/>
            <w:tcBorders>
              <w:top w:val="nil"/>
              <w:left w:val="nil"/>
              <w:bottom w:val="nil"/>
              <w:right w:val="single" w:sz="4" w:space="0" w:color="auto"/>
            </w:tcBorders>
            <w:shd w:val="clear" w:color="000000" w:fill="E2EFDA"/>
            <w:noWrap/>
            <w:vAlign w:val="bottom"/>
            <w:hideMark/>
          </w:tcPr>
          <w:p w14:paraId="44CA797D" w14:textId="77777777" w:rsidR="003222F3" w:rsidRPr="00F7760A" w:rsidRDefault="003222F3" w:rsidP="0030376A">
            <w:pPr>
              <w:spacing w:after="0" w:line="240" w:lineRule="auto"/>
              <w:rPr>
                <w:rFonts w:ascii="Calibri" w:eastAsia="Times New Roman" w:hAnsi="Calibri" w:cs="Times New Roman"/>
                <w:b/>
                <w:color w:val="000000"/>
                <w:lang w:val="en-GB" w:eastAsia="en-GB"/>
              </w:rPr>
            </w:pPr>
            <w:r w:rsidRPr="00F7760A">
              <w:rPr>
                <w:rFonts w:ascii="Calibri" w:eastAsia="Times New Roman" w:hAnsi="Calibri" w:cs="Times New Roman"/>
                <w:b/>
                <w:color w:val="000000"/>
                <w:lang w:val="en-GB" w:eastAsia="en-GB"/>
              </w:rPr>
              <w:t>Leonardo Moreno</w:t>
            </w:r>
          </w:p>
        </w:tc>
      </w:tr>
      <w:tr w:rsidR="003222F3" w:rsidRPr="00F7760A" w14:paraId="31125502" w14:textId="77777777" w:rsidTr="0030376A">
        <w:trPr>
          <w:trHeight w:val="279"/>
        </w:trPr>
        <w:tc>
          <w:tcPr>
            <w:tcW w:w="3960" w:type="dxa"/>
            <w:tcBorders>
              <w:top w:val="nil"/>
              <w:left w:val="single" w:sz="4" w:space="0" w:color="auto"/>
              <w:bottom w:val="nil"/>
              <w:right w:val="single" w:sz="4" w:space="0" w:color="auto"/>
            </w:tcBorders>
            <w:shd w:val="clear" w:color="000000" w:fill="E2EFDA"/>
            <w:noWrap/>
            <w:vAlign w:val="bottom"/>
            <w:hideMark/>
          </w:tcPr>
          <w:p w14:paraId="6B51C70A" w14:textId="77777777" w:rsidR="003222F3" w:rsidRPr="00F7760A" w:rsidRDefault="003222F3" w:rsidP="0030376A">
            <w:pPr>
              <w:spacing w:after="0" w:line="240" w:lineRule="auto"/>
              <w:rPr>
                <w:rFonts w:ascii="Calibri" w:eastAsia="Times New Roman" w:hAnsi="Calibri" w:cs="Times New Roman"/>
                <w:color w:val="000000"/>
                <w:lang w:val="en-GB" w:eastAsia="en-GB"/>
              </w:rPr>
            </w:pPr>
            <w:r w:rsidRPr="00F7760A">
              <w:rPr>
                <w:rFonts w:ascii="Calibri" w:eastAsia="Times New Roman" w:hAnsi="Calibri" w:cs="Times New Roman"/>
                <w:color w:val="000000"/>
                <w:lang w:val="en-GB" w:eastAsia="en-GB"/>
              </w:rPr>
              <w:t>Investigador Asociado</w:t>
            </w:r>
          </w:p>
        </w:tc>
        <w:tc>
          <w:tcPr>
            <w:tcW w:w="5084" w:type="dxa"/>
            <w:tcBorders>
              <w:top w:val="nil"/>
              <w:left w:val="nil"/>
              <w:bottom w:val="nil"/>
              <w:right w:val="single" w:sz="4" w:space="0" w:color="auto"/>
            </w:tcBorders>
            <w:shd w:val="clear" w:color="000000" w:fill="E2EFDA"/>
            <w:noWrap/>
            <w:vAlign w:val="bottom"/>
            <w:hideMark/>
          </w:tcPr>
          <w:p w14:paraId="3B4DC1D8" w14:textId="77777777" w:rsidR="003222F3" w:rsidRPr="00F7760A" w:rsidRDefault="003222F3" w:rsidP="0030376A">
            <w:pPr>
              <w:spacing w:after="0" w:line="240" w:lineRule="auto"/>
              <w:rPr>
                <w:rFonts w:ascii="Calibri" w:eastAsia="Times New Roman" w:hAnsi="Calibri" w:cs="Times New Roman"/>
                <w:color w:val="000000"/>
                <w:lang w:val="en-GB" w:eastAsia="en-GB"/>
              </w:rPr>
            </w:pPr>
            <w:r w:rsidRPr="00F7760A">
              <w:rPr>
                <w:rFonts w:ascii="Calibri" w:eastAsia="Times New Roman" w:hAnsi="Calibri" w:cs="Times New Roman"/>
                <w:color w:val="000000"/>
                <w:lang w:val="en-GB" w:eastAsia="en-GB"/>
              </w:rPr>
              <w:t>Representante</w:t>
            </w:r>
          </w:p>
        </w:tc>
      </w:tr>
      <w:tr w:rsidR="003222F3" w:rsidRPr="00F7760A" w14:paraId="151A5D56" w14:textId="77777777" w:rsidTr="0030376A">
        <w:trPr>
          <w:trHeight w:val="279"/>
        </w:trPr>
        <w:tc>
          <w:tcPr>
            <w:tcW w:w="3960" w:type="dxa"/>
            <w:tcBorders>
              <w:top w:val="nil"/>
              <w:left w:val="single" w:sz="4" w:space="0" w:color="auto"/>
              <w:bottom w:val="nil"/>
              <w:right w:val="single" w:sz="4" w:space="0" w:color="auto"/>
            </w:tcBorders>
            <w:shd w:val="clear" w:color="000000" w:fill="E2EFDA"/>
            <w:noWrap/>
            <w:vAlign w:val="bottom"/>
            <w:hideMark/>
          </w:tcPr>
          <w:p w14:paraId="275409E4" w14:textId="77777777" w:rsidR="003222F3" w:rsidRPr="00F7760A" w:rsidRDefault="003222F3" w:rsidP="0030376A">
            <w:pPr>
              <w:spacing w:after="0" w:line="240" w:lineRule="auto"/>
              <w:rPr>
                <w:rFonts w:ascii="Calibri" w:eastAsia="Times New Roman" w:hAnsi="Calibri" w:cs="Times New Roman"/>
                <w:color w:val="000000"/>
                <w:lang w:val="en-GB" w:eastAsia="en-GB"/>
              </w:rPr>
            </w:pPr>
            <w:r w:rsidRPr="00F7760A">
              <w:rPr>
                <w:rFonts w:ascii="Calibri" w:eastAsia="Times New Roman" w:hAnsi="Calibri" w:cs="Times New Roman"/>
                <w:color w:val="000000"/>
                <w:lang w:val="en-GB" w:eastAsia="en-GB"/>
              </w:rPr>
              <w:t>GI-ESCR</w:t>
            </w:r>
          </w:p>
        </w:tc>
        <w:tc>
          <w:tcPr>
            <w:tcW w:w="5084" w:type="dxa"/>
            <w:tcBorders>
              <w:top w:val="nil"/>
              <w:left w:val="nil"/>
              <w:bottom w:val="nil"/>
              <w:right w:val="single" w:sz="4" w:space="0" w:color="auto"/>
            </w:tcBorders>
            <w:shd w:val="clear" w:color="000000" w:fill="E2EFDA"/>
            <w:noWrap/>
            <w:vAlign w:val="bottom"/>
            <w:hideMark/>
          </w:tcPr>
          <w:p w14:paraId="5E0C3356" w14:textId="77777777" w:rsidR="003222F3" w:rsidRPr="00F7760A" w:rsidRDefault="003222F3" w:rsidP="0030376A">
            <w:pPr>
              <w:spacing w:after="0" w:line="240" w:lineRule="auto"/>
              <w:rPr>
                <w:rFonts w:ascii="Calibri" w:eastAsia="Times New Roman" w:hAnsi="Calibri" w:cs="Times New Roman"/>
                <w:color w:val="000000"/>
                <w:lang w:val="en-GB" w:eastAsia="en-GB"/>
              </w:rPr>
            </w:pPr>
            <w:r w:rsidRPr="00F7760A">
              <w:rPr>
                <w:rFonts w:ascii="Calibri" w:eastAsia="Times New Roman" w:hAnsi="Calibri" w:cs="Times New Roman"/>
                <w:color w:val="000000"/>
                <w:lang w:val="en-GB" w:eastAsia="en-GB"/>
              </w:rPr>
              <w:t>Red Nuevo Pacto Social</w:t>
            </w:r>
          </w:p>
        </w:tc>
      </w:tr>
      <w:tr w:rsidR="003222F3" w:rsidRPr="00F7760A" w14:paraId="35A58C58" w14:textId="77777777" w:rsidTr="0030376A">
        <w:trPr>
          <w:trHeight w:val="279"/>
        </w:trPr>
        <w:tc>
          <w:tcPr>
            <w:tcW w:w="3960" w:type="dxa"/>
            <w:tcBorders>
              <w:top w:val="nil"/>
              <w:left w:val="single" w:sz="4" w:space="0" w:color="auto"/>
              <w:bottom w:val="single" w:sz="4" w:space="0" w:color="auto"/>
              <w:right w:val="single" w:sz="4" w:space="0" w:color="auto"/>
            </w:tcBorders>
            <w:shd w:val="clear" w:color="000000" w:fill="E2EFDA"/>
            <w:noWrap/>
            <w:vAlign w:val="bottom"/>
            <w:hideMark/>
          </w:tcPr>
          <w:p w14:paraId="2F7B5FB8" w14:textId="77777777" w:rsidR="003222F3" w:rsidRPr="00F7760A" w:rsidRDefault="003222F3" w:rsidP="0030376A">
            <w:pPr>
              <w:spacing w:after="0" w:line="240" w:lineRule="auto"/>
              <w:rPr>
                <w:rFonts w:ascii="Calibri" w:eastAsia="Times New Roman" w:hAnsi="Calibri" w:cs="Times New Roman"/>
                <w:color w:val="000000"/>
                <w:lang w:val="en-GB" w:eastAsia="en-GB"/>
              </w:rPr>
            </w:pPr>
            <w:r w:rsidRPr="003222F3">
              <w:rPr>
                <w:rStyle w:val="Hipervnculo"/>
                <w:lang w:val="en-GB" w:eastAsia="en-GB"/>
              </w:rPr>
              <w:t>vicente@gi-escr.org</w:t>
            </w:r>
          </w:p>
        </w:tc>
        <w:tc>
          <w:tcPr>
            <w:tcW w:w="5084" w:type="dxa"/>
            <w:tcBorders>
              <w:top w:val="nil"/>
              <w:left w:val="nil"/>
              <w:bottom w:val="single" w:sz="4" w:space="0" w:color="auto"/>
              <w:right w:val="single" w:sz="4" w:space="0" w:color="auto"/>
            </w:tcBorders>
            <w:shd w:val="clear" w:color="000000" w:fill="E2EFDA"/>
            <w:noWrap/>
            <w:vAlign w:val="bottom"/>
            <w:hideMark/>
          </w:tcPr>
          <w:p w14:paraId="2B13E784" w14:textId="646870A2" w:rsidR="003222F3" w:rsidRPr="00F7760A" w:rsidRDefault="003222F3" w:rsidP="0030376A">
            <w:pPr>
              <w:spacing w:after="0" w:line="240" w:lineRule="auto"/>
              <w:rPr>
                <w:rFonts w:ascii="Calibri" w:eastAsia="Times New Roman" w:hAnsi="Calibri" w:cs="Times New Roman"/>
                <w:color w:val="0563C1"/>
                <w:u w:val="single"/>
                <w:lang w:val="en-GB" w:eastAsia="en-GB"/>
              </w:rPr>
            </w:pPr>
            <w:hyperlink r:id="rId11" w:history="1">
              <w:r w:rsidRPr="00D5065A">
                <w:rPr>
                  <w:rStyle w:val="Hipervnculo"/>
                  <w:rFonts w:ascii="Calibri" w:eastAsia="Times New Roman" w:hAnsi="Calibri" w:cs="Times New Roman"/>
                  <w:lang w:val="en-GB" w:eastAsia="en-GB"/>
                </w:rPr>
                <w:t>leonardo.moreno@superacionpobreza.cl</w:t>
              </w:r>
            </w:hyperlink>
          </w:p>
        </w:tc>
      </w:tr>
    </w:tbl>
    <w:p w14:paraId="53CF3BE6" w14:textId="5EF83EC6" w:rsidR="00F7760A" w:rsidRPr="007B4092" w:rsidRDefault="00F7760A">
      <w:pPr>
        <w:jc w:val="both"/>
        <w:rPr>
          <w:rFonts w:ascii="Times New Roman" w:hAnsi="Times New Roman" w:cs="Times New Roman"/>
          <w:b/>
          <w:sz w:val="24"/>
          <w:szCs w:val="24"/>
          <w:lang w:val="es-CL"/>
        </w:rPr>
      </w:pPr>
    </w:p>
    <w:sectPr w:rsidR="00F7760A" w:rsidRPr="007B4092">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51116" w14:textId="77777777" w:rsidR="00E40541" w:rsidRDefault="00E40541" w:rsidP="009111F7">
      <w:pPr>
        <w:spacing w:after="0" w:line="240" w:lineRule="auto"/>
      </w:pPr>
      <w:r>
        <w:separator/>
      </w:r>
    </w:p>
  </w:endnote>
  <w:endnote w:type="continuationSeparator" w:id="0">
    <w:p w14:paraId="1476A0FA" w14:textId="77777777" w:rsidR="00E40541" w:rsidRDefault="00E40541" w:rsidP="00911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5078530"/>
      <w:docPartObj>
        <w:docPartGallery w:val="Page Numbers (Bottom of Page)"/>
        <w:docPartUnique/>
      </w:docPartObj>
    </w:sdtPr>
    <w:sdtContent>
      <w:p w14:paraId="5EECC7A3" w14:textId="78C5D0D8" w:rsidR="00E61542" w:rsidRDefault="00E61542">
        <w:pPr>
          <w:pStyle w:val="Piedepgina"/>
          <w:jc w:val="right"/>
        </w:pPr>
        <w:r>
          <w:fldChar w:fldCharType="begin"/>
        </w:r>
        <w:r>
          <w:instrText>PAGE   \* MERGEFORMAT</w:instrText>
        </w:r>
        <w:r>
          <w:fldChar w:fldCharType="separate"/>
        </w:r>
        <w:r w:rsidR="00A17794" w:rsidRPr="00A17794">
          <w:rPr>
            <w:noProof/>
            <w:lang w:val="es-ES"/>
          </w:rPr>
          <w:t>3</w:t>
        </w:r>
        <w:r>
          <w:fldChar w:fldCharType="end"/>
        </w:r>
      </w:p>
    </w:sdtContent>
  </w:sdt>
  <w:p w14:paraId="5C4D298C" w14:textId="77777777" w:rsidR="00E61542" w:rsidRDefault="00E615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D508BD" w14:textId="77777777" w:rsidR="00E40541" w:rsidRDefault="00E40541" w:rsidP="009111F7">
      <w:pPr>
        <w:spacing w:after="0" w:line="240" w:lineRule="auto"/>
      </w:pPr>
      <w:r>
        <w:separator/>
      </w:r>
    </w:p>
  </w:footnote>
  <w:footnote w:type="continuationSeparator" w:id="0">
    <w:p w14:paraId="18B9E4D2" w14:textId="77777777" w:rsidR="00E40541" w:rsidRDefault="00E40541" w:rsidP="009111F7">
      <w:pPr>
        <w:spacing w:after="0" w:line="240" w:lineRule="auto"/>
      </w:pPr>
      <w:r>
        <w:continuationSeparator/>
      </w:r>
    </w:p>
  </w:footnote>
  <w:footnote w:id="1">
    <w:p w14:paraId="0D458347" w14:textId="7EE3C20E" w:rsidR="00E61542" w:rsidRPr="006144AB" w:rsidRDefault="00E61542" w:rsidP="002D2639">
      <w:pPr>
        <w:pStyle w:val="Textonotapie"/>
        <w:jc w:val="both"/>
        <w:rPr>
          <w:rFonts w:ascii="Times New Roman" w:hAnsi="Times New Roman" w:cs="Times New Roman"/>
          <w:sz w:val="18"/>
          <w:szCs w:val="18"/>
        </w:rPr>
      </w:pPr>
      <w:r w:rsidRPr="006144AB">
        <w:rPr>
          <w:rStyle w:val="Refdenotaalpie"/>
          <w:rFonts w:ascii="Times New Roman" w:hAnsi="Times New Roman"/>
          <w:sz w:val="18"/>
          <w:szCs w:val="18"/>
        </w:rPr>
        <w:footnoteRef/>
      </w:r>
      <w:r w:rsidRPr="006144AB">
        <w:rPr>
          <w:rFonts w:ascii="Times New Roman" w:hAnsi="Times New Roman" w:cs="Times New Roman"/>
          <w:sz w:val="18"/>
          <w:szCs w:val="18"/>
        </w:rPr>
        <w:t xml:space="preserve"> </w:t>
      </w:r>
      <w:r w:rsidRPr="006144AB">
        <w:rPr>
          <w:rStyle w:val="Hipervnculo"/>
          <w:rFonts w:ascii="Times New Roman" w:hAnsi="Times New Roman" w:cs="Times New Roman"/>
          <w:sz w:val="18"/>
          <w:szCs w:val="18"/>
        </w:rPr>
        <w:t>http://www.globalinitiative-escr.org/</w:t>
      </w:r>
    </w:p>
  </w:footnote>
  <w:footnote w:id="2">
    <w:p w14:paraId="3603AB79" w14:textId="7BDFED92" w:rsidR="00E61542" w:rsidRPr="008E0999" w:rsidRDefault="00E61542" w:rsidP="002D2639">
      <w:pPr>
        <w:pStyle w:val="Textonotapie"/>
        <w:jc w:val="both"/>
        <w:rPr>
          <w:rFonts w:ascii="Times New Roman" w:hAnsi="Times New Roman" w:cs="Times New Roman"/>
          <w:lang w:val="es-CL"/>
        </w:rPr>
      </w:pPr>
      <w:r w:rsidRPr="006144AB">
        <w:rPr>
          <w:rStyle w:val="Refdenotaalpie"/>
          <w:rFonts w:ascii="Times New Roman" w:hAnsi="Times New Roman"/>
          <w:sz w:val="18"/>
          <w:szCs w:val="18"/>
        </w:rPr>
        <w:footnoteRef/>
      </w:r>
      <w:r w:rsidRPr="006144AB">
        <w:rPr>
          <w:rFonts w:ascii="Times New Roman" w:hAnsi="Times New Roman" w:cs="Times New Roman"/>
          <w:sz w:val="18"/>
          <w:szCs w:val="18"/>
        </w:rPr>
        <w:t xml:space="preserve"> Nuevo Pacto Social está compuesto por: ACCIÓN – Asociación Chilena de ONGs ▪ ADIR – Asociación Chilena de Diálogo Interreligioso para el Desarrollo Humano ▪ CHILECOSOC – Asociación de Consejos de la Sociedad Civil ▪ Comunidad de Organizaciones Solidarias ▪ Pacto por la Discapacidad ▪ Red de Gobierno Abierto ▪ Red de Movilidad ▪ Red de Organizaciones Independientes ▪ Red Voluntarios Chile ▪ Sociedad Civil por la Acción Climática.</w:t>
      </w:r>
    </w:p>
  </w:footnote>
  <w:footnote w:id="3">
    <w:p w14:paraId="75D5ADEB" w14:textId="77777777" w:rsidR="00E61542" w:rsidRPr="005E1B3D" w:rsidRDefault="00E61542" w:rsidP="002D2639">
      <w:pPr>
        <w:pStyle w:val="Textonotapie"/>
        <w:jc w:val="both"/>
        <w:rPr>
          <w:rFonts w:ascii="Times New Roman" w:hAnsi="Times New Roman" w:cs="Times New Roman"/>
          <w:sz w:val="18"/>
          <w:szCs w:val="18"/>
        </w:rPr>
      </w:pPr>
      <w:r w:rsidRPr="005E1B3D">
        <w:rPr>
          <w:rStyle w:val="Refdenotaalpie"/>
          <w:rFonts w:ascii="Times New Roman" w:hAnsi="Times New Roman"/>
          <w:sz w:val="18"/>
          <w:szCs w:val="18"/>
        </w:rPr>
        <w:footnoteRef/>
      </w:r>
      <w:r w:rsidRPr="005E1B3D">
        <w:rPr>
          <w:rFonts w:ascii="Times New Roman" w:hAnsi="Times New Roman" w:cs="Times New Roman"/>
          <w:sz w:val="18"/>
          <w:szCs w:val="18"/>
        </w:rPr>
        <w:t xml:space="preserve"> </w:t>
      </w:r>
      <w:r w:rsidRPr="005E1B3D">
        <w:rPr>
          <w:rFonts w:ascii="Times New Roman" w:hAnsi="Times New Roman" w:cs="Times New Roman"/>
          <w:sz w:val="18"/>
          <w:szCs w:val="18"/>
          <w:lang w:val="es-CL"/>
        </w:rPr>
        <w:t xml:space="preserve">Ver declaraciones de la Secretaria Ejecutiva de CEPAL el 01/11/2019, Alicia Barcena en: </w:t>
      </w:r>
      <w:hyperlink r:id="rId1" w:history="1">
        <w:r w:rsidRPr="005E1B3D">
          <w:rPr>
            <w:rFonts w:ascii="Times New Roman" w:hAnsi="Times New Roman" w:cs="Times New Roman"/>
            <w:color w:val="0000FF"/>
            <w:sz w:val="18"/>
            <w:szCs w:val="18"/>
            <w:u w:val="single"/>
          </w:rPr>
          <w:t>https://www.elespectador.com/economia/la-cepal-critica-las-privatizaciones-en-chile-que-desataron-las-protestas-articulo-888649</w:t>
        </w:r>
      </w:hyperlink>
      <w:r w:rsidRPr="005E1B3D">
        <w:rPr>
          <w:rFonts w:ascii="Times New Roman" w:hAnsi="Times New Roman" w:cs="Times New Roman"/>
          <w:sz w:val="18"/>
          <w:szCs w:val="18"/>
        </w:rPr>
        <w:t xml:space="preserve"> </w:t>
      </w:r>
    </w:p>
  </w:footnote>
  <w:footnote w:id="4">
    <w:p w14:paraId="217DF753" w14:textId="77777777" w:rsidR="00E61542" w:rsidRPr="005E1B3D" w:rsidRDefault="00E61542" w:rsidP="002D2639">
      <w:pPr>
        <w:pStyle w:val="Textonotapie"/>
        <w:jc w:val="both"/>
        <w:rPr>
          <w:rFonts w:ascii="Times New Roman" w:hAnsi="Times New Roman" w:cs="Times New Roman"/>
          <w:sz w:val="18"/>
          <w:szCs w:val="18"/>
        </w:rPr>
      </w:pPr>
      <w:r w:rsidRPr="005E1B3D">
        <w:rPr>
          <w:rStyle w:val="Refdenotaalpie"/>
          <w:rFonts w:ascii="Times New Roman" w:hAnsi="Times New Roman"/>
          <w:sz w:val="18"/>
          <w:szCs w:val="18"/>
        </w:rPr>
        <w:footnoteRef/>
      </w:r>
      <w:r w:rsidRPr="005E1B3D">
        <w:rPr>
          <w:rFonts w:ascii="Times New Roman" w:hAnsi="Times New Roman" w:cs="Times New Roman"/>
          <w:sz w:val="18"/>
          <w:szCs w:val="18"/>
        </w:rPr>
        <w:t xml:space="preserve"> Comisión Económica para Latino América y el Caribe (CEPAL), Panorama Social para Latino América 2019. Disponible en: </w:t>
      </w:r>
      <w:hyperlink r:id="rId2" w:history="1">
        <w:r w:rsidRPr="005E1B3D">
          <w:rPr>
            <w:rStyle w:val="Hipervnculo"/>
            <w:rFonts w:ascii="Times New Roman" w:hAnsi="Times New Roman" w:cs="Times New Roman"/>
            <w:sz w:val="18"/>
            <w:szCs w:val="18"/>
          </w:rPr>
          <w:t>https://www.cepal.org/es/publicaciones/44969-panorama-social-america-latina-2019</w:t>
        </w:r>
      </w:hyperlink>
    </w:p>
  </w:footnote>
  <w:footnote w:id="5">
    <w:p w14:paraId="7885F4CE" w14:textId="77777777" w:rsidR="00E61542" w:rsidRPr="005E1B3D" w:rsidRDefault="00E61542" w:rsidP="002D2639">
      <w:pPr>
        <w:spacing w:after="0" w:line="240" w:lineRule="auto"/>
        <w:jc w:val="both"/>
        <w:rPr>
          <w:rFonts w:ascii="Times New Roman" w:eastAsia="Times New Roman" w:hAnsi="Times New Roman" w:cs="Times New Roman"/>
          <w:sz w:val="18"/>
          <w:szCs w:val="18"/>
          <w:shd w:val="clear" w:color="auto" w:fill="FFFFFF"/>
          <w:lang w:val="es-CL" w:eastAsia="es-CL"/>
        </w:rPr>
      </w:pPr>
      <w:r w:rsidRPr="005E1B3D">
        <w:rPr>
          <w:rStyle w:val="Refdenotaalpie"/>
          <w:rFonts w:ascii="Times New Roman" w:hAnsi="Times New Roman"/>
          <w:sz w:val="18"/>
          <w:szCs w:val="18"/>
        </w:rPr>
        <w:footnoteRef/>
      </w:r>
      <w:r w:rsidRPr="005E1B3D">
        <w:rPr>
          <w:rFonts w:ascii="Times New Roman" w:hAnsi="Times New Roman" w:cs="Times New Roman"/>
          <w:sz w:val="18"/>
          <w:szCs w:val="18"/>
        </w:rPr>
        <w:t xml:space="preserve"> Ver </w:t>
      </w:r>
      <w:r w:rsidRPr="005E1B3D">
        <w:rPr>
          <w:rFonts w:ascii="Times New Roman" w:eastAsia="Times New Roman" w:hAnsi="Times New Roman" w:cs="Times New Roman"/>
          <w:sz w:val="18"/>
          <w:szCs w:val="18"/>
          <w:shd w:val="clear" w:color="auto" w:fill="FFFFFF"/>
          <w:lang w:val="es-CL" w:eastAsia="es-CL"/>
        </w:rPr>
        <w:t>Declaración final de la misión de la Relatora Especial sobre la vivienda adecuada, Sra. Leilani Farha Santiago de Chile, 28 de abril de 2017, en:</w:t>
      </w:r>
    </w:p>
    <w:p w14:paraId="460D71E1" w14:textId="77777777" w:rsidR="00E61542" w:rsidRPr="005E1B3D" w:rsidRDefault="00E61542" w:rsidP="002D2639">
      <w:pPr>
        <w:spacing w:after="0" w:line="240" w:lineRule="auto"/>
        <w:jc w:val="both"/>
        <w:rPr>
          <w:rFonts w:ascii="Times New Roman" w:eastAsia="Times New Roman" w:hAnsi="Times New Roman" w:cs="Times New Roman"/>
          <w:sz w:val="18"/>
          <w:szCs w:val="18"/>
          <w:shd w:val="clear" w:color="auto" w:fill="FFFFFF"/>
          <w:lang w:val="es-CL" w:eastAsia="es-CL"/>
        </w:rPr>
      </w:pPr>
      <w:hyperlink r:id="rId3" w:history="1">
        <w:r w:rsidRPr="005E1B3D">
          <w:rPr>
            <w:rStyle w:val="Hipervnculo"/>
            <w:rFonts w:ascii="Times New Roman" w:hAnsi="Times New Roman" w:cs="Times New Roman"/>
            <w:sz w:val="18"/>
            <w:szCs w:val="18"/>
          </w:rPr>
          <w:t>https://www.ohchr.org/SP/NewsEvents/Pages/DisplayNews.aspx?NewsID=21544&amp;LangID=S</w:t>
        </w:r>
      </w:hyperlink>
    </w:p>
  </w:footnote>
  <w:footnote w:id="6">
    <w:p w14:paraId="0CD6A613" w14:textId="77777777" w:rsidR="00E61542" w:rsidRPr="005E1B3D" w:rsidRDefault="00E61542" w:rsidP="002D2639">
      <w:pPr>
        <w:pStyle w:val="Textonotapie"/>
        <w:jc w:val="both"/>
        <w:rPr>
          <w:rFonts w:ascii="Times New Roman" w:hAnsi="Times New Roman" w:cs="Times New Roman"/>
          <w:sz w:val="18"/>
          <w:szCs w:val="18"/>
          <w:lang w:val="es-CL"/>
        </w:rPr>
      </w:pPr>
      <w:r w:rsidRPr="005E1B3D">
        <w:rPr>
          <w:rStyle w:val="Refdenotaalpie"/>
          <w:rFonts w:ascii="Times New Roman" w:hAnsi="Times New Roman"/>
          <w:sz w:val="18"/>
          <w:szCs w:val="18"/>
        </w:rPr>
        <w:footnoteRef/>
      </w:r>
      <w:r w:rsidRPr="005E1B3D">
        <w:rPr>
          <w:rFonts w:ascii="Times New Roman" w:hAnsi="Times New Roman" w:cs="Times New Roman"/>
          <w:sz w:val="18"/>
          <w:szCs w:val="18"/>
        </w:rPr>
        <w:t xml:space="preserve"> </w:t>
      </w:r>
      <w:hyperlink r:id="rId4" w:history="1">
        <w:r w:rsidRPr="005E1B3D">
          <w:rPr>
            <w:rFonts w:ascii="Times New Roman" w:hAnsi="Times New Roman" w:cs="Times New Roman"/>
            <w:color w:val="0000FF"/>
            <w:sz w:val="18"/>
            <w:szCs w:val="18"/>
            <w:u w:val="single"/>
          </w:rPr>
          <w:t>http://www.fundacionsol.cl/wp-content/uploads/2019/07/Pensiones-bajo-el-minimo-2019-1.pdf</w:t>
        </w:r>
      </w:hyperlink>
    </w:p>
  </w:footnote>
  <w:footnote w:id="7">
    <w:p w14:paraId="21ADD882" w14:textId="77777777" w:rsidR="00E61542" w:rsidRPr="005E1B3D" w:rsidRDefault="00E61542" w:rsidP="002D2639">
      <w:pPr>
        <w:pStyle w:val="Textonotapie"/>
        <w:jc w:val="both"/>
        <w:rPr>
          <w:rFonts w:ascii="Times New Roman" w:hAnsi="Times New Roman" w:cs="Times New Roman"/>
          <w:sz w:val="18"/>
          <w:szCs w:val="18"/>
        </w:rPr>
      </w:pPr>
      <w:r w:rsidRPr="005E1B3D">
        <w:rPr>
          <w:rStyle w:val="Refdenotaalpie"/>
          <w:rFonts w:ascii="Times New Roman" w:hAnsi="Times New Roman"/>
          <w:sz w:val="18"/>
          <w:szCs w:val="18"/>
        </w:rPr>
        <w:footnoteRef/>
      </w:r>
      <w:r w:rsidRPr="005E1B3D">
        <w:rPr>
          <w:rFonts w:ascii="Times New Roman" w:hAnsi="Times New Roman" w:cs="Times New Roman"/>
          <w:sz w:val="18"/>
          <w:szCs w:val="18"/>
        </w:rPr>
        <w:t xml:space="preserve"> Ver “Panorama y Desafíos del Sistema de Salud de Chile” (Resumen) César Gattini. Observatorio Chileno de Salud Pública de la Universidad de Chile, en: </w:t>
      </w:r>
    </w:p>
    <w:p w14:paraId="2557B025" w14:textId="77777777" w:rsidR="00E61542" w:rsidRPr="005E1B3D" w:rsidRDefault="00E61542" w:rsidP="002D2639">
      <w:pPr>
        <w:pStyle w:val="Textonotapie"/>
        <w:jc w:val="both"/>
        <w:rPr>
          <w:rFonts w:ascii="Times New Roman" w:hAnsi="Times New Roman" w:cs="Times New Roman"/>
          <w:sz w:val="18"/>
          <w:szCs w:val="18"/>
          <w:lang w:val="es-CL"/>
        </w:rPr>
      </w:pPr>
      <w:hyperlink r:id="rId5" w:history="1">
        <w:r w:rsidRPr="005E1B3D">
          <w:rPr>
            <w:rStyle w:val="Hipervnculo"/>
            <w:rFonts w:ascii="Times New Roman" w:hAnsi="Times New Roman" w:cs="Times New Roman"/>
            <w:sz w:val="18"/>
            <w:szCs w:val="18"/>
          </w:rPr>
          <w:t>http://www.ochisap.cl/images/ene20/Desafos_Sistema_Salud_Chile_Resumen_CG2612.pdf</w:t>
        </w:r>
      </w:hyperlink>
    </w:p>
  </w:footnote>
  <w:footnote w:id="8">
    <w:p w14:paraId="300D48C5" w14:textId="77777777" w:rsidR="00E61542" w:rsidRPr="005E1B3D" w:rsidRDefault="00E61542" w:rsidP="002D2639">
      <w:pPr>
        <w:pStyle w:val="Textonotapie"/>
        <w:jc w:val="both"/>
        <w:rPr>
          <w:rFonts w:ascii="Times New Roman" w:hAnsi="Times New Roman" w:cs="Times New Roman"/>
          <w:sz w:val="18"/>
          <w:szCs w:val="18"/>
          <w:lang w:val="es-CL"/>
        </w:rPr>
      </w:pPr>
      <w:r w:rsidRPr="005E1B3D">
        <w:rPr>
          <w:rStyle w:val="Refdenotaalpie"/>
          <w:rFonts w:ascii="Times New Roman" w:hAnsi="Times New Roman"/>
          <w:sz w:val="18"/>
          <w:szCs w:val="18"/>
        </w:rPr>
        <w:footnoteRef/>
      </w:r>
      <w:r w:rsidRPr="005E1B3D">
        <w:rPr>
          <w:rFonts w:ascii="Times New Roman" w:hAnsi="Times New Roman" w:cs="Times New Roman"/>
          <w:sz w:val="18"/>
          <w:szCs w:val="18"/>
        </w:rPr>
        <w:t xml:space="preserve"> </w:t>
      </w:r>
      <w:r w:rsidRPr="005E1B3D">
        <w:rPr>
          <w:rFonts w:ascii="Times New Roman" w:hAnsi="Times New Roman" w:cs="Times New Roman"/>
          <w:sz w:val="18"/>
          <w:szCs w:val="18"/>
          <w:lang w:val="es-CL"/>
        </w:rPr>
        <w:t xml:space="preserve">Ver </w:t>
      </w:r>
      <w:hyperlink r:id="rId6" w:history="1">
        <w:r w:rsidRPr="005E1B3D">
          <w:rPr>
            <w:rFonts w:ascii="Times New Roman" w:hAnsi="Times New Roman" w:cs="Times New Roman"/>
            <w:color w:val="0000FF"/>
            <w:sz w:val="18"/>
            <w:szCs w:val="18"/>
            <w:u w:val="single"/>
          </w:rPr>
          <w:t>https://acnudh.org/informe-del-relator-especial-sobre-el-derecho-a-la-educacion-mision-a-chile/</w:t>
        </w:r>
      </w:hyperlink>
    </w:p>
  </w:footnote>
  <w:footnote w:id="9">
    <w:p w14:paraId="171C921C" w14:textId="6AEDC678" w:rsidR="00E61542" w:rsidRPr="003E4533" w:rsidRDefault="00E61542" w:rsidP="00D31F95">
      <w:pPr>
        <w:pStyle w:val="Textonotapie"/>
        <w:jc w:val="both"/>
        <w:rPr>
          <w:rFonts w:ascii="Times New Roman" w:hAnsi="Times New Roman" w:cs="Times New Roman"/>
          <w:sz w:val="18"/>
          <w:szCs w:val="18"/>
          <w:lang w:val="es-CL"/>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r w:rsidRPr="003E4533">
        <w:rPr>
          <w:rFonts w:ascii="Times New Roman" w:hAnsi="Times New Roman" w:cs="Times New Roman"/>
          <w:sz w:val="18"/>
          <w:szCs w:val="18"/>
          <w:lang w:val="es-CL"/>
        </w:rPr>
        <w:t>La situación de desigualdad de oportunidades se encuentra profusamente desarrollada en “Desiguales: orígenes, cambios y desafíos de la brecha social en Chile.” PNUD. Ver en particular Capítulo 2 en:</w:t>
      </w:r>
    </w:p>
    <w:p w14:paraId="58B6E0F4" w14:textId="7F23AFCF" w:rsidR="00E61542" w:rsidRPr="003E4533" w:rsidRDefault="00E61542" w:rsidP="00D31F95">
      <w:pPr>
        <w:pStyle w:val="Textonotapie"/>
        <w:jc w:val="both"/>
        <w:rPr>
          <w:rFonts w:ascii="Times New Roman" w:hAnsi="Times New Roman" w:cs="Times New Roman"/>
          <w:sz w:val="18"/>
          <w:szCs w:val="18"/>
          <w:lang w:val="es-CL"/>
        </w:rPr>
      </w:pPr>
      <w:hyperlink r:id="rId7" w:history="1">
        <w:r w:rsidRPr="003E4533">
          <w:rPr>
            <w:rFonts w:ascii="Times New Roman" w:hAnsi="Times New Roman" w:cs="Times New Roman"/>
            <w:color w:val="0000FF"/>
            <w:sz w:val="18"/>
            <w:szCs w:val="18"/>
            <w:u w:val="single"/>
          </w:rPr>
          <w:t>https://www.undp.org/content/dam/chile/docs/pobreza/undp_cl_pobreza-Libro-DESIGUALES-final.pdf</w:t>
        </w:r>
      </w:hyperlink>
    </w:p>
  </w:footnote>
  <w:footnote w:id="10">
    <w:p w14:paraId="54E09703" w14:textId="7D27D8E7" w:rsidR="00E61542" w:rsidRPr="003E4533" w:rsidRDefault="00E61542" w:rsidP="003E4533">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bookmarkStart w:id="1" w:name="_Hlk29016710"/>
      <w:r w:rsidRPr="003E4533">
        <w:rPr>
          <w:rFonts w:ascii="Times New Roman" w:hAnsi="Times New Roman" w:cs="Times New Roman"/>
          <w:sz w:val="18"/>
          <w:szCs w:val="18"/>
        </w:rPr>
        <w:t>Informe del Relator Especial sobre la extrema pobreza y los derechos humanos sobre su misión a Chile. 08/04/2016. A/HRC/32/31/Add.1</w:t>
      </w:r>
      <w:bookmarkEnd w:id="1"/>
      <w:r w:rsidRPr="003E4533">
        <w:rPr>
          <w:rFonts w:ascii="Times New Roman" w:hAnsi="Times New Roman" w:cs="Times New Roman"/>
          <w:sz w:val="18"/>
          <w:szCs w:val="18"/>
        </w:rPr>
        <w:t xml:space="preserve"> de fecha 8 de abril de 2016.</w:t>
      </w:r>
    </w:p>
  </w:footnote>
  <w:footnote w:id="11">
    <w:p w14:paraId="265EE3A9" w14:textId="77777777" w:rsidR="00E61542" w:rsidRPr="00793A8C" w:rsidRDefault="00E61542" w:rsidP="00AF45C8">
      <w:pPr>
        <w:pStyle w:val="Textonotapie"/>
        <w:jc w:val="both"/>
        <w:rPr>
          <w:rFonts w:ascii="Times New Roman" w:hAnsi="Times New Roman" w:cs="Times New Roman"/>
          <w:sz w:val="18"/>
          <w:szCs w:val="18"/>
        </w:rPr>
      </w:pPr>
      <w:r w:rsidRPr="00793A8C">
        <w:rPr>
          <w:rStyle w:val="Refdenotaalpie"/>
          <w:rFonts w:ascii="Times New Roman" w:hAnsi="Times New Roman"/>
          <w:sz w:val="18"/>
          <w:szCs w:val="18"/>
        </w:rPr>
        <w:footnoteRef/>
      </w:r>
      <w:r w:rsidRPr="00793A8C">
        <w:rPr>
          <w:rFonts w:ascii="Times New Roman" w:hAnsi="Times New Roman" w:cs="Times New Roman"/>
          <w:sz w:val="18"/>
          <w:szCs w:val="18"/>
        </w:rPr>
        <w:t xml:space="preserve"> OECD, La participación ciudadana en el proceso constituyente en Chile (2017), en: </w:t>
      </w:r>
      <w:hyperlink r:id="rId8" w:history="1">
        <w:r w:rsidRPr="00793A8C">
          <w:rPr>
            <w:rStyle w:val="Hipervnculo"/>
            <w:rFonts w:ascii="Times New Roman" w:hAnsi="Times New Roman" w:cs="Times New Roman"/>
            <w:sz w:val="18"/>
            <w:szCs w:val="18"/>
          </w:rPr>
          <w:t>https://www.oecd.org/gov/Chile-PG-Scan-SPA.pdf</w:t>
        </w:r>
      </w:hyperlink>
    </w:p>
  </w:footnote>
  <w:footnote w:id="12">
    <w:p w14:paraId="21509566" w14:textId="77777777" w:rsidR="00E61542" w:rsidRPr="003E4533" w:rsidRDefault="00E61542" w:rsidP="00AF45C8">
      <w:pPr>
        <w:pStyle w:val="Textonotapie"/>
        <w:jc w:val="both"/>
        <w:rPr>
          <w:rFonts w:ascii="Times New Roman" w:hAnsi="Times New Roman" w:cs="Times New Roman"/>
          <w:sz w:val="18"/>
          <w:szCs w:val="18"/>
          <w:lang w:val="es-CL"/>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r w:rsidRPr="003E4533">
        <w:rPr>
          <w:rFonts w:ascii="Times New Roman" w:hAnsi="Times New Roman" w:cs="Times New Roman"/>
          <w:sz w:val="18"/>
          <w:szCs w:val="18"/>
          <w:lang w:val="es-CL"/>
        </w:rPr>
        <w:t>Ver las propuestas completas en: Informe Final Consejo Nacional De Participación Ciudadana. Estado de la participación ciudadana en Chil</w:t>
      </w:r>
      <w:r>
        <w:rPr>
          <w:rFonts w:ascii="Times New Roman" w:hAnsi="Times New Roman" w:cs="Times New Roman"/>
          <w:sz w:val="18"/>
          <w:szCs w:val="18"/>
          <w:lang w:val="es-CL"/>
        </w:rPr>
        <w:t xml:space="preserve">e y propuestas de reforma a la </w:t>
      </w:r>
      <w:r w:rsidRPr="003E4533">
        <w:rPr>
          <w:rFonts w:ascii="Times New Roman" w:hAnsi="Times New Roman" w:cs="Times New Roman"/>
          <w:sz w:val="18"/>
          <w:szCs w:val="18"/>
          <w:lang w:val="es-CL"/>
        </w:rPr>
        <w:t>Ley 20.500 sob</w:t>
      </w:r>
      <w:r>
        <w:rPr>
          <w:rFonts w:ascii="Times New Roman" w:hAnsi="Times New Roman" w:cs="Times New Roman"/>
          <w:sz w:val="18"/>
          <w:szCs w:val="18"/>
          <w:lang w:val="es-CL"/>
        </w:rPr>
        <w:t>re Asociaciones y Participación</w:t>
      </w:r>
      <w:r w:rsidRPr="003E4533">
        <w:rPr>
          <w:rFonts w:ascii="Times New Roman" w:hAnsi="Times New Roman" w:cs="Times New Roman"/>
          <w:sz w:val="18"/>
          <w:szCs w:val="18"/>
          <w:lang w:val="es-CL"/>
        </w:rPr>
        <w:t xml:space="preserve"> Ciudadana en la Gestión Pública, Enero de 2017.</w:t>
      </w:r>
    </w:p>
  </w:footnote>
  <w:footnote w:id="13">
    <w:p w14:paraId="470E21A3" w14:textId="728DA022" w:rsidR="00E61542" w:rsidRPr="003E4533" w:rsidRDefault="00E61542" w:rsidP="003E4533">
      <w:pPr>
        <w:pStyle w:val="NormalWeb"/>
        <w:shd w:val="clear" w:color="auto" w:fill="FFFFFF"/>
        <w:spacing w:before="0" w:beforeAutospacing="0" w:after="0" w:afterAutospacing="0"/>
        <w:jc w:val="both"/>
        <w:rPr>
          <w:sz w:val="18"/>
          <w:szCs w:val="18"/>
          <w:lang w:val="es-CL"/>
        </w:rPr>
      </w:pPr>
      <w:r w:rsidRPr="003E4533">
        <w:rPr>
          <w:rStyle w:val="Refdenotaalpie"/>
          <w:sz w:val="18"/>
          <w:szCs w:val="18"/>
        </w:rPr>
        <w:footnoteRef/>
      </w:r>
      <w:r w:rsidRPr="003E4533">
        <w:rPr>
          <w:sz w:val="18"/>
          <w:szCs w:val="18"/>
        </w:rPr>
        <w:t xml:space="preserve"> Los informes de Amnistía Internacional y Human Rights Watch dan cuenta de abusos reiterados por parte de fuerzas de orden del Estado, específicamente, Carabineros de Chile Estos informes señalan entre otras cosas “…pruebas consistentes que Carabineros utilizó la fuerza de manera excesiva en respuesta a las protestas e hirió a miles de personas, con independencia de si habían participado en hechos violentos o no. Los servicios de urgencias médicas del país atendieron a 11.564 personas heridas relacionadas a las manifestaciones entre el 18 de octubre y el 22 de noviembre, informó a Human Rights Watch el Ministerio de Salud. De estas, más de 1.100 presentaban lesiones moderadas o graves que se han producido “(Informe HRW). Por otra parte, Los datos del Instituto Nacional de Derechos Humanos indican que en el 48% de los casos observados de detenciones, las personas detenidas se estaban manifestando pacíficamente (más allá de que estuvieran o no ocupando la calzada). Asimismo, se utilizaron gases en forma indiscriminada en el 56% de los casos observados, y en el 60% de los casos observados se apreció falta de gradualidad en el uso de fuerza, que sobrevino sin previo aviso y en ausencia de diálogo. Se registraron en los hospitales 2.727 casos de personas adultas heridas, así como 211 casos de niños, niñas y adolescentes, y 241 personas resultaron con lesiones oculares a causa de disparos de balines de escopeta anti-disturbios por fuerzas especiales de carabineros. También se constató una serie de violaciones de derechos humanos contra las personas detenidas y retenidas en comisarías. La más frecuente de estas fue el uso excesivo de la fuerza durante la detención, con 751 casos. En total, se registraron 190 casos de acoso o violencia sexual, 171 de ellos correspondientes a desnudamientos. </w:t>
      </w:r>
    </w:p>
  </w:footnote>
  <w:footnote w:id="14">
    <w:p w14:paraId="723DB55B" w14:textId="30CE5555" w:rsidR="00E61542" w:rsidRPr="003E4533" w:rsidRDefault="00E61542" w:rsidP="003E4533">
      <w:pPr>
        <w:pStyle w:val="Textonotapie"/>
        <w:jc w:val="both"/>
        <w:rPr>
          <w:rFonts w:ascii="Times New Roman" w:hAnsi="Times New Roman" w:cs="Times New Roman"/>
          <w:sz w:val="18"/>
          <w:szCs w:val="18"/>
          <w:lang w:val="es-CL"/>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Producto de diversas irregularidades en Carabineros la Cámara de Diputados ha creado una serie de</w:t>
      </w:r>
      <w:r w:rsidRPr="003E4533">
        <w:rPr>
          <w:rFonts w:ascii="Times New Roman" w:hAnsi="Times New Roman" w:cs="Times New Roman"/>
          <w:sz w:val="18"/>
          <w:szCs w:val="18"/>
          <w:lang w:val="es-CL"/>
        </w:rPr>
        <w:t xml:space="preserve"> comisiones investigadoras especiales (CEI) en virtud de sus facultades fiscalizadores contempladas en la Constitución Política de Chile en su artículo 54 N°1. Consultar en: </w:t>
      </w:r>
    </w:p>
    <w:p w14:paraId="72E6F50F" w14:textId="17D57031" w:rsidR="00E61542" w:rsidRPr="003E4533" w:rsidRDefault="00E61542" w:rsidP="003E4533">
      <w:pPr>
        <w:pStyle w:val="Textonotapie"/>
        <w:jc w:val="both"/>
        <w:rPr>
          <w:rFonts w:ascii="Times New Roman" w:hAnsi="Times New Roman" w:cs="Times New Roman"/>
          <w:sz w:val="18"/>
          <w:szCs w:val="18"/>
          <w:lang w:val="es-CL"/>
        </w:rPr>
      </w:pPr>
      <w:hyperlink r:id="rId9" w:history="1">
        <w:r w:rsidRPr="003E4533">
          <w:rPr>
            <w:rFonts w:ascii="Times New Roman" w:hAnsi="Times New Roman" w:cs="Times New Roman"/>
            <w:color w:val="0000FF"/>
            <w:sz w:val="18"/>
            <w:szCs w:val="18"/>
            <w:u w:val="single"/>
          </w:rPr>
          <w:t>https://www.camara.cl/trabajamos/comisiones_tipo.aspx?prmT=I</w:t>
        </w:r>
      </w:hyperlink>
    </w:p>
  </w:footnote>
  <w:footnote w:id="15">
    <w:p w14:paraId="2E412972" w14:textId="7C6EDA6D" w:rsidR="00E61542" w:rsidRPr="003E4533" w:rsidRDefault="00E61542" w:rsidP="003E4533">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r>
        <w:rPr>
          <w:rFonts w:ascii="Times New Roman" w:hAnsi="Times New Roman" w:cs="Times New Roman"/>
          <w:sz w:val="18"/>
          <w:szCs w:val="18"/>
        </w:rPr>
        <w:t>Ver Nota al pie N°9</w:t>
      </w:r>
      <w:r w:rsidRPr="003E4533">
        <w:rPr>
          <w:rFonts w:ascii="Times New Roman" w:hAnsi="Times New Roman" w:cs="Times New Roman"/>
          <w:sz w:val="18"/>
          <w:szCs w:val="18"/>
        </w:rPr>
        <w:t xml:space="preserve"> y el “Informe sobre la Misión a Chile 30 de octubre – 22 de noviembre de 2019” en </w:t>
      </w:r>
      <w:hyperlink r:id="rId10" w:history="1">
        <w:r w:rsidRPr="003E4533">
          <w:rPr>
            <w:rStyle w:val="Hipervnculo"/>
            <w:rFonts w:ascii="Times New Roman" w:hAnsi="Times New Roman" w:cs="Times New Roman"/>
            <w:sz w:val="18"/>
            <w:szCs w:val="18"/>
          </w:rPr>
          <w:t>https://www.ohchr.org/Documents/Countries/CL/Report_Chile_2019_SP.pdf</w:t>
        </w:r>
      </w:hyperlink>
    </w:p>
  </w:footnote>
  <w:footnote w:id="16">
    <w:p w14:paraId="54E3DDED" w14:textId="39F20BCF" w:rsidR="00E61542" w:rsidRPr="003E4533" w:rsidRDefault="00E61542" w:rsidP="003E4533">
      <w:pPr>
        <w:spacing w:after="0" w:line="240" w:lineRule="auto"/>
        <w:jc w:val="both"/>
        <w:rPr>
          <w:rFonts w:ascii="Times New Roman" w:eastAsia="Times New Roman" w:hAnsi="Times New Roman" w:cs="Times New Roman"/>
          <w:sz w:val="18"/>
          <w:szCs w:val="18"/>
          <w:lang w:eastAsia="es-MX"/>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La </w:t>
      </w:r>
      <w:r w:rsidRPr="003E4533">
        <w:rPr>
          <w:rFonts w:ascii="Times New Roman" w:eastAsia="Times New Roman" w:hAnsi="Times New Roman" w:cs="Times New Roman"/>
          <w:sz w:val="18"/>
          <w:szCs w:val="18"/>
          <w:lang w:eastAsia="es-MX"/>
        </w:rPr>
        <w:t xml:space="preserve">reforma constitucional está regulada por la Ley 21.200 publicada el día 24 de diciembre de 2019 en el Diario Oficial de Chile.          </w:t>
      </w:r>
    </w:p>
  </w:footnote>
  <w:footnote w:id="17">
    <w:p w14:paraId="6CECFF01" w14:textId="77777777" w:rsidR="00E61542" w:rsidRPr="003E4533" w:rsidRDefault="00E61542" w:rsidP="003E4533">
      <w:pPr>
        <w:pStyle w:val="Textonotapie"/>
        <w:jc w:val="both"/>
        <w:rPr>
          <w:rFonts w:ascii="Times New Roman" w:hAnsi="Times New Roman" w:cs="Times New Roman"/>
          <w:sz w:val="18"/>
          <w:szCs w:val="18"/>
          <w:lang w:val="es-CL"/>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r w:rsidRPr="003E4533">
        <w:rPr>
          <w:rFonts w:ascii="Times New Roman" w:eastAsia="Times New Roman" w:hAnsi="Times New Roman" w:cs="Times New Roman"/>
          <w:sz w:val="18"/>
          <w:szCs w:val="18"/>
          <w:lang w:eastAsia="es-MX"/>
        </w:rPr>
        <w:t>Parte importante de la doctrina de la subsidiariedad presente en la vida nacional se refleja en el artículo 19 N° 21 en su inciso segundo que dispone que “El Estado y sus organismos podrán desarrollar actividades empresariales o participar en ellas solo si una ley de quorum calificado los autoriza.</w:t>
      </w:r>
      <w:r w:rsidRPr="003E4533">
        <w:rPr>
          <w:rFonts w:ascii="Times New Roman" w:hAnsi="Times New Roman" w:cs="Times New Roman"/>
          <w:sz w:val="18"/>
          <w:szCs w:val="18"/>
        </w:rPr>
        <w:t xml:space="preserve"> Así, El artículo 66 de la Constitución Política de la República de Chile establece en su inciso 3° “Las normas legales de quórum calificado se establecerán, modificarán o derogarán por la mayoría absoluta de los diputados y senadores en ejercicio.”</w:t>
      </w:r>
    </w:p>
  </w:footnote>
  <w:footnote w:id="18">
    <w:p w14:paraId="21171F87" w14:textId="7D5E6723" w:rsidR="00E61542" w:rsidRPr="00931DC6" w:rsidRDefault="00E61542" w:rsidP="003E4533">
      <w:pPr>
        <w:pStyle w:val="Textonotapie"/>
        <w:rPr>
          <w:rFonts w:ascii="Times New Roman" w:hAnsi="Times New Roman" w:cs="Times New Roman"/>
          <w:sz w:val="18"/>
          <w:szCs w:val="18"/>
        </w:rPr>
      </w:pPr>
      <w:r w:rsidRPr="00931DC6">
        <w:rPr>
          <w:rStyle w:val="Refdenotaalpie"/>
          <w:rFonts w:ascii="Times New Roman" w:hAnsi="Times New Roman"/>
          <w:sz w:val="18"/>
          <w:szCs w:val="18"/>
        </w:rPr>
        <w:footnoteRef/>
      </w:r>
      <w:r w:rsidRPr="00931DC6">
        <w:rPr>
          <w:rFonts w:ascii="Times New Roman" w:hAnsi="Times New Roman" w:cs="Times New Roman"/>
          <w:sz w:val="18"/>
          <w:szCs w:val="18"/>
        </w:rPr>
        <w:t xml:space="preserve"> </w:t>
      </w:r>
      <w:r w:rsidRPr="003E4533">
        <w:rPr>
          <w:rFonts w:ascii="Times New Roman" w:hAnsi="Times New Roman" w:cs="Times New Roman"/>
          <w:sz w:val="18"/>
          <w:szCs w:val="18"/>
          <w:lang w:val="es-CL"/>
        </w:rPr>
        <w:t xml:space="preserve"> </w:t>
      </w:r>
      <w:r>
        <w:rPr>
          <w:rFonts w:ascii="Times New Roman" w:hAnsi="Times New Roman" w:cs="Times New Roman"/>
          <w:sz w:val="18"/>
          <w:szCs w:val="18"/>
          <w:lang w:val="es-CL"/>
        </w:rPr>
        <w:t xml:space="preserve">PNUD, </w:t>
      </w:r>
      <w:r w:rsidRPr="003E4533">
        <w:rPr>
          <w:rFonts w:ascii="Times New Roman" w:hAnsi="Times New Roman" w:cs="Times New Roman"/>
          <w:sz w:val="18"/>
          <w:szCs w:val="18"/>
          <w:lang w:val="es-CL"/>
        </w:rPr>
        <w:t>Desiguales: orígenes, cambios y desafíos de la brecha social en Chile</w:t>
      </w:r>
      <w:r>
        <w:rPr>
          <w:rFonts w:ascii="Times New Roman" w:hAnsi="Times New Roman" w:cs="Times New Roman"/>
          <w:sz w:val="18"/>
          <w:szCs w:val="18"/>
          <w:lang w:val="es-CL"/>
        </w:rPr>
        <w:t xml:space="preserve">, 2015, </w:t>
      </w:r>
      <w:r w:rsidRPr="003E4533">
        <w:rPr>
          <w:rFonts w:ascii="Times New Roman" w:hAnsi="Times New Roman" w:cs="Times New Roman"/>
          <w:sz w:val="18"/>
          <w:szCs w:val="18"/>
          <w:lang w:val="es-CL"/>
        </w:rPr>
        <w:t xml:space="preserve"> pág. 195</w:t>
      </w:r>
      <w:r>
        <w:rPr>
          <w:rFonts w:ascii="Times New Roman" w:hAnsi="Times New Roman" w:cs="Times New Roman"/>
          <w:sz w:val="18"/>
          <w:szCs w:val="18"/>
          <w:lang w:val="es-CL"/>
        </w:rPr>
        <w:t>, en:</w:t>
      </w:r>
      <w:r w:rsidRPr="003E4533">
        <w:rPr>
          <w:rFonts w:ascii="Times New Roman" w:hAnsi="Times New Roman" w:cs="Times New Roman"/>
          <w:sz w:val="18"/>
          <w:szCs w:val="18"/>
          <w:lang w:val="es-CL"/>
        </w:rPr>
        <w:t xml:space="preserve"> </w:t>
      </w:r>
      <w:hyperlink r:id="rId11" w:history="1">
        <w:r w:rsidRPr="003E4533">
          <w:rPr>
            <w:rStyle w:val="Hipervnculo"/>
            <w:rFonts w:ascii="Times New Roman" w:hAnsi="Times New Roman" w:cs="Times New Roman"/>
            <w:sz w:val="18"/>
            <w:szCs w:val="18"/>
          </w:rPr>
          <w:t>https://www.undp.org/content/dam/chile/docs/pobreza/undp_cl_pobreza-Libro-DESIGUALES-final.pdf</w:t>
        </w:r>
      </w:hyperlink>
    </w:p>
  </w:footnote>
  <w:footnote w:id="19">
    <w:p w14:paraId="5AFFC033" w14:textId="33C3C97C" w:rsidR="00E61542" w:rsidRPr="00A96997" w:rsidRDefault="00E61542" w:rsidP="00931DC6">
      <w:pPr>
        <w:pStyle w:val="Textonotapie"/>
        <w:jc w:val="both"/>
        <w:rPr>
          <w:rFonts w:ascii="Times New Roman" w:hAnsi="Times New Roman" w:cs="Times New Roman"/>
          <w:sz w:val="18"/>
          <w:szCs w:val="18"/>
          <w:lang w:val="es-CL"/>
        </w:rPr>
      </w:pPr>
      <w:r w:rsidRPr="00A96997">
        <w:rPr>
          <w:rStyle w:val="Refdenotaalpie"/>
          <w:rFonts w:ascii="Times New Roman" w:hAnsi="Times New Roman"/>
          <w:sz w:val="18"/>
          <w:szCs w:val="18"/>
        </w:rPr>
        <w:footnoteRef/>
      </w:r>
      <w:r w:rsidRPr="00A96997">
        <w:rPr>
          <w:rFonts w:ascii="Times New Roman" w:hAnsi="Times New Roman" w:cs="Times New Roman"/>
          <w:sz w:val="18"/>
          <w:szCs w:val="18"/>
        </w:rPr>
        <w:t xml:space="preserve"> </w:t>
      </w:r>
      <w:r w:rsidRPr="00A96997">
        <w:rPr>
          <w:rFonts w:ascii="Times New Roman" w:eastAsia="Times New Roman" w:hAnsi="Times New Roman" w:cs="Times New Roman"/>
          <w:sz w:val="18"/>
          <w:szCs w:val="18"/>
          <w:lang w:eastAsia="es-MX"/>
        </w:rPr>
        <w:t>Respecto al derecho de propiedad, el profesor Pablo Ruiz Tagle indica “... la concepción de los derechos fundamentales anterior a 1973 pensaba el derecho de propiedad como un derecho económico y social. La nueva carta fundamental convierte a la propiedad en una libertad. Así, el art. 19 N°23 establece: “La Constitución asegura a todas las personas: La libertad para adquirir toda clase de bienes.” Por su parte, los tradicionales derechos económicos sociales y culturales, como la salud, la educación y el trabajo se reformulan enfatizándose en ellos el aspecto de la libre elección.”</w:t>
      </w:r>
      <w:r w:rsidRPr="00A96997">
        <w:rPr>
          <w:rFonts w:ascii="Times New Roman" w:hAnsi="Times New Roman" w:cs="Times New Roman"/>
          <w:sz w:val="18"/>
          <w:szCs w:val="18"/>
        </w:rPr>
        <w:t xml:space="preserve"> Ruiz Tagle, P., “</w:t>
      </w:r>
      <w:r w:rsidRPr="00A96997">
        <w:rPr>
          <w:rFonts w:ascii="Times New Roman" w:hAnsi="Times New Roman" w:cs="Times New Roman"/>
          <w:i/>
          <w:sz w:val="18"/>
          <w:szCs w:val="18"/>
        </w:rPr>
        <w:t>La República en Chile”</w:t>
      </w:r>
      <w:r w:rsidRPr="00A96997">
        <w:rPr>
          <w:rFonts w:ascii="Times New Roman" w:hAnsi="Times New Roman" w:cs="Times New Roman"/>
          <w:sz w:val="18"/>
          <w:szCs w:val="18"/>
        </w:rPr>
        <w:t>, 2006, Lom Ediciones, Santiago, p 205.</w:t>
      </w:r>
    </w:p>
  </w:footnote>
  <w:footnote w:id="20">
    <w:p w14:paraId="207D41AA" w14:textId="12BE6FE1" w:rsidR="00E61542" w:rsidRPr="00A96997" w:rsidRDefault="00E61542" w:rsidP="00931DC6">
      <w:pPr>
        <w:pStyle w:val="Textonotapie"/>
        <w:jc w:val="both"/>
        <w:rPr>
          <w:rFonts w:ascii="Times New Roman" w:hAnsi="Times New Roman" w:cs="Times New Roman"/>
          <w:sz w:val="18"/>
          <w:szCs w:val="18"/>
        </w:rPr>
      </w:pPr>
      <w:r w:rsidRPr="00A96997">
        <w:rPr>
          <w:rStyle w:val="Refdenotaalpie"/>
          <w:rFonts w:ascii="Times New Roman" w:hAnsi="Times New Roman"/>
          <w:sz w:val="18"/>
          <w:szCs w:val="18"/>
        </w:rPr>
        <w:footnoteRef/>
      </w:r>
      <w:r w:rsidRPr="00A96997">
        <w:rPr>
          <w:rFonts w:ascii="Times New Roman" w:hAnsi="Times New Roman" w:cs="Times New Roman"/>
          <w:sz w:val="18"/>
          <w:szCs w:val="18"/>
        </w:rPr>
        <w:t xml:space="preserve"> Se han realizado en Chile numerosas modificaciones al texto original, específicamente los años 1989, 1991, 1994, 1997, 1999, 2000, 2001, 2003, 2005, 2007, 2008, 2009, 2010, 2011, 2012.</w:t>
      </w:r>
    </w:p>
  </w:footnote>
  <w:footnote w:id="21">
    <w:p w14:paraId="004CE822" w14:textId="0E4E0C9F" w:rsidR="00E61542" w:rsidRPr="003E4533" w:rsidRDefault="00E61542" w:rsidP="003E4533">
      <w:pPr>
        <w:pStyle w:val="Textonotapie"/>
        <w:jc w:val="both"/>
        <w:rPr>
          <w:rFonts w:ascii="Times New Roman" w:hAnsi="Times New Roman" w:cs="Times New Roman"/>
          <w:sz w:val="18"/>
          <w:szCs w:val="18"/>
          <w:lang w:val="es-CL"/>
        </w:rPr>
      </w:pPr>
      <w:r w:rsidRPr="00A96997">
        <w:rPr>
          <w:rStyle w:val="Refdenotaalpie"/>
          <w:rFonts w:ascii="Times New Roman" w:hAnsi="Times New Roman"/>
          <w:sz w:val="18"/>
          <w:szCs w:val="18"/>
        </w:rPr>
        <w:footnoteRef/>
      </w:r>
      <w:r w:rsidRPr="00A96997">
        <w:rPr>
          <w:rFonts w:ascii="Times New Roman" w:hAnsi="Times New Roman" w:cs="Times New Roman"/>
          <w:sz w:val="18"/>
          <w:szCs w:val="18"/>
        </w:rPr>
        <w:t xml:space="preserve"> Art. 5.2 </w:t>
      </w:r>
      <w:r>
        <w:rPr>
          <w:rFonts w:ascii="Times New Roman" w:hAnsi="Times New Roman" w:cs="Times New Roman"/>
          <w:sz w:val="18"/>
          <w:szCs w:val="18"/>
        </w:rPr>
        <w:t>CPR</w:t>
      </w:r>
      <w:r w:rsidRPr="00A96997">
        <w:rPr>
          <w:rFonts w:ascii="Times New Roman" w:eastAsia="Times New Roman" w:hAnsi="Times New Roman" w:cs="Times New Roman"/>
          <w:sz w:val="18"/>
          <w:szCs w:val="18"/>
          <w:lang w:eastAsia="es-MX"/>
        </w:rPr>
        <w:t>: “El ejercicio de la soberanía reconoce como limitación el respeto a los derechos esenciales que emanan de la naturaleza humana. Es deber de los órganos del Estado respetar y promover tales derechos, garantizados por esta Constitución, así como por los tratados internacionales ratificados por Chile y que se encuentren vigentes”.</w:t>
      </w:r>
    </w:p>
  </w:footnote>
  <w:footnote w:id="22">
    <w:p w14:paraId="21721DDF" w14:textId="3D71BCA4" w:rsidR="00E61542" w:rsidRPr="00931DC6" w:rsidRDefault="00E61542" w:rsidP="003E4533">
      <w:pPr>
        <w:pStyle w:val="Textonotapie"/>
        <w:jc w:val="both"/>
        <w:rPr>
          <w:rFonts w:ascii="Times New Roman" w:hAnsi="Times New Roman" w:cs="Times New Roman"/>
          <w:sz w:val="18"/>
          <w:szCs w:val="18"/>
          <w:lang w:val="es-ES"/>
        </w:rPr>
      </w:pPr>
      <w:r w:rsidRPr="00931DC6">
        <w:rPr>
          <w:rStyle w:val="Refdenotaalpie"/>
          <w:rFonts w:ascii="Times New Roman" w:hAnsi="Times New Roman"/>
          <w:sz w:val="18"/>
          <w:szCs w:val="18"/>
        </w:rPr>
        <w:footnoteRef/>
      </w:r>
      <w:r w:rsidRPr="00931DC6">
        <w:rPr>
          <w:rFonts w:ascii="Times New Roman" w:hAnsi="Times New Roman" w:cs="Times New Roman"/>
          <w:sz w:val="18"/>
          <w:szCs w:val="18"/>
        </w:rPr>
        <w:t xml:space="preserve"> </w:t>
      </w:r>
      <w:r w:rsidRPr="00931DC6">
        <w:rPr>
          <w:rFonts w:ascii="Times New Roman" w:hAnsi="Times New Roman" w:cs="Times New Roman"/>
          <w:sz w:val="18"/>
          <w:szCs w:val="18"/>
          <w:lang w:val="es-CL"/>
        </w:rPr>
        <w:t>El informe señala “</w:t>
      </w:r>
      <w:r w:rsidRPr="00931DC6">
        <w:rPr>
          <w:rFonts w:ascii="Times New Roman" w:eastAsia="Times New Roman" w:hAnsi="Times New Roman" w:cs="Times New Roman"/>
          <w:sz w:val="18"/>
          <w:szCs w:val="18"/>
          <w:lang w:eastAsia="es-MX"/>
        </w:rPr>
        <w:t>El inciso segundo del citado artículo quinto de la Constitución dice “El ejercicio de la soberanía reconoce como limitación el respeto a los derechos esenciales que emanan de la naturaleza humana. Es deber de los órganos del Estado respetar y promover tales derechos, garantizados por esta Constitución, así como por los tratados internacionales ratificados por Chile y que se encuentren vigentes”</w:t>
      </w:r>
      <w:r w:rsidRPr="00931DC6">
        <w:rPr>
          <w:rFonts w:ascii="Times New Roman" w:hAnsi="Times New Roman" w:cs="Times New Roman"/>
          <w:sz w:val="18"/>
          <w:szCs w:val="18"/>
        </w:rPr>
        <w:t xml:space="preserve"> Informe del Relator Especial sobre la extrema pobreza y los derechos humanos sobre su misión a Chile. </w:t>
      </w:r>
      <w:r>
        <w:rPr>
          <w:rFonts w:ascii="Times New Roman" w:hAnsi="Times New Roman" w:cs="Times New Roman"/>
          <w:sz w:val="18"/>
          <w:szCs w:val="18"/>
          <w:lang w:val="es-ES"/>
        </w:rPr>
        <w:t xml:space="preserve">8 de abril de 2016, </w:t>
      </w:r>
      <w:r w:rsidRPr="00931DC6">
        <w:rPr>
          <w:rFonts w:ascii="Times New Roman" w:hAnsi="Times New Roman" w:cs="Times New Roman"/>
          <w:sz w:val="18"/>
          <w:szCs w:val="18"/>
          <w:lang w:val="es-ES"/>
        </w:rPr>
        <w:t>A/HRC/32/31/Add.1 para 25.</w:t>
      </w:r>
    </w:p>
  </w:footnote>
  <w:footnote w:id="23">
    <w:p w14:paraId="31F0AC5C" w14:textId="0F8F90AA" w:rsidR="00E61542" w:rsidRPr="00931DC6" w:rsidRDefault="00E61542" w:rsidP="00931DC6">
      <w:pPr>
        <w:spacing w:after="0" w:line="240" w:lineRule="auto"/>
        <w:jc w:val="both"/>
        <w:rPr>
          <w:rFonts w:ascii="Times New Roman" w:hAnsi="Times New Roman" w:cs="Times New Roman"/>
          <w:sz w:val="18"/>
          <w:szCs w:val="18"/>
        </w:rPr>
      </w:pPr>
      <w:r w:rsidRPr="00931DC6">
        <w:rPr>
          <w:rStyle w:val="Refdenotaalpie"/>
          <w:rFonts w:ascii="Times New Roman" w:hAnsi="Times New Roman"/>
          <w:sz w:val="18"/>
          <w:szCs w:val="18"/>
        </w:rPr>
        <w:footnoteRef/>
      </w:r>
      <w:r w:rsidRPr="00931DC6">
        <w:rPr>
          <w:rFonts w:ascii="Times New Roman" w:hAnsi="Times New Roman" w:cs="Times New Roman"/>
          <w:sz w:val="18"/>
          <w:szCs w:val="18"/>
          <w:lang w:val="es-ES"/>
        </w:rPr>
        <w:t xml:space="preserve"> </w:t>
      </w:r>
      <w:r>
        <w:rPr>
          <w:rFonts w:ascii="Times New Roman" w:hAnsi="Times New Roman" w:cs="Times New Roman"/>
          <w:sz w:val="18"/>
          <w:szCs w:val="18"/>
          <w:lang w:val="es-ES"/>
        </w:rPr>
        <w:t xml:space="preserve">Comité DESC, </w:t>
      </w:r>
      <w:r w:rsidRPr="00931DC6">
        <w:rPr>
          <w:rStyle w:val="nfasis"/>
          <w:rFonts w:ascii="Times New Roman" w:hAnsi="Times New Roman" w:cs="Times New Roman"/>
          <w:i w:val="0"/>
          <w:iCs w:val="0"/>
          <w:sz w:val="18"/>
          <w:szCs w:val="18"/>
          <w:bdr w:val="none" w:sz="0" w:space="0" w:color="auto" w:frame="1"/>
          <w:shd w:val="clear" w:color="auto" w:fill="FFFFFF"/>
        </w:rPr>
        <w:t xml:space="preserve">Observaciones finales </w:t>
      </w:r>
      <w:r>
        <w:rPr>
          <w:rStyle w:val="nfasis"/>
          <w:rFonts w:ascii="Times New Roman" w:hAnsi="Times New Roman" w:cs="Times New Roman"/>
          <w:i w:val="0"/>
          <w:iCs w:val="0"/>
          <w:sz w:val="18"/>
          <w:szCs w:val="18"/>
          <w:bdr w:val="none" w:sz="0" w:space="0" w:color="auto" w:frame="1"/>
          <w:shd w:val="clear" w:color="auto" w:fill="FFFFFF"/>
        </w:rPr>
        <w:t>sobre Chile</w:t>
      </w:r>
      <w:r>
        <w:rPr>
          <w:rFonts w:ascii="Times New Roman" w:hAnsi="Times New Roman" w:cs="Times New Roman"/>
          <w:sz w:val="18"/>
          <w:szCs w:val="18"/>
          <w:bdr w:val="none" w:sz="0" w:space="0" w:color="auto" w:frame="1"/>
          <w:shd w:val="clear" w:color="auto" w:fill="FFFFFF"/>
        </w:rPr>
        <w:t xml:space="preserve">, </w:t>
      </w:r>
      <w:r>
        <w:rPr>
          <w:rStyle w:val="nfasis"/>
          <w:rFonts w:ascii="Times New Roman" w:hAnsi="Times New Roman" w:cs="Times New Roman"/>
          <w:i w:val="0"/>
          <w:iCs w:val="0"/>
          <w:sz w:val="18"/>
          <w:szCs w:val="18"/>
          <w:bdr w:val="none" w:sz="0" w:space="0" w:color="auto" w:frame="1"/>
          <w:shd w:val="clear" w:color="auto" w:fill="FFFFFF"/>
        </w:rPr>
        <w:t xml:space="preserve">1 de diciembre 2004. </w:t>
      </w:r>
      <w:r w:rsidRPr="00931DC6">
        <w:rPr>
          <w:rFonts w:ascii="Times New Roman" w:hAnsi="Times New Roman" w:cs="Times New Roman"/>
          <w:sz w:val="18"/>
          <w:szCs w:val="18"/>
        </w:rPr>
        <w:t xml:space="preserve"> </w:t>
      </w:r>
      <w:r w:rsidRPr="005020C8">
        <w:rPr>
          <w:rFonts w:ascii="Times New Roman" w:hAnsi="Times New Roman" w:cs="Times New Roman"/>
          <w:sz w:val="18"/>
          <w:szCs w:val="18"/>
        </w:rPr>
        <w:t>E/C.12/1/Add.105</w:t>
      </w:r>
      <w:r>
        <w:rPr>
          <w:rFonts w:ascii="Times New Roman" w:hAnsi="Times New Roman" w:cs="Times New Roman"/>
          <w:sz w:val="18"/>
          <w:szCs w:val="18"/>
        </w:rPr>
        <w:t>.</w:t>
      </w:r>
    </w:p>
  </w:footnote>
  <w:footnote w:id="24">
    <w:p w14:paraId="79111E0F" w14:textId="0607773A" w:rsidR="00E61542" w:rsidRPr="00931DC6" w:rsidRDefault="00E61542" w:rsidP="00931DC6">
      <w:pPr>
        <w:pStyle w:val="Ttulo1"/>
        <w:shd w:val="clear" w:color="auto" w:fill="FFFFFF"/>
        <w:spacing w:before="0" w:line="240" w:lineRule="auto"/>
        <w:rPr>
          <w:rFonts w:ascii="Times New Roman" w:eastAsia="Times New Roman" w:hAnsi="Times New Roman" w:cs="Times New Roman"/>
          <w:kern w:val="36"/>
          <w:sz w:val="18"/>
          <w:szCs w:val="18"/>
          <w:lang w:val="es-CL" w:eastAsia="es-CL"/>
        </w:rPr>
      </w:pPr>
      <w:r w:rsidRPr="00A96997">
        <w:rPr>
          <w:rStyle w:val="Refdenotaalpie"/>
          <w:rFonts w:ascii="Times New Roman" w:eastAsiaTheme="minorHAnsi" w:hAnsi="Times New Roman"/>
          <w:color w:val="auto"/>
          <w:sz w:val="18"/>
          <w:szCs w:val="18"/>
        </w:rPr>
        <w:footnoteRef/>
      </w:r>
      <w:r w:rsidRPr="00931DC6">
        <w:rPr>
          <w:rFonts w:ascii="Times New Roman" w:hAnsi="Times New Roman" w:cs="Times New Roman"/>
          <w:sz w:val="18"/>
          <w:szCs w:val="18"/>
          <w:lang w:val="es-ES"/>
        </w:rPr>
        <w:t xml:space="preserve"> </w:t>
      </w:r>
      <w:r w:rsidRPr="00A96997">
        <w:rPr>
          <w:rFonts w:ascii="Times New Roman" w:hAnsi="Times New Roman" w:cs="Times New Roman"/>
          <w:color w:val="auto"/>
          <w:sz w:val="18"/>
          <w:szCs w:val="18"/>
          <w:lang w:val="es-ES"/>
        </w:rPr>
        <w:t xml:space="preserve">Comité DESC, </w:t>
      </w:r>
      <w:r w:rsidRPr="00A96997">
        <w:rPr>
          <w:rStyle w:val="nfasis"/>
          <w:rFonts w:ascii="Times New Roman" w:hAnsi="Times New Roman" w:cs="Times New Roman"/>
          <w:i w:val="0"/>
          <w:iCs w:val="0"/>
          <w:color w:val="auto"/>
          <w:sz w:val="18"/>
          <w:szCs w:val="18"/>
          <w:bdr w:val="none" w:sz="0" w:space="0" w:color="auto" w:frame="1"/>
          <w:shd w:val="clear" w:color="auto" w:fill="FFFFFF"/>
        </w:rPr>
        <w:t xml:space="preserve">Observaciones finales sobre </w:t>
      </w:r>
      <w:r>
        <w:rPr>
          <w:rStyle w:val="nfasis"/>
          <w:rFonts w:ascii="Times New Roman" w:hAnsi="Times New Roman" w:cs="Times New Roman"/>
          <w:i w:val="0"/>
          <w:iCs w:val="0"/>
          <w:color w:val="auto"/>
          <w:sz w:val="18"/>
          <w:szCs w:val="18"/>
          <w:bdr w:val="none" w:sz="0" w:space="0" w:color="auto" w:frame="1"/>
          <w:shd w:val="clear" w:color="auto" w:fill="FFFFFF"/>
        </w:rPr>
        <w:t>Chile</w:t>
      </w:r>
      <w:r>
        <w:rPr>
          <w:rFonts w:ascii="Times New Roman" w:hAnsi="Times New Roman" w:cs="Times New Roman"/>
          <w:color w:val="auto"/>
          <w:sz w:val="18"/>
          <w:szCs w:val="18"/>
          <w:bdr w:val="none" w:sz="0" w:space="0" w:color="auto" w:frame="1"/>
          <w:shd w:val="clear" w:color="auto" w:fill="FFFFFF"/>
        </w:rPr>
        <w:t xml:space="preserve">, </w:t>
      </w:r>
      <w:r w:rsidRPr="00A96997">
        <w:rPr>
          <w:rStyle w:val="nfasis"/>
          <w:rFonts w:ascii="Times New Roman" w:hAnsi="Times New Roman" w:cs="Times New Roman"/>
          <w:i w:val="0"/>
          <w:iCs w:val="0"/>
          <w:color w:val="auto"/>
          <w:sz w:val="18"/>
          <w:szCs w:val="18"/>
          <w:bdr w:val="none" w:sz="0" w:space="0" w:color="auto" w:frame="1"/>
          <w:shd w:val="clear" w:color="auto" w:fill="FFFFFF"/>
        </w:rPr>
        <w:t xml:space="preserve">7 de Julio de 2015. </w:t>
      </w:r>
      <w:r w:rsidRPr="00A96997">
        <w:rPr>
          <w:rFonts w:ascii="Times New Roman" w:hAnsi="Times New Roman" w:cs="Times New Roman"/>
          <w:color w:val="auto"/>
          <w:sz w:val="18"/>
          <w:szCs w:val="18"/>
        </w:rPr>
        <w:t xml:space="preserve"> </w:t>
      </w:r>
      <w:r w:rsidRPr="00A96997">
        <w:rPr>
          <w:rFonts w:ascii="Times New Roman" w:hAnsi="Times New Roman" w:cs="Times New Roman"/>
          <w:color w:val="auto"/>
          <w:sz w:val="18"/>
          <w:szCs w:val="18"/>
          <w:bdr w:val="none" w:sz="0" w:space="0" w:color="auto" w:frame="1"/>
          <w:shd w:val="clear" w:color="auto" w:fill="FFFFFF"/>
        </w:rPr>
        <w:t>E/C.12/CHL/CO/4</w:t>
      </w:r>
      <w:r>
        <w:rPr>
          <w:rFonts w:ascii="Times New Roman" w:hAnsi="Times New Roman" w:cs="Times New Roman"/>
          <w:color w:val="auto"/>
          <w:sz w:val="18"/>
          <w:szCs w:val="18"/>
          <w:bdr w:val="none" w:sz="0" w:space="0" w:color="auto" w:frame="1"/>
          <w:shd w:val="clear" w:color="auto" w:fill="FFFFFF"/>
        </w:rPr>
        <w:t>.</w:t>
      </w:r>
    </w:p>
  </w:footnote>
  <w:footnote w:id="25">
    <w:p w14:paraId="20BB2115" w14:textId="2489AD70" w:rsidR="00E61542" w:rsidRPr="00931DC6" w:rsidRDefault="00E61542" w:rsidP="00931DC6">
      <w:pPr>
        <w:pStyle w:val="Textonotapie"/>
        <w:jc w:val="both"/>
        <w:rPr>
          <w:rFonts w:ascii="Times New Roman" w:hAnsi="Times New Roman" w:cs="Times New Roman"/>
          <w:sz w:val="18"/>
          <w:szCs w:val="18"/>
          <w:lang w:val="es-CL"/>
        </w:rPr>
      </w:pPr>
      <w:bookmarkStart w:id="3" w:name="_Hlk28266133"/>
      <w:r w:rsidRPr="00931DC6">
        <w:rPr>
          <w:rStyle w:val="Refdenotaalpie"/>
          <w:rFonts w:ascii="Times New Roman" w:hAnsi="Times New Roman"/>
          <w:sz w:val="18"/>
          <w:szCs w:val="18"/>
        </w:rPr>
        <w:footnoteRef/>
      </w:r>
      <w:r w:rsidRPr="00931DC6">
        <w:rPr>
          <w:rFonts w:ascii="Times New Roman" w:hAnsi="Times New Roman" w:cs="Times New Roman"/>
          <w:sz w:val="18"/>
          <w:szCs w:val="18"/>
        </w:rPr>
        <w:t xml:space="preserve"> Informe de la Oficina del Alto Comisionado de las Naciones Un</w:t>
      </w:r>
      <w:r>
        <w:rPr>
          <w:rFonts w:ascii="Times New Roman" w:hAnsi="Times New Roman" w:cs="Times New Roman"/>
          <w:sz w:val="18"/>
          <w:szCs w:val="18"/>
        </w:rPr>
        <w:t>idas para los Derechos Humanos, 16 de noviembre de 2018,</w:t>
      </w:r>
      <w:r w:rsidRPr="00931DC6">
        <w:rPr>
          <w:rFonts w:ascii="Times New Roman" w:hAnsi="Times New Roman" w:cs="Times New Roman"/>
          <w:sz w:val="18"/>
          <w:szCs w:val="18"/>
        </w:rPr>
        <w:t xml:space="preserve"> </w:t>
      </w:r>
      <w:bookmarkEnd w:id="3"/>
      <w:r w:rsidRPr="00931DC6">
        <w:rPr>
          <w:rFonts w:ascii="Times New Roman" w:hAnsi="Times New Roman" w:cs="Times New Roman"/>
          <w:sz w:val="18"/>
          <w:szCs w:val="18"/>
        </w:rPr>
        <w:t>A/HRC/WG.6/32/CHL/2</w:t>
      </w:r>
      <w:r>
        <w:rPr>
          <w:rFonts w:ascii="Times New Roman" w:hAnsi="Times New Roman" w:cs="Times New Roman"/>
          <w:sz w:val="18"/>
          <w:szCs w:val="18"/>
        </w:rPr>
        <w:t>.</w:t>
      </w:r>
    </w:p>
  </w:footnote>
  <w:footnote w:id="26">
    <w:p w14:paraId="45F0F161" w14:textId="697AEA59" w:rsidR="00E61542" w:rsidRPr="00931DC6" w:rsidRDefault="00E61542" w:rsidP="00931DC6">
      <w:pPr>
        <w:pStyle w:val="Ttulo1"/>
        <w:shd w:val="clear" w:color="auto" w:fill="FFFFFF"/>
        <w:spacing w:before="0" w:line="240" w:lineRule="auto"/>
        <w:rPr>
          <w:rFonts w:ascii="Times New Roman" w:eastAsia="Times New Roman" w:hAnsi="Times New Roman" w:cs="Times New Roman"/>
          <w:kern w:val="36"/>
          <w:sz w:val="18"/>
          <w:szCs w:val="18"/>
          <w:lang w:val="es-CL" w:eastAsia="es-CL"/>
        </w:rPr>
      </w:pPr>
      <w:r w:rsidRPr="00931DC6">
        <w:rPr>
          <w:rStyle w:val="Refdenotaalpie"/>
          <w:rFonts w:ascii="Times New Roman" w:hAnsi="Times New Roman"/>
          <w:color w:val="auto"/>
          <w:sz w:val="18"/>
          <w:szCs w:val="18"/>
        </w:rPr>
        <w:footnoteRef/>
      </w:r>
      <w:r w:rsidRPr="00931DC6">
        <w:rPr>
          <w:rFonts w:ascii="Times New Roman" w:hAnsi="Times New Roman" w:cs="Times New Roman"/>
          <w:color w:val="auto"/>
          <w:sz w:val="18"/>
          <w:szCs w:val="18"/>
        </w:rPr>
        <w:t xml:space="preserve"> </w:t>
      </w:r>
      <w:r>
        <w:rPr>
          <w:rFonts w:ascii="Times New Roman" w:hAnsi="Times New Roman" w:cs="Times New Roman"/>
          <w:color w:val="auto"/>
          <w:sz w:val="18"/>
          <w:szCs w:val="18"/>
        </w:rPr>
        <w:t xml:space="preserve">Supra (Nº20). </w:t>
      </w:r>
    </w:p>
  </w:footnote>
  <w:footnote w:id="27">
    <w:p w14:paraId="60ABD5F4" w14:textId="77777777" w:rsidR="00E61542" w:rsidRPr="003E4533" w:rsidRDefault="00E61542" w:rsidP="00931DC6">
      <w:pPr>
        <w:pStyle w:val="Textonotapie"/>
        <w:jc w:val="both"/>
        <w:rPr>
          <w:rFonts w:ascii="Times New Roman" w:hAnsi="Times New Roman" w:cs="Times New Roman"/>
          <w:sz w:val="18"/>
          <w:szCs w:val="18"/>
          <w:lang w:val="es-CL"/>
        </w:rPr>
      </w:pPr>
      <w:r w:rsidRPr="00931DC6">
        <w:rPr>
          <w:rStyle w:val="Refdenotaalpie"/>
          <w:rFonts w:ascii="Times New Roman" w:hAnsi="Times New Roman"/>
          <w:sz w:val="18"/>
          <w:szCs w:val="18"/>
        </w:rPr>
        <w:footnoteRef/>
      </w:r>
      <w:r w:rsidRPr="00931DC6">
        <w:rPr>
          <w:rFonts w:ascii="Times New Roman" w:hAnsi="Times New Roman" w:cs="Times New Roman"/>
          <w:sz w:val="18"/>
          <w:szCs w:val="18"/>
        </w:rPr>
        <w:t xml:space="preserve"> Informe de la Oficina del Alto Comisionado de las Naciones Unidas para los Derechos Humanos. 16/11/2018. A/HRC/WG.6/32/</w:t>
      </w:r>
      <w:r w:rsidRPr="003E4533">
        <w:rPr>
          <w:rFonts w:ascii="Times New Roman" w:hAnsi="Times New Roman" w:cs="Times New Roman"/>
          <w:sz w:val="18"/>
          <w:szCs w:val="18"/>
        </w:rPr>
        <w:tab/>
      </w:r>
    </w:p>
  </w:footnote>
  <w:footnote w:id="28">
    <w:p w14:paraId="08871E93" w14:textId="42AC9976" w:rsidR="00E61542" w:rsidRDefault="00E61542" w:rsidP="003E4533">
      <w:pPr>
        <w:pStyle w:val="Textonotapie"/>
        <w:jc w:val="both"/>
        <w:rPr>
          <w:rFonts w:ascii="Times New Roman" w:hAnsi="Times New Roman" w:cs="Times New Roman"/>
          <w:color w:val="333333"/>
          <w:sz w:val="18"/>
          <w:szCs w:val="18"/>
          <w:shd w:val="clear" w:color="auto" w:fill="FFFFFF"/>
        </w:rPr>
      </w:pPr>
      <w:r w:rsidRPr="00931DC6">
        <w:rPr>
          <w:rStyle w:val="Refdenotaalpie"/>
          <w:rFonts w:ascii="Times New Roman" w:hAnsi="Times New Roman"/>
          <w:sz w:val="18"/>
          <w:szCs w:val="18"/>
        </w:rPr>
        <w:footnoteRef/>
      </w:r>
      <w:r w:rsidRPr="00931DC6">
        <w:rPr>
          <w:rFonts w:ascii="Times New Roman" w:hAnsi="Times New Roman" w:cs="Times New Roman"/>
          <w:sz w:val="18"/>
          <w:szCs w:val="18"/>
          <w:lang w:val="es-CL"/>
        </w:rPr>
        <w:t>Ver estado actual de tramitación legislativa en</w:t>
      </w:r>
      <w:r>
        <w:rPr>
          <w:rFonts w:ascii="Times New Roman" w:hAnsi="Times New Roman" w:cs="Times New Roman"/>
          <w:sz w:val="18"/>
          <w:szCs w:val="18"/>
          <w:lang w:val="es-CL"/>
        </w:rPr>
        <w:t>:</w:t>
      </w:r>
      <w:r w:rsidRPr="00931DC6">
        <w:rPr>
          <w:rFonts w:ascii="Times New Roman" w:hAnsi="Times New Roman" w:cs="Times New Roman"/>
          <w:color w:val="333333"/>
          <w:sz w:val="18"/>
          <w:szCs w:val="18"/>
          <w:shd w:val="clear" w:color="auto" w:fill="FFFFFF"/>
        </w:rPr>
        <w:t xml:space="preserve"> </w:t>
      </w:r>
    </w:p>
    <w:p w14:paraId="3B3BC99B" w14:textId="3C579F4D" w:rsidR="00E61542" w:rsidRPr="00931DC6" w:rsidRDefault="00E61542" w:rsidP="003E4533">
      <w:pPr>
        <w:pStyle w:val="Textonotapie"/>
        <w:jc w:val="both"/>
        <w:rPr>
          <w:rFonts w:ascii="Times New Roman" w:hAnsi="Times New Roman" w:cs="Times New Roman"/>
          <w:sz w:val="18"/>
          <w:szCs w:val="18"/>
          <w:lang w:val="es-CL"/>
        </w:rPr>
      </w:pPr>
      <w:r w:rsidRPr="00931DC6">
        <w:rPr>
          <w:rFonts w:ascii="Times New Roman" w:hAnsi="Times New Roman" w:cs="Times New Roman"/>
          <w:sz w:val="18"/>
          <w:szCs w:val="18"/>
          <w:shd w:val="clear" w:color="auto" w:fill="FFFFFF"/>
        </w:rPr>
        <w:t>http://www.senado.cl/appsenado/templates/tramitacion/index.php?boletin_ini=4087-10</w:t>
      </w:r>
    </w:p>
  </w:footnote>
  <w:footnote w:id="29">
    <w:p w14:paraId="7FB22296" w14:textId="51D42C60" w:rsidR="00E61542" w:rsidRPr="003E4533" w:rsidRDefault="00E61542" w:rsidP="003E4533">
      <w:pPr>
        <w:pStyle w:val="Textonotapie"/>
        <w:jc w:val="both"/>
        <w:rPr>
          <w:rFonts w:ascii="Times New Roman" w:hAnsi="Times New Roman" w:cs="Times New Roman"/>
          <w:sz w:val="18"/>
          <w:szCs w:val="18"/>
          <w:lang w:val="es-CL"/>
        </w:rPr>
      </w:pPr>
      <w:r w:rsidRPr="005020C8">
        <w:rPr>
          <w:rStyle w:val="Refdenotaalpie"/>
          <w:rFonts w:ascii="Times New Roman" w:hAnsi="Times New Roman"/>
          <w:sz w:val="18"/>
          <w:szCs w:val="18"/>
        </w:rPr>
        <w:footnoteRef/>
      </w:r>
      <w:r w:rsidRPr="005020C8">
        <w:rPr>
          <w:rFonts w:ascii="Times New Roman" w:hAnsi="Times New Roman" w:cs="Times New Roman"/>
          <w:sz w:val="18"/>
          <w:szCs w:val="18"/>
        </w:rPr>
        <w:t xml:space="preserve"> </w:t>
      </w:r>
      <w:r>
        <w:rPr>
          <w:rFonts w:ascii="Times New Roman" w:hAnsi="Times New Roman" w:cs="Times New Roman"/>
          <w:sz w:val="18"/>
          <w:szCs w:val="18"/>
          <w:lang w:val="es-CL"/>
        </w:rPr>
        <w:t xml:space="preserve">Ver </w:t>
      </w:r>
      <w:hyperlink r:id="rId12" w:history="1">
        <w:r w:rsidRPr="005020C8">
          <w:rPr>
            <w:rStyle w:val="Hipervnculo"/>
            <w:rFonts w:ascii="Times New Roman" w:hAnsi="Times New Roman" w:cs="Times New Roman"/>
            <w:sz w:val="18"/>
            <w:szCs w:val="18"/>
          </w:rPr>
          <w:t>https://planderechoshumanos.gob.cl/</w:t>
        </w:r>
      </w:hyperlink>
    </w:p>
  </w:footnote>
  <w:footnote w:id="30">
    <w:p w14:paraId="6815662C" w14:textId="234D9C50" w:rsidR="00E61542" w:rsidRPr="005020C8" w:rsidRDefault="00E61542" w:rsidP="003E4533">
      <w:pPr>
        <w:pStyle w:val="Textonotapie"/>
        <w:rPr>
          <w:rFonts w:ascii="Times New Roman" w:hAnsi="Times New Roman" w:cs="Times New Roman"/>
          <w:sz w:val="18"/>
          <w:szCs w:val="18"/>
          <w:lang w:val="es-CL"/>
        </w:rPr>
      </w:pPr>
      <w:r w:rsidRPr="005020C8">
        <w:rPr>
          <w:rStyle w:val="Refdenotaalpie"/>
          <w:rFonts w:ascii="Times New Roman" w:hAnsi="Times New Roman"/>
          <w:sz w:val="18"/>
          <w:szCs w:val="18"/>
        </w:rPr>
        <w:footnoteRef/>
      </w:r>
      <w:r w:rsidRPr="005020C8">
        <w:rPr>
          <w:rFonts w:ascii="Times New Roman" w:hAnsi="Times New Roman" w:cs="Times New Roman"/>
          <w:sz w:val="18"/>
          <w:szCs w:val="18"/>
        </w:rPr>
        <w:t xml:space="preserve"> </w:t>
      </w:r>
      <w:r w:rsidRPr="005020C8">
        <w:rPr>
          <w:rFonts w:ascii="Times New Roman" w:hAnsi="Times New Roman" w:cs="Times New Roman"/>
          <w:sz w:val="18"/>
          <w:szCs w:val="18"/>
          <w:lang w:val="es-CL"/>
        </w:rPr>
        <w:t xml:space="preserve">Ver </w:t>
      </w:r>
      <w:hyperlink r:id="rId13" w:history="1">
        <w:r w:rsidRPr="005020C8">
          <w:rPr>
            <w:rFonts w:ascii="Times New Roman" w:hAnsi="Times New Roman" w:cs="Times New Roman"/>
            <w:color w:val="0000FF"/>
            <w:sz w:val="18"/>
            <w:szCs w:val="18"/>
            <w:u w:val="single"/>
          </w:rPr>
          <w:t>https://planderechoshumanos.gob.cl/tema/Equidad%20territorial</w:t>
        </w:r>
      </w:hyperlink>
    </w:p>
  </w:footnote>
  <w:footnote w:id="31">
    <w:p w14:paraId="5F3A4A85"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Laura Pautassi. La igualdad en espera: el enfoque de género. Lecciones y Ensayos, Nro. 89, 2012.</w:t>
      </w:r>
    </w:p>
  </w:footnote>
  <w:footnote w:id="32">
    <w:p w14:paraId="5A49B638" w14:textId="77777777" w:rsidR="00E61542" w:rsidRPr="003E4533" w:rsidRDefault="00E61542" w:rsidP="005D5785">
      <w:pPr>
        <w:pStyle w:val="Textonotapie"/>
        <w:jc w:val="both"/>
        <w:rPr>
          <w:rFonts w:ascii="Times New Roman" w:hAnsi="Times New Roman" w:cs="Times New Roman"/>
          <w:sz w:val="18"/>
          <w:szCs w:val="18"/>
          <w:lang w:val="es-CL"/>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r w:rsidRPr="003E4533">
        <w:rPr>
          <w:rFonts w:ascii="Times New Roman" w:hAnsi="Times New Roman" w:cs="Times New Roman"/>
          <w:sz w:val="18"/>
          <w:szCs w:val="18"/>
          <w:lang w:val="es-CL"/>
        </w:rPr>
        <w:t>Estos discursos dan cuenta de   rasgos misóginos, racistas, homofóbicos o xenófobos. Una expresión visible es la campaña “contra la ideología de género” que pone en cuestión avances en materias legales que garantizan derechos de las mujeres y las personas LGTBI y, al mismo tiempo, cuestionan las políticas públicas que consideran la igualdad de género, los derechos sexuales y reproductivos, el aborto, la educación sexual y el matrimonio igualitario.</w:t>
      </w:r>
    </w:p>
  </w:footnote>
  <w:footnote w:id="33">
    <w:p w14:paraId="58E07462"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Informe ONU sobre la Misión a Chile 30 de octubre al 22 de noviembre 2019. ACDH.</w:t>
      </w:r>
    </w:p>
  </w:footnote>
  <w:footnote w:id="34">
    <w:p w14:paraId="35DDBEFA"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Ibid.</w:t>
      </w:r>
    </w:p>
  </w:footnote>
  <w:footnote w:id="35">
    <w:p w14:paraId="16F43B77"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Reporte de Acciones Judiciales 30 de diciembre 2019,</w:t>
      </w:r>
    </w:p>
  </w:footnote>
  <w:footnote w:id="36">
    <w:p w14:paraId="3299F203" w14:textId="77777777" w:rsidR="00E61542" w:rsidRPr="003E4533" w:rsidRDefault="00E61542" w:rsidP="005D5785">
      <w:pPr>
        <w:spacing w:line="240" w:lineRule="auto"/>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r w:rsidRPr="003E4533">
        <w:rPr>
          <w:rFonts w:ascii="Times New Roman" w:hAnsi="Times New Roman" w:cs="Times New Roman"/>
          <w:color w:val="000000"/>
          <w:sz w:val="18"/>
          <w:szCs w:val="18"/>
          <w:bdr w:val="none" w:sz="0" w:space="0" w:color="auto" w:frame="1"/>
        </w:rPr>
        <w:t>La XIII Encuesta Nacional de Corporación Humanas, </w:t>
      </w:r>
      <w:r w:rsidRPr="00E93EF4">
        <w:rPr>
          <w:rStyle w:val="Textoennegrita"/>
          <w:rFonts w:ascii="Times New Roman" w:hAnsi="Times New Roman" w:cs="Times New Roman"/>
          <w:b w:val="0"/>
          <w:color w:val="000000"/>
          <w:sz w:val="18"/>
          <w:szCs w:val="18"/>
          <w:bdr w:val="none" w:sz="0" w:space="0" w:color="auto" w:frame="1"/>
        </w:rPr>
        <w:t>Percepciones de las Mujeres sobre su Situación y Condiciones de Vida en Chile 2019</w:t>
      </w:r>
      <w:r w:rsidRPr="00E93EF4">
        <w:rPr>
          <w:rFonts w:ascii="Times New Roman" w:hAnsi="Times New Roman" w:cs="Times New Roman"/>
          <w:b/>
          <w:color w:val="000000"/>
          <w:sz w:val="18"/>
          <w:szCs w:val="18"/>
          <w:bdr w:val="none" w:sz="0" w:space="0" w:color="auto" w:frame="1"/>
        </w:rPr>
        <w:t>.</w:t>
      </w:r>
    </w:p>
  </w:footnote>
  <w:footnote w:id="37">
    <w:p w14:paraId="56E63641" w14:textId="77777777" w:rsidR="00E61542" w:rsidRPr="000C76F4" w:rsidRDefault="00E61542" w:rsidP="005D5785">
      <w:pPr>
        <w:pStyle w:val="Textonotapie"/>
        <w:rPr>
          <w:rFonts w:ascii="Times New Roman" w:hAnsi="Times New Roman" w:cs="Times New Roman"/>
          <w:sz w:val="18"/>
          <w:szCs w:val="18"/>
        </w:rPr>
      </w:pPr>
      <w:r w:rsidRPr="000C76F4">
        <w:rPr>
          <w:rStyle w:val="Refdenotaalpie"/>
          <w:rFonts w:ascii="Times New Roman" w:hAnsi="Times New Roman"/>
          <w:sz w:val="18"/>
          <w:szCs w:val="18"/>
        </w:rPr>
        <w:footnoteRef/>
      </w:r>
      <w:r w:rsidRPr="000C76F4">
        <w:rPr>
          <w:rFonts w:ascii="Times New Roman" w:hAnsi="Times New Roman" w:cs="Times New Roman"/>
          <w:sz w:val="18"/>
          <w:szCs w:val="18"/>
        </w:rPr>
        <w:t xml:space="preserve"> Nelida Archenti La paridad política. CEPAL Serie Mujer y Desarrollo N108. 2011.</w:t>
      </w:r>
    </w:p>
  </w:footnote>
  <w:footnote w:id="38">
    <w:p w14:paraId="58BC3B4C" w14:textId="77777777" w:rsidR="00E61542" w:rsidRPr="000C76F4" w:rsidRDefault="00E61542" w:rsidP="005D5785">
      <w:pPr>
        <w:pStyle w:val="Textonotapie"/>
        <w:rPr>
          <w:rFonts w:ascii="Times New Roman" w:hAnsi="Times New Roman" w:cs="Times New Roman"/>
          <w:sz w:val="18"/>
          <w:szCs w:val="18"/>
        </w:rPr>
      </w:pPr>
      <w:r w:rsidRPr="000C76F4">
        <w:rPr>
          <w:rStyle w:val="Refdenotaalpie"/>
          <w:rFonts w:ascii="Times New Roman" w:hAnsi="Times New Roman"/>
          <w:sz w:val="18"/>
          <w:szCs w:val="18"/>
        </w:rPr>
        <w:footnoteRef/>
      </w:r>
      <w:r w:rsidRPr="000C76F4">
        <w:rPr>
          <w:rFonts w:ascii="Times New Roman" w:hAnsi="Times New Roman" w:cs="Times New Roman"/>
          <w:sz w:val="18"/>
          <w:szCs w:val="18"/>
        </w:rPr>
        <w:t xml:space="preserve"> Informe del Relator Especial sobre la extrema pobreza y los derechos humanos, Magdalena Sepúlveda, A/68/293, de fecha 9 de agosto de 2013. </w:t>
      </w:r>
    </w:p>
  </w:footnote>
  <w:footnote w:id="39">
    <w:p w14:paraId="483BAABA" w14:textId="77777777" w:rsidR="00E61542" w:rsidRPr="000C76F4" w:rsidRDefault="00E61542" w:rsidP="005D5785">
      <w:pPr>
        <w:pStyle w:val="Textonotapie"/>
        <w:rPr>
          <w:rFonts w:ascii="Times New Roman" w:hAnsi="Times New Roman" w:cs="Times New Roman"/>
          <w:sz w:val="18"/>
          <w:szCs w:val="18"/>
        </w:rPr>
      </w:pPr>
      <w:r w:rsidRPr="000C76F4">
        <w:rPr>
          <w:rStyle w:val="Refdenotaalpie"/>
          <w:rFonts w:ascii="Times New Roman" w:hAnsi="Times New Roman"/>
          <w:sz w:val="18"/>
          <w:szCs w:val="18"/>
        </w:rPr>
        <w:footnoteRef/>
      </w:r>
      <w:r w:rsidRPr="000C76F4">
        <w:rPr>
          <w:rFonts w:ascii="Times New Roman" w:hAnsi="Times New Roman" w:cs="Times New Roman"/>
          <w:sz w:val="18"/>
          <w:szCs w:val="18"/>
        </w:rPr>
        <w:t xml:space="preserve"> Ibid. </w:t>
      </w:r>
    </w:p>
  </w:footnote>
  <w:footnote w:id="40">
    <w:p w14:paraId="34116C6D" w14:textId="77777777" w:rsidR="00E61542" w:rsidRPr="003E4533" w:rsidRDefault="00E61542" w:rsidP="005D5785">
      <w:pPr>
        <w:pStyle w:val="Textonotapie"/>
        <w:jc w:val="both"/>
        <w:rPr>
          <w:rFonts w:ascii="Times New Roman" w:hAnsi="Times New Roman" w:cs="Times New Roman"/>
          <w:sz w:val="18"/>
          <w:szCs w:val="18"/>
        </w:rPr>
      </w:pPr>
      <w:r w:rsidRPr="000C76F4">
        <w:rPr>
          <w:rStyle w:val="Refdenotaalpie"/>
          <w:rFonts w:ascii="Times New Roman" w:hAnsi="Times New Roman"/>
          <w:sz w:val="18"/>
          <w:szCs w:val="18"/>
        </w:rPr>
        <w:footnoteRef/>
      </w:r>
      <w:r w:rsidRPr="000C76F4">
        <w:rPr>
          <w:rFonts w:ascii="Times New Roman" w:hAnsi="Times New Roman" w:cs="Times New Roman"/>
          <w:sz w:val="18"/>
          <w:szCs w:val="18"/>
        </w:rPr>
        <w:t xml:space="preserve"> En la X Conferencia Regional sobre la Mujer de América Latina y el Caribe (Quito, 2007), representantes de los gobiernos de la región debatieron sobre el trabajo no remunerado y la carga de los cuidados como una forma de organización social que perjudica el desarrollo de las mujeres y acordaron: “formular y aplicar políticas de Estado que favorezcan la responsabilidad compartida equitativamente entre mujeres y hombres en el ámbito familiar, superando los estereotipos de género, y reconociendo la importancia del cuidado y del trabajo doméstico para la reproducción económica y el bienestar de la sociedad como una de las formas de superar la división sexual del trabajo”. La Agenda 2030 para el Desarrollo Sostenible, se hace cargo de esta preocupación por reconocer y valorar los cuidados no remunerados y el trabajo doméstico mediante la prestación de servicios públicos, la provisión de infraestructura y la formulación de políticas de protección social.</w:t>
      </w:r>
    </w:p>
  </w:footnote>
  <w:footnote w:id="41">
    <w:p w14:paraId="1B7956AF"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Red Chilena contra </w:t>
      </w:r>
      <w:r>
        <w:rPr>
          <w:rFonts w:ascii="Times New Roman" w:hAnsi="Times New Roman" w:cs="Times New Roman"/>
          <w:sz w:val="18"/>
          <w:szCs w:val="18"/>
        </w:rPr>
        <w:t>la Violencia contra las mujeres,</w:t>
      </w:r>
      <w:r w:rsidRPr="004C3FCD">
        <w:rPr>
          <w:rFonts w:ascii="Times New Roman" w:hAnsi="Times New Roman" w:cs="Times New Roman"/>
          <w:sz w:val="18"/>
          <w:szCs w:val="18"/>
        </w:rPr>
        <w:t xml:space="preserve"> </w:t>
      </w:r>
      <w:r>
        <w:rPr>
          <w:rFonts w:ascii="Times New Roman" w:hAnsi="Times New Roman" w:cs="Times New Roman"/>
          <w:sz w:val="18"/>
          <w:szCs w:val="18"/>
        </w:rPr>
        <w:t xml:space="preserve">Dossier 2019 en: </w:t>
      </w:r>
    </w:p>
    <w:p w14:paraId="18FF3D2F" w14:textId="77777777" w:rsidR="00E61542" w:rsidRPr="003E4533" w:rsidRDefault="00E61542" w:rsidP="005D5785">
      <w:pPr>
        <w:pStyle w:val="Textonotapie"/>
        <w:jc w:val="both"/>
        <w:rPr>
          <w:rFonts w:ascii="Times New Roman" w:hAnsi="Times New Roman" w:cs="Times New Roman"/>
          <w:sz w:val="18"/>
          <w:szCs w:val="18"/>
        </w:rPr>
      </w:pPr>
      <w:hyperlink r:id="rId14" w:history="1">
        <w:r w:rsidRPr="003E4533">
          <w:rPr>
            <w:rStyle w:val="Hipervnculo"/>
            <w:rFonts w:ascii="Times New Roman" w:hAnsi="Times New Roman" w:cs="Times New Roman"/>
            <w:sz w:val="18"/>
            <w:szCs w:val="18"/>
          </w:rPr>
          <w:t>http://www.nomasviolenciacontramujeres.cl/wp-content/uploads/2019/09/DOSSIER-2019-1.pdf</w:t>
        </w:r>
      </w:hyperlink>
    </w:p>
  </w:footnote>
  <w:footnote w:id="42">
    <w:p w14:paraId="12DB041A"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Universidad Diego Portale</w:t>
      </w:r>
      <w:r>
        <w:rPr>
          <w:rFonts w:ascii="Times New Roman" w:hAnsi="Times New Roman" w:cs="Times New Roman"/>
          <w:sz w:val="18"/>
          <w:szCs w:val="18"/>
        </w:rPr>
        <w:t>s, I</w:t>
      </w:r>
      <w:r w:rsidRPr="003E4533">
        <w:rPr>
          <w:rFonts w:ascii="Times New Roman" w:hAnsi="Times New Roman" w:cs="Times New Roman"/>
          <w:sz w:val="18"/>
          <w:szCs w:val="18"/>
        </w:rPr>
        <w:t>nforme a</w:t>
      </w:r>
      <w:r>
        <w:rPr>
          <w:rFonts w:ascii="Times New Roman" w:hAnsi="Times New Roman" w:cs="Times New Roman"/>
          <w:sz w:val="18"/>
          <w:szCs w:val="18"/>
        </w:rPr>
        <w:t>nual sobre derechos humanos en C</w:t>
      </w:r>
      <w:r w:rsidRPr="003E4533">
        <w:rPr>
          <w:rFonts w:ascii="Times New Roman" w:hAnsi="Times New Roman" w:cs="Times New Roman"/>
          <w:sz w:val="18"/>
          <w:szCs w:val="18"/>
        </w:rPr>
        <w:t>hile</w:t>
      </w:r>
      <w:r>
        <w:rPr>
          <w:rFonts w:ascii="Times New Roman" w:hAnsi="Times New Roman" w:cs="Times New Roman"/>
          <w:sz w:val="18"/>
          <w:szCs w:val="18"/>
        </w:rPr>
        <w:t>,</w:t>
      </w:r>
      <w:r w:rsidRPr="003E4533">
        <w:rPr>
          <w:rFonts w:ascii="Times New Roman" w:hAnsi="Times New Roman" w:cs="Times New Roman"/>
          <w:sz w:val="18"/>
          <w:szCs w:val="18"/>
        </w:rPr>
        <w:t xml:space="preserve"> 2019</w:t>
      </w:r>
      <w:r>
        <w:rPr>
          <w:rFonts w:ascii="Times New Roman" w:hAnsi="Times New Roman" w:cs="Times New Roman"/>
          <w:sz w:val="18"/>
          <w:szCs w:val="18"/>
        </w:rPr>
        <w:t>.</w:t>
      </w:r>
    </w:p>
  </w:footnote>
  <w:footnote w:id="43">
    <w:p w14:paraId="696E1B12"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Informe Latinoamericano sobre Pobreza y Desigualdad (RIMISP, 2015)</w:t>
      </w:r>
    </w:p>
  </w:footnote>
  <w:footnote w:id="44">
    <w:p w14:paraId="40117514" w14:textId="77777777" w:rsidR="00E61542" w:rsidRPr="003E4533" w:rsidRDefault="00E61542" w:rsidP="005D5785">
      <w:pPr>
        <w:pStyle w:val="Textonotapie"/>
        <w:rPr>
          <w:rFonts w:ascii="Times New Roman" w:hAnsi="Times New Roman" w:cs="Times New Roman"/>
          <w:sz w:val="18"/>
          <w:szCs w:val="18"/>
          <w:lang w:val="es-CL"/>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hyperlink r:id="rId15" w:history="1">
        <w:r w:rsidRPr="004C3FCD">
          <w:rPr>
            <w:rFonts w:ascii="Times New Roman" w:hAnsi="Times New Roman" w:cs="Times New Roman"/>
            <w:color w:val="0000FF"/>
            <w:sz w:val="18"/>
            <w:szCs w:val="18"/>
            <w:u w:val="single"/>
          </w:rPr>
          <w:t>http://observatorio.ministeriodesarrollosocial.gob.cl/casen-multidimensional/casen/casen_2017.php</w:t>
        </w:r>
      </w:hyperlink>
    </w:p>
  </w:footnote>
  <w:footnote w:id="45">
    <w:p w14:paraId="78C55D8C"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La Mesa de Mujer Mapuche es una instancia que reúne a organizaciones de mujeres mapuche de Temuco, académicas del Observatorio de Genero de la Universidad de La Frontera y otras organizaciones de mujeres.</w:t>
      </w:r>
    </w:p>
  </w:footnote>
  <w:footnote w:id="46">
    <w:p w14:paraId="46A2C988"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Observatorio Regional de Equidad en Salud según Género y Pueblo Mapuche, de la Universidad de La Frontera.</w:t>
      </w:r>
    </w:p>
  </w:footnote>
  <w:footnote w:id="47">
    <w:p w14:paraId="77390C9E" w14:textId="08C7D19B"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w:t>
      </w:r>
      <w:r>
        <w:rPr>
          <w:rFonts w:ascii="Times New Roman" w:hAnsi="Times New Roman" w:cs="Times New Roman"/>
          <w:sz w:val="18"/>
          <w:szCs w:val="18"/>
        </w:rPr>
        <w:t xml:space="preserve">Supra (Nº41).  </w:t>
      </w:r>
    </w:p>
  </w:footnote>
  <w:footnote w:id="48">
    <w:p w14:paraId="62A60BEC" w14:textId="77777777" w:rsidR="00E61542" w:rsidRPr="003E4533" w:rsidRDefault="00E61542" w:rsidP="005D5785">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Ibid</w:t>
      </w:r>
    </w:p>
  </w:footnote>
  <w:footnote w:id="49">
    <w:p w14:paraId="4EF6AC84" w14:textId="77777777" w:rsidR="00E61542" w:rsidRPr="006503BB" w:rsidRDefault="00E61542" w:rsidP="003E4533">
      <w:pPr>
        <w:pStyle w:val="Textonotapie"/>
        <w:jc w:val="both"/>
        <w:rPr>
          <w:rFonts w:ascii="Times New Roman" w:hAnsi="Times New Roman" w:cs="Times New Roman"/>
          <w:sz w:val="18"/>
          <w:szCs w:val="18"/>
        </w:rPr>
      </w:pPr>
      <w:r w:rsidRPr="006503BB">
        <w:rPr>
          <w:rStyle w:val="Refdenotaalpie"/>
          <w:rFonts w:ascii="Times New Roman" w:hAnsi="Times New Roman"/>
          <w:sz w:val="18"/>
          <w:szCs w:val="18"/>
        </w:rPr>
        <w:footnoteRef/>
      </w:r>
      <w:r w:rsidRPr="006503BB">
        <w:rPr>
          <w:rFonts w:ascii="Times New Roman" w:hAnsi="Times New Roman" w:cs="Times New Roman"/>
          <w:sz w:val="18"/>
          <w:szCs w:val="18"/>
        </w:rPr>
        <w:t xml:space="preserve"> Artículo 1, Ley N° 19.253 o Ley Indígena, 1993. </w:t>
      </w:r>
    </w:p>
  </w:footnote>
  <w:footnote w:id="50">
    <w:p w14:paraId="684533F8" w14:textId="77777777" w:rsidR="00E61542" w:rsidRPr="006503BB" w:rsidRDefault="00E61542" w:rsidP="003E4533">
      <w:pPr>
        <w:pStyle w:val="Textonotapie"/>
        <w:jc w:val="both"/>
        <w:rPr>
          <w:rFonts w:ascii="Times New Roman" w:hAnsi="Times New Roman" w:cs="Times New Roman"/>
          <w:sz w:val="18"/>
          <w:szCs w:val="18"/>
          <w:vertAlign w:val="subscript"/>
        </w:rPr>
      </w:pPr>
      <w:r w:rsidRPr="006503BB">
        <w:rPr>
          <w:rStyle w:val="Refdenotaalpie"/>
          <w:rFonts w:ascii="Times New Roman" w:hAnsi="Times New Roman"/>
          <w:sz w:val="18"/>
          <w:szCs w:val="18"/>
        </w:rPr>
        <w:footnoteRef/>
      </w:r>
      <w:r w:rsidRPr="006503BB">
        <w:rPr>
          <w:rFonts w:ascii="Times New Roman" w:hAnsi="Times New Roman" w:cs="Times New Roman"/>
          <w:sz w:val="18"/>
          <w:szCs w:val="18"/>
          <w:vertAlign w:val="subscript"/>
        </w:rPr>
        <w:t xml:space="preserve"> </w:t>
      </w:r>
      <w:r w:rsidRPr="006503BB">
        <w:rPr>
          <w:rFonts w:ascii="Times New Roman" w:hAnsi="Times New Roman" w:cs="Times New Roman"/>
          <w:sz w:val="18"/>
          <w:szCs w:val="18"/>
        </w:rPr>
        <w:t>De ellos, el grupo más grande pertenece al pueblo mapuche con 1.754.147 personas (9,9% de la población nacional), seguidos con gran distancia por aimaras (156.754 personas), diaguitas (88.474 personas), quechuas (33.868 personas) y atacameños o licán antai (30.369 personas). En los últimos puestos se encuentra el pueblo polinésico rapa nui (9.399 personas), y los australes pueblos kawésqar (con 3.448 personas), y yagán o yámana (1.600 personas).</w:t>
      </w:r>
      <w:r w:rsidRPr="006503BB">
        <w:rPr>
          <w:rFonts w:ascii="Times New Roman" w:hAnsi="Times New Roman" w:cs="Times New Roman"/>
          <w:sz w:val="18"/>
          <w:szCs w:val="18"/>
          <w:vertAlign w:val="subscript"/>
        </w:rPr>
        <w:t xml:space="preserve"> </w:t>
      </w:r>
    </w:p>
  </w:footnote>
  <w:footnote w:id="51">
    <w:p w14:paraId="068EA846" w14:textId="77777777" w:rsidR="00E61542" w:rsidRPr="006503BB" w:rsidRDefault="00E61542" w:rsidP="003E4533">
      <w:pPr>
        <w:pStyle w:val="Textonotapie"/>
        <w:jc w:val="both"/>
        <w:rPr>
          <w:rFonts w:ascii="Times New Roman" w:hAnsi="Times New Roman" w:cs="Times New Roman"/>
          <w:sz w:val="18"/>
          <w:szCs w:val="18"/>
          <w:vertAlign w:val="subscript"/>
        </w:rPr>
      </w:pPr>
      <w:r w:rsidRPr="006503BB">
        <w:rPr>
          <w:rStyle w:val="Refdenotaalpie"/>
          <w:rFonts w:ascii="Times New Roman" w:hAnsi="Times New Roman"/>
          <w:sz w:val="18"/>
          <w:szCs w:val="18"/>
        </w:rPr>
        <w:footnoteRef/>
      </w:r>
      <w:r w:rsidRPr="006503BB">
        <w:rPr>
          <w:rFonts w:ascii="Times New Roman" w:hAnsi="Times New Roman" w:cs="Times New Roman"/>
          <w:sz w:val="18"/>
          <w:szCs w:val="18"/>
          <w:vertAlign w:val="subscript"/>
        </w:rPr>
        <w:t xml:space="preserve"> </w:t>
      </w:r>
      <w:r w:rsidRPr="006503BB">
        <w:rPr>
          <w:rFonts w:ascii="Times New Roman" w:hAnsi="Times New Roman" w:cs="Times New Roman"/>
          <w:sz w:val="18"/>
          <w:szCs w:val="18"/>
        </w:rPr>
        <w:t xml:space="preserve">La encuesta CASEN es realizada por encargo del Ministerio de Desarrollo Social de Chile, siendo una de las más representativas a nivel país. La pesquisa del año 2017, se basó en la entrevista a 70.948 hogares de zonas urbanas y rurales. Para mayor información, véase: </w:t>
      </w:r>
      <w:hyperlink r:id="rId16" w:history="1">
        <w:r w:rsidRPr="006503BB">
          <w:rPr>
            <w:rFonts w:ascii="Times New Roman" w:hAnsi="Times New Roman" w:cs="Times New Roman"/>
            <w:sz w:val="18"/>
            <w:szCs w:val="18"/>
          </w:rPr>
          <w:t>http://encuestacasen.cl</w:t>
        </w:r>
      </w:hyperlink>
      <w:r w:rsidRPr="006503BB">
        <w:rPr>
          <w:rFonts w:ascii="Times New Roman" w:hAnsi="Times New Roman" w:cs="Times New Roman"/>
          <w:sz w:val="18"/>
          <w:szCs w:val="18"/>
          <w:vertAlign w:val="subscript"/>
        </w:rPr>
        <w:t xml:space="preserve"> </w:t>
      </w:r>
    </w:p>
  </w:footnote>
  <w:footnote w:id="52">
    <w:p w14:paraId="29DA31DD" w14:textId="77777777" w:rsidR="00E61542" w:rsidRPr="003E4533" w:rsidRDefault="00E61542" w:rsidP="003E4533">
      <w:pPr>
        <w:pStyle w:val="Textonotapie"/>
        <w:jc w:val="both"/>
        <w:rPr>
          <w:rFonts w:ascii="Times New Roman" w:hAnsi="Times New Roman" w:cs="Times New Roman"/>
          <w:sz w:val="18"/>
          <w:szCs w:val="18"/>
          <w:vertAlign w:val="subscript"/>
        </w:rPr>
      </w:pPr>
      <w:r w:rsidRPr="006503BB">
        <w:rPr>
          <w:rStyle w:val="Refdenotaalpie"/>
          <w:rFonts w:ascii="Times New Roman" w:hAnsi="Times New Roman"/>
          <w:sz w:val="18"/>
          <w:szCs w:val="18"/>
          <w:vertAlign w:val="subscript"/>
        </w:rPr>
        <w:footnoteRef/>
      </w:r>
      <w:r w:rsidRPr="006503BB">
        <w:rPr>
          <w:rFonts w:ascii="Times New Roman" w:hAnsi="Times New Roman" w:cs="Times New Roman"/>
          <w:sz w:val="18"/>
          <w:szCs w:val="18"/>
          <w:vertAlign w:val="subscript"/>
        </w:rPr>
        <w:t xml:space="preserve"> </w:t>
      </w:r>
      <w:r w:rsidRPr="006503BB">
        <w:rPr>
          <w:rFonts w:ascii="Times New Roman" w:hAnsi="Times New Roman" w:cs="Times New Roman"/>
          <w:sz w:val="18"/>
          <w:szCs w:val="18"/>
        </w:rPr>
        <w:t xml:space="preserve">Para resultados de la encuesta CASEN 2017, véase: </w:t>
      </w:r>
      <w:hyperlink r:id="rId17" w:history="1">
        <w:r w:rsidRPr="006503BB">
          <w:rPr>
            <w:rFonts w:ascii="Times New Roman" w:hAnsi="Times New Roman" w:cs="Times New Roman"/>
            <w:sz w:val="18"/>
            <w:szCs w:val="18"/>
          </w:rPr>
          <w:t>http://observatorio.ministeriodesarrollosocial.gob.cl/casen-multidimensional/casen/docs/Resultados_pobreza_Casen_2017.pdf</w:t>
        </w:r>
      </w:hyperlink>
      <w:r w:rsidRPr="006503BB">
        <w:rPr>
          <w:rFonts w:ascii="Times New Roman" w:hAnsi="Times New Roman" w:cs="Times New Roman"/>
          <w:sz w:val="18"/>
          <w:szCs w:val="18"/>
          <w:vertAlign w:val="subscript"/>
        </w:rPr>
        <w:t xml:space="preserve"> </w:t>
      </w:r>
    </w:p>
  </w:footnote>
  <w:footnote w:id="53">
    <w:p w14:paraId="6E6D354B" w14:textId="34DC6B0B" w:rsidR="00E61542" w:rsidRPr="006503BB" w:rsidRDefault="00E61542" w:rsidP="003E4533">
      <w:pPr>
        <w:pStyle w:val="Textonotapie"/>
        <w:jc w:val="both"/>
        <w:rPr>
          <w:rFonts w:ascii="Times New Roman" w:hAnsi="Times New Roman" w:cs="Times New Roman"/>
          <w:sz w:val="18"/>
          <w:szCs w:val="18"/>
          <w:vertAlign w:val="subscript"/>
        </w:rPr>
      </w:pPr>
      <w:r w:rsidRPr="005915BA">
        <w:rPr>
          <w:rStyle w:val="Refdenotaalpie"/>
          <w:rFonts w:ascii="Times New Roman" w:hAnsi="Times New Roman"/>
          <w:sz w:val="18"/>
          <w:szCs w:val="18"/>
        </w:rPr>
        <w:footnoteRef/>
      </w:r>
      <w:r w:rsidRPr="006503BB">
        <w:rPr>
          <w:rFonts w:ascii="Times New Roman" w:hAnsi="Times New Roman" w:cs="Times New Roman"/>
          <w:sz w:val="18"/>
          <w:szCs w:val="18"/>
        </w:rPr>
        <w:t xml:space="preserve"> Los impactos significativos son aquellos regulados en el artículo 11 de la LBGMA, y que se encuentran desarrollados en los artículos 5 a 10 del Reglamento del SEIA. La generación de alguno de estos impactos significativos hace exigible la evaluación ambiental bajo la modalidad de un EIA, debiendo el titular proponer medidas de mitigación, reparación y/o compensación apropiadas para hacerse cargo de dichos impactos, de lo contrario el proyecto debe ser rechazado por la autoridad ambiental.</w:t>
      </w:r>
      <w:r w:rsidRPr="006503BB">
        <w:rPr>
          <w:rFonts w:ascii="Times New Roman" w:hAnsi="Times New Roman" w:cs="Times New Roman"/>
          <w:sz w:val="18"/>
          <w:szCs w:val="18"/>
          <w:vertAlign w:val="subscript"/>
        </w:rPr>
        <w:t xml:space="preserve"> </w:t>
      </w:r>
    </w:p>
  </w:footnote>
  <w:footnote w:id="54">
    <w:p w14:paraId="6EA27D3F" w14:textId="77777777" w:rsidR="00E61542" w:rsidRPr="005915BA" w:rsidRDefault="00E61542" w:rsidP="005915BA">
      <w:pPr>
        <w:spacing w:after="0" w:line="240" w:lineRule="auto"/>
        <w:jc w:val="both"/>
        <w:rPr>
          <w:rFonts w:ascii="Times New Roman" w:hAnsi="Times New Roman" w:cs="Times New Roman"/>
          <w:sz w:val="18"/>
          <w:szCs w:val="18"/>
        </w:rPr>
      </w:pPr>
      <w:r w:rsidRPr="005915BA">
        <w:rPr>
          <w:rStyle w:val="Refdenotaalpie"/>
          <w:rFonts w:ascii="Times New Roman" w:hAnsi="Times New Roman"/>
          <w:sz w:val="18"/>
          <w:szCs w:val="18"/>
        </w:rPr>
        <w:footnoteRef/>
      </w:r>
      <w:r w:rsidRPr="005915BA">
        <w:rPr>
          <w:rFonts w:ascii="Times New Roman" w:hAnsi="Times New Roman" w:cs="Times New Roman"/>
          <w:sz w:val="18"/>
          <w:szCs w:val="18"/>
        </w:rPr>
        <w:t xml:space="preserve"> Las tierras adquiridas a través de esta modalidad beneficiaron a un total de 3.703 familias, 1.668 en la modalidad de compras individuales y 2.035 familias en modalidad de compras comunitarias, en su mayoría en favor de personas mapuche. Elaboración propia en base a plataforma SITI 08-08-2018, disponible en </w:t>
      </w:r>
      <w:hyperlink r:id="rId18" w:history="1">
        <w:r w:rsidRPr="005915BA">
          <w:rPr>
            <w:rFonts w:ascii="Times New Roman" w:hAnsi="Times New Roman" w:cs="Times New Roman"/>
            <w:sz w:val="18"/>
            <w:szCs w:val="18"/>
          </w:rPr>
          <w:t>http://siic.conadi.cl/</w:t>
        </w:r>
      </w:hyperlink>
      <w:r w:rsidRPr="005915BA">
        <w:rPr>
          <w:rFonts w:ascii="Times New Roman" w:hAnsi="Times New Roman" w:cs="Times New Roman"/>
          <w:sz w:val="18"/>
          <w:szCs w:val="18"/>
        </w:rPr>
        <w:t xml:space="preserve"> Valor de un US dólar es de 720 Pesos Chilenos.</w:t>
      </w:r>
    </w:p>
  </w:footnote>
  <w:footnote w:id="55">
    <w:p w14:paraId="6AABD597" w14:textId="77777777" w:rsidR="00E61542" w:rsidRPr="005915BA" w:rsidRDefault="00E61542" w:rsidP="005915BA">
      <w:pPr>
        <w:spacing w:after="0" w:line="240" w:lineRule="auto"/>
        <w:jc w:val="both"/>
        <w:rPr>
          <w:rFonts w:ascii="Times New Roman" w:hAnsi="Times New Roman" w:cs="Times New Roman"/>
          <w:sz w:val="18"/>
          <w:szCs w:val="18"/>
        </w:rPr>
      </w:pPr>
      <w:r w:rsidRPr="005915BA">
        <w:rPr>
          <w:rStyle w:val="Refdenotaalpie"/>
          <w:rFonts w:ascii="Times New Roman" w:hAnsi="Times New Roman"/>
          <w:sz w:val="18"/>
          <w:szCs w:val="18"/>
        </w:rPr>
        <w:footnoteRef/>
      </w:r>
      <w:r w:rsidRPr="005915BA">
        <w:rPr>
          <w:rFonts w:ascii="Times New Roman" w:hAnsi="Times New Roman" w:cs="Times New Roman"/>
          <w:sz w:val="18"/>
          <w:szCs w:val="18"/>
        </w:rPr>
        <w:t xml:space="preserve"> Elaboración propia en base a  plataforma SITI 08-08-2018, disponible en </w:t>
      </w:r>
      <w:hyperlink r:id="rId19" w:history="1">
        <w:r w:rsidRPr="005915BA">
          <w:rPr>
            <w:rFonts w:ascii="Times New Roman" w:hAnsi="Times New Roman" w:cs="Times New Roman"/>
            <w:sz w:val="18"/>
            <w:szCs w:val="18"/>
          </w:rPr>
          <w:t>http://siic.conadi.cl/</w:t>
        </w:r>
      </w:hyperlink>
    </w:p>
  </w:footnote>
  <w:footnote w:id="56">
    <w:p w14:paraId="5D2DFDDC" w14:textId="77777777" w:rsidR="00E61542" w:rsidRPr="005915BA" w:rsidRDefault="00E61542" w:rsidP="005915BA">
      <w:pPr>
        <w:pStyle w:val="Textonotapie"/>
        <w:jc w:val="both"/>
        <w:rPr>
          <w:rFonts w:ascii="Times New Roman" w:hAnsi="Times New Roman" w:cs="Times New Roman"/>
          <w:sz w:val="18"/>
          <w:szCs w:val="18"/>
        </w:rPr>
      </w:pPr>
      <w:r w:rsidRPr="005915BA">
        <w:rPr>
          <w:rStyle w:val="Refdenotaalpie"/>
          <w:rFonts w:ascii="Times New Roman" w:hAnsi="Times New Roman"/>
          <w:sz w:val="18"/>
          <w:szCs w:val="18"/>
        </w:rPr>
        <w:footnoteRef/>
      </w:r>
      <w:r w:rsidRPr="005915BA">
        <w:rPr>
          <w:rFonts w:ascii="Times New Roman" w:hAnsi="Times New Roman" w:cs="Times New Roman"/>
          <w:sz w:val="18"/>
          <w:szCs w:val="18"/>
        </w:rPr>
        <w:t xml:space="preserve"> La aplicabilidad para dicha compra es requerida por el artículo 6 del Decreto n°395 de 1993 del Ministerio de Planificación y Cooperación (MIDEPLAN) que “Aprueba Reglamento Sobre el Fondo de Tierras y Aguas Indígenas”. Un total de 42 de estas adquisiciones del FTAI en el período corresponden a una regularización de sitios ceremoniales o de significancia cultural que en el proceso de contra reforma agraria quedaron en manos de particulares (indígenas o no indígenas).</w:t>
      </w:r>
    </w:p>
  </w:footnote>
  <w:footnote w:id="57">
    <w:p w14:paraId="4870D25D" w14:textId="0E08AFA2" w:rsidR="00E61542" w:rsidRPr="005915BA" w:rsidRDefault="00E61542" w:rsidP="005915BA">
      <w:pPr>
        <w:pStyle w:val="Textonotapie"/>
        <w:jc w:val="both"/>
        <w:rPr>
          <w:rFonts w:ascii="Times New Roman" w:hAnsi="Times New Roman" w:cs="Times New Roman"/>
          <w:sz w:val="18"/>
          <w:szCs w:val="18"/>
        </w:rPr>
      </w:pPr>
      <w:r w:rsidRPr="005915BA">
        <w:rPr>
          <w:rStyle w:val="Refdenotaalpie"/>
          <w:rFonts w:ascii="Times New Roman" w:hAnsi="Times New Roman"/>
          <w:sz w:val="18"/>
          <w:szCs w:val="18"/>
        </w:rPr>
        <w:footnoteRef/>
      </w:r>
      <w:r w:rsidRPr="005915BA">
        <w:rPr>
          <w:rFonts w:ascii="Times New Roman" w:hAnsi="Times New Roman" w:cs="Times New Roman"/>
          <w:sz w:val="18"/>
          <w:szCs w:val="18"/>
        </w:rPr>
        <w:t xml:space="preserve"> Estos son el Programa de transferencia de tierras fiscales (artículo 21 de la Ley 19.253), mediante títulos permanentes a comunidades indígenas o individuos indígenas. De acuerdo a CONADI, en el periodo 2009-2014 (del que se dispone información) se otorgaron un total de 71.349 hectáreas a 325 comunidades, en su mayoría a comunidades quechua, aymara y colla; y el Programa de regularización de tierras de propiedad anteriormente reconocida a indígenas que se encuentran en situación jurídica precaria. De acuerdo a CONADI el total de tierras regularizadas a través de este programa en el período 2009-2014, del que se dispone información, alcanza a 343, con 69.610 hectáreas, la mayor parte ellas referidas al pueblo aymara, quechua y colla. Elaboración propia en base a antecedentes de CONADI. Disponible en:  </w:t>
      </w:r>
      <w:hyperlink r:id="rId20" w:history="1">
        <w:r w:rsidRPr="005915BA">
          <w:rPr>
            <w:rFonts w:ascii="Times New Roman" w:hAnsi="Times New Roman" w:cs="Times New Roman"/>
            <w:sz w:val="18"/>
            <w:szCs w:val="18"/>
          </w:rPr>
          <w:t>www.conadi.cl</w:t>
        </w:r>
      </w:hyperlink>
      <w:r w:rsidRPr="005915BA">
        <w:rPr>
          <w:rFonts w:ascii="Times New Roman" w:hAnsi="Times New Roman" w:cs="Times New Roman"/>
          <w:sz w:val="18"/>
          <w:szCs w:val="18"/>
        </w:rPr>
        <w:t xml:space="preserve">; Septiembre 2014. </w:t>
      </w:r>
    </w:p>
  </w:footnote>
  <w:footnote w:id="58">
    <w:p w14:paraId="1CE47435" w14:textId="77777777" w:rsidR="00E61542" w:rsidRPr="005915BA" w:rsidRDefault="00E61542" w:rsidP="005915BA">
      <w:pPr>
        <w:spacing w:after="0" w:line="240" w:lineRule="auto"/>
        <w:ind w:left="426" w:hanging="426"/>
        <w:jc w:val="both"/>
        <w:rPr>
          <w:rFonts w:ascii="Times New Roman" w:hAnsi="Times New Roman" w:cs="Times New Roman"/>
          <w:sz w:val="18"/>
          <w:szCs w:val="18"/>
        </w:rPr>
      </w:pPr>
      <w:r w:rsidRPr="005915BA">
        <w:rPr>
          <w:rStyle w:val="Refdenotaalpie"/>
          <w:rFonts w:ascii="Times New Roman" w:hAnsi="Times New Roman"/>
          <w:sz w:val="18"/>
          <w:szCs w:val="18"/>
        </w:rPr>
        <w:footnoteRef/>
      </w:r>
      <w:r w:rsidRPr="005915BA">
        <w:rPr>
          <w:rFonts w:ascii="Times New Roman" w:hAnsi="Times New Roman" w:cs="Times New Roman"/>
          <w:sz w:val="18"/>
          <w:szCs w:val="18"/>
        </w:rPr>
        <w:t xml:space="preserve"> Comisión de Verdad Histórica y Nuevo Trato (2003). Informe de la Comisión de Verdad Histórica y Nuevo Trato con</w:t>
      </w:r>
    </w:p>
    <w:p w14:paraId="2B4313C7" w14:textId="32FC876F" w:rsidR="00E61542" w:rsidRPr="005915BA" w:rsidRDefault="00E61542" w:rsidP="005915BA">
      <w:pPr>
        <w:spacing w:after="0" w:line="240" w:lineRule="auto"/>
        <w:ind w:left="426" w:hanging="426"/>
        <w:jc w:val="both"/>
        <w:rPr>
          <w:rFonts w:ascii="Times New Roman" w:hAnsi="Times New Roman" w:cs="Times New Roman"/>
          <w:sz w:val="18"/>
          <w:szCs w:val="18"/>
        </w:rPr>
      </w:pPr>
      <w:r w:rsidRPr="005915BA">
        <w:rPr>
          <w:rFonts w:ascii="Times New Roman" w:hAnsi="Times New Roman" w:cs="Times New Roman"/>
          <w:sz w:val="18"/>
          <w:szCs w:val="18"/>
        </w:rPr>
        <w:t xml:space="preserve">los pueblos indígenas. </w:t>
      </w:r>
      <w:hyperlink r:id="rId21" w:history="1">
        <w:r w:rsidRPr="005915BA">
          <w:rPr>
            <w:rFonts w:ascii="Times New Roman" w:hAnsi="Times New Roman" w:cs="Times New Roman"/>
            <w:sz w:val="18"/>
            <w:szCs w:val="18"/>
          </w:rPr>
          <w:t>http://bibliotecadigital.indh.cl/handle/123456789/268</w:t>
        </w:r>
      </w:hyperlink>
    </w:p>
  </w:footnote>
  <w:footnote w:id="59">
    <w:p w14:paraId="616F8D7A" w14:textId="277E7FD5" w:rsidR="00E61542" w:rsidRDefault="00E61542" w:rsidP="005915BA">
      <w:pPr>
        <w:spacing w:after="0" w:line="240" w:lineRule="auto"/>
        <w:jc w:val="both"/>
        <w:rPr>
          <w:rFonts w:ascii="Times New Roman" w:hAnsi="Times New Roman" w:cs="Times New Roman"/>
          <w:sz w:val="18"/>
          <w:szCs w:val="18"/>
        </w:rPr>
      </w:pPr>
      <w:r w:rsidRPr="005915BA">
        <w:rPr>
          <w:rStyle w:val="Refdenotaalpie"/>
          <w:rFonts w:ascii="Times New Roman" w:hAnsi="Times New Roman"/>
          <w:sz w:val="18"/>
          <w:szCs w:val="18"/>
        </w:rPr>
        <w:footnoteRef/>
      </w:r>
      <w:r>
        <w:rPr>
          <w:rFonts w:ascii="Times New Roman" w:hAnsi="Times New Roman" w:cs="Times New Roman"/>
          <w:sz w:val="18"/>
          <w:szCs w:val="18"/>
        </w:rPr>
        <w:t xml:space="preserve"> </w:t>
      </w:r>
      <w:r w:rsidRPr="005915BA">
        <w:rPr>
          <w:rFonts w:ascii="Times New Roman" w:hAnsi="Times New Roman" w:cs="Times New Roman"/>
          <w:sz w:val="18"/>
          <w:szCs w:val="18"/>
        </w:rPr>
        <w:t xml:space="preserve">Elaboración propia en base a Dirección de Presupuesto a </w:t>
      </w:r>
      <w:r>
        <w:rPr>
          <w:rFonts w:ascii="Times New Roman" w:hAnsi="Times New Roman" w:cs="Times New Roman"/>
          <w:sz w:val="18"/>
          <w:szCs w:val="18"/>
        </w:rPr>
        <w:t>fecha 02-09-2018, disponible en:</w:t>
      </w:r>
    </w:p>
    <w:p w14:paraId="475A728A" w14:textId="4F82A137" w:rsidR="00E61542" w:rsidRPr="005915BA" w:rsidRDefault="00E61542" w:rsidP="005915BA">
      <w:pPr>
        <w:spacing w:after="0" w:line="240" w:lineRule="auto"/>
        <w:jc w:val="both"/>
        <w:rPr>
          <w:rFonts w:ascii="Times New Roman" w:hAnsi="Times New Roman" w:cs="Times New Roman"/>
          <w:sz w:val="18"/>
          <w:szCs w:val="18"/>
        </w:rPr>
      </w:pPr>
      <w:hyperlink r:id="rId22" w:history="1">
        <w:r w:rsidRPr="005915BA">
          <w:rPr>
            <w:rFonts w:ascii="Times New Roman" w:hAnsi="Times New Roman" w:cs="Times New Roman"/>
            <w:sz w:val="18"/>
            <w:szCs w:val="18"/>
          </w:rPr>
          <w:t>http://www.dipres.gob.cl/598/w3-propertyvalue-2129.html</w:t>
        </w:r>
      </w:hyperlink>
    </w:p>
  </w:footnote>
  <w:footnote w:id="60">
    <w:p w14:paraId="73E8E947" w14:textId="7B41A3B6" w:rsidR="00E61542" w:rsidRPr="005915BA" w:rsidRDefault="00E61542" w:rsidP="005915BA">
      <w:pPr>
        <w:spacing w:after="0" w:line="240" w:lineRule="auto"/>
        <w:jc w:val="both"/>
        <w:rPr>
          <w:rFonts w:ascii="Times New Roman" w:hAnsi="Times New Roman" w:cs="Times New Roman"/>
          <w:sz w:val="18"/>
          <w:szCs w:val="18"/>
        </w:rPr>
      </w:pPr>
      <w:r w:rsidRPr="005915BA">
        <w:rPr>
          <w:rStyle w:val="Refdenotaalpie"/>
          <w:rFonts w:ascii="Times New Roman" w:hAnsi="Times New Roman"/>
          <w:sz w:val="18"/>
          <w:szCs w:val="18"/>
        </w:rPr>
        <w:footnoteRef/>
      </w:r>
      <w:r w:rsidRPr="005915BA">
        <w:rPr>
          <w:rFonts w:ascii="Times New Roman" w:hAnsi="Times New Roman" w:cs="Times New Roman"/>
          <w:sz w:val="18"/>
          <w:szCs w:val="18"/>
        </w:rPr>
        <w:t xml:space="preserve"> Elaboración propia. Fuente plataforma SITI 08-08-2018, disponible en</w:t>
      </w:r>
      <w:r>
        <w:rPr>
          <w:rFonts w:ascii="Times New Roman" w:hAnsi="Times New Roman" w:cs="Times New Roman"/>
          <w:sz w:val="18"/>
          <w:szCs w:val="18"/>
        </w:rPr>
        <w:t>:</w:t>
      </w:r>
      <w:r w:rsidRPr="005915BA">
        <w:rPr>
          <w:rFonts w:ascii="Times New Roman" w:hAnsi="Times New Roman" w:cs="Times New Roman"/>
          <w:sz w:val="18"/>
          <w:szCs w:val="18"/>
        </w:rPr>
        <w:t xml:space="preserve"> </w:t>
      </w:r>
      <w:hyperlink r:id="rId23" w:history="1">
        <w:r w:rsidRPr="005915BA">
          <w:rPr>
            <w:rFonts w:ascii="Times New Roman" w:hAnsi="Times New Roman" w:cs="Times New Roman"/>
            <w:sz w:val="18"/>
            <w:szCs w:val="18"/>
          </w:rPr>
          <w:t>http://siic.conadi.cl/</w:t>
        </w:r>
      </w:hyperlink>
    </w:p>
  </w:footnote>
  <w:footnote w:id="61">
    <w:p w14:paraId="494A3E21" w14:textId="77777777" w:rsidR="00E61542" w:rsidRPr="005915BA" w:rsidRDefault="00E61542" w:rsidP="005915BA">
      <w:pPr>
        <w:pStyle w:val="Textonotapie"/>
        <w:jc w:val="both"/>
        <w:rPr>
          <w:rFonts w:ascii="Times New Roman" w:hAnsi="Times New Roman" w:cs="Times New Roman"/>
          <w:sz w:val="18"/>
          <w:szCs w:val="18"/>
        </w:rPr>
      </w:pPr>
      <w:r w:rsidRPr="005915BA">
        <w:rPr>
          <w:rStyle w:val="Refdenotaalpie"/>
          <w:rFonts w:ascii="Times New Roman" w:hAnsi="Times New Roman"/>
          <w:sz w:val="18"/>
          <w:szCs w:val="18"/>
        </w:rPr>
        <w:footnoteRef/>
      </w:r>
      <w:r w:rsidRPr="005915BA">
        <w:rPr>
          <w:rFonts w:ascii="Times New Roman" w:hAnsi="Times New Roman" w:cs="Times New Roman"/>
          <w:sz w:val="18"/>
          <w:szCs w:val="18"/>
        </w:rPr>
        <w:t xml:space="preserve"> Al respecto se debe aclarar que esta adquisición de tierras fuera de los Títulos de Merced anteriormente reconocidos al pueblo mapuche, no significa una consideración del concepto de tierras de ocupación tradicional del artículo 14 del Convenio 169. Ello toda vez que la adquisición de tierras ya sea aledañas o en otras comunas en virtud de la modalidad del artículo 20 b se basa en criterios sociales -número de personas, gravedad de situación social, etc.-  y no de ocupación anterior que han sido establecidos en el artículo 6 b del Decreto N°395 del Ministerio de Planificación y Cooperación (MIDEPLAN) que establece el Reglamento Sobre el Fondo de Tierras y Aguas Indígenas.</w:t>
      </w:r>
    </w:p>
  </w:footnote>
  <w:footnote w:id="62">
    <w:p w14:paraId="403E6336" w14:textId="77777777" w:rsidR="00E61542" w:rsidRPr="003E4533" w:rsidRDefault="00E61542" w:rsidP="005915BA">
      <w:pPr>
        <w:spacing w:after="0" w:line="240" w:lineRule="auto"/>
        <w:jc w:val="both"/>
        <w:rPr>
          <w:rFonts w:ascii="Times New Roman" w:hAnsi="Times New Roman" w:cs="Times New Roman"/>
          <w:sz w:val="18"/>
          <w:szCs w:val="18"/>
          <w:vertAlign w:val="subscript"/>
        </w:rPr>
      </w:pPr>
      <w:r w:rsidRPr="00AC6150">
        <w:rPr>
          <w:rStyle w:val="Refdenotaalpie"/>
        </w:rPr>
        <w:footnoteRef/>
      </w:r>
      <w:r w:rsidRPr="00AC6150">
        <w:rPr>
          <w:rStyle w:val="Refdenotaalpie"/>
        </w:rPr>
        <w:t xml:space="preserve"> </w:t>
      </w:r>
      <w:r w:rsidRPr="005915BA">
        <w:rPr>
          <w:rFonts w:ascii="Times New Roman" w:hAnsi="Times New Roman" w:cs="Times New Roman"/>
          <w:sz w:val="18"/>
          <w:szCs w:val="18"/>
        </w:rPr>
        <w:t xml:space="preserve">Disponible en: </w:t>
      </w:r>
      <w:hyperlink r:id="rId24" w:history="1">
        <w:r w:rsidRPr="005915BA">
          <w:rPr>
            <w:rFonts w:ascii="Times New Roman" w:hAnsi="Times New Roman" w:cs="Times New Roman"/>
            <w:sz w:val="18"/>
            <w:szCs w:val="18"/>
          </w:rPr>
          <w:t>http://www.senado.cl/presupuesto-2015-piden-priorizar-restitucion-de-tierras-a-comunidades-que-han-confiado-en-el-camino-institucional/prontus_senado/2014-10-24/161336.html</w:t>
        </w:r>
      </w:hyperlink>
    </w:p>
  </w:footnote>
  <w:footnote w:id="63">
    <w:p w14:paraId="3470E5AF" w14:textId="77777777" w:rsidR="00E61542" w:rsidRPr="00AC6150" w:rsidRDefault="00E61542" w:rsidP="003E4533">
      <w:pPr>
        <w:pStyle w:val="Textonotapie"/>
        <w:rPr>
          <w:rFonts w:ascii="Times New Roman" w:hAnsi="Times New Roman" w:cs="Times New Roman"/>
          <w:sz w:val="18"/>
          <w:szCs w:val="18"/>
        </w:rPr>
      </w:pPr>
      <w:r w:rsidRPr="00AC6150">
        <w:rPr>
          <w:rStyle w:val="Refdenotaalpie"/>
          <w:rFonts w:ascii="Times New Roman" w:hAnsi="Times New Roman"/>
          <w:sz w:val="18"/>
          <w:szCs w:val="18"/>
        </w:rPr>
        <w:footnoteRef/>
      </w:r>
      <w:r w:rsidRPr="00AC6150">
        <w:rPr>
          <w:rFonts w:ascii="Times New Roman" w:hAnsi="Times New Roman" w:cs="Times New Roman"/>
          <w:sz w:val="18"/>
          <w:szCs w:val="18"/>
        </w:rPr>
        <w:t xml:space="preserve"> Figueroa, Natalia, La suspensión de la consulta indígena que esconde un nuevo fracaso del gobierno. El Desconcierto, 29 de junio de 2019. Disponible en  </w:t>
      </w:r>
      <w:hyperlink r:id="rId25" w:history="1">
        <w:r w:rsidRPr="00AC6150">
          <w:rPr>
            <w:rFonts w:ascii="Times New Roman" w:hAnsi="Times New Roman" w:cs="Times New Roman"/>
            <w:sz w:val="18"/>
            <w:szCs w:val="18"/>
          </w:rPr>
          <w:t>https://www.eldesconcierto.cl/2019/06/29/el-eufemismo-de-sichel-que-esconde-el-fracaso-de-la-consulta-indigena/</w:t>
        </w:r>
      </w:hyperlink>
    </w:p>
  </w:footnote>
  <w:footnote w:id="64">
    <w:p w14:paraId="655F69B6" w14:textId="77777777" w:rsidR="00E61542" w:rsidRPr="00AC6150" w:rsidRDefault="00E61542" w:rsidP="003E4533">
      <w:pPr>
        <w:pStyle w:val="Textonotapie"/>
        <w:jc w:val="both"/>
        <w:rPr>
          <w:rFonts w:ascii="Times New Roman" w:hAnsi="Times New Roman" w:cs="Times New Roman"/>
          <w:sz w:val="18"/>
          <w:szCs w:val="18"/>
        </w:rPr>
      </w:pPr>
      <w:r w:rsidRPr="00AC6150">
        <w:rPr>
          <w:rStyle w:val="Refdenotaalpie"/>
          <w:rFonts w:ascii="Times New Roman" w:hAnsi="Times New Roman"/>
          <w:sz w:val="18"/>
          <w:szCs w:val="18"/>
        </w:rPr>
        <w:footnoteRef/>
      </w:r>
      <w:r w:rsidRPr="00AC6150">
        <w:rPr>
          <w:rFonts w:ascii="Times New Roman" w:hAnsi="Times New Roman" w:cs="Times New Roman"/>
          <w:sz w:val="18"/>
          <w:szCs w:val="18"/>
        </w:rPr>
        <w:t xml:space="preserve"> Servicio Electoral, Resolución 2837 de 2010. Disponible en: </w:t>
      </w:r>
    </w:p>
    <w:p w14:paraId="6A2846F5" w14:textId="447F5EAA" w:rsidR="00E61542" w:rsidRPr="00AC6150" w:rsidRDefault="00E61542" w:rsidP="003E4533">
      <w:pPr>
        <w:pStyle w:val="Textonotapie"/>
        <w:jc w:val="both"/>
        <w:rPr>
          <w:rFonts w:ascii="Times New Roman" w:hAnsi="Times New Roman" w:cs="Times New Roman"/>
          <w:sz w:val="18"/>
          <w:szCs w:val="18"/>
        </w:rPr>
      </w:pPr>
      <w:hyperlink r:id="rId26" w:history="1">
        <w:r w:rsidRPr="00AC6150">
          <w:rPr>
            <w:rFonts w:ascii="Times New Roman" w:hAnsi="Times New Roman" w:cs="Times New Roman"/>
            <w:sz w:val="18"/>
            <w:szCs w:val="18"/>
          </w:rPr>
          <w:t>http://cdn.servel.cl/transparencia/normativa/ResO2837-2010.pdf</w:t>
        </w:r>
      </w:hyperlink>
      <w:r w:rsidRPr="00AC6150">
        <w:rPr>
          <w:rFonts w:ascii="Times New Roman" w:hAnsi="Times New Roman" w:cs="Times New Roman"/>
          <w:sz w:val="18"/>
          <w:szCs w:val="18"/>
        </w:rPr>
        <w:t xml:space="preserve"> </w:t>
      </w:r>
    </w:p>
  </w:footnote>
  <w:footnote w:id="65">
    <w:p w14:paraId="263723C9" w14:textId="77777777" w:rsidR="00E61542" w:rsidRPr="00AC6150" w:rsidRDefault="00E61542" w:rsidP="003E4533">
      <w:pPr>
        <w:pStyle w:val="Textonotapie"/>
        <w:jc w:val="both"/>
        <w:rPr>
          <w:rFonts w:ascii="Times New Roman" w:hAnsi="Times New Roman" w:cs="Times New Roman"/>
          <w:sz w:val="18"/>
          <w:szCs w:val="18"/>
        </w:rPr>
      </w:pPr>
      <w:r w:rsidRPr="00AC6150">
        <w:rPr>
          <w:rStyle w:val="Refdenotaalpie"/>
          <w:rFonts w:ascii="Times New Roman" w:hAnsi="Times New Roman"/>
          <w:sz w:val="18"/>
          <w:szCs w:val="18"/>
        </w:rPr>
        <w:footnoteRef/>
      </w:r>
      <w:r w:rsidRPr="00AC6150">
        <w:rPr>
          <w:rFonts w:ascii="Times New Roman" w:hAnsi="Times New Roman" w:cs="Times New Roman"/>
          <w:sz w:val="18"/>
          <w:szCs w:val="18"/>
        </w:rPr>
        <w:t xml:space="preserve"> Disponible en: </w:t>
      </w:r>
      <w:hyperlink r:id="rId27" w:history="1">
        <w:r w:rsidRPr="00AC6150">
          <w:rPr>
            <w:rFonts w:ascii="Times New Roman" w:hAnsi="Times New Roman" w:cs="Times New Roman"/>
            <w:sz w:val="18"/>
            <w:szCs w:val="18"/>
          </w:rPr>
          <w:t>https://www.biobiochile.cl/noticias/nacional/region-de-la-araucania/2017/04/28/servel-disuelve-a-wallmapuwen-no-logro-constituirse-como-partido-politico.shtml</w:t>
        </w:r>
      </w:hyperlink>
      <w:r w:rsidRPr="00AC6150">
        <w:rPr>
          <w:rFonts w:ascii="Times New Roman" w:hAnsi="Times New Roman" w:cs="Times New Roman"/>
          <w:sz w:val="18"/>
          <w:szCs w:val="18"/>
        </w:rPr>
        <w:t xml:space="preserve"> </w:t>
      </w:r>
    </w:p>
  </w:footnote>
  <w:footnote w:id="66">
    <w:p w14:paraId="29EA0891" w14:textId="77777777" w:rsidR="00E61542" w:rsidRPr="00AC6150" w:rsidRDefault="00E61542" w:rsidP="003E4533">
      <w:pPr>
        <w:pStyle w:val="Textonotapie"/>
        <w:jc w:val="both"/>
        <w:rPr>
          <w:rFonts w:ascii="Times New Roman" w:hAnsi="Times New Roman" w:cs="Times New Roman"/>
          <w:sz w:val="18"/>
          <w:szCs w:val="18"/>
          <w:vertAlign w:val="subscript"/>
        </w:rPr>
      </w:pPr>
      <w:r w:rsidRPr="00AC6150">
        <w:rPr>
          <w:rStyle w:val="Refdenotaalpie"/>
          <w:rFonts w:ascii="Times New Roman" w:hAnsi="Times New Roman"/>
          <w:sz w:val="18"/>
          <w:szCs w:val="18"/>
        </w:rPr>
        <w:footnoteRef/>
      </w:r>
      <w:r w:rsidRPr="00AC6150">
        <w:rPr>
          <w:rFonts w:ascii="Times New Roman" w:hAnsi="Times New Roman" w:cs="Times New Roman"/>
          <w:sz w:val="18"/>
          <w:szCs w:val="18"/>
        </w:rPr>
        <w:t xml:space="preserve"> INDH (2015). Informe de observación sobre el proceso de consulta previa desarrollado por el Ministerio de Desarrollo Social, referido a la creación del Ministerio de Pueblos Indígenas y del Consejo o Consejos de Pueblos Indígenas. Disponible en: </w:t>
      </w:r>
      <w:hyperlink r:id="rId28" w:history="1">
        <w:r w:rsidRPr="00AC6150">
          <w:rPr>
            <w:rFonts w:ascii="Times New Roman" w:hAnsi="Times New Roman" w:cs="Times New Roman"/>
            <w:sz w:val="18"/>
            <w:szCs w:val="18"/>
          </w:rPr>
          <w:t>http://bibliotecadigital.indh.cl/bitstream/handle/123456789/818/Informe.pdf?sequence=1</w:t>
        </w:r>
      </w:hyperlink>
      <w:r w:rsidRPr="00AC6150">
        <w:rPr>
          <w:rFonts w:ascii="Times New Roman" w:hAnsi="Times New Roman" w:cs="Times New Roman"/>
          <w:sz w:val="18"/>
          <w:szCs w:val="18"/>
          <w:vertAlign w:val="subscript"/>
        </w:rPr>
        <w:t xml:space="preserve"> </w:t>
      </w:r>
    </w:p>
  </w:footnote>
  <w:footnote w:id="67">
    <w:p w14:paraId="54E2B8C3" w14:textId="4BB3A910" w:rsidR="00E61542" w:rsidRPr="00AC6150" w:rsidRDefault="00E61542" w:rsidP="003E4533">
      <w:pPr>
        <w:pStyle w:val="Textonotapie"/>
        <w:rPr>
          <w:rFonts w:ascii="Times New Roman" w:hAnsi="Times New Roman" w:cs="Times New Roman"/>
          <w:sz w:val="18"/>
          <w:szCs w:val="18"/>
        </w:rPr>
      </w:pPr>
      <w:r w:rsidRPr="00AC6150">
        <w:rPr>
          <w:rStyle w:val="Refdenotaalpie"/>
          <w:rFonts w:ascii="Times New Roman" w:hAnsi="Times New Roman"/>
          <w:sz w:val="18"/>
          <w:szCs w:val="18"/>
        </w:rPr>
        <w:footnoteRef/>
      </w:r>
      <w:r w:rsidRPr="00AC6150">
        <w:rPr>
          <w:rFonts w:ascii="Times New Roman" w:hAnsi="Times New Roman" w:cs="Times New Roman"/>
          <w:sz w:val="18"/>
          <w:szCs w:val="18"/>
        </w:rPr>
        <w:t xml:space="preserve"> </w:t>
      </w:r>
      <w:r w:rsidRPr="00AC6150">
        <w:rPr>
          <w:rFonts w:ascii="Times New Roman" w:hAnsi="Times New Roman" w:cs="Times New Roman"/>
          <w:sz w:val="18"/>
          <w:szCs w:val="18"/>
          <w:lang w:val="es-CL"/>
        </w:rPr>
        <w:t xml:space="preserve">Para información detallada de la situación de la comunidad LBTGI véase: </w:t>
      </w:r>
      <w:hyperlink r:id="rId29" w:history="1">
        <w:r w:rsidRPr="00AC6150">
          <w:rPr>
            <w:rFonts w:ascii="Times New Roman" w:hAnsi="Times New Roman" w:cs="Times New Roman"/>
            <w:color w:val="0000FF"/>
            <w:sz w:val="18"/>
            <w:szCs w:val="18"/>
            <w:u w:val="single"/>
          </w:rPr>
          <w:t>http://www.movilh.cl/documentacion/2019/Informe-Anual-DDHH-2018-Movilh.pdf</w:t>
        </w:r>
      </w:hyperlink>
      <w:r>
        <w:rPr>
          <w:rFonts w:ascii="Times New Roman" w:hAnsi="Times New Roman" w:cs="Times New Roman"/>
          <w:sz w:val="18"/>
          <w:szCs w:val="18"/>
        </w:rPr>
        <w:t xml:space="preserve">; </w:t>
      </w:r>
      <w:hyperlink r:id="rId30" w:history="1">
        <w:r w:rsidRPr="00AC6150">
          <w:rPr>
            <w:rFonts w:ascii="Times New Roman" w:hAnsi="Times New Roman" w:cs="Times New Roman"/>
            <w:color w:val="0000FF"/>
            <w:sz w:val="18"/>
            <w:szCs w:val="18"/>
            <w:u w:val="single"/>
          </w:rPr>
          <w:t>http://www.derechoshumanos.udp.cl/derechoshumanos/images/InformeAnual/2019/09_Disparidades_y_barreras_de_acceso_a_la_salud_mental_en_personas_LGBTI.pdf</w:t>
        </w:r>
      </w:hyperlink>
    </w:p>
    <w:p w14:paraId="7C0FA6FD" w14:textId="47D68CCF" w:rsidR="00E61542" w:rsidRPr="00AC6150" w:rsidRDefault="00E61542" w:rsidP="003E4533">
      <w:pPr>
        <w:pStyle w:val="Textonotapie"/>
        <w:rPr>
          <w:rFonts w:ascii="Times New Roman" w:hAnsi="Times New Roman" w:cs="Times New Roman"/>
          <w:sz w:val="18"/>
          <w:szCs w:val="18"/>
          <w:lang w:val="es-CL"/>
        </w:rPr>
      </w:pPr>
    </w:p>
  </w:footnote>
  <w:footnote w:id="68">
    <w:p w14:paraId="7A4EEE56" w14:textId="1E0B1402" w:rsidR="00E61542" w:rsidRPr="00441C49" w:rsidRDefault="00E61542" w:rsidP="003E4533">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 xml:space="preserve"> MOVILH - comunicación para examen periódico universal de chile enero-febrero 2019, en: </w:t>
      </w:r>
    </w:p>
    <w:p w14:paraId="411A5732" w14:textId="77777777" w:rsidR="00E61542" w:rsidRPr="00441C49" w:rsidRDefault="00E61542" w:rsidP="003E4533">
      <w:pPr>
        <w:pStyle w:val="Textonotapie"/>
        <w:jc w:val="both"/>
        <w:rPr>
          <w:rFonts w:ascii="Times New Roman" w:hAnsi="Times New Roman" w:cs="Times New Roman"/>
          <w:sz w:val="18"/>
          <w:szCs w:val="18"/>
        </w:rPr>
      </w:pPr>
      <w:hyperlink r:id="rId31" w:history="1">
        <w:r w:rsidRPr="00441C49">
          <w:rPr>
            <w:rStyle w:val="Hipervnculo"/>
            <w:rFonts w:ascii="Times New Roman" w:hAnsi="Times New Roman" w:cs="Times New Roman"/>
            <w:sz w:val="18"/>
            <w:szCs w:val="18"/>
          </w:rPr>
          <w:t>https://www.movilh.cl/wp-content/uploads/2019/12/Movilh-Comunicacion-para-Examen-Periodico-Universal-Chile-Enero-2019.pdf</w:t>
        </w:r>
      </w:hyperlink>
    </w:p>
  </w:footnote>
  <w:footnote w:id="69">
    <w:p w14:paraId="0E76E7EA" w14:textId="77777777" w:rsidR="00E61542" w:rsidRPr="006607D5" w:rsidRDefault="00E61542" w:rsidP="00D43446">
      <w:pPr>
        <w:pStyle w:val="Textonotapie"/>
        <w:jc w:val="both"/>
        <w:rPr>
          <w:rFonts w:ascii="Times New Roman" w:hAnsi="Times New Roman" w:cs="Times New Roman"/>
          <w:sz w:val="18"/>
          <w:szCs w:val="18"/>
        </w:rPr>
      </w:pPr>
      <w:r w:rsidRPr="006607D5">
        <w:rPr>
          <w:rStyle w:val="Refdenotaalpie"/>
          <w:rFonts w:ascii="Times New Roman" w:hAnsi="Times New Roman"/>
          <w:sz w:val="18"/>
          <w:szCs w:val="18"/>
        </w:rPr>
        <w:footnoteRef/>
      </w:r>
      <w:r w:rsidRPr="006607D5">
        <w:rPr>
          <w:rFonts w:ascii="Times New Roman" w:hAnsi="Times New Roman" w:cs="Times New Roman"/>
          <w:sz w:val="18"/>
          <w:szCs w:val="18"/>
        </w:rPr>
        <w:t>Disponible en: https://www.spensiones.cl/portal/institucional/594/articles-3832_recurso_1.pdf</w:t>
      </w:r>
    </w:p>
  </w:footnote>
  <w:footnote w:id="70">
    <w:p w14:paraId="02ABB435" w14:textId="77777777" w:rsidR="00E61542" w:rsidRPr="006607D5" w:rsidRDefault="00E61542" w:rsidP="00D43446">
      <w:pPr>
        <w:pStyle w:val="Textonotapie"/>
        <w:jc w:val="both"/>
        <w:rPr>
          <w:rFonts w:ascii="Times New Roman" w:hAnsi="Times New Roman" w:cs="Times New Roman"/>
          <w:sz w:val="18"/>
          <w:szCs w:val="18"/>
          <w:lang w:val="en-US"/>
        </w:rPr>
      </w:pPr>
      <w:r w:rsidRPr="006607D5">
        <w:rPr>
          <w:rStyle w:val="Refdenotaalpie"/>
          <w:rFonts w:ascii="Times New Roman" w:hAnsi="Times New Roman"/>
          <w:sz w:val="18"/>
          <w:szCs w:val="18"/>
        </w:rPr>
        <w:footnoteRef/>
      </w:r>
      <w:r w:rsidRPr="006607D5">
        <w:rPr>
          <w:rFonts w:ascii="Times New Roman" w:hAnsi="Times New Roman" w:cs="Times New Roman"/>
          <w:sz w:val="18"/>
          <w:szCs w:val="18"/>
        </w:rPr>
        <w:t xml:space="preserve"> Es importante destacar que Chile fue el primer país de Latinoamérica que privatizó su sistema de pensiones. </w:t>
      </w:r>
      <w:r w:rsidRPr="006607D5">
        <w:rPr>
          <w:rFonts w:ascii="Times New Roman" w:hAnsi="Times New Roman" w:cs="Times New Roman"/>
          <w:sz w:val="18"/>
          <w:szCs w:val="18"/>
          <w:lang w:val="en-US"/>
        </w:rPr>
        <w:t>Mayor información disponible en: Ortiz, Durán-Valverde, Urban, Wodsak, and Zhiming Yu (2018) Reversing Pension Privatizations: Rebuilding public pension systems in Eastern Europe and Latin America.</w:t>
      </w:r>
    </w:p>
  </w:footnote>
  <w:footnote w:id="71">
    <w:p w14:paraId="102D1193" w14:textId="77777777" w:rsidR="00E61542" w:rsidRPr="006607D5" w:rsidRDefault="00E61542" w:rsidP="00D43446">
      <w:pPr>
        <w:pStyle w:val="Textonotapie"/>
        <w:jc w:val="both"/>
        <w:rPr>
          <w:rFonts w:ascii="Times New Roman" w:hAnsi="Times New Roman" w:cs="Times New Roman"/>
          <w:sz w:val="18"/>
          <w:szCs w:val="18"/>
        </w:rPr>
      </w:pPr>
      <w:r w:rsidRPr="006607D5">
        <w:rPr>
          <w:rFonts w:ascii="Times New Roman" w:hAnsi="Times New Roman" w:cs="Times New Roman"/>
          <w:sz w:val="18"/>
          <w:szCs w:val="18"/>
          <w:lang w:val="en-US"/>
        </w:rPr>
        <w:footnoteRef/>
      </w:r>
      <w:r w:rsidRPr="006607D5">
        <w:rPr>
          <w:rFonts w:ascii="Times New Roman" w:hAnsi="Times New Roman" w:cs="Times New Roman"/>
          <w:sz w:val="18"/>
          <w:szCs w:val="18"/>
        </w:rPr>
        <w:t xml:space="preserve"> Información disponible en: https://www.svs.cl/mascerca/601/w3-article-1672.html</w:t>
      </w:r>
    </w:p>
  </w:footnote>
  <w:footnote w:id="72">
    <w:p w14:paraId="2C07F059" w14:textId="78F22962" w:rsidR="00E61542" w:rsidRPr="00441C49"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 xml:space="preserve"> Supra </w:t>
      </w:r>
      <w:r>
        <w:rPr>
          <w:rFonts w:ascii="Times New Roman" w:hAnsi="Times New Roman" w:cs="Times New Roman"/>
          <w:sz w:val="18"/>
          <w:szCs w:val="18"/>
        </w:rPr>
        <w:t>(Nº23-24).</w:t>
      </w:r>
    </w:p>
  </w:footnote>
  <w:footnote w:id="73">
    <w:p w14:paraId="479C5CCD" w14:textId="77777777" w:rsidR="00E61542" w:rsidRPr="00441C49" w:rsidRDefault="00E61542" w:rsidP="00D43446">
      <w:pPr>
        <w:pStyle w:val="Textonotapie"/>
        <w:jc w:val="both"/>
        <w:rPr>
          <w:rFonts w:ascii="Times New Roman" w:hAnsi="Times New Roman" w:cs="Times New Roman"/>
          <w:sz w:val="18"/>
          <w:szCs w:val="18"/>
        </w:rPr>
      </w:pPr>
      <w:r w:rsidRPr="00441C49">
        <w:rPr>
          <w:rFonts w:ascii="Times New Roman" w:hAnsi="Times New Roman" w:cs="Times New Roman"/>
          <w:sz w:val="18"/>
          <w:szCs w:val="18"/>
          <w:lang w:val="en-US"/>
        </w:rPr>
        <w:footnoteRef/>
      </w:r>
      <w:r w:rsidRPr="00441C49">
        <w:rPr>
          <w:rFonts w:ascii="Times New Roman" w:hAnsi="Times New Roman" w:cs="Times New Roman"/>
          <w:sz w:val="18"/>
          <w:szCs w:val="18"/>
        </w:rPr>
        <w:t xml:space="preserve"> Disponible en: </w:t>
      </w:r>
      <w:hyperlink r:id="rId32" w:history="1">
        <w:r w:rsidRPr="00441C49">
          <w:rPr>
            <w:rStyle w:val="Hipervnculo"/>
            <w:rFonts w:ascii="Times New Roman" w:hAnsi="Times New Roman" w:cs="Times New Roman"/>
            <w:sz w:val="18"/>
            <w:szCs w:val="18"/>
          </w:rPr>
          <w:t>http://www.nomasafp.cl/inicio/wp-content/uploads/2013/01/Sistema-de-Reparto-</w:t>
        </w:r>
      </w:hyperlink>
    </w:p>
    <w:p w14:paraId="54A0EF7A" w14:textId="77777777" w:rsidR="00E61542" w:rsidRPr="00441C49" w:rsidRDefault="00E61542" w:rsidP="00D43446">
      <w:pPr>
        <w:pStyle w:val="Textonotapie"/>
        <w:jc w:val="both"/>
        <w:rPr>
          <w:rFonts w:ascii="Times New Roman" w:hAnsi="Times New Roman" w:cs="Times New Roman"/>
          <w:sz w:val="18"/>
          <w:szCs w:val="18"/>
        </w:rPr>
      </w:pPr>
      <w:r w:rsidRPr="00441C49">
        <w:rPr>
          <w:rFonts w:ascii="Times New Roman" w:hAnsi="Times New Roman" w:cs="Times New Roman"/>
          <w:sz w:val="18"/>
          <w:szCs w:val="18"/>
        </w:rPr>
        <w:t>Fundaci%C3%B3n-Sol.pdf</w:t>
      </w:r>
    </w:p>
  </w:footnote>
  <w:footnote w:id="74">
    <w:p w14:paraId="3D0FEE57" w14:textId="77777777" w:rsidR="00E61542" w:rsidRPr="00441C49"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 xml:space="preserve"> Las fuerzas armadas y del orden se encuentran fuera del Sistema de las AFP, recibiendo prestaciones superiores a las del sistema general, con subvenciones fiscales significativas. En particular, el año 2013, el Estado chileno tuvo que cubrir un déficit por $1,03 billones, lo que equivale a 0,75 % del PIB. Más información en: </w:t>
      </w:r>
      <w:hyperlink r:id="rId33" w:history="1">
        <w:r w:rsidRPr="00441C49">
          <w:rPr>
            <w:rStyle w:val="Hipervnculo"/>
            <w:rFonts w:ascii="Times New Roman" w:hAnsi="Times New Roman" w:cs="Times New Roman"/>
            <w:sz w:val="18"/>
            <w:szCs w:val="18"/>
          </w:rPr>
          <w:t>http://www.nomasafp.cl/inicio/wp-</w:t>
        </w:r>
      </w:hyperlink>
      <w:r w:rsidRPr="00441C49">
        <w:rPr>
          <w:rFonts w:ascii="Times New Roman" w:hAnsi="Times New Roman" w:cs="Times New Roman"/>
          <w:sz w:val="18"/>
          <w:szCs w:val="18"/>
        </w:rPr>
        <w:t>content/uploads/2013/01/Sistema-de-Reparto-Fundaci%C3%B3n-Sol.pdf</w:t>
      </w:r>
    </w:p>
  </w:footnote>
  <w:footnote w:id="75">
    <w:p w14:paraId="27376356" w14:textId="77777777" w:rsidR="00E61542" w:rsidRPr="00441C49"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Style w:val="Refdenotaalpie"/>
          <w:rFonts w:ascii="Times New Roman" w:hAnsi="Times New Roman"/>
          <w:sz w:val="18"/>
          <w:szCs w:val="18"/>
        </w:rPr>
        <w:t xml:space="preserve"> </w:t>
      </w:r>
      <w:r w:rsidRPr="00441C49">
        <w:rPr>
          <w:rFonts w:ascii="Times New Roman" w:hAnsi="Times New Roman" w:cs="Times New Roman"/>
          <w:sz w:val="18"/>
          <w:szCs w:val="18"/>
        </w:rPr>
        <w:t>La reforma previsional del año 2008, creó una Comisión de Usuarios. Sin embargo, al no tener poder de decisión, no se ha restaurado la representación social directa en la gestión de las pensiones.</w:t>
      </w:r>
    </w:p>
  </w:footnote>
  <w:footnote w:id="76">
    <w:p w14:paraId="12EAAB05" w14:textId="77777777" w:rsidR="00E61542" w:rsidRPr="00441C49"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Style w:val="Refdenotaalpie"/>
          <w:rFonts w:ascii="Times New Roman" w:hAnsi="Times New Roman"/>
          <w:sz w:val="18"/>
          <w:szCs w:val="18"/>
        </w:rPr>
        <w:t xml:space="preserve"> </w:t>
      </w:r>
      <w:r w:rsidRPr="00441C49">
        <w:rPr>
          <w:rFonts w:ascii="Times New Roman" w:hAnsi="Times New Roman" w:cs="Times New Roman"/>
          <w:sz w:val="18"/>
          <w:szCs w:val="18"/>
        </w:rPr>
        <w:t xml:space="preserve">Disponible en: </w:t>
      </w:r>
      <w:hyperlink r:id="rId34" w:history="1">
        <w:r w:rsidRPr="00441C49">
          <w:rPr>
            <w:rStyle w:val="Hipervnculo"/>
            <w:rFonts w:ascii="Times New Roman" w:hAnsi="Times New Roman" w:cs="Times New Roman"/>
            <w:sz w:val="18"/>
            <w:szCs w:val="18"/>
          </w:rPr>
          <w:t>http://d602034d-91fd-4527-99b4-</w:t>
        </w:r>
      </w:hyperlink>
    </w:p>
    <w:p w14:paraId="4FAF8AF3" w14:textId="77777777" w:rsidR="00E61542" w:rsidRPr="00441C49" w:rsidRDefault="00E61542" w:rsidP="00D43446">
      <w:pPr>
        <w:pStyle w:val="Textonotapie"/>
        <w:jc w:val="both"/>
        <w:rPr>
          <w:rFonts w:ascii="Times New Roman" w:hAnsi="Times New Roman" w:cs="Times New Roman"/>
          <w:sz w:val="18"/>
          <w:szCs w:val="18"/>
        </w:rPr>
      </w:pPr>
      <w:r w:rsidRPr="00441C49">
        <w:rPr>
          <w:rFonts w:ascii="Times New Roman" w:hAnsi="Times New Roman" w:cs="Times New Roman"/>
          <w:sz w:val="18"/>
          <w:szCs w:val="18"/>
        </w:rPr>
        <w:t>04bc9d746fbb.filesusr.com/ugd/766c75_eed11fe4aa8d449db84741aedb49dbf5.pdf</w:t>
      </w:r>
    </w:p>
  </w:footnote>
  <w:footnote w:id="77">
    <w:p w14:paraId="1C726598" w14:textId="77777777" w:rsidR="00E61542" w:rsidRPr="00441C49"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Disponible en: https://www.previsionsocial.gob.cl/sps/download/estudios-previsionales/publicaciones/documentos-de-trabajo/2014-2016/017-dt-2015-03-encuesta-opinion-percepcion-sistema-pensiones.pdf</w:t>
      </w:r>
    </w:p>
  </w:footnote>
  <w:footnote w:id="78">
    <w:p w14:paraId="6BB03F79" w14:textId="77777777" w:rsidR="00E61542" w:rsidRPr="00441C49"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 xml:space="preserve"> En 2019, las ganancias registradas hasta septiembre alcanzaron los US$ 551 millones, en tanto los ingresos ordinarios totalizaron US$ 849 millones, cifra que representa un alza de 12,55% respecto del mismo período del ejercicio previo. Estas escandalosas cifras han desatado la molestia de la ciudadanía, que se ha agrupado en un movimiento denominado “No + AFP”, en:  </w:t>
      </w:r>
      <w:hyperlink r:id="rId35" w:history="1">
        <w:r w:rsidRPr="00441C49">
          <w:rPr>
            <w:rStyle w:val="Hipervnculo"/>
            <w:rFonts w:ascii="Times New Roman" w:hAnsi="Times New Roman" w:cs="Times New Roman"/>
            <w:sz w:val="18"/>
            <w:szCs w:val="18"/>
          </w:rPr>
          <w:t>http://www.nomasafp.cl/inicio/</w:t>
        </w:r>
      </w:hyperlink>
    </w:p>
  </w:footnote>
  <w:footnote w:id="79">
    <w:p w14:paraId="637FFB31" w14:textId="77777777" w:rsidR="00E61542" w:rsidRPr="00D8339D"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 xml:space="preserve"> Informe disponible en: http://www.comision-pensiones.cl/Informe_final_CP_2015.pdf</w:t>
      </w:r>
    </w:p>
  </w:footnote>
  <w:footnote w:id="80">
    <w:p w14:paraId="3FD478EB" w14:textId="77777777" w:rsidR="00E61542" w:rsidRPr="00441C49"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 xml:space="preserve"> Se estima que el 50 % de las 394.643 jubiladas por vejez, recibe una pensión menor a $138.000, ver en: Recaredo Gálvez y Marco Kremerman “</w:t>
      </w:r>
      <w:r w:rsidRPr="00441C49">
        <w:rPr>
          <w:rFonts w:ascii="Times New Roman" w:hAnsi="Times New Roman" w:cs="Times New Roman"/>
          <w:i/>
          <w:sz w:val="18"/>
          <w:szCs w:val="18"/>
        </w:rPr>
        <w:t>Pensiones bajo el mínimo Resultados del sistema de capitalización individual en Chile” (2019).</w:t>
      </w:r>
      <w:r w:rsidRPr="00441C49">
        <w:rPr>
          <w:rFonts w:ascii="Times New Roman" w:hAnsi="Times New Roman" w:cs="Times New Roman"/>
          <w:sz w:val="18"/>
          <w:szCs w:val="18"/>
        </w:rPr>
        <w:t xml:space="preserve"> Disponible en: http://www.fundacionsol.cl/wp content/uploads/2019/07/Pensiones-bajo-el-minimo-2019-1.pdf</w:t>
      </w:r>
    </w:p>
  </w:footnote>
  <w:footnote w:id="81">
    <w:p w14:paraId="552F9B59" w14:textId="77777777" w:rsidR="00E61542" w:rsidRPr="00441C49" w:rsidRDefault="00E61542" w:rsidP="00D43446">
      <w:pPr>
        <w:pStyle w:val="Textonotapie"/>
        <w:jc w:val="both"/>
        <w:rPr>
          <w:rFonts w:ascii="Times New Roman" w:hAnsi="Times New Roman" w:cs="Times New Roman"/>
          <w:sz w:val="18"/>
          <w:szCs w:val="18"/>
          <w:lang w:val="en-GB"/>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lang w:val="en-GB"/>
        </w:rPr>
        <w:t xml:space="preserve"> Alberto Arenas y Verónica Montecinos, “The privatization of Social Security and Women’s Welfare: Gender effects of the Chilean Reform” (1999), </w:t>
      </w:r>
      <w:r w:rsidRPr="00441C49">
        <w:rPr>
          <w:rFonts w:ascii="Times New Roman" w:hAnsi="Times New Roman" w:cs="Times New Roman"/>
          <w:i/>
          <w:sz w:val="18"/>
          <w:szCs w:val="18"/>
          <w:lang w:val="en-GB"/>
        </w:rPr>
        <w:t>Latin American Research Review</w:t>
      </w:r>
      <w:r w:rsidRPr="00441C49">
        <w:rPr>
          <w:rFonts w:ascii="Times New Roman" w:hAnsi="Times New Roman" w:cs="Times New Roman"/>
          <w:sz w:val="18"/>
          <w:szCs w:val="18"/>
          <w:lang w:val="en-GB"/>
        </w:rPr>
        <w:t xml:space="preserve">, Vol 33, Nº3. </w:t>
      </w:r>
    </w:p>
  </w:footnote>
  <w:footnote w:id="82">
    <w:p w14:paraId="1E678637" w14:textId="77777777" w:rsidR="00E61542" w:rsidRPr="00441C49" w:rsidRDefault="00E61542" w:rsidP="00D43446">
      <w:pPr>
        <w:pStyle w:val="Textonotapie"/>
        <w:jc w:val="both"/>
        <w:rPr>
          <w:rFonts w:ascii="Times New Roman" w:hAnsi="Times New Roman" w:cs="Times New Roman"/>
          <w:sz w:val="18"/>
          <w:szCs w:val="18"/>
        </w:rPr>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 xml:space="preserve"> OIT, La reversión de la privatización de las pensiones: Reconstruyendo los sistemas públicos de pensiones en los países de Europa Oriental y América Latina (2000-2018), ESS ─ Documento de trabajo núm. 63, pág. 54-55, en: </w:t>
      </w:r>
      <w:hyperlink r:id="rId36" w:history="1">
        <w:r w:rsidRPr="00441C49">
          <w:rPr>
            <w:rStyle w:val="Hipervnculo"/>
            <w:rFonts w:ascii="Times New Roman" w:hAnsi="Times New Roman" w:cs="Times New Roman"/>
            <w:sz w:val="18"/>
            <w:szCs w:val="18"/>
          </w:rPr>
          <w:t>https://www.social-protection.org/gimi/RessourcePDF.action?id=55496</w:t>
        </w:r>
      </w:hyperlink>
    </w:p>
  </w:footnote>
  <w:footnote w:id="83">
    <w:p w14:paraId="0494C081" w14:textId="77777777" w:rsidR="00E61542" w:rsidRDefault="00E61542" w:rsidP="00D43446">
      <w:pPr>
        <w:pStyle w:val="Textonotapie"/>
        <w:jc w:val="both"/>
      </w:pPr>
      <w:r w:rsidRPr="00441C49">
        <w:rPr>
          <w:rStyle w:val="Refdenotaalpie"/>
          <w:rFonts w:ascii="Times New Roman" w:hAnsi="Times New Roman"/>
          <w:sz w:val="18"/>
          <w:szCs w:val="18"/>
        </w:rPr>
        <w:footnoteRef/>
      </w:r>
      <w:r w:rsidRPr="00441C49">
        <w:rPr>
          <w:rFonts w:ascii="Times New Roman" w:hAnsi="Times New Roman" w:cs="Times New Roman"/>
          <w:sz w:val="18"/>
          <w:szCs w:val="18"/>
        </w:rPr>
        <w:t xml:space="preserve"> Un tratamiento más exhaustivo lo encontramos en: Informe de Políticas Públicas Nº 12: Principios Para una Reforma al Sistema de Pensiones (2017).  Disponible en: https://www.espaciopublico.cl/wp-content/uploads/2017/07/IPP-Proyecto-de-Pensiones.pdf</w:t>
      </w:r>
    </w:p>
  </w:footnote>
  <w:footnote w:id="84">
    <w:p w14:paraId="4C4235E4"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bookmarkStart w:id="4" w:name="_Hlk31123087"/>
      <w:r w:rsidRPr="00CF24E8">
        <w:rPr>
          <w:rFonts w:ascii="Times New Roman" w:hAnsi="Times New Roman" w:cs="Times New Roman"/>
          <w:i/>
          <w:iCs/>
          <w:color w:val="000000"/>
          <w:sz w:val="18"/>
          <w:szCs w:val="18"/>
        </w:rPr>
        <w:t>Rolnik, R. (2017). La guerra de los lugares. La colonización de la tierra y la vivienda en la era de las finanzas. Santiago: LOM Ediciones.</w:t>
      </w:r>
      <w:bookmarkEnd w:id="4"/>
    </w:p>
  </w:footnote>
  <w:footnote w:id="85">
    <w:p w14:paraId="4020B79D"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 xml:space="preserve">La influencia de la Escuela de Chicago en materia urbana puede ser consultada en: </w:t>
      </w:r>
      <w:r w:rsidRPr="00CF24E8">
        <w:rPr>
          <w:rFonts w:ascii="Times New Roman" w:hAnsi="Times New Roman" w:cs="Times New Roman"/>
          <w:i/>
          <w:iCs/>
          <w:color w:val="000000"/>
          <w:sz w:val="18"/>
          <w:szCs w:val="18"/>
        </w:rPr>
        <w:t>“El neoliberalismo subsidiario y la búsqueda de justicia e igualdad en el acceso a la vivienda social: el caso de Santiago de Chile (1970-2015)”</w:t>
      </w:r>
      <w:r w:rsidRPr="00CF24E8">
        <w:rPr>
          <w:rFonts w:ascii="Times New Roman" w:hAnsi="Times New Roman" w:cs="Times New Roman"/>
          <w:color w:val="000000"/>
          <w:sz w:val="18"/>
          <w:szCs w:val="18"/>
        </w:rPr>
        <w:t xml:space="preserve"> Hidalgo Et Al (2016). Disponible en: http://www.scielo.org.mx/scielo.php?script=sci_arttext&amp;pid=S1870-00632016000300057</w:t>
      </w:r>
    </w:p>
  </w:footnote>
  <w:footnote w:id="86">
    <w:p w14:paraId="4230E6BD"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Hidalgo Dattwyler, Rodrigo Alejandro, Paulsen Bilbao, Abraham Gonzalo, &amp; Santana Rivas, Luis Daniel. (2016). El neoliberalismo subsidiario y la búsqueda de justicia e igualdad en el acceso a la vivienda social: el caso de Santiago de Chile (1970-2015). Andamios, 13(32), 57-81. </w:t>
      </w:r>
      <w:r w:rsidRPr="00CF24E8">
        <w:rPr>
          <w:rFonts w:ascii="Times New Roman" w:hAnsi="Times New Roman" w:cs="Times New Roman"/>
          <w:color w:val="000000"/>
          <w:sz w:val="18"/>
          <w:szCs w:val="18"/>
        </w:rPr>
        <w:t>Resultan particularmente ilustrativos de la nueva política habitacional chilena tres casos específicos: las Operaciones Confraternidad de los años 1976, 1978 y 1979, la firma de títulos de dominio en el Estadio Nacional de septiembre de 1979, y la subdivisión comunal de 1981. Al respecto ver: Celedón Forster, Alejandra. (2019). </w:t>
      </w:r>
      <w:hyperlink r:id="rId37" w:history="1">
        <w:r w:rsidRPr="00CF24E8">
          <w:rPr>
            <w:rFonts w:ascii="Times New Roman" w:hAnsi="Times New Roman" w:cs="Times New Roman"/>
            <w:i/>
            <w:iCs/>
            <w:color w:val="0000FF"/>
            <w:sz w:val="18"/>
            <w:szCs w:val="18"/>
            <w:u w:val="single"/>
          </w:rPr>
          <w:t>Operación piloto Santiago en tres actos</w:t>
        </w:r>
      </w:hyperlink>
      <w:r w:rsidRPr="00CF24E8">
        <w:rPr>
          <w:rFonts w:ascii="Times New Roman" w:hAnsi="Times New Roman" w:cs="Times New Roman"/>
          <w:color w:val="000000"/>
          <w:sz w:val="18"/>
          <w:szCs w:val="18"/>
        </w:rPr>
        <w:t>. </w:t>
      </w:r>
      <w:r w:rsidRPr="00CF24E8">
        <w:rPr>
          <w:rFonts w:ascii="Times New Roman" w:hAnsi="Times New Roman" w:cs="Times New Roman"/>
          <w:i/>
          <w:iCs/>
          <w:color w:val="000000"/>
          <w:sz w:val="18"/>
          <w:szCs w:val="18"/>
        </w:rPr>
        <w:t>Revista 180</w:t>
      </w:r>
      <w:r w:rsidRPr="00CF24E8">
        <w:rPr>
          <w:rFonts w:ascii="Times New Roman" w:hAnsi="Times New Roman" w:cs="Times New Roman"/>
          <w:color w:val="000000"/>
          <w:sz w:val="18"/>
          <w:szCs w:val="18"/>
        </w:rPr>
        <w:t>, (43), 1-12.</w:t>
      </w:r>
    </w:p>
  </w:footnote>
  <w:footnote w:id="87">
    <w:p w14:paraId="6910BF4B"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bookmarkStart w:id="5" w:name="_Hlk31122795"/>
      <w:r w:rsidRPr="00CF24E8">
        <w:rPr>
          <w:rFonts w:ascii="Times New Roman" w:hAnsi="Times New Roman" w:cs="Times New Roman"/>
          <w:sz w:val="18"/>
          <w:szCs w:val="18"/>
        </w:rPr>
        <w:t xml:space="preserve">Alfredo Rodríguez y Ana Sugranyes (eds.) (2005) </w:t>
      </w:r>
      <w:bookmarkEnd w:id="5"/>
      <w:r w:rsidRPr="00CF24E8">
        <w:rPr>
          <w:rFonts w:ascii="Times New Roman" w:hAnsi="Times New Roman" w:cs="Times New Roman"/>
          <w:sz w:val="18"/>
          <w:szCs w:val="18"/>
        </w:rPr>
        <w:t xml:space="preserve">Los con techo. Un desafío para la política de vivienda social; Hidalgo Dattwyler, Rodrigo. (2007); ¿Se acabó el suelo en la gran ciudad?: Las nuevas periferias metropolitanas de la vivienda social en Santiago de Chile. EURE (Santiago), 33(98), 57-75. </w:t>
      </w:r>
      <w:hyperlink r:id="rId38" w:history="1">
        <w:r w:rsidRPr="00CF24E8">
          <w:rPr>
            <w:rStyle w:val="Hipervnculo"/>
            <w:rFonts w:ascii="Times New Roman" w:hAnsi="Times New Roman" w:cs="Times New Roman"/>
            <w:sz w:val="18"/>
            <w:szCs w:val="18"/>
          </w:rPr>
          <w:t>https://dx.doi.org/10.4067/S0250-71612007000100004</w:t>
        </w:r>
      </w:hyperlink>
      <w:r w:rsidRPr="00CF24E8">
        <w:rPr>
          <w:rFonts w:ascii="Times New Roman" w:hAnsi="Times New Roman" w:cs="Times New Roman"/>
          <w:sz w:val="18"/>
          <w:szCs w:val="18"/>
        </w:rPr>
        <w:t xml:space="preserve">; </w:t>
      </w:r>
    </w:p>
  </w:footnote>
  <w:footnote w:id="88">
    <w:p w14:paraId="428789E5"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Alfredo Rodríguez y Ana Sugranyes (eds.) (2015) Con subsidio, sin derecho. La situación del derecho a una vivienda adecuada en Chile.</w:t>
      </w:r>
    </w:p>
  </w:footnote>
  <w:footnote w:id="89">
    <w:p w14:paraId="64C1F460"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 xml:space="preserve"> La financiarización ha sido definida como </w:t>
      </w:r>
      <w:r w:rsidRPr="00CF24E8">
        <w:rPr>
          <w:rFonts w:ascii="Times New Roman" w:hAnsi="Times New Roman" w:cs="Times New Roman"/>
          <w:i/>
          <w:iCs/>
          <w:color w:val="000000"/>
          <w:sz w:val="18"/>
          <w:szCs w:val="18"/>
        </w:rPr>
        <w:t xml:space="preserve">“el dominio creciente de actores, mercados, prácticas, narrativas [y subjetividades] financieros en varias escalas, lo que resulta en la transformación estructural de economías, empresas (incluso instituciones financieras), Estados y grupos familiares”. </w:t>
      </w:r>
      <w:r w:rsidRPr="00CF24E8">
        <w:rPr>
          <w:rFonts w:ascii="Times New Roman" w:hAnsi="Times New Roman" w:cs="Times New Roman"/>
          <w:color w:val="000000"/>
          <w:sz w:val="18"/>
          <w:szCs w:val="18"/>
        </w:rPr>
        <w:t>Cita disponible en: Rolnik, R. (2017). La guerra de los lugares. La colonización de la tierra y la vivienda en la era de las finanzas. Santiago: LOM Ediciones.</w:t>
      </w:r>
    </w:p>
  </w:footnote>
  <w:footnote w:id="90">
    <w:p w14:paraId="7FC8ED13" w14:textId="77777777" w:rsidR="00E61542" w:rsidRPr="00CF24E8" w:rsidRDefault="00E61542" w:rsidP="00D43446">
      <w:pPr>
        <w:pStyle w:val="NormalWeb"/>
        <w:spacing w:before="0" w:beforeAutospacing="0" w:after="0" w:afterAutospacing="0"/>
        <w:jc w:val="both"/>
        <w:rPr>
          <w:sz w:val="18"/>
          <w:szCs w:val="18"/>
        </w:rPr>
      </w:pPr>
      <w:r w:rsidRPr="00CF24E8">
        <w:rPr>
          <w:rStyle w:val="Refdenotaalpie"/>
          <w:sz w:val="18"/>
          <w:szCs w:val="18"/>
        </w:rPr>
        <w:footnoteRef/>
      </w:r>
      <w:r w:rsidRPr="00CF24E8">
        <w:rPr>
          <w:color w:val="000000"/>
          <w:sz w:val="18"/>
          <w:szCs w:val="18"/>
        </w:rPr>
        <w:t xml:space="preserve">Un estudio realizado por el Instituto de Estudios Urbanos y Territoriales UC y la consultora Inciti estableció que durante 2018 el 43,5 % de los departamentos nuevos en Santiago fueron comprados por inversionistas, Disponible en: </w:t>
      </w:r>
      <w:hyperlink r:id="rId39" w:history="1">
        <w:r w:rsidRPr="00CF24E8">
          <w:rPr>
            <w:color w:val="0000FF"/>
            <w:sz w:val="18"/>
            <w:szCs w:val="18"/>
            <w:u w:val="single"/>
          </w:rPr>
          <w:t>http://fadeu.uc.cl/noticias/2661-43-5-de-los-deptos-de-santiago-se-fueron-a-manos-de-inversionistas-en-2018</w:t>
        </w:r>
      </w:hyperlink>
    </w:p>
  </w:footnote>
  <w:footnote w:id="91">
    <w:p w14:paraId="5A3BE8D0"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En Chile, el 62% de las viviendas en propiedad se han comprado a través de créditos hipotecarios. Asimismo, la deuda hipotecaria como proporción del PIB alcanzó un 27% en 2017 (Fuente: Asociación de Bancos en base a Housing Finance Information Network, Banco Mundial, Banco Central de Chile y SBIF).</w:t>
      </w:r>
    </w:p>
  </w:footnote>
  <w:footnote w:id="92">
    <w:p w14:paraId="475F5797"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Mattos, Carlos A. de. (2016). Financiarización, valorización inmobiliaria del capital y mercantilización de la metamorfosis urbana. Sociologias, 18(42), 24-52. https://dx.doi.org/10.1590/15174522-018004202</w:t>
      </w:r>
    </w:p>
  </w:footnote>
  <w:footnote w:id="93">
    <w:p w14:paraId="2FB02881"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Informe de la Relatora sobre el Derecho a la Vivienda Adecuada, Leilani Farha, A/HRC/37/53/Add.1, 17 de enero 2018.</w:t>
      </w:r>
    </w:p>
  </w:footnote>
  <w:footnote w:id="94">
    <w:p w14:paraId="140E9EE1"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Comité de Derechos Económicos, Sociales y Culturales. Observaciones finales sobre el cuarto informe periódico de Chile, 7 de julio 2015.</w:t>
      </w:r>
    </w:p>
  </w:footnote>
  <w:footnote w:id="95">
    <w:p w14:paraId="0FF1D231"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Índice de Acceso a la Vivienda, Cámara Chilena de la Construcción (2019). Disponible en: https://www.cchc.cl/uploads/archivos/archivos/INDICE_DE_ACCESO_A_LA_VIVIENDA_-_28_agosto_2019.pdf</w:t>
      </w:r>
    </w:p>
  </w:footnote>
  <w:footnote w:id="96">
    <w:p w14:paraId="4B195AF9"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 xml:space="preserve">La Relatora Especial sobre el Derecho a la Vivienda Adecuada, Leilani Farha, nos presenta una dimensión completa de esta problemática en su reciente informe: </w:t>
      </w:r>
      <w:r w:rsidRPr="00CF24E8">
        <w:rPr>
          <w:rFonts w:ascii="Times New Roman" w:hAnsi="Times New Roman" w:cs="Times New Roman"/>
          <w:i/>
          <w:color w:val="000000"/>
          <w:sz w:val="18"/>
          <w:szCs w:val="18"/>
        </w:rPr>
        <w:t>“Directrices para la Aplicación del Derecho a una Vivienda Adecuada” (2020).</w:t>
      </w:r>
      <w:r w:rsidRPr="00CF24E8">
        <w:rPr>
          <w:rFonts w:ascii="Times New Roman" w:hAnsi="Times New Roman" w:cs="Times New Roman"/>
          <w:color w:val="000000"/>
          <w:sz w:val="18"/>
          <w:szCs w:val="18"/>
        </w:rPr>
        <w:t xml:space="preserve"> Disponible en: </w:t>
      </w:r>
      <w:hyperlink r:id="rId40" w:history="1">
        <w:r w:rsidRPr="00CF24E8">
          <w:rPr>
            <w:rStyle w:val="Hipervnculo"/>
            <w:rFonts w:ascii="Times New Roman" w:hAnsi="Times New Roman" w:cs="Times New Roman"/>
            <w:sz w:val="18"/>
            <w:szCs w:val="18"/>
          </w:rPr>
          <w:t>https://undocs.org/es/A/HRC/43/43</w:t>
        </w:r>
      </w:hyperlink>
      <w:r w:rsidRPr="00CF24E8">
        <w:rPr>
          <w:rFonts w:ascii="Times New Roman" w:hAnsi="Times New Roman" w:cs="Times New Roman"/>
          <w:color w:val="000000"/>
          <w:sz w:val="18"/>
          <w:szCs w:val="18"/>
        </w:rPr>
        <w:t xml:space="preserve"> </w:t>
      </w:r>
    </w:p>
  </w:footnote>
  <w:footnote w:id="97">
    <w:p w14:paraId="26C3CCA3" w14:textId="77777777" w:rsidR="00E61542" w:rsidRPr="00CF24E8" w:rsidRDefault="00E61542" w:rsidP="00D43446">
      <w:pPr>
        <w:pStyle w:val="Textonotapie"/>
        <w:jc w:val="both"/>
        <w:rPr>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La situación descrita atenta abiertamente contra el atributo de gastos soportables propuesta por el CDESC en 1991.</w:t>
      </w:r>
      <w:r w:rsidRPr="00C35C22" w:rsidDel="00C35C22">
        <w:rPr>
          <w:highlight w:val="yellow"/>
        </w:rPr>
        <w:t xml:space="preserve"> </w:t>
      </w:r>
    </w:p>
  </w:footnote>
  <w:footnote w:id="98">
    <w:p w14:paraId="40410B7A" w14:textId="77777777" w:rsidR="00E61542" w:rsidRPr="00CF24E8" w:rsidRDefault="00E61542" w:rsidP="00E01FB8">
      <w:pPr>
        <w:pStyle w:val="Textonotapie"/>
        <w:jc w:val="both"/>
        <w:rPr>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Arriendos por las nubes: efecto de la creciente concentración de la propiedad. Por Ernesto López Morales y Nicolás Herrera Castillo (CIPER 2018). Disponible en: https://ciperchile.cl/2018/07/25/arriendos-por-las-nubes-efecto-de-la-creciente-concentracion-de-la-propiedad/</w:t>
      </w:r>
    </w:p>
  </w:footnote>
  <w:footnote w:id="99">
    <w:p w14:paraId="1A622967" w14:textId="77777777" w:rsidR="00E61542" w:rsidRPr="00CF24E8" w:rsidRDefault="00E61542" w:rsidP="00E01FB8">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 xml:space="preserve">Es importante relevar otro aspecto particular de la política de vivienda en Chile: el énfasis en el acceso a la vivienda a través de la propiedad. El denominado “sueño de la casa propia” estuvo fuertemente impulsado por la política habitacional desarrollada en dictadura </w:t>
      </w:r>
      <w:r w:rsidRPr="00CF24E8">
        <w:rPr>
          <w:rFonts w:ascii="Times New Roman" w:hAnsi="Times New Roman" w:cs="Times New Roman"/>
          <w:i/>
          <w:iCs/>
          <w:color w:val="000000"/>
          <w:sz w:val="18"/>
          <w:szCs w:val="18"/>
        </w:rPr>
        <w:t xml:space="preserve">("Nación es tratar de hacer de Chile un país de propietarios y no de proletarios" </w:t>
      </w:r>
      <w:r w:rsidRPr="00CF24E8">
        <w:rPr>
          <w:rFonts w:ascii="Times New Roman" w:hAnsi="Times New Roman" w:cs="Times New Roman"/>
          <w:color w:val="000000"/>
          <w:sz w:val="18"/>
          <w:szCs w:val="18"/>
        </w:rPr>
        <w:t>A. Pinochet 1987</w:t>
      </w:r>
      <w:r w:rsidRPr="00CF24E8">
        <w:rPr>
          <w:rFonts w:ascii="Times New Roman" w:hAnsi="Times New Roman" w:cs="Times New Roman"/>
          <w:i/>
          <w:iCs/>
          <w:color w:val="000000"/>
          <w:sz w:val="18"/>
          <w:szCs w:val="18"/>
        </w:rPr>
        <w:t>)</w:t>
      </w:r>
      <w:r w:rsidRPr="00CF24E8">
        <w:rPr>
          <w:rFonts w:ascii="Times New Roman" w:hAnsi="Times New Roman" w:cs="Times New Roman"/>
          <w:color w:val="000000"/>
          <w:sz w:val="18"/>
          <w:szCs w:val="18"/>
        </w:rPr>
        <w:t xml:space="preserve">, y tiene una fuerte raigambre cultural. Dicho anhelo es sumamente interesante en el contexto chileno, debido a que las personas esperan encontrar en el acceso a la propiedad un instrumento privado de seguridad social futura ante la fragilidad de sistemas de salud y pensiones. Lo anterior es un ejemplo ineludible de la interdependencia de los derechos humanos. Un estudio más acabado al respecto lo podemos encontrar en Vergara y Aguirre (2019). Disponible en: </w:t>
      </w:r>
      <w:hyperlink r:id="rId41" w:history="1">
        <w:r w:rsidRPr="00CF24E8">
          <w:rPr>
            <w:rFonts w:ascii="Times New Roman" w:hAnsi="Times New Roman" w:cs="Times New Roman"/>
            <w:color w:val="0000FF"/>
            <w:sz w:val="18"/>
            <w:szCs w:val="18"/>
            <w:u w:val="single"/>
          </w:rPr>
          <w:t>https://revistascientificas.us.es/index.php/HyS/article/view/8700/9593</w:t>
        </w:r>
      </w:hyperlink>
      <w:r w:rsidRPr="00CF24E8">
        <w:rPr>
          <w:rFonts w:ascii="Times New Roman" w:hAnsi="Times New Roman" w:cs="Times New Roman"/>
          <w:color w:val="000000"/>
          <w:sz w:val="18"/>
          <w:szCs w:val="18"/>
        </w:rPr>
        <w:t>.</w:t>
      </w:r>
    </w:p>
  </w:footnote>
  <w:footnote w:id="100">
    <w:p w14:paraId="408E5C50"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Sabatini, F., &amp; Vergara, L. (2018). ¿Apoyo a lugares o apoyo a personas? Dos proyectos chilenos de vivienda socialmente integrada. Revista INVI, 33(94), 9-48.</w:t>
      </w:r>
    </w:p>
  </w:footnote>
  <w:footnote w:id="101">
    <w:p w14:paraId="30782D66"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 xml:space="preserve">Una dimensión completa de esta problemática la podemos encontrar en </w:t>
      </w:r>
      <w:r w:rsidRPr="00CF24E8">
        <w:rPr>
          <w:rFonts w:ascii="Times New Roman" w:hAnsi="Times New Roman" w:cs="Times New Roman"/>
          <w:i/>
          <w:iCs/>
          <w:color w:val="000000"/>
          <w:sz w:val="18"/>
          <w:szCs w:val="18"/>
        </w:rPr>
        <w:t>“Con subsidio sin derecho: la situación del derecho a la vivienda adecuada en Chile” (</w:t>
      </w:r>
      <w:r w:rsidRPr="00CF24E8">
        <w:rPr>
          <w:rFonts w:ascii="Times New Roman" w:hAnsi="Times New Roman" w:cs="Times New Roman"/>
          <w:color w:val="000000"/>
          <w:sz w:val="18"/>
          <w:szCs w:val="18"/>
        </w:rPr>
        <w:t xml:space="preserve">Sungranyes Et Al, 2015). Disponible en: </w:t>
      </w:r>
      <w:hyperlink r:id="rId42" w:history="1">
        <w:r w:rsidRPr="00CF24E8">
          <w:rPr>
            <w:rFonts w:ascii="Times New Roman" w:hAnsi="Times New Roman" w:cs="Times New Roman"/>
            <w:color w:val="0000FF"/>
            <w:sz w:val="18"/>
            <w:szCs w:val="18"/>
            <w:u w:val="single"/>
          </w:rPr>
          <w:t>http://www.sitiosur.cl/para-descargar-con-subsidio-sin-derecho-la-situacion-del-derecho-a-una-vivienda-adecuada-en-chile/</w:t>
        </w:r>
      </w:hyperlink>
    </w:p>
  </w:footnote>
  <w:footnote w:id="102">
    <w:p w14:paraId="0D726EB6"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 xml:space="preserve"> Siguiendo a Valenzuela, es importante destacar que </w:t>
      </w:r>
      <w:r w:rsidRPr="00CF24E8">
        <w:rPr>
          <w:rFonts w:ascii="Times New Roman" w:hAnsi="Times New Roman" w:cs="Times New Roman"/>
          <w:i/>
          <w:iCs/>
          <w:color w:val="000000"/>
          <w:sz w:val="18"/>
          <w:szCs w:val="18"/>
        </w:rPr>
        <w:t xml:space="preserve">“la informalidad de la vivienda no se encuentra solo en los campamentos. Si definimos la informalidad urbana como la transgresión del marco normativo que regula el desarrollo urbano, podemos distinguir entre al menos cuatro modalidades de la informalidad que persisten en nuestras ciudades y que no existen solamente en los campamentos catastrados por el MINVU: la informalidad que tiene que ver con la construcción de la vivienda (autoconstrucción); la que se relaciona con la forma de ocupación del sitio (ocupación de hecho, cesiones de derechos, ausencia de título de dominio); la que tiene que ver con las normas urbanísticas (localización en zonas restringidas por los instrumentos de planificación; acceso irregular a servicios básicos); y la que proviene de un mercado informal (subarriendo de habitaciones; compraventa de sitios ocupados irregularmente).” </w:t>
      </w:r>
      <w:r w:rsidRPr="00CF24E8">
        <w:rPr>
          <w:rFonts w:ascii="Times New Roman" w:hAnsi="Times New Roman" w:cs="Times New Roman"/>
          <w:color w:val="000000"/>
          <w:sz w:val="18"/>
          <w:szCs w:val="18"/>
        </w:rPr>
        <w:t>Disponible en: http://revistaplaneo.cl/2019/06/12/la-nueva-vieja-pobreza-y-la-persistencia-de-la-informalidad-urbana/</w:t>
      </w:r>
    </w:p>
  </w:footnote>
  <w:footnote w:id="103">
    <w:p w14:paraId="7A0DE89F"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Valenzuela, Felipe. La nueva-vieja pobreza y la persistencia de la informalidad urbana. Revista Planeo Nº 40 Ciudad Informal, Junio 2019.</w:t>
      </w:r>
    </w:p>
  </w:footnote>
  <w:footnote w:id="104">
    <w:p w14:paraId="02A217EC"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El Servicio de Vivienda y Urbanización (SERVIU) es una institución autónoma del Estado en cada región de Chile, que se relaciona con el Gobierno a través del Ministerio de Vivienda y Urbanismo, posee Personalidad Jurídica de derecho público, con patrimonio distinto del Fisco y de duración indefinida.</w:t>
      </w:r>
    </w:p>
  </w:footnote>
  <w:footnote w:id="105">
    <w:p w14:paraId="1F7C6B77"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 xml:space="preserve">Una breve reseña histórica de las manifestaciones recientes en Chile, disponible en la siguiente nota: </w:t>
      </w:r>
      <w:hyperlink r:id="rId43" w:history="1">
        <w:r w:rsidRPr="00CF24E8">
          <w:rPr>
            <w:rFonts w:ascii="Times New Roman" w:hAnsi="Times New Roman" w:cs="Times New Roman"/>
            <w:color w:val="0000FF"/>
            <w:sz w:val="18"/>
            <w:szCs w:val="18"/>
            <w:u w:val="single"/>
          </w:rPr>
          <w:t>https://ciperchile.cl/2019/10/27/el-reventon-social-en-chile-una-mirada-historica/</w:t>
        </w:r>
      </w:hyperlink>
      <w:r w:rsidRPr="00CF24E8">
        <w:rPr>
          <w:rFonts w:ascii="Times New Roman" w:hAnsi="Times New Roman" w:cs="Times New Roman"/>
          <w:color w:val="000000"/>
          <w:sz w:val="18"/>
          <w:szCs w:val="18"/>
        </w:rPr>
        <w:t xml:space="preserve"> (Salazar, Gabriel. 2019)</w:t>
      </w:r>
    </w:p>
  </w:footnote>
  <w:footnote w:id="106">
    <w:p w14:paraId="03336697" w14:textId="77777777" w:rsidR="00E61542" w:rsidRPr="00CF24E8" w:rsidRDefault="00E61542" w:rsidP="00D43446">
      <w:pPr>
        <w:pStyle w:val="Textonotapie"/>
        <w:jc w:val="both"/>
        <w:rPr>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Hacia una Nueva Política Urbana para Chile. Política Nacional de Desarrollo Urbano (2014).</w:t>
      </w:r>
      <w:r>
        <w:rPr>
          <w:lang w:val="es-CL"/>
        </w:rPr>
        <w:t xml:space="preserve"> </w:t>
      </w:r>
    </w:p>
  </w:footnote>
  <w:footnote w:id="107">
    <w:p w14:paraId="65F3555E" w14:textId="77777777" w:rsidR="00E61542" w:rsidRPr="00CF24E8" w:rsidRDefault="00E61542" w:rsidP="00D43446">
      <w:pPr>
        <w:pStyle w:val="Textonotapie"/>
        <w:jc w:val="both"/>
        <w:rPr>
          <w:rFonts w:ascii="Times New Roman" w:hAnsi="Times New Roman" w:cs="Times New Roman"/>
          <w:sz w:val="18"/>
          <w:szCs w:val="18"/>
          <w:lang w:val="es-CL"/>
        </w:rPr>
      </w:pPr>
      <w:bookmarkStart w:id="7" w:name="_Hlk31125436"/>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Reporte d</w:t>
      </w:r>
      <w:bookmarkStart w:id="8" w:name="_Hlk31125466"/>
      <w:r w:rsidRPr="00CF24E8">
        <w:rPr>
          <w:rFonts w:ascii="Times New Roman" w:hAnsi="Times New Roman" w:cs="Times New Roman"/>
          <w:color w:val="000000"/>
          <w:sz w:val="18"/>
          <w:szCs w:val="18"/>
        </w:rPr>
        <w:t>e Atisba Monitor (2017). Barrios Críticos Narcotráfico: segregación y violencia urbana.</w:t>
      </w:r>
      <w:r w:rsidRPr="00CF24E8">
        <w:rPr>
          <w:rFonts w:ascii="Times New Roman" w:hAnsi="Times New Roman" w:cs="Times New Roman"/>
          <w:sz w:val="18"/>
          <w:szCs w:val="18"/>
          <w:lang w:val="es-CL"/>
        </w:rPr>
        <w:t xml:space="preserve"> </w:t>
      </w:r>
      <w:bookmarkEnd w:id="8"/>
    </w:p>
    <w:bookmarkEnd w:id="7"/>
  </w:footnote>
  <w:footnote w:id="108">
    <w:p w14:paraId="431EDEED"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Reporte de Atisba Monitor (2018). Barrios Críticos Narcotráfico: segregación y violencia urbana.</w:t>
      </w:r>
    </w:p>
  </w:footnote>
  <w:footnote w:id="109">
    <w:p w14:paraId="125B0A89" w14:textId="77777777" w:rsidR="00E61542" w:rsidRPr="00824291" w:rsidRDefault="00E61542" w:rsidP="00D43446">
      <w:pPr>
        <w:pStyle w:val="NormalWeb"/>
        <w:spacing w:before="0" w:beforeAutospacing="0" w:after="0" w:afterAutospacing="0"/>
        <w:jc w:val="both"/>
        <w:rPr>
          <w:sz w:val="16"/>
          <w:szCs w:val="16"/>
        </w:rPr>
      </w:pPr>
      <w:r w:rsidRPr="00CF24E8">
        <w:rPr>
          <w:rStyle w:val="Refdenotaalpie"/>
          <w:sz w:val="18"/>
          <w:szCs w:val="18"/>
        </w:rPr>
        <w:footnoteRef/>
      </w:r>
      <w:r w:rsidRPr="00CF24E8">
        <w:rPr>
          <w:sz w:val="18"/>
          <w:szCs w:val="18"/>
        </w:rPr>
        <w:t xml:space="preserve"> </w:t>
      </w:r>
      <w:r w:rsidRPr="00CF24E8">
        <w:rPr>
          <w:color w:val="000000"/>
          <w:sz w:val="18"/>
          <w:szCs w:val="18"/>
        </w:rPr>
        <w:t>Boletín 12288. Debido a la falta de consenso del Proyecto en cuestión, el ejecutivo recientemente ha anunciado la formulación de una indicación sustitutiva. Más información disponible en:</w:t>
      </w:r>
      <w:r w:rsidRPr="00CF24E8">
        <w:rPr>
          <w:color w:val="000000"/>
          <w:sz w:val="18"/>
          <w:szCs w:val="18"/>
          <w:u w:val="single"/>
        </w:rPr>
        <w:t xml:space="preserve"> </w:t>
      </w:r>
      <w:r w:rsidRPr="00CF24E8">
        <w:rPr>
          <w:color w:val="0000FF"/>
          <w:sz w:val="18"/>
          <w:szCs w:val="18"/>
          <w:u w:val="single"/>
        </w:rPr>
        <w:t>https://www.senado.cl/proyecto-integracion-social-y-urbana-ingresaria-indicacion-sustitutiva/senado/2019-12-23/172607.html</w:t>
      </w:r>
    </w:p>
  </w:footnote>
  <w:footnote w:id="110">
    <w:p w14:paraId="49AFD47A" w14:textId="77777777" w:rsidR="00E61542" w:rsidRPr="00CF24E8" w:rsidRDefault="00E61542" w:rsidP="00D43446">
      <w:pPr>
        <w:pStyle w:val="Textonotapie"/>
        <w:jc w:val="both"/>
        <w:rPr>
          <w:rFonts w:ascii="Times New Roman" w:hAnsi="Times New Roman" w:cs="Times New Roman"/>
          <w:color w:val="000000"/>
          <w:sz w:val="18"/>
          <w:szCs w:val="18"/>
          <w:lang w:val="en-US"/>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lang w:val="en-US"/>
        </w:rPr>
        <w:t xml:space="preserve"> </w:t>
      </w:r>
      <w:r w:rsidRPr="00CF24E8">
        <w:rPr>
          <w:rFonts w:ascii="Times New Roman" w:hAnsi="Times New Roman" w:cs="Times New Roman"/>
          <w:color w:val="000000"/>
          <w:sz w:val="18"/>
          <w:szCs w:val="18"/>
          <w:lang w:val="en-US"/>
        </w:rPr>
        <w:t>Calavita, Nico; Mallach, Allan (2009). Inclusionary Housing, Incentives, and Land Value Recapture.</w:t>
      </w:r>
    </w:p>
  </w:footnote>
  <w:footnote w:id="111">
    <w:p w14:paraId="79773AB0" w14:textId="77777777" w:rsidR="00E61542" w:rsidRPr="00CF24E8" w:rsidRDefault="00E61542" w:rsidP="00D43446">
      <w:pPr>
        <w:pStyle w:val="Textonotapie"/>
        <w:jc w:val="both"/>
        <w:rPr>
          <w:rFonts w:ascii="Times New Roman" w:hAnsi="Times New Roman" w:cs="Times New Roman"/>
          <w:sz w:val="18"/>
          <w:szCs w:val="18"/>
          <w:lang w:val="en-US"/>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lang w:val="en-US"/>
        </w:rPr>
        <w:t xml:space="preserve"> </w:t>
      </w:r>
      <w:hyperlink r:id="rId44" w:history="1">
        <w:r w:rsidRPr="00CF24E8">
          <w:rPr>
            <w:rFonts w:ascii="Times New Roman" w:hAnsi="Times New Roman" w:cs="Times New Roman"/>
            <w:color w:val="0000FF"/>
            <w:sz w:val="18"/>
            <w:szCs w:val="18"/>
            <w:u w:val="single"/>
            <w:lang w:val="en-US"/>
          </w:rPr>
          <w:t>https://www.elmostrador.cl/agenda-pais/2019/10/24/anuncio-de-redistribucion-de-fondos-municipales-un-primer-paso-pero-falta/</w:t>
        </w:r>
      </w:hyperlink>
    </w:p>
  </w:footnote>
  <w:footnote w:id="112">
    <w:p w14:paraId="6E136121" w14:textId="77777777" w:rsidR="00E61542" w:rsidRPr="00CF24E8" w:rsidRDefault="00E61542" w:rsidP="00D43446">
      <w:pPr>
        <w:pStyle w:val="NormalWeb"/>
        <w:spacing w:before="0" w:beforeAutospacing="0" w:after="0" w:afterAutospacing="0"/>
        <w:jc w:val="both"/>
        <w:rPr>
          <w:sz w:val="18"/>
          <w:szCs w:val="18"/>
        </w:rPr>
      </w:pPr>
      <w:r w:rsidRPr="00CF24E8">
        <w:rPr>
          <w:rStyle w:val="Refdenotaalpie"/>
          <w:sz w:val="18"/>
          <w:szCs w:val="18"/>
        </w:rPr>
        <w:footnoteRef/>
      </w:r>
      <w:r w:rsidRPr="00CF24E8">
        <w:rPr>
          <w:sz w:val="18"/>
          <w:szCs w:val="18"/>
        </w:rPr>
        <w:t xml:space="preserve"> </w:t>
      </w:r>
      <w:r w:rsidRPr="00CF24E8">
        <w:rPr>
          <w:color w:val="000000"/>
          <w:sz w:val="18"/>
          <w:szCs w:val="18"/>
        </w:rPr>
        <w:t>Ver “</w:t>
      </w:r>
      <w:r w:rsidRPr="00CF24E8">
        <w:rPr>
          <w:i/>
          <w:iCs/>
          <w:color w:val="000000"/>
          <w:sz w:val="18"/>
          <w:szCs w:val="18"/>
        </w:rPr>
        <w:t xml:space="preserve">Fondo Común Municipal y su desincentivo a la recaudación en Chile”. </w:t>
      </w:r>
      <w:r w:rsidRPr="00CF24E8">
        <w:rPr>
          <w:color w:val="000000"/>
          <w:sz w:val="18"/>
          <w:szCs w:val="18"/>
        </w:rPr>
        <w:t xml:space="preserve">Centro de Políticas Públicas UC (2014). Disponible en: </w:t>
      </w:r>
      <w:hyperlink r:id="rId45" w:history="1">
        <w:r w:rsidRPr="00CF24E8">
          <w:rPr>
            <w:color w:val="0000FF"/>
            <w:sz w:val="18"/>
            <w:szCs w:val="18"/>
            <w:u w:val="single"/>
          </w:rPr>
          <w:t>https://politicaspublicas.uc.cl/wp-content/uploads/2015/02/fondo-comun-municipal-y-su-desincentivo-a-la-recaudacion-en-chile.pdf</w:t>
        </w:r>
      </w:hyperlink>
    </w:p>
  </w:footnote>
  <w:footnote w:id="113">
    <w:p w14:paraId="78821E1B"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color w:val="000000"/>
          <w:sz w:val="18"/>
          <w:szCs w:val="18"/>
        </w:rPr>
        <w:t>Al respecto, ver “Observaciones finales sobre el cuarto informe periódico de Chile” (CDESC, 2015) e Informe de la Relatora del Derecho a la Vivienda Adecuada (2018).</w:t>
      </w:r>
      <w:r w:rsidRPr="00CF24E8">
        <w:rPr>
          <w:rFonts w:ascii="Times New Roman" w:hAnsi="Times New Roman" w:cs="Times New Roman"/>
          <w:sz w:val="18"/>
          <w:szCs w:val="18"/>
        </w:rPr>
        <w:t xml:space="preserve"> </w:t>
      </w:r>
    </w:p>
  </w:footnote>
  <w:footnote w:id="114">
    <w:p w14:paraId="32C9DA09"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Un ejemplo reciente lo encontramos en un violento desalojo que tuvo lugar en la comuna de Cerro Navia. Más información disponible en: https://www.indh.cl/indh-cuestiona-violento-procedimiento-policial-en-desalojo-de-pobladores-de-cerro-navia/</w:t>
      </w:r>
    </w:p>
  </w:footnote>
  <w:footnote w:id="115">
    <w:p w14:paraId="04BE583A" w14:textId="77777777" w:rsidR="00E61542" w:rsidRPr="00CF24E8" w:rsidRDefault="00E61542" w:rsidP="00D43446">
      <w:pPr>
        <w:pStyle w:val="NormalWeb"/>
        <w:spacing w:before="0" w:beforeAutospacing="0" w:after="0" w:afterAutospacing="0"/>
        <w:jc w:val="both"/>
        <w:rPr>
          <w:sz w:val="18"/>
          <w:szCs w:val="18"/>
        </w:rPr>
      </w:pPr>
      <w:r w:rsidRPr="00CF24E8">
        <w:rPr>
          <w:rStyle w:val="Refdenotaalpie"/>
          <w:sz w:val="18"/>
          <w:szCs w:val="18"/>
        </w:rPr>
        <w:footnoteRef/>
      </w:r>
      <w:r w:rsidRPr="00CF24E8">
        <w:rPr>
          <w:sz w:val="18"/>
          <w:szCs w:val="18"/>
        </w:rPr>
        <w:t xml:space="preserve"> </w:t>
      </w:r>
      <w:r w:rsidRPr="00CF24E8">
        <w:rPr>
          <w:color w:val="000000"/>
          <w:sz w:val="18"/>
          <w:szCs w:val="18"/>
        </w:rPr>
        <w:t xml:space="preserve">Mediante Oficio Circular Nº 19 de 7 de marzo de 2017, emanada del Subsecretario del Interior, del Ministerio del Interior y Seguridad Pública, se contemplaba un procedimiento de desalojo participativo, fijando plazos prudentes de notificación y velando por el principio de la información, asegurando la presencia de funcionarios del Estado que cautelaran la seguridad y la integridad de las personas, teniendo especial consideración a personas que se encontraban en situación de especial vulnerabilidad, como los niños, niñas y adolescentes, o adultos mayores, entre otras facultades. Dicha circular fue dejada sin efecto por la Resolución Exenta Nº 2.137, argumentando que adolecería de vicios de ilegalidad y atentaría contra el Estado de Derecho, restringiendo las facultades que la Ley Nº 20.502 le confería a la Subsecretaría del Interior. La medida en comento nos parece gravemente atentatoria contra los tratados internacionales de derechos humanos suscritos y ratificados por Chile, teniendo especialmente en consideración que no se consideró ningún instrumento de reemplazo a dicho protocolo, dejando en manos de la discrecionalidad administrativa la regulación del respectivo procedimiento. Más información al respecto en </w:t>
      </w:r>
      <w:r w:rsidRPr="00CF24E8">
        <w:rPr>
          <w:i/>
          <w:iCs/>
          <w:color w:val="000000"/>
          <w:sz w:val="18"/>
          <w:szCs w:val="18"/>
        </w:rPr>
        <w:t xml:space="preserve">“Desalojos forzosos en Chile con miras al Derecho Internacional de Derechos Humanos” </w:t>
      </w:r>
      <w:r w:rsidRPr="00CF24E8">
        <w:rPr>
          <w:color w:val="000000"/>
          <w:sz w:val="18"/>
          <w:szCs w:val="18"/>
        </w:rPr>
        <w:t xml:space="preserve">Torres, T. (2019). Disponible en: </w:t>
      </w:r>
      <w:hyperlink r:id="rId46" w:history="1">
        <w:r w:rsidRPr="00CF24E8">
          <w:rPr>
            <w:color w:val="0000FF"/>
            <w:sz w:val="18"/>
            <w:szCs w:val="18"/>
            <w:u w:val="single"/>
          </w:rPr>
          <w:t>https://scielo.conicyt.cl/scielo.php?script=sci_arttext&amp;pid=S0718-09502019000100193</w:t>
        </w:r>
      </w:hyperlink>
    </w:p>
    <w:p w14:paraId="154B4B17" w14:textId="77777777" w:rsidR="00E61542" w:rsidRPr="004E5E3C" w:rsidRDefault="00E61542" w:rsidP="00D43446">
      <w:pPr>
        <w:pStyle w:val="Textonotapie"/>
        <w:rPr>
          <w:rFonts w:ascii="Times New Roman" w:hAnsi="Times New Roman" w:cs="Times New Roman"/>
          <w:sz w:val="16"/>
          <w:szCs w:val="16"/>
        </w:rPr>
      </w:pPr>
    </w:p>
  </w:footnote>
  <w:footnote w:id="116">
    <w:p w14:paraId="048C76AB"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lang w:val="es-CL"/>
        </w:rPr>
        <w:t xml:space="preserve"> </w:t>
      </w:r>
      <w:r w:rsidRPr="00CF24E8">
        <w:rPr>
          <w:rFonts w:ascii="Times New Roman" w:hAnsi="Times New Roman" w:cs="Times New Roman"/>
          <w:color w:val="000000"/>
          <w:sz w:val="18"/>
          <w:szCs w:val="18"/>
        </w:rPr>
        <w:t xml:space="preserve">En cuanto a la reivindicación del espacio urbano, compartimos la opinión de Leilani Farha, y por tanto entendemos que “Los asentamientos informales son logros significativos de sus residentes, que han creado comunidades vibrantes y autosuficientes en las circunstancias más adversas.” </w:t>
      </w:r>
    </w:p>
  </w:footnote>
  <w:footnote w:id="117">
    <w:p w14:paraId="1BB13246"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Catastro Nacional de Campamentos. Ministerio de Vivienda y Urbanismo (2019).</w:t>
      </w:r>
    </w:p>
  </w:footnote>
  <w:footnote w:id="118">
    <w:p w14:paraId="77E26B16" w14:textId="77777777" w:rsidR="00E61542" w:rsidRPr="00CF24E8" w:rsidRDefault="00E61542" w:rsidP="00D43446">
      <w:pPr>
        <w:pStyle w:val="Textonotapie"/>
        <w:jc w:val="both"/>
        <w:rPr>
          <w:rFonts w:ascii="Times New Roman" w:hAnsi="Times New Roman" w:cs="Times New Roman"/>
          <w:sz w:val="18"/>
          <w:szCs w:val="18"/>
          <w:lang w:val="es-CL"/>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Catastro Nacional de Campamentos. Fundación Un Techo Para Chile (2015).</w:t>
      </w:r>
    </w:p>
  </w:footnote>
  <w:footnote w:id="119">
    <w:p w14:paraId="44332C05"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La CChC señala que la vivienda en Chile es “severamente inalcanzable” para una familia que percibe el ingreso promedio ($900 mil pesos aprox.). En conformidad al estudio indicado, una familia promedio debe destinar de forma íntegra su salario por 7,6 años para pagar un inmueble. Esto equivale a un crédito hipotecario de 45 años, en caso de que el dividendo no sobrepase el 25% del ingreso familiar mensual.</w:t>
      </w:r>
    </w:p>
  </w:footnote>
  <w:footnote w:id="120">
    <w:p w14:paraId="7A2C8D8F" w14:textId="77777777" w:rsidR="00E61542" w:rsidRPr="00CF24E8" w:rsidRDefault="00E61542" w:rsidP="00D43446">
      <w:pPr>
        <w:pStyle w:val="Textonotapie"/>
        <w:jc w:val="both"/>
        <w:rPr>
          <w:rFonts w:ascii="Times New Roman" w:hAnsi="Times New Roman" w:cs="Times New Roman"/>
          <w:sz w:val="18"/>
          <w:szCs w:val="18"/>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 xml:space="preserve"> Un ejemplo grotesco de la falta de regulación lo representan los edificios hiperdensificados ubicados en Estación Central. </w:t>
      </w:r>
      <w:r w:rsidRPr="00CF24E8">
        <w:rPr>
          <w:rFonts w:ascii="Times New Roman" w:hAnsi="Times New Roman" w:cs="Times New Roman"/>
          <w:i/>
          <w:iCs/>
          <w:color w:val="000000"/>
          <w:sz w:val="18"/>
          <w:szCs w:val="18"/>
        </w:rPr>
        <w:t>Al respecto, “Verticalización. La edificación en altura en la Región Metropolitana de Santiago (1990-2014).</w:t>
      </w:r>
      <w:r w:rsidRPr="00CF24E8">
        <w:rPr>
          <w:rFonts w:ascii="Times New Roman" w:hAnsi="Times New Roman" w:cs="Times New Roman"/>
          <w:color w:val="000000"/>
          <w:sz w:val="18"/>
          <w:szCs w:val="18"/>
        </w:rPr>
        <w:t xml:space="preserve"> Vergara J. Disponible en: </w:t>
      </w:r>
      <w:hyperlink r:id="rId47" w:history="1">
        <w:r w:rsidRPr="00CF24E8">
          <w:rPr>
            <w:rFonts w:ascii="Times New Roman" w:hAnsi="Times New Roman" w:cs="Times New Roman"/>
            <w:color w:val="0000FF"/>
            <w:sz w:val="18"/>
            <w:szCs w:val="18"/>
            <w:u w:val="single"/>
          </w:rPr>
          <w:t>https://scielo.conicyt.cl/scielo.php?script=sci_arttext&amp;pid=S0718-83582017000200009</w:t>
        </w:r>
      </w:hyperlink>
    </w:p>
  </w:footnote>
  <w:footnote w:id="121">
    <w:p w14:paraId="634351B9" w14:textId="1FD14D89" w:rsidR="00E61542" w:rsidRPr="00CF24E8" w:rsidRDefault="00E61542" w:rsidP="00D43446">
      <w:pPr>
        <w:pStyle w:val="Textonotapie"/>
        <w:jc w:val="both"/>
        <w:rPr>
          <w:lang w:val="es-ES"/>
        </w:rPr>
      </w:pPr>
      <w:r w:rsidRPr="00CF24E8">
        <w:rPr>
          <w:rStyle w:val="Refdenotaalpie"/>
          <w:rFonts w:ascii="Times New Roman" w:hAnsi="Times New Roman"/>
          <w:sz w:val="18"/>
          <w:szCs w:val="18"/>
        </w:rPr>
        <w:footnoteRef/>
      </w:r>
      <w:r w:rsidRPr="00CF24E8">
        <w:rPr>
          <w:rFonts w:ascii="Times New Roman" w:hAnsi="Times New Roman" w:cs="Times New Roman"/>
          <w:sz w:val="18"/>
          <w:szCs w:val="18"/>
        </w:rPr>
        <w:t xml:space="preserve"> </w:t>
      </w:r>
      <w:r w:rsidRPr="00CF24E8">
        <w:rPr>
          <w:rFonts w:ascii="Times New Roman" w:hAnsi="Times New Roman" w:cs="Times New Roman"/>
          <w:color w:val="000000"/>
          <w:sz w:val="18"/>
          <w:szCs w:val="18"/>
        </w:rPr>
        <w:t>En este aspecto nos preocupa particularmente el Decreto Supremo Nº 56 que regula las denominadas “Zonas de Integración Urbana”. En dicho instrumento se regula la posibilidad de realizar proyectos urbanos en grandes extensiones de terreno, sin establecer ninguna obligación de participación ciudadana.</w:t>
      </w:r>
      <w:r>
        <w:rPr>
          <w:rFonts w:ascii="Times New Roman" w:hAnsi="Times New Roman" w:cs="Times New Roman"/>
          <w:color w:val="000000"/>
          <w:sz w:val="16"/>
          <w:szCs w:val="16"/>
        </w:rPr>
        <w:t xml:space="preserve"> </w:t>
      </w:r>
    </w:p>
  </w:footnote>
  <w:footnote w:id="122">
    <w:p w14:paraId="08E49A25" w14:textId="1628E461" w:rsidR="00E61542" w:rsidRPr="0056525B" w:rsidRDefault="00E61542">
      <w:pPr>
        <w:pStyle w:val="Textonotapie"/>
      </w:pPr>
      <w:r w:rsidRPr="0056525B">
        <w:rPr>
          <w:rStyle w:val="Refdenotaalpie"/>
          <w:rFonts w:ascii="Times New Roman" w:hAnsi="Times New Roman"/>
          <w:sz w:val="18"/>
          <w:szCs w:val="18"/>
        </w:rPr>
        <w:footnoteRef/>
      </w:r>
      <w:r w:rsidRPr="0056525B">
        <w:rPr>
          <w:rStyle w:val="Refdenotaalpie"/>
          <w:rFonts w:ascii="Times New Roman" w:hAnsi="Times New Roman"/>
          <w:sz w:val="18"/>
          <w:szCs w:val="18"/>
        </w:rPr>
        <w:t xml:space="preserve"> </w:t>
      </w:r>
      <w:r>
        <w:rPr>
          <w:rFonts w:ascii="Times New Roman" w:hAnsi="Times New Roman"/>
          <w:sz w:val="18"/>
          <w:szCs w:val="18"/>
        </w:rPr>
        <w:t xml:space="preserve">Supra (Nº24). </w:t>
      </w:r>
    </w:p>
  </w:footnote>
  <w:footnote w:id="123">
    <w:p w14:paraId="4382F445" w14:textId="77777777" w:rsidR="00E61542" w:rsidRPr="00E448C5" w:rsidRDefault="00E61542" w:rsidP="00D43446">
      <w:pPr>
        <w:pStyle w:val="Textonotapie"/>
        <w:jc w:val="both"/>
        <w:rPr>
          <w:rFonts w:ascii="Times New Roman" w:hAnsi="Times New Roman" w:cs="Times New Roman"/>
          <w:sz w:val="18"/>
          <w:szCs w:val="18"/>
        </w:rPr>
      </w:pPr>
      <w:r w:rsidRPr="003E4533">
        <w:rPr>
          <w:rStyle w:val="Refdenotaalpie"/>
          <w:rFonts w:ascii="Times New Roman" w:hAnsi="Times New Roman"/>
          <w:sz w:val="18"/>
          <w:szCs w:val="18"/>
        </w:rPr>
        <w:footnoteRef/>
      </w:r>
      <w:r w:rsidRPr="003E4533">
        <w:rPr>
          <w:rFonts w:ascii="Times New Roman" w:hAnsi="Times New Roman" w:cs="Times New Roman"/>
          <w:sz w:val="18"/>
          <w:szCs w:val="18"/>
        </w:rPr>
        <w:t xml:space="preserve"> Ver: </w:t>
      </w:r>
      <w:hyperlink r:id="rId48" w:history="1">
        <w:r w:rsidRPr="003E4533">
          <w:rPr>
            <w:rFonts w:ascii="Times New Roman" w:hAnsi="Times New Roman" w:cs="Times New Roman"/>
            <w:color w:val="0000FF"/>
            <w:sz w:val="18"/>
            <w:szCs w:val="18"/>
            <w:u w:val="single"/>
          </w:rPr>
          <w:t>http://www.economiaynegocios.cl/noticias/noticias.asp?id=508940</w:t>
        </w:r>
      </w:hyperlink>
    </w:p>
  </w:footnote>
  <w:footnote w:id="124">
    <w:p w14:paraId="11E1CE8A" w14:textId="77777777" w:rsidR="00E61542" w:rsidRPr="00E448C5" w:rsidRDefault="00E61542" w:rsidP="00D43446">
      <w:pPr>
        <w:pStyle w:val="Textonotapie"/>
        <w:jc w:val="both"/>
        <w:rPr>
          <w:rFonts w:ascii="Times New Roman" w:hAnsi="Times New Roman" w:cs="Times New Roman"/>
          <w:sz w:val="18"/>
          <w:szCs w:val="18"/>
          <w:lang w:val="es-CL"/>
        </w:rPr>
      </w:pPr>
      <w:r w:rsidRPr="00E448C5">
        <w:rPr>
          <w:rStyle w:val="Refdenotaalpie"/>
          <w:rFonts w:ascii="Times New Roman" w:hAnsi="Times New Roman"/>
          <w:sz w:val="18"/>
          <w:szCs w:val="18"/>
        </w:rPr>
        <w:footnoteRef/>
      </w:r>
      <w:r w:rsidRPr="00E448C5">
        <w:rPr>
          <w:rFonts w:ascii="Times New Roman" w:hAnsi="Times New Roman" w:cs="Times New Roman"/>
          <w:sz w:val="18"/>
          <w:szCs w:val="18"/>
        </w:rPr>
        <w:t xml:space="preserve"> </w:t>
      </w:r>
      <w:r w:rsidRPr="003E4533">
        <w:rPr>
          <w:rFonts w:ascii="Times New Roman" w:hAnsi="Times New Roman" w:cs="Times New Roman"/>
          <w:sz w:val="18"/>
          <w:szCs w:val="18"/>
        </w:rPr>
        <w:t xml:space="preserve">Ver. </w:t>
      </w:r>
      <w:hyperlink r:id="rId49" w:history="1">
        <w:r w:rsidRPr="00E448C5">
          <w:rPr>
            <w:rStyle w:val="Hipervnculo"/>
            <w:rFonts w:ascii="Times New Roman" w:hAnsi="Times New Roman" w:cs="Times New Roman"/>
            <w:sz w:val="18"/>
            <w:szCs w:val="18"/>
          </w:rPr>
          <w:t>http://www.supersalud.gob.cl/consultas/667/w3-article-4605.html</w:t>
        </w:r>
      </w:hyperlink>
    </w:p>
  </w:footnote>
  <w:footnote w:id="125">
    <w:p w14:paraId="1EBD44F3" w14:textId="77777777" w:rsidR="00E61542" w:rsidRPr="00E448C5" w:rsidRDefault="00E61542" w:rsidP="00D43446">
      <w:pPr>
        <w:spacing w:line="240" w:lineRule="auto"/>
        <w:contextualSpacing/>
        <w:jc w:val="both"/>
        <w:rPr>
          <w:rFonts w:ascii="Times New Roman" w:hAnsi="Times New Roman" w:cs="Times New Roman"/>
          <w:sz w:val="18"/>
          <w:szCs w:val="18"/>
          <w:lang w:val="en-GB"/>
        </w:rPr>
      </w:pPr>
      <w:r w:rsidRPr="00E448C5">
        <w:rPr>
          <w:rStyle w:val="Refdenotaalpie"/>
          <w:rFonts w:ascii="Times New Roman" w:hAnsi="Times New Roman"/>
          <w:sz w:val="18"/>
          <w:szCs w:val="18"/>
        </w:rPr>
        <w:footnoteRef/>
      </w:r>
      <w:r w:rsidRPr="00E448C5">
        <w:rPr>
          <w:rFonts w:ascii="Times New Roman" w:hAnsi="Times New Roman" w:cs="Times New Roman"/>
          <w:sz w:val="18"/>
          <w:szCs w:val="18"/>
        </w:rPr>
        <w:t xml:space="preserve"> </w:t>
      </w:r>
      <w:r w:rsidRPr="00E448C5">
        <w:rPr>
          <w:rFonts w:ascii="Times New Roman" w:hAnsi="Times New Roman" w:cs="Times New Roman"/>
          <w:sz w:val="18"/>
          <w:szCs w:val="18"/>
          <w:lang w:val="es-CL"/>
        </w:rPr>
        <w:t xml:space="preserve">Subsecretaría de Redes Asistenciales. Glosa 06 Ley de Presupuesto Año 2019. </w:t>
      </w:r>
      <w:r w:rsidRPr="00E448C5">
        <w:rPr>
          <w:rFonts w:ascii="Times New Roman" w:hAnsi="Times New Roman" w:cs="Times New Roman"/>
          <w:sz w:val="18"/>
          <w:szCs w:val="18"/>
          <w:lang w:val="en-GB"/>
        </w:rPr>
        <w:t xml:space="preserve">Ministerio de Salud, Gobierno de Chile. 2019. </w:t>
      </w:r>
    </w:p>
  </w:footnote>
  <w:footnote w:id="126">
    <w:p w14:paraId="5E0AD652" w14:textId="77777777" w:rsidR="00E61542" w:rsidRPr="00CA15BD" w:rsidRDefault="00E61542" w:rsidP="00D43446">
      <w:pPr>
        <w:spacing w:line="240" w:lineRule="auto"/>
        <w:contextualSpacing/>
        <w:jc w:val="both"/>
        <w:rPr>
          <w:rFonts w:ascii="Times New Roman" w:hAnsi="Times New Roman" w:cs="Times New Roman"/>
          <w:sz w:val="18"/>
          <w:szCs w:val="18"/>
          <w:lang w:val="es-CL"/>
        </w:rPr>
      </w:pPr>
      <w:r w:rsidRPr="00E448C5">
        <w:rPr>
          <w:rStyle w:val="Refdenotaalpie"/>
          <w:rFonts w:ascii="Times New Roman" w:hAnsi="Times New Roman"/>
          <w:sz w:val="18"/>
          <w:szCs w:val="18"/>
        </w:rPr>
        <w:footnoteRef/>
      </w:r>
      <w:r w:rsidRPr="00E448C5">
        <w:rPr>
          <w:rFonts w:ascii="Times New Roman" w:hAnsi="Times New Roman" w:cs="Times New Roman"/>
          <w:sz w:val="18"/>
          <w:szCs w:val="18"/>
          <w:lang w:val="en-GB"/>
        </w:rPr>
        <w:t xml:space="preserve"> Bilal et al. Inequalities in life expectancy in six large Latin American Cities from the SALURBAL study: an ecological analysis. </w:t>
      </w:r>
      <w:r w:rsidRPr="002D2639">
        <w:rPr>
          <w:rFonts w:ascii="Times New Roman" w:hAnsi="Times New Roman" w:cs="Times New Roman"/>
          <w:sz w:val="18"/>
          <w:szCs w:val="18"/>
          <w:lang w:val="es-ES"/>
        </w:rPr>
        <w:t xml:space="preserve">The Lancet. 2019. Disponible en:  </w:t>
      </w:r>
      <w:hyperlink r:id="rId50" w:history="1">
        <w:r w:rsidRPr="007D3690">
          <w:rPr>
            <w:rFonts w:ascii="Times New Roman" w:hAnsi="Times New Roman" w:cs="Times New Roman"/>
            <w:sz w:val="18"/>
            <w:szCs w:val="18"/>
            <w:lang w:val="es-CL"/>
          </w:rPr>
          <w:t>https://doi.org/10.1016/S2542-5196(19)30235-9</w:t>
        </w:r>
      </w:hyperlink>
    </w:p>
  </w:footnote>
  <w:footnote w:id="127">
    <w:p w14:paraId="60CD02E5" w14:textId="77777777" w:rsidR="00E61542" w:rsidRPr="00CA15BD" w:rsidRDefault="00E61542" w:rsidP="00D43446">
      <w:pPr>
        <w:spacing w:line="240" w:lineRule="auto"/>
        <w:contextualSpacing/>
        <w:jc w:val="both"/>
        <w:rPr>
          <w:rFonts w:ascii="Times New Roman" w:hAnsi="Times New Roman" w:cs="Times New Roman"/>
          <w:sz w:val="18"/>
          <w:szCs w:val="18"/>
          <w:lang w:val="es-CL"/>
        </w:rPr>
      </w:pPr>
      <w:r w:rsidRPr="00CA15BD">
        <w:rPr>
          <w:rStyle w:val="Refdenotaalpie"/>
          <w:rFonts w:ascii="Times New Roman" w:hAnsi="Times New Roman"/>
          <w:sz w:val="18"/>
          <w:szCs w:val="18"/>
        </w:rPr>
        <w:footnoteRef/>
      </w:r>
      <w:r w:rsidRPr="00CA15BD">
        <w:rPr>
          <w:rFonts w:ascii="Times New Roman" w:hAnsi="Times New Roman" w:cs="Times New Roman"/>
          <w:sz w:val="18"/>
          <w:szCs w:val="18"/>
        </w:rPr>
        <w:t xml:space="preserve"> </w:t>
      </w:r>
      <w:r w:rsidRPr="00CA15BD">
        <w:rPr>
          <w:rFonts w:ascii="Times New Roman" w:hAnsi="Times New Roman" w:cs="Times New Roman"/>
          <w:sz w:val="18"/>
          <w:szCs w:val="18"/>
          <w:lang w:val="es-CL"/>
        </w:rPr>
        <w:t xml:space="preserve">Superintendencia de Salud. Estadísticas Instituciones de Salud Previsional. 2018.  </w:t>
      </w:r>
    </w:p>
  </w:footnote>
  <w:footnote w:id="128">
    <w:p w14:paraId="33F4F5BE" w14:textId="77777777" w:rsidR="00E61542" w:rsidRPr="00CA15BD" w:rsidRDefault="00E61542" w:rsidP="00D43446">
      <w:pPr>
        <w:spacing w:line="240" w:lineRule="auto"/>
        <w:contextualSpacing/>
        <w:jc w:val="both"/>
        <w:rPr>
          <w:rFonts w:ascii="Times New Roman" w:hAnsi="Times New Roman" w:cs="Times New Roman"/>
          <w:sz w:val="18"/>
          <w:szCs w:val="18"/>
          <w:lang w:val="es-CL"/>
        </w:rPr>
      </w:pPr>
      <w:r w:rsidRPr="00CA15BD">
        <w:rPr>
          <w:rStyle w:val="Refdenotaalpie"/>
          <w:rFonts w:ascii="Times New Roman" w:hAnsi="Times New Roman"/>
          <w:sz w:val="18"/>
          <w:szCs w:val="18"/>
        </w:rPr>
        <w:footnoteRef/>
      </w:r>
      <w:r w:rsidRPr="00CA15BD">
        <w:rPr>
          <w:rFonts w:ascii="Times New Roman" w:hAnsi="Times New Roman" w:cs="Times New Roman"/>
          <w:sz w:val="18"/>
          <w:szCs w:val="18"/>
        </w:rPr>
        <w:t xml:space="preserve"> </w:t>
      </w:r>
      <w:r w:rsidRPr="00CA15BD">
        <w:rPr>
          <w:rFonts w:ascii="Times New Roman" w:hAnsi="Times New Roman" w:cs="Times New Roman"/>
          <w:sz w:val="18"/>
          <w:szCs w:val="18"/>
          <w:lang w:val="es-CL"/>
        </w:rPr>
        <w:t>Departamento de Políticas de Salud y Estudios. Financiamiento de la salud en Chile: elementos para la discusión de una reforma necesaria</w:t>
      </w:r>
      <w:r>
        <w:rPr>
          <w:rFonts w:ascii="Times New Roman" w:hAnsi="Times New Roman" w:cs="Times New Roman"/>
          <w:sz w:val="18"/>
          <w:szCs w:val="18"/>
          <w:lang w:val="es-CL"/>
        </w:rPr>
        <w:t>. Colegio Médico de Chile. 2018</w:t>
      </w:r>
    </w:p>
  </w:footnote>
  <w:footnote w:id="129">
    <w:p w14:paraId="578438BD" w14:textId="77777777" w:rsidR="00E61542" w:rsidRPr="00CA15BD" w:rsidRDefault="00E61542" w:rsidP="00D43446">
      <w:pPr>
        <w:spacing w:line="240" w:lineRule="auto"/>
        <w:contextualSpacing/>
        <w:jc w:val="both"/>
        <w:rPr>
          <w:rFonts w:ascii="Times New Roman" w:hAnsi="Times New Roman" w:cs="Times New Roman"/>
          <w:sz w:val="18"/>
          <w:szCs w:val="18"/>
          <w:lang w:val="es-CL"/>
        </w:rPr>
      </w:pPr>
      <w:r w:rsidRPr="00CA15BD">
        <w:rPr>
          <w:rStyle w:val="Refdenotaalpie"/>
          <w:rFonts w:ascii="Times New Roman" w:hAnsi="Times New Roman"/>
          <w:sz w:val="18"/>
          <w:szCs w:val="18"/>
        </w:rPr>
        <w:footnoteRef/>
      </w:r>
      <w:r w:rsidRPr="00CA15BD">
        <w:rPr>
          <w:rFonts w:ascii="Times New Roman" w:hAnsi="Times New Roman" w:cs="Times New Roman"/>
          <w:sz w:val="18"/>
          <w:szCs w:val="18"/>
        </w:rPr>
        <w:t xml:space="preserve"> </w:t>
      </w:r>
      <w:r w:rsidRPr="00CA15BD">
        <w:rPr>
          <w:rFonts w:ascii="Times New Roman" w:hAnsi="Times New Roman" w:cs="Times New Roman"/>
          <w:sz w:val="18"/>
          <w:szCs w:val="18"/>
          <w:lang w:val="es-CL"/>
        </w:rPr>
        <w:t xml:space="preserve">Ministerio de Salud. Estudio determinación de brecha de médicos generales y especialistas según metodología de tasas de uso de prestaciones médicas y especializadas en Chile. Gobierno de Chile. 2017. </w:t>
      </w:r>
    </w:p>
  </w:footnote>
  <w:footnote w:id="130">
    <w:p w14:paraId="068185C7" w14:textId="77777777" w:rsidR="00E61542" w:rsidRPr="00CA15BD" w:rsidRDefault="00E61542" w:rsidP="00D43446">
      <w:pPr>
        <w:spacing w:line="240" w:lineRule="auto"/>
        <w:contextualSpacing/>
        <w:jc w:val="both"/>
        <w:rPr>
          <w:rFonts w:ascii="Times New Roman" w:hAnsi="Times New Roman" w:cs="Times New Roman"/>
          <w:sz w:val="18"/>
          <w:szCs w:val="18"/>
          <w:lang w:val="es-CL"/>
        </w:rPr>
      </w:pPr>
      <w:r w:rsidRPr="00CA15BD">
        <w:rPr>
          <w:rStyle w:val="Refdenotaalpie"/>
          <w:rFonts w:ascii="Times New Roman" w:hAnsi="Times New Roman"/>
          <w:sz w:val="18"/>
          <w:szCs w:val="18"/>
        </w:rPr>
        <w:footnoteRef/>
      </w:r>
      <w:r w:rsidRPr="00CA15BD">
        <w:rPr>
          <w:rFonts w:ascii="Times New Roman" w:hAnsi="Times New Roman" w:cs="Times New Roman"/>
          <w:sz w:val="18"/>
          <w:szCs w:val="18"/>
        </w:rPr>
        <w:t xml:space="preserve"> </w:t>
      </w:r>
      <w:r w:rsidRPr="00CA15BD">
        <w:rPr>
          <w:rFonts w:ascii="Times New Roman" w:hAnsi="Times New Roman" w:cs="Times New Roman"/>
          <w:sz w:val="18"/>
          <w:szCs w:val="18"/>
          <w:lang w:val="es-CL"/>
        </w:rPr>
        <w:t>Encuesta nacional de salud 2016 – 2017. Ministerio de Salud, Gobierno de Chile</w:t>
      </w:r>
      <w:r w:rsidRPr="003E4533">
        <w:rPr>
          <w:rFonts w:ascii="Times New Roman" w:hAnsi="Times New Roman" w:cs="Times New Roman"/>
          <w:sz w:val="18"/>
          <w:szCs w:val="18"/>
          <w:lang w:val="es-CL"/>
        </w:rPr>
        <w:t>.</w:t>
      </w:r>
    </w:p>
  </w:footnote>
  <w:footnote w:id="131">
    <w:p w14:paraId="31F5D1F9" w14:textId="77777777" w:rsidR="00E61542" w:rsidRPr="00CA15BD" w:rsidRDefault="00E61542" w:rsidP="00D43446">
      <w:pPr>
        <w:spacing w:after="0" w:line="240" w:lineRule="auto"/>
        <w:contextualSpacing/>
        <w:jc w:val="both"/>
        <w:rPr>
          <w:rFonts w:ascii="Times New Roman" w:hAnsi="Times New Roman" w:cs="Times New Roman"/>
          <w:sz w:val="18"/>
          <w:szCs w:val="18"/>
          <w:lang w:val="es-CL"/>
        </w:rPr>
      </w:pPr>
      <w:r w:rsidRPr="00CA15BD">
        <w:rPr>
          <w:rStyle w:val="Refdenotaalpie"/>
          <w:rFonts w:ascii="Times New Roman" w:hAnsi="Times New Roman"/>
          <w:sz w:val="18"/>
          <w:szCs w:val="18"/>
        </w:rPr>
        <w:footnoteRef/>
      </w:r>
      <w:r w:rsidRPr="00CA15BD">
        <w:rPr>
          <w:rFonts w:ascii="Times New Roman" w:hAnsi="Times New Roman" w:cs="Times New Roman"/>
          <w:sz w:val="18"/>
          <w:szCs w:val="18"/>
          <w:lang w:val="en-GB"/>
        </w:rPr>
        <w:t xml:space="preserve"> OECD. Health at a Glance 2019: OECD Indicators. </w:t>
      </w:r>
      <w:r w:rsidRPr="00CA15BD">
        <w:rPr>
          <w:rFonts w:ascii="Times New Roman" w:hAnsi="Times New Roman" w:cs="Times New Roman"/>
          <w:sz w:val="18"/>
          <w:szCs w:val="18"/>
          <w:lang w:val="es-CL"/>
        </w:rPr>
        <w:t>2019.</w:t>
      </w:r>
    </w:p>
  </w:footnote>
  <w:footnote w:id="132">
    <w:p w14:paraId="3E851D84" w14:textId="77777777" w:rsidR="00E61542" w:rsidRPr="00441C49" w:rsidRDefault="00E61542" w:rsidP="00D43446">
      <w:pPr>
        <w:pStyle w:val="Textonotapie"/>
        <w:jc w:val="both"/>
        <w:rPr>
          <w:rFonts w:ascii="Times New Roman" w:hAnsi="Times New Roman" w:cs="Times New Roman"/>
          <w:sz w:val="18"/>
          <w:szCs w:val="18"/>
          <w:lang w:val="es-CL"/>
        </w:rPr>
      </w:pPr>
      <w:r w:rsidRPr="003E4533">
        <w:rPr>
          <w:rStyle w:val="Refdenotaalpie"/>
          <w:rFonts w:ascii="Times New Roman" w:hAnsi="Times New Roman"/>
          <w:sz w:val="18"/>
          <w:szCs w:val="18"/>
        </w:rPr>
        <w:footnoteRef/>
      </w:r>
      <w:r>
        <w:rPr>
          <w:rFonts w:ascii="Times New Roman" w:hAnsi="Times New Roman" w:cs="Times New Roman"/>
          <w:sz w:val="18"/>
          <w:szCs w:val="18"/>
        </w:rPr>
        <w:t xml:space="preserve"> Ibid. </w:t>
      </w:r>
    </w:p>
  </w:footnote>
  <w:footnote w:id="133">
    <w:p w14:paraId="32BACAAE" w14:textId="77777777" w:rsidR="00E61542" w:rsidRPr="002A2432" w:rsidRDefault="00E61542" w:rsidP="002A2432">
      <w:pPr>
        <w:pStyle w:val="Textonotapie"/>
        <w:jc w:val="both"/>
        <w:rPr>
          <w:rFonts w:ascii="Times New Roman" w:hAnsi="Times New Roman" w:cs="Times New Roman"/>
          <w:sz w:val="18"/>
          <w:szCs w:val="18"/>
          <w:lang w:val="es-ES"/>
        </w:rPr>
      </w:pPr>
      <w:r w:rsidRPr="002A2432">
        <w:rPr>
          <w:rStyle w:val="Refdenotaalpie"/>
          <w:rFonts w:ascii="Times New Roman" w:hAnsi="Times New Roman"/>
          <w:sz w:val="18"/>
          <w:szCs w:val="18"/>
        </w:rPr>
        <w:footnoteRef/>
      </w:r>
      <w:r w:rsidRPr="002A2432">
        <w:rPr>
          <w:rFonts w:ascii="Times New Roman" w:hAnsi="Times New Roman" w:cs="Times New Roman"/>
          <w:sz w:val="18"/>
          <w:szCs w:val="18"/>
        </w:rPr>
        <w:t xml:space="preserve"> CPR, </w:t>
      </w:r>
      <w:r w:rsidRPr="002A2432">
        <w:rPr>
          <w:rFonts w:ascii="Times New Roman" w:hAnsi="Times New Roman" w:cs="Times New Roman"/>
          <w:sz w:val="18"/>
          <w:szCs w:val="18"/>
          <w:lang w:val="es-ES"/>
        </w:rPr>
        <w:t>Artículo 19 Nº11.</w:t>
      </w:r>
    </w:p>
  </w:footnote>
  <w:footnote w:id="134">
    <w:p w14:paraId="36D9895A" w14:textId="10047945" w:rsidR="00E61542" w:rsidRPr="002A2432" w:rsidRDefault="00E61542" w:rsidP="002A2432">
      <w:pPr>
        <w:pStyle w:val="Textonotapie"/>
        <w:jc w:val="both"/>
        <w:rPr>
          <w:rFonts w:ascii="Times New Roman" w:hAnsi="Times New Roman" w:cs="Times New Roman"/>
          <w:sz w:val="18"/>
          <w:szCs w:val="18"/>
          <w:lang w:val="es-ES"/>
        </w:rPr>
      </w:pPr>
      <w:r w:rsidRPr="002A2432">
        <w:rPr>
          <w:rStyle w:val="Refdenotaalpie"/>
          <w:rFonts w:ascii="Times New Roman" w:hAnsi="Times New Roman"/>
          <w:sz w:val="18"/>
          <w:szCs w:val="18"/>
        </w:rPr>
        <w:footnoteRef/>
      </w:r>
      <w:r w:rsidRPr="002A2432">
        <w:rPr>
          <w:rFonts w:ascii="Times New Roman" w:hAnsi="Times New Roman" w:cs="Times New Roman"/>
          <w:sz w:val="18"/>
          <w:szCs w:val="18"/>
        </w:rPr>
        <w:t xml:space="preserve"> Ley Nº 20370 (2009). </w:t>
      </w:r>
    </w:p>
  </w:footnote>
  <w:footnote w:id="135">
    <w:p w14:paraId="56906D30" w14:textId="4145EF83" w:rsidR="00E61542" w:rsidRPr="002A2432" w:rsidRDefault="00E61542" w:rsidP="002A2432">
      <w:pPr>
        <w:pStyle w:val="Textonotapie"/>
        <w:jc w:val="both"/>
        <w:rPr>
          <w:rFonts w:ascii="Times New Roman" w:hAnsi="Times New Roman" w:cs="Times New Roman"/>
          <w:sz w:val="18"/>
          <w:szCs w:val="18"/>
          <w:lang w:val="es-ES"/>
        </w:rPr>
      </w:pPr>
      <w:r w:rsidRPr="002A2432">
        <w:rPr>
          <w:rStyle w:val="Refdenotaalpie"/>
          <w:rFonts w:ascii="Times New Roman" w:hAnsi="Times New Roman"/>
          <w:sz w:val="18"/>
          <w:szCs w:val="18"/>
        </w:rPr>
        <w:footnoteRef/>
      </w:r>
      <w:r w:rsidRPr="002A2432">
        <w:rPr>
          <w:rFonts w:ascii="Times New Roman" w:hAnsi="Times New Roman" w:cs="Times New Roman"/>
          <w:sz w:val="18"/>
          <w:szCs w:val="18"/>
        </w:rPr>
        <w:t xml:space="preserve"> </w:t>
      </w:r>
      <w:r w:rsidRPr="002A2432">
        <w:rPr>
          <w:rFonts w:ascii="Times New Roman" w:hAnsi="Times New Roman" w:cs="Times New Roman"/>
          <w:color w:val="000000"/>
          <w:sz w:val="18"/>
          <w:szCs w:val="18"/>
        </w:rPr>
        <w:t xml:space="preserve">Ley N° 20.845 (2015). </w:t>
      </w:r>
    </w:p>
  </w:footnote>
  <w:footnote w:id="136">
    <w:p w14:paraId="2EDE31E8" w14:textId="40B7DF10" w:rsidR="00E61542" w:rsidRPr="008B5B05" w:rsidRDefault="00E61542" w:rsidP="008B5B05">
      <w:pPr>
        <w:pStyle w:val="Textonotapie"/>
        <w:jc w:val="both"/>
        <w:rPr>
          <w:rFonts w:ascii="Times New Roman" w:hAnsi="Times New Roman" w:cs="Times New Roman"/>
          <w:sz w:val="18"/>
          <w:szCs w:val="18"/>
          <w:lang w:val="es-ES"/>
        </w:rPr>
      </w:pPr>
      <w:r w:rsidRPr="002A2432">
        <w:rPr>
          <w:rStyle w:val="Refdenotaalpie"/>
          <w:rFonts w:ascii="Times New Roman" w:hAnsi="Times New Roman"/>
          <w:sz w:val="18"/>
          <w:szCs w:val="18"/>
        </w:rPr>
        <w:footnoteRef/>
      </w:r>
      <w:r w:rsidRPr="002A2432">
        <w:rPr>
          <w:rFonts w:ascii="Times New Roman" w:hAnsi="Times New Roman" w:cs="Times New Roman"/>
          <w:sz w:val="18"/>
          <w:szCs w:val="18"/>
        </w:rPr>
        <w:t xml:space="preserve"> </w:t>
      </w:r>
      <w:r w:rsidRPr="002A2432">
        <w:rPr>
          <w:rFonts w:ascii="Times New Roman" w:hAnsi="Times New Roman" w:cs="Times New Roman"/>
          <w:sz w:val="18"/>
          <w:szCs w:val="18"/>
          <w:lang w:val="es-CL"/>
        </w:rPr>
        <w:t xml:space="preserve">OECD, 2012. PISA- Estudiantes de bajo rendimiento Por qué se quedan atrás y como ayudarles a tener éxito. </w:t>
      </w:r>
      <w:r w:rsidRPr="002A2432">
        <w:rPr>
          <w:rFonts w:ascii="Times New Roman" w:hAnsi="Times New Roman" w:cs="Times New Roman"/>
          <w:sz w:val="18"/>
          <w:szCs w:val="18"/>
          <w:lang w:val="es-ES"/>
        </w:rPr>
        <w:t xml:space="preserve">Disponible en: </w:t>
      </w:r>
      <w:r w:rsidRPr="002A2432">
        <w:rPr>
          <w:rStyle w:val="Hipervnculo"/>
          <w:rFonts w:ascii="Times New Roman" w:hAnsi="Times New Roman" w:cs="Times New Roman"/>
          <w:sz w:val="18"/>
          <w:szCs w:val="18"/>
          <w:lang w:val="es-ES"/>
        </w:rPr>
        <w:t>http://www.oecd.org/pisa/keyfindings/PISA-2012-Estudiantes-de-bajo-rendimiento.pdf</w:t>
      </w:r>
      <w:r w:rsidRPr="002A2432">
        <w:rPr>
          <w:rFonts w:ascii="Times New Roman" w:hAnsi="Times New Roman" w:cs="Times New Roman"/>
          <w:sz w:val="18"/>
          <w:szCs w:val="18"/>
          <w:lang w:val="es-CL"/>
        </w:rPr>
        <w:t xml:space="preserve">; OECD, 2016. </w:t>
      </w:r>
      <w:r w:rsidRPr="002A2432">
        <w:rPr>
          <w:rFonts w:ascii="Times New Roman" w:hAnsi="Times New Roman" w:cs="Times New Roman"/>
          <w:sz w:val="18"/>
          <w:szCs w:val="18"/>
          <w:lang w:val="en-GB"/>
        </w:rPr>
        <w:t xml:space="preserve">Education at a Glance 2016 - Indicators -. </w:t>
      </w:r>
      <w:r w:rsidRPr="008B5B05">
        <w:rPr>
          <w:rFonts w:ascii="Times New Roman" w:hAnsi="Times New Roman" w:cs="Times New Roman"/>
          <w:sz w:val="18"/>
          <w:szCs w:val="18"/>
          <w:lang w:val="es-ES"/>
        </w:rPr>
        <w:t xml:space="preserve">Disponible en: </w:t>
      </w:r>
      <w:hyperlink r:id="rId51" w:history="1">
        <w:r w:rsidRPr="008B5B05">
          <w:rPr>
            <w:rStyle w:val="Hipervnculo"/>
            <w:rFonts w:ascii="Times New Roman" w:hAnsi="Times New Roman" w:cs="Times New Roman"/>
            <w:sz w:val="18"/>
            <w:szCs w:val="18"/>
            <w:lang w:val="es-ES"/>
          </w:rPr>
          <w:t>http://www.oecd.org/education/skills-beyond-school/education-at-a-glance-2016-indicators.htm</w:t>
        </w:r>
      </w:hyperlink>
      <w:r w:rsidRPr="008B5B05">
        <w:rPr>
          <w:rFonts w:ascii="Times New Roman" w:hAnsi="Times New Roman" w:cs="Times New Roman"/>
          <w:sz w:val="18"/>
          <w:szCs w:val="18"/>
          <w:lang w:val="es-ES"/>
        </w:rPr>
        <w:t xml:space="preserve">. </w:t>
      </w:r>
    </w:p>
  </w:footnote>
  <w:footnote w:id="137">
    <w:p w14:paraId="1D2D6B7F" w14:textId="77777777" w:rsidR="00E61542" w:rsidRPr="00953824" w:rsidRDefault="00E61542" w:rsidP="005874AF">
      <w:pPr>
        <w:pStyle w:val="Textonotapie"/>
        <w:jc w:val="both"/>
        <w:rPr>
          <w:rFonts w:ascii="Times New Roman" w:hAnsi="Times New Roman" w:cs="Times New Roman"/>
          <w:sz w:val="18"/>
          <w:szCs w:val="18"/>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Ver también </w:t>
      </w:r>
      <w:r w:rsidRPr="00953824">
        <w:rPr>
          <w:rFonts w:ascii="Times New Roman" w:hAnsi="Times New Roman" w:cs="Times New Roman"/>
          <w:color w:val="000000"/>
          <w:sz w:val="18"/>
          <w:szCs w:val="18"/>
        </w:rPr>
        <w:t xml:space="preserve">Comité de Derecho del Niño, Lista de cuestiones relativa a los informes periódicos cuarto y quinto combinados de Chile, 5 de marzo 2015, </w:t>
      </w:r>
      <w:r w:rsidRPr="00953824">
        <w:rPr>
          <w:rFonts w:ascii="Times New Roman" w:hAnsi="Times New Roman" w:cs="Times New Roman"/>
          <w:sz w:val="18"/>
          <w:szCs w:val="18"/>
        </w:rPr>
        <w:t>CRC/C/CHL/Q/4-5.</w:t>
      </w:r>
    </w:p>
  </w:footnote>
  <w:footnote w:id="138">
    <w:p w14:paraId="7281B549" w14:textId="77777777" w:rsidR="00E61542" w:rsidRPr="00953824" w:rsidRDefault="00E61542" w:rsidP="005874AF">
      <w:pPr>
        <w:pStyle w:val="Textonotapie"/>
        <w:jc w:val="both"/>
        <w:rPr>
          <w:rFonts w:ascii="Times New Roman" w:hAnsi="Times New Roman" w:cs="Times New Roman"/>
          <w:sz w:val="18"/>
          <w:szCs w:val="18"/>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Disponible en: </w:t>
      </w:r>
      <w:hyperlink r:id="rId52" w:history="1">
        <w:r w:rsidRPr="00953824">
          <w:rPr>
            <w:rStyle w:val="Hipervnculo"/>
            <w:rFonts w:ascii="Times New Roman" w:hAnsi="Times New Roman" w:cs="Times New Roman"/>
            <w:sz w:val="18"/>
            <w:szCs w:val="18"/>
          </w:rPr>
          <w:t>http://sitios.mineduc.cl/Cuenta%20P/files/assets/common/downloads/Cuenta%20P.pdf</w:t>
        </w:r>
      </w:hyperlink>
    </w:p>
  </w:footnote>
  <w:footnote w:id="139">
    <w:p w14:paraId="32CB1C5F" w14:textId="77777777" w:rsidR="00E61542" w:rsidRPr="00953824" w:rsidRDefault="00E61542" w:rsidP="005874AF">
      <w:pPr>
        <w:pStyle w:val="Textonotapie"/>
        <w:jc w:val="both"/>
        <w:rPr>
          <w:rFonts w:ascii="Times New Roman" w:hAnsi="Times New Roman" w:cs="Times New Roman"/>
          <w:color w:val="000000"/>
          <w:sz w:val="18"/>
          <w:szCs w:val="18"/>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color w:val="000000"/>
          <w:sz w:val="18"/>
          <w:szCs w:val="18"/>
        </w:rPr>
        <w:t>Relator Especial sobre el derecho a la educación sobre su misión a Chile, entre el 6 a 23 de junio de 2017, 3 de abril de 2017, A/HRC/35/24/Add.1.</w:t>
      </w:r>
    </w:p>
  </w:footnote>
  <w:footnote w:id="140">
    <w:p w14:paraId="350C30AB" w14:textId="77777777" w:rsidR="00E61542" w:rsidRPr="00953824" w:rsidRDefault="00E61542" w:rsidP="005874AF">
      <w:pPr>
        <w:pStyle w:val="Textonotapie"/>
        <w:jc w:val="both"/>
        <w:rPr>
          <w:rFonts w:ascii="Times New Roman" w:hAnsi="Times New Roman" w:cs="Times New Roman"/>
          <w:sz w:val="18"/>
          <w:szCs w:val="18"/>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color w:val="000000"/>
          <w:sz w:val="18"/>
          <w:szCs w:val="18"/>
        </w:rPr>
        <w:t>Boletines N° 12.486-04 y N° 12.488-04.</w:t>
      </w:r>
    </w:p>
  </w:footnote>
  <w:footnote w:id="141">
    <w:p w14:paraId="2FB3E6E4" w14:textId="77777777" w:rsidR="00E61542" w:rsidRPr="004E5E3C" w:rsidRDefault="00E61542" w:rsidP="005874AF">
      <w:pPr>
        <w:pStyle w:val="Textonotapie"/>
        <w:jc w:val="both"/>
        <w:rPr>
          <w:rFonts w:ascii="Times New Roman" w:hAnsi="Times New Roman" w:cs="Times New Roman"/>
          <w:sz w:val="16"/>
          <w:szCs w:val="16"/>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hyperlink r:id="rId53" w:history="1">
        <w:r w:rsidRPr="00953824">
          <w:rPr>
            <w:rStyle w:val="Hipervnculo"/>
            <w:rFonts w:ascii="Times New Roman" w:hAnsi="Times New Roman" w:cs="Times New Roman"/>
            <w:color w:val="1155CC"/>
            <w:sz w:val="18"/>
            <w:szCs w:val="18"/>
          </w:rPr>
          <w:t>http://www.elmercurio.com/blogs/2019/01/17/66405/Es-el-merito-academico-un-premio-para-los-ricos.aspx</w:t>
        </w:r>
      </w:hyperlink>
    </w:p>
  </w:footnote>
  <w:footnote w:id="142">
    <w:p w14:paraId="23AD7958" w14:textId="77777777" w:rsidR="00E61542" w:rsidRPr="00862118" w:rsidRDefault="00E61542" w:rsidP="005874AF">
      <w:pPr>
        <w:pStyle w:val="Textonotapie"/>
        <w:jc w:val="both"/>
        <w:rPr>
          <w:rFonts w:ascii="Times New Roman" w:hAnsi="Times New Roman" w:cs="Times New Roman"/>
          <w:sz w:val="18"/>
          <w:szCs w:val="18"/>
          <w:lang w:val="en-GB"/>
        </w:rPr>
      </w:pPr>
      <w:r w:rsidRPr="00862118">
        <w:rPr>
          <w:rStyle w:val="Refdenotaalpie"/>
          <w:rFonts w:ascii="Times New Roman" w:hAnsi="Times New Roman"/>
          <w:sz w:val="18"/>
          <w:szCs w:val="18"/>
        </w:rPr>
        <w:footnoteRef/>
      </w:r>
      <w:r w:rsidRPr="00862118">
        <w:rPr>
          <w:rFonts w:ascii="Times New Roman" w:hAnsi="Times New Roman" w:cs="Times New Roman"/>
          <w:sz w:val="18"/>
          <w:szCs w:val="18"/>
          <w:lang w:val="en-GB"/>
        </w:rPr>
        <w:t xml:space="preserve"> Jencks, C., 1988. Whom Must We Treat Equally for Educational Opportunity to be Equal? Ethics 98, 518–533.</w:t>
      </w:r>
    </w:p>
  </w:footnote>
  <w:footnote w:id="143">
    <w:p w14:paraId="5114E781" w14:textId="77777777" w:rsidR="00E61542" w:rsidRPr="00862118" w:rsidRDefault="00E61542" w:rsidP="005874AF">
      <w:pPr>
        <w:pStyle w:val="Textonotapie"/>
        <w:jc w:val="both"/>
        <w:rPr>
          <w:rFonts w:ascii="Times New Roman" w:hAnsi="Times New Roman" w:cs="Times New Roman"/>
          <w:sz w:val="18"/>
          <w:szCs w:val="18"/>
          <w:lang w:val="es-ES"/>
        </w:rPr>
      </w:pPr>
      <w:r w:rsidRPr="00862118">
        <w:rPr>
          <w:rStyle w:val="Refdenotaalpie"/>
          <w:rFonts w:ascii="Times New Roman" w:hAnsi="Times New Roman"/>
          <w:sz w:val="18"/>
          <w:szCs w:val="18"/>
        </w:rPr>
        <w:footnoteRef/>
      </w:r>
      <w:r w:rsidRPr="00862118">
        <w:rPr>
          <w:rFonts w:ascii="Times New Roman" w:hAnsi="Times New Roman" w:cs="Times New Roman"/>
          <w:sz w:val="18"/>
          <w:szCs w:val="18"/>
          <w:lang w:val="en-GB"/>
        </w:rPr>
        <w:t xml:space="preserve"> Lupton, R., Thrupp, M., 2011. The impact of school context: what head teachers say. </w:t>
      </w:r>
      <w:r w:rsidRPr="00862118">
        <w:rPr>
          <w:rFonts w:ascii="Times New Roman" w:hAnsi="Times New Roman" w:cs="Times New Roman"/>
          <w:sz w:val="18"/>
          <w:szCs w:val="18"/>
          <w:lang w:val="es-ES"/>
        </w:rPr>
        <w:t>Disponible en: http://sticerd.lse.ac.uk/case/</w:t>
      </w:r>
    </w:p>
  </w:footnote>
  <w:footnote w:id="144">
    <w:p w14:paraId="2A022518" w14:textId="77777777" w:rsidR="00E61542" w:rsidRPr="00862118" w:rsidRDefault="00E61542" w:rsidP="005874AF">
      <w:pPr>
        <w:pStyle w:val="Textonotapie"/>
        <w:jc w:val="both"/>
        <w:rPr>
          <w:rFonts w:ascii="Times New Roman" w:hAnsi="Times New Roman" w:cs="Times New Roman"/>
          <w:sz w:val="18"/>
          <w:szCs w:val="18"/>
          <w:lang w:val="en-GB"/>
        </w:rPr>
      </w:pPr>
      <w:r w:rsidRPr="00862118">
        <w:rPr>
          <w:rStyle w:val="Refdenotaalpie"/>
          <w:rFonts w:ascii="Times New Roman" w:hAnsi="Times New Roman"/>
          <w:sz w:val="18"/>
          <w:szCs w:val="18"/>
        </w:rPr>
        <w:footnoteRef/>
      </w:r>
      <w:r w:rsidRPr="00862118">
        <w:rPr>
          <w:rFonts w:ascii="Times New Roman" w:hAnsi="Times New Roman" w:cs="Times New Roman"/>
          <w:sz w:val="18"/>
          <w:szCs w:val="18"/>
        </w:rPr>
        <w:t xml:space="preserve"> MacLeod, W.B., Urquiola, M., 2009. </w:t>
      </w:r>
      <w:r w:rsidRPr="00862118">
        <w:rPr>
          <w:rFonts w:ascii="Times New Roman" w:hAnsi="Times New Roman" w:cs="Times New Roman"/>
          <w:sz w:val="18"/>
          <w:szCs w:val="18"/>
          <w:lang w:val="en-GB"/>
        </w:rPr>
        <w:t>Anti-Lemons: School Reputation and Educational Quality (Working Paper No. 15112). National Bureau of Economic Research.</w:t>
      </w:r>
    </w:p>
  </w:footnote>
  <w:footnote w:id="145">
    <w:p w14:paraId="2F55CC68" w14:textId="77777777" w:rsidR="00E61542" w:rsidRPr="00D55251" w:rsidRDefault="00E61542" w:rsidP="005874AF">
      <w:pPr>
        <w:pStyle w:val="Textonotapie"/>
        <w:jc w:val="both"/>
        <w:rPr>
          <w:rFonts w:ascii="Times New Roman" w:hAnsi="Times New Roman" w:cs="Times New Roman"/>
          <w:sz w:val="18"/>
          <w:szCs w:val="18"/>
        </w:rPr>
      </w:pPr>
      <w:r w:rsidRPr="00862118">
        <w:rPr>
          <w:rStyle w:val="Refdenotaalpie"/>
          <w:rFonts w:ascii="Times New Roman" w:hAnsi="Times New Roman"/>
          <w:sz w:val="18"/>
          <w:szCs w:val="18"/>
        </w:rPr>
        <w:footnoteRef/>
      </w:r>
      <w:r w:rsidRPr="00B238C7">
        <w:rPr>
          <w:rFonts w:ascii="Times New Roman" w:hAnsi="Times New Roman" w:cs="Times New Roman"/>
          <w:sz w:val="18"/>
          <w:szCs w:val="18"/>
          <w:lang w:val="en-GB"/>
        </w:rPr>
        <w:t xml:space="preserve"> Comité DESC, Observación General Nº 20, párr. </w:t>
      </w:r>
      <w:r w:rsidRPr="00862118">
        <w:rPr>
          <w:rFonts w:ascii="Times New Roman" w:hAnsi="Times New Roman" w:cs="Times New Roman"/>
          <w:sz w:val="18"/>
          <w:szCs w:val="18"/>
          <w:lang w:val="es-ES"/>
        </w:rPr>
        <w:t>10, 2009, E/C.12/GC/20.  Véase</w:t>
      </w:r>
      <w:r w:rsidRPr="00862118">
        <w:rPr>
          <w:rFonts w:ascii="Times New Roman" w:hAnsi="Times New Roman" w:cs="Times New Roman"/>
          <w:sz w:val="18"/>
          <w:szCs w:val="18"/>
        </w:rPr>
        <w:t xml:space="preserve"> también párrafos 8 y 9.</w:t>
      </w:r>
    </w:p>
  </w:footnote>
  <w:footnote w:id="146">
    <w:p w14:paraId="098F7E96" w14:textId="77777777" w:rsidR="00E61542" w:rsidRPr="00953824" w:rsidRDefault="00E61542" w:rsidP="005874AF">
      <w:pPr>
        <w:pStyle w:val="Textonotapie"/>
        <w:rPr>
          <w:rFonts w:ascii="Times New Roman" w:hAnsi="Times New Roman" w:cs="Times New Roman"/>
          <w:sz w:val="18"/>
          <w:szCs w:val="18"/>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PIDESC, artículos 13 y 14. </w:t>
      </w:r>
    </w:p>
  </w:footnote>
  <w:footnote w:id="147">
    <w:p w14:paraId="4D937E86" w14:textId="0CF5E24D" w:rsidR="00E61542" w:rsidRPr="00953824" w:rsidRDefault="00E61542" w:rsidP="002C59B3">
      <w:pPr>
        <w:pStyle w:val="Textonotapie"/>
        <w:rPr>
          <w:rFonts w:ascii="Times New Roman" w:hAnsi="Times New Roman" w:cs="Times New Roman"/>
          <w:sz w:val="18"/>
          <w:szCs w:val="18"/>
          <w:lang w:val="en-GB"/>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lang w:val="en-GB"/>
        </w:rPr>
        <w:t xml:space="preserve"> Supra (Nº139).  </w:t>
      </w:r>
    </w:p>
  </w:footnote>
  <w:footnote w:id="148">
    <w:p w14:paraId="6F64DE2B" w14:textId="5D6684AC" w:rsidR="00E61542" w:rsidRPr="00953824" w:rsidRDefault="00E61542">
      <w:pPr>
        <w:pStyle w:val="Textonotapie"/>
        <w:rPr>
          <w:rFonts w:ascii="Times New Roman" w:hAnsi="Times New Roman" w:cs="Times New Roman"/>
          <w:sz w:val="18"/>
          <w:szCs w:val="18"/>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Foro por el derecho a la educación pública, Informe a la luz de la situación de la educación en Chile al 2019, disponible en: </w:t>
      </w:r>
      <w:hyperlink r:id="rId54" w:history="1">
        <w:r w:rsidRPr="00953824">
          <w:rPr>
            <w:rStyle w:val="Hipervnculo"/>
            <w:rFonts w:ascii="Times New Roman" w:hAnsi="Times New Roman" w:cs="Times New Roman"/>
            <w:sz w:val="18"/>
            <w:szCs w:val="18"/>
          </w:rPr>
          <w:t>http://derechoeducacionpublica.cl/wp-content/uploads/2019/07/FODEP-2019-Informe-Luz-de-la-Situaci%C3%B3n-de-la-Educaci%C3%B3n-en-Chile.pdf</w:t>
        </w:r>
      </w:hyperlink>
    </w:p>
  </w:footnote>
  <w:footnote w:id="149">
    <w:p w14:paraId="59BFE24D" w14:textId="77777777" w:rsidR="00E61542" w:rsidRPr="0036194C" w:rsidRDefault="00E61542" w:rsidP="005874AF">
      <w:pPr>
        <w:pStyle w:val="Textonotapie"/>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Ibid.</w:t>
      </w:r>
      <w:r>
        <w:t xml:space="preserve"> </w:t>
      </w:r>
    </w:p>
  </w:footnote>
  <w:footnote w:id="150">
    <w:p w14:paraId="3159818F" w14:textId="77777777" w:rsidR="00E61542" w:rsidRPr="00953824" w:rsidRDefault="00E61542" w:rsidP="005874AF">
      <w:pPr>
        <w:pStyle w:val="Textonotapie"/>
        <w:rPr>
          <w:rFonts w:ascii="Times New Roman" w:hAnsi="Times New Roman" w:cs="Times New Roman"/>
          <w:sz w:val="18"/>
          <w:szCs w:val="18"/>
          <w:lang w:val="es-CL"/>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sz w:val="18"/>
          <w:szCs w:val="18"/>
          <w:lang w:val="es-CL"/>
        </w:rPr>
        <w:t>Proyecto de ley boletín N° 12.436-04.</w:t>
      </w:r>
    </w:p>
  </w:footnote>
  <w:footnote w:id="151">
    <w:p w14:paraId="51CC1FC4" w14:textId="77777777" w:rsidR="00E61542" w:rsidRPr="00953824" w:rsidRDefault="00E61542" w:rsidP="005874AF">
      <w:pPr>
        <w:pStyle w:val="Textonotapie"/>
        <w:rPr>
          <w:rFonts w:ascii="Times New Roman" w:hAnsi="Times New Roman" w:cs="Times New Roman"/>
          <w:sz w:val="18"/>
          <w:szCs w:val="18"/>
          <w:lang w:val="es-CL"/>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sz w:val="18"/>
          <w:szCs w:val="18"/>
          <w:lang w:val="es-CL"/>
        </w:rPr>
        <w:t>Proyecto de ley boletín N° 12.026-04.</w:t>
      </w:r>
    </w:p>
  </w:footnote>
  <w:footnote w:id="152">
    <w:p w14:paraId="1EEB93B9" w14:textId="77777777" w:rsidR="00E61542" w:rsidRPr="00C8201E" w:rsidRDefault="00E61542" w:rsidP="005874AF">
      <w:pPr>
        <w:pStyle w:val="Textonotapie"/>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Ver en: </w:t>
      </w:r>
      <w:hyperlink r:id="rId55" w:history="1">
        <w:r w:rsidRPr="00953824">
          <w:rPr>
            <w:rStyle w:val="Hipervnculo"/>
            <w:rFonts w:ascii="Times New Roman" w:hAnsi="Times New Roman" w:cs="Times New Roman"/>
            <w:sz w:val="18"/>
            <w:szCs w:val="18"/>
          </w:rPr>
          <w:t>https://tbinternet.ohchr.org/Treaties/CESCR/Shared%20Documents/CHL/INT_CESCR_ICO_CHL_18838_E.pdf</w:t>
        </w:r>
      </w:hyperlink>
    </w:p>
  </w:footnote>
  <w:footnote w:id="153">
    <w:p w14:paraId="50611A6E" w14:textId="77777777" w:rsidR="00E61542" w:rsidRPr="00953824" w:rsidRDefault="00E61542" w:rsidP="00282425">
      <w:pPr>
        <w:pStyle w:val="Textonotapie"/>
        <w:rPr>
          <w:rFonts w:ascii="Times New Roman" w:hAnsi="Times New Roman" w:cs="Times New Roman"/>
          <w:sz w:val="18"/>
          <w:szCs w:val="18"/>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sz w:val="18"/>
          <w:szCs w:val="18"/>
          <w:lang w:val="es-ES"/>
        </w:rPr>
        <w:t xml:space="preserve">Ver en: </w:t>
      </w:r>
      <w:hyperlink r:id="rId56" w:history="1">
        <w:r w:rsidRPr="00953824">
          <w:rPr>
            <w:rStyle w:val="Hipervnculo"/>
            <w:rFonts w:ascii="Times New Roman" w:hAnsi="Times New Roman" w:cs="Times New Roman"/>
            <w:sz w:val="18"/>
            <w:szCs w:val="18"/>
          </w:rPr>
          <w:t>https://www.abidjanprinciples.org/</w:t>
        </w:r>
      </w:hyperlink>
    </w:p>
  </w:footnote>
  <w:footnote w:id="154">
    <w:p w14:paraId="7BC9D80A" w14:textId="610B9934" w:rsidR="00E61542" w:rsidRPr="00953824" w:rsidRDefault="00E61542">
      <w:pPr>
        <w:pStyle w:val="Textonotapie"/>
        <w:rPr>
          <w:rFonts w:ascii="Times New Roman" w:hAnsi="Times New Roman" w:cs="Times New Roman"/>
          <w:sz w:val="18"/>
          <w:szCs w:val="18"/>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sz w:val="18"/>
          <w:szCs w:val="18"/>
          <w:lang w:val="es-ES"/>
        </w:rPr>
        <w:t xml:space="preserve">Ibid, artículo 2, pár 29-30. </w:t>
      </w:r>
    </w:p>
  </w:footnote>
  <w:footnote w:id="155">
    <w:p w14:paraId="485482DA" w14:textId="01B1FEAE" w:rsidR="00E61542" w:rsidRPr="00953824" w:rsidRDefault="00E61542">
      <w:pPr>
        <w:pStyle w:val="Textonotapie"/>
        <w:rPr>
          <w:rFonts w:ascii="Times New Roman" w:hAnsi="Times New Roman" w:cs="Times New Roman"/>
          <w:sz w:val="18"/>
          <w:szCs w:val="18"/>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sz w:val="18"/>
          <w:szCs w:val="18"/>
          <w:lang w:val="es-ES"/>
        </w:rPr>
        <w:t>Ibid, pár. 42-45</w:t>
      </w:r>
    </w:p>
  </w:footnote>
  <w:footnote w:id="156">
    <w:p w14:paraId="60D8BEB6" w14:textId="0C5A83F7" w:rsidR="00E61542" w:rsidRPr="00953824" w:rsidRDefault="00E61542">
      <w:pPr>
        <w:pStyle w:val="Textonotapie"/>
        <w:rPr>
          <w:rFonts w:ascii="Times New Roman" w:hAnsi="Times New Roman" w:cs="Times New Roman"/>
          <w:sz w:val="18"/>
          <w:szCs w:val="18"/>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sz w:val="18"/>
          <w:szCs w:val="18"/>
          <w:lang w:val="es-ES"/>
        </w:rPr>
        <w:t xml:space="preserve">Supra (Nº141) pár. 58. </w:t>
      </w:r>
    </w:p>
  </w:footnote>
  <w:footnote w:id="157">
    <w:p w14:paraId="5199B60B" w14:textId="77777777" w:rsidR="00E61542" w:rsidRPr="00953824" w:rsidRDefault="00E61542" w:rsidP="00C972C8">
      <w:pPr>
        <w:pStyle w:val="Textonotapie"/>
        <w:rPr>
          <w:rFonts w:ascii="Times New Roman" w:hAnsi="Times New Roman" w:cs="Times New Roman"/>
          <w:sz w:val="18"/>
          <w:szCs w:val="18"/>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sz w:val="18"/>
          <w:szCs w:val="18"/>
          <w:lang w:val="es-ES"/>
        </w:rPr>
        <w:t xml:space="preserve">Ibid, pár. 45, letra d). </w:t>
      </w:r>
    </w:p>
  </w:footnote>
  <w:footnote w:id="158">
    <w:p w14:paraId="0B97F3F4" w14:textId="2A1A9279" w:rsidR="00E61542" w:rsidRPr="00953824" w:rsidRDefault="00E61542">
      <w:pPr>
        <w:pStyle w:val="Textonotapie"/>
        <w:rPr>
          <w:rFonts w:ascii="Times New Roman" w:hAnsi="Times New Roman" w:cs="Times New Roman"/>
          <w:sz w:val="18"/>
          <w:szCs w:val="18"/>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w:t>
      </w:r>
      <w:r w:rsidRPr="00953824">
        <w:rPr>
          <w:rFonts w:ascii="Times New Roman" w:hAnsi="Times New Roman" w:cs="Times New Roman"/>
          <w:sz w:val="18"/>
          <w:szCs w:val="18"/>
          <w:lang w:val="es-ES"/>
        </w:rPr>
        <w:t xml:space="preserve">Ibid, letra e). </w:t>
      </w:r>
    </w:p>
  </w:footnote>
  <w:footnote w:id="159">
    <w:p w14:paraId="15FC1503" w14:textId="270CF8DE" w:rsidR="00E61542" w:rsidRPr="00BA784E" w:rsidRDefault="00E61542">
      <w:pPr>
        <w:pStyle w:val="Textonotapie"/>
        <w:rPr>
          <w:lang w:val="es-ES"/>
        </w:rPr>
      </w:pPr>
      <w:r w:rsidRPr="00953824">
        <w:rPr>
          <w:rStyle w:val="Refdenotaalpie"/>
          <w:rFonts w:ascii="Times New Roman" w:hAnsi="Times New Roman"/>
          <w:sz w:val="18"/>
          <w:szCs w:val="18"/>
        </w:rPr>
        <w:footnoteRef/>
      </w:r>
      <w:r w:rsidRPr="00953824">
        <w:rPr>
          <w:rFonts w:ascii="Times New Roman" w:hAnsi="Times New Roman" w:cs="Times New Roman"/>
          <w:sz w:val="18"/>
          <w:szCs w:val="18"/>
        </w:rPr>
        <w:t xml:space="preserve"> Ibid, pár. 64.</w:t>
      </w:r>
      <w:r>
        <w:t xml:space="preserve"> </w:t>
      </w:r>
    </w:p>
  </w:footnote>
  <w:footnote w:id="160">
    <w:p w14:paraId="7A976AC7" w14:textId="43A546FB" w:rsidR="00E61542" w:rsidRPr="00402E56" w:rsidRDefault="00E61542">
      <w:pPr>
        <w:pStyle w:val="Textonotapie"/>
        <w:rPr>
          <w:lang w:val="es-ES"/>
        </w:rPr>
      </w:pPr>
      <w:r>
        <w:rPr>
          <w:rStyle w:val="Refdenotaalpie"/>
        </w:rPr>
        <w:footnoteRef/>
      </w:r>
      <w:r>
        <w:t xml:space="preserve"> </w:t>
      </w:r>
      <w:r>
        <w:rPr>
          <w:lang w:val="es-ES"/>
        </w:rPr>
        <w:t xml:space="preserve">Supra (Nº150) </w:t>
      </w:r>
    </w:p>
  </w:footnote>
  <w:footnote w:id="161">
    <w:p w14:paraId="62EFF22F" w14:textId="75C4E455" w:rsidR="00E61542" w:rsidRPr="00ED6705" w:rsidRDefault="00E61542">
      <w:pPr>
        <w:pStyle w:val="Textonotapie"/>
        <w:rPr>
          <w:lang w:val="es-ES"/>
        </w:rPr>
      </w:pPr>
      <w:r>
        <w:rPr>
          <w:rStyle w:val="Refdenotaalpie"/>
        </w:rPr>
        <w:footnoteRef/>
      </w:r>
      <w:r>
        <w:t xml:space="preserve"> </w:t>
      </w:r>
      <w:r>
        <w:rPr>
          <w:lang w:val="es-ES"/>
        </w:rPr>
        <w:t>Ibid, pág. 17.</w:t>
      </w:r>
    </w:p>
  </w:footnote>
  <w:footnote w:id="162">
    <w:p w14:paraId="06525EB9" w14:textId="023E28C2" w:rsidR="00E61542" w:rsidRPr="007679B1" w:rsidRDefault="00E61542">
      <w:pPr>
        <w:pStyle w:val="Textonotapie"/>
        <w:rPr>
          <w:lang w:val="es-ES"/>
        </w:rPr>
      </w:pPr>
      <w:r>
        <w:rPr>
          <w:rStyle w:val="Refdenotaalpie"/>
        </w:rPr>
        <w:footnoteRef/>
      </w:r>
      <w:r>
        <w:t xml:space="preserve"> </w:t>
      </w:r>
      <w:r>
        <w:rPr>
          <w:lang w:val="es-ES"/>
        </w:rPr>
        <w:t xml:space="preserve">Supra (Nº155), pár.65, letra f; pár. 66, letra c); pár. 70.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D74EB"/>
    <w:multiLevelType w:val="hybridMultilevel"/>
    <w:tmpl w:val="723E1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E636E"/>
    <w:multiLevelType w:val="hybridMultilevel"/>
    <w:tmpl w:val="88EE810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2C697D4E"/>
    <w:multiLevelType w:val="hybridMultilevel"/>
    <w:tmpl w:val="E2985B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35159"/>
    <w:multiLevelType w:val="hybridMultilevel"/>
    <w:tmpl w:val="630AE5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115659"/>
    <w:multiLevelType w:val="hybridMultilevel"/>
    <w:tmpl w:val="49FEE6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BE57E81"/>
    <w:multiLevelType w:val="hybridMultilevel"/>
    <w:tmpl w:val="AC9EDE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A76BAF"/>
    <w:multiLevelType w:val="hybridMultilevel"/>
    <w:tmpl w:val="6C98A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5"/>
  </w:num>
  <w:num w:numId="6">
    <w:abstractNumId w:val="6"/>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3A7"/>
    <w:rsid w:val="00005C7C"/>
    <w:rsid w:val="00014190"/>
    <w:rsid w:val="00025F7E"/>
    <w:rsid w:val="0003155D"/>
    <w:rsid w:val="00063E68"/>
    <w:rsid w:val="000762DC"/>
    <w:rsid w:val="00082DCD"/>
    <w:rsid w:val="00083693"/>
    <w:rsid w:val="000A2D80"/>
    <w:rsid w:val="000A4DBB"/>
    <w:rsid w:val="000B5AC3"/>
    <w:rsid w:val="000C4C35"/>
    <w:rsid w:val="000C76F4"/>
    <w:rsid w:val="000D1864"/>
    <w:rsid w:val="000D4DD7"/>
    <w:rsid w:val="000D4FA5"/>
    <w:rsid w:val="001205DD"/>
    <w:rsid w:val="0012296F"/>
    <w:rsid w:val="00151377"/>
    <w:rsid w:val="00152582"/>
    <w:rsid w:val="00160607"/>
    <w:rsid w:val="00165ADE"/>
    <w:rsid w:val="00170540"/>
    <w:rsid w:val="00173E75"/>
    <w:rsid w:val="00177352"/>
    <w:rsid w:val="001953AF"/>
    <w:rsid w:val="001C26EA"/>
    <w:rsid w:val="001C5177"/>
    <w:rsid w:val="001D0D3B"/>
    <w:rsid w:val="001E356D"/>
    <w:rsid w:val="002047AB"/>
    <w:rsid w:val="002063FB"/>
    <w:rsid w:val="00213F42"/>
    <w:rsid w:val="00223133"/>
    <w:rsid w:val="002248F7"/>
    <w:rsid w:val="002339E5"/>
    <w:rsid w:val="002501A7"/>
    <w:rsid w:val="0025237D"/>
    <w:rsid w:val="00254EA6"/>
    <w:rsid w:val="00262F17"/>
    <w:rsid w:val="00282425"/>
    <w:rsid w:val="00291F04"/>
    <w:rsid w:val="002A0938"/>
    <w:rsid w:val="002A0CB0"/>
    <w:rsid w:val="002A168E"/>
    <w:rsid w:val="002A2432"/>
    <w:rsid w:val="002B0F5E"/>
    <w:rsid w:val="002C1406"/>
    <w:rsid w:val="002C59B3"/>
    <w:rsid w:val="002C6679"/>
    <w:rsid w:val="002D1C3E"/>
    <w:rsid w:val="002D2639"/>
    <w:rsid w:val="002E4B47"/>
    <w:rsid w:val="002E5ABF"/>
    <w:rsid w:val="002F1941"/>
    <w:rsid w:val="002F6998"/>
    <w:rsid w:val="00303705"/>
    <w:rsid w:val="0030376A"/>
    <w:rsid w:val="00304444"/>
    <w:rsid w:val="00304ECB"/>
    <w:rsid w:val="003222F3"/>
    <w:rsid w:val="00324DD1"/>
    <w:rsid w:val="0032718A"/>
    <w:rsid w:val="00333D8F"/>
    <w:rsid w:val="00336EE6"/>
    <w:rsid w:val="00353BE6"/>
    <w:rsid w:val="003551EF"/>
    <w:rsid w:val="003721C9"/>
    <w:rsid w:val="003754D8"/>
    <w:rsid w:val="0037558F"/>
    <w:rsid w:val="003811BE"/>
    <w:rsid w:val="00392C74"/>
    <w:rsid w:val="003947B1"/>
    <w:rsid w:val="003A5817"/>
    <w:rsid w:val="003B2541"/>
    <w:rsid w:val="003B294A"/>
    <w:rsid w:val="003C0DCE"/>
    <w:rsid w:val="003E4533"/>
    <w:rsid w:val="00401149"/>
    <w:rsid w:val="00402E56"/>
    <w:rsid w:val="00407736"/>
    <w:rsid w:val="00433B2B"/>
    <w:rsid w:val="00433C41"/>
    <w:rsid w:val="004417E3"/>
    <w:rsid w:val="00441C49"/>
    <w:rsid w:val="004421E3"/>
    <w:rsid w:val="00454B29"/>
    <w:rsid w:val="0045673F"/>
    <w:rsid w:val="00462A27"/>
    <w:rsid w:val="00462D77"/>
    <w:rsid w:val="0047270D"/>
    <w:rsid w:val="00474DDD"/>
    <w:rsid w:val="00476D31"/>
    <w:rsid w:val="0048094D"/>
    <w:rsid w:val="004916F0"/>
    <w:rsid w:val="004917C4"/>
    <w:rsid w:val="00492C70"/>
    <w:rsid w:val="00492CF6"/>
    <w:rsid w:val="00496698"/>
    <w:rsid w:val="004C3FCD"/>
    <w:rsid w:val="004C468A"/>
    <w:rsid w:val="004D5911"/>
    <w:rsid w:val="004E4574"/>
    <w:rsid w:val="004E5E3C"/>
    <w:rsid w:val="004F797B"/>
    <w:rsid w:val="00501443"/>
    <w:rsid w:val="005020C8"/>
    <w:rsid w:val="0052546F"/>
    <w:rsid w:val="00530DFA"/>
    <w:rsid w:val="00531FEF"/>
    <w:rsid w:val="00534628"/>
    <w:rsid w:val="00535969"/>
    <w:rsid w:val="00535C7C"/>
    <w:rsid w:val="0053647F"/>
    <w:rsid w:val="00536972"/>
    <w:rsid w:val="005436A6"/>
    <w:rsid w:val="005455AD"/>
    <w:rsid w:val="0054642B"/>
    <w:rsid w:val="00546D09"/>
    <w:rsid w:val="00560856"/>
    <w:rsid w:val="00565210"/>
    <w:rsid w:val="0056525B"/>
    <w:rsid w:val="00571AA7"/>
    <w:rsid w:val="00583D5C"/>
    <w:rsid w:val="005874AF"/>
    <w:rsid w:val="005915BA"/>
    <w:rsid w:val="005942B3"/>
    <w:rsid w:val="005B7F66"/>
    <w:rsid w:val="005C55F7"/>
    <w:rsid w:val="005D5785"/>
    <w:rsid w:val="0061328C"/>
    <w:rsid w:val="006144AB"/>
    <w:rsid w:val="0062145A"/>
    <w:rsid w:val="006234BC"/>
    <w:rsid w:val="00634FD8"/>
    <w:rsid w:val="006408AA"/>
    <w:rsid w:val="00641554"/>
    <w:rsid w:val="00644E41"/>
    <w:rsid w:val="006503BB"/>
    <w:rsid w:val="006841E5"/>
    <w:rsid w:val="00693F32"/>
    <w:rsid w:val="00696C3D"/>
    <w:rsid w:val="00697014"/>
    <w:rsid w:val="006A5F52"/>
    <w:rsid w:val="006B16E4"/>
    <w:rsid w:val="006D2125"/>
    <w:rsid w:val="006D3B70"/>
    <w:rsid w:val="006E659D"/>
    <w:rsid w:val="006E72C0"/>
    <w:rsid w:val="006F126F"/>
    <w:rsid w:val="0070180E"/>
    <w:rsid w:val="00707BF0"/>
    <w:rsid w:val="00723B71"/>
    <w:rsid w:val="0072474F"/>
    <w:rsid w:val="007278DF"/>
    <w:rsid w:val="007679B1"/>
    <w:rsid w:val="00773A7B"/>
    <w:rsid w:val="007764B3"/>
    <w:rsid w:val="007838A2"/>
    <w:rsid w:val="00786736"/>
    <w:rsid w:val="00791F46"/>
    <w:rsid w:val="007B08BA"/>
    <w:rsid w:val="007B4092"/>
    <w:rsid w:val="007C0FCD"/>
    <w:rsid w:val="007C35C5"/>
    <w:rsid w:val="007D3690"/>
    <w:rsid w:val="007F4F30"/>
    <w:rsid w:val="007F5E98"/>
    <w:rsid w:val="0082404C"/>
    <w:rsid w:val="00824291"/>
    <w:rsid w:val="00831319"/>
    <w:rsid w:val="008340EA"/>
    <w:rsid w:val="00835046"/>
    <w:rsid w:val="008433F3"/>
    <w:rsid w:val="008521B7"/>
    <w:rsid w:val="008549BB"/>
    <w:rsid w:val="00867192"/>
    <w:rsid w:val="008712B3"/>
    <w:rsid w:val="008733AC"/>
    <w:rsid w:val="00891050"/>
    <w:rsid w:val="00892464"/>
    <w:rsid w:val="008B5B05"/>
    <w:rsid w:val="008B6836"/>
    <w:rsid w:val="008B6FBD"/>
    <w:rsid w:val="008B6FD0"/>
    <w:rsid w:val="008C592C"/>
    <w:rsid w:val="008D4D94"/>
    <w:rsid w:val="008E0999"/>
    <w:rsid w:val="008F67E1"/>
    <w:rsid w:val="009023A7"/>
    <w:rsid w:val="009111F7"/>
    <w:rsid w:val="00911F1A"/>
    <w:rsid w:val="00913F96"/>
    <w:rsid w:val="009147D0"/>
    <w:rsid w:val="00931DC6"/>
    <w:rsid w:val="00932242"/>
    <w:rsid w:val="009322E4"/>
    <w:rsid w:val="00943761"/>
    <w:rsid w:val="00946F61"/>
    <w:rsid w:val="00952454"/>
    <w:rsid w:val="00953824"/>
    <w:rsid w:val="00953B8E"/>
    <w:rsid w:val="00983F7E"/>
    <w:rsid w:val="0099534C"/>
    <w:rsid w:val="009961EF"/>
    <w:rsid w:val="009B0EA1"/>
    <w:rsid w:val="009D7993"/>
    <w:rsid w:val="009E0611"/>
    <w:rsid w:val="009E0F52"/>
    <w:rsid w:val="009E2C16"/>
    <w:rsid w:val="009E4EB4"/>
    <w:rsid w:val="009F2333"/>
    <w:rsid w:val="009F5D3E"/>
    <w:rsid w:val="00A13A4A"/>
    <w:rsid w:val="00A17794"/>
    <w:rsid w:val="00A20F0F"/>
    <w:rsid w:val="00A23FB2"/>
    <w:rsid w:val="00A254D8"/>
    <w:rsid w:val="00A31A71"/>
    <w:rsid w:val="00A3301E"/>
    <w:rsid w:val="00A36856"/>
    <w:rsid w:val="00A43633"/>
    <w:rsid w:val="00A44DC6"/>
    <w:rsid w:val="00A464F4"/>
    <w:rsid w:val="00A8376E"/>
    <w:rsid w:val="00A86B2C"/>
    <w:rsid w:val="00A96997"/>
    <w:rsid w:val="00AA2875"/>
    <w:rsid w:val="00AA7FBF"/>
    <w:rsid w:val="00AB1F5F"/>
    <w:rsid w:val="00AB3793"/>
    <w:rsid w:val="00AB6552"/>
    <w:rsid w:val="00AC46EB"/>
    <w:rsid w:val="00AC4CB7"/>
    <w:rsid w:val="00AC6150"/>
    <w:rsid w:val="00AD1385"/>
    <w:rsid w:val="00AE31A1"/>
    <w:rsid w:val="00AE35BF"/>
    <w:rsid w:val="00AE6384"/>
    <w:rsid w:val="00AF45C8"/>
    <w:rsid w:val="00B15ADA"/>
    <w:rsid w:val="00B2137B"/>
    <w:rsid w:val="00B27021"/>
    <w:rsid w:val="00B40583"/>
    <w:rsid w:val="00B60327"/>
    <w:rsid w:val="00B64425"/>
    <w:rsid w:val="00B65D24"/>
    <w:rsid w:val="00B73B95"/>
    <w:rsid w:val="00B94197"/>
    <w:rsid w:val="00BA10EF"/>
    <w:rsid w:val="00BA38DF"/>
    <w:rsid w:val="00BA784E"/>
    <w:rsid w:val="00BB42DE"/>
    <w:rsid w:val="00BE05CC"/>
    <w:rsid w:val="00C2495B"/>
    <w:rsid w:val="00C30233"/>
    <w:rsid w:val="00C4117E"/>
    <w:rsid w:val="00C50ABB"/>
    <w:rsid w:val="00C5177E"/>
    <w:rsid w:val="00C61437"/>
    <w:rsid w:val="00C653CC"/>
    <w:rsid w:val="00C7099F"/>
    <w:rsid w:val="00C73ED6"/>
    <w:rsid w:val="00C77BC3"/>
    <w:rsid w:val="00C77D1D"/>
    <w:rsid w:val="00C87AA9"/>
    <w:rsid w:val="00C87D77"/>
    <w:rsid w:val="00C95E52"/>
    <w:rsid w:val="00C972C8"/>
    <w:rsid w:val="00CA15BD"/>
    <w:rsid w:val="00CA35D0"/>
    <w:rsid w:val="00CA3886"/>
    <w:rsid w:val="00CB090A"/>
    <w:rsid w:val="00CC3AE4"/>
    <w:rsid w:val="00CD0DC8"/>
    <w:rsid w:val="00CD4706"/>
    <w:rsid w:val="00CD5993"/>
    <w:rsid w:val="00CE1987"/>
    <w:rsid w:val="00CE4DD7"/>
    <w:rsid w:val="00CE5686"/>
    <w:rsid w:val="00CE615B"/>
    <w:rsid w:val="00CF18BD"/>
    <w:rsid w:val="00CF1BA8"/>
    <w:rsid w:val="00D05BD3"/>
    <w:rsid w:val="00D247AE"/>
    <w:rsid w:val="00D258F8"/>
    <w:rsid w:val="00D31F95"/>
    <w:rsid w:val="00D43446"/>
    <w:rsid w:val="00D43A31"/>
    <w:rsid w:val="00D55251"/>
    <w:rsid w:val="00D63E9A"/>
    <w:rsid w:val="00D80508"/>
    <w:rsid w:val="00D969AC"/>
    <w:rsid w:val="00DA5A4E"/>
    <w:rsid w:val="00DD5433"/>
    <w:rsid w:val="00DE13C0"/>
    <w:rsid w:val="00DE4072"/>
    <w:rsid w:val="00DF3319"/>
    <w:rsid w:val="00DF38A5"/>
    <w:rsid w:val="00E01FB8"/>
    <w:rsid w:val="00E17ACA"/>
    <w:rsid w:val="00E3465F"/>
    <w:rsid w:val="00E34FD1"/>
    <w:rsid w:val="00E36B35"/>
    <w:rsid w:val="00E40541"/>
    <w:rsid w:val="00E439F5"/>
    <w:rsid w:val="00E448C5"/>
    <w:rsid w:val="00E45919"/>
    <w:rsid w:val="00E46C81"/>
    <w:rsid w:val="00E51BC0"/>
    <w:rsid w:val="00E5727D"/>
    <w:rsid w:val="00E61542"/>
    <w:rsid w:val="00E80DC8"/>
    <w:rsid w:val="00E8101B"/>
    <w:rsid w:val="00E86B4E"/>
    <w:rsid w:val="00E875D5"/>
    <w:rsid w:val="00E905B4"/>
    <w:rsid w:val="00E90FEF"/>
    <w:rsid w:val="00E93EF4"/>
    <w:rsid w:val="00E94C35"/>
    <w:rsid w:val="00EA79B9"/>
    <w:rsid w:val="00EB4822"/>
    <w:rsid w:val="00EC116B"/>
    <w:rsid w:val="00EC2EB5"/>
    <w:rsid w:val="00ED6705"/>
    <w:rsid w:val="00EE4829"/>
    <w:rsid w:val="00EF033A"/>
    <w:rsid w:val="00F0460D"/>
    <w:rsid w:val="00F05D6B"/>
    <w:rsid w:val="00F17FD2"/>
    <w:rsid w:val="00F26A3D"/>
    <w:rsid w:val="00F37D79"/>
    <w:rsid w:val="00F37D91"/>
    <w:rsid w:val="00F7012C"/>
    <w:rsid w:val="00F7760A"/>
    <w:rsid w:val="00F863FD"/>
    <w:rsid w:val="00F97DE5"/>
    <w:rsid w:val="00FA7D3E"/>
    <w:rsid w:val="00FB4738"/>
    <w:rsid w:val="00FB6BA8"/>
    <w:rsid w:val="00FB6F2E"/>
    <w:rsid w:val="00FD1987"/>
    <w:rsid w:val="00FD1EEE"/>
    <w:rsid w:val="00FD77E8"/>
    <w:rsid w:val="00FE7437"/>
    <w:rsid w:val="00FF514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97081"/>
  <w15:chartTrackingRefBased/>
  <w15:docId w15:val="{AA38E5AF-AC00-401F-82CA-26DF82C8B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177"/>
  </w:style>
  <w:style w:type="paragraph" w:styleId="Ttulo1">
    <w:name w:val="heading 1"/>
    <w:basedOn w:val="Normal"/>
    <w:next w:val="Normal"/>
    <w:link w:val="Ttulo1Car"/>
    <w:uiPriority w:val="9"/>
    <w:qFormat/>
    <w:rsid w:val="00C87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023A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apple-tab-span">
    <w:name w:val="apple-tab-span"/>
    <w:basedOn w:val="Fuentedeprrafopredeter"/>
    <w:rsid w:val="009111F7"/>
  </w:style>
  <w:style w:type="paragraph" w:styleId="Textonotapie">
    <w:name w:val="footnote text"/>
    <w:aliases w:val="Footnote Text Char Char Char Char,Footnote Text Char Char Char,Footnote Text Char Char Char Char Char,Footnote reference,FA Fu,Texto nota pie [MM],Texto nota pie [MM] Car,Texto nota pie [MM] Car Car Car,Texto nota pie [MM] Car Car Car Car"/>
    <w:basedOn w:val="Normal"/>
    <w:link w:val="TextonotapieCar"/>
    <w:uiPriority w:val="99"/>
    <w:unhideWhenUsed/>
    <w:qFormat/>
    <w:rsid w:val="009111F7"/>
    <w:pPr>
      <w:spacing w:after="0" w:line="240" w:lineRule="auto"/>
    </w:pPr>
    <w:rPr>
      <w:sz w:val="20"/>
      <w:szCs w:val="20"/>
    </w:rPr>
  </w:style>
  <w:style w:type="character" w:customStyle="1" w:styleId="TextonotapieCar">
    <w:name w:val="Texto nota pie Car"/>
    <w:aliases w:val="Footnote Text Char Char Char Char Car,Footnote Text Char Char Char Car,Footnote Text Char Char Char Char Char Car,Footnote reference Car,FA Fu Car,Texto nota pie [MM] Car1,Texto nota pie [MM] Car Car"/>
    <w:basedOn w:val="Fuentedeprrafopredeter"/>
    <w:link w:val="Textonotapie"/>
    <w:uiPriority w:val="99"/>
    <w:qFormat/>
    <w:rsid w:val="009111F7"/>
    <w:rPr>
      <w:sz w:val="20"/>
      <w:szCs w:val="20"/>
    </w:rPr>
  </w:style>
  <w:style w:type="character" w:styleId="Refdenotaalpie">
    <w:name w:val="footnote reference"/>
    <w:aliases w:val="Ref,de nota al pie,4_G,HAB06,Footnote Reference Number,Footnote Reference_LVL6,Footnote Reference_LVL61,Footnote Reference_LVL62,Footnote Reference_LVL63,Footnote Reference_LVL64,16 Point,Superscript 6 Point,Footnote number,BVI fnr,f"/>
    <w:link w:val="4GCharCharChar"/>
    <w:uiPriority w:val="99"/>
    <w:qFormat/>
    <w:rsid w:val="009111F7"/>
    <w:rPr>
      <w:rFonts w:cs="Times New Roman"/>
      <w:vertAlign w:val="superscript"/>
    </w:rPr>
  </w:style>
  <w:style w:type="character" w:styleId="Hipervnculo">
    <w:name w:val="Hyperlink"/>
    <w:basedOn w:val="Fuentedeprrafopredeter"/>
    <w:uiPriority w:val="99"/>
    <w:unhideWhenUsed/>
    <w:rsid w:val="009111F7"/>
    <w:rPr>
      <w:color w:val="0000FF"/>
      <w:u w:val="single"/>
    </w:rPr>
  </w:style>
  <w:style w:type="character" w:styleId="Textoennegrita">
    <w:name w:val="Strong"/>
    <w:basedOn w:val="Fuentedeprrafopredeter"/>
    <w:uiPriority w:val="22"/>
    <w:qFormat/>
    <w:rsid w:val="00530DFA"/>
    <w:rPr>
      <w:b/>
      <w:bCs/>
    </w:rPr>
  </w:style>
  <w:style w:type="paragraph" w:customStyle="1" w:styleId="SingleTxt">
    <w:name w:val="__Single Txt"/>
    <w:basedOn w:val="Normal"/>
    <w:qFormat/>
    <w:rsid w:val="00530DF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rPr>
  </w:style>
  <w:style w:type="paragraph" w:styleId="Textodeglobo">
    <w:name w:val="Balloon Text"/>
    <w:basedOn w:val="Normal"/>
    <w:link w:val="TextodegloboCar"/>
    <w:uiPriority w:val="99"/>
    <w:semiHidden/>
    <w:unhideWhenUsed/>
    <w:rsid w:val="006E659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659D"/>
    <w:rPr>
      <w:rFonts w:ascii="Segoe UI" w:hAnsi="Segoe UI" w:cs="Segoe UI"/>
      <w:sz w:val="18"/>
      <w:szCs w:val="18"/>
    </w:rPr>
  </w:style>
  <w:style w:type="paragraph" w:styleId="Encabezado">
    <w:name w:val="header"/>
    <w:basedOn w:val="Normal"/>
    <w:link w:val="EncabezadoCar"/>
    <w:uiPriority w:val="99"/>
    <w:unhideWhenUsed/>
    <w:rsid w:val="006E65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E659D"/>
  </w:style>
  <w:style w:type="paragraph" w:styleId="Piedepgina">
    <w:name w:val="footer"/>
    <w:basedOn w:val="Normal"/>
    <w:link w:val="PiedepginaCar"/>
    <w:uiPriority w:val="99"/>
    <w:unhideWhenUsed/>
    <w:rsid w:val="006E65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659D"/>
  </w:style>
  <w:style w:type="paragraph" w:styleId="Prrafodelista">
    <w:name w:val="List Paragraph"/>
    <w:basedOn w:val="Normal"/>
    <w:uiPriority w:val="34"/>
    <w:qFormat/>
    <w:rsid w:val="001C5177"/>
    <w:pPr>
      <w:ind w:left="720"/>
      <w:contextualSpacing/>
    </w:pPr>
  </w:style>
  <w:style w:type="paragraph" w:customStyle="1" w:styleId="SingleTxtG">
    <w:name w:val="_ Single Txt_G"/>
    <w:basedOn w:val="Normal"/>
    <w:qFormat/>
    <w:rsid w:val="00392C74"/>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Refdenotaalpie"/>
    <w:uiPriority w:val="99"/>
    <w:rsid w:val="00392C74"/>
    <w:pPr>
      <w:spacing w:line="240" w:lineRule="exact"/>
      <w:jc w:val="both"/>
    </w:pPr>
    <w:rPr>
      <w:rFonts w:cs="Times New Roman"/>
      <w:vertAlign w:val="superscript"/>
    </w:rPr>
  </w:style>
  <w:style w:type="character" w:styleId="Refdecomentario">
    <w:name w:val="annotation reference"/>
    <w:basedOn w:val="Fuentedeprrafopredeter"/>
    <w:uiPriority w:val="99"/>
    <w:semiHidden/>
    <w:unhideWhenUsed/>
    <w:rsid w:val="00946F61"/>
    <w:rPr>
      <w:sz w:val="16"/>
      <w:szCs w:val="16"/>
    </w:rPr>
  </w:style>
  <w:style w:type="paragraph" w:styleId="Textocomentario">
    <w:name w:val="annotation text"/>
    <w:basedOn w:val="Normal"/>
    <w:link w:val="TextocomentarioCar"/>
    <w:uiPriority w:val="99"/>
    <w:unhideWhenUsed/>
    <w:rsid w:val="00946F61"/>
    <w:pPr>
      <w:spacing w:line="240" w:lineRule="auto"/>
    </w:pPr>
    <w:rPr>
      <w:sz w:val="20"/>
      <w:szCs w:val="20"/>
    </w:rPr>
  </w:style>
  <w:style w:type="character" w:customStyle="1" w:styleId="TextocomentarioCar">
    <w:name w:val="Texto comentario Car"/>
    <w:basedOn w:val="Fuentedeprrafopredeter"/>
    <w:link w:val="Textocomentario"/>
    <w:uiPriority w:val="99"/>
    <w:rsid w:val="00946F61"/>
    <w:rPr>
      <w:sz w:val="20"/>
      <w:szCs w:val="20"/>
    </w:rPr>
  </w:style>
  <w:style w:type="paragraph" w:styleId="Asuntodelcomentario">
    <w:name w:val="annotation subject"/>
    <w:basedOn w:val="Textocomentario"/>
    <w:next w:val="Textocomentario"/>
    <w:link w:val="AsuntodelcomentarioCar"/>
    <w:uiPriority w:val="99"/>
    <w:semiHidden/>
    <w:unhideWhenUsed/>
    <w:rsid w:val="00946F61"/>
    <w:rPr>
      <w:b/>
      <w:bCs/>
    </w:rPr>
  </w:style>
  <w:style w:type="character" w:customStyle="1" w:styleId="AsuntodelcomentarioCar">
    <w:name w:val="Asunto del comentario Car"/>
    <w:basedOn w:val="TextocomentarioCar"/>
    <w:link w:val="Asuntodelcomentario"/>
    <w:uiPriority w:val="99"/>
    <w:semiHidden/>
    <w:rsid w:val="00946F61"/>
    <w:rPr>
      <w:b/>
      <w:bCs/>
      <w:sz w:val="20"/>
      <w:szCs w:val="20"/>
    </w:rPr>
  </w:style>
  <w:style w:type="paragraph" w:styleId="Revisin">
    <w:name w:val="Revision"/>
    <w:hidden/>
    <w:uiPriority w:val="99"/>
    <w:semiHidden/>
    <w:rsid w:val="001E356D"/>
    <w:pPr>
      <w:spacing w:after="0" w:line="240" w:lineRule="auto"/>
    </w:pPr>
  </w:style>
  <w:style w:type="character" w:customStyle="1" w:styleId="Mencinsinresolver1">
    <w:name w:val="Mención sin resolver1"/>
    <w:basedOn w:val="Fuentedeprrafopredeter"/>
    <w:uiPriority w:val="99"/>
    <w:semiHidden/>
    <w:unhideWhenUsed/>
    <w:rsid w:val="00C87AA9"/>
    <w:rPr>
      <w:color w:val="605E5C"/>
      <w:shd w:val="clear" w:color="auto" w:fill="E1DFDD"/>
    </w:rPr>
  </w:style>
  <w:style w:type="character" w:customStyle="1" w:styleId="Ttulo1Car">
    <w:name w:val="Título 1 Car"/>
    <w:basedOn w:val="Fuentedeprrafopredeter"/>
    <w:link w:val="Ttulo1"/>
    <w:uiPriority w:val="9"/>
    <w:rsid w:val="00C87AA9"/>
    <w:rPr>
      <w:rFonts w:asciiTheme="majorHAnsi" w:eastAsiaTheme="majorEastAsia" w:hAnsiTheme="majorHAnsi" w:cstheme="majorBidi"/>
      <w:color w:val="2F5496" w:themeColor="accent1" w:themeShade="BF"/>
      <w:sz w:val="32"/>
      <w:szCs w:val="32"/>
    </w:rPr>
  </w:style>
  <w:style w:type="character" w:styleId="nfasis">
    <w:name w:val="Emphasis"/>
    <w:basedOn w:val="Fuentedeprrafopredeter"/>
    <w:uiPriority w:val="20"/>
    <w:qFormat/>
    <w:rsid w:val="00560856"/>
    <w:rPr>
      <w:i/>
      <w:iCs/>
    </w:rPr>
  </w:style>
  <w:style w:type="character" w:styleId="Hipervnculovisitado">
    <w:name w:val="FollowedHyperlink"/>
    <w:basedOn w:val="Fuentedeprrafopredeter"/>
    <w:uiPriority w:val="99"/>
    <w:semiHidden/>
    <w:unhideWhenUsed/>
    <w:rsid w:val="00A96997"/>
    <w:rPr>
      <w:color w:val="954F72" w:themeColor="followedHyperlink"/>
      <w:u w:val="single"/>
    </w:rPr>
  </w:style>
  <w:style w:type="character" w:customStyle="1" w:styleId="fontstyle01">
    <w:name w:val="fontstyle01"/>
    <w:basedOn w:val="Fuentedeprrafopredeter"/>
    <w:rsid w:val="008B5B05"/>
    <w:rPr>
      <w:rFonts w:ascii="Times New Roman" w:hAnsi="Times New Roman" w:cs="Times New Roman"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7780">
      <w:bodyDiv w:val="1"/>
      <w:marLeft w:val="0"/>
      <w:marRight w:val="0"/>
      <w:marTop w:val="0"/>
      <w:marBottom w:val="0"/>
      <w:divBdr>
        <w:top w:val="none" w:sz="0" w:space="0" w:color="auto"/>
        <w:left w:val="none" w:sz="0" w:space="0" w:color="auto"/>
        <w:bottom w:val="none" w:sz="0" w:space="0" w:color="auto"/>
        <w:right w:val="none" w:sz="0" w:space="0" w:color="auto"/>
      </w:divBdr>
    </w:div>
    <w:div w:id="397900709">
      <w:bodyDiv w:val="1"/>
      <w:marLeft w:val="0"/>
      <w:marRight w:val="0"/>
      <w:marTop w:val="0"/>
      <w:marBottom w:val="0"/>
      <w:divBdr>
        <w:top w:val="none" w:sz="0" w:space="0" w:color="auto"/>
        <w:left w:val="none" w:sz="0" w:space="0" w:color="auto"/>
        <w:bottom w:val="none" w:sz="0" w:space="0" w:color="auto"/>
        <w:right w:val="none" w:sz="0" w:space="0" w:color="auto"/>
      </w:divBdr>
    </w:div>
    <w:div w:id="416630591">
      <w:bodyDiv w:val="1"/>
      <w:marLeft w:val="0"/>
      <w:marRight w:val="0"/>
      <w:marTop w:val="0"/>
      <w:marBottom w:val="0"/>
      <w:divBdr>
        <w:top w:val="none" w:sz="0" w:space="0" w:color="auto"/>
        <w:left w:val="none" w:sz="0" w:space="0" w:color="auto"/>
        <w:bottom w:val="none" w:sz="0" w:space="0" w:color="auto"/>
        <w:right w:val="none" w:sz="0" w:space="0" w:color="auto"/>
      </w:divBdr>
    </w:div>
    <w:div w:id="625359511">
      <w:bodyDiv w:val="1"/>
      <w:marLeft w:val="0"/>
      <w:marRight w:val="0"/>
      <w:marTop w:val="0"/>
      <w:marBottom w:val="0"/>
      <w:divBdr>
        <w:top w:val="none" w:sz="0" w:space="0" w:color="auto"/>
        <w:left w:val="none" w:sz="0" w:space="0" w:color="auto"/>
        <w:bottom w:val="none" w:sz="0" w:space="0" w:color="auto"/>
        <w:right w:val="none" w:sz="0" w:space="0" w:color="auto"/>
      </w:divBdr>
    </w:div>
    <w:div w:id="775295383">
      <w:bodyDiv w:val="1"/>
      <w:marLeft w:val="0"/>
      <w:marRight w:val="0"/>
      <w:marTop w:val="0"/>
      <w:marBottom w:val="0"/>
      <w:divBdr>
        <w:top w:val="none" w:sz="0" w:space="0" w:color="auto"/>
        <w:left w:val="none" w:sz="0" w:space="0" w:color="auto"/>
        <w:bottom w:val="none" w:sz="0" w:space="0" w:color="auto"/>
        <w:right w:val="none" w:sz="0" w:space="0" w:color="auto"/>
      </w:divBdr>
    </w:div>
    <w:div w:id="813763993">
      <w:bodyDiv w:val="1"/>
      <w:marLeft w:val="0"/>
      <w:marRight w:val="0"/>
      <w:marTop w:val="0"/>
      <w:marBottom w:val="0"/>
      <w:divBdr>
        <w:top w:val="none" w:sz="0" w:space="0" w:color="auto"/>
        <w:left w:val="none" w:sz="0" w:space="0" w:color="auto"/>
        <w:bottom w:val="none" w:sz="0" w:space="0" w:color="auto"/>
        <w:right w:val="none" w:sz="0" w:space="0" w:color="auto"/>
      </w:divBdr>
    </w:div>
    <w:div w:id="897281087">
      <w:bodyDiv w:val="1"/>
      <w:marLeft w:val="0"/>
      <w:marRight w:val="0"/>
      <w:marTop w:val="0"/>
      <w:marBottom w:val="0"/>
      <w:divBdr>
        <w:top w:val="none" w:sz="0" w:space="0" w:color="auto"/>
        <w:left w:val="none" w:sz="0" w:space="0" w:color="auto"/>
        <w:bottom w:val="none" w:sz="0" w:space="0" w:color="auto"/>
        <w:right w:val="none" w:sz="0" w:space="0" w:color="auto"/>
      </w:divBdr>
    </w:div>
    <w:div w:id="904800194">
      <w:bodyDiv w:val="1"/>
      <w:marLeft w:val="0"/>
      <w:marRight w:val="0"/>
      <w:marTop w:val="0"/>
      <w:marBottom w:val="0"/>
      <w:divBdr>
        <w:top w:val="none" w:sz="0" w:space="0" w:color="auto"/>
        <w:left w:val="none" w:sz="0" w:space="0" w:color="auto"/>
        <w:bottom w:val="none" w:sz="0" w:space="0" w:color="auto"/>
        <w:right w:val="none" w:sz="0" w:space="0" w:color="auto"/>
      </w:divBdr>
    </w:div>
    <w:div w:id="994727451">
      <w:bodyDiv w:val="1"/>
      <w:marLeft w:val="0"/>
      <w:marRight w:val="0"/>
      <w:marTop w:val="0"/>
      <w:marBottom w:val="0"/>
      <w:divBdr>
        <w:top w:val="none" w:sz="0" w:space="0" w:color="auto"/>
        <w:left w:val="none" w:sz="0" w:space="0" w:color="auto"/>
        <w:bottom w:val="none" w:sz="0" w:space="0" w:color="auto"/>
        <w:right w:val="none" w:sz="0" w:space="0" w:color="auto"/>
      </w:divBdr>
    </w:div>
    <w:div w:id="1020357739">
      <w:bodyDiv w:val="1"/>
      <w:marLeft w:val="0"/>
      <w:marRight w:val="0"/>
      <w:marTop w:val="0"/>
      <w:marBottom w:val="0"/>
      <w:divBdr>
        <w:top w:val="none" w:sz="0" w:space="0" w:color="auto"/>
        <w:left w:val="none" w:sz="0" w:space="0" w:color="auto"/>
        <w:bottom w:val="none" w:sz="0" w:space="0" w:color="auto"/>
        <w:right w:val="none" w:sz="0" w:space="0" w:color="auto"/>
      </w:divBdr>
    </w:div>
    <w:div w:id="1037508383">
      <w:bodyDiv w:val="1"/>
      <w:marLeft w:val="0"/>
      <w:marRight w:val="0"/>
      <w:marTop w:val="0"/>
      <w:marBottom w:val="0"/>
      <w:divBdr>
        <w:top w:val="none" w:sz="0" w:space="0" w:color="auto"/>
        <w:left w:val="none" w:sz="0" w:space="0" w:color="auto"/>
        <w:bottom w:val="none" w:sz="0" w:space="0" w:color="auto"/>
        <w:right w:val="none" w:sz="0" w:space="0" w:color="auto"/>
      </w:divBdr>
    </w:div>
    <w:div w:id="1262644687">
      <w:bodyDiv w:val="1"/>
      <w:marLeft w:val="0"/>
      <w:marRight w:val="0"/>
      <w:marTop w:val="0"/>
      <w:marBottom w:val="0"/>
      <w:divBdr>
        <w:top w:val="none" w:sz="0" w:space="0" w:color="auto"/>
        <w:left w:val="none" w:sz="0" w:space="0" w:color="auto"/>
        <w:bottom w:val="none" w:sz="0" w:space="0" w:color="auto"/>
        <w:right w:val="none" w:sz="0" w:space="0" w:color="auto"/>
      </w:divBdr>
    </w:div>
    <w:div w:id="1283615735">
      <w:bodyDiv w:val="1"/>
      <w:marLeft w:val="0"/>
      <w:marRight w:val="0"/>
      <w:marTop w:val="0"/>
      <w:marBottom w:val="0"/>
      <w:divBdr>
        <w:top w:val="none" w:sz="0" w:space="0" w:color="auto"/>
        <w:left w:val="none" w:sz="0" w:space="0" w:color="auto"/>
        <w:bottom w:val="none" w:sz="0" w:space="0" w:color="auto"/>
        <w:right w:val="none" w:sz="0" w:space="0" w:color="auto"/>
      </w:divBdr>
      <w:divsChild>
        <w:div w:id="922300968">
          <w:marLeft w:val="0"/>
          <w:marRight w:val="0"/>
          <w:marTop w:val="0"/>
          <w:marBottom w:val="0"/>
          <w:divBdr>
            <w:top w:val="none" w:sz="0" w:space="0" w:color="auto"/>
            <w:left w:val="none" w:sz="0" w:space="0" w:color="auto"/>
            <w:bottom w:val="none" w:sz="0" w:space="0" w:color="auto"/>
            <w:right w:val="none" w:sz="0" w:space="0" w:color="auto"/>
          </w:divBdr>
        </w:div>
      </w:divsChild>
    </w:div>
    <w:div w:id="1287663440">
      <w:bodyDiv w:val="1"/>
      <w:marLeft w:val="0"/>
      <w:marRight w:val="0"/>
      <w:marTop w:val="0"/>
      <w:marBottom w:val="0"/>
      <w:divBdr>
        <w:top w:val="none" w:sz="0" w:space="0" w:color="auto"/>
        <w:left w:val="none" w:sz="0" w:space="0" w:color="auto"/>
        <w:bottom w:val="none" w:sz="0" w:space="0" w:color="auto"/>
        <w:right w:val="none" w:sz="0" w:space="0" w:color="auto"/>
      </w:divBdr>
    </w:div>
    <w:div w:id="1386565809">
      <w:bodyDiv w:val="1"/>
      <w:marLeft w:val="0"/>
      <w:marRight w:val="0"/>
      <w:marTop w:val="0"/>
      <w:marBottom w:val="0"/>
      <w:divBdr>
        <w:top w:val="none" w:sz="0" w:space="0" w:color="auto"/>
        <w:left w:val="none" w:sz="0" w:space="0" w:color="auto"/>
        <w:bottom w:val="none" w:sz="0" w:space="0" w:color="auto"/>
        <w:right w:val="none" w:sz="0" w:space="0" w:color="auto"/>
      </w:divBdr>
    </w:div>
    <w:div w:id="1390769077">
      <w:bodyDiv w:val="1"/>
      <w:marLeft w:val="0"/>
      <w:marRight w:val="0"/>
      <w:marTop w:val="0"/>
      <w:marBottom w:val="0"/>
      <w:divBdr>
        <w:top w:val="none" w:sz="0" w:space="0" w:color="auto"/>
        <w:left w:val="none" w:sz="0" w:space="0" w:color="auto"/>
        <w:bottom w:val="none" w:sz="0" w:space="0" w:color="auto"/>
        <w:right w:val="none" w:sz="0" w:space="0" w:color="auto"/>
      </w:divBdr>
    </w:div>
    <w:div w:id="1541551625">
      <w:bodyDiv w:val="1"/>
      <w:marLeft w:val="0"/>
      <w:marRight w:val="0"/>
      <w:marTop w:val="0"/>
      <w:marBottom w:val="0"/>
      <w:divBdr>
        <w:top w:val="none" w:sz="0" w:space="0" w:color="auto"/>
        <w:left w:val="none" w:sz="0" w:space="0" w:color="auto"/>
        <w:bottom w:val="none" w:sz="0" w:space="0" w:color="auto"/>
        <w:right w:val="none" w:sz="0" w:space="0" w:color="auto"/>
      </w:divBdr>
    </w:div>
    <w:div w:id="1576403761">
      <w:bodyDiv w:val="1"/>
      <w:marLeft w:val="0"/>
      <w:marRight w:val="0"/>
      <w:marTop w:val="0"/>
      <w:marBottom w:val="0"/>
      <w:divBdr>
        <w:top w:val="none" w:sz="0" w:space="0" w:color="auto"/>
        <w:left w:val="none" w:sz="0" w:space="0" w:color="auto"/>
        <w:bottom w:val="none" w:sz="0" w:space="0" w:color="auto"/>
        <w:right w:val="none" w:sz="0" w:space="0" w:color="auto"/>
      </w:divBdr>
    </w:div>
    <w:div w:id="1584992394">
      <w:bodyDiv w:val="1"/>
      <w:marLeft w:val="0"/>
      <w:marRight w:val="0"/>
      <w:marTop w:val="0"/>
      <w:marBottom w:val="0"/>
      <w:divBdr>
        <w:top w:val="none" w:sz="0" w:space="0" w:color="auto"/>
        <w:left w:val="none" w:sz="0" w:space="0" w:color="auto"/>
        <w:bottom w:val="none" w:sz="0" w:space="0" w:color="auto"/>
        <w:right w:val="none" w:sz="0" w:space="0" w:color="auto"/>
      </w:divBdr>
      <w:divsChild>
        <w:div w:id="941574709">
          <w:blockQuote w:val="1"/>
          <w:marLeft w:val="600"/>
          <w:marRight w:val="600"/>
          <w:marTop w:val="300"/>
          <w:marBottom w:val="300"/>
          <w:divBdr>
            <w:top w:val="none" w:sz="0" w:space="0" w:color="auto"/>
            <w:left w:val="none" w:sz="0" w:space="0" w:color="auto"/>
            <w:bottom w:val="none" w:sz="0" w:space="0" w:color="auto"/>
            <w:right w:val="none" w:sz="0" w:space="0" w:color="auto"/>
          </w:divBdr>
        </w:div>
      </w:divsChild>
    </w:div>
    <w:div w:id="1602687445">
      <w:bodyDiv w:val="1"/>
      <w:marLeft w:val="0"/>
      <w:marRight w:val="0"/>
      <w:marTop w:val="0"/>
      <w:marBottom w:val="0"/>
      <w:divBdr>
        <w:top w:val="none" w:sz="0" w:space="0" w:color="auto"/>
        <w:left w:val="none" w:sz="0" w:space="0" w:color="auto"/>
        <w:bottom w:val="none" w:sz="0" w:space="0" w:color="auto"/>
        <w:right w:val="none" w:sz="0" w:space="0" w:color="auto"/>
      </w:divBdr>
    </w:div>
    <w:div w:id="1637028741">
      <w:bodyDiv w:val="1"/>
      <w:marLeft w:val="0"/>
      <w:marRight w:val="0"/>
      <w:marTop w:val="0"/>
      <w:marBottom w:val="0"/>
      <w:divBdr>
        <w:top w:val="none" w:sz="0" w:space="0" w:color="auto"/>
        <w:left w:val="none" w:sz="0" w:space="0" w:color="auto"/>
        <w:bottom w:val="none" w:sz="0" w:space="0" w:color="auto"/>
        <w:right w:val="none" w:sz="0" w:space="0" w:color="auto"/>
      </w:divBdr>
    </w:div>
    <w:div w:id="1723285019">
      <w:bodyDiv w:val="1"/>
      <w:marLeft w:val="0"/>
      <w:marRight w:val="0"/>
      <w:marTop w:val="0"/>
      <w:marBottom w:val="0"/>
      <w:divBdr>
        <w:top w:val="none" w:sz="0" w:space="0" w:color="auto"/>
        <w:left w:val="none" w:sz="0" w:space="0" w:color="auto"/>
        <w:bottom w:val="none" w:sz="0" w:space="0" w:color="auto"/>
        <w:right w:val="none" w:sz="0" w:space="0" w:color="auto"/>
      </w:divBdr>
    </w:div>
    <w:div w:id="1834955605">
      <w:bodyDiv w:val="1"/>
      <w:marLeft w:val="0"/>
      <w:marRight w:val="0"/>
      <w:marTop w:val="0"/>
      <w:marBottom w:val="0"/>
      <w:divBdr>
        <w:top w:val="none" w:sz="0" w:space="0" w:color="auto"/>
        <w:left w:val="none" w:sz="0" w:space="0" w:color="auto"/>
        <w:bottom w:val="none" w:sz="0" w:space="0" w:color="auto"/>
        <w:right w:val="none" w:sz="0" w:space="0" w:color="auto"/>
      </w:divBdr>
    </w:div>
    <w:div w:id="1905944088">
      <w:bodyDiv w:val="1"/>
      <w:marLeft w:val="0"/>
      <w:marRight w:val="0"/>
      <w:marTop w:val="0"/>
      <w:marBottom w:val="0"/>
      <w:divBdr>
        <w:top w:val="none" w:sz="0" w:space="0" w:color="auto"/>
        <w:left w:val="none" w:sz="0" w:space="0" w:color="auto"/>
        <w:bottom w:val="none" w:sz="0" w:space="0" w:color="auto"/>
        <w:right w:val="none" w:sz="0" w:space="0" w:color="auto"/>
      </w:divBdr>
    </w:div>
    <w:div w:id="198908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rdo.moreno@superacionpobreza.cl"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planderechoshumanos.gob.cl/tema/Equidad%20territorial" TargetMode="External"/><Relationship Id="rId18" Type="http://schemas.openxmlformats.org/officeDocument/2006/relationships/hyperlink" Target="http://siic.conadi.cl/" TargetMode="External"/><Relationship Id="rId26" Type="http://schemas.openxmlformats.org/officeDocument/2006/relationships/hyperlink" Target="http://cdn.servel.cl/transparencia/normativa/ResO2837-2010.pdf" TargetMode="External"/><Relationship Id="rId39" Type="http://schemas.openxmlformats.org/officeDocument/2006/relationships/hyperlink" Target="http://fadeu.uc.cl/noticias/2661-43-5-de-los-deptos-de-santiago-se-fueron-a-manos-de-inversionistas-en-2018" TargetMode="External"/><Relationship Id="rId21" Type="http://schemas.openxmlformats.org/officeDocument/2006/relationships/hyperlink" Target="http://bibliotecadigital.indh.cl/handle/123456789/268" TargetMode="External"/><Relationship Id="rId34" Type="http://schemas.openxmlformats.org/officeDocument/2006/relationships/hyperlink" Target="http://d602034d-91fd-4527-99b4-" TargetMode="External"/><Relationship Id="rId42" Type="http://schemas.openxmlformats.org/officeDocument/2006/relationships/hyperlink" Target="http://www.sitiosur.cl/para-descargar-con-subsidio-sin-derecho-la-situacion-del-derecho-a-una-vivienda-adecuada-en-chile/" TargetMode="External"/><Relationship Id="rId47" Type="http://schemas.openxmlformats.org/officeDocument/2006/relationships/hyperlink" Target="https://scielo.conicyt.cl/scielo.php?script=sci_arttext&amp;pid=S0718-83582017000200009" TargetMode="External"/><Relationship Id="rId50" Type="http://schemas.openxmlformats.org/officeDocument/2006/relationships/hyperlink" Target="https://doi.org/10.1016/S2542-5196(19)30235-9" TargetMode="External"/><Relationship Id="rId55" Type="http://schemas.openxmlformats.org/officeDocument/2006/relationships/hyperlink" Target="https://tbinternet.ohchr.org/Treaties/CESCR/Shared%20Documents/CHL/INT_CESCR_ICO_CHL_18838_E.pdf" TargetMode="External"/><Relationship Id="rId7" Type="http://schemas.openxmlformats.org/officeDocument/2006/relationships/hyperlink" Target="https://www.undp.org/content/dam/chile/docs/pobreza/undp_cl_pobreza-Libro-DESIGUALES-final.pdf" TargetMode="External"/><Relationship Id="rId2" Type="http://schemas.openxmlformats.org/officeDocument/2006/relationships/hyperlink" Target="https://www.cepal.org/es/publicaciones/44969-panorama-social-america-latina-2019" TargetMode="External"/><Relationship Id="rId16" Type="http://schemas.openxmlformats.org/officeDocument/2006/relationships/hyperlink" Target="http://encuestacasen.cl" TargetMode="External"/><Relationship Id="rId29" Type="http://schemas.openxmlformats.org/officeDocument/2006/relationships/hyperlink" Target="http://www.movilh.cl/documentacion/2019/Informe-Anual-DDHH-2018-Movilh.pdf" TargetMode="External"/><Relationship Id="rId11" Type="http://schemas.openxmlformats.org/officeDocument/2006/relationships/hyperlink" Target="https://www.undp.org/content/dam/chile/docs/pobreza/undp_cl_pobreza-Libro-DESIGUALES-final.pdf" TargetMode="External"/><Relationship Id="rId24" Type="http://schemas.openxmlformats.org/officeDocument/2006/relationships/hyperlink" Target="http://www.senado.cl/presupuesto-2015-piden-priorizar-restitucion-de-tierras-a-comunidades-que-han-confiado-en-el-camino-institucional/prontus_senado/2014-10-24/161336.html" TargetMode="External"/><Relationship Id="rId32" Type="http://schemas.openxmlformats.org/officeDocument/2006/relationships/hyperlink" Target="http://www.nomasafp.cl/inicio/wp-content/uploads/2013/01/Sistema-de-Reparto-" TargetMode="External"/><Relationship Id="rId37" Type="http://schemas.openxmlformats.org/officeDocument/2006/relationships/hyperlink" Target="http://revista180.udp.cl/index.php/revista180/article/view/609" TargetMode="External"/><Relationship Id="rId40" Type="http://schemas.openxmlformats.org/officeDocument/2006/relationships/hyperlink" Target="https://undocs.org/es/A/HRC/43/43" TargetMode="External"/><Relationship Id="rId45" Type="http://schemas.openxmlformats.org/officeDocument/2006/relationships/hyperlink" Target="https://politicaspublicas.uc.cl/wp-content/uploads/2015/02/fondo-comun-municipal-y-su-desincentivo-a-la-recaudacion-en-chile.pdf" TargetMode="External"/><Relationship Id="rId53" Type="http://schemas.openxmlformats.org/officeDocument/2006/relationships/hyperlink" Target="http://www.elmercurio.com/blogs/2019/01/17/66405/Es-el-merito-academico-un-premio-para-los-ricos.aspx" TargetMode="External"/><Relationship Id="rId5" Type="http://schemas.openxmlformats.org/officeDocument/2006/relationships/hyperlink" Target="http://www.ochisap.cl/images/ene20/Desafos_Sistema_Salud_Chile_Resumen_CG2612.pdf" TargetMode="External"/><Relationship Id="rId10" Type="http://schemas.openxmlformats.org/officeDocument/2006/relationships/hyperlink" Target="https://www.ohchr.org/Documents/Countries/CL/Report_Chile_2019_SP.pdf" TargetMode="External"/><Relationship Id="rId19" Type="http://schemas.openxmlformats.org/officeDocument/2006/relationships/hyperlink" Target="http://siic.conadi.cl/" TargetMode="External"/><Relationship Id="rId31" Type="http://schemas.openxmlformats.org/officeDocument/2006/relationships/hyperlink" Target="https://www.movilh.cl/wp-content/uploads/2019/12/Movilh-Comunicacion-para-Examen-Periodico-Universal-Chile-Enero-2019.pdf" TargetMode="External"/><Relationship Id="rId44" Type="http://schemas.openxmlformats.org/officeDocument/2006/relationships/hyperlink" Target="https://www.elmostrador.cl/agenda-pais/2019/10/24/anuncio-de-redistribucion-de-fondos-municipales-un-primer-paso-pero-falta/" TargetMode="External"/><Relationship Id="rId52" Type="http://schemas.openxmlformats.org/officeDocument/2006/relationships/hyperlink" Target="http://sitios.mineduc.cl/Cuenta%20P/files/assets/common/downloads/Cuenta%20P.pdf" TargetMode="External"/><Relationship Id="rId4" Type="http://schemas.openxmlformats.org/officeDocument/2006/relationships/hyperlink" Target="http://www.fundacionsol.cl/wp-content/uploads/2019/07/Pensiones-bajo-el-minimo-2019-1.pdf" TargetMode="External"/><Relationship Id="rId9" Type="http://schemas.openxmlformats.org/officeDocument/2006/relationships/hyperlink" Target="https://www.camara.cl/trabajamos/comisiones_tipo.aspx?prmT=I" TargetMode="External"/><Relationship Id="rId14" Type="http://schemas.openxmlformats.org/officeDocument/2006/relationships/hyperlink" Target="http://www.nomasviolenciacontramujeres.cl/wp-content/uploads/2019/09/DOSSIER-2019-1.pdf" TargetMode="External"/><Relationship Id="rId22" Type="http://schemas.openxmlformats.org/officeDocument/2006/relationships/hyperlink" Target="http://www.dipres.gob.cl/598/w3-propertyvalue-2129.html" TargetMode="External"/><Relationship Id="rId27" Type="http://schemas.openxmlformats.org/officeDocument/2006/relationships/hyperlink" Target="https://www.biobiochile.cl/noticias/nacional/region-de-la-araucania/2017/04/28/servel-disuelve-a-wallmapuwen-no-logro-constituirse-como-partido-politico.shtml" TargetMode="External"/><Relationship Id="rId30" Type="http://schemas.openxmlformats.org/officeDocument/2006/relationships/hyperlink" Target="http://www.derechoshumanos.udp.cl/derechoshumanos/images/InformeAnual/2019/09_Disparidades_y_barreras_de_acceso_a_la_salud_mental_en_personas_LGBTI.pdf" TargetMode="External"/><Relationship Id="rId35" Type="http://schemas.openxmlformats.org/officeDocument/2006/relationships/hyperlink" Target="http://www.nomasafp.cl/inicio/" TargetMode="External"/><Relationship Id="rId43" Type="http://schemas.openxmlformats.org/officeDocument/2006/relationships/hyperlink" Target="https://ciperchile.cl/2019/10/27/el-reventon-social-en-chile-una-mirada-historica/" TargetMode="External"/><Relationship Id="rId48" Type="http://schemas.openxmlformats.org/officeDocument/2006/relationships/hyperlink" Target="http://www.economiaynegocios.cl/noticias/noticias.asp?id=508940" TargetMode="External"/><Relationship Id="rId56" Type="http://schemas.openxmlformats.org/officeDocument/2006/relationships/hyperlink" Target="https://www.abidjanprinciples.org/" TargetMode="External"/><Relationship Id="rId8" Type="http://schemas.openxmlformats.org/officeDocument/2006/relationships/hyperlink" Target="https://www.oecd.org/gov/Chile-PG-Scan-SPA.pdf" TargetMode="External"/><Relationship Id="rId51" Type="http://schemas.openxmlformats.org/officeDocument/2006/relationships/hyperlink" Target="http://www.oecd.org/education/skills-beyond-school/education-at-a-glance-2016-indicators.htm" TargetMode="External"/><Relationship Id="rId3" Type="http://schemas.openxmlformats.org/officeDocument/2006/relationships/hyperlink" Target="https://www.ohchr.org/SP/NewsEvents/Pages/DisplayNews.aspx?NewsID=21544&amp;LangID=S" TargetMode="External"/><Relationship Id="rId12" Type="http://schemas.openxmlformats.org/officeDocument/2006/relationships/hyperlink" Target="https://planderechoshumanos.gob.cl/" TargetMode="External"/><Relationship Id="rId17" Type="http://schemas.openxmlformats.org/officeDocument/2006/relationships/hyperlink" Target="http://observatorio.ministeriodesarrollosocial.gob.cl/casen-multidimensional/casen/docs/Resultados_pobreza_Casen_2017.pdf" TargetMode="External"/><Relationship Id="rId25" Type="http://schemas.openxmlformats.org/officeDocument/2006/relationships/hyperlink" Target="https://www.eldesconcierto.cl/2019/06/29/el-eufemismo-de-sichel-que-esconde-el-fracaso-de-la-consulta-indigena/" TargetMode="External"/><Relationship Id="rId33" Type="http://schemas.openxmlformats.org/officeDocument/2006/relationships/hyperlink" Target="http://www.nomasafp.cl/inicio/wp-" TargetMode="External"/><Relationship Id="rId38" Type="http://schemas.openxmlformats.org/officeDocument/2006/relationships/hyperlink" Target="https://dx.doi.org/10.4067/S0250-71612007000100004" TargetMode="External"/><Relationship Id="rId46" Type="http://schemas.openxmlformats.org/officeDocument/2006/relationships/hyperlink" Target="https://scielo.conicyt.cl/scielo.php?script=sci_arttext&amp;pid=S0718-09502019000100193" TargetMode="External"/><Relationship Id="rId20" Type="http://schemas.openxmlformats.org/officeDocument/2006/relationships/hyperlink" Target="http://www.conadi.cl" TargetMode="External"/><Relationship Id="rId41" Type="http://schemas.openxmlformats.org/officeDocument/2006/relationships/hyperlink" Target="https://revistascientificas.us.es/index.php/HyS/article/view/8700/9593" TargetMode="External"/><Relationship Id="rId54" Type="http://schemas.openxmlformats.org/officeDocument/2006/relationships/hyperlink" Target="http://derechoeducacionpublica.cl/wp-content/uploads/2019/07/FODEP-2019-Informe-Luz-de-la-Situaci%C3%B3n-de-la-Educaci%C3%B3n-en-Chile.pdf" TargetMode="External"/><Relationship Id="rId1" Type="http://schemas.openxmlformats.org/officeDocument/2006/relationships/hyperlink" Target="https://www.elespectador.com/economia/la-cepal-critica-las-privatizaciones-en-chile-que-desataron-las-protestas-articulo-888649" TargetMode="External"/><Relationship Id="rId6" Type="http://schemas.openxmlformats.org/officeDocument/2006/relationships/hyperlink" Target="https://acnudh.org/informe-del-relator-especial-sobre-el-derecho-a-la-educacion-mision-a-chile/" TargetMode="External"/><Relationship Id="rId15" Type="http://schemas.openxmlformats.org/officeDocument/2006/relationships/hyperlink" Target="http://observatorio.ministeriodesarrollosocial.gob.cl/casen-multidimensional/casen/casen_2017.php" TargetMode="External"/><Relationship Id="rId23" Type="http://schemas.openxmlformats.org/officeDocument/2006/relationships/hyperlink" Target="http://siic.conadi.cl/" TargetMode="External"/><Relationship Id="rId28" Type="http://schemas.openxmlformats.org/officeDocument/2006/relationships/hyperlink" Target="http://bibliotecadigital.indh.cl/bitstream/handle/123456789/818/Informe.pdf?sequence=1" TargetMode="External"/><Relationship Id="rId36" Type="http://schemas.openxmlformats.org/officeDocument/2006/relationships/hyperlink" Target="https://www.social-protection.org/gimi/RessourcePDF.action?id=55496" TargetMode="External"/><Relationship Id="rId49" Type="http://schemas.openxmlformats.org/officeDocument/2006/relationships/hyperlink" Target="http://www.supersalud.gob.cl/consultas/667/w3-article-4605.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48504A-C63D-46B9-BB82-5678088041A5}">
  <ds:schemaRefs>
    <ds:schemaRef ds:uri="http://schemas.openxmlformats.org/officeDocument/2006/bibliography"/>
  </ds:schemaRefs>
</ds:datastoreItem>
</file>

<file path=customXml/itemProps2.xml><?xml version="1.0" encoding="utf-8"?>
<ds:datastoreItem xmlns:ds="http://schemas.openxmlformats.org/officeDocument/2006/customXml" ds:itemID="{F06B61CE-36D7-4FBA-96D6-D1AD0D8351F0}"/>
</file>

<file path=customXml/itemProps3.xml><?xml version="1.0" encoding="utf-8"?>
<ds:datastoreItem xmlns:ds="http://schemas.openxmlformats.org/officeDocument/2006/customXml" ds:itemID="{3DDB99FA-C8A4-42D0-8E34-A8E9809C43B3}"/>
</file>

<file path=customXml/itemProps4.xml><?xml version="1.0" encoding="utf-8"?>
<ds:datastoreItem xmlns:ds="http://schemas.openxmlformats.org/officeDocument/2006/customXml" ds:itemID="{65A26FCE-4670-42B5-8154-29A800FF9721}"/>
</file>

<file path=docProps/app.xml><?xml version="1.0" encoding="utf-8"?>
<Properties xmlns="http://schemas.openxmlformats.org/officeDocument/2006/extended-properties" xmlns:vt="http://schemas.openxmlformats.org/officeDocument/2006/docPropsVTypes">
  <Template>Normal</Template>
  <TotalTime>2</TotalTime>
  <Pages>41</Pages>
  <Words>14711</Words>
  <Characters>83859</Characters>
  <Application>Microsoft Office Word</Application>
  <DocSecurity>0</DocSecurity>
  <Lines>698</Lines>
  <Paragraphs>196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Romo</dc:creator>
  <cp:keywords/>
  <dc:description/>
  <cp:lastModifiedBy>vicente silva didier</cp:lastModifiedBy>
  <cp:revision>3</cp:revision>
  <cp:lastPrinted>2020-02-04T13:03:00Z</cp:lastPrinted>
  <dcterms:created xsi:type="dcterms:W3CDTF">2020-02-04T17:37:00Z</dcterms:created>
  <dcterms:modified xsi:type="dcterms:W3CDTF">2020-02-04T17:38:00Z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