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521238" w14:textId="25D29235" w:rsidR="00207EFB" w:rsidRDefault="00207EFB" w:rsidP="002707AA"/>
    <w:p w14:paraId="3F9566AD" w14:textId="77777777" w:rsidR="002707AA" w:rsidRDefault="002707AA" w:rsidP="002707AA"/>
    <w:p w14:paraId="3F830744" w14:textId="77777777" w:rsidR="00F548B0" w:rsidRDefault="00F548B0" w:rsidP="00F548B0">
      <w:pPr>
        <w:spacing w:before="240" w:after="0" w:line="276" w:lineRule="auto"/>
        <w:ind w:right="51"/>
        <w:jc w:val="center"/>
        <w:rPr>
          <w:rFonts w:ascii="Arial" w:eastAsia="Arial" w:hAnsi="Arial" w:cs="Arial"/>
          <w:b/>
          <w:sz w:val="24"/>
          <w:szCs w:val="24"/>
        </w:rPr>
      </w:pPr>
      <w:r>
        <w:rPr>
          <w:rFonts w:ascii="Arial" w:eastAsia="Arial" w:hAnsi="Arial" w:cs="Arial"/>
          <w:b/>
          <w:sz w:val="24"/>
          <w:szCs w:val="24"/>
        </w:rPr>
        <w:t>Informe alternativo/paralelo al Comité de la CEDAW sobre la discriminación que limita el ejercicio de los derechos de las mujeres indígenas de Guatemala presentado por la Asociación de Abogadas Indígenas Chomija</w:t>
      </w:r>
    </w:p>
    <w:p w14:paraId="20BA91A7" w14:textId="77777777" w:rsidR="00F548B0" w:rsidRDefault="00F548B0" w:rsidP="00F548B0">
      <w:pPr>
        <w:spacing w:line="276" w:lineRule="auto"/>
        <w:rPr>
          <w:rFonts w:ascii="Arial" w:eastAsia="Arial" w:hAnsi="Arial" w:cs="Arial"/>
          <w:sz w:val="24"/>
          <w:szCs w:val="24"/>
        </w:rPr>
      </w:pPr>
    </w:p>
    <w:p w14:paraId="2CBD62C4" w14:textId="7659314E" w:rsidR="00713BDF" w:rsidRDefault="00713BDF" w:rsidP="00F548B0">
      <w:pPr>
        <w:spacing w:line="276" w:lineRule="auto"/>
        <w:rPr>
          <w:rFonts w:ascii="Arial" w:eastAsia="Arial" w:hAnsi="Arial" w:cs="Arial"/>
          <w:sz w:val="24"/>
          <w:szCs w:val="24"/>
        </w:rPr>
      </w:pPr>
      <w:r>
        <w:rPr>
          <w:rFonts w:ascii="Arial" w:eastAsia="Arial" w:hAnsi="Arial" w:cs="Arial"/>
          <w:sz w:val="24"/>
          <w:szCs w:val="24"/>
        </w:rPr>
        <w:t xml:space="preserve">Con validación de la Alianza Estratégica de Mujeres CEDAW en Guatemala </w:t>
      </w:r>
    </w:p>
    <w:p w14:paraId="307264E6" w14:textId="77777777" w:rsidR="00F548B0" w:rsidRDefault="00F548B0" w:rsidP="00F548B0">
      <w:pPr>
        <w:spacing w:line="276" w:lineRule="auto"/>
        <w:rPr>
          <w:rFonts w:ascii="Arial" w:eastAsia="Arial" w:hAnsi="Arial" w:cs="Arial"/>
          <w:b/>
          <w:sz w:val="24"/>
          <w:szCs w:val="24"/>
        </w:rPr>
      </w:pPr>
      <w:r>
        <w:rPr>
          <w:rFonts w:ascii="Arial" w:eastAsia="Arial" w:hAnsi="Arial" w:cs="Arial"/>
          <w:b/>
          <w:sz w:val="24"/>
          <w:szCs w:val="24"/>
        </w:rPr>
        <w:t xml:space="preserve">Introducción </w:t>
      </w:r>
    </w:p>
    <w:p w14:paraId="12D327D7" w14:textId="711FCCD2" w:rsidR="00AD5A78" w:rsidRPr="00AD5A78" w:rsidRDefault="00AD5A78" w:rsidP="00AD5A78">
      <w:pPr>
        <w:spacing w:line="276" w:lineRule="auto"/>
        <w:jc w:val="both"/>
        <w:rPr>
          <w:rFonts w:ascii="Arial" w:eastAsia="Arial" w:hAnsi="Arial" w:cs="Arial"/>
          <w:b/>
          <w:sz w:val="24"/>
          <w:szCs w:val="24"/>
        </w:rPr>
      </w:pPr>
      <w:r>
        <w:rPr>
          <w:rFonts w:ascii="Arial" w:eastAsia="Arial" w:hAnsi="Arial" w:cs="Arial"/>
          <w:bCs/>
          <w:sz w:val="24"/>
          <w:szCs w:val="24"/>
        </w:rPr>
        <w:t xml:space="preserve">La </w:t>
      </w:r>
      <w:r w:rsidRPr="00AD5A78">
        <w:rPr>
          <w:rFonts w:ascii="Arial" w:eastAsia="Arial" w:hAnsi="Arial" w:cs="Arial"/>
          <w:bCs/>
          <w:sz w:val="24"/>
          <w:szCs w:val="24"/>
        </w:rPr>
        <w:t>Asociación de Abogadas Indígenas Chomija</w:t>
      </w:r>
      <w:r w:rsidRPr="00AD5A78">
        <w:rPr>
          <w:rFonts w:ascii="Arial" w:eastAsia="Arial" w:hAnsi="Arial" w:cs="Arial"/>
          <w:bCs/>
          <w:sz w:val="24"/>
          <w:szCs w:val="24"/>
        </w:rPr>
        <w:t xml:space="preserve"> </w:t>
      </w:r>
      <w:r>
        <w:rPr>
          <w:rFonts w:ascii="Arial" w:eastAsia="Arial" w:hAnsi="Arial" w:cs="Arial"/>
          <w:bCs/>
          <w:sz w:val="24"/>
          <w:szCs w:val="24"/>
        </w:rPr>
        <w:t xml:space="preserve">es </w:t>
      </w:r>
      <w:r w:rsidRPr="00AD5A78">
        <w:rPr>
          <w:rFonts w:ascii="Arial" w:eastAsia="Arial" w:hAnsi="Arial" w:cs="Arial"/>
          <w:bCs/>
          <w:sz w:val="24"/>
          <w:szCs w:val="24"/>
        </w:rPr>
        <w:t xml:space="preserve">una institución de </w:t>
      </w:r>
      <w:r>
        <w:rPr>
          <w:rFonts w:ascii="Arial" w:eastAsia="Arial" w:hAnsi="Arial" w:cs="Arial"/>
          <w:bCs/>
          <w:sz w:val="24"/>
          <w:szCs w:val="24"/>
        </w:rPr>
        <w:t xml:space="preserve">mujeres </w:t>
      </w:r>
      <w:r w:rsidRPr="00AD5A78">
        <w:rPr>
          <w:rFonts w:ascii="Arial" w:eastAsia="Arial" w:hAnsi="Arial" w:cs="Arial"/>
          <w:bCs/>
          <w:sz w:val="24"/>
          <w:szCs w:val="24"/>
        </w:rPr>
        <w:t>abogadas indígenas para el posicionamiento y participación activa, especializadas en litigio estratégico que defienden y promueven los derechos humanos individuales y colectivos de las mujeres y específicamente de las mujeres indígenas</w:t>
      </w:r>
      <w:r w:rsidRPr="00AD5A78">
        <w:rPr>
          <w:rFonts w:ascii="Arial" w:eastAsia="Arial" w:hAnsi="Arial" w:cs="Arial"/>
          <w:b/>
          <w:sz w:val="24"/>
          <w:szCs w:val="24"/>
        </w:rPr>
        <w:t>.</w:t>
      </w:r>
    </w:p>
    <w:p w14:paraId="2F958BFF" w14:textId="3C012655"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El presente informe alternativo/</w:t>
      </w:r>
      <w:r w:rsidR="005C3764">
        <w:rPr>
          <w:rFonts w:ascii="Arial" w:eastAsia="Arial" w:hAnsi="Arial" w:cs="Arial"/>
          <w:sz w:val="24"/>
          <w:szCs w:val="24"/>
        </w:rPr>
        <w:t>paralelo al</w:t>
      </w:r>
      <w:r>
        <w:rPr>
          <w:rFonts w:ascii="Arial" w:eastAsia="Arial" w:hAnsi="Arial" w:cs="Arial"/>
          <w:sz w:val="24"/>
          <w:szCs w:val="24"/>
        </w:rPr>
        <w:t xml:space="preserve"> Comité de la DECAW en su 86 período de sesiones tiene el objetivo de visibilizar la discriminación que limita el pleno ejercicio de los derechos individuales y colectivos de las mujeres indígenas guatemaltecas garantizados en la CEDAW desde el conocimiento y experiencia de litigio de las abogadas indígenas de la </w:t>
      </w:r>
      <w:r>
        <w:rPr>
          <w:rFonts w:ascii="Arial" w:eastAsia="Arial" w:hAnsi="Arial" w:cs="Arial"/>
          <w:b/>
          <w:sz w:val="24"/>
          <w:szCs w:val="24"/>
        </w:rPr>
        <w:t>Asociación de Abogadas Indígenas Chomija</w:t>
      </w:r>
      <w:r>
        <w:rPr>
          <w:rFonts w:ascii="Arial" w:eastAsia="Arial" w:hAnsi="Arial" w:cs="Arial"/>
          <w:sz w:val="24"/>
          <w:szCs w:val="24"/>
        </w:rPr>
        <w:t xml:space="preserve"> (Chomija).</w:t>
      </w:r>
    </w:p>
    <w:p w14:paraId="17287135" w14:textId="77777777"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 xml:space="preserve">Dado que la CEDAW es un instrumento que garantiza la igualdad entre mujeres y hombres, es decir que obliga a los Estados a garantizarla, define la discriminación contra las mujeres, establece las acciones para su eliminación, como la promoción de la erradicación a través de la transformación de conductas individuales y en lo estructural (desde el Estado) con relación a reconocer y dignificar a las mujeres como sujetas de derecho. </w:t>
      </w:r>
    </w:p>
    <w:p w14:paraId="058BC13E" w14:textId="77777777"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En principio, la discriminación contra las mujeres indígenas atenta contra la igualdad de derechos y del respeto de la dignidad humana que limita el acceso a la justicia especializada con pertinencia cultural y enfoque de género, obstaculiza la participación política de las mujeres indígenas en igualdad de condiciones que los hombres y mestizas/ladinas que dificulta, el desarrollo integral, una vida digna en las esferas social, político, económico, y cultural.</w:t>
      </w:r>
    </w:p>
    <w:p w14:paraId="4B8D0766" w14:textId="77777777" w:rsidR="00C31B16"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 xml:space="preserve">A partir de sus conocimientos, experiencias de litigio y de incidencia en la defensa y promoción de los derechos de las mujeres indígenas víctimas-sobrevivientes de violencia en sus diferentes manifestaciones, se han priorizado las siguientes </w:t>
      </w:r>
    </w:p>
    <w:p w14:paraId="4A4A9C82" w14:textId="77777777" w:rsidR="00C31B16" w:rsidRDefault="00C31B16" w:rsidP="00F548B0">
      <w:pPr>
        <w:spacing w:before="240" w:after="0" w:line="276" w:lineRule="auto"/>
        <w:jc w:val="both"/>
        <w:rPr>
          <w:rFonts w:ascii="Arial" w:eastAsia="Arial" w:hAnsi="Arial" w:cs="Arial"/>
          <w:sz w:val="24"/>
          <w:szCs w:val="24"/>
        </w:rPr>
      </w:pPr>
    </w:p>
    <w:p w14:paraId="1334D7EF" w14:textId="77777777" w:rsidR="00C31B16" w:rsidRDefault="00C31B16" w:rsidP="00F548B0">
      <w:pPr>
        <w:spacing w:before="240" w:after="0" w:line="276" w:lineRule="auto"/>
        <w:jc w:val="both"/>
        <w:rPr>
          <w:rFonts w:ascii="Arial" w:eastAsia="Arial" w:hAnsi="Arial" w:cs="Arial"/>
          <w:sz w:val="24"/>
          <w:szCs w:val="24"/>
        </w:rPr>
      </w:pPr>
    </w:p>
    <w:p w14:paraId="5D8129D5" w14:textId="2B63154C"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 xml:space="preserve">temáticas: a) </w:t>
      </w:r>
      <w:r>
        <w:rPr>
          <w:rFonts w:ascii="Arial" w:eastAsia="Arial" w:hAnsi="Arial" w:cs="Arial"/>
          <w:b/>
          <w:sz w:val="24"/>
          <w:szCs w:val="24"/>
        </w:rPr>
        <w:t>Acceso a la justicia para las mujeres indígenas, especializado en enfoque de género y pertenencia cultural en el marco de la CEDAW.</w:t>
      </w:r>
      <w:r>
        <w:rPr>
          <w:rFonts w:ascii="Arial" w:eastAsia="Arial" w:hAnsi="Arial" w:cs="Arial"/>
          <w:sz w:val="24"/>
          <w:szCs w:val="24"/>
        </w:rPr>
        <w:t xml:space="preserve"> b) </w:t>
      </w:r>
      <w:r>
        <w:rPr>
          <w:rFonts w:ascii="Arial" w:eastAsia="Arial" w:hAnsi="Arial" w:cs="Arial"/>
          <w:b/>
          <w:sz w:val="24"/>
          <w:szCs w:val="24"/>
        </w:rPr>
        <w:t>El derecho a la participación política en igualdad de condiciones para las mujeres indígenas.</w:t>
      </w:r>
    </w:p>
    <w:p w14:paraId="3F2EC711" w14:textId="77777777" w:rsidR="00F548B0" w:rsidRDefault="00F548B0" w:rsidP="00F548B0">
      <w:pPr>
        <w:spacing w:line="276" w:lineRule="auto"/>
        <w:rPr>
          <w:rFonts w:ascii="Arial" w:eastAsia="Arial" w:hAnsi="Arial" w:cs="Arial"/>
          <w:sz w:val="24"/>
          <w:szCs w:val="24"/>
        </w:rPr>
      </w:pPr>
    </w:p>
    <w:p w14:paraId="0097A63B" w14:textId="77777777" w:rsidR="00F548B0" w:rsidRDefault="00F548B0" w:rsidP="00F548B0">
      <w:pPr>
        <w:spacing w:line="276" w:lineRule="auto"/>
        <w:ind w:left="720"/>
        <w:rPr>
          <w:rFonts w:ascii="Arial" w:eastAsia="Arial" w:hAnsi="Arial" w:cs="Arial"/>
          <w:b/>
          <w:sz w:val="24"/>
          <w:szCs w:val="24"/>
        </w:rPr>
      </w:pPr>
      <w:r>
        <w:rPr>
          <w:rFonts w:ascii="Arial" w:eastAsia="Arial" w:hAnsi="Arial" w:cs="Arial"/>
          <w:b/>
          <w:sz w:val="24"/>
          <w:szCs w:val="24"/>
        </w:rPr>
        <w:t>a)</w:t>
      </w:r>
      <w:r>
        <w:rPr>
          <w:rFonts w:ascii="Arial" w:eastAsia="Arial" w:hAnsi="Arial" w:cs="Arial"/>
          <w:sz w:val="24"/>
          <w:szCs w:val="24"/>
        </w:rPr>
        <w:t xml:space="preserve"> </w:t>
      </w:r>
      <w:r>
        <w:rPr>
          <w:rFonts w:ascii="Arial" w:eastAsia="Arial" w:hAnsi="Arial" w:cs="Arial"/>
          <w:b/>
          <w:sz w:val="24"/>
          <w:szCs w:val="24"/>
        </w:rPr>
        <w:t xml:space="preserve">Acceso a la justicia para las mujeres indígenas, especializado en enfoque de género y pertenencia cultural en el marco de la CEDAW. </w:t>
      </w:r>
    </w:p>
    <w:p w14:paraId="54D0CABF" w14:textId="0879BDD4"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El acceso a la justicia definido como un derecho humano que consiste en “Establecer la protección jurídica de los derechos de la mujer sobre una base de igualdad con los del hombre y garantizar, por conducto de los tribunales nacionales competentes y de otras instituciones públicas, la protección efectiva de la mujer</w:t>
      </w:r>
      <w:r>
        <w:rPr>
          <w:rFonts w:ascii="Arial" w:eastAsia="Arial" w:hAnsi="Arial" w:cs="Arial"/>
          <w:sz w:val="24"/>
          <w:szCs w:val="24"/>
          <w:vertAlign w:val="superscript"/>
        </w:rPr>
        <w:footnoteReference w:id="1"/>
      </w:r>
      <w:r>
        <w:rPr>
          <w:rFonts w:ascii="Arial" w:eastAsia="Arial" w:hAnsi="Arial" w:cs="Arial"/>
          <w:sz w:val="24"/>
          <w:szCs w:val="24"/>
        </w:rPr>
        <w:t xml:space="preserve">” al contener las formas y los medios para que la justicia sea ejercida por las mujeres, en el marco de una normativa especializada que ha dado paso a los juzgados y fiscalías contra el femicidio y otras formas de discriminación contra la mujer, en Guatemala, el mismo no es accesible a las mujeres indígenas, ya que por sus particularidades, en las que no son atendidas por el sistema de </w:t>
      </w:r>
      <w:r>
        <w:rPr>
          <w:rFonts w:ascii="Arial" w:eastAsia="Arial" w:hAnsi="Arial" w:cs="Arial"/>
          <w:sz w:val="24"/>
          <w:szCs w:val="24"/>
        </w:rPr>
        <w:t>justicia</w:t>
      </w:r>
      <w:r>
        <w:rPr>
          <w:rFonts w:ascii="Arial" w:eastAsia="Arial" w:hAnsi="Arial" w:cs="Arial"/>
          <w:sz w:val="24"/>
          <w:szCs w:val="24"/>
        </w:rPr>
        <w:t xml:space="preserve">, tales como su </w:t>
      </w:r>
      <w:r>
        <w:rPr>
          <w:rFonts w:ascii="Arial" w:eastAsia="Arial" w:hAnsi="Arial" w:cs="Arial"/>
          <w:b/>
          <w:sz w:val="24"/>
          <w:szCs w:val="24"/>
        </w:rPr>
        <w:t>pertenencia cultural, ubicación geográfica, condición socioeconómica y uso de idioma en su variante específica</w:t>
      </w:r>
      <w:r>
        <w:rPr>
          <w:rFonts w:ascii="Arial" w:eastAsia="Arial" w:hAnsi="Arial" w:cs="Arial"/>
          <w:sz w:val="24"/>
          <w:szCs w:val="24"/>
        </w:rPr>
        <w:t>, limitan la posibilidad de acceder a dicha justicia, frente a una realidad de violencia y discriminación que afecta al 43.76% de la población maya, garífuna y xinka ubicada en áreas rurales con un 46.15%, en la que su mayoría son mujeres con un 51.53%</w:t>
      </w:r>
      <w:r>
        <w:rPr>
          <w:rFonts w:ascii="Arial" w:eastAsia="Arial" w:hAnsi="Arial" w:cs="Arial"/>
          <w:sz w:val="24"/>
          <w:szCs w:val="24"/>
          <w:vertAlign w:val="superscript"/>
        </w:rPr>
        <w:footnoteReference w:id="2"/>
      </w:r>
      <w:r>
        <w:rPr>
          <w:rFonts w:ascii="Arial" w:eastAsia="Arial" w:hAnsi="Arial" w:cs="Arial"/>
          <w:sz w:val="24"/>
          <w:szCs w:val="24"/>
        </w:rPr>
        <w:t xml:space="preserve">, razón por la que es necesario crear las condiciones para que la justicia especializada, considere la atención para las mujeres indígenas con los elementos ya indicados.  </w:t>
      </w:r>
    </w:p>
    <w:p w14:paraId="68FEECC2" w14:textId="77777777" w:rsidR="00F548B0" w:rsidRDefault="00F548B0" w:rsidP="00F548B0">
      <w:pPr>
        <w:spacing w:before="240" w:after="0" w:line="276" w:lineRule="auto"/>
        <w:jc w:val="both"/>
        <w:rPr>
          <w:rFonts w:ascii="Arial" w:eastAsia="Arial" w:hAnsi="Arial" w:cs="Arial"/>
          <w:b/>
          <w:sz w:val="24"/>
          <w:szCs w:val="24"/>
        </w:rPr>
      </w:pPr>
      <w:r>
        <w:rPr>
          <w:rFonts w:ascii="Arial" w:eastAsia="Arial" w:hAnsi="Arial" w:cs="Arial"/>
          <w:b/>
          <w:sz w:val="24"/>
          <w:szCs w:val="24"/>
        </w:rPr>
        <w:t xml:space="preserve">Justicia especializada con pertinencia cultural y enfoque de género </w:t>
      </w:r>
    </w:p>
    <w:p w14:paraId="2F711FAE" w14:textId="77777777" w:rsidR="00C31B16"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 xml:space="preserve">Prevalece la ausencia de la pertinencia cultural en los manuales, protocolos y una Política Institucional del Organismo Judicial de Guatemala sobre Igualdad de </w:t>
      </w:r>
    </w:p>
    <w:p w14:paraId="233ABE3A" w14:textId="77777777" w:rsidR="00C31B16" w:rsidRDefault="00C31B16" w:rsidP="00F548B0">
      <w:pPr>
        <w:spacing w:before="240" w:after="0" w:line="276" w:lineRule="auto"/>
        <w:jc w:val="both"/>
        <w:rPr>
          <w:rFonts w:ascii="Arial" w:eastAsia="Arial" w:hAnsi="Arial" w:cs="Arial"/>
          <w:sz w:val="24"/>
          <w:szCs w:val="24"/>
        </w:rPr>
      </w:pPr>
    </w:p>
    <w:p w14:paraId="69048471" w14:textId="77777777" w:rsidR="00C31B16" w:rsidRDefault="00C31B16" w:rsidP="00F548B0">
      <w:pPr>
        <w:spacing w:before="240" w:after="0" w:line="276" w:lineRule="auto"/>
        <w:jc w:val="both"/>
        <w:rPr>
          <w:rFonts w:ascii="Arial" w:eastAsia="Arial" w:hAnsi="Arial" w:cs="Arial"/>
          <w:sz w:val="24"/>
          <w:szCs w:val="24"/>
        </w:rPr>
      </w:pPr>
    </w:p>
    <w:p w14:paraId="2A312027" w14:textId="77777777" w:rsidR="00C31B16" w:rsidRDefault="00C31B16" w:rsidP="00F548B0">
      <w:pPr>
        <w:spacing w:before="240" w:after="0" w:line="276" w:lineRule="auto"/>
        <w:jc w:val="both"/>
        <w:rPr>
          <w:rFonts w:ascii="Arial" w:eastAsia="Arial" w:hAnsi="Arial" w:cs="Arial"/>
          <w:sz w:val="24"/>
          <w:szCs w:val="24"/>
        </w:rPr>
      </w:pPr>
    </w:p>
    <w:p w14:paraId="16CDBEF2" w14:textId="6D59D444"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Género y Promoción de los Derechos Humanos de las Mujeres</w:t>
      </w:r>
      <w:r>
        <w:rPr>
          <w:rFonts w:ascii="Arial" w:eastAsia="Arial" w:hAnsi="Arial" w:cs="Arial"/>
          <w:sz w:val="24"/>
          <w:szCs w:val="24"/>
          <w:vertAlign w:val="superscript"/>
        </w:rPr>
        <w:footnoteReference w:id="3"/>
      </w:r>
      <w:r>
        <w:rPr>
          <w:rFonts w:ascii="Arial" w:eastAsia="Arial" w:hAnsi="Arial" w:cs="Arial"/>
          <w:sz w:val="24"/>
          <w:szCs w:val="24"/>
        </w:rPr>
        <w:t xml:space="preserve">, ésta última contiene ejes y acciones  para promover la justicia con pertinencia cultural para  las mujeres indígenas que no ha sido operativizado en el contexto de la justicia especializada para mujeres indígenas, asimismo; es imperante la formación permanente del personal judicial para que cuenten con el perfil idóneo y que brinde atención especializada, que tome en cuenta la caracterización sociocultural diversa de las mujeres indígenas en Guatemala, en este caso prevalece la inminente necesidad de incluir de oficio en el pensum de estudios, la formación inicial y </w:t>
      </w:r>
      <w:r>
        <w:rPr>
          <w:rFonts w:ascii="Arial" w:eastAsia="Arial" w:hAnsi="Arial" w:cs="Arial"/>
          <w:sz w:val="24"/>
          <w:szCs w:val="24"/>
        </w:rPr>
        <w:t>continua</w:t>
      </w:r>
      <w:r>
        <w:rPr>
          <w:rFonts w:ascii="Arial" w:eastAsia="Arial" w:hAnsi="Arial" w:cs="Arial"/>
          <w:sz w:val="24"/>
          <w:szCs w:val="24"/>
        </w:rPr>
        <w:t xml:space="preserve"> incluyendo temáticas relativas a los derechos específicos de las mujeres indígenas desde el enfoque interseccional y el enfoque de género en particular y con ello garantizar la proliferación de sesgos de género en la impartición de la justicia, asimismo; es primordial la inclusión del requisito del dominio del idioma indígena de la región al cual es asignado el personal judicial para ser considerado apto al cargo. </w:t>
      </w:r>
    </w:p>
    <w:p w14:paraId="6E23160A" w14:textId="77777777"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Asimismo; en los procesos penales, las investigaciones de delitos perpetrados en contra de las mujeres indígenas, el personal del ente investigador Ministerio Público sostienen prejuicios y valoraciones estereotipadas que socavan la dignidad de las víctimas-sobrevivientes, como la ausencia de estudios profundos que permitan la exposición real de los hechos, sin tomar en cuenta la centralidad del testimonio de las denunciantes de oficio y se agrava con la ausencia del auxilio de intérprete en la variante lingüística que tergiversa el contenido sustantivo de la denuncia y las posiciona en una condición de vulnerabilidad para acceder a la justicia y la reparación integral para retomar sus proyectos de vida</w:t>
      </w:r>
      <w:r>
        <w:rPr>
          <w:rFonts w:ascii="Arial" w:eastAsia="Arial" w:hAnsi="Arial" w:cs="Arial"/>
          <w:sz w:val="24"/>
          <w:szCs w:val="24"/>
          <w:vertAlign w:val="superscript"/>
        </w:rPr>
        <w:footnoteReference w:id="4"/>
      </w:r>
      <w:r>
        <w:rPr>
          <w:rFonts w:ascii="Arial" w:eastAsia="Arial" w:hAnsi="Arial" w:cs="Arial"/>
          <w:sz w:val="24"/>
          <w:szCs w:val="24"/>
        </w:rPr>
        <w:t xml:space="preserve"> y enraíza la re victimización sistemática y estructural, pues en los mismos “Modelos de Atención Integral” como el caso de Sololá, en el que ningún empleado domina el idioma maya</w:t>
      </w:r>
      <w:r>
        <w:rPr>
          <w:rFonts w:ascii="Arial" w:eastAsia="Arial" w:hAnsi="Arial" w:cs="Arial"/>
          <w:sz w:val="24"/>
          <w:szCs w:val="24"/>
          <w:vertAlign w:val="superscript"/>
        </w:rPr>
        <w:footnoteReference w:id="5"/>
      </w:r>
      <w:r>
        <w:rPr>
          <w:rFonts w:ascii="Arial" w:eastAsia="Arial" w:hAnsi="Arial" w:cs="Arial"/>
          <w:sz w:val="24"/>
          <w:szCs w:val="24"/>
        </w:rPr>
        <w:t xml:space="preserve"> lo cual devela el inacceso de la justicia con pertinencia lingüística.</w:t>
      </w:r>
    </w:p>
    <w:p w14:paraId="0A596F60" w14:textId="77777777" w:rsidR="00C31B16" w:rsidRDefault="00C31B16" w:rsidP="00F548B0">
      <w:pPr>
        <w:spacing w:before="240" w:after="200" w:line="276" w:lineRule="auto"/>
        <w:ind w:left="360"/>
        <w:jc w:val="both"/>
        <w:rPr>
          <w:rFonts w:ascii="Arial" w:eastAsia="Arial" w:hAnsi="Arial" w:cs="Arial"/>
          <w:sz w:val="24"/>
          <w:szCs w:val="24"/>
        </w:rPr>
      </w:pPr>
    </w:p>
    <w:p w14:paraId="73C4B7D1" w14:textId="77777777" w:rsidR="00C31B16" w:rsidRDefault="00C31B16" w:rsidP="00F548B0">
      <w:pPr>
        <w:spacing w:before="240" w:after="200" w:line="276" w:lineRule="auto"/>
        <w:ind w:left="360"/>
        <w:jc w:val="both"/>
        <w:rPr>
          <w:rFonts w:ascii="Arial" w:eastAsia="Arial" w:hAnsi="Arial" w:cs="Arial"/>
          <w:sz w:val="24"/>
          <w:szCs w:val="24"/>
        </w:rPr>
      </w:pPr>
    </w:p>
    <w:p w14:paraId="388455B3" w14:textId="77777777" w:rsidR="00C31B16" w:rsidRDefault="00C31B16" w:rsidP="00F548B0">
      <w:pPr>
        <w:spacing w:before="240" w:after="200" w:line="276" w:lineRule="auto"/>
        <w:ind w:left="360"/>
        <w:jc w:val="both"/>
        <w:rPr>
          <w:rFonts w:ascii="Arial" w:eastAsia="Arial" w:hAnsi="Arial" w:cs="Arial"/>
          <w:sz w:val="24"/>
          <w:szCs w:val="24"/>
        </w:rPr>
      </w:pPr>
    </w:p>
    <w:p w14:paraId="79738B0E" w14:textId="5CCCD13F" w:rsidR="00C31B16" w:rsidRDefault="00F548B0" w:rsidP="00F548B0">
      <w:pPr>
        <w:spacing w:before="240" w:after="200" w:line="276" w:lineRule="auto"/>
        <w:ind w:left="360"/>
        <w:jc w:val="both"/>
        <w:rPr>
          <w:rFonts w:ascii="Arial" w:eastAsia="Arial" w:hAnsi="Arial" w:cs="Arial"/>
          <w:sz w:val="24"/>
          <w:szCs w:val="24"/>
        </w:rPr>
      </w:pPr>
      <w:r>
        <w:rPr>
          <w:rFonts w:ascii="Arial" w:eastAsia="Arial" w:hAnsi="Arial" w:cs="Arial"/>
          <w:sz w:val="24"/>
          <w:szCs w:val="24"/>
        </w:rPr>
        <w:t xml:space="preserve">En casos en que se obtienen sentencias favorables para las mujeres indígenas, no se obtienen medidas de reparación digna y cuando las mujeres no se </w:t>
      </w:r>
    </w:p>
    <w:p w14:paraId="53116C73" w14:textId="39AB3DED" w:rsidR="00F548B0" w:rsidRDefault="00F548B0" w:rsidP="00F548B0">
      <w:pPr>
        <w:spacing w:before="240" w:after="200" w:line="276" w:lineRule="auto"/>
        <w:ind w:left="360"/>
        <w:jc w:val="both"/>
        <w:rPr>
          <w:rFonts w:ascii="Arial" w:eastAsia="Arial" w:hAnsi="Arial" w:cs="Arial"/>
          <w:sz w:val="24"/>
          <w:szCs w:val="24"/>
        </w:rPr>
      </w:pPr>
      <w:r>
        <w:rPr>
          <w:rFonts w:ascii="Arial" w:eastAsia="Arial" w:hAnsi="Arial" w:cs="Arial"/>
          <w:sz w:val="24"/>
          <w:szCs w:val="24"/>
        </w:rPr>
        <w:t>querellan por la limitación de recursos para contratar una representación jurídica, en estos casos el ente acusador deja de hacer los requerimientos en nombre de la víctima sobreviviente, por lo que en la sentencia no hay pronunciamiento, y en el caso de hacerse el requerimiento de una reparación digna, “por lo general los jueces/zas tienen una concepción restrictiva del carácter integral de la reparación, limitándose a otorgar a título de reparación una compensación financiera destinada a reparar exclusivamente el daño moral sin contemplar los otros tipos de prejuicios y sin justificar los montos  ordenados o vincularlos con la magnitud del daño, las necesidades de las víctimas o la capacidad económica de la persona condenada”</w:t>
      </w:r>
      <w:r>
        <w:rPr>
          <w:rFonts w:ascii="Arial" w:eastAsia="Arial" w:hAnsi="Arial" w:cs="Arial"/>
          <w:sz w:val="24"/>
          <w:szCs w:val="24"/>
          <w:vertAlign w:val="superscript"/>
        </w:rPr>
        <w:footnoteReference w:id="6"/>
      </w:r>
      <w:r>
        <w:rPr>
          <w:rFonts w:ascii="Arial" w:eastAsia="Arial" w:hAnsi="Arial" w:cs="Arial"/>
          <w:sz w:val="24"/>
          <w:szCs w:val="24"/>
        </w:rPr>
        <w:t xml:space="preserve"> los juzgadores se limitan a elementos contables sin que se observe el contexto y situación de las mujeres indígenas de áreas rurales, por lo que se da un incumplimiento de la normativa nacional, normativa internacional y estándares internacionales, en esta misma línea, la organización Ixoqib’ Miriam ha identificado que las mujeres indígenas enfrentan una serie de desafíos  por ausencia de  una política pública y no se cuenta con un procedimiento específico para el debido cumplimiento en el sistema de justicia,</w:t>
      </w:r>
      <w:r>
        <w:rPr>
          <w:rFonts w:ascii="Arial" w:eastAsia="Arial" w:hAnsi="Arial" w:cs="Arial"/>
          <w:sz w:val="24"/>
          <w:szCs w:val="24"/>
          <w:vertAlign w:val="superscript"/>
        </w:rPr>
        <w:footnoteReference w:id="7"/>
      </w:r>
      <w:r>
        <w:rPr>
          <w:rFonts w:ascii="Arial" w:eastAsia="Arial" w:hAnsi="Arial" w:cs="Arial"/>
          <w:sz w:val="24"/>
          <w:szCs w:val="24"/>
        </w:rPr>
        <w:t xml:space="preserve"> esta situación vulnera la dignidad de las mujeres indígenas pues en varios casos inician otro proceso de ejecución de sentencias para hacer valer sus derechos y muchos otras inician procesos penales que solo profundiza el vacío legal</w:t>
      </w:r>
      <w:r>
        <w:rPr>
          <w:rFonts w:ascii="Arial" w:eastAsia="Arial" w:hAnsi="Arial" w:cs="Arial"/>
          <w:sz w:val="24"/>
          <w:szCs w:val="24"/>
          <w:vertAlign w:val="superscript"/>
        </w:rPr>
        <w:footnoteReference w:id="8"/>
      </w:r>
      <w:r>
        <w:rPr>
          <w:rFonts w:ascii="Arial" w:eastAsia="Arial" w:hAnsi="Arial" w:cs="Arial"/>
          <w:sz w:val="24"/>
          <w:szCs w:val="24"/>
        </w:rPr>
        <w:t xml:space="preserve">. </w:t>
      </w:r>
      <w:r>
        <w:rPr>
          <w:rFonts w:ascii="Arial" w:eastAsia="Arial" w:hAnsi="Arial" w:cs="Arial"/>
          <w:sz w:val="24"/>
          <w:szCs w:val="24"/>
        </w:rPr>
        <w:t>La Corte</w:t>
      </w:r>
      <w:r>
        <w:rPr>
          <w:rFonts w:ascii="Arial" w:eastAsia="Arial" w:hAnsi="Arial" w:cs="Arial"/>
          <w:sz w:val="24"/>
          <w:szCs w:val="24"/>
        </w:rPr>
        <w:t xml:space="preserve"> de Constitucionalidad, que tiene como rol la protección y control constitucional, le implica el resguardo y garantía de los derechos </w:t>
      </w:r>
      <w:r>
        <w:rPr>
          <w:rFonts w:ascii="Arial" w:eastAsia="Arial" w:hAnsi="Arial" w:cs="Arial"/>
          <w:sz w:val="24"/>
          <w:szCs w:val="24"/>
        </w:rPr>
        <w:t>fundamentales, le</w:t>
      </w:r>
      <w:r>
        <w:rPr>
          <w:rFonts w:ascii="Arial" w:eastAsia="Arial" w:hAnsi="Arial" w:cs="Arial"/>
          <w:sz w:val="24"/>
          <w:szCs w:val="24"/>
        </w:rPr>
        <w:t xml:space="preserve"> corresponde la emisión de resoluciones definitivas de los casos en las que se encuentran implicadas mujeres indígenas como víctimas-sobrevivientes y en situación de criminalización.</w:t>
      </w:r>
    </w:p>
    <w:p w14:paraId="5E7A6A7E" w14:textId="77777777" w:rsidR="00F548B0" w:rsidRDefault="00F548B0" w:rsidP="00F548B0">
      <w:pPr>
        <w:spacing w:before="240" w:after="0" w:line="276" w:lineRule="auto"/>
        <w:jc w:val="both"/>
        <w:rPr>
          <w:rFonts w:ascii="Arial" w:eastAsia="Arial" w:hAnsi="Arial" w:cs="Arial"/>
          <w:sz w:val="24"/>
          <w:szCs w:val="24"/>
        </w:rPr>
      </w:pPr>
    </w:p>
    <w:p w14:paraId="5694142D" w14:textId="77777777" w:rsidR="00C31B16" w:rsidRDefault="00C31B16" w:rsidP="00F548B0">
      <w:pPr>
        <w:spacing w:before="240" w:after="0" w:line="276" w:lineRule="auto"/>
        <w:jc w:val="both"/>
        <w:rPr>
          <w:rFonts w:ascii="Arial" w:eastAsia="Arial" w:hAnsi="Arial" w:cs="Arial"/>
          <w:sz w:val="24"/>
          <w:szCs w:val="24"/>
        </w:rPr>
      </w:pPr>
    </w:p>
    <w:p w14:paraId="19544123" w14:textId="77777777" w:rsidR="00F548B0" w:rsidRDefault="00F548B0" w:rsidP="00F548B0">
      <w:pPr>
        <w:spacing w:line="276" w:lineRule="auto"/>
        <w:jc w:val="both"/>
        <w:rPr>
          <w:rFonts w:ascii="Arial" w:eastAsia="Arial" w:hAnsi="Arial" w:cs="Arial"/>
          <w:b/>
          <w:sz w:val="24"/>
          <w:szCs w:val="24"/>
        </w:rPr>
      </w:pPr>
      <w:r>
        <w:rPr>
          <w:rFonts w:ascii="Arial" w:eastAsia="Arial" w:hAnsi="Arial" w:cs="Arial"/>
          <w:b/>
          <w:sz w:val="24"/>
          <w:szCs w:val="24"/>
        </w:rPr>
        <w:lastRenderedPageBreak/>
        <w:t xml:space="preserve">Recomendación </w:t>
      </w:r>
    </w:p>
    <w:p w14:paraId="50539BA1" w14:textId="77777777"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Se recomienda a la Gerencia de Recursos Humanos y al Consejo de la Carrera Judicial, asegurar la contratación de personal judicial que domine el idioma indígena de la región al cual se asigna y haya cumplido con la formación en Derechos específicos de las mujeres indígenas y promover mayor participación de mujeres indígenas a optar al cargo de judicaturas.</w:t>
      </w:r>
    </w:p>
    <w:p w14:paraId="32864701" w14:textId="77777777" w:rsidR="00F548B0" w:rsidRDefault="00F548B0" w:rsidP="00F548B0">
      <w:pPr>
        <w:spacing w:line="276" w:lineRule="auto"/>
        <w:jc w:val="both"/>
        <w:rPr>
          <w:rFonts w:ascii="Arial" w:eastAsia="Arial" w:hAnsi="Arial" w:cs="Arial"/>
          <w:sz w:val="24"/>
          <w:szCs w:val="24"/>
        </w:rPr>
      </w:pPr>
    </w:p>
    <w:p w14:paraId="645ED132" w14:textId="77777777" w:rsidR="00F548B0" w:rsidRDefault="00F548B0" w:rsidP="00F548B0">
      <w:pPr>
        <w:spacing w:line="276" w:lineRule="auto"/>
        <w:jc w:val="both"/>
        <w:rPr>
          <w:rFonts w:ascii="Arial" w:eastAsia="Arial" w:hAnsi="Arial" w:cs="Arial"/>
          <w:sz w:val="24"/>
          <w:szCs w:val="24"/>
        </w:rPr>
      </w:pPr>
      <w:r>
        <w:rPr>
          <w:rFonts w:ascii="Arial" w:eastAsia="Arial" w:hAnsi="Arial" w:cs="Arial"/>
          <w:sz w:val="24"/>
          <w:szCs w:val="24"/>
        </w:rPr>
        <w:t xml:space="preserve">Se recomienda al Ministerio Público la operacionalización de la </w:t>
      </w:r>
      <w:r>
        <w:rPr>
          <w:rFonts w:ascii="Arial" w:eastAsia="Arial" w:hAnsi="Arial" w:cs="Arial"/>
          <w:color w:val="0F1419"/>
          <w:sz w:val="24"/>
          <w:szCs w:val="24"/>
          <w:highlight w:val="white"/>
        </w:rPr>
        <w:t>Instrucción General 06-2020</w:t>
      </w:r>
      <w:r>
        <w:rPr>
          <w:rFonts w:ascii="Arial" w:eastAsia="Arial" w:hAnsi="Arial" w:cs="Arial"/>
          <w:sz w:val="24"/>
          <w:szCs w:val="24"/>
        </w:rPr>
        <w:t xml:space="preserve">  que contiene el </w:t>
      </w:r>
      <w:r>
        <w:rPr>
          <w:rFonts w:ascii="Arial" w:eastAsia="Arial" w:hAnsi="Arial" w:cs="Arial"/>
          <w:color w:val="0F1419"/>
          <w:sz w:val="24"/>
          <w:szCs w:val="24"/>
          <w:highlight w:val="white"/>
        </w:rPr>
        <w:t xml:space="preserve">Protocolo de Atención con pertinencia cultural y lingüística para mujeres indígenas que acuden al Ministerio Público, el Protocolo de Atención Integral a las Víctimas del Delito del Ministerio Público y particularmente el emprendimiento de acciones administrativas para la depuración del personal que no se encuentre en condiciones de brindar atención en idiomas nacionales </w:t>
      </w:r>
      <w:r>
        <w:rPr>
          <w:rFonts w:ascii="Arial" w:eastAsia="Arial" w:hAnsi="Arial" w:cs="Arial"/>
          <w:sz w:val="24"/>
          <w:szCs w:val="24"/>
        </w:rPr>
        <w:t xml:space="preserve"> pues la contratación de intérprete solo es una medida reactiva y no de abordaje profundo de la problemática que aqueja a las mujeres indígenas. La institucionalización del curso en Derechos específicos de las mujeres indígena en la Unidad de Capacitación del Ministerio Público que debe ser requisito primordial para ser parte del personal del ente fiscal. </w:t>
      </w:r>
    </w:p>
    <w:p w14:paraId="248C5138" w14:textId="77777777" w:rsidR="00F548B0" w:rsidRDefault="00F548B0" w:rsidP="00F548B0">
      <w:pPr>
        <w:spacing w:line="276" w:lineRule="auto"/>
        <w:jc w:val="both"/>
        <w:rPr>
          <w:rFonts w:ascii="Arial" w:eastAsia="Arial" w:hAnsi="Arial" w:cs="Arial"/>
          <w:sz w:val="24"/>
          <w:szCs w:val="24"/>
        </w:rPr>
      </w:pPr>
      <w:r>
        <w:rPr>
          <w:rFonts w:ascii="Arial" w:eastAsia="Arial" w:hAnsi="Arial" w:cs="Arial"/>
          <w:sz w:val="24"/>
          <w:szCs w:val="24"/>
        </w:rPr>
        <w:t>Se recomienda que el Estado de Guatemala, cree una política pública para la reparación digna en la cual se defina la ruta de ejecución de la reparación digna e incluya la creación de un fondo de resarcimiento tal y como está regulado en el artículo 68 de la Ley contra la Violencia, Explotación y Trata, considerado para las víctimas que sufren múltiples vulnerabilidades entre las que se encuentran las mujeres indígenas, asimismo que de oficio se aborde la aplicación de la reparación digna, tomando en cuenta que es parte del proceso penal como refiere el artículo 58 de la misma ley.</w:t>
      </w:r>
    </w:p>
    <w:p w14:paraId="361493F5" w14:textId="1DB5C904" w:rsidR="00F548B0" w:rsidRDefault="00F548B0" w:rsidP="00F548B0">
      <w:pPr>
        <w:spacing w:line="276" w:lineRule="auto"/>
        <w:jc w:val="both"/>
        <w:rPr>
          <w:rFonts w:ascii="Arial" w:eastAsia="Arial" w:hAnsi="Arial" w:cs="Arial"/>
          <w:sz w:val="24"/>
          <w:szCs w:val="24"/>
        </w:rPr>
      </w:pPr>
      <w:r>
        <w:rPr>
          <w:rFonts w:ascii="Arial" w:eastAsia="Arial" w:hAnsi="Arial" w:cs="Arial"/>
          <w:sz w:val="24"/>
          <w:szCs w:val="24"/>
        </w:rPr>
        <w:t xml:space="preserve">Se recomienda que se conmine al Organismo Judicial, girar las instrucciones a jueces y juezas en el ramo penal y civil en asegurar el seguimiento de la reparación digna, admitiendo las peticiones de ejecución sin dilaciones y al Organismo Ejecutivo a través del Ministerio de Finanzas y demás dependencias del Organismo Ejecutivo para asegurar el cumplimiento de las medidas de reparación digna integral con pertinencia cultural dictadas. Y se exhorta a </w:t>
      </w:r>
      <w:r>
        <w:rPr>
          <w:rFonts w:ascii="Arial" w:eastAsia="Arial" w:hAnsi="Arial" w:cs="Arial"/>
          <w:sz w:val="24"/>
          <w:szCs w:val="24"/>
        </w:rPr>
        <w:t>funcionarios públicos</w:t>
      </w:r>
      <w:r>
        <w:rPr>
          <w:rFonts w:ascii="Arial" w:eastAsia="Arial" w:hAnsi="Arial" w:cs="Arial"/>
          <w:sz w:val="24"/>
          <w:szCs w:val="24"/>
        </w:rPr>
        <w:t xml:space="preserve"> que giren instrucciones a los responsables de impartir justicia, dar fiel cumplimento al mandato de coordinación con las Autoridades Indígenas para facilitar el acceso de la justicia con pertinencia cultural y lingüística para mujeres indígenas y homologar las resoluciones de Autoridades Indígenas para que se cumplan las medidas de reparación digna dictadas a favor de la mujer indígena. </w:t>
      </w:r>
    </w:p>
    <w:p w14:paraId="16422727" w14:textId="77777777" w:rsidR="00C31B16" w:rsidRDefault="00C31B16" w:rsidP="00F548B0">
      <w:pPr>
        <w:spacing w:line="276" w:lineRule="auto"/>
        <w:jc w:val="both"/>
        <w:rPr>
          <w:rFonts w:ascii="Arial" w:eastAsia="Arial" w:hAnsi="Arial" w:cs="Arial"/>
          <w:sz w:val="24"/>
          <w:szCs w:val="24"/>
        </w:rPr>
      </w:pPr>
    </w:p>
    <w:p w14:paraId="1A11D732" w14:textId="77777777" w:rsidR="00C31B16" w:rsidRDefault="00C31B16" w:rsidP="00F548B0">
      <w:pPr>
        <w:spacing w:line="276" w:lineRule="auto"/>
        <w:jc w:val="both"/>
        <w:rPr>
          <w:rFonts w:ascii="Arial" w:eastAsia="Arial" w:hAnsi="Arial" w:cs="Arial"/>
          <w:sz w:val="24"/>
          <w:szCs w:val="24"/>
        </w:rPr>
      </w:pPr>
    </w:p>
    <w:p w14:paraId="4E7CE3D6" w14:textId="02E4AEC8" w:rsidR="00F548B0" w:rsidRDefault="00F548B0" w:rsidP="00F548B0">
      <w:pPr>
        <w:spacing w:line="276" w:lineRule="auto"/>
        <w:jc w:val="both"/>
        <w:rPr>
          <w:rFonts w:ascii="Arial" w:eastAsia="Arial" w:hAnsi="Arial" w:cs="Arial"/>
          <w:sz w:val="24"/>
          <w:szCs w:val="24"/>
        </w:rPr>
      </w:pPr>
      <w:r>
        <w:rPr>
          <w:rFonts w:ascii="Arial" w:eastAsia="Arial" w:hAnsi="Arial" w:cs="Arial"/>
          <w:sz w:val="24"/>
          <w:szCs w:val="24"/>
        </w:rPr>
        <w:t>Se recomienda que se exhorte a la Corte de Constitucionalidad, fortalecer la inclusión de datos sociológicos contextualizados a la condición y posición de las mujeres indígenas, además de la aplicación de la jurisprudencia como parte de su obligación concreta de aplicar el control de convencionalidad, que incluye la observancia irrestricta de la jurisprudencia de la Corte Interamericana y las obligaciones del Estado contenidas en Tratados y Convenios internacionales y en éste caso particular la ineludible observación de las recomendaciones generales No. 33 y 39 de la CEDAW, que erradique todo sesgo de género y prejuicios estereotipados en contra de las mujeres indígenas incluyendo de oficio amicus curiae, peritajes sociolingüísticos, antropológicos y cosmogónicos en armonía con una visión de un constitucionalismo intercultural y al Instituto de Justicia Constitucional institucionalizar la formación en Derechos específicos de las mujeres indígenas para letrados, alcanzando a los juristas asociados al Colegio de Abogados y Notarios de Guatemala de forma descentralizada.</w:t>
      </w:r>
    </w:p>
    <w:p w14:paraId="283D6DAC" w14:textId="77777777" w:rsidR="00F548B0" w:rsidRDefault="00F548B0" w:rsidP="00F548B0">
      <w:pPr>
        <w:spacing w:line="276" w:lineRule="auto"/>
        <w:jc w:val="both"/>
        <w:rPr>
          <w:rFonts w:ascii="Arial" w:eastAsia="Arial" w:hAnsi="Arial" w:cs="Arial"/>
          <w:sz w:val="24"/>
          <w:szCs w:val="24"/>
        </w:rPr>
      </w:pPr>
      <w:r>
        <w:rPr>
          <w:rFonts w:ascii="Arial" w:eastAsia="Arial" w:hAnsi="Arial" w:cs="Arial"/>
          <w:sz w:val="24"/>
          <w:szCs w:val="24"/>
        </w:rPr>
        <w:t>Se recomienda que se exhorte a la Universidad de San Carlos de Guatemala y demás universidades que implementan la carrera de ciencias jurídicas y sociales, abogacía y carreras afines, incluir en su pénsum de estudios el curso sobre los derechos específicos de las mujeres indígenas desde el enfoque interseccional, toda vez que en la actualidad desarrollan un curso de Derechos de pueblos indígenas que está alejado de la realidad y necesidades específicas de las mujeres indígenas y la especialización en temáticas de género está en niveles de maestría o diplomados y por ende no obligatorios para juristas y cientistas sociales.</w:t>
      </w:r>
    </w:p>
    <w:p w14:paraId="57A52CA9" w14:textId="77777777" w:rsidR="00F548B0" w:rsidRDefault="00F548B0" w:rsidP="00F548B0">
      <w:pPr>
        <w:spacing w:line="276" w:lineRule="auto"/>
        <w:jc w:val="both"/>
        <w:rPr>
          <w:rFonts w:ascii="Arial" w:eastAsia="Arial" w:hAnsi="Arial" w:cs="Arial"/>
          <w:sz w:val="24"/>
          <w:szCs w:val="24"/>
        </w:rPr>
      </w:pPr>
      <w:r>
        <w:rPr>
          <w:rFonts w:ascii="Arial" w:eastAsia="Arial" w:hAnsi="Arial" w:cs="Arial"/>
          <w:sz w:val="24"/>
          <w:szCs w:val="24"/>
        </w:rPr>
        <w:t xml:space="preserve">Se recomienda que el Estado de Guatemala, reconozca el contexto del pluralismo jurídico en el que las Autoridades propias de los Pueblos Indígenas imparten justicia, para que se respete el derecho de las mujeres indígenas de acceder a la justicia ante sus propias autoridades indígenas si así lo requieren, complementando ese respeto a las resoluciones o sentencias dictadas desde la Jurisdicción Indígena, así como ante el sistema de justicia ordinario o de Estado, que al final sea la decisión de las víctimas-sobrevivientes la que prevalezca en todo caso sin discriminación o rechazo hacia las mujeres que optan a dicha jurisdicción para sus subsiguientes requerimientos ante la autoridad estatal. </w:t>
      </w:r>
    </w:p>
    <w:p w14:paraId="7F07E688" w14:textId="77777777" w:rsidR="00C31B16" w:rsidRDefault="00F548B0" w:rsidP="00F548B0">
      <w:pPr>
        <w:spacing w:line="276" w:lineRule="auto"/>
        <w:jc w:val="both"/>
        <w:rPr>
          <w:rFonts w:ascii="Arial" w:eastAsia="Arial" w:hAnsi="Arial" w:cs="Arial"/>
          <w:sz w:val="24"/>
          <w:szCs w:val="24"/>
        </w:rPr>
      </w:pPr>
      <w:r>
        <w:rPr>
          <w:rFonts w:ascii="Arial" w:eastAsia="Arial" w:hAnsi="Arial" w:cs="Arial"/>
          <w:sz w:val="24"/>
          <w:szCs w:val="24"/>
        </w:rPr>
        <w:t xml:space="preserve">Se recomienda que el Sistema Judicial, se limite a judicializar a las autoridades comunitarias e indígenas por la emisión y ejecución de sus resoluciones, ya que se </w:t>
      </w:r>
    </w:p>
    <w:p w14:paraId="16DFC318" w14:textId="77777777" w:rsidR="00C31B16" w:rsidRDefault="00C31B16" w:rsidP="00F548B0">
      <w:pPr>
        <w:spacing w:line="276" w:lineRule="auto"/>
        <w:jc w:val="both"/>
        <w:rPr>
          <w:rFonts w:ascii="Arial" w:eastAsia="Arial" w:hAnsi="Arial" w:cs="Arial"/>
          <w:sz w:val="24"/>
          <w:szCs w:val="24"/>
        </w:rPr>
      </w:pPr>
    </w:p>
    <w:p w14:paraId="024DB710" w14:textId="77777777" w:rsidR="00C31B16" w:rsidRDefault="00C31B16" w:rsidP="00F548B0">
      <w:pPr>
        <w:spacing w:line="276" w:lineRule="auto"/>
        <w:jc w:val="both"/>
        <w:rPr>
          <w:rFonts w:ascii="Arial" w:eastAsia="Arial" w:hAnsi="Arial" w:cs="Arial"/>
          <w:sz w:val="24"/>
          <w:szCs w:val="24"/>
        </w:rPr>
      </w:pPr>
    </w:p>
    <w:p w14:paraId="64BD3451" w14:textId="77777777" w:rsidR="00C31B16" w:rsidRDefault="00C31B16" w:rsidP="00F548B0">
      <w:pPr>
        <w:spacing w:line="276" w:lineRule="auto"/>
        <w:jc w:val="both"/>
        <w:rPr>
          <w:rFonts w:ascii="Arial" w:eastAsia="Arial" w:hAnsi="Arial" w:cs="Arial"/>
          <w:sz w:val="24"/>
          <w:szCs w:val="24"/>
        </w:rPr>
      </w:pPr>
    </w:p>
    <w:p w14:paraId="76AF2CAD" w14:textId="7A748FCA" w:rsidR="00F548B0" w:rsidRDefault="00F548B0" w:rsidP="00F548B0">
      <w:pPr>
        <w:spacing w:line="276" w:lineRule="auto"/>
        <w:jc w:val="both"/>
        <w:rPr>
          <w:rFonts w:ascii="Arial" w:eastAsia="Arial" w:hAnsi="Arial" w:cs="Arial"/>
          <w:sz w:val="24"/>
          <w:szCs w:val="24"/>
        </w:rPr>
      </w:pPr>
      <w:r>
        <w:rPr>
          <w:rFonts w:ascii="Arial" w:eastAsia="Arial" w:hAnsi="Arial" w:cs="Arial"/>
          <w:sz w:val="24"/>
          <w:szCs w:val="24"/>
        </w:rPr>
        <w:t xml:space="preserve">ha dado un abuso de autoridad cuando han sido sometidas a casos penales por el ejercicio de su rol legítimo comunitario. </w:t>
      </w:r>
    </w:p>
    <w:p w14:paraId="3951EE85" w14:textId="6D5AD05B" w:rsidR="00F548B0" w:rsidRDefault="00F548B0" w:rsidP="00F548B0">
      <w:pPr>
        <w:spacing w:line="276" w:lineRule="auto"/>
        <w:rPr>
          <w:rFonts w:ascii="Arial" w:eastAsia="Arial" w:hAnsi="Arial" w:cs="Arial"/>
          <w:b/>
          <w:sz w:val="24"/>
          <w:szCs w:val="24"/>
        </w:rPr>
      </w:pPr>
      <w:r>
        <w:rPr>
          <w:rFonts w:ascii="Arial" w:eastAsia="Arial" w:hAnsi="Arial" w:cs="Arial"/>
          <w:b/>
          <w:sz w:val="24"/>
          <w:szCs w:val="24"/>
        </w:rPr>
        <w:t>Criminalización</w:t>
      </w:r>
      <w:r>
        <w:rPr>
          <w:rFonts w:ascii="Arial" w:eastAsia="Arial" w:hAnsi="Arial" w:cs="Arial"/>
          <w:b/>
          <w:sz w:val="24"/>
          <w:szCs w:val="24"/>
        </w:rPr>
        <w:t xml:space="preserve"> de liderezas indígenas</w:t>
      </w:r>
    </w:p>
    <w:p w14:paraId="17383FF5" w14:textId="77777777" w:rsidR="00F548B0" w:rsidRDefault="00F548B0" w:rsidP="00F548B0">
      <w:pPr>
        <w:spacing w:line="276" w:lineRule="auto"/>
        <w:jc w:val="both"/>
        <w:rPr>
          <w:rFonts w:ascii="Arial" w:eastAsia="Arial" w:hAnsi="Arial" w:cs="Arial"/>
          <w:sz w:val="24"/>
          <w:szCs w:val="24"/>
        </w:rPr>
      </w:pPr>
      <w:r>
        <w:rPr>
          <w:rFonts w:ascii="Arial" w:eastAsia="Arial" w:hAnsi="Arial" w:cs="Arial"/>
          <w:sz w:val="24"/>
          <w:szCs w:val="24"/>
        </w:rPr>
        <w:t xml:space="preserve">Las relaciones desiguales de poder prevalecen entre mujeres indígenas contra políticos, hombres y ostentadores del poder económico en el país, en donde se identifica la parcialización y pérdida de la objetividad en perjuicio de las mujeres indígenas como el uso indebido del derecho penal, tal es el caso de “AM  en la que la máxima autoridad municipal vinculado a la corrupción, confabuló para criminalizar a la lideresa, periodista  comunitaria y defensora maya k´iche´, quien fue privada de libertad por delitos que no cometió, sino como represalias por su rol de auditoría social en la región indígena K’iche’. </w:t>
      </w:r>
    </w:p>
    <w:p w14:paraId="63FA5319" w14:textId="77777777" w:rsidR="00F548B0" w:rsidRDefault="00F548B0" w:rsidP="00F548B0">
      <w:pPr>
        <w:spacing w:before="240" w:after="0" w:line="276" w:lineRule="auto"/>
        <w:ind w:left="720"/>
        <w:jc w:val="both"/>
        <w:rPr>
          <w:rFonts w:ascii="Arial" w:eastAsia="Arial" w:hAnsi="Arial" w:cs="Arial"/>
          <w:b/>
          <w:sz w:val="24"/>
          <w:szCs w:val="24"/>
        </w:rPr>
      </w:pPr>
    </w:p>
    <w:p w14:paraId="1552CFA9" w14:textId="77777777" w:rsidR="00F548B0" w:rsidRDefault="00F548B0" w:rsidP="00F548B0">
      <w:pPr>
        <w:spacing w:before="240" w:after="0" w:line="276" w:lineRule="auto"/>
        <w:ind w:left="720"/>
        <w:jc w:val="both"/>
        <w:rPr>
          <w:rFonts w:ascii="Arial" w:eastAsia="Arial" w:hAnsi="Arial" w:cs="Arial"/>
          <w:b/>
          <w:sz w:val="24"/>
          <w:szCs w:val="24"/>
        </w:rPr>
      </w:pPr>
      <w:r>
        <w:rPr>
          <w:rFonts w:ascii="Arial" w:eastAsia="Arial" w:hAnsi="Arial" w:cs="Arial"/>
          <w:b/>
          <w:sz w:val="24"/>
          <w:szCs w:val="24"/>
        </w:rPr>
        <w:t>b) El derecho a la participación política en igualdad de condiciones para las mujeres indígenas.</w:t>
      </w:r>
    </w:p>
    <w:p w14:paraId="3CDE7D0C" w14:textId="251000A4" w:rsidR="00C31B16"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 xml:space="preserve">El 18 de enero de 2021 se presentó una Acción de inconstitucionalidad parcial con efectos generales, por la inaplicación de los principios de paridad y alternancia que permita la participación real de mujeres y pueblos indígenas, promovido por mujeres ciudadanas guatemaltecas,  en contra de la expresión “podrán” contenida en el artículo 22 inciso e) y el artículo 212, de la Ley Electoral y de Partidos Políticos -LEPP-, relativa a postulación e inscripción de candidatos, con lo cual se buscaba derogar dicha normativa discriminatoria, que no contempla la paridad y la alternabilidad para la participación política de las mujeres mestizas e indígenas y los hombres indígenas en los puestos de elección popular de manera coercitiva dado que en el desarrollo de los procesos electorales, las mujeres indígenas son invitadas para la realización de oficios acotadas al servilismo, sin embargo la actual Corte de Constitucionalidad mediante el expediente 268-2021 el 11 de enero de 2023 declaró SIN LUGAR la acción inconstitucional de las ciudadanas, lo cual denota el machismo estructural de Guatemala en la restricción del acceso a la participación con equidad de género y equidad étnica en donde las mujeres indígenas son excluidas y perpetúa la voluntad de los legisladores. Durante más de 25 años las organizaciones de mujeres, han realizado un trabajo de cabildeo y propuestas ante el Congreso de la República que </w:t>
      </w:r>
      <w:r w:rsidR="00CC0AF3">
        <w:rPr>
          <w:rFonts w:ascii="Arial" w:eastAsia="Arial" w:hAnsi="Arial" w:cs="Arial"/>
          <w:sz w:val="24"/>
          <w:szCs w:val="24"/>
        </w:rPr>
        <w:t>cuenta con</w:t>
      </w:r>
      <w:r>
        <w:rPr>
          <w:rFonts w:ascii="Arial" w:eastAsia="Arial" w:hAnsi="Arial" w:cs="Arial"/>
          <w:sz w:val="24"/>
          <w:szCs w:val="24"/>
        </w:rPr>
        <w:t xml:space="preserve"> dos dictámenes favorables de la magistratura anterior de la Corte de Constitucionalidad sobre esta </w:t>
      </w:r>
    </w:p>
    <w:p w14:paraId="6C546593" w14:textId="77777777" w:rsidR="00C31B16" w:rsidRDefault="00C31B16" w:rsidP="00F548B0">
      <w:pPr>
        <w:spacing w:before="240" w:after="0" w:line="276" w:lineRule="auto"/>
        <w:jc w:val="both"/>
        <w:rPr>
          <w:rFonts w:ascii="Arial" w:eastAsia="Arial" w:hAnsi="Arial" w:cs="Arial"/>
          <w:sz w:val="24"/>
          <w:szCs w:val="24"/>
        </w:rPr>
      </w:pPr>
    </w:p>
    <w:p w14:paraId="619F2559" w14:textId="77777777" w:rsidR="00C31B16" w:rsidRDefault="00C31B16" w:rsidP="00F548B0">
      <w:pPr>
        <w:spacing w:before="240" w:after="0" w:line="276" w:lineRule="auto"/>
        <w:jc w:val="both"/>
        <w:rPr>
          <w:rFonts w:ascii="Arial" w:eastAsia="Arial" w:hAnsi="Arial" w:cs="Arial"/>
          <w:sz w:val="24"/>
          <w:szCs w:val="24"/>
        </w:rPr>
      </w:pPr>
    </w:p>
    <w:p w14:paraId="24F53740" w14:textId="7CC9B7DA"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demanda, pero no han sido acatados por el poder legislativo, a su vez el Tribunal Supremo Electoral ha presentado al Congreso de la República en dos ocasiones, iniciativas de reformas a la LEPP en las que ha incluido la propuesta de las organizaciones de mujeres que tampoco han sido aprobadas.  Por lo anterior, en ausencia de una norma coercitiva, en un contexto de Estado discriminador y racista, la participación política está limitada para las mujeres indígenas en los diferentes espacios y niveles de participación política, asimismo el retroceso de los derechos humanos fortalece esta realidad, anteriormente había 3 diputadas indígenas y con el actual resultado de elecciones 2023 únicamente fue electa 1 diputada indígena,  esto viola el principio de la igualdad a la participación política garantizada en el artículo 7 de la CEDAW.</w:t>
      </w:r>
    </w:p>
    <w:p w14:paraId="6E555635" w14:textId="77777777" w:rsidR="00F548B0" w:rsidRDefault="00F548B0" w:rsidP="00F548B0">
      <w:pPr>
        <w:spacing w:line="276" w:lineRule="auto"/>
        <w:rPr>
          <w:rFonts w:ascii="Arial" w:eastAsia="Arial" w:hAnsi="Arial" w:cs="Arial"/>
          <w:sz w:val="24"/>
          <w:szCs w:val="24"/>
        </w:rPr>
      </w:pPr>
    </w:p>
    <w:p w14:paraId="5AD925CA" w14:textId="77777777" w:rsidR="00F548B0" w:rsidRDefault="00F548B0" w:rsidP="00F548B0">
      <w:pPr>
        <w:spacing w:line="276" w:lineRule="auto"/>
        <w:rPr>
          <w:rFonts w:ascii="Arial" w:eastAsia="Arial" w:hAnsi="Arial" w:cs="Arial"/>
          <w:b/>
          <w:sz w:val="24"/>
          <w:szCs w:val="24"/>
        </w:rPr>
      </w:pPr>
      <w:r>
        <w:rPr>
          <w:rFonts w:ascii="Arial" w:eastAsia="Arial" w:hAnsi="Arial" w:cs="Arial"/>
          <w:b/>
          <w:sz w:val="24"/>
          <w:szCs w:val="24"/>
        </w:rPr>
        <w:t>El racismo institucionalizado contra las mujeres indígenas en Guatemala</w:t>
      </w:r>
    </w:p>
    <w:p w14:paraId="578B9E02" w14:textId="77777777"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El racismo y discriminación es  colonial y ha sido institucionalizado en Guatemala contra los pueblos y las mujeres indígenas, a pesar que el Estado de Guatemala ha firmado diferentes convenios y tratados internacionales que promueve el principio de igualdad entre mujeres y hombres y principio de la no discriminación, prueba de ello, en el reciente proceso electoral llevado a cabo en Guatemala, se limitó la inscripción de la lideresa maya mam Thelma Cabrera Pérez de Sánchez, pre candidata presidencial del partido político Movimiento para la Liberación de los Pueblos -MPL- fue proclamada en asamblea el 28 de diciembre del 2022, pero el 28 de enero del 2023 se declaró no procedente la inscripción por el Registrador del Registro Ciudadanos del Tribunal Supremo Electoral, la precandidata indígena accionó legalmente por mantener su derecho de inscripción ante el Tribunal Supremo Electoral, ante la Corte Suprema de Justicia y Corte de Constitucionalidad sin que se haya acogido su petición de inscripción. (Prensa Libre. El fallo de la CC mantiene fuera de contienda electoral a Thelma Cabrera y Jordán Rodas, mientras la sentencia de la CSJ sigue detenida. Guatemala. 2 de marzo de 2023.)</w:t>
      </w:r>
    </w:p>
    <w:p w14:paraId="1766165D" w14:textId="77777777" w:rsidR="00C31B16"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 xml:space="preserve">La mayoría de las mujeres son tomadas en cuenta por el sistema electoral, engañadas para afiliarse a un partido político mediante promesas y regalos insignificantes, como un medio para acceder a bolsas de alimentos, láminas, programas sociales, dinero en efectivo, como falta de respeto a su dignidad, </w:t>
      </w:r>
      <w:proofErr w:type="gramStart"/>
      <w:r>
        <w:rPr>
          <w:rFonts w:ascii="Arial" w:eastAsia="Arial" w:hAnsi="Arial" w:cs="Arial"/>
          <w:sz w:val="24"/>
          <w:szCs w:val="24"/>
        </w:rPr>
        <w:t>un  aprovechamiento</w:t>
      </w:r>
      <w:proofErr w:type="gramEnd"/>
      <w:r>
        <w:rPr>
          <w:rFonts w:ascii="Arial" w:eastAsia="Arial" w:hAnsi="Arial" w:cs="Arial"/>
          <w:sz w:val="24"/>
          <w:szCs w:val="24"/>
        </w:rPr>
        <w:t xml:space="preserve"> ante la pobreza extrema y del analfabetismo, debido a que las </w:t>
      </w:r>
    </w:p>
    <w:p w14:paraId="11F63B03" w14:textId="77777777" w:rsidR="00C31B16" w:rsidRDefault="00C31B16" w:rsidP="00F548B0">
      <w:pPr>
        <w:spacing w:before="240" w:after="0" w:line="276" w:lineRule="auto"/>
        <w:jc w:val="both"/>
        <w:rPr>
          <w:rFonts w:ascii="Arial" w:eastAsia="Arial" w:hAnsi="Arial" w:cs="Arial"/>
          <w:sz w:val="24"/>
          <w:szCs w:val="24"/>
        </w:rPr>
      </w:pPr>
    </w:p>
    <w:p w14:paraId="4BD268F3" w14:textId="77777777" w:rsidR="00C31B16" w:rsidRDefault="00C31B16" w:rsidP="00F548B0">
      <w:pPr>
        <w:spacing w:before="240" w:after="0" w:line="276" w:lineRule="auto"/>
        <w:jc w:val="both"/>
        <w:rPr>
          <w:rFonts w:ascii="Arial" w:eastAsia="Arial" w:hAnsi="Arial" w:cs="Arial"/>
          <w:sz w:val="24"/>
          <w:szCs w:val="24"/>
        </w:rPr>
      </w:pPr>
    </w:p>
    <w:p w14:paraId="22399496" w14:textId="22DA5BA0"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 xml:space="preserve">mujeres indígenas en su mayoría no saben leer y escribir por lo que no se dan cuenta que </w:t>
      </w:r>
      <w:r w:rsidR="00C31B16">
        <w:rPr>
          <w:rFonts w:ascii="Arial" w:eastAsia="Arial" w:hAnsi="Arial" w:cs="Arial"/>
          <w:sz w:val="24"/>
          <w:szCs w:val="24"/>
        </w:rPr>
        <w:t>las hojas de afiliación al partido se hacen</w:t>
      </w:r>
      <w:r>
        <w:rPr>
          <w:rFonts w:ascii="Arial" w:eastAsia="Arial" w:hAnsi="Arial" w:cs="Arial"/>
          <w:sz w:val="24"/>
          <w:szCs w:val="24"/>
        </w:rPr>
        <w:t xml:space="preserve"> sin conocimiento de causa, sin acceso a la información libre, previa e informada. A pesar que el 54 % del padrón electoral de Guatemala da cuenta que son más mujeres las que están empadronadas y 44 por ciento son hombres, sin embargo, al momento de ejercer el voto son las que menos asisten a las urnas, precisamente, el reto es equiparar tanto la postulación de las mujeres, como las que votan. Lo que evidencia la ausencia de la participación y representación de las mujeres indígenas en las candidaturas a puestos de elección popular y ocupación de cargos en toma de decisión. (Estadísticas del Tribunal Supremo Electoral. 31 de marzo de 2023). </w:t>
      </w:r>
    </w:p>
    <w:p w14:paraId="1605FA83" w14:textId="77777777"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 xml:space="preserve">El Estado de Guatemala no ha cumplido con garantizar a las mujeres indígenas su derecho a la igualdad de derechos, en igualdad de condiciones y sin discriminación alguna, en esta ocasión desde el derecho a la participación política. </w:t>
      </w:r>
    </w:p>
    <w:p w14:paraId="7E683A05" w14:textId="77777777" w:rsidR="00F548B0" w:rsidRDefault="00F548B0" w:rsidP="00F548B0">
      <w:pPr>
        <w:spacing w:before="240" w:after="0" w:line="276" w:lineRule="auto"/>
        <w:jc w:val="both"/>
        <w:rPr>
          <w:rFonts w:ascii="Arial" w:eastAsia="Arial" w:hAnsi="Arial" w:cs="Arial"/>
          <w:sz w:val="24"/>
          <w:szCs w:val="24"/>
        </w:rPr>
      </w:pPr>
      <w:r>
        <w:rPr>
          <w:rFonts w:ascii="Arial" w:eastAsia="Arial" w:hAnsi="Arial" w:cs="Arial"/>
          <w:sz w:val="24"/>
          <w:szCs w:val="24"/>
        </w:rPr>
        <w:t>En la legislatura para el periodo 2024-2028 de 160 diputaciones, 32 son ocupadas por mujeres, y como se mencionó, sólo 1 de ellas es indígena y de 340 municipalidades ninguna es alcaldesa indígena. (Centro de Estudios de Guatemala. 7 de agosto de 2023)</w:t>
      </w:r>
    </w:p>
    <w:p w14:paraId="7F86C820" w14:textId="77777777" w:rsidR="00F548B0" w:rsidRDefault="00F548B0" w:rsidP="00F548B0">
      <w:pPr>
        <w:spacing w:line="276" w:lineRule="auto"/>
        <w:rPr>
          <w:rFonts w:ascii="Arial" w:eastAsia="Arial" w:hAnsi="Arial" w:cs="Arial"/>
          <w:sz w:val="24"/>
          <w:szCs w:val="24"/>
        </w:rPr>
      </w:pPr>
    </w:p>
    <w:p w14:paraId="70B86CA2" w14:textId="77777777" w:rsidR="00F548B0" w:rsidRDefault="00F548B0" w:rsidP="00F548B0">
      <w:pPr>
        <w:spacing w:line="276" w:lineRule="auto"/>
        <w:rPr>
          <w:rFonts w:ascii="Arial" w:eastAsia="Arial" w:hAnsi="Arial" w:cs="Arial"/>
          <w:b/>
          <w:sz w:val="24"/>
          <w:szCs w:val="24"/>
        </w:rPr>
      </w:pPr>
      <w:r>
        <w:rPr>
          <w:rFonts w:ascii="Arial" w:eastAsia="Arial" w:hAnsi="Arial" w:cs="Arial"/>
          <w:b/>
          <w:sz w:val="24"/>
          <w:szCs w:val="24"/>
        </w:rPr>
        <w:t xml:space="preserve">Recomendación </w:t>
      </w:r>
    </w:p>
    <w:p w14:paraId="6E2C6A2D" w14:textId="7ED94E42" w:rsidR="00F548B0" w:rsidRDefault="00F548B0" w:rsidP="00F548B0">
      <w:pPr>
        <w:spacing w:line="276" w:lineRule="auto"/>
        <w:jc w:val="both"/>
        <w:rPr>
          <w:rFonts w:ascii="Arial" w:eastAsia="Arial" w:hAnsi="Arial" w:cs="Arial"/>
          <w:sz w:val="24"/>
          <w:szCs w:val="24"/>
        </w:rPr>
      </w:pPr>
      <w:r>
        <w:rPr>
          <w:rFonts w:ascii="Arial" w:eastAsia="Arial" w:hAnsi="Arial" w:cs="Arial"/>
          <w:sz w:val="24"/>
          <w:szCs w:val="24"/>
        </w:rPr>
        <w:t xml:space="preserve">El Congreso de la República de Guatemala debe aprobar la iniciativa que contiene la propuesta </w:t>
      </w:r>
      <w:r>
        <w:rPr>
          <w:rFonts w:ascii="Arial" w:eastAsia="Arial" w:hAnsi="Arial" w:cs="Arial"/>
          <w:sz w:val="24"/>
          <w:szCs w:val="24"/>
        </w:rPr>
        <w:t>de reformas</w:t>
      </w:r>
      <w:r>
        <w:rPr>
          <w:rFonts w:ascii="Arial" w:eastAsia="Arial" w:hAnsi="Arial" w:cs="Arial"/>
          <w:sz w:val="24"/>
          <w:szCs w:val="24"/>
        </w:rPr>
        <w:t xml:space="preserve"> a la Ley Electoral y de Partidos Políticos para regular los principios de alternancia, paridad y la inclusión de Pueblos Indígenas para ser candidatas a elección popular. </w:t>
      </w:r>
    </w:p>
    <w:p w14:paraId="24B48FB6" w14:textId="77777777" w:rsidR="005C3764" w:rsidRDefault="005C3764" w:rsidP="00F548B0">
      <w:pPr>
        <w:spacing w:line="276" w:lineRule="auto"/>
        <w:jc w:val="both"/>
        <w:rPr>
          <w:rFonts w:ascii="Arial" w:eastAsia="Arial" w:hAnsi="Arial" w:cs="Arial"/>
          <w:sz w:val="24"/>
          <w:szCs w:val="24"/>
        </w:rPr>
      </w:pPr>
    </w:p>
    <w:p w14:paraId="2BC5BA3C" w14:textId="77777777" w:rsidR="00521EEE" w:rsidRDefault="00521EEE" w:rsidP="00F548B0">
      <w:pPr>
        <w:spacing w:line="276" w:lineRule="auto"/>
        <w:jc w:val="both"/>
        <w:rPr>
          <w:rFonts w:ascii="Arial" w:eastAsia="Arial" w:hAnsi="Arial" w:cs="Arial"/>
          <w:sz w:val="24"/>
          <w:szCs w:val="24"/>
        </w:rPr>
      </w:pPr>
    </w:p>
    <w:sectPr w:rsidR="00521EEE">
      <w:headerReference w:type="default" r:id="rId8"/>
      <w:footerReference w:type="default" r:id="rId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40FB83" w14:textId="77777777" w:rsidR="00512B28" w:rsidRDefault="00512B28" w:rsidP="00211A90">
      <w:pPr>
        <w:spacing w:after="0" w:line="240" w:lineRule="auto"/>
      </w:pPr>
      <w:r>
        <w:separator/>
      </w:r>
    </w:p>
  </w:endnote>
  <w:endnote w:type="continuationSeparator" w:id="0">
    <w:p w14:paraId="572A2A88" w14:textId="77777777" w:rsidR="00512B28" w:rsidRDefault="00512B28" w:rsidP="00211A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2B2C6" w14:textId="0D415DCC" w:rsidR="00211A90" w:rsidRDefault="00211A90" w:rsidP="00211A90">
    <w:pPr>
      <w:pStyle w:val="Encabezado"/>
      <w:jc w:val="center"/>
      <w:rPr>
        <w:rFonts w:ascii="Arial Rounded MT Bold" w:hAnsi="Arial Rounded MT Bold"/>
        <w:color w:val="660066"/>
      </w:rPr>
    </w:pPr>
    <w:r>
      <w:rPr>
        <w:rFonts w:ascii="Arial Rounded MT Bold" w:hAnsi="Arial Rounded MT Bold"/>
        <w:color w:val="660066"/>
      </w:rPr>
      <w:t>ASOCIACIÓN DE ABOGADAS INDÍGENAS CHOMIJA</w:t>
    </w:r>
  </w:p>
  <w:p w14:paraId="243128F4" w14:textId="77777777" w:rsidR="00211A90" w:rsidRDefault="00000000" w:rsidP="00211A90">
    <w:pPr>
      <w:pStyle w:val="Encabezado"/>
      <w:jc w:val="center"/>
      <w:rPr>
        <w:rFonts w:ascii="Arial Rounded MT Bold" w:hAnsi="Arial Rounded MT Bold"/>
        <w:color w:val="660066"/>
      </w:rPr>
    </w:pPr>
    <w:hyperlink r:id="rId1" w:history="1">
      <w:r w:rsidR="00211A90">
        <w:rPr>
          <w:rStyle w:val="Hipervnculo"/>
          <w:rFonts w:ascii="Arial Rounded MT Bold" w:hAnsi="Arial Rounded MT Bold"/>
          <w:color w:val="660066"/>
        </w:rPr>
        <w:t>chomijacoordinacion@yahoo.com</w:t>
      </w:r>
    </w:hyperlink>
    <w:r w:rsidR="00211A90">
      <w:rPr>
        <w:rFonts w:ascii="Arial Rounded MT Bold" w:hAnsi="Arial Rounded MT Bold"/>
        <w:color w:val="660066"/>
      </w:rPr>
      <w:t xml:space="preserve"> y </w:t>
    </w:r>
    <w:hyperlink r:id="rId2" w:history="1">
      <w:r w:rsidR="00211A90">
        <w:rPr>
          <w:rStyle w:val="Hipervnculo"/>
          <w:rFonts w:ascii="Arial Rounded MT Bold" w:hAnsi="Arial Rounded MT Bold"/>
          <w:color w:val="660066"/>
        </w:rPr>
        <w:t>abogadaschomija@gmail.com</w:t>
      </w:r>
    </w:hyperlink>
  </w:p>
  <w:p w14:paraId="0CFCD603" w14:textId="77777777" w:rsidR="00211A90" w:rsidRDefault="00211A90" w:rsidP="00211A90">
    <w:pPr>
      <w:pStyle w:val="Encabezado"/>
      <w:jc w:val="center"/>
      <w:rPr>
        <w:rFonts w:ascii="Arial Rounded MT Bold" w:hAnsi="Arial Rounded MT Bold"/>
        <w:color w:val="660066"/>
      </w:rPr>
    </w:pPr>
    <w:r>
      <w:rPr>
        <w:rFonts w:ascii="Arial Rounded MT Bold" w:hAnsi="Arial Rounded MT Bold"/>
        <w:color w:val="660066"/>
      </w:rPr>
      <w:t>Teléfonos:  30615496 / 42152672</w:t>
    </w:r>
  </w:p>
  <w:p w14:paraId="5AAADB7F" w14:textId="10A5385D" w:rsidR="00211A90" w:rsidRDefault="00211A90" w:rsidP="00211A90">
    <w:pPr>
      <w:pStyle w:val="Encabezado"/>
      <w:jc w:val="center"/>
      <w:rPr>
        <w:rFonts w:ascii="Arial Rounded MT Bold" w:hAnsi="Arial Rounded MT Bold"/>
        <w:color w:val="660066"/>
      </w:rPr>
    </w:pPr>
    <w:r>
      <w:rPr>
        <w:rFonts w:ascii="Arial Rounded MT Bold" w:hAnsi="Arial Rounded MT Bold"/>
        <w:color w:val="660066"/>
      </w:rPr>
      <w:t xml:space="preserve">11 calle </w:t>
    </w:r>
    <w:r w:rsidR="008D20E6">
      <w:rPr>
        <w:rFonts w:ascii="Arial Rounded MT Bold" w:hAnsi="Arial Rounded MT Bold"/>
        <w:color w:val="660066"/>
      </w:rPr>
      <w:t>4</w:t>
    </w:r>
    <w:r>
      <w:rPr>
        <w:rFonts w:ascii="Arial Rounded MT Bold" w:hAnsi="Arial Rounded MT Bold"/>
        <w:color w:val="660066"/>
      </w:rPr>
      <w:t>-64 Zona 1 Edificio Pasarrelli Oficina 502 Ciudad de Guatemala</w:t>
    </w:r>
  </w:p>
  <w:p w14:paraId="1E96D012" w14:textId="77777777" w:rsidR="00211A90" w:rsidRDefault="00211A9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C9309" w14:textId="77777777" w:rsidR="00512B28" w:rsidRDefault="00512B28" w:rsidP="00211A90">
      <w:pPr>
        <w:spacing w:after="0" w:line="240" w:lineRule="auto"/>
      </w:pPr>
      <w:r>
        <w:separator/>
      </w:r>
    </w:p>
  </w:footnote>
  <w:footnote w:type="continuationSeparator" w:id="0">
    <w:p w14:paraId="53582BD0" w14:textId="77777777" w:rsidR="00512B28" w:rsidRDefault="00512B28" w:rsidP="00211A90">
      <w:pPr>
        <w:spacing w:after="0" w:line="240" w:lineRule="auto"/>
      </w:pPr>
      <w:r>
        <w:continuationSeparator/>
      </w:r>
    </w:p>
  </w:footnote>
  <w:footnote w:id="1">
    <w:p w14:paraId="3DAC551D" w14:textId="7B462DBF" w:rsidR="00F548B0" w:rsidRDefault="00F548B0" w:rsidP="00F548B0">
      <w:pPr>
        <w:spacing w:after="0" w:line="240" w:lineRule="auto"/>
        <w:rPr>
          <w:sz w:val="20"/>
          <w:szCs w:val="20"/>
        </w:rPr>
      </w:pPr>
      <w:r>
        <w:rPr>
          <w:vertAlign w:val="superscript"/>
        </w:rPr>
        <w:footnoteRef/>
      </w:r>
      <w:r>
        <w:rPr>
          <w:sz w:val="20"/>
          <w:szCs w:val="20"/>
        </w:rPr>
        <w:t xml:space="preserve"> Artículo 2, inciso C) de la Convención sobre la Eliminación </w:t>
      </w:r>
      <w:r w:rsidR="00801410">
        <w:rPr>
          <w:sz w:val="20"/>
          <w:szCs w:val="20"/>
        </w:rPr>
        <w:t>de todas</w:t>
      </w:r>
      <w:r>
        <w:rPr>
          <w:sz w:val="20"/>
          <w:szCs w:val="20"/>
        </w:rPr>
        <w:t xml:space="preserve"> las Formas de Discriminación contra la Mujer</w:t>
      </w:r>
    </w:p>
    <w:p w14:paraId="174A0152" w14:textId="77777777" w:rsidR="00F548B0" w:rsidRDefault="00F548B0" w:rsidP="00F548B0">
      <w:pPr>
        <w:spacing w:after="0" w:line="240" w:lineRule="auto"/>
        <w:rPr>
          <w:sz w:val="20"/>
          <w:szCs w:val="20"/>
        </w:rPr>
      </w:pPr>
    </w:p>
  </w:footnote>
  <w:footnote w:id="2">
    <w:p w14:paraId="0D215AB8" w14:textId="77777777" w:rsidR="00F548B0" w:rsidRDefault="00F548B0" w:rsidP="00F548B0">
      <w:pPr>
        <w:spacing w:after="0" w:line="240" w:lineRule="auto"/>
        <w:rPr>
          <w:sz w:val="20"/>
          <w:szCs w:val="20"/>
        </w:rPr>
      </w:pPr>
      <w:r>
        <w:rPr>
          <w:vertAlign w:val="superscript"/>
        </w:rPr>
        <w:footnoteRef/>
      </w:r>
      <w:r>
        <w:rPr>
          <w:sz w:val="20"/>
          <w:szCs w:val="20"/>
        </w:rPr>
        <w:t xml:space="preserve"> Censo de Población de Guatemala, 2018. </w:t>
      </w:r>
    </w:p>
  </w:footnote>
  <w:footnote w:id="3">
    <w:p w14:paraId="53A1F399" w14:textId="77777777" w:rsidR="00F548B0" w:rsidRDefault="00F548B0" w:rsidP="00F548B0">
      <w:pPr>
        <w:spacing w:after="0" w:line="240" w:lineRule="auto"/>
        <w:rPr>
          <w:sz w:val="20"/>
          <w:szCs w:val="20"/>
        </w:rPr>
      </w:pPr>
      <w:r>
        <w:rPr>
          <w:vertAlign w:val="superscript"/>
        </w:rPr>
        <w:footnoteRef/>
      </w:r>
      <w:r>
        <w:rPr>
          <w:sz w:val="20"/>
          <w:szCs w:val="20"/>
        </w:rPr>
        <w:t xml:space="preserve"> Alianza de Mujeres y Mujeres Indígenas por el Acceso a la Justicia. Propuesta de la Justicia Especializada pronta y cumplida con pertinencia cultural de los derechos individuales y colectivos de las mujeres indígenas. Guatemala 2021. </w:t>
      </w:r>
    </w:p>
  </w:footnote>
  <w:footnote w:id="4">
    <w:p w14:paraId="070B1B9D" w14:textId="40C679B6" w:rsidR="00F548B0" w:rsidRDefault="00F548B0" w:rsidP="00F548B0">
      <w:pPr>
        <w:spacing w:after="0" w:line="240" w:lineRule="auto"/>
        <w:rPr>
          <w:sz w:val="20"/>
          <w:szCs w:val="20"/>
        </w:rPr>
      </w:pPr>
      <w:r>
        <w:rPr>
          <w:vertAlign w:val="superscript"/>
        </w:rPr>
        <w:footnoteRef/>
      </w:r>
      <w:r>
        <w:rPr>
          <w:sz w:val="20"/>
          <w:szCs w:val="20"/>
        </w:rPr>
        <w:t xml:space="preserve"> Nota de servicio, </w:t>
      </w:r>
      <w:r>
        <w:rPr>
          <w:b/>
          <w:sz w:val="20"/>
          <w:szCs w:val="20"/>
        </w:rPr>
        <w:t xml:space="preserve">Abogados sin fronteras </w:t>
      </w:r>
      <w:r>
        <w:rPr>
          <w:b/>
          <w:sz w:val="20"/>
          <w:szCs w:val="20"/>
        </w:rPr>
        <w:t>Canadá, 2023</w:t>
      </w:r>
      <w:r>
        <w:rPr>
          <w:sz w:val="20"/>
          <w:szCs w:val="20"/>
        </w:rPr>
        <w:t>. Pág. 2</w:t>
      </w:r>
    </w:p>
  </w:footnote>
  <w:footnote w:id="5">
    <w:p w14:paraId="502F0025" w14:textId="2354BCFE" w:rsidR="00F548B0" w:rsidRDefault="00F548B0" w:rsidP="00F548B0">
      <w:pPr>
        <w:spacing w:after="0" w:line="240" w:lineRule="auto"/>
        <w:rPr>
          <w:sz w:val="20"/>
          <w:szCs w:val="20"/>
        </w:rPr>
      </w:pPr>
      <w:r>
        <w:rPr>
          <w:vertAlign w:val="superscript"/>
        </w:rPr>
        <w:footnoteRef/>
      </w:r>
      <w:r>
        <w:rPr>
          <w:sz w:val="20"/>
          <w:szCs w:val="20"/>
        </w:rPr>
        <w:t xml:space="preserve"> Estudio sobre el acceso a la Justicia para las mujeres y niñas indígenas víctimas de violencia sexual y </w:t>
      </w:r>
      <w:r>
        <w:rPr>
          <w:sz w:val="20"/>
          <w:szCs w:val="20"/>
        </w:rPr>
        <w:t>violencia</w:t>
      </w:r>
      <w:r>
        <w:rPr>
          <w:sz w:val="20"/>
          <w:szCs w:val="20"/>
        </w:rPr>
        <w:t xml:space="preserve"> basada en género en Guatemala. Pag. 49.</w:t>
      </w:r>
    </w:p>
  </w:footnote>
  <w:footnote w:id="6">
    <w:p w14:paraId="3625686E" w14:textId="77777777" w:rsidR="00F548B0" w:rsidRDefault="00F548B0" w:rsidP="00F548B0">
      <w:pPr>
        <w:spacing w:after="0" w:line="240" w:lineRule="auto"/>
        <w:rPr>
          <w:sz w:val="20"/>
          <w:szCs w:val="20"/>
        </w:rPr>
      </w:pPr>
      <w:r>
        <w:rPr>
          <w:vertAlign w:val="superscript"/>
        </w:rPr>
        <w:footnoteRef/>
      </w:r>
      <w:r>
        <w:rPr>
          <w:sz w:val="20"/>
          <w:szCs w:val="20"/>
        </w:rPr>
        <w:t xml:space="preserve"> Abogados sin fronteras Canadá, Análisis sobre la efectividad del derecho a la reparación en Guatemala a la luz de los estándares internacionales. Guatemala, 2022. Pág. 53.</w:t>
      </w:r>
    </w:p>
  </w:footnote>
  <w:footnote w:id="7">
    <w:p w14:paraId="54240765" w14:textId="77777777" w:rsidR="00F548B0" w:rsidRDefault="00F548B0" w:rsidP="00F548B0">
      <w:pPr>
        <w:spacing w:after="0" w:line="240" w:lineRule="auto"/>
        <w:rPr>
          <w:sz w:val="20"/>
          <w:szCs w:val="20"/>
        </w:rPr>
      </w:pPr>
      <w:r>
        <w:rPr>
          <w:vertAlign w:val="superscript"/>
        </w:rPr>
        <w:footnoteRef/>
      </w:r>
      <w:r>
        <w:rPr>
          <w:sz w:val="20"/>
          <w:szCs w:val="20"/>
        </w:rPr>
        <w:t xml:space="preserve"> Ixoqib’ Miriam, Análisis de la Aplicación de la Legislación guatemalteca en las sentencias de reparación digna para mujeres sobrevivientes de violencia. Mayo 2018, Pág. 46</w:t>
      </w:r>
    </w:p>
  </w:footnote>
  <w:footnote w:id="8">
    <w:p w14:paraId="053C99D1" w14:textId="77777777" w:rsidR="00F548B0" w:rsidRDefault="00F548B0" w:rsidP="00F548B0">
      <w:pPr>
        <w:spacing w:after="0" w:line="240" w:lineRule="auto"/>
        <w:rPr>
          <w:sz w:val="20"/>
          <w:szCs w:val="20"/>
        </w:rPr>
      </w:pPr>
      <w:r>
        <w:rPr>
          <w:vertAlign w:val="superscript"/>
        </w:rPr>
        <w:footnoteRef/>
      </w:r>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87D75" w14:textId="4EBE6AF6" w:rsidR="00211A90" w:rsidRDefault="00211A90" w:rsidP="00211A90">
    <w:pPr>
      <w:pStyle w:val="Encabezado"/>
      <w:rPr>
        <w:rFonts w:ascii="Arial Rounded MT Bold" w:hAnsi="Arial Rounded MT Bold"/>
        <w:color w:val="660066"/>
      </w:rPr>
    </w:pPr>
    <w:r>
      <w:rPr>
        <w:noProof/>
      </w:rPr>
      <w:drawing>
        <wp:anchor distT="0" distB="0" distL="114300" distR="114300" simplePos="0" relativeHeight="251659264" behindDoc="1" locked="0" layoutInCell="1" allowOverlap="1" wp14:anchorId="4C908A77" wp14:editId="101B9EC3">
          <wp:simplePos x="0" y="0"/>
          <wp:positionH relativeFrom="column">
            <wp:posOffset>4716780</wp:posOffset>
          </wp:positionH>
          <wp:positionV relativeFrom="paragraph">
            <wp:posOffset>-429260</wp:posOffset>
          </wp:positionV>
          <wp:extent cx="1954530" cy="1485900"/>
          <wp:effectExtent l="0" t="0" r="7620" b="0"/>
          <wp:wrapNone/>
          <wp:docPr id="3" name="Imagen 3" descr="Hoja Membretada Cart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Hoja Membretada Carta.jpg"/>
                  <pic:cNvPicPr>
                    <a:picLocks noChangeAspect="1" noChangeArrowheads="1"/>
                  </pic:cNvPicPr>
                </pic:nvPicPr>
                <pic:blipFill>
                  <a:blip r:embed="rId1">
                    <a:extLst>
                      <a:ext uri="{28A0092B-C50C-407E-A947-70E740481C1C}">
                        <a14:useLocalDpi xmlns:a14="http://schemas.microsoft.com/office/drawing/2010/main" val="0"/>
                      </a:ext>
                    </a:extLst>
                  </a:blip>
                  <a:srcRect l="60394" t="150" b="76572"/>
                  <a:stretch>
                    <a:fillRect/>
                  </a:stretch>
                </pic:blipFill>
                <pic:spPr bwMode="auto">
                  <a:xfrm>
                    <a:off x="0" y="0"/>
                    <a:ext cx="1954530" cy="14859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601CD471" wp14:editId="5C98F158">
          <wp:simplePos x="0" y="0"/>
          <wp:positionH relativeFrom="column">
            <wp:posOffset>-730885</wp:posOffset>
          </wp:positionH>
          <wp:positionV relativeFrom="paragraph">
            <wp:posOffset>-200025</wp:posOffset>
          </wp:positionV>
          <wp:extent cx="1304925" cy="1075690"/>
          <wp:effectExtent l="0" t="0" r="9525" b="0"/>
          <wp:wrapTight wrapText="bothSides">
            <wp:wrapPolygon edited="0">
              <wp:start x="0" y="0"/>
              <wp:lineTo x="0" y="21039"/>
              <wp:lineTo x="21442" y="21039"/>
              <wp:lineTo x="21442"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04925" cy="1075690"/>
                  </a:xfrm>
                  <a:prstGeom prst="rect">
                    <a:avLst/>
                  </a:prstGeom>
                  <a:noFill/>
                </pic:spPr>
              </pic:pic>
            </a:graphicData>
          </a:graphic>
          <wp14:sizeRelH relativeFrom="margin">
            <wp14:pctWidth>0</wp14:pctWidth>
          </wp14:sizeRelH>
          <wp14:sizeRelV relativeFrom="margin">
            <wp14:pctHeight>0</wp14:pctHeight>
          </wp14:sizeRelV>
        </wp:anchor>
      </w:drawing>
    </w:r>
  </w:p>
  <w:p w14:paraId="6D0486BE" w14:textId="0FAFB023" w:rsidR="00211A90" w:rsidRDefault="00211A90">
    <w:pPr>
      <w:pStyle w:val="Encabezado"/>
    </w:pPr>
    <w:r>
      <w:rPr>
        <w:noProof/>
      </w:rPr>
      <w:drawing>
        <wp:anchor distT="0" distB="0" distL="114300" distR="114300" simplePos="0" relativeHeight="251658240" behindDoc="1" locked="0" layoutInCell="1" allowOverlap="1" wp14:anchorId="4D0ECB64" wp14:editId="02EC064C">
          <wp:simplePos x="0" y="0"/>
          <wp:positionH relativeFrom="page">
            <wp:posOffset>1228725</wp:posOffset>
          </wp:positionH>
          <wp:positionV relativeFrom="paragraph">
            <wp:posOffset>1247140</wp:posOffset>
          </wp:positionV>
          <wp:extent cx="5612130" cy="4625975"/>
          <wp:effectExtent l="0" t="0" r="7620" b="317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lum bright="70000" contrast="-70000"/>
                    <a:extLst>
                      <a:ext uri="{28A0092B-C50C-407E-A947-70E740481C1C}">
                        <a14:useLocalDpi xmlns:a14="http://schemas.microsoft.com/office/drawing/2010/main" val="0"/>
                      </a:ext>
                    </a:extLst>
                  </a:blip>
                  <a:srcRect/>
                  <a:stretch>
                    <a:fillRect/>
                  </a:stretch>
                </pic:blipFill>
                <pic:spPr bwMode="auto">
                  <a:xfrm>
                    <a:off x="0" y="0"/>
                    <a:ext cx="5612130" cy="4625975"/>
                  </a:xfrm>
                  <a:prstGeom prst="rect">
                    <a:avLst/>
                  </a:prstGeom>
                  <a:noFill/>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FBF6273"/>
    <w:multiLevelType w:val="hybridMultilevel"/>
    <w:tmpl w:val="47C6CA9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9046794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771"/>
    <w:rsid w:val="0000638A"/>
    <w:rsid w:val="00034B8A"/>
    <w:rsid w:val="0003628F"/>
    <w:rsid w:val="000B57B7"/>
    <w:rsid w:val="000F7DA2"/>
    <w:rsid w:val="001106B7"/>
    <w:rsid w:val="001B35AD"/>
    <w:rsid w:val="00207EFB"/>
    <w:rsid w:val="00211A90"/>
    <w:rsid w:val="002707AA"/>
    <w:rsid w:val="00294DA9"/>
    <w:rsid w:val="002A33CD"/>
    <w:rsid w:val="002C744C"/>
    <w:rsid w:val="00301B79"/>
    <w:rsid w:val="00446190"/>
    <w:rsid w:val="0045259C"/>
    <w:rsid w:val="0048660C"/>
    <w:rsid w:val="0049742E"/>
    <w:rsid w:val="004C1DAB"/>
    <w:rsid w:val="004E51C1"/>
    <w:rsid w:val="00512B28"/>
    <w:rsid w:val="00521EEE"/>
    <w:rsid w:val="005805CC"/>
    <w:rsid w:val="005C3764"/>
    <w:rsid w:val="005F4940"/>
    <w:rsid w:val="005F70A0"/>
    <w:rsid w:val="006075B8"/>
    <w:rsid w:val="006331C0"/>
    <w:rsid w:val="00645BAE"/>
    <w:rsid w:val="00650D8B"/>
    <w:rsid w:val="006B1DB5"/>
    <w:rsid w:val="006E09AC"/>
    <w:rsid w:val="006E75A5"/>
    <w:rsid w:val="00713BDF"/>
    <w:rsid w:val="00715C62"/>
    <w:rsid w:val="00735EFC"/>
    <w:rsid w:val="007523CC"/>
    <w:rsid w:val="0079780C"/>
    <w:rsid w:val="007A511A"/>
    <w:rsid w:val="007D6771"/>
    <w:rsid w:val="007E400C"/>
    <w:rsid w:val="00801410"/>
    <w:rsid w:val="00821EC0"/>
    <w:rsid w:val="0084238D"/>
    <w:rsid w:val="008A6AC4"/>
    <w:rsid w:val="008D20E6"/>
    <w:rsid w:val="008F29E5"/>
    <w:rsid w:val="00921509"/>
    <w:rsid w:val="00931951"/>
    <w:rsid w:val="009824A2"/>
    <w:rsid w:val="00983F7D"/>
    <w:rsid w:val="009A24BC"/>
    <w:rsid w:val="009D7013"/>
    <w:rsid w:val="00AD3A7D"/>
    <w:rsid w:val="00AD5A78"/>
    <w:rsid w:val="00AF1496"/>
    <w:rsid w:val="00B04F7F"/>
    <w:rsid w:val="00BE357B"/>
    <w:rsid w:val="00BF40AD"/>
    <w:rsid w:val="00BF7988"/>
    <w:rsid w:val="00C31B16"/>
    <w:rsid w:val="00C4432E"/>
    <w:rsid w:val="00CC0AF3"/>
    <w:rsid w:val="00D07E04"/>
    <w:rsid w:val="00D347C7"/>
    <w:rsid w:val="00D872A3"/>
    <w:rsid w:val="00E203C8"/>
    <w:rsid w:val="00E4084D"/>
    <w:rsid w:val="00EA7AF5"/>
    <w:rsid w:val="00EB515B"/>
    <w:rsid w:val="00EF6354"/>
    <w:rsid w:val="00EF707D"/>
    <w:rsid w:val="00F07760"/>
    <w:rsid w:val="00F26CF3"/>
    <w:rsid w:val="00F54687"/>
    <w:rsid w:val="00F548B0"/>
    <w:rsid w:val="00FC7008"/>
    <w:rsid w:val="00FE78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04B929"/>
  <w15:chartTrackingRefBased/>
  <w15:docId w15:val="{1CB99C93-D022-4C7F-9F80-5AD0EA521F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008"/>
    <w:rPr>
      <w:lang w:val="es-GT"/>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1A90"/>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11A90"/>
    <w:rPr>
      <w:lang w:val="es-GT"/>
    </w:rPr>
  </w:style>
  <w:style w:type="paragraph" w:styleId="Piedepgina">
    <w:name w:val="footer"/>
    <w:basedOn w:val="Normal"/>
    <w:link w:val="PiedepginaCar"/>
    <w:uiPriority w:val="99"/>
    <w:unhideWhenUsed/>
    <w:rsid w:val="00211A90"/>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11A90"/>
    <w:rPr>
      <w:lang w:val="es-GT"/>
    </w:rPr>
  </w:style>
  <w:style w:type="character" w:styleId="Hipervnculo">
    <w:name w:val="Hyperlink"/>
    <w:basedOn w:val="Fuentedeprrafopredeter"/>
    <w:uiPriority w:val="99"/>
    <w:semiHidden/>
    <w:unhideWhenUsed/>
    <w:rsid w:val="00211A90"/>
    <w:rPr>
      <w:color w:val="0563C1" w:themeColor="hyperlink"/>
      <w:u w:val="single"/>
    </w:rPr>
  </w:style>
  <w:style w:type="paragraph" w:customStyle="1" w:styleId="yiv3871214971msonormal">
    <w:name w:val="yiv3871214971msonormal"/>
    <w:basedOn w:val="Normal"/>
    <w:rsid w:val="00BF7988"/>
    <w:pPr>
      <w:spacing w:before="100" w:beforeAutospacing="1" w:after="100" w:afterAutospacing="1" w:line="240" w:lineRule="auto"/>
    </w:pPr>
    <w:rPr>
      <w:rFonts w:ascii="Times New Roman" w:eastAsia="Times New Roman" w:hAnsi="Times New Roman" w:cs="Times New Roman"/>
      <w:sz w:val="24"/>
      <w:szCs w:val="24"/>
      <w:lang w:eastAsia="es-GT"/>
    </w:rPr>
  </w:style>
  <w:style w:type="paragraph" w:styleId="Prrafodelista">
    <w:name w:val="List Paragraph"/>
    <w:basedOn w:val="Normal"/>
    <w:uiPriority w:val="34"/>
    <w:qFormat/>
    <w:rsid w:val="006E75A5"/>
    <w:pPr>
      <w:spacing w:after="200" w:line="276" w:lineRule="auto"/>
      <w:ind w:left="720"/>
      <w:contextualSpacing/>
    </w:pPr>
    <w:rPr>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141289">
      <w:bodyDiv w:val="1"/>
      <w:marLeft w:val="0"/>
      <w:marRight w:val="0"/>
      <w:marTop w:val="0"/>
      <w:marBottom w:val="0"/>
      <w:divBdr>
        <w:top w:val="none" w:sz="0" w:space="0" w:color="auto"/>
        <w:left w:val="none" w:sz="0" w:space="0" w:color="auto"/>
        <w:bottom w:val="none" w:sz="0" w:space="0" w:color="auto"/>
        <w:right w:val="none" w:sz="0" w:space="0" w:color="auto"/>
      </w:divBdr>
    </w:div>
    <w:div w:id="691340504">
      <w:bodyDiv w:val="1"/>
      <w:marLeft w:val="0"/>
      <w:marRight w:val="0"/>
      <w:marTop w:val="0"/>
      <w:marBottom w:val="0"/>
      <w:divBdr>
        <w:top w:val="none" w:sz="0" w:space="0" w:color="auto"/>
        <w:left w:val="none" w:sz="0" w:space="0" w:color="auto"/>
        <w:bottom w:val="none" w:sz="0" w:space="0" w:color="auto"/>
        <w:right w:val="none" w:sz="0" w:space="0" w:color="auto"/>
      </w:divBdr>
    </w:div>
    <w:div w:id="8088642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abogadaschomija@gmail.com" TargetMode="External"/><Relationship Id="rId1" Type="http://schemas.openxmlformats.org/officeDocument/2006/relationships/hyperlink" Target="mailto:chomijacoordinacion@yahoo.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B901A9-BE2C-4C24-8593-092177942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3045</Words>
  <Characters>16750</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19756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Noelia Sales Lopez</cp:lastModifiedBy>
  <cp:revision>14</cp:revision>
  <cp:lastPrinted>2022-09-28T15:42:00Z</cp:lastPrinted>
  <dcterms:created xsi:type="dcterms:W3CDTF">2023-09-11T18:01:00Z</dcterms:created>
  <dcterms:modified xsi:type="dcterms:W3CDTF">2023-09-11T18:36:00Z</dcterms:modified>
</cp:coreProperties>
</file>