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96397600"/>
    <w:bookmarkStart w:id="1" w:name="_Toc196735873"/>
    <w:bookmarkStart w:id="2" w:name="_Toc196837977"/>
    <w:bookmarkStart w:id="3" w:name="_Toc197277834"/>
    <w:bookmarkStart w:id="4" w:name="_Toc197340040"/>
    <w:bookmarkStart w:id="5" w:name="_Toc197378115"/>
    <w:bookmarkStart w:id="6" w:name="_Toc197378710"/>
    <w:bookmarkStart w:id="7" w:name="_Toc197378753"/>
    <w:bookmarkStart w:id="8" w:name="_Toc197420390"/>
    <w:bookmarkStart w:id="9" w:name="_Toc197421305"/>
    <w:bookmarkStart w:id="10" w:name="_Toc197421678"/>
    <w:bookmarkStart w:id="11" w:name="_Toc197590974"/>
    <w:bookmarkStart w:id="12" w:name="_Toc197591056"/>
    <w:bookmarkStart w:id="13" w:name="_Toc197594983"/>
    <w:bookmarkStart w:id="14" w:name="_Toc197595805"/>
    <w:bookmarkStart w:id="15" w:name="_Toc197967437"/>
    <w:bookmarkStart w:id="16" w:name="_Toc198561486"/>
    <w:bookmarkStart w:id="17" w:name="_Toc198561761"/>
    <w:bookmarkStart w:id="18" w:name="_Toc206620866"/>
    <w:bookmarkStart w:id="19" w:name="_Toc206674215"/>
    <w:bookmarkStart w:id="20" w:name="_Toc206674414"/>
    <w:bookmarkStart w:id="21" w:name="_Toc206676867"/>
    <w:bookmarkStart w:id="22" w:name="_Toc206683653"/>
    <w:bookmarkStart w:id="23" w:name="_Toc207121351"/>
    <w:bookmarkStart w:id="24" w:name="_Toc207124772"/>
    <w:bookmarkStart w:id="25" w:name="_Toc207181447"/>
    <w:bookmarkStart w:id="26" w:name="_Toc207641827"/>
    <w:bookmarkStart w:id="27" w:name="_Toc207788578"/>
    <w:bookmarkStart w:id="28" w:name="_Toc207792909"/>
    <w:bookmarkStart w:id="29" w:name="_Toc208221957"/>
    <w:bookmarkStart w:id="30" w:name="_Toc208563109"/>
    <w:bookmarkStart w:id="31" w:name="_Toc208564219"/>
    <w:bookmarkStart w:id="32" w:name="_Toc208584095"/>
    <w:p w14:paraId="1E8EB115" w14:textId="4AE5D054" w:rsidR="00513AE4" w:rsidRPr="00EA1375" w:rsidRDefault="0086743A" w:rsidP="00513AE4">
      <w:pPr>
        <w:pStyle w:val="Heading1"/>
        <w:spacing w:before="0" w:line="240" w:lineRule="auto"/>
        <w:rPr>
          <w:rFonts w:ascii="Readex Pro" w:hAnsi="Readex Pro" w:cs="Readex Pro"/>
          <w:szCs w:val="60"/>
        </w:rPr>
      </w:pPr>
      <w:r w:rsidRPr="001B7386">
        <w:rPr>
          <w:noProof/>
          <w:color w:val="937CB9" w:themeColor="accent3"/>
        </w:rPr>
        <mc:AlternateContent>
          <mc:Choice Requires="wpg">
            <w:drawing>
              <wp:anchor distT="0" distB="0" distL="114300" distR="114300" simplePos="0" relativeHeight="251658240" behindDoc="1" locked="0" layoutInCell="1" allowOverlap="1" wp14:anchorId="650D1D6C" wp14:editId="11AE3170">
                <wp:simplePos x="0" y="0"/>
                <wp:positionH relativeFrom="column">
                  <wp:posOffset>-777240</wp:posOffset>
                </wp:positionH>
                <wp:positionV relativeFrom="paragraph">
                  <wp:posOffset>-1188720</wp:posOffset>
                </wp:positionV>
                <wp:extent cx="7660005" cy="11175363"/>
                <wp:effectExtent l="0" t="0" r="0" b="7620"/>
                <wp:wrapNone/>
                <wp:docPr id="886808221"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660005" cy="11175363"/>
                          <a:chOff x="-1905" y="523887"/>
                          <a:chExt cx="7660005" cy="11175657"/>
                        </a:xfrm>
                      </wpg:grpSpPr>
                      <wps:wsp>
                        <wps:cNvPr id="833521692" name="Rectangle 2"/>
                        <wps:cNvSpPr/>
                        <wps:spPr>
                          <a:xfrm>
                            <a:off x="-1905" y="3527352"/>
                            <a:ext cx="7658100" cy="8172192"/>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3079607" name="Rounded Rectangle 18"/>
                        <wps:cNvSpPr/>
                        <wps:spPr>
                          <a:xfrm rot="5400000">
                            <a:off x="-718480" y="1295729"/>
                            <a:ext cx="9103359" cy="7559675"/>
                          </a:xfrm>
                          <a:prstGeom prst="roundRect">
                            <a:avLst>
                              <a:gd name="adj" fmla="val 50000"/>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5394604" name="Rectangle 2"/>
                        <wps:cNvSpPr/>
                        <wps:spPr>
                          <a:xfrm>
                            <a:off x="0" y="695341"/>
                            <a:ext cx="7658100" cy="4553071"/>
                          </a:xfrm>
                          <a:prstGeom prst="rect">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79905939" name="Graphic 19"/>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rot="5400000">
                            <a:off x="1914808" y="4082928"/>
                            <a:ext cx="3830954" cy="64795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9D8FC8" id="Group 3" o:spid="_x0000_s1026" alt="&quot;&quot;" style="position:absolute;margin-left:-61.2pt;margin-top:-93.6pt;width:603.15pt;height:879.95pt;z-index:-251658240;mso-width-relative:margin;mso-height-relative:margin" coordorigin="-19,5238" coordsize="76600,11175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">
                <v:rect id="Rectangle 2" o:spid="_x0000_s1027" style="position:absolute;left:-19;top:35273;width:76580;height:81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" fillcolor="#0d3946 [3204]" stroked="f" strokeweight="1pt"/>
                <v:roundrect id="Rounded Rectangle 18" o:spid="_x0000_s1028" style="position:absolute;left:-7185;top:12956;width:91034;height:75597;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" fillcolor="#937cb9 [3206]" stroked="f"/>
                <v:rect id="Rectangle 2" o:spid="_x0000_s1029" style="position:absolute;top:6953;width:76581;height:45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" fillcolor="#f2eeea [3207]"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9" o:spid="_x0000_s1030" type="#_x0000_t75" style="position:absolute;left:19148;top:40829;width:38309;height:6479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">
                  <v:imagedata r:id="rId14" o:title=""/>
                </v:shape>
              </v:group>
            </w:pict>
          </mc:Fallback>
        </mc:AlternateContent>
      </w:r>
      <w:r w:rsidR="006719D2" w:rsidRPr="001B7386">
        <w:rPr>
          <w:color w:val="937CB9" w:themeColor="accent3"/>
        </w:rPr>
        <w:t>Written contribution to List of Issues Prior to Reporting</w:t>
      </w:r>
      <w:r w:rsidR="006719D2" w:rsidRPr="00EA1375">
        <w:rPr>
          <w:rFonts w:ascii="Readex Pro" w:hAnsi="Readex Pro" w:cs="Readex Pro"/>
          <w:szCs w:val="60"/>
        </w:rPr>
        <w:br/>
        <w:t xml:space="preserve">Seventh periodic report of Australia under the </w:t>
      </w:r>
      <w:r w:rsidR="00A701A6">
        <w:rPr>
          <w:rFonts w:ascii="Readex Pro" w:hAnsi="Readex Pro" w:cs="Readex Pro"/>
          <w:szCs w:val="60"/>
        </w:rPr>
        <w:t>Convention against Torture and Other Cruel, Inhuman and Degrading Treatment or Punishment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632C431A" w14:textId="3E743FB9" w:rsidR="0058586C" w:rsidRPr="00EA1375" w:rsidRDefault="00B50F91">
      <w:pPr>
        <w:spacing w:before="0" w:after="0" w:line="240" w:lineRule="auto"/>
        <w:rPr>
          <w:rFonts w:cs="Readex Pro"/>
        </w:rPr>
      </w:pPr>
      <w:r w:rsidRPr="00EA1375">
        <w:rPr>
          <w:rStyle w:val="Heading1altChar"/>
          <w:rFonts w:ascii="Readex Pro" w:hAnsi="Readex Pro" w:cs="Readex Pro"/>
          <w:noProof/>
        </w:rPr>
        <mc:AlternateContent>
          <mc:Choice Requires="wps">
            <w:drawing>
              <wp:anchor distT="45720" distB="45720" distL="114300" distR="114300" simplePos="0" relativeHeight="251672576" behindDoc="0" locked="0" layoutInCell="1" allowOverlap="1" wp14:anchorId="51284E58" wp14:editId="3F2D5743">
                <wp:simplePos x="0" y="0"/>
                <wp:positionH relativeFrom="column">
                  <wp:posOffset>4070985</wp:posOffset>
                </wp:positionH>
                <wp:positionV relativeFrom="paragraph">
                  <wp:posOffset>4399815</wp:posOffset>
                </wp:positionV>
                <wp:extent cx="24955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noFill/>
                        <a:ln w="9525">
                          <a:noFill/>
                          <a:miter lim="800000"/>
                          <a:headEnd/>
                          <a:tailEnd/>
                        </a:ln>
                      </wps:spPr>
                      <wps:txbx>
                        <w:txbxContent>
                          <w:p w14:paraId="4103A1FB" w14:textId="77D899A1" w:rsidR="001D4806" w:rsidRPr="001D4806" w:rsidRDefault="00A701A6">
                            <w:pPr>
                              <w:rPr>
                                <w:b/>
                                <w:bCs/>
                                <w:color w:val="F2EEEA" w:themeColor="accent4"/>
                                <w:sz w:val="36"/>
                                <w:szCs w:val="48"/>
                              </w:rPr>
                            </w:pPr>
                            <w:r>
                              <w:rPr>
                                <w:b/>
                                <w:bCs/>
                                <w:color w:val="F2EEEA" w:themeColor="accent4"/>
                                <w:sz w:val="36"/>
                                <w:szCs w:val="48"/>
                              </w:rPr>
                              <w:t>12 September</w:t>
                            </w:r>
                            <w:r w:rsidR="00BF5F7E" w:rsidRPr="003937B7">
                              <w:rPr>
                                <w:b/>
                                <w:bCs/>
                                <w:color w:val="F2EEEA" w:themeColor="accent4"/>
                                <w:sz w:val="36"/>
                                <w:szCs w:val="48"/>
                              </w:rPr>
                              <w:t xml:space="preserve">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284E58" id="_x0000_t202" coordsize="21600,21600" o:spt="202" path="m,l,21600r21600,l21600,xe">
                <v:stroke joinstyle="miter"/>
                <v:path gradientshapeok="t" o:connecttype="rect"/>
              </v:shapetype>
              <v:shape id="Text Box 2" o:spid="_x0000_s1026" type="#_x0000_t202" style="position:absolute;margin-left:320.55pt;margin-top:346.45pt;width:196.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" filled="f" stroked="f">
                <v:textbox style="mso-fit-shape-to-text:t">
                  <w:txbxContent>
                    <w:p w14:paraId="4103A1FB" w14:textId="77D899A1" w:rsidR="001D4806" w:rsidRPr="001D4806" w:rsidRDefault="00A701A6">
                      <w:pPr>
                        <w:rPr>
                          <w:b/>
                          <w:bCs/>
                          <w:color w:val="F2EEEA" w:themeColor="accent4"/>
                          <w:sz w:val="36"/>
                          <w:szCs w:val="48"/>
                        </w:rPr>
                      </w:pPr>
                      <w:r>
                        <w:rPr>
                          <w:b/>
                          <w:bCs/>
                          <w:color w:val="F2EEEA" w:themeColor="accent4"/>
                          <w:sz w:val="36"/>
                          <w:szCs w:val="48"/>
                        </w:rPr>
                        <w:t>12 September</w:t>
                      </w:r>
                      <w:r w:rsidR="00BF5F7E" w:rsidRPr="003937B7">
                        <w:rPr>
                          <w:b/>
                          <w:bCs/>
                          <w:color w:val="F2EEEA" w:themeColor="accent4"/>
                          <w:sz w:val="36"/>
                          <w:szCs w:val="48"/>
                        </w:rPr>
                        <w:t xml:space="preserve"> 2025</w:t>
                      </w:r>
                    </w:p>
                  </w:txbxContent>
                </v:textbox>
                <w10:wrap type="square"/>
              </v:shape>
            </w:pict>
          </mc:Fallback>
        </mc:AlternateContent>
      </w:r>
      <w:r w:rsidRPr="00EA1375">
        <w:rPr>
          <w:rFonts w:cs="Readex Pro"/>
          <w:noProof/>
        </w:rPr>
        <w:drawing>
          <wp:anchor distT="0" distB="0" distL="114300" distR="114300" simplePos="0" relativeHeight="251667456" behindDoc="0" locked="0" layoutInCell="1" allowOverlap="1" wp14:anchorId="6EE2BAD6" wp14:editId="0CBD8496">
            <wp:simplePos x="0" y="0"/>
            <wp:positionH relativeFrom="column">
              <wp:posOffset>4548505</wp:posOffset>
            </wp:positionH>
            <wp:positionV relativeFrom="paragraph">
              <wp:posOffset>5076157</wp:posOffset>
            </wp:positionV>
            <wp:extent cx="1619250" cy="868680"/>
            <wp:effectExtent l="0" t="0" r="0" b="7620"/>
            <wp:wrapNone/>
            <wp:docPr id="455931651" name="Picture 1" descr="Logo of the Australian National Preventive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31651" name="Picture 1" descr="Logo of the Australian National Preventive Mechanism"/>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19250" cy="868680"/>
                    </a:xfrm>
                    <a:prstGeom prst="rect">
                      <a:avLst/>
                    </a:prstGeom>
                  </pic:spPr>
                </pic:pic>
              </a:graphicData>
            </a:graphic>
          </wp:anchor>
        </w:drawing>
      </w:r>
      <w:r w:rsidR="0058586C" w:rsidRPr="00EA1375">
        <w:rPr>
          <w:rFonts w:cs="Readex Pro"/>
        </w:rPr>
        <w:br w:type="page"/>
      </w:r>
    </w:p>
    <w:sdt>
      <w:sdtPr>
        <w:rPr>
          <w:rFonts w:cs="Readex Pro"/>
          <w:b/>
          <w:bCs/>
        </w:rPr>
        <w:id w:val="1706988763"/>
        <w:docPartObj>
          <w:docPartGallery w:val="Table of Contents"/>
          <w:docPartUnique/>
        </w:docPartObj>
      </w:sdtPr>
      <w:sdtContent>
        <w:p w14:paraId="358CBB11" w14:textId="77777777" w:rsidR="004541B6" w:rsidRDefault="0063178E">
          <w:pPr>
            <w:pStyle w:val="TOC1"/>
            <w:tabs>
              <w:tab w:val="right" w:leader="dot" w:pos="9628"/>
            </w:tabs>
            <w:rPr>
              <w:noProof/>
            </w:rPr>
          </w:pPr>
          <w:r w:rsidRPr="008E32BB">
            <w:rPr>
              <w:rFonts w:ascii="Readex Pro Medium" w:hAnsi="Readex Pro Medium" w:cs="Readex Pro Medium"/>
              <w:color w:val="937CB9" w:themeColor="accent3"/>
              <w:sz w:val="50"/>
              <w:szCs w:val="50"/>
            </w:rPr>
            <w:t>Contents</w:t>
          </w:r>
          <w:r w:rsidRPr="00214C17">
            <w:rPr>
              <w:rFonts w:eastAsiaTheme="majorEastAsia" w:cs="Readex Pro"/>
              <w:b/>
              <w:bCs/>
              <w:color w:val="092A34" w:themeColor="accent1" w:themeShade="BF"/>
              <w:kern w:val="0"/>
              <w:sz w:val="20"/>
              <w:szCs w:val="20"/>
              <w:lang w:eastAsia="en-US"/>
              <w14:ligatures w14:val="none"/>
            </w:rPr>
            <w:fldChar w:fldCharType="begin"/>
          </w:r>
          <w:r w:rsidRPr="00214C17">
            <w:rPr>
              <w:rFonts w:cs="Readex Pro"/>
              <w:b/>
              <w:bCs/>
              <w:sz w:val="20"/>
              <w:szCs w:val="20"/>
            </w:rPr>
            <w:instrText xml:space="preserve"> TOC \o "1-3" \h \z \u </w:instrText>
          </w:r>
          <w:r w:rsidRPr="00214C17">
            <w:rPr>
              <w:rFonts w:eastAsiaTheme="majorEastAsia" w:cs="Readex Pro"/>
              <w:b/>
              <w:bCs/>
              <w:color w:val="092A34" w:themeColor="accent1" w:themeShade="BF"/>
              <w:kern w:val="0"/>
              <w:sz w:val="20"/>
              <w:szCs w:val="20"/>
              <w:lang w:eastAsia="en-US"/>
              <w14:ligatures w14:val="none"/>
            </w:rPr>
            <w:fldChar w:fldCharType="separate"/>
          </w:r>
        </w:p>
        <w:p w14:paraId="3F537760" w14:textId="10B7A005"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096" w:history="1">
            <w:r w:rsidRPr="00F06BEA">
              <w:rPr>
                <w:rStyle w:val="Hyperlink"/>
                <w:noProof/>
              </w:rPr>
              <w:t>Acknowledgment of Country</w:t>
            </w:r>
            <w:r>
              <w:rPr>
                <w:noProof/>
                <w:webHidden/>
              </w:rPr>
              <w:tab/>
            </w:r>
            <w:r>
              <w:rPr>
                <w:noProof/>
                <w:webHidden/>
              </w:rPr>
              <w:fldChar w:fldCharType="begin"/>
            </w:r>
            <w:r>
              <w:rPr>
                <w:noProof/>
                <w:webHidden/>
              </w:rPr>
              <w:instrText xml:space="preserve"> PAGEREF _Toc208584096 \h </w:instrText>
            </w:r>
            <w:r>
              <w:rPr>
                <w:noProof/>
                <w:webHidden/>
              </w:rPr>
            </w:r>
            <w:r>
              <w:rPr>
                <w:noProof/>
                <w:webHidden/>
              </w:rPr>
              <w:fldChar w:fldCharType="separate"/>
            </w:r>
            <w:r w:rsidR="00B71AA0">
              <w:rPr>
                <w:noProof/>
                <w:webHidden/>
              </w:rPr>
              <w:t>3</w:t>
            </w:r>
            <w:r>
              <w:rPr>
                <w:noProof/>
                <w:webHidden/>
              </w:rPr>
              <w:fldChar w:fldCharType="end"/>
            </w:r>
          </w:hyperlink>
        </w:p>
        <w:p w14:paraId="00177C70" w14:textId="28D96F3C"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097" w:history="1">
            <w:r w:rsidRPr="00F06BEA">
              <w:rPr>
                <w:rStyle w:val="Hyperlink"/>
                <w:noProof/>
              </w:rPr>
              <w:t>Introduction to the Australian NPM</w:t>
            </w:r>
            <w:r>
              <w:rPr>
                <w:noProof/>
                <w:webHidden/>
              </w:rPr>
              <w:tab/>
            </w:r>
            <w:r>
              <w:rPr>
                <w:noProof/>
                <w:webHidden/>
              </w:rPr>
              <w:fldChar w:fldCharType="begin"/>
            </w:r>
            <w:r>
              <w:rPr>
                <w:noProof/>
                <w:webHidden/>
              </w:rPr>
              <w:instrText xml:space="preserve"> PAGEREF _Toc208584097 \h </w:instrText>
            </w:r>
            <w:r>
              <w:rPr>
                <w:noProof/>
                <w:webHidden/>
              </w:rPr>
            </w:r>
            <w:r>
              <w:rPr>
                <w:noProof/>
                <w:webHidden/>
              </w:rPr>
              <w:fldChar w:fldCharType="separate"/>
            </w:r>
            <w:r w:rsidR="00B71AA0">
              <w:rPr>
                <w:noProof/>
                <w:webHidden/>
              </w:rPr>
              <w:t>3</w:t>
            </w:r>
            <w:r>
              <w:rPr>
                <w:noProof/>
                <w:webHidden/>
              </w:rPr>
              <w:fldChar w:fldCharType="end"/>
            </w:r>
          </w:hyperlink>
        </w:p>
        <w:p w14:paraId="200D9102" w14:textId="16AA2EEE"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098" w:history="1">
            <w:r w:rsidRPr="00F06BEA">
              <w:rPr>
                <w:rStyle w:val="Hyperlink"/>
                <w:noProof/>
              </w:rPr>
              <w:t>Youth justice and youth detention</w:t>
            </w:r>
            <w:r>
              <w:rPr>
                <w:noProof/>
                <w:webHidden/>
              </w:rPr>
              <w:tab/>
            </w:r>
            <w:r>
              <w:rPr>
                <w:noProof/>
                <w:webHidden/>
              </w:rPr>
              <w:fldChar w:fldCharType="begin"/>
            </w:r>
            <w:r>
              <w:rPr>
                <w:noProof/>
                <w:webHidden/>
              </w:rPr>
              <w:instrText xml:space="preserve"> PAGEREF _Toc208584098 \h </w:instrText>
            </w:r>
            <w:r>
              <w:rPr>
                <w:noProof/>
                <w:webHidden/>
              </w:rPr>
            </w:r>
            <w:r>
              <w:rPr>
                <w:noProof/>
                <w:webHidden/>
              </w:rPr>
              <w:fldChar w:fldCharType="separate"/>
            </w:r>
            <w:r w:rsidR="00B71AA0">
              <w:rPr>
                <w:noProof/>
                <w:webHidden/>
              </w:rPr>
              <w:t>4</w:t>
            </w:r>
            <w:r>
              <w:rPr>
                <w:noProof/>
                <w:webHidden/>
              </w:rPr>
              <w:fldChar w:fldCharType="end"/>
            </w:r>
          </w:hyperlink>
        </w:p>
        <w:p w14:paraId="4380B5AC" w14:textId="6C77E099"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099" w:history="1">
            <w:r w:rsidRPr="00F06BEA">
              <w:rPr>
                <w:rStyle w:val="Hyperlink"/>
                <w:noProof/>
              </w:rPr>
              <w:t>Minimum age of criminal responsibility</w:t>
            </w:r>
            <w:r>
              <w:rPr>
                <w:noProof/>
                <w:webHidden/>
              </w:rPr>
              <w:tab/>
            </w:r>
            <w:r>
              <w:rPr>
                <w:noProof/>
                <w:webHidden/>
              </w:rPr>
              <w:fldChar w:fldCharType="begin"/>
            </w:r>
            <w:r>
              <w:rPr>
                <w:noProof/>
                <w:webHidden/>
              </w:rPr>
              <w:instrText xml:space="preserve"> PAGEREF _Toc208584099 \h </w:instrText>
            </w:r>
            <w:r>
              <w:rPr>
                <w:noProof/>
                <w:webHidden/>
              </w:rPr>
            </w:r>
            <w:r>
              <w:rPr>
                <w:noProof/>
                <w:webHidden/>
              </w:rPr>
              <w:fldChar w:fldCharType="separate"/>
            </w:r>
            <w:r w:rsidR="00B71AA0">
              <w:rPr>
                <w:noProof/>
                <w:webHidden/>
              </w:rPr>
              <w:t>5</w:t>
            </w:r>
            <w:r>
              <w:rPr>
                <w:noProof/>
                <w:webHidden/>
              </w:rPr>
              <w:fldChar w:fldCharType="end"/>
            </w:r>
          </w:hyperlink>
        </w:p>
        <w:p w14:paraId="3BC65496" w14:textId="12F1174B"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0" w:history="1">
            <w:r w:rsidRPr="00F06BEA">
              <w:rPr>
                <w:rStyle w:val="Hyperlink"/>
                <w:noProof/>
              </w:rPr>
              <w:t>Detention of children and young people as a last resort</w:t>
            </w:r>
            <w:r>
              <w:rPr>
                <w:noProof/>
                <w:webHidden/>
              </w:rPr>
              <w:tab/>
            </w:r>
            <w:r>
              <w:rPr>
                <w:noProof/>
                <w:webHidden/>
              </w:rPr>
              <w:fldChar w:fldCharType="begin"/>
            </w:r>
            <w:r>
              <w:rPr>
                <w:noProof/>
                <w:webHidden/>
              </w:rPr>
              <w:instrText xml:space="preserve"> PAGEREF _Toc208584100 \h </w:instrText>
            </w:r>
            <w:r>
              <w:rPr>
                <w:noProof/>
                <w:webHidden/>
              </w:rPr>
            </w:r>
            <w:r>
              <w:rPr>
                <w:noProof/>
                <w:webHidden/>
              </w:rPr>
              <w:fldChar w:fldCharType="separate"/>
            </w:r>
            <w:r w:rsidR="00B71AA0">
              <w:rPr>
                <w:noProof/>
                <w:webHidden/>
              </w:rPr>
              <w:t>5</w:t>
            </w:r>
            <w:r>
              <w:rPr>
                <w:noProof/>
                <w:webHidden/>
              </w:rPr>
              <w:fldChar w:fldCharType="end"/>
            </w:r>
          </w:hyperlink>
        </w:p>
        <w:p w14:paraId="42A7D4CF" w14:textId="06A6EB0C"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1" w:history="1">
            <w:r w:rsidRPr="00F06BEA">
              <w:rPr>
                <w:rStyle w:val="Hyperlink"/>
                <w:noProof/>
              </w:rPr>
              <w:t>Youth detention population</w:t>
            </w:r>
            <w:r>
              <w:rPr>
                <w:noProof/>
                <w:webHidden/>
              </w:rPr>
              <w:tab/>
            </w:r>
            <w:r>
              <w:rPr>
                <w:noProof/>
                <w:webHidden/>
              </w:rPr>
              <w:fldChar w:fldCharType="begin"/>
            </w:r>
            <w:r>
              <w:rPr>
                <w:noProof/>
                <w:webHidden/>
              </w:rPr>
              <w:instrText xml:space="preserve"> PAGEREF _Toc208584101 \h </w:instrText>
            </w:r>
            <w:r>
              <w:rPr>
                <w:noProof/>
                <w:webHidden/>
              </w:rPr>
            </w:r>
            <w:r>
              <w:rPr>
                <w:noProof/>
                <w:webHidden/>
              </w:rPr>
              <w:fldChar w:fldCharType="separate"/>
            </w:r>
            <w:r w:rsidR="00B71AA0">
              <w:rPr>
                <w:noProof/>
                <w:webHidden/>
              </w:rPr>
              <w:t>6</w:t>
            </w:r>
            <w:r>
              <w:rPr>
                <w:noProof/>
                <w:webHidden/>
              </w:rPr>
              <w:fldChar w:fldCharType="end"/>
            </w:r>
          </w:hyperlink>
        </w:p>
        <w:p w14:paraId="3B9BECA1" w14:textId="5F966C63"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2" w:history="1">
            <w:r w:rsidRPr="00F06BEA">
              <w:rPr>
                <w:rStyle w:val="Hyperlink"/>
                <w:noProof/>
              </w:rPr>
              <w:t>Alternatives to detention for children and young people</w:t>
            </w:r>
            <w:r>
              <w:rPr>
                <w:noProof/>
                <w:webHidden/>
              </w:rPr>
              <w:tab/>
            </w:r>
            <w:r>
              <w:rPr>
                <w:noProof/>
                <w:webHidden/>
              </w:rPr>
              <w:fldChar w:fldCharType="begin"/>
            </w:r>
            <w:r>
              <w:rPr>
                <w:noProof/>
                <w:webHidden/>
              </w:rPr>
              <w:instrText xml:space="preserve"> PAGEREF _Toc208584102 \h </w:instrText>
            </w:r>
            <w:r>
              <w:rPr>
                <w:noProof/>
                <w:webHidden/>
              </w:rPr>
            </w:r>
            <w:r>
              <w:rPr>
                <w:noProof/>
                <w:webHidden/>
              </w:rPr>
              <w:fldChar w:fldCharType="separate"/>
            </w:r>
            <w:r w:rsidR="00B71AA0">
              <w:rPr>
                <w:noProof/>
                <w:webHidden/>
              </w:rPr>
              <w:t>9</w:t>
            </w:r>
            <w:r>
              <w:rPr>
                <w:noProof/>
                <w:webHidden/>
              </w:rPr>
              <w:fldChar w:fldCharType="end"/>
            </w:r>
          </w:hyperlink>
        </w:p>
        <w:p w14:paraId="67D1B7C0" w14:textId="41AE911E"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3" w:history="1">
            <w:r w:rsidRPr="00F06BEA">
              <w:rPr>
                <w:rStyle w:val="Hyperlink"/>
                <w:noProof/>
              </w:rPr>
              <w:t>The use of spit hoods against children and young people in detention</w:t>
            </w:r>
            <w:r>
              <w:rPr>
                <w:noProof/>
                <w:webHidden/>
              </w:rPr>
              <w:tab/>
            </w:r>
            <w:r>
              <w:rPr>
                <w:noProof/>
                <w:webHidden/>
              </w:rPr>
              <w:fldChar w:fldCharType="begin"/>
            </w:r>
            <w:r>
              <w:rPr>
                <w:noProof/>
                <w:webHidden/>
              </w:rPr>
              <w:instrText xml:space="preserve"> PAGEREF _Toc208584103 \h </w:instrText>
            </w:r>
            <w:r>
              <w:rPr>
                <w:noProof/>
                <w:webHidden/>
              </w:rPr>
            </w:r>
            <w:r>
              <w:rPr>
                <w:noProof/>
                <w:webHidden/>
              </w:rPr>
              <w:fldChar w:fldCharType="separate"/>
            </w:r>
            <w:r w:rsidR="00B71AA0">
              <w:rPr>
                <w:noProof/>
                <w:webHidden/>
              </w:rPr>
              <w:t>10</w:t>
            </w:r>
            <w:r>
              <w:rPr>
                <w:noProof/>
                <w:webHidden/>
              </w:rPr>
              <w:fldChar w:fldCharType="end"/>
            </w:r>
          </w:hyperlink>
        </w:p>
        <w:p w14:paraId="738323BA" w14:textId="242A6647"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4" w:history="1">
            <w:r w:rsidRPr="00F06BEA">
              <w:rPr>
                <w:rStyle w:val="Hyperlink"/>
                <w:noProof/>
              </w:rPr>
              <w:t>Isolation of children and young people in detention</w:t>
            </w:r>
            <w:r>
              <w:rPr>
                <w:noProof/>
                <w:webHidden/>
              </w:rPr>
              <w:tab/>
            </w:r>
            <w:r>
              <w:rPr>
                <w:noProof/>
                <w:webHidden/>
              </w:rPr>
              <w:fldChar w:fldCharType="begin"/>
            </w:r>
            <w:r>
              <w:rPr>
                <w:noProof/>
                <w:webHidden/>
              </w:rPr>
              <w:instrText xml:space="preserve"> PAGEREF _Toc208584104 \h </w:instrText>
            </w:r>
            <w:r>
              <w:rPr>
                <w:noProof/>
                <w:webHidden/>
              </w:rPr>
            </w:r>
            <w:r>
              <w:rPr>
                <w:noProof/>
                <w:webHidden/>
              </w:rPr>
              <w:fldChar w:fldCharType="separate"/>
            </w:r>
            <w:r w:rsidR="00B71AA0">
              <w:rPr>
                <w:noProof/>
                <w:webHidden/>
              </w:rPr>
              <w:t>11</w:t>
            </w:r>
            <w:r>
              <w:rPr>
                <w:noProof/>
                <w:webHidden/>
              </w:rPr>
              <w:fldChar w:fldCharType="end"/>
            </w:r>
          </w:hyperlink>
        </w:p>
        <w:p w14:paraId="08FE94C1" w14:textId="366CF5BB"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5" w:history="1">
            <w:r w:rsidRPr="00F06BEA">
              <w:rPr>
                <w:rStyle w:val="Hyperlink"/>
                <w:noProof/>
              </w:rPr>
              <w:t>The detention of children and young people in watch houses</w:t>
            </w:r>
            <w:r>
              <w:rPr>
                <w:noProof/>
                <w:webHidden/>
              </w:rPr>
              <w:tab/>
            </w:r>
            <w:r>
              <w:rPr>
                <w:noProof/>
                <w:webHidden/>
              </w:rPr>
              <w:fldChar w:fldCharType="begin"/>
            </w:r>
            <w:r>
              <w:rPr>
                <w:noProof/>
                <w:webHidden/>
              </w:rPr>
              <w:instrText xml:space="preserve"> PAGEREF _Toc208584105 \h </w:instrText>
            </w:r>
            <w:r>
              <w:rPr>
                <w:noProof/>
                <w:webHidden/>
              </w:rPr>
            </w:r>
            <w:r>
              <w:rPr>
                <w:noProof/>
                <w:webHidden/>
              </w:rPr>
              <w:fldChar w:fldCharType="separate"/>
            </w:r>
            <w:r w:rsidR="00B71AA0">
              <w:rPr>
                <w:noProof/>
                <w:webHidden/>
              </w:rPr>
              <w:t>12</w:t>
            </w:r>
            <w:r>
              <w:rPr>
                <w:noProof/>
                <w:webHidden/>
              </w:rPr>
              <w:fldChar w:fldCharType="end"/>
            </w:r>
          </w:hyperlink>
        </w:p>
        <w:p w14:paraId="299D5F18" w14:textId="7F93D43B"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6" w:history="1">
            <w:r w:rsidRPr="00F06BEA">
              <w:rPr>
                <w:rStyle w:val="Hyperlink"/>
                <w:noProof/>
              </w:rPr>
              <w:t>Human contact in youth detention</w:t>
            </w:r>
            <w:r>
              <w:rPr>
                <w:noProof/>
                <w:webHidden/>
              </w:rPr>
              <w:tab/>
            </w:r>
            <w:r>
              <w:rPr>
                <w:noProof/>
                <w:webHidden/>
              </w:rPr>
              <w:fldChar w:fldCharType="begin"/>
            </w:r>
            <w:r>
              <w:rPr>
                <w:noProof/>
                <w:webHidden/>
              </w:rPr>
              <w:instrText xml:space="preserve"> PAGEREF _Toc208584106 \h </w:instrText>
            </w:r>
            <w:r>
              <w:rPr>
                <w:noProof/>
                <w:webHidden/>
              </w:rPr>
            </w:r>
            <w:r>
              <w:rPr>
                <w:noProof/>
                <w:webHidden/>
              </w:rPr>
              <w:fldChar w:fldCharType="separate"/>
            </w:r>
            <w:r w:rsidR="00B71AA0">
              <w:rPr>
                <w:noProof/>
                <w:webHidden/>
              </w:rPr>
              <w:t>14</w:t>
            </w:r>
            <w:r>
              <w:rPr>
                <w:noProof/>
                <w:webHidden/>
              </w:rPr>
              <w:fldChar w:fldCharType="end"/>
            </w:r>
          </w:hyperlink>
        </w:p>
        <w:p w14:paraId="1555F14A" w14:textId="295A7C23"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7" w:history="1">
            <w:r w:rsidRPr="00F06BEA">
              <w:rPr>
                <w:rStyle w:val="Hyperlink"/>
                <w:noProof/>
              </w:rPr>
              <w:t>Strip searching of children and young people</w:t>
            </w:r>
            <w:r>
              <w:rPr>
                <w:noProof/>
                <w:webHidden/>
              </w:rPr>
              <w:tab/>
            </w:r>
            <w:r>
              <w:rPr>
                <w:noProof/>
                <w:webHidden/>
              </w:rPr>
              <w:fldChar w:fldCharType="begin"/>
            </w:r>
            <w:r>
              <w:rPr>
                <w:noProof/>
                <w:webHidden/>
              </w:rPr>
              <w:instrText xml:space="preserve"> PAGEREF _Toc208584107 \h </w:instrText>
            </w:r>
            <w:r>
              <w:rPr>
                <w:noProof/>
                <w:webHidden/>
              </w:rPr>
            </w:r>
            <w:r>
              <w:rPr>
                <w:noProof/>
                <w:webHidden/>
              </w:rPr>
              <w:fldChar w:fldCharType="separate"/>
            </w:r>
            <w:r w:rsidR="00B71AA0">
              <w:rPr>
                <w:noProof/>
                <w:webHidden/>
              </w:rPr>
              <w:t>15</w:t>
            </w:r>
            <w:r>
              <w:rPr>
                <w:noProof/>
                <w:webHidden/>
              </w:rPr>
              <w:fldChar w:fldCharType="end"/>
            </w:r>
          </w:hyperlink>
        </w:p>
        <w:p w14:paraId="1D1667FF" w14:textId="64758B76"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108" w:history="1">
            <w:r w:rsidRPr="00F06BEA">
              <w:rPr>
                <w:rStyle w:val="Hyperlink"/>
                <w:noProof/>
              </w:rPr>
              <w:t>General conditions in detention</w:t>
            </w:r>
            <w:r>
              <w:rPr>
                <w:noProof/>
                <w:webHidden/>
              </w:rPr>
              <w:tab/>
            </w:r>
            <w:r>
              <w:rPr>
                <w:noProof/>
                <w:webHidden/>
              </w:rPr>
              <w:fldChar w:fldCharType="begin"/>
            </w:r>
            <w:r>
              <w:rPr>
                <w:noProof/>
                <w:webHidden/>
              </w:rPr>
              <w:instrText xml:space="preserve"> PAGEREF _Toc208584108 \h </w:instrText>
            </w:r>
            <w:r>
              <w:rPr>
                <w:noProof/>
                <w:webHidden/>
              </w:rPr>
            </w:r>
            <w:r>
              <w:rPr>
                <w:noProof/>
                <w:webHidden/>
              </w:rPr>
              <w:fldChar w:fldCharType="separate"/>
            </w:r>
            <w:r w:rsidR="00B71AA0">
              <w:rPr>
                <w:noProof/>
                <w:webHidden/>
              </w:rPr>
              <w:t>16</w:t>
            </w:r>
            <w:r>
              <w:rPr>
                <w:noProof/>
                <w:webHidden/>
              </w:rPr>
              <w:fldChar w:fldCharType="end"/>
            </w:r>
          </w:hyperlink>
        </w:p>
        <w:p w14:paraId="7FA05961" w14:textId="5E2130D7"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09" w:history="1">
            <w:r w:rsidRPr="00F06BEA">
              <w:rPr>
                <w:rStyle w:val="Hyperlink"/>
                <w:noProof/>
              </w:rPr>
              <w:t>Overincarceration of Aboriginal and Torres Strait Islander people</w:t>
            </w:r>
            <w:r>
              <w:rPr>
                <w:noProof/>
                <w:webHidden/>
              </w:rPr>
              <w:tab/>
            </w:r>
            <w:r>
              <w:rPr>
                <w:noProof/>
                <w:webHidden/>
              </w:rPr>
              <w:fldChar w:fldCharType="begin"/>
            </w:r>
            <w:r>
              <w:rPr>
                <w:noProof/>
                <w:webHidden/>
              </w:rPr>
              <w:instrText xml:space="preserve"> PAGEREF _Toc208584109 \h </w:instrText>
            </w:r>
            <w:r>
              <w:rPr>
                <w:noProof/>
                <w:webHidden/>
              </w:rPr>
            </w:r>
            <w:r>
              <w:rPr>
                <w:noProof/>
                <w:webHidden/>
              </w:rPr>
              <w:fldChar w:fldCharType="separate"/>
            </w:r>
            <w:r w:rsidR="00B71AA0">
              <w:rPr>
                <w:noProof/>
                <w:webHidden/>
              </w:rPr>
              <w:t>16</w:t>
            </w:r>
            <w:r>
              <w:rPr>
                <w:noProof/>
                <w:webHidden/>
              </w:rPr>
              <w:fldChar w:fldCharType="end"/>
            </w:r>
          </w:hyperlink>
        </w:p>
        <w:p w14:paraId="4591E3D6" w14:textId="681B5E77"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0" w:history="1">
            <w:r w:rsidRPr="00F06BEA">
              <w:rPr>
                <w:rStyle w:val="Hyperlink"/>
                <w:noProof/>
              </w:rPr>
              <w:t>Detention population increases – unsentenced people in custody</w:t>
            </w:r>
            <w:r>
              <w:rPr>
                <w:noProof/>
                <w:webHidden/>
              </w:rPr>
              <w:tab/>
            </w:r>
            <w:r>
              <w:rPr>
                <w:noProof/>
                <w:webHidden/>
              </w:rPr>
              <w:fldChar w:fldCharType="begin"/>
            </w:r>
            <w:r>
              <w:rPr>
                <w:noProof/>
                <w:webHidden/>
              </w:rPr>
              <w:instrText xml:space="preserve"> PAGEREF _Toc208584110 \h </w:instrText>
            </w:r>
            <w:r>
              <w:rPr>
                <w:noProof/>
                <w:webHidden/>
              </w:rPr>
            </w:r>
            <w:r>
              <w:rPr>
                <w:noProof/>
                <w:webHidden/>
              </w:rPr>
              <w:fldChar w:fldCharType="separate"/>
            </w:r>
            <w:r w:rsidR="00B71AA0">
              <w:rPr>
                <w:noProof/>
                <w:webHidden/>
              </w:rPr>
              <w:t>17</w:t>
            </w:r>
            <w:r>
              <w:rPr>
                <w:noProof/>
                <w:webHidden/>
              </w:rPr>
              <w:fldChar w:fldCharType="end"/>
            </w:r>
          </w:hyperlink>
        </w:p>
        <w:p w14:paraId="08DE5D7D" w14:textId="1B14170B"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1" w:history="1">
            <w:r w:rsidRPr="00F06BEA">
              <w:rPr>
                <w:rStyle w:val="Hyperlink"/>
                <w:noProof/>
              </w:rPr>
              <w:t>Detention of women (including Aboriginal and Torres Strait Islander women)</w:t>
            </w:r>
            <w:r>
              <w:rPr>
                <w:noProof/>
                <w:webHidden/>
              </w:rPr>
              <w:tab/>
            </w:r>
            <w:r>
              <w:rPr>
                <w:noProof/>
                <w:webHidden/>
              </w:rPr>
              <w:fldChar w:fldCharType="begin"/>
            </w:r>
            <w:r>
              <w:rPr>
                <w:noProof/>
                <w:webHidden/>
              </w:rPr>
              <w:instrText xml:space="preserve"> PAGEREF _Toc208584111 \h </w:instrText>
            </w:r>
            <w:r>
              <w:rPr>
                <w:noProof/>
                <w:webHidden/>
              </w:rPr>
            </w:r>
            <w:r>
              <w:rPr>
                <w:noProof/>
                <w:webHidden/>
              </w:rPr>
              <w:fldChar w:fldCharType="separate"/>
            </w:r>
            <w:r w:rsidR="00B71AA0">
              <w:rPr>
                <w:noProof/>
                <w:webHidden/>
              </w:rPr>
              <w:t>19</w:t>
            </w:r>
            <w:r>
              <w:rPr>
                <w:noProof/>
                <w:webHidden/>
              </w:rPr>
              <w:fldChar w:fldCharType="end"/>
            </w:r>
          </w:hyperlink>
        </w:p>
        <w:p w14:paraId="55B54898" w14:textId="54FB2D36"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2" w:history="1">
            <w:r w:rsidRPr="00F06BEA">
              <w:rPr>
                <w:rStyle w:val="Hyperlink"/>
                <w:noProof/>
              </w:rPr>
              <w:t>Access to healthcare and disability support in custody</w:t>
            </w:r>
            <w:r>
              <w:rPr>
                <w:noProof/>
                <w:webHidden/>
              </w:rPr>
              <w:tab/>
            </w:r>
            <w:r>
              <w:rPr>
                <w:noProof/>
                <w:webHidden/>
              </w:rPr>
              <w:fldChar w:fldCharType="begin"/>
            </w:r>
            <w:r>
              <w:rPr>
                <w:noProof/>
                <w:webHidden/>
              </w:rPr>
              <w:instrText xml:space="preserve"> PAGEREF _Toc208584112 \h </w:instrText>
            </w:r>
            <w:r>
              <w:rPr>
                <w:noProof/>
                <w:webHidden/>
              </w:rPr>
            </w:r>
            <w:r>
              <w:rPr>
                <w:noProof/>
                <w:webHidden/>
              </w:rPr>
              <w:fldChar w:fldCharType="separate"/>
            </w:r>
            <w:r w:rsidR="00B71AA0">
              <w:rPr>
                <w:noProof/>
                <w:webHidden/>
              </w:rPr>
              <w:t>21</w:t>
            </w:r>
            <w:r>
              <w:rPr>
                <w:noProof/>
                <w:webHidden/>
              </w:rPr>
              <w:fldChar w:fldCharType="end"/>
            </w:r>
          </w:hyperlink>
        </w:p>
        <w:p w14:paraId="26AED44D" w14:textId="488ACC36"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113" w:history="1">
            <w:r w:rsidRPr="00F06BEA">
              <w:rPr>
                <w:rStyle w:val="Hyperlink"/>
                <w:noProof/>
              </w:rPr>
              <w:t>Immigration detention</w:t>
            </w:r>
            <w:r>
              <w:rPr>
                <w:noProof/>
                <w:webHidden/>
              </w:rPr>
              <w:tab/>
            </w:r>
            <w:r>
              <w:rPr>
                <w:noProof/>
                <w:webHidden/>
              </w:rPr>
              <w:fldChar w:fldCharType="begin"/>
            </w:r>
            <w:r>
              <w:rPr>
                <w:noProof/>
                <w:webHidden/>
              </w:rPr>
              <w:instrText xml:space="preserve"> PAGEREF _Toc208584113 \h </w:instrText>
            </w:r>
            <w:r>
              <w:rPr>
                <w:noProof/>
                <w:webHidden/>
              </w:rPr>
            </w:r>
            <w:r>
              <w:rPr>
                <w:noProof/>
                <w:webHidden/>
              </w:rPr>
              <w:fldChar w:fldCharType="separate"/>
            </w:r>
            <w:r w:rsidR="00B71AA0">
              <w:rPr>
                <w:noProof/>
                <w:webHidden/>
              </w:rPr>
              <w:t>23</w:t>
            </w:r>
            <w:r>
              <w:rPr>
                <w:noProof/>
                <w:webHidden/>
              </w:rPr>
              <w:fldChar w:fldCharType="end"/>
            </w:r>
          </w:hyperlink>
        </w:p>
        <w:p w14:paraId="1C1342BA" w14:textId="30DC3EBE"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4" w:history="1">
            <w:r w:rsidRPr="00F06BEA">
              <w:rPr>
                <w:rStyle w:val="Hyperlink"/>
                <w:noProof/>
              </w:rPr>
              <w:t>Detention population</w:t>
            </w:r>
            <w:r>
              <w:rPr>
                <w:noProof/>
                <w:webHidden/>
              </w:rPr>
              <w:tab/>
            </w:r>
            <w:r>
              <w:rPr>
                <w:noProof/>
                <w:webHidden/>
              </w:rPr>
              <w:fldChar w:fldCharType="begin"/>
            </w:r>
            <w:r>
              <w:rPr>
                <w:noProof/>
                <w:webHidden/>
              </w:rPr>
              <w:instrText xml:space="preserve"> PAGEREF _Toc208584114 \h </w:instrText>
            </w:r>
            <w:r>
              <w:rPr>
                <w:noProof/>
                <w:webHidden/>
              </w:rPr>
            </w:r>
            <w:r>
              <w:rPr>
                <w:noProof/>
                <w:webHidden/>
              </w:rPr>
              <w:fldChar w:fldCharType="separate"/>
            </w:r>
            <w:r w:rsidR="00B71AA0">
              <w:rPr>
                <w:noProof/>
                <w:webHidden/>
              </w:rPr>
              <w:t>23</w:t>
            </w:r>
            <w:r>
              <w:rPr>
                <w:noProof/>
                <w:webHidden/>
              </w:rPr>
              <w:fldChar w:fldCharType="end"/>
            </w:r>
          </w:hyperlink>
        </w:p>
        <w:p w14:paraId="29F38841" w14:textId="542666EC"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5" w:history="1">
            <w:r w:rsidRPr="00F06BEA">
              <w:rPr>
                <w:rStyle w:val="Hyperlink"/>
                <w:noProof/>
              </w:rPr>
              <w:t>Use of restrictive practices in immigration detention, including restraint and isolation</w:t>
            </w:r>
            <w:r>
              <w:rPr>
                <w:noProof/>
                <w:webHidden/>
              </w:rPr>
              <w:tab/>
            </w:r>
            <w:r>
              <w:rPr>
                <w:noProof/>
                <w:webHidden/>
              </w:rPr>
              <w:fldChar w:fldCharType="begin"/>
            </w:r>
            <w:r>
              <w:rPr>
                <w:noProof/>
                <w:webHidden/>
              </w:rPr>
              <w:instrText xml:space="preserve"> PAGEREF _Toc208584115 \h </w:instrText>
            </w:r>
            <w:r>
              <w:rPr>
                <w:noProof/>
                <w:webHidden/>
              </w:rPr>
            </w:r>
            <w:r>
              <w:rPr>
                <w:noProof/>
                <w:webHidden/>
              </w:rPr>
              <w:fldChar w:fldCharType="separate"/>
            </w:r>
            <w:r w:rsidR="00B71AA0">
              <w:rPr>
                <w:noProof/>
                <w:webHidden/>
              </w:rPr>
              <w:t>25</w:t>
            </w:r>
            <w:r>
              <w:rPr>
                <w:noProof/>
                <w:webHidden/>
              </w:rPr>
              <w:fldChar w:fldCharType="end"/>
            </w:r>
          </w:hyperlink>
        </w:p>
        <w:p w14:paraId="7EBEDF4E" w14:textId="2A02A18A"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6" w:history="1">
            <w:r w:rsidRPr="00F06BEA">
              <w:rPr>
                <w:rStyle w:val="Hyperlink"/>
                <w:noProof/>
              </w:rPr>
              <w:t>Gender-specific care and support in immigration detention</w:t>
            </w:r>
            <w:r>
              <w:rPr>
                <w:noProof/>
                <w:webHidden/>
              </w:rPr>
              <w:tab/>
            </w:r>
            <w:r>
              <w:rPr>
                <w:noProof/>
                <w:webHidden/>
              </w:rPr>
              <w:fldChar w:fldCharType="begin"/>
            </w:r>
            <w:r>
              <w:rPr>
                <w:noProof/>
                <w:webHidden/>
              </w:rPr>
              <w:instrText xml:space="preserve"> PAGEREF _Toc208584116 \h </w:instrText>
            </w:r>
            <w:r>
              <w:rPr>
                <w:noProof/>
                <w:webHidden/>
              </w:rPr>
            </w:r>
            <w:r>
              <w:rPr>
                <w:noProof/>
                <w:webHidden/>
              </w:rPr>
              <w:fldChar w:fldCharType="separate"/>
            </w:r>
            <w:r w:rsidR="00B71AA0">
              <w:rPr>
                <w:noProof/>
                <w:webHidden/>
              </w:rPr>
              <w:t>26</w:t>
            </w:r>
            <w:r>
              <w:rPr>
                <w:noProof/>
                <w:webHidden/>
              </w:rPr>
              <w:fldChar w:fldCharType="end"/>
            </w:r>
          </w:hyperlink>
        </w:p>
        <w:p w14:paraId="7B89AE4A" w14:textId="7BC21CDA"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7" w:history="1">
            <w:r w:rsidRPr="00F06BEA">
              <w:rPr>
                <w:rStyle w:val="Hyperlink"/>
                <w:noProof/>
              </w:rPr>
              <w:t>Lack of meaningful activities in immigration detention</w:t>
            </w:r>
            <w:r>
              <w:rPr>
                <w:noProof/>
                <w:webHidden/>
              </w:rPr>
              <w:tab/>
            </w:r>
            <w:r>
              <w:rPr>
                <w:noProof/>
                <w:webHidden/>
              </w:rPr>
              <w:fldChar w:fldCharType="begin"/>
            </w:r>
            <w:r>
              <w:rPr>
                <w:noProof/>
                <w:webHidden/>
              </w:rPr>
              <w:instrText xml:space="preserve"> PAGEREF _Toc208584117 \h </w:instrText>
            </w:r>
            <w:r>
              <w:rPr>
                <w:noProof/>
                <w:webHidden/>
              </w:rPr>
            </w:r>
            <w:r>
              <w:rPr>
                <w:noProof/>
                <w:webHidden/>
              </w:rPr>
              <w:fldChar w:fldCharType="separate"/>
            </w:r>
            <w:r w:rsidR="00B71AA0">
              <w:rPr>
                <w:noProof/>
                <w:webHidden/>
              </w:rPr>
              <w:t>27</w:t>
            </w:r>
            <w:r>
              <w:rPr>
                <w:noProof/>
                <w:webHidden/>
              </w:rPr>
              <w:fldChar w:fldCharType="end"/>
            </w:r>
          </w:hyperlink>
        </w:p>
        <w:p w14:paraId="6BF04FEE" w14:textId="1DB691FF" w:rsidR="004541B6" w:rsidRDefault="004541B6">
          <w:pPr>
            <w:pStyle w:val="TOC2"/>
            <w:tabs>
              <w:tab w:val="right" w:leader="dot" w:pos="9628"/>
            </w:tabs>
            <w:rPr>
              <w:rFonts w:asciiTheme="minorHAnsi" w:eastAsiaTheme="minorEastAsia" w:hAnsiTheme="minorHAnsi" w:cstheme="minorBidi"/>
              <w:noProof/>
              <w:color w:val="auto"/>
              <w:sz w:val="24"/>
              <w:lang w:eastAsia="en-AU"/>
            </w:rPr>
          </w:pPr>
          <w:hyperlink w:anchor="_Toc208584118" w:history="1">
            <w:r w:rsidRPr="00F06BEA">
              <w:rPr>
                <w:rStyle w:val="Hyperlink"/>
                <w:noProof/>
              </w:rPr>
              <w:t>Other issues</w:t>
            </w:r>
            <w:r>
              <w:rPr>
                <w:noProof/>
                <w:webHidden/>
              </w:rPr>
              <w:tab/>
            </w:r>
            <w:r>
              <w:rPr>
                <w:noProof/>
                <w:webHidden/>
              </w:rPr>
              <w:fldChar w:fldCharType="begin"/>
            </w:r>
            <w:r>
              <w:rPr>
                <w:noProof/>
                <w:webHidden/>
              </w:rPr>
              <w:instrText xml:space="preserve"> PAGEREF _Toc208584118 \h </w:instrText>
            </w:r>
            <w:r>
              <w:rPr>
                <w:noProof/>
                <w:webHidden/>
              </w:rPr>
            </w:r>
            <w:r>
              <w:rPr>
                <w:noProof/>
                <w:webHidden/>
              </w:rPr>
              <w:fldChar w:fldCharType="separate"/>
            </w:r>
            <w:r w:rsidR="00B71AA0">
              <w:rPr>
                <w:noProof/>
                <w:webHidden/>
              </w:rPr>
              <w:t>28</w:t>
            </w:r>
            <w:r>
              <w:rPr>
                <w:noProof/>
                <w:webHidden/>
              </w:rPr>
              <w:fldChar w:fldCharType="end"/>
            </w:r>
          </w:hyperlink>
        </w:p>
        <w:p w14:paraId="7D3751D2" w14:textId="5B123E47"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19" w:history="1">
            <w:r w:rsidRPr="00F06BEA">
              <w:rPr>
                <w:rStyle w:val="Hyperlink"/>
                <w:noProof/>
              </w:rPr>
              <w:t>Treatment in aged care and disability care</w:t>
            </w:r>
            <w:r>
              <w:rPr>
                <w:noProof/>
                <w:webHidden/>
              </w:rPr>
              <w:tab/>
            </w:r>
            <w:r>
              <w:rPr>
                <w:noProof/>
                <w:webHidden/>
              </w:rPr>
              <w:fldChar w:fldCharType="begin"/>
            </w:r>
            <w:r>
              <w:rPr>
                <w:noProof/>
                <w:webHidden/>
              </w:rPr>
              <w:instrText xml:space="preserve"> PAGEREF _Toc208584119 \h </w:instrText>
            </w:r>
            <w:r>
              <w:rPr>
                <w:noProof/>
                <w:webHidden/>
              </w:rPr>
            </w:r>
            <w:r>
              <w:rPr>
                <w:noProof/>
                <w:webHidden/>
              </w:rPr>
              <w:fldChar w:fldCharType="separate"/>
            </w:r>
            <w:r w:rsidR="00B71AA0">
              <w:rPr>
                <w:noProof/>
                <w:webHidden/>
              </w:rPr>
              <w:t>28</w:t>
            </w:r>
            <w:r>
              <w:rPr>
                <w:noProof/>
                <w:webHidden/>
              </w:rPr>
              <w:fldChar w:fldCharType="end"/>
            </w:r>
          </w:hyperlink>
        </w:p>
        <w:p w14:paraId="4E4AE8F0" w14:textId="2E1731D6"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20" w:history="1">
            <w:r w:rsidRPr="00F06BEA">
              <w:rPr>
                <w:rStyle w:val="Hyperlink"/>
                <w:noProof/>
              </w:rPr>
              <w:t>Detention of people unfit to be tried, and people found not guilty due to mental impairment</w:t>
            </w:r>
            <w:r>
              <w:rPr>
                <w:noProof/>
                <w:webHidden/>
              </w:rPr>
              <w:tab/>
            </w:r>
            <w:r>
              <w:rPr>
                <w:noProof/>
                <w:webHidden/>
              </w:rPr>
              <w:fldChar w:fldCharType="begin"/>
            </w:r>
            <w:r>
              <w:rPr>
                <w:noProof/>
                <w:webHidden/>
              </w:rPr>
              <w:instrText xml:space="preserve"> PAGEREF _Toc208584120 \h </w:instrText>
            </w:r>
            <w:r>
              <w:rPr>
                <w:noProof/>
                <w:webHidden/>
              </w:rPr>
            </w:r>
            <w:r>
              <w:rPr>
                <w:noProof/>
                <w:webHidden/>
              </w:rPr>
              <w:fldChar w:fldCharType="separate"/>
            </w:r>
            <w:r w:rsidR="00B71AA0">
              <w:rPr>
                <w:noProof/>
                <w:webHidden/>
              </w:rPr>
              <w:t>29</w:t>
            </w:r>
            <w:r>
              <w:rPr>
                <w:noProof/>
                <w:webHidden/>
              </w:rPr>
              <w:fldChar w:fldCharType="end"/>
            </w:r>
          </w:hyperlink>
        </w:p>
        <w:p w14:paraId="2AD71E93" w14:textId="041219CC" w:rsidR="004541B6" w:rsidRDefault="004541B6">
          <w:pPr>
            <w:pStyle w:val="TOC3"/>
            <w:tabs>
              <w:tab w:val="right" w:leader="dot" w:pos="9628"/>
            </w:tabs>
            <w:rPr>
              <w:rFonts w:asciiTheme="minorHAnsi" w:eastAsiaTheme="minorEastAsia" w:hAnsiTheme="minorHAnsi" w:cstheme="minorBidi"/>
              <w:noProof/>
              <w:color w:val="auto"/>
              <w:sz w:val="24"/>
              <w:lang w:eastAsia="en-AU"/>
            </w:rPr>
          </w:pPr>
          <w:hyperlink w:anchor="_Toc208584121" w:history="1">
            <w:r w:rsidRPr="00F06BEA">
              <w:rPr>
                <w:rStyle w:val="Hyperlink"/>
                <w:noProof/>
              </w:rPr>
              <w:t>OPCAT implementation, and detention oversight</w:t>
            </w:r>
            <w:r>
              <w:rPr>
                <w:noProof/>
                <w:webHidden/>
              </w:rPr>
              <w:tab/>
            </w:r>
            <w:r>
              <w:rPr>
                <w:noProof/>
                <w:webHidden/>
              </w:rPr>
              <w:fldChar w:fldCharType="begin"/>
            </w:r>
            <w:r>
              <w:rPr>
                <w:noProof/>
                <w:webHidden/>
              </w:rPr>
              <w:instrText xml:space="preserve"> PAGEREF _Toc208584121 \h </w:instrText>
            </w:r>
            <w:r>
              <w:rPr>
                <w:noProof/>
                <w:webHidden/>
              </w:rPr>
            </w:r>
            <w:r>
              <w:rPr>
                <w:noProof/>
                <w:webHidden/>
              </w:rPr>
              <w:fldChar w:fldCharType="separate"/>
            </w:r>
            <w:r w:rsidR="00B71AA0">
              <w:rPr>
                <w:noProof/>
                <w:webHidden/>
              </w:rPr>
              <w:t>30</w:t>
            </w:r>
            <w:r>
              <w:rPr>
                <w:noProof/>
                <w:webHidden/>
              </w:rPr>
              <w:fldChar w:fldCharType="end"/>
            </w:r>
          </w:hyperlink>
        </w:p>
        <w:p w14:paraId="72378BA9" w14:textId="388D7253" w:rsidR="0063178E" w:rsidRPr="00EA1375" w:rsidRDefault="0063178E" w:rsidP="00214C17">
          <w:pPr>
            <w:pStyle w:val="TOC3"/>
            <w:tabs>
              <w:tab w:val="right" w:leader="dot" w:pos="9628"/>
            </w:tabs>
            <w:spacing w:after="120"/>
            <w:rPr>
              <w:rFonts w:cs="Readex Pro"/>
              <w:sz w:val="20"/>
              <w:szCs w:val="20"/>
            </w:rPr>
          </w:pPr>
          <w:r w:rsidRPr="00214C17">
            <w:rPr>
              <w:rFonts w:cs="Readex Pro"/>
              <w:b/>
              <w:bCs/>
              <w:sz w:val="20"/>
              <w:szCs w:val="20"/>
            </w:rPr>
            <w:fldChar w:fldCharType="end"/>
          </w:r>
        </w:p>
      </w:sdtContent>
    </w:sdt>
    <w:p w14:paraId="2C2417E0" w14:textId="77777777" w:rsidR="00FB7B49" w:rsidRDefault="00FB7B49" w:rsidP="00FB7B49">
      <w:bookmarkStart w:id="33" w:name="_Toc198561762"/>
    </w:p>
    <w:p w14:paraId="104A021A" w14:textId="77777777" w:rsidR="00D047C3" w:rsidRDefault="00D047C3" w:rsidP="00FB7B49"/>
    <w:p w14:paraId="1A540EB4" w14:textId="490DAE52" w:rsidR="00FB7B49" w:rsidRPr="00D047C3" w:rsidRDefault="00FB7B49" w:rsidP="00FB7B49">
      <w:pPr>
        <w:spacing w:before="0" w:after="0" w:line="240" w:lineRule="auto"/>
        <w:jc w:val="center"/>
        <w:rPr>
          <w:rFonts w:cs="Readex Pro"/>
          <w:b/>
          <w:bCs/>
          <w:color w:val="6B5096" w:themeColor="accent3" w:themeShade="BF"/>
          <w:sz w:val="20"/>
          <w:szCs w:val="22"/>
        </w:rPr>
      </w:pPr>
      <w:r w:rsidRPr="00D047C3">
        <w:rPr>
          <w:rFonts w:cs="Readex Pro"/>
          <w:b/>
          <w:bCs/>
          <w:color w:val="6B5096" w:themeColor="accent3" w:themeShade="BF"/>
          <w:sz w:val="20"/>
          <w:szCs w:val="22"/>
        </w:rPr>
        <w:t xml:space="preserve">Aboriginal and Torres Strait Islander readers are advised that the names of </w:t>
      </w:r>
      <w:r w:rsidRPr="00D047C3">
        <w:rPr>
          <w:rFonts w:cs="Readex Pro"/>
          <w:b/>
          <w:bCs/>
          <w:color w:val="6B5096" w:themeColor="accent3" w:themeShade="BF"/>
          <w:sz w:val="20"/>
          <w:szCs w:val="22"/>
        </w:rPr>
        <w:br/>
        <w:t xml:space="preserve">deceased Aboriginal people are mentioned in this submission’s referenced sources. </w:t>
      </w:r>
    </w:p>
    <w:p w14:paraId="25C4C784" w14:textId="77777777" w:rsidR="00FB7B49" w:rsidRPr="00D047C3" w:rsidRDefault="00FB7B49" w:rsidP="00FB7B49">
      <w:pPr>
        <w:spacing w:before="0" w:after="0" w:line="240" w:lineRule="auto"/>
        <w:jc w:val="center"/>
        <w:rPr>
          <w:rFonts w:cs="Readex Pro"/>
          <w:b/>
          <w:bCs/>
          <w:color w:val="6B5096" w:themeColor="accent3" w:themeShade="BF"/>
          <w:sz w:val="20"/>
          <w:szCs w:val="22"/>
        </w:rPr>
      </w:pPr>
    </w:p>
    <w:p w14:paraId="50A73162" w14:textId="2CE56ED6" w:rsidR="00FB7B49" w:rsidRPr="00D047C3" w:rsidRDefault="00FB7B49" w:rsidP="00FB7B49">
      <w:pPr>
        <w:jc w:val="center"/>
        <w:rPr>
          <w:rFonts w:cs="Readex Pro"/>
          <w:b/>
          <w:bCs/>
          <w:sz w:val="20"/>
          <w:szCs w:val="28"/>
        </w:rPr>
      </w:pPr>
      <w:r w:rsidRPr="00D047C3">
        <w:rPr>
          <w:rFonts w:cs="Readex Pro"/>
          <w:b/>
          <w:bCs/>
          <w:color w:val="6B5096" w:themeColor="accent3" w:themeShade="BF"/>
          <w:sz w:val="20"/>
          <w:szCs w:val="22"/>
        </w:rPr>
        <w:t xml:space="preserve">A warning that some of the referenced sources include descriptions </w:t>
      </w:r>
      <w:r w:rsidRPr="00D047C3">
        <w:rPr>
          <w:rFonts w:cs="Readex Pro"/>
          <w:b/>
          <w:bCs/>
          <w:color w:val="6B5096" w:themeColor="accent3" w:themeShade="BF"/>
          <w:sz w:val="20"/>
          <w:szCs w:val="22"/>
        </w:rPr>
        <w:br/>
        <w:t>of violence, racism, domestic violence, sexual violence and suicide.</w:t>
      </w:r>
    </w:p>
    <w:p w14:paraId="48A70B1B" w14:textId="77777777" w:rsidR="00FB7B49" w:rsidRDefault="00FB7B49" w:rsidP="00FB7B49"/>
    <w:p w14:paraId="31225577" w14:textId="3FCD1381" w:rsidR="00FB7B49" w:rsidRDefault="00FB7B49">
      <w:pPr>
        <w:spacing w:before="0" w:after="0" w:line="240" w:lineRule="auto"/>
      </w:pPr>
      <w:r>
        <w:br w:type="page"/>
      </w:r>
    </w:p>
    <w:p w14:paraId="48B924BF" w14:textId="479579D0" w:rsidR="00DC2EA4" w:rsidRPr="008E32BB" w:rsidRDefault="00DC2EA4" w:rsidP="008E32BB">
      <w:pPr>
        <w:pStyle w:val="Heading2"/>
        <w:rPr>
          <w:color w:val="937CB9" w:themeColor="accent3"/>
        </w:rPr>
      </w:pPr>
      <w:bookmarkStart w:id="34" w:name="_Toc208584096"/>
      <w:r w:rsidRPr="008E32BB">
        <w:rPr>
          <w:color w:val="937CB9" w:themeColor="accent3"/>
        </w:rPr>
        <w:lastRenderedPageBreak/>
        <w:t>Acknowledgment of Country</w:t>
      </w:r>
      <w:bookmarkEnd w:id="33"/>
      <w:bookmarkEnd w:id="34"/>
    </w:p>
    <w:p w14:paraId="1B58B23A" w14:textId="6120DCFF" w:rsidR="00DC2EA4" w:rsidRPr="00DC2EA4" w:rsidRDefault="00DC2EA4" w:rsidP="00214C17">
      <w:pPr>
        <w:rPr>
          <w:rFonts w:cs="Readex Pro"/>
          <w:sz w:val="20"/>
          <w:szCs w:val="20"/>
        </w:rPr>
      </w:pPr>
      <w:r w:rsidRPr="00DC2EA4">
        <w:rPr>
          <w:rFonts w:cs="Readex Pro"/>
          <w:sz w:val="20"/>
          <w:szCs w:val="20"/>
        </w:rPr>
        <w:t>The Australian National Preventive Mechanism (NPM) acknowledges the Aboriginal and Torres Strait</w:t>
      </w:r>
      <w:r>
        <w:rPr>
          <w:rFonts w:cs="Readex Pro"/>
          <w:sz w:val="20"/>
          <w:szCs w:val="20"/>
        </w:rPr>
        <w:t xml:space="preserve"> </w:t>
      </w:r>
      <w:r w:rsidRPr="00DC2EA4">
        <w:rPr>
          <w:rFonts w:cs="Readex Pro"/>
          <w:sz w:val="20"/>
          <w:szCs w:val="20"/>
        </w:rPr>
        <w:t>Islander peoples throughout Australia and the Traditional Custodians of the lands across which we</w:t>
      </w:r>
      <w:r>
        <w:rPr>
          <w:rFonts w:cs="Readex Pro"/>
          <w:sz w:val="20"/>
          <w:szCs w:val="20"/>
        </w:rPr>
        <w:t xml:space="preserve"> </w:t>
      </w:r>
      <w:r w:rsidRPr="00DC2EA4">
        <w:rPr>
          <w:rFonts w:cs="Readex Pro"/>
          <w:sz w:val="20"/>
          <w:szCs w:val="20"/>
        </w:rPr>
        <w:t>conduct our business.</w:t>
      </w:r>
    </w:p>
    <w:p w14:paraId="604008DE" w14:textId="2EE6FC25" w:rsidR="00DC2EA4" w:rsidRPr="00DC2EA4" w:rsidRDefault="00DC2EA4" w:rsidP="00214C17">
      <w:pPr>
        <w:rPr>
          <w:rFonts w:cs="Readex Pro"/>
          <w:sz w:val="20"/>
          <w:szCs w:val="20"/>
        </w:rPr>
      </w:pPr>
      <w:r w:rsidRPr="00DC2EA4">
        <w:rPr>
          <w:rFonts w:cs="Readex Pro"/>
          <w:sz w:val="20"/>
          <w:szCs w:val="20"/>
        </w:rPr>
        <w:t>We pay our respects to the custodians of the lands on which we work as well as their ancestors and</w:t>
      </w:r>
      <w:r>
        <w:rPr>
          <w:rFonts w:cs="Readex Pro"/>
          <w:sz w:val="20"/>
          <w:szCs w:val="20"/>
        </w:rPr>
        <w:t xml:space="preserve"> </w:t>
      </w:r>
      <w:r w:rsidRPr="00DC2EA4">
        <w:rPr>
          <w:rFonts w:cs="Readex Pro"/>
          <w:sz w:val="20"/>
          <w:szCs w:val="20"/>
        </w:rPr>
        <w:t>Elders, past and present.</w:t>
      </w:r>
    </w:p>
    <w:p w14:paraId="445F12D1" w14:textId="53384423" w:rsidR="00DC2EA4" w:rsidRDefault="00DC2EA4" w:rsidP="00214C17">
      <w:pPr>
        <w:rPr>
          <w:rFonts w:cs="Readex Pro"/>
          <w:sz w:val="20"/>
          <w:szCs w:val="20"/>
        </w:rPr>
      </w:pPr>
      <w:r w:rsidRPr="00DC2EA4">
        <w:rPr>
          <w:rFonts w:cs="Readex Pro"/>
          <w:sz w:val="20"/>
          <w:szCs w:val="20"/>
        </w:rPr>
        <w:t>The Australian NPM is committed to honouring Aboriginal and Torres Strait Islander</w:t>
      </w:r>
      <w:r>
        <w:rPr>
          <w:rFonts w:cs="Readex Pro"/>
          <w:sz w:val="20"/>
          <w:szCs w:val="20"/>
        </w:rPr>
        <w:t xml:space="preserve"> </w:t>
      </w:r>
      <w:r w:rsidRPr="00DC2EA4">
        <w:rPr>
          <w:rFonts w:cs="Readex Pro"/>
          <w:sz w:val="20"/>
          <w:szCs w:val="20"/>
        </w:rPr>
        <w:t>peoples’ unique cultural and spiritual relationships to the land, waters, and seas, and their rich</w:t>
      </w:r>
      <w:r>
        <w:rPr>
          <w:rFonts w:cs="Readex Pro"/>
          <w:sz w:val="20"/>
          <w:szCs w:val="20"/>
        </w:rPr>
        <w:t xml:space="preserve"> </w:t>
      </w:r>
      <w:r w:rsidRPr="00DC2EA4">
        <w:rPr>
          <w:rFonts w:cs="Readex Pro"/>
          <w:sz w:val="20"/>
          <w:szCs w:val="20"/>
        </w:rPr>
        <w:t>contribution to society.</w:t>
      </w:r>
    </w:p>
    <w:p w14:paraId="3A2C5A64" w14:textId="4D9C701C" w:rsidR="006719D2" w:rsidRPr="008E32BB" w:rsidRDefault="006719D2" w:rsidP="008E32BB">
      <w:pPr>
        <w:pStyle w:val="Heading2"/>
        <w:rPr>
          <w:color w:val="937CB9" w:themeColor="accent3"/>
        </w:rPr>
      </w:pPr>
      <w:bookmarkStart w:id="35" w:name="_Toc198561763"/>
      <w:bookmarkStart w:id="36" w:name="_Toc208584097"/>
      <w:r w:rsidRPr="008E32BB">
        <w:rPr>
          <w:color w:val="937CB9" w:themeColor="accent3"/>
        </w:rPr>
        <w:t>Introduction to the Australian NPM</w:t>
      </w:r>
      <w:bookmarkEnd w:id="35"/>
      <w:bookmarkEnd w:id="36"/>
    </w:p>
    <w:p w14:paraId="529484A5" w14:textId="6160FEEC" w:rsidR="006719D2" w:rsidRPr="00C83AA7" w:rsidRDefault="006719D2" w:rsidP="006719D2">
      <w:pPr>
        <w:spacing w:before="60"/>
        <w:rPr>
          <w:rFonts w:cs="Readex Pro"/>
          <w:sz w:val="20"/>
          <w:szCs w:val="20"/>
        </w:rPr>
      </w:pPr>
      <w:r w:rsidRPr="00EA1375">
        <w:rPr>
          <w:rFonts w:cs="Readex Pro"/>
          <w:sz w:val="20"/>
          <w:szCs w:val="20"/>
        </w:rPr>
        <w:t xml:space="preserve">We are members of the multi-body Australian NPM, established to give effect to Australia’s obligations under the </w:t>
      </w:r>
      <w:r w:rsidRPr="00EA1375">
        <w:rPr>
          <w:rFonts w:cs="Readex Pro"/>
          <w:i/>
          <w:iCs/>
          <w:sz w:val="20"/>
          <w:szCs w:val="20"/>
        </w:rPr>
        <w:t>Optional Protocol to the Convention against Torture and Other Cruel, Inhuman or Degrading Treatment or Punishment</w:t>
      </w:r>
      <w:r w:rsidRPr="00EA1375">
        <w:rPr>
          <w:rFonts w:cs="Readex Pro"/>
          <w:sz w:val="20"/>
          <w:szCs w:val="20"/>
        </w:rPr>
        <w:t xml:space="preserve"> (OPCAT). Under OPCAT we support the prevention of torture and other ill treatment of people deprived of their liberty, by examining treatment and conditions in detention, </w:t>
      </w:r>
      <w:r w:rsidRPr="00C83AA7">
        <w:rPr>
          <w:rFonts w:cs="Readex Pro"/>
          <w:sz w:val="20"/>
          <w:szCs w:val="20"/>
        </w:rPr>
        <w:t>and making recommendations for improvement.</w:t>
      </w:r>
    </w:p>
    <w:p w14:paraId="26B19160" w14:textId="58E30B0E" w:rsidR="006719D2" w:rsidRPr="00C83AA7" w:rsidRDefault="006719D2" w:rsidP="006719D2">
      <w:pPr>
        <w:spacing w:after="60"/>
        <w:rPr>
          <w:rFonts w:cs="Readex Pro"/>
          <w:sz w:val="20"/>
          <w:szCs w:val="20"/>
        </w:rPr>
      </w:pPr>
      <w:r w:rsidRPr="00C83AA7">
        <w:rPr>
          <w:rFonts w:cs="Readex Pro"/>
          <w:sz w:val="20"/>
          <w:szCs w:val="20"/>
        </w:rPr>
        <w:t xml:space="preserve">This </w:t>
      </w:r>
      <w:r w:rsidR="004E5267" w:rsidRPr="00C83AA7">
        <w:rPr>
          <w:rFonts w:cs="Readex Pro"/>
          <w:sz w:val="20"/>
          <w:szCs w:val="20"/>
        </w:rPr>
        <w:t xml:space="preserve">written contribution </w:t>
      </w:r>
      <w:r w:rsidRPr="00C83AA7">
        <w:rPr>
          <w:rFonts w:cs="Readex Pro"/>
          <w:sz w:val="20"/>
          <w:szCs w:val="20"/>
        </w:rPr>
        <w:t>is made by the following Australian NPM members:</w:t>
      </w:r>
      <w:r w:rsidR="00E518A3">
        <w:rPr>
          <w:rFonts w:cs="Readex Pro"/>
          <w:sz w:val="20"/>
          <w:szCs w:val="20"/>
        </w:rPr>
        <w:t xml:space="preserve">                                                                                                                                                                                                                                                                                                                                                                                                                                                                                                                                    </w:t>
      </w:r>
      <w:r w:rsidR="002B261D">
        <w:rPr>
          <w:rFonts w:cs="Readex Pro"/>
          <w:sz w:val="20"/>
          <w:szCs w:val="20"/>
        </w:rPr>
        <w:t xml:space="preserve">                                                                                                                     </w:t>
      </w:r>
    </w:p>
    <w:p w14:paraId="762EA328" w14:textId="7252EE4C" w:rsidR="0052767F" w:rsidRPr="00C83AA7" w:rsidRDefault="00C83AA7" w:rsidP="004541B6">
      <w:pPr>
        <w:pStyle w:val="ListParagraph"/>
        <w:numPr>
          <w:ilvl w:val="0"/>
          <w:numId w:val="1"/>
        </w:numPr>
        <w:spacing w:before="60" w:after="160" w:line="278" w:lineRule="auto"/>
        <w:rPr>
          <w:rFonts w:cs="Readex Pro"/>
          <w:sz w:val="20"/>
          <w:szCs w:val="20"/>
        </w:rPr>
      </w:pPr>
      <w:r w:rsidRPr="00C83AA7">
        <w:rPr>
          <w:rFonts w:cs="Readex Pro"/>
          <w:sz w:val="20"/>
          <w:szCs w:val="20"/>
        </w:rPr>
        <w:t>Australian Capital Territory (ACT) Human Rights Commission</w:t>
      </w:r>
    </w:p>
    <w:p w14:paraId="43E07AF6" w14:textId="6DEEE190" w:rsidR="0052767F"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ACT Office of the Inspector of Custodial Services (ACT OICS)</w:t>
      </w:r>
    </w:p>
    <w:p w14:paraId="1BF46406" w14:textId="65119DC5" w:rsidR="00C83AA7"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ACT Ombudsman</w:t>
      </w:r>
    </w:p>
    <w:p w14:paraId="659D1B6E" w14:textId="56EA46EE" w:rsidR="0052767F"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Commonwealth NPM</w:t>
      </w:r>
    </w:p>
    <w:p w14:paraId="076B189A" w14:textId="4FD4177A" w:rsidR="001A1B4E" w:rsidRDefault="001A1B4E" w:rsidP="004541B6">
      <w:pPr>
        <w:pStyle w:val="ListParagraph"/>
        <w:numPr>
          <w:ilvl w:val="0"/>
          <w:numId w:val="1"/>
        </w:numPr>
        <w:spacing w:before="0" w:after="160" w:line="278" w:lineRule="auto"/>
        <w:rPr>
          <w:rFonts w:cs="Readex Pro"/>
          <w:sz w:val="20"/>
          <w:szCs w:val="20"/>
        </w:rPr>
      </w:pPr>
      <w:r>
        <w:rPr>
          <w:rFonts w:cs="Readex Pro"/>
          <w:sz w:val="20"/>
          <w:szCs w:val="20"/>
        </w:rPr>
        <w:t>Northern Territory (NT) Community Visitor Program / Anti-Discrimination Commission</w:t>
      </w:r>
    </w:p>
    <w:p w14:paraId="7F58BAFD" w14:textId="331C2176" w:rsidR="001A1B4E" w:rsidRDefault="001A1B4E" w:rsidP="004541B6">
      <w:pPr>
        <w:pStyle w:val="ListParagraph"/>
        <w:numPr>
          <w:ilvl w:val="0"/>
          <w:numId w:val="1"/>
        </w:numPr>
        <w:spacing w:before="0" w:after="160" w:line="278" w:lineRule="auto"/>
        <w:rPr>
          <w:rFonts w:cs="Readex Pro"/>
          <w:sz w:val="20"/>
          <w:szCs w:val="20"/>
        </w:rPr>
      </w:pPr>
      <w:r>
        <w:rPr>
          <w:rFonts w:cs="Readex Pro"/>
          <w:sz w:val="20"/>
          <w:szCs w:val="20"/>
        </w:rPr>
        <w:t>NT Office of the Children’s Commissioner</w:t>
      </w:r>
      <w:r w:rsidR="00B0548E">
        <w:rPr>
          <w:rFonts w:cs="Readex Pro"/>
          <w:sz w:val="20"/>
          <w:szCs w:val="20"/>
        </w:rPr>
        <w:t xml:space="preserve"> (NT OCC)</w:t>
      </w:r>
    </w:p>
    <w:p w14:paraId="3A581A38" w14:textId="35004EC9" w:rsidR="0052767F"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NT Ombudsman</w:t>
      </w:r>
    </w:p>
    <w:p w14:paraId="0BF932FC" w14:textId="1BECD381" w:rsidR="00C83AA7"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Aaron Cooke – South Australian (SA) Official Visitor</w:t>
      </w:r>
    </w:p>
    <w:p w14:paraId="3477D376" w14:textId="394EBDFB" w:rsidR="00C83AA7" w:rsidRPr="007C031F" w:rsidRDefault="00C83AA7" w:rsidP="004541B6">
      <w:pPr>
        <w:pStyle w:val="ListParagraph"/>
        <w:numPr>
          <w:ilvl w:val="0"/>
          <w:numId w:val="1"/>
        </w:numPr>
        <w:spacing w:before="0" w:after="160" w:line="278" w:lineRule="auto"/>
        <w:rPr>
          <w:rFonts w:cs="Readex Pro"/>
          <w:sz w:val="20"/>
          <w:szCs w:val="20"/>
          <w:lang w:val="fr-FR"/>
        </w:rPr>
      </w:pPr>
      <w:r w:rsidRPr="007C031F">
        <w:rPr>
          <w:rFonts w:cs="Readex Pro"/>
          <w:sz w:val="20"/>
          <w:szCs w:val="20"/>
          <w:lang w:val="fr-FR"/>
        </w:rPr>
        <w:t>SA Training Centre Visitor (SA TCV)</w:t>
      </w:r>
    </w:p>
    <w:p w14:paraId="0B0893E7" w14:textId="298BF0C7" w:rsidR="0052767F"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Tasmanian NPM</w:t>
      </w:r>
    </w:p>
    <w:p w14:paraId="444FC27F" w14:textId="53A40F22" w:rsidR="006719D2" w:rsidRPr="00C83AA7" w:rsidRDefault="00C83AA7" w:rsidP="004541B6">
      <w:pPr>
        <w:pStyle w:val="ListParagraph"/>
        <w:numPr>
          <w:ilvl w:val="0"/>
          <w:numId w:val="1"/>
        </w:numPr>
        <w:spacing w:before="0" w:after="160" w:line="278" w:lineRule="auto"/>
        <w:rPr>
          <w:rFonts w:cs="Readex Pro"/>
          <w:sz w:val="20"/>
          <w:szCs w:val="20"/>
        </w:rPr>
      </w:pPr>
      <w:r w:rsidRPr="00C83AA7">
        <w:rPr>
          <w:rFonts w:cs="Readex Pro"/>
          <w:sz w:val="20"/>
          <w:szCs w:val="20"/>
        </w:rPr>
        <w:t>Western Australian (WA) Office of the Inspector of Custodial Services (WA OICS)</w:t>
      </w:r>
      <w:r w:rsidR="006719D2" w:rsidRPr="00C83AA7">
        <w:rPr>
          <w:rFonts w:cs="Readex Pro"/>
          <w:sz w:val="20"/>
          <w:szCs w:val="20"/>
        </w:rPr>
        <w:t>.</w:t>
      </w:r>
    </w:p>
    <w:p w14:paraId="79036CAD" w14:textId="276933B1" w:rsidR="00336182" w:rsidRPr="00C45EF8" w:rsidRDefault="00170D6B" w:rsidP="00892F24">
      <w:pPr>
        <w:rPr>
          <w:rFonts w:cs="Readex Pro"/>
          <w:sz w:val="20"/>
          <w:szCs w:val="20"/>
        </w:rPr>
      </w:pPr>
      <w:r w:rsidRPr="00C83AA7">
        <w:rPr>
          <w:rFonts w:cs="Readex Pro"/>
          <w:sz w:val="20"/>
          <w:szCs w:val="20"/>
        </w:rPr>
        <w:t xml:space="preserve">Our </w:t>
      </w:r>
      <w:r w:rsidR="00573874" w:rsidRPr="00C83AA7">
        <w:rPr>
          <w:rFonts w:cs="Readex Pro"/>
          <w:sz w:val="20"/>
          <w:szCs w:val="20"/>
        </w:rPr>
        <w:t xml:space="preserve">written contribution </w:t>
      </w:r>
      <w:r w:rsidRPr="00C83AA7">
        <w:rPr>
          <w:rFonts w:cs="Readex Pro"/>
          <w:sz w:val="20"/>
          <w:szCs w:val="20"/>
        </w:rPr>
        <w:t xml:space="preserve">outlines </w:t>
      </w:r>
      <w:r w:rsidR="00167832" w:rsidRPr="00C83AA7">
        <w:rPr>
          <w:rFonts w:cs="Readex Pro"/>
          <w:sz w:val="20"/>
          <w:szCs w:val="20"/>
        </w:rPr>
        <w:t xml:space="preserve">issues specifically related to </w:t>
      </w:r>
      <w:r w:rsidRPr="00C83AA7">
        <w:rPr>
          <w:rFonts w:cs="Readex Pro"/>
          <w:sz w:val="20"/>
          <w:szCs w:val="20"/>
        </w:rPr>
        <w:t>detention</w:t>
      </w:r>
      <w:r w:rsidR="00167832" w:rsidRPr="00C83AA7">
        <w:rPr>
          <w:rFonts w:cs="Readex Pro"/>
          <w:sz w:val="20"/>
          <w:szCs w:val="20"/>
        </w:rPr>
        <w:t xml:space="preserve"> environments,</w:t>
      </w:r>
      <w:r w:rsidRPr="00C83AA7">
        <w:rPr>
          <w:rFonts w:cs="Readex Pro"/>
          <w:sz w:val="20"/>
          <w:szCs w:val="20"/>
        </w:rPr>
        <w:t xml:space="preserve"> which we believe are relevant to the Committee’s consideration of Australia’s implementation of the</w:t>
      </w:r>
      <w:r w:rsidR="005D3A4B" w:rsidRPr="00C83AA7">
        <w:rPr>
          <w:rFonts w:cs="Readex Pro"/>
          <w:sz w:val="20"/>
          <w:szCs w:val="20"/>
        </w:rPr>
        <w:t xml:space="preserve"> </w:t>
      </w:r>
      <w:r w:rsidR="005D3A4B" w:rsidRPr="00C83AA7">
        <w:rPr>
          <w:rFonts w:cs="Readex Pro"/>
          <w:i/>
          <w:iCs/>
          <w:sz w:val="20"/>
          <w:szCs w:val="20"/>
        </w:rPr>
        <w:t>Convention against Torture</w:t>
      </w:r>
      <w:r w:rsidR="005D3A4B" w:rsidRPr="00D073CC">
        <w:rPr>
          <w:rFonts w:cs="Readex Pro"/>
          <w:i/>
          <w:iCs/>
          <w:sz w:val="20"/>
          <w:szCs w:val="20"/>
        </w:rPr>
        <w:t xml:space="preserve"> and Other Cruel, Inhuman or Degrading Treatment or Punishment</w:t>
      </w:r>
      <w:r w:rsidR="005D3A4B" w:rsidRPr="00D073CC">
        <w:rPr>
          <w:rFonts w:cs="Readex Pro"/>
          <w:sz w:val="20"/>
          <w:szCs w:val="20"/>
        </w:rPr>
        <w:t xml:space="preserve"> (CAT)</w:t>
      </w:r>
      <w:r w:rsidR="002203B9" w:rsidRPr="00D073CC">
        <w:rPr>
          <w:rFonts w:cs="Readex Pro"/>
          <w:sz w:val="20"/>
          <w:szCs w:val="20"/>
        </w:rPr>
        <w:t>.</w:t>
      </w:r>
      <w:r w:rsidRPr="00D073CC">
        <w:rPr>
          <w:rFonts w:cs="Readex Pro"/>
          <w:sz w:val="20"/>
          <w:szCs w:val="20"/>
        </w:rPr>
        <w:t xml:space="preserve"> These are not exhaustive but reflect key concerns of the Australian</w:t>
      </w:r>
      <w:r w:rsidR="00170708" w:rsidRPr="00D073CC">
        <w:rPr>
          <w:rFonts w:cs="Readex Pro"/>
          <w:sz w:val="20"/>
          <w:szCs w:val="20"/>
        </w:rPr>
        <w:t> </w:t>
      </w:r>
      <w:r w:rsidRPr="00D073CC">
        <w:rPr>
          <w:rFonts w:cs="Readex Pro"/>
          <w:sz w:val="20"/>
          <w:szCs w:val="20"/>
        </w:rPr>
        <w:t xml:space="preserve">NPM, with a </w:t>
      </w:r>
      <w:r w:rsidR="007030EC" w:rsidRPr="00D073CC">
        <w:rPr>
          <w:rFonts w:cs="Readex Pro"/>
          <w:sz w:val="20"/>
          <w:szCs w:val="20"/>
        </w:rPr>
        <w:t xml:space="preserve">particular </w:t>
      </w:r>
      <w:r w:rsidRPr="00D073CC">
        <w:rPr>
          <w:rFonts w:cs="Readex Pro"/>
          <w:sz w:val="20"/>
          <w:szCs w:val="20"/>
        </w:rPr>
        <w:t xml:space="preserve">focus on </w:t>
      </w:r>
      <w:r w:rsidR="007030EC" w:rsidRPr="00D073CC">
        <w:rPr>
          <w:rFonts w:cs="Readex Pro"/>
          <w:sz w:val="20"/>
          <w:szCs w:val="20"/>
        </w:rPr>
        <w:t xml:space="preserve">Australia’s obligations </w:t>
      </w:r>
      <w:r w:rsidR="00C45EF8" w:rsidRPr="00D073CC">
        <w:rPr>
          <w:rFonts w:cs="Readex Pro"/>
          <w:sz w:val="20"/>
          <w:szCs w:val="20"/>
        </w:rPr>
        <w:t xml:space="preserve">under </w:t>
      </w:r>
      <w:r w:rsidR="005C5E28" w:rsidRPr="00D073CC">
        <w:rPr>
          <w:rFonts w:cs="Readex Pro"/>
          <w:sz w:val="20"/>
          <w:szCs w:val="20"/>
        </w:rPr>
        <w:t>A</w:t>
      </w:r>
      <w:r w:rsidRPr="00D073CC">
        <w:rPr>
          <w:rFonts w:cs="Readex Pro"/>
          <w:sz w:val="20"/>
          <w:szCs w:val="20"/>
        </w:rPr>
        <w:t xml:space="preserve">rticles </w:t>
      </w:r>
      <w:r w:rsidR="00B256C1" w:rsidRPr="00D073CC">
        <w:rPr>
          <w:rFonts w:cs="Readex Pro"/>
          <w:sz w:val="20"/>
          <w:szCs w:val="20"/>
        </w:rPr>
        <w:t>2 and 16</w:t>
      </w:r>
      <w:r w:rsidRPr="00D073CC">
        <w:rPr>
          <w:rFonts w:cs="Readex Pro"/>
          <w:sz w:val="20"/>
          <w:szCs w:val="20"/>
        </w:rPr>
        <w:t xml:space="preserve"> </w:t>
      </w:r>
      <w:r w:rsidR="00517A41" w:rsidRPr="00D073CC">
        <w:rPr>
          <w:rFonts w:cs="Readex Pro"/>
          <w:sz w:val="20"/>
          <w:szCs w:val="20"/>
        </w:rPr>
        <w:t xml:space="preserve">of the </w:t>
      </w:r>
      <w:r w:rsidR="00D4726C" w:rsidRPr="00D073CC">
        <w:rPr>
          <w:rFonts w:cs="Readex Pro"/>
          <w:sz w:val="20"/>
          <w:szCs w:val="20"/>
        </w:rPr>
        <w:t>CAT</w:t>
      </w:r>
      <w:r w:rsidR="00C45EF8" w:rsidRPr="00D073CC">
        <w:rPr>
          <w:rFonts w:cs="Readex Pro"/>
          <w:sz w:val="20"/>
          <w:szCs w:val="20"/>
        </w:rPr>
        <w:t xml:space="preserve"> to prevent torture and other ill treatment</w:t>
      </w:r>
      <w:r w:rsidR="00517A41" w:rsidRPr="00D073CC">
        <w:rPr>
          <w:rFonts w:cs="Readex Pro"/>
          <w:sz w:val="20"/>
          <w:szCs w:val="20"/>
        </w:rPr>
        <w:t>.</w:t>
      </w:r>
    </w:p>
    <w:p w14:paraId="7943CB4D" w14:textId="732456DF" w:rsidR="00CF04E6" w:rsidRDefault="00165488" w:rsidP="00165488">
      <w:pPr>
        <w:rPr>
          <w:rFonts w:cs="Readex Pro"/>
          <w:sz w:val="20"/>
          <w:szCs w:val="20"/>
        </w:rPr>
      </w:pPr>
      <w:r w:rsidRPr="00C45EF8">
        <w:rPr>
          <w:rFonts w:cs="Readex Pro"/>
          <w:sz w:val="20"/>
          <w:szCs w:val="20"/>
        </w:rPr>
        <w:t>We look forward to engaging further with the Committee</w:t>
      </w:r>
      <w:r w:rsidRPr="00165488">
        <w:rPr>
          <w:rFonts w:cs="Readex Pro"/>
          <w:sz w:val="20"/>
          <w:szCs w:val="20"/>
        </w:rPr>
        <w:t xml:space="preserve">, </w:t>
      </w:r>
      <w:r>
        <w:rPr>
          <w:rFonts w:cs="Readex Pro"/>
          <w:sz w:val="20"/>
          <w:szCs w:val="20"/>
        </w:rPr>
        <w:t>during the next stages of A</w:t>
      </w:r>
      <w:r w:rsidRPr="00165488">
        <w:rPr>
          <w:rFonts w:cs="Readex Pro"/>
          <w:sz w:val="20"/>
          <w:szCs w:val="20"/>
        </w:rPr>
        <w:t>ustralia’s seventh periodic review under the CAT.</w:t>
      </w:r>
    </w:p>
    <w:p w14:paraId="7F25A22A" w14:textId="77777777" w:rsidR="00233A65" w:rsidRDefault="00233A65" w:rsidP="00165488">
      <w:pPr>
        <w:rPr>
          <w:rFonts w:cs="Readex Pro"/>
          <w:sz w:val="20"/>
          <w:szCs w:val="20"/>
        </w:rPr>
      </w:pPr>
    </w:p>
    <w:p w14:paraId="6D669F76" w14:textId="2EB691F7" w:rsidR="00F84BF4" w:rsidRDefault="00F84BF4">
      <w:pPr>
        <w:spacing w:before="0" w:after="0" w:line="240" w:lineRule="auto"/>
        <w:rPr>
          <w:rFonts w:cs="Readex Pro"/>
          <w:sz w:val="20"/>
          <w:szCs w:val="20"/>
        </w:rPr>
      </w:pPr>
      <w:r>
        <w:rPr>
          <w:rFonts w:cs="Readex Pro"/>
          <w:sz w:val="20"/>
          <w:szCs w:val="20"/>
        </w:rPr>
        <w:br w:type="page"/>
      </w:r>
    </w:p>
    <w:p w14:paraId="50C70EDD" w14:textId="18AC36E5" w:rsidR="002A2FFB" w:rsidRPr="00D22E43" w:rsidRDefault="00CC4B29" w:rsidP="00D22E43">
      <w:pPr>
        <w:pStyle w:val="Heading2"/>
        <w:rPr>
          <w:color w:val="937CB9" w:themeColor="accent3"/>
        </w:rPr>
      </w:pPr>
      <w:bookmarkStart w:id="37" w:name="_Toc208584098"/>
      <w:r w:rsidRPr="00D22E43">
        <w:rPr>
          <w:color w:val="937CB9" w:themeColor="accent3"/>
        </w:rPr>
        <w:lastRenderedPageBreak/>
        <w:t>Y</w:t>
      </w:r>
      <w:r w:rsidR="00863504">
        <w:rPr>
          <w:color w:val="937CB9" w:themeColor="accent3"/>
        </w:rPr>
        <w:t>outh justice and youth detention</w:t>
      </w:r>
      <w:bookmarkEnd w:id="37"/>
    </w:p>
    <w:p w14:paraId="4FC6A5EA" w14:textId="2FD89760" w:rsidR="009A1768" w:rsidRPr="009A1768" w:rsidRDefault="009A1768" w:rsidP="000F1B78">
      <w:pPr>
        <w:rPr>
          <w:rFonts w:cs="Readex Pro"/>
          <w:b/>
          <w:bCs/>
          <w:i/>
          <w:iCs/>
          <w:sz w:val="20"/>
          <w:szCs w:val="20"/>
          <w:u w:val="single"/>
        </w:rPr>
      </w:pPr>
      <w:r w:rsidRPr="009A1768">
        <w:rPr>
          <w:rFonts w:cs="Readex Pro"/>
          <w:b/>
          <w:bCs/>
          <w:i/>
          <w:iCs/>
          <w:sz w:val="20"/>
          <w:szCs w:val="20"/>
          <w:u w:val="single"/>
        </w:rPr>
        <w:t>CAT Articles 2 and 16</w:t>
      </w:r>
    </w:p>
    <w:p w14:paraId="264AAC82" w14:textId="7F53E009" w:rsidR="007F1E9F" w:rsidRPr="005B7757" w:rsidRDefault="00691B18" w:rsidP="000F1B78">
      <w:pPr>
        <w:rPr>
          <w:rFonts w:cs="Readex Pro"/>
          <w:sz w:val="20"/>
          <w:szCs w:val="20"/>
        </w:rPr>
      </w:pPr>
      <w:r w:rsidRPr="005B7757">
        <w:rPr>
          <w:rFonts w:cs="Readex Pro"/>
          <w:sz w:val="20"/>
          <w:szCs w:val="20"/>
        </w:rPr>
        <w:t xml:space="preserve">Australia’s youth justice system persistently raises human rights </w:t>
      </w:r>
      <w:proofErr w:type="gramStart"/>
      <w:r w:rsidRPr="005B7757">
        <w:rPr>
          <w:rFonts w:cs="Readex Pro"/>
          <w:sz w:val="20"/>
          <w:szCs w:val="20"/>
        </w:rPr>
        <w:t>concerns</w:t>
      </w:r>
      <w:proofErr w:type="gramEnd"/>
      <w:r>
        <w:rPr>
          <w:rFonts w:cs="Readex Pro"/>
          <w:sz w:val="20"/>
          <w:szCs w:val="20"/>
        </w:rPr>
        <w:t xml:space="preserve"> and w</w:t>
      </w:r>
      <w:r w:rsidR="002A2FFB" w:rsidRPr="005B7757">
        <w:rPr>
          <w:rFonts w:cs="Readex Pro"/>
          <w:sz w:val="20"/>
          <w:szCs w:val="20"/>
        </w:rPr>
        <w:t xml:space="preserve">e suggest youth justice </w:t>
      </w:r>
      <w:r w:rsidR="00F672D6" w:rsidRPr="005B7757">
        <w:rPr>
          <w:rFonts w:cs="Readex Pro"/>
          <w:sz w:val="20"/>
          <w:szCs w:val="20"/>
        </w:rPr>
        <w:t>issues should</w:t>
      </w:r>
      <w:r w:rsidR="002A2FFB" w:rsidRPr="005B7757">
        <w:rPr>
          <w:rFonts w:cs="Readex Pro"/>
          <w:sz w:val="20"/>
          <w:szCs w:val="20"/>
        </w:rPr>
        <w:t xml:space="preserve"> </w:t>
      </w:r>
      <w:r>
        <w:rPr>
          <w:rFonts w:cs="Readex Pro"/>
          <w:sz w:val="20"/>
          <w:szCs w:val="20"/>
        </w:rPr>
        <w:t xml:space="preserve">continue to </w:t>
      </w:r>
      <w:r w:rsidR="002A2FFB" w:rsidRPr="005B7757">
        <w:rPr>
          <w:rFonts w:cs="Readex Pro"/>
          <w:sz w:val="20"/>
          <w:szCs w:val="20"/>
        </w:rPr>
        <w:t xml:space="preserve">be a key focus of </w:t>
      </w:r>
      <w:r w:rsidR="00F672D6" w:rsidRPr="005B7757">
        <w:rPr>
          <w:rFonts w:cs="Readex Pro"/>
          <w:sz w:val="20"/>
          <w:szCs w:val="20"/>
        </w:rPr>
        <w:t>the Committee’s next LOIPR</w:t>
      </w:r>
      <w:r w:rsidR="009A1768">
        <w:rPr>
          <w:rFonts w:cs="Readex Pro"/>
          <w:sz w:val="20"/>
          <w:szCs w:val="20"/>
        </w:rPr>
        <w:t xml:space="preserve"> for Australia</w:t>
      </w:r>
      <w:r w:rsidR="006B5366" w:rsidRPr="005B7757">
        <w:rPr>
          <w:rFonts w:cs="Readex Pro"/>
          <w:sz w:val="20"/>
          <w:szCs w:val="20"/>
        </w:rPr>
        <w:t>.</w:t>
      </w:r>
      <w:r>
        <w:rPr>
          <w:rFonts w:cs="Readex Pro"/>
          <w:sz w:val="20"/>
          <w:szCs w:val="20"/>
        </w:rPr>
        <w:t xml:space="preserve"> </w:t>
      </w:r>
    </w:p>
    <w:p w14:paraId="5C85144D" w14:textId="72BB734B" w:rsidR="007F1E9F" w:rsidRPr="005B7757" w:rsidRDefault="007F1E9F" w:rsidP="005306BC">
      <w:pPr>
        <w:rPr>
          <w:rFonts w:cs="Readex Pro"/>
          <w:sz w:val="20"/>
          <w:szCs w:val="20"/>
        </w:rPr>
      </w:pPr>
      <w:r w:rsidRPr="005B7757">
        <w:rPr>
          <w:rFonts w:cs="Readex Pro"/>
          <w:sz w:val="20"/>
          <w:szCs w:val="20"/>
        </w:rPr>
        <w:t xml:space="preserve">Past Australian inquiries into youth justice in Australia have found the detention of children </w:t>
      </w:r>
      <w:r w:rsidR="008255FB">
        <w:rPr>
          <w:rFonts w:cs="Readex Pro"/>
          <w:sz w:val="20"/>
          <w:szCs w:val="20"/>
        </w:rPr>
        <w:t>and young people</w:t>
      </w:r>
      <w:r w:rsidR="00AB6AE7">
        <w:rPr>
          <w:rStyle w:val="FootnoteReference"/>
          <w:rFonts w:cs="Readex Pro"/>
          <w:sz w:val="20"/>
          <w:szCs w:val="20"/>
        </w:rPr>
        <w:footnoteReference w:id="1"/>
      </w:r>
      <w:r w:rsidR="008255FB">
        <w:rPr>
          <w:rFonts w:cs="Readex Pro"/>
          <w:sz w:val="20"/>
          <w:szCs w:val="20"/>
        </w:rPr>
        <w:t xml:space="preserve"> </w:t>
      </w:r>
      <w:r w:rsidRPr="005B7757">
        <w:rPr>
          <w:rFonts w:cs="Readex Pro"/>
          <w:sz w:val="20"/>
          <w:szCs w:val="20"/>
        </w:rPr>
        <w:t>does little to reduce recidivism and does not make the wider community safer, especially when used to mask more fundamental issues upstream in the youth justice system, or outside the system entirely.</w:t>
      </w:r>
      <w:bookmarkStart w:id="38" w:name="_Ref207038868"/>
      <w:r w:rsidRPr="005B7757">
        <w:rPr>
          <w:rFonts w:cs="Readex Pro"/>
          <w:sz w:val="20"/>
          <w:szCs w:val="20"/>
          <w:vertAlign w:val="superscript"/>
        </w:rPr>
        <w:footnoteReference w:id="2"/>
      </w:r>
      <w:bookmarkEnd w:id="38"/>
    </w:p>
    <w:p w14:paraId="0C5F8D64" w14:textId="04836517" w:rsidR="007F1E9F" w:rsidRDefault="007F1E9F" w:rsidP="00892F24">
      <w:pPr>
        <w:rPr>
          <w:rFonts w:cs="Readex Pro"/>
          <w:sz w:val="20"/>
          <w:szCs w:val="20"/>
        </w:rPr>
      </w:pPr>
      <w:r w:rsidRPr="005B7757">
        <w:rPr>
          <w:rFonts w:cs="Readex Pro"/>
          <w:sz w:val="20"/>
          <w:szCs w:val="20"/>
        </w:rPr>
        <w:t xml:space="preserve">Australia’s National Children’s Commissioner, in her landmark </w:t>
      </w:r>
      <w:r w:rsidRPr="005B7757">
        <w:rPr>
          <w:rFonts w:cs="Readex Pro"/>
          <w:i/>
          <w:iCs/>
          <w:sz w:val="20"/>
          <w:szCs w:val="20"/>
        </w:rPr>
        <w:t>‘Help way earlier!’</w:t>
      </w:r>
      <w:r w:rsidRPr="005B7757">
        <w:rPr>
          <w:rFonts w:cs="Readex Pro"/>
          <w:sz w:val="20"/>
          <w:szCs w:val="20"/>
        </w:rPr>
        <w:t xml:space="preserve"> report on youth justice in 2024, states the treatment of children</w:t>
      </w:r>
      <w:r w:rsidR="00647D4E">
        <w:rPr>
          <w:rFonts w:cs="Readex Pro"/>
          <w:sz w:val="20"/>
          <w:szCs w:val="20"/>
        </w:rPr>
        <w:t xml:space="preserve"> and young people</w:t>
      </w:r>
      <w:r w:rsidRPr="005B7757">
        <w:rPr>
          <w:rFonts w:cs="Readex Pro"/>
          <w:sz w:val="20"/>
          <w:szCs w:val="20"/>
        </w:rPr>
        <w:t xml:space="preserve"> in Australia’s justice system </w:t>
      </w:r>
      <w:r w:rsidR="00AB255B">
        <w:rPr>
          <w:rFonts w:cs="Readex Pro"/>
          <w:sz w:val="20"/>
          <w:szCs w:val="20"/>
        </w:rPr>
        <w:t>‘</w:t>
      </w:r>
      <w:r w:rsidRPr="005B7757">
        <w:rPr>
          <w:rFonts w:cs="Readex Pro"/>
          <w:sz w:val="20"/>
          <w:szCs w:val="20"/>
        </w:rPr>
        <w:t>is one of the most urgent human rights issues facing Australia today</w:t>
      </w:r>
      <w:r w:rsidR="00AB255B">
        <w:rPr>
          <w:rFonts w:cs="Readex Pro"/>
          <w:sz w:val="20"/>
          <w:szCs w:val="20"/>
        </w:rPr>
        <w:t>’</w:t>
      </w:r>
      <w:r w:rsidRPr="005B7757">
        <w:rPr>
          <w:rFonts w:cs="Readex Pro"/>
          <w:sz w:val="20"/>
          <w:szCs w:val="20"/>
        </w:rPr>
        <w:t>.</w:t>
      </w:r>
      <w:bookmarkStart w:id="39" w:name="_Ref207039081"/>
      <w:r w:rsidRPr="005B7757">
        <w:rPr>
          <w:rStyle w:val="FootnoteReference"/>
          <w:rFonts w:cs="Readex Pro"/>
          <w:sz w:val="20"/>
          <w:szCs w:val="20"/>
        </w:rPr>
        <w:footnoteReference w:id="3"/>
      </w:r>
      <w:bookmarkEnd w:id="39"/>
      <w:r w:rsidRPr="005B7757">
        <w:rPr>
          <w:rFonts w:cs="Readex Pro"/>
          <w:sz w:val="20"/>
          <w:szCs w:val="20"/>
        </w:rPr>
        <w:t xml:space="preserve"> That report provides extensive recommendations for system reform moving away from traditional responses to youth justice, yet to date has not been responded to by government.</w:t>
      </w:r>
    </w:p>
    <w:p w14:paraId="311FC245" w14:textId="67237027" w:rsidR="00691B18" w:rsidRPr="005B7757" w:rsidRDefault="00691B18" w:rsidP="00892F24">
      <w:pPr>
        <w:rPr>
          <w:rFonts w:cs="Readex Pro"/>
          <w:sz w:val="20"/>
          <w:szCs w:val="20"/>
        </w:rPr>
      </w:pPr>
      <w:r w:rsidRPr="005B7757">
        <w:rPr>
          <w:rFonts w:cs="Readex Pro"/>
          <w:sz w:val="20"/>
          <w:szCs w:val="20"/>
        </w:rPr>
        <w:t>The Australian NPM has regularly raised concerns about youth justice and detention,</w:t>
      </w:r>
      <w:bookmarkStart w:id="40" w:name="_Ref207044134"/>
      <w:r w:rsidRPr="005B7757">
        <w:rPr>
          <w:rStyle w:val="FootnoteReference"/>
          <w:rFonts w:cs="Readex Pro"/>
          <w:sz w:val="20"/>
          <w:szCs w:val="20"/>
        </w:rPr>
        <w:footnoteReference w:id="4"/>
      </w:r>
      <w:bookmarkEnd w:id="40"/>
      <w:r w:rsidRPr="005B7757">
        <w:rPr>
          <w:rFonts w:cs="Readex Pro"/>
          <w:sz w:val="20"/>
          <w:szCs w:val="20"/>
        </w:rPr>
        <w:t xml:space="preserve"> and this </w:t>
      </w:r>
      <w:r>
        <w:rPr>
          <w:rFonts w:cs="Readex Pro"/>
          <w:sz w:val="20"/>
          <w:szCs w:val="20"/>
        </w:rPr>
        <w:t xml:space="preserve">will continue to </w:t>
      </w:r>
      <w:r w:rsidRPr="005B7757">
        <w:rPr>
          <w:rFonts w:cs="Readex Pro"/>
          <w:sz w:val="20"/>
          <w:szCs w:val="20"/>
        </w:rPr>
        <w:t xml:space="preserve">remain a key priority area of </w:t>
      </w:r>
      <w:r>
        <w:rPr>
          <w:rFonts w:cs="Readex Pro"/>
          <w:sz w:val="20"/>
          <w:szCs w:val="20"/>
        </w:rPr>
        <w:t xml:space="preserve">our </w:t>
      </w:r>
      <w:r w:rsidRPr="005B7757">
        <w:rPr>
          <w:rFonts w:cs="Readex Pro"/>
          <w:sz w:val="20"/>
          <w:szCs w:val="20"/>
        </w:rPr>
        <w:t>focus.</w:t>
      </w:r>
    </w:p>
    <w:tbl>
      <w:tblPr>
        <w:tblStyle w:val="GridTable4-Accent2"/>
        <w:tblpPr w:leftFromText="180" w:rightFromText="180" w:vertAnchor="text" w:horzAnchor="margin" w:tblpY="1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0C0550A3" w14:textId="77777777" w:rsidTr="00444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6E81E253" w14:textId="77777777" w:rsidR="007F1E9F" w:rsidRPr="0013605E" w:rsidRDefault="007F1E9F" w:rsidP="0013605E">
            <w:pPr>
              <w:ind w:left="275"/>
              <w:rPr>
                <w:sz w:val="20"/>
                <w:szCs w:val="20"/>
              </w:rPr>
            </w:pPr>
            <w:r w:rsidRPr="001B7386">
              <w:rPr>
                <w:noProof/>
                <w:sz w:val="20"/>
                <w:szCs w:val="20"/>
              </w:rPr>
              <w:drawing>
                <wp:anchor distT="0" distB="0" distL="114300" distR="114300" simplePos="0" relativeHeight="251850752" behindDoc="1" locked="0" layoutInCell="1" allowOverlap="1" wp14:anchorId="42F345BC" wp14:editId="172C065E">
                  <wp:simplePos x="0" y="0"/>
                  <wp:positionH relativeFrom="column">
                    <wp:posOffset>-290566</wp:posOffset>
                  </wp:positionH>
                  <wp:positionV relativeFrom="paragraph">
                    <wp:posOffset>55245</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901405970"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w:t>
            </w:r>
          </w:p>
          <w:p w14:paraId="53FF9D67" w14:textId="77777777" w:rsidR="007F1E9F" w:rsidRPr="0013605E" w:rsidRDefault="007F1E9F" w:rsidP="004541B6">
            <w:pPr>
              <w:pStyle w:val="ListParagraph"/>
              <w:numPr>
                <w:ilvl w:val="0"/>
                <w:numId w:val="9"/>
              </w:numPr>
              <w:rPr>
                <w:b w:val="0"/>
                <w:bCs w:val="0"/>
                <w:sz w:val="20"/>
                <w:szCs w:val="20"/>
              </w:rPr>
            </w:pPr>
            <w:r w:rsidRPr="0013605E">
              <w:rPr>
                <w:sz w:val="20"/>
                <w:szCs w:val="20"/>
              </w:rPr>
              <w:t>measures to address systemic failures in youth justice in Australia, including with national-level leadership to ensure improvements can be realised in all parts of the country</w:t>
            </w:r>
          </w:p>
          <w:p w14:paraId="47C34C14" w14:textId="61F947EF" w:rsidR="007F1E9F" w:rsidRPr="0013605E" w:rsidRDefault="007F1E9F" w:rsidP="004541B6">
            <w:pPr>
              <w:pStyle w:val="ListParagraph"/>
              <w:numPr>
                <w:ilvl w:val="0"/>
                <w:numId w:val="9"/>
              </w:numPr>
              <w:rPr>
                <w:sz w:val="20"/>
                <w:szCs w:val="20"/>
              </w:rPr>
            </w:pPr>
            <w:r w:rsidRPr="0013605E">
              <w:rPr>
                <w:sz w:val="20"/>
                <w:szCs w:val="20"/>
              </w:rPr>
              <w:t xml:space="preserve">plans to respond to and implement recommendations from the National Children’s Commissioner’s </w:t>
            </w:r>
            <w:r w:rsidRPr="0013605E">
              <w:rPr>
                <w:i/>
                <w:iCs/>
                <w:sz w:val="20"/>
                <w:szCs w:val="20"/>
              </w:rPr>
              <w:t>‘Help Way Earlier!’</w:t>
            </w:r>
            <w:r w:rsidRPr="0013605E">
              <w:rPr>
                <w:sz w:val="20"/>
                <w:szCs w:val="20"/>
              </w:rPr>
              <w:t xml:space="preserve"> report, including in a coordinated manner at a national level</w:t>
            </w:r>
          </w:p>
          <w:p w14:paraId="0832481E" w14:textId="729C9637" w:rsidR="00446CED" w:rsidRPr="001B7386" w:rsidRDefault="004156D6" w:rsidP="004541B6">
            <w:pPr>
              <w:pStyle w:val="ListParagraph"/>
              <w:numPr>
                <w:ilvl w:val="0"/>
                <w:numId w:val="9"/>
              </w:numPr>
            </w:pPr>
            <w:r w:rsidRPr="0013605E">
              <w:rPr>
                <w:sz w:val="20"/>
                <w:szCs w:val="20"/>
              </w:rPr>
              <w:t>h</w:t>
            </w:r>
            <w:r w:rsidR="00446CED" w:rsidRPr="0013605E">
              <w:rPr>
                <w:sz w:val="20"/>
                <w:szCs w:val="20"/>
              </w:rPr>
              <w:t>ow the state party proposes to more effectively discharge its obligations</w:t>
            </w:r>
            <w:r w:rsidR="00926813" w:rsidRPr="0013605E">
              <w:rPr>
                <w:sz w:val="20"/>
                <w:szCs w:val="20"/>
              </w:rPr>
              <w:t xml:space="preserve"> under the Convention, given that it voluntarily accepted these obligations notwithstanding that under Australian law some matters are devolved to provincial governments.</w:t>
            </w:r>
          </w:p>
        </w:tc>
      </w:tr>
    </w:tbl>
    <w:p w14:paraId="0F7FCB5C" w14:textId="77777777" w:rsidR="00BC75B2" w:rsidRDefault="00BC75B2" w:rsidP="00BC75B2">
      <w:pPr>
        <w:pStyle w:val="Heading3"/>
        <w:keepNext w:val="0"/>
        <w:keepLines w:val="0"/>
        <w:spacing w:before="120"/>
        <w:rPr>
          <w:rFonts w:ascii="Readex Pro" w:eastAsiaTheme="minorHAnsi" w:hAnsi="Readex Pro" w:cs="Readex Pro"/>
          <w:color w:val="0D3946" w:themeColor="accent1"/>
          <w:sz w:val="20"/>
          <w:szCs w:val="20"/>
        </w:rPr>
      </w:pPr>
    </w:p>
    <w:p w14:paraId="2A87C2E1" w14:textId="77777777" w:rsidR="00BC75B2" w:rsidRDefault="00BC75B2" w:rsidP="00BC75B2"/>
    <w:p w14:paraId="3D4EAD83" w14:textId="30FE4293" w:rsidR="001B7386" w:rsidRDefault="001B7386">
      <w:pPr>
        <w:spacing w:before="0" w:after="0" w:line="240" w:lineRule="auto"/>
      </w:pPr>
      <w:r>
        <w:br w:type="page"/>
      </w:r>
    </w:p>
    <w:p w14:paraId="5CC9C7A6" w14:textId="741CCA0A" w:rsidR="007F1E9F" w:rsidRPr="00B50F91" w:rsidRDefault="007F1E9F" w:rsidP="00B50F91">
      <w:pPr>
        <w:pStyle w:val="Heading3"/>
        <w:spacing w:before="120"/>
        <w:rPr>
          <w:color w:val="719243" w:themeColor="accent2"/>
        </w:rPr>
      </w:pPr>
      <w:bookmarkStart w:id="41" w:name="_Toc208584099"/>
      <w:r w:rsidRPr="00B50F91">
        <w:rPr>
          <w:color w:val="719243" w:themeColor="accent2"/>
        </w:rPr>
        <w:lastRenderedPageBreak/>
        <w:t>Minimum age of criminal responsibility</w:t>
      </w:r>
      <w:bookmarkEnd w:id="41"/>
    </w:p>
    <w:p w14:paraId="04D9654B"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79960CB3" w14:textId="594FECB7" w:rsidR="007F1E9F" w:rsidRPr="00EA1375" w:rsidRDefault="007F1E9F" w:rsidP="00002993">
      <w:pPr>
        <w:rPr>
          <w:rFonts w:cs="Readex Pro"/>
          <w:sz w:val="20"/>
          <w:szCs w:val="20"/>
        </w:rPr>
      </w:pPr>
      <w:r w:rsidRPr="00EA1375">
        <w:rPr>
          <w:rFonts w:cs="Readex Pro"/>
          <w:sz w:val="20"/>
          <w:szCs w:val="20"/>
        </w:rPr>
        <w:t>Raising the minimum age of criminal responsibility (MACR) in Australia presents a means of focusing on prevention and diversion of children</w:t>
      </w:r>
      <w:r w:rsidR="00647D4E" w:rsidRPr="00647D4E">
        <w:rPr>
          <w:rFonts w:cs="Readex Pro"/>
          <w:sz w:val="20"/>
          <w:szCs w:val="20"/>
        </w:rPr>
        <w:t xml:space="preserve"> </w:t>
      </w:r>
      <w:r w:rsidR="00647D4E">
        <w:rPr>
          <w:rFonts w:cs="Readex Pro"/>
          <w:sz w:val="20"/>
          <w:szCs w:val="20"/>
        </w:rPr>
        <w:t>and young people</w:t>
      </w:r>
      <w:r w:rsidRPr="00EA1375">
        <w:rPr>
          <w:rFonts w:cs="Readex Pro"/>
          <w:sz w:val="20"/>
          <w:szCs w:val="20"/>
        </w:rPr>
        <w:t xml:space="preserve"> whose behaviour presents risks of harm to themselves and/or others.</w:t>
      </w:r>
      <w:r w:rsidRPr="00EA1375">
        <w:rPr>
          <w:rStyle w:val="FootnoteReference"/>
          <w:rFonts w:cs="Readex Pro"/>
          <w:sz w:val="20"/>
          <w:szCs w:val="20"/>
        </w:rPr>
        <w:footnoteReference w:id="5"/>
      </w:r>
      <w:r w:rsidRPr="00EA1375">
        <w:rPr>
          <w:rFonts w:cs="Readex Pro"/>
          <w:sz w:val="20"/>
          <w:szCs w:val="20"/>
        </w:rPr>
        <w:t xml:space="preserve"> Currently, the MACR in Australia remains too low.</w:t>
      </w:r>
    </w:p>
    <w:p w14:paraId="69BC7FF2" w14:textId="4F69CC74" w:rsidR="007F1E9F" w:rsidRDefault="007F1E9F" w:rsidP="007C0520">
      <w:pPr>
        <w:rPr>
          <w:rFonts w:cs="Readex Pro"/>
          <w:sz w:val="20"/>
          <w:szCs w:val="20"/>
        </w:rPr>
      </w:pPr>
      <w:r w:rsidRPr="00EA1375">
        <w:rPr>
          <w:rFonts w:cs="Readex Pro"/>
          <w:sz w:val="20"/>
          <w:szCs w:val="20"/>
        </w:rPr>
        <w:t xml:space="preserve">In December 2023, the </w:t>
      </w:r>
      <w:r>
        <w:rPr>
          <w:rFonts w:cs="Readex Pro"/>
          <w:sz w:val="20"/>
          <w:szCs w:val="20"/>
        </w:rPr>
        <w:t>‘</w:t>
      </w:r>
      <w:r w:rsidRPr="00EA1375">
        <w:rPr>
          <w:rFonts w:cs="Readex Pro"/>
          <w:sz w:val="20"/>
          <w:szCs w:val="20"/>
        </w:rPr>
        <w:t>Standing Council of Attorneys-General</w:t>
      </w:r>
      <w:r>
        <w:rPr>
          <w:rFonts w:cs="Readex Pro"/>
          <w:sz w:val="20"/>
          <w:szCs w:val="20"/>
        </w:rPr>
        <w:t>’</w:t>
      </w:r>
      <w:r w:rsidRPr="00EA1375">
        <w:rPr>
          <w:rFonts w:cs="Readex Pro"/>
          <w:sz w:val="20"/>
          <w:szCs w:val="20"/>
        </w:rPr>
        <w:t xml:space="preserve"> – </w:t>
      </w:r>
      <w:r w:rsidR="006F341A">
        <w:rPr>
          <w:rFonts w:cs="Readex Pro"/>
          <w:sz w:val="20"/>
          <w:szCs w:val="20"/>
        </w:rPr>
        <w:t>represented by</w:t>
      </w:r>
      <w:r w:rsidRPr="00EA1375">
        <w:rPr>
          <w:rFonts w:cs="Readex Pro"/>
          <w:sz w:val="20"/>
          <w:szCs w:val="20"/>
        </w:rPr>
        <w:t xml:space="preserve"> the </w:t>
      </w:r>
      <w:r w:rsidR="00446CED">
        <w:rPr>
          <w:rFonts w:cs="Readex Pro"/>
          <w:sz w:val="20"/>
          <w:szCs w:val="20"/>
        </w:rPr>
        <w:t>A</w:t>
      </w:r>
      <w:r w:rsidR="00446CED" w:rsidRPr="00EA1375">
        <w:rPr>
          <w:rFonts w:cs="Readex Pro"/>
          <w:sz w:val="20"/>
          <w:szCs w:val="20"/>
        </w:rPr>
        <w:t>ttorneys</w:t>
      </w:r>
      <w:r w:rsidRPr="00EA1375">
        <w:rPr>
          <w:rFonts w:cs="Readex Pro"/>
          <w:sz w:val="20"/>
          <w:szCs w:val="20"/>
        </w:rPr>
        <w:t>-</w:t>
      </w:r>
      <w:r w:rsidR="00446CED">
        <w:rPr>
          <w:rFonts w:cs="Readex Pro"/>
          <w:sz w:val="20"/>
          <w:szCs w:val="20"/>
        </w:rPr>
        <w:t>G</w:t>
      </w:r>
      <w:r w:rsidR="00446CED" w:rsidRPr="00EA1375">
        <w:rPr>
          <w:rFonts w:cs="Readex Pro"/>
          <w:sz w:val="20"/>
          <w:szCs w:val="20"/>
        </w:rPr>
        <w:t xml:space="preserve">eneral </w:t>
      </w:r>
      <w:r w:rsidRPr="00EA1375">
        <w:rPr>
          <w:rFonts w:cs="Readex Pro"/>
          <w:sz w:val="20"/>
          <w:szCs w:val="20"/>
        </w:rPr>
        <w:t xml:space="preserve">from Australian, state and territory governments – released the </w:t>
      </w:r>
      <w:r w:rsidRPr="00EA1375">
        <w:rPr>
          <w:rFonts w:cs="Readex Pro"/>
          <w:i/>
          <w:iCs/>
          <w:sz w:val="20"/>
          <w:szCs w:val="20"/>
        </w:rPr>
        <w:t>Age of Criminal Responsibility Working Group Report</w:t>
      </w:r>
      <w:r w:rsidRPr="00EA1375">
        <w:rPr>
          <w:rFonts w:cs="Readex Pro"/>
          <w:sz w:val="20"/>
          <w:szCs w:val="20"/>
        </w:rPr>
        <w:t>.</w:t>
      </w:r>
      <w:bookmarkStart w:id="42" w:name="_Ref207038839"/>
      <w:r w:rsidRPr="00EA1375">
        <w:rPr>
          <w:rStyle w:val="FootnoteReference"/>
          <w:rFonts w:cs="Readex Pro"/>
          <w:sz w:val="20"/>
          <w:szCs w:val="20"/>
        </w:rPr>
        <w:footnoteReference w:id="6"/>
      </w:r>
      <w:bookmarkEnd w:id="42"/>
      <w:r w:rsidRPr="00EA1375">
        <w:rPr>
          <w:rFonts w:cs="Readex Pro"/>
          <w:sz w:val="20"/>
          <w:szCs w:val="20"/>
        </w:rPr>
        <w:t xml:space="preserve"> This report acknowledged children </w:t>
      </w:r>
      <w:r w:rsidR="008255FB">
        <w:rPr>
          <w:rFonts w:cs="Readex Pro"/>
          <w:sz w:val="20"/>
          <w:szCs w:val="20"/>
        </w:rPr>
        <w:t xml:space="preserve">and young people </w:t>
      </w:r>
      <w:r w:rsidRPr="00EA1375">
        <w:rPr>
          <w:rFonts w:cs="Readex Pro"/>
          <w:sz w:val="20"/>
          <w:szCs w:val="20"/>
        </w:rPr>
        <w:t xml:space="preserve">in custody may have significantly higher rates of cognitive disability, and significant backgrounds of complex trauma. It also observed that by implementing a therapeutic support model, </w:t>
      </w:r>
      <w:r w:rsidR="00AB255B">
        <w:rPr>
          <w:rFonts w:cs="Readex Pro"/>
          <w:sz w:val="20"/>
          <w:szCs w:val="20"/>
        </w:rPr>
        <w:t>‘</w:t>
      </w:r>
      <w:r w:rsidRPr="00EA1375">
        <w:rPr>
          <w:rFonts w:cs="Readex Pro"/>
          <w:sz w:val="20"/>
          <w:szCs w:val="20"/>
        </w:rPr>
        <w:t>[r]</w:t>
      </w:r>
      <w:proofErr w:type="spellStart"/>
      <w:r w:rsidRPr="00EA1375">
        <w:rPr>
          <w:rFonts w:cs="Readex Pro"/>
          <w:sz w:val="20"/>
          <w:szCs w:val="20"/>
        </w:rPr>
        <w:t>aising</w:t>
      </w:r>
      <w:proofErr w:type="spellEnd"/>
      <w:r w:rsidRPr="00EA1375">
        <w:rPr>
          <w:rFonts w:cs="Readex Pro"/>
          <w:sz w:val="20"/>
          <w:szCs w:val="20"/>
        </w:rPr>
        <w:t xml:space="preserve"> the MACR, coupled with an emphasis on strengthened supports that address the drivers of negative behaviours, is considered in the interests of medium- and longer-term community safety</w:t>
      </w:r>
      <w:r w:rsidR="00AB255B">
        <w:rPr>
          <w:rFonts w:cs="Readex Pro"/>
          <w:sz w:val="20"/>
          <w:szCs w:val="20"/>
        </w:rPr>
        <w:t>’</w:t>
      </w:r>
      <w:r w:rsidRPr="00EA1375">
        <w:rPr>
          <w:rFonts w:cs="Readex Pro"/>
          <w:sz w:val="20"/>
          <w:szCs w:val="20"/>
        </w:rPr>
        <w:t>.</w:t>
      </w:r>
      <w:r w:rsidRPr="00EA1375">
        <w:rPr>
          <w:rStyle w:val="FootnoteReference"/>
          <w:rFonts w:cs="Readex Pro"/>
          <w:sz w:val="20"/>
          <w:szCs w:val="20"/>
        </w:rPr>
        <w:footnoteReference w:id="7"/>
      </w:r>
    </w:p>
    <w:p w14:paraId="28429DE2" w14:textId="662EDAC9" w:rsidR="007F1E9F" w:rsidRDefault="00DF5BE8" w:rsidP="00892F24">
      <w:pPr>
        <w:rPr>
          <w:rFonts w:cs="Readex Pro"/>
          <w:sz w:val="20"/>
          <w:szCs w:val="20"/>
        </w:rPr>
      </w:pPr>
      <w:r>
        <w:rPr>
          <w:rFonts w:cs="Readex Pro"/>
          <w:sz w:val="20"/>
          <w:szCs w:val="20"/>
        </w:rPr>
        <w:t>D</w:t>
      </w:r>
      <w:r w:rsidR="007F1E9F" w:rsidRPr="00EA1375">
        <w:rPr>
          <w:rFonts w:cs="Readex Pro"/>
          <w:sz w:val="20"/>
          <w:szCs w:val="20"/>
        </w:rPr>
        <w:t xml:space="preserve">espite this, </w:t>
      </w:r>
      <w:r w:rsidR="007F1E9F">
        <w:rPr>
          <w:rFonts w:cs="Readex Pro"/>
          <w:sz w:val="20"/>
          <w:szCs w:val="20"/>
        </w:rPr>
        <w:t>and while noting the positive changes in the ACT recently raising it to 14 years for most offences</w:t>
      </w:r>
      <w:r w:rsidR="006F341A">
        <w:rPr>
          <w:rFonts w:cs="Readex Pro"/>
          <w:sz w:val="20"/>
          <w:szCs w:val="20"/>
        </w:rPr>
        <w:t xml:space="preserve"> as well as the imminent raising to 12 years in Victoria</w:t>
      </w:r>
      <w:r w:rsidR="007F1E9F">
        <w:rPr>
          <w:rFonts w:cs="Readex Pro"/>
          <w:sz w:val="20"/>
          <w:szCs w:val="20"/>
        </w:rPr>
        <w:t xml:space="preserve">, </w:t>
      </w:r>
      <w:r w:rsidR="007F1E9F" w:rsidRPr="00EA1375">
        <w:rPr>
          <w:rFonts w:cs="Readex Pro"/>
          <w:sz w:val="20"/>
          <w:szCs w:val="20"/>
        </w:rPr>
        <w:t>the MACR currently remains at 10 years in most Australian jurisdictions.</w:t>
      </w:r>
      <w:r w:rsidR="007F1E9F" w:rsidRPr="00EA1375">
        <w:rPr>
          <w:rStyle w:val="FootnoteReference"/>
          <w:rFonts w:cs="Readex Pro"/>
          <w:sz w:val="20"/>
          <w:szCs w:val="20"/>
        </w:rPr>
        <w:footnoteReference w:id="8"/>
      </w:r>
      <w:r w:rsidR="007F1E9F">
        <w:rPr>
          <w:rFonts w:cs="Readex Pro"/>
          <w:sz w:val="20"/>
          <w:szCs w:val="20"/>
        </w:rPr>
        <w:t xml:space="preserve"> This includes in the </w:t>
      </w:r>
      <w:r w:rsidR="00AB255B">
        <w:rPr>
          <w:rFonts w:cs="Readex Pro"/>
          <w:sz w:val="20"/>
          <w:szCs w:val="20"/>
        </w:rPr>
        <w:t>NT</w:t>
      </w:r>
      <w:r w:rsidR="007F1E9F">
        <w:rPr>
          <w:rFonts w:cs="Readex Pro"/>
          <w:sz w:val="20"/>
          <w:szCs w:val="20"/>
        </w:rPr>
        <w:t xml:space="preserve"> where the MACR was reduced to 10 years in 2024, after earlier having been raised to 12.</w:t>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10FE3C14" w14:textId="77777777" w:rsidTr="005F01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0ABD0890" w14:textId="506B921A" w:rsidR="007F1E9F" w:rsidRPr="001B7386" w:rsidRDefault="007F1E9F" w:rsidP="0013605E">
            <w:pPr>
              <w:ind w:left="275"/>
              <w:rPr>
                <w:b w:val="0"/>
                <w:bCs w:val="0"/>
                <w:sz w:val="20"/>
                <w:szCs w:val="20"/>
              </w:rPr>
            </w:pPr>
            <w:r w:rsidRPr="001B7386">
              <w:rPr>
                <w:noProof/>
                <w:sz w:val="20"/>
                <w:szCs w:val="20"/>
              </w:rPr>
              <w:drawing>
                <wp:anchor distT="0" distB="0" distL="114300" distR="114300" simplePos="0" relativeHeight="251833344" behindDoc="1" locked="0" layoutInCell="1" allowOverlap="1" wp14:anchorId="045394D9" wp14:editId="5B94B4F7">
                  <wp:simplePos x="0" y="0"/>
                  <wp:positionH relativeFrom="column">
                    <wp:posOffset>-284109</wp:posOffset>
                  </wp:positionH>
                  <wp:positionV relativeFrom="paragraph">
                    <wp:posOffset>48895</wp:posOffset>
                  </wp:positionV>
                  <wp:extent cx="359410" cy="605155"/>
                  <wp:effectExtent l="0" t="0" r="2540" b="4445"/>
                  <wp:wrapSquare wrapText="bothSides"/>
                  <wp:docPr id="1265419255"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 the status of work to raise the MACR, to ensure it reflects a minimum age of at least 14 years, without exceptions, across Australia.</w:t>
            </w:r>
          </w:p>
        </w:tc>
      </w:tr>
    </w:tbl>
    <w:p w14:paraId="55127A0C" w14:textId="4B24215F" w:rsidR="007F1E9F" w:rsidRPr="00B50F91" w:rsidRDefault="007F1E9F" w:rsidP="00B50F91">
      <w:pPr>
        <w:pStyle w:val="Heading3"/>
        <w:spacing w:before="120"/>
        <w:rPr>
          <w:color w:val="719243" w:themeColor="accent2"/>
        </w:rPr>
      </w:pPr>
      <w:bookmarkStart w:id="43" w:name="_Toc208584100"/>
      <w:r w:rsidRPr="00B50F91">
        <w:rPr>
          <w:color w:val="719243" w:themeColor="accent2"/>
        </w:rPr>
        <w:t xml:space="preserve">Detention of children </w:t>
      </w:r>
      <w:r w:rsidR="00647D4E">
        <w:rPr>
          <w:color w:val="719243" w:themeColor="accent2"/>
        </w:rPr>
        <w:t xml:space="preserve">and young people </w:t>
      </w:r>
      <w:r w:rsidRPr="00B50F91">
        <w:rPr>
          <w:color w:val="719243" w:themeColor="accent2"/>
        </w:rPr>
        <w:t>as a last resort</w:t>
      </w:r>
      <w:bookmarkEnd w:id="43"/>
    </w:p>
    <w:p w14:paraId="0FE7B936"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6BF5A5CA" w14:textId="681C12F5" w:rsidR="007F1E9F" w:rsidRPr="002230B9" w:rsidRDefault="007F1E9F" w:rsidP="00002993">
      <w:pPr>
        <w:rPr>
          <w:rFonts w:cs="Readex Pro"/>
          <w:sz w:val="20"/>
          <w:szCs w:val="20"/>
        </w:rPr>
      </w:pPr>
      <w:r>
        <w:rPr>
          <w:rFonts w:cs="Readex Pro"/>
          <w:sz w:val="20"/>
          <w:szCs w:val="20"/>
        </w:rPr>
        <w:t xml:space="preserve">As well as its central place in international human rights law, </w:t>
      </w:r>
      <w:proofErr w:type="spellStart"/>
      <w:r>
        <w:rPr>
          <w:rFonts w:cs="Readex Pro"/>
          <w:sz w:val="20"/>
          <w:szCs w:val="20"/>
        </w:rPr>
        <w:t>p</w:t>
      </w:r>
      <w:r w:rsidRPr="00EA1375">
        <w:rPr>
          <w:rFonts w:cs="Readex Pro"/>
          <w:sz w:val="20"/>
          <w:szCs w:val="20"/>
        </w:rPr>
        <w:t>ast</w:t>
      </w:r>
      <w:proofErr w:type="spellEnd"/>
      <w:r w:rsidRPr="00EA1375">
        <w:rPr>
          <w:rFonts w:cs="Readex Pro"/>
          <w:sz w:val="20"/>
          <w:szCs w:val="20"/>
        </w:rPr>
        <w:t xml:space="preserve"> Australian inquiries into youth justice have </w:t>
      </w:r>
      <w:r>
        <w:rPr>
          <w:rFonts w:cs="Readex Pro"/>
          <w:sz w:val="20"/>
          <w:szCs w:val="20"/>
        </w:rPr>
        <w:t xml:space="preserve">also </w:t>
      </w:r>
      <w:r w:rsidRPr="00EA1375">
        <w:rPr>
          <w:rFonts w:cs="Readex Pro"/>
          <w:sz w:val="20"/>
          <w:szCs w:val="20"/>
        </w:rPr>
        <w:t xml:space="preserve">commonly </w:t>
      </w:r>
      <w:r w:rsidRPr="002230B9">
        <w:rPr>
          <w:rFonts w:cs="Readex Pro"/>
          <w:sz w:val="20"/>
          <w:szCs w:val="20"/>
        </w:rPr>
        <w:t xml:space="preserve">reinforced the principle that detention of children </w:t>
      </w:r>
      <w:r w:rsidR="008255FB">
        <w:rPr>
          <w:rFonts w:cs="Readex Pro"/>
          <w:sz w:val="20"/>
          <w:szCs w:val="20"/>
        </w:rPr>
        <w:t xml:space="preserve">and young people </w:t>
      </w:r>
      <w:r w:rsidRPr="002230B9">
        <w:rPr>
          <w:rFonts w:cs="Readex Pro"/>
          <w:sz w:val="20"/>
          <w:szCs w:val="20"/>
        </w:rPr>
        <w:t>in the youth justice system must be a last resort.</w:t>
      </w:r>
      <w:r w:rsidRPr="002230B9">
        <w:rPr>
          <w:rStyle w:val="FootnoteReference"/>
          <w:rFonts w:cs="Readex Pro"/>
          <w:sz w:val="20"/>
          <w:szCs w:val="20"/>
        </w:rPr>
        <w:footnoteReference w:id="9"/>
      </w:r>
      <w:r w:rsidRPr="002230B9">
        <w:rPr>
          <w:rFonts w:cs="Readex Pro"/>
          <w:sz w:val="20"/>
          <w:szCs w:val="20"/>
        </w:rPr>
        <w:t xml:space="preserve"> Yet this principle is being eroded in different parts of Australia.</w:t>
      </w:r>
    </w:p>
    <w:p w14:paraId="6B0BA1A9" w14:textId="79A2920E" w:rsidR="007F1E9F" w:rsidRPr="00257524" w:rsidRDefault="007F1E9F" w:rsidP="004541B6">
      <w:pPr>
        <w:pStyle w:val="ListParagraph"/>
        <w:numPr>
          <w:ilvl w:val="0"/>
          <w:numId w:val="4"/>
        </w:numPr>
        <w:rPr>
          <w:rFonts w:cs="Readex Pro"/>
          <w:sz w:val="20"/>
          <w:szCs w:val="20"/>
        </w:rPr>
      </w:pPr>
      <w:r w:rsidRPr="00257524">
        <w:rPr>
          <w:rFonts w:cs="Readex Pro"/>
          <w:sz w:val="20"/>
          <w:szCs w:val="20"/>
        </w:rPr>
        <w:t>In Queensland, legislative changes in 2024 (colloquially known as the ‘</w:t>
      </w:r>
      <w:r w:rsidRPr="00257524">
        <w:rPr>
          <w:rFonts w:cs="Readex Pro"/>
          <w:i/>
          <w:iCs/>
          <w:sz w:val="20"/>
          <w:szCs w:val="20"/>
        </w:rPr>
        <w:t>Adult Crime, Adult Time</w:t>
      </w:r>
      <w:r w:rsidRPr="00257524">
        <w:rPr>
          <w:rFonts w:cs="Readex Pro"/>
          <w:sz w:val="20"/>
          <w:szCs w:val="20"/>
        </w:rPr>
        <w:t>’ laws) removed the explicit sentencing principle that detention should only be used as a last resort, and now require</w:t>
      </w:r>
      <w:r w:rsidR="00DF5BE8">
        <w:rPr>
          <w:rFonts w:cs="Readex Pro"/>
          <w:sz w:val="20"/>
          <w:szCs w:val="20"/>
        </w:rPr>
        <w:t>s</w:t>
      </w:r>
      <w:r w:rsidRPr="00257524">
        <w:rPr>
          <w:rFonts w:cs="Readex Pro"/>
          <w:sz w:val="20"/>
          <w:szCs w:val="20"/>
        </w:rPr>
        <w:t xml:space="preserve"> a court, in sentencing, not to have regard to any principle that detention should only be imposed as a last resort.</w:t>
      </w:r>
      <w:r w:rsidRPr="00EA1375">
        <w:rPr>
          <w:rStyle w:val="FootnoteReference"/>
          <w:rFonts w:cs="Readex Pro"/>
          <w:sz w:val="20"/>
          <w:szCs w:val="20"/>
        </w:rPr>
        <w:footnoteReference w:id="10"/>
      </w:r>
    </w:p>
    <w:p w14:paraId="5FC39347" w14:textId="342A8B1F" w:rsidR="007F1E9F" w:rsidRPr="00257524" w:rsidRDefault="007F1E9F" w:rsidP="004541B6">
      <w:pPr>
        <w:pStyle w:val="ListParagraph"/>
        <w:numPr>
          <w:ilvl w:val="0"/>
          <w:numId w:val="4"/>
        </w:numPr>
        <w:rPr>
          <w:rFonts w:cs="Readex Pro"/>
          <w:sz w:val="20"/>
          <w:szCs w:val="20"/>
        </w:rPr>
      </w:pPr>
      <w:r w:rsidRPr="00257524">
        <w:rPr>
          <w:rFonts w:cs="Readex Pro"/>
          <w:sz w:val="20"/>
          <w:szCs w:val="20"/>
        </w:rPr>
        <w:t xml:space="preserve">In March 2025, amendments to bail laws in Victoria removed the requirement for bail decision makers to </w:t>
      </w:r>
      <w:proofErr w:type="gramStart"/>
      <w:r w:rsidRPr="00257524">
        <w:rPr>
          <w:rFonts w:cs="Readex Pro"/>
          <w:sz w:val="20"/>
          <w:szCs w:val="20"/>
        </w:rPr>
        <w:t>take into account</w:t>
      </w:r>
      <w:proofErr w:type="gramEnd"/>
      <w:r w:rsidRPr="00257524">
        <w:rPr>
          <w:rFonts w:cs="Readex Pro"/>
          <w:sz w:val="20"/>
          <w:szCs w:val="20"/>
        </w:rPr>
        <w:t xml:space="preserve"> that the remand of a child </w:t>
      </w:r>
      <w:r w:rsidR="00647D4E">
        <w:rPr>
          <w:rFonts w:cs="Readex Pro"/>
          <w:sz w:val="20"/>
          <w:szCs w:val="20"/>
        </w:rPr>
        <w:t xml:space="preserve">or young person </w:t>
      </w:r>
      <w:r w:rsidRPr="00257524">
        <w:rPr>
          <w:rFonts w:cs="Readex Pro"/>
          <w:sz w:val="20"/>
          <w:szCs w:val="20"/>
        </w:rPr>
        <w:t>be a last resort.</w:t>
      </w:r>
      <w:r w:rsidRPr="00EA1375">
        <w:rPr>
          <w:rStyle w:val="FootnoteReference"/>
          <w:rFonts w:cs="Readex Pro"/>
          <w:sz w:val="20"/>
          <w:szCs w:val="20"/>
        </w:rPr>
        <w:footnoteReference w:id="11"/>
      </w:r>
    </w:p>
    <w:p w14:paraId="611F6B89" w14:textId="41EC6133" w:rsidR="007F1E9F" w:rsidRPr="00072833" w:rsidRDefault="007F1E9F" w:rsidP="004541B6">
      <w:pPr>
        <w:pStyle w:val="ListParagraph"/>
        <w:numPr>
          <w:ilvl w:val="0"/>
          <w:numId w:val="4"/>
        </w:numPr>
        <w:rPr>
          <w:rFonts w:cs="Readex Pro"/>
          <w:sz w:val="20"/>
          <w:szCs w:val="20"/>
        </w:rPr>
      </w:pPr>
      <w:r w:rsidRPr="00072833">
        <w:rPr>
          <w:rFonts w:cs="Readex Pro"/>
          <w:sz w:val="20"/>
          <w:szCs w:val="20"/>
        </w:rPr>
        <w:lastRenderedPageBreak/>
        <w:t>In May 2025, in the NT the general principle of detention as a last resort was removed from youth justice legislation in the course of bail law amendments.</w:t>
      </w:r>
      <w:r w:rsidRPr="00EA1375">
        <w:rPr>
          <w:rStyle w:val="FootnoteReference"/>
          <w:rFonts w:cs="Readex Pro"/>
          <w:sz w:val="20"/>
          <w:szCs w:val="20"/>
        </w:rPr>
        <w:footnoteReference w:id="12"/>
      </w:r>
      <w:r w:rsidRPr="00072833">
        <w:rPr>
          <w:rFonts w:cs="Readex Pro"/>
          <w:sz w:val="20"/>
          <w:szCs w:val="20"/>
        </w:rPr>
        <w:t xml:space="preserve"> Further legislative amendments, which passed the NT Parliament in July 2025</w:t>
      </w:r>
      <w:r w:rsidR="00830FEC">
        <w:rPr>
          <w:rFonts w:cs="Readex Pro"/>
          <w:sz w:val="20"/>
          <w:szCs w:val="20"/>
        </w:rPr>
        <w:t xml:space="preserve"> and came into force in September 2025</w:t>
      </w:r>
      <w:r w:rsidRPr="00072833">
        <w:rPr>
          <w:rFonts w:cs="Readex Pro"/>
          <w:sz w:val="20"/>
          <w:szCs w:val="20"/>
        </w:rPr>
        <w:t>, remove</w:t>
      </w:r>
      <w:r w:rsidR="00830FEC">
        <w:rPr>
          <w:rFonts w:cs="Readex Pro"/>
          <w:sz w:val="20"/>
          <w:szCs w:val="20"/>
        </w:rPr>
        <w:t>d</w:t>
      </w:r>
      <w:r w:rsidRPr="00072833">
        <w:rPr>
          <w:rFonts w:cs="Readex Pro"/>
          <w:sz w:val="20"/>
          <w:szCs w:val="20"/>
        </w:rPr>
        <w:t xml:space="preserve"> the specific requirement in the same legislation that a court must impose a sentence of detention or imprisonment on a child </w:t>
      </w:r>
      <w:r w:rsidR="00647D4E">
        <w:rPr>
          <w:rFonts w:cs="Readex Pro"/>
          <w:sz w:val="20"/>
          <w:szCs w:val="20"/>
        </w:rPr>
        <w:t xml:space="preserve">or young person </w:t>
      </w:r>
      <w:r w:rsidRPr="00072833">
        <w:rPr>
          <w:rFonts w:cs="Readex Pro"/>
          <w:sz w:val="20"/>
          <w:szCs w:val="20"/>
        </w:rPr>
        <w:t>only as a last resort.</w:t>
      </w:r>
      <w:r>
        <w:rPr>
          <w:rStyle w:val="FootnoteReference"/>
          <w:rFonts w:cs="Readex Pro"/>
          <w:sz w:val="20"/>
          <w:szCs w:val="20"/>
        </w:rPr>
        <w:footnoteReference w:id="13"/>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1F77E782"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7F3E98C6" w14:textId="01B42280" w:rsidR="007F1E9F" w:rsidRPr="001B7386" w:rsidRDefault="007F1E9F" w:rsidP="0013605E">
            <w:pPr>
              <w:ind w:left="275"/>
              <w:rPr>
                <w:b w:val="0"/>
                <w:bCs w:val="0"/>
                <w:sz w:val="20"/>
                <w:szCs w:val="20"/>
              </w:rPr>
            </w:pPr>
            <w:r w:rsidRPr="001B7386">
              <w:rPr>
                <w:noProof/>
                <w:sz w:val="20"/>
                <w:szCs w:val="20"/>
              </w:rPr>
              <w:drawing>
                <wp:anchor distT="0" distB="0" distL="114300" distR="114300" simplePos="0" relativeHeight="251832320" behindDoc="1" locked="0" layoutInCell="1" allowOverlap="1" wp14:anchorId="55F91834" wp14:editId="53D008C4">
                  <wp:simplePos x="0" y="0"/>
                  <wp:positionH relativeFrom="column">
                    <wp:posOffset>-298821</wp:posOffset>
                  </wp:positionH>
                  <wp:positionV relativeFrom="paragraph">
                    <wp:posOffset>49530</wp:posOffset>
                  </wp:positionV>
                  <wp:extent cx="359410" cy="605155"/>
                  <wp:effectExtent l="0" t="0" r="2540" b="4445"/>
                  <wp:wrapSquare wrapText="bothSides"/>
                  <wp:docPr id="1377860109"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 measures to ensure the principle that detention of children</w:t>
            </w:r>
            <w:r w:rsidR="00647D4E" w:rsidRPr="001B7386">
              <w:rPr>
                <w:sz w:val="20"/>
                <w:szCs w:val="20"/>
              </w:rPr>
              <w:t xml:space="preserve"> and young people</w:t>
            </w:r>
            <w:r w:rsidRPr="001B7386">
              <w:rPr>
                <w:sz w:val="20"/>
                <w:szCs w:val="20"/>
              </w:rPr>
              <w:t xml:space="preserve"> is a last resort, is legislatively protected and respected in practice in all Australian jurisdictions.</w:t>
            </w:r>
          </w:p>
        </w:tc>
      </w:tr>
    </w:tbl>
    <w:p w14:paraId="6C579DA0" w14:textId="48F74963" w:rsidR="007F1E9F" w:rsidRPr="00B50F91" w:rsidRDefault="007F1E9F" w:rsidP="00B50F91">
      <w:pPr>
        <w:pStyle w:val="Heading3"/>
        <w:spacing w:before="120"/>
        <w:rPr>
          <w:color w:val="719243" w:themeColor="accent2"/>
        </w:rPr>
      </w:pPr>
      <w:bookmarkStart w:id="44" w:name="_Toc208584101"/>
      <w:r w:rsidRPr="00B50F91">
        <w:rPr>
          <w:color w:val="719243" w:themeColor="accent2"/>
        </w:rPr>
        <w:t>Youth detention population</w:t>
      </w:r>
      <w:bookmarkEnd w:id="44"/>
    </w:p>
    <w:p w14:paraId="13FEB66B"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31E0C052" w14:textId="58D8F41C" w:rsidR="007F1E9F" w:rsidRPr="00133A29" w:rsidRDefault="007F1E9F" w:rsidP="00232E7B">
      <w:pPr>
        <w:rPr>
          <w:rFonts w:cs="Readex Pro"/>
          <w:sz w:val="20"/>
          <w:szCs w:val="20"/>
        </w:rPr>
      </w:pPr>
      <w:r>
        <w:rPr>
          <w:rFonts w:cs="Readex Pro"/>
          <w:sz w:val="20"/>
          <w:szCs w:val="20"/>
        </w:rPr>
        <w:t xml:space="preserve">Various </w:t>
      </w:r>
      <w:r w:rsidRPr="00133A29">
        <w:rPr>
          <w:rFonts w:cs="Readex Pro"/>
          <w:sz w:val="20"/>
          <w:szCs w:val="20"/>
        </w:rPr>
        <w:t>recent developments in Australia are impacting, or are likely to impact</w:t>
      </w:r>
      <w:r w:rsidR="00830FEC">
        <w:rPr>
          <w:rFonts w:cs="Readex Pro"/>
          <w:sz w:val="20"/>
          <w:szCs w:val="20"/>
        </w:rPr>
        <w:t xml:space="preserve"> and increase</w:t>
      </w:r>
      <w:r w:rsidRPr="00133A29">
        <w:rPr>
          <w:rFonts w:cs="Readex Pro"/>
          <w:sz w:val="20"/>
          <w:szCs w:val="20"/>
        </w:rPr>
        <w:t xml:space="preserve">, the number of children </w:t>
      </w:r>
      <w:r w:rsidR="008255FB">
        <w:rPr>
          <w:rFonts w:cs="Readex Pro"/>
          <w:sz w:val="20"/>
          <w:szCs w:val="20"/>
        </w:rPr>
        <w:t xml:space="preserve">and young people </w:t>
      </w:r>
      <w:r w:rsidRPr="00133A29">
        <w:rPr>
          <w:rFonts w:cs="Readex Pro"/>
          <w:sz w:val="20"/>
          <w:szCs w:val="20"/>
        </w:rPr>
        <w:t>being detained in Australia. This puts upward pressure on custodial detention populations, which heightens risks of mistreatment, undermining governments’ preventive obligations towards torture and other ill treatment.</w:t>
      </w:r>
    </w:p>
    <w:p w14:paraId="641913A5" w14:textId="5E34127F" w:rsidR="007F1E9F" w:rsidRPr="004156D6" w:rsidRDefault="007F1E9F" w:rsidP="008E32BB">
      <w:pPr>
        <w:pStyle w:val="Heading4"/>
        <w:rPr>
          <w:rFonts w:cs="Readex Pro"/>
          <w:b/>
          <w:bCs/>
        </w:rPr>
      </w:pPr>
      <w:r w:rsidRPr="004156D6">
        <w:rPr>
          <w:b/>
          <w:bCs/>
        </w:rPr>
        <w:t>Unsentenced detention, and bail</w:t>
      </w:r>
    </w:p>
    <w:p w14:paraId="7BB08408" w14:textId="2FD0694B" w:rsidR="007F1E9F" w:rsidRPr="00133A29" w:rsidRDefault="007F1E9F" w:rsidP="00533444">
      <w:pPr>
        <w:rPr>
          <w:rFonts w:cs="Readex Pro"/>
          <w:sz w:val="20"/>
          <w:szCs w:val="20"/>
        </w:rPr>
      </w:pPr>
      <w:r w:rsidRPr="00133A29">
        <w:rPr>
          <w:rFonts w:cs="Readex Pro"/>
          <w:sz w:val="20"/>
          <w:szCs w:val="20"/>
        </w:rPr>
        <w:t>The overwhelming majority of children</w:t>
      </w:r>
      <w:r w:rsidR="00647D4E" w:rsidRPr="00647D4E">
        <w:rPr>
          <w:rFonts w:cs="Readex Pro"/>
          <w:sz w:val="20"/>
          <w:szCs w:val="20"/>
        </w:rPr>
        <w:t xml:space="preserve"> </w:t>
      </w:r>
      <w:r w:rsidR="00647D4E">
        <w:rPr>
          <w:rFonts w:cs="Readex Pro"/>
          <w:sz w:val="20"/>
          <w:szCs w:val="20"/>
        </w:rPr>
        <w:t>and young people</w:t>
      </w:r>
      <w:r w:rsidRPr="00133A29">
        <w:rPr>
          <w:rFonts w:cs="Readex Pro"/>
          <w:sz w:val="20"/>
          <w:szCs w:val="20"/>
        </w:rPr>
        <w:t xml:space="preserve"> in custodial detention in Australia are unsentenced</w:t>
      </w:r>
      <w:r w:rsidR="005D1836">
        <w:rPr>
          <w:rFonts w:cs="Readex Pro"/>
          <w:sz w:val="20"/>
          <w:szCs w:val="20"/>
        </w:rPr>
        <w:t xml:space="preserve">: </w:t>
      </w:r>
      <w:r w:rsidR="005D1836" w:rsidRPr="00133A29">
        <w:rPr>
          <w:rFonts w:cs="Readex Pro"/>
          <w:sz w:val="20"/>
          <w:szCs w:val="20"/>
        </w:rPr>
        <w:t>on an average night in 2023–24, 80% of children and young people in criminal custody were unsentenced.</w:t>
      </w:r>
      <w:r w:rsidR="005D1836" w:rsidRPr="00133A29">
        <w:rPr>
          <w:rFonts w:cs="Readex Pro"/>
          <w:sz w:val="20"/>
          <w:szCs w:val="20"/>
          <w:vertAlign w:val="superscript"/>
        </w:rPr>
        <w:footnoteReference w:id="14"/>
      </w:r>
      <w:r w:rsidR="005D1836">
        <w:rPr>
          <w:rFonts w:cs="Readex Pro"/>
          <w:sz w:val="20"/>
          <w:szCs w:val="20"/>
        </w:rPr>
        <w:t xml:space="preserve"> On an average day in</w:t>
      </w:r>
      <w:r w:rsidRPr="005B7757">
        <w:rPr>
          <w:rFonts w:cs="Readex Pro"/>
          <w:sz w:val="20"/>
          <w:szCs w:val="20"/>
        </w:rPr>
        <w:t xml:space="preserve"> the NT</w:t>
      </w:r>
      <w:r w:rsidR="005D1836">
        <w:rPr>
          <w:rFonts w:cs="Readex Pro"/>
          <w:sz w:val="20"/>
          <w:szCs w:val="20"/>
        </w:rPr>
        <w:t xml:space="preserve">, </w:t>
      </w:r>
      <w:r w:rsidRPr="005B7757">
        <w:rPr>
          <w:rFonts w:cs="Readex Pro"/>
          <w:sz w:val="20"/>
          <w:szCs w:val="20"/>
        </w:rPr>
        <w:t>99% of the children and young people in detention are unsentenced.</w:t>
      </w:r>
      <w:r w:rsidRPr="005B7757">
        <w:rPr>
          <w:rFonts w:cs="Readex Pro"/>
          <w:sz w:val="20"/>
          <w:szCs w:val="20"/>
          <w:vertAlign w:val="superscript"/>
        </w:rPr>
        <w:footnoteReference w:id="15"/>
      </w:r>
    </w:p>
    <w:p w14:paraId="029F7956" w14:textId="71503367" w:rsidR="00FF7A62" w:rsidRDefault="00830FEC" w:rsidP="00594C57">
      <w:pPr>
        <w:rPr>
          <w:rFonts w:cs="Readex Pro"/>
          <w:sz w:val="20"/>
          <w:szCs w:val="20"/>
        </w:rPr>
      </w:pPr>
      <w:proofErr w:type="gramStart"/>
      <w:r w:rsidRPr="00830FEC">
        <w:rPr>
          <w:rFonts w:cs="Readex Pro"/>
          <w:sz w:val="20"/>
          <w:szCs w:val="20"/>
        </w:rPr>
        <w:t>The vast majority of</w:t>
      </w:r>
      <w:proofErr w:type="gramEnd"/>
      <w:r w:rsidRPr="00830FEC">
        <w:rPr>
          <w:rFonts w:cs="Readex Pro"/>
          <w:sz w:val="20"/>
          <w:szCs w:val="20"/>
        </w:rPr>
        <w:t xml:space="preserve"> children and young people being remanded in custody in Australia present with complex and intersecting needs</w:t>
      </w:r>
      <w:r>
        <w:rPr>
          <w:rFonts w:cs="Readex Pro"/>
          <w:sz w:val="20"/>
          <w:szCs w:val="20"/>
        </w:rPr>
        <w:t>,</w:t>
      </w:r>
      <w:r w:rsidRPr="00830FEC">
        <w:rPr>
          <w:rFonts w:cs="Readex Pro"/>
          <w:sz w:val="20"/>
          <w:szCs w:val="20"/>
        </w:rPr>
        <w:t xml:space="preserve"> and significant adverse childhood experiences and trauma. These include:</w:t>
      </w:r>
    </w:p>
    <w:p w14:paraId="1B009AC0" w14:textId="10C9A17F" w:rsidR="00FF7A62" w:rsidRDefault="007F1E9F" w:rsidP="004541B6">
      <w:pPr>
        <w:pStyle w:val="ListParagraph"/>
        <w:numPr>
          <w:ilvl w:val="0"/>
          <w:numId w:val="6"/>
        </w:numPr>
        <w:rPr>
          <w:rFonts w:cs="Readex Pro"/>
          <w:sz w:val="20"/>
          <w:szCs w:val="20"/>
        </w:rPr>
      </w:pPr>
      <w:r w:rsidRPr="00F926F8">
        <w:rPr>
          <w:rFonts w:cs="Readex Pro"/>
          <w:sz w:val="20"/>
          <w:szCs w:val="20"/>
        </w:rPr>
        <w:t>a lack of safe and stable accommodation</w:t>
      </w:r>
    </w:p>
    <w:p w14:paraId="76897BA6" w14:textId="725428A4" w:rsidR="00FF7A62" w:rsidRDefault="007F1E9F" w:rsidP="004541B6">
      <w:pPr>
        <w:pStyle w:val="ListParagraph"/>
        <w:numPr>
          <w:ilvl w:val="0"/>
          <w:numId w:val="6"/>
        </w:numPr>
        <w:rPr>
          <w:rFonts w:cs="Readex Pro"/>
          <w:sz w:val="20"/>
          <w:szCs w:val="20"/>
        </w:rPr>
      </w:pPr>
      <w:r w:rsidRPr="00F926F8">
        <w:rPr>
          <w:rFonts w:cs="Readex Pro"/>
          <w:sz w:val="20"/>
          <w:szCs w:val="20"/>
        </w:rPr>
        <w:t>mental health concerns</w:t>
      </w:r>
    </w:p>
    <w:p w14:paraId="0B7B8A46" w14:textId="16852EBE" w:rsidR="00FF7A62" w:rsidRDefault="007F1E9F" w:rsidP="004541B6">
      <w:pPr>
        <w:pStyle w:val="ListParagraph"/>
        <w:numPr>
          <w:ilvl w:val="0"/>
          <w:numId w:val="6"/>
        </w:numPr>
        <w:rPr>
          <w:rFonts w:cs="Readex Pro"/>
          <w:sz w:val="20"/>
          <w:szCs w:val="20"/>
        </w:rPr>
      </w:pPr>
      <w:r w:rsidRPr="00F926F8">
        <w:rPr>
          <w:rFonts w:cs="Readex Pro"/>
          <w:sz w:val="20"/>
          <w:szCs w:val="20"/>
        </w:rPr>
        <w:t>disability</w:t>
      </w:r>
    </w:p>
    <w:p w14:paraId="0460B982" w14:textId="0E5EE20E" w:rsidR="00FF7A62" w:rsidRDefault="007F1E9F" w:rsidP="004541B6">
      <w:pPr>
        <w:pStyle w:val="ListParagraph"/>
        <w:numPr>
          <w:ilvl w:val="0"/>
          <w:numId w:val="6"/>
        </w:numPr>
        <w:rPr>
          <w:rFonts w:cs="Readex Pro"/>
          <w:sz w:val="20"/>
          <w:szCs w:val="20"/>
        </w:rPr>
      </w:pPr>
      <w:r w:rsidRPr="00F926F8">
        <w:rPr>
          <w:rFonts w:cs="Readex Pro"/>
          <w:sz w:val="20"/>
          <w:szCs w:val="20"/>
        </w:rPr>
        <w:t>alcohol and other drug abuse problems</w:t>
      </w:r>
    </w:p>
    <w:p w14:paraId="60FCA5BB" w14:textId="5F4CC84E" w:rsidR="00FF7A62" w:rsidRDefault="007F1E9F" w:rsidP="004541B6">
      <w:pPr>
        <w:pStyle w:val="ListParagraph"/>
        <w:numPr>
          <w:ilvl w:val="0"/>
          <w:numId w:val="6"/>
        </w:numPr>
        <w:rPr>
          <w:rFonts w:cs="Readex Pro"/>
          <w:sz w:val="20"/>
          <w:szCs w:val="20"/>
        </w:rPr>
      </w:pPr>
      <w:r w:rsidRPr="00F926F8">
        <w:rPr>
          <w:rFonts w:cs="Readex Pro"/>
          <w:sz w:val="20"/>
          <w:szCs w:val="20"/>
        </w:rPr>
        <w:t>a history of child maltreatment and</w:t>
      </w:r>
    </w:p>
    <w:p w14:paraId="3723BDA6" w14:textId="2813A98F" w:rsidR="007F1E9F" w:rsidRPr="00F926F8" w:rsidRDefault="007F1E9F" w:rsidP="004541B6">
      <w:pPr>
        <w:pStyle w:val="ListParagraph"/>
        <w:numPr>
          <w:ilvl w:val="0"/>
          <w:numId w:val="6"/>
        </w:numPr>
        <w:rPr>
          <w:rFonts w:cs="Readex Pro"/>
          <w:sz w:val="20"/>
          <w:szCs w:val="20"/>
        </w:rPr>
      </w:pPr>
      <w:r w:rsidRPr="00F926F8">
        <w:rPr>
          <w:rFonts w:cs="Readex Pro"/>
          <w:sz w:val="20"/>
          <w:szCs w:val="20"/>
        </w:rPr>
        <w:t>interaction with the child protection system.</w:t>
      </w:r>
      <w:r w:rsidRPr="00133A29">
        <w:rPr>
          <w:vertAlign w:val="superscript"/>
        </w:rPr>
        <w:footnoteReference w:id="16"/>
      </w:r>
    </w:p>
    <w:p w14:paraId="7AAA9B71" w14:textId="44763445" w:rsidR="007F1E9F" w:rsidRPr="00133A29" w:rsidRDefault="005B3B23" w:rsidP="008256AB">
      <w:pPr>
        <w:rPr>
          <w:rFonts w:cs="Readex Pro"/>
          <w:sz w:val="20"/>
          <w:szCs w:val="20"/>
        </w:rPr>
      </w:pPr>
      <w:r w:rsidRPr="00133A29">
        <w:rPr>
          <w:rFonts w:cs="Readex Pro"/>
          <w:sz w:val="20"/>
          <w:szCs w:val="20"/>
        </w:rPr>
        <w:t xml:space="preserve">In </w:t>
      </w:r>
      <w:r w:rsidR="00AB255B">
        <w:rPr>
          <w:rFonts w:cs="Readex Pro"/>
          <w:sz w:val="20"/>
          <w:szCs w:val="20"/>
        </w:rPr>
        <w:t>New South Wales (NSW)</w:t>
      </w:r>
      <w:r w:rsidRPr="00133A29">
        <w:rPr>
          <w:rFonts w:cs="Readex Pro"/>
          <w:sz w:val="20"/>
          <w:szCs w:val="20"/>
        </w:rPr>
        <w:t xml:space="preserve">, the number of </w:t>
      </w:r>
      <w:r w:rsidR="008255FB">
        <w:rPr>
          <w:rFonts w:cs="Readex Pro"/>
          <w:sz w:val="20"/>
          <w:szCs w:val="20"/>
        </w:rPr>
        <w:t xml:space="preserve">children and </w:t>
      </w:r>
      <w:r w:rsidRPr="00133A29">
        <w:rPr>
          <w:rFonts w:cs="Readex Pro"/>
          <w:sz w:val="20"/>
          <w:szCs w:val="20"/>
        </w:rPr>
        <w:t>young people in custody increased by 34% between June 2023 and June 2025.</w:t>
      </w:r>
      <w:r w:rsidRPr="00133A29">
        <w:rPr>
          <w:rStyle w:val="FootnoteReference"/>
          <w:rFonts w:cs="Readex Pro"/>
          <w:sz w:val="20"/>
          <w:szCs w:val="20"/>
        </w:rPr>
        <w:footnoteReference w:id="17"/>
      </w:r>
      <w:r>
        <w:rPr>
          <w:rFonts w:cs="Readex Pro"/>
          <w:sz w:val="20"/>
          <w:szCs w:val="20"/>
        </w:rPr>
        <w:t xml:space="preserve"> </w:t>
      </w:r>
      <w:r w:rsidR="007F1E9F" w:rsidRPr="005B7757">
        <w:rPr>
          <w:rFonts w:cs="Readex Pro"/>
          <w:sz w:val="20"/>
          <w:szCs w:val="20"/>
        </w:rPr>
        <w:t>The Aboriginal Legal Service (NSW/ACT) observed that recent changes to bail laws in NSW were resulting in many Aboriginal children</w:t>
      </w:r>
      <w:r w:rsidR="00647D4E" w:rsidRPr="00647D4E">
        <w:rPr>
          <w:rFonts w:cs="Readex Pro"/>
          <w:sz w:val="20"/>
          <w:szCs w:val="20"/>
        </w:rPr>
        <w:t xml:space="preserve"> </w:t>
      </w:r>
      <w:r w:rsidR="00647D4E">
        <w:rPr>
          <w:rFonts w:cs="Readex Pro"/>
          <w:sz w:val="20"/>
          <w:szCs w:val="20"/>
        </w:rPr>
        <w:t>and young people</w:t>
      </w:r>
      <w:r w:rsidR="007F1E9F" w:rsidRPr="005B7757">
        <w:rPr>
          <w:rFonts w:cs="Readex Pro"/>
          <w:sz w:val="20"/>
          <w:szCs w:val="20"/>
        </w:rPr>
        <w:t xml:space="preserve"> being held in unsentenced detention for crimes which would never attract a jail sentence if convicted, and being exposed to ‘an apprenticeship in more serious offending in custody’.</w:t>
      </w:r>
      <w:r w:rsidR="007F1E9F" w:rsidRPr="005B7757">
        <w:rPr>
          <w:rFonts w:cs="Readex Pro"/>
          <w:sz w:val="20"/>
          <w:szCs w:val="20"/>
          <w:vertAlign w:val="superscript"/>
        </w:rPr>
        <w:footnoteReference w:id="18"/>
      </w:r>
      <w:r w:rsidR="007F1E9F" w:rsidRPr="00133A29">
        <w:rPr>
          <w:rFonts w:cs="Readex Pro"/>
          <w:sz w:val="20"/>
          <w:szCs w:val="20"/>
        </w:rPr>
        <w:t xml:space="preserve"> </w:t>
      </w:r>
    </w:p>
    <w:p w14:paraId="41ECC027" w14:textId="631FCDA6" w:rsidR="007F1E9F" w:rsidRPr="005B7757" w:rsidRDefault="007F1E9F" w:rsidP="009A744B">
      <w:pPr>
        <w:rPr>
          <w:rFonts w:cs="Readex Pro"/>
          <w:sz w:val="20"/>
          <w:szCs w:val="20"/>
        </w:rPr>
      </w:pPr>
      <w:r w:rsidRPr="005B7757">
        <w:rPr>
          <w:rFonts w:cs="Readex Pro"/>
          <w:sz w:val="20"/>
          <w:szCs w:val="20"/>
        </w:rPr>
        <w:lastRenderedPageBreak/>
        <w:t>In March 2025, the</w:t>
      </w:r>
      <w:r w:rsidR="00AB255B">
        <w:rPr>
          <w:rFonts w:cs="Readex Pro"/>
          <w:sz w:val="20"/>
          <w:szCs w:val="20"/>
        </w:rPr>
        <w:t xml:space="preserve"> </w:t>
      </w:r>
      <w:r w:rsidRPr="005B7757">
        <w:rPr>
          <w:rFonts w:cs="Readex Pro"/>
          <w:sz w:val="20"/>
          <w:szCs w:val="20"/>
        </w:rPr>
        <w:t xml:space="preserve">SA Government released its ‘Young Offender Plan’ which will include review of the </w:t>
      </w:r>
      <w:r w:rsidRPr="005B7757">
        <w:rPr>
          <w:rFonts w:cs="Readex Pro"/>
          <w:i/>
          <w:iCs/>
          <w:sz w:val="20"/>
          <w:szCs w:val="20"/>
        </w:rPr>
        <w:t>Bail Act 1985</w:t>
      </w:r>
      <w:r w:rsidRPr="005B7757">
        <w:rPr>
          <w:rFonts w:cs="Readex Pro"/>
          <w:sz w:val="20"/>
          <w:szCs w:val="20"/>
        </w:rPr>
        <w:t xml:space="preserve"> (SA), changes to sentencing, and proposed legislation that would expand police powers to target ‘youth gangs’.</w:t>
      </w:r>
      <w:r w:rsidRPr="005B7757">
        <w:rPr>
          <w:rFonts w:cs="Readex Pro"/>
          <w:sz w:val="20"/>
          <w:szCs w:val="20"/>
          <w:vertAlign w:val="superscript"/>
        </w:rPr>
        <w:footnoteReference w:id="19"/>
      </w:r>
      <w:r w:rsidRPr="005B7757">
        <w:rPr>
          <w:rFonts w:cs="Readex Pro"/>
          <w:sz w:val="20"/>
          <w:szCs w:val="20"/>
        </w:rPr>
        <w:t xml:space="preserve"> The SA TCV is concerned these proposals will lead to more children</w:t>
      </w:r>
      <w:r w:rsidR="00647D4E" w:rsidRPr="00647D4E">
        <w:rPr>
          <w:rFonts w:cs="Readex Pro"/>
          <w:sz w:val="20"/>
          <w:szCs w:val="20"/>
        </w:rPr>
        <w:t xml:space="preserve"> </w:t>
      </w:r>
      <w:r w:rsidR="00647D4E">
        <w:rPr>
          <w:rFonts w:cs="Readex Pro"/>
          <w:sz w:val="20"/>
          <w:szCs w:val="20"/>
        </w:rPr>
        <w:t>and young people</w:t>
      </w:r>
      <w:r w:rsidRPr="005B7757">
        <w:rPr>
          <w:rFonts w:cs="Readex Pro"/>
          <w:sz w:val="20"/>
          <w:szCs w:val="20"/>
        </w:rPr>
        <w:t xml:space="preserve"> on remand, overcrowded detention, and a devastating rise in the incarceration of Aboriginal and African-Australian children and young people.</w:t>
      </w:r>
      <w:r w:rsidRPr="005B7757">
        <w:rPr>
          <w:rFonts w:cs="Readex Pro"/>
          <w:sz w:val="20"/>
          <w:szCs w:val="20"/>
          <w:vertAlign w:val="superscript"/>
        </w:rPr>
        <w:footnoteReference w:id="20"/>
      </w:r>
    </w:p>
    <w:p w14:paraId="38394308" w14:textId="2FD5DF2C" w:rsidR="007A6C15" w:rsidRDefault="00147C08" w:rsidP="002A64CF">
      <w:pPr>
        <w:rPr>
          <w:rFonts w:cs="Readex Pro"/>
          <w:sz w:val="20"/>
          <w:szCs w:val="20"/>
        </w:rPr>
      </w:pPr>
      <w:r>
        <w:rPr>
          <w:rFonts w:cs="Readex Pro"/>
          <w:sz w:val="20"/>
          <w:szCs w:val="20"/>
        </w:rPr>
        <w:t>Based on research conducted by the ACT Custodial Inspector, t</w:t>
      </w:r>
      <w:r w:rsidR="007F1E9F" w:rsidRPr="005B7757">
        <w:rPr>
          <w:rFonts w:cs="Readex Pro"/>
          <w:sz w:val="20"/>
          <w:szCs w:val="20"/>
        </w:rPr>
        <w:t xml:space="preserve">he </w:t>
      </w:r>
      <w:r w:rsidR="007F1E9F">
        <w:rPr>
          <w:rFonts w:cs="Readex Pro"/>
          <w:sz w:val="20"/>
          <w:szCs w:val="20"/>
        </w:rPr>
        <w:t>ACT NPM has</w:t>
      </w:r>
      <w:r w:rsidR="007F1E9F" w:rsidRPr="005B7757">
        <w:rPr>
          <w:rFonts w:cs="Readex Pro"/>
          <w:sz w:val="20"/>
          <w:szCs w:val="20"/>
        </w:rPr>
        <w:t xml:space="preserve"> observed a trend </w:t>
      </w:r>
      <w:r w:rsidR="007F1E9F">
        <w:rPr>
          <w:rFonts w:cs="Readex Pro"/>
          <w:sz w:val="20"/>
          <w:szCs w:val="20"/>
        </w:rPr>
        <w:t xml:space="preserve">in the ACT </w:t>
      </w:r>
      <w:r w:rsidR="007F1E9F" w:rsidRPr="005B7757">
        <w:rPr>
          <w:rFonts w:cs="Readex Pro"/>
          <w:sz w:val="20"/>
          <w:szCs w:val="20"/>
        </w:rPr>
        <w:t xml:space="preserve">of </w:t>
      </w:r>
      <w:r w:rsidR="008255FB">
        <w:rPr>
          <w:rFonts w:cs="Readex Pro"/>
          <w:sz w:val="20"/>
          <w:szCs w:val="20"/>
        </w:rPr>
        <w:t xml:space="preserve">children and </w:t>
      </w:r>
      <w:r w:rsidR="007F1E9F" w:rsidRPr="005B7757">
        <w:rPr>
          <w:rFonts w:cs="Readex Pro"/>
          <w:sz w:val="20"/>
          <w:szCs w:val="20"/>
        </w:rPr>
        <w:t xml:space="preserve">young people being arrested, refused police bail and then bailed by the Children’s Court shortly after. More than half of </w:t>
      </w:r>
      <w:r w:rsidR="007F1E9F">
        <w:rPr>
          <w:rFonts w:cs="Readex Pro"/>
          <w:sz w:val="20"/>
          <w:szCs w:val="20"/>
        </w:rPr>
        <w:t xml:space="preserve">ACT </w:t>
      </w:r>
      <w:r w:rsidR="007F1E9F" w:rsidRPr="005B7757">
        <w:rPr>
          <w:rFonts w:cs="Readex Pro"/>
          <w:sz w:val="20"/>
          <w:szCs w:val="20"/>
        </w:rPr>
        <w:t xml:space="preserve">youth detention re-admissions were due to alleged breaches of bail. </w:t>
      </w:r>
      <w:r w:rsidR="007A6C15">
        <w:rPr>
          <w:rFonts w:cs="Readex Pro"/>
          <w:sz w:val="20"/>
          <w:szCs w:val="20"/>
        </w:rPr>
        <w:t>C</w:t>
      </w:r>
      <w:r w:rsidR="007A6C15" w:rsidRPr="005B7757">
        <w:rPr>
          <w:rFonts w:cs="Readex Pro"/>
          <w:sz w:val="20"/>
          <w:szCs w:val="20"/>
        </w:rPr>
        <w:t>ontributing to this unnecessary cycle of detention</w:t>
      </w:r>
      <w:r w:rsidR="007A6C15">
        <w:rPr>
          <w:rFonts w:cs="Readex Pro"/>
          <w:sz w:val="20"/>
          <w:szCs w:val="20"/>
        </w:rPr>
        <w:t xml:space="preserve"> were:</w:t>
      </w:r>
    </w:p>
    <w:p w14:paraId="3F14B158" w14:textId="14DD2A02" w:rsidR="007A6C15" w:rsidRDefault="007A6C15" w:rsidP="004541B6">
      <w:pPr>
        <w:pStyle w:val="ListParagraph"/>
        <w:numPr>
          <w:ilvl w:val="0"/>
          <w:numId w:val="7"/>
        </w:numPr>
        <w:rPr>
          <w:rFonts w:cs="Readex Pro"/>
          <w:sz w:val="20"/>
          <w:szCs w:val="20"/>
        </w:rPr>
      </w:pPr>
      <w:r>
        <w:rPr>
          <w:rFonts w:cs="Readex Pro"/>
          <w:sz w:val="20"/>
          <w:szCs w:val="20"/>
        </w:rPr>
        <w:t>t</w:t>
      </w:r>
      <w:r w:rsidR="007F1E9F" w:rsidRPr="007A6C15">
        <w:rPr>
          <w:rFonts w:cs="Readex Pro"/>
          <w:sz w:val="20"/>
          <w:szCs w:val="20"/>
        </w:rPr>
        <w:t xml:space="preserve">he lack of police discretion to grant bail once they had arrested a </w:t>
      </w:r>
      <w:r w:rsidR="008255FB">
        <w:rPr>
          <w:rFonts w:cs="Readex Pro"/>
          <w:sz w:val="20"/>
          <w:szCs w:val="20"/>
        </w:rPr>
        <w:t xml:space="preserve">child or </w:t>
      </w:r>
      <w:r w:rsidR="007F1E9F" w:rsidRPr="007A6C15">
        <w:rPr>
          <w:rFonts w:cs="Readex Pro"/>
          <w:sz w:val="20"/>
          <w:szCs w:val="20"/>
        </w:rPr>
        <w:t>young person for breach of bail</w:t>
      </w:r>
    </w:p>
    <w:p w14:paraId="71CDED57" w14:textId="49A5450F" w:rsidR="007A6C15" w:rsidRDefault="007F1E9F" w:rsidP="004541B6">
      <w:pPr>
        <w:pStyle w:val="ListParagraph"/>
        <w:numPr>
          <w:ilvl w:val="0"/>
          <w:numId w:val="7"/>
        </w:numPr>
        <w:rPr>
          <w:rFonts w:cs="Readex Pro"/>
          <w:sz w:val="20"/>
          <w:szCs w:val="20"/>
        </w:rPr>
      </w:pPr>
      <w:r w:rsidRPr="007A6C15">
        <w:rPr>
          <w:rFonts w:cs="Readex Pro"/>
          <w:sz w:val="20"/>
          <w:szCs w:val="20"/>
        </w:rPr>
        <w:t xml:space="preserve">infrequent use of diversionary options (particularly for Aboriginal and Torres Strait Islander </w:t>
      </w:r>
      <w:r w:rsidR="008255FB">
        <w:rPr>
          <w:rFonts w:cs="Readex Pro"/>
          <w:sz w:val="20"/>
          <w:szCs w:val="20"/>
        </w:rPr>
        <w:t xml:space="preserve">children and </w:t>
      </w:r>
      <w:r w:rsidRPr="007A6C15">
        <w:rPr>
          <w:rFonts w:cs="Readex Pro"/>
          <w:sz w:val="20"/>
          <w:szCs w:val="20"/>
        </w:rPr>
        <w:t>young people)</w:t>
      </w:r>
    </w:p>
    <w:p w14:paraId="28E0C10A" w14:textId="15C43277" w:rsidR="007A6C15" w:rsidRDefault="007F1E9F" w:rsidP="004541B6">
      <w:pPr>
        <w:pStyle w:val="ListParagraph"/>
        <w:numPr>
          <w:ilvl w:val="0"/>
          <w:numId w:val="7"/>
        </w:numPr>
        <w:rPr>
          <w:rFonts w:cs="Readex Pro"/>
          <w:sz w:val="20"/>
          <w:szCs w:val="20"/>
        </w:rPr>
      </w:pPr>
      <w:r w:rsidRPr="007A6C15">
        <w:rPr>
          <w:rFonts w:cs="Readex Pro"/>
          <w:sz w:val="20"/>
          <w:szCs w:val="20"/>
        </w:rPr>
        <w:t>presumptions against bail for certain offences and</w:t>
      </w:r>
    </w:p>
    <w:p w14:paraId="192C7608" w14:textId="67D533A0" w:rsidR="007F1E9F" w:rsidRPr="007A6C15" w:rsidRDefault="007F1E9F" w:rsidP="004541B6">
      <w:pPr>
        <w:pStyle w:val="ListParagraph"/>
        <w:numPr>
          <w:ilvl w:val="0"/>
          <w:numId w:val="7"/>
        </w:numPr>
        <w:rPr>
          <w:rFonts w:cs="Readex Pro"/>
          <w:sz w:val="20"/>
          <w:szCs w:val="20"/>
        </w:rPr>
      </w:pPr>
      <w:r w:rsidRPr="007A6C15">
        <w:rPr>
          <w:rFonts w:cs="Readex Pro"/>
          <w:sz w:val="20"/>
          <w:szCs w:val="20"/>
        </w:rPr>
        <w:t xml:space="preserve">the lack of dedicated bail supports for </w:t>
      </w:r>
      <w:r w:rsidR="008255FB">
        <w:rPr>
          <w:rFonts w:cs="Readex Pro"/>
          <w:sz w:val="20"/>
          <w:szCs w:val="20"/>
        </w:rPr>
        <w:t xml:space="preserve">children and </w:t>
      </w:r>
      <w:r w:rsidRPr="007A6C15">
        <w:rPr>
          <w:rFonts w:cs="Readex Pro"/>
          <w:sz w:val="20"/>
          <w:szCs w:val="20"/>
        </w:rPr>
        <w:t>young people.</w:t>
      </w:r>
      <w:bookmarkStart w:id="45" w:name="_Ref207115000"/>
      <w:r w:rsidRPr="005B7757">
        <w:rPr>
          <w:rStyle w:val="FootnoteReference"/>
          <w:rFonts w:cs="Readex Pro"/>
          <w:sz w:val="20"/>
          <w:szCs w:val="20"/>
        </w:rPr>
        <w:footnoteReference w:id="21"/>
      </w:r>
      <w:bookmarkEnd w:id="45"/>
    </w:p>
    <w:p w14:paraId="428943BA" w14:textId="16AF2A2C" w:rsidR="007F1E9F" w:rsidRPr="004156D6" w:rsidRDefault="007F1E9F" w:rsidP="008E32BB">
      <w:pPr>
        <w:pStyle w:val="Heading4"/>
        <w:rPr>
          <w:rFonts w:cs="Readex Pro"/>
          <w:b/>
          <w:bCs/>
        </w:rPr>
      </w:pPr>
      <w:r w:rsidRPr="004156D6">
        <w:rPr>
          <w:b/>
          <w:bCs/>
        </w:rPr>
        <w:t>Harsher penalties and longer detention</w:t>
      </w:r>
    </w:p>
    <w:p w14:paraId="7597F1C3" w14:textId="471B424A" w:rsidR="007F1E9F" w:rsidRDefault="007F1E9F" w:rsidP="00025DE6">
      <w:pPr>
        <w:rPr>
          <w:rFonts w:cs="Readex Pro"/>
          <w:sz w:val="20"/>
          <w:szCs w:val="20"/>
        </w:rPr>
      </w:pPr>
      <w:r w:rsidRPr="00133A29">
        <w:rPr>
          <w:rFonts w:cs="Readex Pro"/>
          <w:sz w:val="20"/>
          <w:szCs w:val="20"/>
        </w:rPr>
        <w:t>In Queensland, the ‘</w:t>
      </w:r>
      <w:r w:rsidRPr="00133A29">
        <w:rPr>
          <w:rFonts w:cs="Readex Pro"/>
          <w:i/>
          <w:iCs/>
          <w:sz w:val="20"/>
          <w:szCs w:val="20"/>
        </w:rPr>
        <w:t>Adult Crime, Adult Time</w:t>
      </w:r>
      <w:r w:rsidRPr="00133A29">
        <w:rPr>
          <w:rFonts w:cs="Readex Pro"/>
          <w:sz w:val="20"/>
          <w:szCs w:val="20"/>
        </w:rPr>
        <w:t>’ legislative</w:t>
      </w:r>
      <w:r w:rsidRPr="00257524">
        <w:rPr>
          <w:rFonts w:cs="Readex Pro"/>
          <w:sz w:val="20"/>
          <w:szCs w:val="20"/>
        </w:rPr>
        <w:t xml:space="preserve"> changes in 2024 </w:t>
      </w:r>
      <w:r>
        <w:rPr>
          <w:rFonts w:cs="Readex Pro"/>
          <w:sz w:val="20"/>
          <w:szCs w:val="20"/>
        </w:rPr>
        <w:t xml:space="preserve">and 2025 </w:t>
      </w:r>
      <w:r w:rsidRPr="00257524">
        <w:rPr>
          <w:rFonts w:cs="Readex Pro"/>
          <w:sz w:val="20"/>
          <w:szCs w:val="20"/>
        </w:rPr>
        <w:t>mean that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xml:space="preserve"> will now face adult sentences if convicted of certain serious criminal offences.</w:t>
      </w:r>
      <w:r>
        <w:rPr>
          <w:rFonts w:cs="Readex Pro"/>
          <w:sz w:val="20"/>
          <w:szCs w:val="20"/>
        </w:rPr>
        <w:t xml:space="preserve"> </w:t>
      </w:r>
      <w:r w:rsidRPr="00257524">
        <w:rPr>
          <w:rFonts w:cs="Readex Pro"/>
          <w:sz w:val="20"/>
          <w:szCs w:val="20"/>
        </w:rPr>
        <w:t>The Queensland Government</w:t>
      </w:r>
      <w:r>
        <w:rPr>
          <w:rFonts w:cs="Readex Pro"/>
          <w:sz w:val="20"/>
          <w:szCs w:val="20"/>
        </w:rPr>
        <w:t xml:space="preserve"> </w:t>
      </w:r>
      <w:r w:rsidR="00446CED">
        <w:rPr>
          <w:rFonts w:cs="Readex Pro"/>
          <w:sz w:val="20"/>
          <w:szCs w:val="20"/>
        </w:rPr>
        <w:t>formally acknowledg</w:t>
      </w:r>
      <w:r w:rsidR="00446CED" w:rsidRPr="00257524">
        <w:rPr>
          <w:rFonts w:cs="Readex Pro"/>
          <w:sz w:val="20"/>
          <w:szCs w:val="20"/>
        </w:rPr>
        <w:t>ed</w:t>
      </w:r>
      <w:r w:rsidR="00446CED">
        <w:rPr>
          <w:rFonts w:cs="Readex Pro"/>
          <w:sz w:val="20"/>
          <w:szCs w:val="20"/>
        </w:rPr>
        <w:t xml:space="preserve"> in making</w:t>
      </w:r>
      <w:r w:rsidR="00446CED" w:rsidRPr="00257524">
        <w:rPr>
          <w:rFonts w:cs="Readex Pro"/>
          <w:sz w:val="20"/>
          <w:szCs w:val="20"/>
        </w:rPr>
        <w:t xml:space="preserve"> </w:t>
      </w:r>
      <w:r>
        <w:rPr>
          <w:rFonts w:cs="Readex Pro"/>
          <w:sz w:val="20"/>
          <w:szCs w:val="20"/>
        </w:rPr>
        <w:t>these changes</w:t>
      </w:r>
      <w:r w:rsidRPr="00257524">
        <w:rPr>
          <w:rFonts w:cs="Readex Pro"/>
          <w:sz w:val="20"/>
          <w:szCs w:val="20"/>
        </w:rPr>
        <w:t xml:space="preserve"> </w:t>
      </w:r>
      <w:r w:rsidR="00446CED">
        <w:rPr>
          <w:rFonts w:cs="Readex Pro"/>
          <w:sz w:val="20"/>
          <w:szCs w:val="20"/>
        </w:rPr>
        <w:t xml:space="preserve">that they </w:t>
      </w:r>
      <w:r w:rsidRPr="00257524">
        <w:rPr>
          <w:rFonts w:cs="Readex Pro"/>
          <w:sz w:val="20"/>
          <w:szCs w:val="20"/>
        </w:rPr>
        <w:t xml:space="preserve">are incompatible with human rights and </w:t>
      </w:r>
      <w:r w:rsidR="00AB255B">
        <w:rPr>
          <w:rFonts w:cs="Readex Pro"/>
          <w:sz w:val="20"/>
          <w:szCs w:val="20"/>
        </w:rPr>
        <w:t>‘</w:t>
      </w:r>
      <w:r w:rsidRPr="00257524">
        <w:rPr>
          <w:rFonts w:cs="Readex Pro"/>
          <w:sz w:val="20"/>
          <w:szCs w:val="20"/>
        </w:rPr>
        <w:t>more punitive than necessary to achieve community safety</w:t>
      </w:r>
      <w:r w:rsidR="00AB255B">
        <w:rPr>
          <w:rFonts w:cs="Readex Pro"/>
          <w:sz w:val="20"/>
          <w:szCs w:val="20"/>
        </w:rPr>
        <w:t>’</w:t>
      </w:r>
      <w:r w:rsidRPr="00257524">
        <w:rPr>
          <w:rFonts w:cs="Readex Pro"/>
          <w:sz w:val="20"/>
          <w:szCs w:val="20"/>
        </w:rPr>
        <w:t>.</w:t>
      </w:r>
      <w:bookmarkStart w:id="46" w:name="_Ref207039534"/>
      <w:r w:rsidRPr="00257524">
        <w:rPr>
          <w:rFonts w:cs="Readex Pro"/>
          <w:sz w:val="20"/>
          <w:szCs w:val="20"/>
          <w:vertAlign w:val="superscript"/>
        </w:rPr>
        <w:footnoteReference w:id="22"/>
      </w:r>
      <w:bookmarkEnd w:id="46"/>
      <w:r w:rsidRPr="00257524">
        <w:rPr>
          <w:rFonts w:cs="Readex Pro"/>
          <w:sz w:val="20"/>
          <w:szCs w:val="20"/>
        </w:rPr>
        <w:t xml:space="preserve"> For some of the</w:t>
      </w:r>
      <w:r>
        <w:rPr>
          <w:rFonts w:cs="Readex Pro"/>
          <w:sz w:val="20"/>
          <w:szCs w:val="20"/>
        </w:rPr>
        <w:t>se</w:t>
      </w:r>
      <w:r w:rsidRPr="00257524">
        <w:rPr>
          <w:rFonts w:cs="Readex Pro"/>
          <w:sz w:val="20"/>
          <w:szCs w:val="20"/>
        </w:rPr>
        <w:t xml:space="preserve"> offences, the maximum penalty for a child </w:t>
      </w:r>
      <w:r w:rsidR="00EC7814">
        <w:rPr>
          <w:rFonts w:cs="Readex Pro"/>
          <w:sz w:val="20"/>
          <w:szCs w:val="20"/>
        </w:rPr>
        <w:t xml:space="preserve">or young person </w:t>
      </w:r>
      <w:r>
        <w:rPr>
          <w:rFonts w:cs="Readex Pro"/>
          <w:sz w:val="20"/>
          <w:szCs w:val="20"/>
        </w:rPr>
        <w:t xml:space="preserve">has increased </w:t>
      </w:r>
      <w:r w:rsidRPr="00257524">
        <w:rPr>
          <w:rFonts w:cs="Readex Pro"/>
          <w:sz w:val="20"/>
          <w:szCs w:val="20"/>
        </w:rPr>
        <w:t>to life detention</w:t>
      </w:r>
      <w:r>
        <w:rPr>
          <w:rFonts w:cs="Readex Pro"/>
          <w:sz w:val="20"/>
          <w:szCs w:val="20"/>
        </w:rPr>
        <w:t xml:space="preserve">, meaning </w:t>
      </w:r>
      <w:r w:rsidRPr="00257524">
        <w:rPr>
          <w:rFonts w:cs="Readex Pro"/>
          <w:sz w:val="20"/>
          <w:szCs w:val="20"/>
        </w:rPr>
        <w:t>if a child</w:t>
      </w:r>
      <w:r w:rsidR="00EC7814">
        <w:rPr>
          <w:rFonts w:cs="Readex Pro"/>
          <w:sz w:val="20"/>
          <w:szCs w:val="20"/>
        </w:rPr>
        <w:t xml:space="preserve"> or young person</w:t>
      </w:r>
      <w:r w:rsidRPr="00257524">
        <w:rPr>
          <w:rFonts w:cs="Readex Pro"/>
          <w:sz w:val="20"/>
          <w:szCs w:val="20"/>
        </w:rPr>
        <w:t xml:space="preserve"> is sentenced to life, they will be subject to the same 15-year mandatory minimum non-parole period </w:t>
      </w:r>
      <w:r>
        <w:rPr>
          <w:rFonts w:cs="Readex Pro"/>
          <w:sz w:val="20"/>
          <w:szCs w:val="20"/>
        </w:rPr>
        <w:t>as adults</w:t>
      </w:r>
      <w:r w:rsidRPr="00257524">
        <w:rPr>
          <w:rFonts w:cs="Readex Pro"/>
          <w:sz w:val="20"/>
          <w:szCs w:val="20"/>
        </w:rPr>
        <w:t>.</w:t>
      </w:r>
      <w:r w:rsidRPr="00257524">
        <w:rPr>
          <w:rFonts w:cs="Readex Pro"/>
          <w:sz w:val="20"/>
          <w:szCs w:val="20"/>
          <w:vertAlign w:val="superscript"/>
        </w:rPr>
        <w:footnoteReference w:id="23"/>
      </w:r>
    </w:p>
    <w:p w14:paraId="5B406883" w14:textId="18E2AAF6" w:rsidR="007F1E9F" w:rsidRPr="004156D6" w:rsidRDefault="007F1E9F" w:rsidP="008E32BB">
      <w:pPr>
        <w:pStyle w:val="Heading4"/>
        <w:rPr>
          <w:rFonts w:cs="Readex Pro"/>
          <w:b/>
          <w:bCs/>
        </w:rPr>
      </w:pPr>
      <w:r w:rsidRPr="004156D6">
        <w:rPr>
          <w:b/>
          <w:bCs/>
        </w:rPr>
        <w:t>Pressure on facilities</w:t>
      </w:r>
    </w:p>
    <w:p w14:paraId="2A955DFC" w14:textId="2F806830" w:rsidR="007F1E9F" w:rsidRPr="005B7757" w:rsidRDefault="007F1E9F" w:rsidP="00F80C31">
      <w:pPr>
        <w:rPr>
          <w:rFonts w:cs="Readex Pro"/>
          <w:sz w:val="20"/>
          <w:szCs w:val="20"/>
        </w:rPr>
      </w:pPr>
      <w:r w:rsidRPr="005B7757">
        <w:rPr>
          <w:rFonts w:cs="Readex Pro"/>
          <w:sz w:val="20"/>
          <w:szCs w:val="20"/>
        </w:rPr>
        <w:t>Queensland detains children</w:t>
      </w:r>
      <w:r w:rsidR="00EC7814" w:rsidRPr="00EC7814">
        <w:rPr>
          <w:rFonts w:cs="Readex Pro"/>
          <w:sz w:val="20"/>
          <w:szCs w:val="20"/>
        </w:rPr>
        <w:t xml:space="preserve"> </w:t>
      </w:r>
      <w:r w:rsidR="00EC7814">
        <w:rPr>
          <w:rFonts w:cs="Readex Pro"/>
          <w:sz w:val="20"/>
          <w:szCs w:val="20"/>
        </w:rPr>
        <w:t>and young people</w:t>
      </w:r>
      <w:r w:rsidRPr="005B7757">
        <w:rPr>
          <w:rFonts w:cs="Readex Pro"/>
          <w:sz w:val="20"/>
          <w:szCs w:val="20"/>
        </w:rPr>
        <w:t xml:space="preserve"> at a higher rate than any other jurisdiction, which has put significant pressures on its youth detention facilities.</w:t>
      </w:r>
      <w:bookmarkStart w:id="47" w:name="_Ref207044429"/>
      <w:r w:rsidRPr="005B7757">
        <w:rPr>
          <w:rFonts w:cs="Readex Pro"/>
          <w:sz w:val="20"/>
          <w:szCs w:val="20"/>
          <w:vertAlign w:val="superscript"/>
        </w:rPr>
        <w:footnoteReference w:id="24"/>
      </w:r>
      <w:bookmarkEnd w:id="47"/>
      <w:r w:rsidRPr="005B7757">
        <w:rPr>
          <w:rFonts w:cs="Readex Pro"/>
          <w:sz w:val="20"/>
          <w:szCs w:val="20"/>
        </w:rPr>
        <w:t xml:space="preserve"> The union representing facility workers recently gave evidence to a Queensland Parliament committee hearing that there is </w:t>
      </w:r>
      <w:r w:rsidR="00AB255B">
        <w:rPr>
          <w:rFonts w:cs="Readex Pro"/>
          <w:sz w:val="20"/>
          <w:szCs w:val="20"/>
        </w:rPr>
        <w:t>‘</w:t>
      </w:r>
      <w:r w:rsidRPr="005B7757">
        <w:rPr>
          <w:rFonts w:cs="Readex Pro"/>
          <w:sz w:val="20"/>
          <w:szCs w:val="20"/>
        </w:rPr>
        <w:t>no way</w:t>
      </w:r>
      <w:r w:rsidR="00AB255B">
        <w:rPr>
          <w:rFonts w:cs="Readex Pro"/>
          <w:sz w:val="20"/>
          <w:szCs w:val="20"/>
        </w:rPr>
        <w:t>’</w:t>
      </w:r>
      <w:r w:rsidRPr="005B7757">
        <w:rPr>
          <w:rFonts w:cs="Readex Pro"/>
          <w:sz w:val="20"/>
          <w:szCs w:val="20"/>
        </w:rPr>
        <w:t xml:space="preserve"> current infrastructure and staffing levels can accommodate more children</w:t>
      </w:r>
      <w:r w:rsidR="00EC7814" w:rsidRPr="00EC7814">
        <w:rPr>
          <w:rFonts w:cs="Readex Pro"/>
          <w:sz w:val="20"/>
          <w:szCs w:val="20"/>
        </w:rPr>
        <w:t xml:space="preserve"> </w:t>
      </w:r>
      <w:r w:rsidR="00EC7814">
        <w:rPr>
          <w:rFonts w:cs="Readex Pro"/>
          <w:sz w:val="20"/>
          <w:szCs w:val="20"/>
        </w:rPr>
        <w:t>and young people</w:t>
      </w:r>
      <w:r w:rsidRPr="005B7757">
        <w:rPr>
          <w:rFonts w:cs="Readex Pro"/>
          <w:sz w:val="20"/>
          <w:szCs w:val="20"/>
        </w:rPr>
        <w:t xml:space="preserve"> being detained without jeopardising the safety of these children</w:t>
      </w:r>
      <w:r w:rsidR="00EC7814" w:rsidRPr="00EC7814">
        <w:rPr>
          <w:rFonts w:cs="Readex Pro"/>
          <w:sz w:val="20"/>
          <w:szCs w:val="20"/>
        </w:rPr>
        <w:t xml:space="preserve"> </w:t>
      </w:r>
      <w:r w:rsidR="00EC7814">
        <w:rPr>
          <w:rFonts w:cs="Readex Pro"/>
          <w:sz w:val="20"/>
          <w:szCs w:val="20"/>
        </w:rPr>
        <w:t>and young people</w:t>
      </w:r>
      <w:r w:rsidRPr="005B7757">
        <w:rPr>
          <w:rFonts w:cs="Readex Pro"/>
          <w:sz w:val="20"/>
          <w:szCs w:val="20"/>
        </w:rPr>
        <w:t xml:space="preserve"> or staff. It also raised concerns Queensland’s recently opened Wacol Youth Remand Centre had already been set up for ‘</w:t>
      </w:r>
      <w:proofErr w:type="gramStart"/>
      <w:r w:rsidRPr="005B7757">
        <w:rPr>
          <w:rFonts w:cs="Readex Pro"/>
          <w:sz w:val="20"/>
          <w:szCs w:val="20"/>
        </w:rPr>
        <w:t>double-bunking</w:t>
      </w:r>
      <w:proofErr w:type="gramEnd"/>
      <w:r w:rsidRPr="005B7757">
        <w:rPr>
          <w:rFonts w:cs="Readex Pro"/>
          <w:sz w:val="20"/>
          <w:szCs w:val="20"/>
        </w:rPr>
        <w:t>’, a practice it strongly opposes as it creates a higher risk of physical and sexual violence.</w:t>
      </w:r>
      <w:r w:rsidRPr="005B7757">
        <w:rPr>
          <w:rFonts w:cs="Readex Pro"/>
          <w:sz w:val="20"/>
          <w:szCs w:val="20"/>
          <w:vertAlign w:val="superscript"/>
        </w:rPr>
        <w:footnoteReference w:id="25"/>
      </w:r>
    </w:p>
    <w:p w14:paraId="3E8A2A3B" w14:textId="553B2B0B" w:rsidR="007F1E9F" w:rsidRDefault="007F1E9F" w:rsidP="00D647BA">
      <w:pPr>
        <w:rPr>
          <w:rFonts w:cs="Readex Pro"/>
          <w:sz w:val="20"/>
          <w:szCs w:val="20"/>
        </w:rPr>
      </w:pPr>
      <w:r w:rsidRPr="005B7757">
        <w:rPr>
          <w:rFonts w:cs="Readex Pro"/>
          <w:sz w:val="20"/>
          <w:szCs w:val="20"/>
        </w:rPr>
        <w:t>In both 2022–23 and 2023–24, the SA TCV reported lockdowns caused by staffing shortages had impacted their ability to speak to children and young people at Adelaide Youth Training Centre.</w:t>
      </w:r>
      <w:bookmarkStart w:id="48" w:name="_Ref207043439"/>
      <w:r w:rsidRPr="005B7757">
        <w:rPr>
          <w:rFonts w:cs="Readex Pro"/>
          <w:sz w:val="20"/>
          <w:szCs w:val="20"/>
          <w:vertAlign w:val="superscript"/>
        </w:rPr>
        <w:footnoteReference w:id="26"/>
      </w:r>
      <w:bookmarkEnd w:id="48"/>
      <w:r w:rsidRPr="005B7757">
        <w:rPr>
          <w:rFonts w:cs="Readex Pro"/>
          <w:sz w:val="20"/>
          <w:szCs w:val="20"/>
        </w:rPr>
        <w:t xml:space="preserve"> </w:t>
      </w:r>
      <w:r w:rsidR="00022378">
        <w:rPr>
          <w:rFonts w:cs="Readex Pro"/>
          <w:sz w:val="20"/>
          <w:szCs w:val="20"/>
        </w:rPr>
        <w:t>S</w:t>
      </w:r>
      <w:r w:rsidRPr="005B7757">
        <w:rPr>
          <w:rFonts w:cs="Readex Pro"/>
          <w:sz w:val="20"/>
          <w:szCs w:val="20"/>
        </w:rPr>
        <w:t xml:space="preserve">taff shortages </w:t>
      </w:r>
      <w:r w:rsidR="00022378">
        <w:rPr>
          <w:rFonts w:cs="Readex Pro"/>
          <w:sz w:val="20"/>
          <w:szCs w:val="20"/>
        </w:rPr>
        <w:t xml:space="preserve">also </w:t>
      </w:r>
      <w:r w:rsidRPr="005B7757">
        <w:rPr>
          <w:rFonts w:cs="Readex Pro"/>
          <w:sz w:val="20"/>
          <w:szCs w:val="20"/>
        </w:rPr>
        <w:t xml:space="preserve">had impacts on access to education, rehabilitation </w:t>
      </w:r>
      <w:r w:rsidR="003D7716">
        <w:rPr>
          <w:rFonts w:cs="Readex Pro"/>
          <w:sz w:val="20"/>
          <w:szCs w:val="20"/>
        </w:rPr>
        <w:t>and</w:t>
      </w:r>
      <w:r w:rsidRPr="005B7757">
        <w:rPr>
          <w:rFonts w:cs="Readex Pro"/>
          <w:sz w:val="20"/>
          <w:szCs w:val="20"/>
        </w:rPr>
        <w:t xml:space="preserve"> healthcare.</w:t>
      </w:r>
      <w:bookmarkStart w:id="49" w:name="_Ref207043931"/>
      <w:r w:rsidRPr="005B7757">
        <w:rPr>
          <w:rFonts w:cs="Readex Pro"/>
          <w:sz w:val="20"/>
          <w:szCs w:val="20"/>
          <w:vertAlign w:val="superscript"/>
        </w:rPr>
        <w:footnoteReference w:id="27"/>
      </w:r>
      <w:bookmarkEnd w:id="49"/>
    </w:p>
    <w:p w14:paraId="1949333E" w14:textId="2129841D" w:rsidR="00C1370A" w:rsidRPr="005B7757" w:rsidRDefault="00C1370A" w:rsidP="00147B86">
      <w:pPr>
        <w:rPr>
          <w:rFonts w:cs="Readex Pro"/>
          <w:sz w:val="20"/>
          <w:szCs w:val="20"/>
        </w:rPr>
      </w:pPr>
      <w:r>
        <w:rPr>
          <w:rFonts w:cs="Readex Pro"/>
          <w:sz w:val="20"/>
          <w:szCs w:val="20"/>
        </w:rPr>
        <w:lastRenderedPageBreak/>
        <w:t xml:space="preserve">The ACT NPM recently reported that at the </w:t>
      </w:r>
      <w:proofErr w:type="spellStart"/>
      <w:r w:rsidRPr="00C1370A">
        <w:rPr>
          <w:rFonts w:cs="Readex Pro"/>
          <w:sz w:val="20"/>
          <w:szCs w:val="20"/>
        </w:rPr>
        <w:t>Bimberi</w:t>
      </w:r>
      <w:proofErr w:type="spellEnd"/>
      <w:r w:rsidRPr="00C1370A">
        <w:rPr>
          <w:rFonts w:cs="Readex Pro"/>
          <w:sz w:val="20"/>
          <w:szCs w:val="20"/>
        </w:rPr>
        <w:t xml:space="preserve"> Youth Justice Centre</w:t>
      </w:r>
      <w:r>
        <w:rPr>
          <w:rFonts w:cs="Readex Pro"/>
          <w:sz w:val="20"/>
          <w:szCs w:val="20"/>
        </w:rPr>
        <w:t xml:space="preserve"> in the ACT, staff </w:t>
      </w:r>
      <w:r w:rsidR="00147B86">
        <w:rPr>
          <w:rFonts w:cs="Readex Pro"/>
          <w:sz w:val="20"/>
          <w:szCs w:val="20"/>
        </w:rPr>
        <w:t xml:space="preserve">had </w:t>
      </w:r>
      <w:r>
        <w:rPr>
          <w:rFonts w:cs="Readex Pro"/>
          <w:sz w:val="20"/>
          <w:szCs w:val="20"/>
        </w:rPr>
        <w:t>noted to them that a higher facility population plac</w:t>
      </w:r>
      <w:r w:rsidR="00147B86">
        <w:rPr>
          <w:rFonts w:cs="Readex Pro"/>
          <w:sz w:val="20"/>
          <w:szCs w:val="20"/>
        </w:rPr>
        <w:t>ed</w:t>
      </w:r>
      <w:r>
        <w:rPr>
          <w:rFonts w:cs="Readex Pro"/>
          <w:sz w:val="20"/>
          <w:szCs w:val="20"/>
        </w:rPr>
        <w:t xml:space="preserve"> more demand</w:t>
      </w:r>
      <w:r w:rsidR="00147B86">
        <w:rPr>
          <w:rFonts w:cs="Readex Pro"/>
          <w:sz w:val="20"/>
          <w:szCs w:val="20"/>
        </w:rPr>
        <w:t>s</w:t>
      </w:r>
      <w:r>
        <w:rPr>
          <w:rFonts w:cs="Readex Pro"/>
          <w:sz w:val="20"/>
          <w:szCs w:val="20"/>
        </w:rPr>
        <w:t xml:space="preserve"> on staff</w:t>
      </w:r>
      <w:r w:rsidR="00147B86">
        <w:rPr>
          <w:rFonts w:cs="Readex Pro"/>
          <w:sz w:val="20"/>
          <w:szCs w:val="20"/>
        </w:rPr>
        <w:t xml:space="preserve"> in their day to day work.</w:t>
      </w:r>
      <w:bookmarkStart w:id="50" w:name="_Ref207641655"/>
      <w:r w:rsidR="00147B86">
        <w:rPr>
          <w:rStyle w:val="FootnoteReference"/>
          <w:rFonts w:cs="Readex Pro"/>
          <w:sz w:val="20"/>
          <w:szCs w:val="20"/>
        </w:rPr>
        <w:footnoteReference w:id="28"/>
      </w:r>
      <w:bookmarkEnd w:id="50"/>
      <w:r w:rsidR="00147B86">
        <w:rPr>
          <w:rFonts w:cs="Readex Pro"/>
          <w:sz w:val="20"/>
          <w:szCs w:val="20"/>
        </w:rPr>
        <w:t xml:space="preserve"> Daily unplanned absences had an impact, leading to a common reliance on casual staff as well as measures such as extended lock-ins to cover staff lunch breaks. The ACT NPM also noted ‘[s]</w:t>
      </w:r>
      <w:proofErr w:type="spellStart"/>
      <w:r w:rsidR="00147B86" w:rsidRPr="00147B86">
        <w:rPr>
          <w:rFonts w:cs="Readex Pro"/>
          <w:sz w:val="20"/>
          <w:szCs w:val="20"/>
        </w:rPr>
        <w:t>taff</w:t>
      </w:r>
      <w:proofErr w:type="spellEnd"/>
      <w:r w:rsidR="00147B86" w:rsidRPr="00147B86">
        <w:rPr>
          <w:rFonts w:cs="Readex Pro"/>
          <w:sz w:val="20"/>
          <w:szCs w:val="20"/>
        </w:rPr>
        <w:t xml:space="preserve"> reported a growing reticence to make more permissive decisions around mixing young people due to prolonged higher numbers of young people without</w:t>
      </w:r>
      <w:r w:rsidR="00147B86">
        <w:rPr>
          <w:rFonts w:cs="Readex Pro"/>
          <w:sz w:val="20"/>
          <w:szCs w:val="20"/>
        </w:rPr>
        <w:t xml:space="preserve"> </w:t>
      </w:r>
      <w:r w:rsidR="00147B86" w:rsidRPr="00147B86">
        <w:rPr>
          <w:rFonts w:cs="Readex Pro"/>
          <w:sz w:val="20"/>
          <w:szCs w:val="20"/>
        </w:rPr>
        <w:t>sufficient staff numbers</w:t>
      </w:r>
      <w:r w:rsidR="00147B86">
        <w:rPr>
          <w:rFonts w:cs="Readex Pro"/>
          <w:sz w:val="20"/>
          <w:szCs w:val="20"/>
        </w:rPr>
        <w:t>’</w:t>
      </w:r>
      <w:r w:rsidR="00147B86" w:rsidRPr="00147B86">
        <w:rPr>
          <w:rFonts w:cs="Readex Pro"/>
          <w:sz w:val="20"/>
          <w:szCs w:val="20"/>
        </w:rPr>
        <w:t>.</w:t>
      </w:r>
      <w:r w:rsidR="00147B86">
        <w:rPr>
          <w:rStyle w:val="FootnoteReference"/>
          <w:rFonts w:cs="Readex Pro"/>
          <w:sz w:val="20"/>
          <w:szCs w:val="20"/>
        </w:rPr>
        <w:footnoteReference w:id="29"/>
      </w:r>
    </w:p>
    <w:p w14:paraId="4E6821CB" w14:textId="0C7F4AE5" w:rsidR="007F1E9F" w:rsidRPr="004156D6" w:rsidRDefault="007F1E9F" w:rsidP="008E32BB">
      <w:pPr>
        <w:pStyle w:val="Heading4"/>
        <w:rPr>
          <w:rFonts w:cs="Readex Pro"/>
          <w:b/>
          <w:bCs/>
        </w:rPr>
      </w:pPr>
      <w:r w:rsidRPr="004156D6">
        <w:rPr>
          <w:b/>
          <w:bCs/>
        </w:rPr>
        <w:t>Cumulative concerns compounding issues</w:t>
      </w:r>
    </w:p>
    <w:p w14:paraId="7B056A2F" w14:textId="0B85328C" w:rsidR="007F1E9F" w:rsidRPr="005B7757" w:rsidRDefault="00995478" w:rsidP="00BA1A3A">
      <w:pPr>
        <w:rPr>
          <w:rFonts w:cs="Readex Pro"/>
          <w:sz w:val="20"/>
          <w:szCs w:val="20"/>
        </w:rPr>
      </w:pPr>
      <w:r w:rsidRPr="005B7757">
        <w:rPr>
          <w:rFonts w:cs="Readex Pro"/>
          <w:sz w:val="20"/>
          <w:szCs w:val="20"/>
        </w:rPr>
        <w:t>Increasing the likelihood of time in detention</w:t>
      </w:r>
      <w:r>
        <w:rPr>
          <w:rFonts w:cs="Readex Pro"/>
          <w:sz w:val="20"/>
          <w:szCs w:val="20"/>
        </w:rPr>
        <w:t xml:space="preserve"> may also increase the risk of</w:t>
      </w:r>
      <w:r w:rsidRPr="005B7757">
        <w:rPr>
          <w:rFonts w:cs="Readex Pro"/>
          <w:sz w:val="20"/>
          <w:szCs w:val="20"/>
        </w:rPr>
        <w:t xml:space="preserve"> expos</w:t>
      </w:r>
      <w:r>
        <w:rPr>
          <w:rFonts w:cs="Readex Pro"/>
          <w:sz w:val="20"/>
          <w:szCs w:val="20"/>
        </w:rPr>
        <w:t>ing</w:t>
      </w:r>
      <w:r w:rsidRPr="005B7757">
        <w:rPr>
          <w:rFonts w:cs="Readex Pro"/>
          <w:sz w:val="20"/>
          <w:szCs w:val="20"/>
        </w:rPr>
        <w:t xml:space="preserve"> children</w:t>
      </w:r>
      <w:r w:rsidR="00EC7814" w:rsidRPr="00EC7814">
        <w:rPr>
          <w:rFonts w:cs="Readex Pro"/>
          <w:sz w:val="20"/>
          <w:szCs w:val="20"/>
        </w:rPr>
        <w:t xml:space="preserve"> </w:t>
      </w:r>
      <w:r w:rsidR="00EC7814">
        <w:rPr>
          <w:rFonts w:cs="Readex Pro"/>
          <w:sz w:val="20"/>
          <w:szCs w:val="20"/>
        </w:rPr>
        <w:t>and young people</w:t>
      </w:r>
      <w:r w:rsidRPr="005B7757">
        <w:rPr>
          <w:rFonts w:cs="Readex Pro"/>
          <w:sz w:val="20"/>
          <w:szCs w:val="20"/>
        </w:rPr>
        <w:t xml:space="preserve"> to harm</w:t>
      </w:r>
      <w:r>
        <w:rPr>
          <w:rFonts w:cs="Readex Pro"/>
          <w:sz w:val="20"/>
          <w:szCs w:val="20"/>
        </w:rPr>
        <w:t>s of abuse</w:t>
      </w:r>
      <w:r w:rsidR="00D762E8">
        <w:rPr>
          <w:rFonts w:cs="Readex Pro"/>
          <w:sz w:val="20"/>
          <w:szCs w:val="20"/>
        </w:rPr>
        <w:t xml:space="preserve"> and mistreatment</w:t>
      </w:r>
      <w:r w:rsidRPr="005B7757">
        <w:rPr>
          <w:rFonts w:cs="Readex Pro"/>
          <w:sz w:val="20"/>
          <w:szCs w:val="20"/>
        </w:rPr>
        <w:t>.</w:t>
      </w:r>
      <w:r>
        <w:rPr>
          <w:rFonts w:cs="Readex Pro"/>
          <w:sz w:val="20"/>
          <w:szCs w:val="20"/>
        </w:rPr>
        <w:t xml:space="preserve"> For example, t</w:t>
      </w:r>
      <w:r w:rsidR="007F1E9F" w:rsidRPr="005B7757">
        <w:rPr>
          <w:rFonts w:cs="Readex Pro"/>
          <w:sz w:val="20"/>
          <w:szCs w:val="20"/>
        </w:rPr>
        <w:t xml:space="preserve">he </w:t>
      </w:r>
      <w:r w:rsidR="007F1E9F" w:rsidRPr="005B7757">
        <w:rPr>
          <w:rFonts w:cs="Readex Pro"/>
          <w:i/>
          <w:iCs/>
          <w:sz w:val="20"/>
          <w:szCs w:val="20"/>
        </w:rPr>
        <w:t>Royal Commission into Institutional Responses to Child Sex Abuse</w:t>
      </w:r>
      <w:r w:rsidR="007F1E9F" w:rsidRPr="005B7757">
        <w:rPr>
          <w:rFonts w:cs="Readex Pro"/>
          <w:sz w:val="20"/>
          <w:szCs w:val="20"/>
        </w:rPr>
        <w:t xml:space="preserve"> noted that, by their nature, youth detention settings are high-risk environments for child sexual abuse and maltreatment.</w:t>
      </w:r>
      <w:bookmarkStart w:id="51" w:name="_Ref207040685"/>
      <w:r w:rsidR="007F1E9F" w:rsidRPr="005B7757">
        <w:rPr>
          <w:rFonts w:cs="Readex Pro"/>
          <w:sz w:val="20"/>
          <w:szCs w:val="20"/>
          <w:vertAlign w:val="superscript"/>
        </w:rPr>
        <w:footnoteReference w:id="30"/>
      </w:r>
      <w:bookmarkEnd w:id="51"/>
      <w:r>
        <w:rPr>
          <w:rFonts w:cs="Readex Pro"/>
          <w:sz w:val="20"/>
          <w:szCs w:val="20"/>
        </w:rPr>
        <w:t xml:space="preserve"> Various risk factors for child sexual abuse are directly linked to the nature of detention environments, such as a lack of privacy, disconnection from support networks, and the power imbalance with adult staff. </w:t>
      </w:r>
      <w:r w:rsidR="003216D6">
        <w:rPr>
          <w:rFonts w:cs="Readex Pro"/>
          <w:sz w:val="20"/>
          <w:szCs w:val="20"/>
        </w:rPr>
        <w:t xml:space="preserve">But </w:t>
      </w:r>
      <w:r>
        <w:rPr>
          <w:rFonts w:cs="Readex Pro"/>
          <w:sz w:val="20"/>
          <w:szCs w:val="20"/>
        </w:rPr>
        <w:t>c</w:t>
      </w:r>
      <w:r w:rsidRPr="00995478">
        <w:rPr>
          <w:rFonts w:cs="Readex Pro"/>
          <w:sz w:val="20"/>
          <w:szCs w:val="20"/>
        </w:rPr>
        <w:t>hildren</w:t>
      </w:r>
      <w:r w:rsidR="00EC7814" w:rsidRPr="00EC7814">
        <w:rPr>
          <w:rFonts w:cs="Readex Pro"/>
          <w:sz w:val="20"/>
          <w:szCs w:val="20"/>
        </w:rPr>
        <w:t xml:space="preserve"> </w:t>
      </w:r>
      <w:r w:rsidR="00EC7814">
        <w:rPr>
          <w:rFonts w:cs="Readex Pro"/>
          <w:sz w:val="20"/>
          <w:szCs w:val="20"/>
        </w:rPr>
        <w:t>and young people</w:t>
      </w:r>
      <w:r w:rsidRPr="00995478">
        <w:rPr>
          <w:rFonts w:cs="Readex Pro"/>
          <w:sz w:val="20"/>
          <w:szCs w:val="20"/>
        </w:rPr>
        <w:t xml:space="preserve"> in detention have </w:t>
      </w:r>
      <w:r>
        <w:rPr>
          <w:rFonts w:cs="Readex Pro"/>
          <w:sz w:val="20"/>
          <w:szCs w:val="20"/>
        </w:rPr>
        <w:t xml:space="preserve">also </w:t>
      </w:r>
      <w:r w:rsidRPr="00995478">
        <w:rPr>
          <w:rFonts w:cs="Readex Pro"/>
          <w:sz w:val="20"/>
          <w:szCs w:val="20"/>
        </w:rPr>
        <w:t>often experienced trauma</w:t>
      </w:r>
      <w:r>
        <w:rPr>
          <w:rFonts w:cs="Readex Pro"/>
          <w:sz w:val="20"/>
          <w:szCs w:val="20"/>
        </w:rPr>
        <w:t xml:space="preserve"> or mis</w:t>
      </w:r>
      <w:r w:rsidRPr="00995478">
        <w:rPr>
          <w:rFonts w:cs="Readex Pro"/>
          <w:sz w:val="20"/>
          <w:szCs w:val="20"/>
        </w:rPr>
        <w:t>treatment</w:t>
      </w:r>
      <w:r>
        <w:rPr>
          <w:rFonts w:cs="Readex Pro"/>
          <w:sz w:val="20"/>
          <w:szCs w:val="20"/>
        </w:rPr>
        <w:t>,</w:t>
      </w:r>
      <w:r w:rsidRPr="00995478">
        <w:rPr>
          <w:rFonts w:cs="Readex Pro"/>
          <w:sz w:val="20"/>
          <w:szCs w:val="20"/>
        </w:rPr>
        <w:t xml:space="preserve"> </w:t>
      </w:r>
      <w:r>
        <w:rPr>
          <w:rFonts w:cs="Readex Pro"/>
          <w:sz w:val="20"/>
          <w:szCs w:val="20"/>
        </w:rPr>
        <w:t xml:space="preserve">or may have </w:t>
      </w:r>
      <w:r w:rsidRPr="00995478">
        <w:rPr>
          <w:rFonts w:cs="Readex Pro"/>
          <w:sz w:val="20"/>
          <w:szCs w:val="20"/>
        </w:rPr>
        <w:t>development</w:t>
      </w:r>
      <w:r>
        <w:rPr>
          <w:rFonts w:cs="Readex Pro"/>
          <w:sz w:val="20"/>
          <w:szCs w:val="20"/>
        </w:rPr>
        <w:t xml:space="preserve">al </w:t>
      </w:r>
      <w:r w:rsidRPr="00995478">
        <w:rPr>
          <w:rFonts w:cs="Readex Pro"/>
          <w:sz w:val="20"/>
          <w:szCs w:val="20"/>
        </w:rPr>
        <w:t xml:space="preserve">disorders, </w:t>
      </w:r>
      <w:r>
        <w:rPr>
          <w:rFonts w:cs="Readex Pro"/>
          <w:sz w:val="20"/>
          <w:szCs w:val="20"/>
        </w:rPr>
        <w:t>each of</w:t>
      </w:r>
      <w:r w:rsidRPr="00995478">
        <w:rPr>
          <w:rFonts w:cs="Readex Pro"/>
          <w:sz w:val="20"/>
          <w:szCs w:val="20"/>
        </w:rPr>
        <w:t xml:space="preserve"> which are</w:t>
      </w:r>
      <w:r>
        <w:rPr>
          <w:rFonts w:cs="Readex Pro"/>
          <w:sz w:val="20"/>
          <w:szCs w:val="20"/>
        </w:rPr>
        <w:t xml:space="preserve"> further </w:t>
      </w:r>
      <w:r w:rsidR="003216D6">
        <w:rPr>
          <w:rFonts w:cs="Readex Pro"/>
          <w:sz w:val="20"/>
          <w:szCs w:val="20"/>
        </w:rPr>
        <w:t xml:space="preserve">abuse </w:t>
      </w:r>
      <w:r w:rsidRPr="00995478">
        <w:rPr>
          <w:rFonts w:cs="Readex Pro"/>
          <w:sz w:val="20"/>
          <w:szCs w:val="20"/>
        </w:rPr>
        <w:t>risk factors</w:t>
      </w:r>
      <w:r>
        <w:rPr>
          <w:rFonts w:cs="Readex Pro"/>
          <w:sz w:val="20"/>
          <w:szCs w:val="20"/>
        </w:rPr>
        <w:t>.</w:t>
      </w:r>
      <w:r>
        <w:rPr>
          <w:rStyle w:val="FootnoteReference"/>
          <w:rFonts w:cs="Readex Pro"/>
          <w:sz w:val="20"/>
          <w:szCs w:val="20"/>
        </w:rPr>
        <w:footnoteReference w:id="31"/>
      </w:r>
    </w:p>
    <w:p w14:paraId="175F0209" w14:textId="0B0B62E3" w:rsidR="00816F1E" w:rsidRDefault="00816F1E" w:rsidP="00816F1E">
      <w:pPr>
        <w:rPr>
          <w:rFonts w:cs="Readex Pro"/>
          <w:sz w:val="20"/>
          <w:szCs w:val="20"/>
        </w:rPr>
      </w:pPr>
      <w:r>
        <w:rPr>
          <w:rFonts w:cs="Readex Pro"/>
          <w:sz w:val="20"/>
          <w:szCs w:val="20"/>
        </w:rPr>
        <w:t>Separately, a</w:t>
      </w:r>
      <w:r w:rsidR="007F1E9F" w:rsidRPr="005B7757">
        <w:rPr>
          <w:rFonts w:cs="Readex Pro"/>
          <w:sz w:val="20"/>
          <w:szCs w:val="20"/>
        </w:rPr>
        <w:t xml:space="preserve"> recent submission by the NT </w:t>
      </w:r>
      <w:r w:rsidR="000059AF">
        <w:rPr>
          <w:rFonts w:cs="Readex Pro"/>
          <w:sz w:val="20"/>
          <w:szCs w:val="20"/>
        </w:rPr>
        <w:t>Office of the Children’s Commissioner (</w:t>
      </w:r>
      <w:r w:rsidR="003D7716">
        <w:rPr>
          <w:rFonts w:cs="Readex Pro"/>
          <w:sz w:val="20"/>
          <w:szCs w:val="20"/>
        </w:rPr>
        <w:t>OCC</w:t>
      </w:r>
      <w:r w:rsidR="000059AF">
        <w:rPr>
          <w:rFonts w:cs="Readex Pro"/>
          <w:sz w:val="20"/>
          <w:szCs w:val="20"/>
        </w:rPr>
        <w:t>)</w:t>
      </w:r>
      <w:r w:rsidR="007F1E9F" w:rsidRPr="005B7757">
        <w:rPr>
          <w:rFonts w:cs="Readex Pro"/>
          <w:sz w:val="20"/>
          <w:szCs w:val="20"/>
        </w:rPr>
        <w:t xml:space="preserve"> reported the NT’s youth justice system had remained </w:t>
      </w:r>
      <w:r w:rsidR="00AB255B">
        <w:rPr>
          <w:rFonts w:cs="Readex Pro"/>
          <w:sz w:val="20"/>
          <w:szCs w:val="20"/>
        </w:rPr>
        <w:t>‘</w:t>
      </w:r>
      <w:r w:rsidR="007F1E9F" w:rsidRPr="005B7757">
        <w:rPr>
          <w:rFonts w:cs="Readex Pro"/>
          <w:sz w:val="20"/>
          <w:szCs w:val="20"/>
        </w:rPr>
        <w:t>at a crisis point for the best part of a decade</w:t>
      </w:r>
      <w:r w:rsidR="00AB255B">
        <w:rPr>
          <w:rFonts w:cs="Readex Pro"/>
          <w:sz w:val="20"/>
          <w:szCs w:val="20"/>
        </w:rPr>
        <w:t>’</w:t>
      </w:r>
      <w:r w:rsidR="007F1E9F" w:rsidRPr="005B7757">
        <w:rPr>
          <w:rFonts w:cs="Readex Pro"/>
          <w:sz w:val="20"/>
          <w:szCs w:val="20"/>
        </w:rPr>
        <w:t>, and that high remand populations, failure to identify and respond to unmet health, mental health and disability needs of incarcerated children</w:t>
      </w:r>
      <w:r w:rsidR="00EC7814" w:rsidRPr="00EC7814">
        <w:rPr>
          <w:rFonts w:cs="Readex Pro"/>
          <w:sz w:val="20"/>
          <w:szCs w:val="20"/>
        </w:rPr>
        <w:t xml:space="preserve"> </w:t>
      </w:r>
      <w:r w:rsidR="00EC7814">
        <w:rPr>
          <w:rFonts w:cs="Readex Pro"/>
          <w:sz w:val="20"/>
          <w:szCs w:val="20"/>
        </w:rPr>
        <w:t>and young people,</w:t>
      </w:r>
      <w:r w:rsidR="007F1E9F" w:rsidRPr="005B7757">
        <w:rPr>
          <w:rFonts w:cs="Readex Pro"/>
          <w:sz w:val="20"/>
          <w:szCs w:val="20"/>
        </w:rPr>
        <w:t xml:space="preserve"> and failing infrastructure had led to ongoing issues within youth detention facilities.</w:t>
      </w:r>
      <w:r w:rsidR="007F1E9F" w:rsidRPr="005B7757">
        <w:rPr>
          <w:rFonts w:cs="Readex Pro"/>
          <w:sz w:val="20"/>
          <w:szCs w:val="20"/>
          <w:vertAlign w:val="superscript"/>
        </w:rPr>
        <w:footnoteReference w:id="32"/>
      </w:r>
      <w:r w:rsidRPr="00816F1E">
        <w:rPr>
          <w:rFonts w:cs="Readex Pro"/>
          <w:sz w:val="20"/>
          <w:szCs w:val="20"/>
        </w:rPr>
        <w:t xml:space="preserve"> </w:t>
      </w:r>
      <w:r w:rsidRPr="005B7757">
        <w:rPr>
          <w:rFonts w:cs="Readex Pro"/>
          <w:sz w:val="20"/>
          <w:szCs w:val="20"/>
        </w:rPr>
        <w:t>In the NT Aboriginal and Torres Strait Islander children and young people routinely make up 100% of the youth detention population, despite comprising 43% of the NT’s general population.</w:t>
      </w:r>
      <w:r w:rsidRPr="005B7757">
        <w:rPr>
          <w:rFonts w:cs="Readex Pro"/>
          <w:sz w:val="20"/>
          <w:szCs w:val="20"/>
          <w:vertAlign w:val="superscript"/>
        </w:rPr>
        <w:footnoteReference w:id="33"/>
      </w:r>
    </w:p>
    <w:p w14:paraId="0174215F" w14:textId="274306EA" w:rsidR="007F1E9F" w:rsidRDefault="000059AF" w:rsidP="00892F24">
      <w:pPr>
        <w:rPr>
          <w:rFonts w:cs="Readex Pro"/>
          <w:sz w:val="20"/>
          <w:szCs w:val="20"/>
        </w:rPr>
      </w:pPr>
      <w:r>
        <w:rPr>
          <w:rFonts w:cs="Readex Pro"/>
          <w:sz w:val="20"/>
          <w:szCs w:val="20"/>
        </w:rPr>
        <w:t>News r</w:t>
      </w:r>
      <w:r w:rsidR="007F1E9F" w:rsidRPr="005B7757">
        <w:rPr>
          <w:rFonts w:cs="Readex Pro"/>
          <w:sz w:val="20"/>
          <w:szCs w:val="20"/>
        </w:rPr>
        <w:t xml:space="preserve">eporting on the treatment of children and young people in NT youth detention has </w:t>
      </w:r>
      <w:r w:rsidR="00F926F8">
        <w:rPr>
          <w:rFonts w:cs="Readex Pro"/>
          <w:sz w:val="20"/>
          <w:szCs w:val="20"/>
        </w:rPr>
        <w:t xml:space="preserve">also </w:t>
      </w:r>
      <w:r w:rsidR="007F1E9F" w:rsidRPr="005B7757">
        <w:rPr>
          <w:rFonts w:cs="Readex Pro"/>
          <w:sz w:val="20"/>
          <w:szCs w:val="20"/>
        </w:rPr>
        <w:t>revealed serious allegations of mistreatment.</w:t>
      </w:r>
      <w:r w:rsidR="007F1E9F" w:rsidRPr="005B7757">
        <w:rPr>
          <w:rFonts w:cs="Readex Pro"/>
          <w:sz w:val="20"/>
          <w:szCs w:val="20"/>
          <w:vertAlign w:val="superscript"/>
        </w:rPr>
        <w:footnoteReference w:id="34"/>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26F319C9"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E5E691C" w14:textId="44B400DB" w:rsidR="007F1E9F" w:rsidRPr="001B7386" w:rsidRDefault="007F1E9F" w:rsidP="0013605E">
            <w:pPr>
              <w:ind w:left="275"/>
              <w:rPr>
                <w:b w:val="0"/>
                <w:bCs w:val="0"/>
                <w:sz w:val="20"/>
                <w:szCs w:val="20"/>
              </w:rPr>
            </w:pPr>
            <w:r w:rsidRPr="001B7386">
              <w:rPr>
                <w:noProof/>
                <w:sz w:val="20"/>
                <w:szCs w:val="20"/>
              </w:rPr>
              <w:drawing>
                <wp:anchor distT="0" distB="0" distL="114300" distR="114300" simplePos="0" relativeHeight="251845632" behindDoc="1" locked="0" layoutInCell="1" allowOverlap="1" wp14:anchorId="5730F9DA" wp14:editId="211AFE2A">
                  <wp:simplePos x="0" y="0"/>
                  <wp:positionH relativeFrom="column">
                    <wp:posOffset>-290195</wp:posOffset>
                  </wp:positionH>
                  <wp:positionV relativeFrom="paragraph">
                    <wp:posOffset>41579</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711644723"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w:t>
            </w:r>
            <w:r w:rsidR="009A1768" w:rsidRPr="001B7386">
              <w:rPr>
                <w:sz w:val="20"/>
                <w:szCs w:val="20"/>
              </w:rPr>
              <w:t xml:space="preserve"> concrete measures </w:t>
            </w:r>
            <w:r w:rsidRPr="001B7386">
              <w:rPr>
                <w:sz w:val="20"/>
                <w:szCs w:val="20"/>
              </w:rPr>
              <w:t>to reduce the high rates of children</w:t>
            </w:r>
            <w:r w:rsidR="00EC7814" w:rsidRPr="001B7386">
              <w:rPr>
                <w:sz w:val="20"/>
                <w:szCs w:val="20"/>
              </w:rPr>
              <w:t xml:space="preserve"> and young people</w:t>
            </w:r>
            <w:r w:rsidRPr="001B7386">
              <w:rPr>
                <w:sz w:val="20"/>
                <w:szCs w:val="20"/>
              </w:rPr>
              <w:t xml:space="preserve"> held in detention on remand.</w:t>
            </w:r>
          </w:p>
        </w:tc>
      </w:tr>
    </w:tbl>
    <w:p w14:paraId="62A1156B" w14:textId="39CC01D7" w:rsidR="007F1E9F" w:rsidRPr="00B50F91" w:rsidRDefault="007F1E9F" w:rsidP="00B50F91">
      <w:pPr>
        <w:pStyle w:val="Heading3"/>
        <w:spacing w:before="120"/>
        <w:rPr>
          <w:color w:val="719243" w:themeColor="accent2"/>
        </w:rPr>
      </w:pPr>
      <w:bookmarkStart w:id="52" w:name="_Toc208584102"/>
      <w:r w:rsidRPr="00B50F91">
        <w:rPr>
          <w:color w:val="719243" w:themeColor="accent2"/>
        </w:rPr>
        <w:t>Alternatives to detention for children</w:t>
      </w:r>
      <w:r w:rsidR="00EC7814">
        <w:rPr>
          <w:color w:val="719243" w:themeColor="accent2"/>
        </w:rPr>
        <w:t xml:space="preserve"> and young people</w:t>
      </w:r>
      <w:bookmarkEnd w:id="52"/>
    </w:p>
    <w:p w14:paraId="4878981B"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6FC3E31C" w14:textId="116A72D6" w:rsidR="00E3445A" w:rsidRDefault="007F1E9F" w:rsidP="00FC2BF6">
      <w:pPr>
        <w:rPr>
          <w:rFonts w:cs="Readex Pro"/>
          <w:sz w:val="20"/>
          <w:szCs w:val="20"/>
        </w:rPr>
      </w:pPr>
      <w:r w:rsidRPr="00EA1375">
        <w:rPr>
          <w:rFonts w:cs="Readex Pro"/>
          <w:sz w:val="20"/>
          <w:szCs w:val="20"/>
        </w:rPr>
        <w:t xml:space="preserve">Early intervention and diversionary opportunities are key </w:t>
      </w:r>
      <w:r w:rsidR="003D7716">
        <w:rPr>
          <w:rFonts w:cs="Readex Pro"/>
          <w:sz w:val="20"/>
          <w:szCs w:val="20"/>
        </w:rPr>
        <w:t>to</w:t>
      </w:r>
      <w:r w:rsidR="00E3445A">
        <w:rPr>
          <w:rFonts w:cs="Readex Pro"/>
          <w:sz w:val="20"/>
          <w:szCs w:val="20"/>
        </w:rPr>
        <w:t xml:space="preserve"> </w:t>
      </w:r>
      <w:r w:rsidRPr="00EA1375">
        <w:rPr>
          <w:rFonts w:cs="Readex Pro"/>
          <w:sz w:val="20"/>
          <w:szCs w:val="20"/>
        </w:rPr>
        <w:t>reduc</w:t>
      </w:r>
      <w:r w:rsidR="00E3445A">
        <w:rPr>
          <w:rFonts w:cs="Readex Pro"/>
          <w:sz w:val="20"/>
          <w:szCs w:val="20"/>
        </w:rPr>
        <w:t>ing</w:t>
      </w:r>
      <w:r w:rsidRPr="00EA1375">
        <w:rPr>
          <w:rFonts w:cs="Readex Pro"/>
          <w:sz w:val="20"/>
          <w:szCs w:val="20"/>
        </w:rPr>
        <w:t xml:space="preserve"> justice system interaction</w:t>
      </w:r>
      <w:r>
        <w:rPr>
          <w:rFonts w:cs="Readex Pro"/>
          <w:sz w:val="20"/>
          <w:szCs w:val="20"/>
        </w:rPr>
        <w:t xml:space="preserve"> for children and young people</w:t>
      </w:r>
      <w:r w:rsidR="00E3445A">
        <w:rPr>
          <w:rFonts w:cs="Readex Pro"/>
          <w:sz w:val="20"/>
          <w:szCs w:val="20"/>
        </w:rPr>
        <w:t>, as well as preventing exposure to harmful experiences in detention</w:t>
      </w:r>
      <w:r w:rsidRPr="00EA1375">
        <w:rPr>
          <w:rFonts w:cs="Readex Pro"/>
          <w:sz w:val="20"/>
          <w:szCs w:val="20"/>
        </w:rPr>
        <w:t>.</w:t>
      </w:r>
    </w:p>
    <w:p w14:paraId="4B34D7F6" w14:textId="27F7C059" w:rsidR="00E3445A" w:rsidRPr="005B7757" w:rsidRDefault="00E3445A" w:rsidP="00E3445A">
      <w:pPr>
        <w:rPr>
          <w:rFonts w:cs="Readex Pro"/>
          <w:sz w:val="20"/>
          <w:szCs w:val="20"/>
        </w:rPr>
      </w:pPr>
      <w:r w:rsidRPr="005B7757">
        <w:rPr>
          <w:rFonts w:cs="Readex Pro"/>
          <w:sz w:val="20"/>
          <w:szCs w:val="20"/>
        </w:rPr>
        <w:t xml:space="preserve">A recent ACT Ombudsman investigation called for alternatives to police custody for children and young people to be used ‘wherever possible to avoid the increased risk that </w:t>
      </w:r>
      <w:r w:rsidR="008255FB">
        <w:rPr>
          <w:rFonts w:cs="Readex Pro"/>
          <w:sz w:val="20"/>
          <w:szCs w:val="20"/>
        </w:rPr>
        <w:t xml:space="preserve">children and </w:t>
      </w:r>
      <w:r w:rsidRPr="005B7757">
        <w:rPr>
          <w:rFonts w:cs="Readex Pro"/>
          <w:sz w:val="20"/>
          <w:szCs w:val="20"/>
        </w:rPr>
        <w:t>young people will be exposed to trauma and physical harm through uses of force involved in being taken into custody’.</w:t>
      </w:r>
      <w:r w:rsidRPr="005B7757">
        <w:rPr>
          <w:rFonts w:cs="Readex Pro"/>
          <w:sz w:val="20"/>
          <w:szCs w:val="20"/>
          <w:vertAlign w:val="superscript"/>
        </w:rPr>
        <w:footnoteReference w:id="35"/>
      </w:r>
    </w:p>
    <w:p w14:paraId="58BF99F6" w14:textId="1834A9A2" w:rsidR="007F1E9F" w:rsidRDefault="007F1E9F" w:rsidP="00FC2BF6">
      <w:pPr>
        <w:rPr>
          <w:rFonts w:cs="Readex Pro"/>
          <w:sz w:val="20"/>
          <w:szCs w:val="20"/>
        </w:rPr>
      </w:pPr>
      <w:r w:rsidRPr="00EA1375">
        <w:rPr>
          <w:rFonts w:cs="Readex Pro"/>
          <w:sz w:val="20"/>
          <w:szCs w:val="20"/>
        </w:rPr>
        <w:lastRenderedPageBreak/>
        <w:t xml:space="preserve">While some approaches currently exist, there are shortcomings. For example, despite being a core part of the NT youth justice system, </w:t>
      </w:r>
      <w:r>
        <w:rPr>
          <w:rFonts w:cs="Readex Pro"/>
          <w:sz w:val="20"/>
          <w:szCs w:val="20"/>
        </w:rPr>
        <w:t>‘</w:t>
      </w:r>
      <w:r w:rsidRPr="00EA1375">
        <w:rPr>
          <w:rFonts w:cs="Readex Pro"/>
          <w:sz w:val="20"/>
          <w:szCs w:val="20"/>
        </w:rPr>
        <w:t>[t]here are significant gaps in the availability and accessibility of diversion across the NT, particularly in regional and remote areas</w:t>
      </w:r>
      <w:r>
        <w:rPr>
          <w:rFonts w:cs="Readex Pro"/>
          <w:sz w:val="20"/>
          <w:szCs w:val="20"/>
        </w:rPr>
        <w:t>’</w:t>
      </w:r>
      <w:r w:rsidRPr="00EA1375">
        <w:rPr>
          <w:rFonts w:cs="Readex Pro"/>
          <w:sz w:val="20"/>
          <w:szCs w:val="20"/>
        </w:rPr>
        <w:t>.</w:t>
      </w:r>
      <w:r w:rsidRPr="00EA1375">
        <w:rPr>
          <w:rStyle w:val="FootnoteReference"/>
          <w:rFonts w:cs="Readex Pro"/>
          <w:sz w:val="20"/>
          <w:szCs w:val="20"/>
        </w:rPr>
        <w:footnoteReference w:id="36"/>
      </w:r>
      <w:r w:rsidR="006D45C4">
        <w:rPr>
          <w:rFonts w:cs="Readex Pro"/>
          <w:sz w:val="20"/>
          <w:szCs w:val="20"/>
        </w:rPr>
        <w:t xml:space="preserve"> </w:t>
      </w:r>
      <w:r w:rsidR="006D45C4" w:rsidRPr="006D45C4">
        <w:rPr>
          <w:rFonts w:cs="Readex Pro"/>
          <w:sz w:val="20"/>
          <w:szCs w:val="20"/>
        </w:rPr>
        <w:t>In addition, recent amendments to youth justice laws in the NT have reduced the availability of alternatives to prosecution</w:t>
      </w:r>
      <w:r w:rsidR="006D45C4">
        <w:rPr>
          <w:rFonts w:cs="Readex Pro"/>
          <w:sz w:val="20"/>
          <w:szCs w:val="20"/>
        </w:rPr>
        <w:t>,</w:t>
      </w:r>
      <w:r w:rsidR="006D45C4" w:rsidRPr="006D45C4">
        <w:rPr>
          <w:rFonts w:cs="Readex Pro"/>
          <w:sz w:val="20"/>
          <w:szCs w:val="20"/>
        </w:rPr>
        <w:t xml:space="preserve"> restricting access to cautions and diversion in relation to a significant number of offences for children and young people.</w:t>
      </w:r>
    </w:p>
    <w:p w14:paraId="49826861" w14:textId="3BCA0458" w:rsidR="007F1E9F" w:rsidRPr="00EA1375" w:rsidRDefault="007F1E9F" w:rsidP="00FC2BF6">
      <w:pPr>
        <w:rPr>
          <w:rFonts w:cs="Readex Pro"/>
          <w:sz w:val="20"/>
          <w:szCs w:val="20"/>
        </w:rPr>
      </w:pPr>
      <w:r w:rsidRPr="00EA1375">
        <w:rPr>
          <w:rFonts w:cs="Readex Pro"/>
          <w:sz w:val="20"/>
          <w:szCs w:val="20"/>
        </w:rPr>
        <w:t>Further, rates of police diversion are higher for non-Indigenous Australians. For example</w:t>
      </w:r>
      <w:r w:rsidR="000059AF">
        <w:rPr>
          <w:rFonts w:cs="Readex Pro"/>
          <w:sz w:val="20"/>
          <w:szCs w:val="20"/>
        </w:rPr>
        <w:t>,</w:t>
      </w:r>
      <w:r w:rsidRPr="00EA1375">
        <w:rPr>
          <w:rFonts w:cs="Readex Pro"/>
          <w:sz w:val="20"/>
          <w:szCs w:val="20"/>
        </w:rPr>
        <w:t xml:space="preserve"> in the ACT, 33% of non-Indigenous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received police diversions, </w:t>
      </w:r>
      <w:r w:rsidR="005B3B23">
        <w:rPr>
          <w:rFonts w:cs="Readex Pro"/>
          <w:sz w:val="20"/>
          <w:szCs w:val="20"/>
        </w:rPr>
        <w:t>compared to</w:t>
      </w:r>
      <w:r w:rsidR="005B3B23" w:rsidRPr="00EA1375">
        <w:rPr>
          <w:rFonts w:cs="Readex Pro"/>
          <w:sz w:val="20"/>
          <w:szCs w:val="20"/>
        </w:rPr>
        <w:t xml:space="preserve"> </w:t>
      </w:r>
      <w:r w:rsidRPr="00EA1375">
        <w:rPr>
          <w:rFonts w:cs="Readex Pro"/>
          <w:sz w:val="20"/>
          <w:szCs w:val="20"/>
        </w:rPr>
        <w:t>only 8% of Aboriginal and Torres Strait Islander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w:t>
      </w:r>
      <w:bookmarkStart w:id="53" w:name="_Ref207114046"/>
      <w:r w:rsidRPr="00EA1375">
        <w:rPr>
          <w:rStyle w:val="FootnoteReference"/>
          <w:rFonts w:cs="Readex Pro"/>
          <w:sz w:val="20"/>
          <w:szCs w:val="20"/>
        </w:rPr>
        <w:footnoteReference w:id="37"/>
      </w:r>
      <w:bookmarkEnd w:id="53"/>
    </w:p>
    <w:p w14:paraId="2AEB2E4D" w14:textId="4BD7EBDC" w:rsidR="007F1E9F" w:rsidRPr="00EA1375" w:rsidRDefault="007F1E9F" w:rsidP="00FC2BF6">
      <w:pPr>
        <w:spacing w:after="60"/>
        <w:rPr>
          <w:rFonts w:cs="Readex Pro"/>
          <w:sz w:val="20"/>
          <w:szCs w:val="20"/>
        </w:rPr>
      </w:pPr>
      <w:r w:rsidRPr="001E614B">
        <w:rPr>
          <w:rFonts w:cs="Readex Pro"/>
          <w:sz w:val="20"/>
          <w:szCs w:val="20"/>
        </w:rPr>
        <w:t>More work is required from authorities towards diversion of children</w:t>
      </w:r>
      <w:r w:rsidR="00EC7814" w:rsidRPr="00EC7814">
        <w:rPr>
          <w:rFonts w:cs="Readex Pro"/>
          <w:sz w:val="20"/>
          <w:szCs w:val="20"/>
        </w:rPr>
        <w:t xml:space="preserve"> </w:t>
      </w:r>
      <w:r w:rsidR="00EC7814">
        <w:rPr>
          <w:rFonts w:cs="Readex Pro"/>
          <w:sz w:val="20"/>
          <w:szCs w:val="20"/>
        </w:rPr>
        <w:t>and young people</w:t>
      </w:r>
      <w:r w:rsidRPr="001E614B">
        <w:rPr>
          <w:rFonts w:cs="Readex Pro"/>
          <w:sz w:val="20"/>
          <w:szCs w:val="20"/>
        </w:rPr>
        <w:t xml:space="preserve"> from detention and from the justice </w:t>
      </w:r>
      <w:proofErr w:type="gramStart"/>
      <w:r w:rsidRPr="001E614B">
        <w:rPr>
          <w:rFonts w:cs="Readex Pro"/>
          <w:sz w:val="20"/>
          <w:szCs w:val="20"/>
        </w:rPr>
        <w:t>system as a whole</w:t>
      </w:r>
      <w:proofErr w:type="gramEnd"/>
      <w:r>
        <w:rPr>
          <w:rFonts w:cs="Readex Pro"/>
          <w:sz w:val="20"/>
          <w:szCs w:val="20"/>
        </w:rPr>
        <w:t xml:space="preserve">. </w:t>
      </w:r>
      <w:r w:rsidRPr="00EA1375">
        <w:rPr>
          <w:rFonts w:cs="Readex Pro"/>
          <w:sz w:val="20"/>
          <w:szCs w:val="20"/>
        </w:rPr>
        <w:t>Effective early intervention and diversionary approaches should be:</w:t>
      </w:r>
    </w:p>
    <w:p w14:paraId="1B5C0A61" w14:textId="2666FFA6" w:rsidR="007F1E9F" w:rsidRPr="00EA1375" w:rsidRDefault="007F1E9F" w:rsidP="004541B6">
      <w:pPr>
        <w:pStyle w:val="ListParagraph"/>
        <w:numPr>
          <w:ilvl w:val="0"/>
          <w:numId w:val="3"/>
        </w:numPr>
        <w:spacing w:before="60"/>
        <w:rPr>
          <w:rFonts w:cs="Readex Pro"/>
          <w:sz w:val="20"/>
          <w:szCs w:val="20"/>
        </w:rPr>
      </w:pPr>
      <w:r w:rsidRPr="00EA1375">
        <w:rPr>
          <w:rFonts w:cs="Readex Pro"/>
          <w:sz w:val="20"/>
          <w:szCs w:val="20"/>
        </w:rPr>
        <w:t>culturally safe for Aboriginal and Torres Strait Islander people</w:t>
      </w:r>
    </w:p>
    <w:p w14:paraId="3506ECE0" w14:textId="77777777" w:rsidR="007F1E9F" w:rsidRPr="00EA1375" w:rsidRDefault="007F1E9F" w:rsidP="004541B6">
      <w:pPr>
        <w:pStyle w:val="ListParagraph"/>
        <w:numPr>
          <w:ilvl w:val="0"/>
          <w:numId w:val="3"/>
        </w:numPr>
        <w:rPr>
          <w:rFonts w:cs="Readex Pro"/>
          <w:sz w:val="20"/>
          <w:szCs w:val="20"/>
        </w:rPr>
      </w:pPr>
      <w:r w:rsidRPr="00EA1375">
        <w:rPr>
          <w:rFonts w:cs="Readex Pro"/>
          <w:sz w:val="20"/>
          <w:szCs w:val="20"/>
        </w:rPr>
        <w:t xml:space="preserve">therapeutically- rather than </w:t>
      </w:r>
      <w:proofErr w:type="gramStart"/>
      <w:r w:rsidRPr="00EA1375">
        <w:rPr>
          <w:rFonts w:cs="Readex Pro"/>
          <w:sz w:val="20"/>
          <w:szCs w:val="20"/>
        </w:rPr>
        <w:t>punitively-focused</w:t>
      </w:r>
      <w:proofErr w:type="gramEnd"/>
    </w:p>
    <w:p w14:paraId="65BA2BB5" w14:textId="77777777" w:rsidR="007F1E9F" w:rsidRPr="00EA1375" w:rsidRDefault="007F1E9F" w:rsidP="004541B6">
      <w:pPr>
        <w:pStyle w:val="ListParagraph"/>
        <w:numPr>
          <w:ilvl w:val="0"/>
          <w:numId w:val="3"/>
        </w:numPr>
        <w:rPr>
          <w:rFonts w:cs="Readex Pro"/>
          <w:sz w:val="20"/>
          <w:szCs w:val="20"/>
        </w:rPr>
      </w:pPr>
      <w:r w:rsidRPr="00EA1375">
        <w:rPr>
          <w:rFonts w:cs="Readex Pro"/>
          <w:sz w:val="20"/>
          <w:szCs w:val="20"/>
        </w:rPr>
        <w:t>designed and led by adequately funded Aboriginal Community Controlled Organisations</w:t>
      </w:r>
    </w:p>
    <w:p w14:paraId="322BB2E5" w14:textId="265AB650" w:rsidR="007F1E9F" w:rsidRDefault="007F1E9F" w:rsidP="004541B6">
      <w:pPr>
        <w:pStyle w:val="ListParagraph"/>
        <w:numPr>
          <w:ilvl w:val="0"/>
          <w:numId w:val="3"/>
        </w:numPr>
        <w:rPr>
          <w:rFonts w:cs="Readex Pro"/>
          <w:sz w:val="20"/>
          <w:szCs w:val="20"/>
        </w:rPr>
      </w:pPr>
      <w:r w:rsidRPr="00EA1375">
        <w:rPr>
          <w:rFonts w:cs="Readex Pro"/>
          <w:sz w:val="20"/>
          <w:szCs w:val="20"/>
        </w:rPr>
        <w:t>accessible in all locations, including in regional and remote Australia</w:t>
      </w:r>
      <w:r w:rsidR="00792B64">
        <w:rPr>
          <w:rFonts w:cs="Readex Pro"/>
          <w:sz w:val="20"/>
          <w:szCs w:val="20"/>
        </w:rPr>
        <w:t xml:space="preserve"> and</w:t>
      </w:r>
    </w:p>
    <w:p w14:paraId="517AC37F" w14:textId="77777777" w:rsidR="007F1E9F" w:rsidRPr="005B7757" w:rsidRDefault="007F1E9F" w:rsidP="004541B6">
      <w:pPr>
        <w:pStyle w:val="ListParagraph"/>
        <w:numPr>
          <w:ilvl w:val="0"/>
          <w:numId w:val="3"/>
        </w:numPr>
        <w:rPr>
          <w:rFonts w:cs="Readex Pro"/>
          <w:sz w:val="20"/>
          <w:szCs w:val="20"/>
        </w:rPr>
      </w:pPr>
      <w:r w:rsidRPr="005B7757">
        <w:rPr>
          <w:rFonts w:cs="Readex Pro"/>
          <w:sz w:val="20"/>
          <w:szCs w:val="20"/>
        </w:rPr>
        <w:t>provided at multiple stages, including through pre-trial and pre-sentence diversion, but also through community-based preventive approaches prior to any justice system contact, directed towards issues such as health and education.</w:t>
      </w:r>
      <w:r w:rsidRPr="00EA1375">
        <w:rPr>
          <w:rStyle w:val="FootnoteReference"/>
          <w:rFonts w:cs="Readex Pro"/>
          <w:sz w:val="20"/>
          <w:szCs w:val="20"/>
        </w:rPr>
        <w:footnoteReference w:id="38"/>
      </w:r>
    </w:p>
    <w:tbl>
      <w:tblPr>
        <w:tblStyle w:val="GridTable4-Accent2"/>
        <w:tblpPr w:leftFromText="180" w:rightFromText="180" w:vertAnchor="text" w:horzAnchor="margin" w:tblpY="1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12482F" w14:paraId="4B27EDBD" w14:textId="77777777" w:rsidTr="00444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6DAAC3D6" w14:textId="0CF8C7F6" w:rsidR="007F1E9F" w:rsidRPr="001B7386" w:rsidRDefault="007F1E9F" w:rsidP="0013605E">
            <w:pPr>
              <w:ind w:left="275"/>
              <w:rPr>
                <w:sz w:val="20"/>
                <w:szCs w:val="20"/>
              </w:rPr>
            </w:pPr>
            <w:r w:rsidRPr="001B7386">
              <w:rPr>
                <w:rFonts w:eastAsiaTheme="majorEastAsia"/>
                <w:noProof/>
                <w:sz w:val="20"/>
                <w:szCs w:val="20"/>
              </w:rPr>
              <w:drawing>
                <wp:anchor distT="0" distB="0" distL="114300" distR="114300" simplePos="0" relativeHeight="251851776" behindDoc="1" locked="0" layoutInCell="1" allowOverlap="1" wp14:anchorId="14C24F33" wp14:editId="03AD01D7">
                  <wp:simplePos x="0" y="0"/>
                  <wp:positionH relativeFrom="column">
                    <wp:posOffset>-288661</wp:posOffset>
                  </wp:positionH>
                  <wp:positionV relativeFrom="paragraph">
                    <wp:posOffset>62230</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639556999"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rFonts w:eastAsiaTheme="majorEastAsia"/>
                <w:sz w:val="20"/>
                <w:szCs w:val="20"/>
              </w:rPr>
              <w:t>We suggest the Committee ask the state party to report on</w:t>
            </w:r>
            <w:r w:rsidRPr="001B7386">
              <w:rPr>
                <w:sz w:val="20"/>
                <w:szCs w:val="20"/>
              </w:rPr>
              <w:t xml:space="preserve"> concrete measures to increase access</w:t>
            </w:r>
            <w:r w:rsidR="00B720DF" w:rsidRPr="001B7386">
              <w:rPr>
                <w:sz w:val="20"/>
                <w:szCs w:val="20"/>
              </w:rPr>
              <w:t xml:space="preserve"> </w:t>
            </w:r>
            <w:r w:rsidRPr="001B7386">
              <w:rPr>
                <w:sz w:val="20"/>
                <w:szCs w:val="20"/>
              </w:rPr>
              <w:t>to adequately resourced early intervention and diversionary options</w:t>
            </w:r>
            <w:r w:rsidR="00B720DF" w:rsidRPr="001B7386">
              <w:rPr>
                <w:sz w:val="20"/>
                <w:szCs w:val="20"/>
              </w:rPr>
              <w:t>,</w:t>
            </w:r>
            <w:r w:rsidRPr="001B7386">
              <w:rPr>
                <w:sz w:val="20"/>
                <w:szCs w:val="20"/>
              </w:rPr>
              <w:t xml:space="preserve"> for children</w:t>
            </w:r>
            <w:r w:rsidR="00EC7814" w:rsidRPr="001B7386">
              <w:rPr>
                <w:sz w:val="20"/>
                <w:szCs w:val="20"/>
              </w:rPr>
              <w:t xml:space="preserve"> and young people</w:t>
            </w:r>
            <w:r w:rsidRPr="001B7386">
              <w:rPr>
                <w:sz w:val="20"/>
                <w:szCs w:val="20"/>
              </w:rPr>
              <w:t xml:space="preserve"> in contact</w:t>
            </w:r>
            <w:r w:rsidR="00B720DF" w:rsidRPr="001B7386">
              <w:rPr>
                <w:sz w:val="20"/>
                <w:szCs w:val="20"/>
              </w:rPr>
              <w:t xml:space="preserve"> – </w:t>
            </w:r>
            <w:r w:rsidRPr="001B7386">
              <w:rPr>
                <w:sz w:val="20"/>
                <w:szCs w:val="20"/>
              </w:rPr>
              <w:t>or risk of contact</w:t>
            </w:r>
            <w:r w:rsidR="00B720DF" w:rsidRPr="001B7386">
              <w:rPr>
                <w:sz w:val="20"/>
                <w:szCs w:val="20"/>
              </w:rPr>
              <w:t xml:space="preserve"> – </w:t>
            </w:r>
            <w:r w:rsidRPr="001B7386">
              <w:rPr>
                <w:sz w:val="20"/>
                <w:szCs w:val="20"/>
              </w:rPr>
              <w:t>with the justice system.</w:t>
            </w:r>
          </w:p>
        </w:tc>
      </w:tr>
    </w:tbl>
    <w:p w14:paraId="10FD4E72" w14:textId="0C6FAE23" w:rsidR="007F1E9F" w:rsidRPr="00B50F91" w:rsidRDefault="007F1E9F" w:rsidP="00B50F91">
      <w:pPr>
        <w:pStyle w:val="Heading3"/>
        <w:spacing w:before="120"/>
        <w:rPr>
          <w:color w:val="719243" w:themeColor="accent2"/>
        </w:rPr>
      </w:pPr>
      <w:bookmarkStart w:id="54" w:name="_Toc208584103"/>
      <w:r w:rsidRPr="00B50F91">
        <w:rPr>
          <w:color w:val="719243" w:themeColor="accent2"/>
        </w:rPr>
        <w:t>The use of spit hoods against children and young people in detention</w:t>
      </w:r>
      <w:bookmarkEnd w:id="54"/>
    </w:p>
    <w:p w14:paraId="239D34E0"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1D7A8F63" w14:textId="701D6EAA" w:rsidR="007F1E9F" w:rsidRPr="00B25382" w:rsidRDefault="007F1E9F" w:rsidP="00892F24">
      <w:pPr>
        <w:rPr>
          <w:rFonts w:cs="Readex Pro"/>
          <w:sz w:val="20"/>
          <w:szCs w:val="20"/>
        </w:rPr>
      </w:pPr>
      <w:r w:rsidRPr="00B25382">
        <w:rPr>
          <w:rFonts w:cs="Readex Pro"/>
          <w:sz w:val="20"/>
          <w:szCs w:val="20"/>
        </w:rPr>
        <w:t xml:space="preserve">In July 2025 the NT Parliament passed youth justice </w:t>
      </w:r>
      <w:r w:rsidR="00356DED">
        <w:rPr>
          <w:rFonts w:cs="Readex Pro"/>
          <w:sz w:val="20"/>
          <w:szCs w:val="20"/>
        </w:rPr>
        <w:t>reforms</w:t>
      </w:r>
      <w:r w:rsidR="00356DED" w:rsidRPr="00B25382">
        <w:rPr>
          <w:rFonts w:cs="Readex Pro"/>
          <w:sz w:val="20"/>
          <w:szCs w:val="20"/>
        </w:rPr>
        <w:t xml:space="preserve"> </w:t>
      </w:r>
      <w:r w:rsidRPr="00B25382">
        <w:rPr>
          <w:rFonts w:cs="Readex Pro"/>
          <w:sz w:val="20"/>
          <w:szCs w:val="20"/>
        </w:rPr>
        <w:t xml:space="preserve">which allowed for spit hoods to </w:t>
      </w:r>
      <w:r w:rsidR="00926813">
        <w:rPr>
          <w:rFonts w:cs="Readex Pro"/>
          <w:sz w:val="20"/>
          <w:szCs w:val="20"/>
        </w:rPr>
        <w:t xml:space="preserve">again </w:t>
      </w:r>
      <w:r w:rsidRPr="00B25382">
        <w:rPr>
          <w:rFonts w:cs="Readex Pro"/>
          <w:sz w:val="20"/>
          <w:szCs w:val="20"/>
        </w:rPr>
        <w:t>be used in youth detention centres.</w:t>
      </w:r>
      <w:r w:rsidRPr="00B25382">
        <w:rPr>
          <w:rStyle w:val="FootnoteReference"/>
          <w:rFonts w:cs="Readex Pro"/>
          <w:sz w:val="20"/>
          <w:szCs w:val="20"/>
        </w:rPr>
        <w:footnoteReference w:id="39"/>
      </w:r>
      <w:r w:rsidRPr="00B25382">
        <w:rPr>
          <w:rFonts w:cs="Readex Pro"/>
          <w:sz w:val="20"/>
          <w:szCs w:val="20"/>
        </w:rPr>
        <w:t xml:space="preserve"> This followed a decision in October 2024 to once again permit spit hood use by NT Police in police watch houses and cells.</w:t>
      </w:r>
      <w:r w:rsidRPr="00B25382">
        <w:rPr>
          <w:rStyle w:val="FootnoteReference"/>
          <w:rFonts w:cs="Readex Pro"/>
          <w:sz w:val="20"/>
          <w:szCs w:val="20"/>
        </w:rPr>
        <w:footnoteReference w:id="40"/>
      </w:r>
    </w:p>
    <w:p w14:paraId="43D86263" w14:textId="77BD97F9" w:rsidR="007F1E9F" w:rsidRPr="00B25382" w:rsidRDefault="007F1E9F" w:rsidP="00531AB6">
      <w:pPr>
        <w:rPr>
          <w:rFonts w:cs="Readex Pro"/>
          <w:sz w:val="20"/>
          <w:szCs w:val="20"/>
        </w:rPr>
      </w:pPr>
      <w:r w:rsidRPr="00B25382">
        <w:rPr>
          <w:rFonts w:cs="Readex Pro"/>
          <w:sz w:val="20"/>
          <w:szCs w:val="20"/>
        </w:rPr>
        <w:t>No other Australian jurisdiction uses spit hoods on children</w:t>
      </w:r>
      <w:r w:rsidR="00EC7814" w:rsidRPr="00EC7814">
        <w:rPr>
          <w:rFonts w:cs="Readex Pro"/>
          <w:sz w:val="20"/>
          <w:szCs w:val="20"/>
        </w:rPr>
        <w:t xml:space="preserve"> </w:t>
      </w:r>
      <w:r w:rsidR="00EC7814">
        <w:rPr>
          <w:rFonts w:cs="Readex Pro"/>
          <w:sz w:val="20"/>
          <w:szCs w:val="20"/>
        </w:rPr>
        <w:t>and young people</w:t>
      </w:r>
      <w:r w:rsidRPr="00B25382">
        <w:rPr>
          <w:rFonts w:cs="Readex Pro"/>
          <w:sz w:val="20"/>
          <w:szCs w:val="20"/>
        </w:rPr>
        <w:t>, and use of the devices comes with serious risks.</w:t>
      </w:r>
      <w:r w:rsidRPr="00B25382">
        <w:rPr>
          <w:rStyle w:val="FootnoteReference"/>
          <w:rFonts w:cs="Readex Pro"/>
          <w:sz w:val="20"/>
          <w:szCs w:val="20"/>
        </w:rPr>
        <w:footnoteReference w:id="41"/>
      </w:r>
      <w:r w:rsidRPr="00B25382">
        <w:rPr>
          <w:rFonts w:cs="Readex Pro"/>
          <w:sz w:val="20"/>
          <w:szCs w:val="20"/>
        </w:rPr>
        <w:t xml:space="preserve"> </w:t>
      </w:r>
      <w:r w:rsidRPr="005B7757">
        <w:rPr>
          <w:rFonts w:cs="Readex Pro"/>
          <w:sz w:val="20"/>
          <w:szCs w:val="20"/>
        </w:rPr>
        <w:t xml:space="preserve">Further, the NT OCC has stated: </w:t>
      </w:r>
      <w:r w:rsidR="00AB255B">
        <w:rPr>
          <w:rFonts w:cs="Readex Pro"/>
          <w:sz w:val="20"/>
          <w:szCs w:val="20"/>
        </w:rPr>
        <w:t>‘</w:t>
      </w:r>
      <w:r w:rsidR="00356DED">
        <w:rPr>
          <w:rFonts w:cs="Readex Pro"/>
          <w:sz w:val="20"/>
          <w:szCs w:val="20"/>
        </w:rPr>
        <w:t>t</w:t>
      </w:r>
      <w:r w:rsidRPr="005B7757">
        <w:rPr>
          <w:rFonts w:cs="Readex Pro"/>
          <w:sz w:val="20"/>
          <w:szCs w:val="20"/>
        </w:rPr>
        <w:t>he way children are treated in detention is vital to their rehabilitation and achieving the community safety outcomes we all want to see. Any increased use of harmful practices like restraints, separation and use of force that is not regulated undermines a child’s ability to meaningfully reintegrate to the community</w:t>
      </w:r>
      <w:r w:rsidR="00AB255B">
        <w:rPr>
          <w:rFonts w:cs="Readex Pro"/>
          <w:sz w:val="20"/>
          <w:szCs w:val="20"/>
        </w:rPr>
        <w:t>’</w:t>
      </w:r>
      <w:r w:rsidRPr="005B7757">
        <w:rPr>
          <w:rFonts w:cs="Readex Pro"/>
          <w:sz w:val="20"/>
          <w:szCs w:val="20"/>
        </w:rPr>
        <w:t>.</w:t>
      </w:r>
      <w:r w:rsidR="00AB255B">
        <w:rPr>
          <w:rStyle w:val="FootnoteReference"/>
          <w:rFonts w:cs="Readex Pro"/>
          <w:sz w:val="20"/>
          <w:szCs w:val="20"/>
        </w:rPr>
        <w:footnoteReference w:id="42"/>
      </w:r>
    </w:p>
    <w:p w14:paraId="79E765B1" w14:textId="55D46830" w:rsidR="007F1E9F" w:rsidRDefault="007F1E9F" w:rsidP="00892F24">
      <w:pPr>
        <w:rPr>
          <w:rFonts w:cs="Readex Pro"/>
          <w:sz w:val="20"/>
          <w:szCs w:val="20"/>
        </w:rPr>
      </w:pPr>
      <w:r w:rsidRPr="00B25382">
        <w:rPr>
          <w:rFonts w:cs="Readex Pro"/>
          <w:sz w:val="20"/>
          <w:szCs w:val="20"/>
        </w:rPr>
        <w:t>The use of spit hoods on children</w:t>
      </w:r>
      <w:r w:rsidR="00EC7814" w:rsidRPr="00EC7814">
        <w:rPr>
          <w:rFonts w:cs="Readex Pro"/>
          <w:sz w:val="20"/>
          <w:szCs w:val="20"/>
        </w:rPr>
        <w:t xml:space="preserve"> </w:t>
      </w:r>
      <w:r w:rsidR="00EC7814">
        <w:rPr>
          <w:rFonts w:cs="Readex Pro"/>
          <w:sz w:val="20"/>
          <w:szCs w:val="20"/>
        </w:rPr>
        <w:t>and young people</w:t>
      </w:r>
      <w:r w:rsidRPr="00B25382">
        <w:rPr>
          <w:rFonts w:cs="Readex Pro"/>
          <w:sz w:val="20"/>
          <w:szCs w:val="20"/>
        </w:rPr>
        <w:t xml:space="preserve"> should be banned across Australia, noting</w:t>
      </w:r>
      <w:r>
        <w:rPr>
          <w:rFonts w:cs="Readex Pro"/>
          <w:sz w:val="20"/>
          <w:szCs w:val="20"/>
        </w:rPr>
        <w:t xml:space="preserve"> the irreparable harm they can cause, and that their use does not make the wider community any safer.</w:t>
      </w:r>
      <w:r>
        <w:rPr>
          <w:rStyle w:val="FootnoteReference"/>
          <w:rFonts w:cs="Readex Pro"/>
          <w:sz w:val="20"/>
          <w:szCs w:val="20"/>
        </w:rPr>
        <w:footnoteReference w:id="43"/>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3681EDB3" w14:textId="77777777" w:rsidTr="00D22E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27AFAA96" w14:textId="77777777" w:rsidR="001B7386" w:rsidRPr="0013605E" w:rsidRDefault="00570001" w:rsidP="0013605E">
            <w:pPr>
              <w:ind w:left="275"/>
              <w:rPr>
                <w:rFonts w:eastAsiaTheme="majorEastAsia"/>
                <w:sz w:val="20"/>
                <w:szCs w:val="20"/>
              </w:rPr>
            </w:pPr>
            <w:r w:rsidRPr="0013605E">
              <w:rPr>
                <w:rFonts w:eastAsiaTheme="majorEastAsia"/>
                <w:noProof/>
                <w:sz w:val="20"/>
                <w:szCs w:val="20"/>
              </w:rPr>
              <w:lastRenderedPageBreak/>
              <w:drawing>
                <wp:anchor distT="0" distB="0" distL="114300" distR="114300" simplePos="0" relativeHeight="251839488" behindDoc="1" locked="0" layoutInCell="1" allowOverlap="1" wp14:anchorId="3188BDB3" wp14:editId="147AA2DC">
                  <wp:simplePos x="0" y="0"/>
                  <wp:positionH relativeFrom="column">
                    <wp:posOffset>-276596</wp:posOffset>
                  </wp:positionH>
                  <wp:positionV relativeFrom="paragraph">
                    <wp:posOffset>69850</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322058966"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3605E">
              <w:rPr>
                <w:rFonts w:eastAsiaTheme="majorEastAsia"/>
                <w:sz w:val="20"/>
                <w:szCs w:val="20"/>
              </w:rPr>
              <w:t>We suggest the Committee ask the state party to report on:</w:t>
            </w:r>
          </w:p>
          <w:p w14:paraId="4386B2FA" w14:textId="3DB36ED5" w:rsidR="007F1E9F" w:rsidRPr="001B7386" w:rsidRDefault="007F1E9F" w:rsidP="004541B6">
            <w:pPr>
              <w:pStyle w:val="ListParagraph"/>
              <w:numPr>
                <w:ilvl w:val="0"/>
                <w:numId w:val="10"/>
              </w:numPr>
              <w:rPr>
                <w:sz w:val="20"/>
                <w:szCs w:val="20"/>
              </w:rPr>
            </w:pPr>
            <w:r w:rsidRPr="001B7386">
              <w:rPr>
                <w:sz w:val="20"/>
                <w:szCs w:val="20"/>
              </w:rPr>
              <w:t xml:space="preserve">moves to reverse recent decisions by the </w:t>
            </w:r>
            <w:r w:rsidR="00AB255B" w:rsidRPr="001B7386">
              <w:rPr>
                <w:sz w:val="20"/>
                <w:szCs w:val="20"/>
              </w:rPr>
              <w:t>NT</w:t>
            </w:r>
            <w:r w:rsidRPr="001B7386">
              <w:rPr>
                <w:sz w:val="20"/>
                <w:szCs w:val="20"/>
              </w:rPr>
              <w:t xml:space="preserve"> Government to reintroduce the use of spit hoods on children</w:t>
            </w:r>
            <w:r w:rsidR="00EC7814" w:rsidRPr="001B7386">
              <w:rPr>
                <w:sz w:val="20"/>
                <w:szCs w:val="20"/>
              </w:rPr>
              <w:t xml:space="preserve"> and young people</w:t>
            </w:r>
            <w:r w:rsidRPr="001B7386">
              <w:rPr>
                <w:sz w:val="20"/>
                <w:szCs w:val="20"/>
              </w:rPr>
              <w:t xml:space="preserve"> in police custody and youth detention</w:t>
            </w:r>
          </w:p>
          <w:p w14:paraId="218CED8D" w14:textId="5394B91C" w:rsidR="007F1E9F" w:rsidRPr="00EA1375" w:rsidRDefault="007F1E9F" w:rsidP="004541B6">
            <w:pPr>
              <w:pStyle w:val="ListParagraph"/>
              <w:numPr>
                <w:ilvl w:val="0"/>
                <w:numId w:val="10"/>
              </w:numPr>
              <w:rPr>
                <w:b w:val="0"/>
                <w:bCs w:val="0"/>
              </w:rPr>
            </w:pPr>
            <w:r w:rsidRPr="001B7386">
              <w:rPr>
                <w:sz w:val="20"/>
                <w:szCs w:val="20"/>
              </w:rPr>
              <w:t>measures to secure an ongoing prohibition across Australia on spit hood use against children and young people in all places of detention.</w:t>
            </w:r>
          </w:p>
        </w:tc>
      </w:tr>
    </w:tbl>
    <w:p w14:paraId="2AFDEF4E" w14:textId="7040FAD3" w:rsidR="007F1E9F" w:rsidRPr="00B50F91" w:rsidRDefault="007F1E9F" w:rsidP="00B50F91">
      <w:pPr>
        <w:pStyle w:val="Heading3"/>
        <w:spacing w:before="120"/>
        <w:rPr>
          <w:color w:val="719243" w:themeColor="accent2"/>
        </w:rPr>
      </w:pPr>
      <w:bookmarkStart w:id="55" w:name="_Toc208584104"/>
      <w:r w:rsidRPr="00B50F91">
        <w:rPr>
          <w:color w:val="719243" w:themeColor="accent2"/>
        </w:rPr>
        <w:t>Isolation of children</w:t>
      </w:r>
      <w:r w:rsidR="00EC7814">
        <w:rPr>
          <w:color w:val="719243" w:themeColor="accent2"/>
        </w:rPr>
        <w:t xml:space="preserve"> and young people</w:t>
      </w:r>
      <w:r w:rsidRPr="00B50F91">
        <w:rPr>
          <w:color w:val="719243" w:themeColor="accent2"/>
        </w:rPr>
        <w:t xml:space="preserve"> in detention</w:t>
      </w:r>
      <w:bookmarkEnd w:id="55"/>
    </w:p>
    <w:p w14:paraId="2541EA5E"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3E837FFB" w14:textId="18BB2410" w:rsidR="00055534" w:rsidRDefault="007F1E9F" w:rsidP="00571866">
      <w:pPr>
        <w:rPr>
          <w:rFonts w:cs="Readex Pro"/>
          <w:sz w:val="20"/>
          <w:szCs w:val="20"/>
        </w:rPr>
      </w:pPr>
      <w:r w:rsidRPr="00055534">
        <w:rPr>
          <w:rFonts w:cs="Readex Pro"/>
          <w:sz w:val="20"/>
          <w:szCs w:val="20"/>
        </w:rPr>
        <w:t>Uses of different forms of isolation in youth detention continue to be an issue across the country.</w:t>
      </w:r>
      <w:bookmarkStart w:id="56" w:name="_Ref207045613"/>
      <w:r w:rsidRPr="00055534">
        <w:rPr>
          <w:rStyle w:val="FootnoteReference"/>
          <w:rFonts w:cs="Readex Pro"/>
          <w:sz w:val="20"/>
          <w:szCs w:val="20"/>
        </w:rPr>
        <w:footnoteReference w:id="44"/>
      </w:r>
      <w:bookmarkEnd w:id="56"/>
      <w:r w:rsidRPr="00EA1375">
        <w:rPr>
          <w:rFonts w:cs="Readex Pro"/>
          <w:sz w:val="20"/>
          <w:szCs w:val="20"/>
        </w:rPr>
        <w:t xml:space="preserve"> </w:t>
      </w:r>
      <w:r w:rsidR="009B1564" w:rsidRPr="009B1564">
        <w:rPr>
          <w:rFonts w:cs="Readex Pro"/>
          <w:sz w:val="20"/>
          <w:szCs w:val="20"/>
        </w:rPr>
        <w:t xml:space="preserve">Australian jurisdictions use </w:t>
      </w:r>
      <w:r w:rsidR="009B1564">
        <w:rPr>
          <w:rFonts w:cs="Readex Pro"/>
          <w:sz w:val="20"/>
          <w:szCs w:val="20"/>
        </w:rPr>
        <w:t xml:space="preserve">various, and often </w:t>
      </w:r>
      <w:r w:rsidR="009B1564" w:rsidRPr="009B1564">
        <w:rPr>
          <w:rFonts w:cs="Readex Pro"/>
          <w:sz w:val="20"/>
          <w:szCs w:val="20"/>
        </w:rPr>
        <w:t>inconsistent</w:t>
      </w:r>
      <w:r w:rsidR="009B1564">
        <w:rPr>
          <w:rFonts w:cs="Readex Pro"/>
          <w:sz w:val="20"/>
          <w:szCs w:val="20"/>
        </w:rPr>
        <w:t>,</w:t>
      </w:r>
      <w:r w:rsidR="009B1564" w:rsidRPr="009B1564">
        <w:rPr>
          <w:rFonts w:cs="Readex Pro"/>
          <w:sz w:val="20"/>
          <w:szCs w:val="20"/>
        </w:rPr>
        <w:t xml:space="preserve"> terms for the practice of isolating a child </w:t>
      </w:r>
      <w:r w:rsidR="009B1564">
        <w:rPr>
          <w:rFonts w:cs="Readex Pro"/>
          <w:sz w:val="20"/>
          <w:szCs w:val="20"/>
        </w:rPr>
        <w:t xml:space="preserve">or young person </w:t>
      </w:r>
      <w:r w:rsidR="009B1564" w:rsidRPr="009B1564">
        <w:rPr>
          <w:rFonts w:cs="Readex Pro"/>
          <w:sz w:val="20"/>
          <w:szCs w:val="20"/>
        </w:rPr>
        <w:t xml:space="preserve">involuntarily from other children </w:t>
      </w:r>
      <w:r w:rsidR="009B1564">
        <w:rPr>
          <w:rFonts w:cs="Readex Pro"/>
          <w:sz w:val="20"/>
          <w:szCs w:val="20"/>
        </w:rPr>
        <w:t xml:space="preserve">and young people </w:t>
      </w:r>
      <w:r w:rsidR="009B1564" w:rsidRPr="009B1564">
        <w:rPr>
          <w:rFonts w:cs="Readex Pro"/>
          <w:sz w:val="20"/>
          <w:szCs w:val="20"/>
        </w:rPr>
        <w:t xml:space="preserve">in detention. These terms can include </w:t>
      </w:r>
      <w:r w:rsidR="00055534">
        <w:rPr>
          <w:rFonts w:cs="Readex Pro"/>
          <w:sz w:val="20"/>
          <w:szCs w:val="20"/>
        </w:rPr>
        <w:t>‘</w:t>
      </w:r>
      <w:r w:rsidR="009B1564" w:rsidRPr="009B1564">
        <w:rPr>
          <w:rFonts w:cs="Readex Pro"/>
          <w:sz w:val="20"/>
          <w:szCs w:val="20"/>
        </w:rPr>
        <w:t>isolation</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segregation</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separation</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lockdown</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at-risk</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night mode</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continuous cell occupancy</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de</w:t>
      </w:r>
      <w:r w:rsidR="009B1564">
        <w:rPr>
          <w:rFonts w:cs="Readex Pro"/>
          <w:sz w:val="20"/>
          <w:szCs w:val="20"/>
        </w:rPr>
        <w:t xml:space="preserve"> </w:t>
      </w:r>
      <w:r w:rsidR="009B1564" w:rsidRPr="009B1564">
        <w:rPr>
          <w:rFonts w:cs="Readex Pro"/>
          <w:sz w:val="20"/>
          <w:szCs w:val="20"/>
        </w:rPr>
        <w:t>facto confinement</w:t>
      </w:r>
      <w:r w:rsidR="00055534">
        <w:rPr>
          <w:rFonts w:cs="Readex Pro"/>
          <w:sz w:val="20"/>
          <w:szCs w:val="20"/>
        </w:rPr>
        <w:t>’</w:t>
      </w:r>
      <w:r w:rsidR="009B1564" w:rsidRPr="009B1564">
        <w:rPr>
          <w:rFonts w:cs="Readex Pro"/>
          <w:sz w:val="20"/>
          <w:szCs w:val="20"/>
        </w:rPr>
        <w:t xml:space="preserve">, </w:t>
      </w:r>
      <w:r w:rsidR="00055534">
        <w:rPr>
          <w:rFonts w:cs="Readex Pro"/>
          <w:sz w:val="20"/>
          <w:szCs w:val="20"/>
        </w:rPr>
        <w:t>‘</w:t>
      </w:r>
      <w:r w:rsidR="009B1564" w:rsidRPr="009B1564">
        <w:rPr>
          <w:rFonts w:cs="Readex Pro"/>
          <w:sz w:val="20"/>
          <w:szCs w:val="20"/>
        </w:rPr>
        <w:t>solitary confinement</w:t>
      </w:r>
      <w:r w:rsidR="00055534">
        <w:rPr>
          <w:rFonts w:cs="Readex Pro"/>
          <w:sz w:val="20"/>
          <w:szCs w:val="20"/>
        </w:rPr>
        <w:t>’</w:t>
      </w:r>
      <w:r w:rsidR="009B1564" w:rsidRPr="009B1564">
        <w:rPr>
          <w:rFonts w:cs="Readex Pro"/>
          <w:sz w:val="20"/>
          <w:szCs w:val="20"/>
        </w:rPr>
        <w:t xml:space="preserve">, and </w:t>
      </w:r>
      <w:r w:rsidR="00055534">
        <w:rPr>
          <w:rFonts w:cs="Readex Pro"/>
          <w:sz w:val="20"/>
          <w:szCs w:val="20"/>
        </w:rPr>
        <w:t>‘</w:t>
      </w:r>
      <w:r w:rsidR="009B1564" w:rsidRPr="009B1564">
        <w:rPr>
          <w:rFonts w:cs="Readex Pro"/>
          <w:sz w:val="20"/>
          <w:szCs w:val="20"/>
        </w:rPr>
        <w:t>separate confinement</w:t>
      </w:r>
      <w:r w:rsidR="00055534">
        <w:rPr>
          <w:rFonts w:cs="Readex Pro"/>
          <w:sz w:val="20"/>
          <w:szCs w:val="20"/>
        </w:rPr>
        <w:t>’</w:t>
      </w:r>
      <w:r w:rsidR="009B1564" w:rsidRPr="009B1564">
        <w:rPr>
          <w:rFonts w:cs="Readex Pro"/>
          <w:sz w:val="20"/>
          <w:szCs w:val="20"/>
        </w:rPr>
        <w:t>.</w:t>
      </w:r>
    </w:p>
    <w:p w14:paraId="56608D16" w14:textId="546030D8" w:rsidR="007F1E9F" w:rsidRPr="00EA1375" w:rsidRDefault="009B1564" w:rsidP="00571866">
      <w:pPr>
        <w:rPr>
          <w:rFonts w:cs="Readex Pro"/>
          <w:sz w:val="20"/>
          <w:szCs w:val="20"/>
        </w:rPr>
      </w:pPr>
      <w:r w:rsidRPr="009B1564">
        <w:rPr>
          <w:rFonts w:cs="Readex Pro"/>
          <w:sz w:val="20"/>
          <w:szCs w:val="20"/>
        </w:rPr>
        <w:t>Regardless of the term</w:t>
      </w:r>
      <w:r>
        <w:rPr>
          <w:rFonts w:cs="Readex Pro"/>
          <w:sz w:val="20"/>
          <w:szCs w:val="20"/>
        </w:rPr>
        <w:t>inology or description</w:t>
      </w:r>
      <w:r w:rsidRPr="009B1564">
        <w:rPr>
          <w:rFonts w:cs="Readex Pro"/>
          <w:sz w:val="20"/>
          <w:szCs w:val="20"/>
        </w:rPr>
        <w:t xml:space="preserve">, the </w:t>
      </w:r>
      <w:r w:rsidR="00055534">
        <w:rPr>
          <w:rFonts w:cs="Readex Pro"/>
          <w:sz w:val="20"/>
          <w:szCs w:val="20"/>
        </w:rPr>
        <w:t>different</w:t>
      </w:r>
      <w:r w:rsidRPr="009B1564">
        <w:rPr>
          <w:rFonts w:cs="Readex Pro"/>
          <w:sz w:val="20"/>
          <w:szCs w:val="20"/>
        </w:rPr>
        <w:t xml:space="preserve"> isolation practices and situations in which they occur </w:t>
      </w:r>
      <w:r w:rsidR="007F1E9F" w:rsidRPr="00EA1375">
        <w:rPr>
          <w:rFonts w:cs="Readex Pro"/>
          <w:sz w:val="20"/>
          <w:szCs w:val="20"/>
        </w:rPr>
        <w:t>present various negative consequences for the children</w:t>
      </w:r>
      <w:r w:rsidR="00EC7814" w:rsidRPr="00EC7814">
        <w:rPr>
          <w:rFonts w:cs="Readex Pro"/>
          <w:sz w:val="20"/>
          <w:szCs w:val="20"/>
        </w:rPr>
        <w:t xml:space="preserve"> </w:t>
      </w:r>
      <w:r w:rsidR="00EC7814">
        <w:rPr>
          <w:rFonts w:cs="Readex Pro"/>
          <w:sz w:val="20"/>
          <w:szCs w:val="20"/>
        </w:rPr>
        <w:t>and young people</w:t>
      </w:r>
      <w:r w:rsidR="007F1E9F" w:rsidRPr="00EA1375">
        <w:rPr>
          <w:rFonts w:cs="Readex Pro"/>
          <w:sz w:val="20"/>
          <w:szCs w:val="20"/>
        </w:rPr>
        <w:t xml:space="preserve"> detained, including impacting mental health and childhood development, education, rehabilitation, links to family and physical health.</w:t>
      </w:r>
      <w:r w:rsidR="007F1E9F" w:rsidRPr="00EA1375">
        <w:rPr>
          <w:rStyle w:val="FootnoteReference"/>
          <w:rFonts w:cs="Readex Pro"/>
          <w:sz w:val="20"/>
          <w:szCs w:val="20"/>
        </w:rPr>
        <w:footnoteReference w:id="45"/>
      </w:r>
      <w:r w:rsidR="007F1E9F" w:rsidRPr="00EA1375">
        <w:rPr>
          <w:rFonts w:cs="Readex Pro"/>
          <w:sz w:val="20"/>
          <w:szCs w:val="20"/>
        </w:rPr>
        <w:t xml:space="preserve"> Activities and supports while isolated have also been found to be lacking, </w:t>
      </w:r>
      <w:r w:rsidR="00F86679">
        <w:rPr>
          <w:rFonts w:cs="Readex Pro"/>
          <w:sz w:val="20"/>
          <w:szCs w:val="20"/>
        </w:rPr>
        <w:t>and</w:t>
      </w:r>
      <w:r w:rsidR="007F1E9F" w:rsidRPr="00EA1375">
        <w:rPr>
          <w:rFonts w:cs="Readex Pro"/>
          <w:sz w:val="20"/>
          <w:szCs w:val="20"/>
        </w:rPr>
        <w:t xml:space="preserve"> detained children</w:t>
      </w:r>
      <w:r w:rsidR="00EC7814" w:rsidRPr="00EC7814">
        <w:rPr>
          <w:rFonts w:cs="Readex Pro"/>
          <w:sz w:val="20"/>
          <w:szCs w:val="20"/>
        </w:rPr>
        <w:t xml:space="preserve"> </w:t>
      </w:r>
      <w:r w:rsidR="00EC7814">
        <w:rPr>
          <w:rFonts w:cs="Readex Pro"/>
          <w:sz w:val="20"/>
          <w:szCs w:val="20"/>
        </w:rPr>
        <w:t>and young people</w:t>
      </w:r>
      <w:r w:rsidR="007F1E9F" w:rsidRPr="00EA1375">
        <w:rPr>
          <w:rFonts w:cs="Readex Pro"/>
          <w:sz w:val="20"/>
          <w:szCs w:val="20"/>
        </w:rPr>
        <w:t xml:space="preserve"> have stated that being separated into poor conditions does not provide any behavioural change incentive where this is the objective.</w:t>
      </w:r>
      <w:bookmarkStart w:id="57" w:name="_Ref207043713"/>
      <w:r w:rsidR="007F1E9F" w:rsidRPr="00EA1375">
        <w:rPr>
          <w:rStyle w:val="FootnoteReference"/>
          <w:rFonts w:cs="Readex Pro"/>
          <w:sz w:val="20"/>
          <w:szCs w:val="20"/>
        </w:rPr>
        <w:footnoteReference w:id="46"/>
      </w:r>
      <w:bookmarkEnd w:id="57"/>
    </w:p>
    <w:p w14:paraId="51115B16" w14:textId="042AA02E" w:rsidR="007F1E9F" w:rsidRPr="00EA1375" w:rsidRDefault="007F1E9F" w:rsidP="00571866">
      <w:pPr>
        <w:rPr>
          <w:rFonts w:cs="Readex Pro"/>
          <w:sz w:val="20"/>
          <w:szCs w:val="20"/>
        </w:rPr>
      </w:pPr>
      <w:r w:rsidRPr="00EA1375">
        <w:rPr>
          <w:rFonts w:cs="Readex Pro"/>
          <w:sz w:val="20"/>
          <w:szCs w:val="20"/>
        </w:rPr>
        <w:t>While potentially improving in some cases,</w:t>
      </w:r>
      <w:bookmarkStart w:id="58" w:name="_Ref207043666"/>
      <w:r w:rsidRPr="00EA1375">
        <w:rPr>
          <w:rStyle w:val="FootnoteReference"/>
          <w:rFonts w:cs="Readex Pro"/>
          <w:sz w:val="20"/>
          <w:szCs w:val="20"/>
        </w:rPr>
        <w:footnoteReference w:id="47"/>
      </w:r>
      <w:bookmarkEnd w:id="58"/>
      <w:r w:rsidRPr="00EA1375">
        <w:rPr>
          <w:rFonts w:cs="Readex Pro"/>
          <w:sz w:val="20"/>
          <w:szCs w:val="20"/>
        </w:rPr>
        <w:t xml:space="preserve"> isolation of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by confin</w:t>
      </w:r>
      <w:r w:rsidR="00022378">
        <w:rPr>
          <w:rFonts w:cs="Readex Pro"/>
          <w:sz w:val="20"/>
          <w:szCs w:val="20"/>
        </w:rPr>
        <w:t xml:space="preserve">ement </w:t>
      </w:r>
      <w:r w:rsidRPr="00EA1375">
        <w:rPr>
          <w:rFonts w:cs="Readex Pro"/>
          <w:sz w:val="20"/>
          <w:szCs w:val="20"/>
        </w:rPr>
        <w:t xml:space="preserve">to </w:t>
      </w:r>
      <w:r>
        <w:rPr>
          <w:rFonts w:cs="Readex Pro"/>
          <w:sz w:val="20"/>
          <w:szCs w:val="20"/>
        </w:rPr>
        <w:t>cells/</w:t>
      </w:r>
      <w:r w:rsidRPr="00EA1375">
        <w:rPr>
          <w:rFonts w:cs="Readex Pro"/>
          <w:sz w:val="20"/>
          <w:szCs w:val="20"/>
        </w:rPr>
        <w:t>rooms remains common.</w:t>
      </w:r>
      <w:r w:rsidRPr="00EA1375">
        <w:rPr>
          <w:rStyle w:val="FootnoteReference"/>
          <w:rFonts w:cs="Readex Pro"/>
          <w:sz w:val="20"/>
          <w:szCs w:val="20"/>
        </w:rPr>
        <w:footnoteReference w:id="48"/>
      </w:r>
      <w:r w:rsidRPr="00EA1375">
        <w:rPr>
          <w:rFonts w:cs="Readex Pro"/>
          <w:sz w:val="20"/>
          <w:szCs w:val="20"/>
        </w:rPr>
        <w:t xml:space="preserve"> Prolonged issues with </w:t>
      </w:r>
      <w:r>
        <w:rPr>
          <w:rFonts w:cs="Readex Pro"/>
          <w:sz w:val="20"/>
          <w:szCs w:val="20"/>
        </w:rPr>
        <w:t xml:space="preserve">facility </w:t>
      </w:r>
      <w:r w:rsidRPr="00EA1375">
        <w:rPr>
          <w:rFonts w:cs="Readex Pro"/>
          <w:sz w:val="20"/>
          <w:szCs w:val="20"/>
        </w:rPr>
        <w:t>staffing also exacerbate the use of isolation practices</w:t>
      </w:r>
      <w:r>
        <w:rPr>
          <w:rFonts w:cs="Readex Pro"/>
          <w:sz w:val="20"/>
          <w:szCs w:val="20"/>
        </w:rPr>
        <w:t>,</w:t>
      </w:r>
      <w:r w:rsidRPr="00EA1375">
        <w:rPr>
          <w:rFonts w:cs="Readex Pro"/>
          <w:sz w:val="20"/>
          <w:szCs w:val="20"/>
        </w:rPr>
        <w:t xml:space="preserve"> particularly where insufficient staffing result</w:t>
      </w:r>
      <w:r>
        <w:rPr>
          <w:rFonts w:cs="Readex Pro"/>
          <w:sz w:val="20"/>
          <w:szCs w:val="20"/>
        </w:rPr>
        <w:t>s</w:t>
      </w:r>
      <w:r w:rsidRPr="00EA1375">
        <w:rPr>
          <w:rFonts w:cs="Readex Pro"/>
          <w:sz w:val="20"/>
          <w:szCs w:val="20"/>
        </w:rPr>
        <w:t xml:space="preserve"> in service reductions and ‘lockdowns’.</w:t>
      </w:r>
      <w:r w:rsidRPr="00EA1375">
        <w:rPr>
          <w:rStyle w:val="FootnoteReference"/>
          <w:rFonts w:cs="Readex Pro"/>
          <w:sz w:val="20"/>
          <w:szCs w:val="20"/>
        </w:rPr>
        <w:footnoteReference w:id="49"/>
      </w:r>
    </w:p>
    <w:p w14:paraId="327DB404" w14:textId="7F9F82CC" w:rsidR="004E63C5" w:rsidRDefault="00BC5CBE" w:rsidP="002F5D66">
      <w:pPr>
        <w:spacing w:after="60"/>
        <w:rPr>
          <w:rFonts w:cs="Readex Pro"/>
          <w:sz w:val="20"/>
          <w:szCs w:val="20"/>
        </w:rPr>
      </w:pPr>
      <w:r>
        <w:rPr>
          <w:rFonts w:cs="Readex Pro"/>
          <w:sz w:val="20"/>
          <w:szCs w:val="20"/>
        </w:rPr>
        <w:t xml:space="preserve">As a recent example, a report from the SA TCV </w:t>
      </w:r>
      <w:r w:rsidR="004E63C5">
        <w:rPr>
          <w:rFonts w:cs="Readex Pro"/>
          <w:sz w:val="20"/>
          <w:szCs w:val="20"/>
        </w:rPr>
        <w:t xml:space="preserve">examining the use of isolation of children and young people detained at the </w:t>
      </w:r>
      <w:r w:rsidR="004E63C5" w:rsidRPr="004E63C5">
        <w:rPr>
          <w:rFonts w:cs="Readex Pro"/>
          <w:sz w:val="20"/>
          <w:szCs w:val="20"/>
        </w:rPr>
        <w:t>Adelaide Youth Training Centre</w:t>
      </w:r>
      <w:r w:rsidR="004E63C5">
        <w:rPr>
          <w:rFonts w:cs="Readex Pro"/>
          <w:sz w:val="20"/>
          <w:szCs w:val="20"/>
        </w:rPr>
        <w:t xml:space="preserve"> (AYTC), found that:</w:t>
      </w:r>
    </w:p>
    <w:p w14:paraId="10D209FB" w14:textId="55B44EE7" w:rsidR="004E63C5" w:rsidRPr="004E63C5" w:rsidRDefault="004E63C5" w:rsidP="004541B6">
      <w:pPr>
        <w:pStyle w:val="ListParagraph"/>
        <w:numPr>
          <w:ilvl w:val="0"/>
          <w:numId w:val="8"/>
        </w:numPr>
        <w:spacing w:before="60"/>
        <w:rPr>
          <w:rFonts w:cs="Readex Pro"/>
          <w:sz w:val="20"/>
          <w:szCs w:val="20"/>
        </w:rPr>
      </w:pPr>
      <w:r w:rsidRPr="004E63C5">
        <w:rPr>
          <w:rFonts w:cs="Readex Pro"/>
          <w:sz w:val="20"/>
          <w:szCs w:val="20"/>
        </w:rPr>
        <w:t>the use of isolation for perceived safety, behavioural or operational reasons is common</w:t>
      </w:r>
      <w:r w:rsidR="00DA2B15">
        <w:rPr>
          <w:rFonts w:cs="Readex Pro"/>
          <w:sz w:val="20"/>
          <w:szCs w:val="20"/>
        </w:rPr>
        <w:t>, undermining the rehabilitative intent of youth detention</w:t>
      </w:r>
    </w:p>
    <w:p w14:paraId="5AE3149E" w14:textId="6588AA71" w:rsidR="004E63C5" w:rsidRPr="004E63C5" w:rsidRDefault="002709D5" w:rsidP="004541B6">
      <w:pPr>
        <w:pStyle w:val="ListParagraph"/>
        <w:numPr>
          <w:ilvl w:val="0"/>
          <w:numId w:val="8"/>
        </w:numPr>
        <w:rPr>
          <w:rFonts w:cs="Readex Pro"/>
          <w:sz w:val="20"/>
          <w:szCs w:val="20"/>
        </w:rPr>
      </w:pPr>
      <w:r>
        <w:rPr>
          <w:rFonts w:cs="Readex Pro"/>
          <w:sz w:val="20"/>
          <w:szCs w:val="20"/>
        </w:rPr>
        <w:t>c</w:t>
      </w:r>
      <w:r w:rsidR="004E63C5" w:rsidRPr="004E63C5">
        <w:rPr>
          <w:rFonts w:cs="Readex Pro"/>
          <w:sz w:val="20"/>
          <w:szCs w:val="20"/>
        </w:rPr>
        <w:t>hildren and young people report</w:t>
      </w:r>
      <w:r>
        <w:rPr>
          <w:rFonts w:cs="Readex Pro"/>
          <w:sz w:val="20"/>
          <w:szCs w:val="20"/>
        </w:rPr>
        <w:t xml:space="preserve">ed </w:t>
      </w:r>
      <w:r w:rsidR="004E63C5" w:rsidRPr="004E63C5">
        <w:rPr>
          <w:rFonts w:cs="Readex Pro"/>
          <w:sz w:val="20"/>
          <w:szCs w:val="20"/>
        </w:rPr>
        <w:t xml:space="preserve">reduced access to education, exercise </w:t>
      </w:r>
      <w:r>
        <w:rPr>
          <w:rFonts w:cs="Readex Pro"/>
          <w:sz w:val="20"/>
          <w:szCs w:val="20"/>
        </w:rPr>
        <w:t>and</w:t>
      </w:r>
      <w:r w:rsidR="004E63C5" w:rsidRPr="004E63C5">
        <w:rPr>
          <w:rFonts w:cs="Readex Pro"/>
          <w:sz w:val="20"/>
          <w:szCs w:val="20"/>
        </w:rPr>
        <w:t xml:space="preserve"> human connection</w:t>
      </w:r>
      <w:r>
        <w:rPr>
          <w:rFonts w:cs="Readex Pro"/>
          <w:sz w:val="20"/>
          <w:szCs w:val="20"/>
        </w:rPr>
        <w:t xml:space="preserve"> due to lockdowns, as well as isolation being a source of distress</w:t>
      </w:r>
    </w:p>
    <w:p w14:paraId="74FAE0ED" w14:textId="29C22240" w:rsidR="00BC5CBE" w:rsidRPr="002F5D66" w:rsidRDefault="004E63C5" w:rsidP="004541B6">
      <w:pPr>
        <w:pStyle w:val="ListParagraph"/>
        <w:numPr>
          <w:ilvl w:val="0"/>
          <w:numId w:val="8"/>
        </w:numPr>
        <w:rPr>
          <w:rFonts w:cs="Readex Pro"/>
          <w:sz w:val="20"/>
          <w:szCs w:val="20"/>
        </w:rPr>
      </w:pPr>
      <w:r>
        <w:rPr>
          <w:rFonts w:cs="Readex Pro"/>
          <w:sz w:val="20"/>
          <w:szCs w:val="20"/>
        </w:rPr>
        <w:t>i</w:t>
      </w:r>
      <w:r w:rsidRPr="004E63C5">
        <w:rPr>
          <w:rFonts w:cs="Readex Pro"/>
          <w:sz w:val="20"/>
          <w:szCs w:val="20"/>
        </w:rPr>
        <w:t xml:space="preserve">n many cases, isolation </w:t>
      </w:r>
      <w:r w:rsidR="002709D5">
        <w:rPr>
          <w:rFonts w:cs="Readex Pro"/>
          <w:sz w:val="20"/>
          <w:szCs w:val="20"/>
        </w:rPr>
        <w:t>was being</w:t>
      </w:r>
      <w:r w:rsidRPr="004E63C5">
        <w:rPr>
          <w:rFonts w:cs="Readex Pro"/>
          <w:sz w:val="20"/>
          <w:szCs w:val="20"/>
        </w:rPr>
        <w:t xml:space="preserve"> used without clear adherence to legal or documentary </w:t>
      </w:r>
      <w:r w:rsidR="002709D5">
        <w:rPr>
          <w:rFonts w:cs="Readex Pro"/>
          <w:sz w:val="20"/>
          <w:szCs w:val="20"/>
        </w:rPr>
        <w:t>requirements</w:t>
      </w:r>
      <w:r w:rsidRPr="004E63C5">
        <w:rPr>
          <w:rFonts w:cs="Readex Pro"/>
          <w:sz w:val="20"/>
          <w:szCs w:val="20"/>
        </w:rPr>
        <w:t xml:space="preserve">, in </w:t>
      </w:r>
      <w:r w:rsidR="002709D5">
        <w:rPr>
          <w:rFonts w:cs="Readex Pro"/>
          <w:sz w:val="20"/>
          <w:szCs w:val="20"/>
        </w:rPr>
        <w:t xml:space="preserve">a manner potentially perceived as </w:t>
      </w:r>
      <w:r w:rsidRPr="004E63C5">
        <w:rPr>
          <w:rFonts w:cs="Readex Pro"/>
          <w:sz w:val="20"/>
          <w:szCs w:val="20"/>
        </w:rPr>
        <w:t>punitive or humiliating, and with insufficient regard to developmental stage, disability, trauma history or cultural identity</w:t>
      </w:r>
      <w:r w:rsidR="00BC5CBE" w:rsidRPr="002F5D66">
        <w:rPr>
          <w:rFonts w:cs="Readex Pro"/>
          <w:sz w:val="20"/>
          <w:szCs w:val="20"/>
        </w:rPr>
        <w:t>.</w:t>
      </w:r>
      <w:r w:rsidR="00BC5CBE">
        <w:rPr>
          <w:rStyle w:val="FootnoteReference"/>
          <w:rFonts w:cs="Readex Pro"/>
          <w:sz w:val="20"/>
          <w:szCs w:val="20"/>
        </w:rPr>
        <w:footnoteReference w:id="50"/>
      </w:r>
    </w:p>
    <w:p w14:paraId="0B9C9AD4" w14:textId="2D46B630" w:rsidR="004F18AA" w:rsidRDefault="004F18AA" w:rsidP="00571866">
      <w:pPr>
        <w:rPr>
          <w:rFonts w:cs="Readex Pro"/>
          <w:sz w:val="20"/>
          <w:szCs w:val="20"/>
        </w:rPr>
      </w:pPr>
      <w:r>
        <w:rPr>
          <w:rFonts w:cs="Readex Pro"/>
          <w:sz w:val="20"/>
          <w:szCs w:val="20"/>
        </w:rPr>
        <w:t>Further, in a recently published investigation into the treatment of a vulnerable child in youth detention in the NT</w:t>
      </w:r>
      <w:r w:rsidR="00313B26">
        <w:rPr>
          <w:rFonts w:cs="Readex Pro"/>
          <w:sz w:val="20"/>
          <w:szCs w:val="20"/>
        </w:rPr>
        <w:t xml:space="preserve"> in 2024</w:t>
      </w:r>
      <w:r>
        <w:rPr>
          <w:rFonts w:cs="Readex Pro"/>
          <w:sz w:val="20"/>
          <w:szCs w:val="20"/>
        </w:rPr>
        <w:t xml:space="preserve">, the NT OCC found that separations were occurring in various circumstances during the time </w:t>
      </w:r>
      <w:r>
        <w:rPr>
          <w:rFonts w:cs="Readex Pro"/>
          <w:sz w:val="20"/>
          <w:szCs w:val="20"/>
        </w:rPr>
        <w:lastRenderedPageBreak/>
        <w:t>being investigated which were not in accordance with legislative requirements.</w:t>
      </w:r>
      <w:r w:rsidR="00A50B92">
        <w:rPr>
          <w:rStyle w:val="FootnoteReference"/>
          <w:rFonts w:cs="Readex Pro"/>
          <w:sz w:val="20"/>
          <w:szCs w:val="20"/>
        </w:rPr>
        <w:footnoteReference w:id="51"/>
      </w:r>
      <w:r>
        <w:rPr>
          <w:rFonts w:cs="Readex Pro"/>
          <w:sz w:val="20"/>
          <w:szCs w:val="20"/>
        </w:rPr>
        <w:t xml:space="preserve"> The investigation found youth justice staff failed to comply with legislative and policy requirements when they separated a vulnerable child in their cell for 84 hours continuously.</w:t>
      </w:r>
      <w:r w:rsidR="00313B26">
        <w:rPr>
          <w:rFonts w:cs="Readex Pro"/>
          <w:sz w:val="20"/>
          <w:szCs w:val="20"/>
        </w:rPr>
        <w:t xml:space="preserve"> The NT OCC also stated their concerns about staff behaviour, and treatment and conditions in youth detention particularly regarding separation practices, are ongoing.</w:t>
      </w:r>
      <w:r w:rsidR="00A50B92">
        <w:rPr>
          <w:rStyle w:val="FootnoteReference"/>
          <w:rFonts w:cs="Readex Pro"/>
          <w:sz w:val="20"/>
          <w:szCs w:val="20"/>
        </w:rPr>
        <w:footnoteReference w:id="52"/>
      </w:r>
    </w:p>
    <w:p w14:paraId="2FA59495" w14:textId="17C04CE3" w:rsidR="007F1E9F" w:rsidRPr="00EA1375" w:rsidRDefault="007F1E9F" w:rsidP="00571866">
      <w:pPr>
        <w:rPr>
          <w:rFonts w:cs="Readex Pro"/>
          <w:sz w:val="20"/>
          <w:szCs w:val="20"/>
        </w:rPr>
      </w:pPr>
      <w:r w:rsidRPr="00EA1375">
        <w:rPr>
          <w:rFonts w:cs="Readex Pro"/>
          <w:sz w:val="20"/>
          <w:szCs w:val="20"/>
        </w:rPr>
        <w:t>Australian governments do not report publicly on the time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in youth detention spend out of their </w:t>
      </w:r>
      <w:r>
        <w:rPr>
          <w:rFonts w:cs="Readex Pro"/>
          <w:sz w:val="20"/>
          <w:szCs w:val="20"/>
        </w:rPr>
        <w:t>cells/</w:t>
      </w:r>
      <w:r w:rsidRPr="00EA1375">
        <w:rPr>
          <w:rFonts w:cs="Readex Pro"/>
          <w:sz w:val="20"/>
          <w:szCs w:val="20"/>
        </w:rPr>
        <w:t>rooms.</w:t>
      </w:r>
      <w:r w:rsidRPr="00EA1375">
        <w:rPr>
          <w:rStyle w:val="FootnoteReference"/>
          <w:rFonts w:cs="Readex Pro"/>
          <w:sz w:val="20"/>
          <w:szCs w:val="20"/>
        </w:rPr>
        <w:footnoteReference w:id="53"/>
      </w:r>
      <w:r w:rsidRPr="00EA1375">
        <w:rPr>
          <w:rFonts w:cs="Readex Pro"/>
          <w:sz w:val="20"/>
          <w:szCs w:val="20"/>
        </w:rPr>
        <w:t xml:space="preserve"> </w:t>
      </w:r>
      <w:r w:rsidR="00B8713D">
        <w:rPr>
          <w:rFonts w:cs="Readex Pro"/>
          <w:sz w:val="20"/>
          <w:szCs w:val="20"/>
        </w:rPr>
        <w:t>Tracking this data is further complicated by the fact that t</w:t>
      </w:r>
      <w:r w:rsidRPr="00EA1375">
        <w:rPr>
          <w:rFonts w:cs="Readex Pro"/>
          <w:sz w:val="20"/>
          <w:szCs w:val="20"/>
        </w:rPr>
        <w:t>here is also no uniform definition of isolation across Australia</w:t>
      </w:r>
      <w:r w:rsidR="00B8713D">
        <w:rPr>
          <w:rFonts w:cs="Readex Pro"/>
          <w:sz w:val="20"/>
          <w:szCs w:val="20"/>
        </w:rPr>
        <w:t xml:space="preserve">, </w:t>
      </w:r>
      <w:r w:rsidR="00055534">
        <w:rPr>
          <w:rFonts w:cs="Readex Pro"/>
          <w:sz w:val="20"/>
          <w:szCs w:val="20"/>
        </w:rPr>
        <w:t xml:space="preserve">with </w:t>
      </w:r>
      <w:proofErr w:type="gramStart"/>
      <w:r w:rsidR="00B8713D">
        <w:rPr>
          <w:rFonts w:cs="Readex Pro"/>
          <w:sz w:val="20"/>
          <w:szCs w:val="20"/>
        </w:rPr>
        <w:t>various different</w:t>
      </w:r>
      <w:proofErr w:type="gramEnd"/>
      <w:r w:rsidR="00B8713D">
        <w:rPr>
          <w:rFonts w:cs="Readex Pro"/>
          <w:sz w:val="20"/>
          <w:szCs w:val="20"/>
        </w:rPr>
        <w:t xml:space="preserve"> terms used</w:t>
      </w:r>
      <w:r w:rsidRPr="00EA1375">
        <w:rPr>
          <w:rFonts w:cs="Readex Pro"/>
          <w:sz w:val="20"/>
          <w:szCs w:val="20"/>
        </w:rPr>
        <w:t>. Records management on the time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spend out of their </w:t>
      </w:r>
      <w:r>
        <w:rPr>
          <w:rFonts w:cs="Readex Pro"/>
          <w:sz w:val="20"/>
          <w:szCs w:val="20"/>
        </w:rPr>
        <w:t>cells/</w:t>
      </w:r>
      <w:r w:rsidRPr="00EA1375">
        <w:rPr>
          <w:rFonts w:cs="Readex Pro"/>
          <w:sz w:val="20"/>
          <w:szCs w:val="20"/>
        </w:rPr>
        <w:t>rooms in youth detention is also sometimes flawed.</w:t>
      </w:r>
      <w:r w:rsidRPr="00EA1375">
        <w:rPr>
          <w:rStyle w:val="FootnoteReference"/>
          <w:rFonts w:cs="Readex Pro"/>
          <w:sz w:val="20"/>
          <w:szCs w:val="20"/>
        </w:rPr>
        <w:footnoteReference w:id="54"/>
      </w:r>
      <w:r w:rsidRPr="00EA1375">
        <w:rPr>
          <w:rFonts w:cs="Readex Pro"/>
          <w:sz w:val="20"/>
          <w:szCs w:val="20"/>
        </w:rPr>
        <w:t xml:space="preserve"> Addressing these issues would support nationally consistent recording, monitoring and reporting on the use of different isolation practices in youth detention.</w:t>
      </w:r>
      <w:r w:rsidRPr="00EA1375">
        <w:rPr>
          <w:rStyle w:val="FootnoteReference"/>
          <w:rFonts w:cs="Readex Pro"/>
          <w:sz w:val="20"/>
          <w:szCs w:val="20"/>
        </w:rPr>
        <w:footnoteReference w:id="55"/>
      </w:r>
    </w:p>
    <w:tbl>
      <w:tblPr>
        <w:tblStyle w:val="GridTable4-Accent2"/>
        <w:tblpPr w:leftFromText="180" w:rightFromText="180" w:vertAnchor="text" w:horzAnchor="margin" w:tblpY="-4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055534" w14:paraId="2957539E"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7E41D39E" w14:textId="6E75C7AE" w:rsidR="007F1E9F" w:rsidRPr="0013605E" w:rsidRDefault="00570001" w:rsidP="0013605E">
            <w:pPr>
              <w:ind w:left="275"/>
              <w:rPr>
                <w:rFonts w:eastAsiaTheme="majorEastAsia"/>
                <w:sz w:val="20"/>
                <w:szCs w:val="20"/>
              </w:rPr>
            </w:pPr>
            <w:r w:rsidRPr="0013605E">
              <w:rPr>
                <w:rFonts w:eastAsiaTheme="majorEastAsia"/>
                <w:noProof/>
                <w:sz w:val="20"/>
                <w:szCs w:val="20"/>
              </w:rPr>
              <w:drawing>
                <wp:anchor distT="0" distB="0" distL="114300" distR="114300" simplePos="0" relativeHeight="251843584" behindDoc="1" locked="0" layoutInCell="1" allowOverlap="1" wp14:anchorId="4B9E3FCC" wp14:editId="02268927">
                  <wp:simplePos x="0" y="0"/>
                  <wp:positionH relativeFrom="column">
                    <wp:posOffset>-281305</wp:posOffset>
                  </wp:positionH>
                  <wp:positionV relativeFrom="paragraph">
                    <wp:posOffset>52969</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873171410"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3605E">
              <w:rPr>
                <w:rFonts w:eastAsiaTheme="majorEastAsia"/>
                <w:sz w:val="20"/>
                <w:szCs w:val="20"/>
              </w:rPr>
              <w:t>We suggest the Committee ask the state party to report on:</w:t>
            </w:r>
          </w:p>
          <w:p w14:paraId="11E21AF4" w14:textId="3C50450D" w:rsidR="007F1E9F" w:rsidRPr="001B7386" w:rsidRDefault="007F1E9F" w:rsidP="004541B6">
            <w:pPr>
              <w:pStyle w:val="ListParagraph"/>
              <w:numPr>
                <w:ilvl w:val="0"/>
                <w:numId w:val="11"/>
              </w:numPr>
              <w:rPr>
                <w:sz w:val="20"/>
                <w:szCs w:val="20"/>
              </w:rPr>
            </w:pPr>
            <w:r w:rsidRPr="001B7386">
              <w:rPr>
                <w:sz w:val="20"/>
                <w:szCs w:val="20"/>
              </w:rPr>
              <w:t>progressing a common, Australia-wide definition of isolation practices</w:t>
            </w:r>
            <w:r w:rsidR="00055534" w:rsidRPr="001B7386">
              <w:rPr>
                <w:sz w:val="20"/>
                <w:szCs w:val="20"/>
              </w:rPr>
              <w:t xml:space="preserve"> in youth detention</w:t>
            </w:r>
          </w:p>
          <w:p w14:paraId="40412709" w14:textId="77777777" w:rsidR="00E12E6A" w:rsidRPr="001B7386" w:rsidRDefault="007F1E9F" w:rsidP="004541B6">
            <w:pPr>
              <w:pStyle w:val="ListParagraph"/>
              <w:numPr>
                <w:ilvl w:val="0"/>
                <w:numId w:val="11"/>
              </w:numPr>
              <w:rPr>
                <w:b w:val="0"/>
                <w:bCs w:val="0"/>
                <w:sz w:val="20"/>
                <w:szCs w:val="20"/>
              </w:rPr>
            </w:pPr>
            <w:r w:rsidRPr="001B7386">
              <w:rPr>
                <w:sz w:val="20"/>
                <w:szCs w:val="20"/>
              </w:rPr>
              <w:t>progress to ensure consistent data capture and public reporting, across the country, on the use of isolation practices in youth detention</w:t>
            </w:r>
          </w:p>
          <w:p w14:paraId="5C41517C" w14:textId="29D198D4" w:rsidR="00E12E6A" w:rsidRPr="001B7386" w:rsidRDefault="00447236" w:rsidP="004541B6">
            <w:pPr>
              <w:pStyle w:val="ListParagraph"/>
              <w:numPr>
                <w:ilvl w:val="0"/>
                <w:numId w:val="11"/>
              </w:numPr>
              <w:rPr>
                <w:b w:val="0"/>
                <w:bCs w:val="0"/>
                <w:sz w:val="20"/>
                <w:szCs w:val="20"/>
              </w:rPr>
            </w:pPr>
            <w:r w:rsidRPr="001B7386">
              <w:rPr>
                <w:sz w:val="20"/>
                <w:szCs w:val="20"/>
              </w:rPr>
              <w:t xml:space="preserve">measures to </w:t>
            </w:r>
            <w:r w:rsidR="00E12E6A" w:rsidRPr="001B7386">
              <w:rPr>
                <w:sz w:val="20"/>
                <w:szCs w:val="20"/>
              </w:rPr>
              <w:t>reduc</w:t>
            </w:r>
            <w:r w:rsidRPr="001B7386">
              <w:rPr>
                <w:sz w:val="20"/>
                <w:szCs w:val="20"/>
              </w:rPr>
              <w:t>e</w:t>
            </w:r>
            <w:r w:rsidR="00E12E6A" w:rsidRPr="001B7386">
              <w:rPr>
                <w:sz w:val="20"/>
                <w:szCs w:val="20"/>
              </w:rPr>
              <w:t xml:space="preserve"> the use of isolation practices against children and young people, in all forms, </w:t>
            </w:r>
            <w:r w:rsidRPr="001B7386">
              <w:rPr>
                <w:sz w:val="20"/>
                <w:szCs w:val="20"/>
              </w:rPr>
              <w:t>and restrict their use under law so they are used only as a measure of last resort, for the shortest possible time, and subject to clear safeguards and oversight</w:t>
            </w:r>
          </w:p>
          <w:p w14:paraId="2A30B332" w14:textId="2D4CFFE6" w:rsidR="007F1E9F" w:rsidRPr="00055534" w:rsidRDefault="00E12E6A" w:rsidP="004541B6">
            <w:pPr>
              <w:pStyle w:val="ListParagraph"/>
              <w:numPr>
                <w:ilvl w:val="0"/>
                <w:numId w:val="11"/>
              </w:numPr>
              <w:rPr>
                <w:b w:val="0"/>
                <w:bCs w:val="0"/>
              </w:rPr>
            </w:pPr>
            <w:r w:rsidRPr="001B7386">
              <w:rPr>
                <w:sz w:val="20"/>
                <w:szCs w:val="20"/>
              </w:rPr>
              <w:t>measures to prohibit, including in practice, the solitary confinement of children and young people</w:t>
            </w:r>
            <w:r w:rsidR="007F1E9F" w:rsidRPr="001B7386">
              <w:rPr>
                <w:sz w:val="20"/>
                <w:szCs w:val="20"/>
              </w:rPr>
              <w:t>.</w:t>
            </w:r>
          </w:p>
        </w:tc>
      </w:tr>
    </w:tbl>
    <w:p w14:paraId="52D02CBF" w14:textId="3BB821B8" w:rsidR="007F1E9F" w:rsidRPr="00B50F91" w:rsidRDefault="007F1E9F" w:rsidP="00B50F91">
      <w:pPr>
        <w:pStyle w:val="Heading3"/>
        <w:spacing w:before="120"/>
        <w:rPr>
          <w:color w:val="719243" w:themeColor="accent2"/>
        </w:rPr>
      </w:pPr>
      <w:bookmarkStart w:id="59" w:name="_Toc208584105"/>
      <w:r w:rsidRPr="00055534">
        <w:rPr>
          <w:color w:val="719243" w:themeColor="accent2"/>
        </w:rPr>
        <w:t>Th</w:t>
      </w:r>
      <w:r w:rsidRPr="00B50F91">
        <w:rPr>
          <w:color w:val="719243" w:themeColor="accent2"/>
        </w:rPr>
        <w:t>e detention of children</w:t>
      </w:r>
      <w:r w:rsidR="00EC7814">
        <w:rPr>
          <w:color w:val="719243" w:themeColor="accent2"/>
        </w:rPr>
        <w:t xml:space="preserve"> and young people</w:t>
      </w:r>
      <w:r w:rsidRPr="00B50F91">
        <w:rPr>
          <w:color w:val="719243" w:themeColor="accent2"/>
        </w:rPr>
        <w:t xml:space="preserve"> in watch houses</w:t>
      </w:r>
      <w:bookmarkEnd w:id="59"/>
    </w:p>
    <w:p w14:paraId="4641A20E"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26B09A20" w14:textId="39D6C26D" w:rsidR="007F1E9F" w:rsidRPr="00300C34" w:rsidRDefault="007F1E9F" w:rsidP="0036396D">
      <w:pPr>
        <w:rPr>
          <w:rFonts w:cs="Readex Pro"/>
          <w:sz w:val="20"/>
          <w:szCs w:val="20"/>
        </w:rPr>
      </w:pPr>
      <w:r w:rsidRPr="00EA1375">
        <w:rPr>
          <w:rFonts w:cs="Readex Pro"/>
          <w:sz w:val="20"/>
          <w:szCs w:val="20"/>
        </w:rPr>
        <w:t>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continue to be detained in watch houses in parts of Australia,</w:t>
      </w:r>
      <w:bookmarkStart w:id="60" w:name="_Ref207044346"/>
      <w:r w:rsidRPr="00EA1375">
        <w:rPr>
          <w:rStyle w:val="FootnoteReference"/>
          <w:rFonts w:cs="Readex Pro"/>
          <w:sz w:val="20"/>
          <w:szCs w:val="20"/>
        </w:rPr>
        <w:footnoteReference w:id="56"/>
      </w:r>
      <w:bookmarkEnd w:id="60"/>
      <w:r w:rsidRPr="00EA1375">
        <w:rPr>
          <w:rFonts w:cs="Readex Pro"/>
          <w:sz w:val="20"/>
          <w:szCs w:val="20"/>
        </w:rPr>
        <w:t xml:space="preserve"> </w:t>
      </w:r>
      <w:r w:rsidR="00F86679">
        <w:rPr>
          <w:rFonts w:cs="Readex Pro"/>
          <w:sz w:val="20"/>
          <w:szCs w:val="20"/>
        </w:rPr>
        <w:t xml:space="preserve">in </w:t>
      </w:r>
      <w:r w:rsidRPr="00EA1375">
        <w:rPr>
          <w:rFonts w:cs="Readex Pro"/>
          <w:sz w:val="20"/>
          <w:szCs w:val="20"/>
        </w:rPr>
        <w:t>facilities which are not designed for children</w:t>
      </w:r>
      <w:r w:rsidR="00EC7814" w:rsidRPr="00EC7814">
        <w:rPr>
          <w:rFonts w:cs="Readex Pro"/>
          <w:sz w:val="20"/>
          <w:szCs w:val="20"/>
        </w:rPr>
        <w:t xml:space="preserve"> </w:t>
      </w:r>
      <w:r w:rsidR="00EC7814">
        <w:rPr>
          <w:rFonts w:cs="Readex Pro"/>
          <w:sz w:val="20"/>
          <w:szCs w:val="20"/>
        </w:rPr>
        <w:t xml:space="preserve">and young </w:t>
      </w:r>
      <w:proofErr w:type="gramStart"/>
      <w:r w:rsidR="00EC7814">
        <w:rPr>
          <w:rFonts w:cs="Readex Pro"/>
          <w:sz w:val="20"/>
          <w:szCs w:val="20"/>
        </w:rPr>
        <w:t>people</w:t>
      </w:r>
      <w:proofErr w:type="gramEnd"/>
      <w:r w:rsidRPr="00EA1375">
        <w:rPr>
          <w:rFonts w:cs="Readex Pro"/>
          <w:sz w:val="20"/>
          <w:szCs w:val="20"/>
        </w:rPr>
        <w:t xml:space="preserve"> and which are highly unsuitable </w:t>
      </w:r>
      <w:r w:rsidRPr="00300C34">
        <w:rPr>
          <w:rFonts w:cs="Readex Pro"/>
          <w:sz w:val="20"/>
          <w:szCs w:val="20"/>
        </w:rPr>
        <w:t>for them.</w:t>
      </w:r>
      <w:r w:rsidRPr="00300C34">
        <w:rPr>
          <w:rStyle w:val="FootnoteReference"/>
          <w:rFonts w:cs="Readex Pro"/>
          <w:sz w:val="20"/>
          <w:szCs w:val="20"/>
        </w:rPr>
        <w:footnoteReference w:id="57"/>
      </w:r>
      <w:r w:rsidRPr="00DF0A2F">
        <w:rPr>
          <w:rFonts w:cs="Readex Pro"/>
          <w:sz w:val="20"/>
          <w:szCs w:val="20"/>
        </w:rPr>
        <w:t xml:space="preserve"> </w:t>
      </w:r>
      <w:r>
        <w:rPr>
          <w:rFonts w:cs="Readex Pro"/>
          <w:sz w:val="20"/>
          <w:szCs w:val="20"/>
        </w:rPr>
        <w:t>W</w:t>
      </w:r>
      <w:r w:rsidRPr="00EA1375">
        <w:rPr>
          <w:rFonts w:cs="Readex Pro"/>
          <w:sz w:val="20"/>
          <w:szCs w:val="20"/>
        </w:rPr>
        <w:t>atch houses also provide limited, or in some cases no ability for complete separation of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from adults.</w:t>
      </w:r>
      <w:r w:rsidRPr="00EA1375">
        <w:rPr>
          <w:rStyle w:val="FootnoteReference"/>
          <w:rFonts w:cs="Readex Pro"/>
          <w:sz w:val="20"/>
          <w:szCs w:val="20"/>
        </w:rPr>
        <w:footnoteReference w:id="58"/>
      </w:r>
    </w:p>
    <w:p w14:paraId="37638F0B" w14:textId="53989F97" w:rsidR="007F1E9F" w:rsidRPr="009A38C9" w:rsidRDefault="007F1E9F" w:rsidP="0036396D">
      <w:pPr>
        <w:rPr>
          <w:rFonts w:cs="Readex Pro"/>
          <w:sz w:val="20"/>
          <w:szCs w:val="20"/>
        </w:rPr>
      </w:pPr>
      <w:r w:rsidRPr="00300C34">
        <w:rPr>
          <w:rFonts w:cs="Readex Pro"/>
          <w:sz w:val="20"/>
          <w:szCs w:val="20"/>
        </w:rPr>
        <w:t>Detention of children</w:t>
      </w:r>
      <w:r w:rsidR="00EC7814" w:rsidRPr="00EC7814">
        <w:rPr>
          <w:rFonts w:cs="Readex Pro"/>
          <w:sz w:val="20"/>
          <w:szCs w:val="20"/>
        </w:rPr>
        <w:t xml:space="preserve"> </w:t>
      </w:r>
      <w:r w:rsidR="00EC7814">
        <w:rPr>
          <w:rFonts w:cs="Readex Pro"/>
          <w:sz w:val="20"/>
          <w:szCs w:val="20"/>
        </w:rPr>
        <w:t>and young people</w:t>
      </w:r>
      <w:r w:rsidRPr="00300C34">
        <w:rPr>
          <w:rFonts w:cs="Readex Pro"/>
          <w:sz w:val="20"/>
          <w:szCs w:val="20"/>
        </w:rPr>
        <w:t xml:space="preserve"> in watch houses is a common occurrence in Queensland, where </w:t>
      </w:r>
      <w:r w:rsidRPr="00257524">
        <w:rPr>
          <w:rFonts w:cs="Readex Pro"/>
          <w:sz w:val="20"/>
          <w:szCs w:val="20"/>
        </w:rPr>
        <w:t>the lack of capacity to accommodate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xml:space="preserve"> in youth detention centres has resulted in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xml:space="preserve"> being detained for lengthy periods in watch houses until a space becomes available.</w:t>
      </w:r>
      <w:r w:rsidRPr="00257524">
        <w:rPr>
          <w:rFonts w:cs="Readex Pro"/>
          <w:sz w:val="20"/>
          <w:szCs w:val="20"/>
          <w:vertAlign w:val="superscript"/>
        </w:rPr>
        <w:footnoteReference w:id="59"/>
      </w:r>
      <w:r w:rsidRPr="00257524">
        <w:rPr>
          <w:rFonts w:cs="Readex Pro"/>
          <w:sz w:val="20"/>
          <w:szCs w:val="20"/>
        </w:rPr>
        <w:t xml:space="preserve"> </w:t>
      </w:r>
      <w:r w:rsidRPr="00300C34">
        <w:rPr>
          <w:rFonts w:cs="Readex Pro"/>
          <w:sz w:val="20"/>
          <w:szCs w:val="20"/>
        </w:rPr>
        <w:t>Queensland laws were amended in 2023 to override aspects of the state’s human rights legislation and make the practice of detaining children</w:t>
      </w:r>
      <w:r w:rsidR="00EC7814" w:rsidRPr="00EC7814">
        <w:rPr>
          <w:rFonts w:cs="Readex Pro"/>
          <w:sz w:val="20"/>
          <w:szCs w:val="20"/>
        </w:rPr>
        <w:t xml:space="preserve"> </w:t>
      </w:r>
      <w:r w:rsidR="00EC7814">
        <w:rPr>
          <w:rFonts w:cs="Readex Pro"/>
          <w:sz w:val="20"/>
          <w:szCs w:val="20"/>
        </w:rPr>
        <w:t>and young people</w:t>
      </w:r>
      <w:r w:rsidRPr="00300C34">
        <w:rPr>
          <w:rFonts w:cs="Readex Pro"/>
          <w:sz w:val="20"/>
          <w:szCs w:val="20"/>
        </w:rPr>
        <w:t xml:space="preserve"> in watch </w:t>
      </w:r>
      <w:r w:rsidRPr="009A38C9">
        <w:rPr>
          <w:rFonts w:cs="Readex Pro"/>
          <w:sz w:val="20"/>
          <w:szCs w:val="20"/>
        </w:rPr>
        <w:t>houses lawful.</w:t>
      </w:r>
      <w:r w:rsidRPr="009A38C9">
        <w:rPr>
          <w:rStyle w:val="FootnoteReference"/>
          <w:rFonts w:cs="Readex Pro"/>
          <w:sz w:val="20"/>
          <w:szCs w:val="20"/>
        </w:rPr>
        <w:footnoteReference w:id="60"/>
      </w:r>
    </w:p>
    <w:p w14:paraId="10CF269E" w14:textId="74E5684F" w:rsidR="007F1E9F" w:rsidRPr="00257524" w:rsidRDefault="007F1E9F" w:rsidP="002D2998">
      <w:pPr>
        <w:rPr>
          <w:rFonts w:cs="Readex Pro"/>
          <w:sz w:val="20"/>
          <w:szCs w:val="20"/>
        </w:rPr>
      </w:pPr>
      <w:r w:rsidRPr="00257524">
        <w:rPr>
          <w:rFonts w:cs="Readex Pro"/>
          <w:sz w:val="20"/>
          <w:szCs w:val="20"/>
        </w:rPr>
        <w:lastRenderedPageBreak/>
        <w:t>Reporting on the detention of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xml:space="preserve"> in Queensland watch houses has revealed various alarming incidents, including alleged sexual assault,</w:t>
      </w:r>
      <w:r w:rsidRPr="00257524">
        <w:rPr>
          <w:rFonts w:cs="Readex Pro"/>
          <w:sz w:val="20"/>
          <w:szCs w:val="20"/>
          <w:vertAlign w:val="superscript"/>
        </w:rPr>
        <w:footnoteReference w:id="61"/>
      </w:r>
      <w:r w:rsidRPr="00257524">
        <w:rPr>
          <w:rFonts w:cs="Readex Pro"/>
          <w:sz w:val="20"/>
          <w:szCs w:val="20"/>
        </w:rPr>
        <w:t xml:space="preserve"> use of force as a means of behavioural control,</w:t>
      </w:r>
      <w:r w:rsidRPr="00257524">
        <w:rPr>
          <w:rFonts w:cs="Readex Pro"/>
          <w:sz w:val="20"/>
          <w:szCs w:val="20"/>
          <w:vertAlign w:val="superscript"/>
        </w:rPr>
        <w:footnoteReference w:id="62"/>
      </w:r>
      <w:r w:rsidRPr="00257524">
        <w:rPr>
          <w:rFonts w:cs="Readex Pro"/>
          <w:sz w:val="20"/>
          <w:szCs w:val="20"/>
        </w:rPr>
        <w:t xml:space="preserve"> and injury to a First Nations girl with an intellectual disability.</w:t>
      </w:r>
      <w:r w:rsidRPr="00257524">
        <w:rPr>
          <w:rFonts w:cs="Readex Pro"/>
          <w:sz w:val="20"/>
          <w:szCs w:val="20"/>
          <w:vertAlign w:val="superscript"/>
        </w:rPr>
        <w:footnoteReference w:id="63"/>
      </w:r>
      <w:r w:rsidRPr="009A38C9">
        <w:rPr>
          <w:rFonts w:cs="Readex Pro"/>
          <w:sz w:val="20"/>
          <w:szCs w:val="20"/>
        </w:rPr>
        <w:t xml:space="preserve"> </w:t>
      </w:r>
      <w:r w:rsidRPr="00257524">
        <w:rPr>
          <w:rFonts w:cs="Readex Pro"/>
          <w:sz w:val="20"/>
          <w:szCs w:val="20"/>
        </w:rPr>
        <w:t>The National Children’s Commissioner has described watch houses in Queensland as involving the worst conditions she has seen in Australia for facilities to detain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w:t>
      </w:r>
      <w:r w:rsidRPr="00257524">
        <w:rPr>
          <w:rFonts w:cs="Readex Pro"/>
          <w:sz w:val="20"/>
          <w:szCs w:val="20"/>
          <w:vertAlign w:val="superscript"/>
        </w:rPr>
        <w:footnoteReference w:id="64"/>
      </w:r>
      <w:r w:rsidRPr="00257524">
        <w:rPr>
          <w:rFonts w:cs="Readex Pro"/>
          <w:sz w:val="20"/>
          <w:szCs w:val="20"/>
        </w:rPr>
        <w:t xml:space="preserve"> In June 2025</w:t>
      </w:r>
      <w:r w:rsidR="00F86679">
        <w:rPr>
          <w:rFonts w:cs="Readex Pro"/>
          <w:sz w:val="20"/>
          <w:szCs w:val="20"/>
        </w:rPr>
        <w:t>,</w:t>
      </w:r>
      <w:r w:rsidRPr="00257524">
        <w:rPr>
          <w:rFonts w:cs="Readex Pro"/>
          <w:sz w:val="20"/>
          <w:szCs w:val="20"/>
        </w:rPr>
        <w:t xml:space="preserve"> the Queensland Police Union reported that watch houses across the state were </w:t>
      </w:r>
      <w:r w:rsidR="00AB255B">
        <w:rPr>
          <w:rFonts w:cs="Readex Pro"/>
          <w:sz w:val="20"/>
          <w:szCs w:val="20"/>
        </w:rPr>
        <w:t>‘</w:t>
      </w:r>
      <w:r w:rsidRPr="00257524">
        <w:rPr>
          <w:rFonts w:cs="Readex Pro"/>
          <w:sz w:val="20"/>
          <w:szCs w:val="20"/>
        </w:rPr>
        <w:t>overcrowded, dangerously understaffed or critically unsafe to the point where people detained could escape or severely harm themselves</w:t>
      </w:r>
      <w:r w:rsidR="00AB255B">
        <w:rPr>
          <w:rFonts w:cs="Readex Pro"/>
          <w:sz w:val="20"/>
          <w:szCs w:val="20"/>
        </w:rPr>
        <w:t>’</w:t>
      </w:r>
      <w:r w:rsidRPr="00257524">
        <w:rPr>
          <w:rFonts w:cs="Readex Pro"/>
          <w:sz w:val="20"/>
          <w:szCs w:val="20"/>
        </w:rPr>
        <w:t>.</w:t>
      </w:r>
      <w:r w:rsidRPr="00257524">
        <w:rPr>
          <w:rFonts w:cs="Readex Pro"/>
          <w:sz w:val="20"/>
          <w:szCs w:val="20"/>
          <w:vertAlign w:val="superscript"/>
        </w:rPr>
        <w:footnoteReference w:id="65"/>
      </w:r>
    </w:p>
    <w:p w14:paraId="0312B8F5" w14:textId="33654508" w:rsidR="007F1E9F" w:rsidRDefault="007F1E9F" w:rsidP="00625FD0">
      <w:pPr>
        <w:rPr>
          <w:rFonts w:cs="Readex Pro"/>
          <w:sz w:val="20"/>
          <w:szCs w:val="20"/>
        </w:rPr>
      </w:pPr>
      <w:r w:rsidRPr="00257524">
        <w:rPr>
          <w:rFonts w:cs="Readex Pro"/>
          <w:sz w:val="20"/>
          <w:szCs w:val="20"/>
        </w:rPr>
        <w:t>In July 2025</w:t>
      </w:r>
      <w:r w:rsidR="00F86679">
        <w:rPr>
          <w:rFonts w:cs="Readex Pro"/>
          <w:sz w:val="20"/>
          <w:szCs w:val="20"/>
        </w:rPr>
        <w:t>,</w:t>
      </w:r>
      <w:r w:rsidRPr="00257524">
        <w:rPr>
          <w:rFonts w:cs="Readex Pro"/>
          <w:sz w:val="20"/>
          <w:szCs w:val="20"/>
        </w:rPr>
        <w:t xml:space="preserve"> the Queensland Police Service published an internal review into the operation of Queensland watch houses, reporting that in 2024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xml:space="preserve"> detained in watch houses spent an average of 161 hours detained there.</w:t>
      </w:r>
      <w:r w:rsidRPr="00257524">
        <w:rPr>
          <w:rFonts w:cs="Readex Pro"/>
          <w:sz w:val="20"/>
          <w:szCs w:val="20"/>
          <w:vertAlign w:val="superscript"/>
        </w:rPr>
        <w:footnoteReference w:id="66"/>
      </w:r>
      <w:r w:rsidRPr="00257524">
        <w:rPr>
          <w:rFonts w:cs="Readex Pro"/>
          <w:sz w:val="20"/>
          <w:szCs w:val="20"/>
        </w:rPr>
        <w:t xml:space="preserve"> Ageing infrastructure at many watch houses did not allow for access to fresh air, natural light, exercise and privacy.</w:t>
      </w:r>
      <w:r w:rsidRPr="00257524">
        <w:rPr>
          <w:rFonts w:cs="Readex Pro"/>
          <w:sz w:val="20"/>
          <w:szCs w:val="20"/>
          <w:vertAlign w:val="superscript"/>
        </w:rPr>
        <w:footnoteReference w:id="67"/>
      </w:r>
      <w:r w:rsidRPr="00257524">
        <w:rPr>
          <w:rFonts w:cs="Readex Pro"/>
          <w:sz w:val="20"/>
          <w:szCs w:val="20"/>
        </w:rPr>
        <w:t xml:space="preserve"> Additionally, many watch houses had limited means to segregate men, women</w:t>
      </w:r>
      <w:r w:rsidR="00EC7814">
        <w:rPr>
          <w:rFonts w:cs="Readex Pro"/>
          <w:sz w:val="20"/>
          <w:szCs w:val="20"/>
        </w:rPr>
        <w:t>,</w:t>
      </w:r>
      <w:r w:rsidRPr="00257524">
        <w:rPr>
          <w:rFonts w:cs="Readex Pro"/>
          <w:sz w:val="20"/>
          <w:szCs w:val="20"/>
        </w:rPr>
        <w:t xml:space="preserve"> and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 resulting in inappropriate exposure, including in showers and toilets at some locations, which have no privacy screens or doors.</w:t>
      </w:r>
      <w:r w:rsidRPr="00257524">
        <w:rPr>
          <w:rFonts w:cs="Readex Pro"/>
          <w:sz w:val="20"/>
          <w:szCs w:val="20"/>
          <w:vertAlign w:val="superscript"/>
        </w:rPr>
        <w:footnoteReference w:id="68"/>
      </w:r>
      <w:r w:rsidRPr="00257524">
        <w:rPr>
          <w:rFonts w:cs="Readex Pro"/>
          <w:sz w:val="20"/>
          <w:szCs w:val="20"/>
        </w:rPr>
        <w:t xml:space="preserve"> The review also found watch houses were not equipped to provide the space, privacy, natural light or support needed for children</w:t>
      </w:r>
      <w:r w:rsidR="00EC7814" w:rsidRPr="00EC7814">
        <w:rPr>
          <w:rFonts w:cs="Readex Pro"/>
          <w:sz w:val="20"/>
          <w:szCs w:val="20"/>
        </w:rPr>
        <w:t xml:space="preserve"> </w:t>
      </w:r>
      <w:r w:rsidR="00EC7814">
        <w:rPr>
          <w:rFonts w:cs="Readex Pro"/>
          <w:sz w:val="20"/>
          <w:szCs w:val="20"/>
        </w:rPr>
        <w:t>and young people</w:t>
      </w:r>
      <w:r w:rsidRPr="00257524">
        <w:rPr>
          <w:rFonts w:cs="Readex Pro"/>
          <w:sz w:val="20"/>
          <w:szCs w:val="20"/>
        </w:rPr>
        <w:t>’s physical and psychological wellbeing and right to education.</w:t>
      </w:r>
      <w:r w:rsidRPr="00257524">
        <w:rPr>
          <w:rFonts w:cs="Readex Pro"/>
          <w:sz w:val="20"/>
          <w:szCs w:val="20"/>
          <w:vertAlign w:val="superscript"/>
        </w:rPr>
        <w:footnoteReference w:id="69"/>
      </w:r>
    </w:p>
    <w:p w14:paraId="1BF37D1F" w14:textId="3981D4B8" w:rsidR="007F1E9F" w:rsidRPr="00257524" w:rsidRDefault="007F1E9F" w:rsidP="00625FD0">
      <w:pPr>
        <w:rPr>
          <w:rFonts w:cs="Readex Pro"/>
          <w:sz w:val="20"/>
          <w:szCs w:val="20"/>
        </w:rPr>
      </w:pPr>
      <w:r>
        <w:rPr>
          <w:rFonts w:cs="Readex Pro"/>
          <w:sz w:val="20"/>
          <w:szCs w:val="20"/>
        </w:rPr>
        <w:t>As of 19 August 2025, there were 18 children</w:t>
      </w:r>
      <w:r w:rsidR="00EC7814" w:rsidRPr="00EC7814">
        <w:rPr>
          <w:rFonts w:cs="Readex Pro"/>
          <w:sz w:val="20"/>
          <w:szCs w:val="20"/>
        </w:rPr>
        <w:t xml:space="preserve"> </w:t>
      </w:r>
      <w:r w:rsidR="00EC7814">
        <w:rPr>
          <w:rFonts w:cs="Readex Pro"/>
          <w:sz w:val="20"/>
          <w:szCs w:val="20"/>
        </w:rPr>
        <w:t>and young people</w:t>
      </w:r>
      <w:r>
        <w:rPr>
          <w:rFonts w:cs="Readex Pro"/>
          <w:sz w:val="20"/>
          <w:szCs w:val="20"/>
        </w:rPr>
        <w:t xml:space="preserve"> detained in custody in Queensland police watch houses, half of whom were Aboriginal and Torres Strait Islander</w:t>
      </w:r>
      <w:r w:rsidR="00BE3CA5">
        <w:rPr>
          <w:rFonts w:cs="Readex Pro"/>
          <w:sz w:val="20"/>
          <w:szCs w:val="20"/>
        </w:rPr>
        <w:t xml:space="preserve"> children</w:t>
      </w:r>
      <w:r w:rsidR="00EC7814" w:rsidRPr="00EC7814">
        <w:rPr>
          <w:rFonts w:cs="Readex Pro"/>
          <w:sz w:val="20"/>
          <w:szCs w:val="20"/>
        </w:rPr>
        <w:t xml:space="preserve"> </w:t>
      </w:r>
      <w:r w:rsidR="00EC7814">
        <w:rPr>
          <w:rFonts w:cs="Readex Pro"/>
          <w:sz w:val="20"/>
          <w:szCs w:val="20"/>
        </w:rPr>
        <w:t>and young people</w:t>
      </w:r>
      <w:r>
        <w:rPr>
          <w:rFonts w:cs="Readex Pro"/>
          <w:sz w:val="20"/>
          <w:szCs w:val="20"/>
        </w:rPr>
        <w:t>.</w:t>
      </w:r>
      <w:r>
        <w:rPr>
          <w:rStyle w:val="FootnoteReference"/>
          <w:rFonts w:cs="Readex Pro"/>
          <w:sz w:val="20"/>
          <w:szCs w:val="20"/>
        </w:rPr>
        <w:footnoteReference w:id="70"/>
      </w:r>
    </w:p>
    <w:p w14:paraId="356BEFE8" w14:textId="0FCD5B5C" w:rsidR="007F1E9F" w:rsidRPr="009A38C9" w:rsidRDefault="007F1E9F" w:rsidP="00892F24">
      <w:pPr>
        <w:rPr>
          <w:rFonts w:cs="Readex Pro"/>
          <w:sz w:val="20"/>
          <w:szCs w:val="20"/>
        </w:rPr>
      </w:pPr>
      <w:r w:rsidRPr="00257524">
        <w:rPr>
          <w:rFonts w:cs="Readex Pro"/>
          <w:sz w:val="20"/>
          <w:szCs w:val="20"/>
        </w:rPr>
        <w:t>Concerns with watch houses also exist outside of Queensland:</w:t>
      </w:r>
    </w:p>
    <w:p w14:paraId="0BA397F4" w14:textId="73B3DF40" w:rsidR="007F1E9F" w:rsidRPr="009A38C9" w:rsidRDefault="007F1E9F" w:rsidP="004541B6">
      <w:pPr>
        <w:pStyle w:val="ListParagraph"/>
        <w:numPr>
          <w:ilvl w:val="0"/>
          <w:numId w:val="5"/>
        </w:numPr>
        <w:rPr>
          <w:sz w:val="20"/>
          <w:szCs w:val="20"/>
        </w:rPr>
      </w:pPr>
      <w:r w:rsidRPr="009A38C9">
        <w:rPr>
          <w:sz w:val="20"/>
          <w:szCs w:val="20"/>
        </w:rPr>
        <w:t>In Tasmania, children</w:t>
      </w:r>
      <w:r w:rsidR="00EC7814" w:rsidRPr="00EC7814">
        <w:rPr>
          <w:rFonts w:cs="Readex Pro"/>
          <w:sz w:val="20"/>
          <w:szCs w:val="20"/>
        </w:rPr>
        <w:t xml:space="preserve"> </w:t>
      </w:r>
      <w:r w:rsidR="00EC7814">
        <w:rPr>
          <w:rFonts w:cs="Readex Pro"/>
          <w:sz w:val="20"/>
          <w:szCs w:val="20"/>
        </w:rPr>
        <w:t>and young people</w:t>
      </w:r>
      <w:r w:rsidRPr="009A38C9">
        <w:rPr>
          <w:sz w:val="20"/>
          <w:szCs w:val="20"/>
        </w:rPr>
        <w:t xml:space="preserve"> are detained for periods in adult prison watch houses at Hobart and Launceston reception prisons. Children</w:t>
      </w:r>
      <w:r w:rsidR="00EC7814" w:rsidRPr="00EC7814">
        <w:rPr>
          <w:rFonts w:cs="Readex Pro"/>
          <w:sz w:val="20"/>
          <w:szCs w:val="20"/>
        </w:rPr>
        <w:t xml:space="preserve"> </w:t>
      </w:r>
      <w:r w:rsidR="00EC7814">
        <w:rPr>
          <w:rFonts w:cs="Readex Pro"/>
          <w:sz w:val="20"/>
          <w:szCs w:val="20"/>
        </w:rPr>
        <w:t>and young people</w:t>
      </w:r>
      <w:r w:rsidRPr="009A38C9">
        <w:rPr>
          <w:sz w:val="20"/>
          <w:szCs w:val="20"/>
        </w:rPr>
        <w:t xml:space="preserve"> in these watch house cells have been exposed to threats of sexual abuse, violent behaviour, as well as inhumane and degrading treatment.</w:t>
      </w:r>
      <w:bookmarkStart w:id="61" w:name="_Ref202866377"/>
      <w:r w:rsidRPr="009A38C9">
        <w:rPr>
          <w:sz w:val="20"/>
          <w:szCs w:val="20"/>
          <w:vertAlign w:val="superscript"/>
        </w:rPr>
        <w:footnoteReference w:id="71"/>
      </w:r>
      <w:bookmarkEnd w:id="61"/>
    </w:p>
    <w:p w14:paraId="2C11C4C7" w14:textId="724EF562" w:rsidR="007F1E9F" w:rsidRPr="00147C08" w:rsidRDefault="007F1E9F" w:rsidP="004541B6">
      <w:pPr>
        <w:pStyle w:val="ListParagraph"/>
        <w:numPr>
          <w:ilvl w:val="0"/>
          <w:numId w:val="5"/>
        </w:numPr>
        <w:rPr>
          <w:sz w:val="20"/>
          <w:szCs w:val="20"/>
        </w:rPr>
      </w:pPr>
      <w:r w:rsidRPr="009A38C9">
        <w:rPr>
          <w:rFonts w:cs="Readex Pro"/>
          <w:sz w:val="20"/>
          <w:szCs w:val="20"/>
        </w:rPr>
        <w:t>In SA, detention of children</w:t>
      </w:r>
      <w:r w:rsidR="00EC7814" w:rsidRPr="00EC7814">
        <w:rPr>
          <w:rFonts w:cs="Readex Pro"/>
          <w:sz w:val="20"/>
          <w:szCs w:val="20"/>
        </w:rPr>
        <w:t xml:space="preserve"> </w:t>
      </w:r>
      <w:r w:rsidR="00EC7814">
        <w:rPr>
          <w:rFonts w:cs="Readex Pro"/>
          <w:sz w:val="20"/>
          <w:szCs w:val="20"/>
        </w:rPr>
        <w:t>and young people</w:t>
      </w:r>
      <w:r w:rsidRPr="009A38C9">
        <w:rPr>
          <w:rFonts w:cs="Readex Pro"/>
          <w:sz w:val="20"/>
          <w:szCs w:val="20"/>
        </w:rPr>
        <w:t xml:space="preserve"> (many of whom have complex disability needs) in police cells often exposes them to adult offenders, and conditions that are harmful and potentially traumatic. Children</w:t>
      </w:r>
      <w:r w:rsidR="00EC7814" w:rsidRPr="00EC7814">
        <w:rPr>
          <w:rFonts w:cs="Readex Pro"/>
          <w:sz w:val="20"/>
          <w:szCs w:val="20"/>
        </w:rPr>
        <w:t xml:space="preserve"> </w:t>
      </w:r>
      <w:r w:rsidR="00EC7814">
        <w:rPr>
          <w:rFonts w:cs="Readex Pro"/>
          <w:sz w:val="20"/>
          <w:szCs w:val="20"/>
        </w:rPr>
        <w:t>and young people</w:t>
      </w:r>
      <w:r w:rsidRPr="009A38C9">
        <w:rPr>
          <w:rFonts w:cs="Readex Pro"/>
          <w:sz w:val="20"/>
          <w:szCs w:val="20"/>
        </w:rPr>
        <w:t xml:space="preserve"> detained in SA police cells have given direct</w:t>
      </w:r>
      <w:r w:rsidRPr="007E0752">
        <w:rPr>
          <w:rFonts w:cs="Readex Pro"/>
          <w:sz w:val="20"/>
          <w:szCs w:val="20"/>
        </w:rPr>
        <w:t xml:space="preserve"> accounts of rough treatment, verbal abuse, strip searches, frightening interactions with adults also detained there</w:t>
      </w:r>
      <w:r>
        <w:rPr>
          <w:rFonts w:cs="Readex Pro"/>
          <w:sz w:val="20"/>
          <w:szCs w:val="20"/>
        </w:rPr>
        <w:t>,</w:t>
      </w:r>
      <w:r w:rsidRPr="007E0752">
        <w:rPr>
          <w:rFonts w:cs="Readex Pro"/>
          <w:sz w:val="20"/>
          <w:szCs w:val="20"/>
        </w:rPr>
        <w:t xml:space="preserve"> and detention conditions they found humiliating, degrading and traumatising.</w:t>
      </w:r>
      <w:r w:rsidRPr="007E0752">
        <w:rPr>
          <w:sz w:val="20"/>
          <w:szCs w:val="20"/>
          <w:vertAlign w:val="superscript"/>
        </w:rPr>
        <w:footnoteReference w:id="72"/>
      </w:r>
    </w:p>
    <w:p w14:paraId="44F05C6F" w14:textId="552E66A6" w:rsidR="00147C08" w:rsidRPr="007E0752" w:rsidRDefault="00147C08" w:rsidP="004541B6">
      <w:pPr>
        <w:pStyle w:val="ListParagraph"/>
        <w:numPr>
          <w:ilvl w:val="0"/>
          <w:numId w:val="5"/>
        </w:numPr>
        <w:rPr>
          <w:sz w:val="20"/>
          <w:szCs w:val="20"/>
        </w:rPr>
      </w:pPr>
      <w:r>
        <w:rPr>
          <w:sz w:val="20"/>
          <w:szCs w:val="20"/>
        </w:rPr>
        <w:t xml:space="preserve">In the ACT, a nurse is only in attendance at the </w:t>
      </w:r>
      <w:r w:rsidR="0064142D">
        <w:rPr>
          <w:sz w:val="20"/>
          <w:szCs w:val="20"/>
        </w:rPr>
        <w:t>W</w:t>
      </w:r>
      <w:r>
        <w:rPr>
          <w:sz w:val="20"/>
          <w:szCs w:val="20"/>
        </w:rPr>
        <w:t xml:space="preserve">atch </w:t>
      </w:r>
      <w:r w:rsidR="0064142D">
        <w:rPr>
          <w:sz w:val="20"/>
          <w:szCs w:val="20"/>
        </w:rPr>
        <w:t>H</w:t>
      </w:r>
      <w:r>
        <w:rPr>
          <w:sz w:val="20"/>
          <w:szCs w:val="20"/>
        </w:rPr>
        <w:t>ouse some nights of the week, meaning on some occasions the healthcare needs of a child or young person may initially be assessed by police.</w:t>
      </w:r>
      <w:bookmarkStart w:id="62" w:name="_Ref207787284"/>
      <w:r>
        <w:rPr>
          <w:rStyle w:val="FootnoteReference"/>
          <w:sz w:val="20"/>
          <w:szCs w:val="20"/>
        </w:rPr>
        <w:footnoteReference w:id="73"/>
      </w:r>
      <w:bookmarkEnd w:id="62"/>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175260DA"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02FCB15" w14:textId="77777777" w:rsidR="007F1E9F" w:rsidRPr="0013605E" w:rsidRDefault="007F1E9F" w:rsidP="0013605E">
            <w:pPr>
              <w:ind w:left="275"/>
              <w:rPr>
                <w:rFonts w:eastAsiaTheme="majorEastAsia"/>
                <w:sz w:val="20"/>
                <w:szCs w:val="20"/>
              </w:rPr>
            </w:pPr>
            <w:r w:rsidRPr="0013605E">
              <w:rPr>
                <w:rFonts w:eastAsiaTheme="majorEastAsia"/>
                <w:noProof/>
                <w:sz w:val="20"/>
                <w:szCs w:val="20"/>
              </w:rPr>
              <w:drawing>
                <wp:anchor distT="0" distB="0" distL="114300" distR="114300" simplePos="0" relativeHeight="251838464" behindDoc="1" locked="0" layoutInCell="1" allowOverlap="1" wp14:anchorId="4E5A5B98" wp14:editId="5009383C">
                  <wp:simplePos x="0" y="0"/>
                  <wp:positionH relativeFrom="column">
                    <wp:posOffset>-279400</wp:posOffset>
                  </wp:positionH>
                  <wp:positionV relativeFrom="paragraph">
                    <wp:posOffset>63871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882394263"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3605E">
              <w:rPr>
                <w:rFonts w:eastAsiaTheme="majorEastAsia"/>
                <w:sz w:val="20"/>
                <w:szCs w:val="20"/>
              </w:rPr>
              <w:t>We suggest the Committee ask the state party to report on:</w:t>
            </w:r>
          </w:p>
          <w:p w14:paraId="3482D651" w14:textId="7A9149AC" w:rsidR="007F1E9F" w:rsidRPr="001B7386" w:rsidRDefault="007F1E9F" w:rsidP="004541B6">
            <w:pPr>
              <w:pStyle w:val="ListParagraph"/>
              <w:numPr>
                <w:ilvl w:val="0"/>
                <w:numId w:val="12"/>
              </w:numPr>
              <w:rPr>
                <w:sz w:val="20"/>
                <w:szCs w:val="20"/>
              </w:rPr>
            </w:pPr>
            <w:r w:rsidRPr="001B7386">
              <w:rPr>
                <w:sz w:val="20"/>
                <w:szCs w:val="20"/>
              </w:rPr>
              <w:t>ending the detention of children</w:t>
            </w:r>
            <w:r w:rsidR="00EC7814" w:rsidRPr="001B7386">
              <w:rPr>
                <w:sz w:val="20"/>
                <w:szCs w:val="20"/>
              </w:rPr>
              <w:t xml:space="preserve"> and young people</w:t>
            </w:r>
            <w:r w:rsidRPr="001B7386">
              <w:rPr>
                <w:sz w:val="20"/>
                <w:szCs w:val="20"/>
              </w:rPr>
              <w:t xml:space="preserve"> in watch houses and other facilities unsuitable for children</w:t>
            </w:r>
            <w:r w:rsidR="00EC7814" w:rsidRPr="001B7386">
              <w:rPr>
                <w:sz w:val="20"/>
                <w:szCs w:val="20"/>
              </w:rPr>
              <w:t xml:space="preserve"> and young people</w:t>
            </w:r>
          </w:p>
          <w:p w14:paraId="40F1CD00" w14:textId="73CC3870" w:rsidR="007F1E9F" w:rsidRPr="006D277F" w:rsidRDefault="007F1E9F" w:rsidP="004541B6">
            <w:pPr>
              <w:pStyle w:val="ListParagraph"/>
              <w:numPr>
                <w:ilvl w:val="0"/>
                <w:numId w:val="12"/>
              </w:numPr>
              <w:rPr>
                <w:b w:val="0"/>
                <w:bCs w:val="0"/>
              </w:rPr>
            </w:pPr>
            <w:r w:rsidRPr="001B7386">
              <w:rPr>
                <w:sz w:val="20"/>
                <w:szCs w:val="20"/>
              </w:rPr>
              <w:lastRenderedPageBreak/>
              <w:t>unless it is in their best interests otherwise, ensuring children</w:t>
            </w:r>
            <w:r w:rsidR="00EC7814" w:rsidRPr="001B7386">
              <w:rPr>
                <w:sz w:val="20"/>
                <w:szCs w:val="20"/>
              </w:rPr>
              <w:t xml:space="preserve"> and young people</w:t>
            </w:r>
            <w:r w:rsidRPr="001B7386">
              <w:rPr>
                <w:sz w:val="20"/>
                <w:szCs w:val="20"/>
              </w:rPr>
              <w:t xml:space="preserve"> in custody are appropriately separated from adults.</w:t>
            </w:r>
          </w:p>
        </w:tc>
      </w:tr>
    </w:tbl>
    <w:p w14:paraId="50E30A32" w14:textId="6E9231CA" w:rsidR="007F1E9F" w:rsidRPr="00B50F91" w:rsidRDefault="007F1E9F" w:rsidP="00B50F91">
      <w:pPr>
        <w:pStyle w:val="Heading3"/>
        <w:spacing w:before="120"/>
        <w:rPr>
          <w:color w:val="719243" w:themeColor="accent2"/>
        </w:rPr>
      </w:pPr>
      <w:bookmarkStart w:id="63" w:name="_Toc208584106"/>
      <w:r w:rsidRPr="00B50F91">
        <w:rPr>
          <w:color w:val="719243" w:themeColor="accent2"/>
        </w:rPr>
        <w:lastRenderedPageBreak/>
        <w:t>Human contact in youth detention</w:t>
      </w:r>
      <w:bookmarkEnd w:id="63"/>
    </w:p>
    <w:p w14:paraId="5EF2D983"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38B9F95A" w14:textId="4447A869" w:rsidR="007F1E9F" w:rsidRDefault="007F1E9F" w:rsidP="00DC6278">
      <w:pPr>
        <w:rPr>
          <w:rFonts w:cs="Readex Pro"/>
          <w:sz w:val="20"/>
          <w:szCs w:val="20"/>
        </w:rPr>
      </w:pPr>
      <w:r w:rsidRPr="00EA1375">
        <w:rPr>
          <w:rFonts w:cs="Readex Pro"/>
          <w:sz w:val="20"/>
          <w:szCs w:val="20"/>
        </w:rPr>
        <w:t xml:space="preserve">In the ACT’s youth detention centre, </w:t>
      </w:r>
      <w:r w:rsidR="008255FB">
        <w:rPr>
          <w:rFonts w:cs="Readex Pro"/>
          <w:sz w:val="20"/>
          <w:szCs w:val="20"/>
        </w:rPr>
        <w:t xml:space="preserve">children and </w:t>
      </w:r>
      <w:r w:rsidRPr="00EA1375">
        <w:rPr>
          <w:rFonts w:cs="Readex Pro"/>
          <w:sz w:val="20"/>
          <w:szCs w:val="20"/>
        </w:rPr>
        <w:t>young people were prevented for several years from any physical contact with visitors.</w:t>
      </w:r>
      <w:r w:rsidRPr="00EA1375">
        <w:rPr>
          <w:rStyle w:val="FootnoteReference"/>
          <w:rFonts w:cs="Readex Pro"/>
          <w:sz w:val="20"/>
          <w:szCs w:val="20"/>
        </w:rPr>
        <w:footnoteReference w:id="74"/>
      </w:r>
      <w:r w:rsidRPr="00EA1375">
        <w:rPr>
          <w:rFonts w:cs="Readex Pro"/>
          <w:sz w:val="20"/>
          <w:szCs w:val="20"/>
        </w:rPr>
        <w:t xml:space="preserve"> While this has a profound impact on all </w:t>
      </w:r>
      <w:r w:rsidR="008255FB">
        <w:rPr>
          <w:rFonts w:cs="Readex Pro"/>
          <w:sz w:val="20"/>
          <w:szCs w:val="20"/>
        </w:rPr>
        <w:t xml:space="preserve">children and </w:t>
      </w:r>
      <w:r w:rsidRPr="00EA1375">
        <w:rPr>
          <w:rFonts w:cs="Readex Pro"/>
          <w:sz w:val="20"/>
          <w:szCs w:val="20"/>
        </w:rPr>
        <w:t xml:space="preserve">young people, Aboriginal and Torres Strait Islander </w:t>
      </w:r>
      <w:r w:rsidR="008255FB">
        <w:rPr>
          <w:rFonts w:cs="Readex Pro"/>
          <w:sz w:val="20"/>
          <w:szCs w:val="20"/>
        </w:rPr>
        <w:t xml:space="preserve">children and </w:t>
      </w:r>
      <w:r w:rsidRPr="00EA1375">
        <w:rPr>
          <w:rFonts w:cs="Readex Pro"/>
          <w:sz w:val="20"/>
          <w:szCs w:val="20"/>
        </w:rPr>
        <w:t>young people are also disproportionately represented in the ACT youth justice system (as is the case in other Australian states and territories).</w:t>
      </w:r>
    </w:p>
    <w:p w14:paraId="2D93B87E" w14:textId="62535F49" w:rsidR="007F1E9F" w:rsidRDefault="007F1E9F" w:rsidP="00892F24">
      <w:pPr>
        <w:rPr>
          <w:rFonts w:cs="Readex Pro"/>
          <w:sz w:val="20"/>
          <w:szCs w:val="20"/>
        </w:rPr>
      </w:pPr>
      <w:r w:rsidRPr="00EA1375">
        <w:rPr>
          <w:rFonts w:cs="Readex Pro"/>
          <w:sz w:val="20"/>
          <w:szCs w:val="20"/>
        </w:rPr>
        <w:t xml:space="preserve">Physical contact, whether it be through hugs, hand holding, or fostering deeper connections, is of paramount importance for children and young people. These forms of physical and emotional touch not only provide comfort and </w:t>
      </w:r>
      <w:proofErr w:type="gramStart"/>
      <w:r w:rsidRPr="00EA1375">
        <w:rPr>
          <w:rFonts w:cs="Readex Pro"/>
          <w:sz w:val="20"/>
          <w:szCs w:val="20"/>
        </w:rPr>
        <w:t>reassurance, but</w:t>
      </w:r>
      <w:proofErr w:type="gramEnd"/>
      <w:r w:rsidRPr="00EA1375">
        <w:rPr>
          <w:rFonts w:cs="Readex Pro"/>
          <w:sz w:val="20"/>
          <w:szCs w:val="20"/>
        </w:rPr>
        <w:t xml:space="preserve"> also play a significant role in healing past traumas and building resilience. For </w:t>
      </w:r>
      <w:r w:rsidR="005C3B15">
        <w:rPr>
          <w:rFonts w:cs="Readex Pro"/>
          <w:sz w:val="20"/>
          <w:szCs w:val="20"/>
        </w:rPr>
        <w:t>people</w:t>
      </w:r>
      <w:r w:rsidRPr="00EA1375">
        <w:rPr>
          <w:rFonts w:cs="Readex Pro"/>
          <w:sz w:val="20"/>
          <w:szCs w:val="20"/>
        </w:rPr>
        <w:t xml:space="preserve"> who have experienced disconnection and isolation due to historical injustices and ongoing systemic inequalities, these moments of contact can be transformative.</w:t>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13A4E9C4"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4F127F27" w14:textId="7C9E11D3" w:rsidR="007F1E9F" w:rsidRPr="001B7386" w:rsidRDefault="007F1E9F" w:rsidP="0013605E">
            <w:pPr>
              <w:ind w:left="275"/>
              <w:rPr>
                <w:sz w:val="20"/>
                <w:szCs w:val="20"/>
              </w:rPr>
            </w:pPr>
            <w:r w:rsidRPr="001B7386">
              <w:rPr>
                <w:noProof/>
                <w:sz w:val="20"/>
                <w:szCs w:val="20"/>
              </w:rPr>
              <w:drawing>
                <wp:anchor distT="0" distB="0" distL="114300" distR="114300" simplePos="0" relativeHeight="251840512" behindDoc="1" locked="0" layoutInCell="1" allowOverlap="1" wp14:anchorId="38A8BB93" wp14:editId="4A32BE96">
                  <wp:simplePos x="0" y="0"/>
                  <wp:positionH relativeFrom="column">
                    <wp:posOffset>-288290</wp:posOffset>
                  </wp:positionH>
                  <wp:positionV relativeFrom="paragraph">
                    <wp:posOffset>56251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384380012"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 xml:space="preserve">We suggest the Committee ask the state party to report on measures to ensure access to appropriate physical contact between </w:t>
            </w:r>
            <w:r w:rsidR="00EC7814" w:rsidRPr="001B7386">
              <w:rPr>
                <w:sz w:val="20"/>
                <w:szCs w:val="20"/>
              </w:rPr>
              <w:t xml:space="preserve">detained </w:t>
            </w:r>
            <w:r w:rsidRPr="001B7386">
              <w:rPr>
                <w:sz w:val="20"/>
                <w:szCs w:val="20"/>
              </w:rPr>
              <w:t>children</w:t>
            </w:r>
            <w:r w:rsidR="00EC7814" w:rsidRPr="001B7386">
              <w:rPr>
                <w:sz w:val="20"/>
                <w:szCs w:val="20"/>
              </w:rPr>
              <w:t xml:space="preserve"> and young people</w:t>
            </w:r>
            <w:r w:rsidRPr="001B7386">
              <w:rPr>
                <w:sz w:val="20"/>
                <w:szCs w:val="20"/>
              </w:rPr>
              <w:t xml:space="preserve"> and their visitors, in furtherance of therapeutic aims.</w:t>
            </w:r>
          </w:p>
        </w:tc>
      </w:tr>
    </w:tbl>
    <w:p w14:paraId="48471182" w14:textId="77777777" w:rsidR="00BC75B2" w:rsidRDefault="00BC75B2" w:rsidP="0064142D">
      <w:pPr>
        <w:spacing w:line="240" w:lineRule="auto"/>
        <w:rPr>
          <w:rFonts w:cs="Readex Pro"/>
          <w:sz w:val="20"/>
          <w:szCs w:val="20"/>
        </w:rPr>
      </w:pPr>
    </w:p>
    <w:p w14:paraId="377291C8" w14:textId="77777777" w:rsidR="00BC75B2" w:rsidRDefault="00BC75B2" w:rsidP="0064142D">
      <w:pPr>
        <w:spacing w:line="240" w:lineRule="auto"/>
        <w:rPr>
          <w:rFonts w:cs="Readex Pro"/>
          <w:sz w:val="20"/>
          <w:szCs w:val="20"/>
        </w:rPr>
      </w:pPr>
    </w:p>
    <w:p w14:paraId="20F22749" w14:textId="77777777" w:rsidR="00BC75B2" w:rsidRDefault="00BC75B2" w:rsidP="0064142D">
      <w:pPr>
        <w:spacing w:line="240" w:lineRule="auto"/>
        <w:rPr>
          <w:rFonts w:cs="Readex Pro"/>
          <w:sz w:val="20"/>
          <w:szCs w:val="20"/>
        </w:rPr>
      </w:pPr>
    </w:p>
    <w:p w14:paraId="36DD90A8" w14:textId="77777777" w:rsidR="00BC75B2" w:rsidRDefault="00BC75B2" w:rsidP="0064142D">
      <w:pPr>
        <w:spacing w:line="240" w:lineRule="auto"/>
        <w:rPr>
          <w:rFonts w:cs="Readex Pro"/>
          <w:sz w:val="20"/>
          <w:szCs w:val="20"/>
        </w:rPr>
      </w:pPr>
    </w:p>
    <w:p w14:paraId="348D1628" w14:textId="77777777" w:rsidR="00BC75B2" w:rsidRPr="00BC75B2" w:rsidRDefault="00BC75B2" w:rsidP="0064142D">
      <w:pPr>
        <w:spacing w:line="240" w:lineRule="auto"/>
        <w:rPr>
          <w:rFonts w:cs="Readex Pro"/>
          <w:sz w:val="20"/>
          <w:szCs w:val="20"/>
        </w:rPr>
      </w:pPr>
    </w:p>
    <w:p w14:paraId="08CEC310" w14:textId="7CAE5D87" w:rsidR="0064142D" w:rsidRPr="0064142D" w:rsidRDefault="0064142D" w:rsidP="004541B6">
      <w:pPr>
        <w:pStyle w:val="Heading3"/>
        <w:spacing w:before="120"/>
        <w:rPr>
          <w:color w:val="719243" w:themeColor="accent2"/>
        </w:rPr>
      </w:pPr>
      <w:bookmarkStart w:id="64" w:name="_Toc208584107"/>
      <w:r w:rsidRPr="0064142D">
        <w:rPr>
          <w:color w:val="719243" w:themeColor="accent2"/>
        </w:rPr>
        <w:t>Strip searching of children and young people</w:t>
      </w:r>
      <w:bookmarkEnd w:id="64"/>
    </w:p>
    <w:p w14:paraId="43DBF099" w14:textId="77777777" w:rsidR="0064142D" w:rsidRPr="009A1768" w:rsidRDefault="0064142D" w:rsidP="0064142D">
      <w:pPr>
        <w:rPr>
          <w:rFonts w:cs="Readex Pro"/>
          <w:b/>
          <w:bCs/>
          <w:i/>
          <w:iCs/>
          <w:sz w:val="20"/>
          <w:szCs w:val="20"/>
          <w:u w:val="single"/>
        </w:rPr>
      </w:pPr>
      <w:r w:rsidRPr="009A1768">
        <w:rPr>
          <w:rFonts w:cs="Readex Pro"/>
          <w:b/>
          <w:bCs/>
          <w:i/>
          <w:iCs/>
          <w:sz w:val="20"/>
          <w:szCs w:val="20"/>
          <w:u w:val="single"/>
        </w:rPr>
        <w:t>CAT Articles 2 and 16</w:t>
      </w:r>
    </w:p>
    <w:p w14:paraId="4203484F" w14:textId="20939AB8" w:rsidR="0064142D" w:rsidRDefault="0064142D" w:rsidP="00BC75B2">
      <w:pPr>
        <w:rPr>
          <w:rFonts w:cs="Readex Pro"/>
          <w:sz w:val="20"/>
          <w:szCs w:val="20"/>
        </w:rPr>
      </w:pPr>
      <w:r w:rsidRPr="0064142D">
        <w:rPr>
          <w:rFonts w:cs="Readex Pro"/>
          <w:sz w:val="20"/>
          <w:szCs w:val="20"/>
        </w:rPr>
        <w:t xml:space="preserve">In the ACT, body scanning technology has reduced the number of strip searches of adults in the ACT’s prison, but no such technology is available to </w:t>
      </w:r>
      <w:r w:rsidR="006168A4">
        <w:rPr>
          <w:rFonts w:cs="Readex Pro"/>
          <w:sz w:val="20"/>
          <w:szCs w:val="20"/>
        </w:rPr>
        <w:t xml:space="preserve">children and </w:t>
      </w:r>
      <w:r w:rsidRPr="0064142D">
        <w:rPr>
          <w:rFonts w:cs="Readex Pro"/>
          <w:sz w:val="20"/>
          <w:szCs w:val="20"/>
        </w:rPr>
        <w:t xml:space="preserve">young people detained at the Watch House, court cells or </w:t>
      </w:r>
      <w:proofErr w:type="spellStart"/>
      <w:r w:rsidRPr="0064142D">
        <w:rPr>
          <w:rFonts w:cs="Readex Pro"/>
          <w:sz w:val="20"/>
          <w:szCs w:val="20"/>
        </w:rPr>
        <w:t>Bimberi</w:t>
      </w:r>
      <w:proofErr w:type="spellEnd"/>
      <w:r w:rsidRPr="0064142D">
        <w:rPr>
          <w:rFonts w:cs="Readex Pro"/>
          <w:sz w:val="20"/>
          <w:szCs w:val="20"/>
        </w:rPr>
        <w:t xml:space="preserve"> Youth Detention Centre</w:t>
      </w:r>
      <w:r>
        <w:rPr>
          <w:rFonts w:cs="Readex Pro"/>
          <w:sz w:val="20"/>
          <w:szCs w:val="20"/>
        </w:rPr>
        <w:t>.</w:t>
      </w:r>
      <w:r w:rsidRPr="00BC75B2">
        <w:rPr>
          <w:vertAlign w:val="superscript"/>
        </w:rPr>
        <w:footnoteReference w:id="75"/>
      </w:r>
    </w:p>
    <w:p w14:paraId="555D4506" w14:textId="38E4DDDA" w:rsidR="006F363C" w:rsidRDefault="006F363C" w:rsidP="00BC75B2">
      <w:pPr>
        <w:rPr>
          <w:rFonts w:cs="Readex Pro"/>
          <w:sz w:val="20"/>
          <w:szCs w:val="20"/>
        </w:rPr>
      </w:pPr>
      <w:r w:rsidRPr="006F363C">
        <w:rPr>
          <w:rFonts w:cs="Readex Pro"/>
          <w:sz w:val="20"/>
          <w:szCs w:val="20"/>
        </w:rPr>
        <w:t>Similar body scanning technology has also been introduced in some adult remand and maximum-security facilities in WA but not within the state’s two youth detention centres.</w:t>
      </w:r>
      <w:r w:rsidRPr="00BC75B2">
        <w:rPr>
          <w:vertAlign w:val="superscript"/>
        </w:rPr>
        <w:footnoteReference w:id="76"/>
      </w:r>
      <w:r>
        <w:rPr>
          <w:rFonts w:cs="Readex Pro"/>
          <w:sz w:val="20"/>
          <w:szCs w:val="20"/>
        </w:rPr>
        <w:t xml:space="preserve"> WA OICS </w:t>
      </w:r>
      <w:r w:rsidRPr="006F363C">
        <w:rPr>
          <w:rFonts w:cs="Readex Pro"/>
          <w:sz w:val="20"/>
          <w:szCs w:val="20"/>
        </w:rPr>
        <w:t>has made repeated recommendations about the strip searching of children and young people as far back as 2008.</w:t>
      </w:r>
      <w:r w:rsidRPr="00BC75B2">
        <w:rPr>
          <w:vertAlign w:val="superscript"/>
        </w:rPr>
        <w:footnoteReference w:id="77"/>
      </w:r>
      <w:r>
        <w:rPr>
          <w:rFonts w:cs="Readex Pro"/>
          <w:sz w:val="20"/>
          <w:szCs w:val="20"/>
        </w:rPr>
        <w:t xml:space="preserve"> WA OICS </w:t>
      </w:r>
      <w:r w:rsidRPr="006F363C">
        <w:rPr>
          <w:rFonts w:cs="Readex Pro"/>
          <w:sz w:val="20"/>
          <w:szCs w:val="20"/>
        </w:rPr>
        <w:t>has acknowledged the efforts taken to reduce the practice. However, it continues to be concerned by routine strip searches and the absence of body scanning technology to guard against this inherently intrusive and humiliating practice, particularly for a child or young person going through puberty.</w:t>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6F1E40" w:rsidRPr="00EA1375" w14:paraId="568FC50A" w14:textId="77777777" w:rsidTr="00180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0A576A25" w14:textId="7C644E5E" w:rsidR="006F1E40" w:rsidRPr="001B7386" w:rsidRDefault="006F1E40" w:rsidP="0013605E">
            <w:pPr>
              <w:ind w:left="275"/>
              <w:rPr>
                <w:sz w:val="20"/>
                <w:szCs w:val="20"/>
              </w:rPr>
            </w:pPr>
            <w:r w:rsidRPr="001B7386">
              <w:rPr>
                <w:noProof/>
                <w:sz w:val="20"/>
                <w:szCs w:val="20"/>
              </w:rPr>
              <w:drawing>
                <wp:anchor distT="0" distB="0" distL="114300" distR="114300" simplePos="0" relativeHeight="251866112" behindDoc="1" locked="0" layoutInCell="1" allowOverlap="1" wp14:anchorId="6486E1EE" wp14:editId="6BE4350A">
                  <wp:simplePos x="0" y="0"/>
                  <wp:positionH relativeFrom="column">
                    <wp:posOffset>-288290</wp:posOffset>
                  </wp:positionH>
                  <wp:positionV relativeFrom="paragraph">
                    <wp:posOffset>56251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312706530"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 measures being taken to reduce the use of strip searches of children and young people in detention, across Australia.</w:t>
            </w:r>
          </w:p>
        </w:tc>
      </w:tr>
    </w:tbl>
    <w:p w14:paraId="56845896" w14:textId="77777777" w:rsidR="006F1E40" w:rsidRDefault="006F1E40" w:rsidP="0064142D">
      <w:pPr>
        <w:spacing w:line="240" w:lineRule="auto"/>
        <w:rPr>
          <w:rFonts w:cs="Readex Pro"/>
          <w:sz w:val="20"/>
          <w:szCs w:val="20"/>
        </w:rPr>
      </w:pPr>
    </w:p>
    <w:p w14:paraId="65BEBDA3" w14:textId="2358BB7E" w:rsidR="007F1E9F" w:rsidRDefault="007F1E9F">
      <w:pPr>
        <w:spacing w:before="0" w:after="0" w:line="240" w:lineRule="auto"/>
        <w:rPr>
          <w:rFonts w:cs="Readex Pro"/>
          <w:sz w:val="20"/>
          <w:szCs w:val="20"/>
        </w:rPr>
      </w:pPr>
      <w:r>
        <w:rPr>
          <w:rFonts w:cs="Readex Pro"/>
          <w:sz w:val="20"/>
          <w:szCs w:val="20"/>
        </w:rPr>
        <w:br w:type="page"/>
      </w:r>
    </w:p>
    <w:p w14:paraId="0AC8FC41" w14:textId="2838E547" w:rsidR="007F1E9F" w:rsidRPr="00D22E43" w:rsidRDefault="007F1E9F" w:rsidP="00D22E43">
      <w:pPr>
        <w:pStyle w:val="Heading2"/>
        <w:rPr>
          <w:color w:val="937CB9" w:themeColor="accent3"/>
        </w:rPr>
      </w:pPr>
      <w:bookmarkStart w:id="65" w:name="_Toc208584108"/>
      <w:r w:rsidRPr="00D22E43">
        <w:rPr>
          <w:color w:val="937CB9" w:themeColor="accent3"/>
        </w:rPr>
        <w:lastRenderedPageBreak/>
        <w:t>G</w:t>
      </w:r>
      <w:r>
        <w:rPr>
          <w:color w:val="937CB9" w:themeColor="accent3"/>
        </w:rPr>
        <w:t>eneral conditions in detention</w:t>
      </w:r>
      <w:bookmarkEnd w:id="65"/>
    </w:p>
    <w:p w14:paraId="64BD54A1" w14:textId="675B6219" w:rsidR="007F1E9F" w:rsidRPr="00B50F91" w:rsidRDefault="007F1E9F" w:rsidP="00B50F91">
      <w:pPr>
        <w:pStyle w:val="Heading3"/>
        <w:spacing w:before="120"/>
        <w:rPr>
          <w:color w:val="719243" w:themeColor="accent2"/>
        </w:rPr>
      </w:pPr>
      <w:bookmarkStart w:id="66" w:name="_Toc208584109"/>
      <w:r w:rsidRPr="00B50F91">
        <w:rPr>
          <w:color w:val="719243" w:themeColor="accent2"/>
        </w:rPr>
        <w:t>Overincarceration of Aboriginal and Torres Strait Islander people</w:t>
      </w:r>
      <w:bookmarkEnd w:id="66"/>
    </w:p>
    <w:p w14:paraId="258F5C0B"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159ED003" w14:textId="68167B5E" w:rsidR="007F1E9F" w:rsidRPr="00022488" w:rsidRDefault="007F1E9F" w:rsidP="00102269">
      <w:pPr>
        <w:rPr>
          <w:rFonts w:cs="Readex Pro"/>
          <w:sz w:val="20"/>
          <w:szCs w:val="20"/>
        </w:rPr>
      </w:pPr>
      <w:r w:rsidRPr="00EA1375">
        <w:rPr>
          <w:rFonts w:cs="Readex Pro"/>
          <w:sz w:val="20"/>
          <w:szCs w:val="20"/>
        </w:rPr>
        <w:t>Aboriginal and Torres Strait Islander people – both adults</w:t>
      </w:r>
      <w:r w:rsidR="00EC7814">
        <w:rPr>
          <w:rFonts w:cs="Readex Pro"/>
          <w:sz w:val="20"/>
          <w:szCs w:val="20"/>
        </w:rPr>
        <w:t>,</w:t>
      </w:r>
      <w:r w:rsidRPr="00EA1375">
        <w:rPr>
          <w:rFonts w:cs="Readex Pro"/>
          <w:sz w:val="20"/>
          <w:szCs w:val="20"/>
        </w:rPr>
        <w:t xml:space="preserve"> and children</w:t>
      </w:r>
      <w:r w:rsidR="00EC7814" w:rsidRPr="00EC7814">
        <w:rPr>
          <w:rFonts w:cs="Readex Pro"/>
          <w:sz w:val="20"/>
          <w:szCs w:val="20"/>
        </w:rPr>
        <w:t xml:space="preserve"> </w:t>
      </w:r>
      <w:r w:rsidR="00EC7814">
        <w:rPr>
          <w:rFonts w:cs="Readex Pro"/>
          <w:sz w:val="20"/>
          <w:szCs w:val="20"/>
        </w:rPr>
        <w:t>and young people</w:t>
      </w:r>
      <w:r w:rsidRPr="00EA1375">
        <w:rPr>
          <w:rFonts w:cs="Readex Pro"/>
          <w:sz w:val="20"/>
          <w:szCs w:val="20"/>
        </w:rPr>
        <w:t xml:space="preserve"> – continue to be </w:t>
      </w:r>
      <w:r>
        <w:rPr>
          <w:rFonts w:cs="Readex Pro"/>
          <w:sz w:val="20"/>
          <w:szCs w:val="20"/>
        </w:rPr>
        <w:t xml:space="preserve">grossly </w:t>
      </w:r>
      <w:r w:rsidRPr="00EA1375">
        <w:rPr>
          <w:rFonts w:cs="Readex Pro"/>
          <w:sz w:val="20"/>
          <w:szCs w:val="20"/>
        </w:rPr>
        <w:t xml:space="preserve">overincarcerated </w:t>
      </w:r>
      <w:r w:rsidRPr="00022488">
        <w:rPr>
          <w:rFonts w:cs="Readex Pro"/>
          <w:sz w:val="20"/>
          <w:szCs w:val="20"/>
        </w:rPr>
        <w:t>in Australia. This is not a new crisis, but remains a persistent and pervasive, as we have previously commented.</w:t>
      </w:r>
      <w:r w:rsidRPr="00022488">
        <w:rPr>
          <w:rStyle w:val="FootnoteReference"/>
          <w:rFonts w:cs="Readex Pro"/>
          <w:sz w:val="20"/>
          <w:szCs w:val="20"/>
        </w:rPr>
        <w:footnoteReference w:id="78"/>
      </w:r>
      <w:r w:rsidRPr="00022488">
        <w:rPr>
          <w:rFonts w:cs="Readex Pro"/>
          <w:sz w:val="20"/>
          <w:szCs w:val="20"/>
        </w:rPr>
        <w:t xml:space="preserve"> Aboriginal and Torres Strait Islander adults are 17.5 times more likely to be imprisoned than non-Indigenous adults.</w:t>
      </w:r>
      <w:bookmarkStart w:id="67" w:name="_Ref207045719"/>
      <w:r w:rsidRPr="00022488">
        <w:rPr>
          <w:rStyle w:val="FootnoteReference"/>
          <w:rFonts w:cs="Readex Pro"/>
          <w:sz w:val="20"/>
          <w:szCs w:val="20"/>
        </w:rPr>
        <w:footnoteReference w:id="79"/>
      </w:r>
      <w:bookmarkEnd w:id="67"/>
      <w:r w:rsidRPr="00022488">
        <w:rPr>
          <w:rFonts w:cs="Readex Pro"/>
          <w:sz w:val="20"/>
          <w:szCs w:val="20"/>
        </w:rPr>
        <w:t xml:space="preserve"> Aboriginal and Torres Strait Islander children</w:t>
      </w:r>
      <w:r w:rsidR="00EC7814" w:rsidRPr="00EC7814">
        <w:rPr>
          <w:rFonts w:cs="Readex Pro"/>
          <w:sz w:val="20"/>
          <w:szCs w:val="20"/>
        </w:rPr>
        <w:t xml:space="preserve"> </w:t>
      </w:r>
      <w:r w:rsidR="00EC7814">
        <w:rPr>
          <w:rFonts w:cs="Readex Pro"/>
          <w:sz w:val="20"/>
          <w:szCs w:val="20"/>
        </w:rPr>
        <w:t>and young people</w:t>
      </w:r>
      <w:r w:rsidRPr="00022488">
        <w:rPr>
          <w:rFonts w:cs="Readex Pro"/>
          <w:sz w:val="20"/>
          <w:szCs w:val="20"/>
        </w:rPr>
        <w:t xml:space="preserve"> are 27 times more likely to be in detention than non-Indigenous children</w:t>
      </w:r>
      <w:r w:rsidR="00EC7814" w:rsidRPr="00EC7814">
        <w:rPr>
          <w:rFonts w:cs="Readex Pro"/>
          <w:sz w:val="20"/>
          <w:szCs w:val="20"/>
        </w:rPr>
        <w:t xml:space="preserve"> </w:t>
      </w:r>
      <w:r w:rsidR="00EC7814">
        <w:rPr>
          <w:rFonts w:cs="Readex Pro"/>
          <w:sz w:val="20"/>
          <w:szCs w:val="20"/>
        </w:rPr>
        <w:t>and young people</w:t>
      </w:r>
      <w:r w:rsidRPr="00022488">
        <w:rPr>
          <w:rFonts w:cs="Readex Pro"/>
          <w:sz w:val="20"/>
          <w:szCs w:val="20"/>
        </w:rPr>
        <w:t>.</w:t>
      </w:r>
      <w:r w:rsidRPr="00022488">
        <w:rPr>
          <w:rStyle w:val="FootnoteReference"/>
          <w:rFonts w:cs="Readex Pro"/>
          <w:sz w:val="20"/>
          <w:szCs w:val="20"/>
        </w:rPr>
        <w:footnoteReference w:id="80"/>
      </w:r>
    </w:p>
    <w:p w14:paraId="089EB705" w14:textId="0AA3D1B6" w:rsidR="007F1E9F" w:rsidRPr="00360FF8" w:rsidRDefault="00BF014B" w:rsidP="00102269">
      <w:pPr>
        <w:rPr>
          <w:rFonts w:cs="Readex Pro"/>
          <w:sz w:val="20"/>
          <w:szCs w:val="20"/>
        </w:rPr>
      </w:pPr>
      <w:r>
        <w:rPr>
          <w:rFonts w:cs="Readex Pro"/>
          <w:sz w:val="20"/>
          <w:szCs w:val="20"/>
        </w:rPr>
        <w:t>D</w:t>
      </w:r>
      <w:r w:rsidR="007F1E9F" w:rsidRPr="00022488">
        <w:rPr>
          <w:rFonts w:cs="Readex Pro"/>
          <w:sz w:val="20"/>
          <w:szCs w:val="20"/>
        </w:rPr>
        <w:t xml:space="preserve">espite targets under the </w:t>
      </w:r>
      <w:r w:rsidR="007F1E9F" w:rsidRPr="00022488">
        <w:rPr>
          <w:rFonts w:cs="Readex Pro"/>
          <w:i/>
          <w:iCs/>
          <w:sz w:val="20"/>
          <w:szCs w:val="20"/>
        </w:rPr>
        <w:t>National Agreement on Closing the Gap</w:t>
      </w:r>
      <w:r w:rsidR="007F1E9F" w:rsidRPr="00022488">
        <w:rPr>
          <w:rFonts w:cs="Readex Pro"/>
          <w:sz w:val="20"/>
          <w:szCs w:val="20"/>
        </w:rPr>
        <w:t xml:space="preserve"> to reduce the rates of Aboriginal and Torres Strait Islander people in custody,</w:t>
      </w:r>
      <w:r w:rsidR="007F1E9F" w:rsidRPr="00022488">
        <w:rPr>
          <w:rStyle w:val="FootnoteReference"/>
          <w:rFonts w:cs="Readex Pro"/>
          <w:sz w:val="20"/>
          <w:szCs w:val="20"/>
        </w:rPr>
        <w:footnoteReference w:id="81"/>
      </w:r>
      <w:r w:rsidR="007F1E9F" w:rsidRPr="00022488">
        <w:rPr>
          <w:rFonts w:cs="Readex Pro"/>
          <w:sz w:val="20"/>
          <w:szCs w:val="20"/>
        </w:rPr>
        <w:t xml:space="preserve"> </w:t>
      </w:r>
      <w:r w:rsidR="007F1E9F" w:rsidRPr="00257524">
        <w:rPr>
          <w:rFonts w:cs="Readex Pro"/>
          <w:sz w:val="20"/>
          <w:szCs w:val="20"/>
        </w:rPr>
        <w:t xml:space="preserve">in most jurisdictions </w:t>
      </w:r>
      <w:r w:rsidR="007F1E9F" w:rsidRPr="00022488">
        <w:rPr>
          <w:rFonts w:cs="Readex Pro"/>
          <w:sz w:val="20"/>
          <w:szCs w:val="20"/>
        </w:rPr>
        <w:t xml:space="preserve">the number of Aboriginal </w:t>
      </w:r>
      <w:r w:rsidR="007F1E9F" w:rsidRPr="00360FF8">
        <w:rPr>
          <w:rFonts w:cs="Readex Pro"/>
          <w:sz w:val="20"/>
          <w:szCs w:val="20"/>
        </w:rPr>
        <w:t xml:space="preserve">and Torres Strait Islander people being detained in custody </w:t>
      </w:r>
      <w:r w:rsidR="007F1E9F" w:rsidRPr="00257524">
        <w:rPr>
          <w:rFonts w:cs="Readex Pro"/>
          <w:sz w:val="20"/>
          <w:szCs w:val="20"/>
        </w:rPr>
        <w:t>has in fact increased.</w:t>
      </w:r>
      <w:r w:rsidR="007F1E9F" w:rsidRPr="00257524">
        <w:rPr>
          <w:rFonts w:cs="Readex Pro"/>
          <w:sz w:val="20"/>
          <w:szCs w:val="20"/>
          <w:vertAlign w:val="superscript"/>
        </w:rPr>
        <w:footnoteReference w:id="82"/>
      </w:r>
      <w:r w:rsidR="007F1E9F" w:rsidRPr="00360FF8">
        <w:rPr>
          <w:rFonts w:cs="Readex Pro"/>
          <w:sz w:val="20"/>
          <w:szCs w:val="20"/>
        </w:rPr>
        <w:t xml:space="preserve"> Between 2023 and 2024, the number of Aboriginal and Torres Strait Islander adults imprisoned in Australia increased by 14.6 percent, when the number of non-Indigenous Australians imprisoned increased by only 1.3 percent.</w:t>
      </w:r>
      <w:r w:rsidR="007F1E9F" w:rsidRPr="00360FF8">
        <w:rPr>
          <w:rStyle w:val="FootnoteReference"/>
          <w:rFonts w:cs="Readex Pro"/>
          <w:sz w:val="20"/>
          <w:szCs w:val="20"/>
        </w:rPr>
        <w:footnoteReference w:id="83"/>
      </w:r>
      <w:r w:rsidR="007F1E9F" w:rsidRPr="00360FF8">
        <w:rPr>
          <w:rFonts w:cs="Readex Pro"/>
          <w:sz w:val="20"/>
          <w:szCs w:val="20"/>
        </w:rPr>
        <w:t xml:space="preserve"> In the NT, in February 2025 an average of 40 Aboriginal people were being taken into custody daily, compared with 23 in January 2020.</w:t>
      </w:r>
      <w:r w:rsidR="007F1E9F" w:rsidRPr="00360FF8">
        <w:rPr>
          <w:rStyle w:val="FootnoteReference"/>
          <w:rFonts w:cs="Readex Pro"/>
          <w:sz w:val="20"/>
          <w:szCs w:val="20"/>
        </w:rPr>
        <w:footnoteReference w:id="84"/>
      </w:r>
    </w:p>
    <w:p w14:paraId="09FF4A74" w14:textId="1CF74895" w:rsidR="007F1E9F" w:rsidRPr="00916F88" w:rsidRDefault="007F1E9F" w:rsidP="00F10DC8">
      <w:pPr>
        <w:rPr>
          <w:rFonts w:cs="Readex Pro"/>
          <w:sz w:val="20"/>
          <w:szCs w:val="20"/>
        </w:rPr>
      </w:pPr>
      <w:r w:rsidRPr="00257524">
        <w:rPr>
          <w:rFonts w:cs="Readex Pro"/>
          <w:sz w:val="20"/>
          <w:szCs w:val="20"/>
        </w:rPr>
        <w:t xml:space="preserve">In 1991 the </w:t>
      </w:r>
      <w:r w:rsidRPr="00257524">
        <w:rPr>
          <w:rFonts w:cs="Readex Pro"/>
          <w:i/>
          <w:iCs/>
          <w:sz w:val="20"/>
          <w:szCs w:val="20"/>
        </w:rPr>
        <w:t>Royal Commission into Aboriginal Deaths in Custody</w:t>
      </w:r>
      <w:r w:rsidRPr="00257524">
        <w:rPr>
          <w:rFonts w:cs="Readex Pro"/>
          <w:sz w:val="20"/>
          <w:szCs w:val="20"/>
        </w:rPr>
        <w:t xml:space="preserve"> concluded the </w:t>
      </w:r>
      <w:r w:rsidR="005D7D43">
        <w:rPr>
          <w:rFonts w:cs="Readex Pro"/>
          <w:sz w:val="20"/>
          <w:szCs w:val="20"/>
        </w:rPr>
        <w:t>‘</w:t>
      </w:r>
      <w:r w:rsidRPr="00257524">
        <w:rPr>
          <w:rFonts w:cs="Readex Pro"/>
          <w:sz w:val="20"/>
          <w:szCs w:val="20"/>
        </w:rPr>
        <w:t>most significant contributing factor bringing Aboriginal people into conflict with the criminal justice system was their disadvantaged and unequal position in the wider society</w:t>
      </w:r>
      <w:r w:rsidR="005D7D43">
        <w:rPr>
          <w:rFonts w:cs="Readex Pro"/>
          <w:sz w:val="20"/>
          <w:szCs w:val="20"/>
        </w:rPr>
        <w:t>’</w:t>
      </w:r>
      <w:r w:rsidRPr="00257524">
        <w:rPr>
          <w:rFonts w:cs="Readex Pro"/>
          <w:sz w:val="20"/>
          <w:szCs w:val="20"/>
        </w:rPr>
        <w:t>.</w:t>
      </w:r>
      <w:bookmarkStart w:id="68" w:name="_Ref207046506"/>
      <w:r w:rsidRPr="00257524">
        <w:rPr>
          <w:rFonts w:cs="Readex Pro"/>
          <w:sz w:val="20"/>
          <w:szCs w:val="20"/>
          <w:vertAlign w:val="superscript"/>
        </w:rPr>
        <w:footnoteReference w:id="85"/>
      </w:r>
      <w:bookmarkEnd w:id="68"/>
      <w:r w:rsidRPr="00257524">
        <w:rPr>
          <w:rFonts w:cs="Readex Pro"/>
          <w:sz w:val="20"/>
          <w:szCs w:val="20"/>
        </w:rPr>
        <w:t xml:space="preserve"> </w:t>
      </w:r>
      <w:r w:rsidRPr="00916F88">
        <w:rPr>
          <w:rFonts w:cs="Readex Pro"/>
          <w:sz w:val="20"/>
          <w:szCs w:val="20"/>
        </w:rPr>
        <w:t>In 2024</w:t>
      </w:r>
      <w:r w:rsidR="00A750A1">
        <w:rPr>
          <w:rFonts w:cs="Readex Pro"/>
          <w:sz w:val="20"/>
          <w:szCs w:val="20"/>
        </w:rPr>
        <w:t>,</w:t>
      </w:r>
      <w:r w:rsidRPr="00916F88">
        <w:rPr>
          <w:rFonts w:cs="Readex Pro"/>
          <w:sz w:val="20"/>
          <w:szCs w:val="20"/>
        </w:rPr>
        <w:t xml:space="preserve"> 27 Aboriginal and Torres Strait Islander people died in custody in Australia. A further </w:t>
      </w:r>
      <w:r w:rsidR="00250359">
        <w:rPr>
          <w:rFonts w:cs="Readex Pro"/>
          <w:sz w:val="20"/>
          <w:szCs w:val="20"/>
        </w:rPr>
        <w:t>23</w:t>
      </w:r>
      <w:r w:rsidRPr="00916F88">
        <w:rPr>
          <w:rFonts w:cs="Readex Pro"/>
          <w:sz w:val="20"/>
          <w:szCs w:val="20"/>
        </w:rPr>
        <w:t xml:space="preserve"> Aboriginal and Torres Strait Islander people have died in custody to date in 2025.</w:t>
      </w:r>
      <w:r w:rsidRPr="00916F88">
        <w:rPr>
          <w:rStyle w:val="FootnoteReference"/>
          <w:rFonts w:cs="Readex Pro"/>
          <w:sz w:val="20"/>
          <w:szCs w:val="20"/>
        </w:rPr>
        <w:footnoteReference w:id="86"/>
      </w:r>
      <w:r w:rsidRPr="00257524">
        <w:rPr>
          <w:rFonts w:cs="Readex Pro"/>
          <w:sz w:val="20"/>
          <w:szCs w:val="20"/>
        </w:rPr>
        <w:t xml:space="preserve"> This now brings the total number of deaths since the </w:t>
      </w:r>
      <w:r w:rsidRPr="00257524">
        <w:rPr>
          <w:rFonts w:cs="Readex Pro"/>
          <w:i/>
          <w:iCs/>
          <w:sz w:val="20"/>
          <w:szCs w:val="20"/>
        </w:rPr>
        <w:t>Royal Commission into Aboriginal Deaths in Custody</w:t>
      </w:r>
      <w:r w:rsidRPr="00257524">
        <w:rPr>
          <w:rFonts w:cs="Readex Pro"/>
          <w:sz w:val="20"/>
          <w:szCs w:val="20"/>
        </w:rPr>
        <w:t xml:space="preserve"> to more than 600 people.</w:t>
      </w:r>
      <w:r w:rsidRPr="00257524">
        <w:rPr>
          <w:rFonts w:cs="Readex Pro"/>
          <w:sz w:val="20"/>
          <w:szCs w:val="20"/>
          <w:vertAlign w:val="superscript"/>
        </w:rPr>
        <w:footnoteReference w:id="87"/>
      </w:r>
    </w:p>
    <w:p w14:paraId="6397D625" w14:textId="55A831ED" w:rsidR="007F1E9F" w:rsidRPr="00EA1375" w:rsidRDefault="007F1E9F" w:rsidP="00102269">
      <w:pPr>
        <w:rPr>
          <w:rFonts w:cs="Readex Pro"/>
          <w:sz w:val="20"/>
          <w:szCs w:val="20"/>
        </w:rPr>
      </w:pPr>
      <w:r w:rsidRPr="00257524">
        <w:rPr>
          <w:rFonts w:cs="Readex Pro"/>
          <w:sz w:val="20"/>
          <w:szCs w:val="20"/>
        </w:rPr>
        <w:t xml:space="preserve">Bail </w:t>
      </w:r>
      <w:r w:rsidR="006D45C4">
        <w:rPr>
          <w:rFonts w:cs="Readex Pro"/>
          <w:sz w:val="20"/>
          <w:szCs w:val="20"/>
        </w:rPr>
        <w:t xml:space="preserve">law reforms </w:t>
      </w:r>
      <w:r w:rsidRPr="00257524">
        <w:rPr>
          <w:rFonts w:cs="Readex Pro"/>
          <w:sz w:val="20"/>
          <w:szCs w:val="20"/>
        </w:rPr>
        <w:t xml:space="preserve">and </w:t>
      </w:r>
      <w:r w:rsidR="006D45C4">
        <w:rPr>
          <w:rFonts w:cs="Readex Pro"/>
          <w:sz w:val="20"/>
          <w:szCs w:val="20"/>
        </w:rPr>
        <w:t xml:space="preserve">subsequent increases in </w:t>
      </w:r>
      <w:r w:rsidRPr="00257524">
        <w:rPr>
          <w:rFonts w:cs="Readex Pro"/>
          <w:sz w:val="20"/>
          <w:szCs w:val="20"/>
        </w:rPr>
        <w:t xml:space="preserve">remand </w:t>
      </w:r>
      <w:r w:rsidR="006D45C4">
        <w:rPr>
          <w:rFonts w:cs="Readex Pro"/>
          <w:sz w:val="20"/>
          <w:szCs w:val="20"/>
        </w:rPr>
        <w:t>populations</w:t>
      </w:r>
      <w:r w:rsidRPr="00257524">
        <w:rPr>
          <w:rFonts w:cs="Readex Pro"/>
          <w:sz w:val="20"/>
          <w:szCs w:val="20"/>
        </w:rPr>
        <w:t xml:space="preserve"> are a significant factor contributing to the imprisonment of Aboriginal and Torres Strait Islander people, who account for 38.6% of Australia’s unsentenced prison population, while only accounting for 3.8% of the general population.</w:t>
      </w:r>
      <w:r w:rsidRPr="00257524">
        <w:rPr>
          <w:rFonts w:cs="Readex Pro"/>
          <w:sz w:val="20"/>
          <w:szCs w:val="20"/>
          <w:vertAlign w:val="superscript"/>
        </w:rPr>
        <w:footnoteReference w:id="88"/>
      </w:r>
      <w:r w:rsidRPr="00257524">
        <w:rPr>
          <w:rFonts w:cs="Readex Pro"/>
          <w:sz w:val="20"/>
          <w:szCs w:val="20"/>
        </w:rPr>
        <w:t xml:space="preserve"> A large proportion of Aboriginal and Torres Strait Islander people held on remand do not receive a custodial sentence on conviction or are sentenced to time served on remand.</w:t>
      </w:r>
      <w:r w:rsidRPr="00257524">
        <w:rPr>
          <w:rFonts w:cs="Readex Pro"/>
          <w:sz w:val="20"/>
          <w:szCs w:val="20"/>
          <w:vertAlign w:val="superscript"/>
        </w:rPr>
        <w:footnoteReference w:id="89"/>
      </w:r>
      <w:r w:rsidRPr="00257524">
        <w:rPr>
          <w:rFonts w:cs="Readex Pro"/>
          <w:sz w:val="20"/>
          <w:szCs w:val="20"/>
        </w:rPr>
        <w:t xml:space="preserve"> The </w:t>
      </w:r>
      <w:r w:rsidRPr="00257524">
        <w:rPr>
          <w:rFonts w:cs="Readex Pro"/>
          <w:i/>
          <w:iCs/>
          <w:sz w:val="20"/>
          <w:szCs w:val="20"/>
        </w:rPr>
        <w:t>Royal Commission into Aboriginal Deaths in Custody</w:t>
      </w:r>
      <w:r w:rsidRPr="00257524">
        <w:rPr>
          <w:rFonts w:cs="Readex Pro"/>
          <w:sz w:val="20"/>
          <w:szCs w:val="20"/>
        </w:rPr>
        <w:t xml:space="preserve"> recommended increasing access to bail as a crucial measure to reducing the incarceration rates of </w:t>
      </w:r>
      <w:r w:rsidRPr="00257524">
        <w:rPr>
          <w:rFonts w:cs="Readex Pro"/>
          <w:sz w:val="20"/>
          <w:szCs w:val="20"/>
        </w:rPr>
        <w:lastRenderedPageBreak/>
        <w:t>Aboriginal and Torres Strait Islander people, as well as preventable deaths in custody.</w:t>
      </w:r>
      <w:r w:rsidRPr="00257524">
        <w:rPr>
          <w:rFonts w:cs="Readex Pro"/>
          <w:sz w:val="20"/>
          <w:szCs w:val="20"/>
          <w:vertAlign w:val="superscript"/>
        </w:rPr>
        <w:footnoteReference w:id="90"/>
      </w:r>
      <w:r w:rsidRPr="00257524">
        <w:rPr>
          <w:rFonts w:cs="Readex Pro"/>
          <w:sz w:val="20"/>
          <w:szCs w:val="20"/>
        </w:rPr>
        <w:t xml:space="preserve"> Yet, despite this, in many jurisdictions bail laws continue to have disproportionate impacts on Aboriginal and Torres Strait Islander people.</w:t>
      </w:r>
      <w:r w:rsidRPr="00257524">
        <w:rPr>
          <w:rFonts w:cs="Readex Pro"/>
          <w:sz w:val="20"/>
          <w:szCs w:val="20"/>
          <w:vertAlign w:val="superscript"/>
        </w:rPr>
        <w:footnoteReference w:id="91"/>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005106B0" w14:textId="77777777" w:rsidTr="00436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68106D10" w14:textId="5A3CAE81" w:rsidR="007F1E9F" w:rsidRPr="0013605E" w:rsidRDefault="00570001" w:rsidP="0013605E">
            <w:pPr>
              <w:ind w:left="275"/>
              <w:rPr>
                <w:sz w:val="20"/>
                <w:szCs w:val="20"/>
              </w:rPr>
            </w:pPr>
            <w:r w:rsidRPr="001B7386">
              <w:rPr>
                <w:noProof/>
                <w:sz w:val="20"/>
                <w:szCs w:val="20"/>
              </w:rPr>
              <w:drawing>
                <wp:anchor distT="0" distB="0" distL="114300" distR="114300" simplePos="0" relativeHeight="251835392" behindDoc="1" locked="0" layoutInCell="1" allowOverlap="1" wp14:anchorId="5D7C5ECA" wp14:editId="7B028E6A">
                  <wp:simplePos x="0" y="0"/>
                  <wp:positionH relativeFrom="column">
                    <wp:posOffset>-281305</wp:posOffset>
                  </wp:positionH>
                  <wp:positionV relativeFrom="paragraph">
                    <wp:posOffset>59319</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99645345"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5934F5A6" w14:textId="66CCCF61" w:rsidR="007F1E9F" w:rsidRPr="0013605E" w:rsidRDefault="007F1E9F" w:rsidP="004541B6">
            <w:pPr>
              <w:pStyle w:val="ListParagraph"/>
              <w:numPr>
                <w:ilvl w:val="0"/>
                <w:numId w:val="13"/>
              </w:numPr>
              <w:rPr>
                <w:sz w:val="20"/>
                <w:szCs w:val="20"/>
              </w:rPr>
            </w:pPr>
            <w:r w:rsidRPr="001B7386">
              <w:rPr>
                <w:sz w:val="20"/>
                <w:szCs w:val="20"/>
              </w:rPr>
              <w:t xml:space="preserve">why </w:t>
            </w:r>
            <w:r w:rsidR="0042468A" w:rsidRPr="001B7386">
              <w:rPr>
                <w:sz w:val="20"/>
                <w:szCs w:val="20"/>
              </w:rPr>
              <w:t xml:space="preserve">detention </w:t>
            </w:r>
            <w:r w:rsidRPr="001B7386">
              <w:rPr>
                <w:sz w:val="20"/>
                <w:szCs w:val="20"/>
              </w:rPr>
              <w:t xml:space="preserve">of Aboriginal and Torres Strait Islander people </w:t>
            </w:r>
            <w:r w:rsidR="0042468A" w:rsidRPr="001B7386">
              <w:rPr>
                <w:sz w:val="20"/>
                <w:szCs w:val="20"/>
              </w:rPr>
              <w:t>is</w:t>
            </w:r>
            <w:r w:rsidRPr="001B7386">
              <w:rPr>
                <w:sz w:val="20"/>
                <w:szCs w:val="20"/>
              </w:rPr>
              <w:t xml:space="preserve"> increasing</w:t>
            </w:r>
          </w:p>
          <w:p w14:paraId="5FC0BE4A" w14:textId="72460280" w:rsidR="007F1E9F" w:rsidRPr="00EA1375" w:rsidRDefault="0013605E" w:rsidP="004541B6">
            <w:pPr>
              <w:pStyle w:val="ListParagraph"/>
              <w:numPr>
                <w:ilvl w:val="0"/>
                <w:numId w:val="13"/>
              </w:numPr>
              <w:rPr>
                <w:b w:val="0"/>
                <w:bCs w:val="0"/>
              </w:rPr>
            </w:pPr>
            <w:r>
              <w:rPr>
                <w:sz w:val="20"/>
                <w:szCs w:val="20"/>
              </w:rPr>
              <w:t>t</w:t>
            </w:r>
            <w:r w:rsidR="0042468A" w:rsidRPr="001B7386">
              <w:rPr>
                <w:sz w:val="20"/>
                <w:szCs w:val="20"/>
              </w:rPr>
              <w:t xml:space="preserve">he </w:t>
            </w:r>
            <w:r w:rsidR="007F1E9F" w:rsidRPr="001B7386">
              <w:rPr>
                <w:sz w:val="20"/>
                <w:szCs w:val="20"/>
              </w:rPr>
              <w:t>progress of all Australian governments to address the continued overincarceration of Aboriginal and Torres Strait Islander people, including measures to reduce rates of remand detention.</w:t>
            </w:r>
          </w:p>
        </w:tc>
      </w:tr>
    </w:tbl>
    <w:p w14:paraId="64D3BDDD" w14:textId="152838F3" w:rsidR="007F1E9F" w:rsidRPr="00B50F91" w:rsidRDefault="007F1E9F" w:rsidP="00B50F91">
      <w:pPr>
        <w:pStyle w:val="Heading3"/>
        <w:spacing w:before="120"/>
        <w:rPr>
          <w:color w:val="719243" w:themeColor="accent2"/>
        </w:rPr>
      </w:pPr>
      <w:bookmarkStart w:id="69" w:name="_Toc208584110"/>
      <w:r w:rsidRPr="00B50F91">
        <w:rPr>
          <w:color w:val="719243" w:themeColor="accent2"/>
        </w:rPr>
        <w:t>Detention population increases</w:t>
      </w:r>
      <w:r w:rsidR="0056787F" w:rsidRPr="00B50F91">
        <w:rPr>
          <w:color w:val="719243" w:themeColor="accent2"/>
        </w:rPr>
        <w:t xml:space="preserve"> – unsentenced people in custody</w:t>
      </w:r>
      <w:bookmarkEnd w:id="69"/>
    </w:p>
    <w:p w14:paraId="07CAE997"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0B35D0C0" w14:textId="7C6AAD95" w:rsidR="00384201" w:rsidRPr="004F1E96" w:rsidRDefault="00384201" w:rsidP="00384201">
      <w:pPr>
        <w:rPr>
          <w:rFonts w:cs="Readex Pro"/>
          <w:sz w:val="20"/>
          <w:szCs w:val="20"/>
        </w:rPr>
      </w:pPr>
      <w:r w:rsidRPr="00384201">
        <w:rPr>
          <w:rFonts w:cs="Readex Pro"/>
          <w:sz w:val="20"/>
          <w:szCs w:val="20"/>
        </w:rPr>
        <w:t>In recent years the number of unsentenced people detained in prison in Australia</w:t>
      </w:r>
      <w:r w:rsidR="003C71AA">
        <w:rPr>
          <w:rFonts w:cs="Readex Pro"/>
          <w:sz w:val="20"/>
          <w:szCs w:val="20"/>
        </w:rPr>
        <w:t xml:space="preserve"> has increased</w:t>
      </w:r>
      <w:r w:rsidRPr="00384201">
        <w:rPr>
          <w:rFonts w:cs="Readex Pro"/>
          <w:sz w:val="20"/>
          <w:szCs w:val="20"/>
        </w:rPr>
        <w:t xml:space="preserve">, </w:t>
      </w:r>
      <w:r w:rsidRPr="004F1E96">
        <w:rPr>
          <w:rFonts w:cs="Readex Pro"/>
          <w:sz w:val="20"/>
          <w:szCs w:val="20"/>
        </w:rPr>
        <w:t>including a 13.2% increase from 30 June 2023 to 30 June 2024.</w:t>
      </w:r>
      <w:r w:rsidRPr="004F1E96">
        <w:rPr>
          <w:rFonts w:cs="Readex Pro"/>
          <w:sz w:val="20"/>
          <w:szCs w:val="20"/>
          <w:vertAlign w:val="superscript"/>
        </w:rPr>
        <w:footnoteReference w:id="92"/>
      </w:r>
      <w:r w:rsidRPr="004F1E96">
        <w:rPr>
          <w:rFonts w:cs="Readex Pro"/>
          <w:sz w:val="20"/>
          <w:szCs w:val="20"/>
        </w:rPr>
        <w:t xml:space="preserve"> Overall increases in adult custodial population</w:t>
      </w:r>
      <w:r w:rsidR="003C71AA" w:rsidRPr="004F1E96">
        <w:rPr>
          <w:rFonts w:cs="Readex Pro"/>
          <w:sz w:val="20"/>
          <w:szCs w:val="20"/>
        </w:rPr>
        <w:t>s</w:t>
      </w:r>
      <w:r w:rsidRPr="004F1E96">
        <w:rPr>
          <w:rFonts w:cs="Readex Pro"/>
          <w:sz w:val="20"/>
          <w:szCs w:val="20"/>
        </w:rPr>
        <w:t xml:space="preserve"> have been strongly linked to the numbers of people being detained on remand.</w:t>
      </w:r>
      <w:bookmarkStart w:id="70" w:name="_Ref207048406"/>
      <w:r w:rsidRPr="004F1E96">
        <w:rPr>
          <w:rFonts w:cs="Readex Pro"/>
          <w:sz w:val="20"/>
          <w:szCs w:val="20"/>
          <w:vertAlign w:val="superscript"/>
        </w:rPr>
        <w:footnoteReference w:id="93"/>
      </w:r>
      <w:bookmarkEnd w:id="70"/>
    </w:p>
    <w:p w14:paraId="6D571B59" w14:textId="6093F003" w:rsidR="00053F7C" w:rsidRPr="00384201" w:rsidRDefault="0066293C" w:rsidP="00384201">
      <w:pPr>
        <w:rPr>
          <w:rFonts w:cs="Readex Pro"/>
          <w:sz w:val="20"/>
          <w:szCs w:val="20"/>
        </w:rPr>
      </w:pPr>
      <w:r w:rsidRPr="000C0F9F">
        <w:rPr>
          <w:rFonts w:cs="Readex Pro"/>
          <w:sz w:val="20"/>
          <w:szCs w:val="20"/>
        </w:rPr>
        <w:t>In the first quarter of 2025,</w:t>
      </w:r>
      <w:r w:rsidR="00384201" w:rsidRPr="004F1E96">
        <w:rPr>
          <w:rFonts w:cs="Readex Pro"/>
          <w:sz w:val="20"/>
          <w:szCs w:val="20"/>
        </w:rPr>
        <w:t xml:space="preserve"> 42% of people in Australian prisons were unsentenced (19,119 out of </w:t>
      </w:r>
      <w:r w:rsidR="005611AB" w:rsidRPr="004F1E96">
        <w:rPr>
          <w:rFonts w:cs="Readex Pro"/>
          <w:sz w:val="20"/>
          <w:szCs w:val="20"/>
        </w:rPr>
        <w:t xml:space="preserve">a </w:t>
      </w:r>
      <w:r w:rsidR="00384201" w:rsidRPr="004F1E96">
        <w:rPr>
          <w:rFonts w:cs="Readex Pro"/>
          <w:sz w:val="20"/>
          <w:szCs w:val="20"/>
        </w:rPr>
        <w:t xml:space="preserve">total </w:t>
      </w:r>
      <w:r w:rsidR="005611AB" w:rsidRPr="004F1E96">
        <w:rPr>
          <w:rFonts w:cs="Readex Pro"/>
          <w:sz w:val="20"/>
          <w:szCs w:val="20"/>
        </w:rPr>
        <w:t xml:space="preserve">prison </w:t>
      </w:r>
      <w:r w:rsidR="00384201" w:rsidRPr="004F1E96">
        <w:rPr>
          <w:rFonts w:cs="Readex Pro"/>
          <w:sz w:val="20"/>
          <w:szCs w:val="20"/>
        </w:rPr>
        <w:t xml:space="preserve">population of </w:t>
      </w:r>
      <w:r w:rsidR="00E938BF" w:rsidRPr="004F1E96">
        <w:rPr>
          <w:rFonts w:cs="Readex Pro"/>
          <w:sz w:val="20"/>
          <w:szCs w:val="20"/>
        </w:rPr>
        <w:t>4</w:t>
      </w:r>
      <w:r w:rsidR="0084372D" w:rsidRPr="004F1E96">
        <w:rPr>
          <w:rFonts w:cs="Readex Pro"/>
          <w:sz w:val="20"/>
          <w:szCs w:val="20"/>
        </w:rPr>
        <w:t>5,716</w:t>
      </w:r>
      <w:r w:rsidR="00384201" w:rsidRPr="004F1E96">
        <w:rPr>
          <w:rFonts w:cs="Readex Pro"/>
          <w:sz w:val="20"/>
          <w:szCs w:val="20"/>
        </w:rPr>
        <w:t>).</w:t>
      </w:r>
      <w:bookmarkStart w:id="71" w:name="_Ref207123562"/>
      <w:r w:rsidR="00384201" w:rsidRPr="004F1E96">
        <w:rPr>
          <w:rFonts w:cs="Readex Pro"/>
          <w:sz w:val="20"/>
          <w:szCs w:val="20"/>
          <w:vertAlign w:val="superscript"/>
        </w:rPr>
        <w:footnoteReference w:id="94"/>
      </w:r>
      <w:bookmarkEnd w:id="71"/>
      <w:r w:rsidR="00384201" w:rsidRPr="004F1E96">
        <w:rPr>
          <w:rFonts w:cs="Readex Pro"/>
          <w:sz w:val="20"/>
          <w:szCs w:val="20"/>
        </w:rPr>
        <w:t xml:space="preserve"> The number of people held in unsentenced detention in Australia </w:t>
      </w:r>
      <w:r w:rsidR="0034136A" w:rsidRPr="004F1E96">
        <w:rPr>
          <w:rFonts w:cs="Readex Pro"/>
          <w:sz w:val="20"/>
          <w:szCs w:val="20"/>
        </w:rPr>
        <w:t>in the first quarter of 2025 is</w:t>
      </w:r>
      <w:r w:rsidR="00384201" w:rsidRPr="004F1E96">
        <w:rPr>
          <w:rFonts w:cs="Readex Pro"/>
          <w:sz w:val="20"/>
          <w:szCs w:val="20"/>
        </w:rPr>
        <w:t xml:space="preserve"> 101% </w:t>
      </w:r>
      <w:r w:rsidR="0034136A" w:rsidRPr="004F1E96">
        <w:rPr>
          <w:rFonts w:cs="Readex Pro"/>
          <w:sz w:val="20"/>
          <w:szCs w:val="20"/>
        </w:rPr>
        <w:t xml:space="preserve">higher than </w:t>
      </w:r>
      <w:r w:rsidR="00F97939" w:rsidRPr="004F1E96">
        <w:rPr>
          <w:rFonts w:cs="Readex Pro"/>
          <w:sz w:val="20"/>
          <w:szCs w:val="20"/>
        </w:rPr>
        <w:t xml:space="preserve">in </w:t>
      </w:r>
      <w:r w:rsidR="00671A10" w:rsidRPr="004F1E96">
        <w:rPr>
          <w:rFonts w:cs="Readex Pro"/>
          <w:sz w:val="20"/>
          <w:szCs w:val="20"/>
        </w:rPr>
        <w:t>the first quarter of 2015</w:t>
      </w:r>
      <w:r w:rsidR="00384201" w:rsidRPr="004F1E96">
        <w:rPr>
          <w:rFonts w:cs="Readex Pro"/>
          <w:sz w:val="20"/>
          <w:szCs w:val="20"/>
        </w:rPr>
        <w:t xml:space="preserve">, </w:t>
      </w:r>
      <w:r w:rsidR="00671A10" w:rsidRPr="004F1E96">
        <w:rPr>
          <w:rFonts w:cs="Readex Pro"/>
          <w:sz w:val="20"/>
          <w:szCs w:val="20"/>
        </w:rPr>
        <w:t xml:space="preserve">while the </w:t>
      </w:r>
      <w:r w:rsidR="00F97939" w:rsidRPr="004F1E96">
        <w:rPr>
          <w:rFonts w:cs="Readex Pro"/>
          <w:sz w:val="20"/>
          <w:szCs w:val="20"/>
        </w:rPr>
        <w:t xml:space="preserve">number of people in the sentenced prison population </w:t>
      </w:r>
      <w:r w:rsidR="003305CA" w:rsidRPr="004F1E96">
        <w:rPr>
          <w:rFonts w:cs="Readex Pro"/>
          <w:sz w:val="20"/>
          <w:szCs w:val="20"/>
        </w:rPr>
        <w:t>is only 3% higher</w:t>
      </w:r>
      <w:r w:rsidR="00384201" w:rsidRPr="004F1E96">
        <w:rPr>
          <w:rFonts w:cs="Readex Pro"/>
          <w:sz w:val="20"/>
          <w:szCs w:val="20"/>
        </w:rPr>
        <w:t>.</w:t>
      </w:r>
      <w:bookmarkStart w:id="72" w:name="_Ref207124094"/>
      <w:r w:rsidR="00384201" w:rsidRPr="004F1E96">
        <w:rPr>
          <w:rFonts w:cs="Readex Pro"/>
          <w:sz w:val="20"/>
          <w:szCs w:val="20"/>
          <w:vertAlign w:val="superscript"/>
        </w:rPr>
        <w:footnoteReference w:id="95"/>
      </w:r>
      <w:bookmarkEnd w:id="72"/>
      <w:r w:rsidR="00384201" w:rsidRPr="004F1E96">
        <w:rPr>
          <w:rFonts w:cs="Readex Pro"/>
          <w:sz w:val="20"/>
          <w:szCs w:val="20"/>
        </w:rPr>
        <w:t xml:space="preserve"> </w:t>
      </w:r>
      <w:r w:rsidR="003201D2" w:rsidRPr="004F1E96">
        <w:rPr>
          <w:rFonts w:cs="Readex Pro"/>
          <w:sz w:val="20"/>
          <w:szCs w:val="20"/>
        </w:rPr>
        <w:t>T</w:t>
      </w:r>
      <w:r w:rsidR="00384201" w:rsidRPr="004F1E96">
        <w:rPr>
          <w:rFonts w:cs="Readex Pro"/>
          <w:sz w:val="20"/>
          <w:szCs w:val="20"/>
        </w:rPr>
        <w:t>he unsentenced imprisonment rate (per 100,000 adults)</w:t>
      </w:r>
      <w:r w:rsidR="003201D2" w:rsidRPr="004F1E96">
        <w:rPr>
          <w:rFonts w:cs="Readex Pro"/>
          <w:sz w:val="20"/>
          <w:szCs w:val="20"/>
        </w:rPr>
        <w:t xml:space="preserve"> is 71.3%</w:t>
      </w:r>
      <w:r w:rsidR="00B959EE" w:rsidRPr="004F1E96">
        <w:rPr>
          <w:rFonts w:cs="Readex Pro"/>
          <w:sz w:val="20"/>
          <w:szCs w:val="20"/>
        </w:rPr>
        <w:t xml:space="preserve"> higher in the first quarter of 2025 </w:t>
      </w:r>
      <w:r w:rsidR="00375620" w:rsidRPr="004F1E96">
        <w:rPr>
          <w:rFonts w:cs="Readex Pro"/>
          <w:sz w:val="20"/>
          <w:szCs w:val="20"/>
        </w:rPr>
        <w:t>than in</w:t>
      </w:r>
      <w:r w:rsidR="000F27AA" w:rsidRPr="004F1E96">
        <w:rPr>
          <w:rFonts w:cs="Readex Pro"/>
          <w:sz w:val="20"/>
          <w:szCs w:val="20"/>
        </w:rPr>
        <w:t xml:space="preserve"> </w:t>
      </w:r>
      <w:r w:rsidR="00B959EE" w:rsidRPr="004F1E96">
        <w:rPr>
          <w:rFonts w:cs="Readex Pro"/>
          <w:sz w:val="20"/>
          <w:szCs w:val="20"/>
        </w:rPr>
        <w:t xml:space="preserve">the first quarter of 2015, </w:t>
      </w:r>
      <w:r w:rsidR="004F1E96" w:rsidRPr="004F1E96">
        <w:rPr>
          <w:rFonts w:cs="Readex Pro"/>
          <w:sz w:val="20"/>
          <w:szCs w:val="20"/>
        </w:rPr>
        <w:t>while</w:t>
      </w:r>
      <w:r w:rsidR="00384201" w:rsidRPr="00384201">
        <w:rPr>
          <w:rFonts w:cs="Readex Pro"/>
          <w:sz w:val="20"/>
          <w:szCs w:val="20"/>
        </w:rPr>
        <w:t xml:space="preserve"> the sentenced </w:t>
      </w:r>
      <w:r w:rsidR="00B959EE">
        <w:rPr>
          <w:rFonts w:cs="Readex Pro"/>
          <w:sz w:val="20"/>
          <w:szCs w:val="20"/>
        </w:rPr>
        <w:t xml:space="preserve">imprisonment rate </w:t>
      </w:r>
      <w:r w:rsidR="007942F4">
        <w:rPr>
          <w:rFonts w:cs="Readex Pro"/>
          <w:sz w:val="20"/>
          <w:szCs w:val="20"/>
        </w:rPr>
        <w:t xml:space="preserve">in the first quarter of 2025 </w:t>
      </w:r>
      <w:r w:rsidR="00854F55">
        <w:rPr>
          <w:rFonts w:cs="Readex Pro"/>
          <w:sz w:val="20"/>
          <w:szCs w:val="20"/>
        </w:rPr>
        <w:t xml:space="preserve">is </w:t>
      </w:r>
      <w:r w:rsidR="007942F4">
        <w:rPr>
          <w:rFonts w:cs="Readex Pro"/>
          <w:sz w:val="20"/>
          <w:szCs w:val="20"/>
        </w:rPr>
        <w:t xml:space="preserve">now </w:t>
      </w:r>
      <w:r w:rsidR="00854F55">
        <w:rPr>
          <w:rFonts w:cs="Readex Pro"/>
          <w:sz w:val="20"/>
          <w:szCs w:val="20"/>
        </w:rPr>
        <w:t xml:space="preserve">12.2% lower </w:t>
      </w:r>
      <w:r w:rsidR="007942F4">
        <w:rPr>
          <w:rFonts w:cs="Readex Pro"/>
          <w:sz w:val="20"/>
          <w:szCs w:val="20"/>
        </w:rPr>
        <w:t>than in the first quarter of 2015</w:t>
      </w:r>
      <w:r w:rsidR="00384201" w:rsidRPr="00384201">
        <w:rPr>
          <w:rFonts w:cs="Readex Pro"/>
          <w:sz w:val="20"/>
          <w:szCs w:val="20"/>
        </w:rPr>
        <w:t>.</w:t>
      </w:r>
      <w:r w:rsidR="00384201" w:rsidRPr="00384201">
        <w:rPr>
          <w:rFonts w:cs="Readex Pro"/>
          <w:sz w:val="20"/>
          <w:szCs w:val="20"/>
          <w:vertAlign w:val="superscript"/>
        </w:rPr>
        <w:footnoteReference w:id="96"/>
      </w:r>
    </w:p>
    <w:p w14:paraId="57E73382" w14:textId="77777777" w:rsidR="00384201" w:rsidRPr="004156D6" w:rsidRDefault="00384201" w:rsidP="008E32BB">
      <w:pPr>
        <w:pStyle w:val="Heading4"/>
        <w:rPr>
          <w:b/>
          <w:bCs/>
        </w:rPr>
      </w:pPr>
      <w:r w:rsidRPr="004156D6">
        <w:rPr>
          <w:b/>
          <w:bCs/>
        </w:rPr>
        <w:t>Bail laws as a notable cause</w:t>
      </w:r>
    </w:p>
    <w:p w14:paraId="5BAFF95C" w14:textId="5E9CD579" w:rsidR="00384201" w:rsidRPr="00951031" w:rsidRDefault="00890FF4" w:rsidP="00384201">
      <w:pPr>
        <w:rPr>
          <w:rFonts w:cs="Readex Pro"/>
          <w:sz w:val="20"/>
          <w:szCs w:val="20"/>
        </w:rPr>
      </w:pPr>
      <w:r>
        <w:rPr>
          <w:rFonts w:cs="Readex Pro"/>
          <w:sz w:val="20"/>
          <w:szCs w:val="20"/>
        </w:rPr>
        <w:t>In recent decades</w:t>
      </w:r>
      <w:r w:rsidR="00384201" w:rsidRPr="00384201">
        <w:rPr>
          <w:rFonts w:cs="Readex Pro"/>
          <w:sz w:val="20"/>
          <w:szCs w:val="20"/>
        </w:rPr>
        <w:t xml:space="preserve">, increasingly restrictive bail laws across all jurisdictions have contributed to significantly higher </w:t>
      </w:r>
      <w:r w:rsidR="00384201" w:rsidRPr="00951031">
        <w:rPr>
          <w:rFonts w:cs="Readex Pro"/>
          <w:sz w:val="20"/>
          <w:szCs w:val="20"/>
        </w:rPr>
        <w:t>rates of people being denied bail and the use of remand.</w:t>
      </w:r>
      <w:r w:rsidR="00384201" w:rsidRPr="00951031">
        <w:rPr>
          <w:rFonts w:cs="Readex Pro"/>
          <w:sz w:val="20"/>
          <w:szCs w:val="20"/>
          <w:vertAlign w:val="superscript"/>
        </w:rPr>
        <w:footnoteReference w:id="97"/>
      </w:r>
      <w:r w:rsidR="00384201" w:rsidRPr="00951031">
        <w:rPr>
          <w:rFonts w:cs="Readex Pro"/>
          <w:sz w:val="20"/>
          <w:szCs w:val="20"/>
        </w:rPr>
        <w:t xml:space="preserve"> This as a result has materially impacted the size of custodial populations.</w:t>
      </w:r>
    </w:p>
    <w:p w14:paraId="08FE3749" w14:textId="12D68163" w:rsidR="00384201" w:rsidRPr="00951031" w:rsidRDefault="00384201" w:rsidP="00384201">
      <w:pPr>
        <w:rPr>
          <w:rFonts w:cs="Readex Pro"/>
          <w:sz w:val="20"/>
          <w:szCs w:val="20"/>
        </w:rPr>
      </w:pPr>
      <w:r w:rsidRPr="00951031">
        <w:rPr>
          <w:rFonts w:cs="Readex Pro"/>
          <w:sz w:val="20"/>
          <w:szCs w:val="20"/>
        </w:rPr>
        <w:t>Stricter bail laws and conditions can often result in more people being remanded in custody for reasons of disadvantage, who might otherwise be eligible for bail if suitable community-based alternatives including housing, support services and appropriate diversionary programs were available.</w:t>
      </w:r>
      <w:bookmarkStart w:id="73" w:name="_Ref207119832"/>
      <w:r w:rsidRPr="00951031">
        <w:rPr>
          <w:rFonts w:cs="Readex Pro"/>
          <w:sz w:val="20"/>
          <w:szCs w:val="20"/>
          <w:vertAlign w:val="superscript"/>
        </w:rPr>
        <w:footnoteReference w:id="98"/>
      </w:r>
      <w:bookmarkEnd w:id="73"/>
      <w:r w:rsidRPr="00951031">
        <w:rPr>
          <w:rFonts w:cs="Readex Pro"/>
          <w:sz w:val="20"/>
          <w:szCs w:val="20"/>
        </w:rPr>
        <w:t xml:space="preserve"> This is reflected in the </w:t>
      </w:r>
      <w:r w:rsidR="00AE3ABA" w:rsidRPr="00951031">
        <w:rPr>
          <w:rFonts w:cs="Readex Pro"/>
          <w:sz w:val="20"/>
          <w:szCs w:val="20"/>
        </w:rPr>
        <w:lastRenderedPageBreak/>
        <w:t xml:space="preserve">high </w:t>
      </w:r>
      <w:r w:rsidRPr="00951031">
        <w:rPr>
          <w:rFonts w:cs="Readex Pro"/>
          <w:sz w:val="20"/>
          <w:szCs w:val="20"/>
        </w:rPr>
        <w:t>representation of people with vulnerabilities such as mental illness, homelessness, drug and alcohol use and/or cognitive impairment among those refused bail.</w:t>
      </w:r>
      <w:r w:rsidRPr="00951031">
        <w:rPr>
          <w:rFonts w:cs="Readex Pro"/>
          <w:sz w:val="20"/>
          <w:szCs w:val="20"/>
          <w:vertAlign w:val="superscript"/>
        </w:rPr>
        <w:footnoteReference w:id="99"/>
      </w:r>
    </w:p>
    <w:p w14:paraId="1B9B9E79" w14:textId="77777777" w:rsidR="00384201" w:rsidRPr="00384201" w:rsidRDefault="00384201" w:rsidP="00384201">
      <w:pPr>
        <w:rPr>
          <w:rFonts w:cs="Readex Pro"/>
          <w:sz w:val="20"/>
          <w:szCs w:val="20"/>
        </w:rPr>
      </w:pPr>
      <w:r w:rsidRPr="00951031">
        <w:rPr>
          <w:rFonts w:cs="Readex Pro"/>
          <w:sz w:val="20"/>
          <w:szCs w:val="20"/>
        </w:rPr>
        <w:t xml:space="preserve">People with significant mental health disorders or illness, or other cognitive disability, are more likely to be subject to arrest than the </w:t>
      </w:r>
      <w:proofErr w:type="gramStart"/>
      <w:r w:rsidRPr="00951031">
        <w:rPr>
          <w:rFonts w:cs="Readex Pro"/>
          <w:sz w:val="20"/>
          <w:szCs w:val="20"/>
        </w:rPr>
        <w:t>general public</w:t>
      </w:r>
      <w:proofErr w:type="gramEnd"/>
      <w:r w:rsidRPr="00951031">
        <w:rPr>
          <w:rFonts w:cs="Readex Pro"/>
          <w:sz w:val="20"/>
          <w:szCs w:val="20"/>
        </w:rPr>
        <w:t xml:space="preserve"> population. They may also be less able to exercise their rights in applying for bail, and without proper supports are more likely to be refused bail.</w:t>
      </w:r>
      <w:r w:rsidRPr="00951031">
        <w:rPr>
          <w:rFonts w:cs="Readex Pro"/>
          <w:sz w:val="20"/>
          <w:szCs w:val="20"/>
          <w:vertAlign w:val="superscript"/>
        </w:rPr>
        <w:footnoteReference w:id="100"/>
      </w:r>
      <w:r w:rsidRPr="00951031">
        <w:rPr>
          <w:rFonts w:cs="Readex Pro"/>
          <w:sz w:val="20"/>
          <w:szCs w:val="20"/>
        </w:rPr>
        <w:t xml:space="preserve"> Refusal of bail for this cohort</w:t>
      </w:r>
      <w:r w:rsidRPr="00384201">
        <w:rPr>
          <w:rFonts w:cs="Readex Pro"/>
          <w:sz w:val="20"/>
          <w:szCs w:val="20"/>
        </w:rPr>
        <w:t xml:space="preserve"> may also amount to a criminal justice system response to the management of risks more properly dealt with as a health matter.</w:t>
      </w:r>
      <w:r w:rsidRPr="00384201">
        <w:rPr>
          <w:rFonts w:cs="Readex Pro"/>
          <w:sz w:val="20"/>
          <w:szCs w:val="20"/>
          <w:vertAlign w:val="superscript"/>
        </w:rPr>
        <w:footnoteReference w:id="101"/>
      </w:r>
    </w:p>
    <w:p w14:paraId="3C1B4F37" w14:textId="77777777" w:rsidR="00384201" w:rsidRPr="004156D6" w:rsidRDefault="00384201" w:rsidP="008E32BB">
      <w:pPr>
        <w:pStyle w:val="Heading4"/>
        <w:rPr>
          <w:b/>
          <w:bCs/>
        </w:rPr>
      </w:pPr>
      <w:r w:rsidRPr="004156D6">
        <w:rPr>
          <w:b/>
          <w:bCs/>
        </w:rPr>
        <w:t>Consequences of population pressures</w:t>
      </w:r>
    </w:p>
    <w:p w14:paraId="7EBAC0DA" w14:textId="5C67D39D" w:rsidR="00384201" w:rsidRPr="00384201" w:rsidRDefault="00384201" w:rsidP="00384201">
      <w:pPr>
        <w:rPr>
          <w:rFonts w:cs="Readex Pro"/>
          <w:sz w:val="20"/>
          <w:szCs w:val="20"/>
        </w:rPr>
      </w:pPr>
      <w:r w:rsidRPr="00384201">
        <w:rPr>
          <w:rFonts w:cs="Readex Pro"/>
          <w:sz w:val="20"/>
          <w:szCs w:val="20"/>
        </w:rPr>
        <w:t>Increases in adult custodial populations have in some cases placed remand facilities under immense pressure, including leading to overcrowding, increased lockdowns, and deterioration in conditions.</w:t>
      </w:r>
      <w:r w:rsidRPr="00384201">
        <w:rPr>
          <w:rFonts w:cs="Readex Pro"/>
          <w:sz w:val="20"/>
          <w:szCs w:val="20"/>
          <w:vertAlign w:val="superscript"/>
        </w:rPr>
        <w:footnoteReference w:id="102"/>
      </w:r>
      <w:r w:rsidRPr="00384201">
        <w:rPr>
          <w:rFonts w:cs="Readex Pro"/>
          <w:sz w:val="20"/>
          <w:szCs w:val="20"/>
        </w:rPr>
        <w:t xml:space="preserve"> There is also evidence to suggest remand, even for short periods, contributes to future offending.</w:t>
      </w:r>
      <w:r w:rsidRPr="00384201">
        <w:rPr>
          <w:rFonts w:cs="Readex Pro"/>
          <w:sz w:val="20"/>
          <w:szCs w:val="20"/>
          <w:vertAlign w:val="superscript"/>
        </w:rPr>
        <w:footnoteReference w:id="103"/>
      </w:r>
    </w:p>
    <w:p w14:paraId="5D855D29" w14:textId="2E6B211B" w:rsidR="00384201" w:rsidRDefault="00384201" w:rsidP="00384201">
      <w:pPr>
        <w:rPr>
          <w:rFonts w:cs="Readex Pro"/>
          <w:sz w:val="20"/>
          <w:szCs w:val="20"/>
        </w:rPr>
      </w:pPr>
      <w:r w:rsidRPr="00384201">
        <w:rPr>
          <w:rFonts w:cs="Readex Pro"/>
          <w:sz w:val="20"/>
          <w:szCs w:val="20"/>
        </w:rPr>
        <w:t>In custody, unsentenced and sentenced people are sometimes detained together,</w:t>
      </w:r>
      <w:r w:rsidRPr="00384201">
        <w:rPr>
          <w:rFonts w:cs="Readex Pro"/>
          <w:sz w:val="20"/>
          <w:szCs w:val="20"/>
          <w:vertAlign w:val="superscript"/>
        </w:rPr>
        <w:footnoteReference w:id="104"/>
      </w:r>
      <w:r w:rsidRPr="00384201">
        <w:rPr>
          <w:rFonts w:cs="Readex Pro"/>
          <w:sz w:val="20"/>
          <w:szCs w:val="20"/>
        </w:rPr>
        <w:t xml:space="preserve"> and in some cases there may be minimal differences in treatment and conditions for the cohorts.</w:t>
      </w:r>
      <w:r w:rsidRPr="00384201">
        <w:rPr>
          <w:rFonts w:cs="Readex Pro"/>
          <w:sz w:val="20"/>
          <w:szCs w:val="20"/>
          <w:vertAlign w:val="superscript"/>
        </w:rPr>
        <w:footnoteReference w:id="105"/>
      </w:r>
      <w:r w:rsidRPr="00384201">
        <w:rPr>
          <w:rFonts w:cs="Readex Pro"/>
          <w:sz w:val="20"/>
          <w:szCs w:val="20"/>
        </w:rPr>
        <w:t xml:space="preserve"> People on remand are also typically held in high-security custodial environments, with limited (if any) access to programs and services</w:t>
      </w:r>
      <w:r w:rsidR="003B4AE6">
        <w:rPr>
          <w:rFonts w:cs="Readex Pro"/>
          <w:sz w:val="20"/>
          <w:szCs w:val="20"/>
        </w:rPr>
        <w:t xml:space="preserve"> – </w:t>
      </w:r>
      <w:r w:rsidR="00330CB0">
        <w:rPr>
          <w:rFonts w:cs="Readex Pro"/>
          <w:sz w:val="20"/>
          <w:szCs w:val="20"/>
        </w:rPr>
        <w:t>this is</w:t>
      </w:r>
      <w:r w:rsidR="003B4AE6">
        <w:rPr>
          <w:rFonts w:cs="Readex Pro"/>
          <w:sz w:val="20"/>
          <w:szCs w:val="20"/>
        </w:rPr>
        <w:t xml:space="preserve"> </w:t>
      </w:r>
      <w:r w:rsidRPr="00384201">
        <w:rPr>
          <w:rFonts w:cs="Readex Pro"/>
          <w:sz w:val="20"/>
          <w:szCs w:val="20"/>
        </w:rPr>
        <w:t>of particular concern when people spend an average of 6 months on remand.</w:t>
      </w:r>
      <w:r w:rsidRPr="00384201">
        <w:rPr>
          <w:rFonts w:cs="Readex Pro"/>
          <w:sz w:val="20"/>
          <w:szCs w:val="20"/>
          <w:vertAlign w:val="superscript"/>
        </w:rPr>
        <w:footnoteReference w:id="106"/>
      </w:r>
      <w:r w:rsidRPr="00384201">
        <w:rPr>
          <w:rFonts w:cs="Readex Pro"/>
          <w:sz w:val="20"/>
          <w:szCs w:val="20"/>
        </w:rPr>
        <w:t xml:space="preserve"> </w:t>
      </w:r>
      <w:r w:rsidR="003B4AE6">
        <w:rPr>
          <w:rFonts w:cs="Readex Pro"/>
          <w:sz w:val="20"/>
          <w:szCs w:val="20"/>
        </w:rPr>
        <w:t>ACT OICS</w:t>
      </w:r>
      <w:r w:rsidRPr="00384201">
        <w:rPr>
          <w:rFonts w:cs="Readex Pro"/>
          <w:sz w:val="20"/>
          <w:szCs w:val="20"/>
        </w:rPr>
        <w:t xml:space="preserve"> has observed the needs of people on remand for access to legal representation are not given any priority status, nor are they afforded additional visits or longer phone calls.</w:t>
      </w:r>
      <w:r w:rsidRPr="00384201">
        <w:rPr>
          <w:rFonts w:cs="Readex Pro"/>
          <w:sz w:val="20"/>
          <w:szCs w:val="20"/>
          <w:vertAlign w:val="superscript"/>
        </w:rPr>
        <w:footnoteReference w:id="107"/>
      </w:r>
    </w:p>
    <w:p w14:paraId="6053D25F" w14:textId="1B5EE4DE" w:rsidR="00384201" w:rsidRPr="00384201" w:rsidRDefault="00384201" w:rsidP="00384201">
      <w:pPr>
        <w:rPr>
          <w:rFonts w:cs="Readex Pro"/>
          <w:sz w:val="20"/>
          <w:szCs w:val="20"/>
        </w:rPr>
      </w:pPr>
      <w:r w:rsidRPr="00384201">
        <w:rPr>
          <w:rFonts w:cs="Readex Pro"/>
          <w:sz w:val="20"/>
          <w:szCs w:val="20"/>
        </w:rPr>
        <w:t>In WA adult prison population increases, driven largely by increases in the unsentenced population, have placed significant strain not only on remand facilities, but most adult facilities across the state, as resources and staffing levels had not increased in proportion to the rapid population growth.</w:t>
      </w:r>
      <w:r w:rsidRPr="00384201">
        <w:rPr>
          <w:rFonts w:cs="Readex Pro"/>
          <w:sz w:val="20"/>
          <w:szCs w:val="20"/>
          <w:vertAlign w:val="superscript"/>
        </w:rPr>
        <w:footnoteReference w:id="108"/>
      </w:r>
      <w:r w:rsidRPr="00384201">
        <w:rPr>
          <w:rFonts w:cs="Readex Pro"/>
          <w:sz w:val="20"/>
          <w:szCs w:val="20"/>
        </w:rPr>
        <w:t xml:space="preserve"> In WA’s 2 primary adult remand facilities, population pressures were resulting in more lockdowns and a deterioration of conditions. There was also a notable increase in numbers of unsentenced people held in sentenced prisons.</w:t>
      </w:r>
      <w:r w:rsidRPr="00384201">
        <w:rPr>
          <w:rFonts w:cs="Readex Pro"/>
          <w:sz w:val="20"/>
          <w:szCs w:val="20"/>
          <w:vertAlign w:val="superscript"/>
        </w:rPr>
        <w:footnoteReference w:id="109"/>
      </w:r>
      <w:r w:rsidRPr="00384201">
        <w:rPr>
          <w:rFonts w:cs="Readex Pro"/>
          <w:sz w:val="20"/>
          <w:szCs w:val="20"/>
          <w:vertAlign w:val="superscript"/>
        </w:rPr>
        <w:t xml:space="preserve"> </w:t>
      </w:r>
      <w:r w:rsidRPr="00384201">
        <w:rPr>
          <w:rFonts w:cs="Readex Pro"/>
          <w:sz w:val="20"/>
          <w:szCs w:val="20"/>
        </w:rPr>
        <w:t xml:space="preserve">WA OICS also </w:t>
      </w:r>
      <w:r w:rsidR="00E92074">
        <w:rPr>
          <w:rFonts w:cs="Readex Pro"/>
          <w:sz w:val="20"/>
          <w:szCs w:val="20"/>
        </w:rPr>
        <w:t>saw</w:t>
      </w:r>
      <w:r w:rsidRPr="00384201">
        <w:rPr>
          <w:rFonts w:cs="Readex Pro"/>
          <w:sz w:val="20"/>
          <w:szCs w:val="20"/>
        </w:rPr>
        <w:t xml:space="preserve"> population pressures result</w:t>
      </w:r>
      <w:r w:rsidR="00E92074">
        <w:rPr>
          <w:rFonts w:cs="Readex Pro"/>
          <w:sz w:val="20"/>
          <w:szCs w:val="20"/>
        </w:rPr>
        <w:t>ing</w:t>
      </w:r>
      <w:r w:rsidRPr="00384201">
        <w:rPr>
          <w:rFonts w:cs="Readex Pro"/>
          <w:sz w:val="20"/>
          <w:szCs w:val="20"/>
        </w:rPr>
        <w:t xml:space="preserve"> in more Aboriginal and Torres Strait Islander people being held in facilities off Country, away from family and culture. Maintaining connection to family, kinship and culture is integral to the emotional and social wellbeing of Aboriginal and Torres Strait islander people.</w:t>
      </w:r>
      <w:r w:rsidRPr="00384201">
        <w:rPr>
          <w:rFonts w:cs="Readex Pro"/>
          <w:sz w:val="20"/>
          <w:szCs w:val="20"/>
          <w:vertAlign w:val="superscript"/>
        </w:rPr>
        <w:footnoteReference w:id="110"/>
      </w:r>
    </w:p>
    <w:p w14:paraId="355AAB00" w14:textId="2B634B25" w:rsidR="0056787F" w:rsidRDefault="00384201" w:rsidP="00AD0E4A">
      <w:pPr>
        <w:rPr>
          <w:rFonts w:cs="Readex Pro"/>
          <w:sz w:val="20"/>
          <w:szCs w:val="20"/>
        </w:rPr>
      </w:pPr>
      <w:r w:rsidRPr="00E01D9F">
        <w:rPr>
          <w:rFonts w:cs="Readex Pro"/>
          <w:sz w:val="20"/>
          <w:szCs w:val="20"/>
        </w:rPr>
        <w:t>In the NT, where more than 1% of the total population is currently incarcerated, the Corrections Commissioner recently stated lockdowns are occurring ‘across all of the [adult prison] facilities all of the time’, and half of the custodial population is on remand.</w:t>
      </w:r>
      <w:r w:rsidRPr="00E01D9F">
        <w:rPr>
          <w:rFonts w:cs="Readex Pro"/>
          <w:sz w:val="20"/>
          <w:szCs w:val="20"/>
          <w:vertAlign w:val="superscript"/>
        </w:rPr>
        <w:t xml:space="preserve"> </w:t>
      </w:r>
      <w:bookmarkStart w:id="74" w:name="_Ref207098994"/>
      <w:r w:rsidRPr="00E01D9F">
        <w:rPr>
          <w:rFonts w:cs="Readex Pro"/>
          <w:sz w:val="20"/>
          <w:szCs w:val="20"/>
          <w:vertAlign w:val="superscript"/>
        </w:rPr>
        <w:footnoteReference w:id="111"/>
      </w:r>
      <w:bookmarkEnd w:id="74"/>
      <w:r w:rsidRPr="00E01D9F">
        <w:rPr>
          <w:rFonts w:cs="Readex Pro"/>
          <w:sz w:val="20"/>
          <w:szCs w:val="20"/>
        </w:rPr>
        <w:t xml:space="preserve"> With the NT’s custodial facilities struggling to keep up with its rapidly increasing incarceration rate, people are increasingly being held in police watch houses for much longer than suitable. People detained in watch houses are unable to leave their cell and lights remain on 24 hours a day.</w:t>
      </w:r>
      <w:r w:rsidRPr="00E01D9F">
        <w:rPr>
          <w:rFonts w:cs="Readex Pro"/>
          <w:sz w:val="20"/>
          <w:szCs w:val="20"/>
          <w:vertAlign w:val="superscript"/>
        </w:rPr>
        <w:footnoteReference w:id="112"/>
      </w:r>
      <w:r w:rsidRPr="00E01D9F">
        <w:rPr>
          <w:rFonts w:cs="Readex Pro"/>
          <w:sz w:val="20"/>
          <w:szCs w:val="20"/>
        </w:rPr>
        <w:t xml:space="preserve"> A judge recently chose to suspend the prison sentence of a woman due in part to conditions they faced while held on remand at the Alice Springs Police Watch House, which the judge described as ‘disgusting’ and ‘inhuman’.</w:t>
      </w:r>
      <w:r w:rsidRPr="00E01D9F">
        <w:rPr>
          <w:rFonts w:cs="Readex Pro"/>
          <w:sz w:val="20"/>
          <w:szCs w:val="20"/>
          <w:vertAlign w:val="superscript"/>
        </w:rPr>
        <w:footnoteReference w:id="113"/>
      </w:r>
    </w:p>
    <w:tbl>
      <w:tblPr>
        <w:tblStyle w:val="GridTable4-Accent2"/>
        <w:tblpPr w:leftFromText="180" w:rightFromText="180" w:vertAnchor="text" w:horzAnchor="margin" w:tblpY="-17"/>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384201" w:rsidRPr="00EA1375" w14:paraId="423D6FD5" w14:textId="77777777" w:rsidTr="005A1F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70453BC5" w14:textId="5722987E" w:rsidR="00384201" w:rsidRPr="0013605E" w:rsidRDefault="003C7E7D" w:rsidP="0013605E">
            <w:pPr>
              <w:ind w:left="275"/>
              <w:rPr>
                <w:sz w:val="20"/>
                <w:szCs w:val="20"/>
              </w:rPr>
            </w:pPr>
            <w:r w:rsidRPr="001B7386">
              <w:rPr>
                <w:noProof/>
                <w:sz w:val="20"/>
                <w:szCs w:val="20"/>
              </w:rPr>
              <w:lastRenderedPageBreak/>
              <w:drawing>
                <wp:anchor distT="0" distB="0" distL="114300" distR="114300" simplePos="0" relativeHeight="251853824" behindDoc="1" locked="0" layoutInCell="1" allowOverlap="1" wp14:anchorId="49F80749" wp14:editId="4319BEA1">
                  <wp:simplePos x="0" y="0"/>
                  <wp:positionH relativeFrom="column">
                    <wp:posOffset>-277495</wp:posOffset>
                  </wp:positionH>
                  <wp:positionV relativeFrom="paragraph">
                    <wp:posOffset>58791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876017036"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384201" w:rsidRPr="001B7386">
              <w:rPr>
                <w:sz w:val="20"/>
                <w:szCs w:val="20"/>
              </w:rPr>
              <w:t>We suggest the Committee ask the state party to report on:</w:t>
            </w:r>
          </w:p>
          <w:p w14:paraId="2B12E602" w14:textId="4803DC2D" w:rsidR="00384201" w:rsidRPr="001B7386" w:rsidRDefault="00384201" w:rsidP="004541B6">
            <w:pPr>
              <w:pStyle w:val="ListParagraph"/>
              <w:numPr>
                <w:ilvl w:val="0"/>
                <w:numId w:val="13"/>
              </w:numPr>
              <w:rPr>
                <w:sz w:val="20"/>
                <w:szCs w:val="20"/>
              </w:rPr>
            </w:pPr>
            <w:r w:rsidRPr="001B7386">
              <w:rPr>
                <w:sz w:val="20"/>
                <w:szCs w:val="20"/>
              </w:rPr>
              <w:t>addressing the high and increasing numbers of unsentenced people being held in custody, including the impacts of bail law settings, as well as improving their conditions in custody</w:t>
            </w:r>
          </w:p>
          <w:p w14:paraId="0F0EB4DE" w14:textId="49CC9D8D" w:rsidR="00384201" w:rsidRPr="00544CFF" w:rsidRDefault="00384201" w:rsidP="004541B6">
            <w:pPr>
              <w:pStyle w:val="ListParagraph"/>
              <w:numPr>
                <w:ilvl w:val="0"/>
                <w:numId w:val="13"/>
              </w:numPr>
              <w:rPr>
                <w:b w:val="0"/>
                <w:bCs w:val="0"/>
              </w:rPr>
            </w:pPr>
            <w:r w:rsidRPr="001B7386">
              <w:rPr>
                <w:sz w:val="20"/>
                <w:szCs w:val="20"/>
              </w:rPr>
              <w:t xml:space="preserve">measures to reduce high populations in custodial environments generally, including </w:t>
            </w:r>
            <w:r w:rsidR="009A1768" w:rsidRPr="001B7386">
              <w:rPr>
                <w:sz w:val="20"/>
                <w:szCs w:val="20"/>
              </w:rPr>
              <w:t xml:space="preserve">the negative </w:t>
            </w:r>
            <w:r w:rsidRPr="001B7386">
              <w:rPr>
                <w:sz w:val="20"/>
                <w:szCs w:val="20"/>
              </w:rPr>
              <w:t>flow-on impacts on treatment and conditions.</w:t>
            </w:r>
          </w:p>
        </w:tc>
      </w:tr>
    </w:tbl>
    <w:p w14:paraId="0A81E464" w14:textId="145C40FD" w:rsidR="007F1E9F" w:rsidRPr="00B50F91" w:rsidRDefault="007F1E9F" w:rsidP="00B50F91">
      <w:pPr>
        <w:pStyle w:val="Heading3"/>
        <w:spacing w:before="120"/>
        <w:rPr>
          <w:color w:val="719243" w:themeColor="accent2"/>
        </w:rPr>
      </w:pPr>
      <w:bookmarkStart w:id="75" w:name="_Toc208584111"/>
      <w:r w:rsidRPr="00B50F91">
        <w:rPr>
          <w:color w:val="719243" w:themeColor="accent2"/>
        </w:rPr>
        <w:t>Detention of women (</w:t>
      </w:r>
      <w:bookmarkStart w:id="76" w:name="_Toc202978766"/>
      <w:r w:rsidRPr="00B50F91">
        <w:rPr>
          <w:color w:val="719243" w:themeColor="accent2"/>
        </w:rPr>
        <w:t>including Aboriginal and Torres Strait Islander women)</w:t>
      </w:r>
      <w:bookmarkEnd w:id="75"/>
      <w:bookmarkEnd w:id="76"/>
    </w:p>
    <w:p w14:paraId="0E70064C"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3423762B" w14:textId="4AFFDC69" w:rsidR="007F1E9F" w:rsidRPr="000C5456" w:rsidRDefault="007F1E9F" w:rsidP="00CB544D">
      <w:pPr>
        <w:rPr>
          <w:rFonts w:cs="Readex Pro"/>
          <w:sz w:val="20"/>
          <w:szCs w:val="20"/>
        </w:rPr>
      </w:pPr>
      <w:r w:rsidRPr="000C5456">
        <w:rPr>
          <w:rFonts w:cs="Readex Pro"/>
          <w:sz w:val="20"/>
          <w:szCs w:val="20"/>
        </w:rPr>
        <w:t xml:space="preserve">While women make up a small portion of </w:t>
      </w:r>
      <w:r w:rsidR="0021237B">
        <w:rPr>
          <w:rFonts w:cs="Readex Pro"/>
          <w:sz w:val="20"/>
          <w:szCs w:val="20"/>
        </w:rPr>
        <w:t>the</w:t>
      </w:r>
      <w:r w:rsidRPr="000C5456">
        <w:rPr>
          <w:rFonts w:cs="Readex Pro"/>
          <w:sz w:val="20"/>
          <w:szCs w:val="20"/>
        </w:rPr>
        <w:t xml:space="preserve"> custodial population, the incarceration rate of women is growing across Australia.</w:t>
      </w:r>
      <w:r w:rsidRPr="000C5456">
        <w:rPr>
          <w:rFonts w:cs="Readex Pro"/>
          <w:sz w:val="20"/>
          <w:szCs w:val="20"/>
          <w:vertAlign w:val="superscript"/>
        </w:rPr>
        <w:footnoteReference w:id="114"/>
      </w:r>
      <w:r w:rsidRPr="000C5456">
        <w:rPr>
          <w:rFonts w:cs="Readex Pro"/>
          <w:sz w:val="20"/>
          <w:szCs w:val="20"/>
        </w:rPr>
        <w:t xml:space="preserve"> Women, particularly those </w:t>
      </w:r>
      <w:r w:rsidR="00F033B0">
        <w:rPr>
          <w:rFonts w:cs="Readex Pro"/>
          <w:sz w:val="20"/>
          <w:szCs w:val="20"/>
        </w:rPr>
        <w:t>facing</w:t>
      </w:r>
      <w:r w:rsidRPr="000C5456">
        <w:rPr>
          <w:rFonts w:cs="Readex Pro"/>
          <w:sz w:val="20"/>
          <w:szCs w:val="20"/>
        </w:rPr>
        <w:t xml:space="preserve"> disadvantage such as homelessness, family or domestic violence and poverty as well as Aboriginal and Torres Strait Islander women, are also disproportionately impacted by stricter bail laws and a lack of community-based supports.</w:t>
      </w:r>
      <w:r w:rsidRPr="000C5456">
        <w:rPr>
          <w:rFonts w:cs="Readex Pro"/>
          <w:sz w:val="20"/>
          <w:szCs w:val="20"/>
          <w:vertAlign w:val="superscript"/>
        </w:rPr>
        <w:t xml:space="preserve"> </w:t>
      </w:r>
      <w:r w:rsidRPr="000C5456">
        <w:rPr>
          <w:rFonts w:cs="Readex Pro"/>
          <w:sz w:val="20"/>
          <w:szCs w:val="20"/>
          <w:vertAlign w:val="superscript"/>
        </w:rPr>
        <w:footnoteReference w:id="115"/>
      </w:r>
    </w:p>
    <w:p w14:paraId="74A8D783" w14:textId="1996EB6D" w:rsidR="007F1E9F" w:rsidRPr="000C5456" w:rsidRDefault="007F1E9F" w:rsidP="000C5456">
      <w:pPr>
        <w:rPr>
          <w:rFonts w:cs="Readex Pro"/>
          <w:sz w:val="20"/>
          <w:szCs w:val="20"/>
        </w:rPr>
      </w:pPr>
      <w:r w:rsidRPr="000C5456">
        <w:rPr>
          <w:rFonts w:cs="Readex Pro"/>
          <w:sz w:val="20"/>
          <w:szCs w:val="20"/>
        </w:rPr>
        <w:t>Aboriginal and Torres Strait Islander women are 27.6 times more likely to be imprisoned in Australia than non-Indigenous women.</w:t>
      </w:r>
      <w:r w:rsidRPr="000C5456">
        <w:rPr>
          <w:rFonts w:cs="Readex Pro"/>
          <w:sz w:val="20"/>
          <w:szCs w:val="20"/>
          <w:vertAlign w:val="superscript"/>
        </w:rPr>
        <w:footnoteReference w:id="116"/>
      </w:r>
      <w:r w:rsidRPr="000C5456">
        <w:rPr>
          <w:rFonts w:cs="Readex Pro"/>
          <w:sz w:val="20"/>
          <w:szCs w:val="20"/>
        </w:rPr>
        <w:t xml:space="preserve"> Moreover, in WA for example, more recent custodial population increases in unsentenced Aboriginal and Torres Strait Islander women (50%) have substantially outstripped those of non-Indigenous women (11.5%).</w:t>
      </w:r>
      <w:r w:rsidRPr="000C5456">
        <w:rPr>
          <w:rFonts w:cs="Readex Pro"/>
          <w:sz w:val="20"/>
          <w:szCs w:val="20"/>
          <w:vertAlign w:val="superscript"/>
        </w:rPr>
        <w:footnoteReference w:id="117"/>
      </w:r>
    </w:p>
    <w:p w14:paraId="225E717D" w14:textId="2F1BF40A" w:rsidR="007F1E9F" w:rsidRPr="000C5456" w:rsidRDefault="007F1E9F" w:rsidP="000C5456">
      <w:pPr>
        <w:rPr>
          <w:rFonts w:cs="Readex Pro"/>
          <w:sz w:val="20"/>
          <w:szCs w:val="20"/>
        </w:rPr>
      </w:pPr>
      <w:r w:rsidRPr="000C5456">
        <w:rPr>
          <w:rFonts w:cs="Readex Pro"/>
          <w:sz w:val="20"/>
          <w:szCs w:val="20"/>
        </w:rPr>
        <w:t xml:space="preserve">A review of the overrepresentation of Aboriginal and Torres Strait Islander people in the ACT criminal justice system identified </w:t>
      </w:r>
      <w:r w:rsidR="0021237B" w:rsidRPr="000C5456">
        <w:rPr>
          <w:rFonts w:cs="Readex Pro"/>
          <w:sz w:val="20"/>
          <w:szCs w:val="20"/>
        </w:rPr>
        <w:t xml:space="preserve">remand </w:t>
      </w:r>
      <w:r w:rsidRPr="000C5456">
        <w:rPr>
          <w:rFonts w:cs="Readex Pro"/>
          <w:sz w:val="20"/>
          <w:szCs w:val="20"/>
        </w:rPr>
        <w:t>rates for Aboriginal and Torres Strait Islander women were particularly high, with stakeholders observing it was difficult for courts to ensure this group’s safety while on bail.</w:t>
      </w:r>
      <w:r w:rsidRPr="000C5456">
        <w:rPr>
          <w:rFonts w:cs="Readex Pro"/>
          <w:sz w:val="20"/>
          <w:szCs w:val="20"/>
          <w:vertAlign w:val="superscript"/>
        </w:rPr>
        <w:footnoteReference w:id="118"/>
      </w:r>
      <w:r w:rsidRPr="000C5456">
        <w:rPr>
          <w:rFonts w:cs="Readex Pro"/>
          <w:sz w:val="20"/>
          <w:szCs w:val="20"/>
        </w:rPr>
        <w:t xml:space="preserve"> Yet many women are denied bail and remanded in custody only to receive sentences of time served or less.</w:t>
      </w:r>
      <w:r w:rsidRPr="000C5456">
        <w:rPr>
          <w:rFonts w:cs="Readex Pro"/>
          <w:sz w:val="20"/>
          <w:szCs w:val="20"/>
          <w:vertAlign w:val="superscript"/>
        </w:rPr>
        <w:footnoteReference w:id="119"/>
      </w:r>
      <w:r w:rsidRPr="000C5456">
        <w:rPr>
          <w:rFonts w:cs="Readex Pro"/>
          <w:sz w:val="20"/>
          <w:szCs w:val="20"/>
        </w:rPr>
        <w:t xml:space="preserve"> There is also evidence to suggest that a significant portion of women are misidentified by police as primary aggressors rather than victims of family violence.</w:t>
      </w:r>
      <w:r w:rsidRPr="000C5456">
        <w:rPr>
          <w:rFonts w:cs="Readex Pro"/>
          <w:sz w:val="20"/>
          <w:szCs w:val="20"/>
          <w:vertAlign w:val="superscript"/>
        </w:rPr>
        <w:footnoteReference w:id="120"/>
      </w:r>
    </w:p>
    <w:p w14:paraId="7BA63C6C" w14:textId="60ECF7B3" w:rsidR="007F1E9F" w:rsidRPr="000C5456" w:rsidRDefault="007F1E9F" w:rsidP="000C5456">
      <w:pPr>
        <w:rPr>
          <w:rFonts w:cs="Readex Pro"/>
          <w:sz w:val="20"/>
          <w:szCs w:val="20"/>
        </w:rPr>
      </w:pPr>
      <w:r w:rsidRPr="000C5456">
        <w:rPr>
          <w:rFonts w:cs="Readex Pro"/>
          <w:sz w:val="20"/>
          <w:szCs w:val="20"/>
        </w:rPr>
        <w:t xml:space="preserve">Even short </w:t>
      </w:r>
      <w:r w:rsidR="00074B6A" w:rsidRPr="000C5456">
        <w:rPr>
          <w:rFonts w:cs="Readex Pro"/>
          <w:sz w:val="20"/>
          <w:szCs w:val="20"/>
        </w:rPr>
        <w:t xml:space="preserve">incarceration </w:t>
      </w:r>
      <w:r w:rsidRPr="000C5456">
        <w:rPr>
          <w:rFonts w:cs="Readex Pro"/>
          <w:sz w:val="20"/>
          <w:szCs w:val="20"/>
        </w:rPr>
        <w:t xml:space="preserve">periods </w:t>
      </w:r>
      <w:r w:rsidR="00884E8B">
        <w:rPr>
          <w:rFonts w:cs="Readex Pro"/>
          <w:sz w:val="20"/>
          <w:szCs w:val="20"/>
        </w:rPr>
        <w:t>like</w:t>
      </w:r>
      <w:r w:rsidRPr="000C5456">
        <w:rPr>
          <w:rFonts w:cs="Readex Pro"/>
          <w:sz w:val="20"/>
          <w:szCs w:val="20"/>
        </w:rPr>
        <w:t xml:space="preserve"> remand can result in women having their children removed and losing their home, job and connections with community.</w:t>
      </w:r>
      <w:r w:rsidRPr="000C5456">
        <w:rPr>
          <w:rFonts w:cs="Readex Pro"/>
          <w:sz w:val="20"/>
          <w:szCs w:val="20"/>
          <w:vertAlign w:val="superscript"/>
        </w:rPr>
        <w:footnoteReference w:id="121"/>
      </w:r>
      <w:r w:rsidRPr="000C5456">
        <w:rPr>
          <w:rFonts w:cs="Readex Pro"/>
          <w:sz w:val="20"/>
          <w:szCs w:val="20"/>
        </w:rPr>
        <w:t xml:space="preserve"> Many women in prison in Australia are mothers, and often the primary carer for their children.</w:t>
      </w:r>
      <w:r w:rsidRPr="000C5456">
        <w:rPr>
          <w:rFonts w:cs="Readex Pro"/>
          <w:sz w:val="20"/>
          <w:szCs w:val="20"/>
          <w:vertAlign w:val="superscript"/>
        </w:rPr>
        <w:footnoteReference w:id="122"/>
      </w:r>
      <w:r w:rsidRPr="000C5456">
        <w:rPr>
          <w:rFonts w:cs="Readex Pro"/>
          <w:sz w:val="20"/>
          <w:szCs w:val="20"/>
        </w:rPr>
        <w:t xml:space="preserve"> Parental incarceration can have severely detrimental impacts on children</w:t>
      </w:r>
      <w:r w:rsidR="00EC7814" w:rsidRPr="00EC7814">
        <w:rPr>
          <w:rFonts w:cs="Readex Pro"/>
          <w:sz w:val="20"/>
          <w:szCs w:val="20"/>
        </w:rPr>
        <w:t xml:space="preserve"> </w:t>
      </w:r>
      <w:r w:rsidR="00EC7814">
        <w:rPr>
          <w:rFonts w:cs="Readex Pro"/>
          <w:sz w:val="20"/>
          <w:szCs w:val="20"/>
        </w:rPr>
        <w:t>and young people</w:t>
      </w:r>
      <w:r w:rsidRPr="000C5456">
        <w:rPr>
          <w:rFonts w:cs="Readex Pro"/>
          <w:sz w:val="20"/>
          <w:szCs w:val="20"/>
        </w:rPr>
        <w:t>, and further entrench cycles of disadvantage and incarceration.</w:t>
      </w:r>
      <w:r w:rsidRPr="000C5456">
        <w:rPr>
          <w:rFonts w:cs="Readex Pro"/>
          <w:sz w:val="20"/>
          <w:szCs w:val="20"/>
          <w:vertAlign w:val="superscript"/>
        </w:rPr>
        <w:footnoteReference w:id="123"/>
      </w:r>
      <w:r w:rsidRPr="000C5456">
        <w:rPr>
          <w:rFonts w:cs="Readex Pro"/>
          <w:sz w:val="20"/>
          <w:szCs w:val="20"/>
        </w:rPr>
        <w:t xml:space="preserve"> The ACT NPM recently commented that pregnancy and primary carer duties should be a critical consideration in bail decisions, noting the detrimental impact time on remand has on parental relationships and increased risk</w:t>
      </w:r>
      <w:r w:rsidR="006135B2">
        <w:rPr>
          <w:rFonts w:cs="Readex Pro"/>
          <w:sz w:val="20"/>
          <w:szCs w:val="20"/>
        </w:rPr>
        <w:t>s</w:t>
      </w:r>
      <w:r w:rsidRPr="000C5456">
        <w:rPr>
          <w:rFonts w:cs="Readex Pro"/>
          <w:sz w:val="20"/>
          <w:szCs w:val="20"/>
        </w:rPr>
        <w:t xml:space="preserve"> of involvement with child protection services.</w:t>
      </w:r>
      <w:r w:rsidRPr="000C5456">
        <w:rPr>
          <w:rStyle w:val="FootnoteReference"/>
          <w:rFonts w:cs="Readex Pro"/>
          <w:sz w:val="20"/>
          <w:szCs w:val="20"/>
        </w:rPr>
        <w:footnoteReference w:id="124"/>
      </w:r>
    </w:p>
    <w:p w14:paraId="3C12728C" w14:textId="017325C2" w:rsidR="007F1E9F" w:rsidRPr="000F052B" w:rsidRDefault="007F1E9F" w:rsidP="00702839">
      <w:pPr>
        <w:rPr>
          <w:rFonts w:cs="Readex Pro"/>
          <w:sz w:val="20"/>
          <w:szCs w:val="20"/>
        </w:rPr>
      </w:pPr>
      <w:r w:rsidRPr="000C5456">
        <w:rPr>
          <w:rFonts w:cs="Readex Pro"/>
          <w:sz w:val="20"/>
          <w:szCs w:val="20"/>
        </w:rPr>
        <w:lastRenderedPageBreak/>
        <w:t>Once incarcerated, women are also further disadvantaged by a lack of women-specific programs and services, in a system largely designed to cater to men.</w:t>
      </w:r>
      <w:r w:rsidRPr="000C5456">
        <w:rPr>
          <w:rFonts w:cs="Readex Pro"/>
          <w:sz w:val="20"/>
          <w:szCs w:val="20"/>
          <w:vertAlign w:val="superscript"/>
        </w:rPr>
        <w:footnoteReference w:id="125"/>
      </w:r>
      <w:r w:rsidRPr="000C5456">
        <w:rPr>
          <w:rFonts w:cs="Readex Pro"/>
          <w:sz w:val="20"/>
          <w:szCs w:val="20"/>
        </w:rPr>
        <w:t xml:space="preserve"> The ACT for example lacks proper facilities and policies for detained people to care for babies and young children in custody.</w:t>
      </w:r>
      <w:r w:rsidRPr="000C5456">
        <w:rPr>
          <w:rFonts w:cs="Readex Pro"/>
          <w:sz w:val="20"/>
          <w:szCs w:val="20"/>
          <w:vertAlign w:val="superscript"/>
        </w:rPr>
        <w:footnoteReference w:id="126"/>
      </w:r>
      <w:r w:rsidRPr="000C5456">
        <w:rPr>
          <w:rFonts w:cs="Readex Pro"/>
          <w:sz w:val="20"/>
          <w:szCs w:val="20"/>
        </w:rPr>
        <w:t xml:space="preserve"> In Tasmania, there is no dedicated remand facility for women. The Tasmanian Custodial Inspector heard from women that </w:t>
      </w:r>
      <w:r w:rsidR="003B4AE6">
        <w:rPr>
          <w:rFonts w:cs="Readex Pro"/>
          <w:sz w:val="20"/>
          <w:szCs w:val="20"/>
        </w:rPr>
        <w:t>this</w:t>
      </w:r>
      <w:r w:rsidRPr="000C5456">
        <w:rPr>
          <w:rFonts w:cs="Readex Pro"/>
          <w:sz w:val="20"/>
          <w:szCs w:val="20"/>
        </w:rPr>
        <w:t xml:space="preserve"> felt discriminatory, particularly as a new remand facility was built for men.</w:t>
      </w:r>
      <w:r w:rsidRPr="000C5456">
        <w:rPr>
          <w:rFonts w:cs="Readex Pro"/>
          <w:sz w:val="20"/>
          <w:szCs w:val="20"/>
          <w:vertAlign w:val="superscript"/>
        </w:rPr>
        <w:footnoteReference w:id="127"/>
      </w:r>
      <w:r w:rsidRPr="000C5456">
        <w:rPr>
          <w:rFonts w:cs="Readex Pro"/>
          <w:sz w:val="20"/>
          <w:szCs w:val="20"/>
        </w:rPr>
        <w:t xml:space="preserve"> In early 2024, women at Greenough Regional Prison in WA were temporarily transferred to a metropolitan facility to make room for </w:t>
      </w:r>
      <w:r w:rsidR="003B4AE6">
        <w:rPr>
          <w:rFonts w:cs="Readex Pro"/>
          <w:sz w:val="20"/>
          <w:szCs w:val="20"/>
        </w:rPr>
        <w:t>men</w:t>
      </w:r>
      <w:r w:rsidRPr="000C5456">
        <w:rPr>
          <w:rFonts w:cs="Readex Pro"/>
          <w:sz w:val="20"/>
          <w:szCs w:val="20"/>
        </w:rPr>
        <w:t>, due to record rises in the statewide male prison population.</w:t>
      </w:r>
      <w:r w:rsidRPr="000C5456">
        <w:rPr>
          <w:rFonts w:cs="Readex Pro"/>
          <w:sz w:val="20"/>
          <w:szCs w:val="20"/>
          <w:vertAlign w:val="superscript"/>
        </w:rPr>
        <w:footnoteReference w:id="128"/>
      </w:r>
      <w:r w:rsidRPr="000C5456">
        <w:rPr>
          <w:rFonts w:cs="Readex Pro"/>
          <w:sz w:val="20"/>
          <w:szCs w:val="20"/>
        </w:rPr>
        <w:t xml:space="preserve"> On return these women were transferred to a different unit within the facility with less access to resources and programs.</w:t>
      </w:r>
      <w:r w:rsidRPr="000C5456">
        <w:rPr>
          <w:rFonts w:cs="Readex Pro"/>
          <w:sz w:val="20"/>
          <w:szCs w:val="20"/>
          <w:vertAlign w:val="superscript"/>
        </w:rPr>
        <w:footnoteReference w:id="129"/>
      </w:r>
      <w:r w:rsidRPr="000C5456">
        <w:rPr>
          <w:rFonts w:cs="Readex Pro"/>
          <w:sz w:val="20"/>
          <w:szCs w:val="20"/>
        </w:rPr>
        <w:t xml:space="preserve"> While in the NT, in late 2024 the women’s section of Alice Springs Correctional Centre was temporarily closed to make space for </w:t>
      </w:r>
      <w:r w:rsidR="003B4AE6">
        <w:rPr>
          <w:rFonts w:cs="Readex Pro"/>
          <w:sz w:val="20"/>
          <w:szCs w:val="20"/>
        </w:rPr>
        <w:t>men</w:t>
      </w:r>
      <w:r w:rsidRPr="000C5456">
        <w:rPr>
          <w:rFonts w:cs="Readex Pro"/>
          <w:sz w:val="20"/>
          <w:szCs w:val="20"/>
        </w:rPr>
        <w:t xml:space="preserve">, and the women were transferred to Darwin Correctional Centre or held in Alice </w:t>
      </w:r>
      <w:r w:rsidRPr="000F052B">
        <w:rPr>
          <w:rFonts w:cs="Readex Pro"/>
          <w:sz w:val="20"/>
          <w:szCs w:val="20"/>
        </w:rPr>
        <w:t>Springs watch house alongside men.</w:t>
      </w:r>
      <w:r w:rsidRPr="000F052B">
        <w:rPr>
          <w:rFonts w:cs="Readex Pro"/>
          <w:sz w:val="20"/>
          <w:szCs w:val="20"/>
          <w:vertAlign w:val="superscript"/>
        </w:rPr>
        <w:footnoteReference w:id="130"/>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0F052B" w14:paraId="01CF405A"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1AA878F" w14:textId="77777777" w:rsidR="007F1E9F" w:rsidRPr="0013605E" w:rsidRDefault="007F1E9F" w:rsidP="0013605E">
            <w:pPr>
              <w:ind w:left="275"/>
              <w:rPr>
                <w:sz w:val="20"/>
                <w:szCs w:val="20"/>
              </w:rPr>
            </w:pPr>
            <w:r w:rsidRPr="001B7386">
              <w:rPr>
                <w:noProof/>
                <w:sz w:val="20"/>
                <w:szCs w:val="20"/>
              </w:rPr>
              <w:drawing>
                <wp:anchor distT="0" distB="0" distL="114300" distR="114300" simplePos="0" relativeHeight="251846656" behindDoc="1" locked="0" layoutInCell="1" allowOverlap="1" wp14:anchorId="20B952B6" wp14:editId="2BAE12C2">
                  <wp:simplePos x="0" y="0"/>
                  <wp:positionH relativeFrom="column">
                    <wp:posOffset>-280035</wp:posOffset>
                  </wp:positionH>
                  <wp:positionV relativeFrom="paragraph">
                    <wp:posOffset>61331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371645142"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w:t>
            </w:r>
          </w:p>
          <w:p w14:paraId="3C815C1E" w14:textId="28B8428C" w:rsidR="000F052B" w:rsidRPr="001B7386" w:rsidRDefault="004B6685" w:rsidP="004541B6">
            <w:pPr>
              <w:pStyle w:val="ListParagraph"/>
              <w:numPr>
                <w:ilvl w:val="0"/>
                <w:numId w:val="14"/>
              </w:numPr>
              <w:rPr>
                <w:b w:val="0"/>
                <w:bCs w:val="0"/>
                <w:sz w:val="20"/>
                <w:szCs w:val="20"/>
              </w:rPr>
            </w:pPr>
            <w:r w:rsidRPr="001B7386">
              <w:rPr>
                <w:sz w:val="20"/>
                <w:szCs w:val="20"/>
              </w:rPr>
              <w:t xml:space="preserve">measures to </w:t>
            </w:r>
            <w:r w:rsidR="000F052B" w:rsidRPr="001B7386">
              <w:rPr>
                <w:sz w:val="20"/>
                <w:szCs w:val="20"/>
              </w:rPr>
              <w:t>improve tailored supports for women in custody, including those with caring responsibilities and Aboriginal and Torres Strait Islander women</w:t>
            </w:r>
          </w:p>
          <w:p w14:paraId="0340570F" w14:textId="680A5A76" w:rsidR="007F1E9F" w:rsidRPr="000F052B" w:rsidRDefault="000F052B" w:rsidP="004541B6">
            <w:pPr>
              <w:pStyle w:val="ListParagraph"/>
              <w:numPr>
                <w:ilvl w:val="0"/>
                <w:numId w:val="14"/>
              </w:numPr>
              <w:rPr>
                <w:b w:val="0"/>
                <w:bCs w:val="0"/>
              </w:rPr>
            </w:pPr>
            <w:r w:rsidRPr="001B7386">
              <w:rPr>
                <w:sz w:val="20"/>
                <w:szCs w:val="20"/>
              </w:rPr>
              <w:t xml:space="preserve">measures to reduce the use of custodial detention of women towards breaking a cycle of repeat detention, including </w:t>
            </w:r>
            <w:proofErr w:type="gramStart"/>
            <w:r w:rsidRPr="001B7386">
              <w:rPr>
                <w:sz w:val="20"/>
                <w:szCs w:val="20"/>
              </w:rPr>
              <w:t>in light of</w:t>
            </w:r>
            <w:proofErr w:type="gramEnd"/>
            <w:r w:rsidRPr="001B7386">
              <w:rPr>
                <w:sz w:val="20"/>
                <w:szCs w:val="20"/>
              </w:rPr>
              <w:t xml:space="preserve"> its flow-on impacts</w:t>
            </w:r>
            <w:r w:rsidR="007F1E9F" w:rsidRPr="001B7386">
              <w:rPr>
                <w:sz w:val="20"/>
                <w:szCs w:val="20"/>
              </w:rPr>
              <w:t>.</w:t>
            </w:r>
          </w:p>
        </w:tc>
      </w:tr>
    </w:tbl>
    <w:p w14:paraId="7409E369" w14:textId="77777777" w:rsidR="007F1E9F" w:rsidRPr="000F052B" w:rsidRDefault="007F1E9F" w:rsidP="00B50F91">
      <w:pPr>
        <w:pStyle w:val="Heading3"/>
        <w:spacing w:before="120"/>
        <w:rPr>
          <w:color w:val="719243" w:themeColor="accent2"/>
        </w:rPr>
      </w:pPr>
      <w:bookmarkStart w:id="77" w:name="_Toc208584112"/>
      <w:r w:rsidRPr="000F052B">
        <w:rPr>
          <w:color w:val="719243" w:themeColor="accent2"/>
        </w:rPr>
        <w:t>Access to healthcare and disability support in custody</w:t>
      </w:r>
      <w:bookmarkEnd w:id="77"/>
    </w:p>
    <w:p w14:paraId="7AAE4D2D" w14:textId="77777777" w:rsidR="009A1768" w:rsidRPr="000F052B" w:rsidRDefault="009A1768" w:rsidP="009A1768">
      <w:pPr>
        <w:rPr>
          <w:rFonts w:cs="Readex Pro"/>
          <w:b/>
          <w:bCs/>
          <w:i/>
          <w:iCs/>
          <w:sz w:val="20"/>
          <w:szCs w:val="20"/>
          <w:u w:val="single"/>
        </w:rPr>
      </w:pPr>
      <w:r w:rsidRPr="000F052B">
        <w:rPr>
          <w:rFonts w:cs="Readex Pro"/>
          <w:b/>
          <w:bCs/>
          <w:i/>
          <w:iCs/>
          <w:sz w:val="20"/>
          <w:szCs w:val="20"/>
          <w:u w:val="single"/>
        </w:rPr>
        <w:t>CAT Articles 2 and 16</w:t>
      </w:r>
    </w:p>
    <w:p w14:paraId="7C821DDF" w14:textId="6BD7CC4C" w:rsidR="007F1E9F" w:rsidRPr="00EA1375" w:rsidRDefault="007F1E9F" w:rsidP="00035846">
      <w:pPr>
        <w:rPr>
          <w:rFonts w:cs="Readex Pro"/>
          <w:sz w:val="20"/>
          <w:szCs w:val="20"/>
        </w:rPr>
      </w:pPr>
      <w:r w:rsidRPr="000F052B">
        <w:rPr>
          <w:rFonts w:cs="Readex Pro"/>
          <w:sz w:val="20"/>
          <w:szCs w:val="20"/>
        </w:rPr>
        <w:t>Issues exist with both access to healthcare and disability support in custodial environments, with consequent impacts on people</w:t>
      </w:r>
      <w:r w:rsidRPr="00EA1375">
        <w:rPr>
          <w:rFonts w:cs="Readex Pro"/>
          <w:sz w:val="20"/>
          <w:szCs w:val="20"/>
        </w:rPr>
        <w:t xml:space="preserve"> detained.</w:t>
      </w:r>
      <w:r w:rsidRPr="00EA1375">
        <w:rPr>
          <w:rStyle w:val="FootnoteReference"/>
          <w:rFonts w:cs="Readex Pro"/>
          <w:sz w:val="20"/>
          <w:szCs w:val="20"/>
        </w:rPr>
        <w:footnoteReference w:id="131"/>
      </w:r>
    </w:p>
    <w:p w14:paraId="26C10154" w14:textId="37CDAB4E" w:rsidR="007F1E9F" w:rsidRPr="00EA1375" w:rsidRDefault="007F1E9F" w:rsidP="00035846">
      <w:pPr>
        <w:spacing w:after="60"/>
        <w:rPr>
          <w:rFonts w:cs="Readex Pro"/>
          <w:sz w:val="20"/>
          <w:szCs w:val="20"/>
        </w:rPr>
      </w:pPr>
      <w:r w:rsidRPr="00EA1375">
        <w:rPr>
          <w:rFonts w:cs="Readex Pro"/>
          <w:sz w:val="20"/>
          <w:szCs w:val="20"/>
        </w:rPr>
        <w:t xml:space="preserve">Half of </w:t>
      </w:r>
      <w:r w:rsidR="00853F78">
        <w:rPr>
          <w:rFonts w:cs="Readex Pro"/>
          <w:sz w:val="20"/>
          <w:szCs w:val="20"/>
        </w:rPr>
        <w:t>those</w:t>
      </w:r>
      <w:r w:rsidRPr="00EA1375">
        <w:rPr>
          <w:rFonts w:cs="Readex Pro"/>
          <w:sz w:val="20"/>
          <w:szCs w:val="20"/>
        </w:rPr>
        <w:t xml:space="preserve"> entering prison in Australia report a chronic health condition.</w:t>
      </w:r>
      <w:r w:rsidRPr="00EA1375">
        <w:rPr>
          <w:rStyle w:val="FootnoteReference"/>
          <w:rFonts w:cs="Readex Pro"/>
          <w:sz w:val="20"/>
          <w:szCs w:val="20"/>
        </w:rPr>
        <w:footnoteReference w:id="132"/>
      </w:r>
      <w:r w:rsidRPr="00EA1375">
        <w:rPr>
          <w:rFonts w:cs="Readex Pro"/>
          <w:sz w:val="20"/>
          <w:szCs w:val="20"/>
        </w:rPr>
        <w:t xml:space="preserve"> Further, many enter prison with undiagnosed health conditions or needs. Yet shortcomings are impacting access to health services and positive health outcomes in custody in different parts of Australia, such as:</w:t>
      </w:r>
    </w:p>
    <w:p w14:paraId="555CBD2B" w14:textId="77777777" w:rsidR="007F1E9F" w:rsidRPr="00EA1375" w:rsidRDefault="007F1E9F" w:rsidP="004541B6">
      <w:pPr>
        <w:pStyle w:val="ListParagraph"/>
        <w:numPr>
          <w:ilvl w:val="0"/>
          <w:numId w:val="2"/>
        </w:numPr>
        <w:spacing w:before="60"/>
        <w:rPr>
          <w:rFonts w:cs="Readex Pro"/>
          <w:sz w:val="20"/>
          <w:szCs w:val="20"/>
        </w:rPr>
      </w:pPr>
      <w:r w:rsidRPr="00EA1375">
        <w:rPr>
          <w:rFonts w:cs="Readex Pro"/>
          <w:sz w:val="20"/>
          <w:szCs w:val="20"/>
        </w:rPr>
        <w:t>chronic shortages of psychiatry services</w:t>
      </w:r>
      <w:bookmarkStart w:id="78" w:name="_Ref207115651"/>
      <w:r w:rsidRPr="00EA1375">
        <w:rPr>
          <w:rStyle w:val="FootnoteReference"/>
          <w:rFonts w:cs="Readex Pro"/>
          <w:sz w:val="20"/>
          <w:szCs w:val="20"/>
        </w:rPr>
        <w:footnoteReference w:id="133"/>
      </w:r>
      <w:bookmarkEnd w:id="78"/>
    </w:p>
    <w:p w14:paraId="61D209AA" w14:textId="77777777" w:rsidR="007F1E9F" w:rsidRPr="00EA1375" w:rsidRDefault="007F1E9F" w:rsidP="004541B6">
      <w:pPr>
        <w:pStyle w:val="ListParagraph"/>
        <w:numPr>
          <w:ilvl w:val="0"/>
          <w:numId w:val="2"/>
        </w:numPr>
        <w:rPr>
          <w:rFonts w:cs="Readex Pro"/>
          <w:sz w:val="20"/>
          <w:szCs w:val="20"/>
        </w:rPr>
      </w:pPr>
      <w:r w:rsidRPr="00EA1375">
        <w:rPr>
          <w:rFonts w:cs="Readex Pro"/>
          <w:sz w:val="20"/>
          <w:szCs w:val="20"/>
        </w:rPr>
        <w:t>insufficient custodial staffing leading to people in custody being unable to attend healthcare centres or external medical appointments</w:t>
      </w:r>
      <w:r w:rsidRPr="00EA1375">
        <w:rPr>
          <w:rStyle w:val="FootnoteReference"/>
          <w:rFonts w:cs="Readex Pro"/>
          <w:sz w:val="20"/>
          <w:szCs w:val="20"/>
        </w:rPr>
        <w:footnoteReference w:id="134"/>
      </w:r>
    </w:p>
    <w:p w14:paraId="51C99FF0" w14:textId="50C560F1" w:rsidR="007F1E9F" w:rsidRPr="00EA1375" w:rsidRDefault="007F1E9F" w:rsidP="004541B6">
      <w:pPr>
        <w:pStyle w:val="ListParagraph"/>
        <w:numPr>
          <w:ilvl w:val="0"/>
          <w:numId w:val="2"/>
        </w:numPr>
        <w:rPr>
          <w:rFonts w:cs="Readex Pro"/>
          <w:sz w:val="20"/>
          <w:szCs w:val="20"/>
        </w:rPr>
      </w:pPr>
      <w:r w:rsidRPr="00EA1375">
        <w:rPr>
          <w:rFonts w:cs="Readex Pro"/>
          <w:sz w:val="20"/>
          <w:szCs w:val="20"/>
        </w:rPr>
        <w:t>healthcare provision to Aboriginal and Torres Strait Islander people in prisons not meeting their needs, and/or nor being culturally appropriate</w:t>
      </w:r>
      <w:r w:rsidRPr="00EA1375">
        <w:rPr>
          <w:rStyle w:val="FootnoteReference"/>
          <w:rFonts w:cs="Readex Pro"/>
          <w:sz w:val="20"/>
          <w:szCs w:val="20"/>
        </w:rPr>
        <w:footnoteReference w:id="135"/>
      </w:r>
    </w:p>
    <w:p w14:paraId="3F09AA95" w14:textId="77777777" w:rsidR="007F1E9F" w:rsidRDefault="007F1E9F" w:rsidP="004541B6">
      <w:pPr>
        <w:pStyle w:val="ListParagraph"/>
        <w:numPr>
          <w:ilvl w:val="0"/>
          <w:numId w:val="2"/>
        </w:numPr>
        <w:rPr>
          <w:rFonts w:cs="Readex Pro"/>
          <w:sz w:val="20"/>
          <w:szCs w:val="20"/>
        </w:rPr>
      </w:pPr>
      <w:r w:rsidRPr="00EA1375">
        <w:rPr>
          <w:rFonts w:cs="Readex Pro"/>
          <w:sz w:val="20"/>
          <w:szCs w:val="20"/>
        </w:rPr>
        <w:t>infrastructure shortcomings impacting therapeutic outcomes for people with mental health vulnerabilities</w:t>
      </w:r>
      <w:r w:rsidRPr="00EA1375">
        <w:rPr>
          <w:rStyle w:val="FootnoteReference"/>
          <w:rFonts w:cs="Readex Pro"/>
          <w:sz w:val="20"/>
          <w:szCs w:val="20"/>
        </w:rPr>
        <w:footnoteReference w:id="136"/>
      </w:r>
    </w:p>
    <w:p w14:paraId="70E1DB49" w14:textId="77777777" w:rsidR="007F1E9F" w:rsidRPr="00EA1375" w:rsidRDefault="007F1E9F" w:rsidP="004541B6">
      <w:pPr>
        <w:pStyle w:val="ListParagraph"/>
        <w:numPr>
          <w:ilvl w:val="0"/>
          <w:numId w:val="2"/>
        </w:numPr>
        <w:rPr>
          <w:rFonts w:cs="Readex Pro"/>
          <w:sz w:val="20"/>
          <w:szCs w:val="20"/>
        </w:rPr>
      </w:pPr>
      <w:r>
        <w:rPr>
          <w:rFonts w:cs="Readex Pro"/>
          <w:sz w:val="20"/>
          <w:szCs w:val="20"/>
        </w:rPr>
        <w:lastRenderedPageBreak/>
        <w:t>gaps in meeting women’s particular health and wellbeing needs due to workloads, limited cultural support and inadequate infrastructure.</w:t>
      </w:r>
      <w:r>
        <w:rPr>
          <w:rStyle w:val="FootnoteReference"/>
          <w:rFonts w:cs="Readex Pro"/>
          <w:sz w:val="20"/>
          <w:szCs w:val="20"/>
        </w:rPr>
        <w:footnoteReference w:id="137"/>
      </w:r>
    </w:p>
    <w:p w14:paraId="23A67276" w14:textId="090C0170" w:rsidR="007F1E9F" w:rsidRPr="00EA1375" w:rsidRDefault="007F1E9F" w:rsidP="00035846">
      <w:pPr>
        <w:rPr>
          <w:rFonts w:cs="Readex Pro"/>
          <w:sz w:val="20"/>
          <w:szCs w:val="20"/>
        </w:rPr>
      </w:pPr>
      <w:r w:rsidRPr="0026294C">
        <w:rPr>
          <w:rFonts w:cs="Readex Pro"/>
          <w:sz w:val="20"/>
          <w:szCs w:val="20"/>
        </w:rPr>
        <w:t xml:space="preserve">Further, people in custodial environments do not have access to Australia’s national, government-subsidised healthcare system, </w:t>
      </w:r>
      <w:r w:rsidRPr="0026294C">
        <w:rPr>
          <w:rFonts w:cs="Readex Pro"/>
          <w:i/>
          <w:iCs/>
          <w:sz w:val="20"/>
          <w:szCs w:val="20"/>
        </w:rPr>
        <w:t>Medicare</w:t>
      </w:r>
      <w:r w:rsidRPr="0026294C">
        <w:rPr>
          <w:rFonts w:cs="Readex Pro"/>
          <w:sz w:val="20"/>
          <w:szCs w:val="20"/>
        </w:rPr>
        <w:t>.</w:t>
      </w:r>
      <w:r w:rsidRPr="0026294C">
        <w:rPr>
          <w:rStyle w:val="FootnoteReference"/>
          <w:rFonts w:cs="Readex Pro"/>
          <w:sz w:val="20"/>
          <w:szCs w:val="20"/>
        </w:rPr>
        <w:footnoteReference w:id="138"/>
      </w:r>
      <w:r w:rsidRPr="0026294C">
        <w:rPr>
          <w:rFonts w:cs="Readex Pro"/>
          <w:sz w:val="20"/>
          <w:szCs w:val="20"/>
        </w:rPr>
        <w:t xml:space="preserve"> This is on the basis their healthcare needs are met by other means at a state and territory level. However, this can lead to disparities for people in custody, and can impact continuity of care including when transitioning out of custody back to the wider</w:t>
      </w:r>
      <w:r w:rsidRPr="00EA1375">
        <w:rPr>
          <w:rFonts w:cs="Readex Pro"/>
          <w:sz w:val="20"/>
          <w:szCs w:val="20"/>
        </w:rPr>
        <w:t xml:space="preserve"> community.</w:t>
      </w:r>
      <w:r w:rsidRPr="00EA1375">
        <w:rPr>
          <w:rStyle w:val="FootnoteReference"/>
          <w:rFonts w:cs="Readex Pro"/>
          <w:sz w:val="20"/>
          <w:szCs w:val="20"/>
        </w:rPr>
        <w:footnoteReference w:id="139"/>
      </w:r>
      <w:r w:rsidRPr="00EA1375">
        <w:rPr>
          <w:rFonts w:cs="Readex Pro"/>
          <w:sz w:val="20"/>
          <w:szCs w:val="20"/>
        </w:rPr>
        <w:t xml:space="preserve"> No access to </w:t>
      </w:r>
      <w:r w:rsidRPr="005B7757">
        <w:rPr>
          <w:rFonts w:cs="Readex Pro"/>
          <w:i/>
          <w:iCs/>
          <w:sz w:val="20"/>
          <w:szCs w:val="20"/>
        </w:rPr>
        <w:t>Medicare</w:t>
      </w:r>
      <w:r w:rsidRPr="00EA1375">
        <w:rPr>
          <w:rFonts w:cs="Readex Pro"/>
          <w:sz w:val="20"/>
          <w:szCs w:val="20"/>
        </w:rPr>
        <w:t xml:space="preserve"> in custody can also act as a barrier to a General Practitioner-led model of healthcare.</w:t>
      </w:r>
      <w:r w:rsidRPr="00EA1375">
        <w:rPr>
          <w:rStyle w:val="FootnoteReference"/>
          <w:rFonts w:cs="Readex Pro"/>
          <w:sz w:val="20"/>
          <w:szCs w:val="20"/>
        </w:rPr>
        <w:footnoteReference w:id="140"/>
      </w:r>
      <w:r w:rsidRPr="00EA1375">
        <w:rPr>
          <w:rFonts w:cs="Readex Pro"/>
          <w:sz w:val="20"/>
          <w:szCs w:val="20"/>
        </w:rPr>
        <w:t xml:space="preserve"> In contrast, enabling </w:t>
      </w:r>
      <w:r w:rsidRPr="005B7757">
        <w:rPr>
          <w:rFonts w:cs="Readex Pro"/>
          <w:i/>
          <w:iCs/>
          <w:sz w:val="20"/>
          <w:szCs w:val="20"/>
        </w:rPr>
        <w:t>Medicare</w:t>
      </w:r>
      <w:r w:rsidRPr="00EA1375">
        <w:rPr>
          <w:rFonts w:cs="Readex Pro"/>
          <w:sz w:val="20"/>
          <w:szCs w:val="20"/>
        </w:rPr>
        <w:t xml:space="preserve"> access in custody would be of particular benefit for Aboriginal and Torres Strait Islander people, for whom there are specific healthcare ‘items’ available under </w:t>
      </w:r>
      <w:r w:rsidRPr="005B7757">
        <w:rPr>
          <w:rFonts w:cs="Readex Pro"/>
          <w:i/>
          <w:iCs/>
          <w:sz w:val="20"/>
          <w:szCs w:val="20"/>
        </w:rPr>
        <w:t>Medicare</w:t>
      </w:r>
      <w:r w:rsidRPr="00EA1375">
        <w:rPr>
          <w:rFonts w:cs="Readex Pro"/>
          <w:sz w:val="20"/>
          <w:szCs w:val="20"/>
        </w:rPr>
        <w:t>.</w:t>
      </w:r>
      <w:r w:rsidRPr="00EA1375">
        <w:rPr>
          <w:rStyle w:val="FootnoteReference"/>
          <w:rFonts w:cs="Readex Pro"/>
          <w:sz w:val="20"/>
          <w:szCs w:val="20"/>
        </w:rPr>
        <w:footnoteReference w:id="141"/>
      </w:r>
    </w:p>
    <w:p w14:paraId="4381E4EB" w14:textId="0DF124B4" w:rsidR="007F1E9F" w:rsidRPr="00EA1375" w:rsidRDefault="007F1E9F" w:rsidP="00035846">
      <w:pPr>
        <w:rPr>
          <w:rFonts w:cs="Readex Pro"/>
          <w:sz w:val="20"/>
          <w:szCs w:val="20"/>
        </w:rPr>
      </w:pPr>
      <w:r w:rsidRPr="00EA1375">
        <w:rPr>
          <w:rFonts w:cs="Readex Pro"/>
          <w:sz w:val="20"/>
          <w:szCs w:val="20"/>
        </w:rPr>
        <w:t>In addition, despite the overrepresentation of people with disability in custody in Australia,</w:t>
      </w:r>
      <w:bookmarkStart w:id="79" w:name="_Ref207115945"/>
      <w:r w:rsidRPr="00EA1375">
        <w:rPr>
          <w:rStyle w:val="FootnoteReference"/>
          <w:rFonts w:cs="Readex Pro"/>
          <w:sz w:val="20"/>
          <w:szCs w:val="20"/>
        </w:rPr>
        <w:footnoteReference w:id="142"/>
      </w:r>
      <w:bookmarkEnd w:id="79"/>
      <w:r w:rsidRPr="00EA1375">
        <w:rPr>
          <w:rFonts w:cs="Readex Pro"/>
          <w:sz w:val="20"/>
          <w:szCs w:val="20"/>
        </w:rPr>
        <w:t xml:space="preserve"> there are barriers to accessing disability supports in custodial environments, including through the </w:t>
      </w:r>
      <w:r w:rsidR="00926813">
        <w:rPr>
          <w:rFonts w:cs="Readex Pro"/>
          <w:sz w:val="20"/>
          <w:szCs w:val="20"/>
        </w:rPr>
        <w:t>federal government</w:t>
      </w:r>
      <w:r w:rsidR="004156D6">
        <w:rPr>
          <w:rFonts w:cs="Readex Pro"/>
          <w:sz w:val="20"/>
          <w:szCs w:val="20"/>
        </w:rPr>
        <w:t>-</w:t>
      </w:r>
      <w:r w:rsidR="00926813">
        <w:rPr>
          <w:rFonts w:cs="Readex Pro"/>
          <w:sz w:val="20"/>
          <w:szCs w:val="20"/>
        </w:rPr>
        <w:t xml:space="preserve">funded </w:t>
      </w:r>
      <w:r w:rsidRPr="00EA1375">
        <w:rPr>
          <w:rFonts w:cs="Readex Pro"/>
          <w:sz w:val="20"/>
          <w:szCs w:val="20"/>
        </w:rPr>
        <w:t>National Disability Insurance Scheme (NDIS).</w:t>
      </w:r>
      <w:bookmarkStart w:id="80" w:name="_Ref207116122"/>
      <w:r w:rsidRPr="00EA1375">
        <w:rPr>
          <w:rStyle w:val="FootnoteReference"/>
          <w:rFonts w:cs="Readex Pro"/>
          <w:sz w:val="20"/>
          <w:szCs w:val="20"/>
        </w:rPr>
        <w:footnoteReference w:id="143"/>
      </w:r>
      <w:bookmarkEnd w:id="80"/>
      <w:r w:rsidRPr="00EA1375">
        <w:rPr>
          <w:rFonts w:cs="Readex Pro"/>
          <w:sz w:val="20"/>
          <w:szCs w:val="20"/>
        </w:rPr>
        <w:t xml:space="preserve"> Existing NDIS participants commonly have reduced access to NDIS-funded disability supports on entering detention. This is because various facets of disability support in custody are meant to be provided instead by other parties</w:t>
      </w:r>
      <w:r w:rsidR="00926813">
        <w:rPr>
          <w:rFonts w:cs="Readex Pro"/>
          <w:sz w:val="20"/>
          <w:szCs w:val="20"/>
        </w:rPr>
        <w:t xml:space="preserve"> at a state and territory level</w:t>
      </w:r>
      <w:r w:rsidRPr="00EA1375">
        <w:rPr>
          <w:rFonts w:cs="Readex Pro"/>
          <w:sz w:val="20"/>
          <w:szCs w:val="20"/>
        </w:rPr>
        <w:t>, including the justice system.</w:t>
      </w:r>
      <w:r w:rsidRPr="00EA1375">
        <w:rPr>
          <w:rStyle w:val="FootnoteReference"/>
          <w:rFonts w:cs="Readex Pro"/>
          <w:sz w:val="20"/>
          <w:szCs w:val="20"/>
        </w:rPr>
        <w:footnoteReference w:id="144"/>
      </w:r>
      <w:r w:rsidRPr="00EA1375">
        <w:rPr>
          <w:rFonts w:cs="Readex Pro"/>
          <w:sz w:val="20"/>
          <w:szCs w:val="20"/>
        </w:rPr>
        <w:t xml:space="preserve"> However, in practice the overall level of support is often significantly reduced.</w:t>
      </w:r>
    </w:p>
    <w:p w14:paraId="253AD270" w14:textId="6831A7E6" w:rsidR="007F1E9F" w:rsidRPr="00EA1375" w:rsidRDefault="007F1E9F" w:rsidP="00035846">
      <w:pPr>
        <w:rPr>
          <w:rFonts w:cs="Readex Pro"/>
          <w:sz w:val="20"/>
          <w:szCs w:val="20"/>
        </w:rPr>
      </w:pPr>
      <w:r w:rsidRPr="00EA1375">
        <w:rPr>
          <w:rFonts w:cs="Readex Pro"/>
          <w:sz w:val="20"/>
          <w:szCs w:val="20"/>
        </w:rPr>
        <w:t xml:space="preserve">There are also gaps in identifying NDIS participants, support for applying for the NDIS in custody, service provider access for those who do receive NDIS services in custody, post release planning, and communication between stakeholders. Both the </w:t>
      </w:r>
      <w:r w:rsidRPr="00EA1375">
        <w:rPr>
          <w:rFonts w:cs="Readex Pro"/>
          <w:i/>
          <w:iCs/>
          <w:sz w:val="20"/>
          <w:szCs w:val="20"/>
        </w:rPr>
        <w:t>Royal Commission into Violence, Abuse, Neglect and Exploitation of People with Disability</w:t>
      </w:r>
      <w:r w:rsidRPr="00EA1375">
        <w:rPr>
          <w:rFonts w:cs="Readex Pro"/>
          <w:sz w:val="20"/>
          <w:szCs w:val="20"/>
        </w:rPr>
        <w:t xml:space="preserve"> and the Australian Government’s own review into the NDIS called on governments to resolve issues with the NDIS–criminal justice system interface.</w:t>
      </w:r>
      <w:r w:rsidRPr="00EA1375">
        <w:rPr>
          <w:rStyle w:val="FootnoteReference"/>
          <w:rFonts w:cs="Readex Pro"/>
          <w:sz w:val="20"/>
          <w:szCs w:val="20"/>
        </w:rPr>
        <w:footnoteReference w:id="145"/>
      </w:r>
    </w:p>
    <w:tbl>
      <w:tblPr>
        <w:tblStyle w:val="GridTable4-Accent2"/>
        <w:tblpPr w:leftFromText="180" w:rightFromText="180" w:vertAnchor="text" w:horzAnchor="margin" w:tblpY="67"/>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2D41C93D"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227AA21B" w14:textId="0D341E03" w:rsidR="007F1E9F" w:rsidRPr="0013605E" w:rsidRDefault="003C7E7D" w:rsidP="0013605E">
            <w:pPr>
              <w:ind w:left="275"/>
              <w:rPr>
                <w:sz w:val="20"/>
                <w:szCs w:val="20"/>
              </w:rPr>
            </w:pPr>
            <w:r w:rsidRPr="001B7386">
              <w:rPr>
                <w:noProof/>
                <w:sz w:val="20"/>
                <w:szCs w:val="20"/>
              </w:rPr>
              <w:drawing>
                <wp:anchor distT="0" distB="0" distL="114300" distR="114300" simplePos="0" relativeHeight="251842560" behindDoc="1" locked="0" layoutInCell="1" allowOverlap="1" wp14:anchorId="788119F1" wp14:editId="7D6EB171">
                  <wp:simplePos x="0" y="0"/>
                  <wp:positionH relativeFrom="column">
                    <wp:posOffset>-280035</wp:posOffset>
                  </wp:positionH>
                  <wp:positionV relativeFrom="paragraph">
                    <wp:posOffset>67046</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30326122"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55A9BBD3" w14:textId="3F9689E0" w:rsidR="007F1E9F" w:rsidRPr="001B7386" w:rsidRDefault="007F1E9F" w:rsidP="004541B6">
            <w:pPr>
              <w:pStyle w:val="ListParagraph"/>
              <w:numPr>
                <w:ilvl w:val="0"/>
                <w:numId w:val="15"/>
              </w:numPr>
              <w:rPr>
                <w:b w:val="0"/>
                <w:bCs w:val="0"/>
                <w:sz w:val="20"/>
                <w:szCs w:val="20"/>
              </w:rPr>
            </w:pPr>
            <w:r w:rsidRPr="001B7386">
              <w:rPr>
                <w:sz w:val="20"/>
                <w:szCs w:val="20"/>
              </w:rPr>
              <w:t>ensuring a standard of healthcare within custodial environments that is at least equivalent to healthcare available in the wider community</w:t>
            </w:r>
          </w:p>
          <w:p w14:paraId="6B977B92" w14:textId="430E3142" w:rsidR="007F1E9F" w:rsidRPr="001B7386" w:rsidRDefault="007F1E9F" w:rsidP="004541B6">
            <w:pPr>
              <w:pStyle w:val="ListParagraph"/>
              <w:numPr>
                <w:ilvl w:val="0"/>
                <w:numId w:val="15"/>
              </w:numPr>
              <w:rPr>
                <w:b w:val="0"/>
                <w:bCs w:val="0"/>
                <w:sz w:val="20"/>
                <w:szCs w:val="20"/>
              </w:rPr>
            </w:pPr>
            <w:r w:rsidRPr="001B7386">
              <w:rPr>
                <w:sz w:val="20"/>
                <w:szCs w:val="20"/>
              </w:rPr>
              <w:t xml:space="preserve">enabling access within custodial environments to Australia’s national healthcare system, </w:t>
            </w:r>
            <w:r w:rsidRPr="001B7386">
              <w:rPr>
                <w:i/>
                <w:iCs/>
                <w:sz w:val="20"/>
                <w:szCs w:val="20"/>
              </w:rPr>
              <w:t>Medicare</w:t>
            </w:r>
          </w:p>
          <w:p w14:paraId="2D6C7BCA" w14:textId="2EC2986B" w:rsidR="007F1E9F" w:rsidRPr="001B7386" w:rsidRDefault="007F1E9F" w:rsidP="004541B6">
            <w:pPr>
              <w:pStyle w:val="ListParagraph"/>
              <w:numPr>
                <w:ilvl w:val="0"/>
                <w:numId w:val="15"/>
              </w:numPr>
              <w:rPr>
                <w:b w:val="0"/>
                <w:bCs w:val="0"/>
                <w:sz w:val="20"/>
                <w:szCs w:val="20"/>
              </w:rPr>
            </w:pPr>
            <w:r w:rsidRPr="001B7386">
              <w:rPr>
                <w:sz w:val="20"/>
                <w:szCs w:val="20"/>
              </w:rPr>
              <w:t>ensuring Aboriginal-designed and led, culturally safe healthcare for Aboriginal and Torres Strait Islander people in all places of detention in all jurisdictions</w:t>
            </w:r>
          </w:p>
          <w:p w14:paraId="35D5AFA7" w14:textId="77777777" w:rsidR="007F1E9F" w:rsidRPr="001B7386" w:rsidRDefault="007F1E9F" w:rsidP="004541B6">
            <w:pPr>
              <w:pStyle w:val="ListParagraph"/>
              <w:numPr>
                <w:ilvl w:val="0"/>
                <w:numId w:val="15"/>
              </w:numPr>
              <w:rPr>
                <w:b w:val="0"/>
                <w:bCs w:val="0"/>
                <w:sz w:val="20"/>
                <w:szCs w:val="20"/>
              </w:rPr>
            </w:pPr>
            <w:r w:rsidRPr="001B7386">
              <w:rPr>
                <w:sz w:val="20"/>
                <w:szCs w:val="20"/>
              </w:rPr>
              <w:t xml:space="preserve">ensuring the </w:t>
            </w:r>
            <w:proofErr w:type="gramStart"/>
            <w:r w:rsidRPr="001B7386">
              <w:rPr>
                <w:sz w:val="20"/>
                <w:szCs w:val="20"/>
              </w:rPr>
              <w:t>particular healthcare</w:t>
            </w:r>
            <w:proofErr w:type="gramEnd"/>
            <w:r w:rsidRPr="001B7386">
              <w:rPr>
                <w:sz w:val="20"/>
                <w:szCs w:val="20"/>
              </w:rPr>
              <w:t xml:space="preserve"> needs of women are met within all custodial environments</w:t>
            </w:r>
          </w:p>
          <w:p w14:paraId="61C06724" w14:textId="77777777" w:rsidR="007F1E9F" w:rsidRPr="001B7386" w:rsidRDefault="007F1E9F" w:rsidP="004541B6">
            <w:pPr>
              <w:pStyle w:val="ListParagraph"/>
              <w:numPr>
                <w:ilvl w:val="0"/>
                <w:numId w:val="15"/>
              </w:numPr>
            </w:pPr>
            <w:r w:rsidRPr="001B7386">
              <w:rPr>
                <w:sz w:val="20"/>
                <w:szCs w:val="20"/>
              </w:rPr>
              <w:t>ensuring appropriate access to disability supports including the NDIS in custodial environments, including in practice.</w:t>
            </w:r>
          </w:p>
        </w:tc>
      </w:tr>
    </w:tbl>
    <w:p w14:paraId="51492748" w14:textId="77777777" w:rsidR="007F1E9F" w:rsidRDefault="007F1E9F" w:rsidP="00702839">
      <w:pPr>
        <w:rPr>
          <w:rFonts w:cs="Readex Pro"/>
          <w:sz w:val="20"/>
          <w:szCs w:val="20"/>
        </w:rPr>
      </w:pPr>
    </w:p>
    <w:p w14:paraId="6E24E72D" w14:textId="69BFFB62" w:rsidR="007F1E9F" w:rsidRDefault="007F1E9F">
      <w:pPr>
        <w:spacing w:before="0" w:after="0" w:line="240" w:lineRule="auto"/>
        <w:rPr>
          <w:rFonts w:cs="Readex Pro"/>
          <w:sz w:val="20"/>
          <w:szCs w:val="20"/>
        </w:rPr>
      </w:pPr>
      <w:r>
        <w:rPr>
          <w:rFonts w:cs="Readex Pro"/>
          <w:sz w:val="20"/>
          <w:szCs w:val="20"/>
        </w:rPr>
        <w:br w:type="page"/>
      </w:r>
    </w:p>
    <w:p w14:paraId="09ADA31C" w14:textId="424A53CA" w:rsidR="007F1E9F" w:rsidRPr="007C031F" w:rsidRDefault="007F1E9F" w:rsidP="00D22E43">
      <w:pPr>
        <w:pStyle w:val="Heading2"/>
        <w:rPr>
          <w:color w:val="937CB9" w:themeColor="accent3"/>
          <w:lang w:val="fr-FR"/>
        </w:rPr>
      </w:pPr>
      <w:bookmarkStart w:id="81" w:name="_Toc208584113"/>
      <w:r w:rsidRPr="007C031F">
        <w:rPr>
          <w:color w:val="937CB9" w:themeColor="accent3"/>
          <w:lang w:val="fr-FR"/>
        </w:rPr>
        <w:lastRenderedPageBreak/>
        <w:t xml:space="preserve">Immigration </w:t>
      </w:r>
      <w:proofErr w:type="spellStart"/>
      <w:r w:rsidRPr="007C031F">
        <w:rPr>
          <w:color w:val="937CB9" w:themeColor="accent3"/>
          <w:lang w:val="fr-FR"/>
        </w:rPr>
        <w:t>detention</w:t>
      </w:r>
      <w:bookmarkEnd w:id="81"/>
      <w:proofErr w:type="spellEnd"/>
    </w:p>
    <w:p w14:paraId="26407AD8" w14:textId="3570B537" w:rsidR="00384201" w:rsidRPr="007C031F" w:rsidRDefault="00E719FD" w:rsidP="00B50F91">
      <w:pPr>
        <w:pStyle w:val="Heading3"/>
        <w:spacing w:before="120"/>
        <w:rPr>
          <w:color w:val="719243" w:themeColor="accent2"/>
          <w:lang w:val="fr-FR"/>
        </w:rPr>
      </w:pPr>
      <w:bookmarkStart w:id="82" w:name="_Toc208584114"/>
      <w:proofErr w:type="spellStart"/>
      <w:r w:rsidRPr="007C031F">
        <w:rPr>
          <w:color w:val="719243" w:themeColor="accent2"/>
          <w:lang w:val="fr-FR"/>
        </w:rPr>
        <w:t>D</w:t>
      </w:r>
      <w:r w:rsidR="00384201" w:rsidRPr="007C031F">
        <w:rPr>
          <w:color w:val="719243" w:themeColor="accent2"/>
          <w:lang w:val="fr-FR"/>
        </w:rPr>
        <w:t>etention</w:t>
      </w:r>
      <w:proofErr w:type="spellEnd"/>
      <w:r w:rsidR="00384201" w:rsidRPr="007C031F">
        <w:rPr>
          <w:color w:val="719243" w:themeColor="accent2"/>
          <w:lang w:val="fr-FR"/>
        </w:rPr>
        <w:t xml:space="preserve"> population</w:t>
      </w:r>
      <w:bookmarkEnd w:id="82"/>
    </w:p>
    <w:p w14:paraId="0BD3A0B3" w14:textId="1D42290E" w:rsidR="009A1768" w:rsidRPr="007C031F" w:rsidRDefault="009A1768" w:rsidP="009A1768">
      <w:pPr>
        <w:rPr>
          <w:rFonts w:cs="Readex Pro"/>
          <w:b/>
          <w:bCs/>
          <w:i/>
          <w:iCs/>
          <w:sz w:val="20"/>
          <w:szCs w:val="20"/>
          <w:u w:val="single"/>
          <w:lang w:val="fr-FR"/>
        </w:rPr>
      </w:pPr>
      <w:r w:rsidRPr="007C031F">
        <w:rPr>
          <w:rFonts w:cs="Readex Pro"/>
          <w:b/>
          <w:bCs/>
          <w:i/>
          <w:iCs/>
          <w:sz w:val="20"/>
          <w:szCs w:val="20"/>
          <w:u w:val="single"/>
          <w:lang w:val="fr-FR"/>
        </w:rPr>
        <w:t>CAT Articles 2</w:t>
      </w:r>
      <w:r w:rsidR="00802BBE" w:rsidRPr="007C031F">
        <w:rPr>
          <w:rFonts w:cs="Readex Pro"/>
          <w:b/>
          <w:bCs/>
          <w:i/>
          <w:iCs/>
          <w:sz w:val="20"/>
          <w:szCs w:val="20"/>
          <w:u w:val="single"/>
          <w:lang w:val="fr-FR"/>
        </w:rPr>
        <w:t>, 3</w:t>
      </w:r>
      <w:r w:rsidRPr="007C031F">
        <w:rPr>
          <w:rFonts w:cs="Readex Pro"/>
          <w:b/>
          <w:bCs/>
          <w:i/>
          <w:iCs/>
          <w:sz w:val="20"/>
          <w:szCs w:val="20"/>
          <w:u w:val="single"/>
          <w:lang w:val="fr-FR"/>
        </w:rPr>
        <w:t xml:space="preserve"> and 16</w:t>
      </w:r>
    </w:p>
    <w:p w14:paraId="12B58836" w14:textId="03693681" w:rsidR="00304C25" w:rsidRPr="006C4C8F" w:rsidRDefault="00384201" w:rsidP="00384201">
      <w:pPr>
        <w:rPr>
          <w:rFonts w:cs="Readex Pro"/>
          <w:sz w:val="20"/>
          <w:szCs w:val="20"/>
        </w:rPr>
      </w:pPr>
      <w:r w:rsidRPr="006C4C8F">
        <w:rPr>
          <w:rFonts w:cs="Readex Pro"/>
          <w:sz w:val="20"/>
          <w:szCs w:val="20"/>
        </w:rPr>
        <w:t>Australia’s mandatory immigration detention policy continues to apply to people of all ages. As of 30 June 2025, there were 996 people held in closed Australian immigration detention facilities. Of these people, 927 were men, less than 70 were women and less than 5 were children</w:t>
      </w:r>
      <w:r w:rsidR="00EC7814" w:rsidRPr="00EC7814">
        <w:rPr>
          <w:rFonts w:cs="Readex Pro"/>
          <w:sz w:val="20"/>
          <w:szCs w:val="20"/>
        </w:rPr>
        <w:t xml:space="preserve"> </w:t>
      </w:r>
      <w:r w:rsidR="00EC7814">
        <w:rPr>
          <w:rFonts w:cs="Readex Pro"/>
          <w:sz w:val="20"/>
          <w:szCs w:val="20"/>
        </w:rPr>
        <w:t>and young people</w:t>
      </w:r>
      <w:r w:rsidRPr="006C4C8F">
        <w:rPr>
          <w:rFonts w:cs="Readex Pro"/>
          <w:sz w:val="20"/>
          <w:szCs w:val="20"/>
        </w:rPr>
        <w:t>.</w:t>
      </w:r>
      <w:bookmarkStart w:id="83" w:name="_Ref207116356"/>
      <w:r w:rsidR="00304C25" w:rsidRPr="006C4C8F">
        <w:rPr>
          <w:rFonts w:cs="Readex Pro"/>
          <w:sz w:val="20"/>
          <w:szCs w:val="20"/>
          <w:vertAlign w:val="superscript"/>
        </w:rPr>
        <w:footnoteReference w:id="146"/>
      </w:r>
      <w:bookmarkEnd w:id="83"/>
    </w:p>
    <w:p w14:paraId="59374DFE" w14:textId="77777777" w:rsidR="00304C25" w:rsidRPr="006C4C8F" w:rsidRDefault="00304C25" w:rsidP="00384201">
      <w:pPr>
        <w:rPr>
          <w:rFonts w:cs="Readex Pro"/>
          <w:sz w:val="20"/>
          <w:szCs w:val="20"/>
        </w:rPr>
      </w:pPr>
      <w:r w:rsidRPr="006C4C8F">
        <w:rPr>
          <w:rFonts w:cs="Readex Pro"/>
          <w:sz w:val="20"/>
          <w:szCs w:val="20"/>
        </w:rPr>
        <w:t xml:space="preserve">In November 2023, the High Court of Australia ruled in the case of </w:t>
      </w:r>
      <w:r w:rsidRPr="006C4C8F">
        <w:rPr>
          <w:rFonts w:cs="Readex Pro"/>
          <w:i/>
          <w:iCs/>
          <w:sz w:val="20"/>
          <w:szCs w:val="20"/>
        </w:rPr>
        <w:t>NZYQ v Minister for Immigration, Citizenship and Multicultural Affairs</w:t>
      </w:r>
      <w:r w:rsidRPr="006C4C8F">
        <w:rPr>
          <w:rFonts w:cs="Readex Pro"/>
          <w:sz w:val="20"/>
          <w:szCs w:val="20"/>
        </w:rPr>
        <w:t xml:space="preserve"> (NZYQ)</w:t>
      </w:r>
      <w:r w:rsidRPr="006C4C8F">
        <w:rPr>
          <w:rFonts w:cs="Readex Pro"/>
          <w:sz w:val="20"/>
          <w:szCs w:val="20"/>
          <w:vertAlign w:val="superscript"/>
        </w:rPr>
        <w:footnoteReference w:id="147"/>
      </w:r>
      <w:r w:rsidRPr="006C4C8F">
        <w:rPr>
          <w:rFonts w:cs="Readex Pro"/>
          <w:sz w:val="20"/>
          <w:szCs w:val="20"/>
        </w:rPr>
        <w:t xml:space="preserve"> that immigration detention is unlawful if it is for the purpose of ensuring removal of the person from Australia but there is no real prospect of that removal occurring in the reasonably foreseeable future. This led to </w:t>
      </w:r>
      <w:proofErr w:type="gramStart"/>
      <w:r w:rsidRPr="006C4C8F">
        <w:rPr>
          <w:rFonts w:cs="Readex Pro"/>
          <w:sz w:val="20"/>
          <w:szCs w:val="20"/>
        </w:rPr>
        <w:t>a large number of</w:t>
      </w:r>
      <w:proofErr w:type="gramEnd"/>
      <w:r w:rsidRPr="006C4C8F">
        <w:rPr>
          <w:rFonts w:cs="Readex Pro"/>
          <w:sz w:val="20"/>
          <w:szCs w:val="20"/>
        </w:rPr>
        <w:t xml:space="preserve"> people being released from immigration detention, including some who had been detained for some years.</w:t>
      </w:r>
    </w:p>
    <w:p w14:paraId="39B7E2F7" w14:textId="4D369FFC" w:rsidR="00304C25" w:rsidRPr="006C4C8F" w:rsidRDefault="00304C25" w:rsidP="00384201">
      <w:pPr>
        <w:rPr>
          <w:rFonts w:cs="Readex Pro"/>
          <w:sz w:val="20"/>
          <w:szCs w:val="20"/>
        </w:rPr>
      </w:pPr>
      <w:r w:rsidRPr="006C4C8F">
        <w:rPr>
          <w:rFonts w:cs="Readex Pro"/>
          <w:sz w:val="20"/>
          <w:szCs w:val="20"/>
        </w:rPr>
        <w:t xml:space="preserve">While the average time held in immigration detention has decreased following the NZYQ case, people continue to be held in immigration detention for prolonged periods with little certainty </w:t>
      </w:r>
      <w:r w:rsidR="00042AC4">
        <w:rPr>
          <w:rFonts w:cs="Readex Pro"/>
          <w:sz w:val="20"/>
          <w:szCs w:val="20"/>
        </w:rPr>
        <w:t>on</w:t>
      </w:r>
      <w:r w:rsidRPr="006C4C8F">
        <w:rPr>
          <w:rFonts w:cs="Readex Pro"/>
          <w:sz w:val="20"/>
          <w:szCs w:val="20"/>
        </w:rPr>
        <w:t xml:space="preserve"> how long they will remain. For example, in April 2025 the High Court ruled in</w:t>
      </w:r>
      <w:r w:rsidR="00CB2EF6" w:rsidRPr="006C4C8F">
        <w:rPr>
          <w:rFonts w:cs="Readex Pro"/>
          <w:sz w:val="20"/>
          <w:szCs w:val="20"/>
        </w:rPr>
        <w:t xml:space="preserve"> </w:t>
      </w:r>
      <w:r w:rsidR="00596662">
        <w:rPr>
          <w:rFonts w:cs="Readex Pro"/>
          <w:sz w:val="20"/>
          <w:szCs w:val="20"/>
        </w:rPr>
        <w:t>further</w:t>
      </w:r>
      <w:r w:rsidR="00596662" w:rsidRPr="006C4C8F">
        <w:rPr>
          <w:rFonts w:cs="Readex Pro"/>
          <w:sz w:val="20"/>
          <w:szCs w:val="20"/>
        </w:rPr>
        <w:t xml:space="preserve"> </w:t>
      </w:r>
      <w:r w:rsidR="00CB2EF6" w:rsidRPr="006C4C8F">
        <w:rPr>
          <w:rFonts w:cs="Readex Pro"/>
          <w:sz w:val="20"/>
          <w:szCs w:val="20"/>
        </w:rPr>
        <w:t xml:space="preserve">cases </w:t>
      </w:r>
      <w:r w:rsidR="00596662">
        <w:rPr>
          <w:rFonts w:cs="Readex Pro"/>
          <w:sz w:val="20"/>
          <w:szCs w:val="20"/>
        </w:rPr>
        <w:t xml:space="preserve">that it </w:t>
      </w:r>
      <w:r w:rsidRPr="006C4C8F">
        <w:rPr>
          <w:rFonts w:cs="Readex Pro"/>
          <w:sz w:val="20"/>
          <w:szCs w:val="20"/>
        </w:rPr>
        <w:t>was lawful to continue to detain individuals for the purpose of processing a protection visa application, even after the Department of Home Affairs (the Department) had determined their remova</w:t>
      </w:r>
      <w:r w:rsidRPr="00596662">
        <w:rPr>
          <w:rFonts w:cs="Readex Pro"/>
          <w:sz w:val="20"/>
          <w:szCs w:val="20"/>
        </w:rPr>
        <w:t>l from Australia was not practicable in the reasonably foreseeable future</w:t>
      </w:r>
      <w:r w:rsidR="00596662">
        <w:rPr>
          <w:rFonts w:cs="Readex Pro"/>
          <w:sz w:val="20"/>
          <w:szCs w:val="20"/>
        </w:rPr>
        <w:t>.</w:t>
      </w:r>
      <w:r w:rsidR="00596662" w:rsidRPr="006C4C8F">
        <w:rPr>
          <w:rFonts w:cs="Readex Pro"/>
          <w:sz w:val="20"/>
          <w:szCs w:val="20"/>
          <w:vertAlign w:val="superscript"/>
        </w:rPr>
        <w:footnoteReference w:id="148"/>
      </w:r>
    </w:p>
    <w:p w14:paraId="5E8AE177" w14:textId="26094B35" w:rsidR="00304C25" w:rsidRPr="006C4C8F" w:rsidRDefault="00304C25" w:rsidP="00384201">
      <w:pPr>
        <w:rPr>
          <w:rFonts w:cs="Readex Pro"/>
          <w:sz w:val="20"/>
          <w:szCs w:val="20"/>
        </w:rPr>
      </w:pPr>
      <w:r w:rsidRPr="006C4C8F">
        <w:rPr>
          <w:rFonts w:cs="Readex Pro"/>
          <w:sz w:val="20"/>
          <w:szCs w:val="20"/>
        </w:rPr>
        <w:t>As of 30 June 2025, the average time people were held in immigration detention facilities was 452 days (over 1.2 years). Of those in immigration detention, almost a third had been detained more than 1 year; 65 people (6.5%) had been detained for more than 5 years.</w:t>
      </w:r>
      <w:r w:rsidRPr="006C4C8F">
        <w:rPr>
          <w:rFonts w:cs="Readex Pro"/>
          <w:sz w:val="20"/>
          <w:szCs w:val="20"/>
          <w:vertAlign w:val="superscript"/>
        </w:rPr>
        <w:footnoteReference w:id="149"/>
      </w:r>
      <w:r w:rsidRPr="006C4C8F">
        <w:rPr>
          <w:rFonts w:cs="Readex Pro"/>
          <w:sz w:val="20"/>
          <w:szCs w:val="20"/>
        </w:rPr>
        <w:t xml:space="preserve"> The various, compounding harms of prolonged immigration detention are well established.</w:t>
      </w:r>
      <w:r w:rsidR="004F3160" w:rsidRPr="004F3160">
        <w:rPr>
          <w:rFonts w:ascii="Poppins" w:hAnsi="Poppins"/>
          <w:color w:val="000000"/>
          <w:sz w:val="22"/>
          <w:vertAlign w:val="superscript"/>
        </w:rPr>
        <w:t xml:space="preserve"> </w:t>
      </w:r>
      <w:r w:rsidR="004F3160" w:rsidRPr="004F3160">
        <w:rPr>
          <w:rFonts w:cs="Readex Pro"/>
          <w:sz w:val="20"/>
          <w:szCs w:val="20"/>
          <w:vertAlign w:val="superscript"/>
        </w:rPr>
        <w:footnoteReference w:id="150"/>
      </w:r>
    </w:p>
    <w:p w14:paraId="10F873DD" w14:textId="77777777" w:rsidR="00304C25" w:rsidRPr="006C4C8F" w:rsidRDefault="00304C25" w:rsidP="00384201">
      <w:pPr>
        <w:rPr>
          <w:rFonts w:cs="Readex Pro"/>
          <w:sz w:val="20"/>
          <w:szCs w:val="20"/>
        </w:rPr>
      </w:pPr>
      <w:r w:rsidRPr="006C4C8F">
        <w:rPr>
          <w:rFonts w:cs="Readex Pro"/>
          <w:sz w:val="20"/>
          <w:szCs w:val="20"/>
        </w:rPr>
        <w:t>The Commonwealth Ombudsman, in his capacity as Commonwealth NPM as well as Immigration Ombudsman, monitors the treatment and conditions of people in Australia’s immigration detention facilities. The Commonwealth Ombudsman’s view continues to be that immigration detention facilities are not suitable for long-term use.</w:t>
      </w:r>
      <w:bookmarkStart w:id="84" w:name="_Ref207116821"/>
      <w:r w:rsidRPr="006C4C8F">
        <w:rPr>
          <w:rFonts w:cs="Readex Pro"/>
          <w:sz w:val="20"/>
          <w:szCs w:val="20"/>
          <w:vertAlign w:val="superscript"/>
        </w:rPr>
        <w:footnoteReference w:id="151"/>
      </w:r>
      <w:bookmarkEnd w:id="84"/>
    </w:p>
    <w:p w14:paraId="5EECC38D" w14:textId="32388480" w:rsidR="00D03078" w:rsidRPr="004156D6" w:rsidRDefault="00D03078" w:rsidP="00D03078">
      <w:pPr>
        <w:pStyle w:val="Heading4"/>
        <w:rPr>
          <w:b/>
          <w:bCs/>
        </w:rPr>
      </w:pPr>
      <w:r w:rsidRPr="004156D6">
        <w:rPr>
          <w:b/>
          <w:bCs/>
        </w:rPr>
        <w:t>Arbitrary and indefinite detention</w:t>
      </w:r>
    </w:p>
    <w:p w14:paraId="5E1CA93C" w14:textId="0D578457" w:rsidR="00304C25" w:rsidRPr="006C4C8F" w:rsidRDefault="00304C25" w:rsidP="00F03574">
      <w:pPr>
        <w:rPr>
          <w:rFonts w:cs="Readex Pro"/>
          <w:sz w:val="20"/>
          <w:szCs w:val="20"/>
        </w:rPr>
      </w:pPr>
      <w:r w:rsidRPr="006C4C8F">
        <w:rPr>
          <w:rFonts w:cs="Readex Pro"/>
          <w:sz w:val="20"/>
          <w:szCs w:val="20"/>
        </w:rPr>
        <w:t>In December 2024, the Australian Human Rights Commission (AHRC) reported on its thematic inquiry into complaints made against the Australian Government by 10 people formerly and currently in immigration detention.</w:t>
      </w:r>
      <w:r w:rsidRPr="006C4C8F">
        <w:rPr>
          <w:rStyle w:val="FootnoteReference"/>
          <w:rFonts w:cs="Readex Pro"/>
          <w:sz w:val="20"/>
          <w:szCs w:val="20"/>
        </w:rPr>
        <w:footnoteReference w:id="152"/>
      </w:r>
      <w:r w:rsidRPr="006C4C8F">
        <w:rPr>
          <w:rFonts w:cs="Readex Pro"/>
          <w:sz w:val="20"/>
          <w:szCs w:val="20"/>
        </w:rPr>
        <w:t xml:space="preserve"> While most of the people concerned had since been released from immigration detention, they had on average spent more than 10 years in immigration detention. The AHRC found that the Australian Government had breached the</w:t>
      </w:r>
      <w:r w:rsidR="0063223F" w:rsidRPr="006C4C8F">
        <w:rPr>
          <w:rFonts w:cs="Readex Pro"/>
          <w:sz w:val="20"/>
          <w:szCs w:val="20"/>
        </w:rPr>
        <w:t xml:space="preserve"> individuals’ </w:t>
      </w:r>
      <w:r w:rsidRPr="006C4C8F">
        <w:rPr>
          <w:rFonts w:cs="Readex Pro"/>
          <w:sz w:val="20"/>
          <w:szCs w:val="20"/>
        </w:rPr>
        <w:t>human rights pursuant to Article 9(1) of the ICCPR regarding arbitrary detention.</w:t>
      </w:r>
    </w:p>
    <w:p w14:paraId="79F36204" w14:textId="55264769" w:rsidR="003D2C2A" w:rsidRPr="006C4C8F" w:rsidRDefault="00304C25" w:rsidP="00BF2CF4">
      <w:pPr>
        <w:rPr>
          <w:rFonts w:cs="Readex Pro"/>
          <w:sz w:val="20"/>
          <w:szCs w:val="20"/>
        </w:rPr>
      </w:pPr>
      <w:r w:rsidRPr="006C4C8F">
        <w:rPr>
          <w:rFonts w:cs="Readex Pro"/>
          <w:sz w:val="20"/>
          <w:szCs w:val="20"/>
        </w:rPr>
        <w:lastRenderedPageBreak/>
        <w:t xml:space="preserve">In April 2024 the Commonwealth Ombudsman made a submission about the Migration Amendment (Removal and Other Measures) Bill 2024, </w:t>
      </w:r>
      <w:r w:rsidR="002A1704" w:rsidRPr="006C4C8F">
        <w:rPr>
          <w:rFonts w:cs="Readex Pro"/>
          <w:sz w:val="20"/>
          <w:szCs w:val="20"/>
        </w:rPr>
        <w:t xml:space="preserve">one of 3 separate Bills amending the </w:t>
      </w:r>
      <w:r w:rsidR="002A1704" w:rsidRPr="006C4C8F">
        <w:rPr>
          <w:rFonts w:cs="Readex Pro"/>
          <w:i/>
          <w:iCs/>
          <w:sz w:val="20"/>
          <w:szCs w:val="20"/>
        </w:rPr>
        <w:t>Migration Act 1958</w:t>
      </w:r>
      <w:r w:rsidR="002A1704" w:rsidRPr="006C4C8F">
        <w:rPr>
          <w:rFonts w:cs="Readex Pro"/>
          <w:sz w:val="20"/>
          <w:szCs w:val="20"/>
        </w:rPr>
        <w:t xml:space="preserve"> (</w:t>
      </w:r>
      <w:proofErr w:type="spellStart"/>
      <w:r w:rsidR="002A1704" w:rsidRPr="006C4C8F">
        <w:rPr>
          <w:rFonts w:cs="Readex Pro"/>
          <w:sz w:val="20"/>
          <w:szCs w:val="20"/>
        </w:rPr>
        <w:t>Cth</w:t>
      </w:r>
      <w:proofErr w:type="spellEnd"/>
      <w:r w:rsidR="002A1704" w:rsidRPr="006C4C8F">
        <w:rPr>
          <w:rFonts w:cs="Readex Pro"/>
          <w:sz w:val="20"/>
          <w:szCs w:val="20"/>
        </w:rPr>
        <w:t xml:space="preserve">) following the High Court's decision in the NZYQ case. The submission raised </w:t>
      </w:r>
      <w:r w:rsidRPr="006C4C8F">
        <w:rPr>
          <w:rFonts w:cs="Readex Pro"/>
          <w:sz w:val="20"/>
          <w:szCs w:val="20"/>
        </w:rPr>
        <w:t xml:space="preserve">concerns the </w:t>
      </w:r>
      <w:r w:rsidR="002A1704" w:rsidRPr="006C4C8F">
        <w:rPr>
          <w:rFonts w:cs="Readex Pro"/>
          <w:sz w:val="20"/>
          <w:szCs w:val="20"/>
        </w:rPr>
        <w:t xml:space="preserve">Bill’s </w:t>
      </w:r>
      <w:r w:rsidRPr="006C4C8F">
        <w:rPr>
          <w:rFonts w:cs="Readex Pro"/>
          <w:sz w:val="20"/>
          <w:szCs w:val="20"/>
        </w:rPr>
        <w:t>introduction of a criminal offence for failure to comply with Ministerial directions concerning removal from Australia (which has a minimum sentence of 12 months’ imprisonment attached)</w:t>
      </w:r>
      <w:r w:rsidR="003D2C2A" w:rsidRPr="006C4C8F">
        <w:rPr>
          <w:rFonts w:cs="Readex Pro"/>
          <w:sz w:val="20"/>
          <w:szCs w:val="20"/>
        </w:rPr>
        <w:t>,</w:t>
      </w:r>
      <w:r w:rsidRPr="006C4C8F">
        <w:rPr>
          <w:rFonts w:cs="Readex Pro"/>
          <w:sz w:val="20"/>
          <w:szCs w:val="20"/>
          <w:vertAlign w:val="superscript"/>
        </w:rPr>
        <w:footnoteReference w:id="153"/>
      </w:r>
      <w:r w:rsidRPr="006C4C8F">
        <w:rPr>
          <w:rFonts w:cs="Readex Pro"/>
          <w:sz w:val="20"/>
          <w:szCs w:val="20"/>
        </w:rPr>
        <w:t xml:space="preserve"> could create a potentially indefinite cycle of immigration detention and incarceration.</w:t>
      </w:r>
      <w:bookmarkStart w:id="85" w:name="_Ref202537091"/>
      <w:r w:rsidRPr="006C4C8F">
        <w:rPr>
          <w:rFonts w:cs="Readex Pro"/>
          <w:sz w:val="20"/>
          <w:szCs w:val="20"/>
          <w:vertAlign w:val="superscript"/>
        </w:rPr>
        <w:footnoteReference w:id="154"/>
      </w:r>
      <w:bookmarkEnd w:id="85"/>
      <w:r w:rsidRPr="006C4C8F">
        <w:rPr>
          <w:rFonts w:cs="Readex Pro"/>
          <w:sz w:val="20"/>
          <w:szCs w:val="20"/>
        </w:rPr>
        <w:t xml:space="preserve"> </w:t>
      </w:r>
      <w:r w:rsidR="002A1704" w:rsidRPr="006C4C8F">
        <w:rPr>
          <w:rFonts w:cs="Readex Pro"/>
          <w:sz w:val="20"/>
          <w:szCs w:val="20"/>
        </w:rPr>
        <w:t>S</w:t>
      </w:r>
      <w:r w:rsidRPr="006C4C8F">
        <w:rPr>
          <w:rFonts w:cs="Readex Pro"/>
          <w:sz w:val="20"/>
          <w:szCs w:val="20"/>
        </w:rPr>
        <w:t xml:space="preserve">ome people </w:t>
      </w:r>
      <w:r w:rsidR="002A1704" w:rsidRPr="006C4C8F">
        <w:rPr>
          <w:rFonts w:cs="Readex Pro"/>
          <w:sz w:val="20"/>
          <w:szCs w:val="20"/>
        </w:rPr>
        <w:t xml:space="preserve">have </w:t>
      </w:r>
      <w:r w:rsidRPr="006C4C8F">
        <w:rPr>
          <w:rFonts w:cs="Readex Pro"/>
          <w:sz w:val="20"/>
          <w:szCs w:val="20"/>
        </w:rPr>
        <w:t>expressed a preference for incarceration over immigration detention due to the certainty and better range of meaningful activities that can be attached to serving a prison term</w:t>
      </w:r>
      <w:r w:rsidR="002A1704" w:rsidRPr="006C4C8F">
        <w:rPr>
          <w:rFonts w:cs="Readex Pro"/>
          <w:sz w:val="20"/>
          <w:szCs w:val="20"/>
        </w:rPr>
        <w:t>,</w:t>
      </w:r>
      <w:bookmarkStart w:id="86" w:name="_Ref202537490"/>
      <w:r w:rsidRPr="006C4C8F">
        <w:rPr>
          <w:rFonts w:cs="Readex Pro"/>
          <w:sz w:val="20"/>
          <w:szCs w:val="20"/>
          <w:vertAlign w:val="superscript"/>
        </w:rPr>
        <w:footnoteReference w:id="155"/>
      </w:r>
      <w:bookmarkEnd w:id="86"/>
      <w:r w:rsidRPr="006C4C8F">
        <w:rPr>
          <w:rFonts w:cs="Readex Pro"/>
          <w:sz w:val="20"/>
          <w:szCs w:val="20"/>
        </w:rPr>
        <w:t xml:space="preserve"> </w:t>
      </w:r>
      <w:r w:rsidR="006C4C8F" w:rsidRPr="006C4C8F">
        <w:rPr>
          <w:rFonts w:cs="Readex Pro"/>
          <w:sz w:val="20"/>
          <w:szCs w:val="20"/>
        </w:rPr>
        <w:t xml:space="preserve">raising the possibility </w:t>
      </w:r>
      <w:r w:rsidRPr="006C4C8F">
        <w:rPr>
          <w:rFonts w:cs="Readex Pro"/>
          <w:sz w:val="20"/>
          <w:szCs w:val="20"/>
        </w:rPr>
        <w:t xml:space="preserve">some people will choose non-compliance with a Ministerial direction over removal from Australia, thereby </w:t>
      </w:r>
      <w:r w:rsidR="006C4C8F" w:rsidRPr="006C4C8F">
        <w:rPr>
          <w:rFonts w:cs="Readex Pro"/>
          <w:sz w:val="20"/>
          <w:szCs w:val="20"/>
        </w:rPr>
        <w:t xml:space="preserve">leading to </w:t>
      </w:r>
      <w:r w:rsidRPr="006C4C8F">
        <w:rPr>
          <w:rFonts w:cs="Readex Pro"/>
          <w:sz w:val="20"/>
          <w:szCs w:val="20"/>
        </w:rPr>
        <w:t>a cycle of indefinite detention.</w:t>
      </w:r>
      <w:r w:rsidRPr="006C4C8F">
        <w:rPr>
          <w:rFonts w:cs="Readex Pro"/>
          <w:sz w:val="20"/>
          <w:szCs w:val="20"/>
          <w:vertAlign w:val="superscript"/>
        </w:rPr>
        <w:footnoteReference w:id="156"/>
      </w:r>
    </w:p>
    <w:p w14:paraId="41277233" w14:textId="0F8AE96B" w:rsidR="006C4C8F" w:rsidRPr="004156D6" w:rsidRDefault="006C4C8F" w:rsidP="006C4C8F">
      <w:pPr>
        <w:pStyle w:val="Heading4"/>
        <w:rPr>
          <w:b/>
          <w:bCs/>
        </w:rPr>
      </w:pPr>
      <w:r w:rsidRPr="004156D6">
        <w:rPr>
          <w:b/>
          <w:bCs/>
        </w:rPr>
        <w:t>Wrongful immigration detention</w:t>
      </w:r>
    </w:p>
    <w:p w14:paraId="7CE63A50" w14:textId="6BBF197B" w:rsidR="007E4411" w:rsidRPr="006C4C8F" w:rsidRDefault="00261E01" w:rsidP="007E4411">
      <w:pPr>
        <w:rPr>
          <w:rFonts w:cs="Readex Pro"/>
          <w:sz w:val="20"/>
          <w:szCs w:val="20"/>
        </w:rPr>
      </w:pPr>
      <w:r w:rsidRPr="006C4C8F">
        <w:rPr>
          <w:rFonts w:cs="Readex Pro"/>
          <w:sz w:val="20"/>
          <w:szCs w:val="20"/>
        </w:rPr>
        <w:t xml:space="preserve">In August 2025 the Commonwealth Ombudsman </w:t>
      </w:r>
      <w:r w:rsidR="006C4C8F" w:rsidRPr="006C4C8F">
        <w:rPr>
          <w:rFonts w:cs="Readex Pro"/>
          <w:sz w:val="20"/>
          <w:szCs w:val="20"/>
        </w:rPr>
        <w:t xml:space="preserve">also </w:t>
      </w:r>
      <w:r w:rsidRPr="006C4C8F">
        <w:rPr>
          <w:rFonts w:cs="Readex Pro"/>
          <w:sz w:val="20"/>
          <w:szCs w:val="20"/>
        </w:rPr>
        <w:t>reported on an investigation into 11 cases of people wrongfully detained in immigration detention in Australia in 2023–24.</w:t>
      </w:r>
      <w:r w:rsidR="007E4411" w:rsidRPr="006C4C8F">
        <w:rPr>
          <w:rStyle w:val="FootnoteReference"/>
          <w:rFonts w:cs="Readex Pro"/>
          <w:sz w:val="20"/>
          <w:szCs w:val="20"/>
        </w:rPr>
        <w:footnoteReference w:id="157"/>
      </w:r>
      <w:r w:rsidRPr="006C4C8F">
        <w:rPr>
          <w:rFonts w:cs="Readex Pro"/>
          <w:sz w:val="20"/>
          <w:szCs w:val="20"/>
        </w:rPr>
        <w:t xml:space="preserve"> These cases included </w:t>
      </w:r>
      <w:r w:rsidR="007E4411" w:rsidRPr="006C4C8F">
        <w:rPr>
          <w:rFonts w:cs="Readex Pro"/>
          <w:sz w:val="20"/>
          <w:szCs w:val="20"/>
        </w:rPr>
        <w:t xml:space="preserve">the detention of </w:t>
      </w:r>
      <w:r w:rsidRPr="006C4C8F">
        <w:rPr>
          <w:rFonts w:cs="Readex Pro"/>
          <w:sz w:val="20"/>
          <w:szCs w:val="20"/>
        </w:rPr>
        <w:t>an Australian citizen</w:t>
      </w:r>
      <w:r w:rsidR="007E4411" w:rsidRPr="006C4C8F">
        <w:rPr>
          <w:rFonts w:cs="Readex Pro"/>
          <w:sz w:val="20"/>
          <w:szCs w:val="20"/>
        </w:rPr>
        <w:t xml:space="preserve">, as well as </w:t>
      </w:r>
      <w:r w:rsidRPr="006C4C8F">
        <w:rPr>
          <w:rFonts w:cs="Readex Pro"/>
          <w:sz w:val="20"/>
          <w:szCs w:val="20"/>
        </w:rPr>
        <w:t>a person who was detained for eighteen months due to an administrative error</w:t>
      </w:r>
      <w:r w:rsidR="007E4411" w:rsidRPr="006C4C8F">
        <w:rPr>
          <w:rFonts w:cs="Readex Pro"/>
          <w:sz w:val="20"/>
          <w:szCs w:val="20"/>
        </w:rPr>
        <w:t xml:space="preserve">. The report found that in most cases the issues leading to the wrongful detention were not </w:t>
      </w:r>
      <w:proofErr w:type="gramStart"/>
      <w:r w:rsidR="007E4411" w:rsidRPr="006C4C8F">
        <w:rPr>
          <w:rFonts w:cs="Readex Pro"/>
          <w:sz w:val="20"/>
          <w:szCs w:val="20"/>
        </w:rPr>
        <w:t>new, and</w:t>
      </w:r>
      <w:proofErr w:type="gramEnd"/>
      <w:r w:rsidR="007E4411" w:rsidRPr="006C4C8F">
        <w:rPr>
          <w:rFonts w:cs="Readex Pro"/>
          <w:sz w:val="20"/>
          <w:szCs w:val="20"/>
        </w:rPr>
        <w:t xml:space="preserve"> reflected ‘an institutionalised mindset that places undue trust in historical decisions and prioritises swift action over careful deliberation’.</w:t>
      </w:r>
      <w:r w:rsidR="007E4411" w:rsidRPr="006C4C8F">
        <w:rPr>
          <w:rStyle w:val="FootnoteReference"/>
          <w:rFonts w:cs="Readex Pro"/>
          <w:sz w:val="20"/>
          <w:szCs w:val="20"/>
        </w:rPr>
        <w:footnoteReference w:id="158"/>
      </w:r>
      <w:r w:rsidR="007E4411" w:rsidRPr="006C4C8F">
        <w:rPr>
          <w:rFonts w:cs="Readex Pro"/>
          <w:sz w:val="20"/>
          <w:szCs w:val="20"/>
        </w:rPr>
        <w:t xml:space="preserve"> </w:t>
      </w:r>
      <w:r w:rsidR="005A0377">
        <w:rPr>
          <w:rFonts w:cs="Readex Pro"/>
          <w:sz w:val="20"/>
          <w:szCs w:val="20"/>
        </w:rPr>
        <w:t xml:space="preserve">The Department </w:t>
      </w:r>
      <w:r w:rsidR="003E5566">
        <w:rPr>
          <w:rFonts w:cs="Readex Pro"/>
          <w:sz w:val="20"/>
          <w:szCs w:val="20"/>
        </w:rPr>
        <w:t>had also not</w:t>
      </w:r>
      <w:r w:rsidR="005A0377">
        <w:rPr>
          <w:rFonts w:cs="Readex Pro"/>
          <w:sz w:val="20"/>
          <w:szCs w:val="20"/>
        </w:rPr>
        <w:t xml:space="preserve"> </w:t>
      </w:r>
      <w:r w:rsidR="003E5566">
        <w:rPr>
          <w:rFonts w:cs="Readex Pro"/>
          <w:sz w:val="20"/>
          <w:szCs w:val="20"/>
        </w:rPr>
        <w:t xml:space="preserve">been offering </w:t>
      </w:r>
      <w:r w:rsidR="005A0377">
        <w:rPr>
          <w:rFonts w:cs="Readex Pro"/>
          <w:sz w:val="20"/>
          <w:szCs w:val="20"/>
        </w:rPr>
        <w:t xml:space="preserve">any </w:t>
      </w:r>
      <w:r w:rsidR="003E5566">
        <w:rPr>
          <w:rFonts w:cs="Readex Pro"/>
          <w:sz w:val="20"/>
          <w:szCs w:val="20"/>
        </w:rPr>
        <w:t xml:space="preserve">formal </w:t>
      </w:r>
      <w:r w:rsidR="005A0377">
        <w:rPr>
          <w:rFonts w:cs="Readex Pro"/>
          <w:sz w:val="20"/>
          <w:szCs w:val="20"/>
        </w:rPr>
        <w:t xml:space="preserve">apology or redress to people it wrongfully detained. </w:t>
      </w:r>
      <w:r w:rsidR="007E4411" w:rsidRPr="006C4C8F">
        <w:rPr>
          <w:rFonts w:cs="Readex Pro"/>
          <w:sz w:val="20"/>
          <w:szCs w:val="20"/>
        </w:rPr>
        <w:t>The Commonwealth Ombudsman made 3 recommendations for improvement, all accepted by the Department.</w:t>
      </w:r>
    </w:p>
    <w:p w14:paraId="5A133ED4" w14:textId="43F6BF34" w:rsidR="00304C25" w:rsidRPr="004156D6" w:rsidRDefault="00304C25" w:rsidP="00B50F91">
      <w:pPr>
        <w:pStyle w:val="Heading4"/>
        <w:rPr>
          <w:b/>
          <w:bCs/>
        </w:rPr>
      </w:pPr>
      <w:r w:rsidRPr="004156D6">
        <w:rPr>
          <w:b/>
          <w:bCs/>
        </w:rPr>
        <w:t>Arrangements between Australia and the Republic of Nauru</w:t>
      </w:r>
    </w:p>
    <w:p w14:paraId="2F5E218F" w14:textId="3E7CFE4E" w:rsidR="00304C25" w:rsidRPr="006C4C8F" w:rsidRDefault="00304C25" w:rsidP="00384201">
      <w:pPr>
        <w:rPr>
          <w:rFonts w:cs="Readex Pro"/>
          <w:sz w:val="20"/>
          <w:szCs w:val="20"/>
        </w:rPr>
      </w:pPr>
      <w:r w:rsidRPr="006C4C8F">
        <w:rPr>
          <w:rFonts w:cs="Readex Pro"/>
          <w:sz w:val="20"/>
          <w:szCs w:val="20"/>
        </w:rPr>
        <w:t>On offshore asylum seeker processing, Australia and Nauru recently concluded negotiations for long-term, multi-year funding for the regional processing centre in Nauru.</w:t>
      </w:r>
      <w:r w:rsidRPr="006C4C8F">
        <w:rPr>
          <w:rFonts w:cs="Readex Pro"/>
          <w:sz w:val="20"/>
          <w:szCs w:val="20"/>
          <w:vertAlign w:val="superscript"/>
        </w:rPr>
        <w:footnoteReference w:id="159"/>
      </w:r>
      <w:r w:rsidRPr="006C4C8F">
        <w:rPr>
          <w:rFonts w:cs="Readex Pro"/>
          <w:sz w:val="20"/>
          <w:szCs w:val="20"/>
        </w:rPr>
        <w:t xml:space="preserve"> As of 24 April 2025</w:t>
      </w:r>
      <w:r w:rsidR="005040F1">
        <w:rPr>
          <w:rFonts w:cs="Readex Pro"/>
          <w:sz w:val="20"/>
          <w:szCs w:val="20"/>
        </w:rPr>
        <w:t>,</w:t>
      </w:r>
      <w:r w:rsidRPr="006C4C8F">
        <w:rPr>
          <w:rFonts w:cs="Readex Pro"/>
          <w:sz w:val="20"/>
          <w:szCs w:val="20"/>
        </w:rPr>
        <w:t xml:space="preserve"> there are 93 people on Nauru who have been transferred there for asylum processing, 4 of whom have been determined to be refugees and the remainder going through an appeals process.</w:t>
      </w:r>
      <w:r w:rsidRPr="006C4C8F">
        <w:rPr>
          <w:rFonts w:cs="Readex Pro"/>
          <w:sz w:val="20"/>
          <w:szCs w:val="20"/>
          <w:vertAlign w:val="superscript"/>
        </w:rPr>
        <w:footnoteReference w:id="160"/>
      </w:r>
    </w:p>
    <w:p w14:paraId="493A3CEC" w14:textId="29FD5E23" w:rsidR="00304C25" w:rsidRPr="00384201" w:rsidRDefault="00304C25" w:rsidP="00384201">
      <w:pPr>
        <w:rPr>
          <w:rFonts w:cs="Readex Pro"/>
          <w:sz w:val="20"/>
          <w:szCs w:val="20"/>
        </w:rPr>
      </w:pPr>
      <w:r w:rsidRPr="006C4C8F">
        <w:rPr>
          <w:rFonts w:cs="Readex Pro"/>
          <w:sz w:val="20"/>
          <w:szCs w:val="20"/>
        </w:rPr>
        <w:t>Further, on 16 February 2025, the Australian Government announced Nauru would resettle members of the NZYQ cohort as part of an agreement between the two countries.</w:t>
      </w:r>
      <w:r w:rsidRPr="006C4C8F">
        <w:rPr>
          <w:rFonts w:cs="Readex Pro"/>
          <w:sz w:val="20"/>
          <w:szCs w:val="20"/>
          <w:vertAlign w:val="superscript"/>
        </w:rPr>
        <w:footnoteReference w:id="161"/>
      </w:r>
      <w:r w:rsidRPr="006C4C8F">
        <w:rPr>
          <w:rFonts w:cs="Readex Pro"/>
          <w:sz w:val="20"/>
          <w:szCs w:val="20"/>
        </w:rPr>
        <w:t xml:space="preserve"> This would be in exchange for </w:t>
      </w:r>
      <w:r w:rsidR="00042AC4" w:rsidRPr="006C4C8F">
        <w:rPr>
          <w:rFonts w:cs="Readex Pro"/>
          <w:sz w:val="20"/>
          <w:szCs w:val="20"/>
        </w:rPr>
        <w:t xml:space="preserve">the Australian Government </w:t>
      </w:r>
      <w:r w:rsidRPr="006C4C8F">
        <w:rPr>
          <w:rFonts w:cs="Readex Pro"/>
          <w:sz w:val="20"/>
          <w:szCs w:val="20"/>
        </w:rPr>
        <w:t>pay</w:t>
      </w:r>
      <w:r w:rsidR="00042AC4">
        <w:rPr>
          <w:rFonts w:cs="Readex Pro"/>
          <w:sz w:val="20"/>
          <w:szCs w:val="20"/>
        </w:rPr>
        <w:t>ing</w:t>
      </w:r>
      <w:r w:rsidRPr="006C4C8F">
        <w:rPr>
          <w:rFonts w:cs="Readex Pro"/>
          <w:sz w:val="20"/>
          <w:szCs w:val="20"/>
        </w:rPr>
        <w:t xml:space="preserve"> Nauru, after amendments were made to Australian law to give the Australian Government legal authority to pay a third</w:t>
      </w:r>
      <w:r w:rsidRPr="00384201">
        <w:rPr>
          <w:rFonts w:cs="Readex Pro"/>
          <w:sz w:val="20"/>
          <w:szCs w:val="20"/>
        </w:rPr>
        <w:t xml:space="preserve"> country to accept ‘unlawful non-citizens’ whom it wants to remove from Australia.</w:t>
      </w:r>
      <w:r w:rsidRPr="00384201">
        <w:rPr>
          <w:rFonts w:cs="Readex Pro"/>
          <w:sz w:val="20"/>
          <w:szCs w:val="20"/>
          <w:vertAlign w:val="superscript"/>
        </w:rPr>
        <w:footnoteReference w:id="162"/>
      </w:r>
      <w:r w:rsidRPr="00384201">
        <w:rPr>
          <w:rFonts w:cs="Readex Pro"/>
          <w:sz w:val="20"/>
          <w:szCs w:val="20"/>
        </w:rPr>
        <w:t xml:space="preserve"> Despite providing legal authority however, the legislation does not provide guarantees to a person’s safety (including whether they may be subject to detention) or that minimum human rights standards must be adhered to by the third country.</w:t>
      </w:r>
    </w:p>
    <w:p w14:paraId="3326BF4A" w14:textId="77777777" w:rsidR="00AE6335" w:rsidRDefault="00304C25" w:rsidP="00892F24">
      <w:pPr>
        <w:rPr>
          <w:rFonts w:cs="Readex Pro"/>
          <w:sz w:val="20"/>
          <w:szCs w:val="20"/>
        </w:rPr>
      </w:pPr>
      <w:r w:rsidRPr="00384201">
        <w:rPr>
          <w:rFonts w:cs="Readex Pro"/>
          <w:sz w:val="20"/>
          <w:szCs w:val="20"/>
        </w:rPr>
        <w:t xml:space="preserve">Three members of the NZYQ cohort were </w:t>
      </w:r>
      <w:r w:rsidR="00492643">
        <w:rPr>
          <w:rFonts w:cs="Readex Pro"/>
          <w:sz w:val="20"/>
          <w:szCs w:val="20"/>
        </w:rPr>
        <w:t xml:space="preserve">re-detained </w:t>
      </w:r>
      <w:r w:rsidRPr="00384201">
        <w:rPr>
          <w:rFonts w:cs="Readex Pro"/>
          <w:sz w:val="20"/>
          <w:szCs w:val="20"/>
        </w:rPr>
        <w:t xml:space="preserve">pending </w:t>
      </w:r>
      <w:r w:rsidR="00492643">
        <w:rPr>
          <w:rFonts w:cs="Readex Pro"/>
          <w:sz w:val="20"/>
          <w:szCs w:val="20"/>
        </w:rPr>
        <w:t xml:space="preserve">their </w:t>
      </w:r>
      <w:r w:rsidRPr="00384201">
        <w:rPr>
          <w:rFonts w:cs="Readex Pro"/>
          <w:sz w:val="20"/>
          <w:szCs w:val="20"/>
        </w:rPr>
        <w:t>removal from Australia to Nauru under the agreement. However, questions remain about the arrangement, and what it means for the people involved;</w:t>
      </w:r>
      <w:r w:rsidRPr="00384201">
        <w:rPr>
          <w:rFonts w:cs="Readex Pro"/>
          <w:sz w:val="20"/>
          <w:szCs w:val="20"/>
          <w:vertAlign w:val="superscript"/>
        </w:rPr>
        <w:footnoteReference w:id="163"/>
      </w:r>
      <w:r w:rsidRPr="00384201">
        <w:rPr>
          <w:rFonts w:cs="Readex Pro"/>
          <w:sz w:val="20"/>
          <w:szCs w:val="20"/>
        </w:rPr>
        <w:t xml:space="preserve"> as of </w:t>
      </w:r>
      <w:r w:rsidR="00492643">
        <w:rPr>
          <w:rFonts w:cs="Readex Pro"/>
          <w:sz w:val="20"/>
          <w:szCs w:val="20"/>
        </w:rPr>
        <w:t>August</w:t>
      </w:r>
      <w:r w:rsidR="00492643" w:rsidRPr="00384201">
        <w:rPr>
          <w:rFonts w:cs="Readex Pro"/>
          <w:sz w:val="20"/>
          <w:szCs w:val="20"/>
        </w:rPr>
        <w:t xml:space="preserve"> </w:t>
      </w:r>
      <w:r w:rsidRPr="00384201">
        <w:rPr>
          <w:rFonts w:cs="Readex Pro"/>
          <w:sz w:val="20"/>
          <w:szCs w:val="20"/>
        </w:rPr>
        <w:t>2025, the removal of the individuals to Nauru had been placed</w:t>
      </w:r>
      <w:r w:rsidR="005040F1">
        <w:rPr>
          <w:rFonts w:cs="Readex Pro"/>
          <w:sz w:val="20"/>
          <w:szCs w:val="20"/>
        </w:rPr>
        <w:t xml:space="preserve"> on</w:t>
      </w:r>
      <w:r w:rsidRPr="00384201">
        <w:rPr>
          <w:rFonts w:cs="Readex Pro"/>
          <w:sz w:val="20"/>
          <w:szCs w:val="20"/>
        </w:rPr>
        <w:t xml:space="preserve"> hold pending legal challenges filed by each of the individuals concerned.</w:t>
      </w:r>
      <w:r w:rsidRPr="00384201">
        <w:rPr>
          <w:rFonts w:cs="Readex Pro"/>
          <w:sz w:val="20"/>
          <w:szCs w:val="20"/>
          <w:vertAlign w:val="superscript"/>
        </w:rPr>
        <w:footnoteReference w:id="164"/>
      </w:r>
    </w:p>
    <w:p w14:paraId="2AFC2646" w14:textId="7B3B75E5" w:rsidR="00384201" w:rsidRDefault="00490349" w:rsidP="00892F24">
      <w:pPr>
        <w:rPr>
          <w:rFonts w:cs="Readex Pro"/>
          <w:sz w:val="20"/>
          <w:szCs w:val="20"/>
        </w:rPr>
      </w:pPr>
      <w:r>
        <w:rPr>
          <w:rFonts w:cs="Readex Pro"/>
          <w:sz w:val="20"/>
          <w:szCs w:val="20"/>
        </w:rPr>
        <w:t xml:space="preserve">On 29 August 2025, the Australian and Nauru governments signed an agreement under which the Australian Government will pay the Nauru Government more than $AUD408 million, and then almost $AUD70 million </w:t>
      </w:r>
      <w:r>
        <w:rPr>
          <w:rFonts w:cs="Readex Pro"/>
          <w:sz w:val="20"/>
          <w:szCs w:val="20"/>
        </w:rPr>
        <w:lastRenderedPageBreak/>
        <w:t>annually, to resettle members of the NZYQ cohort.</w:t>
      </w:r>
      <w:r>
        <w:rPr>
          <w:rStyle w:val="FootnoteReference"/>
          <w:rFonts w:cs="Readex Pro"/>
          <w:sz w:val="20"/>
          <w:szCs w:val="20"/>
        </w:rPr>
        <w:footnoteReference w:id="165"/>
      </w:r>
      <w:r w:rsidR="00E14FA2">
        <w:rPr>
          <w:rFonts w:cs="Readex Pro"/>
          <w:sz w:val="20"/>
          <w:szCs w:val="20"/>
        </w:rPr>
        <w:t xml:space="preserve"> While this would apparently involve long-term Nauru</w:t>
      </w:r>
      <w:r w:rsidR="00AE6335">
        <w:rPr>
          <w:rFonts w:cs="Readex Pro"/>
          <w:sz w:val="20"/>
          <w:szCs w:val="20"/>
        </w:rPr>
        <w:t>an</w:t>
      </w:r>
      <w:r w:rsidR="00E14FA2">
        <w:rPr>
          <w:rFonts w:cs="Readex Pro"/>
          <w:sz w:val="20"/>
          <w:szCs w:val="20"/>
        </w:rPr>
        <w:t xml:space="preserve"> visas for these people,</w:t>
      </w:r>
      <w:r w:rsidR="00E14FA2">
        <w:rPr>
          <w:rStyle w:val="FootnoteReference"/>
          <w:rFonts w:cs="Readex Pro"/>
          <w:sz w:val="20"/>
          <w:szCs w:val="20"/>
        </w:rPr>
        <w:footnoteReference w:id="166"/>
      </w:r>
      <w:r w:rsidR="00E14FA2">
        <w:rPr>
          <w:rFonts w:cs="Readex Pro"/>
          <w:sz w:val="20"/>
          <w:szCs w:val="20"/>
        </w:rPr>
        <w:t xml:space="preserve"> there is little further detail</w:t>
      </w:r>
      <w:r w:rsidR="00AE6335">
        <w:rPr>
          <w:rFonts w:cs="Readex Pro"/>
          <w:sz w:val="20"/>
          <w:szCs w:val="20"/>
        </w:rPr>
        <w:t xml:space="preserve"> known</w:t>
      </w:r>
      <w:r w:rsidR="00E14FA2">
        <w:rPr>
          <w:rFonts w:cs="Readex Pro"/>
          <w:sz w:val="20"/>
          <w:szCs w:val="20"/>
        </w:rPr>
        <w:t xml:space="preserve">. At the same time, the Australian Government has </w:t>
      </w:r>
      <w:r w:rsidR="00D310CA">
        <w:rPr>
          <w:rFonts w:cs="Readex Pro"/>
          <w:sz w:val="20"/>
          <w:szCs w:val="20"/>
        </w:rPr>
        <w:t xml:space="preserve">now </w:t>
      </w:r>
      <w:r w:rsidR="00E14FA2">
        <w:rPr>
          <w:rFonts w:cs="Readex Pro"/>
          <w:sz w:val="20"/>
          <w:szCs w:val="20"/>
        </w:rPr>
        <w:t xml:space="preserve">introduced legislation to Parliament </w:t>
      </w:r>
      <w:r w:rsidR="00DF1316">
        <w:rPr>
          <w:rFonts w:cs="Readex Pro"/>
          <w:sz w:val="20"/>
          <w:szCs w:val="20"/>
        </w:rPr>
        <w:t xml:space="preserve">which would </w:t>
      </w:r>
      <w:r w:rsidR="00EA333E">
        <w:rPr>
          <w:rFonts w:cs="Readex Pro"/>
          <w:sz w:val="20"/>
          <w:szCs w:val="20"/>
        </w:rPr>
        <w:t xml:space="preserve">remove </w:t>
      </w:r>
      <w:r w:rsidR="00D310CA">
        <w:rPr>
          <w:rFonts w:cs="Readex Pro"/>
          <w:sz w:val="20"/>
          <w:szCs w:val="20"/>
        </w:rPr>
        <w:t xml:space="preserve">applicability of the rules of </w:t>
      </w:r>
      <w:r w:rsidR="00EA333E">
        <w:rPr>
          <w:rFonts w:cs="Readex Pro"/>
          <w:sz w:val="20"/>
          <w:szCs w:val="20"/>
        </w:rPr>
        <w:t xml:space="preserve">natural justice </w:t>
      </w:r>
      <w:r w:rsidR="00DF1316">
        <w:rPr>
          <w:rFonts w:cs="Readex Pro"/>
          <w:sz w:val="20"/>
          <w:szCs w:val="20"/>
        </w:rPr>
        <w:t>in relation to third country reception arrangements</w:t>
      </w:r>
      <w:r w:rsidR="00EA333E">
        <w:rPr>
          <w:rFonts w:cs="Readex Pro"/>
          <w:sz w:val="20"/>
          <w:szCs w:val="20"/>
        </w:rPr>
        <w:t>.</w:t>
      </w:r>
      <w:r w:rsidR="00D310CA">
        <w:rPr>
          <w:rStyle w:val="FootnoteReference"/>
          <w:rFonts w:cs="Readex Pro"/>
          <w:sz w:val="20"/>
          <w:szCs w:val="20"/>
        </w:rPr>
        <w:footnoteReference w:id="167"/>
      </w:r>
    </w:p>
    <w:tbl>
      <w:tblPr>
        <w:tblStyle w:val="GridTable4-Accent2"/>
        <w:tblpPr w:leftFromText="180" w:rightFromText="180" w:vertAnchor="text" w:horzAnchor="margin" w:tblpY="6"/>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393FC938"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34094B74" w14:textId="3DB00F10" w:rsidR="007F1E9F" w:rsidRPr="001B7386" w:rsidRDefault="003C7E7D" w:rsidP="0013605E">
            <w:pPr>
              <w:ind w:left="275"/>
              <w:rPr>
                <w:sz w:val="20"/>
                <w:szCs w:val="20"/>
              </w:rPr>
            </w:pPr>
            <w:r w:rsidRPr="001B7386">
              <w:rPr>
                <w:noProof/>
                <w:sz w:val="20"/>
                <w:szCs w:val="20"/>
              </w:rPr>
              <w:drawing>
                <wp:anchor distT="0" distB="0" distL="114300" distR="114300" simplePos="0" relativeHeight="251844608" behindDoc="1" locked="0" layoutInCell="1" allowOverlap="1" wp14:anchorId="5F17395E" wp14:editId="141AF24D">
                  <wp:simplePos x="0" y="0"/>
                  <wp:positionH relativeFrom="column">
                    <wp:posOffset>-281305</wp:posOffset>
                  </wp:positionH>
                  <wp:positionV relativeFrom="paragraph">
                    <wp:posOffset>70856</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970353193"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63A07A4E" w14:textId="5F7F9CD2" w:rsidR="007F1E9F" w:rsidRPr="001B7386" w:rsidRDefault="007F1E9F" w:rsidP="004541B6">
            <w:pPr>
              <w:pStyle w:val="ListParagraph"/>
              <w:numPr>
                <w:ilvl w:val="0"/>
                <w:numId w:val="16"/>
              </w:numPr>
              <w:rPr>
                <w:sz w:val="20"/>
                <w:szCs w:val="20"/>
              </w:rPr>
            </w:pPr>
            <w:r w:rsidRPr="001B7386">
              <w:rPr>
                <w:sz w:val="20"/>
                <w:szCs w:val="20"/>
              </w:rPr>
              <w:t>the policy of mandatory immigration detention</w:t>
            </w:r>
            <w:r w:rsidR="00136534" w:rsidRPr="001B7386">
              <w:rPr>
                <w:sz w:val="20"/>
                <w:szCs w:val="20"/>
              </w:rPr>
              <w:t>,</w:t>
            </w:r>
            <w:r w:rsidRPr="001B7386">
              <w:rPr>
                <w:sz w:val="20"/>
                <w:szCs w:val="20"/>
              </w:rPr>
              <w:t xml:space="preserve"> </w:t>
            </w:r>
            <w:r w:rsidR="00304C25" w:rsidRPr="001B7386">
              <w:rPr>
                <w:sz w:val="20"/>
                <w:szCs w:val="20"/>
              </w:rPr>
              <w:t xml:space="preserve">including </w:t>
            </w:r>
            <w:r w:rsidRPr="001B7386">
              <w:rPr>
                <w:sz w:val="20"/>
                <w:szCs w:val="20"/>
              </w:rPr>
              <w:t>of children</w:t>
            </w:r>
            <w:r w:rsidR="00EC7814" w:rsidRPr="001B7386">
              <w:rPr>
                <w:sz w:val="20"/>
                <w:szCs w:val="20"/>
              </w:rPr>
              <w:t xml:space="preserve"> and young people</w:t>
            </w:r>
          </w:p>
          <w:p w14:paraId="1E80E206" w14:textId="5B0236BA" w:rsidR="007F1E9F" w:rsidRPr="001B7386" w:rsidRDefault="007F1E9F" w:rsidP="004541B6">
            <w:pPr>
              <w:pStyle w:val="ListParagraph"/>
              <w:numPr>
                <w:ilvl w:val="0"/>
                <w:numId w:val="16"/>
              </w:numPr>
              <w:rPr>
                <w:sz w:val="20"/>
                <w:szCs w:val="20"/>
              </w:rPr>
            </w:pPr>
            <w:r w:rsidRPr="001B7386">
              <w:rPr>
                <w:sz w:val="20"/>
                <w:szCs w:val="20"/>
              </w:rPr>
              <w:t>plans for significantly reducing the average time spent in immigration detention in Australia including to address the risk of arbitrary detention, particularly for the 17</w:t>
            </w:r>
            <w:r w:rsidR="00304C25" w:rsidRPr="001B7386">
              <w:rPr>
                <w:sz w:val="20"/>
                <w:szCs w:val="20"/>
              </w:rPr>
              <w:t>0</w:t>
            </w:r>
            <w:r w:rsidRPr="001B7386">
              <w:rPr>
                <w:sz w:val="20"/>
                <w:szCs w:val="20"/>
              </w:rPr>
              <w:t xml:space="preserve"> people held in immigration detention for more than 2 years</w:t>
            </w:r>
          </w:p>
          <w:p w14:paraId="516BB1EE" w14:textId="5C0A42F0" w:rsidR="007F1E9F" w:rsidRPr="001B7386" w:rsidRDefault="007F1E9F" w:rsidP="004541B6">
            <w:pPr>
              <w:pStyle w:val="ListParagraph"/>
              <w:numPr>
                <w:ilvl w:val="0"/>
                <w:numId w:val="16"/>
              </w:numPr>
              <w:rPr>
                <w:sz w:val="20"/>
                <w:szCs w:val="20"/>
              </w:rPr>
            </w:pPr>
            <w:r w:rsidRPr="001B7386">
              <w:rPr>
                <w:sz w:val="20"/>
                <w:szCs w:val="20"/>
              </w:rPr>
              <w:t>long-term plans for the people impacted by the High Court of Australia decision in the NZYQ case</w:t>
            </w:r>
            <w:r w:rsidR="002A1704" w:rsidRPr="001B7386">
              <w:rPr>
                <w:sz w:val="20"/>
                <w:szCs w:val="20"/>
              </w:rPr>
              <w:t>,</w:t>
            </w:r>
            <w:r w:rsidRPr="001B7386">
              <w:rPr>
                <w:sz w:val="20"/>
                <w:szCs w:val="20"/>
              </w:rPr>
              <w:t xml:space="preserve"> including resettlement agreements with Nauru</w:t>
            </w:r>
          </w:p>
          <w:p w14:paraId="310C204C" w14:textId="752220D3" w:rsidR="007F1E9F" w:rsidRPr="001B7386" w:rsidRDefault="007F1E9F" w:rsidP="004541B6">
            <w:pPr>
              <w:pStyle w:val="ListParagraph"/>
              <w:numPr>
                <w:ilvl w:val="0"/>
                <w:numId w:val="16"/>
              </w:numPr>
            </w:pPr>
            <w:r w:rsidRPr="001B7386">
              <w:rPr>
                <w:sz w:val="20"/>
                <w:szCs w:val="20"/>
              </w:rPr>
              <w:t xml:space="preserve">independent oversight of Australian Government-funded detention arrangements </w:t>
            </w:r>
            <w:proofErr w:type="gramStart"/>
            <w:r w:rsidRPr="001B7386">
              <w:rPr>
                <w:sz w:val="20"/>
                <w:szCs w:val="20"/>
              </w:rPr>
              <w:t>on</w:t>
            </w:r>
            <w:proofErr w:type="gramEnd"/>
            <w:r w:rsidRPr="001B7386">
              <w:rPr>
                <w:sz w:val="20"/>
                <w:szCs w:val="20"/>
              </w:rPr>
              <w:t xml:space="preserve"> Nauru as part of regional processing of asylum seekers.</w:t>
            </w:r>
          </w:p>
        </w:tc>
      </w:tr>
    </w:tbl>
    <w:p w14:paraId="338D082B" w14:textId="2B6559D8" w:rsidR="007F1E9F" w:rsidRPr="00B50F91" w:rsidRDefault="007F1E9F" w:rsidP="00B50F91">
      <w:pPr>
        <w:pStyle w:val="Heading3"/>
        <w:spacing w:before="120"/>
        <w:rPr>
          <w:color w:val="719243" w:themeColor="accent2"/>
        </w:rPr>
      </w:pPr>
      <w:bookmarkStart w:id="87" w:name="_Toc202978759"/>
      <w:bookmarkStart w:id="88" w:name="_Toc208584115"/>
      <w:r w:rsidRPr="00B50F91">
        <w:rPr>
          <w:color w:val="719243" w:themeColor="accent2"/>
        </w:rPr>
        <w:t>Use of restrictive practices in immigration detention, including restraint and isolation</w:t>
      </w:r>
      <w:bookmarkEnd w:id="87"/>
      <w:bookmarkEnd w:id="88"/>
    </w:p>
    <w:p w14:paraId="50C8B57D"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447F1FE7" w14:textId="29DB3232" w:rsidR="007F1E9F" w:rsidRPr="00257524" w:rsidRDefault="007F1E9F" w:rsidP="00977095">
      <w:pPr>
        <w:rPr>
          <w:rFonts w:cs="Readex Pro"/>
          <w:sz w:val="20"/>
          <w:szCs w:val="20"/>
        </w:rPr>
      </w:pPr>
      <w:r w:rsidRPr="00257524">
        <w:rPr>
          <w:rFonts w:cs="Readex Pro"/>
          <w:sz w:val="20"/>
          <w:szCs w:val="20"/>
        </w:rPr>
        <w:t>Numerous complaints of and incidents involving excessive or unnecessary use of force by the contracted security service provider have been reported across multiple immigration detention facilities.</w:t>
      </w:r>
      <w:bookmarkStart w:id="89" w:name="_Ref207117896"/>
      <w:r w:rsidRPr="00257524">
        <w:rPr>
          <w:rFonts w:cs="Readex Pro"/>
          <w:sz w:val="20"/>
          <w:szCs w:val="20"/>
          <w:vertAlign w:val="superscript"/>
        </w:rPr>
        <w:footnoteReference w:id="168"/>
      </w:r>
      <w:bookmarkEnd w:id="89"/>
      <w:r w:rsidRPr="00257524">
        <w:rPr>
          <w:rFonts w:cs="Readex Pro"/>
          <w:sz w:val="20"/>
          <w:szCs w:val="20"/>
        </w:rPr>
        <w:t xml:space="preserve"> Both the Commonwealth NPM and AHRC have repeatedly made recommendations on use of force in immigration detention, including calling for cessation of routine use of mechanical restraints for transport and escort purposes across the immigration detention network.</w:t>
      </w:r>
      <w:bookmarkStart w:id="90" w:name="_Ref207117638"/>
      <w:r w:rsidRPr="00257524">
        <w:rPr>
          <w:rFonts w:cs="Readex Pro"/>
          <w:sz w:val="20"/>
          <w:szCs w:val="20"/>
          <w:vertAlign w:val="superscript"/>
        </w:rPr>
        <w:footnoteReference w:id="169"/>
      </w:r>
      <w:bookmarkEnd w:id="90"/>
      <w:r w:rsidRPr="00257524">
        <w:rPr>
          <w:rFonts w:cs="Readex Pro"/>
          <w:sz w:val="20"/>
          <w:szCs w:val="20"/>
        </w:rPr>
        <w:t xml:space="preserve"> </w:t>
      </w:r>
    </w:p>
    <w:p w14:paraId="4BF21D0F" w14:textId="53C65E0C" w:rsidR="007F1E9F" w:rsidRPr="00257524" w:rsidRDefault="007F1E9F" w:rsidP="00977095">
      <w:pPr>
        <w:rPr>
          <w:rFonts w:cs="Readex Pro"/>
          <w:sz w:val="20"/>
          <w:szCs w:val="20"/>
        </w:rPr>
      </w:pPr>
      <w:r w:rsidRPr="00257524">
        <w:rPr>
          <w:rFonts w:cs="Readex Pro"/>
          <w:sz w:val="20"/>
          <w:szCs w:val="20"/>
        </w:rPr>
        <w:t>The Commonwealth NPM also identified a case where the Australian Border Force used a chemical restraint on an individual to gain compliance to facilitate their involuntary removal from Australia.</w:t>
      </w:r>
      <w:r w:rsidRPr="00257524">
        <w:rPr>
          <w:rFonts w:cs="Readex Pro"/>
          <w:sz w:val="20"/>
          <w:szCs w:val="20"/>
          <w:vertAlign w:val="superscript"/>
        </w:rPr>
        <w:footnoteReference w:id="170"/>
      </w:r>
    </w:p>
    <w:p w14:paraId="2251A7FC" w14:textId="7C9882B6" w:rsidR="007F1E9F" w:rsidRPr="005B7757" w:rsidRDefault="007F1E9F" w:rsidP="00977095">
      <w:pPr>
        <w:rPr>
          <w:rFonts w:cs="Readex Pro"/>
          <w:sz w:val="20"/>
          <w:szCs w:val="20"/>
        </w:rPr>
      </w:pPr>
      <w:r w:rsidRPr="005B7757">
        <w:rPr>
          <w:rFonts w:cs="Readex Pro"/>
          <w:sz w:val="20"/>
          <w:szCs w:val="20"/>
        </w:rPr>
        <w:t>High Care Accommodation (HCA) is the name given to sections of immigration detention facilities where people detained can be separated from the rest of the detention population. A form of isolation, HCA is often used to separate people involved in violent incidents, for health reasons such as quarantine, or to monitor someone at risk of self-harm. While designed only to be used for as short a period as possible, there is no overall limit on the amount of time people can be held in isolation or separate detention.</w:t>
      </w:r>
      <w:bookmarkStart w:id="91" w:name="_Ref204081455"/>
      <w:r w:rsidRPr="005B7757">
        <w:rPr>
          <w:rFonts w:cs="Readex Pro"/>
          <w:sz w:val="20"/>
          <w:szCs w:val="20"/>
          <w:vertAlign w:val="superscript"/>
        </w:rPr>
        <w:footnoteReference w:id="171"/>
      </w:r>
      <w:bookmarkEnd w:id="91"/>
      <w:r w:rsidRPr="005B7757">
        <w:rPr>
          <w:rFonts w:cs="Readex Pro"/>
          <w:sz w:val="20"/>
          <w:szCs w:val="20"/>
        </w:rPr>
        <w:t xml:space="preserve"> </w:t>
      </w:r>
    </w:p>
    <w:p w14:paraId="31A638BA" w14:textId="700395E7" w:rsidR="007F1E9F" w:rsidRPr="005B7757" w:rsidRDefault="007F1E9F" w:rsidP="00977095">
      <w:pPr>
        <w:rPr>
          <w:rFonts w:cs="Readex Pro"/>
          <w:sz w:val="20"/>
          <w:szCs w:val="20"/>
        </w:rPr>
      </w:pPr>
      <w:r w:rsidRPr="005B7757">
        <w:rPr>
          <w:rFonts w:cs="Readex Pro"/>
          <w:sz w:val="20"/>
          <w:szCs w:val="20"/>
        </w:rPr>
        <w:t xml:space="preserve">The AHRC has commented HCA’s </w:t>
      </w:r>
      <w:r w:rsidR="00AB255B">
        <w:rPr>
          <w:rFonts w:cs="Readex Pro"/>
          <w:sz w:val="20"/>
          <w:szCs w:val="20"/>
        </w:rPr>
        <w:t>‘</w:t>
      </w:r>
      <w:r w:rsidRPr="005B7757">
        <w:rPr>
          <w:rFonts w:cs="Readex Pro"/>
          <w:sz w:val="20"/>
          <w:szCs w:val="20"/>
        </w:rPr>
        <w:t>prison-like conditions would not be necessary, reasonable or proportionate in any but the most exceptional cases</w:t>
      </w:r>
      <w:r w:rsidR="00AB255B">
        <w:rPr>
          <w:rFonts w:cs="Readex Pro"/>
          <w:sz w:val="20"/>
          <w:szCs w:val="20"/>
        </w:rPr>
        <w:t>’</w:t>
      </w:r>
      <w:r w:rsidRPr="005B7757">
        <w:rPr>
          <w:rFonts w:cs="Readex Pro"/>
          <w:sz w:val="20"/>
          <w:szCs w:val="20"/>
        </w:rPr>
        <w:t xml:space="preserve"> and is particularly unsuitable for people with significant </w:t>
      </w:r>
      <w:r w:rsidRPr="005B7757">
        <w:rPr>
          <w:rFonts w:cs="Readex Pro"/>
          <w:sz w:val="20"/>
          <w:szCs w:val="20"/>
        </w:rPr>
        <w:lastRenderedPageBreak/>
        <w:t>mental health issues or at risk of self-harm.</w:t>
      </w:r>
      <w:r w:rsidRPr="005B7757">
        <w:rPr>
          <w:rFonts w:cs="Readex Pro"/>
          <w:sz w:val="20"/>
          <w:szCs w:val="20"/>
          <w:vertAlign w:val="superscript"/>
        </w:rPr>
        <w:footnoteReference w:id="172"/>
      </w:r>
      <w:r w:rsidRPr="005B7757">
        <w:rPr>
          <w:rFonts w:cs="Readex Pro"/>
          <w:sz w:val="20"/>
          <w:szCs w:val="20"/>
        </w:rPr>
        <w:t xml:space="preserve"> In 2020 the AHRC recommended alternative options to HCA </w:t>
      </w:r>
      <w:r w:rsidR="00042AC4">
        <w:rPr>
          <w:rFonts w:cs="Readex Pro"/>
          <w:sz w:val="20"/>
          <w:szCs w:val="20"/>
        </w:rPr>
        <w:t xml:space="preserve">be used </w:t>
      </w:r>
      <w:r w:rsidRPr="005B7757">
        <w:rPr>
          <w:rFonts w:cs="Readex Pro"/>
          <w:sz w:val="20"/>
          <w:szCs w:val="20"/>
        </w:rPr>
        <w:t xml:space="preserve">where separation was </w:t>
      </w:r>
      <w:proofErr w:type="gramStart"/>
      <w:r w:rsidRPr="005B7757">
        <w:rPr>
          <w:rFonts w:cs="Readex Pro"/>
          <w:sz w:val="20"/>
          <w:szCs w:val="20"/>
        </w:rPr>
        <w:t>necessary</w:t>
      </w:r>
      <w:proofErr w:type="gramEnd"/>
      <w:r w:rsidRPr="005B7757">
        <w:rPr>
          <w:rFonts w:cs="Readex Pro"/>
          <w:sz w:val="20"/>
          <w:szCs w:val="20"/>
        </w:rPr>
        <w:t xml:space="preserve"> but HCA would be unreasonable or disproportionate</w:t>
      </w:r>
      <w:r w:rsidR="00C16F88">
        <w:rPr>
          <w:rFonts w:cs="Readex Pro"/>
          <w:sz w:val="20"/>
          <w:szCs w:val="20"/>
        </w:rPr>
        <w:t>. T</w:t>
      </w:r>
      <w:r w:rsidRPr="005B7757">
        <w:rPr>
          <w:rFonts w:cs="Readex Pro"/>
          <w:sz w:val="20"/>
          <w:szCs w:val="20"/>
        </w:rPr>
        <w:t>he Department did not agree with the recommendation.</w:t>
      </w:r>
      <w:r w:rsidRPr="005B7757">
        <w:rPr>
          <w:rFonts w:cs="Readex Pro"/>
          <w:sz w:val="20"/>
          <w:szCs w:val="20"/>
          <w:vertAlign w:val="superscript"/>
        </w:rPr>
        <w:footnoteReference w:id="173"/>
      </w:r>
    </w:p>
    <w:p w14:paraId="7E350674" w14:textId="5F05D056" w:rsidR="007F1E9F" w:rsidRPr="00D22E43" w:rsidRDefault="007F1E9F" w:rsidP="00977095">
      <w:pPr>
        <w:rPr>
          <w:rFonts w:cs="Readex Pro"/>
          <w:sz w:val="20"/>
          <w:szCs w:val="20"/>
          <w:highlight w:val="cyan"/>
        </w:rPr>
      </w:pPr>
      <w:r w:rsidRPr="005B7757">
        <w:rPr>
          <w:rFonts w:cs="Readex Pro"/>
          <w:sz w:val="20"/>
          <w:szCs w:val="20"/>
        </w:rPr>
        <w:t>The Commonwealth NPM has also observed concerning uses of HCA, including an individual with a diagnosed psychosocial disability placed in HCA for ‘respite’ purposes for over 50 days after being physically assaulted, effectively amounting to solitary confinement, as facility management were not satisfied the person could be safely housed in a different area without sustaining further injury.</w:t>
      </w:r>
      <w:r w:rsidRPr="005B7757">
        <w:rPr>
          <w:rFonts w:cs="Readex Pro"/>
          <w:sz w:val="20"/>
          <w:szCs w:val="20"/>
          <w:vertAlign w:val="superscript"/>
        </w:rPr>
        <w:footnoteReference w:id="174"/>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65594B93" w14:textId="77777777" w:rsidTr="00444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54C5FF72" w14:textId="30457AEC" w:rsidR="007F1E9F" w:rsidRPr="0013605E" w:rsidRDefault="008C2EE2" w:rsidP="0013605E">
            <w:pPr>
              <w:ind w:left="275"/>
              <w:rPr>
                <w:sz w:val="20"/>
                <w:szCs w:val="20"/>
              </w:rPr>
            </w:pPr>
            <w:bookmarkStart w:id="92" w:name="_Toc202978760"/>
            <w:r w:rsidRPr="001B7386">
              <w:rPr>
                <w:noProof/>
                <w:sz w:val="20"/>
                <w:szCs w:val="20"/>
              </w:rPr>
              <w:drawing>
                <wp:anchor distT="0" distB="0" distL="114300" distR="114300" simplePos="0" relativeHeight="251848704" behindDoc="1" locked="0" layoutInCell="1" allowOverlap="1" wp14:anchorId="2DB53752" wp14:editId="7574ED8D">
                  <wp:simplePos x="0" y="0"/>
                  <wp:positionH relativeFrom="column">
                    <wp:posOffset>-280035</wp:posOffset>
                  </wp:positionH>
                  <wp:positionV relativeFrom="paragraph">
                    <wp:posOffset>61331</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575051184"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4C8E1B12" w14:textId="227ECF33" w:rsidR="007F1E9F" w:rsidRPr="001B7386" w:rsidRDefault="007F1E9F" w:rsidP="004541B6">
            <w:pPr>
              <w:pStyle w:val="ListParagraph"/>
              <w:numPr>
                <w:ilvl w:val="0"/>
                <w:numId w:val="17"/>
              </w:numPr>
              <w:rPr>
                <w:b w:val="0"/>
                <w:bCs w:val="0"/>
                <w:sz w:val="20"/>
                <w:szCs w:val="20"/>
              </w:rPr>
            </w:pPr>
            <w:r w:rsidRPr="001B7386">
              <w:rPr>
                <w:sz w:val="20"/>
                <w:szCs w:val="20"/>
              </w:rPr>
              <w:t xml:space="preserve">measures to reduce all uses </w:t>
            </w:r>
            <w:r w:rsidR="003E57B3" w:rsidRPr="001B7386">
              <w:rPr>
                <w:sz w:val="20"/>
                <w:szCs w:val="20"/>
              </w:rPr>
              <w:t>of</w:t>
            </w:r>
            <w:r w:rsidRPr="001B7386">
              <w:rPr>
                <w:sz w:val="20"/>
                <w:szCs w:val="20"/>
              </w:rPr>
              <w:t xml:space="preserve"> force in immigration detention and ensure that, in practice as well as theory, use of force always remains a last resort after all alternatives have been genuinely considered and exhausted</w:t>
            </w:r>
          </w:p>
          <w:p w14:paraId="4AE59A32" w14:textId="7D207EEE" w:rsidR="007F1E9F" w:rsidRPr="00E61800" w:rsidRDefault="007F1E9F" w:rsidP="004541B6">
            <w:pPr>
              <w:pStyle w:val="ListParagraph"/>
              <w:numPr>
                <w:ilvl w:val="0"/>
                <w:numId w:val="17"/>
              </w:numPr>
              <w:rPr>
                <w:b w:val="0"/>
                <w:bCs w:val="0"/>
              </w:rPr>
            </w:pPr>
            <w:r w:rsidRPr="001B7386">
              <w:rPr>
                <w:sz w:val="20"/>
                <w:szCs w:val="20"/>
              </w:rPr>
              <w:t>measures to ensure isolation practices of any kind are used only as a last resort</w:t>
            </w:r>
            <w:r w:rsidR="00E61800" w:rsidRPr="001B7386">
              <w:rPr>
                <w:sz w:val="20"/>
                <w:szCs w:val="20"/>
              </w:rPr>
              <w:t>.</w:t>
            </w:r>
          </w:p>
        </w:tc>
      </w:tr>
    </w:tbl>
    <w:p w14:paraId="7F5BDD19" w14:textId="77777777" w:rsidR="007F1E9F" w:rsidRPr="00B50F91" w:rsidRDefault="007F1E9F" w:rsidP="00B50F91">
      <w:pPr>
        <w:pStyle w:val="Heading3"/>
        <w:spacing w:before="120"/>
        <w:rPr>
          <w:color w:val="719243" w:themeColor="accent2"/>
        </w:rPr>
      </w:pPr>
      <w:bookmarkStart w:id="93" w:name="_Toc208584116"/>
      <w:r w:rsidRPr="00B50F91">
        <w:rPr>
          <w:color w:val="719243" w:themeColor="accent2"/>
        </w:rPr>
        <w:t>Gender-specific care and support in immigration detention</w:t>
      </w:r>
      <w:bookmarkEnd w:id="93"/>
    </w:p>
    <w:p w14:paraId="3EE75AAC"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54B3F446" w14:textId="2F984DA7" w:rsidR="00492643" w:rsidRPr="00444F9A" w:rsidRDefault="00492643" w:rsidP="00492643">
      <w:pPr>
        <w:rPr>
          <w:rFonts w:cs="Readex Pro"/>
          <w:sz w:val="20"/>
          <w:szCs w:val="20"/>
        </w:rPr>
      </w:pPr>
      <w:r>
        <w:rPr>
          <w:rFonts w:cs="Readex Pro"/>
          <w:sz w:val="20"/>
          <w:szCs w:val="20"/>
        </w:rPr>
        <w:t>W</w:t>
      </w:r>
      <w:r w:rsidRPr="00444F9A">
        <w:rPr>
          <w:rFonts w:cs="Readex Pro"/>
          <w:sz w:val="20"/>
          <w:szCs w:val="20"/>
        </w:rPr>
        <w:t xml:space="preserve">omen in immigration detention continue to face reduced access to services, and </w:t>
      </w:r>
      <w:r>
        <w:rPr>
          <w:rFonts w:cs="Readex Pro"/>
          <w:sz w:val="20"/>
          <w:szCs w:val="20"/>
        </w:rPr>
        <w:t>are</w:t>
      </w:r>
      <w:r w:rsidRPr="00444F9A">
        <w:rPr>
          <w:rFonts w:cs="Readex Pro"/>
          <w:sz w:val="20"/>
          <w:szCs w:val="20"/>
        </w:rPr>
        <w:t xml:space="preserve"> subjected to greater movement restrictions</w:t>
      </w:r>
      <w:r>
        <w:rPr>
          <w:rFonts w:cs="Readex Pro"/>
          <w:sz w:val="20"/>
          <w:szCs w:val="20"/>
        </w:rPr>
        <w:t>, compared with</w:t>
      </w:r>
      <w:r w:rsidRPr="00444F9A">
        <w:rPr>
          <w:rFonts w:cs="Readex Pro"/>
          <w:sz w:val="20"/>
          <w:szCs w:val="20"/>
        </w:rPr>
        <w:t xml:space="preserve"> men</w:t>
      </w:r>
      <w:r w:rsidRPr="005C7B1B">
        <w:rPr>
          <w:rFonts w:cs="Readex Pro"/>
          <w:sz w:val="20"/>
          <w:szCs w:val="20"/>
        </w:rPr>
        <w:t>.</w:t>
      </w:r>
      <w:r w:rsidRPr="005C7B1B">
        <w:rPr>
          <w:rStyle w:val="FootnoteReference"/>
          <w:rFonts w:cs="Readex Pro"/>
          <w:sz w:val="20"/>
          <w:szCs w:val="20"/>
        </w:rPr>
        <w:footnoteReference w:id="175"/>
      </w:r>
      <w:r w:rsidRPr="005C7B1B">
        <w:rPr>
          <w:rFonts w:cs="Readex Pro"/>
          <w:sz w:val="20"/>
          <w:szCs w:val="20"/>
        </w:rPr>
        <w:t xml:space="preserve"> </w:t>
      </w:r>
      <w:r w:rsidRPr="00444F9A">
        <w:rPr>
          <w:rFonts w:cs="Readex Pro"/>
          <w:sz w:val="20"/>
          <w:szCs w:val="20"/>
        </w:rPr>
        <w:t xml:space="preserve">Long-term detention of women is only available in small compounds at Villawood, Melbourne and Perth </w:t>
      </w:r>
      <w:r w:rsidR="001963EE">
        <w:rPr>
          <w:rFonts w:cs="Readex Pro"/>
          <w:sz w:val="20"/>
          <w:szCs w:val="20"/>
        </w:rPr>
        <w:t>Immigration Detention Centres (</w:t>
      </w:r>
      <w:r w:rsidRPr="00444F9A">
        <w:rPr>
          <w:rFonts w:cs="Readex Pro"/>
          <w:sz w:val="20"/>
          <w:szCs w:val="20"/>
        </w:rPr>
        <w:t>IDC</w:t>
      </w:r>
      <w:r w:rsidR="001963EE">
        <w:rPr>
          <w:rFonts w:cs="Readex Pro"/>
          <w:sz w:val="20"/>
          <w:szCs w:val="20"/>
        </w:rPr>
        <w:t>s)</w:t>
      </w:r>
      <w:r w:rsidRPr="00444F9A">
        <w:rPr>
          <w:rFonts w:cs="Readex Pro"/>
          <w:sz w:val="20"/>
          <w:szCs w:val="20"/>
        </w:rPr>
        <w:t xml:space="preserve">. Any woman who enters immigration detention at other locations must either be held in an </w:t>
      </w:r>
      <w:r w:rsidR="002C40C3">
        <w:rPr>
          <w:rFonts w:cs="Readex Pro"/>
          <w:sz w:val="20"/>
          <w:szCs w:val="20"/>
        </w:rPr>
        <w:t>Alternative Place of Detention (</w:t>
      </w:r>
      <w:r w:rsidRPr="00444F9A">
        <w:rPr>
          <w:rFonts w:cs="Readex Pro"/>
          <w:sz w:val="20"/>
          <w:szCs w:val="20"/>
        </w:rPr>
        <w:t>APOD</w:t>
      </w:r>
      <w:r w:rsidR="002C40C3">
        <w:rPr>
          <w:rFonts w:cs="Readex Pro"/>
          <w:sz w:val="20"/>
          <w:szCs w:val="20"/>
        </w:rPr>
        <w:t>)</w:t>
      </w:r>
      <w:r w:rsidRPr="00444F9A">
        <w:rPr>
          <w:rFonts w:cs="Readex Pro"/>
          <w:sz w:val="20"/>
          <w:szCs w:val="20"/>
        </w:rPr>
        <w:t xml:space="preserve"> or transferred interstate, in many cases far from family and support networks.</w:t>
      </w:r>
      <w:r w:rsidRPr="00444F9A">
        <w:rPr>
          <w:rFonts w:cs="Readex Pro"/>
          <w:sz w:val="20"/>
          <w:szCs w:val="20"/>
          <w:vertAlign w:val="superscript"/>
        </w:rPr>
        <w:footnoteReference w:id="176"/>
      </w:r>
    </w:p>
    <w:p w14:paraId="1DD6EC9D" w14:textId="04313617" w:rsidR="007F1E9F" w:rsidRPr="00444F9A" w:rsidRDefault="007F1E9F" w:rsidP="00A71925">
      <w:pPr>
        <w:rPr>
          <w:rFonts w:cs="Readex Pro"/>
          <w:sz w:val="20"/>
          <w:szCs w:val="20"/>
        </w:rPr>
      </w:pPr>
      <w:r w:rsidRPr="00444F9A">
        <w:rPr>
          <w:rFonts w:cs="Readex Pro"/>
          <w:sz w:val="20"/>
          <w:szCs w:val="20"/>
        </w:rPr>
        <w:t>In December 2024</w:t>
      </w:r>
      <w:r w:rsidR="002C40C3">
        <w:rPr>
          <w:rFonts w:cs="Readex Pro"/>
          <w:sz w:val="20"/>
          <w:szCs w:val="20"/>
        </w:rPr>
        <w:t>,</w:t>
      </w:r>
      <w:r w:rsidRPr="00444F9A">
        <w:rPr>
          <w:rFonts w:cs="Readex Pro"/>
          <w:sz w:val="20"/>
          <w:szCs w:val="20"/>
        </w:rPr>
        <w:t xml:space="preserve"> the </w:t>
      </w:r>
      <w:r w:rsidR="00D047C3">
        <w:rPr>
          <w:rFonts w:cs="Readex Pro"/>
          <w:sz w:val="20"/>
          <w:szCs w:val="20"/>
        </w:rPr>
        <w:t>AHRC</w:t>
      </w:r>
      <w:r w:rsidRPr="00444F9A">
        <w:rPr>
          <w:rFonts w:cs="Readex Pro"/>
          <w:sz w:val="20"/>
          <w:szCs w:val="20"/>
        </w:rPr>
        <w:t xml:space="preserve"> </w:t>
      </w:r>
      <w:r w:rsidRPr="00444F9A">
        <w:rPr>
          <w:sz w:val="20"/>
          <w:szCs w:val="20"/>
        </w:rPr>
        <w:t>reported on the experiences of women in immigration detention</w:t>
      </w:r>
      <w:r w:rsidRPr="00444F9A">
        <w:rPr>
          <w:rFonts w:cs="Readex Pro"/>
          <w:sz w:val="20"/>
          <w:szCs w:val="20"/>
        </w:rPr>
        <w:t>, finding a concerning lack of adequate or equitable supports for women, which created serious risks in terms of women’s safety and welfare.</w:t>
      </w:r>
      <w:bookmarkStart w:id="94" w:name="_Ref207118121"/>
      <w:r w:rsidRPr="00444F9A">
        <w:rPr>
          <w:rFonts w:cs="Readex Pro"/>
          <w:sz w:val="20"/>
          <w:szCs w:val="20"/>
          <w:vertAlign w:val="superscript"/>
        </w:rPr>
        <w:footnoteReference w:id="177"/>
      </w:r>
      <w:bookmarkEnd w:id="94"/>
      <w:r w:rsidRPr="00444F9A">
        <w:rPr>
          <w:rFonts w:cs="Readex Pro"/>
          <w:sz w:val="20"/>
          <w:szCs w:val="20"/>
        </w:rPr>
        <w:t xml:space="preserve"> The report noted particular concerns about the cohabitation of men and women at Broadmeadows Residential Precinct at Melbourne IDC, and the safety of women at Villawood IDC, whose compound was adjacent to one with registered sex offenders.</w:t>
      </w:r>
      <w:r w:rsidRPr="00444F9A">
        <w:rPr>
          <w:rFonts w:cs="Readex Pro"/>
          <w:sz w:val="20"/>
          <w:szCs w:val="20"/>
          <w:vertAlign w:val="superscript"/>
        </w:rPr>
        <w:footnoteReference w:id="178"/>
      </w:r>
      <w:r w:rsidRPr="00444F9A">
        <w:rPr>
          <w:rFonts w:cs="Readex Pro"/>
          <w:sz w:val="20"/>
          <w:szCs w:val="20"/>
        </w:rPr>
        <w:t xml:space="preserve"> </w:t>
      </w:r>
    </w:p>
    <w:p w14:paraId="0A955215" w14:textId="77777777" w:rsidR="007F1E9F" w:rsidRDefault="007F1E9F" w:rsidP="00A71925">
      <w:pPr>
        <w:rPr>
          <w:rFonts w:cs="Readex Pro"/>
          <w:sz w:val="20"/>
          <w:szCs w:val="20"/>
        </w:rPr>
      </w:pPr>
      <w:r w:rsidRPr="00444F9A">
        <w:rPr>
          <w:rFonts w:cs="Readex Pro"/>
          <w:sz w:val="20"/>
          <w:szCs w:val="20"/>
        </w:rPr>
        <w:t>Both the AHRC and Commonwealth NPM have also commented on the lack of guidelines and policies for the management and support of transgender people in detention.</w:t>
      </w:r>
      <w:r w:rsidRPr="00444F9A">
        <w:rPr>
          <w:rFonts w:cs="Readex Pro"/>
          <w:sz w:val="20"/>
          <w:szCs w:val="20"/>
          <w:vertAlign w:val="superscript"/>
        </w:rPr>
        <w:footnoteReference w:id="179"/>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38E7285E" w14:textId="77777777" w:rsidTr="00444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D7A9937" w14:textId="77777777" w:rsidR="007F1E9F" w:rsidRPr="0013605E" w:rsidRDefault="007F1E9F" w:rsidP="0013605E">
            <w:pPr>
              <w:ind w:left="275"/>
              <w:rPr>
                <w:sz w:val="20"/>
                <w:szCs w:val="20"/>
              </w:rPr>
            </w:pPr>
            <w:r w:rsidRPr="001B7386">
              <w:rPr>
                <w:noProof/>
                <w:sz w:val="20"/>
                <w:szCs w:val="20"/>
              </w:rPr>
              <w:drawing>
                <wp:anchor distT="0" distB="0" distL="114300" distR="114300" simplePos="0" relativeHeight="251849728" behindDoc="1" locked="0" layoutInCell="1" allowOverlap="1" wp14:anchorId="3E43E805" wp14:editId="2670A8E2">
                  <wp:simplePos x="0" y="0"/>
                  <wp:positionH relativeFrom="column">
                    <wp:posOffset>-280035</wp:posOffset>
                  </wp:positionH>
                  <wp:positionV relativeFrom="paragraph">
                    <wp:posOffset>68209</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2064257156"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w:t>
            </w:r>
          </w:p>
          <w:p w14:paraId="0354A58E" w14:textId="77777777" w:rsidR="007F1E9F" w:rsidRPr="001B7386" w:rsidRDefault="007F1E9F" w:rsidP="004541B6">
            <w:pPr>
              <w:pStyle w:val="ListParagraph"/>
              <w:numPr>
                <w:ilvl w:val="0"/>
                <w:numId w:val="18"/>
              </w:numPr>
              <w:rPr>
                <w:b w:val="0"/>
                <w:bCs w:val="0"/>
                <w:sz w:val="20"/>
                <w:szCs w:val="20"/>
              </w:rPr>
            </w:pPr>
            <w:r w:rsidRPr="001B7386">
              <w:rPr>
                <w:sz w:val="20"/>
                <w:szCs w:val="20"/>
              </w:rPr>
              <w:t>the provision of appropriate facilities, services and supports for all women held in immigration detention</w:t>
            </w:r>
          </w:p>
          <w:p w14:paraId="615FF281" w14:textId="77777777" w:rsidR="007F1E9F" w:rsidRPr="00EA1375" w:rsidRDefault="007F1E9F" w:rsidP="004541B6">
            <w:pPr>
              <w:pStyle w:val="ListParagraph"/>
              <w:numPr>
                <w:ilvl w:val="0"/>
                <w:numId w:val="18"/>
              </w:numPr>
              <w:rPr>
                <w:b w:val="0"/>
                <w:bCs w:val="0"/>
              </w:rPr>
            </w:pPr>
            <w:r w:rsidRPr="001B7386">
              <w:rPr>
                <w:sz w:val="20"/>
                <w:szCs w:val="20"/>
              </w:rPr>
              <w:t>measures to address the lack of guidelines and policies for the management and support of transgender people in immigration detention.</w:t>
            </w:r>
          </w:p>
        </w:tc>
      </w:tr>
    </w:tbl>
    <w:p w14:paraId="53458328" w14:textId="2636058F" w:rsidR="007F1E9F" w:rsidRPr="00B50F91" w:rsidRDefault="007F1E9F" w:rsidP="00B50F91">
      <w:pPr>
        <w:pStyle w:val="Heading3"/>
        <w:spacing w:before="120"/>
        <w:rPr>
          <w:color w:val="719243" w:themeColor="accent2"/>
        </w:rPr>
      </w:pPr>
      <w:bookmarkStart w:id="95" w:name="_Toc208584117"/>
      <w:r w:rsidRPr="00B50F91">
        <w:rPr>
          <w:color w:val="719243" w:themeColor="accent2"/>
        </w:rPr>
        <w:lastRenderedPageBreak/>
        <w:t>Lack of meaningful activities in immigration detention</w:t>
      </w:r>
      <w:bookmarkEnd w:id="92"/>
      <w:bookmarkEnd w:id="95"/>
    </w:p>
    <w:p w14:paraId="4C8E3F4B"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56F1F2D5" w14:textId="2ABD326A" w:rsidR="007F1E9F" w:rsidRPr="00257524" w:rsidRDefault="007F1E9F" w:rsidP="00977095">
      <w:pPr>
        <w:rPr>
          <w:rFonts w:cs="Readex Pro"/>
          <w:sz w:val="20"/>
          <w:szCs w:val="20"/>
        </w:rPr>
      </w:pPr>
      <w:r w:rsidRPr="00257524">
        <w:rPr>
          <w:rFonts w:cs="Readex Pro"/>
          <w:sz w:val="20"/>
          <w:szCs w:val="20"/>
        </w:rPr>
        <w:t>People in immigration detention have frequently commented on the lack of age-appropriate, engaging, and meaningful activities available to them, as well as inequalities in access and participation.</w:t>
      </w:r>
      <w:r w:rsidRPr="00257524">
        <w:rPr>
          <w:rFonts w:cs="Readex Pro"/>
          <w:sz w:val="20"/>
          <w:szCs w:val="20"/>
          <w:vertAlign w:val="superscript"/>
        </w:rPr>
        <w:footnoteReference w:id="180"/>
      </w:r>
      <w:r w:rsidRPr="00257524">
        <w:rPr>
          <w:rFonts w:cs="Readex Pro"/>
          <w:sz w:val="20"/>
          <w:szCs w:val="20"/>
        </w:rPr>
        <w:t xml:space="preserve"> Some people have even expressed a preference for incarceration over immigration detention, noting the better range of meaningful activities which can be available in prison.</w:t>
      </w:r>
      <w:r w:rsidRPr="00257524">
        <w:rPr>
          <w:rFonts w:cs="Readex Pro"/>
          <w:sz w:val="20"/>
          <w:szCs w:val="20"/>
          <w:vertAlign w:val="superscript"/>
        </w:rPr>
        <w:footnoteReference w:id="181"/>
      </w:r>
    </w:p>
    <w:p w14:paraId="2CC5687A" w14:textId="4E38E769" w:rsidR="007F1E9F" w:rsidRPr="00977095" w:rsidRDefault="007F1E9F" w:rsidP="00977095">
      <w:pPr>
        <w:rPr>
          <w:rFonts w:cs="Readex Pro"/>
          <w:sz w:val="20"/>
          <w:szCs w:val="20"/>
        </w:rPr>
      </w:pPr>
      <w:r w:rsidRPr="00257524">
        <w:rPr>
          <w:rFonts w:cs="Readex Pro"/>
          <w:sz w:val="20"/>
          <w:szCs w:val="20"/>
        </w:rPr>
        <w:t xml:space="preserve">Comprehensive reforms are needed to ensure all people in immigration detention are afforded equal opportunities for purposeful engagement – essential for their mental, emotional and social wellbeing </w:t>
      </w:r>
      <w:r>
        <w:rPr>
          <w:rFonts w:cs="Readex Pro"/>
          <w:sz w:val="20"/>
          <w:szCs w:val="20"/>
        </w:rPr>
        <w:t>–</w:t>
      </w:r>
      <w:r w:rsidRPr="00257524">
        <w:rPr>
          <w:rFonts w:cs="Readex Pro"/>
          <w:sz w:val="20"/>
          <w:szCs w:val="20"/>
        </w:rPr>
        <w:t xml:space="preserve"> with the current service provision being inadequate overall.</w:t>
      </w:r>
      <w:r w:rsidRPr="00257524">
        <w:rPr>
          <w:rFonts w:cs="Readex Pro"/>
          <w:sz w:val="20"/>
          <w:szCs w:val="20"/>
          <w:vertAlign w:val="superscript"/>
        </w:rPr>
        <w:footnoteReference w:id="182"/>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12FE9CAA"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4FABF5B9" w14:textId="30E6D799" w:rsidR="007F1E9F" w:rsidRPr="001B7386" w:rsidRDefault="007F1E9F" w:rsidP="0013605E">
            <w:pPr>
              <w:ind w:left="275"/>
              <w:rPr>
                <w:b w:val="0"/>
                <w:bCs w:val="0"/>
                <w:sz w:val="20"/>
                <w:szCs w:val="20"/>
              </w:rPr>
            </w:pPr>
            <w:r w:rsidRPr="001B7386">
              <w:rPr>
                <w:noProof/>
                <w:sz w:val="20"/>
                <w:szCs w:val="20"/>
              </w:rPr>
              <w:drawing>
                <wp:anchor distT="0" distB="0" distL="114300" distR="114300" simplePos="0" relativeHeight="251847680" behindDoc="1" locked="0" layoutInCell="1" allowOverlap="1" wp14:anchorId="4CCCF329" wp14:editId="27E0F2EA">
                  <wp:simplePos x="0" y="0"/>
                  <wp:positionH relativeFrom="column">
                    <wp:posOffset>-280035</wp:posOffset>
                  </wp:positionH>
                  <wp:positionV relativeFrom="paragraph">
                    <wp:posOffset>59954</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832922967"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Pr="001B7386">
              <w:rPr>
                <w:sz w:val="20"/>
                <w:szCs w:val="20"/>
              </w:rPr>
              <w:t>We suggest the Committee ask the state party to report on</w:t>
            </w:r>
            <w:r w:rsidR="008C2EE2" w:rsidRPr="001B7386">
              <w:rPr>
                <w:sz w:val="20"/>
                <w:szCs w:val="20"/>
              </w:rPr>
              <w:t xml:space="preserve"> </w:t>
            </w:r>
            <w:r w:rsidRPr="001B7386">
              <w:rPr>
                <w:sz w:val="20"/>
                <w:szCs w:val="20"/>
              </w:rPr>
              <w:t>measures to improve access for all people in immigration detention to age-appropriate, engaging, and meaningful programs and activities, as a necessary means of reasonable treatment in such places.</w:t>
            </w:r>
          </w:p>
        </w:tc>
      </w:tr>
    </w:tbl>
    <w:p w14:paraId="5A970BD0" w14:textId="607B5608" w:rsidR="007F1E9F" w:rsidRDefault="007F1E9F">
      <w:pPr>
        <w:spacing w:before="0" w:after="0" w:line="240" w:lineRule="auto"/>
        <w:rPr>
          <w:rFonts w:cs="Readex Pro"/>
          <w:sz w:val="20"/>
          <w:szCs w:val="20"/>
        </w:rPr>
      </w:pPr>
      <w:r>
        <w:rPr>
          <w:rFonts w:cs="Readex Pro"/>
          <w:sz w:val="20"/>
          <w:szCs w:val="20"/>
        </w:rPr>
        <w:br w:type="page"/>
      </w:r>
    </w:p>
    <w:p w14:paraId="13785300" w14:textId="6B6024D9" w:rsidR="007F1E9F" w:rsidRPr="00D22E43" w:rsidRDefault="007F1E9F" w:rsidP="00D22E43">
      <w:pPr>
        <w:pStyle w:val="Heading2"/>
        <w:rPr>
          <w:color w:val="937CB9" w:themeColor="accent3"/>
        </w:rPr>
      </w:pPr>
      <w:bookmarkStart w:id="96" w:name="_Toc208584118"/>
      <w:r w:rsidRPr="00D22E43">
        <w:rPr>
          <w:color w:val="937CB9" w:themeColor="accent3"/>
        </w:rPr>
        <w:lastRenderedPageBreak/>
        <w:t>O</w:t>
      </w:r>
      <w:r>
        <w:rPr>
          <w:color w:val="937CB9" w:themeColor="accent3"/>
        </w:rPr>
        <w:t>ther issues</w:t>
      </w:r>
      <w:bookmarkEnd w:id="96"/>
    </w:p>
    <w:p w14:paraId="1A230326" w14:textId="5AF23DED" w:rsidR="007F1E9F" w:rsidRPr="00B50F91" w:rsidRDefault="007F1E9F" w:rsidP="00B50F91">
      <w:pPr>
        <w:pStyle w:val="Heading3"/>
        <w:spacing w:before="120"/>
        <w:rPr>
          <w:color w:val="719243" w:themeColor="accent2"/>
        </w:rPr>
      </w:pPr>
      <w:bookmarkStart w:id="97" w:name="_Toc208584119"/>
      <w:r w:rsidRPr="00B50F91">
        <w:rPr>
          <w:color w:val="719243" w:themeColor="accent2"/>
        </w:rPr>
        <w:t>Treatment in aged care and disability care</w:t>
      </w:r>
      <w:bookmarkEnd w:id="97"/>
    </w:p>
    <w:p w14:paraId="081EECAD"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33E5D3AB" w14:textId="507580DC" w:rsidR="007F1E9F" w:rsidRPr="00EA1375" w:rsidRDefault="007F1E9F" w:rsidP="00C54030">
      <w:pPr>
        <w:rPr>
          <w:rFonts w:cs="Readex Pro"/>
          <w:sz w:val="20"/>
          <w:szCs w:val="20"/>
        </w:rPr>
      </w:pPr>
      <w:r w:rsidRPr="00EA1375">
        <w:rPr>
          <w:rFonts w:cs="Readex Pro"/>
          <w:sz w:val="20"/>
          <w:szCs w:val="20"/>
        </w:rPr>
        <w:t>Over 200,000 Australians use government-funded residential aged care services,</w:t>
      </w:r>
      <w:bookmarkStart w:id="98" w:name="_Ref207118582"/>
      <w:r w:rsidRPr="00EA1375">
        <w:rPr>
          <w:rStyle w:val="FootnoteReference"/>
          <w:rFonts w:cs="Readex Pro"/>
          <w:sz w:val="20"/>
          <w:szCs w:val="20"/>
        </w:rPr>
        <w:footnoteReference w:id="183"/>
      </w:r>
      <w:bookmarkEnd w:id="98"/>
      <w:r w:rsidRPr="00EA1375">
        <w:rPr>
          <w:rFonts w:cs="Readex Pro"/>
          <w:sz w:val="20"/>
          <w:szCs w:val="20"/>
        </w:rPr>
        <w:t xml:space="preserve"> while 5.5 million Australians (21.4%) are people with disability.</w:t>
      </w:r>
      <w:r w:rsidRPr="00EA1375">
        <w:rPr>
          <w:rStyle w:val="FootnoteReference"/>
          <w:rFonts w:cs="Readex Pro"/>
          <w:sz w:val="20"/>
          <w:szCs w:val="20"/>
        </w:rPr>
        <w:footnoteReference w:id="184"/>
      </w:r>
      <w:r w:rsidRPr="00EA1375">
        <w:rPr>
          <w:rFonts w:cs="Readex Pro"/>
          <w:sz w:val="20"/>
          <w:szCs w:val="20"/>
        </w:rPr>
        <w:t xml:space="preserve"> Both </w:t>
      </w:r>
      <w:r>
        <w:rPr>
          <w:rFonts w:cs="Readex Pro"/>
          <w:sz w:val="20"/>
          <w:szCs w:val="20"/>
        </w:rPr>
        <w:t>the</w:t>
      </w:r>
      <w:r w:rsidRPr="00EA1375">
        <w:rPr>
          <w:rFonts w:cs="Readex Pro"/>
          <w:sz w:val="20"/>
          <w:szCs w:val="20"/>
        </w:rPr>
        <w:t xml:space="preserve"> </w:t>
      </w:r>
      <w:r w:rsidRPr="00EA1375">
        <w:rPr>
          <w:rFonts w:cs="Readex Pro"/>
          <w:i/>
          <w:iCs/>
          <w:sz w:val="20"/>
          <w:szCs w:val="20"/>
        </w:rPr>
        <w:t>Aged Care Quality and Safety</w:t>
      </w:r>
      <w:r>
        <w:rPr>
          <w:rFonts w:cs="Readex Pro"/>
          <w:i/>
          <w:iCs/>
          <w:sz w:val="20"/>
          <w:szCs w:val="20"/>
        </w:rPr>
        <w:t xml:space="preserve"> Royal Commission</w:t>
      </w:r>
      <w:r w:rsidRPr="00EA1375">
        <w:rPr>
          <w:rFonts w:cs="Readex Pro"/>
          <w:sz w:val="20"/>
          <w:szCs w:val="20"/>
        </w:rPr>
        <w:t>,</w:t>
      </w:r>
      <w:r w:rsidRPr="00EA1375">
        <w:rPr>
          <w:rStyle w:val="FootnoteReference"/>
          <w:rFonts w:cs="Readex Pro"/>
          <w:sz w:val="20"/>
          <w:szCs w:val="20"/>
        </w:rPr>
        <w:footnoteReference w:id="185"/>
      </w:r>
      <w:r w:rsidRPr="00EA1375">
        <w:rPr>
          <w:rFonts w:cs="Readex Pro"/>
          <w:sz w:val="20"/>
          <w:szCs w:val="20"/>
        </w:rPr>
        <w:t xml:space="preserve"> and</w:t>
      </w:r>
      <w:r>
        <w:rPr>
          <w:rFonts w:cs="Readex Pro"/>
          <w:sz w:val="20"/>
          <w:szCs w:val="20"/>
        </w:rPr>
        <w:t xml:space="preserve"> the </w:t>
      </w:r>
      <w:r w:rsidRPr="00257524">
        <w:rPr>
          <w:rFonts w:cs="Readex Pro"/>
          <w:i/>
          <w:iCs/>
          <w:sz w:val="20"/>
          <w:szCs w:val="20"/>
        </w:rPr>
        <w:t xml:space="preserve">Royal Commission into </w:t>
      </w:r>
      <w:r w:rsidRPr="005374E4">
        <w:rPr>
          <w:rFonts w:cs="Readex Pro"/>
          <w:i/>
          <w:iCs/>
          <w:sz w:val="20"/>
          <w:szCs w:val="20"/>
        </w:rPr>
        <w:t>Vi</w:t>
      </w:r>
      <w:r w:rsidRPr="00453B4B">
        <w:rPr>
          <w:rFonts w:cs="Readex Pro"/>
          <w:i/>
          <w:iCs/>
          <w:sz w:val="20"/>
          <w:szCs w:val="20"/>
        </w:rPr>
        <w:t>olence, Abuse, Neglect and Exploitation of People with Disability</w:t>
      </w:r>
      <w:r>
        <w:rPr>
          <w:rFonts w:cs="Readex Pro"/>
          <w:sz w:val="20"/>
          <w:szCs w:val="20"/>
        </w:rPr>
        <w:t>,</w:t>
      </w:r>
      <w:r w:rsidRPr="00EA1375">
        <w:rPr>
          <w:rStyle w:val="FootnoteReference"/>
          <w:rFonts w:cs="Readex Pro"/>
          <w:sz w:val="20"/>
          <w:szCs w:val="20"/>
        </w:rPr>
        <w:footnoteReference w:id="186"/>
      </w:r>
      <w:r w:rsidRPr="00EA1375">
        <w:rPr>
          <w:rFonts w:cs="Readex Pro"/>
          <w:sz w:val="20"/>
          <w:szCs w:val="20"/>
        </w:rPr>
        <w:t xml:space="preserve"> revealed and reported on failures in the treatment of people in circumstances which amount to being deprived of liberty</w:t>
      </w:r>
      <w:r>
        <w:rPr>
          <w:rFonts w:cs="Readex Pro"/>
          <w:sz w:val="20"/>
          <w:szCs w:val="20"/>
        </w:rPr>
        <w:t>.</w:t>
      </w:r>
      <w:r w:rsidRPr="00EA1375">
        <w:rPr>
          <w:rStyle w:val="FootnoteReference"/>
          <w:rFonts w:cs="Readex Pro"/>
          <w:sz w:val="20"/>
          <w:szCs w:val="20"/>
        </w:rPr>
        <w:footnoteReference w:id="187"/>
      </w:r>
    </w:p>
    <w:p w14:paraId="12F60C35" w14:textId="004643CD" w:rsidR="007F1E9F" w:rsidRPr="00EA1375" w:rsidRDefault="007F1E9F" w:rsidP="00C54030">
      <w:pPr>
        <w:rPr>
          <w:rFonts w:cs="Readex Pro"/>
          <w:sz w:val="20"/>
          <w:szCs w:val="20"/>
        </w:rPr>
      </w:pPr>
      <w:r w:rsidRPr="00EA1375">
        <w:rPr>
          <w:rFonts w:cs="Readex Pro"/>
          <w:sz w:val="20"/>
          <w:szCs w:val="20"/>
        </w:rPr>
        <w:t>A significant focus of both Royal Commissions was the use of restrictive practices</w:t>
      </w:r>
      <w:bookmarkStart w:id="99" w:name="_Ref207118748"/>
      <w:r w:rsidRPr="00EA1375">
        <w:rPr>
          <w:rStyle w:val="FootnoteReference"/>
          <w:rFonts w:cs="Readex Pro"/>
          <w:sz w:val="20"/>
          <w:szCs w:val="20"/>
        </w:rPr>
        <w:footnoteReference w:id="188"/>
      </w:r>
      <w:bookmarkEnd w:id="99"/>
      <w:r w:rsidRPr="00EA1375">
        <w:rPr>
          <w:rFonts w:cs="Readex Pro"/>
          <w:sz w:val="20"/>
          <w:szCs w:val="20"/>
        </w:rPr>
        <w:t xml:space="preserve"> against people in aged care and people with disability</w:t>
      </w:r>
      <w:r w:rsidR="00435E81">
        <w:rPr>
          <w:rFonts w:cs="Readex Pro"/>
          <w:sz w:val="20"/>
          <w:szCs w:val="20"/>
        </w:rPr>
        <w:t xml:space="preserve"> </w:t>
      </w:r>
      <w:r w:rsidRPr="00EA1375">
        <w:rPr>
          <w:rFonts w:cs="Readex Pro"/>
          <w:sz w:val="20"/>
          <w:szCs w:val="20"/>
        </w:rPr>
        <w:t xml:space="preserve">– with each finding </w:t>
      </w:r>
      <w:r w:rsidR="00435E81">
        <w:rPr>
          <w:rFonts w:cs="Readex Pro"/>
          <w:sz w:val="20"/>
          <w:szCs w:val="20"/>
        </w:rPr>
        <w:t>this</w:t>
      </w:r>
      <w:r w:rsidRPr="00EA1375">
        <w:rPr>
          <w:rFonts w:cs="Readex Pro"/>
          <w:sz w:val="20"/>
          <w:szCs w:val="20"/>
        </w:rPr>
        <w:t xml:space="preserve"> was widespread, often unsafe and often inhumane.</w:t>
      </w:r>
      <w:r w:rsidRPr="00EA1375">
        <w:rPr>
          <w:rStyle w:val="FootnoteReference"/>
          <w:rFonts w:cs="Readex Pro"/>
          <w:sz w:val="20"/>
          <w:szCs w:val="20"/>
        </w:rPr>
        <w:footnoteReference w:id="189"/>
      </w:r>
      <w:r w:rsidRPr="00EA1375">
        <w:rPr>
          <w:rFonts w:cs="Readex Pro"/>
          <w:sz w:val="20"/>
          <w:szCs w:val="20"/>
        </w:rPr>
        <w:t xml:space="preserve"> The </w:t>
      </w:r>
      <w:r w:rsidRPr="00453B4B">
        <w:rPr>
          <w:rFonts w:cs="Readex Pro"/>
          <w:i/>
          <w:iCs/>
          <w:sz w:val="20"/>
          <w:szCs w:val="20"/>
        </w:rPr>
        <w:t>Royal Commission into Violence, Abuse, Neglect and Exploitation of People with Disability</w:t>
      </w:r>
      <w:r w:rsidRPr="00EA1375">
        <w:rPr>
          <w:rFonts w:cs="Readex Pro"/>
          <w:sz w:val="20"/>
          <w:szCs w:val="20"/>
        </w:rPr>
        <w:t xml:space="preserve"> found people with disability were often disproportionately subjected to restrictive practices which </w:t>
      </w:r>
      <w:r w:rsidR="00435E81">
        <w:rPr>
          <w:rFonts w:cs="Readex Pro"/>
          <w:sz w:val="20"/>
          <w:szCs w:val="20"/>
        </w:rPr>
        <w:t xml:space="preserve">can </w:t>
      </w:r>
      <w:r w:rsidRPr="00EA1375">
        <w:rPr>
          <w:rFonts w:cs="Readex Pro"/>
          <w:sz w:val="20"/>
          <w:szCs w:val="20"/>
        </w:rPr>
        <w:t>not only deny autonomy, but impact health, safety and wellbeing.</w:t>
      </w:r>
      <w:r w:rsidRPr="00EA1375">
        <w:rPr>
          <w:rStyle w:val="FootnoteReference"/>
          <w:rFonts w:cs="Readex Pro"/>
          <w:sz w:val="20"/>
          <w:szCs w:val="20"/>
        </w:rPr>
        <w:footnoteReference w:id="190"/>
      </w:r>
      <w:r w:rsidRPr="00EA1375">
        <w:rPr>
          <w:rFonts w:cs="Readex Pro"/>
          <w:sz w:val="20"/>
          <w:szCs w:val="20"/>
        </w:rPr>
        <w:t xml:space="preserve"> Both Royal Commissions made recommendations about their use, with a focus on use as a last resort, moving towards reduction and elimination, </w:t>
      </w:r>
      <w:r w:rsidR="00435E81">
        <w:rPr>
          <w:rFonts w:cs="Readex Pro"/>
          <w:sz w:val="20"/>
          <w:szCs w:val="20"/>
        </w:rPr>
        <w:t>and</w:t>
      </w:r>
      <w:r w:rsidRPr="00EA1375">
        <w:rPr>
          <w:rFonts w:cs="Readex Pro"/>
          <w:sz w:val="20"/>
          <w:szCs w:val="20"/>
        </w:rPr>
        <w:t xml:space="preserve"> improved data capture, ongoing monitoring and reporting.</w:t>
      </w:r>
      <w:r w:rsidRPr="00EA1375">
        <w:rPr>
          <w:rStyle w:val="FootnoteReference"/>
          <w:rFonts w:cs="Readex Pro"/>
          <w:sz w:val="20"/>
          <w:szCs w:val="20"/>
        </w:rPr>
        <w:footnoteReference w:id="191"/>
      </w:r>
    </w:p>
    <w:p w14:paraId="043F12DE" w14:textId="5A556F12" w:rsidR="007F1E9F" w:rsidRPr="00EA1375" w:rsidRDefault="007F1E9F" w:rsidP="00C54030">
      <w:pPr>
        <w:rPr>
          <w:rFonts w:cs="Readex Pro"/>
          <w:sz w:val="20"/>
          <w:szCs w:val="20"/>
        </w:rPr>
      </w:pPr>
      <w:r w:rsidRPr="00EA1375">
        <w:rPr>
          <w:rFonts w:cs="Readex Pro"/>
          <w:sz w:val="20"/>
          <w:szCs w:val="20"/>
        </w:rPr>
        <w:t xml:space="preserve">New legislation regulating aged care in Australia will commence </w:t>
      </w:r>
      <w:r>
        <w:rPr>
          <w:rFonts w:cs="Readex Pro"/>
          <w:sz w:val="20"/>
          <w:szCs w:val="20"/>
        </w:rPr>
        <w:t>from</w:t>
      </w:r>
      <w:r w:rsidRPr="00EA1375">
        <w:rPr>
          <w:rFonts w:cs="Readex Pro"/>
          <w:sz w:val="20"/>
          <w:szCs w:val="20"/>
        </w:rPr>
        <w:t xml:space="preserve"> 1 </w:t>
      </w:r>
      <w:r>
        <w:rPr>
          <w:rFonts w:cs="Readex Pro"/>
          <w:sz w:val="20"/>
          <w:szCs w:val="20"/>
        </w:rPr>
        <w:t>November</w:t>
      </w:r>
      <w:r w:rsidRPr="00EA1375">
        <w:rPr>
          <w:rFonts w:cs="Readex Pro"/>
          <w:sz w:val="20"/>
          <w:szCs w:val="20"/>
        </w:rPr>
        <w:t xml:space="preserve"> 2025.</w:t>
      </w:r>
      <w:r w:rsidRPr="00EA1375">
        <w:rPr>
          <w:rStyle w:val="FootnoteReference"/>
          <w:rFonts w:cs="Readex Pro"/>
          <w:sz w:val="20"/>
          <w:szCs w:val="20"/>
        </w:rPr>
        <w:footnoteReference w:id="192"/>
      </w:r>
      <w:r w:rsidRPr="00EA1375">
        <w:rPr>
          <w:rFonts w:cs="Readex Pro"/>
          <w:sz w:val="20"/>
          <w:szCs w:val="20"/>
        </w:rPr>
        <w:t xml:space="preserve"> Nonetheless, in its most recent quarterly performance report for </w:t>
      </w:r>
      <w:r>
        <w:rPr>
          <w:rFonts w:cs="Readex Pro"/>
          <w:sz w:val="20"/>
          <w:szCs w:val="20"/>
        </w:rPr>
        <w:t>January</w:t>
      </w:r>
      <w:r w:rsidRPr="00EA1375">
        <w:rPr>
          <w:rFonts w:cs="Readex Pro"/>
          <w:sz w:val="20"/>
          <w:szCs w:val="20"/>
        </w:rPr>
        <w:t xml:space="preserve"> to </w:t>
      </w:r>
      <w:r>
        <w:rPr>
          <w:rFonts w:cs="Readex Pro"/>
          <w:sz w:val="20"/>
          <w:szCs w:val="20"/>
        </w:rPr>
        <w:t>March</w:t>
      </w:r>
      <w:r w:rsidRPr="00EA1375">
        <w:rPr>
          <w:rFonts w:cs="Readex Pro"/>
          <w:sz w:val="20"/>
          <w:szCs w:val="20"/>
        </w:rPr>
        <w:t xml:space="preserve"> 202</w:t>
      </w:r>
      <w:r>
        <w:rPr>
          <w:rFonts w:cs="Readex Pro"/>
          <w:sz w:val="20"/>
          <w:szCs w:val="20"/>
        </w:rPr>
        <w:t>5</w:t>
      </w:r>
      <w:r w:rsidRPr="00EA1375">
        <w:rPr>
          <w:rFonts w:cs="Readex Pro"/>
          <w:sz w:val="20"/>
          <w:szCs w:val="20"/>
        </w:rPr>
        <w:t xml:space="preserve">, the Aged Care Quality and Safety Commission reported almost </w:t>
      </w:r>
      <w:r>
        <w:rPr>
          <w:rFonts w:cs="Readex Pro"/>
          <w:sz w:val="20"/>
          <w:szCs w:val="20"/>
        </w:rPr>
        <w:t>7</w:t>
      </w:r>
      <w:r w:rsidRPr="00EA1375">
        <w:rPr>
          <w:rFonts w:cs="Readex Pro"/>
          <w:sz w:val="20"/>
          <w:szCs w:val="20"/>
        </w:rPr>
        <w:t>,</w:t>
      </w:r>
      <w:r>
        <w:rPr>
          <w:rFonts w:cs="Readex Pro"/>
          <w:sz w:val="20"/>
          <w:szCs w:val="20"/>
        </w:rPr>
        <w:t>5</w:t>
      </w:r>
      <w:r w:rsidRPr="00EA1375">
        <w:rPr>
          <w:rFonts w:cs="Readex Pro"/>
          <w:sz w:val="20"/>
          <w:szCs w:val="20"/>
        </w:rPr>
        <w:t xml:space="preserve">00 unreasonable use of force incidents, over </w:t>
      </w:r>
      <w:r>
        <w:rPr>
          <w:rFonts w:cs="Readex Pro"/>
          <w:sz w:val="20"/>
          <w:szCs w:val="20"/>
        </w:rPr>
        <w:t>4</w:t>
      </w:r>
      <w:r w:rsidRPr="00EA1375">
        <w:rPr>
          <w:rFonts w:cs="Readex Pro"/>
          <w:sz w:val="20"/>
          <w:szCs w:val="20"/>
        </w:rPr>
        <w:t>,</w:t>
      </w:r>
      <w:r>
        <w:rPr>
          <w:rFonts w:cs="Readex Pro"/>
          <w:sz w:val="20"/>
          <w:szCs w:val="20"/>
        </w:rPr>
        <w:t>0</w:t>
      </w:r>
      <w:r w:rsidRPr="00EA1375">
        <w:rPr>
          <w:rFonts w:cs="Readex Pro"/>
          <w:sz w:val="20"/>
          <w:szCs w:val="20"/>
        </w:rPr>
        <w:t xml:space="preserve">00 neglect incidents, and more than </w:t>
      </w:r>
      <w:r>
        <w:rPr>
          <w:rFonts w:cs="Readex Pro"/>
          <w:sz w:val="20"/>
          <w:szCs w:val="20"/>
        </w:rPr>
        <w:t>150</w:t>
      </w:r>
      <w:r w:rsidRPr="00EA1375">
        <w:rPr>
          <w:rFonts w:cs="Readex Pro"/>
          <w:sz w:val="20"/>
          <w:szCs w:val="20"/>
        </w:rPr>
        <w:t xml:space="preserve"> inappropriate use of restrictive practices incidents in residential care</w:t>
      </w:r>
      <w:r>
        <w:rPr>
          <w:rFonts w:cs="Readex Pro"/>
          <w:sz w:val="20"/>
          <w:szCs w:val="20"/>
        </w:rPr>
        <w:t>,</w:t>
      </w:r>
      <w:r w:rsidRPr="00EA1375">
        <w:rPr>
          <w:rFonts w:cs="Readex Pro"/>
          <w:sz w:val="20"/>
          <w:szCs w:val="20"/>
        </w:rPr>
        <w:t xml:space="preserve"> which were reported to it by service providers.</w:t>
      </w:r>
      <w:r w:rsidRPr="00EA1375">
        <w:rPr>
          <w:rStyle w:val="FootnoteReference"/>
          <w:rFonts w:cs="Readex Pro"/>
          <w:sz w:val="20"/>
          <w:szCs w:val="20"/>
        </w:rPr>
        <w:footnoteReference w:id="193"/>
      </w:r>
      <w:r w:rsidRPr="00EA1375">
        <w:rPr>
          <w:rFonts w:cs="Readex Pro"/>
          <w:sz w:val="20"/>
          <w:szCs w:val="20"/>
        </w:rPr>
        <w:t xml:space="preserve"> There have also been some concerns expressed about publicly-available information on the performance of aged care providers,</w:t>
      </w:r>
      <w:r w:rsidRPr="00EA1375">
        <w:rPr>
          <w:rStyle w:val="FootnoteReference"/>
          <w:rFonts w:cs="Readex Pro"/>
          <w:sz w:val="20"/>
          <w:szCs w:val="20"/>
        </w:rPr>
        <w:footnoteReference w:id="194"/>
      </w:r>
      <w:r w:rsidRPr="00EA1375">
        <w:rPr>
          <w:rFonts w:cs="Readex Pro"/>
          <w:sz w:val="20"/>
          <w:szCs w:val="20"/>
        </w:rPr>
        <w:t xml:space="preserve"> and concerns that little has changed since the </w:t>
      </w:r>
      <w:r w:rsidRPr="00453B4B">
        <w:rPr>
          <w:rFonts w:cs="Readex Pro"/>
          <w:i/>
          <w:iCs/>
          <w:sz w:val="20"/>
          <w:szCs w:val="20"/>
        </w:rPr>
        <w:t>Royal Commission into Aged Care Quality and Safety</w:t>
      </w:r>
      <w:r w:rsidRPr="00EA1375">
        <w:rPr>
          <w:rFonts w:cs="Readex Pro"/>
          <w:sz w:val="20"/>
          <w:szCs w:val="20"/>
        </w:rPr>
        <w:t xml:space="preserve"> to improve the meeting of healthcare needs within residential aged care.</w:t>
      </w:r>
      <w:r w:rsidRPr="00EA1375">
        <w:rPr>
          <w:rStyle w:val="FootnoteReference"/>
          <w:rFonts w:cs="Readex Pro"/>
          <w:sz w:val="20"/>
          <w:szCs w:val="20"/>
        </w:rPr>
        <w:footnoteReference w:id="195"/>
      </w:r>
    </w:p>
    <w:p w14:paraId="02C37850" w14:textId="1A92F4CF" w:rsidR="007F1E9F" w:rsidRPr="00EA1375" w:rsidRDefault="007F1E9F" w:rsidP="00C54030">
      <w:pPr>
        <w:rPr>
          <w:rFonts w:cs="Readex Pro"/>
          <w:sz w:val="20"/>
          <w:szCs w:val="20"/>
        </w:rPr>
      </w:pPr>
      <w:r w:rsidRPr="00EA1375">
        <w:rPr>
          <w:rFonts w:cs="Readex Pro"/>
          <w:sz w:val="20"/>
          <w:szCs w:val="20"/>
        </w:rPr>
        <w:t xml:space="preserve">In the disability space, the NDIS Quality and Safeguards Commission </w:t>
      </w:r>
      <w:r>
        <w:rPr>
          <w:rFonts w:cs="Readex Pro"/>
          <w:sz w:val="20"/>
          <w:szCs w:val="20"/>
        </w:rPr>
        <w:t xml:space="preserve">also </w:t>
      </w:r>
      <w:r w:rsidRPr="00EA1375">
        <w:rPr>
          <w:rFonts w:cs="Readex Pro"/>
          <w:sz w:val="20"/>
          <w:szCs w:val="20"/>
        </w:rPr>
        <w:t>reported over 11,000 NDIS participants with behaviour support plans were subject to unauthorised restrictive practices in</w:t>
      </w:r>
      <w:r>
        <w:rPr>
          <w:rFonts w:cs="Readex Pro"/>
          <w:sz w:val="20"/>
          <w:szCs w:val="20"/>
        </w:rPr>
        <w:t xml:space="preserve"> </w:t>
      </w:r>
      <w:r w:rsidRPr="00EA1375">
        <w:rPr>
          <w:rFonts w:cs="Readex Pro"/>
          <w:sz w:val="20"/>
          <w:szCs w:val="20"/>
        </w:rPr>
        <w:t>2023–24.</w:t>
      </w:r>
      <w:r w:rsidRPr="00EA1375">
        <w:rPr>
          <w:rStyle w:val="FootnoteReference"/>
          <w:rFonts w:cs="Readex Pro"/>
          <w:sz w:val="20"/>
          <w:szCs w:val="20"/>
        </w:rPr>
        <w:footnoteReference w:id="196"/>
      </w:r>
    </w:p>
    <w:tbl>
      <w:tblPr>
        <w:tblStyle w:val="GridTable4-Accent2"/>
        <w:tblpPr w:leftFromText="180" w:rightFromText="180" w:vertAnchor="text" w:horzAnchor="margin" w:tblpY="-6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43C7AC52"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FEB483E" w14:textId="4E67A6F7" w:rsidR="007F1E9F" w:rsidRPr="0013605E" w:rsidRDefault="003C7E7D" w:rsidP="0013605E">
            <w:pPr>
              <w:ind w:left="275"/>
              <w:rPr>
                <w:sz w:val="20"/>
                <w:szCs w:val="20"/>
              </w:rPr>
            </w:pPr>
            <w:r w:rsidRPr="001B7386">
              <w:rPr>
                <w:noProof/>
                <w:sz w:val="20"/>
                <w:szCs w:val="20"/>
              </w:rPr>
              <w:lastRenderedPageBreak/>
              <w:drawing>
                <wp:anchor distT="0" distB="0" distL="114300" distR="114300" simplePos="0" relativeHeight="251836416" behindDoc="1" locked="0" layoutInCell="1" allowOverlap="1" wp14:anchorId="4D935E49" wp14:editId="53FA5298">
                  <wp:simplePos x="0" y="0"/>
                  <wp:positionH relativeFrom="column">
                    <wp:posOffset>-279664</wp:posOffset>
                  </wp:positionH>
                  <wp:positionV relativeFrom="paragraph">
                    <wp:posOffset>72390</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201838886"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203F2854" w14:textId="0BC63839" w:rsidR="007F1E9F" w:rsidRPr="001B7386" w:rsidRDefault="007F1E9F" w:rsidP="004541B6">
            <w:pPr>
              <w:pStyle w:val="ListParagraph"/>
              <w:numPr>
                <w:ilvl w:val="0"/>
                <w:numId w:val="19"/>
              </w:numPr>
              <w:rPr>
                <w:sz w:val="20"/>
                <w:szCs w:val="20"/>
              </w:rPr>
            </w:pPr>
            <w:r w:rsidRPr="001B7386">
              <w:rPr>
                <w:sz w:val="20"/>
                <w:szCs w:val="20"/>
              </w:rPr>
              <w:t>progress towards the reduction and elimination of restrictive practices in aged care and in disability care, including ensuring national consistency</w:t>
            </w:r>
          </w:p>
          <w:p w14:paraId="31FAD2AB" w14:textId="6A2E459C" w:rsidR="007F1E9F" w:rsidRPr="001B7386" w:rsidRDefault="007F1E9F" w:rsidP="004541B6">
            <w:pPr>
              <w:pStyle w:val="ListParagraph"/>
              <w:numPr>
                <w:ilvl w:val="0"/>
                <w:numId w:val="19"/>
              </w:numPr>
              <w:rPr>
                <w:sz w:val="20"/>
                <w:szCs w:val="20"/>
              </w:rPr>
            </w:pPr>
            <w:r w:rsidRPr="001B7386">
              <w:rPr>
                <w:sz w:val="20"/>
                <w:szCs w:val="20"/>
              </w:rPr>
              <w:t>work to address high rates of unreasonable uses of force, neglect, and inappropriate uses of restrictive practices reported in aged care, and high numbers of unauthorised restrictive practices use within the NDIS</w:t>
            </w:r>
          </w:p>
          <w:p w14:paraId="7E70ADC7" w14:textId="77777777" w:rsidR="007F1E9F" w:rsidRPr="00EA1375" w:rsidRDefault="007F1E9F" w:rsidP="004541B6">
            <w:pPr>
              <w:pStyle w:val="ListParagraph"/>
              <w:numPr>
                <w:ilvl w:val="0"/>
                <w:numId w:val="19"/>
              </w:numPr>
              <w:rPr>
                <w:b w:val="0"/>
                <w:bCs w:val="0"/>
              </w:rPr>
            </w:pPr>
            <w:r w:rsidRPr="001B7386">
              <w:rPr>
                <w:sz w:val="20"/>
                <w:szCs w:val="20"/>
              </w:rPr>
              <w:t>updates on independent oversight of aged care and disability care across Australia, including in fulfilment of OPCAT obligations.</w:t>
            </w:r>
          </w:p>
        </w:tc>
      </w:tr>
    </w:tbl>
    <w:p w14:paraId="30A9DE6F" w14:textId="1BA2FDF9" w:rsidR="007F1E9F" w:rsidRPr="00B50F91" w:rsidRDefault="007F1E9F" w:rsidP="00B50F91">
      <w:pPr>
        <w:pStyle w:val="Heading3"/>
        <w:spacing w:before="120"/>
        <w:rPr>
          <w:color w:val="719243" w:themeColor="accent2"/>
        </w:rPr>
      </w:pPr>
      <w:bookmarkStart w:id="100" w:name="_Toc208584120"/>
      <w:r w:rsidRPr="00B50F91">
        <w:rPr>
          <w:color w:val="719243" w:themeColor="accent2"/>
        </w:rPr>
        <w:t>Detention of people unfit to be tried, and people found not guilty due to mental impairment</w:t>
      </w:r>
      <w:bookmarkEnd w:id="100"/>
    </w:p>
    <w:p w14:paraId="256A66D1"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134BAFE5" w14:textId="5CB8EC67" w:rsidR="007F1E9F" w:rsidRPr="00EA1375" w:rsidRDefault="007F1E9F" w:rsidP="00E8725B">
      <w:pPr>
        <w:rPr>
          <w:rFonts w:cs="Readex Pro"/>
          <w:sz w:val="20"/>
          <w:szCs w:val="20"/>
        </w:rPr>
      </w:pPr>
      <w:r w:rsidRPr="00EA1375">
        <w:rPr>
          <w:rFonts w:cs="Readex Pro"/>
          <w:sz w:val="20"/>
          <w:szCs w:val="20"/>
        </w:rPr>
        <w:t xml:space="preserve">The </w:t>
      </w:r>
      <w:r w:rsidRPr="00453B4B">
        <w:rPr>
          <w:rFonts w:cs="Readex Pro"/>
          <w:i/>
          <w:iCs/>
          <w:sz w:val="20"/>
          <w:szCs w:val="20"/>
        </w:rPr>
        <w:t>Royal Commission into Violence, Abuse, Neglect and Exploitation of People with Disability</w:t>
      </w:r>
      <w:r w:rsidRPr="00EA1375">
        <w:rPr>
          <w:rFonts w:cs="Readex Pro"/>
          <w:sz w:val="20"/>
          <w:szCs w:val="20"/>
        </w:rPr>
        <w:t xml:space="preserve"> examined the rights of people with disability who face criminal charges and are found unfit to be tried, or not guilty on the basis of mental impairment.</w:t>
      </w:r>
      <w:r w:rsidRPr="00EA1375">
        <w:rPr>
          <w:rStyle w:val="FootnoteReference"/>
          <w:rFonts w:cs="Readex Pro"/>
          <w:sz w:val="20"/>
          <w:szCs w:val="20"/>
        </w:rPr>
        <w:footnoteReference w:id="197"/>
      </w:r>
      <w:r w:rsidRPr="00EA1375">
        <w:rPr>
          <w:rFonts w:cs="Readex Pro"/>
          <w:sz w:val="20"/>
          <w:szCs w:val="20"/>
        </w:rPr>
        <w:t xml:space="preserve"> In doing so, it observed the risk of indefinite detention among this cohort of people held in forensic detention.</w:t>
      </w:r>
      <w:r w:rsidRPr="00EA1375">
        <w:rPr>
          <w:rStyle w:val="FootnoteReference"/>
          <w:rFonts w:cs="Readex Pro"/>
          <w:sz w:val="20"/>
          <w:szCs w:val="20"/>
        </w:rPr>
        <w:footnoteReference w:id="198"/>
      </w:r>
      <w:r w:rsidRPr="00EA1375">
        <w:rPr>
          <w:rFonts w:cs="Readex Pro"/>
          <w:sz w:val="20"/>
          <w:szCs w:val="20"/>
        </w:rPr>
        <w:t xml:space="preserve"> It raised particular concern with laws in Victoria, the NT, Queensland and Tasmania where there is no fixed maximum term of detention for people found unfit to be tried.</w:t>
      </w:r>
      <w:r w:rsidRPr="00EA1375">
        <w:rPr>
          <w:rStyle w:val="FootnoteReference"/>
          <w:rFonts w:cs="Readex Pro"/>
          <w:sz w:val="20"/>
          <w:szCs w:val="20"/>
        </w:rPr>
        <w:footnoteReference w:id="199"/>
      </w:r>
      <w:r w:rsidRPr="00EA1375">
        <w:rPr>
          <w:rFonts w:cs="Readex Pro"/>
          <w:sz w:val="20"/>
          <w:szCs w:val="20"/>
        </w:rPr>
        <w:t xml:space="preserve"> To end indefinite detention it indicated the need to amend laws to set a maximum period of detention for which such people can be held, but also </w:t>
      </w:r>
      <w:r w:rsidR="00970B85">
        <w:rPr>
          <w:rFonts w:cs="Readex Pro"/>
          <w:sz w:val="20"/>
          <w:szCs w:val="20"/>
        </w:rPr>
        <w:t>said</w:t>
      </w:r>
      <w:r w:rsidRPr="00EA1375">
        <w:rPr>
          <w:rFonts w:cs="Readex Pro"/>
          <w:sz w:val="20"/>
          <w:szCs w:val="20"/>
        </w:rPr>
        <w:t xml:space="preserve"> that greater supports for people with disability to enable fitness to stand trial were key.</w:t>
      </w:r>
      <w:r w:rsidRPr="00EA1375">
        <w:rPr>
          <w:rStyle w:val="FootnoteReference"/>
          <w:rFonts w:cs="Readex Pro"/>
          <w:sz w:val="20"/>
          <w:szCs w:val="20"/>
        </w:rPr>
        <w:footnoteReference w:id="200"/>
      </w:r>
    </w:p>
    <w:p w14:paraId="5BD2A0AA" w14:textId="4EA5F7EA" w:rsidR="007F1E9F" w:rsidRPr="00BA6932" w:rsidRDefault="007F1E9F" w:rsidP="007403E7">
      <w:pPr>
        <w:rPr>
          <w:rFonts w:cs="Readex Pro"/>
          <w:sz w:val="20"/>
          <w:szCs w:val="20"/>
        </w:rPr>
      </w:pPr>
      <w:r w:rsidRPr="00EA1375">
        <w:rPr>
          <w:rFonts w:cs="Readex Pro"/>
          <w:sz w:val="20"/>
          <w:szCs w:val="20"/>
        </w:rPr>
        <w:t>Furthermore</w:t>
      </w:r>
      <w:r w:rsidR="00C16F88">
        <w:rPr>
          <w:rFonts w:cs="Readex Pro"/>
          <w:sz w:val="20"/>
          <w:szCs w:val="20"/>
        </w:rPr>
        <w:t>,</w:t>
      </w:r>
      <w:r w:rsidRPr="00EA1375">
        <w:rPr>
          <w:rFonts w:cs="Readex Pro"/>
          <w:sz w:val="20"/>
          <w:szCs w:val="20"/>
        </w:rPr>
        <w:t xml:space="preserve"> the NT, </w:t>
      </w:r>
      <w:r>
        <w:rPr>
          <w:rFonts w:cs="Readex Pro"/>
          <w:sz w:val="20"/>
          <w:szCs w:val="20"/>
        </w:rPr>
        <w:t xml:space="preserve">while </w:t>
      </w:r>
      <w:r w:rsidRPr="00BA6932">
        <w:rPr>
          <w:rFonts w:cs="Readex Pro"/>
          <w:sz w:val="20"/>
          <w:szCs w:val="20"/>
        </w:rPr>
        <w:t>having the highest incarceration rate in Australia per capita, has no dedicated forensic mental health facility</w:t>
      </w:r>
      <w:r w:rsidR="002C2866">
        <w:rPr>
          <w:rFonts w:cs="Readex Pro"/>
          <w:sz w:val="20"/>
          <w:szCs w:val="20"/>
        </w:rPr>
        <w:t>.</w:t>
      </w:r>
      <w:r w:rsidRPr="00BA6932">
        <w:rPr>
          <w:rFonts w:cs="Readex Pro"/>
          <w:sz w:val="20"/>
          <w:szCs w:val="20"/>
        </w:rPr>
        <w:t xml:space="preserve"> </w:t>
      </w:r>
      <w:r w:rsidR="002C2866">
        <w:rPr>
          <w:rFonts w:cs="Readex Pro"/>
          <w:sz w:val="20"/>
          <w:szCs w:val="20"/>
        </w:rPr>
        <w:t>The only Secure Care facility in the NT was</w:t>
      </w:r>
      <w:r w:rsidRPr="00257524">
        <w:rPr>
          <w:rFonts w:cs="Readex Pro"/>
          <w:sz w:val="20"/>
          <w:szCs w:val="20"/>
        </w:rPr>
        <w:t xml:space="preserve"> repurposed to accommodate </w:t>
      </w:r>
      <w:r w:rsidR="002C2866">
        <w:rPr>
          <w:rFonts w:cs="Readex Pro"/>
          <w:sz w:val="20"/>
          <w:szCs w:val="20"/>
        </w:rPr>
        <w:t>the NT’s</w:t>
      </w:r>
      <w:r w:rsidRPr="00257524">
        <w:rPr>
          <w:rFonts w:cs="Readex Pro"/>
          <w:sz w:val="20"/>
          <w:szCs w:val="20"/>
        </w:rPr>
        <w:t xml:space="preserve"> growing prison population</w:t>
      </w:r>
      <w:r w:rsidR="002C2866">
        <w:rPr>
          <w:rFonts w:cs="Readex Pro"/>
          <w:sz w:val="20"/>
          <w:szCs w:val="20"/>
        </w:rPr>
        <w:t xml:space="preserve"> in 2024</w:t>
      </w:r>
      <w:r w:rsidRPr="00BA6932">
        <w:rPr>
          <w:rFonts w:cs="Readex Pro"/>
          <w:sz w:val="20"/>
          <w:szCs w:val="20"/>
        </w:rPr>
        <w:t xml:space="preserve">. As such, </w:t>
      </w:r>
      <w:r w:rsidRPr="00257524">
        <w:rPr>
          <w:rFonts w:cs="Readex Pro"/>
          <w:sz w:val="20"/>
          <w:szCs w:val="20"/>
        </w:rPr>
        <w:t>people found unfit to plead are detained in correctional facilities alongside people convicted of offences</w:t>
      </w:r>
      <w:r w:rsidRPr="00BA6932">
        <w:rPr>
          <w:rFonts w:cs="Readex Pro"/>
          <w:sz w:val="20"/>
          <w:szCs w:val="20"/>
        </w:rPr>
        <w:t>.</w:t>
      </w:r>
      <w:r w:rsidRPr="00BA6932">
        <w:rPr>
          <w:rFonts w:cs="Readex Pro"/>
          <w:sz w:val="20"/>
          <w:szCs w:val="20"/>
          <w:vertAlign w:val="superscript"/>
        </w:rPr>
        <w:footnoteReference w:id="201"/>
      </w:r>
      <w:r w:rsidR="002C2866">
        <w:rPr>
          <w:rFonts w:cs="Readex Pro"/>
          <w:sz w:val="20"/>
          <w:szCs w:val="20"/>
        </w:rPr>
        <w:t xml:space="preserve"> This could potentially lead to contravention of the duty to accommodate a special need under section 24 of the </w:t>
      </w:r>
      <w:r w:rsidR="002C2866" w:rsidRPr="004F0A57">
        <w:rPr>
          <w:rFonts w:cs="Readex Pro"/>
          <w:i/>
          <w:iCs/>
          <w:sz w:val="20"/>
          <w:szCs w:val="20"/>
        </w:rPr>
        <w:t>Anti-Discrimination Act 1992</w:t>
      </w:r>
      <w:r w:rsidR="002C2866">
        <w:rPr>
          <w:rFonts w:cs="Readex Pro"/>
          <w:sz w:val="20"/>
          <w:szCs w:val="20"/>
        </w:rPr>
        <w:t xml:space="preserve"> (NT) where a person who is incarcerated has a special need because of a disability.</w:t>
      </w:r>
    </w:p>
    <w:p w14:paraId="4F45E771" w14:textId="0D169EC9" w:rsidR="007F1E9F" w:rsidRPr="00C261C1" w:rsidRDefault="007F1E9F" w:rsidP="00774517">
      <w:pPr>
        <w:rPr>
          <w:rFonts w:cs="Readex Pro"/>
          <w:sz w:val="20"/>
          <w:szCs w:val="20"/>
        </w:rPr>
      </w:pPr>
      <w:r w:rsidRPr="00C261C1">
        <w:rPr>
          <w:rFonts w:cs="Readex Pro"/>
          <w:sz w:val="20"/>
          <w:szCs w:val="20"/>
        </w:rPr>
        <w:t xml:space="preserve">In the ACT, there is </w:t>
      </w:r>
      <w:r w:rsidR="009368C5">
        <w:rPr>
          <w:rFonts w:cs="Readex Pro"/>
          <w:sz w:val="20"/>
          <w:szCs w:val="20"/>
        </w:rPr>
        <w:t>one</w:t>
      </w:r>
      <w:r w:rsidRPr="00C261C1">
        <w:rPr>
          <w:rFonts w:cs="Readex Pro"/>
          <w:sz w:val="20"/>
          <w:szCs w:val="20"/>
        </w:rPr>
        <w:t xml:space="preserve"> secure forensic mental health facility that may, as a matter of operational policy, exclude people assessed to require a ‘high secure service’. Discretionary exclusion of certain people found not guilty by reason of mental impairment has led to their unduly prolonged detention in a non-therapeutic correctional facility. Others who have been found not guilty by reason of mental impairment have been released from custody by the ACT’s mental health tribunal on the condition that they ‘reside’ within an approved mental health facility; effectively, that they be detained. However, there is some ambiguity as to whether the tribunal has the legislative authority to do so.</w:t>
      </w:r>
      <w:r w:rsidRPr="00C261C1">
        <w:rPr>
          <w:rFonts w:cs="Readex Pro"/>
          <w:sz w:val="20"/>
          <w:szCs w:val="20"/>
          <w:vertAlign w:val="superscript"/>
        </w:rPr>
        <w:footnoteReference w:id="202"/>
      </w:r>
    </w:p>
    <w:p w14:paraId="49EA24A9" w14:textId="0A645B35" w:rsidR="007F1E9F" w:rsidRDefault="007F1E9F" w:rsidP="00E8725B">
      <w:pPr>
        <w:rPr>
          <w:rFonts w:cs="Readex Pro"/>
          <w:sz w:val="20"/>
          <w:szCs w:val="20"/>
        </w:rPr>
      </w:pPr>
      <w:r w:rsidRPr="00BA6932">
        <w:rPr>
          <w:rFonts w:cs="Readex Pro"/>
          <w:sz w:val="20"/>
          <w:szCs w:val="20"/>
        </w:rPr>
        <w:t xml:space="preserve">The </w:t>
      </w:r>
      <w:r w:rsidRPr="00BA6932">
        <w:rPr>
          <w:rFonts w:cs="Readex Pro"/>
          <w:i/>
          <w:iCs/>
          <w:sz w:val="20"/>
          <w:szCs w:val="20"/>
        </w:rPr>
        <w:t>Royal Commission into Violence, Abuse, Neglect and Exploitation of People with Disability</w:t>
      </w:r>
      <w:r w:rsidRPr="00BA6932">
        <w:rPr>
          <w:rFonts w:cs="Readex Pro"/>
          <w:sz w:val="20"/>
          <w:szCs w:val="20"/>
        </w:rPr>
        <w:t xml:space="preserve"> also found step-down options for people in the forensic system were needed to facilitate transition to less restrictive environments. It went on to recommend that the 2019</w:t>
      </w:r>
      <w:r w:rsidRPr="00EA1375">
        <w:rPr>
          <w:rFonts w:cs="Readex Pro"/>
          <w:sz w:val="20"/>
          <w:szCs w:val="20"/>
        </w:rPr>
        <w:t xml:space="preserve"> </w:t>
      </w:r>
      <w:r w:rsidRPr="00EA1375">
        <w:rPr>
          <w:rFonts w:cs="Readex Pro"/>
          <w:i/>
          <w:iCs/>
          <w:sz w:val="20"/>
          <w:szCs w:val="20"/>
        </w:rPr>
        <w:t>National Statement of Principles Relating to Persons Unfit to Plead or Found Not Guilty by Reason of Cognitive or Mental Health Impairment</w:t>
      </w:r>
      <w:r w:rsidRPr="00EA1375">
        <w:rPr>
          <w:rFonts w:cs="Readex Pro"/>
          <w:sz w:val="20"/>
          <w:szCs w:val="20"/>
        </w:rPr>
        <w:t xml:space="preserve"> (National Principles),</w:t>
      </w:r>
      <w:r w:rsidRPr="00EA1375">
        <w:rPr>
          <w:rStyle w:val="FootnoteReference"/>
          <w:rFonts w:cs="Readex Pro"/>
          <w:sz w:val="20"/>
          <w:szCs w:val="20"/>
        </w:rPr>
        <w:footnoteReference w:id="203"/>
      </w:r>
      <w:r w:rsidRPr="00EA1375">
        <w:rPr>
          <w:rFonts w:cs="Readex Pro"/>
          <w:sz w:val="20"/>
          <w:szCs w:val="20"/>
        </w:rPr>
        <w:t xml:space="preserve"> endorsed by all but one Australian jurisdiction, be revised including to state that laws providing </w:t>
      </w:r>
      <w:r w:rsidRPr="00EA1375">
        <w:rPr>
          <w:rFonts w:cs="Readex Pro"/>
          <w:sz w:val="20"/>
          <w:szCs w:val="20"/>
        </w:rPr>
        <w:lastRenderedPageBreak/>
        <w:t>for indefinite detention should be repealed.</w:t>
      </w:r>
      <w:r w:rsidRPr="00EA1375">
        <w:rPr>
          <w:rStyle w:val="FootnoteReference"/>
          <w:rFonts w:cs="Readex Pro"/>
          <w:sz w:val="20"/>
          <w:szCs w:val="20"/>
        </w:rPr>
        <w:footnoteReference w:id="204"/>
      </w:r>
      <w:r>
        <w:rPr>
          <w:rFonts w:cs="Readex Pro"/>
          <w:sz w:val="20"/>
          <w:szCs w:val="20"/>
        </w:rPr>
        <w:t xml:space="preserve"> </w:t>
      </w:r>
      <w:r w:rsidRPr="00EA1375">
        <w:rPr>
          <w:rFonts w:cs="Readex Pro"/>
          <w:sz w:val="20"/>
          <w:szCs w:val="20"/>
        </w:rPr>
        <w:t>In response all Australian governments have committed to review the National Principles, but not all have accepted the recommendation on their revision.</w:t>
      </w:r>
      <w:r w:rsidRPr="00EA1375">
        <w:rPr>
          <w:rStyle w:val="FootnoteReference"/>
          <w:rFonts w:cs="Readex Pro"/>
          <w:sz w:val="20"/>
          <w:szCs w:val="20"/>
        </w:rPr>
        <w:footnoteReference w:id="205"/>
      </w:r>
    </w:p>
    <w:tbl>
      <w:tblPr>
        <w:tblStyle w:val="GridTable4-Accent2"/>
        <w:tblpPr w:leftFromText="180" w:rightFromText="180" w:vertAnchor="text" w:horzAnchor="margin" w:tblpY="85"/>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7F1E9F" w:rsidRPr="00EA1375" w14:paraId="62C03203"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368D4D26" w14:textId="2AE18F96" w:rsidR="007F1E9F" w:rsidRPr="0013605E" w:rsidRDefault="003C7E7D" w:rsidP="0013605E">
            <w:pPr>
              <w:ind w:left="275"/>
              <w:rPr>
                <w:sz w:val="20"/>
                <w:szCs w:val="20"/>
              </w:rPr>
            </w:pPr>
            <w:r w:rsidRPr="001B7386">
              <w:rPr>
                <w:noProof/>
                <w:sz w:val="20"/>
                <w:szCs w:val="20"/>
              </w:rPr>
              <w:drawing>
                <wp:anchor distT="0" distB="0" distL="114300" distR="114300" simplePos="0" relativeHeight="251834368" behindDoc="1" locked="0" layoutInCell="1" allowOverlap="1" wp14:anchorId="0FEB2537" wp14:editId="62C164B7">
                  <wp:simplePos x="0" y="0"/>
                  <wp:positionH relativeFrom="column">
                    <wp:posOffset>-281305</wp:posOffset>
                  </wp:positionH>
                  <wp:positionV relativeFrom="paragraph">
                    <wp:posOffset>65776</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1128070642"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7F1E9F" w:rsidRPr="001B7386">
              <w:rPr>
                <w:sz w:val="20"/>
                <w:szCs w:val="20"/>
              </w:rPr>
              <w:t>We suggest the Committee ask the state party to report on:</w:t>
            </w:r>
          </w:p>
          <w:p w14:paraId="65D577E7" w14:textId="4498898C" w:rsidR="007F1E9F" w:rsidRPr="001B7386" w:rsidRDefault="007F1E9F" w:rsidP="004541B6">
            <w:pPr>
              <w:pStyle w:val="ListParagraph"/>
              <w:numPr>
                <w:ilvl w:val="0"/>
                <w:numId w:val="20"/>
              </w:numPr>
              <w:rPr>
                <w:sz w:val="20"/>
                <w:szCs w:val="20"/>
              </w:rPr>
            </w:pPr>
            <w:r w:rsidRPr="001B7386">
              <w:rPr>
                <w:sz w:val="20"/>
                <w:szCs w:val="20"/>
              </w:rPr>
              <w:t xml:space="preserve">updates in all jurisdictions on measures to ensure people are not detained indefinitely </w:t>
            </w:r>
            <w:proofErr w:type="gramStart"/>
            <w:r w:rsidRPr="001B7386">
              <w:rPr>
                <w:sz w:val="20"/>
                <w:szCs w:val="20"/>
              </w:rPr>
              <w:t>as a result of</w:t>
            </w:r>
            <w:proofErr w:type="gramEnd"/>
            <w:r w:rsidRPr="001B7386">
              <w:rPr>
                <w:sz w:val="20"/>
                <w:szCs w:val="20"/>
              </w:rPr>
              <w:t xml:space="preserve"> being found unfit to plead, or not guilty due to mental impairment</w:t>
            </w:r>
          </w:p>
          <w:p w14:paraId="115BC39F" w14:textId="6981E730" w:rsidR="007F1E9F" w:rsidRPr="001B7386" w:rsidRDefault="007F1E9F" w:rsidP="004541B6">
            <w:pPr>
              <w:pStyle w:val="ListParagraph"/>
              <w:numPr>
                <w:ilvl w:val="0"/>
                <w:numId w:val="20"/>
              </w:numPr>
              <w:rPr>
                <w:sz w:val="20"/>
                <w:szCs w:val="20"/>
              </w:rPr>
            </w:pPr>
            <w:r w:rsidRPr="001B7386">
              <w:rPr>
                <w:sz w:val="20"/>
                <w:szCs w:val="20"/>
              </w:rPr>
              <w:t>measures to ensure people found unfit to plead, or not guilty due to mental impairment, are placed in appropriately therapeutic environments best suited to their circumstances and needs</w:t>
            </w:r>
          </w:p>
          <w:p w14:paraId="4965D599" w14:textId="3A0949AA" w:rsidR="007F1E9F" w:rsidRPr="00EA1375" w:rsidRDefault="007F1E9F" w:rsidP="004541B6">
            <w:pPr>
              <w:pStyle w:val="ListParagraph"/>
              <w:numPr>
                <w:ilvl w:val="0"/>
                <w:numId w:val="20"/>
              </w:numPr>
              <w:rPr>
                <w:b w:val="0"/>
                <w:bCs w:val="0"/>
              </w:rPr>
            </w:pPr>
            <w:r w:rsidRPr="001B7386">
              <w:rPr>
                <w:sz w:val="20"/>
                <w:szCs w:val="20"/>
              </w:rPr>
              <w:t xml:space="preserve">updates on review and revision of the National Principles in line with recommendations of the </w:t>
            </w:r>
            <w:r w:rsidRPr="001B7386">
              <w:rPr>
                <w:i/>
                <w:iCs/>
                <w:sz w:val="20"/>
                <w:szCs w:val="20"/>
              </w:rPr>
              <w:t>Royal Commission into Violence, Abuse, Neglect and Exploitation of People with Disability</w:t>
            </w:r>
            <w:r w:rsidRPr="001B7386">
              <w:rPr>
                <w:sz w:val="20"/>
                <w:szCs w:val="20"/>
              </w:rPr>
              <w:t>.</w:t>
            </w:r>
          </w:p>
        </w:tc>
      </w:tr>
    </w:tbl>
    <w:p w14:paraId="5653FC83" w14:textId="6477BC38" w:rsidR="007F1E9F" w:rsidRPr="00B50F91" w:rsidRDefault="007F1E9F" w:rsidP="00B50F91">
      <w:pPr>
        <w:pStyle w:val="Heading3"/>
        <w:spacing w:before="120"/>
        <w:rPr>
          <w:color w:val="719243" w:themeColor="accent2"/>
        </w:rPr>
      </w:pPr>
      <w:bookmarkStart w:id="101" w:name="_Toc208584121"/>
      <w:r w:rsidRPr="00B50F91">
        <w:rPr>
          <w:color w:val="719243" w:themeColor="accent2"/>
        </w:rPr>
        <w:t>OPCAT implementation, and detention oversight</w:t>
      </w:r>
      <w:bookmarkEnd w:id="101"/>
    </w:p>
    <w:p w14:paraId="7DF71BB7" w14:textId="77777777" w:rsidR="009A1768" w:rsidRPr="009A1768" w:rsidRDefault="009A1768" w:rsidP="009A1768">
      <w:pPr>
        <w:rPr>
          <w:rFonts w:cs="Readex Pro"/>
          <w:b/>
          <w:bCs/>
          <w:i/>
          <w:iCs/>
          <w:sz w:val="20"/>
          <w:szCs w:val="20"/>
          <w:u w:val="single"/>
        </w:rPr>
      </w:pPr>
      <w:r w:rsidRPr="009A1768">
        <w:rPr>
          <w:rFonts w:cs="Readex Pro"/>
          <w:b/>
          <w:bCs/>
          <w:i/>
          <w:iCs/>
          <w:sz w:val="20"/>
          <w:szCs w:val="20"/>
          <w:u w:val="single"/>
        </w:rPr>
        <w:t>CAT Articles 2 and 16</w:t>
      </w:r>
    </w:p>
    <w:p w14:paraId="5839CA66" w14:textId="07935530" w:rsidR="007F1E9F" w:rsidRDefault="007F1E9F" w:rsidP="00892F24">
      <w:pPr>
        <w:rPr>
          <w:rFonts w:cs="Readex Pro"/>
          <w:sz w:val="20"/>
          <w:szCs w:val="20"/>
        </w:rPr>
      </w:pPr>
      <w:r>
        <w:rPr>
          <w:rFonts w:cs="Readex Pro"/>
          <w:sz w:val="20"/>
          <w:szCs w:val="20"/>
        </w:rPr>
        <w:t>Sixteen years after signing OPCAT and almost 8 years since ratifying, Australia has failed to comprehensively implement its international law obligations under OPCAT.</w:t>
      </w:r>
    </w:p>
    <w:p w14:paraId="30EF1C5F" w14:textId="34A727DD" w:rsidR="007F1E9F" w:rsidRPr="00EA1375" w:rsidRDefault="007F1E9F" w:rsidP="00EA7A65">
      <w:pPr>
        <w:rPr>
          <w:rFonts w:cs="Readex Pro"/>
          <w:sz w:val="20"/>
          <w:szCs w:val="20"/>
        </w:rPr>
      </w:pPr>
      <w:r w:rsidRPr="00EA1375">
        <w:rPr>
          <w:rFonts w:cs="Readex Pro"/>
          <w:sz w:val="20"/>
          <w:szCs w:val="20"/>
        </w:rPr>
        <w:t xml:space="preserve">There are not yet appropriately resourced and empowered NPMs with coverage of all places of deprivation of liberty across the country. Australia’s three most populous states have </w:t>
      </w:r>
      <w:r>
        <w:rPr>
          <w:rFonts w:cs="Readex Pro"/>
          <w:sz w:val="20"/>
          <w:szCs w:val="20"/>
        </w:rPr>
        <w:t xml:space="preserve">still </w:t>
      </w:r>
      <w:r w:rsidRPr="00EA1375">
        <w:rPr>
          <w:rFonts w:cs="Readex Pro"/>
          <w:sz w:val="20"/>
          <w:szCs w:val="20"/>
        </w:rPr>
        <w:t xml:space="preserve">not nominated members for the Australian NPM. </w:t>
      </w:r>
      <w:r>
        <w:rPr>
          <w:rFonts w:cs="Readex Pro"/>
          <w:sz w:val="20"/>
          <w:szCs w:val="20"/>
        </w:rPr>
        <w:t>While legislation commenced in the ACT in 2024 establishing the ACT NPM in law and providing it with powers and protections,</w:t>
      </w:r>
      <w:r>
        <w:rPr>
          <w:rStyle w:val="FootnoteReference"/>
          <w:rFonts w:cs="Readex Pro"/>
          <w:sz w:val="20"/>
          <w:szCs w:val="20"/>
        </w:rPr>
        <w:footnoteReference w:id="206"/>
      </w:r>
      <w:r>
        <w:rPr>
          <w:rFonts w:cs="Readex Pro"/>
          <w:sz w:val="20"/>
          <w:szCs w:val="20"/>
        </w:rPr>
        <w:t xml:space="preserve"> there have been no other recent legislative developments in Australia towards OPCAT implementation.</w:t>
      </w:r>
      <w:r>
        <w:rPr>
          <w:rStyle w:val="FootnoteReference"/>
          <w:rFonts w:cs="Readex Pro"/>
          <w:sz w:val="20"/>
          <w:szCs w:val="20"/>
        </w:rPr>
        <w:footnoteReference w:id="207"/>
      </w:r>
      <w:r>
        <w:rPr>
          <w:rFonts w:cs="Readex Pro"/>
          <w:sz w:val="20"/>
          <w:szCs w:val="20"/>
        </w:rPr>
        <w:t xml:space="preserve"> </w:t>
      </w:r>
      <w:r w:rsidRPr="00EA1375">
        <w:rPr>
          <w:rFonts w:cs="Readex Pro"/>
          <w:sz w:val="20"/>
          <w:szCs w:val="20"/>
        </w:rPr>
        <w:t>Current Australian NPM members have varying status and legislative authority, and no current member is adequately resourced for OPCAT work.</w:t>
      </w:r>
      <w:r>
        <w:rPr>
          <w:rFonts w:cs="Readex Pro"/>
          <w:sz w:val="20"/>
          <w:szCs w:val="20"/>
        </w:rPr>
        <w:t xml:space="preserve"> The most recent federal Budget again failed to include more funding for OPCAT implementation.</w:t>
      </w:r>
      <w:r>
        <w:rPr>
          <w:rStyle w:val="FootnoteReference"/>
          <w:rFonts w:cs="Readex Pro"/>
          <w:sz w:val="20"/>
          <w:szCs w:val="20"/>
        </w:rPr>
        <w:footnoteReference w:id="208"/>
      </w:r>
    </w:p>
    <w:p w14:paraId="19136B67" w14:textId="308880AD" w:rsidR="00EA7A65" w:rsidRPr="00EA1375" w:rsidRDefault="00EF52A6" w:rsidP="00EA7A65">
      <w:pPr>
        <w:rPr>
          <w:rFonts w:cs="Readex Pro"/>
          <w:sz w:val="20"/>
          <w:szCs w:val="20"/>
        </w:rPr>
      </w:pPr>
      <w:r>
        <w:rPr>
          <w:rFonts w:cs="Readex Pro"/>
          <w:sz w:val="20"/>
          <w:szCs w:val="20"/>
        </w:rPr>
        <w:t xml:space="preserve">The </w:t>
      </w:r>
      <w:r w:rsidR="00EA7A65" w:rsidRPr="00EA1375">
        <w:rPr>
          <w:rFonts w:cs="Readex Pro"/>
          <w:sz w:val="20"/>
          <w:szCs w:val="20"/>
        </w:rPr>
        <w:t xml:space="preserve">ongoing disagreement between different levels of government in Australia as to which should </w:t>
      </w:r>
      <w:r w:rsidR="00FB18C5">
        <w:rPr>
          <w:rFonts w:cs="Readex Pro"/>
          <w:sz w:val="20"/>
          <w:szCs w:val="20"/>
        </w:rPr>
        <w:t xml:space="preserve">provide the necessary </w:t>
      </w:r>
      <w:r w:rsidR="00EA7A65" w:rsidRPr="00EA1375">
        <w:rPr>
          <w:rFonts w:cs="Readex Pro"/>
          <w:sz w:val="20"/>
          <w:szCs w:val="20"/>
        </w:rPr>
        <w:t>resourc</w:t>
      </w:r>
      <w:r w:rsidR="00FB18C5">
        <w:rPr>
          <w:rFonts w:cs="Readex Pro"/>
          <w:sz w:val="20"/>
          <w:szCs w:val="20"/>
        </w:rPr>
        <w:t>ing</w:t>
      </w:r>
      <w:r>
        <w:rPr>
          <w:rFonts w:cs="Readex Pro"/>
          <w:sz w:val="20"/>
          <w:szCs w:val="20"/>
        </w:rPr>
        <w:t xml:space="preserve"> remains a</w:t>
      </w:r>
      <w:r w:rsidRPr="00EA1375">
        <w:rPr>
          <w:rFonts w:cs="Readex Pro"/>
          <w:sz w:val="20"/>
          <w:szCs w:val="20"/>
        </w:rPr>
        <w:t>t the core of Australia’s incomplete OPCAT implementation</w:t>
      </w:r>
      <w:r>
        <w:rPr>
          <w:rFonts w:cs="Readex Pro"/>
          <w:sz w:val="20"/>
          <w:szCs w:val="20"/>
        </w:rPr>
        <w:t xml:space="preserve">. </w:t>
      </w:r>
      <w:r w:rsidR="00FB18C5">
        <w:rPr>
          <w:rFonts w:cs="Readex Pro"/>
          <w:sz w:val="20"/>
          <w:szCs w:val="20"/>
        </w:rPr>
        <w:t>T</w:t>
      </w:r>
      <w:r w:rsidR="00EA7A65" w:rsidRPr="00EA1375">
        <w:rPr>
          <w:rFonts w:cs="Readex Pro"/>
          <w:sz w:val="20"/>
          <w:szCs w:val="20"/>
        </w:rPr>
        <w:t xml:space="preserve">his continues to undermine the adequacy of independent external oversight of </w:t>
      </w:r>
      <w:r w:rsidR="00ED5C82">
        <w:rPr>
          <w:rFonts w:cs="Readex Pro"/>
          <w:sz w:val="20"/>
          <w:szCs w:val="20"/>
        </w:rPr>
        <w:t xml:space="preserve">places of </w:t>
      </w:r>
      <w:r w:rsidR="009071A8">
        <w:rPr>
          <w:rFonts w:cs="Readex Pro"/>
          <w:sz w:val="20"/>
          <w:szCs w:val="20"/>
        </w:rPr>
        <w:t>detention</w:t>
      </w:r>
      <w:r w:rsidR="00ED5C82">
        <w:rPr>
          <w:rFonts w:cs="Readex Pro"/>
          <w:sz w:val="20"/>
          <w:szCs w:val="20"/>
        </w:rPr>
        <w:t xml:space="preserve">, through this </w:t>
      </w:r>
      <w:r w:rsidR="00FB18C5">
        <w:rPr>
          <w:rFonts w:cs="Readex Pro"/>
          <w:sz w:val="20"/>
          <w:szCs w:val="20"/>
        </w:rPr>
        <w:t xml:space="preserve">undermining </w:t>
      </w:r>
      <w:r w:rsidR="00ED5C82">
        <w:rPr>
          <w:rFonts w:cs="Readex Pro"/>
          <w:sz w:val="20"/>
          <w:szCs w:val="20"/>
        </w:rPr>
        <w:t xml:space="preserve">Australia’s </w:t>
      </w:r>
      <w:r w:rsidR="00FB18C5">
        <w:rPr>
          <w:rFonts w:cs="Readex Pro"/>
          <w:sz w:val="20"/>
          <w:szCs w:val="20"/>
        </w:rPr>
        <w:t xml:space="preserve">ability to </w:t>
      </w:r>
      <w:r w:rsidR="00CC15EB">
        <w:rPr>
          <w:rFonts w:cs="Readex Pro"/>
          <w:sz w:val="20"/>
          <w:szCs w:val="20"/>
        </w:rPr>
        <w:t>meet its preventive obligations in Articles 2 and 16 of the CAT</w:t>
      </w:r>
      <w:r w:rsidR="00EA7A65" w:rsidRPr="00EA1375">
        <w:rPr>
          <w:rFonts w:cs="Readex Pro"/>
          <w:sz w:val="20"/>
          <w:szCs w:val="20"/>
        </w:rPr>
        <w:t>.</w:t>
      </w:r>
    </w:p>
    <w:tbl>
      <w:tblPr>
        <w:tblStyle w:val="GridTable4-Accent2"/>
        <w:tblpPr w:leftFromText="180" w:rightFromText="180" w:vertAnchor="text" w:horzAnchor="margin" w:tblpY="6"/>
        <w:tblW w:w="0" w:type="auto"/>
        <w:shd w:val="clear" w:color="auto" w:fill="F2EEEA" w:themeFill="accent4"/>
        <w:tblCellMar>
          <w:top w:w="28" w:type="dxa"/>
          <w:left w:w="567" w:type="dxa"/>
          <w:bottom w:w="28" w:type="dxa"/>
          <w:right w:w="284" w:type="dxa"/>
        </w:tblCellMar>
        <w:tblLook w:val="04A0" w:firstRow="1" w:lastRow="0" w:firstColumn="1" w:lastColumn="0" w:noHBand="0" w:noVBand="1"/>
      </w:tblPr>
      <w:tblGrid>
        <w:gridCol w:w="9608"/>
      </w:tblGrid>
      <w:tr w:rsidR="00EA7A65" w:rsidRPr="00EA1375" w14:paraId="430E7086" w14:textId="77777777" w:rsidTr="00315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12" w:space="0" w:color="719243" w:themeColor="accent2"/>
              <w:left w:val="single" w:sz="12" w:space="0" w:color="719243" w:themeColor="accent2"/>
              <w:bottom w:val="single" w:sz="12" w:space="0" w:color="719243" w:themeColor="accent2"/>
              <w:right w:val="single" w:sz="12" w:space="0" w:color="719243" w:themeColor="accent2"/>
            </w:tcBorders>
            <w:shd w:val="clear" w:color="auto" w:fill="F2EEEA" w:themeFill="accent4"/>
          </w:tcPr>
          <w:p w14:paraId="196E8EED" w14:textId="31DD10A3" w:rsidR="00B623C7" w:rsidRPr="001B7386" w:rsidRDefault="003C7E7D" w:rsidP="0013605E">
            <w:pPr>
              <w:ind w:left="275"/>
              <w:rPr>
                <w:sz w:val="20"/>
                <w:szCs w:val="20"/>
              </w:rPr>
            </w:pPr>
            <w:r w:rsidRPr="001B7386">
              <w:rPr>
                <w:noProof/>
                <w:sz w:val="20"/>
                <w:szCs w:val="20"/>
              </w:rPr>
              <w:drawing>
                <wp:anchor distT="0" distB="0" distL="114300" distR="114300" simplePos="0" relativeHeight="251749376" behindDoc="1" locked="0" layoutInCell="1" allowOverlap="1" wp14:anchorId="019CCF19" wp14:editId="4304A2A3">
                  <wp:simplePos x="0" y="0"/>
                  <wp:positionH relativeFrom="column">
                    <wp:posOffset>-277495</wp:posOffset>
                  </wp:positionH>
                  <wp:positionV relativeFrom="paragraph">
                    <wp:posOffset>69479</wp:posOffset>
                  </wp:positionV>
                  <wp:extent cx="359410" cy="605155"/>
                  <wp:effectExtent l="0" t="0" r="2540" b="4445"/>
                  <wp:wrapTight wrapText="bothSides">
                    <wp:wrapPolygon edited="0">
                      <wp:start x="0" y="0"/>
                      <wp:lineTo x="0" y="2720"/>
                      <wp:lineTo x="8014" y="11559"/>
                      <wp:lineTo x="1145" y="17679"/>
                      <wp:lineTo x="0" y="18359"/>
                      <wp:lineTo x="0" y="21079"/>
                      <wp:lineTo x="6869" y="21079"/>
                      <wp:lineTo x="20608" y="12239"/>
                      <wp:lineTo x="20608" y="9519"/>
                      <wp:lineTo x="5724" y="0"/>
                      <wp:lineTo x="0" y="0"/>
                    </wp:wrapPolygon>
                  </wp:wrapTight>
                  <wp:docPr id="2116574170"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7442" name="Graphic 7">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59410" cy="605155"/>
                          </a:xfrm>
                          <a:prstGeom prst="rect">
                            <a:avLst/>
                          </a:prstGeom>
                        </pic:spPr>
                      </pic:pic>
                    </a:graphicData>
                  </a:graphic>
                  <wp14:sizeRelH relativeFrom="page">
                    <wp14:pctWidth>0</wp14:pctWidth>
                  </wp14:sizeRelH>
                  <wp14:sizeRelV relativeFrom="page">
                    <wp14:pctHeight>0</wp14:pctHeight>
                  </wp14:sizeRelV>
                </wp:anchor>
              </w:drawing>
            </w:r>
            <w:r w:rsidR="00EA7A65" w:rsidRPr="001B7386">
              <w:rPr>
                <w:sz w:val="20"/>
                <w:szCs w:val="20"/>
              </w:rPr>
              <w:t>We suggest the Committee ask the state party to report on</w:t>
            </w:r>
            <w:r w:rsidR="00001361" w:rsidRPr="001B7386">
              <w:rPr>
                <w:sz w:val="20"/>
                <w:szCs w:val="20"/>
              </w:rPr>
              <w:t xml:space="preserve"> </w:t>
            </w:r>
            <w:r w:rsidR="00EA7A65" w:rsidRPr="001B7386">
              <w:rPr>
                <w:sz w:val="20"/>
                <w:szCs w:val="20"/>
              </w:rPr>
              <w:t>what Australian governments are doing</w:t>
            </w:r>
            <w:r w:rsidR="00F47CF7" w:rsidRPr="001B7386">
              <w:rPr>
                <w:sz w:val="20"/>
                <w:szCs w:val="20"/>
              </w:rPr>
              <w:t xml:space="preserve"> to meet </w:t>
            </w:r>
            <w:r w:rsidR="00B623C7" w:rsidRPr="001B7386">
              <w:rPr>
                <w:sz w:val="20"/>
                <w:szCs w:val="20"/>
              </w:rPr>
              <w:t>Australia’s CAT obligations</w:t>
            </w:r>
            <w:r w:rsidR="0014084A" w:rsidRPr="001B7386">
              <w:rPr>
                <w:sz w:val="20"/>
                <w:szCs w:val="20"/>
              </w:rPr>
              <w:t xml:space="preserve"> to prevent torture and other ill treatment</w:t>
            </w:r>
            <w:r w:rsidR="00B623C7" w:rsidRPr="001B7386">
              <w:rPr>
                <w:sz w:val="20"/>
                <w:szCs w:val="20"/>
              </w:rPr>
              <w:t>,</w:t>
            </w:r>
            <w:r w:rsidR="00EA7A65" w:rsidRPr="001B7386">
              <w:rPr>
                <w:sz w:val="20"/>
                <w:szCs w:val="20"/>
              </w:rPr>
              <w:t xml:space="preserve"> </w:t>
            </w:r>
            <w:r w:rsidR="009A1768" w:rsidRPr="001B7386">
              <w:rPr>
                <w:sz w:val="20"/>
                <w:szCs w:val="20"/>
              </w:rPr>
              <w:t xml:space="preserve">by </w:t>
            </w:r>
            <w:r w:rsidR="00EA7A65" w:rsidRPr="001B7386">
              <w:rPr>
                <w:sz w:val="20"/>
                <w:szCs w:val="20"/>
              </w:rPr>
              <w:t>ensur</w:t>
            </w:r>
            <w:r w:rsidR="009A1768" w:rsidRPr="001B7386">
              <w:rPr>
                <w:sz w:val="20"/>
                <w:szCs w:val="20"/>
              </w:rPr>
              <w:t>ing</w:t>
            </w:r>
            <w:r w:rsidR="0014084A" w:rsidRPr="001B7386">
              <w:rPr>
                <w:sz w:val="20"/>
                <w:szCs w:val="20"/>
              </w:rPr>
              <w:t>:</w:t>
            </w:r>
          </w:p>
          <w:p w14:paraId="7F88BF24" w14:textId="31F57D84" w:rsidR="00EA7A65" w:rsidRPr="001B7386" w:rsidRDefault="00EA7A65" w:rsidP="004541B6">
            <w:pPr>
              <w:pStyle w:val="ListParagraph"/>
              <w:numPr>
                <w:ilvl w:val="0"/>
                <w:numId w:val="21"/>
              </w:numPr>
              <w:rPr>
                <w:sz w:val="20"/>
                <w:szCs w:val="20"/>
              </w:rPr>
            </w:pPr>
            <w:r w:rsidRPr="001B7386">
              <w:rPr>
                <w:sz w:val="20"/>
                <w:szCs w:val="20"/>
              </w:rPr>
              <w:t>appropriately resourced and empowered NPMs are in place with oversight of all places of deprivation of liberty within scope of Article 4 of OPCAT, across the country</w:t>
            </w:r>
          </w:p>
          <w:p w14:paraId="3C19C103" w14:textId="7C60BD42" w:rsidR="00EA7A65" w:rsidRPr="001B7386" w:rsidRDefault="00EA7A65" w:rsidP="004541B6">
            <w:pPr>
              <w:pStyle w:val="ListParagraph"/>
              <w:numPr>
                <w:ilvl w:val="0"/>
                <w:numId w:val="21"/>
              </w:numPr>
            </w:pPr>
            <w:r w:rsidRPr="001B7386">
              <w:rPr>
                <w:sz w:val="20"/>
                <w:szCs w:val="20"/>
              </w:rPr>
              <w:t>legislation is in place to enshrine the independence, powers and protections of all members of the Australian NPM, and visits from the United Nations Subcommittee on Prevention of Torture, in all jurisdictions.</w:t>
            </w:r>
          </w:p>
        </w:tc>
      </w:tr>
    </w:tbl>
    <w:p w14:paraId="4B1A86BD" w14:textId="77777777" w:rsidR="0062672B" w:rsidRDefault="0062672B" w:rsidP="006F301E">
      <w:pPr>
        <w:spacing w:line="240" w:lineRule="auto"/>
        <w:rPr>
          <w:rFonts w:cs="Readex Pro"/>
          <w:sz w:val="20"/>
          <w:szCs w:val="20"/>
        </w:rPr>
      </w:pPr>
    </w:p>
    <w:p w14:paraId="46CB6073" w14:textId="7DB6063E" w:rsidR="004F38D8" w:rsidRPr="00EA1375" w:rsidRDefault="004F38D8" w:rsidP="006F301E">
      <w:pPr>
        <w:spacing w:line="240" w:lineRule="auto"/>
        <w:rPr>
          <w:rFonts w:cs="Readex Pro"/>
          <w:sz w:val="20"/>
          <w:szCs w:val="20"/>
        </w:rPr>
      </w:pPr>
      <w:r w:rsidRPr="00EA1375">
        <w:rPr>
          <w:rFonts w:cs="Readex Pro"/>
          <w:sz w:val="20"/>
          <w:szCs w:val="20"/>
        </w:rPr>
        <w:br w:type="page"/>
      </w:r>
    </w:p>
    <w:p w14:paraId="1014CC67" w14:textId="4F8C8991" w:rsidR="00075696" w:rsidRDefault="00075696" w:rsidP="00B76409">
      <w:pPr>
        <w:rPr>
          <w:rFonts w:cs="Readex Pro"/>
          <w:sz w:val="20"/>
          <w:szCs w:val="20"/>
        </w:rPr>
      </w:pPr>
    </w:p>
    <w:p w14:paraId="6A6EEA35" w14:textId="5A725534" w:rsidR="00E65AF7" w:rsidRPr="00EA1375" w:rsidRDefault="0071719F" w:rsidP="00B76409">
      <w:pPr>
        <w:rPr>
          <w:rFonts w:cs="Readex Pro"/>
          <w:sz w:val="20"/>
          <w:szCs w:val="20"/>
        </w:rPr>
      </w:pPr>
      <w:r>
        <w:rPr>
          <w:noProof/>
        </w:rPr>
        <w:drawing>
          <wp:anchor distT="0" distB="0" distL="114300" distR="114300" simplePos="0" relativeHeight="251862016" behindDoc="0" locked="0" layoutInCell="1" allowOverlap="1" wp14:anchorId="7E180C27" wp14:editId="4F6A0E4C">
            <wp:simplePos x="0" y="0"/>
            <wp:positionH relativeFrom="column">
              <wp:posOffset>2368053</wp:posOffset>
            </wp:positionH>
            <wp:positionV relativeFrom="paragraph">
              <wp:posOffset>111429</wp:posOffset>
            </wp:positionV>
            <wp:extent cx="1589404" cy="798728"/>
            <wp:effectExtent l="0" t="0" r="0" b="0"/>
            <wp:wrapNone/>
            <wp:docPr id="543987458" name="Picture 12" descr="Logo of the Tasmanian National Preventive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87458" name="Picture 12" descr="Logo of the Tasmanian National Preventive Mechanism"/>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89404" cy="798728"/>
                    </a:xfrm>
                    <a:prstGeom prst="rect">
                      <a:avLst/>
                    </a:prstGeom>
                  </pic:spPr>
                </pic:pic>
              </a:graphicData>
            </a:graphic>
          </wp:anchor>
        </w:drawing>
      </w:r>
    </w:p>
    <w:p w14:paraId="1D92C5ED" w14:textId="6F3B8115" w:rsidR="00E65AF7" w:rsidRDefault="0071719F" w:rsidP="00B76409">
      <w:pPr>
        <w:rPr>
          <w:rFonts w:cs="Readex Pro"/>
          <w:sz w:val="20"/>
          <w:szCs w:val="20"/>
        </w:rPr>
      </w:pPr>
      <w:r>
        <w:rPr>
          <w:noProof/>
        </w:rPr>
        <w:drawing>
          <wp:anchor distT="0" distB="0" distL="114300" distR="114300" simplePos="0" relativeHeight="251855872" behindDoc="0" locked="0" layoutInCell="1" allowOverlap="1" wp14:anchorId="77F0296D" wp14:editId="4648A0A8">
            <wp:simplePos x="0" y="0"/>
            <wp:positionH relativeFrom="margin">
              <wp:posOffset>0</wp:posOffset>
            </wp:positionH>
            <wp:positionV relativeFrom="paragraph">
              <wp:posOffset>58116</wp:posOffset>
            </wp:positionV>
            <wp:extent cx="1950720" cy="532130"/>
            <wp:effectExtent l="0" t="0" r="0" b="1270"/>
            <wp:wrapSquare wrapText="bothSides"/>
            <wp:docPr id="2017446893" name="Picture 10" descr="Logo of the Ombudsman Northern Terri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46893" name="Picture 10" descr="Logo of the Ombudsman Northern Territory"/>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950720" cy="532130"/>
                    </a:xfrm>
                    <a:prstGeom prst="rect">
                      <a:avLst/>
                    </a:prstGeom>
                  </pic:spPr>
                </pic:pic>
              </a:graphicData>
            </a:graphic>
            <wp14:sizeRelH relativeFrom="margin">
              <wp14:pctWidth>0</wp14:pctWidth>
            </wp14:sizeRelH>
            <wp14:sizeRelV relativeFrom="margin">
              <wp14:pctHeight>0</wp14:pctHeight>
            </wp14:sizeRelV>
          </wp:anchor>
        </w:drawing>
      </w:r>
      <w:r w:rsidRPr="00E70760">
        <w:rPr>
          <w:noProof/>
        </w:rPr>
        <w:drawing>
          <wp:anchor distT="0" distB="0" distL="114300" distR="114300" simplePos="0" relativeHeight="251856896" behindDoc="1" locked="0" layoutInCell="1" allowOverlap="1" wp14:anchorId="5ECE0D16" wp14:editId="701FB96F">
            <wp:simplePos x="0" y="0"/>
            <wp:positionH relativeFrom="margin">
              <wp:posOffset>4512918</wp:posOffset>
            </wp:positionH>
            <wp:positionV relativeFrom="paragraph">
              <wp:posOffset>86222</wp:posOffset>
            </wp:positionV>
            <wp:extent cx="1774190" cy="399415"/>
            <wp:effectExtent l="0" t="0" r="0" b="635"/>
            <wp:wrapTight wrapText="bothSides">
              <wp:wrapPolygon edited="0">
                <wp:start x="0" y="0"/>
                <wp:lineTo x="0" y="12362"/>
                <wp:lineTo x="232" y="16483"/>
                <wp:lineTo x="1160" y="20604"/>
                <wp:lineTo x="1392" y="20604"/>
                <wp:lineTo x="4639" y="20604"/>
                <wp:lineTo x="17162" y="19574"/>
                <wp:lineTo x="16931" y="16483"/>
                <wp:lineTo x="21337" y="12362"/>
                <wp:lineTo x="21337" y="3091"/>
                <wp:lineTo x="696" y="0"/>
                <wp:lineTo x="0" y="0"/>
              </wp:wrapPolygon>
            </wp:wrapTight>
            <wp:docPr id="434476153" name="Picture 4" descr="Logo of the Australian Capital Territory Human Rights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76153" name="Picture 4" descr="Logo of the Australian Capital Territory Human Rights Commiss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4190" cy="399415"/>
                    </a:xfrm>
                    <a:prstGeom prst="rect">
                      <a:avLst/>
                    </a:prstGeom>
                    <a:noFill/>
                    <a:ln>
                      <a:noFill/>
                    </a:ln>
                  </pic:spPr>
                </pic:pic>
              </a:graphicData>
            </a:graphic>
          </wp:anchor>
        </w:drawing>
      </w:r>
    </w:p>
    <w:p w14:paraId="292BD0A5" w14:textId="4506BD8F" w:rsidR="002B4F26" w:rsidRDefault="002B4F26" w:rsidP="00B76409">
      <w:pPr>
        <w:rPr>
          <w:rFonts w:cs="Readex Pro"/>
          <w:sz w:val="20"/>
          <w:szCs w:val="20"/>
        </w:rPr>
      </w:pPr>
    </w:p>
    <w:p w14:paraId="640D2A31" w14:textId="58E21A20" w:rsidR="002B4F26" w:rsidRDefault="002B4F26" w:rsidP="00B76409">
      <w:pPr>
        <w:rPr>
          <w:rFonts w:cs="Readex Pro"/>
          <w:sz w:val="20"/>
          <w:szCs w:val="20"/>
        </w:rPr>
      </w:pPr>
    </w:p>
    <w:p w14:paraId="12772E6F" w14:textId="7FB5E836" w:rsidR="002B4F26" w:rsidRDefault="00965F4A" w:rsidP="00B76409">
      <w:pPr>
        <w:rPr>
          <w:rFonts w:cs="Readex Pro"/>
          <w:sz w:val="20"/>
          <w:szCs w:val="20"/>
        </w:rPr>
      </w:pPr>
      <w:r w:rsidRPr="005A676A">
        <w:rPr>
          <w:noProof/>
        </w:rPr>
        <w:drawing>
          <wp:anchor distT="0" distB="0" distL="114300" distR="114300" simplePos="0" relativeHeight="251868160" behindDoc="0" locked="0" layoutInCell="1" allowOverlap="1" wp14:anchorId="6B801D85" wp14:editId="7E5BC8B4">
            <wp:simplePos x="0" y="0"/>
            <wp:positionH relativeFrom="column">
              <wp:posOffset>2355376</wp:posOffset>
            </wp:positionH>
            <wp:positionV relativeFrom="paragraph">
              <wp:posOffset>51321</wp:posOffset>
            </wp:positionV>
            <wp:extent cx="1616149" cy="1007760"/>
            <wp:effectExtent l="0" t="0" r="3175" b="1905"/>
            <wp:wrapNone/>
            <wp:docPr id="1639775354" name="Picture 2" descr="Logo of the Australian Capital Territory Office of the Inspector of Custodia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75354" name="Picture 2" descr="Logo of the Australian Capital Territory Office of the Inspector of Custodial Services"/>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616149" cy="1007760"/>
                    </a:xfrm>
                    <a:prstGeom prst="rect">
                      <a:avLst/>
                    </a:prstGeom>
                    <a:noFill/>
                    <a:ln>
                      <a:noFill/>
                    </a:ln>
                  </pic:spPr>
                </pic:pic>
              </a:graphicData>
            </a:graphic>
          </wp:anchor>
        </w:drawing>
      </w:r>
    </w:p>
    <w:p w14:paraId="7062E334" w14:textId="2BF85D3E" w:rsidR="00EA4F26" w:rsidRPr="00EA1375" w:rsidRDefault="0071719F" w:rsidP="00B76409">
      <w:pPr>
        <w:rPr>
          <w:rFonts w:cs="Readex Pro"/>
          <w:sz w:val="20"/>
          <w:szCs w:val="20"/>
        </w:rPr>
      </w:pPr>
      <w:r w:rsidRPr="00E70760">
        <w:rPr>
          <w:noProof/>
        </w:rPr>
        <w:drawing>
          <wp:anchor distT="0" distB="0" distL="114300" distR="114300" simplePos="0" relativeHeight="251857920" behindDoc="0" locked="0" layoutInCell="1" allowOverlap="1" wp14:anchorId="18427F0B" wp14:editId="0736A0C5">
            <wp:simplePos x="0" y="0"/>
            <wp:positionH relativeFrom="margin">
              <wp:posOffset>-95415</wp:posOffset>
            </wp:positionH>
            <wp:positionV relativeFrom="paragraph">
              <wp:posOffset>134372</wp:posOffset>
            </wp:positionV>
            <wp:extent cx="2169795" cy="386080"/>
            <wp:effectExtent l="0" t="0" r="1905" b="0"/>
            <wp:wrapSquare wrapText="bothSides"/>
            <wp:docPr id="2115995039" name="Picture 6" descr="Logo of the Australian Capital Territory Ombuds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995039" name="Picture 6" descr="Logo of the Australian Capital Territory Ombudsm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9795" cy="386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64064" behindDoc="0" locked="0" layoutInCell="1" allowOverlap="1" wp14:anchorId="096FED66" wp14:editId="2274CB10">
                <wp:simplePos x="0" y="0"/>
                <wp:positionH relativeFrom="column">
                  <wp:posOffset>4078605</wp:posOffset>
                </wp:positionH>
                <wp:positionV relativeFrom="paragraph">
                  <wp:posOffset>63804</wp:posOffset>
                </wp:positionV>
                <wp:extent cx="2333625" cy="505460"/>
                <wp:effectExtent l="0" t="0" r="0" b="0"/>
                <wp:wrapNone/>
                <wp:docPr id="267055007" name="Text Box 2" descr="Aaron Cooke - South Australian Official Visitor&#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505460"/>
                        </a:xfrm>
                        <a:prstGeom prst="rect">
                          <a:avLst/>
                        </a:prstGeom>
                        <a:noFill/>
                        <a:ln w="9525">
                          <a:noFill/>
                          <a:miter lim="800000"/>
                          <a:headEnd/>
                          <a:tailEnd/>
                        </a:ln>
                      </wps:spPr>
                      <wps:txbx>
                        <w:txbxContent>
                          <w:p w14:paraId="6408152C" w14:textId="77777777" w:rsidR="0071719F" w:rsidRPr="00270571" w:rsidRDefault="0071719F" w:rsidP="0071719F">
                            <w:pPr>
                              <w:spacing w:before="60" w:after="60"/>
                              <w:jc w:val="center"/>
                              <w:rPr>
                                <w:rFonts w:cs="Readex Pro"/>
                                <w:b/>
                                <w:bCs/>
                                <w:sz w:val="20"/>
                                <w:szCs w:val="28"/>
                              </w:rPr>
                            </w:pPr>
                            <w:r w:rsidRPr="00270571">
                              <w:rPr>
                                <w:rFonts w:cs="Readex Pro"/>
                                <w:b/>
                                <w:bCs/>
                                <w:sz w:val="20"/>
                                <w:szCs w:val="28"/>
                              </w:rPr>
                              <w:t>Aaron Cooke</w:t>
                            </w:r>
                            <w:r w:rsidRPr="00270571">
                              <w:rPr>
                                <w:rFonts w:cs="Readex Pro"/>
                                <w:b/>
                                <w:bCs/>
                                <w:sz w:val="20"/>
                                <w:szCs w:val="28"/>
                              </w:rPr>
                              <w:br/>
                              <w:t>South Australian Official Visitor</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096FED66" id="_x0000_s1027" type="#_x0000_t202" alt="Aaron Cooke - South Australian Official Visitor&#10;" style="position:absolute;margin-left:321.15pt;margin-top:5pt;width:183.75pt;height:39.8pt;z-index:25186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" filled="f" stroked="f">
                <v:textbox style="mso-fit-shape-to-text:t">
                  <w:txbxContent>
                    <w:p w14:paraId="6408152C" w14:textId="77777777" w:rsidR="0071719F" w:rsidRPr="00270571" w:rsidRDefault="0071719F" w:rsidP="0071719F">
                      <w:pPr>
                        <w:spacing w:before="60" w:after="60"/>
                        <w:jc w:val="center"/>
                        <w:rPr>
                          <w:rFonts w:cs="Readex Pro"/>
                          <w:b/>
                          <w:bCs/>
                          <w:sz w:val="20"/>
                          <w:szCs w:val="28"/>
                        </w:rPr>
                      </w:pPr>
                      <w:r w:rsidRPr="00270571">
                        <w:rPr>
                          <w:rFonts w:cs="Readex Pro"/>
                          <w:b/>
                          <w:bCs/>
                          <w:sz w:val="20"/>
                          <w:szCs w:val="28"/>
                        </w:rPr>
                        <w:t>Aaron Cooke</w:t>
                      </w:r>
                      <w:r w:rsidRPr="00270571">
                        <w:rPr>
                          <w:rFonts w:cs="Readex Pro"/>
                          <w:b/>
                          <w:bCs/>
                          <w:sz w:val="20"/>
                          <w:szCs w:val="28"/>
                        </w:rPr>
                        <w:br/>
                        <w:t>South Australian Official Visitor</w:t>
                      </w:r>
                    </w:p>
                  </w:txbxContent>
                </v:textbox>
              </v:shape>
            </w:pict>
          </mc:Fallback>
        </mc:AlternateContent>
      </w:r>
    </w:p>
    <w:p w14:paraId="67280F6D" w14:textId="4955A6A0" w:rsidR="009D7F23" w:rsidRPr="00EA1375" w:rsidRDefault="009D7F23" w:rsidP="00B76409">
      <w:pPr>
        <w:rPr>
          <w:rFonts w:cs="Readex Pro"/>
          <w:sz w:val="20"/>
          <w:szCs w:val="20"/>
        </w:rPr>
      </w:pPr>
    </w:p>
    <w:p w14:paraId="0EC21723" w14:textId="034946FE" w:rsidR="009D7F23" w:rsidRPr="00EA1375" w:rsidRDefault="009D7F23" w:rsidP="00B76409">
      <w:pPr>
        <w:rPr>
          <w:rFonts w:cs="Readex Pro"/>
          <w:sz w:val="20"/>
          <w:szCs w:val="20"/>
        </w:rPr>
      </w:pPr>
    </w:p>
    <w:p w14:paraId="233AB59D" w14:textId="40A9FA01" w:rsidR="009D7F23" w:rsidRPr="00EA1375" w:rsidRDefault="0071719F" w:rsidP="00B76409">
      <w:pPr>
        <w:rPr>
          <w:rFonts w:cs="Readex Pro"/>
          <w:sz w:val="20"/>
          <w:szCs w:val="20"/>
        </w:rPr>
      </w:pPr>
      <w:r>
        <w:rPr>
          <w:noProof/>
        </w:rPr>
        <w:drawing>
          <wp:anchor distT="0" distB="0" distL="114300" distR="114300" simplePos="0" relativeHeight="251863040" behindDoc="0" locked="0" layoutInCell="1" allowOverlap="1" wp14:anchorId="718A8039" wp14:editId="4249909A">
            <wp:simplePos x="0" y="0"/>
            <wp:positionH relativeFrom="column">
              <wp:posOffset>4587875</wp:posOffset>
            </wp:positionH>
            <wp:positionV relativeFrom="paragraph">
              <wp:posOffset>190169</wp:posOffset>
            </wp:positionV>
            <wp:extent cx="1478280" cy="760095"/>
            <wp:effectExtent l="0" t="0" r="7620" b="1905"/>
            <wp:wrapNone/>
            <wp:docPr id="1011441205" name="Picture 13" descr="Logo of the Western Australian Office of the Inspector of Custodia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441205" name="Picture 13" descr="Logo of the Western Australian Office of the Inspector of Custodial Services"/>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78280" cy="760095"/>
                    </a:xfrm>
                    <a:prstGeom prst="rect">
                      <a:avLst/>
                    </a:prstGeom>
                  </pic:spPr>
                </pic:pic>
              </a:graphicData>
            </a:graphic>
            <wp14:sizeRelH relativeFrom="margin">
              <wp14:pctWidth>0</wp14:pctWidth>
            </wp14:sizeRelH>
            <wp14:sizeRelV relativeFrom="margin">
              <wp14:pctHeight>0</wp14:pctHeight>
            </wp14:sizeRelV>
          </wp:anchor>
        </w:drawing>
      </w:r>
      <w:r w:rsidRPr="00E70760">
        <w:rPr>
          <w:noProof/>
        </w:rPr>
        <w:drawing>
          <wp:anchor distT="0" distB="0" distL="114300" distR="114300" simplePos="0" relativeHeight="251858944" behindDoc="1" locked="0" layoutInCell="1" allowOverlap="1" wp14:anchorId="794CB40B" wp14:editId="6AF23E33">
            <wp:simplePos x="0" y="0"/>
            <wp:positionH relativeFrom="margin">
              <wp:posOffset>0</wp:posOffset>
            </wp:positionH>
            <wp:positionV relativeFrom="paragraph">
              <wp:posOffset>235281</wp:posOffset>
            </wp:positionV>
            <wp:extent cx="1783715" cy="695960"/>
            <wp:effectExtent l="0" t="0" r="6985" b="8890"/>
            <wp:wrapSquare wrapText="bothSides"/>
            <wp:docPr id="2068712069" name="Picture 8" descr="Logo of the Commonwealth National Preventive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12069" name="Picture 8" descr="Logo of the Commonwealth National Preventive Mechanis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83715"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57232C" w14:textId="5E90150D" w:rsidR="00E65AF7" w:rsidRPr="00EA1375" w:rsidRDefault="0071719F" w:rsidP="00B76409">
      <w:pPr>
        <w:rPr>
          <w:rFonts w:cs="Readex Pro"/>
          <w:sz w:val="20"/>
          <w:szCs w:val="20"/>
        </w:rPr>
      </w:pPr>
      <w:r>
        <w:rPr>
          <w:noProof/>
        </w:rPr>
        <w:drawing>
          <wp:anchor distT="0" distB="0" distL="114300" distR="114300" simplePos="0" relativeHeight="251860992" behindDoc="0" locked="0" layoutInCell="1" allowOverlap="1" wp14:anchorId="0870F448" wp14:editId="7FEC96A5">
            <wp:simplePos x="0" y="0"/>
            <wp:positionH relativeFrom="margin">
              <wp:align>center</wp:align>
            </wp:positionH>
            <wp:positionV relativeFrom="paragraph">
              <wp:posOffset>7371</wp:posOffset>
            </wp:positionV>
            <wp:extent cx="1880583" cy="742950"/>
            <wp:effectExtent l="0" t="0" r="5715" b="0"/>
            <wp:wrapNone/>
            <wp:docPr id="2047968130" name="Picture 2" descr="Logo of the South Australian Training Centre Vis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68130" name="Picture 2" descr="Logo of the South Australian Training Centre Visito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80583" cy="742950"/>
                    </a:xfrm>
                    <a:prstGeom prst="rect">
                      <a:avLst/>
                    </a:prstGeom>
                  </pic:spPr>
                </pic:pic>
              </a:graphicData>
            </a:graphic>
            <wp14:sizeRelH relativeFrom="margin">
              <wp14:pctWidth>0</wp14:pctWidth>
            </wp14:sizeRelH>
            <wp14:sizeRelV relativeFrom="margin">
              <wp14:pctHeight>0</wp14:pctHeight>
            </wp14:sizeRelV>
          </wp:anchor>
        </w:drawing>
      </w:r>
    </w:p>
    <w:p w14:paraId="50C1FA0C" w14:textId="4BA7CED0" w:rsidR="006719D2" w:rsidRDefault="006719D2" w:rsidP="007C1A9F">
      <w:pPr>
        <w:tabs>
          <w:tab w:val="left" w:pos="3431"/>
        </w:tabs>
        <w:rPr>
          <w:rFonts w:cs="Readex Pro"/>
          <w:sz w:val="20"/>
          <w:szCs w:val="20"/>
        </w:rPr>
      </w:pPr>
    </w:p>
    <w:p w14:paraId="1EEF96CE" w14:textId="77777777" w:rsidR="00F63382" w:rsidRDefault="00F63382" w:rsidP="007C1A9F">
      <w:pPr>
        <w:tabs>
          <w:tab w:val="left" w:pos="3431"/>
        </w:tabs>
        <w:rPr>
          <w:rFonts w:cs="Readex Pro"/>
          <w:sz w:val="20"/>
          <w:szCs w:val="20"/>
        </w:rPr>
      </w:pPr>
    </w:p>
    <w:p w14:paraId="0A8CFB0B" w14:textId="1B918610" w:rsidR="00F63382" w:rsidRDefault="00F63382" w:rsidP="007C1A9F">
      <w:pPr>
        <w:tabs>
          <w:tab w:val="left" w:pos="3431"/>
        </w:tabs>
        <w:rPr>
          <w:rFonts w:cs="Readex Pro"/>
          <w:sz w:val="20"/>
          <w:szCs w:val="20"/>
        </w:rPr>
      </w:pPr>
      <w:r>
        <w:rPr>
          <w:rFonts w:ascii="Readex Pro Deca" w:hAnsi="Readex Pro Deca" w:cs="Readex Pro Deca"/>
          <w:noProof/>
        </w:rPr>
        <w:drawing>
          <wp:anchor distT="0" distB="0" distL="114300" distR="114300" simplePos="0" relativeHeight="251872256" behindDoc="0" locked="0" layoutInCell="1" allowOverlap="1" wp14:anchorId="2A2635F3" wp14:editId="7365B269">
            <wp:simplePos x="0" y="0"/>
            <wp:positionH relativeFrom="column">
              <wp:posOffset>3776980</wp:posOffset>
            </wp:positionH>
            <wp:positionV relativeFrom="paragraph">
              <wp:posOffset>211785</wp:posOffset>
            </wp:positionV>
            <wp:extent cx="965607" cy="527078"/>
            <wp:effectExtent l="0" t="0" r="6350" b="6350"/>
            <wp:wrapNone/>
            <wp:docPr id="1252300055" name="Picture 8" descr="Logo of the Northern Territory Community Visito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00055" name="Picture 8" descr="Logo of the Northern Territory Community Visitor Program"/>
                    <pic:cNvPicPr/>
                  </pic:nvPicPr>
                  <pic:blipFill>
                    <a:blip r:embed="rId27">
                      <a:extLst>
                        <a:ext uri="{28A0092B-C50C-407E-A947-70E740481C1C}">
                          <a14:useLocalDpi xmlns:a14="http://schemas.microsoft.com/office/drawing/2010/main" val="0"/>
                        </a:ext>
                      </a:extLst>
                    </a:blip>
                    <a:stretch>
                      <a:fillRect/>
                    </a:stretch>
                  </pic:blipFill>
                  <pic:spPr>
                    <a:xfrm>
                      <a:off x="0" y="0"/>
                      <a:ext cx="965607" cy="527078"/>
                    </a:xfrm>
                    <a:prstGeom prst="rect">
                      <a:avLst/>
                    </a:prstGeom>
                  </pic:spPr>
                </pic:pic>
              </a:graphicData>
            </a:graphic>
            <wp14:sizeRelH relativeFrom="page">
              <wp14:pctWidth>0</wp14:pctWidth>
            </wp14:sizeRelH>
            <wp14:sizeRelV relativeFrom="page">
              <wp14:pctHeight>0</wp14:pctHeight>
            </wp14:sizeRelV>
          </wp:anchor>
        </w:drawing>
      </w:r>
    </w:p>
    <w:p w14:paraId="357F8521" w14:textId="757CFC3E" w:rsidR="00F63382" w:rsidRDefault="00F63382" w:rsidP="007C1A9F">
      <w:pPr>
        <w:tabs>
          <w:tab w:val="left" w:pos="3431"/>
        </w:tabs>
        <w:rPr>
          <w:rFonts w:cs="Readex Pro"/>
          <w:sz w:val="20"/>
          <w:szCs w:val="20"/>
        </w:rPr>
      </w:pPr>
      <w:r>
        <w:rPr>
          <w:rFonts w:ascii="Readex Pro Deca" w:hAnsi="Readex Pro Deca" w:cs="Readex Pro Deca"/>
          <w:noProof/>
        </w:rPr>
        <w:drawing>
          <wp:anchor distT="0" distB="0" distL="114300" distR="114300" simplePos="0" relativeHeight="251870208" behindDoc="1" locked="0" layoutInCell="1" allowOverlap="1" wp14:anchorId="4446D1D6" wp14:editId="74BCD0B4">
            <wp:simplePos x="0" y="0"/>
            <wp:positionH relativeFrom="margin">
              <wp:posOffset>1403680</wp:posOffset>
            </wp:positionH>
            <wp:positionV relativeFrom="paragraph">
              <wp:posOffset>26035</wp:posOffset>
            </wp:positionV>
            <wp:extent cx="1002182" cy="1062547"/>
            <wp:effectExtent l="0" t="0" r="7620" b="4445"/>
            <wp:wrapNone/>
            <wp:docPr id="1487444471" name="Picture 9" descr="Logo of the Northern Territory Office of the Children's Commissi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44471" name="Picture 9" descr="Logo of the Northern Territory Office of the Children's Commissioner"/>
                    <pic:cNvPicPr/>
                  </pic:nvPicPr>
                  <pic:blipFill>
                    <a:blip r:embed="rId28">
                      <a:extLst>
                        <a:ext uri="{28A0092B-C50C-407E-A947-70E740481C1C}">
                          <a14:useLocalDpi xmlns:a14="http://schemas.microsoft.com/office/drawing/2010/main" val="0"/>
                        </a:ext>
                      </a:extLst>
                    </a:blip>
                    <a:stretch>
                      <a:fillRect/>
                    </a:stretch>
                  </pic:blipFill>
                  <pic:spPr>
                    <a:xfrm>
                      <a:off x="0" y="0"/>
                      <a:ext cx="1002182" cy="1062547"/>
                    </a:xfrm>
                    <a:prstGeom prst="rect">
                      <a:avLst/>
                    </a:prstGeom>
                  </pic:spPr>
                </pic:pic>
              </a:graphicData>
            </a:graphic>
            <wp14:sizeRelH relativeFrom="margin">
              <wp14:pctWidth>0</wp14:pctWidth>
            </wp14:sizeRelH>
            <wp14:sizeRelV relativeFrom="margin">
              <wp14:pctHeight>0</wp14:pctHeight>
            </wp14:sizeRelV>
          </wp:anchor>
        </w:drawing>
      </w:r>
    </w:p>
    <w:p w14:paraId="720AF13E" w14:textId="676535D0" w:rsidR="00F63382" w:rsidRDefault="00F63382" w:rsidP="007C1A9F">
      <w:pPr>
        <w:tabs>
          <w:tab w:val="left" w:pos="3431"/>
        </w:tabs>
        <w:rPr>
          <w:rFonts w:cs="Readex Pro"/>
          <w:sz w:val="20"/>
          <w:szCs w:val="20"/>
        </w:rPr>
      </w:pPr>
      <w:r>
        <w:rPr>
          <w:noProof/>
        </w:rPr>
        <w:drawing>
          <wp:anchor distT="0" distB="0" distL="114300" distR="114300" simplePos="0" relativeHeight="251874304" behindDoc="0" locked="0" layoutInCell="1" allowOverlap="1" wp14:anchorId="4458FC75" wp14:editId="37E549B2">
            <wp:simplePos x="0" y="0"/>
            <wp:positionH relativeFrom="column">
              <wp:posOffset>3593465</wp:posOffset>
            </wp:positionH>
            <wp:positionV relativeFrom="paragraph">
              <wp:posOffset>234645</wp:posOffset>
            </wp:positionV>
            <wp:extent cx="1353312" cy="767802"/>
            <wp:effectExtent l="0" t="0" r="0" b="0"/>
            <wp:wrapNone/>
            <wp:docPr id="1240128387" name="Picture 1" descr="Logo of the Northern Territory Anti-Discrimination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28387" name="Picture 1" descr="Logo of the Northern Territory Anti-Discrimination Commiss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53312" cy="767802"/>
                    </a:xfrm>
                    <a:prstGeom prst="rect">
                      <a:avLst/>
                    </a:prstGeom>
                    <a:noFill/>
                  </pic:spPr>
                </pic:pic>
              </a:graphicData>
            </a:graphic>
            <wp14:sizeRelH relativeFrom="margin">
              <wp14:pctWidth>0</wp14:pctWidth>
            </wp14:sizeRelH>
            <wp14:sizeRelV relativeFrom="margin">
              <wp14:pctHeight>0</wp14:pctHeight>
            </wp14:sizeRelV>
          </wp:anchor>
        </w:drawing>
      </w:r>
    </w:p>
    <w:p w14:paraId="2CD36290" w14:textId="76AA438D" w:rsidR="00F63382" w:rsidRDefault="00F63382" w:rsidP="007C1A9F">
      <w:pPr>
        <w:tabs>
          <w:tab w:val="left" w:pos="3431"/>
        </w:tabs>
        <w:rPr>
          <w:rFonts w:cs="Readex Pro"/>
          <w:sz w:val="20"/>
          <w:szCs w:val="20"/>
        </w:rPr>
      </w:pPr>
    </w:p>
    <w:p w14:paraId="7032493F" w14:textId="77777777" w:rsidR="00F63382" w:rsidRDefault="00F63382" w:rsidP="007C1A9F">
      <w:pPr>
        <w:tabs>
          <w:tab w:val="left" w:pos="3431"/>
        </w:tabs>
        <w:rPr>
          <w:rFonts w:cs="Readex Pro"/>
          <w:sz w:val="20"/>
          <w:szCs w:val="20"/>
        </w:rPr>
      </w:pPr>
    </w:p>
    <w:p w14:paraId="721927A9" w14:textId="3890D348" w:rsidR="00F63382" w:rsidRDefault="00F63382" w:rsidP="007C1A9F">
      <w:pPr>
        <w:tabs>
          <w:tab w:val="left" w:pos="3431"/>
        </w:tabs>
        <w:rPr>
          <w:rFonts w:cs="Readex Pro"/>
          <w:sz w:val="20"/>
          <w:szCs w:val="20"/>
        </w:rPr>
      </w:pPr>
    </w:p>
    <w:p w14:paraId="6499D731" w14:textId="46B9F7D3" w:rsidR="00F63382" w:rsidRDefault="00F63382" w:rsidP="007C1A9F">
      <w:pPr>
        <w:tabs>
          <w:tab w:val="left" w:pos="3431"/>
        </w:tabs>
        <w:rPr>
          <w:rFonts w:cs="Readex Pro"/>
          <w:sz w:val="20"/>
          <w:szCs w:val="20"/>
        </w:rPr>
      </w:pPr>
    </w:p>
    <w:p w14:paraId="6E59724D" w14:textId="77777777" w:rsidR="00F63382" w:rsidRDefault="00F63382" w:rsidP="007C1A9F">
      <w:pPr>
        <w:tabs>
          <w:tab w:val="left" w:pos="3431"/>
        </w:tabs>
        <w:rPr>
          <w:rFonts w:cs="Readex Pro"/>
          <w:sz w:val="20"/>
          <w:szCs w:val="20"/>
        </w:rPr>
      </w:pPr>
    </w:p>
    <w:p w14:paraId="52D8745A" w14:textId="77777777" w:rsidR="00F63382" w:rsidRPr="00EA1375" w:rsidRDefault="00F63382" w:rsidP="007C1A9F">
      <w:pPr>
        <w:tabs>
          <w:tab w:val="left" w:pos="3431"/>
        </w:tabs>
        <w:rPr>
          <w:rFonts w:cs="Readex Pro"/>
          <w:sz w:val="20"/>
          <w:szCs w:val="20"/>
        </w:rPr>
      </w:pPr>
    </w:p>
    <w:sectPr w:rsidR="00F63382" w:rsidRPr="00EA1375" w:rsidSect="00957EE4">
      <w:headerReference w:type="even" r:id="rId30"/>
      <w:footerReference w:type="even" r:id="rId31"/>
      <w:footerReference w:type="default" r:id="rId32"/>
      <w:footerReference w:type="first" r:id="rId33"/>
      <w:endnotePr>
        <w:numFmt w:val="decimal"/>
      </w:endnotePr>
      <w:pgSz w:w="11906" w:h="16838"/>
      <w:pgMar w:top="1140" w:right="1134" w:bottom="1418" w:left="1134" w:header="71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F7264" w14:textId="77777777" w:rsidR="006C12AB" w:rsidRDefault="006C12AB" w:rsidP="00E81C72">
      <w:r>
        <w:separator/>
      </w:r>
    </w:p>
  </w:endnote>
  <w:endnote w:type="continuationSeparator" w:id="0">
    <w:p w14:paraId="13C1BA30" w14:textId="77777777" w:rsidR="006C12AB" w:rsidRDefault="006C12AB" w:rsidP="00E81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eadex Pro">
    <w:altName w:val="Arial"/>
    <w:charset w:val="00"/>
    <w:family w:val="auto"/>
    <w:pitch w:val="variable"/>
    <w:sig w:usb0="A00020FF" w:usb1="C000205B" w:usb2="00000000" w:usb3="00000000" w:csb0="000001D3" w:csb1="00000000"/>
  </w:font>
  <w:font w:name="Poppins">
    <w:charset w:val="00"/>
    <w:family w:val="auto"/>
    <w:pitch w:val="variable"/>
    <w:sig w:usb0="00008007" w:usb1="00000000" w:usb2="00000000" w:usb3="00000000" w:csb0="00000093" w:csb1="00000000"/>
  </w:font>
  <w:font w:name="Readex Pro Medium">
    <w:altName w:val="Arial"/>
    <w:charset w:val="00"/>
    <w:family w:val="auto"/>
    <w:pitch w:val="variable"/>
    <w:sig w:usb0="A00020FF" w:usb1="C000205B" w:usb2="00000000" w:usb3="00000000" w:csb0="000001D3" w:csb1="00000000"/>
  </w:font>
  <w:font w:name="DengXian Light">
    <w:altName w:val="等线 Light"/>
    <w:charset w:val="86"/>
    <w:family w:val="auto"/>
    <w:pitch w:val="variable"/>
    <w:sig w:usb0="A00002BF" w:usb1="38CF7CFA" w:usb2="00000016" w:usb3="00000000" w:csb0="0004000F" w:csb1="00000000"/>
  </w:font>
  <w:font w:name="Readex Pro Light">
    <w:charset w:val="00"/>
    <w:family w:val="auto"/>
    <w:pitch w:val="variable"/>
    <w:sig w:usb0="A00020FF" w:usb1="C000205B" w:usb2="00000000" w:usb3="00000000" w:csb0="000001D3" w:csb1="00000000"/>
  </w:font>
  <w:font w:name="Caprasimo">
    <w:charset w:val="4D"/>
    <w:family w:val="roman"/>
    <w:pitch w:val="variable"/>
    <w:sig w:usb0="800000EF" w:usb1="1000204A" w:usb2="00000000" w:usb3="00000000" w:csb0="00000001" w:csb1="00000000"/>
  </w:font>
  <w:font w:name="ReadexPro-Regular">
    <w:altName w:val="Calibri"/>
    <w:charset w:val="4D"/>
    <w:family w:val="auto"/>
    <w:pitch w:val="default"/>
    <w:sig w:usb0="00000003" w:usb1="00000000" w:usb2="00000000" w:usb3="00000000" w:csb0="00000001" w:csb1="00000000"/>
  </w:font>
  <w:font w:name="ReadexPro-Medium">
    <w:altName w:val="Calibri"/>
    <w:charset w:val="4D"/>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eadex Pro Deca">
    <w:altName w:val="Arial"/>
    <w:charset w:val="00"/>
    <w:family w:val="auto"/>
    <w:pitch w:val="variable"/>
    <w:sig w:usb0="A00020FF" w:usb1="C000205B" w:usb2="00000000"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4874412"/>
      <w:docPartObj>
        <w:docPartGallery w:val="Page Numbers (Bottom of Page)"/>
        <w:docPartUnique/>
      </w:docPartObj>
    </w:sdtPr>
    <w:sdtContent>
      <w:p w14:paraId="7E5B5EB5" w14:textId="77777777" w:rsidR="00187514" w:rsidRDefault="00187514" w:rsidP="00470C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4D46A2" w14:textId="77777777" w:rsidR="004C29D9" w:rsidRDefault="004C29D9" w:rsidP="00187514">
    <w:pPr>
      <w:pStyle w:val="Footer"/>
      <w:ind w:right="360"/>
      <w:rPr>
        <w:rStyle w:val="PageNumber"/>
      </w:rPr>
    </w:pPr>
  </w:p>
  <w:p w14:paraId="399B7883" w14:textId="77777777" w:rsidR="00607FC5" w:rsidRDefault="00607FC5" w:rsidP="00E81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D336" w14:textId="77777777" w:rsidR="00607FC5" w:rsidRDefault="00187514" w:rsidP="00187514">
    <w:pPr>
      <w:pStyle w:val="Footer"/>
      <w:ind w:right="360"/>
    </w:pPr>
    <w:r>
      <w:rPr>
        <w:noProof/>
      </w:rPr>
      <w:drawing>
        <wp:anchor distT="0" distB="0" distL="114300" distR="114300" simplePos="0" relativeHeight="251667456" behindDoc="1" locked="0" layoutInCell="1" allowOverlap="1" wp14:anchorId="129ECA7D" wp14:editId="580233E4">
          <wp:simplePos x="0" y="0"/>
          <wp:positionH relativeFrom="column">
            <wp:posOffset>3810</wp:posOffset>
          </wp:positionH>
          <wp:positionV relativeFrom="paragraph">
            <wp:posOffset>198755</wp:posOffset>
          </wp:positionV>
          <wp:extent cx="1663065" cy="359410"/>
          <wp:effectExtent l="0" t="0" r="0" b="2540"/>
          <wp:wrapTight wrapText="bothSides">
            <wp:wrapPolygon edited="0">
              <wp:start x="18309" y="0"/>
              <wp:lineTo x="0" y="2290"/>
              <wp:lineTo x="0" y="18318"/>
              <wp:lineTo x="18309" y="20608"/>
              <wp:lineTo x="19546" y="20608"/>
              <wp:lineTo x="21278" y="18318"/>
              <wp:lineTo x="21278" y="2290"/>
              <wp:lineTo x="19546" y="0"/>
              <wp:lineTo x="18309" y="0"/>
            </wp:wrapPolygon>
          </wp:wrapTight>
          <wp:docPr id="1164296175" name="Picture 1" descr="Logo of the Australian National Preventive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84813" name="Picture 1" descr="Logo of the Australian National Preventive Mechanism"/>
                  <pic:cNvPicPr/>
                </pic:nvPicPr>
                <pic:blipFill>
                  <a:blip r:embed="rId1">
                    <a:extLst>
                      <a:ext uri="{28A0092B-C50C-407E-A947-70E740481C1C}">
                        <a14:useLocalDpi xmlns:a14="http://schemas.microsoft.com/office/drawing/2010/main" val="0"/>
                      </a:ext>
                    </a:extLst>
                  </a:blip>
                  <a:stretch>
                    <a:fillRect/>
                  </a:stretch>
                </pic:blipFill>
                <pic:spPr>
                  <a:xfrm>
                    <a:off x="0" y="0"/>
                    <a:ext cx="1663065" cy="3594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37C7AF1" wp14:editId="6D1C7358">
              <wp:simplePos x="0" y="0"/>
              <wp:positionH relativeFrom="margin">
                <wp:posOffset>5605145</wp:posOffset>
              </wp:positionH>
              <wp:positionV relativeFrom="paragraph">
                <wp:posOffset>274955</wp:posOffset>
              </wp:positionV>
              <wp:extent cx="504000" cy="201295"/>
              <wp:effectExtent l="0" t="0" r="10795" b="27305"/>
              <wp:wrapNone/>
              <wp:docPr id="1379315889" name="Rounded Rectangle 2"/>
              <wp:cNvGraphicFramePr/>
              <a:graphic xmlns:a="http://schemas.openxmlformats.org/drawingml/2006/main">
                <a:graphicData uri="http://schemas.microsoft.com/office/word/2010/wordprocessingShape">
                  <wps:wsp>
                    <wps:cNvSpPr/>
                    <wps:spPr>
                      <a:xfrm>
                        <a:off x="0" y="0"/>
                        <a:ext cx="504000" cy="201295"/>
                      </a:xfrm>
                      <a:prstGeom prst="roundRect">
                        <a:avLst>
                          <a:gd name="adj" fmla="val 50000"/>
                        </a:avLst>
                      </a:prstGeom>
                      <a:no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064F6B" w14:textId="77777777" w:rsidR="004C29D9" w:rsidRPr="00D267D9" w:rsidRDefault="00187514" w:rsidP="00957EE4">
                          <w:pPr>
                            <w:pStyle w:val="PageNumber1"/>
                            <w:rPr>
                              <w:rStyle w:val="PageNumber"/>
                            </w:rPr>
                          </w:pPr>
                          <w:r>
                            <w:rPr>
                              <w:rStyle w:val="PageNumber"/>
                            </w:rPr>
                            <w:t xml:space="preserve">p. </w:t>
                          </w:r>
                          <w:sdt>
                            <w:sdtPr>
                              <w:rPr>
                                <w:rStyle w:val="PageNumber"/>
                              </w:rPr>
                              <w:id w:val="1849676523"/>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sdtContent>
                          </w:sdt>
                        </w:p>
                      </w:txbxContent>
                    </wps:txbx>
                    <wps:bodyPr rot="0" spcFirstLastPara="0" vertOverflow="overflow" horzOverflow="overflow" vert="horz" wrap="square" lIns="9000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C7AF1" id="Rounded Rectangle 2" o:spid="_x0000_s1029" style="position:absolute;margin-left:441.35pt;margin-top:21.65pt;width:39.7pt;height:1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" filled="f" strokecolor="#719243 [3205]" strokeweight="1pt">
              <v:stroke joinstyle="miter"/>
              <v:textbox inset="2.5mm,0,,0">
                <w:txbxContent>
                  <w:p w14:paraId="7B064F6B" w14:textId="77777777" w:rsidR="004C29D9" w:rsidRPr="00D267D9" w:rsidRDefault="00187514" w:rsidP="00957EE4">
                    <w:pPr>
                      <w:pStyle w:val="PageNumber1"/>
                      <w:rPr>
                        <w:rStyle w:val="PageNumber"/>
                      </w:rPr>
                    </w:pPr>
                    <w:r>
                      <w:rPr>
                        <w:rStyle w:val="PageNumber"/>
                      </w:rPr>
                      <w:t xml:space="preserve">p. </w:t>
                    </w:r>
                    <w:sdt>
                      <w:sdtPr>
                        <w:rPr>
                          <w:rStyle w:val="PageNumber"/>
                        </w:rPr>
                        <w:id w:val="1849676523"/>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sdtContent>
                    </w:sdt>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B8FAF" w14:textId="77777777" w:rsidR="00766592" w:rsidRDefault="00766592">
    <w:pPr>
      <w:pStyle w:val="Footer"/>
    </w:pPr>
    <w:r>
      <w:rPr>
        <w:noProof/>
      </w:rPr>
      <mc:AlternateContent>
        <mc:Choice Requires="wps">
          <w:drawing>
            <wp:anchor distT="0" distB="0" distL="114300" distR="114300" simplePos="0" relativeHeight="251664384" behindDoc="0" locked="0" layoutInCell="1" allowOverlap="1" wp14:anchorId="4D3B55E8" wp14:editId="785B9200">
              <wp:simplePos x="0" y="0"/>
              <wp:positionH relativeFrom="margin">
                <wp:posOffset>647065</wp:posOffset>
              </wp:positionH>
              <wp:positionV relativeFrom="paragraph">
                <wp:posOffset>205740</wp:posOffset>
              </wp:positionV>
              <wp:extent cx="457200" cy="201930"/>
              <wp:effectExtent l="0" t="0" r="12700" b="13970"/>
              <wp:wrapNone/>
              <wp:docPr id="85234467" name="Rounded Rectangle 2"/>
              <wp:cNvGraphicFramePr/>
              <a:graphic xmlns:a="http://schemas.openxmlformats.org/drawingml/2006/main">
                <a:graphicData uri="http://schemas.microsoft.com/office/word/2010/wordprocessingShape">
                  <wps:wsp>
                    <wps:cNvSpPr/>
                    <wps:spPr>
                      <a:xfrm>
                        <a:off x="0" y="0"/>
                        <a:ext cx="457200" cy="201930"/>
                      </a:xfrm>
                      <a:prstGeom prst="roundRect">
                        <a:avLst>
                          <a:gd name="adj" fmla="val 50000"/>
                        </a:avLst>
                      </a:prstGeom>
                      <a:no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0AA1B2" w14:textId="77777777" w:rsidR="00766592" w:rsidRDefault="00766592" w:rsidP="00766592">
                          <w:pPr>
                            <w:pStyle w:val="Contactdetails"/>
                          </w:pPr>
                          <w:r>
                            <w:t xml:space="preserve">     1300 362 072     —     Level 5, 14 Childers Street Canberra ACT 2600     —     GPO Box 442 Canberra ACT 2601     </w:t>
                          </w:r>
                        </w:p>
                        <w:p w14:paraId="6DEA20F3" w14:textId="77777777" w:rsidR="00766592" w:rsidRPr="00D267D9" w:rsidRDefault="00766592" w:rsidP="00766592">
                          <w:pPr>
                            <w:pStyle w:val="PageNumber1"/>
                            <w:rPr>
                              <w:rStyle w:val="PageNumber"/>
                            </w:rPr>
                          </w:pPr>
                        </w:p>
                      </w:txbxContent>
                    </wps:txbx>
                    <wps:bodyPr rot="0" spcFirstLastPara="0" vertOverflow="overflow" horzOverflow="overflow" vert="horz" wrap="none" lIns="9000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3B55E8" id="_x0000_s1030" style="position:absolute;margin-left:50.95pt;margin-top:16.2pt;width:36pt;height:15.9pt;z-index:25166438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" filled="f" strokecolor="#719243 [3205]" strokeweight="1pt">
              <v:stroke joinstyle="miter"/>
              <v:textbox inset="2.5mm,0,,0">
                <w:txbxContent>
                  <w:p w14:paraId="770AA1B2" w14:textId="77777777" w:rsidR="00766592" w:rsidRDefault="00766592" w:rsidP="00766592">
                    <w:pPr>
                      <w:pStyle w:val="Contactdetails"/>
                    </w:pPr>
                    <w:r>
                      <w:t xml:space="preserve">     1300 362 072     —     Level 5, 14 Childers Street Canberra ACT 2600     —     GPO Box 442 Canberra ACT 2601     </w:t>
                    </w:r>
                  </w:p>
                  <w:p w14:paraId="6DEA20F3" w14:textId="77777777" w:rsidR="00766592" w:rsidRPr="00D267D9" w:rsidRDefault="00766592" w:rsidP="00766592">
                    <w:pPr>
                      <w:pStyle w:val="PageNumber1"/>
                      <w:rPr>
                        <w:rStyle w:val="PageNumber"/>
                      </w:rPr>
                    </w:pPr>
                  </w:p>
                </w:txbxContent>
              </v:textbox>
              <w10:wrap anchorx="margin"/>
            </v:round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3E325" w14:textId="77777777" w:rsidR="006C12AB" w:rsidRDefault="006C12AB" w:rsidP="00E81C72">
      <w:r>
        <w:separator/>
      </w:r>
    </w:p>
  </w:footnote>
  <w:footnote w:type="continuationSeparator" w:id="0">
    <w:p w14:paraId="4AC6033B" w14:textId="77777777" w:rsidR="006C12AB" w:rsidRDefault="006C12AB" w:rsidP="00E81C72">
      <w:r>
        <w:continuationSeparator/>
      </w:r>
    </w:p>
  </w:footnote>
  <w:footnote w:id="1">
    <w:p w14:paraId="1C4300B4" w14:textId="1B34EAB4" w:rsidR="00AB6AE7" w:rsidRPr="00267651" w:rsidRDefault="00AB6AE7">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Unless otherwise stated, this submission uses ‘children and young people’ as collective terminology to refer to those under the age of 18 years.</w:t>
      </w:r>
    </w:p>
  </w:footnote>
  <w:footnote w:id="2">
    <w:p w14:paraId="7868B140" w14:textId="3C78DAA6" w:rsidR="007F1E9F" w:rsidRPr="00267651" w:rsidRDefault="007F1E9F" w:rsidP="005306B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313D9D" w:rsidRPr="00267651">
        <w:rPr>
          <w:rFonts w:cs="Readex Pro"/>
          <w:sz w:val="16"/>
          <w:szCs w:val="16"/>
        </w:rPr>
        <w:t>G Clancey, S Wang and B Lin</w:t>
      </w:r>
      <w:r w:rsidRPr="00267651">
        <w:rPr>
          <w:rFonts w:cs="Readex Pro"/>
          <w:sz w:val="16"/>
          <w:szCs w:val="16"/>
        </w:rPr>
        <w:t xml:space="preserve">, </w:t>
      </w:r>
      <w:hyperlink r:id="rId1" w:history="1">
        <w:r w:rsidRPr="00267651">
          <w:rPr>
            <w:rStyle w:val="Hyperlink"/>
            <w:rFonts w:cs="Readex Pro"/>
            <w:sz w:val="16"/>
            <w:szCs w:val="16"/>
          </w:rPr>
          <w:t xml:space="preserve">‘Youth justice in Australia: Themes from recent inquiries’, </w:t>
        </w:r>
        <w:r w:rsidR="00313D9D" w:rsidRPr="00267651">
          <w:rPr>
            <w:rStyle w:val="Hyperlink"/>
            <w:rFonts w:cs="Readex Pro"/>
            <w:sz w:val="16"/>
            <w:szCs w:val="16"/>
          </w:rPr>
          <w:t xml:space="preserve">Australian Institute of Criminology (AIC): </w:t>
        </w:r>
        <w:r w:rsidRPr="00267651">
          <w:rPr>
            <w:rStyle w:val="Hyperlink"/>
            <w:rFonts w:cs="Readex Pro"/>
            <w:i/>
            <w:iCs/>
            <w:sz w:val="16"/>
            <w:szCs w:val="16"/>
          </w:rPr>
          <w:t>Trends &amp; issues in crime and criminal justice, number 605</w:t>
        </w:r>
      </w:hyperlink>
      <w:r w:rsidRPr="00267651">
        <w:rPr>
          <w:rFonts w:cs="Readex Pro"/>
          <w:sz w:val="16"/>
          <w:szCs w:val="16"/>
        </w:rPr>
        <w:t xml:space="preserve"> (October 2020), page 1.</w:t>
      </w:r>
    </w:p>
  </w:footnote>
  <w:footnote w:id="3">
    <w:p w14:paraId="05437192" w14:textId="6B0FDAEC" w:rsidR="007F1E9F" w:rsidRPr="00267651" w:rsidRDefault="007F1E9F" w:rsidP="000F1B7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Human Rights Commission (AHRC), </w:t>
      </w:r>
      <w:hyperlink r:id="rId2" w:history="1">
        <w:r w:rsidRPr="00267651">
          <w:rPr>
            <w:rStyle w:val="Hyperlink"/>
            <w:rFonts w:cs="Readex Pro"/>
            <w:i/>
            <w:iCs/>
            <w:sz w:val="16"/>
            <w:szCs w:val="16"/>
          </w:rPr>
          <w:t>‘Help way earlier!’: How Australia can transform child justice to improve safety and wellbeing</w:t>
        </w:r>
      </w:hyperlink>
      <w:r w:rsidRPr="00267651">
        <w:rPr>
          <w:rFonts w:cs="Readex Pro"/>
          <w:sz w:val="16"/>
          <w:szCs w:val="16"/>
        </w:rPr>
        <w:t xml:space="preserve"> (2024), page 8.</w:t>
      </w:r>
    </w:p>
  </w:footnote>
  <w:footnote w:id="4">
    <w:p w14:paraId="1D4B8DF7" w14:textId="71BE8075" w:rsidR="00691B18" w:rsidRPr="00267651" w:rsidRDefault="00691B18" w:rsidP="00691B1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Australian National Preventive Mechanism (NPM), </w:t>
      </w:r>
      <w:hyperlink r:id="rId3" w:history="1">
        <w:r w:rsidRPr="00267651">
          <w:rPr>
            <w:rStyle w:val="Hyperlink"/>
            <w:rFonts w:cs="Readex Pro"/>
            <w:i/>
            <w:iCs/>
            <w:sz w:val="16"/>
            <w:szCs w:val="16"/>
          </w:rPr>
          <w:t>Submission to the Senate Legal and Constitutional Affairs References Committee – Australia’s youth justice and incarceration system</w:t>
        </w:r>
      </w:hyperlink>
      <w:r w:rsidRPr="00267651">
        <w:rPr>
          <w:rFonts w:cs="Readex Pro"/>
          <w:sz w:val="16"/>
          <w:szCs w:val="16"/>
        </w:rPr>
        <w:t xml:space="preserve"> (10 October 2024); Australian NPM, </w:t>
      </w:r>
      <w:hyperlink r:id="rId4" w:history="1">
        <w:r w:rsidRPr="00267651">
          <w:rPr>
            <w:rStyle w:val="Hyperlink"/>
            <w:rFonts w:cs="Readex Pro"/>
            <w:i/>
            <w:iCs/>
            <w:sz w:val="16"/>
            <w:szCs w:val="16"/>
          </w:rPr>
          <w:t>Joint Statement – Queensland law change and detention of children in watch houses and adult prisons</w:t>
        </w:r>
      </w:hyperlink>
      <w:r w:rsidRPr="00267651">
        <w:rPr>
          <w:rFonts w:cs="Readex Pro"/>
          <w:sz w:val="16"/>
          <w:szCs w:val="16"/>
        </w:rPr>
        <w:t xml:space="preserve"> (6 September 2023).</w:t>
      </w:r>
    </w:p>
  </w:footnote>
  <w:footnote w:id="5">
    <w:p w14:paraId="1300C264" w14:textId="6E75EC87" w:rsidR="007F1E9F" w:rsidRPr="00267651" w:rsidRDefault="007F1E9F" w:rsidP="007C052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804C1">
        <w:rPr>
          <w:rFonts w:cs="Readex Pro"/>
          <w:sz w:val="16"/>
          <w:szCs w:val="16"/>
        </w:rPr>
        <w:t>Australian Capital Territory (</w:t>
      </w:r>
      <w:r w:rsidRPr="00267651">
        <w:rPr>
          <w:rFonts w:cs="Readex Pro"/>
          <w:sz w:val="16"/>
          <w:szCs w:val="16"/>
        </w:rPr>
        <w:t>ACT</w:t>
      </w:r>
      <w:r w:rsidR="00F804C1">
        <w:rPr>
          <w:rFonts w:cs="Readex Pro"/>
          <w:sz w:val="16"/>
          <w:szCs w:val="16"/>
        </w:rPr>
        <w:t>)</w:t>
      </w:r>
      <w:r w:rsidRPr="00267651">
        <w:rPr>
          <w:rFonts w:cs="Readex Pro"/>
          <w:sz w:val="16"/>
          <w:szCs w:val="16"/>
        </w:rPr>
        <w:t xml:space="preserve"> Public Advocate and Children and Young People Commissioner, </w:t>
      </w:r>
      <w:hyperlink r:id="rId5" w:history="1">
        <w:r w:rsidRPr="00267651">
          <w:rPr>
            <w:rStyle w:val="Hyperlink"/>
            <w:rFonts w:cs="Readex Pro"/>
            <w:i/>
            <w:iCs/>
            <w:sz w:val="16"/>
            <w:szCs w:val="16"/>
          </w:rPr>
          <w:t>Submission to the Senate Legal and Constitutional Affairs References Committee – Australia’s youth justice and incarceration system</w:t>
        </w:r>
      </w:hyperlink>
      <w:r w:rsidRPr="00267651">
        <w:rPr>
          <w:rFonts w:cs="Readex Pro"/>
          <w:sz w:val="16"/>
          <w:szCs w:val="16"/>
        </w:rPr>
        <w:t xml:space="preserve"> (October 2024), page 2.</w:t>
      </w:r>
    </w:p>
  </w:footnote>
  <w:footnote w:id="6">
    <w:p w14:paraId="1F2E3652" w14:textId="08EF2AD7" w:rsidR="007F1E9F" w:rsidRPr="00267651" w:rsidRDefault="007F1E9F" w:rsidP="007C052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Standing Council of Attorneys-General (SCAG), </w:t>
      </w:r>
      <w:hyperlink r:id="rId6" w:history="1">
        <w:r w:rsidRPr="00267651">
          <w:rPr>
            <w:rStyle w:val="Hyperlink"/>
            <w:rFonts w:cs="Readex Pro"/>
            <w:i/>
            <w:iCs/>
            <w:sz w:val="16"/>
            <w:szCs w:val="16"/>
          </w:rPr>
          <w:t>Age of Criminal Responsibility Working Group Report</w:t>
        </w:r>
      </w:hyperlink>
      <w:r w:rsidRPr="00267651">
        <w:rPr>
          <w:rFonts w:cs="Readex Pro"/>
          <w:sz w:val="16"/>
          <w:szCs w:val="16"/>
        </w:rPr>
        <w:t xml:space="preserve"> (September 2023). The SCAG and its antecedents has also been considering the issue of reform to the MACR in Australia since at least 2018: see Council of Attorneys-General, </w:t>
      </w:r>
      <w:hyperlink r:id="rId7" w:history="1">
        <w:r w:rsidRPr="00267651">
          <w:rPr>
            <w:rStyle w:val="Hyperlink"/>
            <w:rFonts w:cs="Readex Pro"/>
            <w:i/>
            <w:iCs/>
            <w:sz w:val="16"/>
            <w:szCs w:val="16"/>
          </w:rPr>
          <w:t>Meeting Communiqué</w:t>
        </w:r>
      </w:hyperlink>
      <w:r w:rsidRPr="00267651">
        <w:rPr>
          <w:rFonts w:cs="Readex Pro"/>
          <w:sz w:val="16"/>
          <w:szCs w:val="16"/>
        </w:rPr>
        <w:t xml:space="preserve"> (November 2018).</w:t>
      </w:r>
    </w:p>
  </w:footnote>
  <w:footnote w:id="7">
    <w:p w14:paraId="4AE69FE9" w14:textId="19CCF4CC" w:rsidR="007F1E9F" w:rsidRPr="00267651" w:rsidRDefault="007F1E9F" w:rsidP="007C052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SCAG, </w:t>
      </w:r>
      <w:r w:rsidR="00DA16CE" w:rsidRPr="00267651">
        <w:rPr>
          <w:rFonts w:cs="Readex Pro"/>
          <w:sz w:val="16"/>
          <w:szCs w:val="16"/>
        </w:rPr>
        <w:t xml:space="preserve">above n </w:t>
      </w:r>
      <w:r w:rsidR="00DA16CE" w:rsidRPr="00267651">
        <w:rPr>
          <w:rFonts w:cs="Readex Pro"/>
          <w:sz w:val="16"/>
          <w:szCs w:val="16"/>
        </w:rPr>
        <w:fldChar w:fldCharType="begin"/>
      </w:r>
      <w:r w:rsidR="00DA16CE" w:rsidRPr="00267651">
        <w:rPr>
          <w:rFonts w:cs="Readex Pro"/>
          <w:sz w:val="16"/>
          <w:szCs w:val="16"/>
        </w:rPr>
        <w:instrText xml:space="preserve"> NOTEREF _Ref207038839 \h </w:instrText>
      </w:r>
      <w:r w:rsidR="003A2A00" w:rsidRPr="00267651">
        <w:rPr>
          <w:rFonts w:cs="Readex Pro"/>
          <w:sz w:val="16"/>
          <w:szCs w:val="16"/>
        </w:rPr>
        <w:instrText xml:space="preserve"> \* MERGEFORMAT </w:instrText>
      </w:r>
      <w:r w:rsidR="00DA16CE" w:rsidRPr="00267651">
        <w:rPr>
          <w:rFonts w:cs="Readex Pro"/>
          <w:sz w:val="16"/>
          <w:szCs w:val="16"/>
        </w:rPr>
      </w:r>
      <w:r w:rsidR="00DA16CE" w:rsidRPr="00267651">
        <w:rPr>
          <w:rFonts w:cs="Readex Pro"/>
          <w:sz w:val="16"/>
          <w:szCs w:val="16"/>
        </w:rPr>
        <w:fldChar w:fldCharType="separate"/>
      </w:r>
      <w:r w:rsidR="00B71AA0">
        <w:rPr>
          <w:rFonts w:cs="Readex Pro"/>
          <w:sz w:val="16"/>
          <w:szCs w:val="16"/>
        </w:rPr>
        <w:t>6</w:t>
      </w:r>
      <w:r w:rsidR="00DA16CE" w:rsidRPr="00267651">
        <w:rPr>
          <w:rFonts w:cs="Readex Pro"/>
          <w:sz w:val="16"/>
          <w:szCs w:val="16"/>
        </w:rPr>
        <w:fldChar w:fldCharType="end"/>
      </w:r>
      <w:r w:rsidRPr="00267651">
        <w:rPr>
          <w:rFonts w:cs="Readex Pro"/>
          <w:sz w:val="16"/>
          <w:szCs w:val="16"/>
        </w:rPr>
        <w:t>, pages 23–4.</w:t>
      </w:r>
    </w:p>
  </w:footnote>
  <w:footnote w:id="8">
    <w:p w14:paraId="03DCDB56" w14:textId="7F1924CF" w:rsidR="007F1E9F" w:rsidRPr="00267651" w:rsidRDefault="007F1E9F" w:rsidP="0056787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As of </w:t>
      </w:r>
      <w:r w:rsidR="00250359" w:rsidRPr="00267651">
        <w:rPr>
          <w:rFonts w:cs="Readex Pro"/>
          <w:sz w:val="16"/>
          <w:szCs w:val="16"/>
        </w:rPr>
        <w:t xml:space="preserve">5 September </w:t>
      </w:r>
      <w:r w:rsidRPr="00267651">
        <w:rPr>
          <w:rFonts w:cs="Readex Pro"/>
          <w:sz w:val="16"/>
          <w:szCs w:val="16"/>
        </w:rPr>
        <w:t>2025, the MACR is 14 years in the ACT (but with exceptions for children</w:t>
      </w:r>
      <w:r w:rsidR="009375EA" w:rsidRPr="00267651">
        <w:rPr>
          <w:rFonts w:cs="Readex Pro"/>
          <w:sz w:val="16"/>
          <w:szCs w:val="16"/>
        </w:rPr>
        <w:t xml:space="preserve"> and young people</w:t>
      </w:r>
      <w:r w:rsidRPr="00267651">
        <w:rPr>
          <w:rFonts w:cs="Readex Pro"/>
          <w:sz w:val="16"/>
          <w:szCs w:val="16"/>
        </w:rPr>
        <w:t xml:space="preserve"> aged 12 to 13 for certain serious offences)</w:t>
      </w:r>
      <w:r w:rsidR="00EE2093" w:rsidRPr="00267651">
        <w:rPr>
          <w:rFonts w:cs="Readex Pro"/>
          <w:sz w:val="16"/>
          <w:szCs w:val="16"/>
        </w:rPr>
        <w:t>,</w:t>
      </w:r>
      <w:r w:rsidRPr="00267651">
        <w:rPr>
          <w:rFonts w:cs="Readex Pro"/>
          <w:sz w:val="16"/>
          <w:szCs w:val="16"/>
        </w:rPr>
        <w:t xml:space="preserve"> 10 years in Victoria (however legislation is in effect which will raise this to 12 years on or before 30 September 2025)</w:t>
      </w:r>
      <w:r w:rsidR="00EE2093" w:rsidRPr="00267651">
        <w:rPr>
          <w:rFonts w:cs="Readex Pro"/>
          <w:sz w:val="16"/>
          <w:szCs w:val="16"/>
        </w:rPr>
        <w:t>,</w:t>
      </w:r>
      <w:r w:rsidRPr="00267651">
        <w:rPr>
          <w:rFonts w:cs="Readex Pro"/>
          <w:sz w:val="16"/>
          <w:szCs w:val="16"/>
        </w:rPr>
        <w:t xml:space="preserve"> 10 years in Tasmania (however the Tasmanian Government has committed to raising it to 14 years by 2029)</w:t>
      </w:r>
      <w:r w:rsidR="00EE2093" w:rsidRPr="00267651">
        <w:rPr>
          <w:rFonts w:cs="Readex Pro"/>
          <w:sz w:val="16"/>
          <w:szCs w:val="16"/>
        </w:rPr>
        <w:t>,</w:t>
      </w:r>
      <w:r w:rsidRPr="00267651">
        <w:rPr>
          <w:rFonts w:cs="Readex Pro"/>
          <w:sz w:val="16"/>
          <w:szCs w:val="16"/>
        </w:rPr>
        <w:t xml:space="preserve"> </w:t>
      </w:r>
      <w:r w:rsidR="00EE2093" w:rsidRPr="00267651">
        <w:rPr>
          <w:rFonts w:cs="Readex Pro"/>
          <w:sz w:val="16"/>
          <w:szCs w:val="16"/>
        </w:rPr>
        <w:t xml:space="preserve">and </w:t>
      </w:r>
      <w:r w:rsidRPr="00267651">
        <w:rPr>
          <w:rFonts w:cs="Readex Pro"/>
          <w:sz w:val="16"/>
          <w:szCs w:val="16"/>
        </w:rPr>
        <w:t>10 years in the NT (lowered in 2024 after being raised from 10 to 12 years in 2023). In all other Australian jurisdictions, including the Commonwealth, the MACR is 10 years.</w:t>
      </w:r>
    </w:p>
  </w:footnote>
  <w:footnote w:id="9">
    <w:p w14:paraId="69A464B9" w14:textId="08AF5D0D" w:rsidR="007F1E9F" w:rsidRPr="00E518A3" w:rsidRDefault="007F1E9F" w:rsidP="00CE11CD">
      <w:pPr>
        <w:pStyle w:val="FootnoteText"/>
        <w:rPr>
          <w:rFonts w:cs="Readex Pro"/>
          <w:sz w:val="16"/>
          <w:szCs w:val="16"/>
          <w:lang w:val="fr-FR"/>
        </w:rPr>
      </w:pPr>
      <w:r w:rsidRPr="00267651">
        <w:rPr>
          <w:rStyle w:val="FootnoteReference"/>
          <w:rFonts w:cs="Readex Pro"/>
          <w:sz w:val="16"/>
          <w:szCs w:val="16"/>
        </w:rPr>
        <w:footnoteRef/>
      </w:r>
      <w:r w:rsidRPr="00E518A3">
        <w:rPr>
          <w:rFonts w:cs="Readex Pro"/>
          <w:sz w:val="16"/>
          <w:szCs w:val="16"/>
          <w:lang w:val="fr-FR"/>
        </w:rPr>
        <w:t xml:space="preserve"> </w:t>
      </w:r>
      <w:r w:rsidR="00313D9D" w:rsidRPr="00E518A3">
        <w:rPr>
          <w:rFonts w:cs="Readex Pro"/>
          <w:sz w:val="16"/>
          <w:szCs w:val="16"/>
          <w:lang w:val="fr-FR"/>
        </w:rPr>
        <w:t>Clancey et al</w:t>
      </w:r>
      <w:r w:rsidR="00DA16CE" w:rsidRPr="00E518A3">
        <w:rPr>
          <w:rFonts w:cs="Readex Pro"/>
          <w:sz w:val="16"/>
          <w:szCs w:val="16"/>
          <w:lang w:val="fr-FR"/>
        </w:rPr>
        <w:t xml:space="preserve">, above n </w:t>
      </w:r>
      <w:r w:rsidR="00DA16CE" w:rsidRPr="00267651">
        <w:rPr>
          <w:rFonts w:cs="Readex Pro"/>
          <w:sz w:val="16"/>
          <w:szCs w:val="16"/>
        </w:rPr>
        <w:fldChar w:fldCharType="begin"/>
      </w:r>
      <w:r w:rsidR="00DA16CE" w:rsidRPr="00E518A3">
        <w:rPr>
          <w:rFonts w:cs="Readex Pro"/>
          <w:sz w:val="16"/>
          <w:szCs w:val="16"/>
          <w:lang w:val="fr-FR"/>
        </w:rPr>
        <w:instrText xml:space="preserve"> NOTEREF _Ref207038868 \h </w:instrText>
      </w:r>
      <w:r w:rsidR="003A2A00" w:rsidRPr="00E518A3">
        <w:rPr>
          <w:rFonts w:cs="Readex Pro"/>
          <w:sz w:val="16"/>
          <w:szCs w:val="16"/>
          <w:lang w:val="fr-FR"/>
        </w:rPr>
        <w:instrText xml:space="preserve"> \* MERGEFORMAT </w:instrText>
      </w:r>
      <w:r w:rsidR="00DA16CE" w:rsidRPr="00267651">
        <w:rPr>
          <w:rFonts w:cs="Readex Pro"/>
          <w:sz w:val="16"/>
          <w:szCs w:val="16"/>
        </w:rPr>
      </w:r>
      <w:r w:rsidR="00DA16CE" w:rsidRPr="00267651">
        <w:rPr>
          <w:rFonts w:cs="Readex Pro"/>
          <w:sz w:val="16"/>
          <w:szCs w:val="16"/>
        </w:rPr>
        <w:fldChar w:fldCharType="separate"/>
      </w:r>
      <w:r w:rsidR="00B71AA0" w:rsidRPr="00E518A3">
        <w:rPr>
          <w:rFonts w:cs="Readex Pro"/>
          <w:sz w:val="16"/>
          <w:szCs w:val="16"/>
          <w:lang w:val="fr-FR"/>
        </w:rPr>
        <w:t>2</w:t>
      </w:r>
      <w:r w:rsidR="00DA16CE" w:rsidRPr="00267651">
        <w:rPr>
          <w:rFonts w:cs="Readex Pro"/>
          <w:sz w:val="16"/>
          <w:szCs w:val="16"/>
        </w:rPr>
        <w:fldChar w:fldCharType="end"/>
      </w:r>
      <w:r w:rsidR="00DA16CE" w:rsidRPr="00E518A3">
        <w:rPr>
          <w:rFonts w:cs="Readex Pro"/>
          <w:sz w:val="16"/>
          <w:szCs w:val="16"/>
          <w:lang w:val="fr-FR"/>
        </w:rPr>
        <w:t xml:space="preserve">, </w:t>
      </w:r>
      <w:r w:rsidRPr="00E518A3">
        <w:rPr>
          <w:rFonts w:cs="Readex Pro"/>
          <w:sz w:val="16"/>
          <w:szCs w:val="16"/>
          <w:lang w:val="fr-FR"/>
        </w:rPr>
        <w:t>page 1.</w:t>
      </w:r>
    </w:p>
  </w:footnote>
  <w:footnote w:id="10">
    <w:p w14:paraId="62B8F5CE" w14:textId="71DC8918" w:rsidR="007F1E9F" w:rsidRPr="00267651" w:rsidRDefault="007F1E9F" w:rsidP="00CE11C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w:t>
      </w:r>
      <w:hyperlink r:id="rId8" w:history="1">
        <w:r w:rsidRPr="00267651">
          <w:rPr>
            <w:rStyle w:val="Hyperlink"/>
            <w:rFonts w:cs="Readex Pro"/>
            <w:i/>
            <w:iCs/>
            <w:sz w:val="16"/>
            <w:szCs w:val="16"/>
          </w:rPr>
          <w:t>Youth Justice Act 1992</w:t>
        </w:r>
        <w:r w:rsidRPr="00267651">
          <w:rPr>
            <w:rStyle w:val="Hyperlink"/>
            <w:rFonts w:cs="Readex Pro"/>
            <w:sz w:val="16"/>
            <w:szCs w:val="16"/>
          </w:rPr>
          <w:t xml:space="preserve"> (Qld)</w:t>
        </w:r>
      </w:hyperlink>
      <w:r w:rsidRPr="00267651">
        <w:rPr>
          <w:rFonts w:cs="Readex Pro"/>
          <w:sz w:val="16"/>
          <w:szCs w:val="16"/>
        </w:rPr>
        <w:t xml:space="preserve">, section 150(1)(a); </w:t>
      </w:r>
      <w:hyperlink r:id="rId9" w:history="1">
        <w:r w:rsidRPr="00267651">
          <w:rPr>
            <w:rStyle w:val="Hyperlink"/>
            <w:rFonts w:cs="Readex Pro"/>
            <w:i/>
            <w:iCs/>
            <w:sz w:val="16"/>
            <w:szCs w:val="16"/>
          </w:rPr>
          <w:t>Queensland Community Safety Act 2024</w:t>
        </w:r>
        <w:r w:rsidRPr="00267651">
          <w:rPr>
            <w:rStyle w:val="Hyperlink"/>
            <w:rFonts w:cs="Readex Pro"/>
            <w:sz w:val="16"/>
            <w:szCs w:val="16"/>
          </w:rPr>
          <w:t xml:space="preserve"> (Qld)</w:t>
        </w:r>
      </w:hyperlink>
      <w:r w:rsidRPr="00267651">
        <w:rPr>
          <w:rFonts w:cs="Readex Pro"/>
          <w:sz w:val="16"/>
          <w:szCs w:val="16"/>
        </w:rPr>
        <w:t xml:space="preserve">, sections 123, 132(1); </w:t>
      </w:r>
      <w:hyperlink r:id="rId10" w:history="1">
        <w:r w:rsidRPr="00267651">
          <w:rPr>
            <w:rStyle w:val="Hyperlink"/>
            <w:rFonts w:cs="Readex Pro"/>
            <w:i/>
            <w:iCs/>
            <w:sz w:val="16"/>
            <w:szCs w:val="16"/>
          </w:rPr>
          <w:t>Making Queensland Safer Act 2024</w:t>
        </w:r>
        <w:r w:rsidRPr="00267651">
          <w:rPr>
            <w:rStyle w:val="Hyperlink"/>
            <w:rFonts w:cs="Readex Pro"/>
            <w:sz w:val="16"/>
            <w:szCs w:val="16"/>
          </w:rPr>
          <w:t xml:space="preserve"> (Qld)</w:t>
        </w:r>
      </w:hyperlink>
      <w:r w:rsidRPr="00267651">
        <w:rPr>
          <w:rFonts w:cs="Readex Pro"/>
          <w:sz w:val="16"/>
          <w:szCs w:val="16"/>
        </w:rPr>
        <w:t>, section 15.</w:t>
      </w:r>
    </w:p>
  </w:footnote>
  <w:footnote w:id="11">
    <w:p w14:paraId="55A29CD8" w14:textId="66F5D7C8" w:rsidR="007F1E9F" w:rsidRPr="00267651" w:rsidRDefault="007F1E9F" w:rsidP="00ED010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w:t>
      </w:r>
      <w:hyperlink r:id="rId11" w:history="1">
        <w:r w:rsidRPr="00267651">
          <w:rPr>
            <w:rStyle w:val="Hyperlink"/>
            <w:rFonts w:cs="Readex Pro"/>
            <w:i/>
            <w:iCs/>
            <w:sz w:val="16"/>
            <w:szCs w:val="16"/>
          </w:rPr>
          <w:t>Bail Amendment Act 2025</w:t>
        </w:r>
        <w:r w:rsidRPr="00267651">
          <w:rPr>
            <w:rStyle w:val="Hyperlink"/>
            <w:rFonts w:cs="Readex Pro"/>
            <w:sz w:val="16"/>
            <w:szCs w:val="16"/>
          </w:rPr>
          <w:t xml:space="preserve"> (Vic)</w:t>
        </w:r>
      </w:hyperlink>
      <w:r w:rsidRPr="00267651">
        <w:rPr>
          <w:rFonts w:cs="Readex Pro"/>
          <w:sz w:val="16"/>
          <w:szCs w:val="16"/>
        </w:rPr>
        <w:t xml:space="preserve">, section 5. See also AHRC, </w:t>
      </w:r>
      <w:hyperlink r:id="rId12" w:history="1">
        <w:r w:rsidRPr="00267651">
          <w:rPr>
            <w:rStyle w:val="Hyperlink"/>
            <w:rFonts w:cs="Readex Pro"/>
            <w:i/>
            <w:iCs/>
            <w:sz w:val="16"/>
            <w:szCs w:val="16"/>
          </w:rPr>
          <w:t>National Children’s Commissioner condemns new Victorian bail laws as a backward step</w:t>
        </w:r>
      </w:hyperlink>
      <w:r w:rsidRPr="00267651">
        <w:rPr>
          <w:rFonts w:cs="Readex Pro"/>
          <w:sz w:val="16"/>
          <w:szCs w:val="16"/>
        </w:rPr>
        <w:t xml:space="preserve"> (21 March 2025).</w:t>
      </w:r>
    </w:p>
  </w:footnote>
  <w:footnote w:id="12">
    <w:p w14:paraId="5A67E043" w14:textId="69D49204" w:rsidR="007F1E9F" w:rsidRPr="00267651" w:rsidRDefault="007F1E9F" w:rsidP="00ED010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3" w:history="1">
        <w:r w:rsidRPr="00267651">
          <w:rPr>
            <w:rStyle w:val="Hyperlink"/>
            <w:rFonts w:cs="Readex Pro"/>
            <w:i/>
            <w:iCs/>
            <w:sz w:val="16"/>
            <w:szCs w:val="16"/>
          </w:rPr>
          <w:t>Youth Justice Act 2005</w:t>
        </w:r>
        <w:r w:rsidRPr="00267651">
          <w:rPr>
            <w:rStyle w:val="Hyperlink"/>
            <w:rFonts w:cs="Readex Pro"/>
            <w:sz w:val="16"/>
            <w:szCs w:val="16"/>
          </w:rPr>
          <w:t xml:space="preserve"> (NT)</w:t>
        </w:r>
      </w:hyperlink>
      <w:r w:rsidRPr="00267651">
        <w:rPr>
          <w:rFonts w:cs="Readex Pro"/>
          <w:sz w:val="16"/>
          <w:szCs w:val="16"/>
        </w:rPr>
        <w:t xml:space="preserve">, section 4(c), as repealed by </w:t>
      </w:r>
      <w:hyperlink r:id="rId14" w:history="1">
        <w:r w:rsidRPr="00267651">
          <w:rPr>
            <w:rStyle w:val="Hyperlink"/>
            <w:rFonts w:cs="Readex Pro"/>
            <w:i/>
            <w:iCs/>
            <w:sz w:val="16"/>
            <w:szCs w:val="16"/>
          </w:rPr>
          <w:t>Bail and Youth Justice Legislation Amendment Act 2025</w:t>
        </w:r>
        <w:r w:rsidRPr="00267651">
          <w:rPr>
            <w:rStyle w:val="Hyperlink"/>
            <w:rFonts w:cs="Readex Pro"/>
            <w:sz w:val="16"/>
            <w:szCs w:val="16"/>
          </w:rPr>
          <w:t xml:space="preserve"> (NT)</w:t>
        </w:r>
      </w:hyperlink>
      <w:r w:rsidRPr="00267651">
        <w:rPr>
          <w:rFonts w:cs="Readex Pro"/>
          <w:sz w:val="16"/>
          <w:szCs w:val="16"/>
        </w:rPr>
        <w:t>, section 10. The amendments also amended the criteria to be considered before granting bail to both adults</w:t>
      </w:r>
      <w:r w:rsidR="009375EA" w:rsidRPr="00267651">
        <w:rPr>
          <w:rFonts w:cs="Readex Pro"/>
          <w:sz w:val="16"/>
          <w:szCs w:val="16"/>
        </w:rPr>
        <w:t>,</w:t>
      </w:r>
      <w:r w:rsidRPr="00267651">
        <w:rPr>
          <w:rFonts w:cs="Readex Pro"/>
          <w:sz w:val="16"/>
          <w:szCs w:val="16"/>
        </w:rPr>
        <w:t xml:space="preserve"> and children</w:t>
      </w:r>
      <w:r w:rsidR="009375EA" w:rsidRPr="00267651">
        <w:rPr>
          <w:rFonts w:cs="Readex Pro"/>
          <w:sz w:val="16"/>
          <w:szCs w:val="16"/>
        </w:rPr>
        <w:t xml:space="preserve"> and young people</w:t>
      </w:r>
      <w:r w:rsidRPr="00267651">
        <w:rPr>
          <w:rFonts w:cs="Readex Pro"/>
          <w:sz w:val="16"/>
          <w:szCs w:val="16"/>
        </w:rPr>
        <w:t>.</w:t>
      </w:r>
    </w:p>
  </w:footnote>
  <w:footnote w:id="13">
    <w:p w14:paraId="2B7A28C9" w14:textId="5485201C"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30FEC" w:rsidRPr="00267651">
        <w:rPr>
          <w:rFonts w:cs="Readex Pro"/>
          <w:sz w:val="16"/>
          <w:szCs w:val="16"/>
        </w:rPr>
        <w:t xml:space="preserve">The amendments also included a new subsection in relation to sentencing, that provides that the primary regard that the Court must consider when sentencing a youth who has been found guilty of an offence, is any impact of the offence on each victim of the offence. </w:t>
      </w:r>
      <w:hyperlink r:id="rId15" w:history="1">
        <w:r w:rsidRPr="00267651">
          <w:rPr>
            <w:rStyle w:val="Hyperlink"/>
            <w:rFonts w:cs="Readex Pro"/>
            <w:i/>
            <w:iCs/>
            <w:sz w:val="16"/>
            <w:szCs w:val="16"/>
          </w:rPr>
          <w:t>Youth Justice Act 2005</w:t>
        </w:r>
        <w:r w:rsidRPr="00267651">
          <w:rPr>
            <w:rStyle w:val="Hyperlink"/>
            <w:rFonts w:cs="Readex Pro"/>
            <w:sz w:val="16"/>
            <w:szCs w:val="16"/>
          </w:rPr>
          <w:t xml:space="preserve"> (NT)</w:t>
        </w:r>
      </w:hyperlink>
      <w:r w:rsidRPr="00267651">
        <w:rPr>
          <w:rFonts w:cs="Readex Pro"/>
          <w:sz w:val="16"/>
          <w:szCs w:val="16"/>
        </w:rPr>
        <w:t>, section</w:t>
      </w:r>
      <w:r w:rsidR="00830FEC" w:rsidRPr="00267651">
        <w:rPr>
          <w:rFonts w:cs="Readex Pro"/>
          <w:sz w:val="16"/>
          <w:szCs w:val="16"/>
        </w:rPr>
        <w:t>s 81(1) and</w:t>
      </w:r>
      <w:r w:rsidRPr="00267651">
        <w:rPr>
          <w:rFonts w:cs="Readex Pro"/>
          <w:sz w:val="16"/>
          <w:szCs w:val="16"/>
        </w:rPr>
        <w:t xml:space="preserve"> 81(6), as </w:t>
      </w:r>
      <w:r w:rsidR="00830FEC" w:rsidRPr="00267651">
        <w:rPr>
          <w:rFonts w:cs="Readex Pro"/>
          <w:sz w:val="16"/>
          <w:szCs w:val="16"/>
        </w:rPr>
        <w:t xml:space="preserve">amended and </w:t>
      </w:r>
      <w:r w:rsidRPr="00267651">
        <w:rPr>
          <w:rFonts w:cs="Readex Pro"/>
          <w:sz w:val="16"/>
          <w:szCs w:val="16"/>
        </w:rPr>
        <w:t xml:space="preserve">repealed by </w:t>
      </w:r>
      <w:hyperlink r:id="rId16" w:history="1">
        <w:r w:rsidRPr="00267651">
          <w:rPr>
            <w:rStyle w:val="Hyperlink"/>
            <w:rFonts w:cs="Readex Pro"/>
            <w:i/>
            <w:iCs/>
            <w:sz w:val="16"/>
            <w:szCs w:val="16"/>
          </w:rPr>
          <w:t>Youth Justice Legislation Amendment Act 2025</w:t>
        </w:r>
        <w:r w:rsidRPr="00267651">
          <w:rPr>
            <w:rStyle w:val="Hyperlink"/>
            <w:rFonts w:cs="Readex Pro"/>
            <w:sz w:val="16"/>
            <w:szCs w:val="16"/>
          </w:rPr>
          <w:t xml:space="preserve"> (NT)</w:t>
        </w:r>
      </w:hyperlink>
      <w:r w:rsidRPr="00267651">
        <w:rPr>
          <w:rFonts w:cs="Readex Pro"/>
          <w:sz w:val="16"/>
          <w:szCs w:val="16"/>
        </w:rPr>
        <w:t>, section 11.</w:t>
      </w:r>
    </w:p>
  </w:footnote>
  <w:footnote w:id="14">
    <w:p w14:paraId="2DA96CF9" w14:textId="00C1B783" w:rsidR="005D1836" w:rsidRPr="00267651" w:rsidRDefault="005D1836" w:rsidP="005D183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23F7B" w:rsidRPr="00267651">
        <w:rPr>
          <w:rFonts w:cs="Readex Pro"/>
          <w:sz w:val="16"/>
          <w:szCs w:val="16"/>
        </w:rPr>
        <w:t>Australian Institute of Health and Welfare (</w:t>
      </w:r>
      <w:r w:rsidR="00DA16CE" w:rsidRPr="00267651">
        <w:rPr>
          <w:rFonts w:cs="Readex Pro"/>
          <w:sz w:val="16"/>
          <w:szCs w:val="16"/>
        </w:rPr>
        <w:t>AIHW</w:t>
      </w:r>
      <w:r w:rsidR="00523F7B" w:rsidRPr="00267651">
        <w:rPr>
          <w:rFonts w:cs="Readex Pro"/>
          <w:sz w:val="16"/>
          <w:szCs w:val="16"/>
        </w:rPr>
        <w:t>)</w:t>
      </w:r>
      <w:r w:rsidR="00DA16CE" w:rsidRPr="00267651">
        <w:rPr>
          <w:rFonts w:cs="Readex Pro"/>
          <w:sz w:val="16"/>
          <w:szCs w:val="16"/>
        </w:rPr>
        <w:t xml:space="preserve">, </w:t>
      </w:r>
      <w:hyperlink r:id="rId17" w:history="1">
        <w:r w:rsidR="00DA16CE" w:rsidRPr="00267651">
          <w:rPr>
            <w:rStyle w:val="Hyperlink"/>
            <w:rFonts w:cs="Readex Pro"/>
            <w:sz w:val="16"/>
            <w:szCs w:val="16"/>
          </w:rPr>
          <w:t xml:space="preserve">‘Unsentenced Detention’, </w:t>
        </w:r>
        <w:r w:rsidR="00DA16CE" w:rsidRPr="00267651">
          <w:rPr>
            <w:rStyle w:val="Hyperlink"/>
            <w:rFonts w:cs="Readex Pro"/>
            <w:i/>
            <w:iCs/>
            <w:sz w:val="16"/>
            <w:szCs w:val="16"/>
          </w:rPr>
          <w:t>Youth Justice in Australia 2023–24</w:t>
        </w:r>
      </w:hyperlink>
      <w:r w:rsidR="00DA16CE" w:rsidRPr="00267651">
        <w:rPr>
          <w:rFonts w:cs="Readex Pro"/>
          <w:sz w:val="16"/>
          <w:szCs w:val="16"/>
        </w:rPr>
        <w:t xml:space="preserve"> (28</w:t>
      </w:r>
      <w:r w:rsidR="00523F7B" w:rsidRPr="00267651">
        <w:rPr>
          <w:rFonts w:cs="Readex Pro"/>
          <w:sz w:val="16"/>
          <w:szCs w:val="16"/>
        </w:rPr>
        <w:t> </w:t>
      </w:r>
      <w:r w:rsidR="00DA16CE" w:rsidRPr="00267651">
        <w:rPr>
          <w:rFonts w:cs="Readex Pro"/>
          <w:sz w:val="16"/>
          <w:szCs w:val="16"/>
        </w:rPr>
        <w:t>March</w:t>
      </w:r>
      <w:r w:rsidR="00523F7B" w:rsidRPr="00267651">
        <w:rPr>
          <w:rFonts w:cs="Readex Pro"/>
          <w:sz w:val="16"/>
          <w:szCs w:val="16"/>
        </w:rPr>
        <w:t> </w:t>
      </w:r>
      <w:r w:rsidR="00DA16CE" w:rsidRPr="00267651">
        <w:rPr>
          <w:rFonts w:cs="Readex Pro"/>
          <w:sz w:val="16"/>
          <w:szCs w:val="16"/>
        </w:rPr>
        <w:t>2025)</w:t>
      </w:r>
      <w:r w:rsidRPr="00267651">
        <w:rPr>
          <w:rFonts w:cs="Readex Pro"/>
          <w:sz w:val="16"/>
          <w:szCs w:val="16"/>
        </w:rPr>
        <w:t>.</w:t>
      </w:r>
      <w:r w:rsidR="00816BE8" w:rsidRPr="00267651">
        <w:rPr>
          <w:rFonts w:cs="Readex Pro"/>
          <w:sz w:val="16"/>
          <w:szCs w:val="16"/>
        </w:rPr>
        <w:t xml:space="preserve"> The vast majority of those who are unsentenced are on remand, still awaiting the resolution of charges, and so remain innocent until proven guilty.</w:t>
      </w:r>
    </w:p>
  </w:footnote>
  <w:footnote w:id="15">
    <w:p w14:paraId="090FDF8E" w14:textId="4FCF9FF2" w:rsidR="007F1E9F" w:rsidRPr="00267651" w:rsidRDefault="007F1E9F" w:rsidP="00DC273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DA16CE" w:rsidRPr="00267651">
        <w:rPr>
          <w:rFonts w:cs="Readex Pro"/>
          <w:sz w:val="16"/>
          <w:szCs w:val="16"/>
        </w:rPr>
        <w:t>Ibid.</w:t>
      </w:r>
    </w:p>
  </w:footnote>
  <w:footnote w:id="16">
    <w:p w14:paraId="712F5966" w14:textId="46A63D3F" w:rsidR="007F1E9F" w:rsidRPr="00267651" w:rsidRDefault="007F1E9F" w:rsidP="00594C57">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DA16CE" w:rsidRPr="00267651">
        <w:rPr>
          <w:rFonts w:cs="Readex Pro"/>
          <w:sz w:val="16"/>
          <w:szCs w:val="16"/>
        </w:rPr>
        <w:t xml:space="preserve">K </w:t>
      </w:r>
      <w:r w:rsidRPr="00267651">
        <w:rPr>
          <w:rFonts w:cs="Readex Pro"/>
          <w:sz w:val="16"/>
          <w:szCs w:val="16"/>
        </w:rPr>
        <w:t>Richards</w:t>
      </w:r>
      <w:r w:rsidR="00DA16CE" w:rsidRPr="00267651">
        <w:rPr>
          <w:rFonts w:cs="Readex Pro"/>
          <w:sz w:val="16"/>
          <w:szCs w:val="16"/>
        </w:rPr>
        <w:t xml:space="preserve"> </w:t>
      </w:r>
      <w:r w:rsidRPr="00267651">
        <w:rPr>
          <w:rFonts w:cs="Readex Pro"/>
          <w:sz w:val="16"/>
          <w:szCs w:val="16"/>
        </w:rPr>
        <w:t xml:space="preserve">and </w:t>
      </w:r>
      <w:r w:rsidR="00DA16CE" w:rsidRPr="00267651">
        <w:rPr>
          <w:rFonts w:cs="Readex Pro"/>
          <w:sz w:val="16"/>
          <w:szCs w:val="16"/>
        </w:rPr>
        <w:t xml:space="preserve">L </w:t>
      </w:r>
      <w:r w:rsidRPr="00267651">
        <w:rPr>
          <w:rFonts w:cs="Readex Pro"/>
          <w:sz w:val="16"/>
          <w:szCs w:val="16"/>
        </w:rPr>
        <w:t>Renshaw,</w:t>
      </w:r>
      <w:r w:rsidR="00DA16CE" w:rsidRPr="00267651">
        <w:rPr>
          <w:rFonts w:cs="Readex Pro"/>
          <w:sz w:val="16"/>
          <w:szCs w:val="16"/>
        </w:rPr>
        <w:t xml:space="preserve"> </w:t>
      </w:r>
      <w:hyperlink r:id="rId18" w:history="1">
        <w:r w:rsidR="00DA16CE" w:rsidRPr="00267651">
          <w:rPr>
            <w:rStyle w:val="Hyperlink"/>
            <w:rFonts w:cs="Readex Pro"/>
            <w:sz w:val="16"/>
            <w:szCs w:val="16"/>
          </w:rPr>
          <w:t>‘B</w:t>
        </w:r>
        <w:r w:rsidRPr="00267651">
          <w:rPr>
            <w:rStyle w:val="Hyperlink"/>
            <w:rFonts w:cs="Readex Pro"/>
            <w:sz w:val="16"/>
            <w:szCs w:val="16"/>
          </w:rPr>
          <w:t>ail and remand for young people in Australia: A National Research Proje</w:t>
        </w:r>
        <w:r w:rsidR="00DA16CE" w:rsidRPr="00267651">
          <w:rPr>
            <w:rStyle w:val="Hyperlink"/>
            <w:rFonts w:cs="Readex Pro"/>
            <w:sz w:val="16"/>
            <w:szCs w:val="16"/>
          </w:rPr>
          <w:t xml:space="preserve">ct’, </w:t>
        </w:r>
        <w:r w:rsidR="00DA16CE" w:rsidRPr="00267651">
          <w:rPr>
            <w:rStyle w:val="Hyperlink"/>
            <w:rFonts w:cs="Readex Pro"/>
            <w:i/>
            <w:iCs/>
            <w:sz w:val="16"/>
            <w:szCs w:val="16"/>
          </w:rPr>
          <w:t>AIC Reports – Research and Public Policy Series 125</w:t>
        </w:r>
      </w:hyperlink>
      <w:r w:rsidRPr="00267651">
        <w:rPr>
          <w:rFonts w:cs="Readex Pro"/>
          <w:sz w:val="16"/>
          <w:szCs w:val="16"/>
        </w:rPr>
        <w:t xml:space="preserve"> (2013)</w:t>
      </w:r>
      <w:r w:rsidR="00DA16CE" w:rsidRPr="00267651">
        <w:rPr>
          <w:rFonts w:cs="Readex Pro"/>
          <w:sz w:val="16"/>
          <w:szCs w:val="16"/>
        </w:rPr>
        <w:t>,</w:t>
      </w:r>
      <w:r w:rsidRPr="00267651">
        <w:rPr>
          <w:rFonts w:cs="Readex Pro"/>
          <w:sz w:val="16"/>
          <w:szCs w:val="16"/>
        </w:rPr>
        <w:t xml:space="preserve"> page 13; AHRC,</w:t>
      </w:r>
      <w:r w:rsidR="00DA16CE" w:rsidRPr="00267651">
        <w:rPr>
          <w:rFonts w:cs="Readex Pro"/>
          <w:sz w:val="16"/>
          <w:szCs w:val="16"/>
        </w:rPr>
        <w:t xml:space="preserve"> above n </w:t>
      </w:r>
      <w:r w:rsidR="00DA16CE" w:rsidRPr="00267651">
        <w:rPr>
          <w:rFonts w:cs="Readex Pro"/>
          <w:sz w:val="16"/>
          <w:szCs w:val="16"/>
        </w:rPr>
        <w:fldChar w:fldCharType="begin"/>
      </w:r>
      <w:r w:rsidR="00DA16CE" w:rsidRPr="00267651">
        <w:rPr>
          <w:rFonts w:cs="Readex Pro"/>
          <w:sz w:val="16"/>
          <w:szCs w:val="16"/>
        </w:rPr>
        <w:instrText xml:space="preserve"> NOTEREF _Ref207039081 \h </w:instrText>
      </w:r>
      <w:r w:rsidR="003A2A00" w:rsidRPr="00267651">
        <w:rPr>
          <w:rFonts w:cs="Readex Pro"/>
          <w:sz w:val="16"/>
          <w:szCs w:val="16"/>
        </w:rPr>
        <w:instrText xml:space="preserve"> \* MERGEFORMAT </w:instrText>
      </w:r>
      <w:r w:rsidR="00DA16CE" w:rsidRPr="00267651">
        <w:rPr>
          <w:rFonts w:cs="Readex Pro"/>
          <w:sz w:val="16"/>
          <w:szCs w:val="16"/>
        </w:rPr>
      </w:r>
      <w:r w:rsidR="00DA16CE" w:rsidRPr="00267651">
        <w:rPr>
          <w:rFonts w:cs="Readex Pro"/>
          <w:sz w:val="16"/>
          <w:szCs w:val="16"/>
        </w:rPr>
        <w:fldChar w:fldCharType="separate"/>
      </w:r>
      <w:r w:rsidR="00B71AA0">
        <w:rPr>
          <w:rFonts w:cs="Readex Pro"/>
          <w:sz w:val="16"/>
          <w:szCs w:val="16"/>
        </w:rPr>
        <w:t>3</w:t>
      </w:r>
      <w:r w:rsidR="00DA16CE" w:rsidRPr="00267651">
        <w:rPr>
          <w:rFonts w:cs="Readex Pro"/>
          <w:sz w:val="16"/>
          <w:szCs w:val="16"/>
        </w:rPr>
        <w:fldChar w:fldCharType="end"/>
      </w:r>
      <w:r w:rsidR="00DA16CE" w:rsidRPr="00267651">
        <w:rPr>
          <w:rFonts w:cs="Readex Pro"/>
          <w:sz w:val="16"/>
          <w:szCs w:val="16"/>
        </w:rPr>
        <w:t>, page 8</w:t>
      </w:r>
      <w:r w:rsidRPr="00267651">
        <w:rPr>
          <w:rFonts w:cs="Readex Pro"/>
          <w:sz w:val="16"/>
          <w:szCs w:val="16"/>
        </w:rPr>
        <w:t>.</w:t>
      </w:r>
    </w:p>
  </w:footnote>
  <w:footnote w:id="17">
    <w:p w14:paraId="5B3ACB9C" w14:textId="52D29853" w:rsidR="005B3B23" w:rsidRPr="00267651" w:rsidRDefault="005B3B23" w:rsidP="005B3B23">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56A60" w:rsidRPr="00267651">
        <w:rPr>
          <w:rFonts w:cs="Readex Pro"/>
          <w:sz w:val="16"/>
          <w:szCs w:val="16"/>
        </w:rPr>
        <w:t>New South Wales (NSW)</w:t>
      </w:r>
      <w:r w:rsidRPr="00267651">
        <w:rPr>
          <w:rFonts w:cs="Readex Pro"/>
          <w:sz w:val="16"/>
          <w:szCs w:val="16"/>
        </w:rPr>
        <w:t xml:space="preserve"> Bureau of Crime Statistics and Research, </w:t>
      </w:r>
      <w:hyperlink r:id="rId19" w:history="1">
        <w:r w:rsidRPr="00267651">
          <w:rPr>
            <w:rStyle w:val="Hyperlink"/>
            <w:rFonts w:cs="Readex Pro"/>
            <w:i/>
            <w:iCs/>
            <w:sz w:val="16"/>
            <w:szCs w:val="16"/>
          </w:rPr>
          <w:t>Media Release: NSW Custody Statistics</w:t>
        </w:r>
        <w:r w:rsidR="00556A60" w:rsidRPr="00267651">
          <w:rPr>
            <w:rStyle w:val="Hyperlink"/>
            <w:rFonts w:cs="Readex Pro"/>
            <w:i/>
            <w:iCs/>
            <w:sz w:val="16"/>
            <w:szCs w:val="16"/>
          </w:rPr>
          <w:t xml:space="preserve"> – </w:t>
        </w:r>
        <w:r w:rsidRPr="00267651">
          <w:rPr>
            <w:rStyle w:val="Hyperlink"/>
            <w:rFonts w:cs="Readex Pro"/>
            <w:i/>
            <w:iCs/>
            <w:sz w:val="16"/>
            <w:szCs w:val="16"/>
          </w:rPr>
          <w:t>Quarterly update June 2025</w:t>
        </w:r>
      </w:hyperlink>
      <w:r w:rsidRPr="00267651">
        <w:rPr>
          <w:rFonts w:cs="Readex Pro"/>
          <w:sz w:val="16"/>
          <w:szCs w:val="16"/>
        </w:rPr>
        <w:t xml:space="preserve"> (14 August 2025); NSW Bureau of Crime Statistics and Research, </w:t>
      </w:r>
      <w:hyperlink r:id="rId20" w:history="1">
        <w:r w:rsidRPr="00267651">
          <w:rPr>
            <w:rStyle w:val="Hyperlink"/>
            <w:rFonts w:cs="Readex Pro"/>
            <w:i/>
            <w:iCs/>
            <w:sz w:val="16"/>
            <w:szCs w:val="16"/>
          </w:rPr>
          <w:t>New South Wales Custody Statistics – Quarterly Update, June 2025</w:t>
        </w:r>
      </w:hyperlink>
      <w:r w:rsidRPr="00267651">
        <w:rPr>
          <w:rFonts w:cs="Readex Pro"/>
          <w:sz w:val="16"/>
          <w:szCs w:val="16"/>
        </w:rPr>
        <w:t xml:space="preserve"> (14 August 2025).</w:t>
      </w:r>
    </w:p>
  </w:footnote>
  <w:footnote w:id="18">
    <w:p w14:paraId="7E1A33FC" w14:textId="1FE90681" w:rsidR="007F1E9F" w:rsidRPr="00267651" w:rsidRDefault="007F1E9F" w:rsidP="008256A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Aboriginal Legal Service (NSW/ACT) Limited, </w:t>
      </w:r>
      <w:hyperlink r:id="rId21" w:history="1">
        <w:r w:rsidRPr="00267651">
          <w:rPr>
            <w:rStyle w:val="Hyperlink"/>
            <w:rFonts w:cs="Readex Pro"/>
            <w:i/>
            <w:iCs/>
            <w:sz w:val="16"/>
            <w:szCs w:val="16"/>
          </w:rPr>
          <w:t>Bail Fail: Report card exposes shocking truths about NSW Government’s bail reforms</w:t>
        </w:r>
      </w:hyperlink>
      <w:r w:rsidRPr="00267651">
        <w:rPr>
          <w:rFonts w:cs="Readex Pro"/>
          <w:sz w:val="16"/>
          <w:szCs w:val="16"/>
        </w:rPr>
        <w:t xml:space="preserve"> (9 May 2025)</w:t>
      </w:r>
      <w:r w:rsidR="00556A60" w:rsidRPr="00267651">
        <w:rPr>
          <w:rFonts w:cs="Readex Pro"/>
          <w:sz w:val="16"/>
          <w:szCs w:val="16"/>
        </w:rPr>
        <w:t>.</w:t>
      </w:r>
    </w:p>
  </w:footnote>
  <w:footnote w:id="19">
    <w:p w14:paraId="32946C50" w14:textId="4C444BC1" w:rsidR="007F1E9F" w:rsidRPr="00267651" w:rsidRDefault="007F1E9F" w:rsidP="009A744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56A60" w:rsidRPr="00267651">
        <w:rPr>
          <w:rFonts w:cs="Readex Pro"/>
          <w:sz w:val="16"/>
          <w:szCs w:val="16"/>
        </w:rPr>
        <w:t xml:space="preserve">Government of South Australia (SA) – </w:t>
      </w:r>
      <w:r w:rsidRPr="00267651">
        <w:rPr>
          <w:rFonts w:cs="Readex Pro"/>
          <w:sz w:val="16"/>
          <w:szCs w:val="16"/>
        </w:rPr>
        <w:t xml:space="preserve">Attorney-General’s Department, </w:t>
      </w:r>
      <w:hyperlink r:id="rId22" w:history="1">
        <w:r w:rsidRPr="00267651">
          <w:rPr>
            <w:rStyle w:val="Hyperlink"/>
            <w:rFonts w:cs="Readex Pro"/>
            <w:i/>
            <w:iCs/>
            <w:sz w:val="16"/>
            <w:szCs w:val="16"/>
          </w:rPr>
          <w:t>Young Offenders</w:t>
        </w:r>
      </w:hyperlink>
      <w:r w:rsidRPr="00267651">
        <w:rPr>
          <w:rFonts w:cs="Readex Pro"/>
          <w:sz w:val="16"/>
          <w:szCs w:val="16"/>
        </w:rPr>
        <w:t>.</w:t>
      </w:r>
    </w:p>
  </w:footnote>
  <w:footnote w:id="20">
    <w:p w14:paraId="030C123B" w14:textId="5F8326B0" w:rsidR="007F1E9F" w:rsidRPr="00267651" w:rsidRDefault="007F1E9F" w:rsidP="009A744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SA Guardian for Children and Young People (GCYP)</w:t>
      </w:r>
      <w:r w:rsidR="00556A60" w:rsidRPr="00267651">
        <w:rPr>
          <w:rFonts w:cs="Readex Pro"/>
          <w:sz w:val="16"/>
          <w:szCs w:val="16"/>
        </w:rPr>
        <w:t xml:space="preserve"> </w:t>
      </w:r>
      <w:r w:rsidRPr="00267651">
        <w:rPr>
          <w:rFonts w:cs="Readex Pro"/>
          <w:sz w:val="16"/>
          <w:szCs w:val="16"/>
        </w:rPr>
        <w:t>/</w:t>
      </w:r>
      <w:r w:rsidR="00556A60" w:rsidRPr="00267651">
        <w:rPr>
          <w:rFonts w:cs="Readex Pro"/>
          <w:sz w:val="16"/>
          <w:szCs w:val="16"/>
        </w:rPr>
        <w:t xml:space="preserve"> Training Centre Visitor (</w:t>
      </w:r>
      <w:r w:rsidRPr="00267651">
        <w:rPr>
          <w:rFonts w:cs="Readex Pro"/>
          <w:sz w:val="16"/>
          <w:szCs w:val="16"/>
        </w:rPr>
        <w:t>TCV</w:t>
      </w:r>
      <w:r w:rsidR="00556A60" w:rsidRPr="00267651">
        <w:rPr>
          <w:rFonts w:cs="Readex Pro"/>
          <w:sz w:val="16"/>
          <w:szCs w:val="16"/>
        </w:rPr>
        <w:t>)</w:t>
      </w:r>
      <w:r w:rsidRPr="00267651">
        <w:rPr>
          <w:rFonts w:cs="Readex Pro"/>
          <w:sz w:val="16"/>
          <w:szCs w:val="16"/>
        </w:rPr>
        <w:t xml:space="preserve">, </w:t>
      </w:r>
      <w:hyperlink r:id="rId23" w:history="1">
        <w:r w:rsidRPr="00267651">
          <w:rPr>
            <w:rStyle w:val="Hyperlink"/>
            <w:rFonts w:cs="Readex Pro"/>
            <w:i/>
            <w:iCs/>
            <w:sz w:val="16"/>
            <w:szCs w:val="16"/>
          </w:rPr>
          <w:t>Submission on the Criminal Law Consolidation Act (Street Gang) Amendment Bill 2025</w:t>
        </w:r>
      </w:hyperlink>
      <w:r w:rsidRPr="00267651">
        <w:rPr>
          <w:rFonts w:cs="Readex Pro"/>
          <w:sz w:val="16"/>
          <w:szCs w:val="16"/>
        </w:rPr>
        <w:t xml:space="preserve"> (June 2025); SA </w:t>
      </w:r>
      <w:r w:rsidR="00556A60" w:rsidRPr="00267651">
        <w:rPr>
          <w:rFonts w:cs="Readex Pro"/>
          <w:sz w:val="16"/>
          <w:szCs w:val="16"/>
        </w:rPr>
        <w:t>GCYP</w:t>
      </w:r>
      <w:r w:rsidRPr="00267651">
        <w:rPr>
          <w:rFonts w:cs="Readex Pro"/>
          <w:sz w:val="16"/>
          <w:szCs w:val="16"/>
        </w:rPr>
        <w:t xml:space="preserve">/TCV, </w:t>
      </w:r>
      <w:hyperlink r:id="rId24" w:history="1">
        <w:r w:rsidRPr="00267651">
          <w:rPr>
            <w:rStyle w:val="Hyperlink"/>
            <w:rFonts w:cs="Readex Pro"/>
            <w:i/>
            <w:iCs/>
            <w:sz w:val="16"/>
            <w:szCs w:val="16"/>
          </w:rPr>
          <w:t>SA’s Youth Crime Plan is a Dangerous Step Backwards</w:t>
        </w:r>
      </w:hyperlink>
      <w:r w:rsidRPr="00267651">
        <w:rPr>
          <w:rFonts w:cs="Readex Pro"/>
          <w:sz w:val="16"/>
          <w:szCs w:val="16"/>
        </w:rPr>
        <w:t xml:space="preserve"> (7 April 2025).</w:t>
      </w:r>
    </w:p>
  </w:footnote>
  <w:footnote w:id="21">
    <w:p w14:paraId="7C229B32" w14:textId="5ED58D4D" w:rsidR="007F1E9F" w:rsidRPr="00267651" w:rsidRDefault="007F1E9F">
      <w:pPr>
        <w:pStyle w:val="FootnoteText"/>
        <w:rPr>
          <w:rFonts w:cs="Readex Pro"/>
          <w:sz w:val="16"/>
          <w:szCs w:val="16"/>
        </w:rPr>
      </w:pPr>
      <w:r w:rsidRPr="00267651">
        <w:rPr>
          <w:rStyle w:val="FootnoteReference"/>
          <w:rFonts w:cs="Readex Pro"/>
          <w:sz w:val="16"/>
          <w:szCs w:val="16"/>
        </w:rPr>
        <w:footnoteRef/>
      </w:r>
      <w:r w:rsidR="00312126" w:rsidRPr="00267651">
        <w:rPr>
          <w:rFonts w:cs="Readex Pro"/>
          <w:sz w:val="16"/>
          <w:szCs w:val="16"/>
        </w:rPr>
        <w:t xml:space="preserve"> ACT NPM, </w:t>
      </w:r>
      <w:hyperlink r:id="rId25" w:history="1">
        <w:r w:rsidR="00312126" w:rsidRPr="00267651">
          <w:rPr>
            <w:rStyle w:val="Hyperlink"/>
            <w:rFonts w:cs="Readex Pro"/>
            <w:i/>
            <w:iCs/>
            <w:sz w:val="16"/>
            <w:szCs w:val="16"/>
          </w:rPr>
          <w:t xml:space="preserve">Submission to Review of decision-making criteria in the </w:t>
        </w:r>
        <w:r w:rsidR="00312126" w:rsidRPr="00267651">
          <w:rPr>
            <w:rStyle w:val="Hyperlink"/>
            <w:rFonts w:cs="Readex Pro"/>
            <w:sz w:val="16"/>
            <w:szCs w:val="16"/>
          </w:rPr>
          <w:t>Bail Act 1992</w:t>
        </w:r>
      </w:hyperlink>
      <w:r w:rsidR="00312126" w:rsidRPr="00267651">
        <w:rPr>
          <w:rFonts w:cs="Readex Pro"/>
          <w:sz w:val="16"/>
          <w:szCs w:val="16"/>
        </w:rPr>
        <w:t xml:space="preserve"> (13 June 2025), pages 3-4, 7-8, 11-12.</w:t>
      </w:r>
    </w:p>
  </w:footnote>
  <w:footnote w:id="22">
    <w:p w14:paraId="36EDAA00" w14:textId="451742C2" w:rsidR="007F1E9F" w:rsidRPr="00267651" w:rsidRDefault="007F1E9F" w:rsidP="0053344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26" w:history="1">
        <w:r w:rsidRPr="00267651">
          <w:rPr>
            <w:rStyle w:val="Hyperlink"/>
            <w:rFonts w:cs="Readex Pro"/>
            <w:i/>
            <w:iCs/>
            <w:sz w:val="16"/>
            <w:szCs w:val="16"/>
          </w:rPr>
          <w:t>Making Queensland Safer (Adult Crime, Adult Time) Amendment Act 2025</w:t>
        </w:r>
        <w:r w:rsidRPr="00267651">
          <w:rPr>
            <w:rStyle w:val="Hyperlink"/>
            <w:rFonts w:cs="Readex Pro"/>
            <w:sz w:val="16"/>
            <w:szCs w:val="16"/>
          </w:rPr>
          <w:t xml:space="preserve"> (Qld)</w:t>
        </w:r>
      </w:hyperlink>
      <w:r w:rsidRPr="00267651">
        <w:rPr>
          <w:rFonts w:cs="Readex Pro"/>
          <w:sz w:val="16"/>
          <w:szCs w:val="16"/>
        </w:rPr>
        <w:t>;</w:t>
      </w:r>
      <w:r w:rsidR="00632025" w:rsidRPr="00267651">
        <w:rPr>
          <w:rFonts w:cs="Readex Pro"/>
          <w:sz w:val="16"/>
          <w:szCs w:val="16"/>
        </w:rPr>
        <w:t xml:space="preserve"> Minister for Youth Justice and Victim Support and Minister for Corrective Services,</w:t>
      </w:r>
      <w:r w:rsidRPr="00267651">
        <w:rPr>
          <w:rFonts w:cs="Readex Pro"/>
          <w:sz w:val="16"/>
          <w:szCs w:val="16"/>
        </w:rPr>
        <w:t xml:space="preserve"> </w:t>
      </w:r>
      <w:hyperlink r:id="rId27" w:history="1">
        <w:r w:rsidRPr="00267651">
          <w:rPr>
            <w:rStyle w:val="Hyperlink"/>
            <w:rFonts w:cs="Readex Pro"/>
            <w:i/>
            <w:iCs/>
            <w:sz w:val="16"/>
            <w:szCs w:val="16"/>
          </w:rPr>
          <w:t>Making Queensland Safer (Adult Crime, Adult Time) Amendment Bill 2025 – Statement of Compatibility prepared in accordance with Part 3 of the</w:t>
        </w:r>
        <w:r w:rsidRPr="00267651">
          <w:rPr>
            <w:rStyle w:val="Hyperlink"/>
            <w:rFonts w:cs="Readex Pro"/>
            <w:sz w:val="16"/>
            <w:szCs w:val="16"/>
          </w:rPr>
          <w:t xml:space="preserve"> Human Rights Act 2019</w:t>
        </w:r>
      </w:hyperlink>
      <w:r w:rsidRPr="00267651">
        <w:rPr>
          <w:rFonts w:cs="Readex Pro"/>
          <w:sz w:val="16"/>
          <w:szCs w:val="16"/>
        </w:rPr>
        <w:t xml:space="preserve"> </w:t>
      </w:r>
      <w:r w:rsidR="00632025" w:rsidRPr="00267651">
        <w:rPr>
          <w:rFonts w:cs="Readex Pro"/>
          <w:sz w:val="16"/>
          <w:szCs w:val="16"/>
        </w:rPr>
        <w:t xml:space="preserve">(2025), </w:t>
      </w:r>
      <w:r w:rsidRPr="00267651">
        <w:rPr>
          <w:rFonts w:cs="Readex Pro"/>
          <w:sz w:val="16"/>
          <w:szCs w:val="16"/>
        </w:rPr>
        <w:t>pages 1, 3–4</w:t>
      </w:r>
      <w:r w:rsidR="00632025" w:rsidRPr="00267651">
        <w:rPr>
          <w:rFonts w:cs="Readex Pro"/>
          <w:sz w:val="16"/>
          <w:szCs w:val="16"/>
        </w:rPr>
        <w:t>.</w:t>
      </w:r>
    </w:p>
  </w:footnote>
  <w:footnote w:id="23">
    <w:p w14:paraId="569F8330" w14:textId="75B8B02A" w:rsidR="007F1E9F" w:rsidRPr="00267651" w:rsidRDefault="007F1E9F" w:rsidP="0053344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632025" w:rsidRPr="00267651">
        <w:rPr>
          <w:rFonts w:cs="Readex Pro"/>
          <w:sz w:val="16"/>
          <w:szCs w:val="16"/>
        </w:rPr>
        <w:t xml:space="preserve">Minister for Youth Justice and Victim Support and Minister for Corrective Services, above n </w:t>
      </w:r>
      <w:r w:rsidR="00632025" w:rsidRPr="00267651">
        <w:rPr>
          <w:rFonts w:cs="Readex Pro"/>
          <w:sz w:val="16"/>
          <w:szCs w:val="16"/>
        </w:rPr>
        <w:fldChar w:fldCharType="begin"/>
      </w:r>
      <w:r w:rsidR="00632025" w:rsidRPr="00267651">
        <w:rPr>
          <w:rFonts w:cs="Readex Pro"/>
          <w:sz w:val="16"/>
          <w:szCs w:val="16"/>
        </w:rPr>
        <w:instrText xml:space="preserve"> NOTEREF _Ref207039534 \h </w:instrText>
      </w:r>
      <w:r w:rsidR="003A2A00" w:rsidRPr="00267651">
        <w:rPr>
          <w:rFonts w:cs="Readex Pro"/>
          <w:sz w:val="16"/>
          <w:szCs w:val="16"/>
        </w:rPr>
        <w:instrText xml:space="preserve"> \* MERGEFORMAT </w:instrText>
      </w:r>
      <w:r w:rsidR="00632025" w:rsidRPr="00267651">
        <w:rPr>
          <w:rFonts w:cs="Readex Pro"/>
          <w:sz w:val="16"/>
          <w:szCs w:val="16"/>
        </w:rPr>
      </w:r>
      <w:r w:rsidR="00632025" w:rsidRPr="00267651">
        <w:rPr>
          <w:rFonts w:cs="Readex Pro"/>
          <w:sz w:val="16"/>
          <w:szCs w:val="16"/>
        </w:rPr>
        <w:fldChar w:fldCharType="separate"/>
      </w:r>
      <w:r w:rsidR="00B71AA0">
        <w:rPr>
          <w:rFonts w:cs="Readex Pro"/>
          <w:sz w:val="16"/>
          <w:szCs w:val="16"/>
        </w:rPr>
        <w:t>22</w:t>
      </w:r>
      <w:r w:rsidR="00632025" w:rsidRPr="00267651">
        <w:rPr>
          <w:rFonts w:cs="Readex Pro"/>
          <w:sz w:val="16"/>
          <w:szCs w:val="16"/>
        </w:rPr>
        <w:fldChar w:fldCharType="end"/>
      </w:r>
      <w:r w:rsidR="00632025" w:rsidRPr="00267651">
        <w:rPr>
          <w:rFonts w:cs="Readex Pro"/>
          <w:sz w:val="16"/>
          <w:szCs w:val="16"/>
        </w:rPr>
        <w:t xml:space="preserve">, </w:t>
      </w:r>
      <w:r w:rsidRPr="00267651">
        <w:rPr>
          <w:rFonts w:cs="Readex Pro"/>
          <w:sz w:val="16"/>
          <w:szCs w:val="16"/>
        </w:rPr>
        <w:t>pages 2–3.</w:t>
      </w:r>
    </w:p>
  </w:footnote>
  <w:footnote w:id="24">
    <w:p w14:paraId="3F434C9C" w14:textId="3410ECE7" w:rsidR="007F1E9F" w:rsidRPr="00267651" w:rsidRDefault="007F1E9F" w:rsidP="00F80C3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F2998" w:rsidRPr="00267651">
        <w:rPr>
          <w:rFonts w:cs="Readex Pro"/>
          <w:sz w:val="16"/>
          <w:szCs w:val="16"/>
        </w:rPr>
        <w:t xml:space="preserve">AIHW, </w:t>
      </w:r>
      <w:hyperlink r:id="rId28" w:history="1">
        <w:r w:rsidR="00FF2998" w:rsidRPr="00267651">
          <w:rPr>
            <w:rStyle w:val="Hyperlink"/>
            <w:rFonts w:cs="Readex Pro"/>
            <w:sz w:val="16"/>
            <w:szCs w:val="16"/>
          </w:rPr>
          <w:t xml:space="preserve">‘Data dashboard’, </w:t>
        </w:r>
        <w:r w:rsidR="00FF2998" w:rsidRPr="00267651">
          <w:rPr>
            <w:rStyle w:val="Hyperlink"/>
            <w:rFonts w:cs="Readex Pro"/>
            <w:i/>
            <w:iCs/>
            <w:sz w:val="16"/>
            <w:szCs w:val="16"/>
          </w:rPr>
          <w:t>Youth Justice in Australia 2023–24</w:t>
        </w:r>
      </w:hyperlink>
      <w:r w:rsidR="00FF2998" w:rsidRPr="00267651">
        <w:rPr>
          <w:rFonts w:cs="Readex Pro"/>
          <w:sz w:val="16"/>
          <w:szCs w:val="16"/>
        </w:rPr>
        <w:t xml:space="preserve"> (28 March 2025); </w:t>
      </w:r>
      <w:r w:rsidRPr="00267651">
        <w:rPr>
          <w:rFonts w:cs="Readex Pro"/>
          <w:sz w:val="16"/>
          <w:szCs w:val="16"/>
        </w:rPr>
        <w:t xml:space="preserve">Queensland Family &amp; Child Commission, </w:t>
      </w:r>
      <w:hyperlink r:id="rId29" w:history="1">
        <w:r w:rsidRPr="00267651">
          <w:rPr>
            <w:rStyle w:val="Hyperlink"/>
            <w:rFonts w:cs="Readex Pro"/>
            <w:i/>
            <w:iCs/>
            <w:sz w:val="16"/>
            <w:szCs w:val="16"/>
          </w:rPr>
          <w:t>Who’s responsible: understanding why young people are being held longer in Queensland watch houses</w:t>
        </w:r>
      </w:hyperlink>
      <w:r w:rsidRPr="00267651">
        <w:rPr>
          <w:rFonts w:cs="Readex Pro"/>
          <w:sz w:val="16"/>
          <w:szCs w:val="16"/>
        </w:rPr>
        <w:t xml:space="preserve"> (November 2023)</w:t>
      </w:r>
      <w:r w:rsidR="00FF2998" w:rsidRPr="00267651">
        <w:rPr>
          <w:rFonts w:cs="Readex Pro"/>
          <w:sz w:val="16"/>
          <w:szCs w:val="16"/>
        </w:rPr>
        <w:t>.</w:t>
      </w:r>
    </w:p>
  </w:footnote>
  <w:footnote w:id="25">
    <w:p w14:paraId="13DEE221" w14:textId="762DBDF8" w:rsidR="007F1E9F" w:rsidRPr="00267651" w:rsidRDefault="007F1E9F" w:rsidP="00F80C3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747A7" w:rsidRPr="00267651">
        <w:rPr>
          <w:rFonts w:cs="Readex Pro"/>
          <w:sz w:val="16"/>
          <w:szCs w:val="16"/>
        </w:rPr>
        <w:t xml:space="preserve">Queensland Parliament, </w:t>
      </w:r>
      <w:hyperlink r:id="rId30" w:history="1">
        <w:r w:rsidR="009747A7" w:rsidRPr="00267651">
          <w:rPr>
            <w:rStyle w:val="Hyperlink"/>
            <w:rFonts w:cs="Readex Pro"/>
            <w:i/>
            <w:iCs/>
            <w:sz w:val="16"/>
            <w:szCs w:val="16"/>
          </w:rPr>
          <w:t>Transcript of proceedings from Public Hearing: Inquiry into the Making Queensland Safer (Adult Crime, Adult Time) Amendment Bill 2025 – Justice, Integrity and Community Safety Committee</w:t>
        </w:r>
      </w:hyperlink>
      <w:r w:rsidR="009747A7" w:rsidRPr="00267651">
        <w:rPr>
          <w:rFonts w:cs="Readex Pro"/>
          <w:sz w:val="16"/>
          <w:szCs w:val="16"/>
        </w:rPr>
        <w:t xml:space="preserve"> (8 May 2025), pages 9-12</w:t>
      </w:r>
      <w:r w:rsidRPr="00267651">
        <w:rPr>
          <w:rFonts w:cs="Readex Pro"/>
          <w:sz w:val="16"/>
          <w:szCs w:val="16"/>
        </w:rPr>
        <w:t>.</w:t>
      </w:r>
    </w:p>
  </w:footnote>
  <w:footnote w:id="26">
    <w:p w14:paraId="5582F645" w14:textId="5886A160" w:rsidR="007F1E9F" w:rsidRPr="00267651" w:rsidRDefault="007F1E9F" w:rsidP="00D647B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SA </w:t>
      </w:r>
      <w:r w:rsidR="00346892" w:rsidRPr="00267651">
        <w:rPr>
          <w:rFonts w:cs="Readex Pro"/>
          <w:sz w:val="16"/>
          <w:szCs w:val="16"/>
        </w:rPr>
        <w:t>GCYP/</w:t>
      </w:r>
      <w:r w:rsidRPr="00267651">
        <w:rPr>
          <w:rFonts w:cs="Readex Pro"/>
          <w:sz w:val="16"/>
          <w:szCs w:val="16"/>
        </w:rPr>
        <w:t xml:space="preserve">TCV, </w:t>
      </w:r>
      <w:hyperlink r:id="rId31" w:history="1">
        <w:r w:rsidRPr="00267651">
          <w:rPr>
            <w:rStyle w:val="Hyperlink"/>
            <w:rFonts w:cs="Readex Pro"/>
            <w:sz w:val="16"/>
            <w:szCs w:val="16"/>
          </w:rPr>
          <w:t>Annual Report 2022</w:t>
        </w:r>
        <w:r w:rsidR="00346892" w:rsidRPr="00267651">
          <w:rPr>
            <w:rStyle w:val="Hyperlink"/>
            <w:rFonts w:cs="Readex Pro"/>
            <w:sz w:val="16"/>
            <w:szCs w:val="16"/>
          </w:rPr>
          <w:t>–</w:t>
        </w:r>
        <w:r w:rsidRPr="00267651">
          <w:rPr>
            <w:rStyle w:val="Hyperlink"/>
            <w:rFonts w:cs="Readex Pro"/>
            <w:sz w:val="16"/>
            <w:szCs w:val="16"/>
          </w:rPr>
          <w:t>23</w:t>
        </w:r>
      </w:hyperlink>
      <w:r w:rsidR="00346892" w:rsidRPr="00267651">
        <w:rPr>
          <w:rFonts w:cs="Readex Pro"/>
          <w:sz w:val="16"/>
          <w:szCs w:val="16"/>
        </w:rPr>
        <w:t xml:space="preserve"> </w:t>
      </w:r>
      <w:r w:rsidRPr="00267651">
        <w:rPr>
          <w:rFonts w:cs="Readex Pro"/>
          <w:sz w:val="16"/>
          <w:szCs w:val="16"/>
        </w:rPr>
        <w:t>(September 202</w:t>
      </w:r>
      <w:r w:rsidR="00346892" w:rsidRPr="00267651">
        <w:rPr>
          <w:rFonts w:cs="Readex Pro"/>
          <w:sz w:val="16"/>
          <w:szCs w:val="16"/>
        </w:rPr>
        <w:t>3</w:t>
      </w:r>
      <w:r w:rsidRPr="00267651">
        <w:rPr>
          <w:rFonts w:cs="Readex Pro"/>
          <w:sz w:val="16"/>
          <w:szCs w:val="16"/>
        </w:rPr>
        <w:t xml:space="preserve">), page 17; SA </w:t>
      </w:r>
      <w:r w:rsidR="00346892" w:rsidRPr="00267651">
        <w:rPr>
          <w:rFonts w:cs="Readex Pro"/>
          <w:sz w:val="16"/>
          <w:szCs w:val="16"/>
        </w:rPr>
        <w:t>GCYP/TCV</w:t>
      </w:r>
      <w:r w:rsidRPr="00267651">
        <w:rPr>
          <w:rFonts w:cs="Readex Pro"/>
          <w:sz w:val="16"/>
          <w:szCs w:val="16"/>
        </w:rPr>
        <w:t xml:space="preserve">, </w:t>
      </w:r>
      <w:hyperlink r:id="rId32" w:history="1">
        <w:r w:rsidRPr="00267651">
          <w:rPr>
            <w:rStyle w:val="Hyperlink"/>
            <w:rFonts w:cs="Readex Pro"/>
            <w:i/>
            <w:iCs/>
            <w:sz w:val="16"/>
            <w:szCs w:val="16"/>
          </w:rPr>
          <w:t>Annual Report 2023</w:t>
        </w:r>
        <w:r w:rsidR="00346892" w:rsidRPr="00267651">
          <w:rPr>
            <w:rStyle w:val="Hyperlink"/>
            <w:rFonts w:cs="Readex Pro"/>
            <w:i/>
            <w:iCs/>
            <w:sz w:val="16"/>
            <w:szCs w:val="16"/>
          </w:rPr>
          <w:t>–</w:t>
        </w:r>
        <w:r w:rsidRPr="00267651">
          <w:rPr>
            <w:rStyle w:val="Hyperlink"/>
            <w:rFonts w:cs="Readex Pro"/>
            <w:i/>
            <w:iCs/>
            <w:sz w:val="16"/>
            <w:szCs w:val="16"/>
          </w:rPr>
          <w:t>24</w:t>
        </w:r>
      </w:hyperlink>
      <w:r w:rsidRPr="00267651">
        <w:rPr>
          <w:rFonts w:cs="Readex Pro"/>
          <w:sz w:val="16"/>
          <w:szCs w:val="16"/>
        </w:rPr>
        <w:t xml:space="preserve"> (October 2024)</w:t>
      </w:r>
      <w:r w:rsidR="00346892" w:rsidRPr="00267651">
        <w:rPr>
          <w:rFonts w:cs="Readex Pro"/>
          <w:sz w:val="16"/>
          <w:szCs w:val="16"/>
        </w:rPr>
        <w:t xml:space="preserve">, </w:t>
      </w:r>
      <w:r w:rsidRPr="00267651">
        <w:rPr>
          <w:rFonts w:cs="Readex Pro"/>
          <w:sz w:val="16"/>
          <w:szCs w:val="16"/>
        </w:rPr>
        <w:t>pages 36-7.</w:t>
      </w:r>
    </w:p>
  </w:footnote>
  <w:footnote w:id="27">
    <w:p w14:paraId="1C2E90EE" w14:textId="06359FC2" w:rsidR="007F1E9F" w:rsidRPr="00267651" w:rsidRDefault="007F1E9F" w:rsidP="00D647B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233CF" w:rsidRPr="00267651">
        <w:rPr>
          <w:rFonts w:cs="Readex Pro"/>
          <w:sz w:val="16"/>
          <w:szCs w:val="16"/>
        </w:rPr>
        <w:t xml:space="preserve">SA GCYP/TCV, </w:t>
      </w:r>
      <w:hyperlink r:id="rId33" w:history="1">
        <w:r w:rsidR="008233CF" w:rsidRPr="00267651">
          <w:rPr>
            <w:rStyle w:val="Hyperlink"/>
            <w:rFonts w:cs="Readex Pro"/>
            <w:i/>
            <w:iCs/>
            <w:sz w:val="16"/>
            <w:szCs w:val="16"/>
          </w:rPr>
          <w:t>Submission to Senate Legal and Constitutional Affairs References Committee – Inquiry into Australia’s youth justice and incarceration system</w:t>
        </w:r>
      </w:hyperlink>
      <w:r w:rsidR="008233CF" w:rsidRPr="00267651">
        <w:rPr>
          <w:rFonts w:cs="Readex Pro"/>
          <w:sz w:val="16"/>
          <w:szCs w:val="16"/>
        </w:rPr>
        <w:t xml:space="preserve"> (October 2024), pages 19-24.</w:t>
      </w:r>
    </w:p>
  </w:footnote>
  <w:footnote w:id="28">
    <w:p w14:paraId="21D91B25" w14:textId="4360D297" w:rsidR="00147B86" w:rsidRPr="00267651" w:rsidRDefault="00147B86" w:rsidP="00147B8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NPM, </w:t>
      </w:r>
      <w:hyperlink r:id="rId34" w:history="1">
        <w:r w:rsidRPr="00267651">
          <w:rPr>
            <w:rStyle w:val="Hyperlink"/>
            <w:rFonts w:cs="Readex Pro"/>
            <w:i/>
            <w:iCs/>
            <w:sz w:val="16"/>
            <w:szCs w:val="16"/>
          </w:rPr>
          <w:t xml:space="preserve">Post Visit Summary: </w:t>
        </w:r>
        <w:proofErr w:type="spellStart"/>
        <w:r w:rsidRPr="00267651">
          <w:rPr>
            <w:rStyle w:val="Hyperlink"/>
            <w:rFonts w:cs="Readex Pro"/>
            <w:i/>
            <w:iCs/>
            <w:sz w:val="16"/>
            <w:szCs w:val="16"/>
          </w:rPr>
          <w:t>Bimberi</w:t>
        </w:r>
        <w:proofErr w:type="spellEnd"/>
        <w:r w:rsidRPr="00267651">
          <w:rPr>
            <w:rStyle w:val="Hyperlink"/>
            <w:rFonts w:cs="Readex Pro"/>
            <w:i/>
            <w:iCs/>
            <w:sz w:val="16"/>
            <w:szCs w:val="16"/>
          </w:rPr>
          <w:t xml:space="preserve"> Youth Justice Centre</w:t>
        </w:r>
      </w:hyperlink>
      <w:r w:rsidRPr="00267651">
        <w:rPr>
          <w:rFonts w:cs="Readex Pro"/>
          <w:sz w:val="16"/>
          <w:szCs w:val="16"/>
        </w:rPr>
        <w:t xml:space="preserve"> (August 2025), page 16.</w:t>
      </w:r>
    </w:p>
  </w:footnote>
  <w:footnote w:id="29">
    <w:p w14:paraId="4C746169" w14:textId="0EF3EF6D" w:rsidR="00147B86" w:rsidRPr="00267651" w:rsidRDefault="00147B8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30">
    <w:p w14:paraId="19C785A3" w14:textId="5E1B34E2" w:rsidR="007F1E9F" w:rsidRPr="00267651" w:rsidRDefault="007F1E9F" w:rsidP="00BA1A3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233CF" w:rsidRPr="00267651">
        <w:rPr>
          <w:rFonts w:cs="Readex Pro"/>
          <w:sz w:val="16"/>
          <w:szCs w:val="16"/>
        </w:rPr>
        <w:t xml:space="preserve">Royal Commission into Institutional Responses to Child Sexual Abuse, </w:t>
      </w:r>
      <w:hyperlink r:id="rId35" w:history="1">
        <w:r w:rsidR="008233CF" w:rsidRPr="00267651">
          <w:rPr>
            <w:rStyle w:val="Hyperlink"/>
            <w:rFonts w:cs="Readex Pro"/>
            <w:i/>
            <w:iCs/>
            <w:sz w:val="16"/>
            <w:szCs w:val="16"/>
          </w:rPr>
          <w:t>Final Report, Volume 15 – Contemporary detention environments</w:t>
        </w:r>
      </w:hyperlink>
      <w:r w:rsidR="008233CF" w:rsidRPr="00267651">
        <w:rPr>
          <w:rFonts w:cs="Readex Pro"/>
          <w:sz w:val="16"/>
          <w:szCs w:val="16"/>
        </w:rPr>
        <w:t xml:space="preserve"> (2017). Similar comments were also made in the Commission of Inquiry into the Tasmanian Government’s Responses to Child Sexual Abuse in Institutional Settings, </w:t>
      </w:r>
      <w:hyperlink r:id="rId36" w:history="1">
        <w:r w:rsidR="008233CF" w:rsidRPr="00267651">
          <w:rPr>
            <w:rStyle w:val="Hyperlink"/>
            <w:rFonts w:cs="Readex Pro"/>
            <w:i/>
            <w:iCs/>
            <w:sz w:val="16"/>
            <w:szCs w:val="16"/>
          </w:rPr>
          <w:t>Final Report, Volume 5, Chapter 10 – Background and context: Children in youth detention</w:t>
        </w:r>
      </w:hyperlink>
      <w:r w:rsidR="008233CF" w:rsidRPr="00267651">
        <w:rPr>
          <w:rFonts w:cs="Readex Pro"/>
          <w:sz w:val="16"/>
          <w:szCs w:val="16"/>
        </w:rPr>
        <w:t xml:space="preserve"> (September 2023)</w:t>
      </w:r>
      <w:r w:rsidRPr="00267651">
        <w:rPr>
          <w:rFonts w:cs="Readex Pro"/>
          <w:sz w:val="16"/>
          <w:szCs w:val="16"/>
        </w:rPr>
        <w:t>.</w:t>
      </w:r>
    </w:p>
  </w:footnote>
  <w:footnote w:id="31">
    <w:p w14:paraId="310879B6" w14:textId="656BB8AA" w:rsidR="00995478" w:rsidRPr="00267651" w:rsidRDefault="0099547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Commission of Inquiry into the Tasmanian Government’s Responses to Child Sexual Abuse in Institutional Settings</w:t>
      </w:r>
      <w:r w:rsidR="003216D6" w:rsidRPr="00267651">
        <w:rPr>
          <w:rFonts w:cs="Readex Pro"/>
          <w:sz w:val="16"/>
          <w:szCs w:val="16"/>
        </w:rPr>
        <w:t>, above n </w:t>
      </w:r>
      <w:r w:rsidR="003216D6" w:rsidRPr="00267651">
        <w:rPr>
          <w:rFonts w:cs="Readex Pro"/>
          <w:sz w:val="16"/>
          <w:szCs w:val="16"/>
        </w:rPr>
        <w:fldChar w:fldCharType="begin"/>
      </w:r>
      <w:r w:rsidR="003216D6" w:rsidRPr="00267651">
        <w:rPr>
          <w:rFonts w:cs="Readex Pro"/>
          <w:sz w:val="16"/>
          <w:szCs w:val="16"/>
        </w:rPr>
        <w:instrText xml:space="preserve"> NOTEREF _Ref207040685 \h </w:instrText>
      </w:r>
      <w:r w:rsidR="003A2A00" w:rsidRPr="00267651">
        <w:rPr>
          <w:rFonts w:cs="Readex Pro"/>
          <w:sz w:val="16"/>
          <w:szCs w:val="16"/>
        </w:rPr>
        <w:instrText xml:space="preserve"> \* MERGEFORMAT </w:instrText>
      </w:r>
      <w:r w:rsidR="003216D6" w:rsidRPr="00267651">
        <w:rPr>
          <w:rFonts w:cs="Readex Pro"/>
          <w:sz w:val="16"/>
          <w:szCs w:val="16"/>
        </w:rPr>
      </w:r>
      <w:r w:rsidR="003216D6" w:rsidRPr="00267651">
        <w:rPr>
          <w:rFonts w:cs="Readex Pro"/>
          <w:sz w:val="16"/>
          <w:szCs w:val="16"/>
        </w:rPr>
        <w:fldChar w:fldCharType="separate"/>
      </w:r>
      <w:r w:rsidR="00B71AA0">
        <w:rPr>
          <w:rFonts w:cs="Readex Pro"/>
          <w:sz w:val="16"/>
          <w:szCs w:val="16"/>
        </w:rPr>
        <w:t>30</w:t>
      </w:r>
      <w:r w:rsidR="003216D6" w:rsidRPr="00267651">
        <w:rPr>
          <w:rFonts w:cs="Readex Pro"/>
          <w:sz w:val="16"/>
          <w:szCs w:val="16"/>
        </w:rPr>
        <w:fldChar w:fldCharType="end"/>
      </w:r>
      <w:r w:rsidR="003216D6" w:rsidRPr="00267651">
        <w:rPr>
          <w:rFonts w:cs="Readex Pro"/>
          <w:sz w:val="16"/>
          <w:szCs w:val="16"/>
        </w:rPr>
        <w:t>.</w:t>
      </w:r>
    </w:p>
  </w:footnote>
  <w:footnote w:id="32">
    <w:p w14:paraId="7C128BF0" w14:textId="6E80F563" w:rsidR="007F1E9F" w:rsidRPr="00267651" w:rsidRDefault="007F1E9F" w:rsidP="0096253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D48BE" w:rsidRPr="00267651">
        <w:rPr>
          <w:rFonts w:cs="Readex Pro"/>
          <w:sz w:val="16"/>
          <w:szCs w:val="16"/>
        </w:rPr>
        <w:t xml:space="preserve">Northern Territory (NT) Office of the Children’s Commissioner (OCC), </w:t>
      </w:r>
      <w:hyperlink r:id="rId37" w:history="1">
        <w:r w:rsidR="008D48BE" w:rsidRPr="00267651">
          <w:rPr>
            <w:rStyle w:val="Hyperlink"/>
            <w:rFonts w:cs="Readex Pro"/>
            <w:i/>
            <w:iCs/>
            <w:sz w:val="16"/>
            <w:szCs w:val="16"/>
          </w:rPr>
          <w:t>Submission to the Senate Legal and Constitutional Affairs References Committee – Australia’s youth justice and incarceration system</w:t>
        </w:r>
      </w:hyperlink>
      <w:r w:rsidR="008D48BE" w:rsidRPr="00267651">
        <w:rPr>
          <w:rFonts w:cs="Readex Pro"/>
          <w:sz w:val="16"/>
          <w:szCs w:val="16"/>
        </w:rPr>
        <w:t xml:space="preserve"> (October 2024), </w:t>
      </w:r>
      <w:r w:rsidRPr="00267651">
        <w:rPr>
          <w:rFonts w:cs="Readex Pro"/>
          <w:sz w:val="16"/>
          <w:szCs w:val="16"/>
        </w:rPr>
        <w:t>page 3.</w:t>
      </w:r>
    </w:p>
  </w:footnote>
  <w:footnote w:id="33">
    <w:p w14:paraId="0129DE8C" w14:textId="5868E620" w:rsidR="00816F1E" w:rsidRPr="00267651" w:rsidRDefault="00816F1E" w:rsidP="00816F1E">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D48BE" w:rsidRPr="00267651">
        <w:rPr>
          <w:rFonts w:cs="Readex Pro"/>
          <w:sz w:val="16"/>
          <w:szCs w:val="16"/>
        </w:rPr>
        <w:t xml:space="preserve">Ibid, </w:t>
      </w:r>
      <w:r w:rsidRPr="00267651">
        <w:rPr>
          <w:rFonts w:cs="Readex Pro"/>
          <w:sz w:val="16"/>
          <w:szCs w:val="16"/>
        </w:rPr>
        <w:t xml:space="preserve">page 6; </w:t>
      </w:r>
      <w:r w:rsidR="008D48BE" w:rsidRPr="00267651">
        <w:rPr>
          <w:rFonts w:cs="Readex Pro"/>
          <w:sz w:val="16"/>
          <w:szCs w:val="16"/>
        </w:rPr>
        <w:t xml:space="preserve">AIHW, </w:t>
      </w:r>
      <w:hyperlink r:id="rId38" w:history="1">
        <w:r w:rsidR="008D48BE" w:rsidRPr="00267651">
          <w:rPr>
            <w:rStyle w:val="Hyperlink"/>
            <w:rFonts w:cs="Readex Pro"/>
            <w:sz w:val="16"/>
            <w:szCs w:val="16"/>
          </w:rPr>
          <w:t xml:space="preserve">‘Northern Territory’, </w:t>
        </w:r>
        <w:r w:rsidR="008D48BE" w:rsidRPr="00267651">
          <w:rPr>
            <w:rStyle w:val="Hyperlink"/>
            <w:rFonts w:cs="Readex Pro"/>
            <w:i/>
            <w:iCs/>
            <w:sz w:val="16"/>
            <w:szCs w:val="16"/>
          </w:rPr>
          <w:t>Youth justice in Australia 2023–24</w:t>
        </w:r>
      </w:hyperlink>
      <w:r w:rsidR="008D48BE" w:rsidRPr="00267651">
        <w:rPr>
          <w:rFonts w:cs="Readex Pro"/>
          <w:sz w:val="16"/>
          <w:szCs w:val="16"/>
        </w:rPr>
        <w:t xml:space="preserve"> (28 March 2025)</w:t>
      </w:r>
      <w:r w:rsidRPr="00267651">
        <w:rPr>
          <w:rFonts w:cs="Readex Pro"/>
          <w:sz w:val="16"/>
          <w:szCs w:val="16"/>
        </w:rPr>
        <w:t>.</w:t>
      </w:r>
    </w:p>
  </w:footnote>
  <w:footnote w:id="34">
    <w:p w14:paraId="6E8F6395" w14:textId="08B9A52B" w:rsidR="007F1E9F" w:rsidRPr="00267651" w:rsidRDefault="007F1E9F" w:rsidP="0096253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4324C4" w:rsidRPr="00267651">
        <w:rPr>
          <w:rFonts w:cs="Readex Pro"/>
          <w:sz w:val="16"/>
          <w:szCs w:val="16"/>
        </w:rPr>
        <w:t xml:space="preserve">See e.g. NITV Living Black – SBS News, </w:t>
      </w:r>
      <w:hyperlink r:id="rId39" w:history="1">
        <w:r w:rsidR="004324C4" w:rsidRPr="00267651">
          <w:rPr>
            <w:rStyle w:val="Hyperlink"/>
            <w:rFonts w:cs="Readex Pro"/>
            <w:i/>
            <w:iCs/>
            <w:sz w:val="16"/>
            <w:szCs w:val="16"/>
          </w:rPr>
          <w:t>Cyrus was told to drink from his cell toilet. His experiences in the NT youth justice system aren't isolated</w:t>
        </w:r>
      </w:hyperlink>
      <w:r w:rsidR="004324C4" w:rsidRPr="00267651">
        <w:rPr>
          <w:rFonts w:cs="Readex Pro"/>
          <w:sz w:val="16"/>
          <w:szCs w:val="16"/>
        </w:rPr>
        <w:t xml:space="preserve"> (3 June 2025).</w:t>
      </w:r>
    </w:p>
  </w:footnote>
  <w:footnote w:id="35">
    <w:p w14:paraId="56C51E92" w14:textId="4CF3E4CC" w:rsidR="00E3445A" w:rsidRPr="00267651" w:rsidRDefault="00E3445A" w:rsidP="00E3445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065270" w:rsidRPr="00267651">
        <w:rPr>
          <w:rFonts w:cs="Readex Pro"/>
          <w:sz w:val="16"/>
          <w:szCs w:val="16"/>
        </w:rPr>
        <w:t xml:space="preserve">ACT Ombudsman, </w:t>
      </w:r>
      <w:hyperlink r:id="rId40" w:history="1">
        <w:r w:rsidR="00065270" w:rsidRPr="00267651">
          <w:rPr>
            <w:rStyle w:val="Hyperlink"/>
            <w:rFonts w:cs="Readex Pro"/>
            <w:i/>
            <w:iCs/>
            <w:sz w:val="16"/>
            <w:szCs w:val="16"/>
          </w:rPr>
          <w:t>Use of force by ACT Policing: more to do to lessen harm – an investigation into ACT Policing’s use of force 2019–2024</w:t>
        </w:r>
      </w:hyperlink>
      <w:r w:rsidR="00065270" w:rsidRPr="00267651">
        <w:rPr>
          <w:rFonts w:cs="Readex Pro"/>
          <w:sz w:val="16"/>
          <w:szCs w:val="16"/>
        </w:rPr>
        <w:t xml:space="preserve"> (June 2025), pages 52-6</w:t>
      </w:r>
      <w:r w:rsidRPr="00267651">
        <w:rPr>
          <w:rFonts w:cs="Readex Pro"/>
          <w:sz w:val="16"/>
          <w:szCs w:val="16"/>
        </w:rPr>
        <w:t>.</w:t>
      </w:r>
    </w:p>
  </w:footnote>
  <w:footnote w:id="36">
    <w:p w14:paraId="270DE66D" w14:textId="010A51B5" w:rsidR="007F1E9F" w:rsidRPr="00267651" w:rsidRDefault="007F1E9F" w:rsidP="00FC2BF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NT OCC, </w:t>
      </w:r>
      <w:hyperlink r:id="rId41" w:history="1">
        <w:r w:rsidRPr="00267651">
          <w:rPr>
            <w:rStyle w:val="Hyperlink"/>
            <w:rFonts w:cs="Readex Pro"/>
            <w:i/>
            <w:iCs/>
            <w:sz w:val="16"/>
            <w:szCs w:val="16"/>
          </w:rPr>
          <w:t>Explainer – Youth Diversion</w:t>
        </w:r>
      </w:hyperlink>
      <w:r w:rsidRPr="00267651">
        <w:rPr>
          <w:rFonts w:cs="Readex Pro"/>
          <w:sz w:val="16"/>
          <w:szCs w:val="16"/>
        </w:rPr>
        <w:t>, pages 2–3.</w:t>
      </w:r>
    </w:p>
  </w:footnote>
  <w:footnote w:id="37">
    <w:p w14:paraId="5B4DB4BE" w14:textId="1ADDC5B8" w:rsidR="007F1E9F" w:rsidRPr="00267651" w:rsidRDefault="007F1E9F" w:rsidP="00FC2BF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Government Productivity Commission, </w:t>
      </w:r>
      <w:hyperlink r:id="rId42" w:history="1">
        <w:r w:rsidRPr="00267651">
          <w:rPr>
            <w:rStyle w:val="Hyperlink"/>
            <w:rFonts w:cs="Readex Pro"/>
            <w:i/>
            <w:iCs/>
            <w:sz w:val="16"/>
            <w:szCs w:val="16"/>
          </w:rPr>
          <w:t>Report on Government Services data 2023–24</w:t>
        </w:r>
      </w:hyperlink>
      <w:r w:rsidRPr="00267651">
        <w:rPr>
          <w:rFonts w:cs="Readex Pro"/>
          <w:sz w:val="16"/>
          <w:szCs w:val="16"/>
        </w:rPr>
        <w:t>, part C (Justice) section 6 (Police services)</w:t>
      </w:r>
      <w:r w:rsidR="00304DD0" w:rsidRPr="00267651">
        <w:rPr>
          <w:rFonts w:cs="Readex Pro"/>
          <w:sz w:val="16"/>
          <w:szCs w:val="16"/>
        </w:rPr>
        <w:t>,</w:t>
      </w:r>
      <w:r w:rsidRPr="00267651">
        <w:rPr>
          <w:rFonts w:cs="Readex Pro"/>
          <w:sz w:val="16"/>
          <w:szCs w:val="16"/>
        </w:rPr>
        <w:t xml:space="preserve"> table 6A.12. See also Jumbunna Institute for Indigenous Education and Research, </w:t>
      </w:r>
      <w:hyperlink r:id="rId43" w:history="1">
        <w:r w:rsidRPr="00267651">
          <w:rPr>
            <w:rStyle w:val="Hyperlink"/>
            <w:rFonts w:cs="Readex Pro"/>
            <w:i/>
            <w:iCs/>
            <w:sz w:val="16"/>
            <w:szCs w:val="16"/>
          </w:rPr>
          <w:t>Independent Review into the Overrepresentation of First Nations People in the ACT Criminal Justice System – First Report</w:t>
        </w:r>
      </w:hyperlink>
      <w:r w:rsidRPr="00267651">
        <w:rPr>
          <w:rFonts w:cs="Readex Pro"/>
          <w:sz w:val="16"/>
          <w:szCs w:val="16"/>
        </w:rPr>
        <w:t xml:space="preserve"> (14 August 2024), page 24.</w:t>
      </w:r>
    </w:p>
  </w:footnote>
  <w:footnote w:id="38">
    <w:p w14:paraId="4F1BD25C" w14:textId="17EE02A8" w:rsidR="007F1E9F" w:rsidRPr="00267651" w:rsidRDefault="007F1E9F" w:rsidP="00FC2BF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w:t>
      </w:r>
      <w:r w:rsidR="00304DD0" w:rsidRPr="00267651">
        <w:rPr>
          <w:rFonts w:cs="Readex Pro"/>
          <w:sz w:val="16"/>
          <w:szCs w:val="16"/>
        </w:rPr>
        <w:t>SNAICC – National Voice for our Children</w:t>
      </w:r>
      <w:r w:rsidRPr="00267651">
        <w:rPr>
          <w:rFonts w:cs="Readex Pro"/>
          <w:sz w:val="16"/>
          <w:szCs w:val="16"/>
        </w:rPr>
        <w:t xml:space="preserve">, </w:t>
      </w:r>
      <w:hyperlink r:id="rId44" w:history="1">
        <w:r w:rsidRPr="00267651">
          <w:rPr>
            <w:rStyle w:val="Hyperlink"/>
            <w:rFonts w:cs="Readex Pro"/>
            <w:i/>
            <w:iCs/>
            <w:sz w:val="16"/>
            <w:szCs w:val="16"/>
          </w:rPr>
          <w:t>Submission to the Senate Legal and Constitutional Affairs References Committee – Australia’s youth justice and incarceration system</w:t>
        </w:r>
      </w:hyperlink>
      <w:r w:rsidRPr="00267651">
        <w:rPr>
          <w:rFonts w:cs="Readex Pro"/>
          <w:sz w:val="16"/>
          <w:szCs w:val="16"/>
        </w:rPr>
        <w:t xml:space="preserve"> (October 2024), pages 14–19. See also Senate Legal and Constitutional Affairs References Committee, </w:t>
      </w:r>
      <w:hyperlink r:id="rId45" w:history="1">
        <w:r w:rsidRPr="00267651">
          <w:rPr>
            <w:rStyle w:val="Hyperlink"/>
            <w:rFonts w:cs="Readex Pro"/>
            <w:i/>
            <w:iCs/>
            <w:sz w:val="16"/>
            <w:szCs w:val="16"/>
          </w:rPr>
          <w:t>Australia’s youth justice and incarceration system – interim report</w:t>
        </w:r>
      </w:hyperlink>
      <w:r w:rsidRPr="00267651">
        <w:rPr>
          <w:rFonts w:cs="Readex Pro"/>
          <w:sz w:val="16"/>
          <w:szCs w:val="16"/>
        </w:rPr>
        <w:t xml:space="preserve"> (February 2025).</w:t>
      </w:r>
    </w:p>
  </w:footnote>
  <w:footnote w:id="39">
    <w:p w14:paraId="6D9E548F" w14:textId="6790BCBE"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Spit hoods are known as ‘anti-spit guards’ in the legislation. The legislative changes </w:t>
      </w:r>
      <w:r w:rsidR="00250359" w:rsidRPr="00267651">
        <w:rPr>
          <w:rFonts w:cs="Readex Pro"/>
          <w:sz w:val="16"/>
          <w:szCs w:val="16"/>
        </w:rPr>
        <w:t>commenced on 4 September 2025.</w:t>
      </w:r>
      <w:r w:rsidRPr="00267651">
        <w:rPr>
          <w:rFonts w:cs="Readex Pro"/>
          <w:sz w:val="16"/>
          <w:szCs w:val="16"/>
        </w:rPr>
        <w:t xml:space="preserve"> See </w:t>
      </w:r>
      <w:hyperlink r:id="rId46" w:history="1">
        <w:r w:rsidRPr="00267651">
          <w:rPr>
            <w:rStyle w:val="Hyperlink"/>
            <w:rFonts w:cs="Readex Pro"/>
            <w:i/>
            <w:iCs/>
            <w:sz w:val="16"/>
            <w:szCs w:val="16"/>
          </w:rPr>
          <w:t>Youth Justice Act 2005</w:t>
        </w:r>
        <w:r w:rsidRPr="00267651">
          <w:rPr>
            <w:rStyle w:val="Hyperlink"/>
            <w:rFonts w:cs="Readex Pro"/>
            <w:sz w:val="16"/>
            <w:szCs w:val="16"/>
          </w:rPr>
          <w:t xml:space="preserve"> (NT)</w:t>
        </w:r>
      </w:hyperlink>
      <w:r w:rsidRPr="00267651">
        <w:rPr>
          <w:rFonts w:cs="Readex Pro"/>
          <w:sz w:val="16"/>
          <w:szCs w:val="16"/>
        </w:rPr>
        <w:t xml:space="preserve">, section 151AB, as repealed by </w:t>
      </w:r>
      <w:hyperlink r:id="rId47" w:history="1">
        <w:r w:rsidRPr="00267651">
          <w:rPr>
            <w:rStyle w:val="Hyperlink"/>
            <w:rFonts w:cs="Readex Pro"/>
            <w:i/>
            <w:iCs/>
            <w:sz w:val="16"/>
            <w:szCs w:val="16"/>
          </w:rPr>
          <w:t>Youth Justice Legislation Amendment Act 2025</w:t>
        </w:r>
        <w:r w:rsidRPr="00267651">
          <w:rPr>
            <w:rStyle w:val="Hyperlink"/>
            <w:rFonts w:cs="Readex Pro"/>
            <w:sz w:val="16"/>
            <w:szCs w:val="16"/>
          </w:rPr>
          <w:t xml:space="preserve"> (NT)</w:t>
        </w:r>
      </w:hyperlink>
      <w:r w:rsidRPr="00267651">
        <w:rPr>
          <w:rFonts w:cs="Readex Pro"/>
          <w:sz w:val="16"/>
          <w:szCs w:val="16"/>
        </w:rPr>
        <w:t xml:space="preserve">, section 15; </w:t>
      </w:r>
      <w:hyperlink r:id="rId48" w:history="1">
        <w:r w:rsidRPr="00267651">
          <w:rPr>
            <w:rStyle w:val="Hyperlink"/>
            <w:rFonts w:cs="Readex Pro"/>
            <w:i/>
            <w:iCs/>
            <w:sz w:val="16"/>
            <w:szCs w:val="16"/>
          </w:rPr>
          <w:t>Youth Justice Legislation Amendment Act 2025</w:t>
        </w:r>
        <w:r w:rsidRPr="00267651">
          <w:rPr>
            <w:rStyle w:val="Hyperlink"/>
            <w:rFonts w:cs="Readex Pro"/>
            <w:sz w:val="16"/>
            <w:szCs w:val="16"/>
          </w:rPr>
          <w:t xml:space="preserve"> (NT)</w:t>
        </w:r>
      </w:hyperlink>
      <w:r w:rsidRPr="00267651">
        <w:rPr>
          <w:rFonts w:cs="Readex Pro"/>
          <w:sz w:val="16"/>
          <w:szCs w:val="16"/>
        </w:rPr>
        <w:t>, section</w:t>
      </w:r>
      <w:r w:rsidR="009A69A6" w:rsidRPr="00267651">
        <w:rPr>
          <w:rFonts w:cs="Readex Pro"/>
          <w:sz w:val="16"/>
          <w:szCs w:val="16"/>
        </w:rPr>
        <w:t> </w:t>
      </w:r>
      <w:r w:rsidRPr="00267651">
        <w:rPr>
          <w:rFonts w:cs="Readex Pro"/>
          <w:sz w:val="16"/>
          <w:szCs w:val="16"/>
        </w:rPr>
        <w:t xml:space="preserve">18; </w:t>
      </w:r>
      <w:hyperlink r:id="rId49" w:history="1">
        <w:r w:rsidRPr="00267651">
          <w:rPr>
            <w:rStyle w:val="Hyperlink"/>
            <w:rFonts w:cs="Readex Pro"/>
            <w:i/>
            <w:iCs/>
            <w:sz w:val="16"/>
            <w:szCs w:val="16"/>
          </w:rPr>
          <w:t>Youth Justice Regulations 2006</w:t>
        </w:r>
        <w:r w:rsidRPr="00267651">
          <w:rPr>
            <w:rStyle w:val="Hyperlink"/>
            <w:rFonts w:cs="Readex Pro"/>
            <w:sz w:val="16"/>
            <w:szCs w:val="16"/>
          </w:rPr>
          <w:t xml:space="preserve"> (NT)</w:t>
        </w:r>
      </w:hyperlink>
      <w:r w:rsidRPr="00267651">
        <w:rPr>
          <w:rFonts w:cs="Readex Pro"/>
          <w:sz w:val="16"/>
          <w:szCs w:val="16"/>
        </w:rPr>
        <w:t xml:space="preserve">, regulation 70(1), as inserted by </w:t>
      </w:r>
      <w:hyperlink r:id="rId50" w:history="1">
        <w:r w:rsidRPr="00267651">
          <w:rPr>
            <w:rStyle w:val="Hyperlink"/>
            <w:rFonts w:cs="Readex Pro"/>
            <w:i/>
            <w:iCs/>
            <w:sz w:val="16"/>
            <w:szCs w:val="16"/>
          </w:rPr>
          <w:t>Youth Justice Legislation Amendment Act 2025</w:t>
        </w:r>
        <w:r w:rsidRPr="00267651">
          <w:rPr>
            <w:rStyle w:val="Hyperlink"/>
            <w:rFonts w:cs="Readex Pro"/>
            <w:sz w:val="16"/>
            <w:szCs w:val="16"/>
          </w:rPr>
          <w:t xml:space="preserve"> (NT)</w:t>
        </w:r>
      </w:hyperlink>
      <w:r w:rsidRPr="00267651">
        <w:rPr>
          <w:rFonts w:cs="Readex Pro"/>
          <w:sz w:val="16"/>
          <w:szCs w:val="16"/>
        </w:rPr>
        <w:t>, section 34.</w:t>
      </w:r>
    </w:p>
  </w:footnote>
  <w:footnote w:id="40">
    <w:p w14:paraId="5914AFE3" w14:textId="5EA5013C" w:rsidR="007F1E9F" w:rsidRPr="00267651" w:rsidRDefault="007F1E9F" w:rsidP="00F3138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Guardian Australia, </w:t>
      </w:r>
      <w:hyperlink r:id="rId51" w:history="1">
        <w:r w:rsidRPr="00267651">
          <w:rPr>
            <w:rStyle w:val="Hyperlink"/>
            <w:rFonts w:cs="Readex Pro"/>
            <w:i/>
            <w:iCs/>
            <w:sz w:val="16"/>
            <w:szCs w:val="16"/>
          </w:rPr>
          <w:t>Spit hoods to be used on Northern Territory children again as ban ends, police chief confirms</w:t>
        </w:r>
      </w:hyperlink>
      <w:r w:rsidRPr="00267651">
        <w:rPr>
          <w:rFonts w:cs="Readex Pro"/>
          <w:sz w:val="16"/>
          <w:szCs w:val="16"/>
        </w:rPr>
        <w:t xml:space="preserve"> (14</w:t>
      </w:r>
      <w:r w:rsidR="00E43489" w:rsidRPr="00267651">
        <w:rPr>
          <w:rFonts w:cs="Readex Pro"/>
          <w:sz w:val="16"/>
          <w:szCs w:val="16"/>
        </w:rPr>
        <w:t> </w:t>
      </w:r>
      <w:r w:rsidRPr="00267651">
        <w:rPr>
          <w:rFonts w:cs="Readex Pro"/>
          <w:sz w:val="16"/>
          <w:szCs w:val="16"/>
        </w:rPr>
        <w:t xml:space="preserve">October 2024); Australian NPM, </w:t>
      </w:r>
      <w:hyperlink r:id="rId52" w:history="1">
        <w:r w:rsidRPr="00267651">
          <w:rPr>
            <w:rStyle w:val="Hyperlink"/>
            <w:rFonts w:cs="Readex Pro"/>
            <w:i/>
            <w:iCs/>
            <w:sz w:val="16"/>
            <w:szCs w:val="16"/>
          </w:rPr>
          <w:t xml:space="preserve">Joint Statement </w:t>
        </w:r>
        <w:r w:rsidR="00E43489" w:rsidRPr="00267651">
          <w:rPr>
            <w:rStyle w:val="Hyperlink"/>
            <w:rFonts w:cs="Readex Pro"/>
            <w:i/>
            <w:iCs/>
            <w:sz w:val="16"/>
            <w:szCs w:val="16"/>
          </w:rPr>
          <w:t>–</w:t>
        </w:r>
        <w:r w:rsidRPr="00267651">
          <w:rPr>
            <w:rStyle w:val="Hyperlink"/>
            <w:rFonts w:cs="Readex Pro"/>
            <w:i/>
            <w:iCs/>
            <w:sz w:val="16"/>
            <w:szCs w:val="16"/>
          </w:rPr>
          <w:t xml:space="preserve"> Reintroduction of spit hoods for children in the NT is not the answer</w:t>
        </w:r>
      </w:hyperlink>
      <w:r w:rsidRPr="00267651">
        <w:rPr>
          <w:rFonts w:cs="Readex Pro"/>
          <w:sz w:val="16"/>
          <w:szCs w:val="16"/>
        </w:rPr>
        <w:t xml:space="preserve"> (18</w:t>
      </w:r>
      <w:r w:rsidR="00E43489" w:rsidRPr="00267651">
        <w:rPr>
          <w:rFonts w:cs="Readex Pro"/>
          <w:sz w:val="16"/>
          <w:szCs w:val="16"/>
        </w:rPr>
        <w:t> </w:t>
      </w:r>
      <w:r w:rsidRPr="00267651">
        <w:rPr>
          <w:rFonts w:cs="Readex Pro"/>
          <w:sz w:val="16"/>
          <w:szCs w:val="16"/>
        </w:rPr>
        <w:t>October 2024).</w:t>
      </w:r>
    </w:p>
  </w:footnote>
  <w:footnote w:id="41">
    <w:p w14:paraId="1568CAC6" w14:textId="112F188B"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NT OCC, </w:t>
      </w:r>
      <w:hyperlink r:id="rId53" w:history="1">
        <w:r w:rsidRPr="00267651">
          <w:rPr>
            <w:rStyle w:val="Hyperlink"/>
            <w:rFonts w:cs="Readex Pro"/>
            <w:i/>
            <w:iCs/>
            <w:sz w:val="16"/>
            <w:szCs w:val="16"/>
          </w:rPr>
          <w:t>Media release: Communities deserve to be safe – let’s work together to get there</w:t>
        </w:r>
      </w:hyperlink>
      <w:r w:rsidRPr="00267651">
        <w:rPr>
          <w:rFonts w:cs="Readex Pro"/>
          <w:sz w:val="16"/>
          <w:szCs w:val="16"/>
        </w:rPr>
        <w:t xml:space="preserve"> (28 July 2025).</w:t>
      </w:r>
    </w:p>
  </w:footnote>
  <w:footnote w:id="42">
    <w:p w14:paraId="2F8F8C51" w14:textId="40FFCEDB" w:rsidR="00AB255B" w:rsidRPr="00267651" w:rsidRDefault="00AB255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43">
    <w:p w14:paraId="06AE5D69" w14:textId="1D666AC0" w:rsidR="007F1E9F" w:rsidRPr="00267651" w:rsidRDefault="007F1E9F" w:rsidP="002F46D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NPM, </w:t>
      </w:r>
      <w:hyperlink r:id="rId54" w:history="1">
        <w:r w:rsidRPr="00267651">
          <w:rPr>
            <w:rStyle w:val="Hyperlink"/>
            <w:rFonts w:cs="Readex Pro"/>
            <w:i/>
            <w:iCs/>
            <w:sz w:val="16"/>
            <w:szCs w:val="16"/>
          </w:rPr>
          <w:t>Joint Statement – Rushed youth justice reforms won’t make NT safer</w:t>
        </w:r>
      </w:hyperlink>
      <w:r w:rsidRPr="00267651">
        <w:rPr>
          <w:rFonts w:cs="Readex Pro"/>
          <w:sz w:val="16"/>
          <w:szCs w:val="16"/>
        </w:rPr>
        <w:t xml:space="preserve"> (1 August 2025).</w:t>
      </w:r>
    </w:p>
  </w:footnote>
  <w:footnote w:id="44">
    <w:p w14:paraId="23F9EB27" w14:textId="5A165B70"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244D0" w:rsidRPr="00267651">
        <w:rPr>
          <w:rFonts w:cs="Readex Pro"/>
          <w:sz w:val="16"/>
          <w:szCs w:val="16"/>
        </w:rPr>
        <w:t xml:space="preserve">Australian NPM, </w:t>
      </w:r>
      <w:hyperlink r:id="rId55" w:history="1">
        <w:r w:rsidR="005244D0" w:rsidRPr="00267651">
          <w:rPr>
            <w:rStyle w:val="Hyperlink"/>
            <w:rFonts w:cs="Readex Pro"/>
            <w:i/>
            <w:iCs/>
            <w:sz w:val="16"/>
            <w:szCs w:val="16"/>
          </w:rPr>
          <w:t>Annual Report 2022–23</w:t>
        </w:r>
      </w:hyperlink>
      <w:r w:rsidR="005244D0" w:rsidRPr="00267651">
        <w:rPr>
          <w:rFonts w:cs="Readex Pro"/>
          <w:sz w:val="16"/>
          <w:szCs w:val="16"/>
        </w:rPr>
        <w:t xml:space="preserve">, pages 17–20; Australian NPM, </w:t>
      </w:r>
      <w:hyperlink r:id="rId56" w:history="1">
        <w:r w:rsidR="005244D0" w:rsidRPr="00267651">
          <w:rPr>
            <w:rStyle w:val="Hyperlink"/>
            <w:rFonts w:cs="Readex Pro"/>
            <w:i/>
            <w:iCs/>
            <w:sz w:val="16"/>
            <w:szCs w:val="16"/>
          </w:rPr>
          <w:t>Annual Report 2023–24</w:t>
        </w:r>
      </w:hyperlink>
      <w:r w:rsidR="005244D0" w:rsidRPr="00267651">
        <w:rPr>
          <w:rFonts w:cs="Readex Pro"/>
          <w:sz w:val="16"/>
          <w:szCs w:val="16"/>
        </w:rPr>
        <w:t>, pages 20–3</w:t>
      </w:r>
      <w:r w:rsidRPr="00267651">
        <w:rPr>
          <w:rFonts w:cs="Readex Pro"/>
          <w:sz w:val="16"/>
          <w:szCs w:val="16"/>
        </w:rPr>
        <w:t>.</w:t>
      </w:r>
    </w:p>
  </w:footnote>
  <w:footnote w:id="45">
    <w:p w14:paraId="45BF07DE" w14:textId="1CC4109B"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244D0" w:rsidRPr="00267651">
        <w:rPr>
          <w:rFonts w:cs="Readex Pro"/>
          <w:sz w:val="16"/>
          <w:szCs w:val="16"/>
        </w:rPr>
        <w:t xml:space="preserve">SA GCYP/TCV, Annual Report 2022–23, above n </w:t>
      </w:r>
      <w:r w:rsidR="005244D0" w:rsidRPr="00267651">
        <w:rPr>
          <w:rFonts w:cs="Readex Pro"/>
          <w:sz w:val="16"/>
          <w:szCs w:val="16"/>
        </w:rPr>
        <w:fldChar w:fldCharType="begin"/>
      </w:r>
      <w:r w:rsidR="005244D0" w:rsidRPr="00267651">
        <w:rPr>
          <w:rFonts w:cs="Readex Pro"/>
          <w:sz w:val="16"/>
          <w:szCs w:val="16"/>
        </w:rPr>
        <w:instrText xml:space="preserve"> NOTEREF _Ref207043439 \h </w:instrText>
      </w:r>
      <w:r w:rsidR="003A2A00" w:rsidRPr="00267651">
        <w:rPr>
          <w:rFonts w:cs="Readex Pro"/>
          <w:sz w:val="16"/>
          <w:szCs w:val="16"/>
        </w:rPr>
        <w:instrText xml:space="preserve"> \* MERGEFORMAT </w:instrText>
      </w:r>
      <w:r w:rsidR="005244D0" w:rsidRPr="00267651">
        <w:rPr>
          <w:rFonts w:cs="Readex Pro"/>
          <w:sz w:val="16"/>
          <w:szCs w:val="16"/>
        </w:rPr>
      </w:r>
      <w:r w:rsidR="005244D0" w:rsidRPr="00267651">
        <w:rPr>
          <w:rFonts w:cs="Readex Pro"/>
          <w:sz w:val="16"/>
          <w:szCs w:val="16"/>
        </w:rPr>
        <w:fldChar w:fldCharType="separate"/>
      </w:r>
      <w:r w:rsidR="00B71AA0">
        <w:rPr>
          <w:rFonts w:cs="Readex Pro"/>
          <w:sz w:val="16"/>
          <w:szCs w:val="16"/>
        </w:rPr>
        <w:t>26</w:t>
      </w:r>
      <w:r w:rsidR="005244D0" w:rsidRPr="00267651">
        <w:rPr>
          <w:rFonts w:cs="Readex Pro"/>
          <w:sz w:val="16"/>
          <w:szCs w:val="16"/>
        </w:rPr>
        <w:fldChar w:fldCharType="end"/>
      </w:r>
      <w:r w:rsidRPr="00267651">
        <w:rPr>
          <w:rFonts w:cs="Readex Pro"/>
          <w:sz w:val="16"/>
          <w:szCs w:val="16"/>
        </w:rPr>
        <w:t>, page 61.</w:t>
      </w:r>
    </w:p>
  </w:footnote>
  <w:footnote w:id="46">
    <w:p w14:paraId="4C9D9B2D" w14:textId="2CEC5A51"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0F6E71" w:rsidRPr="00267651">
        <w:rPr>
          <w:rFonts w:cs="Readex Pro"/>
          <w:sz w:val="16"/>
          <w:szCs w:val="16"/>
        </w:rPr>
        <w:t xml:space="preserve">See ACT Office of the Inspector of Custodial Services (OICS), </w:t>
      </w:r>
      <w:hyperlink r:id="rId57" w:history="1">
        <w:r w:rsidR="000F6E71" w:rsidRPr="00267651">
          <w:rPr>
            <w:rStyle w:val="Hyperlink"/>
            <w:rFonts w:cs="Readex Pro"/>
            <w:i/>
            <w:iCs/>
            <w:sz w:val="16"/>
            <w:szCs w:val="16"/>
          </w:rPr>
          <w:t xml:space="preserve">Thematic Review of a Correctional Service: Isolation of children and young people at </w:t>
        </w:r>
        <w:proofErr w:type="spellStart"/>
        <w:r w:rsidR="000F6E71" w:rsidRPr="00267651">
          <w:rPr>
            <w:rStyle w:val="Hyperlink"/>
            <w:rFonts w:cs="Readex Pro"/>
            <w:i/>
            <w:iCs/>
            <w:sz w:val="16"/>
            <w:szCs w:val="16"/>
          </w:rPr>
          <w:t>Bimberi</w:t>
        </w:r>
        <w:proofErr w:type="spellEnd"/>
        <w:r w:rsidR="000F6E71" w:rsidRPr="00267651">
          <w:rPr>
            <w:rStyle w:val="Hyperlink"/>
            <w:rFonts w:cs="Readex Pro"/>
            <w:i/>
            <w:iCs/>
            <w:sz w:val="16"/>
            <w:szCs w:val="16"/>
          </w:rPr>
          <w:t xml:space="preserve"> Youth Justice Centre</w:t>
        </w:r>
      </w:hyperlink>
      <w:r w:rsidR="000F6E71" w:rsidRPr="00267651">
        <w:rPr>
          <w:rFonts w:cs="Readex Pro"/>
          <w:sz w:val="16"/>
          <w:szCs w:val="16"/>
        </w:rPr>
        <w:t xml:space="preserve"> (November 2023), pages 36–8</w:t>
      </w:r>
      <w:r w:rsidRPr="00267651">
        <w:rPr>
          <w:rFonts w:cs="Readex Pro"/>
          <w:sz w:val="16"/>
          <w:szCs w:val="16"/>
        </w:rPr>
        <w:t>.</w:t>
      </w:r>
    </w:p>
  </w:footnote>
  <w:footnote w:id="47">
    <w:p w14:paraId="5556EAC8" w14:textId="12DD4AF5"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EB2F61" w:rsidRPr="00267651">
        <w:rPr>
          <w:rFonts w:cs="Readex Pro"/>
          <w:sz w:val="16"/>
          <w:szCs w:val="16"/>
        </w:rPr>
        <w:t xml:space="preserve">See e.g. Western Australian (WA) OICS, </w:t>
      </w:r>
      <w:hyperlink r:id="rId58" w:history="1">
        <w:r w:rsidR="00EB2F61" w:rsidRPr="00267651">
          <w:rPr>
            <w:rStyle w:val="Hyperlink"/>
            <w:rFonts w:cs="Readex Pro"/>
            <w:i/>
            <w:iCs/>
            <w:sz w:val="16"/>
            <w:szCs w:val="16"/>
          </w:rPr>
          <w:t>Review of youth custody: Follow-up to 2023 Inspection (Part Two)</w:t>
        </w:r>
      </w:hyperlink>
      <w:r w:rsidR="00EB2F61" w:rsidRPr="00267651">
        <w:rPr>
          <w:rFonts w:cs="Readex Pro"/>
          <w:sz w:val="16"/>
          <w:szCs w:val="16"/>
        </w:rPr>
        <w:t xml:space="preserve"> (November</w:t>
      </w:r>
      <w:r w:rsidR="00BD1952" w:rsidRPr="00267651">
        <w:rPr>
          <w:rFonts w:cs="Readex Pro"/>
          <w:sz w:val="16"/>
          <w:szCs w:val="16"/>
        </w:rPr>
        <w:t> </w:t>
      </w:r>
      <w:r w:rsidR="00EB2F61" w:rsidRPr="00267651">
        <w:rPr>
          <w:rFonts w:cs="Readex Pro"/>
          <w:sz w:val="16"/>
          <w:szCs w:val="16"/>
        </w:rPr>
        <w:t>2024), pages 11–12</w:t>
      </w:r>
      <w:r w:rsidRPr="00267651">
        <w:rPr>
          <w:rFonts w:cs="Readex Pro"/>
          <w:sz w:val="16"/>
          <w:szCs w:val="16"/>
        </w:rPr>
        <w:t>.</w:t>
      </w:r>
    </w:p>
  </w:footnote>
  <w:footnote w:id="48">
    <w:p w14:paraId="0279E7E8" w14:textId="128E150A"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w:t>
      </w:r>
      <w:r w:rsidR="00EE1A3C" w:rsidRPr="00267651">
        <w:rPr>
          <w:rFonts w:cs="Readex Pro"/>
          <w:sz w:val="16"/>
          <w:szCs w:val="16"/>
        </w:rPr>
        <w:t xml:space="preserve">SA GCYP/TCV, Annual Report 2022–23, above n </w:t>
      </w:r>
      <w:r w:rsidR="00EE1A3C" w:rsidRPr="00267651">
        <w:rPr>
          <w:rFonts w:cs="Readex Pro"/>
          <w:sz w:val="16"/>
          <w:szCs w:val="16"/>
        </w:rPr>
        <w:fldChar w:fldCharType="begin"/>
      </w:r>
      <w:r w:rsidR="00EE1A3C" w:rsidRPr="00267651">
        <w:rPr>
          <w:rFonts w:cs="Readex Pro"/>
          <w:sz w:val="16"/>
          <w:szCs w:val="16"/>
        </w:rPr>
        <w:instrText xml:space="preserve"> NOTEREF _Ref207043439 \h </w:instrText>
      </w:r>
      <w:r w:rsidR="003A2A00" w:rsidRPr="00267651">
        <w:rPr>
          <w:rFonts w:cs="Readex Pro"/>
          <w:sz w:val="16"/>
          <w:szCs w:val="16"/>
        </w:rPr>
        <w:instrText xml:space="preserve"> \* MERGEFORMAT </w:instrText>
      </w:r>
      <w:r w:rsidR="00EE1A3C" w:rsidRPr="00267651">
        <w:rPr>
          <w:rFonts w:cs="Readex Pro"/>
          <w:sz w:val="16"/>
          <w:szCs w:val="16"/>
        </w:rPr>
      </w:r>
      <w:r w:rsidR="00EE1A3C" w:rsidRPr="00267651">
        <w:rPr>
          <w:rFonts w:cs="Readex Pro"/>
          <w:sz w:val="16"/>
          <w:szCs w:val="16"/>
        </w:rPr>
        <w:fldChar w:fldCharType="separate"/>
      </w:r>
      <w:r w:rsidR="00B71AA0">
        <w:rPr>
          <w:rFonts w:cs="Readex Pro"/>
          <w:sz w:val="16"/>
          <w:szCs w:val="16"/>
        </w:rPr>
        <w:t>26</w:t>
      </w:r>
      <w:r w:rsidR="00EE1A3C" w:rsidRPr="00267651">
        <w:rPr>
          <w:rFonts w:cs="Readex Pro"/>
          <w:sz w:val="16"/>
          <w:szCs w:val="16"/>
        </w:rPr>
        <w:fldChar w:fldCharType="end"/>
      </w:r>
      <w:r w:rsidRPr="00267651">
        <w:rPr>
          <w:rFonts w:cs="Readex Pro"/>
          <w:sz w:val="16"/>
          <w:szCs w:val="16"/>
        </w:rPr>
        <w:t>, pages 57–9; Tasmanian C</w:t>
      </w:r>
      <w:r w:rsidR="00486C98" w:rsidRPr="00267651">
        <w:rPr>
          <w:rFonts w:cs="Readex Pro"/>
          <w:sz w:val="16"/>
          <w:szCs w:val="16"/>
        </w:rPr>
        <w:t>ustodial Inspector</w:t>
      </w:r>
      <w:r w:rsidR="005B307C" w:rsidRPr="00267651">
        <w:rPr>
          <w:rFonts w:cs="Readex Pro"/>
          <w:sz w:val="16"/>
          <w:szCs w:val="16"/>
        </w:rPr>
        <w:t xml:space="preserve"> (CI)</w:t>
      </w:r>
      <w:r w:rsidRPr="00267651">
        <w:rPr>
          <w:rFonts w:cs="Readex Pro"/>
          <w:sz w:val="16"/>
          <w:szCs w:val="16"/>
        </w:rPr>
        <w:t xml:space="preserve">, </w:t>
      </w:r>
      <w:hyperlink r:id="rId59" w:history="1">
        <w:r w:rsidRPr="00267651">
          <w:rPr>
            <w:rStyle w:val="Hyperlink"/>
            <w:rFonts w:cs="Readex Pro"/>
            <w:i/>
            <w:iCs/>
            <w:sz w:val="16"/>
            <w:szCs w:val="16"/>
          </w:rPr>
          <w:t>Annual Report 2023–24</w:t>
        </w:r>
      </w:hyperlink>
      <w:r w:rsidRPr="00267651">
        <w:rPr>
          <w:rFonts w:cs="Readex Pro"/>
          <w:sz w:val="16"/>
          <w:szCs w:val="16"/>
        </w:rPr>
        <w:t xml:space="preserve">, pages 12–13. In Victoria there was a 503% increase in the number of episodes of ‘behavioural’ isolation in youth detention in 2023–24, despite a small drop in the average number of people in youth detention in Victoria over that time: Commission for Children and Young People (Victoria), </w:t>
      </w:r>
      <w:hyperlink r:id="rId60" w:history="1">
        <w:r w:rsidRPr="00267651">
          <w:rPr>
            <w:rStyle w:val="Hyperlink"/>
            <w:rFonts w:cs="Readex Pro"/>
            <w:i/>
            <w:iCs/>
            <w:sz w:val="16"/>
            <w:szCs w:val="16"/>
          </w:rPr>
          <w:t>Annual Report 2023–24</w:t>
        </w:r>
      </w:hyperlink>
      <w:r w:rsidRPr="00267651">
        <w:rPr>
          <w:rFonts w:cs="Readex Pro"/>
          <w:sz w:val="16"/>
          <w:szCs w:val="16"/>
        </w:rPr>
        <w:t xml:space="preserve">, page 70. Here, isolation is defined as </w:t>
      </w:r>
      <w:r w:rsidR="00486C98" w:rsidRPr="00267651">
        <w:rPr>
          <w:rFonts w:cs="Readex Pro"/>
          <w:sz w:val="16"/>
          <w:szCs w:val="16"/>
        </w:rPr>
        <w:t>‘</w:t>
      </w:r>
      <w:r w:rsidRPr="00267651">
        <w:rPr>
          <w:rFonts w:cs="Readex Pro"/>
          <w:sz w:val="16"/>
          <w:szCs w:val="16"/>
        </w:rPr>
        <w:t>the placing of the person in a locked room separate from others and from the normal routine of the centre</w:t>
      </w:r>
      <w:r w:rsidR="00486C98" w:rsidRPr="00267651">
        <w:rPr>
          <w:rFonts w:cs="Readex Pro"/>
          <w:sz w:val="16"/>
          <w:szCs w:val="16"/>
        </w:rPr>
        <w:t>’</w:t>
      </w:r>
      <w:r w:rsidRPr="00267651">
        <w:rPr>
          <w:rFonts w:cs="Readex Pro"/>
          <w:sz w:val="16"/>
          <w:szCs w:val="16"/>
        </w:rPr>
        <w:t xml:space="preserve">: see </w:t>
      </w:r>
      <w:hyperlink r:id="rId61" w:history="1">
        <w:r w:rsidRPr="00267651">
          <w:rPr>
            <w:rStyle w:val="Hyperlink"/>
            <w:rFonts w:cs="Readex Pro"/>
            <w:i/>
            <w:iCs/>
            <w:sz w:val="16"/>
            <w:szCs w:val="16"/>
          </w:rPr>
          <w:t>Children, Youth and Families Act 2005</w:t>
        </w:r>
        <w:r w:rsidRPr="00267651">
          <w:rPr>
            <w:rStyle w:val="Hyperlink"/>
            <w:rFonts w:cs="Readex Pro"/>
            <w:sz w:val="16"/>
            <w:szCs w:val="16"/>
          </w:rPr>
          <w:t xml:space="preserve"> (Vic)</w:t>
        </w:r>
      </w:hyperlink>
      <w:r w:rsidRPr="00267651">
        <w:rPr>
          <w:rFonts w:cs="Readex Pro"/>
          <w:sz w:val="16"/>
          <w:szCs w:val="16"/>
        </w:rPr>
        <w:t>, section 488(1).</w:t>
      </w:r>
    </w:p>
  </w:footnote>
  <w:footnote w:id="49">
    <w:p w14:paraId="19C25C51" w14:textId="2263ACB8"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0C15B3" w:rsidRPr="00267651">
        <w:rPr>
          <w:rFonts w:cs="Readex Pro"/>
          <w:sz w:val="16"/>
          <w:szCs w:val="16"/>
        </w:rPr>
        <w:t xml:space="preserve">See generally Queensland Inspector of Detention Services (IDS), </w:t>
      </w:r>
      <w:hyperlink r:id="rId62" w:history="1">
        <w:r w:rsidR="000C15B3" w:rsidRPr="00267651">
          <w:rPr>
            <w:rStyle w:val="Hyperlink"/>
            <w:rFonts w:cs="Readex Pro"/>
            <w:i/>
            <w:iCs/>
            <w:sz w:val="16"/>
            <w:szCs w:val="16"/>
          </w:rPr>
          <w:t>Cleveland Youth Detention Centre inspection report: Focus on separation due to staff shortages</w:t>
        </w:r>
      </w:hyperlink>
      <w:r w:rsidR="000C15B3" w:rsidRPr="00267651">
        <w:rPr>
          <w:rFonts w:cs="Readex Pro"/>
          <w:sz w:val="16"/>
          <w:szCs w:val="16"/>
        </w:rPr>
        <w:t xml:space="preserve"> (August 2024)</w:t>
      </w:r>
      <w:r w:rsidRPr="00267651">
        <w:rPr>
          <w:rFonts w:cs="Readex Pro"/>
          <w:sz w:val="16"/>
          <w:szCs w:val="16"/>
        </w:rPr>
        <w:t xml:space="preserve">; </w:t>
      </w:r>
      <w:r w:rsidR="006F61A2" w:rsidRPr="00267651">
        <w:rPr>
          <w:rFonts w:cs="Readex Pro"/>
          <w:sz w:val="16"/>
          <w:szCs w:val="16"/>
        </w:rPr>
        <w:t xml:space="preserve">see e.g. ACT NPM, above n </w:t>
      </w:r>
      <w:r w:rsidR="006F61A2" w:rsidRPr="00267651">
        <w:rPr>
          <w:rFonts w:cs="Readex Pro"/>
          <w:sz w:val="16"/>
          <w:szCs w:val="16"/>
        </w:rPr>
        <w:fldChar w:fldCharType="begin"/>
      </w:r>
      <w:r w:rsidR="006F61A2" w:rsidRPr="00267651">
        <w:rPr>
          <w:rFonts w:cs="Readex Pro"/>
          <w:sz w:val="16"/>
          <w:szCs w:val="16"/>
        </w:rPr>
        <w:instrText xml:space="preserve"> NOTEREF _Ref207641655 \h  \* MERGEFORMAT </w:instrText>
      </w:r>
      <w:r w:rsidR="006F61A2" w:rsidRPr="00267651">
        <w:rPr>
          <w:rFonts w:cs="Readex Pro"/>
          <w:sz w:val="16"/>
          <w:szCs w:val="16"/>
        </w:rPr>
      </w:r>
      <w:r w:rsidR="006F61A2" w:rsidRPr="00267651">
        <w:rPr>
          <w:rFonts w:cs="Readex Pro"/>
          <w:sz w:val="16"/>
          <w:szCs w:val="16"/>
        </w:rPr>
        <w:fldChar w:fldCharType="separate"/>
      </w:r>
      <w:r w:rsidR="00B71AA0">
        <w:rPr>
          <w:rFonts w:cs="Readex Pro"/>
          <w:sz w:val="16"/>
          <w:szCs w:val="16"/>
        </w:rPr>
        <w:t>28</w:t>
      </w:r>
      <w:r w:rsidR="006F61A2" w:rsidRPr="00267651">
        <w:rPr>
          <w:rFonts w:cs="Readex Pro"/>
          <w:sz w:val="16"/>
          <w:szCs w:val="16"/>
        </w:rPr>
        <w:fldChar w:fldCharType="end"/>
      </w:r>
      <w:r w:rsidR="006F61A2" w:rsidRPr="00267651">
        <w:rPr>
          <w:rFonts w:cs="Readex Pro"/>
          <w:sz w:val="16"/>
          <w:szCs w:val="16"/>
        </w:rPr>
        <w:t xml:space="preserve">, pages 13, 16; </w:t>
      </w:r>
      <w:r w:rsidRPr="00267651">
        <w:rPr>
          <w:rFonts w:cs="Readex Pro"/>
          <w:sz w:val="16"/>
          <w:szCs w:val="16"/>
        </w:rPr>
        <w:t>conversely, in other cases examples suggest that as more custodial officers are present on shift, the higher the average time spent out of cells/rooms: see e.g. WA OICS,</w:t>
      </w:r>
      <w:r w:rsidR="000C15B3" w:rsidRPr="00267651">
        <w:rPr>
          <w:rFonts w:cs="Readex Pro"/>
          <w:sz w:val="16"/>
          <w:szCs w:val="16"/>
        </w:rPr>
        <w:t xml:space="preserve"> above n </w:t>
      </w:r>
      <w:r w:rsidR="000C15B3" w:rsidRPr="00267651">
        <w:rPr>
          <w:rFonts w:cs="Readex Pro"/>
          <w:sz w:val="16"/>
          <w:szCs w:val="16"/>
        </w:rPr>
        <w:fldChar w:fldCharType="begin"/>
      </w:r>
      <w:r w:rsidR="000C15B3" w:rsidRPr="00267651">
        <w:rPr>
          <w:rFonts w:cs="Readex Pro"/>
          <w:sz w:val="16"/>
          <w:szCs w:val="16"/>
        </w:rPr>
        <w:instrText xml:space="preserve"> NOTEREF _Ref207043666 \h </w:instrText>
      </w:r>
      <w:r w:rsidR="003A2A00" w:rsidRPr="00267651">
        <w:rPr>
          <w:rFonts w:cs="Readex Pro"/>
          <w:sz w:val="16"/>
          <w:szCs w:val="16"/>
        </w:rPr>
        <w:instrText xml:space="preserve"> \* MERGEFORMAT </w:instrText>
      </w:r>
      <w:r w:rsidR="000C15B3" w:rsidRPr="00267651">
        <w:rPr>
          <w:rFonts w:cs="Readex Pro"/>
          <w:sz w:val="16"/>
          <w:szCs w:val="16"/>
        </w:rPr>
      </w:r>
      <w:r w:rsidR="000C15B3" w:rsidRPr="00267651">
        <w:rPr>
          <w:rFonts w:cs="Readex Pro"/>
          <w:sz w:val="16"/>
          <w:szCs w:val="16"/>
        </w:rPr>
        <w:fldChar w:fldCharType="separate"/>
      </w:r>
      <w:r w:rsidR="00B71AA0">
        <w:rPr>
          <w:rFonts w:cs="Readex Pro"/>
          <w:sz w:val="16"/>
          <w:szCs w:val="16"/>
        </w:rPr>
        <w:t>47</w:t>
      </w:r>
      <w:r w:rsidR="000C15B3" w:rsidRPr="00267651">
        <w:rPr>
          <w:rFonts w:cs="Readex Pro"/>
          <w:sz w:val="16"/>
          <w:szCs w:val="16"/>
        </w:rPr>
        <w:fldChar w:fldCharType="end"/>
      </w:r>
      <w:r w:rsidRPr="00267651">
        <w:rPr>
          <w:rFonts w:cs="Readex Pro"/>
          <w:sz w:val="16"/>
          <w:szCs w:val="16"/>
        </w:rPr>
        <w:t>, pages 12–13.</w:t>
      </w:r>
    </w:p>
  </w:footnote>
  <w:footnote w:id="50">
    <w:p w14:paraId="26A4CF7D" w14:textId="2F103B05" w:rsidR="00BC5CBE" w:rsidRPr="00267651" w:rsidRDefault="00BC5CBE" w:rsidP="00BC5CBE">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SA GCYP/TCV, </w:t>
      </w:r>
      <w:hyperlink r:id="rId63" w:history="1">
        <w:r w:rsidRPr="00267651">
          <w:rPr>
            <w:rStyle w:val="Hyperlink"/>
            <w:rFonts w:cs="Readex Pro"/>
            <w:i/>
            <w:iCs/>
            <w:sz w:val="16"/>
            <w:szCs w:val="16"/>
          </w:rPr>
          <w:t>Special Report into the use of Isolation at the Adelaide Youth Training Centre</w:t>
        </w:r>
      </w:hyperlink>
      <w:r w:rsidRPr="00267651">
        <w:rPr>
          <w:rFonts w:cs="Readex Pro"/>
          <w:sz w:val="16"/>
          <w:szCs w:val="16"/>
        </w:rPr>
        <w:t xml:space="preserve"> (July 2025)</w:t>
      </w:r>
      <w:r w:rsidR="002709D5" w:rsidRPr="00267651">
        <w:rPr>
          <w:rFonts w:cs="Readex Pro"/>
          <w:sz w:val="16"/>
          <w:szCs w:val="16"/>
        </w:rPr>
        <w:t>, page 5</w:t>
      </w:r>
      <w:r w:rsidRPr="00267651">
        <w:rPr>
          <w:rFonts w:cs="Readex Pro"/>
          <w:sz w:val="16"/>
          <w:szCs w:val="16"/>
        </w:rPr>
        <w:t>.</w:t>
      </w:r>
    </w:p>
  </w:footnote>
  <w:footnote w:id="51">
    <w:p w14:paraId="0FF934EA" w14:textId="33EAA478" w:rsidR="00A50B92" w:rsidRPr="00267651" w:rsidRDefault="00A50B92">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NT OCC, </w:t>
      </w:r>
      <w:hyperlink r:id="rId64" w:history="1">
        <w:r w:rsidRPr="00267651">
          <w:rPr>
            <w:rStyle w:val="Hyperlink"/>
            <w:rFonts w:cs="Readex Pro"/>
            <w:i/>
            <w:iCs/>
            <w:sz w:val="16"/>
            <w:szCs w:val="16"/>
          </w:rPr>
          <w:t>Investigation into the treatment of a child in youth detention – Final Report</w:t>
        </w:r>
      </w:hyperlink>
      <w:r w:rsidRPr="00267651">
        <w:rPr>
          <w:rFonts w:cs="Readex Pro"/>
          <w:sz w:val="16"/>
          <w:szCs w:val="16"/>
        </w:rPr>
        <w:t xml:space="preserve"> (9 May 2025); NT OCC, </w:t>
      </w:r>
      <w:hyperlink r:id="rId65" w:history="1">
        <w:r w:rsidRPr="00267651">
          <w:rPr>
            <w:rStyle w:val="Hyperlink"/>
            <w:rFonts w:cs="Readex Pro"/>
            <w:i/>
            <w:iCs/>
            <w:sz w:val="16"/>
            <w:szCs w:val="16"/>
          </w:rPr>
          <w:t>Statement: Investigation into the treatment of a child in youth detention</w:t>
        </w:r>
      </w:hyperlink>
      <w:r w:rsidRPr="00267651">
        <w:rPr>
          <w:rFonts w:cs="Readex Pro"/>
          <w:sz w:val="16"/>
          <w:szCs w:val="16"/>
        </w:rPr>
        <w:t xml:space="preserve"> (4 September 2025).</w:t>
      </w:r>
    </w:p>
  </w:footnote>
  <w:footnote w:id="52">
    <w:p w14:paraId="0CC82D8D" w14:textId="7C122C9B" w:rsidR="00A50B92" w:rsidRPr="00267651" w:rsidRDefault="00A50B92">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53">
    <w:p w14:paraId="19D64040" w14:textId="62C61720"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OICS,</w:t>
      </w:r>
      <w:r w:rsidR="00BD1952" w:rsidRPr="00267651">
        <w:rPr>
          <w:rFonts w:cs="Readex Pro"/>
          <w:sz w:val="16"/>
          <w:szCs w:val="16"/>
        </w:rPr>
        <w:t xml:space="preserve"> above n </w:t>
      </w:r>
      <w:r w:rsidR="00BD1952" w:rsidRPr="00267651">
        <w:rPr>
          <w:rFonts w:cs="Readex Pro"/>
          <w:sz w:val="16"/>
          <w:szCs w:val="16"/>
        </w:rPr>
        <w:fldChar w:fldCharType="begin"/>
      </w:r>
      <w:r w:rsidR="00BD1952" w:rsidRPr="00267651">
        <w:rPr>
          <w:rFonts w:cs="Readex Pro"/>
          <w:sz w:val="16"/>
          <w:szCs w:val="16"/>
        </w:rPr>
        <w:instrText xml:space="preserve"> NOTEREF _Ref207043713 \h </w:instrText>
      </w:r>
      <w:r w:rsidR="003A2A00" w:rsidRPr="00267651">
        <w:rPr>
          <w:rFonts w:cs="Readex Pro"/>
          <w:sz w:val="16"/>
          <w:szCs w:val="16"/>
        </w:rPr>
        <w:instrText xml:space="preserve"> \* MERGEFORMAT </w:instrText>
      </w:r>
      <w:r w:rsidR="00BD1952" w:rsidRPr="00267651">
        <w:rPr>
          <w:rFonts w:cs="Readex Pro"/>
          <w:sz w:val="16"/>
          <w:szCs w:val="16"/>
        </w:rPr>
      </w:r>
      <w:r w:rsidR="00BD1952" w:rsidRPr="00267651">
        <w:rPr>
          <w:rFonts w:cs="Readex Pro"/>
          <w:sz w:val="16"/>
          <w:szCs w:val="16"/>
        </w:rPr>
        <w:fldChar w:fldCharType="separate"/>
      </w:r>
      <w:r w:rsidR="00B71AA0">
        <w:rPr>
          <w:rFonts w:cs="Readex Pro"/>
          <w:sz w:val="16"/>
          <w:szCs w:val="16"/>
        </w:rPr>
        <w:t>46</w:t>
      </w:r>
      <w:r w:rsidR="00BD1952" w:rsidRPr="00267651">
        <w:rPr>
          <w:rFonts w:cs="Readex Pro"/>
          <w:sz w:val="16"/>
          <w:szCs w:val="16"/>
        </w:rPr>
        <w:fldChar w:fldCharType="end"/>
      </w:r>
      <w:r w:rsidRPr="00267651">
        <w:rPr>
          <w:rFonts w:cs="Readex Pro"/>
          <w:sz w:val="16"/>
          <w:szCs w:val="16"/>
        </w:rPr>
        <w:t>, page 43.</w:t>
      </w:r>
    </w:p>
  </w:footnote>
  <w:footnote w:id="54">
    <w:p w14:paraId="4B6B9FDB" w14:textId="05BF18F0"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SA </w:t>
      </w:r>
      <w:r w:rsidR="003E3F9C" w:rsidRPr="00267651">
        <w:rPr>
          <w:rFonts w:cs="Readex Pro"/>
          <w:sz w:val="16"/>
          <w:szCs w:val="16"/>
        </w:rPr>
        <w:t>GCYP/</w:t>
      </w:r>
      <w:r w:rsidRPr="00267651">
        <w:rPr>
          <w:rFonts w:cs="Readex Pro"/>
          <w:sz w:val="16"/>
          <w:szCs w:val="16"/>
        </w:rPr>
        <w:t>TCV,</w:t>
      </w:r>
      <w:r w:rsidR="003E3F9C" w:rsidRPr="00267651">
        <w:rPr>
          <w:rFonts w:cs="Readex Pro"/>
          <w:sz w:val="16"/>
          <w:szCs w:val="16"/>
        </w:rPr>
        <w:t xml:space="preserve"> above n </w:t>
      </w:r>
      <w:r w:rsidR="003E3F9C" w:rsidRPr="00267651">
        <w:rPr>
          <w:rFonts w:cs="Readex Pro"/>
          <w:sz w:val="16"/>
          <w:szCs w:val="16"/>
        </w:rPr>
        <w:fldChar w:fldCharType="begin"/>
      </w:r>
      <w:r w:rsidR="003E3F9C" w:rsidRPr="00267651">
        <w:rPr>
          <w:rFonts w:cs="Readex Pro"/>
          <w:sz w:val="16"/>
          <w:szCs w:val="16"/>
        </w:rPr>
        <w:instrText xml:space="preserve"> NOTEREF _Ref207043931 \h </w:instrText>
      </w:r>
      <w:r w:rsidR="003A2A00" w:rsidRPr="00267651">
        <w:rPr>
          <w:rFonts w:cs="Readex Pro"/>
          <w:sz w:val="16"/>
          <w:szCs w:val="16"/>
        </w:rPr>
        <w:instrText xml:space="preserve"> \* MERGEFORMAT </w:instrText>
      </w:r>
      <w:r w:rsidR="003E3F9C" w:rsidRPr="00267651">
        <w:rPr>
          <w:rFonts w:cs="Readex Pro"/>
          <w:sz w:val="16"/>
          <w:szCs w:val="16"/>
        </w:rPr>
      </w:r>
      <w:r w:rsidR="003E3F9C" w:rsidRPr="00267651">
        <w:rPr>
          <w:rFonts w:cs="Readex Pro"/>
          <w:sz w:val="16"/>
          <w:szCs w:val="16"/>
        </w:rPr>
        <w:fldChar w:fldCharType="separate"/>
      </w:r>
      <w:r w:rsidR="00B71AA0">
        <w:rPr>
          <w:rFonts w:cs="Readex Pro"/>
          <w:sz w:val="16"/>
          <w:szCs w:val="16"/>
        </w:rPr>
        <w:t>27</w:t>
      </w:r>
      <w:r w:rsidR="003E3F9C" w:rsidRPr="00267651">
        <w:rPr>
          <w:rFonts w:cs="Readex Pro"/>
          <w:sz w:val="16"/>
          <w:szCs w:val="16"/>
        </w:rPr>
        <w:fldChar w:fldCharType="end"/>
      </w:r>
      <w:r w:rsidRPr="00267651">
        <w:rPr>
          <w:rFonts w:cs="Readex Pro"/>
          <w:sz w:val="16"/>
          <w:szCs w:val="16"/>
        </w:rPr>
        <w:t xml:space="preserve">, pages 19–20; WA OICS, </w:t>
      </w:r>
      <w:hyperlink r:id="rId66" w:history="1">
        <w:r w:rsidRPr="00267651">
          <w:rPr>
            <w:rStyle w:val="Hyperlink"/>
            <w:rFonts w:cs="Readex Pro"/>
            <w:i/>
            <w:iCs/>
            <w:sz w:val="16"/>
            <w:szCs w:val="16"/>
          </w:rPr>
          <w:t>Report 148 – 2023 Inspection of Banksia Hill Detention Centre and Unit 18 at Casuarina Prison (Part One)</w:t>
        </w:r>
      </w:hyperlink>
      <w:r w:rsidRPr="00267651">
        <w:rPr>
          <w:rFonts w:cs="Readex Pro"/>
          <w:sz w:val="16"/>
          <w:szCs w:val="16"/>
        </w:rPr>
        <w:t xml:space="preserve"> (May 2023), pages 14–15.</w:t>
      </w:r>
    </w:p>
  </w:footnote>
  <w:footnote w:id="55">
    <w:p w14:paraId="7AE06EC5" w14:textId="641BC78A" w:rsidR="007F1E9F" w:rsidRPr="00267651" w:rsidRDefault="007F1E9F" w:rsidP="0057186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and New Zealand Children’s Commissioners, Guardians and Advocates, </w:t>
      </w:r>
      <w:hyperlink r:id="rId67" w:history="1">
        <w:r w:rsidRPr="00267651">
          <w:rPr>
            <w:rStyle w:val="Hyperlink"/>
            <w:rFonts w:cs="Readex Pro"/>
            <w:i/>
            <w:iCs/>
            <w:sz w:val="16"/>
            <w:szCs w:val="16"/>
          </w:rPr>
          <w:t>Joint Statement on Isolation in Youth Detention</w:t>
        </w:r>
      </w:hyperlink>
      <w:r w:rsidRPr="00267651">
        <w:rPr>
          <w:rFonts w:cs="Readex Pro"/>
          <w:sz w:val="16"/>
          <w:szCs w:val="16"/>
        </w:rPr>
        <w:t xml:space="preserve"> (21 February 2024).</w:t>
      </w:r>
    </w:p>
  </w:footnote>
  <w:footnote w:id="56">
    <w:p w14:paraId="17174C29" w14:textId="7C5DE6B1" w:rsidR="007F1E9F" w:rsidRPr="00267651" w:rsidRDefault="007F1E9F" w:rsidP="0036396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NT: Australian Broadcasting Corporation (ABC) News, </w:t>
      </w:r>
      <w:hyperlink r:id="rId68" w:history="1">
        <w:r w:rsidRPr="00267651">
          <w:rPr>
            <w:rStyle w:val="Hyperlink"/>
            <w:rFonts w:cs="Readex Pro"/>
            <w:i/>
            <w:iCs/>
            <w:sz w:val="16"/>
            <w:szCs w:val="16"/>
          </w:rPr>
          <w:t>Detainment of 15-year-old girl in NT police watch house reignites human rights concerns</w:t>
        </w:r>
      </w:hyperlink>
      <w:r w:rsidRPr="00267651">
        <w:rPr>
          <w:rFonts w:cs="Readex Pro"/>
          <w:sz w:val="16"/>
          <w:szCs w:val="16"/>
        </w:rPr>
        <w:t xml:space="preserve"> (25 March 2025); </w:t>
      </w:r>
      <w:r w:rsidR="00BB0A1D" w:rsidRPr="00267651">
        <w:rPr>
          <w:rFonts w:cs="Readex Pro"/>
          <w:sz w:val="16"/>
          <w:szCs w:val="16"/>
        </w:rPr>
        <w:t xml:space="preserve">Queensland: Queensland IDS, </w:t>
      </w:r>
      <w:hyperlink r:id="rId69" w:history="1">
        <w:r w:rsidR="00BB0A1D" w:rsidRPr="00267651">
          <w:rPr>
            <w:rStyle w:val="Hyperlink"/>
            <w:rFonts w:cs="Readex Pro"/>
            <w:i/>
            <w:iCs/>
            <w:sz w:val="16"/>
            <w:szCs w:val="16"/>
          </w:rPr>
          <w:t>Cairns and Murgon watch-houses inspection report: Focus on detention of children</w:t>
        </w:r>
      </w:hyperlink>
      <w:r w:rsidR="00BB0A1D" w:rsidRPr="00267651">
        <w:rPr>
          <w:rFonts w:cs="Readex Pro"/>
          <w:sz w:val="16"/>
          <w:szCs w:val="16"/>
        </w:rPr>
        <w:t xml:space="preserve"> (September 2024); Queensland: Queensland Human Rights Commission, </w:t>
      </w:r>
      <w:hyperlink r:id="rId70" w:history="1">
        <w:r w:rsidR="00BB0A1D" w:rsidRPr="00267651">
          <w:rPr>
            <w:rStyle w:val="Hyperlink"/>
            <w:rFonts w:cs="Readex Pro"/>
            <w:i/>
            <w:iCs/>
            <w:sz w:val="16"/>
            <w:szCs w:val="16"/>
          </w:rPr>
          <w:t xml:space="preserve">Detention of a child in a watch house – Unresolved complaint report under s 88 </w:t>
        </w:r>
        <w:r w:rsidR="00BB0A1D" w:rsidRPr="00267651">
          <w:rPr>
            <w:rStyle w:val="Hyperlink"/>
            <w:rFonts w:cs="Readex Pro"/>
            <w:sz w:val="16"/>
            <w:szCs w:val="16"/>
          </w:rPr>
          <w:t>Human Rights Act 2019</w:t>
        </w:r>
      </w:hyperlink>
      <w:r w:rsidR="00BB0A1D" w:rsidRPr="00267651">
        <w:rPr>
          <w:rFonts w:cs="Readex Pro"/>
          <w:sz w:val="16"/>
          <w:szCs w:val="16"/>
        </w:rPr>
        <w:t xml:space="preserve"> (11 April 2025)</w:t>
      </w:r>
      <w:r w:rsidRPr="00267651">
        <w:rPr>
          <w:rFonts w:cs="Readex Pro"/>
          <w:sz w:val="16"/>
          <w:szCs w:val="16"/>
        </w:rPr>
        <w:t>.</w:t>
      </w:r>
    </w:p>
  </w:footnote>
  <w:footnote w:id="57">
    <w:p w14:paraId="2BA2D079" w14:textId="370B0BD3"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Australian NPM,</w:t>
      </w:r>
      <w:r w:rsidR="00BB0A1D" w:rsidRPr="00267651">
        <w:rPr>
          <w:rFonts w:cs="Readex Pro"/>
          <w:sz w:val="16"/>
          <w:szCs w:val="16"/>
        </w:rPr>
        <w:t xml:space="preserve"> Joint Statement, above n </w:t>
      </w:r>
      <w:r w:rsidR="00BB0A1D" w:rsidRPr="00267651">
        <w:rPr>
          <w:rFonts w:cs="Readex Pro"/>
          <w:sz w:val="16"/>
          <w:szCs w:val="16"/>
        </w:rPr>
        <w:fldChar w:fldCharType="begin"/>
      </w:r>
      <w:r w:rsidR="00BB0A1D" w:rsidRPr="00267651">
        <w:rPr>
          <w:rFonts w:cs="Readex Pro"/>
          <w:sz w:val="16"/>
          <w:szCs w:val="16"/>
        </w:rPr>
        <w:instrText xml:space="preserve"> NOTEREF _Ref207044134 \h </w:instrText>
      </w:r>
      <w:r w:rsidR="003A2A00" w:rsidRPr="00267651">
        <w:rPr>
          <w:rFonts w:cs="Readex Pro"/>
          <w:sz w:val="16"/>
          <w:szCs w:val="16"/>
        </w:rPr>
        <w:instrText xml:space="preserve"> \* MERGEFORMAT </w:instrText>
      </w:r>
      <w:r w:rsidR="00BB0A1D" w:rsidRPr="00267651">
        <w:rPr>
          <w:rFonts w:cs="Readex Pro"/>
          <w:sz w:val="16"/>
          <w:szCs w:val="16"/>
        </w:rPr>
      </w:r>
      <w:r w:rsidR="00BB0A1D" w:rsidRPr="00267651">
        <w:rPr>
          <w:rFonts w:cs="Readex Pro"/>
          <w:sz w:val="16"/>
          <w:szCs w:val="16"/>
        </w:rPr>
        <w:fldChar w:fldCharType="separate"/>
      </w:r>
      <w:r w:rsidR="00B71AA0">
        <w:rPr>
          <w:rFonts w:cs="Readex Pro"/>
          <w:sz w:val="16"/>
          <w:szCs w:val="16"/>
        </w:rPr>
        <w:t>4</w:t>
      </w:r>
      <w:r w:rsidR="00BB0A1D" w:rsidRPr="00267651">
        <w:rPr>
          <w:rFonts w:cs="Readex Pro"/>
          <w:sz w:val="16"/>
          <w:szCs w:val="16"/>
        </w:rPr>
        <w:fldChar w:fldCharType="end"/>
      </w:r>
      <w:r w:rsidRPr="00267651">
        <w:rPr>
          <w:rFonts w:cs="Readex Pro"/>
          <w:sz w:val="16"/>
          <w:szCs w:val="16"/>
        </w:rPr>
        <w:t>.</w:t>
      </w:r>
    </w:p>
  </w:footnote>
  <w:footnote w:id="58">
    <w:p w14:paraId="68BD6D14" w14:textId="26440112" w:rsidR="007F1E9F" w:rsidRPr="00267651" w:rsidRDefault="007F1E9F" w:rsidP="00DF0A2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Queensland IDS,</w:t>
      </w:r>
      <w:r w:rsidR="00C95E8D" w:rsidRPr="00267651">
        <w:rPr>
          <w:rFonts w:cs="Readex Pro"/>
          <w:sz w:val="16"/>
          <w:szCs w:val="16"/>
        </w:rPr>
        <w:t xml:space="preserve"> above n </w:t>
      </w:r>
      <w:r w:rsidR="00C95E8D" w:rsidRPr="00267651">
        <w:rPr>
          <w:rFonts w:cs="Readex Pro"/>
          <w:sz w:val="16"/>
          <w:szCs w:val="16"/>
        </w:rPr>
        <w:fldChar w:fldCharType="begin"/>
      </w:r>
      <w:r w:rsidR="00C95E8D" w:rsidRPr="00267651">
        <w:rPr>
          <w:rFonts w:cs="Readex Pro"/>
          <w:sz w:val="16"/>
          <w:szCs w:val="16"/>
        </w:rPr>
        <w:instrText xml:space="preserve"> NOTEREF _Ref207044346 \h </w:instrText>
      </w:r>
      <w:r w:rsidR="003A2A00" w:rsidRPr="00267651">
        <w:rPr>
          <w:rFonts w:cs="Readex Pro"/>
          <w:sz w:val="16"/>
          <w:szCs w:val="16"/>
        </w:rPr>
        <w:instrText xml:space="preserve"> \* MERGEFORMAT </w:instrText>
      </w:r>
      <w:r w:rsidR="00C95E8D" w:rsidRPr="00267651">
        <w:rPr>
          <w:rFonts w:cs="Readex Pro"/>
          <w:sz w:val="16"/>
          <w:szCs w:val="16"/>
        </w:rPr>
      </w:r>
      <w:r w:rsidR="00C95E8D" w:rsidRPr="00267651">
        <w:rPr>
          <w:rFonts w:cs="Readex Pro"/>
          <w:sz w:val="16"/>
          <w:szCs w:val="16"/>
        </w:rPr>
        <w:fldChar w:fldCharType="separate"/>
      </w:r>
      <w:r w:rsidR="00B71AA0">
        <w:rPr>
          <w:rFonts w:cs="Readex Pro"/>
          <w:sz w:val="16"/>
          <w:szCs w:val="16"/>
        </w:rPr>
        <w:t>56</w:t>
      </w:r>
      <w:r w:rsidR="00C95E8D" w:rsidRPr="00267651">
        <w:rPr>
          <w:rFonts w:cs="Readex Pro"/>
          <w:sz w:val="16"/>
          <w:szCs w:val="16"/>
        </w:rPr>
        <w:fldChar w:fldCharType="end"/>
      </w:r>
      <w:r w:rsidRPr="00267651">
        <w:rPr>
          <w:rFonts w:cs="Readex Pro"/>
          <w:sz w:val="16"/>
          <w:szCs w:val="16"/>
        </w:rPr>
        <w:t>, page 23.</w:t>
      </w:r>
    </w:p>
  </w:footnote>
  <w:footnote w:id="59">
    <w:p w14:paraId="7F15B0C7" w14:textId="68267A20" w:rsidR="007F1E9F" w:rsidRPr="00267651" w:rsidRDefault="007F1E9F" w:rsidP="008965F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Queensland IDS</w:t>
      </w:r>
      <w:r w:rsidR="001B73B7" w:rsidRPr="00267651">
        <w:rPr>
          <w:rFonts w:cs="Readex Pro"/>
          <w:sz w:val="16"/>
          <w:szCs w:val="16"/>
        </w:rPr>
        <w:t xml:space="preserve">, above n </w:t>
      </w:r>
      <w:r w:rsidR="001B73B7" w:rsidRPr="00267651">
        <w:rPr>
          <w:rFonts w:cs="Readex Pro"/>
          <w:sz w:val="16"/>
          <w:szCs w:val="16"/>
        </w:rPr>
        <w:fldChar w:fldCharType="begin"/>
      </w:r>
      <w:r w:rsidR="001B73B7" w:rsidRPr="00267651">
        <w:rPr>
          <w:rFonts w:cs="Readex Pro"/>
          <w:sz w:val="16"/>
          <w:szCs w:val="16"/>
        </w:rPr>
        <w:instrText xml:space="preserve"> NOTEREF _Ref207044346 \h </w:instrText>
      </w:r>
      <w:r w:rsidR="003A2A00" w:rsidRPr="00267651">
        <w:rPr>
          <w:rFonts w:cs="Readex Pro"/>
          <w:sz w:val="16"/>
          <w:szCs w:val="16"/>
        </w:rPr>
        <w:instrText xml:space="preserve"> \* MERGEFORMAT </w:instrText>
      </w:r>
      <w:r w:rsidR="001B73B7" w:rsidRPr="00267651">
        <w:rPr>
          <w:rFonts w:cs="Readex Pro"/>
          <w:sz w:val="16"/>
          <w:szCs w:val="16"/>
        </w:rPr>
      </w:r>
      <w:r w:rsidR="001B73B7" w:rsidRPr="00267651">
        <w:rPr>
          <w:rFonts w:cs="Readex Pro"/>
          <w:sz w:val="16"/>
          <w:szCs w:val="16"/>
        </w:rPr>
        <w:fldChar w:fldCharType="separate"/>
      </w:r>
      <w:r w:rsidR="00B71AA0">
        <w:rPr>
          <w:rFonts w:cs="Readex Pro"/>
          <w:sz w:val="16"/>
          <w:szCs w:val="16"/>
        </w:rPr>
        <w:t>56</w:t>
      </w:r>
      <w:r w:rsidR="001B73B7" w:rsidRPr="00267651">
        <w:rPr>
          <w:rFonts w:cs="Readex Pro"/>
          <w:sz w:val="16"/>
          <w:szCs w:val="16"/>
        </w:rPr>
        <w:fldChar w:fldCharType="end"/>
      </w:r>
      <w:r w:rsidR="001B73B7" w:rsidRPr="00267651">
        <w:rPr>
          <w:rFonts w:cs="Readex Pro"/>
          <w:sz w:val="16"/>
          <w:szCs w:val="16"/>
        </w:rPr>
        <w:t xml:space="preserve">, </w:t>
      </w:r>
      <w:r w:rsidRPr="00267651">
        <w:rPr>
          <w:rFonts w:cs="Readex Pro"/>
          <w:sz w:val="16"/>
          <w:szCs w:val="16"/>
        </w:rPr>
        <w:t>page 10; Queensland Family and Child Commission,</w:t>
      </w:r>
      <w:r w:rsidR="001B73B7" w:rsidRPr="00267651">
        <w:rPr>
          <w:rFonts w:cs="Readex Pro"/>
          <w:sz w:val="16"/>
          <w:szCs w:val="16"/>
        </w:rPr>
        <w:t xml:space="preserve"> above n </w:t>
      </w:r>
      <w:r w:rsidR="001B73B7" w:rsidRPr="00267651">
        <w:rPr>
          <w:rFonts w:cs="Readex Pro"/>
          <w:sz w:val="16"/>
          <w:szCs w:val="16"/>
        </w:rPr>
        <w:fldChar w:fldCharType="begin"/>
      </w:r>
      <w:r w:rsidR="001B73B7" w:rsidRPr="00267651">
        <w:rPr>
          <w:rFonts w:cs="Readex Pro"/>
          <w:sz w:val="16"/>
          <w:szCs w:val="16"/>
        </w:rPr>
        <w:instrText xml:space="preserve"> NOTEREF _Ref207044429 \h </w:instrText>
      </w:r>
      <w:r w:rsidR="003A2A00" w:rsidRPr="00267651">
        <w:rPr>
          <w:rFonts w:cs="Readex Pro"/>
          <w:sz w:val="16"/>
          <w:szCs w:val="16"/>
        </w:rPr>
        <w:instrText xml:space="preserve"> \* MERGEFORMAT </w:instrText>
      </w:r>
      <w:r w:rsidR="001B73B7" w:rsidRPr="00267651">
        <w:rPr>
          <w:rFonts w:cs="Readex Pro"/>
          <w:sz w:val="16"/>
          <w:szCs w:val="16"/>
        </w:rPr>
      </w:r>
      <w:r w:rsidR="001B73B7" w:rsidRPr="00267651">
        <w:rPr>
          <w:rFonts w:cs="Readex Pro"/>
          <w:sz w:val="16"/>
          <w:szCs w:val="16"/>
        </w:rPr>
        <w:fldChar w:fldCharType="separate"/>
      </w:r>
      <w:r w:rsidR="00B71AA0">
        <w:rPr>
          <w:rFonts w:cs="Readex Pro"/>
          <w:sz w:val="16"/>
          <w:szCs w:val="16"/>
        </w:rPr>
        <w:t>24</w:t>
      </w:r>
      <w:r w:rsidR="001B73B7" w:rsidRPr="00267651">
        <w:rPr>
          <w:rFonts w:cs="Readex Pro"/>
          <w:sz w:val="16"/>
          <w:szCs w:val="16"/>
        </w:rPr>
        <w:fldChar w:fldCharType="end"/>
      </w:r>
      <w:r w:rsidRPr="00267651">
        <w:rPr>
          <w:rFonts w:cs="Readex Pro"/>
          <w:sz w:val="16"/>
          <w:szCs w:val="16"/>
        </w:rPr>
        <w:t>.</w:t>
      </w:r>
    </w:p>
  </w:footnote>
  <w:footnote w:id="60">
    <w:p w14:paraId="73D17BEF" w14:textId="442D97D1" w:rsidR="007F1E9F" w:rsidRPr="00267651" w:rsidRDefault="007F1E9F" w:rsidP="0036396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Queensland Government </w:t>
      </w:r>
      <w:r w:rsidR="00553E66" w:rsidRPr="00267651">
        <w:rPr>
          <w:rFonts w:cs="Readex Pro"/>
          <w:sz w:val="16"/>
          <w:szCs w:val="16"/>
        </w:rPr>
        <w:t xml:space="preserve">– </w:t>
      </w:r>
      <w:r w:rsidRPr="00267651">
        <w:rPr>
          <w:rFonts w:cs="Readex Pro"/>
          <w:sz w:val="16"/>
          <w:szCs w:val="16"/>
        </w:rPr>
        <w:t xml:space="preserve">Department of Youth Justice and Victim Support, </w:t>
      </w:r>
      <w:hyperlink r:id="rId71" w:history="1">
        <w:r w:rsidRPr="00267651">
          <w:rPr>
            <w:rStyle w:val="Hyperlink"/>
            <w:rFonts w:cs="Readex Pro"/>
            <w:i/>
            <w:iCs/>
            <w:sz w:val="16"/>
            <w:szCs w:val="16"/>
          </w:rPr>
          <w:t>Changes to Youth Justice Act and Regulation</w:t>
        </w:r>
      </w:hyperlink>
      <w:r w:rsidRPr="00267651">
        <w:rPr>
          <w:rFonts w:cs="Readex Pro"/>
          <w:sz w:val="16"/>
          <w:szCs w:val="16"/>
        </w:rPr>
        <w:t>; Australian NPM,</w:t>
      </w:r>
      <w:r w:rsidR="00553E66" w:rsidRPr="00267651">
        <w:rPr>
          <w:rFonts w:cs="Readex Pro"/>
          <w:sz w:val="16"/>
          <w:szCs w:val="16"/>
        </w:rPr>
        <w:t xml:space="preserve"> Joint Statement, above n </w:t>
      </w:r>
      <w:r w:rsidR="00553E66" w:rsidRPr="00267651">
        <w:rPr>
          <w:rFonts w:cs="Readex Pro"/>
          <w:sz w:val="16"/>
          <w:szCs w:val="16"/>
        </w:rPr>
        <w:fldChar w:fldCharType="begin"/>
      </w:r>
      <w:r w:rsidR="00553E66" w:rsidRPr="00267651">
        <w:rPr>
          <w:rFonts w:cs="Readex Pro"/>
          <w:sz w:val="16"/>
          <w:szCs w:val="16"/>
        </w:rPr>
        <w:instrText xml:space="preserve"> NOTEREF _Ref207044134 \h </w:instrText>
      </w:r>
      <w:r w:rsidR="003A2A00" w:rsidRPr="00267651">
        <w:rPr>
          <w:rFonts w:cs="Readex Pro"/>
          <w:sz w:val="16"/>
          <w:szCs w:val="16"/>
        </w:rPr>
        <w:instrText xml:space="preserve"> \* MERGEFORMAT </w:instrText>
      </w:r>
      <w:r w:rsidR="00553E66" w:rsidRPr="00267651">
        <w:rPr>
          <w:rFonts w:cs="Readex Pro"/>
          <w:sz w:val="16"/>
          <w:szCs w:val="16"/>
        </w:rPr>
      </w:r>
      <w:r w:rsidR="00553E66" w:rsidRPr="00267651">
        <w:rPr>
          <w:rFonts w:cs="Readex Pro"/>
          <w:sz w:val="16"/>
          <w:szCs w:val="16"/>
        </w:rPr>
        <w:fldChar w:fldCharType="separate"/>
      </w:r>
      <w:r w:rsidR="00B71AA0">
        <w:rPr>
          <w:rFonts w:cs="Readex Pro"/>
          <w:sz w:val="16"/>
          <w:szCs w:val="16"/>
        </w:rPr>
        <w:t>4</w:t>
      </w:r>
      <w:r w:rsidR="00553E66" w:rsidRPr="00267651">
        <w:rPr>
          <w:rFonts w:cs="Readex Pro"/>
          <w:sz w:val="16"/>
          <w:szCs w:val="16"/>
        </w:rPr>
        <w:fldChar w:fldCharType="end"/>
      </w:r>
      <w:r w:rsidRPr="00267651">
        <w:rPr>
          <w:rFonts w:cs="Readex Pro"/>
          <w:sz w:val="16"/>
          <w:szCs w:val="16"/>
        </w:rPr>
        <w:t>.</w:t>
      </w:r>
    </w:p>
  </w:footnote>
  <w:footnote w:id="61">
    <w:p w14:paraId="281DEA0B" w14:textId="199CBB3B" w:rsidR="007F1E9F" w:rsidRPr="00267651" w:rsidRDefault="007F1E9F" w:rsidP="00EE539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ABC News, </w:t>
      </w:r>
      <w:hyperlink r:id="rId72" w:history="1">
        <w:r w:rsidRPr="00267651">
          <w:rPr>
            <w:rStyle w:val="Hyperlink"/>
            <w:rFonts w:cs="Readex Pro"/>
            <w:i/>
            <w:iCs/>
            <w:sz w:val="16"/>
            <w:szCs w:val="16"/>
          </w:rPr>
          <w:t>Youth Advocacy Centre taking legal action against Queensland government over watch house crisis</w:t>
        </w:r>
      </w:hyperlink>
      <w:r w:rsidRPr="00267651">
        <w:rPr>
          <w:rFonts w:cs="Readex Pro"/>
          <w:sz w:val="16"/>
          <w:szCs w:val="16"/>
        </w:rPr>
        <w:t xml:space="preserve"> (29</w:t>
      </w:r>
      <w:r w:rsidR="00553E66" w:rsidRPr="00267651">
        <w:rPr>
          <w:rFonts w:cs="Readex Pro"/>
          <w:sz w:val="16"/>
          <w:szCs w:val="16"/>
        </w:rPr>
        <w:t> </w:t>
      </w:r>
      <w:r w:rsidRPr="00267651">
        <w:rPr>
          <w:rFonts w:cs="Readex Pro"/>
          <w:sz w:val="16"/>
          <w:szCs w:val="16"/>
        </w:rPr>
        <w:t>April</w:t>
      </w:r>
      <w:r w:rsidR="00553E66" w:rsidRPr="00267651">
        <w:rPr>
          <w:rFonts w:cs="Readex Pro"/>
          <w:sz w:val="16"/>
          <w:szCs w:val="16"/>
        </w:rPr>
        <w:t> </w:t>
      </w:r>
      <w:r w:rsidRPr="00267651">
        <w:rPr>
          <w:rFonts w:cs="Readex Pro"/>
          <w:sz w:val="16"/>
          <w:szCs w:val="16"/>
        </w:rPr>
        <w:t>2024).</w:t>
      </w:r>
    </w:p>
  </w:footnote>
  <w:footnote w:id="62">
    <w:p w14:paraId="1EA871CB" w14:textId="225CCF67" w:rsidR="007F1E9F" w:rsidRPr="00267651" w:rsidRDefault="007F1E9F" w:rsidP="00EE539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53E66" w:rsidRPr="00267651">
        <w:rPr>
          <w:rFonts w:cs="Readex Pro"/>
          <w:sz w:val="16"/>
          <w:szCs w:val="16"/>
        </w:rPr>
        <w:t>ABC News</w:t>
      </w:r>
      <w:r w:rsidRPr="00267651">
        <w:rPr>
          <w:rFonts w:cs="Readex Pro"/>
          <w:sz w:val="16"/>
          <w:szCs w:val="16"/>
        </w:rPr>
        <w:t xml:space="preserve">, </w:t>
      </w:r>
      <w:hyperlink r:id="rId73" w:history="1">
        <w:r w:rsidRPr="00267651">
          <w:rPr>
            <w:rStyle w:val="Hyperlink"/>
            <w:rFonts w:cs="Readex Pro"/>
            <w:i/>
            <w:iCs/>
            <w:sz w:val="16"/>
            <w:szCs w:val="16"/>
          </w:rPr>
          <w:t>'Jason' was beaten repeatedly with a baton in a watch house. An investigation found the use of force was 'reasonable'</w:t>
        </w:r>
      </w:hyperlink>
      <w:r w:rsidRPr="00267651">
        <w:rPr>
          <w:rFonts w:cs="Readex Pro"/>
          <w:sz w:val="16"/>
          <w:szCs w:val="16"/>
        </w:rPr>
        <w:t xml:space="preserve"> (10 July 2024); </w:t>
      </w:r>
      <w:r w:rsidR="00553E66" w:rsidRPr="00267651">
        <w:rPr>
          <w:rFonts w:cs="Readex Pro"/>
          <w:sz w:val="16"/>
          <w:szCs w:val="16"/>
        </w:rPr>
        <w:t>ABC News</w:t>
      </w:r>
      <w:r w:rsidRPr="00267651">
        <w:rPr>
          <w:rFonts w:cs="Readex Pro"/>
          <w:sz w:val="16"/>
          <w:szCs w:val="16"/>
        </w:rPr>
        <w:t xml:space="preserve">, </w:t>
      </w:r>
      <w:hyperlink r:id="rId74" w:history="1">
        <w:r w:rsidRPr="00267651">
          <w:rPr>
            <w:rStyle w:val="Hyperlink"/>
            <w:rFonts w:cs="Readex Pro"/>
            <w:i/>
            <w:iCs/>
            <w:sz w:val="16"/>
            <w:szCs w:val="16"/>
          </w:rPr>
          <w:t>Former Queensland officers 'sickened' by video of police beating teen with baton in watch house</w:t>
        </w:r>
      </w:hyperlink>
      <w:r w:rsidRPr="00267651">
        <w:rPr>
          <w:rFonts w:cs="Readex Pro"/>
          <w:sz w:val="16"/>
          <w:szCs w:val="16"/>
        </w:rPr>
        <w:t xml:space="preserve"> (11 July 2024)</w:t>
      </w:r>
      <w:r w:rsidR="00553E66" w:rsidRPr="00267651">
        <w:rPr>
          <w:rFonts w:cs="Readex Pro"/>
          <w:sz w:val="16"/>
          <w:szCs w:val="16"/>
        </w:rPr>
        <w:t>.</w:t>
      </w:r>
    </w:p>
  </w:footnote>
  <w:footnote w:id="63">
    <w:p w14:paraId="3F22401E" w14:textId="1649B425" w:rsidR="007F1E9F" w:rsidRPr="00267651" w:rsidRDefault="007F1E9F" w:rsidP="00EE539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Guardian Australia, </w:t>
      </w:r>
      <w:hyperlink r:id="rId75" w:history="1">
        <w:r w:rsidRPr="00267651">
          <w:rPr>
            <w:rStyle w:val="Hyperlink"/>
            <w:rFonts w:cs="Readex Pro"/>
            <w:i/>
            <w:iCs/>
            <w:sz w:val="16"/>
            <w:szCs w:val="16"/>
          </w:rPr>
          <w:t>Screaming, freezing, struggling to breathe: confronting Queensland watch house footage exposes anguish of children locked in isolation cells</w:t>
        </w:r>
      </w:hyperlink>
      <w:r w:rsidRPr="00267651">
        <w:rPr>
          <w:rFonts w:cs="Readex Pro"/>
          <w:sz w:val="16"/>
          <w:szCs w:val="16"/>
        </w:rPr>
        <w:t xml:space="preserve"> (17 July 2024).</w:t>
      </w:r>
    </w:p>
  </w:footnote>
  <w:footnote w:id="64">
    <w:p w14:paraId="5EA84E16" w14:textId="2655167D" w:rsidR="007F1E9F" w:rsidRPr="00267651" w:rsidRDefault="007F1E9F" w:rsidP="0031538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205509" w:rsidRPr="00267651">
        <w:rPr>
          <w:rFonts w:cs="Readex Pro"/>
          <w:sz w:val="16"/>
          <w:szCs w:val="16"/>
        </w:rPr>
        <w:t xml:space="preserve">Queensland Council of Social Service (QCOSS), </w:t>
      </w:r>
      <w:hyperlink r:id="rId76" w:history="1">
        <w:r w:rsidR="00205509" w:rsidRPr="00267651">
          <w:rPr>
            <w:rStyle w:val="Hyperlink"/>
            <w:rFonts w:cs="Readex Pro"/>
            <w:i/>
            <w:iCs/>
            <w:sz w:val="16"/>
            <w:szCs w:val="16"/>
          </w:rPr>
          <w:t>Ending the Use of Watch Houses for Children in Queensland – a Practical Path Forward webinar</w:t>
        </w:r>
      </w:hyperlink>
      <w:r w:rsidR="00205509" w:rsidRPr="00267651">
        <w:rPr>
          <w:rFonts w:cs="Readex Pro"/>
          <w:sz w:val="16"/>
          <w:szCs w:val="16"/>
        </w:rPr>
        <w:t xml:space="preserve"> (25 September 2024), quoted in QCOSS, </w:t>
      </w:r>
      <w:hyperlink r:id="rId77" w:history="1">
        <w:r w:rsidR="00205509" w:rsidRPr="00267651">
          <w:rPr>
            <w:rStyle w:val="Hyperlink"/>
            <w:rFonts w:cs="Readex Pro"/>
            <w:i/>
            <w:iCs/>
            <w:sz w:val="16"/>
            <w:szCs w:val="16"/>
          </w:rPr>
          <w:t xml:space="preserve">Submission to Queensland </w:t>
        </w:r>
        <w:r w:rsidR="00FD58B7" w:rsidRPr="00267651">
          <w:rPr>
            <w:rStyle w:val="Hyperlink"/>
            <w:rFonts w:cs="Readex Pro"/>
            <w:i/>
            <w:iCs/>
            <w:sz w:val="16"/>
            <w:szCs w:val="16"/>
          </w:rPr>
          <w:t>P</w:t>
        </w:r>
        <w:r w:rsidR="00205509" w:rsidRPr="00267651">
          <w:rPr>
            <w:rStyle w:val="Hyperlink"/>
            <w:rFonts w:cs="Readex Pro"/>
            <w:i/>
            <w:iCs/>
            <w:sz w:val="16"/>
            <w:szCs w:val="16"/>
          </w:rPr>
          <w:t xml:space="preserve">olice Service Watch </w:t>
        </w:r>
        <w:r w:rsidR="00FD58B7" w:rsidRPr="00267651">
          <w:rPr>
            <w:rStyle w:val="Hyperlink"/>
            <w:rFonts w:cs="Readex Pro"/>
            <w:i/>
            <w:iCs/>
            <w:sz w:val="16"/>
            <w:szCs w:val="16"/>
          </w:rPr>
          <w:t>H</w:t>
        </w:r>
        <w:r w:rsidR="00205509" w:rsidRPr="00267651">
          <w:rPr>
            <w:rStyle w:val="Hyperlink"/>
            <w:rFonts w:cs="Readex Pro"/>
            <w:i/>
            <w:iCs/>
            <w:sz w:val="16"/>
            <w:szCs w:val="16"/>
          </w:rPr>
          <w:t>ouse Review</w:t>
        </w:r>
      </w:hyperlink>
      <w:r w:rsidR="00205509" w:rsidRPr="00267651">
        <w:rPr>
          <w:rFonts w:cs="Readex Pro"/>
          <w:sz w:val="16"/>
          <w:szCs w:val="16"/>
        </w:rPr>
        <w:t xml:space="preserve"> (10 December 2024), page 4</w:t>
      </w:r>
      <w:r w:rsidRPr="00267651">
        <w:rPr>
          <w:rFonts w:cs="Readex Pro"/>
          <w:sz w:val="16"/>
          <w:szCs w:val="16"/>
        </w:rPr>
        <w:t>.</w:t>
      </w:r>
    </w:p>
  </w:footnote>
  <w:footnote w:id="65">
    <w:p w14:paraId="5AF046AE" w14:textId="7F826284" w:rsidR="007F1E9F" w:rsidRPr="00267651" w:rsidRDefault="007F1E9F" w:rsidP="002D299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462362" w:rsidRPr="00267651">
        <w:rPr>
          <w:rFonts w:cs="Readex Pro"/>
          <w:sz w:val="16"/>
          <w:szCs w:val="16"/>
        </w:rPr>
        <w:t>The Courier Mail</w:t>
      </w:r>
      <w:r w:rsidRPr="00267651">
        <w:rPr>
          <w:rFonts w:cs="Readex Pro"/>
          <w:sz w:val="16"/>
          <w:szCs w:val="16"/>
        </w:rPr>
        <w:t xml:space="preserve">, </w:t>
      </w:r>
      <w:hyperlink r:id="rId78" w:history="1">
        <w:r w:rsidRPr="00267651">
          <w:rPr>
            <w:rStyle w:val="Hyperlink"/>
            <w:rFonts w:cs="Readex Pro"/>
            <w:i/>
            <w:iCs/>
            <w:sz w:val="16"/>
            <w:szCs w:val="16"/>
          </w:rPr>
          <w:t>Qld’s decaying watch houses exposed as danger to police, inmates</w:t>
        </w:r>
      </w:hyperlink>
      <w:r w:rsidRPr="00267651">
        <w:rPr>
          <w:rFonts w:cs="Readex Pro"/>
          <w:sz w:val="16"/>
          <w:szCs w:val="16"/>
        </w:rPr>
        <w:t xml:space="preserve"> (</w:t>
      </w:r>
      <w:r w:rsidR="00462362" w:rsidRPr="00267651">
        <w:rPr>
          <w:rFonts w:cs="Readex Pro"/>
          <w:sz w:val="16"/>
          <w:szCs w:val="16"/>
        </w:rPr>
        <w:t>1 July</w:t>
      </w:r>
      <w:r w:rsidRPr="00267651">
        <w:rPr>
          <w:rFonts w:cs="Readex Pro"/>
          <w:sz w:val="16"/>
          <w:szCs w:val="16"/>
        </w:rPr>
        <w:t xml:space="preserve"> 2025); </w:t>
      </w:r>
      <w:r w:rsidR="00462362" w:rsidRPr="00267651">
        <w:rPr>
          <w:rFonts w:cs="Readex Pro"/>
          <w:sz w:val="16"/>
          <w:szCs w:val="16"/>
        </w:rPr>
        <w:t>Nine News</w:t>
      </w:r>
      <w:r w:rsidRPr="00267651">
        <w:rPr>
          <w:rFonts w:cs="Readex Pro"/>
          <w:sz w:val="16"/>
          <w:szCs w:val="16"/>
        </w:rPr>
        <w:t xml:space="preserve"> </w:t>
      </w:r>
      <w:hyperlink r:id="rId79" w:history="1">
        <w:r w:rsidR="00462362" w:rsidRPr="00267651">
          <w:rPr>
            <w:rStyle w:val="Hyperlink"/>
            <w:rFonts w:cs="Readex Pro"/>
            <w:i/>
            <w:iCs/>
            <w:sz w:val="16"/>
            <w:szCs w:val="16"/>
          </w:rPr>
          <w:t>‘W</w:t>
        </w:r>
        <w:r w:rsidRPr="00267651">
          <w:rPr>
            <w:rStyle w:val="Hyperlink"/>
            <w:rFonts w:cs="Readex Pro"/>
            <w:i/>
            <w:iCs/>
            <w:sz w:val="16"/>
            <w:szCs w:val="16"/>
          </w:rPr>
          <w:t>atch houses are not prison daycare centres</w:t>
        </w:r>
        <w:r w:rsidR="00462362" w:rsidRPr="00267651">
          <w:rPr>
            <w:rStyle w:val="Hyperlink"/>
            <w:rFonts w:cs="Readex Pro"/>
            <w:i/>
            <w:iCs/>
            <w:sz w:val="16"/>
            <w:szCs w:val="16"/>
          </w:rPr>
          <w:t>’</w:t>
        </w:r>
        <w:r w:rsidRPr="00267651">
          <w:rPr>
            <w:rStyle w:val="Hyperlink"/>
            <w:rFonts w:cs="Readex Pro"/>
            <w:i/>
            <w:iCs/>
            <w:sz w:val="16"/>
            <w:szCs w:val="16"/>
          </w:rPr>
          <w:t>: Police union boss blasts Queensland Corrective Services</w:t>
        </w:r>
      </w:hyperlink>
      <w:r w:rsidRPr="00267651">
        <w:rPr>
          <w:rFonts w:cs="Readex Pro"/>
          <w:sz w:val="16"/>
          <w:szCs w:val="16"/>
        </w:rPr>
        <w:t xml:space="preserve"> (26 February 2025); Queensland Police Union (QPU), </w:t>
      </w:r>
      <w:hyperlink r:id="rId80" w:history="1">
        <w:r w:rsidRPr="00267651">
          <w:rPr>
            <w:rStyle w:val="Hyperlink"/>
            <w:rFonts w:cs="Readex Pro"/>
            <w:i/>
            <w:iCs/>
            <w:sz w:val="16"/>
            <w:szCs w:val="16"/>
          </w:rPr>
          <w:t>Queensland Police Union Journal – Winter 2025</w:t>
        </w:r>
      </w:hyperlink>
      <w:r w:rsidRPr="00267651">
        <w:rPr>
          <w:rFonts w:cs="Readex Pro"/>
          <w:sz w:val="16"/>
          <w:szCs w:val="16"/>
        </w:rPr>
        <w:t xml:space="preserve"> (18 June 2025), page 102. Note the full </w:t>
      </w:r>
      <w:r w:rsidR="00462362" w:rsidRPr="00267651">
        <w:rPr>
          <w:rFonts w:cs="Readex Pro"/>
          <w:sz w:val="16"/>
          <w:szCs w:val="16"/>
        </w:rPr>
        <w:t xml:space="preserve">QPU </w:t>
      </w:r>
      <w:r w:rsidRPr="00267651">
        <w:rPr>
          <w:rFonts w:cs="Readex Pro"/>
          <w:sz w:val="16"/>
          <w:szCs w:val="16"/>
        </w:rPr>
        <w:t>watch house review report</w:t>
      </w:r>
      <w:r w:rsidR="00462362" w:rsidRPr="00267651">
        <w:rPr>
          <w:rFonts w:cs="Readex Pro"/>
          <w:sz w:val="16"/>
          <w:szCs w:val="16"/>
        </w:rPr>
        <w:t xml:space="preserve"> </w:t>
      </w:r>
      <w:r w:rsidRPr="00267651">
        <w:rPr>
          <w:rFonts w:cs="Readex Pro"/>
          <w:sz w:val="16"/>
          <w:szCs w:val="16"/>
        </w:rPr>
        <w:t xml:space="preserve">is </w:t>
      </w:r>
      <w:r w:rsidR="00462362" w:rsidRPr="00267651">
        <w:rPr>
          <w:rFonts w:cs="Readex Pro"/>
          <w:sz w:val="16"/>
          <w:szCs w:val="16"/>
        </w:rPr>
        <w:t xml:space="preserve">currently </w:t>
      </w:r>
      <w:r w:rsidRPr="00267651">
        <w:rPr>
          <w:rFonts w:cs="Readex Pro"/>
          <w:sz w:val="16"/>
          <w:szCs w:val="16"/>
        </w:rPr>
        <w:t xml:space="preserve">only currently available to </w:t>
      </w:r>
      <w:r w:rsidR="00462362" w:rsidRPr="00267651">
        <w:rPr>
          <w:rFonts w:cs="Readex Pro"/>
          <w:sz w:val="16"/>
          <w:szCs w:val="16"/>
        </w:rPr>
        <w:t>QPU</w:t>
      </w:r>
      <w:r w:rsidRPr="00267651">
        <w:rPr>
          <w:rFonts w:cs="Readex Pro"/>
          <w:sz w:val="16"/>
          <w:szCs w:val="16"/>
        </w:rPr>
        <w:t xml:space="preserve"> members.</w:t>
      </w:r>
    </w:p>
  </w:footnote>
  <w:footnote w:id="66">
    <w:p w14:paraId="004E3A51" w14:textId="529DBC1B" w:rsidR="007F1E9F" w:rsidRPr="00267651" w:rsidRDefault="007F1E9F" w:rsidP="00625FD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D58B7" w:rsidRPr="00267651">
        <w:rPr>
          <w:rFonts w:cs="Readex Pro"/>
          <w:sz w:val="16"/>
          <w:szCs w:val="16"/>
        </w:rPr>
        <w:t>Queensland Police Service (</w:t>
      </w:r>
      <w:r w:rsidRPr="00267651">
        <w:rPr>
          <w:rFonts w:cs="Readex Pro"/>
          <w:sz w:val="16"/>
          <w:szCs w:val="16"/>
        </w:rPr>
        <w:t>QPS</w:t>
      </w:r>
      <w:r w:rsidR="00FD58B7" w:rsidRPr="00267651">
        <w:rPr>
          <w:rFonts w:cs="Readex Pro"/>
          <w:sz w:val="16"/>
          <w:szCs w:val="16"/>
        </w:rPr>
        <w:t>)</w:t>
      </w:r>
      <w:r w:rsidRPr="00267651">
        <w:rPr>
          <w:rFonts w:cs="Readex Pro"/>
          <w:sz w:val="16"/>
          <w:szCs w:val="16"/>
        </w:rPr>
        <w:t xml:space="preserve">, </w:t>
      </w:r>
      <w:hyperlink r:id="rId81" w:history="1">
        <w:r w:rsidRPr="00267651">
          <w:rPr>
            <w:rStyle w:val="Hyperlink"/>
            <w:rFonts w:cs="Readex Pro"/>
            <w:i/>
            <w:iCs/>
            <w:sz w:val="16"/>
            <w:szCs w:val="16"/>
          </w:rPr>
          <w:t xml:space="preserve">Watch-house </w:t>
        </w:r>
        <w:r w:rsidR="00FD58B7" w:rsidRPr="00267651">
          <w:rPr>
            <w:rStyle w:val="Hyperlink"/>
            <w:rFonts w:cs="Readex Pro"/>
            <w:i/>
            <w:iCs/>
            <w:sz w:val="16"/>
            <w:szCs w:val="16"/>
          </w:rPr>
          <w:t>R</w:t>
        </w:r>
        <w:r w:rsidRPr="00267651">
          <w:rPr>
            <w:rStyle w:val="Hyperlink"/>
            <w:rFonts w:cs="Readex Pro"/>
            <w:i/>
            <w:iCs/>
            <w:sz w:val="16"/>
            <w:szCs w:val="16"/>
          </w:rPr>
          <w:t>eview</w:t>
        </w:r>
      </w:hyperlink>
      <w:r w:rsidRPr="00267651">
        <w:rPr>
          <w:rFonts w:cs="Readex Pro"/>
          <w:sz w:val="16"/>
          <w:szCs w:val="16"/>
        </w:rPr>
        <w:t xml:space="preserve"> (10 July 2025), page 8. In comparison, adults spent an average of 118 hours detained in watch houses.</w:t>
      </w:r>
    </w:p>
  </w:footnote>
  <w:footnote w:id="67">
    <w:p w14:paraId="541FE874" w14:textId="67A10618" w:rsidR="007F1E9F" w:rsidRPr="00267651" w:rsidRDefault="007F1E9F" w:rsidP="00625FD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10.</w:t>
      </w:r>
    </w:p>
  </w:footnote>
  <w:footnote w:id="68">
    <w:p w14:paraId="67258F5C" w14:textId="2773B624" w:rsidR="007F1E9F" w:rsidRPr="00267651" w:rsidRDefault="007F1E9F" w:rsidP="00625FD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12.</w:t>
      </w:r>
    </w:p>
  </w:footnote>
  <w:footnote w:id="69">
    <w:p w14:paraId="26F9BB94" w14:textId="1D1F3A61" w:rsidR="007F1E9F" w:rsidRPr="00267651" w:rsidRDefault="007F1E9F" w:rsidP="00625FD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29.</w:t>
      </w:r>
    </w:p>
  </w:footnote>
  <w:footnote w:id="70">
    <w:p w14:paraId="5C8D4DE3" w14:textId="09868C7D"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D58B7" w:rsidRPr="00267651">
        <w:rPr>
          <w:rFonts w:cs="Readex Pro"/>
          <w:sz w:val="16"/>
          <w:szCs w:val="16"/>
        </w:rPr>
        <w:t>QPS</w:t>
      </w:r>
      <w:r w:rsidRPr="00267651">
        <w:rPr>
          <w:rFonts w:cs="Readex Pro"/>
          <w:sz w:val="16"/>
          <w:szCs w:val="16"/>
        </w:rPr>
        <w:t xml:space="preserve">, </w:t>
      </w:r>
      <w:hyperlink r:id="rId82" w:history="1">
        <w:r w:rsidRPr="00267651">
          <w:rPr>
            <w:rStyle w:val="Hyperlink"/>
            <w:rFonts w:cs="Readex Pro"/>
            <w:i/>
            <w:iCs/>
            <w:sz w:val="16"/>
            <w:szCs w:val="16"/>
          </w:rPr>
          <w:t>Persons in Queensland Police Watch-house Custody</w:t>
        </w:r>
      </w:hyperlink>
      <w:r w:rsidRPr="00267651">
        <w:rPr>
          <w:rFonts w:cs="Readex Pro"/>
          <w:sz w:val="16"/>
          <w:szCs w:val="16"/>
        </w:rPr>
        <w:t xml:space="preserve"> (19 August 2025).</w:t>
      </w:r>
    </w:p>
  </w:footnote>
  <w:footnote w:id="71">
    <w:p w14:paraId="4AA9868F" w14:textId="61C8B0D6" w:rsidR="007F1E9F" w:rsidRPr="00267651" w:rsidRDefault="007F1E9F" w:rsidP="00B446F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B307C" w:rsidRPr="00267651">
        <w:rPr>
          <w:rFonts w:cs="Readex Pro"/>
          <w:sz w:val="16"/>
          <w:szCs w:val="16"/>
        </w:rPr>
        <w:t>Tasmanian CI</w:t>
      </w:r>
      <w:r w:rsidRPr="00267651">
        <w:rPr>
          <w:rFonts w:cs="Readex Pro"/>
          <w:sz w:val="16"/>
          <w:szCs w:val="16"/>
        </w:rPr>
        <w:t xml:space="preserve">, </w:t>
      </w:r>
      <w:hyperlink r:id="rId83" w:history="1">
        <w:r w:rsidRPr="00267651">
          <w:rPr>
            <w:rStyle w:val="Hyperlink"/>
            <w:rFonts w:cs="Readex Pro"/>
            <w:i/>
            <w:iCs/>
            <w:sz w:val="16"/>
            <w:szCs w:val="16"/>
          </w:rPr>
          <w:t>Children in Tasmania’s prisons: Review report 2025</w:t>
        </w:r>
      </w:hyperlink>
      <w:r w:rsidRPr="00267651">
        <w:rPr>
          <w:rFonts w:cs="Readex Pro"/>
          <w:sz w:val="16"/>
          <w:szCs w:val="16"/>
        </w:rPr>
        <w:t xml:space="preserve"> (June 2025)</w:t>
      </w:r>
      <w:r w:rsidR="005B307C" w:rsidRPr="00267651">
        <w:rPr>
          <w:rFonts w:cs="Readex Pro"/>
          <w:sz w:val="16"/>
          <w:szCs w:val="16"/>
        </w:rPr>
        <w:t>.</w:t>
      </w:r>
    </w:p>
  </w:footnote>
  <w:footnote w:id="72">
    <w:p w14:paraId="649BE620" w14:textId="68C1334E" w:rsidR="007F1E9F" w:rsidRPr="00267651" w:rsidRDefault="007F1E9F" w:rsidP="00B446F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SA </w:t>
      </w:r>
      <w:r w:rsidR="005B307C" w:rsidRPr="00267651">
        <w:rPr>
          <w:rFonts w:cs="Readex Pro"/>
          <w:sz w:val="16"/>
          <w:szCs w:val="16"/>
        </w:rPr>
        <w:t>GCYP/</w:t>
      </w:r>
      <w:r w:rsidRPr="00267651">
        <w:rPr>
          <w:rFonts w:cs="Readex Pro"/>
          <w:sz w:val="16"/>
          <w:szCs w:val="16"/>
        </w:rPr>
        <w:t xml:space="preserve">TCV, </w:t>
      </w:r>
      <w:hyperlink r:id="rId84" w:history="1">
        <w:r w:rsidRPr="00267651">
          <w:rPr>
            <w:rStyle w:val="Hyperlink"/>
            <w:rFonts w:cs="Readex Pro"/>
            <w:i/>
            <w:iCs/>
            <w:sz w:val="16"/>
            <w:szCs w:val="16"/>
          </w:rPr>
          <w:t>Kids in police cells: time to upgrade our facilities, and our thinking</w:t>
        </w:r>
      </w:hyperlink>
      <w:r w:rsidRPr="00267651">
        <w:rPr>
          <w:rFonts w:cs="Readex Pro"/>
          <w:sz w:val="16"/>
          <w:szCs w:val="16"/>
        </w:rPr>
        <w:t xml:space="preserve"> (17 November 2023)</w:t>
      </w:r>
      <w:r w:rsidR="005B307C" w:rsidRPr="00267651">
        <w:rPr>
          <w:rFonts w:cs="Readex Pro"/>
          <w:sz w:val="16"/>
          <w:szCs w:val="16"/>
        </w:rPr>
        <w:t>.</w:t>
      </w:r>
    </w:p>
  </w:footnote>
  <w:footnote w:id="73">
    <w:p w14:paraId="5CA587F7" w14:textId="07C8F1E7" w:rsidR="00147C08" w:rsidRPr="00267651" w:rsidRDefault="00147C0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OICS, </w:t>
      </w:r>
      <w:hyperlink r:id="rId85" w:history="1">
        <w:r w:rsidRPr="00267651">
          <w:rPr>
            <w:rStyle w:val="Hyperlink"/>
            <w:rFonts w:cs="Readex Pro"/>
            <w:i/>
            <w:iCs/>
            <w:sz w:val="16"/>
            <w:szCs w:val="16"/>
          </w:rPr>
          <w:t xml:space="preserve">Healthy Centre Review of </w:t>
        </w:r>
        <w:proofErr w:type="spellStart"/>
        <w:r w:rsidRPr="00267651">
          <w:rPr>
            <w:rStyle w:val="Hyperlink"/>
            <w:rFonts w:cs="Readex Pro"/>
            <w:i/>
            <w:iCs/>
            <w:sz w:val="16"/>
            <w:szCs w:val="16"/>
          </w:rPr>
          <w:t>Bimberi</w:t>
        </w:r>
        <w:proofErr w:type="spellEnd"/>
        <w:r w:rsidRPr="00267651">
          <w:rPr>
            <w:rStyle w:val="Hyperlink"/>
            <w:rFonts w:cs="Readex Pro"/>
            <w:i/>
            <w:iCs/>
            <w:sz w:val="16"/>
            <w:szCs w:val="16"/>
          </w:rPr>
          <w:t xml:space="preserve"> Youth Justice Centre 2024</w:t>
        </w:r>
      </w:hyperlink>
      <w:r w:rsidRPr="00267651">
        <w:rPr>
          <w:rFonts w:cs="Readex Pro"/>
          <w:sz w:val="16"/>
          <w:szCs w:val="16"/>
        </w:rPr>
        <w:t xml:space="preserve"> (December 2024), pages 40-3.</w:t>
      </w:r>
    </w:p>
  </w:footnote>
  <w:footnote w:id="74">
    <w:p w14:paraId="77C0835A" w14:textId="4594AAEB" w:rsidR="007F1E9F" w:rsidRPr="00267651" w:rsidRDefault="007F1E9F" w:rsidP="00DC6278">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B307C" w:rsidRPr="00267651">
        <w:rPr>
          <w:rFonts w:cs="Readex Pro"/>
          <w:sz w:val="16"/>
          <w:szCs w:val="16"/>
        </w:rPr>
        <w:t>ACT OICS</w:t>
      </w:r>
      <w:r w:rsidRPr="00267651">
        <w:rPr>
          <w:rFonts w:cs="Readex Pro"/>
          <w:sz w:val="16"/>
          <w:szCs w:val="16"/>
        </w:rPr>
        <w:t xml:space="preserve">, </w:t>
      </w:r>
      <w:hyperlink r:id="rId86" w:history="1">
        <w:r w:rsidRPr="00267651">
          <w:rPr>
            <w:rStyle w:val="Hyperlink"/>
            <w:rFonts w:cs="Readex Pro"/>
            <w:i/>
            <w:iCs/>
            <w:sz w:val="16"/>
            <w:szCs w:val="16"/>
          </w:rPr>
          <w:t>Submission to the Senate Legal and Constitutional Affairs References Committee – Australia’s youth justice and incarceration system</w:t>
        </w:r>
      </w:hyperlink>
      <w:r w:rsidRPr="00267651">
        <w:rPr>
          <w:rFonts w:cs="Readex Pro"/>
          <w:sz w:val="16"/>
          <w:szCs w:val="16"/>
        </w:rPr>
        <w:t xml:space="preserve"> (December 2024), page 9.</w:t>
      </w:r>
    </w:p>
  </w:footnote>
  <w:footnote w:id="75">
    <w:p w14:paraId="1AD9042B" w14:textId="5F9F78BD" w:rsidR="0064142D" w:rsidRPr="00267651" w:rsidRDefault="0064142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OICS, above n </w:t>
      </w:r>
      <w:r w:rsidRPr="00267651">
        <w:rPr>
          <w:rFonts w:cs="Readex Pro"/>
          <w:sz w:val="16"/>
          <w:szCs w:val="16"/>
        </w:rPr>
        <w:fldChar w:fldCharType="begin"/>
      </w:r>
      <w:r w:rsidRPr="00267651">
        <w:rPr>
          <w:rFonts w:cs="Readex Pro"/>
          <w:sz w:val="16"/>
          <w:szCs w:val="16"/>
        </w:rPr>
        <w:instrText xml:space="preserve"> NOTEREF _Ref207787284 \h  \* MERGEFORMAT </w:instrText>
      </w:r>
      <w:r w:rsidRPr="00267651">
        <w:rPr>
          <w:rFonts w:cs="Readex Pro"/>
          <w:sz w:val="16"/>
          <w:szCs w:val="16"/>
        </w:rPr>
      </w:r>
      <w:r w:rsidRPr="00267651">
        <w:rPr>
          <w:rFonts w:cs="Readex Pro"/>
          <w:sz w:val="16"/>
          <w:szCs w:val="16"/>
        </w:rPr>
        <w:fldChar w:fldCharType="separate"/>
      </w:r>
      <w:r w:rsidR="00B71AA0">
        <w:rPr>
          <w:rFonts w:cs="Readex Pro"/>
          <w:sz w:val="16"/>
          <w:szCs w:val="16"/>
        </w:rPr>
        <w:t>73</w:t>
      </w:r>
      <w:r w:rsidRPr="00267651">
        <w:rPr>
          <w:rFonts w:cs="Readex Pro"/>
          <w:sz w:val="16"/>
          <w:szCs w:val="16"/>
        </w:rPr>
        <w:fldChar w:fldCharType="end"/>
      </w:r>
      <w:r w:rsidRPr="00267651">
        <w:rPr>
          <w:rFonts w:cs="Readex Pro"/>
          <w:sz w:val="16"/>
          <w:szCs w:val="16"/>
        </w:rPr>
        <w:t>.</w:t>
      </w:r>
    </w:p>
  </w:footnote>
  <w:footnote w:id="76">
    <w:p w14:paraId="2A076BF5" w14:textId="47E4907C" w:rsidR="006F363C" w:rsidRPr="00267651" w:rsidRDefault="006F363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WA OICS, </w:t>
      </w:r>
      <w:hyperlink r:id="rId87" w:history="1">
        <w:r w:rsidRPr="00267651">
          <w:rPr>
            <w:rStyle w:val="Hyperlink"/>
            <w:rFonts w:cs="Readex Pro"/>
            <w:i/>
            <w:iCs/>
            <w:sz w:val="16"/>
            <w:szCs w:val="16"/>
          </w:rPr>
          <w:t>Report 163 – 2024 Inspection of Acacia Prison</w:t>
        </w:r>
      </w:hyperlink>
      <w:r w:rsidRPr="00267651">
        <w:rPr>
          <w:rFonts w:cs="Readex Pro"/>
          <w:sz w:val="16"/>
          <w:szCs w:val="16"/>
        </w:rPr>
        <w:t xml:space="preserve"> (June 2025).</w:t>
      </w:r>
    </w:p>
  </w:footnote>
  <w:footnote w:id="77">
    <w:p w14:paraId="3F1FC6FE" w14:textId="4056E047" w:rsidR="006F363C" w:rsidRPr="00267651" w:rsidRDefault="006F363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WA OICS, </w:t>
      </w:r>
      <w:hyperlink r:id="rId88" w:history="1">
        <w:r w:rsidRPr="00267651">
          <w:rPr>
            <w:rStyle w:val="Hyperlink"/>
            <w:rFonts w:cs="Readex Pro"/>
            <w:i/>
            <w:iCs/>
            <w:sz w:val="16"/>
            <w:szCs w:val="16"/>
          </w:rPr>
          <w:t>Report 135 – 2020 Inspection of Banksia Hill Detention Centre</w:t>
        </w:r>
      </w:hyperlink>
      <w:r w:rsidRPr="00267651">
        <w:rPr>
          <w:rFonts w:cs="Readex Pro"/>
          <w:sz w:val="16"/>
          <w:szCs w:val="16"/>
        </w:rPr>
        <w:t xml:space="preserve"> (April 2021).</w:t>
      </w:r>
    </w:p>
  </w:footnote>
  <w:footnote w:id="78">
    <w:p w14:paraId="3A23505B" w14:textId="7021D4DF"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Australian NPM, Annual Report 2023–24, </w:t>
      </w:r>
      <w:r w:rsidR="00D64259" w:rsidRPr="00267651">
        <w:rPr>
          <w:rFonts w:cs="Readex Pro"/>
          <w:sz w:val="16"/>
          <w:szCs w:val="16"/>
        </w:rPr>
        <w:t xml:space="preserve">above n </w:t>
      </w:r>
      <w:r w:rsidR="00D64259" w:rsidRPr="00267651">
        <w:rPr>
          <w:rFonts w:cs="Readex Pro"/>
          <w:sz w:val="16"/>
          <w:szCs w:val="16"/>
        </w:rPr>
        <w:fldChar w:fldCharType="begin"/>
      </w:r>
      <w:r w:rsidR="00D64259" w:rsidRPr="00267651">
        <w:rPr>
          <w:rFonts w:cs="Readex Pro"/>
          <w:sz w:val="16"/>
          <w:szCs w:val="16"/>
        </w:rPr>
        <w:instrText xml:space="preserve"> NOTEREF _Ref207045613 \h </w:instrText>
      </w:r>
      <w:r w:rsidR="003A2A00" w:rsidRPr="00267651">
        <w:rPr>
          <w:rFonts w:cs="Readex Pro"/>
          <w:sz w:val="16"/>
          <w:szCs w:val="16"/>
        </w:rPr>
        <w:instrText xml:space="preserve"> \* MERGEFORMAT </w:instrText>
      </w:r>
      <w:r w:rsidR="00D64259" w:rsidRPr="00267651">
        <w:rPr>
          <w:rFonts w:cs="Readex Pro"/>
          <w:sz w:val="16"/>
          <w:szCs w:val="16"/>
        </w:rPr>
      </w:r>
      <w:r w:rsidR="00D64259" w:rsidRPr="00267651">
        <w:rPr>
          <w:rFonts w:cs="Readex Pro"/>
          <w:sz w:val="16"/>
          <w:szCs w:val="16"/>
        </w:rPr>
        <w:fldChar w:fldCharType="separate"/>
      </w:r>
      <w:r w:rsidR="00B71AA0">
        <w:rPr>
          <w:rFonts w:cs="Readex Pro"/>
          <w:sz w:val="16"/>
          <w:szCs w:val="16"/>
        </w:rPr>
        <w:t>44</w:t>
      </w:r>
      <w:r w:rsidR="00D64259" w:rsidRPr="00267651">
        <w:rPr>
          <w:rFonts w:cs="Readex Pro"/>
          <w:sz w:val="16"/>
          <w:szCs w:val="16"/>
        </w:rPr>
        <w:fldChar w:fldCharType="end"/>
      </w:r>
      <w:r w:rsidR="00D64259" w:rsidRPr="00267651">
        <w:rPr>
          <w:rFonts w:cs="Readex Pro"/>
          <w:sz w:val="16"/>
          <w:szCs w:val="16"/>
        </w:rPr>
        <w:t xml:space="preserve">, </w:t>
      </w:r>
      <w:r w:rsidRPr="00267651">
        <w:rPr>
          <w:rFonts w:cs="Readex Pro"/>
          <w:sz w:val="16"/>
          <w:szCs w:val="16"/>
        </w:rPr>
        <w:t xml:space="preserve">page 19; see also Australian NPM, </w:t>
      </w:r>
      <w:hyperlink r:id="rId89" w:history="1">
        <w:r w:rsidRPr="00267651">
          <w:rPr>
            <w:rStyle w:val="Hyperlink"/>
            <w:rFonts w:cs="Readex Pro"/>
            <w:i/>
            <w:iCs/>
            <w:sz w:val="16"/>
            <w:szCs w:val="16"/>
          </w:rPr>
          <w:t>Submission to the Committee against Torture – Convention against Torture follow-up procedure: Sixth periodic review of Australia</w:t>
        </w:r>
      </w:hyperlink>
      <w:r w:rsidRPr="00267651">
        <w:rPr>
          <w:rFonts w:cs="Readex Pro"/>
          <w:sz w:val="16"/>
          <w:szCs w:val="16"/>
        </w:rPr>
        <w:t xml:space="preserve"> (23 August 2024), pages</w:t>
      </w:r>
      <w:r w:rsidR="00D64259" w:rsidRPr="00267651">
        <w:rPr>
          <w:rFonts w:cs="Readex Pro"/>
          <w:sz w:val="16"/>
          <w:szCs w:val="16"/>
        </w:rPr>
        <w:t> </w:t>
      </w:r>
      <w:r w:rsidRPr="00267651">
        <w:rPr>
          <w:rFonts w:cs="Readex Pro"/>
          <w:sz w:val="16"/>
          <w:szCs w:val="16"/>
        </w:rPr>
        <w:t>9, 16–17.</w:t>
      </w:r>
    </w:p>
  </w:footnote>
  <w:footnote w:id="79">
    <w:p w14:paraId="77CE7824" w14:textId="518B053A"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Ratio of Aboriginal and Torres Strait Islander to non-Indigenous imprisonment rates. See Australian Bureau of Statistics (ABS), </w:t>
      </w:r>
      <w:hyperlink r:id="rId90" w:history="1">
        <w:r w:rsidRPr="00267651">
          <w:rPr>
            <w:rStyle w:val="Hyperlink"/>
            <w:rFonts w:cs="Readex Pro"/>
            <w:i/>
            <w:iCs/>
            <w:sz w:val="16"/>
            <w:szCs w:val="16"/>
          </w:rPr>
          <w:t>Prisoners in Australia 2024</w:t>
        </w:r>
      </w:hyperlink>
      <w:r w:rsidRPr="00267651">
        <w:rPr>
          <w:rFonts w:cs="Readex Pro"/>
          <w:sz w:val="16"/>
          <w:szCs w:val="16"/>
        </w:rPr>
        <w:t xml:space="preserve"> (19 December 2024), table 18.</w:t>
      </w:r>
    </w:p>
  </w:footnote>
  <w:footnote w:id="80">
    <w:p w14:paraId="46E3E90D" w14:textId="0BDD62B6"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AIHW,</w:t>
      </w:r>
      <w:r w:rsidR="001D02B9" w:rsidRPr="00267651">
        <w:rPr>
          <w:rFonts w:cs="Readex Pro"/>
          <w:sz w:val="16"/>
          <w:szCs w:val="16"/>
        </w:rPr>
        <w:t xml:space="preserve"> </w:t>
      </w:r>
      <w:hyperlink r:id="rId91" w:history="1">
        <w:r w:rsidR="001D02B9" w:rsidRPr="00267651">
          <w:rPr>
            <w:rStyle w:val="Hyperlink"/>
            <w:rFonts w:cs="Readex Pro"/>
            <w:sz w:val="16"/>
            <w:szCs w:val="16"/>
          </w:rPr>
          <w:t xml:space="preserve">‘Key findings’, </w:t>
        </w:r>
        <w:r w:rsidRPr="00267651">
          <w:rPr>
            <w:rStyle w:val="Hyperlink"/>
            <w:rFonts w:cs="Readex Pro"/>
            <w:i/>
            <w:iCs/>
            <w:sz w:val="16"/>
            <w:szCs w:val="16"/>
          </w:rPr>
          <w:t>Youth detention population in Australia 2024</w:t>
        </w:r>
      </w:hyperlink>
      <w:r w:rsidRPr="00267651">
        <w:rPr>
          <w:rFonts w:cs="Readex Pro"/>
          <w:sz w:val="16"/>
          <w:szCs w:val="16"/>
        </w:rPr>
        <w:t xml:space="preserve"> (13 December 2024).</w:t>
      </w:r>
    </w:p>
  </w:footnote>
  <w:footnote w:id="81">
    <w:p w14:paraId="307067D3" w14:textId="49466ED2"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The </w:t>
      </w:r>
      <w:hyperlink r:id="rId92" w:history="1">
        <w:r w:rsidRPr="00267651">
          <w:rPr>
            <w:rStyle w:val="Hyperlink"/>
            <w:rFonts w:cs="Readex Pro"/>
            <w:i/>
            <w:iCs/>
            <w:sz w:val="16"/>
            <w:szCs w:val="16"/>
          </w:rPr>
          <w:t>National Agreement on Closing the Gap</w:t>
        </w:r>
      </w:hyperlink>
      <w:r w:rsidRPr="00267651">
        <w:rPr>
          <w:rFonts w:cs="Readex Pro"/>
          <w:sz w:val="16"/>
          <w:szCs w:val="16"/>
        </w:rPr>
        <w:t xml:space="preserve"> is a July 2020 agreement between the Coalition of Aboriginal and Torres Strait Islander Peak Organisations and all Australian governments, “to enable Aboriginal and Torres Strait Islander people and governments to work together to overcome the inequality experienced by Aboriginal and Torres Strait Islander people, and achieve life outcomes equal to all Australians”. Target 10 of the National Agreement on Closing the Gap is to, by 2031, reduce the rate of Aboriginal and Torres Strait Islander adults held in incarceration by at least 15 per cent. Target 11 is to, by 2031, reduce the rate of Aboriginal and Torres Strait Islander young people (10-17 years) in detention by at least 30 per cent.</w:t>
      </w:r>
    </w:p>
  </w:footnote>
  <w:footnote w:id="82">
    <w:p w14:paraId="6BF8002B" w14:textId="60F2B85F" w:rsidR="007F1E9F" w:rsidRPr="00267651" w:rsidRDefault="007F1E9F" w:rsidP="00FA0C6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456C6E" w:rsidRPr="00267651">
        <w:rPr>
          <w:rFonts w:cs="Readex Pro"/>
          <w:sz w:val="16"/>
          <w:szCs w:val="16"/>
        </w:rPr>
        <w:t xml:space="preserve">Australian Government </w:t>
      </w:r>
      <w:r w:rsidRPr="00267651">
        <w:rPr>
          <w:rFonts w:cs="Readex Pro"/>
          <w:sz w:val="16"/>
          <w:szCs w:val="16"/>
        </w:rPr>
        <w:t xml:space="preserve">Productivity Commission, </w:t>
      </w:r>
      <w:hyperlink r:id="rId93" w:history="1">
        <w:r w:rsidRPr="00267651">
          <w:rPr>
            <w:rStyle w:val="Hyperlink"/>
            <w:rFonts w:cs="Readex Pro"/>
            <w:sz w:val="16"/>
            <w:szCs w:val="16"/>
          </w:rPr>
          <w:t xml:space="preserve">‘Socio-economic outcome area 10: Aboriginal and Torres Strait Islander adults are not overrepresented in the criminal justice system’ in </w:t>
        </w:r>
        <w:r w:rsidRPr="00267651">
          <w:rPr>
            <w:rStyle w:val="Hyperlink"/>
            <w:rFonts w:cs="Readex Pro"/>
            <w:i/>
            <w:iCs/>
            <w:sz w:val="16"/>
            <w:szCs w:val="16"/>
          </w:rPr>
          <w:t xml:space="preserve">Closing the Gap </w:t>
        </w:r>
        <w:r w:rsidR="00456C6E" w:rsidRPr="00267651">
          <w:rPr>
            <w:rStyle w:val="Hyperlink"/>
            <w:rFonts w:cs="Readex Pro"/>
            <w:i/>
            <w:iCs/>
            <w:sz w:val="16"/>
            <w:szCs w:val="16"/>
          </w:rPr>
          <w:t>I</w:t>
        </w:r>
        <w:r w:rsidRPr="00267651">
          <w:rPr>
            <w:rStyle w:val="Hyperlink"/>
            <w:rFonts w:cs="Readex Pro"/>
            <w:i/>
            <w:iCs/>
            <w:sz w:val="16"/>
            <w:szCs w:val="16"/>
          </w:rPr>
          <w:t xml:space="preserve">nformation </w:t>
        </w:r>
        <w:r w:rsidR="00456C6E" w:rsidRPr="00267651">
          <w:rPr>
            <w:rStyle w:val="Hyperlink"/>
            <w:rFonts w:cs="Readex Pro"/>
            <w:i/>
            <w:iCs/>
            <w:sz w:val="16"/>
            <w:szCs w:val="16"/>
          </w:rPr>
          <w:t>R</w:t>
        </w:r>
        <w:r w:rsidRPr="00267651">
          <w:rPr>
            <w:rStyle w:val="Hyperlink"/>
            <w:rFonts w:cs="Readex Pro"/>
            <w:i/>
            <w:iCs/>
            <w:sz w:val="16"/>
            <w:szCs w:val="16"/>
          </w:rPr>
          <w:t>epository</w:t>
        </w:r>
      </w:hyperlink>
      <w:r w:rsidRPr="00267651">
        <w:rPr>
          <w:rFonts w:cs="Readex Pro"/>
          <w:sz w:val="16"/>
          <w:szCs w:val="16"/>
        </w:rPr>
        <w:t xml:space="preserve"> (30 June 2024); </w:t>
      </w:r>
      <w:r w:rsidR="00456C6E" w:rsidRPr="00267651">
        <w:rPr>
          <w:rFonts w:cs="Readex Pro"/>
          <w:sz w:val="16"/>
          <w:szCs w:val="16"/>
        </w:rPr>
        <w:t>s</w:t>
      </w:r>
      <w:r w:rsidRPr="00267651">
        <w:rPr>
          <w:rFonts w:cs="Readex Pro"/>
          <w:sz w:val="16"/>
          <w:szCs w:val="16"/>
        </w:rPr>
        <w:t xml:space="preserve">ee also Jumbunna Institute for Indigenous Education and Research, </w:t>
      </w:r>
      <w:hyperlink r:id="rId94" w:history="1">
        <w:r w:rsidRPr="00267651">
          <w:rPr>
            <w:rStyle w:val="Hyperlink"/>
            <w:rFonts w:cs="Readex Pro"/>
            <w:i/>
            <w:iCs/>
            <w:sz w:val="16"/>
            <w:szCs w:val="16"/>
          </w:rPr>
          <w:t>Closing the Gap Independent Aboriginal and Torres Strait Islander Led Review</w:t>
        </w:r>
      </w:hyperlink>
      <w:r w:rsidRPr="00267651">
        <w:rPr>
          <w:rFonts w:cs="Readex Pro"/>
          <w:sz w:val="16"/>
          <w:szCs w:val="16"/>
        </w:rPr>
        <w:t xml:space="preserve"> (June 2025).</w:t>
      </w:r>
    </w:p>
  </w:footnote>
  <w:footnote w:id="83">
    <w:p w14:paraId="634BC3CB" w14:textId="0EDBE33F"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ABS,</w:t>
      </w:r>
      <w:r w:rsidR="00B57210" w:rsidRPr="00267651">
        <w:rPr>
          <w:rFonts w:cs="Readex Pro"/>
          <w:sz w:val="16"/>
          <w:szCs w:val="16"/>
        </w:rPr>
        <w:t xml:space="preserve"> above n </w:t>
      </w:r>
      <w:r w:rsidR="00B57210" w:rsidRPr="00267651">
        <w:rPr>
          <w:rFonts w:cs="Readex Pro"/>
          <w:sz w:val="16"/>
          <w:szCs w:val="16"/>
        </w:rPr>
        <w:fldChar w:fldCharType="begin"/>
      </w:r>
      <w:r w:rsidR="00B57210" w:rsidRPr="00267651">
        <w:rPr>
          <w:rFonts w:cs="Readex Pro"/>
          <w:sz w:val="16"/>
          <w:szCs w:val="16"/>
        </w:rPr>
        <w:instrText xml:space="preserve"> NOTEREF _Ref207045719 \h </w:instrText>
      </w:r>
      <w:r w:rsidR="003A2A00" w:rsidRPr="00267651">
        <w:rPr>
          <w:rFonts w:cs="Readex Pro"/>
          <w:sz w:val="16"/>
          <w:szCs w:val="16"/>
        </w:rPr>
        <w:instrText xml:space="preserve"> \* MERGEFORMAT </w:instrText>
      </w:r>
      <w:r w:rsidR="00B57210" w:rsidRPr="00267651">
        <w:rPr>
          <w:rFonts w:cs="Readex Pro"/>
          <w:sz w:val="16"/>
          <w:szCs w:val="16"/>
        </w:rPr>
      </w:r>
      <w:r w:rsidR="00B57210" w:rsidRPr="00267651">
        <w:rPr>
          <w:rFonts w:cs="Readex Pro"/>
          <w:sz w:val="16"/>
          <w:szCs w:val="16"/>
        </w:rPr>
        <w:fldChar w:fldCharType="separate"/>
      </w:r>
      <w:r w:rsidR="00B71AA0">
        <w:rPr>
          <w:rFonts w:cs="Readex Pro"/>
          <w:sz w:val="16"/>
          <w:szCs w:val="16"/>
        </w:rPr>
        <w:t>79</w:t>
      </w:r>
      <w:r w:rsidR="00B57210" w:rsidRPr="00267651">
        <w:rPr>
          <w:rFonts w:cs="Readex Pro"/>
          <w:sz w:val="16"/>
          <w:szCs w:val="16"/>
        </w:rPr>
        <w:fldChar w:fldCharType="end"/>
      </w:r>
      <w:r w:rsidR="00B57210" w:rsidRPr="00267651">
        <w:rPr>
          <w:rFonts w:cs="Readex Pro"/>
          <w:sz w:val="16"/>
          <w:szCs w:val="16"/>
        </w:rPr>
        <w:t xml:space="preserve">, </w:t>
      </w:r>
      <w:r w:rsidRPr="00267651">
        <w:rPr>
          <w:rFonts w:cs="Readex Pro"/>
          <w:sz w:val="16"/>
          <w:szCs w:val="16"/>
        </w:rPr>
        <w:t>table 2.</w:t>
      </w:r>
    </w:p>
  </w:footnote>
  <w:footnote w:id="84">
    <w:p w14:paraId="6CA34126" w14:textId="1F8614A7"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North Australian Aboriginal Justice Agency, </w:t>
      </w:r>
      <w:hyperlink r:id="rId95" w:history="1">
        <w:r w:rsidRPr="00267651">
          <w:rPr>
            <w:rStyle w:val="Hyperlink"/>
            <w:rFonts w:cs="Readex Pro"/>
            <w:i/>
            <w:iCs/>
            <w:sz w:val="16"/>
            <w:szCs w:val="16"/>
          </w:rPr>
          <w:t>Aboriginal people continue to be locked up at record levels putting lives at risk</w:t>
        </w:r>
      </w:hyperlink>
      <w:r w:rsidRPr="00267651">
        <w:rPr>
          <w:rFonts w:cs="Readex Pro"/>
          <w:sz w:val="16"/>
          <w:szCs w:val="16"/>
        </w:rPr>
        <w:t xml:space="preserve"> (17 February 2025).</w:t>
      </w:r>
    </w:p>
  </w:footnote>
  <w:footnote w:id="85">
    <w:p w14:paraId="508D9A9A" w14:textId="3ADF9DF1" w:rsidR="007F1E9F" w:rsidRPr="00267651" w:rsidRDefault="007F1E9F" w:rsidP="00183D77">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Aboriginal Deaths in Custody, </w:t>
      </w:r>
      <w:hyperlink r:id="rId96" w:history="1">
        <w:r w:rsidRPr="00267651">
          <w:rPr>
            <w:rStyle w:val="Hyperlink"/>
            <w:rFonts w:cs="Readex Pro"/>
            <w:i/>
            <w:iCs/>
            <w:sz w:val="16"/>
            <w:szCs w:val="16"/>
          </w:rPr>
          <w:t>National Report: Volume 1</w:t>
        </w:r>
      </w:hyperlink>
      <w:r w:rsidRPr="00267651">
        <w:rPr>
          <w:rFonts w:cs="Readex Pro"/>
          <w:sz w:val="16"/>
          <w:szCs w:val="16"/>
        </w:rPr>
        <w:t xml:space="preserve"> (1991)</w:t>
      </w:r>
      <w:r w:rsidR="00471B79" w:rsidRPr="00267651">
        <w:rPr>
          <w:rFonts w:cs="Readex Pro"/>
          <w:sz w:val="16"/>
          <w:szCs w:val="16"/>
        </w:rPr>
        <w:t>, paragraph</w:t>
      </w:r>
      <w:r w:rsidRPr="00267651">
        <w:rPr>
          <w:rFonts w:cs="Readex Pro"/>
          <w:sz w:val="16"/>
          <w:szCs w:val="16"/>
        </w:rPr>
        <w:t xml:space="preserve"> [1.7.1].</w:t>
      </w:r>
    </w:p>
  </w:footnote>
  <w:footnote w:id="86">
    <w:p w14:paraId="4E07390D" w14:textId="324A622D" w:rsidR="007F1E9F" w:rsidRPr="00267651" w:rsidRDefault="007F1E9F" w:rsidP="0010226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As of </w:t>
      </w:r>
      <w:r w:rsidR="00250359" w:rsidRPr="00267651">
        <w:rPr>
          <w:rFonts w:cs="Readex Pro"/>
          <w:sz w:val="16"/>
          <w:szCs w:val="16"/>
        </w:rPr>
        <w:t>5 September</w:t>
      </w:r>
      <w:r w:rsidRPr="00267651">
        <w:rPr>
          <w:rFonts w:cs="Readex Pro"/>
          <w:sz w:val="16"/>
          <w:szCs w:val="16"/>
        </w:rPr>
        <w:t xml:space="preserve"> 2025. See </w:t>
      </w:r>
      <w:r w:rsidR="00F31BA7" w:rsidRPr="00267651">
        <w:rPr>
          <w:rFonts w:cs="Readex Pro"/>
          <w:sz w:val="16"/>
          <w:szCs w:val="16"/>
        </w:rPr>
        <w:t>AIC</w:t>
      </w:r>
      <w:r w:rsidRPr="00267651">
        <w:rPr>
          <w:rFonts w:cs="Readex Pro"/>
          <w:sz w:val="16"/>
          <w:szCs w:val="16"/>
        </w:rPr>
        <w:t xml:space="preserve">, </w:t>
      </w:r>
      <w:hyperlink r:id="rId97" w:history="1">
        <w:r w:rsidRPr="00267651">
          <w:rPr>
            <w:rStyle w:val="Hyperlink"/>
            <w:rFonts w:cs="Readex Pro"/>
            <w:i/>
            <w:iCs/>
            <w:sz w:val="16"/>
            <w:szCs w:val="16"/>
          </w:rPr>
          <w:t>Deaths in custody in Australia</w:t>
        </w:r>
      </w:hyperlink>
      <w:r w:rsidRPr="00267651">
        <w:rPr>
          <w:rFonts w:cs="Readex Pro"/>
          <w:sz w:val="16"/>
          <w:szCs w:val="16"/>
        </w:rPr>
        <w:t>.</w:t>
      </w:r>
    </w:p>
  </w:footnote>
  <w:footnote w:id="87">
    <w:p w14:paraId="4D7C1C75" w14:textId="030ED214" w:rsidR="007F1E9F" w:rsidRPr="00267651" w:rsidRDefault="007F1E9F" w:rsidP="00661AE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31BA7" w:rsidRPr="00267651">
        <w:rPr>
          <w:rFonts w:cs="Readex Pro"/>
          <w:sz w:val="16"/>
          <w:szCs w:val="16"/>
        </w:rPr>
        <w:t>Ibid.</w:t>
      </w:r>
    </w:p>
  </w:footnote>
  <w:footnote w:id="88">
    <w:p w14:paraId="75E1BD39" w14:textId="1D2C88C2" w:rsidR="007F1E9F" w:rsidRPr="00267651" w:rsidRDefault="007F1E9F" w:rsidP="00820D8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ABS</w:t>
      </w:r>
      <w:r w:rsidR="00B85101" w:rsidRPr="00267651">
        <w:rPr>
          <w:rFonts w:cs="Readex Pro"/>
          <w:sz w:val="16"/>
          <w:szCs w:val="16"/>
        </w:rPr>
        <w:t xml:space="preserve">, above n </w:t>
      </w:r>
      <w:r w:rsidR="00B85101" w:rsidRPr="00267651">
        <w:rPr>
          <w:rFonts w:cs="Readex Pro"/>
          <w:sz w:val="16"/>
          <w:szCs w:val="16"/>
        </w:rPr>
        <w:fldChar w:fldCharType="begin"/>
      </w:r>
      <w:r w:rsidR="00B85101" w:rsidRPr="00267651">
        <w:rPr>
          <w:rFonts w:cs="Readex Pro"/>
          <w:sz w:val="16"/>
          <w:szCs w:val="16"/>
        </w:rPr>
        <w:instrText xml:space="preserve"> NOTEREF _Ref207045719 \h </w:instrText>
      </w:r>
      <w:r w:rsidR="003A2A00" w:rsidRPr="00267651">
        <w:rPr>
          <w:rFonts w:cs="Readex Pro"/>
          <w:sz w:val="16"/>
          <w:szCs w:val="16"/>
        </w:rPr>
        <w:instrText xml:space="preserve"> \* MERGEFORMAT </w:instrText>
      </w:r>
      <w:r w:rsidR="00B85101" w:rsidRPr="00267651">
        <w:rPr>
          <w:rFonts w:cs="Readex Pro"/>
          <w:sz w:val="16"/>
          <w:szCs w:val="16"/>
        </w:rPr>
      </w:r>
      <w:r w:rsidR="00B85101" w:rsidRPr="00267651">
        <w:rPr>
          <w:rFonts w:cs="Readex Pro"/>
          <w:sz w:val="16"/>
          <w:szCs w:val="16"/>
        </w:rPr>
        <w:fldChar w:fldCharType="separate"/>
      </w:r>
      <w:r w:rsidR="00B71AA0">
        <w:rPr>
          <w:rFonts w:cs="Readex Pro"/>
          <w:sz w:val="16"/>
          <w:szCs w:val="16"/>
        </w:rPr>
        <w:t>79</w:t>
      </w:r>
      <w:r w:rsidR="00B85101" w:rsidRPr="00267651">
        <w:rPr>
          <w:rFonts w:cs="Readex Pro"/>
          <w:sz w:val="16"/>
          <w:szCs w:val="16"/>
        </w:rPr>
        <w:fldChar w:fldCharType="end"/>
      </w:r>
      <w:r w:rsidR="00B85101" w:rsidRPr="00267651">
        <w:rPr>
          <w:rFonts w:cs="Readex Pro"/>
          <w:sz w:val="16"/>
          <w:szCs w:val="16"/>
        </w:rPr>
        <w:t>, table 18</w:t>
      </w:r>
      <w:r w:rsidRPr="00267651">
        <w:rPr>
          <w:rFonts w:cs="Readex Pro"/>
          <w:sz w:val="16"/>
          <w:szCs w:val="16"/>
        </w:rPr>
        <w:t xml:space="preserve">; ABS, </w:t>
      </w:r>
      <w:hyperlink r:id="rId98" w:history="1">
        <w:r w:rsidRPr="00267651">
          <w:rPr>
            <w:rStyle w:val="Hyperlink"/>
            <w:rFonts w:cs="Readex Pro"/>
            <w:i/>
            <w:iCs/>
            <w:sz w:val="16"/>
            <w:szCs w:val="16"/>
          </w:rPr>
          <w:t>Estimates of Aboriginal and Torres Strait Islander Australians</w:t>
        </w:r>
      </w:hyperlink>
      <w:r w:rsidRPr="00267651">
        <w:rPr>
          <w:rFonts w:cs="Readex Pro"/>
          <w:sz w:val="16"/>
          <w:szCs w:val="16"/>
        </w:rPr>
        <w:t xml:space="preserve"> (31 August 2023); Australian Law Reform Commission, </w:t>
      </w:r>
      <w:hyperlink r:id="rId99" w:history="1">
        <w:r w:rsidRPr="00267651">
          <w:rPr>
            <w:rStyle w:val="Hyperlink"/>
            <w:rFonts w:cs="Readex Pro"/>
            <w:i/>
            <w:iCs/>
            <w:sz w:val="16"/>
            <w:szCs w:val="16"/>
          </w:rPr>
          <w:t>Pathways to Justice—</w:t>
        </w:r>
        <w:r w:rsidR="00B85101" w:rsidRPr="00267651">
          <w:rPr>
            <w:rStyle w:val="Hyperlink"/>
            <w:rFonts w:cs="Readex Pro"/>
            <w:i/>
            <w:iCs/>
            <w:sz w:val="16"/>
            <w:szCs w:val="16"/>
          </w:rPr>
          <w:t xml:space="preserve">An </w:t>
        </w:r>
        <w:r w:rsidRPr="00267651">
          <w:rPr>
            <w:rStyle w:val="Hyperlink"/>
            <w:rFonts w:cs="Readex Pro"/>
            <w:i/>
            <w:iCs/>
            <w:sz w:val="16"/>
            <w:szCs w:val="16"/>
          </w:rPr>
          <w:t>Inquiry into the Incarceration Rate of Aboriginal and Torres Strait Islander Peoples</w:t>
        </w:r>
        <w:r w:rsidR="00B85101" w:rsidRPr="00267651">
          <w:rPr>
            <w:rStyle w:val="Hyperlink"/>
            <w:rFonts w:cs="Readex Pro"/>
            <w:i/>
            <w:iCs/>
            <w:sz w:val="16"/>
            <w:szCs w:val="16"/>
          </w:rPr>
          <w:t>: Final Report No 133</w:t>
        </w:r>
      </w:hyperlink>
      <w:r w:rsidRPr="00267651">
        <w:rPr>
          <w:rFonts w:cs="Readex Pro"/>
          <w:sz w:val="16"/>
          <w:szCs w:val="16"/>
        </w:rPr>
        <w:t xml:space="preserve"> (December 2017), page 152.</w:t>
      </w:r>
    </w:p>
  </w:footnote>
  <w:footnote w:id="89">
    <w:p w14:paraId="70253A6D" w14:textId="611C8FB1" w:rsidR="007F1E9F" w:rsidRPr="00267651" w:rsidRDefault="007F1E9F" w:rsidP="00820D8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r w:rsidR="00B85101" w:rsidRPr="00267651">
        <w:rPr>
          <w:rFonts w:cs="Readex Pro"/>
          <w:sz w:val="16"/>
          <w:szCs w:val="16"/>
        </w:rPr>
        <w:t xml:space="preserve">, </w:t>
      </w:r>
      <w:r w:rsidRPr="00267651">
        <w:rPr>
          <w:rFonts w:cs="Readex Pro"/>
          <w:sz w:val="16"/>
          <w:szCs w:val="16"/>
        </w:rPr>
        <w:t>page 149.</w:t>
      </w:r>
    </w:p>
  </w:footnote>
  <w:footnote w:id="90">
    <w:p w14:paraId="5F3F5837" w14:textId="6D091AAA" w:rsidR="007F1E9F" w:rsidRPr="00267651" w:rsidRDefault="007F1E9F" w:rsidP="00820D8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Aboriginal Deaths in Custody,</w:t>
      </w:r>
      <w:r w:rsidR="006261B5" w:rsidRPr="00267651">
        <w:rPr>
          <w:rFonts w:cs="Readex Pro"/>
          <w:sz w:val="16"/>
          <w:szCs w:val="16"/>
        </w:rPr>
        <w:t xml:space="preserve"> above n </w:t>
      </w:r>
      <w:r w:rsidR="006261B5" w:rsidRPr="00267651">
        <w:rPr>
          <w:rFonts w:cs="Readex Pro"/>
          <w:sz w:val="16"/>
          <w:szCs w:val="16"/>
        </w:rPr>
        <w:fldChar w:fldCharType="begin"/>
      </w:r>
      <w:r w:rsidR="006261B5" w:rsidRPr="00267651">
        <w:rPr>
          <w:rFonts w:cs="Readex Pro"/>
          <w:sz w:val="16"/>
          <w:szCs w:val="16"/>
        </w:rPr>
        <w:instrText xml:space="preserve"> NOTEREF _Ref207046506 \h </w:instrText>
      </w:r>
      <w:r w:rsidR="003A2A00" w:rsidRPr="00267651">
        <w:rPr>
          <w:rFonts w:cs="Readex Pro"/>
          <w:sz w:val="16"/>
          <w:szCs w:val="16"/>
        </w:rPr>
        <w:instrText xml:space="preserve"> \* MERGEFORMAT </w:instrText>
      </w:r>
      <w:r w:rsidR="006261B5" w:rsidRPr="00267651">
        <w:rPr>
          <w:rFonts w:cs="Readex Pro"/>
          <w:sz w:val="16"/>
          <w:szCs w:val="16"/>
        </w:rPr>
      </w:r>
      <w:r w:rsidR="006261B5" w:rsidRPr="00267651">
        <w:rPr>
          <w:rFonts w:cs="Readex Pro"/>
          <w:sz w:val="16"/>
          <w:szCs w:val="16"/>
        </w:rPr>
        <w:fldChar w:fldCharType="separate"/>
      </w:r>
      <w:r w:rsidR="00B71AA0">
        <w:rPr>
          <w:rFonts w:cs="Readex Pro"/>
          <w:sz w:val="16"/>
          <w:szCs w:val="16"/>
        </w:rPr>
        <w:t>85</w:t>
      </w:r>
      <w:r w:rsidR="006261B5" w:rsidRPr="00267651">
        <w:rPr>
          <w:rFonts w:cs="Readex Pro"/>
          <w:sz w:val="16"/>
          <w:szCs w:val="16"/>
        </w:rPr>
        <w:fldChar w:fldCharType="end"/>
      </w:r>
      <w:r w:rsidR="006261B5" w:rsidRPr="00267651">
        <w:rPr>
          <w:rFonts w:cs="Readex Pro"/>
          <w:sz w:val="16"/>
          <w:szCs w:val="16"/>
        </w:rPr>
        <w:t xml:space="preserve">, paragraph </w:t>
      </w:r>
      <w:r w:rsidRPr="00267651">
        <w:rPr>
          <w:rFonts w:cs="Readex Pro"/>
          <w:sz w:val="16"/>
          <w:szCs w:val="16"/>
        </w:rPr>
        <w:t>[1.7.1].</w:t>
      </w:r>
    </w:p>
  </w:footnote>
  <w:footnote w:id="91">
    <w:p w14:paraId="47FF3C72" w14:textId="30E29933" w:rsidR="007F1E9F" w:rsidRPr="00267651" w:rsidRDefault="007F1E9F" w:rsidP="00820D8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For example, in Victoria, the </w:t>
      </w:r>
      <w:proofErr w:type="spellStart"/>
      <w:r w:rsidRPr="00267651">
        <w:rPr>
          <w:rFonts w:cs="Readex Pro"/>
          <w:sz w:val="16"/>
          <w:szCs w:val="16"/>
        </w:rPr>
        <w:t>Yoorrook</w:t>
      </w:r>
      <w:proofErr w:type="spellEnd"/>
      <w:r w:rsidRPr="00267651">
        <w:rPr>
          <w:rFonts w:cs="Readex Pro"/>
          <w:sz w:val="16"/>
          <w:szCs w:val="16"/>
        </w:rPr>
        <w:t xml:space="preserve"> Justice Commission linked punitive bail law reforms in 2013 and 2018 to a 560% increase in the number of unsentenced Aboriginal and Torres Strait Islander people entering prison. It also noted Aboriginal and Torres Strait Islander women were disproportionately impacted by these reforms, and were often denied bail for repeat low-level, non-violent offending. </w:t>
      </w:r>
      <w:r w:rsidR="00ED2C77" w:rsidRPr="00267651">
        <w:rPr>
          <w:rFonts w:cs="Readex Pro"/>
          <w:sz w:val="16"/>
          <w:szCs w:val="16"/>
        </w:rPr>
        <w:t xml:space="preserve">See </w:t>
      </w:r>
      <w:proofErr w:type="spellStart"/>
      <w:r w:rsidRPr="00267651">
        <w:rPr>
          <w:rFonts w:cs="Readex Pro"/>
          <w:sz w:val="16"/>
          <w:szCs w:val="16"/>
        </w:rPr>
        <w:t>Yoorrook</w:t>
      </w:r>
      <w:proofErr w:type="spellEnd"/>
      <w:r w:rsidRPr="00267651">
        <w:rPr>
          <w:rFonts w:cs="Readex Pro"/>
          <w:sz w:val="16"/>
          <w:szCs w:val="16"/>
        </w:rPr>
        <w:t xml:space="preserve"> Justice Commission, </w:t>
      </w:r>
      <w:hyperlink r:id="rId100" w:history="1">
        <w:proofErr w:type="spellStart"/>
        <w:r w:rsidRPr="00267651">
          <w:rPr>
            <w:rStyle w:val="Hyperlink"/>
            <w:rFonts w:cs="Readex Pro"/>
            <w:i/>
            <w:iCs/>
            <w:sz w:val="16"/>
            <w:szCs w:val="16"/>
          </w:rPr>
          <w:t>Yoorrook</w:t>
        </w:r>
        <w:proofErr w:type="spellEnd"/>
        <w:r w:rsidRPr="00267651">
          <w:rPr>
            <w:rStyle w:val="Hyperlink"/>
            <w:rFonts w:cs="Readex Pro"/>
            <w:i/>
            <w:iCs/>
            <w:sz w:val="16"/>
            <w:szCs w:val="16"/>
          </w:rPr>
          <w:t xml:space="preserve"> for Justice: Report into Victoria’s Child Protection and Criminal Justice Systems</w:t>
        </w:r>
      </w:hyperlink>
      <w:r w:rsidRPr="00267651">
        <w:rPr>
          <w:rFonts w:cs="Readex Pro"/>
          <w:sz w:val="16"/>
          <w:szCs w:val="16"/>
        </w:rPr>
        <w:t xml:space="preserve"> (August 2023)</w:t>
      </w:r>
      <w:r w:rsidR="00ED2C77" w:rsidRPr="00267651">
        <w:rPr>
          <w:rFonts w:cs="Readex Pro"/>
          <w:sz w:val="16"/>
          <w:szCs w:val="16"/>
        </w:rPr>
        <w:t>,</w:t>
      </w:r>
      <w:r w:rsidRPr="00267651">
        <w:rPr>
          <w:rFonts w:cs="Readex Pro"/>
          <w:sz w:val="16"/>
          <w:szCs w:val="16"/>
        </w:rPr>
        <w:t xml:space="preserve"> pages 14, 21. In SA, Aboriginal and Torres Strait Islander people </w:t>
      </w:r>
      <w:r w:rsidR="00ED2C77" w:rsidRPr="00267651">
        <w:rPr>
          <w:rFonts w:cs="Readex Pro"/>
          <w:sz w:val="16"/>
          <w:szCs w:val="16"/>
        </w:rPr>
        <w:t>a</w:t>
      </w:r>
      <w:r w:rsidRPr="00267651">
        <w:rPr>
          <w:rFonts w:cs="Readex Pro"/>
          <w:sz w:val="16"/>
          <w:szCs w:val="16"/>
        </w:rPr>
        <w:t xml:space="preserve">re also overrepresented in the remand population. A 2023 report noted that a greater proportion of Aboriginal and Torres Strait Islander people were sentenced to ‘time-served’ than non-Aboriginal people, due in part to barriers to being granted bail and delays in court timeframes. </w:t>
      </w:r>
      <w:r w:rsidR="00ED2C77" w:rsidRPr="00267651">
        <w:rPr>
          <w:rFonts w:cs="Readex Pro"/>
          <w:sz w:val="16"/>
          <w:szCs w:val="16"/>
        </w:rPr>
        <w:t>See Government of SA – Attorney-General’s Department</w:t>
      </w:r>
      <w:r w:rsidRPr="00267651">
        <w:rPr>
          <w:rFonts w:cs="Readex Pro"/>
          <w:sz w:val="16"/>
          <w:szCs w:val="16"/>
        </w:rPr>
        <w:t xml:space="preserve">, </w:t>
      </w:r>
      <w:hyperlink r:id="rId101" w:history="1">
        <w:r w:rsidRPr="00267651">
          <w:rPr>
            <w:rStyle w:val="Hyperlink"/>
            <w:rFonts w:cs="Readex Pro"/>
            <w:i/>
            <w:iCs/>
            <w:sz w:val="16"/>
            <w:szCs w:val="16"/>
          </w:rPr>
          <w:t>Report of the Advisory Commission into the Incarceration Rates of Aboriginal Peoples in South Australia</w:t>
        </w:r>
      </w:hyperlink>
      <w:r w:rsidRPr="00267651">
        <w:rPr>
          <w:rFonts w:cs="Readex Pro"/>
          <w:sz w:val="16"/>
          <w:szCs w:val="16"/>
        </w:rPr>
        <w:t xml:space="preserve"> (February 2023)</w:t>
      </w:r>
      <w:r w:rsidR="00ED2C77" w:rsidRPr="00267651">
        <w:rPr>
          <w:rFonts w:cs="Readex Pro"/>
          <w:sz w:val="16"/>
          <w:szCs w:val="16"/>
        </w:rPr>
        <w:t>,</w:t>
      </w:r>
      <w:r w:rsidRPr="00267651">
        <w:rPr>
          <w:rFonts w:cs="Readex Pro"/>
          <w:sz w:val="16"/>
          <w:szCs w:val="16"/>
        </w:rPr>
        <w:t xml:space="preserve"> pages 30-33.</w:t>
      </w:r>
    </w:p>
  </w:footnote>
  <w:footnote w:id="92">
    <w:p w14:paraId="2E64E7F5" w14:textId="65515287"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ABS,</w:t>
      </w:r>
      <w:r w:rsidR="009E7576" w:rsidRPr="00267651">
        <w:rPr>
          <w:rFonts w:cs="Readex Pro"/>
          <w:sz w:val="16"/>
          <w:szCs w:val="16"/>
        </w:rPr>
        <w:t xml:space="preserve"> above n </w:t>
      </w:r>
      <w:r w:rsidR="009E7576" w:rsidRPr="00267651">
        <w:rPr>
          <w:rFonts w:cs="Readex Pro"/>
          <w:sz w:val="16"/>
          <w:szCs w:val="16"/>
        </w:rPr>
        <w:fldChar w:fldCharType="begin"/>
      </w:r>
      <w:r w:rsidR="009E7576" w:rsidRPr="00267651">
        <w:rPr>
          <w:rFonts w:cs="Readex Pro"/>
          <w:sz w:val="16"/>
          <w:szCs w:val="16"/>
        </w:rPr>
        <w:instrText xml:space="preserve"> NOTEREF _Ref207045719 \h </w:instrText>
      </w:r>
      <w:r w:rsidR="003A2A00" w:rsidRPr="00267651">
        <w:rPr>
          <w:rFonts w:cs="Readex Pro"/>
          <w:sz w:val="16"/>
          <w:szCs w:val="16"/>
        </w:rPr>
        <w:instrText xml:space="preserve"> \* MERGEFORMAT </w:instrText>
      </w:r>
      <w:r w:rsidR="009E7576" w:rsidRPr="00267651">
        <w:rPr>
          <w:rFonts w:cs="Readex Pro"/>
          <w:sz w:val="16"/>
          <w:szCs w:val="16"/>
        </w:rPr>
      </w:r>
      <w:r w:rsidR="009E7576" w:rsidRPr="00267651">
        <w:rPr>
          <w:rFonts w:cs="Readex Pro"/>
          <w:sz w:val="16"/>
          <w:szCs w:val="16"/>
        </w:rPr>
        <w:fldChar w:fldCharType="separate"/>
      </w:r>
      <w:r w:rsidR="00B71AA0">
        <w:rPr>
          <w:rFonts w:cs="Readex Pro"/>
          <w:sz w:val="16"/>
          <w:szCs w:val="16"/>
        </w:rPr>
        <w:t>79</w:t>
      </w:r>
      <w:r w:rsidR="009E7576" w:rsidRPr="00267651">
        <w:rPr>
          <w:rFonts w:cs="Readex Pro"/>
          <w:sz w:val="16"/>
          <w:szCs w:val="16"/>
        </w:rPr>
        <w:fldChar w:fldCharType="end"/>
      </w:r>
      <w:r w:rsidRPr="00267651">
        <w:rPr>
          <w:rFonts w:cs="Readex Pro"/>
          <w:sz w:val="16"/>
          <w:szCs w:val="16"/>
        </w:rPr>
        <w:t>, table 2. In comparison, the number of people serving a sentence of imprisonment increased by only 1.5% over the same period.</w:t>
      </w:r>
    </w:p>
  </w:footnote>
  <w:footnote w:id="93">
    <w:p w14:paraId="70237F10" w14:textId="3D2DE518"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w:t>
      </w:r>
      <w:r w:rsidR="00885550" w:rsidRPr="00267651">
        <w:rPr>
          <w:rFonts w:cs="Readex Pro"/>
          <w:sz w:val="16"/>
          <w:szCs w:val="16"/>
        </w:rPr>
        <w:t>WA OICS</w:t>
      </w:r>
      <w:r w:rsidRPr="00267651">
        <w:rPr>
          <w:rFonts w:cs="Readex Pro"/>
          <w:sz w:val="16"/>
          <w:szCs w:val="16"/>
        </w:rPr>
        <w:t xml:space="preserve">, </w:t>
      </w:r>
      <w:hyperlink r:id="rId102" w:history="1">
        <w:r w:rsidRPr="00267651">
          <w:rPr>
            <w:rStyle w:val="Hyperlink"/>
            <w:rFonts w:cs="Readex Pro"/>
            <w:i/>
            <w:iCs/>
            <w:sz w:val="16"/>
            <w:szCs w:val="16"/>
          </w:rPr>
          <w:t>Annual Report 2023–24</w:t>
        </w:r>
      </w:hyperlink>
      <w:r w:rsidRPr="00267651">
        <w:rPr>
          <w:rFonts w:cs="Readex Pro"/>
          <w:sz w:val="16"/>
          <w:szCs w:val="16"/>
        </w:rPr>
        <w:t xml:space="preserve"> (September 2024)</w:t>
      </w:r>
      <w:r w:rsidR="00885550" w:rsidRPr="00267651">
        <w:rPr>
          <w:rFonts w:cs="Readex Pro"/>
          <w:sz w:val="16"/>
          <w:szCs w:val="16"/>
        </w:rPr>
        <w:t>,</w:t>
      </w:r>
      <w:r w:rsidRPr="00267651">
        <w:rPr>
          <w:rFonts w:cs="Readex Pro"/>
          <w:sz w:val="16"/>
          <w:szCs w:val="16"/>
        </w:rPr>
        <w:t xml:space="preserve"> page 23; </w:t>
      </w:r>
      <w:r w:rsidR="00885550" w:rsidRPr="00267651">
        <w:rPr>
          <w:rFonts w:cs="Readex Pro"/>
          <w:sz w:val="16"/>
          <w:szCs w:val="16"/>
        </w:rPr>
        <w:t>ACT OICS</w:t>
      </w:r>
      <w:r w:rsidRPr="00267651">
        <w:rPr>
          <w:rFonts w:cs="Readex Pro"/>
          <w:sz w:val="16"/>
          <w:szCs w:val="16"/>
        </w:rPr>
        <w:t xml:space="preserve">, </w:t>
      </w:r>
      <w:hyperlink r:id="rId103" w:history="1">
        <w:r w:rsidRPr="00267651">
          <w:rPr>
            <w:rStyle w:val="Hyperlink"/>
            <w:rFonts w:cs="Readex Pro"/>
            <w:i/>
            <w:iCs/>
            <w:sz w:val="16"/>
            <w:szCs w:val="16"/>
          </w:rPr>
          <w:t>Submission 015: Inquiry into the Administration of B</w:t>
        </w:r>
        <w:r w:rsidR="00885550" w:rsidRPr="00267651">
          <w:rPr>
            <w:rStyle w:val="Hyperlink"/>
            <w:rFonts w:cs="Readex Pro"/>
            <w:i/>
            <w:iCs/>
            <w:sz w:val="16"/>
            <w:szCs w:val="16"/>
          </w:rPr>
          <w:t>ail – Standing Committee on Justice and Community Safety, ACT Legislative Assembly</w:t>
        </w:r>
      </w:hyperlink>
      <w:r w:rsidRPr="00267651">
        <w:rPr>
          <w:rFonts w:cs="Readex Pro"/>
          <w:sz w:val="16"/>
          <w:szCs w:val="16"/>
        </w:rPr>
        <w:t xml:space="preserve"> (19 June 2024).</w:t>
      </w:r>
    </w:p>
  </w:footnote>
  <w:footnote w:id="94">
    <w:p w14:paraId="1CCE7995" w14:textId="250ACEAD"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576B29" w:rsidRPr="00267651">
        <w:rPr>
          <w:rFonts w:cs="Readex Pro"/>
          <w:sz w:val="16"/>
          <w:szCs w:val="16"/>
        </w:rPr>
        <w:t>Based on average number on the first day of the month, across the quarter.</w:t>
      </w:r>
      <w:r w:rsidR="0086589B" w:rsidRPr="00267651">
        <w:rPr>
          <w:rFonts w:cs="Readex Pro"/>
          <w:sz w:val="16"/>
          <w:szCs w:val="16"/>
        </w:rPr>
        <w:t xml:space="preserve"> ABS, </w:t>
      </w:r>
      <w:hyperlink r:id="rId104" w:history="1">
        <w:r w:rsidR="0086589B" w:rsidRPr="00267651">
          <w:rPr>
            <w:rStyle w:val="Hyperlink"/>
            <w:rFonts w:cs="Readex Pro"/>
            <w:i/>
            <w:iCs/>
            <w:sz w:val="16"/>
            <w:szCs w:val="16"/>
          </w:rPr>
          <w:t>Corrective Services, Australia</w:t>
        </w:r>
        <w:r w:rsidR="00D96966" w:rsidRPr="00267651">
          <w:rPr>
            <w:rStyle w:val="Hyperlink"/>
            <w:rFonts w:cs="Readex Pro"/>
            <w:i/>
            <w:iCs/>
            <w:sz w:val="16"/>
            <w:szCs w:val="16"/>
          </w:rPr>
          <w:t xml:space="preserve"> – March Quarter 2025</w:t>
        </w:r>
      </w:hyperlink>
      <w:r w:rsidR="00D96966" w:rsidRPr="00267651">
        <w:rPr>
          <w:rFonts w:cs="Readex Pro"/>
          <w:sz w:val="16"/>
          <w:szCs w:val="16"/>
        </w:rPr>
        <w:t xml:space="preserve"> (12 June 2025)</w:t>
      </w:r>
      <w:r w:rsidRPr="00267651">
        <w:rPr>
          <w:rFonts w:cs="Readex Pro"/>
          <w:sz w:val="16"/>
          <w:szCs w:val="16"/>
        </w:rPr>
        <w:t>.</w:t>
      </w:r>
    </w:p>
  </w:footnote>
  <w:footnote w:id="95">
    <w:p w14:paraId="381B0AD8" w14:textId="7B04DFAD"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74FED" w:rsidRPr="00267651">
        <w:rPr>
          <w:rFonts w:cs="Readex Pro"/>
          <w:sz w:val="16"/>
          <w:szCs w:val="16"/>
        </w:rPr>
        <w:t>Ibid</w:t>
      </w:r>
      <w:r w:rsidR="00E27B7F" w:rsidRPr="00267651">
        <w:rPr>
          <w:rFonts w:cs="Readex Pro"/>
          <w:sz w:val="16"/>
          <w:szCs w:val="16"/>
        </w:rPr>
        <w:t xml:space="preserve">; ABS, </w:t>
      </w:r>
      <w:hyperlink r:id="rId105" w:history="1">
        <w:r w:rsidR="00A314CC" w:rsidRPr="00267651">
          <w:rPr>
            <w:rStyle w:val="Hyperlink"/>
            <w:rFonts w:cs="Readex Pro"/>
            <w:i/>
            <w:iCs/>
            <w:sz w:val="16"/>
            <w:szCs w:val="16"/>
          </w:rPr>
          <w:t>Corrective Services, Australia – March Quarter 2015</w:t>
        </w:r>
      </w:hyperlink>
      <w:r w:rsidR="00A314CC" w:rsidRPr="00267651">
        <w:rPr>
          <w:rFonts w:cs="Readex Pro"/>
          <w:sz w:val="16"/>
          <w:szCs w:val="16"/>
        </w:rPr>
        <w:t xml:space="preserve"> (11 June 2015)</w:t>
      </w:r>
      <w:r w:rsidR="00805A7B" w:rsidRPr="00267651">
        <w:rPr>
          <w:rFonts w:cs="Readex Pro"/>
          <w:sz w:val="16"/>
          <w:szCs w:val="16"/>
        </w:rPr>
        <w:t>.</w:t>
      </w:r>
    </w:p>
  </w:footnote>
  <w:footnote w:id="96">
    <w:p w14:paraId="007BBF6A" w14:textId="3EC82DA5"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10DD2" w:rsidRPr="00267651">
        <w:rPr>
          <w:rFonts w:cs="Readex Pro"/>
          <w:sz w:val="16"/>
          <w:szCs w:val="16"/>
        </w:rPr>
        <w:t xml:space="preserve">This represents the number of </w:t>
      </w:r>
      <w:r w:rsidR="000F27AA" w:rsidRPr="00267651">
        <w:rPr>
          <w:rFonts w:cs="Readex Pro"/>
          <w:sz w:val="16"/>
          <w:szCs w:val="16"/>
        </w:rPr>
        <w:t>people</w:t>
      </w:r>
      <w:r w:rsidR="003A2A00" w:rsidRPr="00267651">
        <w:rPr>
          <w:rFonts w:cs="Readex Pro"/>
          <w:sz w:val="16"/>
          <w:szCs w:val="16"/>
        </w:rPr>
        <w:t>,</w:t>
      </w:r>
      <w:r w:rsidR="000F27AA" w:rsidRPr="00267651">
        <w:rPr>
          <w:rFonts w:cs="Readex Pro"/>
          <w:sz w:val="16"/>
          <w:szCs w:val="16"/>
        </w:rPr>
        <w:t xml:space="preserve"> per 100,000 adult</w:t>
      </w:r>
      <w:r w:rsidR="006E00DA" w:rsidRPr="00267651">
        <w:rPr>
          <w:rFonts w:cs="Readex Pro"/>
          <w:sz w:val="16"/>
          <w:szCs w:val="16"/>
        </w:rPr>
        <w:t xml:space="preserve"> population</w:t>
      </w:r>
      <w:r w:rsidR="000F27AA" w:rsidRPr="00267651">
        <w:rPr>
          <w:rFonts w:cs="Readex Pro"/>
          <w:sz w:val="16"/>
          <w:szCs w:val="16"/>
        </w:rPr>
        <w:t xml:space="preserve">, </w:t>
      </w:r>
      <w:r w:rsidR="007942F4" w:rsidRPr="00267651">
        <w:rPr>
          <w:rFonts w:cs="Readex Pro"/>
          <w:sz w:val="16"/>
          <w:szCs w:val="16"/>
        </w:rPr>
        <w:t xml:space="preserve">in prison and either unsentenced, or serving a sentence of imprisonment. </w:t>
      </w:r>
      <w:r w:rsidR="006E00DA" w:rsidRPr="00267651">
        <w:rPr>
          <w:rFonts w:cs="Readex Pro"/>
          <w:sz w:val="16"/>
          <w:szCs w:val="16"/>
        </w:rPr>
        <w:t xml:space="preserve">Based on average daily number, across the relevant quarter. </w:t>
      </w:r>
      <w:r w:rsidR="000A4E06" w:rsidRPr="00267651">
        <w:rPr>
          <w:rFonts w:cs="Readex Pro"/>
          <w:sz w:val="16"/>
          <w:szCs w:val="16"/>
        </w:rPr>
        <w:t>ABS, above</w:t>
      </w:r>
      <w:r w:rsidR="001412A4" w:rsidRPr="00267651">
        <w:rPr>
          <w:rFonts w:cs="Readex Pro"/>
          <w:sz w:val="16"/>
          <w:szCs w:val="16"/>
        </w:rPr>
        <w:t xml:space="preserve"> n </w:t>
      </w:r>
      <w:r w:rsidR="00185525" w:rsidRPr="00267651">
        <w:rPr>
          <w:rFonts w:cs="Readex Pro"/>
          <w:sz w:val="16"/>
          <w:szCs w:val="16"/>
        </w:rPr>
        <w:fldChar w:fldCharType="begin"/>
      </w:r>
      <w:r w:rsidR="00185525" w:rsidRPr="00267651">
        <w:rPr>
          <w:rFonts w:cs="Readex Pro"/>
          <w:sz w:val="16"/>
          <w:szCs w:val="16"/>
        </w:rPr>
        <w:instrText xml:space="preserve"> NOTEREF _Ref207123562 \h </w:instrText>
      </w:r>
      <w:r w:rsidR="006E00DA" w:rsidRPr="00267651">
        <w:rPr>
          <w:rFonts w:cs="Readex Pro"/>
          <w:sz w:val="16"/>
          <w:szCs w:val="16"/>
        </w:rPr>
        <w:instrText xml:space="preserve"> \* MERGEFORMAT </w:instrText>
      </w:r>
      <w:r w:rsidR="00185525" w:rsidRPr="00267651">
        <w:rPr>
          <w:rFonts w:cs="Readex Pro"/>
          <w:sz w:val="16"/>
          <w:szCs w:val="16"/>
        </w:rPr>
      </w:r>
      <w:r w:rsidR="00185525" w:rsidRPr="00267651">
        <w:rPr>
          <w:rFonts w:cs="Readex Pro"/>
          <w:sz w:val="16"/>
          <w:szCs w:val="16"/>
        </w:rPr>
        <w:fldChar w:fldCharType="separate"/>
      </w:r>
      <w:r w:rsidR="00B71AA0">
        <w:rPr>
          <w:rFonts w:cs="Readex Pro"/>
          <w:sz w:val="16"/>
          <w:szCs w:val="16"/>
        </w:rPr>
        <w:t>94</w:t>
      </w:r>
      <w:r w:rsidR="00185525" w:rsidRPr="00267651">
        <w:rPr>
          <w:rFonts w:cs="Readex Pro"/>
          <w:sz w:val="16"/>
          <w:szCs w:val="16"/>
        </w:rPr>
        <w:fldChar w:fldCharType="end"/>
      </w:r>
      <w:r w:rsidR="000A4E06" w:rsidRPr="00267651">
        <w:rPr>
          <w:rFonts w:cs="Readex Pro"/>
          <w:sz w:val="16"/>
          <w:szCs w:val="16"/>
        </w:rPr>
        <w:t xml:space="preserve">, table </w:t>
      </w:r>
      <w:r w:rsidR="005F565D" w:rsidRPr="00267651">
        <w:rPr>
          <w:rFonts w:cs="Readex Pro"/>
          <w:sz w:val="16"/>
          <w:szCs w:val="16"/>
        </w:rPr>
        <w:t>6</w:t>
      </w:r>
      <w:r w:rsidR="00185525" w:rsidRPr="00267651">
        <w:rPr>
          <w:rFonts w:cs="Readex Pro"/>
          <w:sz w:val="16"/>
          <w:szCs w:val="16"/>
        </w:rPr>
        <w:t xml:space="preserve">; ABS, above n </w:t>
      </w:r>
      <w:r w:rsidR="00185525" w:rsidRPr="00267651">
        <w:rPr>
          <w:rFonts w:cs="Readex Pro"/>
          <w:sz w:val="16"/>
          <w:szCs w:val="16"/>
        </w:rPr>
        <w:fldChar w:fldCharType="begin"/>
      </w:r>
      <w:r w:rsidR="00185525" w:rsidRPr="00267651">
        <w:rPr>
          <w:rFonts w:cs="Readex Pro"/>
          <w:sz w:val="16"/>
          <w:szCs w:val="16"/>
        </w:rPr>
        <w:instrText xml:space="preserve"> NOTEREF _Ref207124094 \h </w:instrText>
      </w:r>
      <w:r w:rsidR="006E00DA" w:rsidRPr="00267651">
        <w:rPr>
          <w:rFonts w:cs="Readex Pro"/>
          <w:sz w:val="16"/>
          <w:szCs w:val="16"/>
        </w:rPr>
        <w:instrText xml:space="preserve"> \* MERGEFORMAT </w:instrText>
      </w:r>
      <w:r w:rsidR="00185525" w:rsidRPr="00267651">
        <w:rPr>
          <w:rFonts w:cs="Readex Pro"/>
          <w:sz w:val="16"/>
          <w:szCs w:val="16"/>
        </w:rPr>
      </w:r>
      <w:r w:rsidR="00185525" w:rsidRPr="00267651">
        <w:rPr>
          <w:rFonts w:cs="Readex Pro"/>
          <w:sz w:val="16"/>
          <w:szCs w:val="16"/>
        </w:rPr>
        <w:fldChar w:fldCharType="separate"/>
      </w:r>
      <w:r w:rsidR="00B71AA0">
        <w:rPr>
          <w:rFonts w:cs="Readex Pro"/>
          <w:sz w:val="16"/>
          <w:szCs w:val="16"/>
        </w:rPr>
        <w:t>95</w:t>
      </w:r>
      <w:r w:rsidR="00185525" w:rsidRPr="00267651">
        <w:rPr>
          <w:rFonts w:cs="Readex Pro"/>
          <w:sz w:val="16"/>
          <w:szCs w:val="16"/>
        </w:rPr>
        <w:fldChar w:fldCharType="end"/>
      </w:r>
      <w:r w:rsidR="00185525" w:rsidRPr="00267651">
        <w:rPr>
          <w:rFonts w:cs="Readex Pro"/>
          <w:sz w:val="16"/>
          <w:szCs w:val="16"/>
        </w:rPr>
        <w:t xml:space="preserve">, </w:t>
      </w:r>
      <w:r w:rsidR="00491375" w:rsidRPr="00267651">
        <w:rPr>
          <w:rFonts w:cs="Readex Pro"/>
          <w:sz w:val="16"/>
          <w:szCs w:val="16"/>
        </w:rPr>
        <w:t>table 9</w:t>
      </w:r>
      <w:r w:rsidRPr="00267651">
        <w:rPr>
          <w:rFonts w:cs="Readex Pro"/>
          <w:sz w:val="16"/>
          <w:szCs w:val="16"/>
        </w:rPr>
        <w:t>.</w:t>
      </w:r>
    </w:p>
  </w:footnote>
  <w:footnote w:id="97">
    <w:p w14:paraId="266AE8CD" w14:textId="70B06071"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90FF4" w:rsidRPr="00267651">
        <w:rPr>
          <w:rFonts w:cs="Readex Pro"/>
          <w:sz w:val="16"/>
          <w:szCs w:val="16"/>
        </w:rPr>
        <w:t xml:space="preserve">L </w:t>
      </w:r>
      <w:proofErr w:type="spellStart"/>
      <w:r w:rsidRPr="00267651">
        <w:rPr>
          <w:rFonts w:cs="Readex Pro"/>
          <w:sz w:val="16"/>
          <w:szCs w:val="16"/>
        </w:rPr>
        <w:t>Schetzer</w:t>
      </w:r>
      <w:proofErr w:type="spellEnd"/>
      <w:r w:rsidR="00890FF4" w:rsidRPr="00267651">
        <w:rPr>
          <w:rFonts w:cs="Readex Pro"/>
          <w:sz w:val="16"/>
          <w:szCs w:val="16"/>
        </w:rPr>
        <w:t xml:space="preserve"> and M </w:t>
      </w:r>
      <w:proofErr w:type="spellStart"/>
      <w:r w:rsidRPr="00267651">
        <w:rPr>
          <w:rFonts w:cs="Readex Pro"/>
          <w:sz w:val="16"/>
          <w:szCs w:val="16"/>
        </w:rPr>
        <w:t>Sotiri</w:t>
      </w:r>
      <w:proofErr w:type="spellEnd"/>
      <w:r w:rsidRPr="00267651">
        <w:rPr>
          <w:rFonts w:cs="Readex Pro"/>
          <w:sz w:val="16"/>
          <w:szCs w:val="16"/>
        </w:rPr>
        <w:t>,</w:t>
      </w:r>
      <w:r w:rsidR="00890FF4" w:rsidRPr="00267651">
        <w:rPr>
          <w:rFonts w:cs="Readex Pro"/>
          <w:sz w:val="16"/>
          <w:szCs w:val="16"/>
        </w:rPr>
        <w:t xml:space="preserve"> </w:t>
      </w:r>
      <w:hyperlink r:id="rId106" w:history="1">
        <w:r w:rsidR="00890FF4" w:rsidRPr="00267651">
          <w:rPr>
            <w:rStyle w:val="Hyperlink"/>
            <w:rFonts w:cs="Readex Pro"/>
            <w:sz w:val="16"/>
            <w:szCs w:val="16"/>
          </w:rPr>
          <w:t>‘R</w:t>
        </w:r>
        <w:r w:rsidRPr="00267651">
          <w:rPr>
            <w:rStyle w:val="Hyperlink"/>
            <w:rFonts w:cs="Readex Pro"/>
            <w:sz w:val="16"/>
            <w:szCs w:val="16"/>
          </w:rPr>
          <w:t>eforming Bail and Remand</w:t>
        </w:r>
        <w:r w:rsidR="00890FF4" w:rsidRPr="00267651">
          <w:rPr>
            <w:rStyle w:val="Hyperlink"/>
            <w:rFonts w:cs="Readex Pro"/>
            <w:sz w:val="16"/>
            <w:szCs w:val="16"/>
          </w:rPr>
          <w:t xml:space="preserve">’, </w:t>
        </w:r>
        <w:r w:rsidR="00890FF4" w:rsidRPr="00267651">
          <w:rPr>
            <w:rStyle w:val="Hyperlink"/>
            <w:rFonts w:cs="Readex Pro"/>
            <w:i/>
            <w:iCs/>
            <w:sz w:val="16"/>
            <w:szCs w:val="16"/>
          </w:rPr>
          <w:t>Justice Reform Initiative Position Paper</w:t>
        </w:r>
      </w:hyperlink>
      <w:r w:rsidRPr="00267651">
        <w:rPr>
          <w:rFonts w:cs="Readex Pro"/>
          <w:sz w:val="16"/>
          <w:szCs w:val="16"/>
        </w:rPr>
        <w:t xml:space="preserve"> (November 2024).</w:t>
      </w:r>
    </w:p>
  </w:footnote>
  <w:footnote w:id="98">
    <w:p w14:paraId="6E71C927" w14:textId="6E97FA11"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687FC5" w:rsidRPr="00267651">
        <w:rPr>
          <w:rFonts w:cs="Readex Pro"/>
          <w:sz w:val="16"/>
          <w:szCs w:val="16"/>
        </w:rPr>
        <w:t xml:space="preserve">See e.g. </w:t>
      </w:r>
      <w:r w:rsidR="00313D9D" w:rsidRPr="00267651">
        <w:rPr>
          <w:rFonts w:cs="Readex Pro"/>
          <w:sz w:val="16"/>
          <w:szCs w:val="16"/>
        </w:rPr>
        <w:t xml:space="preserve">M </w:t>
      </w:r>
      <w:r w:rsidRPr="00267651">
        <w:rPr>
          <w:rFonts w:cs="Readex Pro"/>
          <w:sz w:val="16"/>
          <w:szCs w:val="16"/>
        </w:rPr>
        <w:t>Travers</w:t>
      </w:r>
      <w:r w:rsidR="00313D9D" w:rsidRPr="00267651">
        <w:rPr>
          <w:rFonts w:cs="Readex Pro"/>
          <w:sz w:val="16"/>
          <w:szCs w:val="16"/>
        </w:rPr>
        <w:t xml:space="preserve"> et al,</w:t>
      </w:r>
      <w:r w:rsidRPr="00267651">
        <w:rPr>
          <w:rFonts w:cs="Readex Pro"/>
          <w:sz w:val="16"/>
          <w:szCs w:val="16"/>
        </w:rPr>
        <w:t xml:space="preserve"> </w:t>
      </w:r>
      <w:hyperlink r:id="rId107" w:history="1">
        <w:r w:rsidRPr="00267651">
          <w:rPr>
            <w:rStyle w:val="Hyperlink"/>
            <w:rFonts w:cs="Readex Pro"/>
            <w:sz w:val="16"/>
            <w:szCs w:val="16"/>
          </w:rPr>
          <w:t>‘Bail practices and policy alternatives in Austral</w:t>
        </w:r>
        <w:r w:rsidR="00313D9D" w:rsidRPr="00267651">
          <w:rPr>
            <w:rStyle w:val="Hyperlink"/>
            <w:rFonts w:cs="Readex Pro"/>
            <w:sz w:val="16"/>
            <w:szCs w:val="16"/>
          </w:rPr>
          <w:t xml:space="preserve">ia’, AIC: </w:t>
        </w:r>
        <w:r w:rsidR="00313D9D" w:rsidRPr="00267651">
          <w:rPr>
            <w:rStyle w:val="Hyperlink"/>
            <w:rFonts w:cs="Readex Pro"/>
            <w:i/>
            <w:iCs/>
            <w:sz w:val="16"/>
            <w:szCs w:val="16"/>
          </w:rPr>
          <w:t>Trends &amp; issues in crime and criminal justice, number 610</w:t>
        </w:r>
      </w:hyperlink>
      <w:r w:rsidRPr="00267651">
        <w:rPr>
          <w:rFonts w:cs="Readex Pro"/>
          <w:sz w:val="16"/>
          <w:szCs w:val="16"/>
        </w:rPr>
        <w:t xml:space="preserve"> (</w:t>
      </w:r>
      <w:r w:rsidR="00313D9D" w:rsidRPr="00267651">
        <w:rPr>
          <w:rFonts w:cs="Readex Pro"/>
          <w:sz w:val="16"/>
          <w:szCs w:val="16"/>
        </w:rPr>
        <w:t xml:space="preserve">October </w:t>
      </w:r>
      <w:r w:rsidRPr="00267651">
        <w:rPr>
          <w:rFonts w:cs="Readex Pro"/>
          <w:sz w:val="16"/>
          <w:szCs w:val="16"/>
        </w:rPr>
        <w:t>2020)</w:t>
      </w:r>
      <w:r w:rsidR="00313D9D" w:rsidRPr="00267651">
        <w:rPr>
          <w:rFonts w:cs="Readex Pro"/>
          <w:sz w:val="16"/>
          <w:szCs w:val="16"/>
        </w:rPr>
        <w:t>,</w:t>
      </w:r>
      <w:r w:rsidRPr="00267651">
        <w:rPr>
          <w:rFonts w:cs="Readex Pro"/>
          <w:sz w:val="16"/>
          <w:szCs w:val="16"/>
        </w:rPr>
        <w:t xml:space="preserve"> pages </w:t>
      </w:r>
      <w:r w:rsidR="00956EAD" w:rsidRPr="00267651">
        <w:rPr>
          <w:rFonts w:cs="Readex Pro"/>
          <w:sz w:val="16"/>
          <w:szCs w:val="16"/>
        </w:rPr>
        <w:t>5-6</w:t>
      </w:r>
      <w:r w:rsidRPr="00267651">
        <w:rPr>
          <w:rFonts w:cs="Readex Pro"/>
          <w:sz w:val="16"/>
          <w:szCs w:val="16"/>
        </w:rPr>
        <w:t xml:space="preserve">; Fitzroy Legal Service, </w:t>
      </w:r>
      <w:hyperlink r:id="rId108" w:history="1">
        <w:r w:rsidRPr="00267651">
          <w:rPr>
            <w:rStyle w:val="Hyperlink"/>
            <w:rFonts w:cs="Readex Pro"/>
            <w:i/>
            <w:iCs/>
            <w:sz w:val="16"/>
            <w:szCs w:val="16"/>
          </w:rPr>
          <w:t>Submission to the Legal and Social Issues Committee Inquiry into Homelessness in Victoria</w:t>
        </w:r>
      </w:hyperlink>
      <w:r w:rsidRPr="00267651">
        <w:rPr>
          <w:rFonts w:cs="Readex Pro"/>
          <w:sz w:val="16"/>
          <w:szCs w:val="16"/>
        </w:rPr>
        <w:t xml:space="preserve"> (March 2020), pages 23-30; </w:t>
      </w:r>
      <w:r w:rsidR="00313D9D" w:rsidRPr="00267651">
        <w:rPr>
          <w:rFonts w:cs="Readex Pro"/>
          <w:sz w:val="16"/>
          <w:szCs w:val="16"/>
        </w:rPr>
        <w:t>Guardian Australia,</w:t>
      </w:r>
      <w:r w:rsidRPr="00267651">
        <w:rPr>
          <w:rFonts w:cs="Readex Pro"/>
          <w:sz w:val="16"/>
          <w:szCs w:val="16"/>
        </w:rPr>
        <w:t xml:space="preserve"> </w:t>
      </w:r>
      <w:hyperlink r:id="rId109" w:anchor=":~:text=Lorana%20Bartels%2C%20a%20professor%20of,previous%20record%20of%20breaching%20bail." w:history="1">
        <w:r w:rsidRPr="00267651">
          <w:rPr>
            <w:rStyle w:val="Hyperlink"/>
            <w:rFonts w:cs="Readex Pro"/>
            <w:i/>
            <w:iCs/>
            <w:sz w:val="16"/>
            <w:szCs w:val="16"/>
          </w:rPr>
          <w:t>‘Always a bed in prison’: Australia’s housing crisis blamed for rise in unsentenced prisoners</w:t>
        </w:r>
      </w:hyperlink>
      <w:r w:rsidRPr="00267651">
        <w:rPr>
          <w:rFonts w:cs="Readex Pro"/>
          <w:sz w:val="16"/>
          <w:szCs w:val="16"/>
        </w:rPr>
        <w:t xml:space="preserve"> (4 February 2024).</w:t>
      </w:r>
    </w:p>
  </w:footnote>
  <w:footnote w:id="99">
    <w:p w14:paraId="1E3EC9DB" w14:textId="34A573B5"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56EAD" w:rsidRPr="00267651">
        <w:rPr>
          <w:rFonts w:cs="Readex Pro"/>
          <w:sz w:val="16"/>
          <w:szCs w:val="16"/>
        </w:rPr>
        <w:t xml:space="preserve">See e.g. M Travers et al, above n </w:t>
      </w:r>
      <w:r w:rsidR="00956EAD" w:rsidRPr="00267651">
        <w:rPr>
          <w:rFonts w:cs="Readex Pro"/>
          <w:sz w:val="16"/>
          <w:szCs w:val="16"/>
        </w:rPr>
        <w:fldChar w:fldCharType="begin"/>
      </w:r>
      <w:r w:rsidR="00956EAD" w:rsidRPr="00267651">
        <w:rPr>
          <w:rFonts w:cs="Readex Pro"/>
          <w:sz w:val="16"/>
          <w:szCs w:val="16"/>
        </w:rPr>
        <w:instrText xml:space="preserve"> NOTEREF _Ref207119832 \h </w:instrText>
      </w:r>
      <w:r w:rsidR="004C5BFB" w:rsidRPr="00267651">
        <w:rPr>
          <w:rFonts w:cs="Readex Pro"/>
          <w:sz w:val="16"/>
          <w:szCs w:val="16"/>
        </w:rPr>
        <w:instrText xml:space="preserve"> \* MERGEFORMAT </w:instrText>
      </w:r>
      <w:r w:rsidR="00956EAD" w:rsidRPr="00267651">
        <w:rPr>
          <w:rFonts w:cs="Readex Pro"/>
          <w:sz w:val="16"/>
          <w:szCs w:val="16"/>
        </w:rPr>
      </w:r>
      <w:r w:rsidR="00956EAD" w:rsidRPr="00267651">
        <w:rPr>
          <w:rFonts w:cs="Readex Pro"/>
          <w:sz w:val="16"/>
          <w:szCs w:val="16"/>
        </w:rPr>
        <w:fldChar w:fldCharType="separate"/>
      </w:r>
      <w:r w:rsidR="00B71AA0">
        <w:rPr>
          <w:rFonts w:cs="Readex Pro"/>
          <w:sz w:val="16"/>
          <w:szCs w:val="16"/>
        </w:rPr>
        <w:t>98</w:t>
      </w:r>
      <w:r w:rsidR="00956EAD" w:rsidRPr="00267651">
        <w:rPr>
          <w:rFonts w:cs="Readex Pro"/>
          <w:sz w:val="16"/>
          <w:szCs w:val="16"/>
        </w:rPr>
        <w:fldChar w:fldCharType="end"/>
      </w:r>
      <w:r w:rsidR="00956EAD" w:rsidRPr="00267651">
        <w:rPr>
          <w:rFonts w:cs="Readex Pro"/>
          <w:sz w:val="16"/>
          <w:szCs w:val="16"/>
        </w:rPr>
        <w:t xml:space="preserve">, </w:t>
      </w:r>
      <w:r w:rsidRPr="00267651">
        <w:rPr>
          <w:rFonts w:cs="Readex Pro"/>
          <w:sz w:val="16"/>
          <w:szCs w:val="16"/>
        </w:rPr>
        <w:t xml:space="preserve">pages </w:t>
      </w:r>
      <w:r w:rsidR="004C5BFB" w:rsidRPr="00267651">
        <w:rPr>
          <w:rFonts w:cs="Readex Pro"/>
          <w:sz w:val="16"/>
          <w:szCs w:val="16"/>
        </w:rPr>
        <w:t>5-6</w:t>
      </w:r>
      <w:r w:rsidRPr="00267651">
        <w:rPr>
          <w:rFonts w:cs="Readex Pro"/>
          <w:sz w:val="16"/>
          <w:szCs w:val="16"/>
        </w:rPr>
        <w:t>.</w:t>
      </w:r>
    </w:p>
  </w:footnote>
  <w:footnote w:id="100">
    <w:p w14:paraId="69D288FC" w14:textId="11E62B3E"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H</w:t>
      </w:r>
      <w:r w:rsidR="00C83AA7" w:rsidRPr="00267651">
        <w:rPr>
          <w:rFonts w:cs="Readex Pro"/>
          <w:sz w:val="16"/>
          <w:szCs w:val="16"/>
        </w:rPr>
        <w:t>uman Rights Commission</w:t>
      </w:r>
      <w:r w:rsidRPr="00267651">
        <w:rPr>
          <w:rFonts w:cs="Readex Pro"/>
          <w:sz w:val="16"/>
          <w:szCs w:val="16"/>
        </w:rPr>
        <w:t xml:space="preserve">, </w:t>
      </w:r>
      <w:hyperlink r:id="rId110" w:history="1">
        <w:r w:rsidRPr="00267651">
          <w:rPr>
            <w:rStyle w:val="Hyperlink"/>
            <w:rFonts w:cs="Readex Pro"/>
            <w:i/>
            <w:iCs/>
            <w:sz w:val="16"/>
            <w:szCs w:val="16"/>
          </w:rPr>
          <w:t xml:space="preserve">Submission 010: </w:t>
        </w:r>
        <w:r w:rsidR="007136D3" w:rsidRPr="00267651">
          <w:rPr>
            <w:rStyle w:val="Hyperlink"/>
            <w:rFonts w:cs="Readex Pro"/>
            <w:i/>
            <w:iCs/>
            <w:sz w:val="16"/>
            <w:szCs w:val="16"/>
          </w:rPr>
          <w:t>Inquiry into the Administration of Bail – Standing Committee on Justice and Community Safety, ACT Legislative Assembly</w:t>
        </w:r>
      </w:hyperlink>
      <w:r w:rsidRPr="00267651">
        <w:rPr>
          <w:rFonts w:cs="Readex Pro"/>
          <w:sz w:val="16"/>
          <w:szCs w:val="16"/>
        </w:rPr>
        <w:t xml:space="preserve"> (29 May 2024), page 3.</w:t>
      </w:r>
    </w:p>
  </w:footnote>
  <w:footnote w:id="101">
    <w:p w14:paraId="4CDE0EC0" w14:textId="6CEC039C"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7136D3" w:rsidRPr="00267651">
        <w:rPr>
          <w:rFonts w:cs="Readex Pro"/>
          <w:sz w:val="16"/>
          <w:szCs w:val="16"/>
        </w:rPr>
        <w:t>Ibid</w:t>
      </w:r>
      <w:r w:rsidRPr="00267651">
        <w:rPr>
          <w:rFonts w:cs="Readex Pro"/>
          <w:sz w:val="16"/>
          <w:szCs w:val="16"/>
        </w:rPr>
        <w:t>, page 3.</w:t>
      </w:r>
    </w:p>
  </w:footnote>
  <w:footnote w:id="102">
    <w:p w14:paraId="7DE8C878" w14:textId="2DAA38B5"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7136D3" w:rsidRPr="00267651">
        <w:rPr>
          <w:rFonts w:cs="Readex Pro"/>
          <w:sz w:val="16"/>
          <w:szCs w:val="16"/>
        </w:rPr>
        <w:t xml:space="preserve">See e.g. WA OICS, above n </w:t>
      </w:r>
      <w:r w:rsidR="007136D3" w:rsidRPr="00267651">
        <w:rPr>
          <w:rFonts w:cs="Readex Pro"/>
          <w:sz w:val="16"/>
          <w:szCs w:val="16"/>
        </w:rPr>
        <w:fldChar w:fldCharType="begin"/>
      </w:r>
      <w:r w:rsidR="007136D3" w:rsidRPr="00267651">
        <w:rPr>
          <w:rFonts w:cs="Readex Pro"/>
          <w:sz w:val="16"/>
          <w:szCs w:val="16"/>
        </w:rPr>
        <w:instrText xml:space="preserve"> NOTEREF _Ref207048406 \h </w:instrText>
      </w:r>
      <w:r w:rsidR="005D6DFA" w:rsidRPr="00267651">
        <w:rPr>
          <w:rFonts w:cs="Readex Pro"/>
          <w:sz w:val="16"/>
          <w:szCs w:val="16"/>
        </w:rPr>
        <w:instrText xml:space="preserve"> \* MERGEFORMAT </w:instrText>
      </w:r>
      <w:r w:rsidR="007136D3" w:rsidRPr="00267651">
        <w:rPr>
          <w:rFonts w:cs="Readex Pro"/>
          <w:sz w:val="16"/>
          <w:szCs w:val="16"/>
        </w:rPr>
      </w:r>
      <w:r w:rsidR="007136D3" w:rsidRPr="00267651">
        <w:rPr>
          <w:rFonts w:cs="Readex Pro"/>
          <w:sz w:val="16"/>
          <w:szCs w:val="16"/>
        </w:rPr>
        <w:fldChar w:fldCharType="separate"/>
      </w:r>
      <w:r w:rsidR="00B71AA0">
        <w:rPr>
          <w:rFonts w:cs="Readex Pro"/>
          <w:sz w:val="16"/>
          <w:szCs w:val="16"/>
        </w:rPr>
        <w:t>93</w:t>
      </w:r>
      <w:r w:rsidR="007136D3" w:rsidRPr="00267651">
        <w:rPr>
          <w:rFonts w:cs="Readex Pro"/>
          <w:sz w:val="16"/>
          <w:szCs w:val="16"/>
        </w:rPr>
        <w:fldChar w:fldCharType="end"/>
      </w:r>
      <w:r w:rsidR="00641E69" w:rsidRPr="00267651">
        <w:rPr>
          <w:rFonts w:cs="Readex Pro"/>
          <w:sz w:val="16"/>
          <w:szCs w:val="16"/>
        </w:rPr>
        <w:t>, pages 23-7</w:t>
      </w:r>
      <w:r w:rsidRPr="00267651">
        <w:rPr>
          <w:rFonts w:cs="Readex Pro"/>
          <w:sz w:val="16"/>
          <w:szCs w:val="16"/>
        </w:rPr>
        <w:t>.</w:t>
      </w:r>
    </w:p>
  </w:footnote>
  <w:footnote w:id="103">
    <w:p w14:paraId="665F92EF" w14:textId="0D533523"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B58A9" w:rsidRPr="00267651">
        <w:rPr>
          <w:rFonts w:cs="Readex Pro"/>
          <w:sz w:val="16"/>
          <w:szCs w:val="16"/>
        </w:rPr>
        <w:t xml:space="preserve">M </w:t>
      </w:r>
      <w:r w:rsidRPr="00267651">
        <w:rPr>
          <w:rFonts w:cs="Readex Pro"/>
          <w:sz w:val="16"/>
          <w:szCs w:val="16"/>
        </w:rPr>
        <w:t xml:space="preserve">McMahon, </w:t>
      </w:r>
      <w:hyperlink r:id="rId111" w:history="1">
        <w:r w:rsidR="00EC4B50" w:rsidRPr="00267651">
          <w:rPr>
            <w:rStyle w:val="Hyperlink"/>
            <w:rFonts w:cs="Readex Pro"/>
            <w:sz w:val="16"/>
            <w:szCs w:val="16"/>
          </w:rPr>
          <w:t>‘</w:t>
        </w:r>
        <w:r w:rsidRPr="00267651">
          <w:rPr>
            <w:rStyle w:val="Hyperlink"/>
            <w:rFonts w:cs="Readex Pro"/>
            <w:sz w:val="16"/>
            <w:szCs w:val="16"/>
          </w:rPr>
          <w:t>No bail, more jail?: Breaking the nexus between community protection and escalating pre-trial detention</w:t>
        </w:r>
        <w:r w:rsidR="00EC4B50" w:rsidRPr="00267651">
          <w:rPr>
            <w:rStyle w:val="Hyperlink"/>
            <w:rFonts w:cs="Readex Pro"/>
            <w:sz w:val="16"/>
            <w:szCs w:val="16"/>
          </w:rPr>
          <w:t>’</w:t>
        </w:r>
        <w:r w:rsidRPr="00267651">
          <w:rPr>
            <w:rStyle w:val="Hyperlink"/>
            <w:rFonts w:cs="Readex Pro"/>
            <w:sz w:val="16"/>
            <w:szCs w:val="16"/>
          </w:rPr>
          <w:t xml:space="preserve">, </w:t>
        </w:r>
        <w:r w:rsidRPr="00267651">
          <w:rPr>
            <w:rStyle w:val="Hyperlink"/>
            <w:rFonts w:cs="Readex Pro"/>
            <w:i/>
            <w:iCs/>
            <w:sz w:val="16"/>
            <w:szCs w:val="16"/>
          </w:rPr>
          <w:t>Research Paper No 3, Parliamentary Library &amp; Information Service, Parliament of Victoria</w:t>
        </w:r>
      </w:hyperlink>
      <w:r w:rsidR="00E84731" w:rsidRPr="00267651">
        <w:rPr>
          <w:rFonts w:cs="Readex Pro"/>
          <w:sz w:val="16"/>
          <w:szCs w:val="16"/>
        </w:rPr>
        <w:t xml:space="preserve"> (August 2019)</w:t>
      </w:r>
      <w:r w:rsidRPr="00267651">
        <w:rPr>
          <w:rFonts w:cs="Readex Pro"/>
          <w:sz w:val="16"/>
          <w:szCs w:val="16"/>
        </w:rPr>
        <w:t xml:space="preserve">, pages </w:t>
      </w:r>
      <w:r w:rsidR="00D2585B" w:rsidRPr="00267651">
        <w:rPr>
          <w:rFonts w:cs="Readex Pro"/>
          <w:sz w:val="16"/>
          <w:szCs w:val="16"/>
        </w:rPr>
        <w:t>22-4</w:t>
      </w:r>
      <w:r w:rsidRPr="00267651">
        <w:rPr>
          <w:rFonts w:cs="Readex Pro"/>
          <w:sz w:val="16"/>
          <w:szCs w:val="16"/>
        </w:rPr>
        <w:t>.</w:t>
      </w:r>
    </w:p>
  </w:footnote>
  <w:footnote w:id="104">
    <w:p w14:paraId="7B94D807" w14:textId="77777777"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For example, in the ACT the Alexander Maconochie Centre has not always provided separate accommodation for people held on remand. In Tasmania, there is no dedicated separate accommodation for women on remand.</w:t>
      </w:r>
    </w:p>
  </w:footnote>
  <w:footnote w:id="105">
    <w:p w14:paraId="18307264" w14:textId="323EACB1"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WA OICS, </w:t>
      </w:r>
      <w:hyperlink r:id="rId112" w:history="1">
        <w:r w:rsidRPr="00267651">
          <w:rPr>
            <w:rStyle w:val="Hyperlink"/>
            <w:rFonts w:cs="Readex Pro"/>
            <w:i/>
            <w:iCs/>
            <w:sz w:val="16"/>
            <w:szCs w:val="16"/>
          </w:rPr>
          <w:t>Report 158 – 2024 Inspection of Hakea Prison</w:t>
        </w:r>
      </w:hyperlink>
      <w:r w:rsidRPr="00267651">
        <w:rPr>
          <w:rFonts w:cs="Readex Pro"/>
          <w:sz w:val="16"/>
          <w:szCs w:val="16"/>
        </w:rPr>
        <w:t xml:space="preserve"> (February 2025), page 32; </w:t>
      </w:r>
      <w:r w:rsidR="00A03D6D" w:rsidRPr="00267651">
        <w:rPr>
          <w:rFonts w:cs="Readex Pro"/>
          <w:sz w:val="16"/>
          <w:szCs w:val="16"/>
        </w:rPr>
        <w:t>SA GCYP/TCV</w:t>
      </w:r>
      <w:r w:rsidR="00D90047" w:rsidRPr="00267651">
        <w:rPr>
          <w:rFonts w:cs="Readex Pro"/>
          <w:sz w:val="16"/>
          <w:szCs w:val="16"/>
        </w:rPr>
        <w:t>, Annual Report 2022–23, above n</w:t>
      </w:r>
      <w:r w:rsidR="003D698C" w:rsidRPr="00267651">
        <w:rPr>
          <w:rFonts w:cs="Readex Pro"/>
          <w:sz w:val="16"/>
          <w:szCs w:val="16"/>
        </w:rPr>
        <w:t xml:space="preserve"> </w:t>
      </w:r>
      <w:r w:rsidR="003D698C" w:rsidRPr="00267651">
        <w:rPr>
          <w:rFonts w:cs="Readex Pro"/>
          <w:sz w:val="16"/>
          <w:szCs w:val="16"/>
        </w:rPr>
        <w:fldChar w:fldCharType="begin"/>
      </w:r>
      <w:r w:rsidR="003D698C" w:rsidRPr="00267651">
        <w:rPr>
          <w:rFonts w:cs="Readex Pro"/>
          <w:sz w:val="16"/>
          <w:szCs w:val="16"/>
        </w:rPr>
        <w:instrText xml:space="preserve"> NOTEREF _Ref207043439 \h </w:instrText>
      </w:r>
      <w:r w:rsidR="003A2A00" w:rsidRPr="00267651">
        <w:rPr>
          <w:rFonts w:cs="Readex Pro"/>
          <w:sz w:val="16"/>
          <w:szCs w:val="16"/>
        </w:rPr>
        <w:instrText xml:space="preserve"> \* MERGEFORMAT </w:instrText>
      </w:r>
      <w:r w:rsidR="003D698C" w:rsidRPr="00267651">
        <w:rPr>
          <w:rFonts w:cs="Readex Pro"/>
          <w:sz w:val="16"/>
          <w:szCs w:val="16"/>
        </w:rPr>
      </w:r>
      <w:r w:rsidR="003D698C" w:rsidRPr="00267651">
        <w:rPr>
          <w:rFonts w:cs="Readex Pro"/>
          <w:sz w:val="16"/>
          <w:szCs w:val="16"/>
        </w:rPr>
        <w:fldChar w:fldCharType="separate"/>
      </w:r>
      <w:r w:rsidR="00B71AA0">
        <w:rPr>
          <w:rFonts w:cs="Readex Pro"/>
          <w:sz w:val="16"/>
          <w:szCs w:val="16"/>
        </w:rPr>
        <w:t>26</w:t>
      </w:r>
      <w:r w:rsidR="003D698C" w:rsidRPr="00267651">
        <w:rPr>
          <w:rFonts w:cs="Readex Pro"/>
          <w:sz w:val="16"/>
          <w:szCs w:val="16"/>
        </w:rPr>
        <w:fldChar w:fldCharType="end"/>
      </w:r>
      <w:r w:rsidR="003D698C" w:rsidRPr="00267651">
        <w:rPr>
          <w:rFonts w:cs="Readex Pro"/>
          <w:sz w:val="16"/>
          <w:szCs w:val="16"/>
        </w:rPr>
        <w:t>, p</w:t>
      </w:r>
      <w:r w:rsidRPr="00267651">
        <w:rPr>
          <w:rFonts w:cs="Readex Pro"/>
          <w:sz w:val="16"/>
          <w:szCs w:val="16"/>
        </w:rPr>
        <w:t>age 56.</w:t>
      </w:r>
    </w:p>
  </w:footnote>
  <w:footnote w:id="106">
    <w:p w14:paraId="15A124E5" w14:textId="5853567B"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00B57210" w:rsidRPr="00267651">
        <w:rPr>
          <w:rFonts w:cs="Readex Pro"/>
          <w:sz w:val="16"/>
          <w:szCs w:val="16"/>
        </w:rPr>
        <w:t xml:space="preserve"> </w:t>
      </w:r>
      <w:r w:rsidRPr="00267651">
        <w:rPr>
          <w:rFonts w:cs="Readex Pro"/>
          <w:sz w:val="16"/>
          <w:szCs w:val="16"/>
        </w:rPr>
        <w:t>ABS,</w:t>
      </w:r>
      <w:r w:rsidR="009E7576" w:rsidRPr="00267651">
        <w:rPr>
          <w:rFonts w:cs="Readex Pro"/>
          <w:sz w:val="16"/>
          <w:szCs w:val="16"/>
        </w:rPr>
        <w:t xml:space="preserve"> above n </w:t>
      </w:r>
      <w:r w:rsidR="009E7576" w:rsidRPr="00267651">
        <w:rPr>
          <w:rFonts w:cs="Readex Pro"/>
          <w:sz w:val="16"/>
          <w:szCs w:val="16"/>
        </w:rPr>
        <w:fldChar w:fldCharType="begin"/>
      </w:r>
      <w:r w:rsidR="009E7576" w:rsidRPr="00267651">
        <w:rPr>
          <w:rFonts w:cs="Readex Pro"/>
          <w:sz w:val="16"/>
          <w:szCs w:val="16"/>
        </w:rPr>
        <w:instrText xml:space="preserve"> NOTEREF _Ref207045719 \h </w:instrText>
      </w:r>
      <w:r w:rsidR="003A2A00" w:rsidRPr="00267651">
        <w:rPr>
          <w:rFonts w:cs="Readex Pro"/>
          <w:sz w:val="16"/>
          <w:szCs w:val="16"/>
        </w:rPr>
        <w:instrText xml:space="preserve"> \* MERGEFORMAT </w:instrText>
      </w:r>
      <w:r w:rsidR="009E7576" w:rsidRPr="00267651">
        <w:rPr>
          <w:rFonts w:cs="Readex Pro"/>
          <w:sz w:val="16"/>
          <w:szCs w:val="16"/>
        </w:rPr>
      </w:r>
      <w:r w:rsidR="009E7576" w:rsidRPr="00267651">
        <w:rPr>
          <w:rFonts w:cs="Readex Pro"/>
          <w:sz w:val="16"/>
          <w:szCs w:val="16"/>
        </w:rPr>
        <w:fldChar w:fldCharType="separate"/>
      </w:r>
      <w:r w:rsidR="00B71AA0">
        <w:rPr>
          <w:rFonts w:cs="Readex Pro"/>
          <w:sz w:val="16"/>
          <w:szCs w:val="16"/>
        </w:rPr>
        <w:t>79</w:t>
      </w:r>
      <w:r w:rsidR="009E7576" w:rsidRPr="00267651">
        <w:rPr>
          <w:rFonts w:cs="Readex Pro"/>
          <w:sz w:val="16"/>
          <w:szCs w:val="16"/>
        </w:rPr>
        <w:fldChar w:fldCharType="end"/>
      </w:r>
      <w:r w:rsidR="009E7576" w:rsidRPr="00267651">
        <w:rPr>
          <w:rFonts w:cs="Readex Pro"/>
          <w:sz w:val="16"/>
          <w:szCs w:val="16"/>
        </w:rPr>
        <w:t>, table 13</w:t>
      </w:r>
      <w:r w:rsidRPr="00267651">
        <w:rPr>
          <w:rFonts w:cs="Readex Pro"/>
          <w:sz w:val="16"/>
          <w:szCs w:val="16"/>
        </w:rPr>
        <w:t>.</w:t>
      </w:r>
    </w:p>
  </w:footnote>
  <w:footnote w:id="107">
    <w:p w14:paraId="6211325E" w14:textId="702B33BD"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3D698C" w:rsidRPr="00267651">
        <w:rPr>
          <w:rFonts w:cs="Readex Pro"/>
          <w:sz w:val="16"/>
          <w:szCs w:val="16"/>
        </w:rPr>
        <w:t>ACT OICS</w:t>
      </w:r>
      <w:r w:rsidR="0028640C" w:rsidRPr="00267651">
        <w:rPr>
          <w:rFonts w:cs="Readex Pro"/>
          <w:sz w:val="16"/>
          <w:szCs w:val="16"/>
        </w:rPr>
        <w:t xml:space="preserve">, </w:t>
      </w:r>
      <w:hyperlink r:id="rId113" w:history="1">
        <w:r w:rsidRPr="00267651">
          <w:rPr>
            <w:rStyle w:val="Hyperlink"/>
            <w:rFonts w:cs="Readex Pro"/>
            <w:i/>
            <w:iCs/>
            <w:sz w:val="16"/>
            <w:szCs w:val="16"/>
          </w:rPr>
          <w:t>Healthy Prison Review of the Alexander Maconochie Centre 2022</w:t>
        </w:r>
      </w:hyperlink>
      <w:r w:rsidRPr="00267651">
        <w:rPr>
          <w:rFonts w:cs="Readex Pro"/>
          <w:sz w:val="16"/>
          <w:szCs w:val="16"/>
        </w:rPr>
        <w:t xml:space="preserve"> </w:t>
      </w:r>
      <w:r w:rsidR="003D698C" w:rsidRPr="00267651">
        <w:rPr>
          <w:rFonts w:cs="Readex Pro"/>
          <w:sz w:val="16"/>
          <w:szCs w:val="16"/>
        </w:rPr>
        <w:t>(</w:t>
      </w:r>
      <w:r w:rsidR="0028640C" w:rsidRPr="00267651">
        <w:rPr>
          <w:rFonts w:cs="Readex Pro"/>
          <w:sz w:val="16"/>
          <w:szCs w:val="16"/>
        </w:rPr>
        <w:t>November 2022</w:t>
      </w:r>
      <w:r w:rsidR="003D698C" w:rsidRPr="00267651">
        <w:rPr>
          <w:rFonts w:cs="Readex Pro"/>
          <w:sz w:val="16"/>
          <w:szCs w:val="16"/>
        </w:rPr>
        <w:t xml:space="preserve">), </w:t>
      </w:r>
      <w:r w:rsidRPr="00267651">
        <w:rPr>
          <w:rFonts w:cs="Readex Pro"/>
          <w:sz w:val="16"/>
          <w:szCs w:val="16"/>
        </w:rPr>
        <w:t>page 55.</w:t>
      </w:r>
    </w:p>
  </w:footnote>
  <w:footnote w:id="108">
    <w:p w14:paraId="48C61D6F" w14:textId="23DB5733"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7E0F98" w:rsidRPr="00267651">
        <w:rPr>
          <w:rFonts w:cs="Readex Pro"/>
          <w:sz w:val="16"/>
          <w:szCs w:val="16"/>
        </w:rPr>
        <w:t xml:space="preserve">WA OICS, above n </w:t>
      </w:r>
      <w:r w:rsidR="007E0F98" w:rsidRPr="00267651">
        <w:rPr>
          <w:rFonts w:cs="Readex Pro"/>
          <w:sz w:val="16"/>
          <w:szCs w:val="16"/>
        </w:rPr>
        <w:fldChar w:fldCharType="begin"/>
      </w:r>
      <w:r w:rsidR="007E0F98" w:rsidRPr="00267651">
        <w:rPr>
          <w:rFonts w:cs="Readex Pro"/>
          <w:sz w:val="16"/>
          <w:szCs w:val="16"/>
        </w:rPr>
        <w:instrText xml:space="preserve"> NOTEREF _Ref207048406 \h  \* MERGEFORMAT </w:instrText>
      </w:r>
      <w:r w:rsidR="007E0F98" w:rsidRPr="00267651">
        <w:rPr>
          <w:rFonts w:cs="Readex Pro"/>
          <w:sz w:val="16"/>
          <w:szCs w:val="16"/>
        </w:rPr>
      </w:r>
      <w:r w:rsidR="007E0F98" w:rsidRPr="00267651">
        <w:rPr>
          <w:rFonts w:cs="Readex Pro"/>
          <w:sz w:val="16"/>
          <w:szCs w:val="16"/>
        </w:rPr>
        <w:fldChar w:fldCharType="separate"/>
      </w:r>
      <w:r w:rsidR="00B71AA0">
        <w:rPr>
          <w:rFonts w:cs="Readex Pro"/>
          <w:sz w:val="16"/>
          <w:szCs w:val="16"/>
        </w:rPr>
        <w:t>93</w:t>
      </w:r>
      <w:r w:rsidR="007E0F98" w:rsidRPr="00267651">
        <w:rPr>
          <w:rFonts w:cs="Readex Pro"/>
          <w:sz w:val="16"/>
          <w:szCs w:val="16"/>
        </w:rPr>
        <w:fldChar w:fldCharType="end"/>
      </w:r>
      <w:r w:rsidR="007E0F98" w:rsidRPr="00267651">
        <w:rPr>
          <w:rFonts w:cs="Readex Pro"/>
          <w:sz w:val="16"/>
          <w:szCs w:val="16"/>
        </w:rPr>
        <w:t xml:space="preserve">, </w:t>
      </w:r>
      <w:r w:rsidRPr="00267651">
        <w:rPr>
          <w:rFonts w:cs="Readex Pro"/>
          <w:sz w:val="16"/>
          <w:szCs w:val="16"/>
        </w:rPr>
        <w:t>pages 23-7.</w:t>
      </w:r>
    </w:p>
  </w:footnote>
  <w:footnote w:id="109">
    <w:p w14:paraId="73640AA1" w14:textId="0B382E6D"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110">
    <w:p w14:paraId="5FF8C47D" w14:textId="4C2B3DAA"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24.</w:t>
      </w:r>
    </w:p>
  </w:footnote>
  <w:footnote w:id="111">
    <w:p w14:paraId="6596CEF1" w14:textId="54AE2A95" w:rsidR="00384201" w:rsidRPr="00267651" w:rsidRDefault="00384201" w:rsidP="00384201">
      <w:pPr>
        <w:pStyle w:val="FootnoteText"/>
        <w:rPr>
          <w:rFonts w:cs="Readex Pro"/>
          <w:b/>
          <w:bCs/>
          <w:sz w:val="16"/>
          <w:szCs w:val="16"/>
        </w:rPr>
      </w:pPr>
      <w:r w:rsidRPr="00267651">
        <w:rPr>
          <w:rStyle w:val="FootnoteReference"/>
          <w:rFonts w:cs="Readex Pro"/>
          <w:sz w:val="16"/>
          <w:szCs w:val="16"/>
        </w:rPr>
        <w:footnoteRef/>
      </w:r>
      <w:r w:rsidRPr="00267651">
        <w:rPr>
          <w:rFonts w:cs="Readex Pro"/>
          <w:sz w:val="16"/>
          <w:szCs w:val="16"/>
        </w:rPr>
        <w:t xml:space="preserve"> </w:t>
      </w:r>
      <w:r w:rsidR="00D55245" w:rsidRPr="00267651">
        <w:rPr>
          <w:rFonts w:cs="Readex Pro"/>
          <w:sz w:val="16"/>
          <w:szCs w:val="16"/>
        </w:rPr>
        <w:t>ABC News</w:t>
      </w:r>
      <w:r w:rsidRPr="00267651">
        <w:rPr>
          <w:rFonts w:cs="Readex Pro"/>
          <w:sz w:val="16"/>
          <w:szCs w:val="16"/>
        </w:rPr>
        <w:t xml:space="preserve">, </w:t>
      </w:r>
      <w:hyperlink r:id="rId114" w:history="1">
        <w:r w:rsidRPr="00267651">
          <w:rPr>
            <w:rStyle w:val="Hyperlink"/>
            <w:rFonts w:cs="Readex Pro"/>
            <w:i/>
            <w:iCs/>
            <w:sz w:val="16"/>
            <w:szCs w:val="16"/>
          </w:rPr>
          <w:t>Lockdowns occurring 'all of the time' at every NT prison, corrections boss tells budget estimates</w:t>
        </w:r>
      </w:hyperlink>
      <w:r w:rsidRPr="00267651">
        <w:rPr>
          <w:rFonts w:cs="Readex Pro"/>
          <w:sz w:val="16"/>
          <w:szCs w:val="16"/>
        </w:rPr>
        <w:t xml:space="preserve"> (13</w:t>
      </w:r>
      <w:r w:rsidR="00DA23BA" w:rsidRPr="00267651">
        <w:rPr>
          <w:rFonts w:cs="Readex Pro"/>
          <w:sz w:val="16"/>
          <w:szCs w:val="16"/>
        </w:rPr>
        <w:t> </w:t>
      </w:r>
      <w:r w:rsidRPr="00267651">
        <w:rPr>
          <w:rFonts w:cs="Readex Pro"/>
          <w:sz w:val="16"/>
          <w:szCs w:val="16"/>
        </w:rPr>
        <w:t>June</w:t>
      </w:r>
      <w:r w:rsidR="00DA23BA" w:rsidRPr="00267651">
        <w:rPr>
          <w:rFonts w:cs="Readex Pro"/>
          <w:sz w:val="16"/>
          <w:szCs w:val="16"/>
        </w:rPr>
        <w:t> </w:t>
      </w:r>
      <w:r w:rsidRPr="00267651">
        <w:rPr>
          <w:rFonts w:cs="Readex Pro"/>
          <w:sz w:val="16"/>
          <w:szCs w:val="16"/>
        </w:rPr>
        <w:t xml:space="preserve">2025); Legislative Assembly of the </w:t>
      </w:r>
      <w:r w:rsidR="00EF6E52" w:rsidRPr="00267651">
        <w:rPr>
          <w:rFonts w:cs="Readex Pro"/>
          <w:sz w:val="16"/>
          <w:szCs w:val="16"/>
        </w:rPr>
        <w:t>NT</w:t>
      </w:r>
      <w:r w:rsidRPr="00267651">
        <w:rPr>
          <w:rFonts w:cs="Readex Pro"/>
          <w:sz w:val="16"/>
          <w:szCs w:val="16"/>
        </w:rPr>
        <w:t xml:space="preserve">, </w:t>
      </w:r>
      <w:hyperlink r:id="rId115" w:history="1">
        <w:r w:rsidR="00EF6E52" w:rsidRPr="00267651">
          <w:rPr>
            <w:rStyle w:val="Hyperlink"/>
            <w:rFonts w:cs="Readex Pro"/>
            <w:i/>
            <w:iCs/>
            <w:sz w:val="16"/>
            <w:szCs w:val="16"/>
          </w:rPr>
          <w:t xml:space="preserve">Estimates Committee 2025, </w:t>
        </w:r>
        <w:r w:rsidRPr="00267651">
          <w:rPr>
            <w:rStyle w:val="Hyperlink"/>
            <w:rFonts w:cs="Readex Pro"/>
            <w:i/>
            <w:iCs/>
            <w:sz w:val="16"/>
            <w:szCs w:val="16"/>
          </w:rPr>
          <w:t>Transcript</w:t>
        </w:r>
      </w:hyperlink>
      <w:r w:rsidRPr="00267651">
        <w:rPr>
          <w:rFonts w:cs="Readex Pro"/>
          <w:sz w:val="16"/>
          <w:szCs w:val="16"/>
        </w:rPr>
        <w:t xml:space="preserve"> </w:t>
      </w:r>
      <w:r w:rsidR="00FA41C9" w:rsidRPr="00267651">
        <w:rPr>
          <w:rFonts w:cs="Readex Pro"/>
          <w:sz w:val="16"/>
          <w:szCs w:val="16"/>
        </w:rPr>
        <w:t xml:space="preserve">(12 June 2025) </w:t>
      </w:r>
      <w:r w:rsidRPr="00267651">
        <w:rPr>
          <w:rFonts w:cs="Readex Pro"/>
          <w:sz w:val="16"/>
          <w:szCs w:val="16"/>
        </w:rPr>
        <w:t>pages 43-62.</w:t>
      </w:r>
    </w:p>
  </w:footnote>
  <w:footnote w:id="112">
    <w:p w14:paraId="658DE417" w14:textId="77F8A7C1" w:rsidR="00384201" w:rsidRPr="00267651" w:rsidRDefault="00384201" w:rsidP="00384201">
      <w:pPr>
        <w:pStyle w:val="FootnoteText"/>
        <w:rPr>
          <w:rFonts w:cs="Readex Pro"/>
          <w:b/>
          <w:bCs/>
          <w:sz w:val="16"/>
          <w:szCs w:val="16"/>
        </w:rPr>
      </w:pPr>
      <w:r w:rsidRPr="00267651">
        <w:rPr>
          <w:rStyle w:val="FootnoteReference"/>
          <w:rFonts w:cs="Readex Pro"/>
          <w:sz w:val="16"/>
          <w:szCs w:val="16"/>
        </w:rPr>
        <w:footnoteRef/>
      </w:r>
      <w:r w:rsidRPr="00267651">
        <w:rPr>
          <w:rFonts w:cs="Readex Pro"/>
          <w:sz w:val="16"/>
          <w:szCs w:val="16"/>
        </w:rPr>
        <w:t xml:space="preserve"> </w:t>
      </w:r>
      <w:r w:rsidR="00B7078E" w:rsidRPr="00267651">
        <w:rPr>
          <w:rFonts w:cs="Readex Pro"/>
          <w:sz w:val="16"/>
          <w:szCs w:val="16"/>
        </w:rPr>
        <w:t xml:space="preserve">Legislative Assembly of the NT, above n </w:t>
      </w:r>
      <w:r w:rsidR="00B7078E" w:rsidRPr="00267651">
        <w:rPr>
          <w:rFonts w:cs="Readex Pro"/>
          <w:sz w:val="16"/>
          <w:szCs w:val="16"/>
        </w:rPr>
        <w:fldChar w:fldCharType="begin"/>
      </w:r>
      <w:r w:rsidR="00B7078E" w:rsidRPr="00267651">
        <w:rPr>
          <w:rFonts w:cs="Readex Pro"/>
          <w:sz w:val="16"/>
          <w:szCs w:val="16"/>
        </w:rPr>
        <w:instrText xml:space="preserve"> NOTEREF _Ref207098994 \h </w:instrText>
      </w:r>
      <w:r w:rsidR="003A2A00" w:rsidRPr="00267651">
        <w:rPr>
          <w:rFonts w:cs="Readex Pro"/>
          <w:sz w:val="16"/>
          <w:szCs w:val="16"/>
        </w:rPr>
        <w:instrText xml:space="preserve"> \* MERGEFORMAT </w:instrText>
      </w:r>
      <w:r w:rsidR="00B7078E" w:rsidRPr="00267651">
        <w:rPr>
          <w:rFonts w:cs="Readex Pro"/>
          <w:sz w:val="16"/>
          <w:szCs w:val="16"/>
        </w:rPr>
      </w:r>
      <w:r w:rsidR="00B7078E" w:rsidRPr="00267651">
        <w:rPr>
          <w:rFonts w:cs="Readex Pro"/>
          <w:sz w:val="16"/>
          <w:szCs w:val="16"/>
        </w:rPr>
        <w:fldChar w:fldCharType="separate"/>
      </w:r>
      <w:r w:rsidR="00B71AA0">
        <w:rPr>
          <w:rFonts w:cs="Readex Pro"/>
          <w:sz w:val="16"/>
          <w:szCs w:val="16"/>
        </w:rPr>
        <w:t>111</w:t>
      </w:r>
      <w:r w:rsidR="00B7078E" w:rsidRPr="00267651">
        <w:rPr>
          <w:rFonts w:cs="Readex Pro"/>
          <w:sz w:val="16"/>
          <w:szCs w:val="16"/>
        </w:rPr>
        <w:fldChar w:fldCharType="end"/>
      </w:r>
      <w:r w:rsidR="00911D80" w:rsidRPr="00267651">
        <w:rPr>
          <w:rFonts w:cs="Readex Pro"/>
          <w:sz w:val="16"/>
          <w:szCs w:val="16"/>
        </w:rPr>
        <w:t xml:space="preserve">, </w:t>
      </w:r>
      <w:r w:rsidRPr="00267651">
        <w:rPr>
          <w:rFonts w:cs="Readex Pro"/>
          <w:sz w:val="16"/>
          <w:szCs w:val="16"/>
        </w:rPr>
        <w:t>pages 43-62.</w:t>
      </w:r>
    </w:p>
  </w:footnote>
  <w:footnote w:id="113">
    <w:p w14:paraId="0F743FD1" w14:textId="49A0AAA7" w:rsidR="00384201" w:rsidRPr="00267651" w:rsidRDefault="00384201"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16" w:history="1">
        <w:r w:rsidRPr="00267651">
          <w:rPr>
            <w:rStyle w:val="Hyperlink"/>
            <w:rFonts w:cs="Readex Pro"/>
            <w:i/>
            <w:iCs/>
            <w:sz w:val="16"/>
            <w:szCs w:val="16"/>
          </w:rPr>
          <w:t xml:space="preserve">R v </w:t>
        </w:r>
        <w:proofErr w:type="spellStart"/>
        <w:r w:rsidRPr="00267651">
          <w:rPr>
            <w:rStyle w:val="Hyperlink"/>
            <w:rFonts w:cs="Readex Pro"/>
            <w:i/>
            <w:iCs/>
            <w:sz w:val="16"/>
            <w:szCs w:val="16"/>
          </w:rPr>
          <w:t>Dinela</w:t>
        </w:r>
        <w:proofErr w:type="spellEnd"/>
        <w:r w:rsidRPr="00267651">
          <w:rPr>
            <w:rStyle w:val="Hyperlink"/>
            <w:rFonts w:cs="Readex Pro"/>
            <w:i/>
            <w:iCs/>
            <w:sz w:val="16"/>
            <w:szCs w:val="16"/>
          </w:rPr>
          <w:t xml:space="preserve"> Woods</w:t>
        </w:r>
        <w:r w:rsidRPr="00267651">
          <w:rPr>
            <w:rStyle w:val="Hyperlink"/>
            <w:rFonts w:cs="Readex Pro"/>
            <w:sz w:val="16"/>
            <w:szCs w:val="16"/>
          </w:rPr>
          <w:t xml:space="preserve"> (sentence)</w:t>
        </w:r>
      </w:hyperlink>
      <w:r w:rsidRPr="00267651">
        <w:rPr>
          <w:rFonts w:cs="Readex Pro"/>
          <w:sz w:val="16"/>
          <w:szCs w:val="16"/>
        </w:rPr>
        <w:t>, Supreme Court of the NT SCC 22420726 transcript of proceedings (27 March 2025) (Kelly J), pages 5–6.</w:t>
      </w:r>
    </w:p>
  </w:footnote>
  <w:footnote w:id="114">
    <w:p w14:paraId="7A1B9835" w14:textId="58575795"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34269" w:rsidRPr="00267651">
        <w:rPr>
          <w:rFonts w:cs="Readex Pro"/>
          <w:sz w:val="16"/>
          <w:szCs w:val="16"/>
        </w:rPr>
        <w:t xml:space="preserve">H </w:t>
      </w:r>
      <w:r w:rsidRPr="00267651">
        <w:rPr>
          <w:rFonts w:cs="Readex Pro"/>
          <w:sz w:val="16"/>
          <w:szCs w:val="16"/>
        </w:rPr>
        <w:t>Fair</w:t>
      </w:r>
      <w:r w:rsidR="00934269" w:rsidRPr="00267651">
        <w:rPr>
          <w:rFonts w:cs="Readex Pro"/>
          <w:sz w:val="16"/>
          <w:szCs w:val="16"/>
        </w:rPr>
        <w:t xml:space="preserve"> and R </w:t>
      </w:r>
      <w:r w:rsidRPr="00267651">
        <w:rPr>
          <w:rFonts w:cs="Readex Pro"/>
          <w:sz w:val="16"/>
          <w:szCs w:val="16"/>
        </w:rPr>
        <w:t xml:space="preserve">Walmsley, </w:t>
      </w:r>
      <w:hyperlink r:id="rId117" w:history="1">
        <w:r w:rsidRPr="00267651">
          <w:rPr>
            <w:rStyle w:val="Hyperlink"/>
            <w:rFonts w:cs="Readex Pro"/>
            <w:sz w:val="16"/>
            <w:szCs w:val="16"/>
          </w:rPr>
          <w:t>‘Wor</w:t>
        </w:r>
        <w:r w:rsidR="00CB2AB7" w:rsidRPr="00267651">
          <w:rPr>
            <w:rStyle w:val="Hyperlink"/>
            <w:rFonts w:cs="Readex Pro"/>
            <w:sz w:val="16"/>
            <w:szCs w:val="16"/>
          </w:rPr>
          <w:t>l</w:t>
        </w:r>
        <w:r w:rsidRPr="00267651">
          <w:rPr>
            <w:rStyle w:val="Hyperlink"/>
            <w:rFonts w:cs="Readex Pro"/>
            <w:sz w:val="16"/>
            <w:szCs w:val="16"/>
          </w:rPr>
          <w:t xml:space="preserve">d Female Imprisonment List: Women and girls in penal institutions, including pre-trial detainees/remand prisoners’, </w:t>
        </w:r>
        <w:r w:rsidRPr="00267651">
          <w:rPr>
            <w:rStyle w:val="Hyperlink"/>
            <w:rFonts w:cs="Readex Pro"/>
            <w:i/>
            <w:iCs/>
            <w:sz w:val="16"/>
            <w:szCs w:val="16"/>
          </w:rPr>
          <w:t>Sixth edition, World Prison Brief, Institute for Crime &amp; Justice Policy Research</w:t>
        </w:r>
      </w:hyperlink>
      <w:r w:rsidR="008D7A61" w:rsidRPr="00267651">
        <w:rPr>
          <w:rFonts w:cs="Readex Pro"/>
          <w:sz w:val="16"/>
          <w:szCs w:val="16"/>
        </w:rPr>
        <w:t xml:space="preserve"> (December 2024)</w:t>
      </w:r>
      <w:r w:rsidRPr="00267651">
        <w:rPr>
          <w:rFonts w:cs="Readex Pro"/>
          <w:sz w:val="16"/>
          <w:szCs w:val="16"/>
        </w:rPr>
        <w:t>, page 13.</w:t>
      </w:r>
    </w:p>
  </w:footnote>
  <w:footnote w:id="115">
    <w:p w14:paraId="0FAB1CA6" w14:textId="7BF12892"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D6268D" w:rsidRPr="00267651">
        <w:rPr>
          <w:rFonts w:cs="Readex Pro"/>
          <w:sz w:val="16"/>
          <w:szCs w:val="16"/>
        </w:rPr>
        <w:t xml:space="preserve">E </w:t>
      </w:r>
      <w:r w:rsidRPr="00267651">
        <w:rPr>
          <w:rFonts w:cs="Readex Pro"/>
          <w:sz w:val="16"/>
          <w:szCs w:val="16"/>
        </w:rPr>
        <w:t>Russell</w:t>
      </w:r>
      <w:r w:rsidR="00D6268D" w:rsidRPr="00267651">
        <w:rPr>
          <w:rFonts w:cs="Readex Pro"/>
          <w:sz w:val="16"/>
          <w:szCs w:val="16"/>
        </w:rPr>
        <w:t xml:space="preserve"> et al</w:t>
      </w:r>
      <w:r w:rsidRPr="00267651">
        <w:rPr>
          <w:rFonts w:cs="Readex Pro"/>
          <w:sz w:val="16"/>
          <w:szCs w:val="16"/>
        </w:rPr>
        <w:t xml:space="preserve">, </w:t>
      </w:r>
      <w:hyperlink r:id="rId118" w:history="1">
        <w:r w:rsidRPr="00267651">
          <w:rPr>
            <w:rStyle w:val="Hyperlink"/>
            <w:rFonts w:cs="Readex Pro"/>
            <w:sz w:val="16"/>
            <w:szCs w:val="16"/>
          </w:rPr>
          <w:t xml:space="preserve">‘A Constellation of Circumstances: The Drivers of Women’s Increasing Rates of Remand in Victoria’, </w:t>
        </w:r>
        <w:r w:rsidRPr="00267651">
          <w:rPr>
            <w:rStyle w:val="Hyperlink"/>
            <w:rFonts w:cs="Readex Pro"/>
            <w:i/>
            <w:iCs/>
            <w:sz w:val="16"/>
            <w:szCs w:val="16"/>
          </w:rPr>
          <w:t>Fitzroy Legal Service and the La Trobe Centre for Health, Law and Society</w:t>
        </w:r>
      </w:hyperlink>
      <w:r w:rsidRPr="00267651">
        <w:rPr>
          <w:rFonts w:cs="Readex Pro"/>
          <w:sz w:val="16"/>
          <w:szCs w:val="16"/>
        </w:rPr>
        <w:t xml:space="preserve"> </w:t>
      </w:r>
      <w:r w:rsidR="00654C1B" w:rsidRPr="00267651">
        <w:rPr>
          <w:rFonts w:cs="Readex Pro"/>
          <w:sz w:val="16"/>
          <w:szCs w:val="16"/>
        </w:rPr>
        <w:t>(July 2020)</w:t>
      </w:r>
      <w:r w:rsidRPr="00267651">
        <w:rPr>
          <w:rFonts w:cs="Readex Pro"/>
          <w:sz w:val="16"/>
          <w:szCs w:val="16"/>
        </w:rPr>
        <w:t xml:space="preserve">, page 34; </w:t>
      </w:r>
      <w:r w:rsidR="001C5A13" w:rsidRPr="00267651">
        <w:rPr>
          <w:rFonts w:cs="Readex Pro"/>
          <w:sz w:val="16"/>
          <w:szCs w:val="16"/>
        </w:rPr>
        <w:t xml:space="preserve">E </w:t>
      </w:r>
      <w:r w:rsidRPr="00267651">
        <w:rPr>
          <w:rFonts w:cs="Readex Pro"/>
          <w:sz w:val="16"/>
          <w:szCs w:val="16"/>
        </w:rPr>
        <w:t xml:space="preserve">Russell, </w:t>
      </w:r>
      <w:r w:rsidR="001C5A13" w:rsidRPr="00267651">
        <w:rPr>
          <w:rFonts w:cs="Readex Pro"/>
          <w:sz w:val="16"/>
          <w:szCs w:val="16"/>
        </w:rPr>
        <w:t xml:space="preserve">B </w:t>
      </w:r>
      <w:r w:rsidRPr="00267651">
        <w:rPr>
          <w:rFonts w:cs="Readex Pro"/>
          <w:sz w:val="16"/>
          <w:szCs w:val="16"/>
        </w:rPr>
        <w:t>Carlton</w:t>
      </w:r>
      <w:r w:rsidR="001C5A13" w:rsidRPr="00267651">
        <w:rPr>
          <w:rFonts w:cs="Readex Pro"/>
          <w:sz w:val="16"/>
          <w:szCs w:val="16"/>
        </w:rPr>
        <w:t xml:space="preserve"> and </w:t>
      </w:r>
      <w:r w:rsidR="00015206" w:rsidRPr="00267651">
        <w:rPr>
          <w:rFonts w:cs="Readex Pro"/>
          <w:sz w:val="16"/>
          <w:szCs w:val="16"/>
        </w:rPr>
        <w:t xml:space="preserve">D </w:t>
      </w:r>
      <w:r w:rsidRPr="00267651">
        <w:rPr>
          <w:rFonts w:cs="Readex Pro"/>
          <w:sz w:val="16"/>
          <w:szCs w:val="16"/>
        </w:rPr>
        <w:t>Tyson,</w:t>
      </w:r>
      <w:r w:rsidR="001D2336" w:rsidRPr="00267651">
        <w:rPr>
          <w:rFonts w:cs="Readex Pro"/>
          <w:sz w:val="16"/>
          <w:szCs w:val="16"/>
        </w:rPr>
        <w:t xml:space="preserve"> </w:t>
      </w:r>
      <w:hyperlink r:id="rId119" w:history="1">
        <w:r w:rsidR="00BC7B41" w:rsidRPr="00267651">
          <w:rPr>
            <w:rStyle w:val="Hyperlink"/>
            <w:rFonts w:cs="Readex Pro"/>
            <w:sz w:val="16"/>
            <w:szCs w:val="16"/>
          </w:rPr>
          <w:t>‘“</w:t>
        </w:r>
        <w:r w:rsidRPr="00267651">
          <w:rPr>
            <w:rStyle w:val="Hyperlink"/>
            <w:rFonts w:cs="Readex Pro"/>
            <w:sz w:val="16"/>
            <w:szCs w:val="16"/>
          </w:rPr>
          <w:t>It's a Gendered Issue, 100 per Cent</w:t>
        </w:r>
        <w:r w:rsidR="00BC7B41" w:rsidRPr="00267651">
          <w:rPr>
            <w:rStyle w:val="Hyperlink"/>
            <w:rFonts w:cs="Readex Pro"/>
            <w:sz w:val="16"/>
            <w:szCs w:val="16"/>
          </w:rPr>
          <w:t>”</w:t>
        </w:r>
        <w:r w:rsidRPr="00267651">
          <w:rPr>
            <w:rStyle w:val="Hyperlink"/>
            <w:rFonts w:cs="Readex Pro"/>
            <w:sz w:val="16"/>
            <w:szCs w:val="16"/>
          </w:rPr>
          <w:t>: How Tough Bail Laws Entrench Gender and Racial Inequality and Social Disadvantage</w:t>
        </w:r>
        <w:r w:rsidR="00BC7B41" w:rsidRPr="00267651">
          <w:rPr>
            <w:rStyle w:val="Hyperlink"/>
            <w:rFonts w:cs="Readex Pro"/>
            <w:sz w:val="16"/>
            <w:szCs w:val="16"/>
          </w:rPr>
          <w:t>’</w:t>
        </w:r>
        <w:r w:rsidR="001D2336" w:rsidRPr="00267651">
          <w:rPr>
            <w:rStyle w:val="Hyperlink"/>
            <w:rFonts w:cs="Readex Pro"/>
            <w:sz w:val="16"/>
            <w:szCs w:val="16"/>
          </w:rPr>
          <w:t>,</w:t>
        </w:r>
        <w:r w:rsidRPr="00267651">
          <w:rPr>
            <w:rStyle w:val="Hyperlink"/>
            <w:rFonts w:cs="Readex Pro"/>
            <w:sz w:val="16"/>
            <w:szCs w:val="16"/>
          </w:rPr>
          <w:t xml:space="preserve"> in </w:t>
        </w:r>
        <w:r w:rsidRPr="00267651">
          <w:rPr>
            <w:rStyle w:val="Hyperlink"/>
            <w:rFonts w:cs="Readex Pro"/>
            <w:i/>
            <w:iCs/>
            <w:sz w:val="16"/>
            <w:szCs w:val="16"/>
          </w:rPr>
          <w:t>International Journal for Crime, Justice and Social Democracy</w:t>
        </w:r>
      </w:hyperlink>
      <w:r w:rsidRPr="00267651">
        <w:rPr>
          <w:rFonts w:cs="Readex Pro"/>
          <w:sz w:val="16"/>
          <w:szCs w:val="16"/>
        </w:rPr>
        <w:t xml:space="preserve"> 11(3)</w:t>
      </w:r>
      <w:r w:rsidR="00F74F3E" w:rsidRPr="00267651">
        <w:rPr>
          <w:rFonts w:cs="Readex Pro"/>
          <w:sz w:val="16"/>
          <w:szCs w:val="16"/>
        </w:rPr>
        <w:t>:107</w:t>
      </w:r>
      <w:r w:rsidR="00655731" w:rsidRPr="00267651">
        <w:rPr>
          <w:rFonts w:cs="Readex Pro"/>
          <w:sz w:val="16"/>
          <w:szCs w:val="16"/>
        </w:rPr>
        <w:t>-121</w:t>
      </w:r>
      <w:r w:rsidR="001D2336" w:rsidRPr="00267651">
        <w:rPr>
          <w:rFonts w:cs="Readex Pro"/>
          <w:sz w:val="16"/>
          <w:szCs w:val="16"/>
        </w:rPr>
        <w:t xml:space="preserve"> (</w:t>
      </w:r>
      <w:r w:rsidR="00F74F3E" w:rsidRPr="00267651">
        <w:rPr>
          <w:rFonts w:cs="Readex Pro"/>
          <w:sz w:val="16"/>
          <w:szCs w:val="16"/>
        </w:rPr>
        <w:t>2022</w:t>
      </w:r>
      <w:r w:rsidR="001D2336" w:rsidRPr="00267651">
        <w:rPr>
          <w:rFonts w:cs="Readex Pro"/>
          <w:sz w:val="16"/>
          <w:szCs w:val="16"/>
        </w:rPr>
        <w:t>)</w:t>
      </w:r>
      <w:r w:rsidRPr="00267651">
        <w:rPr>
          <w:rFonts w:cs="Readex Pro"/>
          <w:sz w:val="16"/>
          <w:szCs w:val="16"/>
        </w:rPr>
        <w:t>.</w:t>
      </w:r>
    </w:p>
  </w:footnote>
  <w:footnote w:id="116">
    <w:p w14:paraId="3276B54B" w14:textId="0EE22732"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ABS</w:t>
      </w:r>
      <w:r w:rsidR="006400CF" w:rsidRPr="00267651">
        <w:rPr>
          <w:rFonts w:cs="Readex Pro"/>
          <w:sz w:val="16"/>
          <w:szCs w:val="16"/>
        </w:rPr>
        <w:t xml:space="preserve">, above n </w:t>
      </w:r>
      <w:r w:rsidR="00831F71" w:rsidRPr="00267651">
        <w:rPr>
          <w:rFonts w:cs="Readex Pro"/>
          <w:sz w:val="16"/>
          <w:szCs w:val="16"/>
        </w:rPr>
        <w:fldChar w:fldCharType="begin"/>
      </w:r>
      <w:r w:rsidR="00831F71" w:rsidRPr="00267651">
        <w:rPr>
          <w:rFonts w:cs="Readex Pro"/>
          <w:sz w:val="16"/>
          <w:szCs w:val="16"/>
        </w:rPr>
        <w:instrText xml:space="preserve"> NOTEREF _Ref207045719 \h  \* MERGEFORMAT </w:instrText>
      </w:r>
      <w:r w:rsidR="00831F71" w:rsidRPr="00267651">
        <w:rPr>
          <w:rFonts w:cs="Readex Pro"/>
          <w:sz w:val="16"/>
          <w:szCs w:val="16"/>
        </w:rPr>
      </w:r>
      <w:r w:rsidR="00831F71" w:rsidRPr="00267651">
        <w:rPr>
          <w:rFonts w:cs="Readex Pro"/>
          <w:sz w:val="16"/>
          <w:szCs w:val="16"/>
        </w:rPr>
        <w:fldChar w:fldCharType="separate"/>
      </w:r>
      <w:r w:rsidR="00B71AA0">
        <w:rPr>
          <w:rFonts w:cs="Readex Pro"/>
          <w:sz w:val="16"/>
          <w:szCs w:val="16"/>
        </w:rPr>
        <w:t>79</w:t>
      </w:r>
      <w:r w:rsidR="00831F71" w:rsidRPr="00267651">
        <w:rPr>
          <w:rFonts w:cs="Readex Pro"/>
          <w:sz w:val="16"/>
          <w:szCs w:val="16"/>
        </w:rPr>
        <w:fldChar w:fldCharType="end"/>
      </w:r>
      <w:r w:rsidR="00831F71" w:rsidRPr="00267651">
        <w:rPr>
          <w:rFonts w:cs="Readex Pro"/>
          <w:sz w:val="16"/>
          <w:szCs w:val="16"/>
        </w:rPr>
        <w:t>, table 17</w:t>
      </w:r>
      <w:r w:rsidRPr="00267651">
        <w:rPr>
          <w:rFonts w:cs="Readex Pro"/>
          <w:sz w:val="16"/>
          <w:szCs w:val="16"/>
        </w:rPr>
        <w:t>.</w:t>
      </w:r>
    </w:p>
  </w:footnote>
  <w:footnote w:id="117">
    <w:p w14:paraId="0F15BF70" w14:textId="31C91DFB"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84024F" w:rsidRPr="00267651">
        <w:rPr>
          <w:rFonts w:cs="Readex Pro"/>
          <w:sz w:val="16"/>
          <w:szCs w:val="16"/>
        </w:rPr>
        <w:t xml:space="preserve">WA OICS, above n </w:t>
      </w:r>
      <w:r w:rsidR="0084024F" w:rsidRPr="00267651">
        <w:rPr>
          <w:rFonts w:cs="Readex Pro"/>
          <w:sz w:val="16"/>
          <w:szCs w:val="16"/>
        </w:rPr>
        <w:fldChar w:fldCharType="begin"/>
      </w:r>
      <w:r w:rsidR="0084024F" w:rsidRPr="00267651">
        <w:rPr>
          <w:rFonts w:cs="Readex Pro"/>
          <w:sz w:val="16"/>
          <w:szCs w:val="16"/>
        </w:rPr>
        <w:instrText xml:space="preserve"> NOTEREF _Ref207048406 \h </w:instrText>
      </w:r>
      <w:r w:rsidR="003A2A00" w:rsidRPr="00267651">
        <w:rPr>
          <w:rFonts w:cs="Readex Pro"/>
          <w:sz w:val="16"/>
          <w:szCs w:val="16"/>
        </w:rPr>
        <w:instrText xml:space="preserve"> \* MERGEFORMAT </w:instrText>
      </w:r>
      <w:r w:rsidR="0084024F" w:rsidRPr="00267651">
        <w:rPr>
          <w:rFonts w:cs="Readex Pro"/>
          <w:sz w:val="16"/>
          <w:szCs w:val="16"/>
        </w:rPr>
      </w:r>
      <w:r w:rsidR="0084024F" w:rsidRPr="00267651">
        <w:rPr>
          <w:rFonts w:cs="Readex Pro"/>
          <w:sz w:val="16"/>
          <w:szCs w:val="16"/>
        </w:rPr>
        <w:fldChar w:fldCharType="separate"/>
      </w:r>
      <w:r w:rsidR="00B71AA0">
        <w:rPr>
          <w:rFonts w:cs="Readex Pro"/>
          <w:sz w:val="16"/>
          <w:szCs w:val="16"/>
        </w:rPr>
        <w:t>93</w:t>
      </w:r>
      <w:r w:rsidR="0084024F" w:rsidRPr="00267651">
        <w:rPr>
          <w:rFonts w:cs="Readex Pro"/>
          <w:sz w:val="16"/>
          <w:szCs w:val="16"/>
        </w:rPr>
        <w:fldChar w:fldCharType="end"/>
      </w:r>
      <w:r w:rsidR="0084024F" w:rsidRPr="00267651">
        <w:rPr>
          <w:rFonts w:cs="Readex Pro"/>
          <w:sz w:val="16"/>
          <w:szCs w:val="16"/>
        </w:rPr>
        <w:t>, p</w:t>
      </w:r>
      <w:r w:rsidRPr="00267651">
        <w:rPr>
          <w:rFonts w:cs="Readex Pro"/>
          <w:sz w:val="16"/>
          <w:szCs w:val="16"/>
        </w:rPr>
        <w:t>age 23.</w:t>
      </w:r>
    </w:p>
  </w:footnote>
  <w:footnote w:id="118">
    <w:p w14:paraId="3C6F5E1F" w14:textId="2E43D904"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Jumbunna Institute,</w:t>
      </w:r>
      <w:r w:rsidR="006652FD" w:rsidRPr="00267651">
        <w:rPr>
          <w:rFonts w:cs="Readex Pro"/>
          <w:sz w:val="16"/>
          <w:szCs w:val="16"/>
        </w:rPr>
        <w:t xml:space="preserve"> above n </w:t>
      </w:r>
      <w:r w:rsidR="006652FD" w:rsidRPr="00267651">
        <w:rPr>
          <w:rFonts w:cs="Readex Pro"/>
          <w:sz w:val="16"/>
          <w:szCs w:val="16"/>
        </w:rPr>
        <w:fldChar w:fldCharType="begin"/>
      </w:r>
      <w:r w:rsidR="006652FD" w:rsidRPr="00267651">
        <w:rPr>
          <w:rFonts w:cs="Readex Pro"/>
          <w:sz w:val="16"/>
          <w:szCs w:val="16"/>
        </w:rPr>
        <w:instrText xml:space="preserve"> NOTEREF _Ref207114046 \h </w:instrText>
      </w:r>
      <w:r w:rsidR="003A2A00" w:rsidRPr="00267651">
        <w:rPr>
          <w:rFonts w:cs="Readex Pro"/>
          <w:sz w:val="16"/>
          <w:szCs w:val="16"/>
        </w:rPr>
        <w:instrText xml:space="preserve"> \* MERGEFORMAT </w:instrText>
      </w:r>
      <w:r w:rsidR="006652FD" w:rsidRPr="00267651">
        <w:rPr>
          <w:rFonts w:cs="Readex Pro"/>
          <w:sz w:val="16"/>
          <w:szCs w:val="16"/>
        </w:rPr>
      </w:r>
      <w:r w:rsidR="006652FD" w:rsidRPr="00267651">
        <w:rPr>
          <w:rFonts w:cs="Readex Pro"/>
          <w:sz w:val="16"/>
          <w:szCs w:val="16"/>
        </w:rPr>
        <w:fldChar w:fldCharType="separate"/>
      </w:r>
      <w:r w:rsidR="00B71AA0">
        <w:rPr>
          <w:rFonts w:cs="Readex Pro"/>
          <w:sz w:val="16"/>
          <w:szCs w:val="16"/>
        </w:rPr>
        <w:t>37</w:t>
      </w:r>
      <w:r w:rsidR="006652FD" w:rsidRPr="00267651">
        <w:rPr>
          <w:rFonts w:cs="Readex Pro"/>
          <w:sz w:val="16"/>
          <w:szCs w:val="16"/>
        </w:rPr>
        <w:fldChar w:fldCharType="end"/>
      </w:r>
      <w:r w:rsidR="006652FD" w:rsidRPr="00267651">
        <w:rPr>
          <w:rFonts w:cs="Readex Pro"/>
          <w:sz w:val="16"/>
          <w:szCs w:val="16"/>
        </w:rPr>
        <w:t>, page</w:t>
      </w:r>
      <w:r w:rsidRPr="00267651">
        <w:rPr>
          <w:rFonts w:cs="Readex Pro"/>
          <w:sz w:val="16"/>
          <w:szCs w:val="16"/>
        </w:rPr>
        <w:t>s 47-8.</w:t>
      </w:r>
    </w:p>
  </w:footnote>
  <w:footnote w:id="119">
    <w:p w14:paraId="177A9153" w14:textId="340F7DF1"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Committee for Economic Development of Australia, </w:t>
      </w:r>
      <w:hyperlink r:id="rId120" w:history="1">
        <w:r w:rsidRPr="00267651">
          <w:rPr>
            <w:rStyle w:val="Hyperlink"/>
            <w:rFonts w:cs="Readex Pro"/>
            <w:i/>
            <w:iCs/>
            <w:sz w:val="16"/>
            <w:szCs w:val="16"/>
          </w:rPr>
          <w:t>Double Jeopardy: the economic and social costs of keeping women behind bars</w:t>
        </w:r>
      </w:hyperlink>
      <w:r w:rsidRPr="00267651">
        <w:rPr>
          <w:rFonts w:cs="Readex Pro"/>
          <w:sz w:val="16"/>
          <w:szCs w:val="16"/>
        </w:rPr>
        <w:t xml:space="preserve"> (2022), page 15.</w:t>
      </w:r>
    </w:p>
  </w:footnote>
  <w:footnote w:id="120">
    <w:p w14:paraId="5425CA42" w14:textId="4A355918"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Family Violence Reform Implementation Monitor, </w:t>
      </w:r>
      <w:hyperlink r:id="rId121" w:history="1">
        <w:r w:rsidRPr="00267651">
          <w:rPr>
            <w:rStyle w:val="Hyperlink"/>
            <w:rFonts w:cs="Readex Pro"/>
            <w:i/>
            <w:iCs/>
            <w:sz w:val="16"/>
            <w:szCs w:val="16"/>
          </w:rPr>
          <w:t>Monitoring Victoria’s Family Violence Reforms: Accurate Identification of the Predominant Aggressor</w:t>
        </w:r>
      </w:hyperlink>
      <w:r w:rsidRPr="00267651">
        <w:rPr>
          <w:rFonts w:cs="Readex Pro"/>
          <w:sz w:val="16"/>
          <w:szCs w:val="16"/>
        </w:rPr>
        <w:t xml:space="preserve"> (December 2021); North Australian Aboriginal Justice Agency, </w:t>
      </w:r>
      <w:hyperlink r:id="rId122" w:history="1">
        <w:r w:rsidRPr="00267651">
          <w:rPr>
            <w:rStyle w:val="Hyperlink"/>
            <w:rFonts w:cs="Readex Pro"/>
            <w:i/>
            <w:iCs/>
            <w:sz w:val="16"/>
            <w:szCs w:val="16"/>
          </w:rPr>
          <w:t>Submission: Review of the legislation and justice response to domestic and family violence</w:t>
        </w:r>
      </w:hyperlink>
      <w:r w:rsidRPr="00267651">
        <w:rPr>
          <w:rFonts w:cs="Readex Pro"/>
          <w:sz w:val="16"/>
          <w:szCs w:val="16"/>
        </w:rPr>
        <w:t xml:space="preserve"> (November 2022), pages 19, 37, 40.</w:t>
      </w:r>
    </w:p>
  </w:footnote>
  <w:footnote w:id="121">
    <w:p w14:paraId="48CD2D27" w14:textId="6C9FE1A3"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Victorian Legal Services Board </w:t>
      </w:r>
      <w:r w:rsidR="00C63A7E" w:rsidRPr="00267651">
        <w:rPr>
          <w:rFonts w:cs="Readex Pro"/>
          <w:sz w:val="16"/>
          <w:szCs w:val="16"/>
        </w:rPr>
        <w:t>and</w:t>
      </w:r>
      <w:r w:rsidRPr="00267651">
        <w:rPr>
          <w:rFonts w:cs="Readex Pro"/>
          <w:sz w:val="16"/>
          <w:szCs w:val="16"/>
        </w:rPr>
        <w:t xml:space="preserve"> Commissioner, </w:t>
      </w:r>
      <w:hyperlink r:id="rId123" w:history="1">
        <w:r w:rsidRPr="00267651">
          <w:rPr>
            <w:rStyle w:val="Hyperlink"/>
            <w:rFonts w:cs="Readex Pro"/>
            <w:i/>
            <w:iCs/>
            <w:sz w:val="16"/>
            <w:szCs w:val="16"/>
          </w:rPr>
          <w:t>Keeping Women Out of the Justice System: Final Report</w:t>
        </w:r>
      </w:hyperlink>
      <w:r w:rsidRPr="00267651">
        <w:rPr>
          <w:rFonts w:cs="Readex Pro"/>
          <w:sz w:val="16"/>
          <w:szCs w:val="16"/>
        </w:rPr>
        <w:t xml:space="preserve"> (August 2023), page 8.</w:t>
      </w:r>
    </w:p>
  </w:footnote>
  <w:footnote w:id="122">
    <w:p w14:paraId="3368F153" w14:textId="38291560" w:rsidR="007F1E9F" w:rsidRPr="00267651" w:rsidRDefault="007F1E9F" w:rsidP="008E487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AIHW, </w:t>
      </w:r>
      <w:hyperlink r:id="rId124" w:history="1">
        <w:r w:rsidRPr="00267651">
          <w:rPr>
            <w:rStyle w:val="Hyperlink"/>
            <w:rFonts w:cs="Readex Pro"/>
            <w:i/>
            <w:iCs/>
            <w:sz w:val="16"/>
            <w:szCs w:val="16"/>
          </w:rPr>
          <w:t>The health and welfare of women in Australia’s Prisons</w:t>
        </w:r>
      </w:hyperlink>
      <w:r w:rsidRPr="00267651">
        <w:rPr>
          <w:rFonts w:cs="Readex Pro"/>
          <w:sz w:val="16"/>
          <w:szCs w:val="16"/>
        </w:rPr>
        <w:t xml:space="preserve"> (November 2020), page 10.</w:t>
      </w:r>
    </w:p>
  </w:footnote>
  <w:footnote w:id="123">
    <w:p w14:paraId="5BFEBAD1" w14:textId="179A9CF0" w:rsidR="007F1E9F" w:rsidRPr="00267651" w:rsidRDefault="007F1E9F" w:rsidP="008E487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Legislative Council Legal and Social Issues Committee, </w:t>
      </w:r>
      <w:hyperlink r:id="rId125" w:history="1">
        <w:r w:rsidRPr="00267651">
          <w:rPr>
            <w:rStyle w:val="Hyperlink"/>
            <w:rFonts w:cs="Readex Pro"/>
            <w:sz w:val="16"/>
            <w:szCs w:val="16"/>
          </w:rPr>
          <w:t>‘Inquiry into children affected by parental incarceration’</w:t>
        </w:r>
        <w:r w:rsidR="00FF2ED7" w:rsidRPr="00267651">
          <w:rPr>
            <w:rStyle w:val="Hyperlink"/>
            <w:rFonts w:cs="Readex Pro"/>
            <w:sz w:val="16"/>
            <w:szCs w:val="16"/>
          </w:rPr>
          <w:t xml:space="preserve">, </w:t>
        </w:r>
        <w:r w:rsidR="00FF2ED7" w:rsidRPr="00267651">
          <w:rPr>
            <w:rStyle w:val="Hyperlink"/>
            <w:rFonts w:cs="Readex Pro"/>
            <w:i/>
            <w:iCs/>
            <w:sz w:val="16"/>
            <w:szCs w:val="16"/>
          </w:rPr>
          <w:t>Parliament of Victoria</w:t>
        </w:r>
      </w:hyperlink>
      <w:r w:rsidR="00FF2ED7" w:rsidRPr="00267651">
        <w:rPr>
          <w:rFonts w:cs="Readex Pro"/>
          <w:sz w:val="16"/>
          <w:szCs w:val="16"/>
        </w:rPr>
        <w:t xml:space="preserve"> </w:t>
      </w:r>
      <w:r w:rsidRPr="00267651">
        <w:rPr>
          <w:rFonts w:cs="Readex Pro"/>
          <w:sz w:val="16"/>
          <w:szCs w:val="16"/>
        </w:rPr>
        <w:t>(4 August 2022).</w:t>
      </w:r>
    </w:p>
  </w:footnote>
  <w:footnote w:id="124">
    <w:p w14:paraId="2D11D25D" w14:textId="3F4519E5"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7B2033" w:rsidRPr="00267651">
        <w:rPr>
          <w:rFonts w:cs="Readex Pro"/>
          <w:sz w:val="16"/>
          <w:szCs w:val="16"/>
        </w:rPr>
        <w:t>ACT NPM</w:t>
      </w:r>
      <w:r w:rsidRPr="00267651">
        <w:rPr>
          <w:rFonts w:cs="Readex Pro"/>
          <w:sz w:val="16"/>
          <w:szCs w:val="16"/>
        </w:rPr>
        <w:t>,</w:t>
      </w:r>
      <w:r w:rsidR="008E3A2E" w:rsidRPr="00267651">
        <w:rPr>
          <w:rFonts w:cs="Readex Pro"/>
          <w:sz w:val="16"/>
          <w:szCs w:val="16"/>
        </w:rPr>
        <w:t xml:space="preserve"> above n </w:t>
      </w:r>
      <w:r w:rsidR="008E3A2E" w:rsidRPr="00267651">
        <w:rPr>
          <w:rFonts w:cs="Readex Pro"/>
          <w:sz w:val="16"/>
          <w:szCs w:val="16"/>
        </w:rPr>
        <w:fldChar w:fldCharType="begin"/>
      </w:r>
      <w:r w:rsidR="008E3A2E" w:rsidRPr="00267651">
        <w:rPr>
          <w:rFonts w:cs="Readex Pro"/>
          <w:sz w:val="16"/>
          <w:szCs w:val="16"/>
        </w:rPr>
        <w:instrText xml:space="preserve"> NOTEREF _Ref207115000 \h </w:instrText>
      </w:r>
      <w:r w:rsidR="003A2A00" w:rsidRPr="00267651">
        <w:rPr>
          <w:rFonts w:cs="Readex Pro"/>
          <w:sz w:val="16"/>
          <w:szCs w:val="16"/>
        </w:rPr>
        <w:instrText xml:space="preserve"> \* MERGEFORMAT </w:instrText>
      </w:r>
      <w:r w:rsidR="008E3A2E" w:rsidRPr="00267651">
        <w:rPr>
          <w:rFonts w:cs="Readex Pro"/>
          <w:sz w:val="16"/>
          <w:szCs w:val="16"/>
        </w:rPr>
      </w:r>
      <w:r w:rsidR="008E3A2E" w:rsidRPr="00267651">
        <w:rPr>
          <w:rFonts w:cs="Readex Pro"/>
          <w:sz w:val="16"/>
          <w:szCs w:val="16"/>
        </w:rPr>
        <w:fldChar w:fldCharType="separate"/>
      </w:r>
      <w:r w:rsidR="00B71AA0">
        <w:rPr>
          <w:rFonts w:cs="Readex Pro"/>
          <w:sz w:val="16"/>
          <w:szCs w:val="16"/>
        </w:rPr>
        <w:t>21</w:t>
      </w:r>
      <w:r w:rsidR="008E3A2E" w:rsidRPr="00267651">
        <w:rPr>
          <w:rFonts w:cs="Readex Pro"/>
          <w:sz w:val="16"/>
          <w:szCs w:val="16"/>
        </w:rPr>
        <w:fldChar w:fldCharType="end"/>
      </w:r>
      <w:r w:rsidR="008E3A2E" w:rsidRPr="00267651">
        <w:rPr>
          <w:rFonts w:cs="Readex Pro"/>
          <w:sz w:val="16"/>
          <w:szCs w:val="16"/>
        </w:rPr>
        <w:t xml:space="preserve">, </w:t>
      </w:r>
      <w:r w:rsidRPr="00267651">
        <w:rPr>
          <w:rFonts w:cs="Readex Pro"/>
          <w:sz w:val="16"/>
          <w:szCs w:val="16"/>
        </w:rPr>
        <w:t>page 6.</w:t>
      </w:r>
    </w:p>
  </w:footnote>
  <w:footnote w:id="125">
    <w:p w14:paraId="024A0F95" w14:textId="17CD3358" w:rsidR="007F1E9F" w:rsidRPr="00267651" w:rsidRDefault="007F1E9F" w:rsidP="00CB544D">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the </w:t>
      </w:r>
      <w:r w:rsidR="000D1DE1" w:rsidRPr="00267651">
        <w:rPr>
          <w:rFonts w:cs="Readex Pro"/>
          <w:sz w:val="16"/>
          <w:szCs w:val="16"/>
        </w:rPr>
        <w:t>Australian NPM</w:t>
      </w:r>
      <w:r w:rsidRPr="00267651">
        <w:rPr>
          <w:rFonts w:cs="Readex Pro"/>
          <w:sz w:val="16"/>
          <w:szCs w:val="16"/>
        </w:rPr>
        <w:t>’s contribution to the Association for the Prevention of Torture’s Global Report on Women in Prison, which details some further current issues relating to women in prison including the use of routine strip searches and restrictive practices, access to mental healthcare and the overrepresentation of Aboriginal and Torres Strait Islander women in custody</w:t>
      </w:r>
      <w:r w:rsidR="000D1DE1" w:rsidRPr="00267651">
        <w:rPr>
          <w:rFonts w:cs="Readex Pro"/>
          <w:sz w:val="16"/>
          <w:szCs w:val="16"/>
        </w:rPr>
        <w:t>: Australian NPM</w:t>
      </w:r>
      <w:r w:rsidRPr="00267651">
        <w:rPr>
          <w:rFonts w:cs="Readex Pro"/>
          <w:sz w:val="16"/>
          <w:szCs w:val="16"/>
        </w:rPr>
        <w:t xml:space="preserve">, </w:t>
      </w:r>
      <w:hyperlink r:id="rId126" w:history="1">
        <w:r w:rsidRPr="00267651">
          <w:rPr>
            <w:rStyle w:val="Hyperlink"/>
            <w:rFonts w:cs="Readex Pro"/>
            <w:i/>
            <w:iCs/>
            <w:sz w:val="16"/>
            <w:szCs w:val="16"/>
          </w:rPr>
          <w:t xml:space="preserve">Women in Prison: Australia </w:t>
        </w:r>
        <w:r w:rsidR="000D1DE1" w:rsidRPr="00267651">
          <w:rPr>
            <w:rStyle w:val="Hyperlink"/>
            <w:rFonts w:cs="Readex Pro"/>
            <w:i/>
            <w:iCs/>
            <w:sz w:val="16"/>
            <w:szCs w:val="16"/>
          </w:rPr>
          <w:t>–</w:t>
        </w:r>
        <w:r w:rsidRPr="00267651">
          <w:rPr>
            <w:rStyle w:val="Hyperlink"/>
            <w:rFonts w:cs="Readex Pro"/>
            <w:i/>
            <w:iCs/>
            <w:sz w:val="16"/>
            <w:szCs w:val="16"/>
          </w:rPr>
          <w:t xml:space="preserve"> Analysis from the National Preventive Mechanism</w:t>
        </w:r>
      </w:hyperlink>
      <w:r w:rsidRPr="00267651">
        <w:rPr>
          <w:rFonts w:cs="Readex Pro"/>
          <w:sz w:val="16"/>
          <w:szCs w:val="16"/>
        </w:rPr>
        <w:t xml:space="preserve"> (September 2024); </w:t>
      </w:r>
      <w:r w:rsidR="0030038B" w:rsidRPr="00267651">
        <w:rPr>
          <w:rFonts w:cs="Readex Pro"/>
          <w:sz w:val="16"/>
          <w:szCs w:val="16"/>
        </w:rPr>
        <w:t xml:space="preserve">H </w:t>
      </w:r>
      <w:proofErr w:type="spellStart"/>
      <w:r w:rsidRPr="00267651">
        <w:rPr>
          <w:rFonts w:cs="Readex Pro"/>
          <w:sz w:val="16"/>
          <w:szCs w:val="16"/>
        </w:rPr>
        <w:t>Tubex</w:t>
      </w:r>
      <w:proofErr w:type="spellEnd"/>
      <w:r w:rsidR="0030038B" w:rsidRPr="00267651">
        <w:rPr>
          <w:rFonts w:cs="Readex Pro"/>
          <w:sz w:val="16"/>
          <w:szCs w:val="16"/>
        </w:rPr>
        <w:t xml:space="preserve"> and N </w:t>
      </w:r>
      <w:r w:rsidRPr="00267651">
        <w:rPr>
          <w:rFonts w:cs="Readex Pro"/>
          <w:sz w:val="16"/>
          <w:szCs w:val="16"/>
        </w:rPr>
        <w:t xml:space="preserve">Gately, </w:t>
      </w:r>
      <w:hyperlink r:id="rId127" w:history="1">
        <w:r w:rsidRPr="00267651">
          <w:rPr>
            <w:rStyle w:val="Hyperlink"/>
            <w:rFonts w:cs="Readex Pro"/>
            <w:sz w:val="16"/>
            <w:szCs w:val="16"/>
          </w:rPr>
          <w:t>‘</w:t>
        </w:r>
        <w:r w:rsidR="00047FF1" w:rsidRPr="00267651">
          <w:rPr>
            <w:rStyle w:val="Hyperlink"/>
            <w:rFonts w:cs="Readex Pro"/>
            <w:sz w:val="16"/>
            <w:szCs w:val="16"/>
          </w:rPr>
          <w:t>“</w:t>
        </w:r>
        <w:r w:rsidRPr="00267651">
          <w:rPr>
            <w:rStyle w:val="Hyperlink"/>
            <w:rFonts w:cs="Readex Pro"/>
            <w:sz w:val="16"/>
            <w:szCs w:val="16"/>
          </w:rPr>
          <w:t>No support, no housing, no job</w:t>
        </w:r>
        <w:r w:rsidR="00047FF1" w:rsidRPr="00267651">
          <w:rPr>
            <w:rStyle w:val="Hyperlink"/>
            <w:rFonts w:cs="Readex Pro"/>
            <w:sz w:val="16"/>
            <w:szCs w:val="16"/>
          </w:rPr>
          <w:t>”</w:t>
        </w:r>
        <w:r w:rsidRPr="00267651">
          <w:rPr>
            <w:rStyle w:val="Hyperlink"/>
            <w:rFonts w:cs="Readex Pro"/>
            <w:sz w:val="16"/>
            <w:szCs w:val="16"/>
          </w:rPr>
          <w:t xml:space="preserve"> – the vicious cycle pushing more women into prison’</w:t>
        </w:r>
        <w:r w:rsidR="00047FF1" w:rsidRPr="00267651">
          <w:rPr>
            <w:rStyle w:val="Hyperlink"/>
            <w:rFonts w:cs="Readex Pro"/>
            <w:sz w:val="16"/>
            <w:szCs w:val="16"/>
          </w:rPr>
          <w:t xml:space="preserve">, </w:t>
        </w:r>
        <w:r w:rsidR="00047FF1" w:rsidRPr="00267651">
          <w:rPr>
            <w:rStyle w:val="Hyperlink"/>
            <w:rFonts w:cs="Readex Pro"/>
            <w:i/>
            <w:iCs/>
            <w:sz w:val="16"/>
            <w:szCs w:val="16"/>
          </w:rPr>
          <w:t>The Conversation</w:t>
        </w:r>
      </w:hyperlink>
      <w:r w:rsidR="00047FF1" w:rsidRPr="00267651">
        <w:rPr>
          <w:rFonts w:cs="Readex Pro"/>
          <w:sz w:val="16"/>
          <w:szCs w:val="16"/>
        </w:rPr>
        <w:t xml:space="preserve"> </w:t>
      </w:r>
      <w:r w:rsidRPr="00267651">
        <w:rPr>
          <w:rFonts w:cs="Readex Pro"/>
          <w:sz w:val="16"/>
          <w:szCs w:val="16"/>
        </w:rPr>
        <w:t>(28 May 2025).</w:t>
      </w:r>
    </w:p>
  </w:footnote>
  <w:footnote w:id="126">
    <w:p w14:paraId="4CB61592" w14:textId="502EE845" w:rsidR="007F1E9F" w:rsidRPr="00267651" w:rsidRDefault="007F1E9F" w:rsidP="005E4B8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0D1DE1" w:rsidRPr="00267651">
        <w:rPr>
          <w:rFonts w:cs="Readex Pro"/>
          <w:sz w:val="16"/>
          <w:szCs w:val="16"/>
        </w:rPr>
        <w:t>ACT NPM</w:t>
      </w:r>
      <w:r w:rsidRPr="00267651">
        <w:rPr>
          <w:rFonts w:cs="Readex Pro"/>
          <w:sz w:val="16"/>
          <w:szCs w:val="16"/>
        </w:rPr>
        <w:t>,</w:t>
      </w:r>
      <w:r w:rsidR="008E3A2E" w:rsidRPr="00267651">
        <w:rPr>
          <w:rFonts w:cs="Readex Pro"/>
          <w:sz w:val="16"/>
          <w:szCs w:val="16"/>
        </w:rPr>
        <w:t xml:space="preserve"> above n </w:t>
      </w:r>
      <w:r w:rsidR="008E3A2E" w:rsidRPr="00267651">
        <w:rPr>
          <w:rFonts w:cs="Readex Pro"/>
          <w:sz w:val="16"/>
          <w:szCs w:val="16"/>
        </w:rPr>
        <w:fldChar w:fldCharType="begin"/>
      </w:r>
      <w:r w:rsidR="008E3A2E" w:rsidRPr="00267651">
        <w:rPr>
          <w:rFonts w:cs="Readex Pro"/>
          <w:sz w:val="16"/>
          <w:szCs w:val="16"/>
        </w:rPr>
        <w:instrText xml:space="preserve"> NOTEREF _Ref207115000 \h </w:instrText>
      </w:r>
      <w:r w:rsidR="003A2A00" w:rsidRPr="00267651">
        <w:rPr>
          <w:rFonts w:cs="Readex Pro"/>
          <w:sz w:val="16"/>
          <w:szCs w:val="16"/>
        </w:rPr>
        <w:instrText xml:space="preserve"> \* MERGEFORMAT </w:instrText>
      </w:r>
      <w:r w:rsidR="008E3A2E" w:rsidRPr="00267651">
        <w:rPr>
          <w:rFonts w:cs="Readex Pro"/>
          <w:sz w:val="16"/>
          <w:szCs w:val="16"/>
        </w:rPr>
      </w:r>
      <w:r w:rsidR="008E3A2E" w:rsidRPr="00267651">
        <w:rPr>
          <w:rFonts w:cs="Readex Pro"/>
          <w:sz w:val="16"/>
          <w:szCs w:val="16"/>
        </w:rPr>
        <w:fldChar w:fldCharType="separate"/>
      </w:r>
      <w:r w:rsidR="00B71AA0">
        <w:rPr>
          <w:rFonts w:cs="Readex Pro"/>
          <w:sz w:val="16"/>
          <w:szCs w:val="16"/>
        </w:rPr>
        <w:t>21</w:t>
      </w:r>
      <w:r w:rsidR="008E3A2E" w:rsidRPr="00267651">
        <w:rPr>
          <w:rFonts w:cs="Readex Pro"/>
          <w:sz w:val="16"/>
          <w:szCs w:val="16"/>
        </w:rPr>
        <w:fldChar w:fldCharType="end"/>
      </w:r>
      <w:r w:rsidR="000D1DE1" w:rsidRPr="00267651">
        <w:rPr>
          <w:rFonts w:cs="Readex Pro"/>
          <w:sz w:val="16"/>
          <w:szCs w:val="16"/>
        </w:rPr>
        <w:t xml:space="preserve">, </w:t>
      </w:r>
      <w:r w:rsidRPr="00267651">
        <w:rPr>
          <w:rFonts w:cs="Readex Pro"/>
          <w:sz w:val="16"/>
          <w:szCs w:val="16"/>
        </w:rPr>
        <w:t>page 6.</w:t>
      </w:r>
    </w:p>
  </w:footnote>
  <w:footnote w:id="127">
    <w:p w14:paraId="02EACFE8" w14:textId="192ADBDE" w:rsidR="007F1E9F" w:rsidRPr="00267651" w:rsidRDefault="007F1E9F" w:rsidP="004146B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Tasmanian CI, </w:t>
      </w:r>
      <w:hyperlink r:id="rId128" w:history="1">
        <w:r w:rsidRPr="00267651">
          <w:rPr>
            <w:rStyle w:val="Hyperlink"/>
            <w:rFonts w:cs="Readex Pro"/>
            <w:i/>
            <w:iCs/>
            <w:sz w:val="16"/>
            <w:szCs w:val="16"/>
          </w:rPr>
          <w:t>Adult wellbeing inspection report</w:t>
        </w:r>
      </w:hyperlink>
      <w:r w:rsidRPr="00267651">
        <w:rPr>
          <w:rFonts w:cs="Readex Pro"/>
          <w:sz w:val="16"/>
          <w:szCs w:val="16"/>
        </w:rPr>
        <w:t xml:space="preserve"> (November 2024), page 21.</w:t>
      </w:r>
    </w:p>
  </w:footnote>
  <w:footnote w:id="128">
    <w:p w14:paraId="59044E2D" w14:textId="1A201A55" w:rsidR="007F1E9F" w:rsidRPr="00267651" w:rsidRDefault="007F1E9F" w:rsidP="008E487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WA OICS, </w:t>
      </w:r>
      <w:hyperlink r:id="rId129" w:history="1">
        <w:r w:rsidR="00E913F1" w:rsidRPr="00267651">
          <w:rPr>
            <w:rStyle w:val="Hyperlink"/>
            <w:rFonts w:cs="Readex Pro"/>
            <w:i/>
            <w:iCs/>
            <w:sz w:val="16"/>
            <w:szCs w:val="16"/>
          </w:rPr>
          <w:t xml:space="preserve">Report 159 – </w:t>
        </w:r>
        <w:r w:rsidRPr="00267651">
          <w:rPr>
            <w:rStyle w:val="Hyperlink"/>
            <w:rFonts w:cs="Readex Pro"/>
            <w:i/>
            <w:iCs/>
            <w:sz w:val="16"/>
            <w:szCs w:val="16"/>
          </w:rPr>
          <w:t>2024 Inspection of Greenough Regional Prison</w:t>
        </w:r>
      </w:hyperlink>
      <w:r w:rsidRPr="00267651">
        <w:rPr>
          <w:rFonts w:cs="Readex Pro"/>
          <w:sz w:val="16"/>
          <w:szCs w:val="16"/>
        </w:rPr>
        <w:t xml:space="preserve"> (April 2025), page 7.</w:t>
      </w:r>
    </w:p>
  </w:footnote>
  <w:footnote w:id="129">
    <w:p w14:paraId="1537EF04" w14:textId="663771EB" w:rsidR="007F1E9F" w:rsidRPr="00267651" w:rsidRDefault="007F1E9F" w:rsidP="008E487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30.</w:t>
      </w:r>
    </w:p>
  </w:footnote>
  <w:footnote w:id="130">
    <w:p w14:paraId="0536B819" w14:textId="2825C787" w:rsidR="007F1E9F" w:rsidRPr="00267651" w:rsidRDefault="007F1E9F" w:rsidP="004146BA">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0F74EE" w:rsidRPr="00267651">
        <w:rPr>
          <w:rFonts w:cs="Readex Pro"/>
          <w:sz w:val="16"/>
          <w:szCs w:val="16"/>
        </w:rPr>
        <w:t xml:space="preserve">ABC News, </w:t>
      </w:r>
      <w:hyperlink r:id="rId130" w:history="1">
        <w:r w:rsidRPr="00267651">
          <w:rPr>
            <w:rStyle w:val="Hyperlink"/>
            <w:rFonts w:cs="Readex Pro"/>
            <w:i/>
            <w:iCs/>
            <w:sz w:val="16"/>
            <w:szCs w:val="16"/>
          </w:rPr>
          <w:t>Relocation of female prisoners from Alice Springs to Darwin 'extremely traumatic', legal expert says</w:t>
        </w:r>
      </w:hyperlink>
      <w:r w:rsidRPr="00267651">
        <w:rPr>
          <w:rFonts w:cs="Readex Pro"/>
          <w:sz w:val="16"/>
          <w:szCs w:val="16"/>
        </w:rPr>
        <w:t xml:space="preserve"> (1</w:t>
      </w:r>
      <w:r w:rsidR="000F74EE" w:rsidRPr="00267651">
        <w:rPr>
          <w:rFonts w:cs="Readex Pro"/>
          <w:sz w:val="16"/>
          <w:szCs w:val="16"/>
        </w:rPr>
        <w:t> </w:t>
      </w:r>
      <w:r w:rsidRPr="00267651">
        <w:rPr>
          <w:rFonts w:cs="Readex Pro"/>
          <w:sz w:val="16"/>
          <w:szCs w:val="16"/>
        </w:rPr>
        <w:t xml:space="preserve">November 2025); </w:t>
      </w:r>
      <w:r w:rsidR="00530A15" w:rsidRPr="00267651">
        <w:rPr>
          <w:rFonts w:cs="Readex Pro"/>
          <w:sz w:val="16"/>
          <w:szCs w:val="16"/>
        </w:rPr>
        <w:t>NITV – SBS News</w:t>
      </w:r>
      <w:r w:rsidRPr="00267651">
        <w:rPr>
          <w:rFonts w:cs="Readex Pro"/>
          <w:sz w:val="16"/>
          <w:szCs w:val="16"/>
        </w:rPr>
        <w:t xml:space="preserve">, </w:t>
      </w:r>
      <w:hyperlink r:id="rId131" w:history="1">
        <w:r w:rsidRPr="00267651">
          <w:rPr>
            <w:rStyle w:val="Hyperlink"/>
            <w:rFonts w:cs="Readex Pro"/>
            <w:i/>
            <w:iCs/>
            <w:sz w:val="16"/>
            <w:szCs w:val="16"/>
          </w:rPr>
          <w:t>‘20 in a cell, no fresh air, drinking water above a toilet’: these are accounts from inside an NT watch house</w:t>
        </w:r>
      </w:hyperlink>
      <w:r w:rsidRPr="00267651">
        <w:rPr>
          <w:rFonts w:cs="Readex Pro"/>
          <w:sz w:val="16"/>
          <w:szCs w:val="16"/>
        </w:rPr>
        <w:t xml:space="preserve"> (11 February 2025).</w:t>
      </w:r>
    </w:p>
  </w:footnote>
  <w:footnote w:id="131">
    <w:p w14:paraId="5BA21687" w14:textId="158143CC"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w:t>
      </w:r>
      <w:r w:rsidR="005D355E" w:rsidRPr="00267651">
        <w:rPr>
          <w:rFonts w:cs="Readex Pro"/>
          <w:sz w:val="16"/>
          <w:szCs w:val="16"/>
        </w:rPr>
        <w:t xml:space="preserve">Australian NPM, Annual Report 2023–24, above n </w:t>
      </w:r>
      <w:r w:rsidR="005D355E" w:rsidRPr="00267651">
        <w:rPr>
          <w:rFonts w:cs="Readex Pro"/>
          <w:sz w:val="16"/>
          <w:szCs w:val="16"/>
        </w:rPr>
        <w:fldChar w:fldCharType="begin"/>
      </w:r>
      <w:r w:rsidR="005D355E" w:rsidRPr="00267651">
        <w:rPr>
          <w:rFonts w:cs="Readex Pro"/>
          <w:sz w:val="16"/>
          <w:szCs w:val="16"/>
        </w:rPr>
        <w:instrText xml:space="preserve"> NOTEREF _Ref207045613 \h </w:instrText>
      </w:r>
      <w:r w:rsidR="003A2A00" w:rsidRPr="00267651">
        <w:rPr>
          <w:rFonts w:cs="Readex Pro"/>
          <w:sz w:val="16"/>
          <w:szCs w:val="16"/>
        </w:rPr>
        <w:instrText xml:space="preserve"> \* MERGEFORMAT </w:instrText>
      </w:r>
      <w:r w:rsidR="005D355E" w:rsidRPr="00267651">
        <w:rPr>
          <w:rFonts w:cs="Readex Pro"/>
          <w:sz w:val="16"/>
          <w:szCs w:val="16"/>
        </w:rPr>
      </w:r>
      <w:r w:rsidR="005D355E" w:rsidRPr="00267651">
        <w:rPr>
          <w:rFonts w:cs="Readex Pro"/>
          <w:sz w:val="16"/>
          <w:szCs w:val="16"/>
        </w:rPr>
        <w:fldChar w:fldCharType="separate"/>
      </w:r>
      <w:r w:rsidR="00B71AA0">
        <w:rPr>
          <w:rFonts w:cs="Readex Pro"/>
          <w:sz w:val="16"/>
          <w:szCs w:val="16"/>
        </w:rPr>
        <w:t>44</w:t>
      </w:r>
      <w:r w:rsidR="005D355E" w:rsidRPr="00267651">
        <w:rPr>
          <w:rFonts w:cs="Readex Pro"/>
          <w:sz w:val="16"/>
          <w:szCs w:val="16"/>
        </w:rPr>
        <w:fldChar w:fldCharType="end"/>
      </w:r>
      <w:r w:rsidR="005D355E" w:rsidRPr="00267651">
        <w:rPr>
          <w:rFonts w:cs="Readex Pro"/>
          <w:sz w:val="16"/>
          <w:szCs w:val="16"/>
        </w:rPr>
        <w:t xml:space="preserve">, </w:t>
      </w:r>
      <w:r w:rsidRPr="00267651">
        <w:rPr>
          <w:rFonts w:cs="Readex Pro"/>
          <w:sz w:val="16"/>
          <w:szCs w:val="16"/>
        </w:rPr>
        <w:t>pages 20–4.</w:t>
      </w:r>
    </w:p>
  </w:footnote>
  <w:footnote w:id="132">
    <w:p w14:paraId="744730A0" w14:textId="497292A5"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 Hampton and P Abbott, </w:t>
      </w:r>
      <w:hyperlink r:id="rId132" w:history="1">
        <w:r w:rsidRPr="00267651">
          <w:rPr>
            <w:rStyle w:val="Hyperlink"/>
            <w:rFonts w:cs="Readex Pro"/>
            <w:sz w:val="16"/>
            <w:szCs w:val="16"/>
          </w:rPr>
          <w:t>‘Out of sight, out of mind: Investing in prison primary healthcare to target vulnerable groups’</w:t>
        </w:r>
        <w:r w:rsidR="00796EAF" w:rsidRPr="00267651">
          <w:rPr>
            <w:rStyle w:val="Hyperlink"/>
            <w:rFonts w:cs="Readex Pro"/>
            <w:sz w:val="16"/>
            <w:szCs w:val="16"/>
          </w:rPr>
          <w:t xml:space="preserve"> in</w:t>
        </w:r>
        <w:r w:rsidRPr="00267651">
          <w:rPr>
            <w:rStyle w:val="Hyperlink"/>
            <w:rFonts w:cs="Readex Pro"/>
            <w:sz w:val="16"/>
            <w:szCs w:val="16"/>
          </w:rPr>
          <w:t xml:space="preserve"> </w:t>
        </w:r>
        <w:r w:rsidRPr="00267651">
          <w:rPr>
            <w:rStyle w:val="Hyperlink"/>
            <w:rFonts w:cs="Readex Pro"/>
            <w:i/>
            <w:iCs/>
            <w:sz w:val="16"/>
            <w:szCs w:val="16"/>
          </w:rPr>
          <w:t>Australian Journal of General Practice</w:t>
        </w:r>
        <w:r w:rsidRPr="00267651">
          <w:rPr>
            <w:rStyle w:val="Hyperlink"/>
            <w:rFonts w:cs="Readex Pro"/>
            <w:sz w:val="16"/>
            <w:szCs w:val="16"/>
          </w:rPr>
          <w:t xml:space="preserve"> 54</w:t>
        </w:r>
        <w:r w:rsidR="00796EAF" w:rsidRPr="00267651">
          <w:rPr>
            <w:rStyle w:val="Hyperlink"/>
            <w:rFonts w:cs="Readex Pro"/>
            <w:sz w:val="16"/>
            <w:szCs w:val="16"/>
          </w:rPr>
          <w:t>:</w:t>
        </w:r>
        <w:r w:rsidRPr="00267651">
          <w:rPr>
            <w:rStyle w:val="Hyperlink"/>
            <w:rFonts w:cs="Readex Pro"/>
            <w:sz w:val="16"/>
            <w:szCs w:val="16"/>
          </w:rPr>
          <w:t>4</w:t>
        </w:r>
      </w:hyperlink>
      <w:r w:rsidRPr="00267651">
        <w:rPr>
          <w:rFonts w:cs="Readex Pro"/>
          <w:sz w:val="16"/>
          <w:szCs w:val="16"/>
        </w:rPr>
        <w:t xml:space="preserve"> (April 2025), page 234.</w:t>
      </w:r>
    </w:p>
  </w:footnote>
  <w:footnote w:id="133">
    <w:p w14:paraId="6A21666E" w14:textId="3B42093E"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For example, WA’s only secure forensic hospital, the Frankland Centre, has a capacity of just 30 beds and can only accommodate 10 or so patients from prisons at any one time, which means that many people with acute mental health issues must be managed within custodial facilities. See </w:t>
      </w:r>
      <w:r w:rsidR="00440576" w:rsidRPr="00267651">
        <w:rPr>
          <w:rFonts w:cs="Readex Pro"/>
          <w:sz w:val="16"/>
          <w:szCs w:val="16"/>
        </w:rPr>
        <w:t>WA OICS</w:t>
      </w:r>
      <w:r w:rsidRPr="00267651">
        <w:rPr>
          <w:rFonts w:cs="Readex Pro"/>
          <w:sz w:val="16"/>
          <w:szCs w:val="16"/>
        </w:rPr>
        <w:t xml:space="preserve">, </w:t>
      </w:r>
      <w:hyperlink r:id="rId133" w:history="1">
        <w:r w:rsidRPr="00267651">
          <w:rPr>
            <w:rStyle w:val="Hyperlink"/>
            <w:rFonts w:cs="Readex Pro"/>
            <w:i/>
            <w:iCs/>
            <w:sz w:val="16"/>
            <w:szCs w:val="16"/>
          </w:rPr>
          <w:t>People in custody requiring crisis care</w:t>
        </w:r>
      </w:hyperlink>
      <w:r w:rsidRPr="00267651">
        <w:rPr>
          <w:rFonts w:cs="Readex Pro"/>
          <w:sz w:val="16"/>
          <w:szCs w:val="16"/>
        </w:rPr>
        <w:t xml:space="preserve"> (January 2025), pages 4, 13.</w:t>
      </w:r>
    </w:p>
  </w:footnote>
  <w:footnote w:id="134">
    <w:p w14:paraId="1E6370FD" w14:textId="37BD0053"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Tasmanian </w:t>
      </w:r>
      <w:r w:rsidR="00A12C5D" w:rsidRPr="00267651">
        <w:rPr>
          <w:rFonts w:cs="Readex Pro"/>
          <w:sz w:val="16"/>
          <w:szCs w:val="16"/>
        </w:rPr>
        <w:t>CI</w:t>
      </w:r>
      <w:r w:rsidRPr="00267651">
        <w:rPr>
          <w:rFonts w:cs="Readex Pro"/>
          <w:sz w:val="16"/>
          <w:szCs w:val="16"/>
        </w:rPr>
        <w:t xml:space="preserve">, </w:t>
      </w:r>
      <w:hyperlink r:id="rId134" w:history="1">
        <w:r w:rsidRPr="00267651">
          <w:rPr>
            <w:rStyle w:val="Hyperlink"/>
            <w:rFonts w:cs="Readex Pro"/>
            <w:i/>
            <w:iCs/>
            <w:sz w:val="16"/>
            <w:szCs w:val="16"/>
          </w:rPr>
          <w:t>Adult health care inspection report 2023</w:t>
        </w:r>
      </w:hyperlink>
      <w:r w:rsidRPr="00267651">
        <w:rPr>
          <w:rFonts w:cs="Readex Pro"/>
          <w:sz w:val="16"/>
          <w:szCs w:val="16"/>
        </w:rPr>
        <w:t xml:space="preserve"> (June 2024), page 7.</w:t>
      </w:r>
    </w:p>
  </w:footnote>
  <w:footnote w:id="135">
    <w:p w14:paraId="67F26A62" w14:textId="33DFFA3C"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Victorian Ombudsman, </w:t>
      </w:r>
      <w:hyperlink r:id="rId135" w:history="1">
        <w:r w:rsidRPr="00267651">
          <w:rPr>
            <w:rStyle w:val="Hyperlink"/>
            <w:rFonts w:cs="Readex Pro"/>
            <w:i/>
            <w:iCs/>
            <w:sz w:val="16"/>
            <w:szCs w:val="16"/>
          </w:rPr>
          <w:t>Investigation into healthcare provision for Aboriginal people in Victorian prisons</w:t>
        </w:r>
      </w:hyperlink>
      <w:r w:rsidRPr="00267651">
        <w:rPr>
          <w:rFonts w:cs="Readex Pro"/>
          <w:sz w:val="16"/>
          <w:szCs w:val="16"/>
        </w:rPr>
        <w:t xml:space="preserve"> (March 2024), pages 21–2; WA OICS, </w:t>
      </w:r>
      <w:r w:rsidR="00440576" w:rsidRPr="00267651">
        <w:rPr>
          <w:rFonts w:cs="Readex Pro"/>
          <w:sz w:val="16"/>
          <w:szCs w:val="16"/>
        </w:rPr>
        <w:t xml:space="preserve">above n </w:t>
      </w:r>
      <w:r w:rsidR="00A12C5D" w:rsidRPr="00267651">
        <w:rPr>
          <w:rFonts w:cs="Readex Pro"/>
          <w:sz w:val="16"/>
          <w:szCs w:val="16"/>
        </w:rPr>
        <w:fldChar w:fldCharType="begin"/>
      </w:r>
      <w:r w:rsidR="00A12C5D" w:rsidRPr="00267651">
        <w:rPr>
          <w:rFonts w:cs="Readex Pro"/>
          <w:sz w:val="16"/>
          <w:szCs w:val="16"/>
        </w:rPr>
        <w:instrText xml:space="preserve"> NOTEREF _Ref207115651 \h </w:instrText>
      </w:r>
      <w:r w:rsidR="003A2A00" w:rsidRPr="00267651">
        <w:rPr>
          <w:rFonts w:cs="Readex Pro"/>
          <w:sz w:val="16"/>
          <w:szCs w:val="16"/>
        </w:rPr>
        <w:instrText xml:space="preserve"> \* MERGEFORMAT </w:instrText>
      </w:r>
      <w:r w:rsidR="00A12C5D" w:rsidRPr="00267651">
        <w:rPr>
          <w:rFonts w:cs="Readex Pro"/>
          <w:sz w:val="16"/>
          <w:szCs w:val="16"/>
        </w:rPr>
      </w:r>
      <w:r w:rsidR="00A12C5D" w:rsidRPr="00267651">
        <w:rPr>
          <w:rFonts w:cs="Readex Pro"/>
          <w:sz w:val="16"/>
          <w:szCs w:val="16"/>
        </w:rPr>
        <w:fldChar w:fldCharType="separate"/>
      </w:r>
      <w:r w:rsidR="00B71AA0">
        <w:rPr>
          <w:rFonts w:cs="Readex Pro"/>
          <w:sz w:val="16"/>
          <w:szCs w:val="16"/>
        </w:rPr>
        <w:t>133</w:t>
      </w:r>
      <w:r w:rsidR="00A12C5D" w:rsidRPr="00267651">
        <w:rPr>
          <w:rFonts w:cs="Readex Pro"/>
          <w:sz w:val="16"/>
          <w:szCs w:val="16"/>
        </w:rPr>
        <w:fldChar w:fldCharType="end"/>
      </w:r>
      <w:r w:rsidRPr="00267651">
        <w:rPr>
          <w:rFonts w:cs="Readex Pro"/>
          <w:sz w:val="16"/>
          <w:szCs w:val="16"/>
        </w:rPr>
        <w:t>, page 14.</w:t>
      </w:r>
    </w:p>
  </w:footnote>
  <w:footnote w:id="136">
    <w:p w14:paraId="59E80E96" w14:textId="4ABC7749"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94461B" w:rsidRPr="00267651">
        <w:rPr>
          <w:rFonts w:cs="Readex Pro"/>
          <w:sz w:val="16"/>
          <w:szCs w:val="16"/>
        </w:rPr>
        <w:t>WA OICS</w:t>
      </w:r>
      <w:r w:rsidRPr="00267651">
        <w:rPr>
          <w:rFonts w:cs="Readex Pro"/>
          <w:sz w:val="16"/>
          <w:szCs w:val="16"/>
        </w:rPr>
        <w:t xml:space="preserve">, </w:t>
      </w:r>
      <w:r w:rsidR="003B0DAF" w:rsidRPr="00267651">
        <w:rPr>
          <w:rFonts w:cs="Readex Pro"/>
          <w:sz w:val="16"/>
          <w:szCs w:val="16"/>
        </w:rPr>
        <w:t xml:space="preserve">above n </w:t>
      </w:r>
      <w:r w:rsidR="003B0DAF" w:rsidRPr="00267651">
        <w:rPr>
          <w:rFonts w:cs="Readex Pro"/>
          <w:sz w:val="16"/>
          <w:szCs w:val="16"/>
        </w:rPr>
        <w:fldChar w:fldCharType="begin"/>
      </w:r>
      <w:r w:rsidR="003B0DAF" w:rsidRPr="00267651">
        <w:rPr>
          <w:rFonts w:cs="Readex Pro"/>
          <w:sz w:val="16"/>
          <w:szCs w:val="16"/>
        </w:rPr>
        <w:instrText xml:space="preserve"> NOTEREF _Ref207115651 \h </w:instrText>
      </w:r>
      <w:r w:rsidR="003A2A00" w:rsidRPr="00267651">
        <w:rPr>
          <w:rFonts w:cs="Readex Pro"/>
          <w:sz w:val="16"/>
          <w:szCs w:val="16"/>
        </w:rPr>
        <w:instrText xml:space="preserve"> \* MERGEFORMAT </w:instrText>
      </w:r>
      <w:r w:rsidR="003B0DAF" w:rsidRPr="00267651">
        <w:rPr>
          <w:rFonts w:cs="Readex Pro"/>
          <w:sz w:val="16"/>
          <w:szCs w:val="16"/>
        </w:rPr>
      </w:r>
      <w:r w:rsidR="003B0DAF" w:rsidRPr="00267651">
        <w:rPr>
          <w:rFonts w:cs="Readex Pro"/>
          <w:sz w:val="16"/>
          <w:szCs w:val="16"/>
        </w:rPr>
        <w:fldChar w:fldCharType="separate"/>
      </w:r>
      <w:r w:rsidR="00B71AA0">
        <w:rPr>
          <w:rFonts w:cs="Readex Pro"/>
          <w:sz w:val="16"/>
          <w:szCs w:val="16"/>
        </w:rPr>
        <w:t>133</w:t>
      </w:r>
      <w:r w:rsidR="003B0DAF" w:rsidRPr="00267651">
        <w:rPr>
          <w:rFonts w:cs="Readex Pro"/>
          <w:sz w:val="16"/>
          <w:szCs w:val="16"/>
        </w:rPr>
        <w:fldChar w:fldCharType="end"/>
      </w:r>
      <w:r w:rsidRPr="00267651">
        <w:rPr>
          <w:rFonts w:cs="Readex Pro"/>
          <w:sz w:val="16"/>
          <w:szCs w:val="16"/>
        </w:rPr>
        <w:t>, pages 15–18.</w:t>
      </w:r>
    </w:p>
  </w:footnote>
  <w:footnote w:id="137">
    <w:p w14:paraId="36847A4B" w14:textId="05F0512B"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WA OICS, </w:t>
      </w:r>
      <w:hyperlink r:id="rId136" w:history="1">
        <w:r w:rsidRPr="00267651">
          <w:rPr>
            <w:rStyle w:val="Hyperlink"/>
            <w:rFonts w:cs="Readex Pro"/>
            <w:i/>
            <w:iCs/>
            <w:sz w:val="16"/>
            <w:szCs w:val="16"/>
          </w:rPr>
          <w:t>Report 155 – 2023 Inspection of Melaleuca Women’s Prison</w:t>
        </w:r>
      </w:hyperlink>
      <w:r w:rsidRPr="00267651">
        <w:rPr>
          <w:rFonts w:cs="Readex Pro"/>
          <w:sz w:val="16"/>
          <w:szCs w:val="16"/>
        </w:rPr>
        <w:t xml:space="preserve"> (October 2024), pages 36–47.</w:t>
      </w:r>
    </w:p>
  </w:footnote>
  <w:footnote w:id="138">
    <w:p w14:paraId="13545502" w14:textId="4DE2B089" w:rsidR="007F1E9F" w:rsidRPr="00267651" w:rsidRDefault="007F1E9F" w:rsidP="0026294C">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w:t>
      </w:r>
      <w:hyperlink r:id="rId137" w:history="1">
        <w:r w:rsidRPr="00267651">
          <w:rPr>
            <w:rStyle w:val="Hyperlink"/>
            <w:rFonts w:cs="Readex Pro"/>
            <w:i/>
            <w:iCs/>
            <w:sz w:val="16"/>
            <w:szCs w:val="16"/>
          </w:rPr>
          <w:t>Health Insurance Act 1973</w:t>
        </w:r>
        <w:r w:rsidRPr="00267651">
          <w:rPr>
            <w:rStyle w:val="Hyperlink"/>
            <w:rFonts w:cs="Readex Pro"/>
            <w:sz w:val="16"/>
            <w:szCs w:val="16"/>
          </w:rPr>
          <w:t xml:space="preserve"> (</w:t>
        </w:r>
        <w:proofErr w:type="spellStart"/>
        <w:r w:rsidRPr="00267651">
          <w:rPr>
            <w:rStyle w:val="Hyperlink"/>
            <w:rFonts w:cs="Readex Pro"/>
            <w:sz w:val="16"/>
            <w:szCs w:val="16"/>
          </w:rPr>
          <w:t>Cth</w:t>
        </w:r>
        <w:proofErr w:type="spellEnd"/>
        <w:r w:rsidRPr="00267651">
          <w:rPr>
            <w:rStyle w:val="Hyperlink"/>
            <w:rFonts w:cs="Readex Pro"/>
            <w:sz w:val="16"/>
            <w:szCs w:val="16"/>
          </w:rPr>
          <w:t>)</w:t>
        </w:r>
      </w:hyperlink>
      <w:r w:rsidRPr="00267651">
        <w:rPr>
          <w:rFonts w:cs="Readex Pro"/>
          <w:sz w:val="16"/>
          <w:szCs w:val="16"/>
        </w:rPr>
        <w:t>, section 19(2).</w:t>
      </w:r>
      <w:r w:rsidR="0026294C" w:rsidRPr="00267651">
        <w:rPr>
          <w:rFonts w:cs="Readex Pro"/>
          <w:sz w:val="16"/>
          <w:szCs w:val="16"/>
        </w:rPr>
        <w:t xml:space="preserve"> In most cases, people in custodial environments also do not have access to medicines under the Pharmaceutical Benefits Scheme (PBS). The PBS, part of </w:t>
      </w:r>
      <w:r w:rsidR="0026294C" w:rsidRPr="00267651">
        <w:rPr>
          <w:rFonts w:cs="Readex Pro"/>
          <w:i/>
          <w:iCs/>
          <w:sz w:val="16"/>
          <w:szCs w:val="16"/>
        </w:rPr>
        <w:t>Medicare</w:t>
      </w:r>
      <w:r w:rsidR="0026294C" w:rsidRPr="00267651">
        <w:rPr>
          <w:rFonts w:cs="Readex Pro"/>
          <w:sz w:val="16"/>
          <w:szCs w:val="16"/>
        </w:rPr>
        <w:t>, enables access in Australia to certain medications at prices heavily subsidised by government.</w:t>
      </w:r>
    </w:p>
  </w:footnote>
  <w:footnote w:id="139">
    <w:p w14:paraId="254DE553" w14:textId="537487F6"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Medical Association (AMA), </w:t>
      </w:r>
      <w:hyperlink r:id="rId138" w:history="1">
        <w:r w:rsidRPr="00267651">
          <w:rPr>
            <w:rStyle w:val="Hyperlink"/>
            <w:rFonts w:cs="Readex Pro"/>
            <w:i/>
            <w:iCs/>
            <w:sz w:val="16"/>
            <w:szCs w:val="16"/>
          </w:rPr>
          <w:t>AMA Position Statement: Health Care in Custodial Settings</w:t>
        </w:r>
      </w:hyperlink>
      <w:r w:rsidRPr="00267651">
        <w:rPr>
          <w:rFonts w:cs="Readex Pro"/>
          <w:sz w:val="16"/>
          <w:szCs w:val="16"/>
        </w:rPr>
        <w:t xml:space="preserve"> (2023); AMA, </w:t>
      </w:r>
      <w:hyperlink r:id="rId139" w:history="1">
        <w:r w:rsidRPr="00267651">
          <w:rPr>
            <w:rStyle w:val="Hyperlink"/>
            <w:rFonts w:cs="Readex Pro"/>
            <w:i/>
            <w:iCs/>
            <w:sz w:val="16"/>
            <w:szCs w:val="16"/>
          </w:rPr>
          <w:t>AMA Submission to PBAC March Meeting Agenda Item: Access to Medicines for People in Custodial Settings</w:t>
        </w:r>
      </w:hyperlink>
      <w:r w:rsidRPr="00267651">
        <w:rPr>
          <w:rFonts w:cs="Readex Pro"/>
          <w:sz w:val="16"/>
          <w:szCs w:val="16"/>
        </w:rPr>
        <w:t xml:space="preserve"> (7 February 2024).</w:t>
      </w:r>
    </w:p>
  </w:footnote>
  <w:footnote w:id="140">
    <w:p w14:paraId="38637273" w14:textId="24324008"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NSW I</w:t>
      </w:r>
      <w:r w:rsidR="00B50F14" w:rsidRPr="00267651">
        <w:rPr>
          <w:rFonts w:cs="Readex Pro"/>
          <w:sz w:val="16"/>
          <w:szCs w:val="16"/>
        </w:rPr>
        <w:t>nspector of Custodial Services</w:t>
      </w:r>
      <w:r w:rsidRPr="00267651">
        <w:rPr>
          <w:rFonts w:cs="Readex Pro"/>
          <w:sz w:val="16"/>
          <w:szCs w:val="16"/>
        </w:rPr>
        <w:t xml:space="preserve">, </w:t>
      </w:r>
      <w:hyperlink r:id="rId140" w:history="1">
        <w:r w:rsidRPr="00267651">
          <w:rPr>
            <w:rStyle w:val="Hyperlink"/>
            <w:rFonts w:cs="Readex Pro"/>
            <w:i/>
            <w:iCs/>
            <w:sz w:val="16"/>
            <w:szCs w:val="16"/>
          </w:rPr>
          <w:t>Health services in NSW correctional facilities</w:t>
        </w:r>
      </w:hyperlink>
      <w:r w:rsidRPr="00267651">
        <w:rPr>
          <w:rFonts w:cs="Readex Pro"/>
          <w:sz w:val="16"/>
          <w:szCs w:val="16"/>
        </w:rPr>
        <w:t xml:space="preserve"> (March 2021), pages 17, 83, 141–2.</w:t>
      </w:r>
    </w:p>
  </w:footnote>
  <w:footnote w:id="141">
    <w:p w14:paraId="5A2A82B0" w14:textId="77777777"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142">
    <w:p w14:paraId="2BE47CC5" w14:textId="4741E9C5"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Violence, Abuse, Neglect and Exploitation of People with Disability, </w:t>
      </w:r>
      <w:hyperlink r:id="rId141" w:history="1">
        <w:r w:rsidRPr="00267651">
          <w:rPr>
            <w:rStyle w:val="Hyperlink"/>
            <w:rFonts w:cs="Readex Pro"/>
            <w:i/>
            <w:iCs/>
            <w:sz w:val="16"/>
            <w:szCs w:val="16"/>
          </w:rPr>
          <w:t>Final Report – Volume 8: Criminal justice and people with disability</w:t>
        </w:r>
      </w:hyperlink>
      <w:r w:rsidRPr="00267651">
        <w:rPr>
          <w:rFonts w:cs="Readex Pro"/>
          <w:sz w:val="16"/>
          <w:szCs w:val="16"/>
        </w:rPr>
        <w:t xml:space="preserve"> (September 2023), pages 31, 34.</w:t>
      </w:r>
    </w:p>
  </w:footnote>
  <w:footnote w:id="143">
    <w:p w14:paraId="77935B71" w14:textId="1624E55F"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The National Disability Insurance Scheme (NDIS) is Australia’s national government-funded social insurance scheme to fund supports for eligible people with disability. For further information about barriers to accessing the NDIS in the criminal justice system, see</w:t>
      </w:r>
      <w:r w:rsidR="0019447D" w:rsidRPr="00267651">
        <w:rPr>
          <w:rFonts w:cs="Readex Pro"/>
          <w:sz w:val="16"/>
          <w:szCs w:val="16"/>
        </w:rPr>
        <w:t xml:space="preserve"> ‘Chapter 6: The NDIS and criminal justice system interface’ in</w:t>
      </w:r>
      <w:r w:rsidRPr="00267651">
        <w:rPr>
          <w:rFonts w:cs="Readex Pro"/>
          <w:sz w:val="16"/>
          <w:szCs w:val="16"/>
        </w:rPr>
        <w:t xml:space="preserve"> </w:t>
      </w:r>
      <w:r w:rsidRPr="00267651">
        <w:rPr>
          <w:rFonts w:cs="Readex Pro"/>
          <w:i/>
          <w:iCs/>
          <w:sz w:val="16"/>
          <w:szCs w:val="16"/>
        </w:rPr>
        <w:t>Royal Commission into Violence, Abuse, Neglect and Exploitation of People with Disability</w:t>
      </w:r>
      <w:r w:rsidRPr="00267651">
        <w:rPr>
          <w:rFonts w:cs="Readex Pro"/>
          <w:sz w:val="16"/>
          <w:szCs w:val="16"/>
        </w:rPr>
        <w:t>,</w:t>
      </w:r>
      <w:r w:rsidR="00636621" w:rsidRPr="00267651">
        <w:rPr>
          <w:rFonts w:cs="Readex Pro"/>
          <w:sz w:val="16"/>
          <w:szCs w:val="16"/>
        </w:rPr>
        <w:t xml:space="preserve"> above n </w:t>
      </w:r>
      <w:r w:rsidR="00636621" w:rsidRPr="00267651">
        <w:rPr>
          <w:rFonts w:cs="Readex Pro"/>
          <w:sz w:val="16"/>
          <w:szCs w:val="16"/>
        </w:rPr>
        <w:fldChar w:fldCharType="begin"/>
      </w:r>
      <w:r w:rsidR="00636621" w:rsidRPr="00267651">
        <w:rPr>
          <w:rFonts w:cs="Readex Pro"/>
          <w:sz w:val="16"/>
          <w:szCs w:val="16"/>
        </w:rPr>
        <w:instrText xml:space="preserve"> NOTEREF _Ref207115945 \h </w:instrText>
      </w:r>
      <w:r w:rsidR="00F43ADB" w:rsidRPr="00267651">
        <w:rPr>
          <w:rFonts w:cs="Readex Pro"/>
          <w:sz w:val="16"/>
          <w:szCs w:val="16"/>
        </w:rPr>
        <w:instrText xml:space="preserve"> \* MERGEFORMAT </w:instrText>
      </w:r>
      <w:r w:rsidR="00636621" w:rsidRPr="00267651">
        <w:rPr>
          <w:rFonts w:cs="Readex Pro"/>
          <w:sz w:val="16"/>
          <w:szCs w:val="16"/>
        </w:rPr>
      </w:r>
      <w:r w:rsidR="00636621" w:rsidRPr="00267651">
        <w:rPr>
          <w:rFonts w:cs="Readex Pro"/>
          <w:sz w:val="16"/>
          <w:szCs w:val="16"/>
        </w:rPr>
        <w:fldChar w:fldCharType="separate"/>
      </w:r>
      <w:r w:rsidR="00B71AA0">
        <w:rPr>
          <w:rFonts w:cs="Readex Pro"/>
          <w:sz w:val="16"/>
          <w:szCs w:val="16"/>
        </w:rPr>
        <w:t>142</w:t>
      </w:r>
      <w:r w:rsidR="00636621" w:rsidRPr="00267651">
        <w:rPr>
          <w:rFonts w:cs="Readex Pro"/>
          <w:sz w:val="16"/>
          <w:szCs w:val="16"/>
        </w:rPr>
        <w:fldChar w:fldCharType="end"/>
      </w:r>
      <w:r w:rsidR="00636621" w:rsidRPr="00267651">
        <w:rPr>
          <w:rFonts w:cs="Readex Pro"/>
          <w:sz w:val="16"/>
          <w:szCs w:val="16"/>
        </w:rPr>
        <w:t xml:space="preserve">, </w:t>
      </w:r>
      <w:r w:rsidRPr="00267651">
        <w:rPr>
          <w:rFonts w:cs="Readex Pro"/>
          <w:sz w:val="16"/>
          <w:szCs w:val="16"/>
        </w:rPr>
        <w:t xml:space="preserve">pages 207-228; </w:t>
      </w:r>
      <w:r w:rsidR="008F624C" w:rsidRPr="00267651">
        <w:rPr>
          <w:rFonts w:cs="Readex Pro"/>
          <w:sz w:val="16"/>
          <w:szCs w:val="16"/>
        </w:rPr>
        <w:t>Australian Government</w:t>
      </w:r>
      <w:r w:rsidRPr="00267651">
        <w:rPr>
          <w:rFonts w:cs="Readex Pro"/>
          <w:sz w:val="16"/>
          <w:szCs w:val="16"/>
        </w:rPr>
        <w:t xml:space="preserve">, </w:t>
      </w:r>
      <w:hyperlink r:id="rId142" w:history="1">
        <w:r w:rsidRPr="00267651">
          <w:rPr>
            <w:rStyle w:val="Hyperlink"/>
            <w:rFonts w:cs="Readex Pro"/>
            <w:i/>
            <w:iCs/>
            <w:sz w:val="16"/>
            <w:szCs w:val="16"/>
          </w:rPr>
          <w:t>Working together to deliver the NDIS: Independent Review into the N</w:t>
        </w:r>
        <w:r w:rsidR="00DD5B7A" w:rsidRPr="00267651">
          <w:rPr>
            <w:rStyle w:val="Hyperlink"/>
            <w:rFonts w:cs="Readex Pro"/>
            <w:i/>
            <w:iCs/>
            <w:sz w:val="16"/>
            <w:szCs w:val="16"/>
          </w:rPr>
          <w:t>ational Disability Insurance Scheme</w:t>
        </w:r>
        <w:r w:rsidRPr="00267651">
          <w:rPr>
            <w:rStyle w:val="Hyperlink"/>
            <w:rFonts w:cs="Readex Pro"/>
            <w:i/>
            <w:iCs/>
            <w:sz w:val="16"/>
            <w:szCs w:val="16"/>
          </w:rPr>
          <w:t xml:space="preserve">: Final </w:t>
        </w:r>
        <w:r w:rsidR="00DD5B7A" w:rsidRPr="00267651">
          <w:rPr>
            <w:rStyle w:val="Hyperlink"/>
            <w:rFonts w:cs="Readex Pro"/>
            <w:i/>
            <w:iCs/>
            <w:sz w:val="16"/>
            <w:szCs w:val="16"/>
          </w:rPr>
          <w:t>R</w:t>
        </w:r>
        <w:r w:rsidRPr="00267651">
          <w:rPr>
            <w:rStyle w:val="Hyperlink"/>
            <w:rFonts w:cs="Readex Pro"/>
            <w:i/>
            <w:iCs/>
            <w:sz w:val="16"/>
            <w:szCs w:val="16"/>
          </w:rPr>
          <w:t>eport</w:t>
        </w:r>
      </w:hyperlink>
      <w:r w:rsidRPr="00267651">
        <w:rPr>
          <w:rFonts w:cs="Readex Pro"/>
          <w:sz w:val="16"/>
          <w:szCs w:val="16"/>
        </w:rPr>
        <w:t xml:space="preserve"> (October 2023) pages 68, 76-77, 97, 100.</w:t>
      </w:r>
    </w:p>
  </w:footnote>
  <w:footnote w:id="144">
    <w:p w14:paraId="6B2801FF" w14:textId="30887525"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NDIS, </w:t>
      </w:r>
      <w:hyperlink r:id="rId143" w:history="1">
        <w:r w:rsidRPr="00267651">
          <w:rPr>
            <w:rStyle w:val="Hyperlink"/>
            <w:rFonts w:cs="Readex Pro"/>
            <w:i/>
            <w:iCs/>
            <w:sz w:val="16"/>
            <w:szCs w:val="16"/>
          </w:rPr>
          <w:t>Who funds the supports you need when you’re in custody?</w:t>
        </w:r>
      </w:hyperlink>
      <w:r w:rsidRPr="00267651">
        <w:rPr>
          <w:rFonts w:cs="Readex Pro"/>
          <w:sz w:val="16"/>
          <w:szCs w:val="16"/>
        </w:rPr>
        <w:t>.</w:t>
      </w:r>
    </w:p>
  </w:footnote>
  <w:footnote w:id="145">
    <w:p w14:paraId="78E18EE4" w14:textId="46631263" w:rsidR="007F1E9F" w:rsidRPr="00267651" w:rsidRDefault="007F1E9F" w:rsidP="0003584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Violence, Abuse, Neglect and Exploitation of People with Disability, </w:t>
      </w:r>
      <w:r w:rsidR="00DD5B7A" w:rsidRPr="00267651">
        <w:rPr>
          <w:rFonts w:cs="Readex Pro"/>
          <w:sz w:val="16"/>
          <w:szCs w:val="16"/>
        </w:rPr>
        <w:t xml:space="preserve">above n </w:t>
      </w:r>
      <w:r w:rsidR="00DD5B7A" w:rsidRPr="00267651">
        <w:rPr>
          <w:rFonts w:cs="Readex Pro"/>
          <w:sz w:val="16"/>
          <w:szCs w:val="16"/>
        </w:rPr>
        <w:fldChar w:fldCharType="begin"/>
      </w:r>
      <w:r w:rsidR="00DD5B7A" w:rsidRPr="00267651">
        <w:rPr>
          <w:rFonts w:cs="Readex Pro"/>
          <w:sz w:val="16"/>
          <w:szCs w:val="16"/>
        </w:rPr>
        <w:instrText xml:space="preserve"> NOTEREF _Ref207115945 \h </w:instrText>
      </w:r>
      <w:r w:rsidR="00EA4167" w:rsidRPr="00267651">
        <w:rPr>
          <w:rFonts w:cs="Readex Pro"/>
          <w:sz w:val="16"/>
          <w:szCs w:val="16"/>
        </w:rPr>
        <w:instrText xml:space="preserve"> \* MERGEFORMAT </w:instrText>
      </w:r>
      <w:r w:rsidR="00DD5B7A" w:rsidRPr="00267651">
        <w:rPr>
          <w:rFonts w:cs="Readex Pro"/>
          <w:sz w:val="16"/>
          <w:szCs w:val="16"/>
        </w:rPr>
      </w:r>
      <w:r w:rsidR="00DD5B7A" w:rsidRPr="00267651">
        <w:rPr>
          <w:rFonts w:cs="Readex Pro"/>
          <w:sz w:val="16"/>
          <w:szCs w:val="16"/>
        </w:rPr>
        <w:fldChar w:fldCharType="separate"/>
      </w:r>
      <w:r w:rsidR="00B71AA0">
        <w:rPr>
          <w:rFonts w:cs="Readex Pro"/>
          <w:sz w:val="16"/>
          <w:szCs w:val="16"/>
        </w:rPr>
        <w:t>142</w:t>
      </w:r>
      <w:r w:rsidR="00DD5B7A" w:rsidRPr="00267651">
        <w:rPr>
          <w:rFonts w:cs="Readex Pro"/>
          <w:sz w:val="16"/>
          <w:szCs w:val="16"/>
        </w:rPr>
        <w:fldChar w:fldCharType="end"/>
      </w:r>
      <w:r w:rsidR="00DD5B7A" w:rsidRPr="00267651">
        <w:rPr>
          <w:rFonts w:cs="Readex Pro"/>
          <w:sz w:val="16"/>
          <w:szCs w:val="16"/>
        </w:rPr>
        <w:t xml:space="preserve">, </w:t>
      </w:r>
      <w:r w:rsidRPr="00267651">
        <w:rPr>
          <w:rFonts w:cs="Readex Pro"/>
          <w:sz w:val="16"/>
          <w:szCs w:val="16"/>
        </w:rPr>
        <w:t>recommendation 8.17;</w:t>
      </w:r>
      <w:r w:rsidR="00DD5B7A" w:rsidRPr="00267651">
        <w:rPr>
          <w:rFonts w:cs="Readex Pro"/>
          <w:sz w:val="16"/>
          <w:szCs w:val="16"/>
        </w:rPr>
        <w:t xml:space="preserve"> Australian Government, above n </w:t>
      </w:r>
      <w:r w:rsidR="009041C4" w:rsidRPr="00267651">
        <w:rPr>
          <w:rFonts w:cs="Readex Pro"/>
          <w:sz w:val="16"/>
          <w:szCs w:val="16"/>
        </w:rPr>
        <w:fldChar w:fldCharType="begin"/>
      </w:r>
      <w:r w:rsidR="009041C4" w:rsidRPr="00267651">
        <w:rPr>
          <w:rFonts w:cs="Readex Pro"/>
          <w:sz w:val="16"/>
          <w:szCs w:val="16"/>
        </w:rPr>
        <w:instrText xml:space="preserve"> NOTEREF _Ref207116122 \h </w:instrText>
      </w:r>
      <w:r w:rsidR="00EA4167" w:rsidRPr="00267651">
        <w:rPr>
          <w:rFonts w:cs="Readex Pro"/>
          <w:sz w:val="16"/>
          <w:szCs w:val="16"/>
        </w:rPr>
        <w:instrText xml:space="preserve"> \* MERGEFORMAT </w:instrText>
      </w:r>
      <w:r w:rsidR="009041C4" w:rsidRPr="00267651">
        <w:rPr>
          <w:rFonts w:cs="Readex Pro"/>
          <w:sz w:val="16"/>
          <w:szCs w:val="16"/>
        </w:rPr>
      </w:r>
      <w:r w:rsidR="009041C4" w:rsidRPr="00267651">
        <w:rPr>
          <w:rFonts w:cs="Readex Pro"/>
          <w:sz w:val="16"/>
          <w:szCs w:val="16"/>
        </w:rPr>
        <w:fldChar w:fldCharType="separate"/>
      </w:r>
      <w:r w:rsidR="00B71AA0">
        <w:rPr>
          <w:rFonts w:cs="Readex Pro"/>
          <w:sz w:val="16"/>
          <w:szCs w:val="16"/>
        </w:rPr>
        <w:t>143</w:t>
      </w:r>
      <w:r w:rsidR="009041C4" w:rsidRPr="00267651">
        <w:rPr>
          <w:rFonts w:cs="Readex Pro"/>
          <w:sz w:val="16"/>
          <w:szCs w:val="16"/>
        </w:rPr>
        <w:fldChar w:fldCharType="end"/>
      </w:r>
      <w:r w:rsidR="009041C4" w:rsidRPr="00267651">
        <w:rPr>
          <w:rFonts w:cs="Readex Pro"/>
          <w:sz w:val="16"/>
          <w:szCs w:val="16"/>
        </w:rPr>
        <w:t xml:space="preserve">, </w:t>
      </w:r>
      <w:r w:rsidRPr="00267651">
        <w:rPr>
          <w:rFonts w:cs="Readex Pro"/>
          <w:sz w:val="16"/>
          <w:szCs w:val="16"/>
        </w:rPr>
        <w:t>recommendation 2 / action 2.6.</w:t>
      </w:r>
    </w:p>
  </w:footnote>
  <w:footnote w:id="146">
    <w:p w14:paraId="2681B2C3" w14:textId="54DEFFBB"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The inexact numbers of women</w:t>
      </w:r>
      <w:r w:rsidR="009375EA" w:rsidRPr="00267651">
        <w:rPr>
          <w:rFonts w:cs="Readex Pro"/>
          <w:sz w:val="16"/>
          <w:szCs w:val="16"/>
        </w:rPr>
        <w:t>,</w:t>
      </w:r>
      <w:r w:rsidRPr="00267651">
        <w:rPr>
          <w:rFonts w:cs="Readex Pro"/>
          <w:sz w:val="16"/>
          <w:szCs w:val="16"/>
        </w:rPr>
        <w:t xml:space="preserve"> and children</w:t>
      </w:r>
      <w:r w:rsidR="009375EA" w:rsidRPr="00267651">
        <w:rPr>
          <w:rFonts w:cs="Readex Pro"/>
          <w:sz w:val="16"/>
          <w:szCs w:val="16"/>
        </w:rPr>
        <w:t xml:space="preserve"> and young people</w:t>
      </w:r>
      <w:r w:rsidRPr="00267651">
        <w:rPr>
          <w:rFonts w:cs="Readex Pro"/>
          <w:sz w:val="16"/>
          <w:szCs w:val="16"/>
        </w:rPr>
        <w:t xml:space="preserve"> in detention are due to the Department of Home Affairs’ masking exact figures for privacy reasons. Department of Home Affairs, </w:t>
      </w:r>
      <w:hyperlink r:id="rId144" w:history="1">
        <w:r w:rsidRPr="00267651">
          <w:rPr>
            <w:rStyle w:val="Hyperlink"/>
            <w:rFonts w:cs="Readex Pro"/>
            <w:i/>
            <w:iCs/>
            <w:sz w:val="16"/>
            <w:szCs w:val="16"/>
          </w:rPr>
          <w:t>Immigration Detention and Community Statistics Summary, June</w:t>
        </w:r>
        <w:r w:rsidR="00B74EDE" w:rsidRPr="00267651">
          <w:rPr>
            <w:rStyle w:val="Hyperlink"/>
            <w:rFonts w:cs="Readex Pro"/>
            <w:i/>
            <w:iCs/>
            <w:sz w:val="16"/>
            <w:szCs w:val="16"/>
          </w:rPr>
          <w:t> </w:t>
        </w:r>
        <w:r w:rsidRPr="00267651">
          <w:rPr>
            <w:rStyle w:val="Hyperlink"/>
            <w:rFonts w:cs="Readex Pro"/>
            <w:i/>
            <w:iCs/>
            <w:sz w:val="16"/>
            <w:szCs w:val="16"/>
          </w:rPr>
          <w:t>2025</w:t>
        </w:r>
      </w:hyperlink>
      <w:r w:rsidRPr="00267651">
        <w:rPr>
          <w:rFonts w:cs="Readex Pro"/>
          <w:sz w:val="16"/>
          <w:szCs w:val="16"/>
        </w:rPr>
        <w:t xml:space="preserve"> (released 31 July 2025), page 4.</w:t>
      </w:r>
    </w:p>
  </w:footnote>
  <w:footnote w:id="147">
    <w:p w14:paraId="58B3B5A2" w14:textId="11CFA816"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45" w:history="1">
        <w:r w:rsidRPr="00267651">
          <w:rPr>
            <w:rStyle w:val="Hyperlink"/>
            <w:rFonts w:cs="Readex Pro"/>
            <w:i/>
            <w:iCs/>
            <w:sz w:val="16"/>
            <w:szCs w:val="16"/>
          </w:rPr>
          <w:t>NZYQ v Minister for Immigration, Citizenship and Multicultural Affairs</w:t>
        </w:r>
      </w:hyperlink>
      <w:r w:rsidRPr="00267651">
        <w:rPr>
          <w:rFonts w:cs="Readex Pro"/>
          <w:sz w:val="16"/>
          <w:szCs w:val="16"/>
        </w:rPr>
        <w:t xml:space="preserve"> [2023] HCA 37.</w:t>
      </w:r>
    </w:p>
  </w:footnote>
  <w:footnote w:id="148">
    <w:p w14:paraId="373C179C" w14:textId="4902CB28" w:rsidR="00596662" w:rsidRPr="00267651" w:rsidRDefault="00596662" w:rsidP="00596662">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46" w:history="1">
        <w:r w:rsidRPr="00267651">
          <w:rPr>
            <w:rStyle w:val="Hyperlink"/>
            <w:rFonts w:cs="Readex Pro"/>
            <w:i/>
            <w:iCs/>
            <w:sz w:val="16"/>
            <w:szCs w:val="16"/>
          </w:rPr>
          <w:t xml:space="preserve">CZA19 v Commonwealth of Australia; DBD24 v Minister for Immigration and Multicultural Affairs </w:t>
        </w:r>
        <w:r w:rsidRPr="00267651">
          <w:rPr>
            <w:rStyle w:val="Hyperlink"/>
            <w:rFonts w:cs="Readex Pro"/>
            <w:sz w:val="16"/>
            <w:szCs w:val="16"/>
          </w:rPr>
          <w:t>[2025] HCA 8</w:t>
        </w:r>
      </w:hyperlink>
      <w:r w:rsidRPr="00267651">
        <w:rPr>
          <w:rFonts w:cs="Readex Pro"/>
          <w:sz w:val="16"/>
          <w:szCs w:val="16"/>
        </w:rPr>
        <w:t xml:space="preserve">; </w:t>
      </w:r>
      <w:r w:rsidR="00257C33" w:rsidRPr="00267651">
        <w:rPr>
          <w:rFonts w:cs="Readex Pro"/>
          <w:sz w:val="16"/>
          <w:szCs w:val="16"/>
        </w:rPr>
        <w:t>s</w:t>
      </w:r>
      <w:r w:rsidRPr="00267651">
        <w:rPr>
          <w:rFonts w:cs="Readex Pro"/>
          <w:sz w:val="16"/>
          <w:szCs w:val="16"/>
        </w:rPr>
        <w:t xml:space="preserve">ee also HWL Ebsworth Lawyers, </w:t>
      </w:r>
      <w:hyperlink r:id="rId147" w:history="1">
        <w:r w:rsidRPr="00267651">
          <w:rPr>
            <w:rStyle w:val="Hyperlink"/>
            <w:rFonts w:cs="Readex Pro"/>
            <w:i/>
            <w:iCs/>
            <w:sz w:val="16"/>
            <w:szCs w:val="16"/>
          </w:rPr>
          <w:t>High Court provides clarity on the constitutional limit of immigration detention</w:t>
        </w:r>
      </w:hyperlink>
      <w:r w:rsidRPr="00267651">
        <w:rPr>
          <w:rFonts w:cs="Readex Pro"/>
          <w:sz w:val="16"/>
          <w:szCs w:val="16"/>
        </w:rPr>
        <w:t xml:space="preserve"> (10 April 2025)</w:t>
      </w:r>
      <w:r w:rsidR="00257C33" w:rsidRPr="00267651">
        <w:rPr>
          <w:rFonts w:cs="Readex Pro"/>
          <w:sz w:val="16"/>
          <w:szCs w:val="16"/>
        </w:rPr>
        <w:t>.</w:t>
      </w:r>
    </w:p>
  </w:footnote>
  <w:footnote w:id="149">
    <w:p w14:paraId="727C67F0" w14:textId="65BA8BD8"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Department of Home Affairs,</w:t>
      </w:r>
      <w:r w:rsidR="00257C33" w:rsidRPr="00267651">
        <w:rPr>
          <w:rFonts w:cs="Readex Pro"/>
          <w:sz w:val="16"/>
          <w:szCs w:val="16"/>
        </w:rPr>
        <w:t xml:space="preserve"> above n </w:t>
      </w:r>
      <w:r w:rsidR="00257C33" w:rsidRPr="00267651">
        <w:rPr>
          <w:rFonts w:cs="Readex Pro"/>
          <w:sz w:val="16"/>
          <w:szCs w:val="16"/>
        </w:rPr>
        <w:fldChar w:fldCharType="begin"/>
      </w:r>
      <w:r w:rsidR="00257C33" w:rsidRPr="00267651">
        <w:rPr>
          <w:rFonts w:cs="Readex Pro"/>
          <w:sz w:val="16"/>
          <w:szCs w:val="16"/>
        </w:rPr>
        <w:instrText xml:space="preserve"> NOTEREF _Ref207116356 \h </w:instrText>
      </w:r>
      <w:r w:rsidR="003A2A00" w:rsidRPr="00267651">
        <w:rPr>
          <w:rFonts w:cs="Readex Pro"/>
          <w:sz w:val="16"/>
          <w:szCs w:val="16"/>
        </w:rPr>
        <w:instrText xml:space="preserve"> \* MERGEFORMAT </w:instrText>
      </w:r>
      <w:r w:rsidR="00257C33" w:rsidRPr="00267651">
        <w:rPr>
          <w:rFonts w:cs="Readex Pro"/>
          <w:sz w:val="16"/>
          <w:szCs w:val="16"/>
        </w:rPr>
      </w:r>
      <w:r w:rsidR="00257C33" w:rsidRPr="00267651">
        <w:rPr>
          <w:rFonts w:cs="Readex Pro"/>
          <w:sz w:val="16"/>
          <w:szCs w:val="16"/>
        </w:rPr>
        <w:fldChar w:fldCharType="separate"/>
      </w:r>
      <w:r w:rsidR="00B71AA0">
        <w:rPr>
          <w:rFonts w:cs="Readex Pro"/>
          <w:sz w:val="16"/>
          <w:szCs w:val="16"/>
        </w:rPr>
        <w:t>146</w:t>
      </w:r>
      <w:r w:rsidR="00257C33" w:rsidRPr="00267651">
        <w:rPr>
          <w:rFonts w:cs="Readex Pro"/>
          <w:sz w:val="16"/>
          <w:szCs w:val="16"/>
        </w:rPr>
        <w:fldChar w:fldCharType="end"/>
      </w:r>
      <w:r w:rsidR="00257C33" w:rsidRPr="00267651">
        <w:rPr>
          <w:rFonts w:cs="Readex Pro"/>
          <w:sz w:val="16"/>
          <w:szCs w:val="16"/>
        </w:rPr>
        <w:t>,</w:t>
      </w:r>
      <w:r w:rsidR="00F925A2" w:rsidRPr="00267651">
        <w:rPr>
          <w:rFonts w:cs="Readex Pro"/>
          <w:sz w:val="16"/>
          <w:szCs w:val="16"/>
        </w:rPr>
        <w:t xml:space="preserve"> </w:t>
      </w:r>
      <w:r w:rsidRPr="00267651">
        <w:rPr>
          <w:rFonts w:cs="Readex Pro"/>
          <w:sz w:val="16"/>
          <w:szCs w:val="16"/>
        </w:rPr>
        <w:t>page 12.</w:t>
      </w:r>
    </w:p>
  </w:footnote>
  <w:footnote w:id="150">
    <w:p w14:paraId="0619703B" w14:textId="1FD22D2E" w:rsidR="004F3160" w:rsidRPr="00267651" w:rsidRDefault="004F3160" w:rsidP="004F316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w:t>
      </w:r>
      <w:r w:rsidR="00D059EA" w:rsidRPr="00267651">
        <w:rPr>
          <w:rFonts w:cs="Readex Pro"/>
          <w:sz w:val="16"/>
          <w:szCs w:val="16"/>
        </w:rPr>
        <w:t xml:space="preserve">e.g. </w:t>
      </w:r>
      <w:r w:rsidR="00B16C86" w:rsidRPr="00267651">
        <w:rPr>
          <w:rFonts w:cs="Readex Pro"/>
          <w:sz w:val="16"/>
          <w:szCs w:val="16"/>
        </w:rPr>
        <w:t xml:space="preserve">M </w:t>
      </w:r>
      <w:r w:rsidRPr="00267651">
        <w:rPr>
          <w:rFonts w:cs="Readex Pro"/>
          <w:sz w:val="16"/>
          <w:szCs w:val="16"/>
        </w:rPr>
        <w:t>Boswort</w:t>
      </w:r>
      <w:r w:rsidR="00B16C86" w:rsidRPr="00267651">
        <w:rPr>
          <w:rFonts w:cs="Readex Pro"/>
          <w:sz w:val="16"/>
          <w:szCs w:val="16"/>
        </w:rPr>
        <w:t xml:space="preserve">h, </w:t>
      </w:r>
      <w:hyperlink r:id="rId148" w:history="1">
        <w:r w:rsidRPr="00267651">
          <w:rPr>
            <w:rStyle w:val="Hyperlink"/>
            <w:rFonts w:cs="Readex Pro"/>
            <w:sz w:val="16"/>
            <w:szCs w:val="16"/>
          </w:rPr>
          <w:t>‘The Impact of Immigration Detention on Mental Health: Literature Review’</w:t>
        </w:r>
        <w:r w:rsidR="005E72FF" w:rsidRPr="00267651">
          <w:rPr>
            <w:rStyle w:val="Hyperlink"/>
            <w:rFonts w:cs="Readex Pro"/>
            <w:sz w:val="16"/>
            <w:szCs w:val="16"/>
          </w:rPr>
          <w:t xml:space="preserve"> in </w:t>
        </w:r>
        <w:r w:rsidRPr="00267651">
          <w:rPr>
            <w:rStyle w:val="Hyperlink"/>
            <w:rFonts w:cs="Readex Pro"/>
            <w:i/>
            <w:iCs/>
            <w:sz w:val="16"/>
            <w:szCs w:val="16"/>
          </w:rPr>
          <w:t>Review into the Welfare in Detention of Vulnerable Persons: A Report to the Home Office by Stephen Shaw</w:t>
        </w:r>
      </w:hyperlink>
      <w:r w:rsidRPr="00267651">
        <w:rPr>
          <w:rFonts w:cs="Readex Pro"/>
          <w:sz w:val="16"/>
          <w:szCs w:val="16"/>
        </w:rPr>
        <w:t xml:space="preserve"> </w:t>
      </w:r>
      <w:r w:rsidR="00061467" w:rsidRPr="00267651">
        <w:rPr>
          <w:rFonts w:cs="Readex Pro"/>
          <w:sz w:val="16"/>
          <w:szCs w:val="16"/>
        </w:rPr>
        <w:t>(</w:t>
      </w:r>
      <w:r w:rsidRPr="00267651">
        <w:rPr>
          <w:rFonts w:cs="Readex Pro"/>
          <w:sz w:val="16"/>
          <w:szCs w:val="16"/>
        </w:rPr>
        <w:t>2016</w:t>
      </w:r>
      <w:r w:rsidR="00061467" w:rsidRPr="00267651">
        <w:rPr>
          <w:rFonts w:cs="Readex Pro"/>
          <w:sz w:val="16"/>
          <w:szCs w:val="16"/>
        </w:rPr>
        <w:t>)</w:t>
      </w:r>
      <w:r w:rsidR="00493CFE" w:rsidRPr="00267651">
        <w:rPr>
          <w:rFonts w:cs="Readex Pro"/>
          <w:sz w:val="16"/>
          <w:szCs w:val="16"/>
        </w:rPr>
        <w:t xml:space="preserve">; </w:t>
      </w:r>
      <w:r w:rsidRPr="00267651">
        <w:rPr>
          <w:rFonts w:cs="Readex Pro"/>
          <w:sz w:val="16"/>
          <w:szCs w:val="16"/>
        </w:rPr>
        <w:t xml:space="preserve">, CM 9186, HMSO, London </w:t>
      </w:r>
      <w:r w:rsidRPr="00267651">
        <w:rPr>
          <w:rFonts w:cs="Readex Pro"/>
          <w:sz w:val="16"/>
          <w:szCs w:val="16"/>
        </w:rPr>
        <w:br/>
        <w:t xml:space="preserve">M Peterie, </w:t>
      </w:r>
      <w:hyperlink r:id="rId149" w:history="1">
        <w:r w:rsidRPr="00267651">
          <w:rPr>
            <w:rStyle w:val="Hyperlink"/>
            <w:rFonts w:cs="Readex Pro"/>
            <w:sz w:val="16"/>
            <w:szCs w:val="16"/>
          </w:rPr>
          <w:t>‘Deprivation, Frustration, and Trauma: Immigration Detention Centres as Prisons’,</w:t>
        </w:r>
        <w:r w:rsidR="00493CFE" w:rsidRPr="00267651">
          <w:rPr>
            <w:rStyle w:val="Hyperlink"/>
            <w:rFonts w:cs="Readex Pro"/>
            <w:sz w:val="16"/>
            <w:szCs w:val="16"/>
          </w:rPr>
          <w:t xml:space="preserve"> in</w:t>
        </w:r>
        <w:r w:rsidRPr="00267651">
          <w:rPr>
            <w:rStyle w:val="Hyperlink"/>
            <w:rFonts w:cs="Readex Pro"/>
            <w:sz w:val="16"/>
            <w:szCs w:val="16"/>
          </w:rPr>
          <w:t xml:space="preserve"> </w:t>
        </w:r>
        <w:r w:rsidRPr="00267651">
          <w:rPr>
            <w:rStyle w:val="Hyperlink"/>
            <w:rFonts w:cs="Readex Pro"/>
            <w:i/>
            <w:iCs/>
            <w:sz w:val="16"/>
            <w:szCs w:val="16"/>
          </w:rPr>
          <w:t>Refugee Survey Quarterly</w:t>
        </w:r>
        <w:r w:rsidRPr="00267651">
          <w:rPr>
            <w:rStyle w:val="Hyperlink"/>
            <w:rFonts w:cs="Readex Pro"/>
            <w:sz w:val="16"/>
            <w:szCs w:val="16"/>
          </w:rPr>
          <w:t xml:space="preserve"> 37(3): 279–306</w:t>
        </w:r>
      </w:hyperlink>
      <w:r w:rsidR="00DB2590" w:rsidRPr="00267651">
        <w:rPr>
          <w:rFonts w:cs="Readex Pro"/>
          <w:sz w:val="16"/>
          <w:szCs w:val="16"/>
        </w:rPr>
        <w:t xml:space="preserve"> (3 July 2018)</w:t>
      </w:r>
      <w:r w:rsidR="00FD66FB" w:rsidRPr="00267651">
        <w:rPr>
          <w:rFonts w:cs="Readex Pro"/>
          <w:sz w:val="16"/>
          <w:szCs w:val="16"/>
        </w:rPr>
        <w:t>.</w:t>
      </w:r>
    </w:p>
  </w:footnote>
  <w:footnote w:id="151">
    <w:p w14:paraId="29AC5188" w14:textId="382F2494" w:rsidR="00304C25" w:rsidRPr="00267651" w:rsidRDefault="00304C25" w:rsidP="00596662">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Ombudsman,</w:t>
      </w:r>
      <w:r w:rsidR="00596662" w:rsidRPr="00267651">
        <w:rPr>
          <w:rFonts w:cs="Readex Pro"/>
          <w:sz w:val="16"/>
          <w:szCs w:val="16"/>
        </w:rPr>
        <w:t xml:space="preserve"> </w:t>
      </w:r>
      <w:hyperlink r:id="rId150" w:history="1">
        <w:r w:rsidR="00596662" w:rsidRPr="00267651">
          <w:rPr>
            <w:rStyle w:val="Hyperlink"/>
            <w:rFonts w:cs="Readex Pro"/>
            <w:i/>
            <w:iCs/>
            <w:sz w:val="16"/>
            <w:szCs w:val="16"/>
          </w:rPr>
          <w:t xml:space="preserve">Submission 105 – </w:t>
        </w:r>
        <w:r w:rsidR="003A3667" w:rsidRPr="00267651">
          <w:rPr>
            <w:rStyle w:val="Hyperlink"/>
            <w:rFonts w:cs="Readex Pro"/>
            <w:i/>
            <w:iCs/>
            <w:sz w:val="16"/>
            <w:szCs w:val="16"/>
          </w:rPr>
          <w:t xml:space="preserve">Senate Standing Committee on Legal and Constitutional Affairs: </w:t>
        </w:r>
        <w:r w:rsidR="00596662" w:rsidRPr="00267651">
          <w:rPr>
            <w:rStyle w:val="Hyperlink"/>
            <w:rFonts w:cs="Readex Pro"/>
            <w:i/>
            <w:iCs/>
            <w:sz w:val="16"/>
            <w:szCs w:val="16"/>
          </w:rPr>
          <w:t>Migration Amendment (Removal and Other Measures) Bill 2024</w:t>
        </w:r>
      </w:hyperlink>
      <w:r w:rsidR="00596662" w:rsidRPr="00267651">
        <w:rPr>
          <w:rFonts w:cs="Readex Pro"/>
          <w:sz w:val="16"/>
          <w:szCs w:val="16"/>
        </w:rPr>
        <w:t xml:space="preserve"> </w:t>
      </w:r>
      <w:r w:rsidRPr="00267651">
        <w:rPr>
          <w:rFonts w:cs="Readex Pro"/>
          <w:sz w:val="16"/>
          <w:szCs w:val="16"/>
        </w:rPr>
        <w:t xml:space="preserve">(April 2024), page 2; Commonwealth NPM, </w:t>
      </w:r>
      <w:hyperlink r:id="rId151" w:history="1">
        <w:r w:rsidRPr="00267651">
          <w:rPr>
            <w:rStyle w:val="Hyperlink"/>
            <w:rFonts w:cs="Readex Pro"/>
            <w:i/>
            <w:iCs/>
            <w:sz w:val="16"/>
            <w:szCs w:val="16"/>
          </w:rPr>
          <w:t>Annual Report 2021</w:t>
        </w:r>
        <w:r w:rsidR="003A3667" w:rsidRPr="00267651">
          <w:rPr>
            <w:rStyle w:val="Hyperlink"/>
            <w:rFonts w:cs="Readex Pro"/>
            <w:i/>
            <w:iCs/>
            <w:sz w:val="16"/>
            <w:szCs w:val="16"/>
          </w:rPr>
          <w:t>–</w:t>
        </w:r>
        <w:r w:rsidRPr="00267651">
          <w:rPr>
            <w:rStyle w:val="Hyperlink"/>
            <w:rFonts w:cs="Readex Pro"/>
            <w:i/>
            <w:iCs/>
            <w:sz w:val="16"/>
            <w:szCs w:val="16"/>
          </w:rPr>
          <w:t>22</w:t>
        </w:r>
      </w:hyperlink>
      <w:r w:rsidRPr="00267651">
        <w:rPr>
          <w:rFonts w:cs="Readex Pro"/>
          <w:sz w:val="16"/>
          <w:szCs w:val="16"/>
        </w:rPr>
        <w:t xml:space="preserve"> (</w:t>
      </w:r>
      <w:r w:rsidR="0018097A" w:rsidRPr="00267651">
        <w:rPr>
          <w:rFonts w:cs="Readex Pro"/>
          <w:sz w:val="16"/>
          <w:szCs w:val="16"/>
        </w:rPr>
        <w:t>17 January </w:t>
      </w:r>
      <w:r w:rsidRPr="00267651">
        <w:rPr>
          <w:rFonts w:cs="Readex Pro"/>
          <w:sz w:val="16"/>
          <w:szCs w:val="16"/>
        </w:rPr>
        <w:t>2023), page 35.</w:t>
      </w:r>
    </w:p>
  </w:footnote>
  <w:footnote w:id="152">
    <w:p w14:paraId="13822750" w14:textId="71FA49E8" w:rsidR="00304C25" w:rsidRPr="00267651" w:rsidRDefault="00304C25" w:rsidP="00F0357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AHRC, </w:t>
      </w:r>
      <w:hyperlink r:id="rId152" w:history="1">
        <w:r w:rsidRPr="00267651">
          <w:rPr>
            <w:rStyle w:val="Hyperlink"/>
            <w:rFonts w:cs="Readex Pro"/>
            <w:i/>
            <w:iCs/>
            <w:sz w:val="16"/>
            <w:szCs w:val="16"/>
          </w:rPr>
          <w:t>Immigration detainees in prolonged or indefinite detention v Commonwealth of Australia (Department of Home Affairs and Minister for Immigration and Multicultural Affairs)</w:t>
        </w:r>
      </w:hyperlink>
      <w:r w:rsidRPr="00267651">
        <w:rPr>
          <w:rFonts w:cs="Readex Pro"/>
          <w:sz w:val="16"/>
          <w:szCs w:val="16"/>
        </w:rPr>
        <w:t xml:space="preserve"> [2024] </w:t>
      </w:r>
      <w:proofErr w:type="spellStart"/>
      <w:r w:rsidRPr="00267651">
        <w:rPr>
          <w:rFonts w:cs="Readex Pro"/>
          <w:sz w:val="16"/>
          <w:szCs w:val="16"/>
        </w:rPr>
        <w:t>AusHRC</w:t>
      </w:r>
      <w:proofErr w:type="spellEnd"/>
      <w:r w:rsidRPr="00267651">
        <w:rPr>
          <w:rFonts w:cs="Readex Pro"/>
          <w:sz w:val="16"/>
          <w:szCs w:val="16"/>
        </w:rPr>
        <w:t xml:space="preserve"> 174 (December 2024).</w:t>
      </w:r>
    </w:p>
  </w:footnote>
  <w:footnote w:id="153">
    <w:p w14:paraId="2E68EE23" w14:textId="4DE03878" w:rsidR="00304C25" w:rsidRPr="00267651" w:rsidRDefault="00304C25" w:rsidP="00BF2CF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s</w:t>
      </w:r>
      <w:r w:rsidR="00C03A68" w:rsidRPr="00267651">
        <w:rPr>
          <w:rFonts w:cs="Readex Pro"/>
          <w:sz w:val="16"/>
          <w:szCs w:val="16"/>
        </w:rPr>
        <w:t>ection </w:t>
      </w:r>
      <w:r w:rsidRPr="00267651">
        <w:rPr>
          <w:rFonts w:cs="Readex Pro"/>
          <w:sz w:val="16"/>
          <w:szCs w:val="16"/>
        </w:rPr>
        <w:t xml:space="preserve">199E of the </w:t>
      </w:r>
      <w:hyperlink r:id="rId153" w:history="1">
        <w:r w:rsidRPr="00267651">
          <w:rPr>
            <w:rStyle w:val="Hyperlink"/>
            <w:rFonts w:cs="Readex Pro"/>
            <w:i/>
            <w:iCs/>
            <w:sz w:val="16"/>
            <w:szCs w:val="16"/>
          </w:rPr>
          <w:t>Migration Act 1958</w:t>
        </w:r>
        <w:r w:rsidRPr="00267651">
          <w:rPr>
            <w:rStyle w:val="Hyperlink"/>
            <w:rFonts w:cs="Readex Pro"/>
            <w:sz w:val="16"/>
            <w:szCs w:val="16"/>
          </w:rPr>
          <w:t xml:space="preserve"> (</w:t>
        </w:r>
        <w:proofErr w:type="spellStart"/>
        <w:r w:rsidRPr="00267651">
          <w:rPr>
            <w:rStyle w:val="Hyperlink"/>
            <w:rFonts w:cs="Readex Pro"/>
            <w:sz w:val="16"/>
            <w:szCs w:val="16"/>
          </w:rPr>
          <w:t>Cth</w:t>
        </w:r>
        <w:proofErr w:type="spellEnd"/>
        <w:r w:rsidRPr="00267651">
          <w:rPr>
            <w:rStyle w:val="Hyperlink"/>
            <w:rFonts w:cs="Readex Pro"/>
            <w:sz w:val="16"/>
            <w:szCs w:val="16"/>
          </w:rPr>
          <w:t>)</w:t>
        </w:r>
      </w:hyperlink>
      <w:r w:rsidR="00C03A68" w:rsidRPr="00267651">
        <w:rPr>
          <w:rFonts w:cs="Readex Pro"/>
          <w:sz w:val="16"/>
          <w:szCs w:val="16"/>
        </w:rPr>
        <w:t>.</w:t>
      </w:r>
    </w:p>
  </w:footnote>
  <w:footnote w:id="154">
    <w:p w14:paraId="0A849141" w14:textId="7F5EF2AF" w:rsidR="00304C25" w:rsidRPr="00267651" w:rsidRDefault="00304C25" w:rsidP="00BF2CF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Ombudsman,</w:t>
      </w:r>
      <w:r w:rsidR="00B43D07" w:rsidRPr="00267651">
        <w:rPr>
          <w:rFonts w:cs="Readex Pro"/>
          <w:sz w:val="16"/>
          <w:szCs w:val="16"/>
        </w:rPr>
        <w:t xml:space="preserve"> above n </w:t>
      </w:r>
      <w:r w:rsidR="00B43D07" w:rsidRPr="00267651">
        <w:rPr>
          <w:rFonts w:cs="Readex Pro"/>
          <w:sz w:val="16"/>
          <w:szCs w:val="16"/>
        </w:rPr>
        <w:fldChar w:fldCharType="begin"/>
      </w:r>
      <w:r w:rsidR="00B43D07" w:rsidRPr="00267651">
        <w:rPr>
          <w:rFonts w:cs="Readex Pro"/>
          <w:sz w:val="16"/>
          <w:szCs w:val="16"/>
        </w:rPr>
        <w:instrText xml:space="preserve"> NOTEREF _Ref207116821 \h </w:instrText>
      </w:r>
      <w:r w:rsidR="003A2A00" w:rsidRPr="00267651">
        <w:rPr>
          <w:rFonts w:cs="Readex Pro"/>
          <w:sz w:val="16"/>
          <w:szCs w:val="16"/>
        </w:rPr>
        <w:instrText xml:space="preserve"> \* MERGEFORMAT </w:instrText>
      </w:r>
      <w:r w:rsidR="00B43D07" w:rsidRPr="00267651">
        <w:rPr>
          <w:rFonts w:cs="Readex Pro"/>
          <w:sz w:val="16"/>
          <w:szCs w:val="16"/>
        </w:rPr>
      </w:r>
      <w:r w:rsidR="00B43D07" w:rsidRPr="00267651">
        <w:rPr>
          <w:rFonts w:cs="Readex Pro"/>
          <w:sz w:val="16"/>
          <w:szCs w:val="16"/>
        </w:rPr>
        <w:fldChar w:fldCharType="separate"/>
      </w:r>
      <w:r w:rsidR="00B71AA0">
        <w:rPr>
          <w:rFonts w:cs="Readex Pro"/>
          <w:sz w:val="16"/>
          <w:szCs w:val="16"/>
        </w:rPr>
        <w:t>151</w:t>
      </w:r>
      <w:r w:rsidR="00B43D07" w:rsidRPr="00267651">
        <w:rPr>
          <w:rFonts w:cs="Readex Pro"/>
          <w:sz w:val="16"/>
          <w:szCs w:val="16"/>
        </w:rPr>
        <w:fldChar w:fldCharType="end"/>
      </w:r>
      <w:r w:rsidR="00B43D07" w:rsidRPr="00267651">
        <w:rPr>
          <w:rFonts w:cs="Readex Pro"/>
          <w:sz w:val="16"/>
          <w:szCs w:val="16"/>
        </w:rPr>
        <w:t xml:space="preserve">, </w:t>
      </w:r>
      <w:r w:rsidRPr="00267651">
        <w:rPr>
          <w:rFonts w:cs="Readex Pro"/>
          <w:sz w:val="16"/>
          <w:szCs w:val="16"/>
        </w:rPr>
        <w:t>page 2.</w:t>
      </w:r>
    </w:p>
  </w:footnote>
  <w:footnote w:id="155">
    <w:p w14:paraId="1AC52A9B" w14:textId="73D6F272" w:rsidR="00304C25" w:rsidRPr="00267651" w:rsidRDefault="00304C25" w:rsidP="00BF2CF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18097A" w:rsidRPr="00267651">
        <w:rPr>
          <w:rFonts w:cs="Readex Pro"/>
          <w:sz w:val="16"/>
          <w:szCs w:val="16"/>
        </w:rPr>
        <w:t xml:space="preserve">Commonwealth NPM, above n </w:t>
      </w:r>
      <w:r w:rsidR="0018097A" w:rsidRPr="00267651">
        <w:rPr>
          <w:rFonts w:cs="Readex Pro"/>
          <w:sz w:val="16"/>
          <w:szCs w:val="16"/>
        </w:rPr>
        <w:fldChar w:fldCharType="begin"/>
      </w:r>
      <w:r w:rsidR="0018097A" w:rsidRPr="00267651">
        <w:rPr>
          <w:rFonts w:cs="Readex Pro"/>
          <w:sz w:val="16"/>
          <w:szCs w:val="16"/>
        </w:rPr>
        <w:instrText xml:space="preserve"> NOTEREF _Ref207116821 \h </w:instrText>
      </w:r>
      <w:r w:rsidR="003A2A00" w:rsidRPr="00267651">
        <w:rPr>
          <w:rFonts w:cs="Readex Pro"/>
          <w:sz w:val="16"/>
          <w:szCs w:val="16"/>
        </w:rPr>
        <w:instrText xml:space="preserve"> \* MERGEFORMAT </w:instrText>
      </w:r>
      <w:r w:rsidR="0018097A" w:rsidRPr="00267651">
        <w:rPr>
          <w:rFonts w:cs="Readex Pro"/>
          <w:sz w:val="16"/>
          <w:szCs w:val="16"/>
        </w:rPr>
      </w:r>
      <w:r w:rsidR="0018097A" w:rsidRPr="00267651">
        <w:rPr>
          <w:rFonts w:cs="Readex Pro"/>
          <w:sz w:val="16"/>
          <w:szCs w:val="16"/>
        </w:rPr>
        <w:fldChar w:fldCharType="separate"/>
      </w:r>
      <w:r w:rsidR="00B71AA0">
        <w:rPr>
          <w:rFonts w:cs="Readex Pro"/>
          <w:sz w:val="16"/>
          <w:szCs w:val="16"/>
        </w:rPr>
        <w:t>151</w:t>
      </w:r>
      <w:r w:rsidR="0018097A" w:rsidRPr="00267651">
        <w:rPr>
          <w:rFonts w:cs="Readex Pro"/>
          <w:sz w:val="16"/>
          <w:szCs w:val="16"/>
        </w:rPr>
        <w:fldChar w:fldCharType="end"/>
      </w:r>
      <w:r w:rsidR="0018097A" w:rsidRPr="00267651">
        <w:rPr>
          <w:rFonts w:cs="Readex Pro"/>
          <w:sz w:val="16"/>
          <w:szCs w:val="16"/>
        </w:rPr>
        <w:t xml:space="preserve">, </w:t>
      </w:r>
      <w:r w:rsidRPr="00267651">
        <w:rPr>
          <w:rFonts w:cs="Readex Pro"/>
          <w:sz w:val="16"/>
          <w:szCs w:val="16"/>
        </w:rPr>
        <w:t>page 35.</w:t>
      </w:r>
    </w:p>
  </w:footnote>
  <w:footnote w:id="156">
    <w:p w14:paraId="1900346F" w14:textId="1F8417CD" w:rsidR="00304C25" w:rsidRPr="00267651" w:rsidRDefault="00304C25" w:rsidP="00BF2CF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Ombudsman</w:t>
      </w:r>
      <w:r w:rsidR="00060817" w:rsidRPr="00267651">
        <w:rPr>
          <w:rFonts w:cs="Readex Pro"/>
          <w:sz w:val="16"/>
          <w:szCs w:val="16"/>
        </w:rPr>
        <w:t xml:space="preserve">, above n </w:t>
      </w:r>
      <w:r w:rsidR="00060817" w:rsidRPr="00267651">
        <w:rPr>
          <w:rFonts w:cs="Readex Pro"/>
          <w:sz w:val="16"/>
          <w:szCs w:val="16"/>
        </w:rPr>
        <w:fldChar w:fldCharType="begin"/>
      </w:r>
      <w:r w:rsidR="00060817" w:rsidRPr="00267651">
        <w:rPr>
          <w:rFonts w:cs="Readex Pro"/>
          <w:sz w:val="16"/>
          <w:szCs w:val="16"/>
        </w:rPr>
        <w:instrText xml:space="preserve"> NOTEREF _Ref207116821 \h </w:instrText>
      </w:r>
      <w:r w:rsidR="003A2A00" w:rsidRPr="00267651">
        <w:rPr>
          <w:rFonts w:cs="Readex Pro"/>
          <w:sz w:val="16"/>
          <w:szCs w:val="16"/>
        </w:rPr>
        <w:instrText xml:space="preserve"> \* MERGEFORMAT </w:instrText>
      </w:r>
      <w:r w:rsidR="00060817" w:rsidRPr="00267651">
        <w:rPr>
          <w:rFonts w:cs="Readex Pro"/>
          <w:sz w:val="16"/>
          <w:szCs w:val="16"/>
        </w:rPr>
      </w:r>
      <w:r w:rsidR="00060817" w:rsidRPr="00267651">
        <w:rPr>
          <w:rFonts w:cs="Readex Pro"/>
          <w:sz w:val="16"/>
          <w:szCs w:val="16"/>
        </w:rPr>
        <w:fldChar w:fldCharType="separate"/>
      </w:r>
      <w:r w:rsidR="00B71AA0">
        <w:rPr>
          <w:rFonts w:cs="Readex Pro"/>
          <w:sz w:val="16"/>
          <w:szCs w:val="16"/>
        </w:rPr>
        <w:t>151</w:t>
      </w:r>
      <w:r w:rsidR="00060817" w:rsidRPr="00267651">
        <w:rPr>
          <w:rFonts w:cs="Readex Pro"/>
          <w:sz w:val="16"/>
          <w:szCs w:val="16"/>
        </w:rPr>
        <w:fldChar w:fldCharType="end"/>
      </w:r>
      <w:r w:rsidR="00060817" w:rsidRPr="00267651">
        <w:rPr>
          <w:rFonts w:cs="Readex Pro"/>
          <w:sz w:val="16"/>
          <w:szCs w:val="16"/>
        </w:rPr>
        <w:t xml:space="preserve">, </w:t>
      </w:r>
      <w:r w:rsidRPr="00267651">
        <w:rPr>
          <w:rFonts w:cs="Readex Pro"/>
          <w:sz w:val="16"/>
          <w:szCs w:val="16"/>
        </w:rPr>
        <w:t>page 3.</w:t>
      </w:r>
    </w:p>
  </w:footnote>
  <w:footnote w:id="157">
    <w:p w14:paraId="084BB3F4" w14:textId="51DC242B" w:rsidR="007E4411" w:rsidRPr="00267651" w:rsidRDefault="007E441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Ombudsman, </w:t>
      </w:r>
      <w:hyperlink r:id="rId154" w:history="1">
        <w:r w:rsidRPr="00267651">
          <w:rPr>
            <w:rStyle w:val="Hyperlink"/>
            <w:rFonts w:cs="Readex Pro"/>
            <w:i/>
            <w:iCs/>
            <w:sz w:val="16"/>
            <w:szCs w:val="16"/>
          </w:rPr>
          <w:t>Righting Wrongful Detention: Report on people wrongfully detained by the Department of Home Affairs – 1 July 2023 to 30 June 2024</w:t>
        </w:r>
      </w:hyperlink>
      <w:r w:rsidRPr="00267651">
        <w:rPr>
          <w:rFonts w:cs="Readex Pro"/>
          <w:sz w:val="16"/>
          <w:szCs w:val="16"/>
        </w:rPr>
        <w:t xml:space="preserve"> (August 2025).</w:t>
      </w:r>
    </w:p>
  </w:footnote>
  <w:footnote w:id="158">
    <w:p w14:paraId="177BE577" w14:textId="684B86D1" w:rsidR="007E4411" w:rsidRPr="00267651" w:rsidRDefault="007E441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 page 11.</w:t>
      </w:r>
    </w:p>
  </w:footnote>
  <w:footnote w:id="159">
    <w:p w14:paraId="1A3F7E42" w14:textId="771F1E7E"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Republic of Nauru, </w:t>
      </w:r>
      <w:hyperlink r:id="rId155" w:history="1">
        <w:r w:rsidRPr="00267651">
          <w:rPr>
            <w:rStyle w:val="Hyperlink"/>
            <w:rFonts w:cs="Readex Pro"/>
            <w:i/>
            <w:iCs/>
            <w:sz w:val="16"/>
            <w:szCs w:val="16"/>
          </w:rPr>
          <w:t>Nauru Bulletin – Issue 6 – 2025/289</w:t>
        </w:r>
      </w:hyperlink>
      <w:r w:rsidRPr="00267651">
        <w:rPr>
          <w:rFonts w:cs="Readex Pro"/>
          <w:sz w:val="16"/>
          <w:szCs w:val="16"/>
        </w:rPr>
        <w:t xml:space="preserve"> (24 April 2025), page 3.</w:t>
      </w:r>
    </w:p>
  </w:footnote>
  <w:footnote w:id="160">
    <w:p w14:paraId="10DB67DF" w14:textId="77777777"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p>
  </w:footnote>
  <w:footnote w:id="161">
    <w:p w14:paraId="4C2C8AD6" w14:textId="129980D1"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The Hon Tony Burke MP – Minister for Home Affairs and Minister for Immigration and Multicultural Affairs, </w:t>
      </w:r>
      <w:hyperlink r:id="rId156" w:history="1">
        <w:r w:rsidRPr="00267651">
          <w:rPr>
            <w:rStyle w:val="Hyperlink"/>
            <w:rFonts w:cs="Readex Pro"/>
            <w:i/>
            <w:iCs/>
            <w:sz w:val="16"/>
            <w:szCs w:val="16"/>
          </w:rPr>
          <w:t>Statement on NZYQ</w:t>
        </w:r>
      </w:hyperlink>
      <w:r w:rsidRPr="00267651">
        <w:rPr>
          <w:rFonts w:cs="Readex Pro"/>
          <w:sz w:val="16"/>
          <w:szCs w:val="16"/>
        </w:rPr>
        <w:t xml:space="preserve"> (16 February 2025).</w:t>
      </w:r>
    </w:p>
  </w:footnote>
  <w:footnote w:id="162">
    <w:p w14:paraId="63D70FC1" w14:textId="712E0E77"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s</w:t>
      </w:r>
      <w:r w:rsidR="00045408" w:rsidRPr="00267651">
        <w:rPr>
          <w:rFonts w:cs="Readex Pro"/>
          <w:sz w:val="16"/>
          <w:szCs w:val="16"/>
        </w:rPr>
        <w:t>ection </w:t>
      </w:r>
      <w:r w:rsidRPr="00267651">
        <w:rPr>
          <w:rFonts w:cs="Readex Pro"/>
          <w:sz w:val="16"/>
          <w:szCs w:val="16"/>
        </w:rPr>
        <w:t xml:space="preserve">198ABH of </w:t>
      </w:r>
      <w:r w:rsidR="00045408" w:rsidRPr="00267651">
        <w:rPr>
          <w:rFonts w:cs="Readex Pro"/>
          <w:sz w:val="16"/>
          <w:szCs w:val="16"/>
        </w:rPr>
        <w:t xml:space="preserve">the </w:t>
      </w:r>
      <w:hyperlink r:id="rId157" w:history="1">
        <w:r w:rsidR="00045408" w:rsidRPr="00267651">
          <w:rPr>
            <w:rStyle w:val="Hyperlink"/>
            <w:rFonts w:cs="Readex Pro"/>
            <w:i/>
            <w:iCs/>
            <w:sz w:val="16"/>
            <w:szCs w:val="16"/>
          </w:rPr>
          <w:t>Migration Act 1958</w:t>
        </w:r>
        <w:r w:rsidR="00045408" w:rsidRPr="00267651">
          <w:rPr>
            <w:rStyle w:val="Hyperlink"/>
            <w:rFonts w:cs="Readex Pro"/>
            <w:sz w:val="16"/>
            <w:szCs w:val="16"/>
          </w:rPr>
          <w:t xml:space="preserve"> (</w:t>
        </w:r>
        <w:proofErr w:type="spellStart"/>
        <w:r w:rsidR="00045408" w:rsidRPr="00267651">
          <w:rPr>
            <w:rStyle w:val="Hyperlink"/>
            <w:rFonts w:cs="Readex Pro"/>
            <w:sz w:val="16"/>
            <w:szCs w:val="16"/>
          </w:rPr>
          <w:t>Cth</w:t>
        </w:r>
        <w:proofErr w:type="spellEnd"/>
        <w:r w:rsidR="00045408" w:rsidRPr="00267651">
          <w:rPr>
            <w:rStyle w:val="Hyperlink"/>
            <w:rFonts w:cs="Readex Pro"/>
            <w:sz w:val="16"/>
            <w:szCs w:val="16"/>
          </w:rPr>
          <w:t>)</w:t>
        </w:r>
      </w:hyperlink>
      <w:r w:rsidRPr="00267651">
        <w:rPr>
          <w:rFonts w:cs="Readex Pro"/>
          <w:sz w:val="16"/>
          <w:szCs w:val="16"/>
        </w:rPr>
        <w:t>.</w:t>
      </w:r>
    </w:p>
  </w:footnote>
  <w:footnote w:id="163">
    <w:p w14:paraId="4C843B0D" w14:textId="5851145D" w:rsidR="00304C25" w:rsidRPr="00267651" w:rsidRDefault="00304C25" w:rsidP="00384201">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AHRC, </w:t>
      </w:r>
      <w:hyperlink r:id="rId158" w:history="1">
        <w:r w:rsidRPr="00267651">
          <w:rPr>
            <w:rStyle w:val="Hyperlink"/>
            <w:rFonts w:cs="Readex Pro"/>
            <w:i/>
            <w:iCs/>
            <w:sz w:val="16"/>
            <w:szCs w:val="16"/>
          </w:rPr>
          <w:t>Human Rights Commissioner says NZYQ Nauru resettlement announcement raises more questions than it answers</w:t>
        </w:r>
      </w:hyperlink>
      <w:r w:rsidRPr="00267651">
        <w:rPr>
          <w:rFonts w:cs="Readex Pro"/>
          <w:sz w:val="16"/>
          <w:szCs w:val="16"/>
        </w:rPr>
        <w:t xml:space="preserve"> (19 February 2025).</w:t>
      </w:r>
    </w:p>
  </w:footnote>
  <w:footnote w:id="164">
    <w:p w14:paraId="07DA36B2" w14:textId="0E89D4A2" w:rsidR="00304C25" w:rsidRPr="00267651" w:rsidRDefault="00304C25" w:rsidP="00384201">
      <w:pPr>
        <w:pStyle w:val="FootnoteText"/>
        <w:jc w:val="both"/>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716316" w:rsidRPr="00267651">
        <w:rPr>
          <w:rFonts w:cs="Readex Pro"/>
          <w:sz w:val="16"/>
          <w:szCs w:val="16"/>
        </w:rPr>
        <w:t>ABC News</w:t>
      </w:r>
      <w:r w:rsidR="004B6442" w:rsidRPr="00267651">
        <w:rPr>
          <w:rFonts w:cs="Readex Pro"/>
          <w:sz w:val="16"/>
          <w:szCs w:val="16"/>
        </w:rPr>
        <w:t>,</w:t>
      </w:r>
      <w:r w:rsidR="00716316" w:rsidRPr="00267651">
        <w:rPr>
          <w:rFonts w:cs="Readex Pro"/>
          <w:sz w:val="16"/>
          <w:szCs w:val="16"/>
        </w:rPr>
        <w:t xml:space="preserve"> </w:t>
      </w:r>
      <w:hyperlink r:id="rId159" w:history="1">
        <w:r w:rsidR="00492643" w:rsidRPr="00267651">
          <w:rPr>
            <w:rStyle w:val="Hyperlink"/>
            <w:rFonts w:cs="Readex Pro"/>
            <w:i/>
            <w:iCs/>
            <w:sz w:val="16"/>
            <w:szCs w:val="16"/>
          </w:rPr>
          <w:t>UN urges Australia to halt deportation of man to Nauru while complaint investigated</w:t>
        </w:r>
      </w:hyperlink>
      <w:r w:rsidR="00492643" w:rsidRPr="00267651">
        <w:rPr>
          <w:rFonts w:cs="Readex Pro"/>
          <w:i/>
          <w:iCs/>
          <w:sz w:val="16"/>
          <w:szCs w:val="16"/>
        </w:rPr>
        <w:t xml:space="preserve"> </w:t>
      </w:r>
      <w:r w:rsidR="00492643" w:rsidRPr="00267651">
        <w:rPr>
          <w:rFonts w:cs="Readex Pro"/>
          <w:sz w:val="16"/>
          <w:szCs w:val="16"/>
        </w:rPr>
        <w:t>(6 August 2025).</w:t>
      </w:r>
    </w:p>
  </w:footnote>
  <w:footnote w:id="165">
    <w:p w14:paraId="533E743D" w14:textId="4F98A912" w:rsidR="00490349" w:rsidRPr="00267651" w:rsidRDefault="00490349">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ABC News, </w:t>
      </w:r>
      <w:hyperlink r:id="rId160" w:history="1">
        <w:r w:rsidRPr="00267651">
          <w:rPr>
            <w:rStyle w:val="Hyperlink"/>
            <w:rFonts w:cs="Readex Pro"/>
            <w:i/>
            <w:iCs/>
            <w:sz w:val="16"/>
            <w:szCs w:val="16"/>
          </w:rPr>
          <w:t>Federal government inks $400m deal with Nauru to resettle people who have 'no legal right to stay in Australia'</w:t>
        </w:r>
      </w:hyperlink>
      <w:r w:rsidRPr="00267651">
        <w:rPr>
          <w:rFonts w:cs="Readex Pro"/>
          <w:sz w:val="16"/>
          <w:szCs w:val="16"/>
        </w:rPr>
        <w:t xml:space="preserve"> (30 August 2025).</w:t>
      </w:r>
    </w:p>
  </w:footnote>
  <w:footnote w:id="166">
    <w:p w14:paraId="72390AB3" w14:textId="0A13BD70" w:rsidR="00E14FA2" w:rsidRPr="00267651" w:rsidRDefault="00E14FA2">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The Hon Tony Burke MP – Minister for Home Affairs and Minister for Immigration and Citizenship, </w:t>
      </w:r>
      <w:hyperlink r:id="rId161" w:history="1">
        <w:r w:rsidRPr="00267651">
          <w:rPr>
            <w:rStyle w:val="Hyperlink"/>
            <w:rFonts w:cs="Readex Pro"/>
            <w:i/>
            <w:iCs/>
            <w:sz w:val="16"/>
            <w:szCs w:val="16"/>
          </w:rPr>
          <w:t>Statement on Nauru MOU</w:t>
        </w:r>
      </w:hyperlink>
      <w:r w:rsidRPr="00267651">
        <w:rPr>
          <w:rFonts w:cs="Readex Pro"/>
          <w:sz w:val="16"/>
          <w:szCs w:val="16"/>
        </w:rPr>
        <w:t xml:space="preserve"> (29 August 2025).</w:t>
      </w:r>
    </w:p>
  </w:footnote>
  <w:footnote w:id="167">
    <w:p w14:paraId="6778EA30" w14:textId="6559D33A" w:rsidR="00D310CA" w:rsidRPr="00267651" w:rsidRDefault="00D310CA" w:rsidP="00DF131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62" w:history="1">
        <w:r w:rsidRPr="00267651">
          <w:rPr>
            <w:rStyle w:val="Hyperlink"/>
            <w:rFonts w:cs="Readex Pro"/>
            <w:sz w:val="16"/>
            <w:szCs w:val="16"/>
          </w:rPr>
          <w:t>Home Affairs Legislation Amendment (2025 Measures No. 1) Bill 2025 (</w:t>
        </w:r>
        <w:proofErr w:type="spellStart"/>
        <w:r w:rsidRPr="00267651">
          <w:rPr>
            <w:rStyle w:val="Hyperlink"/>
            <w:rFonts w:cs="Readex Pro"/>
            <w:sz w:val="16"/>
            <w:szCs w:val="16"/>
          </w:rPr>
          <w:t>Cth</w:t>
        </w:r>
        <w:proofErr w:type="spellEnd"/>
        <w:r w:rsidRPr="00267651">
          <w:rPr>
            <w:rStyle w:val="Hyperlink"/>
            <w:rFonts w:cs="Readex Pro"/>
            <w:sz w:val="16"/>
            <w:szCs w:val="16"/>
          </w:rPr>
          <w:t>)</w:t>
        </w:r>
      </w:hyperlink>
      <w:r w:rsidR="00DF1316" w:rsidRPr="00267651">
        <w:rPr>
          <w:rFonts w:cs="Readex Pro"/>
          <w:sz w:val="16"/>
          <w:szCs w:val="16"/>
        </w:rPr>
        <w:t xml:space="preserve">; </w:t>
      </w:r>
      <w:hyperlink r:id="rId163" w:history="1">
        <w:r w:rsidR="00DF1316" w:rsidRPr="00267651">
          <w:rPr>
            <w:rStyle w:val="Hyperlink"/>
            <w:rFonts w:cs="Readex Pro"/>
            <w:i/>
            <w:iCs/>
            <w:sz w:val="16"/>
            <w:szCs w:val="16"/>
          </w:rPr>
          <w:t>Home Affairs Legislation Amendment (2025 Measures No. 1) Bill 2025 – Explanatory Memorandum</w:t>
        </w:r>
      </w:hyperlink>
      <w:r w:rsidR="00DF1316" w:rsidRPr="00267651">
        <w:rPr>
          <w:rFonts w:cs="Readex Pro"/>
          <w:sz w:val="16"/>
          <w:szCs w:val="16"/>
        </w:rPr>
        <w:t xml:space="preserve"> (2025), page 2.</w:t>
      </w:r>
    </w:p>
  </w:footnote>
  <w:footnote w:id="168">
    <w:p w14:paraId="2C45ED15" w14:textId="6A40D411"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CB2EF6" w:rsidRPr="00267651">
        <w:rPr>
          <w:rFonts w:cs="Readex Pro"/>
          <w:sz w:val="16"/>
          <w:szCs w:val="16"/>
        </w:rPr>
        <w:t>Commonwealth NPM</w:t>
      </w:r>
      <w:r w:rsidR="004127DB" w:rsidRPr="00267651">
        <w:rPr>
          <w:rFonts w:cs="Readex Pro"/>
          <w:sz w:val="16"/>
          <w:szCs w:val="16"/>
        </w:rPr>
        <w:t>,</w:t>
      </w:r>
      <w:r w:rsidR="00CB2EF6" w:rsidRPr="00267651">
        <w:rPr>
          <w:rFonts w:cs="Readex Pro"/>
          <w:sz w:val="16"/>
          <w:szCs w:val="16"/>
        </w:rPr>
        <w:t xml:space="preserve"> </w:t>
      </w:r>
      <w:hyperlink r:id="rId164" w:history="1">
        <w:r w:rsidRPr="00267651">
          <w:rPr>
            <w:rStyle w:val="Hyperlink"/>
            <w:rFonts w:cs="Readex Pro"/>
            <w:i/>
            <w:iCs/>
            <w:sz w:val="16"/>
            <w:szCs w:val="16"/>
          </w:rPr>
          <w:t>A</w:t>
        </w:r>
        <w:r w:rsidR="00CB2EF6" w:rsidRPr="00267651">
          <w:rPr>
            <w:rStyle w:val="Hyperlink"/>
            <w:rFonts w:cs="Readex Pro"/>
            <w:i/>
            <w:iCs/>
            <w:sz w:val="16"/>
            <w:szCs w:val="16"/>
          </w:rPr>
          <w:t>nnual Report 2023–24</w:t>
        </w:r>
      </w:hyperlink>
      <w:r w:rsidR="00CB2EF6" w:rsidRPr="00267651">
        <w:rPr>
          <w:rFonts w:cs="Readex Pro"/>
          <w:sz w:val="16"/>
          <w:szCs w:val="16"/>
        </w:rPr>
        <w:t xml:space="preserve">; see also </w:t>
      </w:r>
      <w:r w:rsidRPr="00267651">
        <w:rPr>
          <w:rFonts w:cs="Readex Pro"/>
          <w:sz w:val="16"/>
          <w:szCs w:val="16"/>
        </w:rPr>
        <w:t xml:space="preserve">Commonwealth NPM, </w:t>
      </w:r>
      <w:hyperlink r:id="rId165" w:history="1">
        <w:r w:rsidRPr="00267651">
          <w:rPr>
            <w:rStyle w:val="Hyperlink"/>
            <w:rFonts w:cs="Readex Pro"/>
            <w:i/>
            <w:iCs/>
            <w:sz w:val="16"/>
            <w:szCs w:val="16"/>
          </w:rPr>
          <w:t>Melbourne IDC Post Visit Summary</w:t>
        </w:r>
      </w:hyperlink>
      <w:r w:rsidRPr="00267651">
        <w:rPr>
          <w:rFonts w:cs="Readex Pro"/>
          <w:sz w:val="16"/>
          <w:szCs w:val="16"/>
        </w:rPr>
        <w:t xml:space="preserve"> (December 2024), page 7; AHRC, </w:t>
      </w:r>
      <w:hyperlink r:id="rId166" w:history="1">
        <w:r w:rsidRPr="00267651">
          <w:rPr>
            <w:rStyle w:val="Hyperlink"/>
            <w:rFonts w:cs="Readex Pro"/>
            <w:i/>
            <w:iCs/>
            <w:sz w:val="16"/>
            <w:szCs w:val="16"/>
          </w:rPr>
          <w:t xml:space="preserve">Report into </w:t>
        </w:r>
        <w:r w:rsidR="00EC3DCF" w:rsidRPr="00267651">
          <w:rPr>
            <w:rStyle w:val="Hyperlink"/>
            <w:rFonts w:cs="Readex Pro"/>
            <w:i/>
            <w:iCs/>
            <w:sz w:val="16"/>
            <w:szCs w:val="16"/>
          </w:rPr>
          <w:t>the u</w:t>
        </w:r>
        <w:r w:rsidRPr="00267651">
          <w:rPr>
            <w:rStyle w:val="Hyperlink"/>
            <w:rFonts w:cs="Readex Pro"/>
            <w:i/>
            <w:iCs/>
            <w:sz w:val="16"/>
            <w:szCs w:val="16"/>
          </w:rPr>
          <w:t xml:space="preserve">se of </w:t>
        </w:r>
        <w:r w:rsidR="00EC3DCF" w:rsidRPr="00267651">
          <w:rPr>
            <w:rStyle w:val="Hyperlink"/>
            <w:rFonts w:cs="Readex Pro"/>
            <w:i/>
            <w:iCs/>
            <w:sz w:val="16"/>
            <w:szCs w:val="16"/>
          </w:rPr>
          <w:t>f</w:t>
        </w:r>
        <w:r w:rsidRPr="00267651">
          <w:rPr>
            <w:rStyle w:val="Hyperlink"/>
            <w:rFonts w:cs="Readex Pro"/>
            <w:i/>
            <w:iCs/>
            <w:sz w:val="16"/>
            <w:szCs w:val="16"/>
          </w:rPr>
          <w:t>orce</w:t>
        </w:r>
        <w:r w:rsidR="00917010" w:rsidRPr="00267651">
          <w:rPr>
            <w:rStyle w:val="Hyperlink"/>
            <w:rFonts w:cs="Readex Pro"/>
            <w:i/>
            <w:iCs/>
            <w:sz w:val="16"/>
            <w:szCs w:val="16"/>
          </w:rPr>
          <w:t>: Mr CJ v Commonwealth of Australia (Department of Home Affairs)</w:t>
        </w:r>
      </w:hyperlink>
      <w:r w:rsidRPr="00267651">
        <w:rPr>
          <w:rFonts w:cs="Readex Pro"/>
          <w:sz w:val="16"/>
          <w:szCs w:val="16"/>
        </w:rPr>
        <w:t xml:space="preserve"> [2024] </w:t>
      </w:r>
      <w:proofErr w:type="spellStart"/>
      <w:r w:rsidRPr="00267651">
        <w:rPr>
          <w:rFonts w:cs="Readex Pro"/>
          <w:sz w:val="16"/>
          <w:szCs w:val="16"/>
        </w:rPr>
        <w:t>AusHRC</w:t>
      </w:r>
      <w:proofErr w:type="spellEnd"/>
      <w:r w:rsidRPr="00267651">
        <w:rPr>
          <w:rFonts w:cs="Readex Pro"/>
          <w:sz w:val="16"/>
          <w:szCs w:val="16"/>
        </w:rPr>
        <w:t xml:space="preserve"> 169</w:t>
      </w:r>
      <w:r w:rsidR="003E206A" w:rsidRPr="00267651">
        <w:rPr>
          <w:rFonts w:cs="Readex Pro"/>
          <w:sz w:val="16"/>
          <w:szCs w:val="16"/>
        </w:rPr>
        <w:t xml:space="preserve"> (July 2024)</w:t>
      </w:r>
      <w:r w:rsidR="00917010" w:rsidRPr="00267651">
        <w:rPr>
          <w:rFonts w:cs="Readex Pro"/>
          <w:sz w:val="16"/>
          <w:szCs w:val="16"/>
        </w:rPr>
        <w:t>.</w:t>
      </w:r>
    </w:p>
  </w:footnote>
  <w:footnote w:id="169">
    <w:p w14:paraId="11A51387" w14:textId="51AA46B9"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Commonwealth NPM, </w:t>
      </w:r>
      <w:hyperlink r:id="rId167" w:history="1">
        <w:r w:rsidRPr="00267651">
          <w:rPr>
            <w:rStyle w:val="Hyperlink"/>
            <w:rFonts w:cs="Readex Pro"/>
            <w:i/>
            <w:iCs/>
            <w:sz w:val="16"/>
            <w:szCs w:val="16"/>
          </w:rPr>
          <w:t>Brisbane IDC Post Visit Summary</w:t>
        </w:r>
      </w:hyperlink>
      <w:r w:rsidRPr="00267651">
        <w:rPr>
          <w:rFonts w:cs="Readex Pro"/>
          <w:sz w:val="16"/>
          <w:szCs w:val="16"/>
        </w:rPr>
        <w:t xml:space="preserve"> (December 2024), pages 9-10.; Commonwealth Ombudsman, </w:t>
      </w:r>
      <w:hyperlink r:id="rId168" w:history="1">
        <w:r w:rsidRPr="00267651">
          <w:rPr>
            <w:rStyle w:val="Hyperlink"/>
            <w:rFonts w:cs="Readex Pro"/>
            <w:i/>
            <w:iCs/>
            <w:sz w:val="16"/>
            <w:szCs w:val="16"/>
          </w:rPr>
          <w:t>Monitoring Immigration Detention: the Ombudsman’s activities in overseeing immigration detention</w:t>
        </w:r>
        <w:r w:rsidR="003E206A" w:rsidRPr="00267651">
          <w:rPr>
            <w:rStyle w:val="Hyperlink"/>
            <w:rFonts w:cs="Readex Pro"/>
            <w:i/>
            <w:iCs/>
            <w:sz w:val="16"/>
            <w:szCs w:val="16"/>
          </w:rPr>
          <w:t>,</w:t>
        </w:r>
        <w:r w:rsidRPr="00267651">
          <w:rPr>
            <w:rStyle w:val="Hyperlink"/>
            <w:rFonts w:cs="Readex Pro"/>
            <w:i/>
            <w:iCs/>
            <w:sz w:val="16"/>
            <w:szCs w:val="16"/>
          </w:rPr>
          <w:t xml:space="preserve"> January-June 2020</w:t>
        </w:r>
      </w:hyperlink>
      <w:r w:rsidRPr="00267651">
        <w:rPr>
          <w:rFonts w:cs="Readex Pro"/>
          <w:sz w:val="16"/>
          <w:szCs w:val="16"/>
        </w:rPr>
        <w:t xml:space="preserve"> (2021); AHRC, </w:t>
      </w:r>
      <w:hyperlink r:id="rId169" w:history="1">
        <w:r w:rsidRPr="00267651">
          <w:rPr>
            <w:rStyle w:val="Hyperlink"/>
            <w:rFonts w:cs="Readex Pro"/>
            <w:i/>
            <w:iCs/>
            <w:sz w:val="16"/>
            <w:szCs w:val="16"/>
          </w:rPr>
          <w:t>The Use of Hotels as Alternative Places of Detention (APODs)</w:t>
        </w:r>
      </w:hyperlink>
      <w:r w:rsidRPr="00267651">
        <w:rPr>
          <w:rFonts w:cs="Readex Pro"/>
          <w:sz w:val="16"/>
          <w:szCs w:val="16"/>
        </w:rPr>
        <w:t xml:space="preserve"> (June 2023), pages 35-36; AHRC, </w:t>
      </w:r>
      <w:hyperlink r:id="rId170" w:history="1">
        <w:r w:rsidRPr="00267651">
          <w:rPr>
            <w:rStyle w:val="Hyperlink"/>
            <w:rFonts w:cs="Readex Pro"/>
            <w:i/>
            <w:iCs/>
            <w:sz w:val="16"/>
            <w:szCs w:val="16"/>
          </w:rPr>
          <w:t>Inspections of Australia’s immigration detention facilities</w:t>
        </w:r>
        <w:r w:rsidR="00A37353" w:rsidRPr="00267651">
          <w:rPr>
            <w:rStyle w:val="Hyperlink"/>
            <w:rFonts w:cs="Readex Pro"/>
            <w:i/>
            <w:iCs/>
            <w:sz w:val="16"/>
            <w:szCs w:val="16"/>
          </w:rPr>
          <w:t>,</w:t>
        </w:r>
        <w:r w:rsidRPr="00267651">
          <w:rPr>
            <w:rStyle w:val="Hyperlink"/>
            <w:rFonts w:cs="Readex Pro"/>
            <w:i/>
            <w:iCs/>
            <w:sz w:val="16"/>
            <w:szCs w:val="16"/>
          </w:rPr>
          <w:t xml:space="preserve"> 2019 </w:t>
        </w:r>
        <w:r w:rsidR="00A37353" w:rsidRPr="00267651">
          <w:rPr>
            <w:rStyle w:val="Hyperlink"/>
            <w:rFonts w:cs="Readex Pro"/>
            <w:i/>
            <w:iCs/>
            <w:sz w:val="16"/>
            <w:szCs w:val="16"/>
          </w:rPr>
          <w:t>R</w:t>
        </w:r>
        <w:r w:rsidRPr="00267651">
          <w:rPr>
            <w:rStyle w:val="Hyperlink"/>
            <w:rFonts w:cs="Readex Pro"/>
            <w:i/>
            <w:iCs/>
            <w:sz w:val="16"/>
            <w:szCs w:val="16"/>
          </w:rPr>
          <w:t>eport</w:t>
        </w:r>
      </w:hyperlink>
      <w:r w:rsidRPr="00267651">
        <w:rPr>
          <w:rFonts w:cs="Readex Pro"/>
          <w:sz w:val="16"/>
          <w:szCs w:val="16"/>
        </w:rPr>
        <w:t xml:space="preserve"> (December 2020), pages 62-67; AHRC, </w:t>
      </w:r>
      <w:hyperlink r:id="rId171" w:history="1">
        <w:r w:rsidRPr="00267651">
          <w:rPr>
            <w:rStyle w:val="Hyperlink"/>
            <w:rFonts w:cs="Readex Pro"/>
            <w:i/>
            <w:iCs/>
            <w:sz w:val="16"/>
            <w:szCs w:val="16"/>
          </w:rPr>
          <w:t>Use of force in immigration detention</w:t>
        </w:r>
      </w:hyperlink>
      <w:r w:rsidRPr="00267651">
        <w:rPr>
          <w:rFonts w:cs="Readex Pro"/>
          <w:sz w:val="16"/>
          <w:szCs w:val="16"/>
        </w:rPr>
        <w:t xml:space="preserve"> </w:t>
      </w:r>
      <w:r w:rsidR="008D3CDC" w:rsidRPr="00267651">
        <w:rPr>
          <w:rFonts w:cs="Readex Pro"/>
          <w:sz w:val="16"/>
          <w:szCs w:val="16"/>
        </w:rPr>
        <w:t xml:space="preserve">[2019] </w:t>
      </w:r>
      <w:proofErr w:type="spellStart"/>
      <w:r w:rsidR="008D3CDC" w:rsidRPr="00267651">
        <w:rPr>
          <w:rFonts w:cs="Readex Pro"/>
          <w:sz w:val="16"/>
          <w:szCs w:val="16"/>
        </w:rPr>
        <w:t>AusHRC</w:t>
      </w:r>
      <w:proofErr w:type="spellEnd"/>
      <w:r w:rsidR="008D3CDC" w:rsidRPr="00267651">
        <w:rPr>
          <w:rFonts w:cs="Readex Pro"/>
          <w:sz w:val="16"/>
          <w:szCs w:val="16"/>
        </w:rPr>
        <w:t xml:space="preserve"> 130 </w:t>
      </w:r>
      <w:r w:rsidRPr="00267651">
        <w:rPr>
          <w:rFonts w:cs="Readex Pro"/>
          <w:sz w:val="16"/>
          <w:szCs w:val="16"/>
        </w:rPr>
        <w:t>(October 2019), pages 56-65.</w:t>
      </w:r>
    </w:p>
  </w:footnote>
  <w:footnote w:id="170">
    <w:p w14:paraId="3EE60E4F" w14:textId="0BEBE752"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NPM, </w:t>
      </w:r>
      <w:hyperlink r:id="rId172" w:history="1">
        <w:r w:rsidRPr="00267651">
          <w:rPr>
            <w:rStyle w:val="Hyperlink"/>
            <w:rFonts w:cs="Readex Pro"/>
            <w:i/>
            <w:iCs/>
            <w:sz w:val="16"/>
            <w:szCs w:val="16"/>
          </w:rPr>
          <w:t>Fit to fly? An involuntary removal case study involving the use of chemical restraint</w:t>
        </w:r>
      </w:hyperlink>
      <w:r w:rsidRPr="00267651">
        <w:rPr>
          <w:rFonts w:cs="Readex Pro"/>
          <w:sz w:val="16"/>
          <w:szCs w:val="16"/>
        </w:rPr>
        <w:t xml:space="preserve"> (3</w:t>
      </w:r>
      <w:r w:rsidR="007A00BD" w:rsidRPr="00267651">
        <w:rPr>
          <w:rFonts w:cs="Readex Pro"/>
          <w:sz w:val="16"/>
          <w:szCs w:val="16"/>
        </w:rPr>
        <w:t> </w:t>
      </w:r>
      <w:r w:rsidRPr="00267651">
        <w:rPr>
          <w:rFonts w:cs="Readex Pro"/>
          <w:sz w:val="16"/>
          <w:szCs w:val="16"/>
        </w:rPr>
        <w:t>December</w:t>
      </w:r>
      <w:r w:rsidR="007A00BD" w:rsidRPr="00267651">
        <w:rPr>
          <w:rFonts w:cs="Readex Pro"/>
          <w:sz w:val="16"/>
          <w:szCs w:val="16"/>
        </w:rPr>
        <w:t> </w:t>
      </w:r>
      <w:r w:rsidRPr="00267651">
        <w:rPr>
          <w:rFonts w:cs="Readex Pro"/>
          <w:sz w:val="16"/>
          <w:szCs w:val="16"/>
        </w:rPr>
        <w:t>2024).</w:t>
      </w:r>
    </w:p>
  </w:footnote>
  <w:footnote w:id="171">
    <w:p w14:paraId="1ABFC890" w14:textId="5BDA23CC"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266D07" w:rsidRPr="00267651">
        <w:rPr>
          <w:rFonts w:cs="Readex Pro"/>
          <w:sz w:val="16"/>
          <w:szCs w:val="16"/>
        </w:rPr>
        <w:t xml:space="preserve">Australian Government – </w:t>
      </w:r>
      <w:r w:rsidRPr="00267651">
        <w:rPr>
          <w:rFonts w:cs="Readex Pro"/>
          <w:sz w:val="16"/>
          <w:szCs w:val="16"/>
        </w:rPr>
        <w:t xml:space="preserve">Department of Home Affairs, </w:t>
      </w:r>
      <w:hyperlink r:id="rId173" w:history="1">
        <w:r w:rsidRPr="00267651">
          <w:rPr>
            <w:rStyle w:val="Hyperlink"/>
            <w:rFonts w:cs="Readex Pro"/>
            <w:i/>
            <w:iCs/>
            <w:sz w:val="16"/>
            <w:szCs w:val="16"/>
          </w:rPr>
          <w:t xml:space="preserve">Response to the </w:t>
        </w:r>
        <w:r w:rsidR="006607A7" w:rsidRPr="00267651">
          <w:rPr>
            <w:rStyle w:val="Hyperlink"/>
            <w:rFonts w:cs="Readex Pro"/>
            <w:i/>
            <w:iCs/>
            <w:sz w:val="16"/>
            <w:szCs w:val="16"/>
          </w:rPr>
          <w:t>Australian Human Rights Commission (</w:t>
        </w:r>
        <w:r w:rsidRPr="00267651">
          <w:rPr>
            <w:rStyle w:val="Hyperlink"/>
            <w:rFonts w:cs="Readex Pro"/>
            <w:i/>
            <w:iCs/>
            <w:sz w:val="16"/>
            <w:szCs w:val="16"/>
          </w:rPr>
          <w:t>AHRC</w:t>
        </w:r>
        <w:r w:rsidR="006607A7" w:rsidRPr="00267651">
          <w:rPr>
            <w:rStyle w:val="Hyperlink"/>
            <w:rFonts w:cs="Readex Pro"/>
            <w:i/>
            <w:iCs/>
            <w:sz w:val="16"/>
            <w:szCs w:val="16"/>
          </w:rPr>
          <w:t>)</w:t>
        </w:r>
        <w:r w:rsidRPr="00267651">
          <w:rPr>
            <w:rStyle w:val="Hyperlink"/>
            <w:rFonts w:cs="Readex Pro"/>
            <w:i/>
            <w:iCs/>
            <w:sz w:val="16"/>
            <w:szCs w:val="16"/>
          </w:rPr>
          <w:t xml:space="preserve"> Risk Management in Detention Report</w:t>
        </w:r>
      </w:hyperlink>
      <w:r w:rsidRPr="00267651">
        <w:rPr>
          <w:rFonts w:cs="Readex Pro"/>
          <w:sz w:val="16"/>
          <w:szCs w:val="16"/>
        </w:rPr>
        <w:t xml:space="preserve"> (2019), page 6; AHRC, Inspections of Australia’s immigration detention facilities</w:t>
      </w:r>
      <w:r w:rsidR="00B60DE6" w:rsidRPr="00267651">
        <w:rPr>
          <w:rFonts w:cs="Readex Pro"/>
          <w:sz w:val="16"/>
          <w:szCs w:val="16"/>
        </w:rPr>
        <w:t>,</w:t>
      </w:r>
      <w:r w:rsidRPr="00267651">
        <w:rPr>
          <w:rFonts w:cs="Readex Pro"/>
          <w:sz w:val="16"/>
          <w:szCs w:val="16"/>
        </w:rPr>
        <w:t xml:space="preserve"> 2019 </w:t>
      </w:r>
      <w:r w:rsidR="00B60DE6" w:rsidRPr="00267651">
        <w:rPr>
          <w:rFonts w:cs="Readex Pro"/>
          <w:sz w:val="16"/>
          <w:szCs w:val="16"/>
        </w:rPr>
        <w:t>R</w:t>
      </w:r>
      <w:r w:rsidRPr="00267651">
        <w:rPr>
          <w:rFonts w:cs="Readex Pro"/>
          <w:sz w:val="16"/>
          <w:szCs w:val="16"/>
        </w:rPr>
        <w:t>eport</w:t>
      </w:r>
      <w:r w:rsidR="00B60DE6" w:rsidRPr="00267651">
        <w:rPr>
          <w:rFonts w:cs="Readex Pro"/>
          <w:sz w:val="16"/>
          <w:szCs w:val="16"/>
        </w:rPr>
        <w:t xml:space="preserve">, above n </w:t>
      </w:r>
      <w:r w:rsidR="00B60DE6" w:rsidRPr="00267651">
        <w:rPr>
          <w:rFonts w:cs="Readex Pro"/>
          <w:sz w:val="16"/>
          <w:szCs w:val="16"/>
        </w:rPr>
        <w:fldChar w:fldCharType="begin"/>
      </w:r>
      <w:r w:rsidR="00B60DE6" w:rsidRPr="00267651">
        <w:rPr>
          <w:rFonts w:cs="Readex Pro"/>
          <w:sz w:val="16"/>
          <w:szCs w:val="16"/>
        </w:rPr>
        <w:instrText xml:space="preserve"> NOTEREF _Ref207117638 \h </w:instrText>
      </w:r>
      <w:r w:rsidR="003A2A00" w:rsidRPr="00267651">
        <w:rPr>
          <w:rFonts w:cs="Readex Pro"/>
          <w:sz w:val="16"/>
          <w:szCs w:val="16"/>
        </w:rPr>
        <w:instrText xml:space="preserve"> \* MERGEFORMAT </w:instrText>
      </w:r>
      <w:r w:rsidR="00B60DE6" w:rsidRPr="00267651">
        <w:rPr>
          <w:rFonts w:cs="Readex Pro"/>
          <w:sz w:val="16"/>
          <w:szCs w:val="16"/>
        </w:rPr>
      </w:r>
      <w:r w:rsidR="00B60DE6" w:rsidRPr="00267651">
        <w:rPr>
          <w:rFonts w:cs="Readex Pro"/>
          <w:sz w:val="16"/>
          <w:szCs w:val="16"/>
        </w:rPr>
        <w:fldChar w:fldCharType="separate"/>
      </w:r>
      <w:r w:rsidR="00B71AA0">
        <w:rPr>
          <w:rFonts w:cs="Readex Pro"/>
          <w:sz w:val="16"/>
          <w:szCs w:val="16"/>
        </w:rPr>
        <w:t>169</w:t>
      </w:r>
      <w:r w:rsidR="00B60DE6" w:rsidRPr="00267651">
        <w:rPr>
          <w:rFonts w:cs="Readex Pro"/>
          <w:sz w:val="16"/>
          <w:szCs w:val="16"/>
        </w:rPr>
        <w:fldChar w:fldCharType="end"/>
      </w:r>
      <w:r w:rsidRPr="00267651">
        <w:rPr>
          <w:rFonts w:cs="Readex Pro"/>
          <w:sz w:val="16"/>
          <w:szCs w:val="16"/>
        </w:rPr>
        <w:t>, pages 117-121.</w:t>
      </w:r>
    </w:p>
  </w:footnote>
  <w:footnote w:id="172">
    <w:p w14:paraId="4A7E0A50" w14:textId="34AD622A"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B3459C" w:rsidRPr="00267651">
        <w:rPr>
          <w:rFonts w:cs="Readex Pro"/>
          <w:sz w:val="16"/>
          <w:szCs w:val="16"/>
        </w:rPr>
        <w:t xml:space="preserve">AHRC, Inspections of Australia’s immigration detention facilities, 2019 Report, above n </w:t>
      </w:r>
      <w:r w:rsidR="00B3459C" w:rsidRPr="00267651">
        <w:rPr>
          <w:rFonts w:cs="Readex Pro"/>
          <w:sz w:val="16"/>
          <w:szCs w:val="16"/>
        </w:rPr>
        <w:fldChar w:fldCharType="begin"/>
      </w:r>
      <w:r w:rsidR="00B3459C" w:rsidRPr="00267651">
        <w:rPr>
          <w:rFonts w:cs="Readex Pro"/>
          <w:sz w:val="16"/>
          <w:szCs w:val="16"/>
        </w:rPr>
        <w:instrText xml:space="preserve"> NOTEREF _Ref207117638 \h </w:instrText>
      </w:r>
      <w:r w:rsidR="003A2A00" w:rsidRPr="00267651">
        <w:rPr>
          <w:rFonts w:cs="Readex Pro"/>
          <w:sz w:val="16"/>
          <w:szCs w:val="16"/>
        </w:rPr>
        <w:instrText xml:space="preserve"> \* MERGEFORMAT </w:instrText>
      </w:r>
      <w:r w:rsidR="00B3459C" w:rsidRPr="00267651">
        <w:rPr>
          <w:rFonts w:cs="Readex Pro"/>
          <w:sz w:val="16"/>
          <w:szCs w:val="16"/>
        </w:rPr>
      </w:r>
      <w:r w:rsidR="00B3459C" w:rsidRPr="00267651">
        <w:rPr>
          <w:rFonts w:cs="Readex Pro"/>
          <w:sz w:val="16"/>
          <w:szCs w:val="16"/>
        </w:rPr>
        <w:fldChar w:fldCharType="separate"/>
      </w:r>
      <w:r w:rsidR="00B71AA0">
        <w:rPr>
          <w:rFonts w:cs="Readex Pro"/>
          <w:sz w:val="16"/>
          <w:szCs w:val="16"/>
        </w:rPr>
        <w:t>169</w:t>
      </w:r>
      <w:r w:rsidR="00B3459C" w:rsidRPr="00267651">
        <w:rPr>
          <w:rFonts w:cs="Readex Pro"/>
          <w:sz w:val="16"/>
          <w:szCs w:val="16"/>
        </w:rPr>
        <w:fldChar w:fldCharType="end"/>
      </w:r>
      <w:r w:rsidR="00B3459C" w:rsidRPr="00267651">
        <w:rPr>
          <w:rFonts w:cs="Readex Pro"/>
          <w:sz w:val="16"/>
          <w:szCs w:val="16"/>
        </w:rPr>
        <w:t xml:space="preserve">, </w:t>
      </w:r>
      <w:r w:rsidRPr="00267651">
        <w:rPr>
          <w:rFonts w:cs="Readex Pro"/>
          <w:sz w:val="16"/>
          <w:szCs w:val="16"/>
        </w:rPr>
        <w:t>pages 120-121</w:t>
      </w:r>
      <w:r w:rsidR="00252261" w:rsidRPr="00267651">
        <w:rPr>
          <w:rFonts w:cs="Readex Pro"/>
          <w:sz w:val="16"/>
          <w:szCs w:val="16"/>
        </w:rPr>
        <w:t>.</w:t>
      </w:r>
    </w:p>
  </w:footnote>
  <w:footnote w:id="173">
    <w:p w14:paraId="605E7C46" w14:textId="416CB15F"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252261" w:rsidRPr="00267651">
        <w:rPr>
          <w:rFonts w:cs="Readex Pro"/>
          <w:sz w:val="16"/>
          <w:szCs w:val="16"/>
        </w:rPr>
        <w:t xml:space="preserve">AHRC, Inspections of Australia’s immigration detention facilities, 2019 Report, above n </w:t>
      </w:r>
      <w:r w:rsidR="00252261" w:rsidRPr="00267651">
        <w:rPr>
          <w:rFonts w:cs="Readex Pro"/>
          <w:sz w:val="16"/>
          <w:szCs w:val="16"/>
        </w:rPr>
        <w:fldChar w:fldCharType="begin"/>
      </w:r>
      <w:r w:rsidR="00252261" w:rsidRPr="00267651">
        <w:rPr>
          <w:rFonts w:cs="Readex Pro"/>
          <w:sz w:val="16"/>
          <w:szCs w:val="16"/>
        </w:rPr>
        <w:instrText xml:space="preserve"> NOTEREF _Ref207117638 \h </w:instrText>
      </w:r>
      <w:r w:rsidR="003A2A00" w:rsidRPr="00267651">
        <w:rPr>
          <w:rFonts w:cs="Readex Pro"/>
          <w:sz w:val="16"/>
          <w:szCs w:val="16"/>
        </w:rPr>
        <w:instrText xml:space="preserve"> \* MERGEFORMAT </w:instrText>
      </w:r>
      <w:r w:rsidR="00252261" w:rsidRPr="00267651">
        <w:rPr>
          <w:rFonts w:cs="Readex Pro"/>
          <w:sz w:val="16"/>
          <w:szCs w:val="16"/>
        </w:rPr>
      </w:r>
      <w:r w:rsidR="00252261" w:rsidRPr="00267651">
        <w:rPr>
          <w:rFonts w:cs="Readex Pro"/>
          <w:sz w:val="16"/>
          <w:szCs w:val="16"/>
        </w:rPr>
        <w:fldChar w:fldCharType="separate"/>
      </w:r>
      <w:r w:rsidR="00B71AA0">
        <w:rPr>
          <w:rFonts w:cs="Readex Pro"/>
          <w:sz w:val="16"/>
          <w:szCs w:val="16"/>
        </w:rPr>
        <w:t>169</w:t>
      </w:r>
      <w:r w:rsidR="00252261" w:rsidRPr="00267651">
        <w:rPr>
          <w:rFonts w:cs="Readex Pro"/>
          <w:sz w:val="16"/>
          <w:szCs w:val="16"/>
        </w:rPr>
        <w:fldChar w:fldCharType="end"/>
      </w:r>
      <w:r w:rsidR="00252261" w:rsidRPr="00267651">
        <w:rPr>
          <w:rFonts w:cs="Readex Pro"/>
          <w:sz w:val="16"/>
          <w:szCs w:val="16"/>
        </w:rPr>
        <w:t xml:space="preserve">, </w:t>
      </w:r>
      <w:r w:rsidRPr="00267651">
        <w:rPr>
          <w:rFonts w:cs="Readex Pro"/>
          <w:sz w:val="16"/>
          <w:szCs w:val="16"/>
        </w:rPr>
        <w:t xml:space="preserve">page 121; </w:t>
      </w:r>
      <w:r w:rsidR="00445FD2" w:rsidRPr="00267651">
        <w:rPr>
          <w:rFonts w:cs="Readex Pro"/>
          <w:sz w:val="16"/>
          <w:szCs w:val="16"/>
        </w:rPr>
        <w:t xml:space="preserve">Australian Government – </w:t>
      </w:r>
      <w:r w:rsidRPr="00267651">
        <w:rPr>
          <w:rFonts w:cs="Readex Pro"/>
          <w:sz w:val="16"/>
          <w:szCs w:val="16"/>
        </w:rPr>
        <w:t xml:space="preserve">Department of Home Affairs, </w:t>
      </w:r>
      <w:hyperlink r:id="rId174" w:history="1">
        <w:r w:rsidRPr="00267651">
          <w:rPr>
            <w:rStyle w:val="Hyperlink"/>
            <w:rFonts w:cs="Readex Pro"/>
            <w:i/>
            <w:iCs/>
            <w:sz w:val="16"/>
            <w:szCs w:val="16"/>
          </w:rPr>
          <w:t xml:space="preserve">Response to </w:t>
        </w:r>
        <w:r w:rsidR="00F311F4" w:rsidRPr="00267651">
          <w:rPr>
            <w:rStyle w:val="Hyperlink"/>
            <w:rFonts w:cs="Readex Pro"/>
            <w:i/>
            <w:iCs/>
            <w:sz w:val="16"/>
            <w:szCs w:val="16"/>
          </w:rPr>
          <w:t xml:space="preserve">the Australian Human Rights Commission (AHRC) </w:t>
        </w:r>
        <w:r w:rsidRPr="00267651">
          <w:rPr>
            <w:rStyle w:val="Hyperlink"/>
            <w:rFonts w:cs="Readex Pro"/>
            <w:i/>
            <w:iCs/>
            <w:sz w:val="16"/>
            <w:szCs w:val="16"/>
          </w:rPr>
          <w:t>Inspections of Australia’s immigration detention facilities</w:t>
        </w:r>
        <w:r w:rsidR="00F311F4" w:rsidRPr="00267651">
          <w:rPr>
            <w:rStyle w:val="Hyperlink"/>
            <w:rFonts w:cs="Readex Pro"/>
            <w:i/>
            <w:iCs/>
            <w:sz w:val="16"/>
            <w:szCs w:val="16"/>
          </w:rPr>
          <w:t>,</w:t>
        </w:r>
        <w:r w:rsidRPr="00267651">
          <w:rPr>
            <w:rStyle w:val="Hyperlink"/>
            <w:rFonts w:cs="Readex Pro"/>
            <w:i/>
            <w:iCs/>
            <w:sz w:val="16"/>
            <w:szCs w:val="16"/>
          </w:rPr>
          <w:t xml:space="preserve"> 2019 </w:t>
        </w:r>
        <w:r w:rsidR="00F311F4" w:rsidRPr="00267651">
          <w:rPr>
            <w:rStyle w:val="Hyperlink"/>
            <w:rFonts w:cs="Readex Pro"/>
            <w:i/>
            <w:iCs/>
            <w:sz w:val="16"/>
            <w:szCs w:val="16"/>
          </w:rPr>
          <w:t>R</w:t>
        </w:r>
        <w:r w:rsidRPr="00267651">
          <w:rPr>
            <w:rStyle w:val="Hyperlink"/>
            <w:rFonts w:cs="Readex Pro"/>
            <w:i/>
            <w:iCs/>
            <w:sz w:val="16"/>
            <w:szCs w:val="16"/>
          </w:rPr>
          <w:t>eport</w:t>
        </w:r>
      </w:hyperlink>
      <w:r w:rsidRPr="00267651">
        <w:rPr>
          <w:rFonts w:cs="Readex Pro"/>
          <w:sz w:val="16"/>
          <w:szCs w:val="16"/>
        </w:rPr>
        <w:t xml:space="preserve"> (December 2020), page 6.</w:t>
      </w:r>
    </w:p>
  </w:footnote>
  <w:footnote w:id="174">
    <w:p w14:paraId="23D261C6" w14:textId="1B7799F5"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NPM, </w:t>
      </w:r>
      <w:hyperlink r:id="rId175" w:history="1">
        <w:r w:rsidRPr="00267651">
          <w:rPr>
            <w:rStyle w:val="Hyperlink"/>
            <w:rFonts w:cs="Readex Pro"/>
            <w:i/>
            <w:iCs/>
            <w:sz w:val="16"/>
            <w:szCs w:val="16"/>
          </w:rPr>
          <w:t>Villawood IDC Post Visit Summary (2024)</w:t>
        </w:r>
      </w:hyperlink>
      <w:r w:rsidRPr="00267651">
        <w:rPr>
          <w:rFonts w:cs="Readex Pro"/>
          <w:sz w:val="16"/>
          <w:szCs w:val="16"/>
        </w:rPr>
        <w:t xml:space="preserve"> (June 2025), pages 14-18.</w:t>
      </w:r>
    </w:p>
  </w:footnote>
  <w:footnote w:id="175">
    <w:p w14:paraId="16AF16EC" w14:textId="22DDA087" w:rsidR="00492643" w:rsidRPr="00267651" w:rsidRDefault="00492643" w:rsidP="00492643">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NPM,</w:t>
      </w:r>
      <w:r w:rsidR="008849F8" w:rsidRPr="00267651">
        <w:rPr>
          <w:rFonts w:cs="Readex Pro"/>
          <w:sz w:val="16"/>
          <w:szCs w:val="16"/>
        </w:rPr>
        <w:t xml:space="preserve"> </w:t>
      </w:r>
      <w:r w:rsidR="00CE3D7D" w:rsidRPr="00267651">
        <w:rPr>
          <w:rFonts w:cs="Readex Pro"/>
          <w:sz w:val="16"/>
          <w:szCs w:val="16"/>
        </w:rPr>
        <w:t xml:space="preserve">Annual Report 2023–24, </w:t>
      </w:r>
      <w:r w:rsidR="008849F8" w:rsidRPr="00267651">
        <w:rPr>
          <w:rFonts w:cs="Readex Pro"/>
          <w:sz w:val="16"/>
          <w:szCs w:val="16"/>
        </w:rPr>
        <w:t xml:space="preserve">above n </w:t>
      </w:r>
      <w:r w:rsidR="008849F8" w:rsidRPr="00267651">
        <w:rPr>
          <w:rFonts w:cs="Readex Pro"/>
          <w:sz w:val="16"/>
          <w:szCs w:val="16"/>
        </w:rPr>
        <w:fldChar w:fldCharType="begin"/>
      </w:r>
      <w:r w:rsidR="008849F8" w:rsidRPr="00267651">
        <w:rPr>
          <w:rFonts w:cs="Readex Pro"/>
          <w:sz w:val="16"/>
          <w:szCs w:val="16"/>
        </w:rPr>
        <w:instrText xml:space="preserve"> NOTEREF _Ref207117896 \h </w:instrText>
      </w:r>
      <w:r w:rsidR="003A2A00" w:rsidRPr="00267651">
        <w:rPr>
          <w:rFonts w:cs="Readex Pro"/>
          <w:sz w:val="16"/>
          <w:szCs w:val="16"/>
        </w:rPr>
        <w:instrText xml:space="preserve"> \* MERGEFORMAT </w:instrText>
      </w:r>
      <w:r w:rsidR="008849F8" w:rsidRPr="00267651">
        <w:rPr>
          <w:rFonts w:cs="Readex Pro"/>
          <w:sz w:val="16"/>
          <w:szCs w:val="16"/>
        </w:rPr>
      </w:r>
      <w:r w:rsidR="008849F8" w:rsidRPr="00267651">
        <w:rPr>
          <w:rFonts w:cs="Readex Pro"/>
          <w:sz w:val="16"/>
          <w:szCs w:val="16"/>
        </w:rPr>
        <w:fldChar w:fldCharType="separate"/>
      </w:r>
      <w:r w:rsidR="00B71AA0">
        <w:rPr>
          <w:rFonts w:cs="Readex Pro"/>
          <w:sz w:val="16"/>
          <w:szCs w:val="16"/>
        </w:rPr>
        <w:t>168</w:t>
      </w:r>
      <w:r w:rsidR="008849F8" w:rsidRPr="00267651">
        <w:rPr>
          <w:rFonts w:cs="Readex Pro"/>
          <w:sz w:val="16"/>
          <w:szCs w:val="16"/>
        </w:rPr>
        <w:fldChar w:fldCharType="end"/>
      </w:r>
      <w:r w:rsidR="00CE3D7D" w:rsidRPr="00267651">
        <w:rPr>
          <w:rFonts w:cs="Readex Pro"/>
          <w:sz w:val="16"/>
          <w:szCs w:val="16"/>
        </w:rPr>
        <w:t xml:space="preserve">, </w:t>
      </w:r>
      <w:r w:rsidRPr="00267651">
        <w:rPr>
          <w:rFonts w:cs="Readex Pro"/>
          <w:sz w:val="16"/>
          <w:szCs w:val="16"/>
        </w:rPr>
        <w:t>pages 17–18.</w:t>
      </w:r>
    </w:p>
  </w:footnote>
  <w:footnote w:id="176">
    <w:p w14:paraId="560F0804" w14:textId="667A8414" w:rsidR="00492643" w:rsidRPr="00267651" w:rsidRDefault="00492643" w:rsidP="00492643">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Commonwealth NPM, </w:t>
      </w:r>
      <w:hyperlink r:id="rId176" w:history="1">
        <w:r w:rsidRPr="00267651">
          <w:rPr>
            <w:rStyle w:val="Hyperlink"/>
            <w:rFonts w:cs="Readex Pro"/>
            <w:i/>
            <w:iCs/>
            <w:sz w:val="16"/>
            <w:szCs w:val="16"/>
          </w:rPr>
          <w:t>Villawood IDC Post Visit Summary (2023)</w:t>
        </w:r>
      </w:hyperlink>
      <w:r w:rsidRPr="00267651">
        <w:rPr>
          <w:rFonts w:cs="Readex Pro"/>
          <w:sz w:val="16"/>
          <w:szCs w:val="16"/>
        </w:rPr>
        <w:t xml:space="preserve"> (September 2024), pages 12-15.</w:t>
      </w:r>
    </w:p>
  </w:footnote>
  <w:footnote w:id="177">
    <w:p w14:paraId="128DCE63" w14:textId="340104B1" w:rsidR="007F1E9F" w:rsidRPr="00267651" w:rsidRDefault="007F1E9F" w:rsidP="00A7192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AHRC, </w:t>
      </w:r>
      <w:hyperlink r:id="rId177" w:history="1">
        <w:r w:rsidRPr="00267651">
          <w:rPr>
            <w:rStyle w:val="Hyperlink"/>
            <w:rFonts w:cs="Readex Pro"/>
            <w:i/>
            <w:iCs/>
            <w:sz w:val="16"/>
            <w:szCs w:val="16"/>
          </w:rPr>
          <w:t xml:space="preserve">Not just an afterthought: The </w:t>
        </w:r>
        <w:r w:rsidR="007713D7" w:rsidRPr="00267651">
          <w:rPr>
            <w:rStyle w:val="Hyperlink"/>
            <w:rFonts w:cs="Readex Pro"/>
            <w:i/>
            <w:iCs/>
            <w:sz w:val="16"/>
            <w:szCs w:val="16"/>
          </w:rPr>
          <w:t>e</w:t>
        </w:r>
        <w:r w:rsidRPr="00267651">
          <w:rPr>
            <w:rStyle w:val="Hyperlink"/>
            <w:rFonts w:cs="Readex Pro"/>
            <w:i/>
            <w:iCs/>
            <w:sz w:val="16"/>
            <w:szCs w:val="16"/>
          </w:rPr>
          <w:t xml:space="preserve">xperience of women in </w:t>
        </w:r>
        <w:r w:rsidR="007713D7" w:rsidRPr="00267651">
          <w:rPr>
            <w:rStyle w:val="Hyperlink"/>
            <w:rFonts w:cs="Readex Pro"/>
            <w:i/>
            <w:iCs/>
            <w:sz w:val="16"/>
            <w:szCs w:val="16"/>
          </w:rPr>
          <w:t>i</w:t>
        </w:r>
        <w:r w:rsidRPr="00267651">
          <w:rPr>
            <w:rStyle w:val="Hyperlink"/>
            <w:rFonts w:cs="Readex Pro"/>
            <w:i/>
            <w:iCs/>
            <w:sz w:val="16"/>
            <w:szCs w:val="16"/>
          </w:rPr>
          <w:t xml:space="preserve">mmigration </w:t>
        </w:r>
        <w:r w:rsidR="007713D7" w:rsidRPr="00267651">
          <w:rPr>
            <w:rStyle w:val="Hyperlink"/>
            <w:rFonts w:cs="Readex Pro"/>
            <w:i/>
            <w:iCs/>
            <w:sz w:val="16"/>
            <w:szCs w:val="16"/>
          </w:rPr>
          <w:t>d</w:t>
        </w:r>
        <w:r w:rsidRPr="00267651">
          <w:rPr>
            <w:rStyle w:val="Hyperlink"/>
            <w:rFonts w:cs="Readex Pro"/>
            <w:i/>
            <w:iCs/>
            <w:sz w:val="16"/>
            <w:szCs w:val="16"/>
          </w:rPr>
          <w:t>etention</w:t>
        </w:r>
      </w:hyperlink>
      <w:r w:rsidRPr="00267651">
        <w:rPr>
          <w:rFonts w:cs="Readex Pro"/>
          <w:sz w:val="16"/>
          <w:szCs w:val="16"/>
        </w:rPr>
        <w:t xml:space="preserve"> (11 December 2024)</w:t>
      </w:r>
      <w:r w:rsidR="007713D7" w:rsidRPr="00267651">
        <w:rPr>
          <w:rFonts w:cs="Readex Pro"/>
          <w:sz w:val="16"/>
          <w:szCs w:val="16"/>
        </w:rPr>
        <w:t>.</w:t>
      </w:r>
    </w:p>
  </w:footnote>
  <w:footnote w:id="178">
    <w:p w14:paraId="65335C84" w14:textId="0BC8BD03" w:rsidR="007F1E9F" w:rsidRPr="00267651" w:rsidRDefault="007F1E9F" w:rsidP="00A7192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Ibid</w:t>
      </w:r>
      <w:r w:rsidR="007713D7" w:rsidRPr="00267651">
        <w:rPr>
          <w:rFonts w:cs="Readex Pro"/>
          <w:sz w:val="16"/>
          <w:szCs w:val="16"/>
        </w:rPr>
        <w:t xml:space="preserve">, </w:t>
      </w:r>
      <w:r w:rsidRPr="00267651">
        <w:rPr>
          <w:rFonts w:cs="Readex Pro"/>
          <w:sz w:val="16"/>
          <w:szCs w:val="16"/>
        </w:rPr>
        <w:t>page 55.</w:t>
      </w:r>
    </w:p>
  </w:footnote>
  <w:footnote w:id="179">
    <w:p w14:paraId="6841290C" w14:textId="3BB2C8C8" w:rsidR="007F1E9F" w:rsidRPr="00267651" w:rsidRDefault="007F1E9F" w:rsidP="00A7192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w:t>
      </w:r>
      <w:r w:rsidR="00BC0142" w:rsidRPr="00267651">
        <w:rPr>
          <w:rFonts w:cs="Readex Pro"/>
          <w:sz w:val="16"/>
          <w:szCs w:val="16"/>
        </w:rPr>
        <w:t xml:space="preserve">Commonwealth NPM, </w:t>
      </w:r>
      <w:hyperlink r:id="rId178" w:history="1">
        <w:proofErr w:type="spellStart"/>
        <w:r w:rsidR="00BC0142" w:rsidRPr="00267651">
          <w:rPr>
            <w:rStyle w:val="Hyperlink"/>
            <w:rFonts w:cs="Readex Pro"/>
            <w:i/>
            <w:iCs/>
            <w:sz w:val="16"/>
            <w:szCs w:val="16"/>
          </w:rPr>
          <w:t>Yongah</w:t>
        </w:r>
        <w:proofErr w:type="spellEnd"/>
        <w:r w:rsidR="00BC0142" w:rsidRPr="00267651">
          <w:rPr>
            <w:rStyle w:val="Hyperlink"/>
            <w:rFonts w:cs="Readex Pro"/>
            <w:i/>
            <w:iCs/>
            <w:sz w:val="16"/>
            <w:szCs w:val="16"/>
          </w:rPr>
          <w:t xml:space="preserve"> Hill IDC Post Visit Summary</w:t>
        </w:r>
      </w:hyperlink>
      <w:r w:rsidR="00BC0142" w:rsidRPr="00267651">
        <w:rPr>
          <w:rFonts w:cs="Readex Pro"/>
          <w:sz w:val="16"/>
          <w:szCs w:val="16"/>
        </w:rPr>
        <w:t xml:space="preserve"> (13 January 2025), </w:t>
      </w:r>
      <w:r w:rsidRPr="00267651">
        <w:rPr>
          <w:rFonts w:cs="Readex Pro"/>
          <w:sz w:val="16"/>
          <w:szCs w:val="16"/>
        </w:rPr>
        <w:t>pages 22-4; AHRC</w:t>
      </w:r>
      <w:r w:rsidR="009D2E0E" w:rsidRPr="00267651">
        <w:rPr>
          <w:rFonts w:cs="Readex Pro"/>
          <w:sz w:val="16"/>
          <w:szCs w:val="16"/>
        </w:rPr>
        <w:t xml:space="preserve">, above n </w:t>
      </w:r>
      <w:r w:rsidR="009D2E0E" w:rsidRPr="00267651">
        <w:rPr>
          <w:rFonts w:cs="Readex Pro"/>
          <w:sz w:val="16"/>
          <w:szCs w:val="16"/>
        </w:rPr>
        <w:fldChar w:fldCharType="begin"/>
      </w:r>
      <w:r w:rsidR="009D2E0E" w:rsidRPr="00267651">
        <w:rPr>
          <w:rFonts w:cs="Readex Pro"/>
          <w:sz w:val="16"/>
          <w:szCs w:val="16"/>
        </w:rPr>
        <w:instrText xml:space="preserve"> NOTEREF _Ref207118121 \h </w:instrText>
      </w:r>
      <w:r w:rsidR="003A2A00" w:rsidRPr="00267651">
        <w:rPr>
          <w:rFonts w:cs="Readex Pro"/>
          <w:sz w:val="16"/>
          <w:szCs w:val="16"/>
        </w:rPr>
        <w:instrText xml:space="preserve"> \* MERGEFORMAT </w:instrText>
      </w:r>
      <w:r w:rsidR="009D2E0E" w:rsidRPr="00267651">
        <w:rPr>
          <w:rFonts w:cs="Readex Pro"/>
          <w:sz w:val="16"/>
          <w:szCs w:val="16"/>
        </w:rPr>
      </w:r>
      <w:r w:rsidR="009D2E0E" w:rsidRPr="00267651">
        <w:rPr>
          <w:rFonts w:cs="Readex Pro"/>
          <w:sz w:val="16"/>
          <w:szCs w:val="16"/>
        </w:rPr>
        <w:fldChar w:fldCharType="separate"/>
      </w:r>
      <w:r w:rsidR="00B71AA0">
        <w:rPr>
          <w:rFonts w:cs="Readex Pro"/>
          <w:sz w:val="16"/>
          <w:szCs w:val="16"/>
        </w:rPr>
        <w:t>177</w:t>
      </w:r>
      <w:r w:rsidR="009D2E0E" w:rsidRPr="00267651">
        <w:rPr>
          <w:rFonts w:cs="Readex Pro"/>
          <w:sz w:val="16"/>
          <w:szCs w:val="16"/>
        </w:rPr>
        <w:fldChar w:fldCharType="end"/>
      </w:r>
      <w:r w:rsidR="009D2E0E" w:rsidRPr="00267651">
        <w:rPr>
          <w:rFonts w:cs="Readex Pro"/>
          <w:sz w:val="16"/>
          <w:szCs w:val="16"/>
        </w:rPr>
        <w:t xml:space="preserve">, </w:t>
      </w:r>
      <w:r w:rsidRPr="00267651">
        <w:rPr>
          <w:rFonts w:cs="Readex Pro"/>
          <w:sz w:val="16"/>
          <w:szCs w:val="16"/>
        </w:rPr>
        <w:t>pages 36-8.</w:t>
      </w:r>
    </w:p>
  </w:footnote>
  <w:footnote w:id="180">
    <w:p w14:paraId="32BFCFE5" w14:textId="56DE9CAA"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6E399E" w:rsidRPr="00267651">
        <w:rPr>
          <w:rFonts w:cs="Readex Pro"/>
          <w:sz w:val="16"/>
          <w:szCs w:val="16"/>
        </w:rPr>
        <w:t xml:space="preserve">Commonwealth NPM, Annual Report 2023–24, above n </w:t>
      </w:r>
      <w:r w:rsidR="006E399E" w:rsidRPr="00267651">
        <w:rPr>
          <w:rFonts w:cs="Readex Pro"/>
          <w:sz w:val="16"/>
          <w:szCs w:val="16"/>
        </w:rPr>
        <w:fldChar w:fldCharType="begin"/>
      </w:r>
      <w:r w:rsidR="006E399E" w:rsidRPr="00267651">
        <w:rPr>
          <w:rFonts w:cs="Readex Pro"/>
          <w:sz w:val="16"/>
          <w:szCs w:val="16"/>
        </w:rPr>
        <w:instrText xml:space="preserve"> NOTEREF _Ref207117896 \h </w:instrText>
      </w:r>
      <w:r w:rsidR="003A2A00" w:rsidRPr="00267651">
        <w:rPr>
          <w:rFonts w:cs="Readex Pro"/>
          <w:sz w:val="16"/>
          <w:szCs w:val="16"/>
        </w:rPr>
        <w:instrText xml:space="preserve"> \* MERGEFORMAT </w:instrText>
      </w:r>
      <w:r w:rsidR="006E399E" w:rsidRPr="00267651">
        <w:rPr>
          <w:rFonts w:cs="Readex Pro"/>
          <w:sz w:val="16"/>
          <w:szCs w:val="16"/>
        </w:rPr>
      </w:r>
      <w:r w:rsidR="006E399E" w:rsidRPr="00267651">
        <w:rPr>
          <w:rFonts w:cs="Readex Pro"/>
          <w:sz w:val="16"/>
          <w:szCs w:val="16"/>
        </w:rPr>
        <w:fldChar w:fldCharType="separate"/>
      </w:r>
      <w:r w:rsidR="00B71AA0">
        <w:rPr>
          <w:rFonts w:cs="Readex Pro"/>
          <w:sz w:val="16"/>
          <w:szCs w:val="16"/>
        </w:rPr>
        <w:t>168</w:t>
      </w:r>
      <w:r w:rsidR="006E399E" w:rsidRPr="00267651">
        <w:rPr>
          <w:rFonts w:cs="Readex Pro"/>
          <w:sz w:val="16"/>
          <w:szCs w:val="16"/>
        </w:rPr>
        <w:fldChar w:fldCharType="end"/>
      </w:r>
      <w:r w:rsidR="006E399E" w:rsidRPr="00267651">
        <w:rPr>
          <w:rFonts w:cs="Readex Pro"/>
          <w:sz w:val="16"/>
          <w:szCs w:val="16"/>
        </w:rPr>
        <w:t>, pages</w:t>
      </w:r>
      <w:r w:rsidRPr="00267651">
        <w:rPr>
          <w:rFonts w:cs="Readex Pro"/>
          <w:sz w:val="16"/>
          <w:szCs w:val="16"/>
        </w:rPr>
        <w:t xml:space="preserve"> 16-17; </w:t>
      </w:r>
      <w:r w:rsidR="009469C9" w:rsidRPr="00267651">
        <w:rPr>
          <w:rFonts w:cs="Readex Pro"/>
          <w:sz w:val="16"/>
          <w:szCs w:val="16"/>
        </w:rPr>
        <w:t xml:space="preserve">AHRC, Inspections of Australia’s immigration detention facilities, 2019 Report, above n </w:t>
      </w:r>
      <w:r w:rsidR="009469C9" w:rsidRPr="00267651">
        <w:rPr>
          <w:rFonts w:cs="Readex Pro"/>
          <w:sz w:val="16"/>
          <w:szCs w:val="16"/>
        </w:rPr>
        <w:fldChar w:fldCharType="begin"/>
      </w:r>
      <w:r w:rsidR="009469C9" w:rsidRPr="00267651">
        <w:rPr>
          <w:rFonts w:cs="Readex Pro"/>
          <w:sz w:val="16"/>
          <w:szCs w:val="16"/>
        </w:rPr>
        <w:instrText xml:space="preserve"> NOTEREF _Ref207117638 \h </w:instrText>
      </w:r>
      <w:r w:rsidR="003A2A00" w:rsidRPr="00267651">
        <w:rPr>
          <w:rFonts w:cs="Readex Pro"/>
          <w:sz w:val="16"/>
          <w:szCs w:val="16"/>
        </w:rPr>
        <w:instrText xml:space="preserve"> \* MERGEFORMAT </w:instrText>
      </w:r>
      <w:r w:rsidR="009469C9" w:rsidRPr="00267651">
        <w:rPr>
          <w:rFonts w:cs="Readex Pro"/>
          <w:sz w:val="16"/>
          <w:szCs w:val="16"/>
        </w:rPr>
      </w:r>
      <w:r w:rsidR="009469C9" w:rsidRPr="00267651">
        <w:rPr>
          <w:rFonts w:cs="Readex Pro"/>
          <w:sz w:val="16"/>
          <w:szCs w:val="16"/>
        </w:rPr>
        <w:fldChar w:fldCharType="separate"/>
      </w:r>
      <w:r w:rsidR="00B71AA0">
        <w:rPr>
          <w:rFonts w:cs="Readex Pro"/>
          <w:sz w:val="16"/>
          <w:szCs w:val="16"/>
        </w:rPr>
        <w:t>169</w:t>
      </w:r>
      <w:r w:rsidR="009469C9" w:rsidRPr="00267651">
        <w:rPr>
          <w:rFonts w:cs="Readex Pro"/>
          <w:sz w:val="16"/>
          <w:szCs w:val="16"/>
        </w:rPr>
        <w:fldChar w:fldCharType="end"/>
      </w:r>
      <w:r w:rsidR="009469C9" w:rsidRPr="00267651">
        <w:rPr>
          <w:rFonts w:cs="Readex Pro"/>
          <w:sz w:val="16"/>
          <w:szCs w:val="16"/>
        </w:rPr>
        <w:t xml:space="preserve">, pages </w:t>
      </w:r>
      <w:r w:rsidRPr="00267651">
        <w:rPr>
          <w:rFonts w:cs="Readex Pro"/>
          <w:sz w:val="16"/>
          <w:szCs w:val="16"/>
        </w:rPr>
        <w:t>67-72; AHRC, The Use of Hotels as Alternative Places of Detention (APODs)</w:t>
      </w:r>
      <w:r w:rsidR="0031462D" w:rsidRPr="00267651">
        <w:rPr>
          <w:rFonts w:cs="Readex Pro"/>
          <w:sz w:val="16"/>
          <w:szCs w:val="16"/>
        </w:rPr>
        <w:t xml:space="preserve">, above n </w:t>
      </w:r>
      <w:r w:rsidR="0031462D" w:rsidRPr="00267651">
        <w:rPr>
          <w:rFonts w:cs="Readex Pro"/>
          <w:sz w:val="16"/>
          <w:szCs w:val="16"/>
        </w:rPr>
        <w:fldChar w:fldCharType="begin"/>
      </w:r>
      <w:r w:rsidR="0031462D" w:rsidRPr="00267651">
        <w:rPr>
          <w:rFonts w:cs="Readex Pro"/>
          <w:sz w:val="16"/>
          <w:szCs w:val="16"/>
        </w:rPr>
        <w:instrText xml:space="preserve"> NOTEREF _Ref207117638 \h </w:instrText>
      </w:r>
      <w:r w:rsidR="003A2A00" w:rsidRPr="00267651">
        <w:rPr>
          <w:rFonts w:cs="Readex Pro"/>
          <w:sz w:val="16"/>
          <w:szCs w:val="16"/>
        </w:rPr>
        <w:instrText xml:space="preserve"> \* MERGEFORMAT </w:instrText>
      </w:r>
      <w:r w:rsidR="0031462D" w:rsidRPr="00267651">
        <w:rPr>
          <w:rFonts w:cs="Readex Pro"/>
          <w:sz w:val="16"/>
          <w:szCs w:val="16"/>
        </w:rPr>
      </w:r>
      <w:r w:rsidR="0031462D" w:rsidRPr="00267651">
        <w:rPr>
          <w:rFonts w:cs="Readex Pro"/>
          <w:sz w:val="16"/>
          <w:szCs w:val="16"/>
        </w:rPr>
        <w:fldChar w:fldCharType="separate"/>
      </w:r>
      <w:r w:rsidR="00B71AA0">
        <w:rPr>
          <w:rFonts w:cs="Readex Pro"/>
          <w:sz w:val="16"/>
          <w:szCs w:val="16"/>
        </w:rPr>
        <w:t>169</w:t>
      </w:r>
      <w:r w:rsidR="0031462D" w:rsidRPr="00267651">
        <w:rPr>
          <w:rFonts w:cs="Readex Pro"/>
          <w:sz w:val="16"/>
          <w:szCs w:val="16"/>
        </w:rPr>
        <w:fldChar w:fldCharType="end"/>
      </w:r>
      <w:r w:rsidR="0031462D" w:rsidRPr="00267651">
        <w:rPr>
          <w:rFonts w:cs="Readex Pro"/>
          <w:sz w:val="16"/>
          <w:szCs w:val="16"/>
        </w:rPr>
        <w:t xml:space="preserve">, </w:t>
      </w:r>
      <w:r w:rsidRPr="00267651">
        <w:rPr>
          <w:rFonts w:cs="Readex Pro"/>
          <w:sz w:val="16"/>
          <w:szCs w:val="16"/>
        </w:rPr>
        <w:t xml:space="preserve">pages 36-7; </w:t>
      </w:r>
      <w:r w:rsidR="00477B41" w:rsidRPr="00267651">
        <w:rPr>
          <w:rFonts w:cs="Readex Pro"/>
          <w:sz w:val="16"/>
          <w:szCs w:val="16"/>
        </w:rPr>
        <w:t xml:space="preserve">AHRC, </w:t>
      </w:r>
      <w:hyperlink r:id="rId179" w:history="1">
        <w:proofErr w:type="spellStart"/>
        <w:r w:rsidR="00477B41" w:rsidRPr="00267651">
          <w:rPr>
            <w:rStyle w:val="Hyperlink"/>
            <w:rFonts w:cs="Readex Pro"/>
            <w:i/>
            <w:iCs/>
            <w:sz w:val="16"/>
            <w:szCs w:val="16"/>
          </w:rPr>
          <w:t>Yongah</w:t>
        </w:r>
        <w:proofErr w:type="spellEnd"/>
        <w:r w:rsidR="00477B41" w:rsidRPr="00267651">
          <w:rPr>
            <w:rStyle w:val="Hyperlink"/>
            <w:rFonts w:cs="Readex Pro"/>
            <w:i/>
            <w:iCs/>
            <w:sz w:val="16"/>
            <w:szCs w:val="16"/>
          </w:rPr>
          <w:t xml:space="preserve"> Hill Immigration Detention Inspection Report</w:t>
        </w:r>
      </w:hyperlink>
      <w:r w:rsidR="00477B41" w:rsidRPr="00267651">
        <w:rPr>
          <w:rFonts w:cs="Readex Pro"/>
          <w:sz w:val="16"/>
          <w:szCs w:val="16"/>
        </w:rPr>
        <w:t xml:space="preserve"> (April 2024), p</w:t>
      </w:r>
      <w:r w:rsidRPr="00267651">
        <w:rPr>
          <w:rFonts w:cs="Readex Pro"/>
          <w:sz w:val="16"/>
          <w:szCs w:val="16"/>
        </w:rPr>
        <w:t xml:space="preserve">ages 31-3; </w:t>
      </w:r>
      <w:r w:rsidR="00B43A0D" w:rsidRPr="00267651">
        <w:rPr>
          <w:rFonts w:cs="Readex Pro"/>
          <w:sz w:val="16"/>
          <w:szCs w:val="16"/>
        </w:rPr>
        <w:t xml:space="preserve">AHRC, above n </w:t>
      </w:r>
      <w:r w:rsidR="00B43A0D" w:rsidRPr="00267651">
        <w:rPr>
          <w:rFonts w:cs="Readex Pro"/>
          <w:sz w:val="16"/>
          <w:szCs w:val="16"/>
        </w:rPr>
        <w:fldChar w:fldCharType="begin"/>
      </w:r>
      <w:r w:rsidR="00B43A0D" w:rsidRPr="00267651">
        <w:rPr>
          <w:rFonts w:cs="Readex Pro"/>
          <w:sz w:val="16"/>
          <w:szCs w:val="16"/>
        </w:rPr>
        <w:instrText xml:space="preserve"> NOTEREF _Ref207118121 \h </w:instrText>
      </w:r>
      <w:r w:rsidR="003A2A00" w:rsidRPr="00267651">
        <w:rPr>
          <w:rFonts w:cs="Readex Pro"/>
          <w:sz w:val="16"/>
          <w:szCs w:val="16"/>
        </w:rPr>
        <w:instrText xml:space="preserve"> \* MERGEFORMAT </w:instrText>
      </w:r>
      <w:r w:rsidR="00B43A0D" w:rsidRPr="00267651">
        <w:rPr>
          <w:rFonts w:cs="Readex Pro"/>
          <w:sz w:val="16"/>
          <w:szCs w:val="16"/>
        </w:rPr>
      </w:r>
      <w:r w:rsidR="00B43A0D" w:rsidRPr="00267651">
        <w:rPr>
          <w:rFonts w:cs="Readex Pro"/>
          <w:sz w:val="16"/>
          <w:szCs w:val="16"/>
        </w:rPr>
        <w:fldChar w:fldCharType="separate"/>
      </w:r>
      <w:r w:rsidR="00B71AA0">
        <w:rPr>
          <w:rFonts w:cs="Readex Pro"/>
          <w:sz w:val="16"/>
          <w:szCs w:val="16"/>
        </w:rPr>
        <w:t>177</w:t>
      </w:r>
      <w:r w:rsidR="00B43A0D" w:rsidRPr="00267651">
        <w:rPr>
          <w:rFonts w:cs="Readex Pro"/>
          <w:sz w:val="16"/>
          <w:szCs w:val="16"/>
        </w:rPr>
        <w:fldChar w:fldCharType="end"/>
      </w:r>
      <w:r w:rsidR="00B43A0D" w:rsidRPr="00267651">
        <w:rPr>
          <w:rFonts w:cs="Readex Pro"/>
          <w:sz w:val="16"/>
          <w:szCs w:val="16"/>
        </w:rPr>
        <w:t>, pages</w:t>
      </w:r>
      <w:r w:rsidRPr="00267651">
        <w:rPr>
          <w:rFonts w:cs="Readex Pro"/>
          <w:sz w:val="16"/>
          <w:szCs w:val="16"/>
        </w:rPr>
        <w:t xml:space="preserve"> 22-4.</w:t>
      </w:r>
    </w:p>
  </w:footnote>
  <w:footnote w:id="181">
    <w:p w14:paraId="039749A7" w14:textId="1C84092B"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3B1E70" w:rsidRPr="00267651">
        <w:rPr>
          <w:rFonts w:cs="Readex Pro"/>
          <w:sz w:val="16"/>
          <w:szCs w:val="16"/>
        </w:rPr>
        <w:t xml:space="preserve">Commonwealth NPM, above n </w:t>
      </w:r>
      <w:r w:rsidR="003B1E70" w:rsidRPr="00267651">
        <w:rPr>
          <w:rFonts w:cs="Readex Pro"/>
          <w:sz w:val="16"/>
          <w:szCs w:val="16"/>
        </w:rPr>
        <w:fldChar w:fldCharType="begin"/>
      </w:r>
      <w:r w:rsidR="003B1E70" w:rsidRPr="00267651">
        <w:rPr>
          <w:rFonts w:cs="Readex Pro"/>
          <w:sz w:val="16"/>
          <w:szCs w:val="16"/>
        </w:rPr>
        <w:instrText xml:space="preserve"> NOTEREF _Ref207116821 \h </w:instrText>
      </w:r>
      <w:r w:rsidR="003A2A00" w:rsidRPr="00267651">
        <w:rPr>
          <w:rFonts w:cs="Readex Pro"/>
          <w:sz w:val="16"/>
          <w:szCs w:val="16"/>
        </w:rPr>
        <w:instrText xml:space="preserve"> \* MERGEFORMAT </w:instrText>
      </w:r>
      <w:r w:rsidR="003B1E70" w:rsidRPr="00267651">
        <w:rPr>
          <w:rFonts w:cs="Readex Pro"/>
          <w:sz w:val="16"/>
          <w:szCs w:val="16"/>
        </w:rPr>
      </w:r>
      <w:r w:rsidR="003B1E70" w:rsidRPr="00267651">
        <w:rPr>
          <w:rFonts w:cs="Readex Pro"/>
          <w:sz w:val="16"/>
          <w:szCs w:val="16"/>
        </w:rPr>
        <w:fldChar w:fldCharType="separate"/>
      </w:r>
      <w:r w:rsidR="00B71AA0">
        <w:rPr>
          <w:rFonts w:cs="Readex Pro"/>
          <w:sz w:val="16"/>
          <w:szCs w:val="16"/>
        </w:rPr>
        <w:t>151</w:t>
      </w:r>
      <w:r w:rsidR="003B1E70" w:rsidRPr="00267651">
        <w:rPr>
          <w:rFonts w:cs="Readex Pro"/>
          <w:sz w:val="16"/>
          <w:szCs w:val="16"/>
        </w:rPr>
        <w:fldChar w:fldCharType="end"/>
      </w:r>
      <w:r w:rsidR="003B1E70" w:rsidRPr="00267651">
        <w:rPr>
          <w:rFonts w:cs="Readex Pro"/>
          <w:sz w:val="16"/>
          <w:szCs w:val="16"/>
        </w:rPr>
        <w:t xml:space="preserve">, page </w:t>
      </w:r>
      <w:r w:rsidRPr="00267651">
        <w:rPr>
          <w:rFonts w:cs="Readex Pro"/>
          <w:sz w:val="16"/>
          <w:szCs w:val="16"/>
        </w:rPr>
        <w:t>35.</w:t>
      </w:r>
    </w:p>
  </w:footnote>
  <w:footnote w:id="182">
    <w:p w14:paraId="5DF14DC1" w14:textId="5EAD88EC" w:rsidR="007F1E9F" w:rsidRPr="00267651" w:rsidRDefault="007F1E9F" w:rsidP="00977095">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3B1E70" w:rsidRPr="00267651">
        <w:rPr>
          <w:rFonts w:cs="Readex Pro"/>
          <w:sz w:val="16"/>
          <w:szCs w:val="16"/>
        </w:rPr>
        <w:t xml:space="preserve">Commonwealth NPM, Annual Report 2023–24, above n </w:t>
      </w:r>
      <w:r w:rsidR="003B1E70" w:rsidRPr="00267651">
        <w:rPr>
          <w:rFonts w:cs="Readex Pro"/>
          <w:sz w:val="16"/>
          <w:szCs w:val="16"/>
        </w:rPr>
        <w:fldChar w:fldCharType="begin"/>
      </w:r>
      <w:r w:rsidR="003B1E70" w:rsidRPr="00267651">
        <w:rPr>
          <w:rFonts w:cs="Readex Pro"/>
          <w:sz w:val="16"/>
          <w:szCs w:val="16"/>
        </w:rPr>
        <w:instrText xml:space="preserve"> NOTEREF _Ref207117896 \h </w:instrText>
      </w:r>
      <w:r w:rsidR="003A2A00" w:rsidRPr="00267651">
        <w:rPr>
          <w:rFonts w:cs="Readex Pro"/>
          <w:sz w:val="16"/>
          <w:szCs w:val="16"/>
        </w:rPr>
        <w:instrText xml:space="preserve"> \* MERGEFORMAT </w:instrText>
      </w:r>
      <w:r w:rsidR="003B1E70" w:rsidRPr="00267651">
        <w:rPr>
          <w:rFonts w:cs="Readex Pro"/>
          <w:sz w:val="16"/>
          <w:szCs w:val="16"/>
        </w:rPr>
      </w:r>
      <w:r w:rsidR="003B1E70" w:rsidRPr="00267651">
        <w:rPr>
          <w:rFonts w:cs="Readex Pro"/>
          <w:sz w:val="16"/>
          <w:szCs w:val="16"/>
        </w:rPr>
        <w:fldChar w:fldCharType="separate"/>
      </w:r>
      <w:r w:rsidR="00B71AA0">
        <w:rPr>
          <w:rFonts w:cs="Readex Pro"/>
          <w:sz w:val="16"/>
          <w:szCs w:val="16"/>
        </w:rPr>
        <w:t>168</w:t>
      </w:r>
      <w:r w:rsidR="003B1E70" w:rsidRPr="00267651">
        <w:rPr>
          <w:rFonts w:cs="Readex Pro"/>
          <w:sz w:val="16"/>
          <w:szCs w:val="16"/>
        </w:rPr>
        <w:fldChar w:fldCharType="end"/>
      </w:r>
      <w:r w:rsidR="003B1E70" w:rsidRPr="00267651">
        <w:rPr>
          <w:rFonts w:cs="Readex Pro"/>
          <w:sz w:val="16"/>
          <w:szCs w:val="16"/>
        </w:rPr>
        <w:t>, pages 16-17</w:t>
      </w:r>
      <w:r w:rsidRPr="00267651">
        <w:rPr>
          <w:rFonts w:cs="Readex Pro"/>
          <w:sz w:val="16"/>
          <w:szCs w:val="16"/>
        </w:rPr>
        <w:t>.</w:t>
      </w:r>
    </w:p>
  </w:footnote>
  <w:footnote w:id="183">
    <w:p w14:paraId="11FB7A5C" w14:textId="2F1117D2"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Aged Care Quality and Safety Commission, </w:t>
      </w:r>
      <w:hyperlink r:id="rId180" w:history="1">
        <w:r w:rsidRPr="00267651">
          <w:rPr>
            <w:rStyle w:val="Hyperlink"/>
            <w:rFonts w:cs="Readex Pro"/>
            <w:i/>
            <w:iCs/>
            <w:sz w:val="16"/>
            <w:szCs w:val="16"/>
          </w:rPr>
          <w:t>Sector Performance Report: Quarter 3, January–March 2025</w:t>
        </w:r>
      </w:hyperlink>
      <w:r w:rsidRPr="00267651">
        <w:rPr>
          <w:rFonts w:cs="Readex Pro"/>
          <w:sz w:val="16"/>
          <w:szCs w:val="16"/>
        </w:rPr>
        <w:t>, page 7.</w:t>
      </w:r>
    </w:p>
  </w:footnote>
  <w:footnote w:id="184">
    <w:p w14:paraId="7791CC7F" w14:textId="4A673508"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ABS, </w:t>
      </w:r>
      <w:hyperlink r:id="rId181" w:history="1">
        <w:r w:rsidRPr="00267651">
          <w:rPr>
            <w:rStyle w:val="Hyperlink"/>
            <w:rFonts w:cs="Readex Pro"/>
            <w:i/>
            <w:iCs/>
            <w:sz w:val="16"/>
            <w:szCs w:val="16"/>
          </w:rPr>
          <w:t>Disability, Ageing and Carers, Australia: Summary of Findings</w:t>
        </w:r>
      </w:hyperlink>
      <w:r w:rsidRPr="00267651">
        <w:rPr>
          <w:rFonts w:cs="Readex Pro"/>
          <w:sz w:val="16"/>
          <w:szCs w:val="16"/>
        </w:rPr>
        <w:t xml:space="preserve"> (4 July 2024).</w:t>
      </w:r>
    </w:p>
  </w:footnote>
  <w:footnote w:id="185">
    <w:p w14:paraId="34BB5BC7" w14:textId="2B32E136" w:rsidR="007F1E9F" w:rsidRPr="00267651" w:rsidRDefault="007F1E9F" w:rsidP="005374E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Aged Care Quality and Safety, </w:t>
      </w:r>
      <w:hyperlink r:id="rId182" w:history="1">
        <w:r w:rsidRPr="00267651">
          <w:rPr>
            <w:rStyle w:val="Hyperlink"/>
            <w:rFonts w:cs="Readex Pro"/>
            <w:i/>
            <w:iCs/>
            <w:sz w:val="16"/>
            <w:szCs w:val="16"/>
          </w:rPr>
          <w:t>Final Report: Care, Dignity and Respect</w:t>
        </w:r>
      </w:hyperlink>
      <w:r w:rsidRPr="00267651">
        <w:rPr>
          <w:rFonts w:cs="Readex Pro"/>
          <w:sz w:val="16"/>
          <w:szCs w:val="16"/>
        </w:rPr>
        <w:t xml:space="preserve"> (February 2021).</w:t>
      </w:r>
    </w:p>
  </w:footnote>
  <w:footnote w:id="186">
    <w:p w14:paraId="12BCB3B8" w14:textId="6311C3E7" w:rsidR="007F1E9F" w:rsidRPr="00267651" w:rsidRDefault="007F1E9F" w:rsidP="005374E4">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Violence, Abuse, Neglect and Exploitation of People with Disability, </w:t>
      </w:r>
      <w:hyperlink r:id="rId183" w:history="1">
        <w:r w:rsidRPr="00267651">
          <w:rPr>
            <w:rStyle w:val="Hyperlink"/>
            <w:rFonts w:cs="Readex Pro"/>
            <w:i/>
            <w:iCs/>
            <w:sz w:val="16"/>
            <w:szCs w:val="16"/>
          </w:rPr>
          <w:t>Final Report</w:t>
        </w:r>
      </w:hyperlink>
      <w:r w:rsidRPr="00267651">
        <w:rPr>
          <w:rFonts w:cs="Readex Pro"/>
          <w:sz w:val="16"/>
          <w:szCs w:val="16"/>
        </w:rPr>
        <w:t xml:space="preserve"> (September 2023).</w:t>
      </w:r>
    </w:p>
  </w:footnote>
  <w:footnote w:id="187">
    <w:p w14:paraId="26F4BF50" w14:textId="6F7BBAC7" w:rsidR="007F1E9F" w:rsidRPr="00267651" w:rsidRDefault="007F1E9F" w:rsidP="007619E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Pr="00267651">
        <w:rPr>
          <w:rFonts w:cs="Readex Pro"/>
          <w:i/>
          <w:iCs/>
          <w:sz w:val="16"/>
          <w:szCs w:val="16"/>
        </w:rPr>
        <w:t>A royal commission is an independent public inquiry. In Australia, royal commissions are the highest form of inquiry on matters of public importance. They are only established in rare and exceptional circumstances.</w:t>
      </w:r>
      <w:r w:rsidRPr="00267651">
        <w:rPr>
          <w:rFonts w:cs="Readex Pro"/>
          <w:sz w:val="16"/>
          <w:szCs w:val="16"/>
        </w:rPr>
        <w:t xml:space="preserve">” See Australian Government, </w:t>
      </w:r>
      <w:hyperlink r:id="rId184" w:history="1">
        <w:r w:rsidRPr="00267651">
          <w:rPr>
            <w:rStyle w:val="Hyperlink"/>
            <w:rFonts w:cs="Readex Pro"/>
            <w:i/>
            <w:iCs/>
            <w:sz w:val="16"/>
            <w:szCs w:val="16"/>
          </w:rPr>
          <w:t>About Royal Commissions</w:t>
        </w:r>
      </w:hyperlink>
      <w:r w:rsidRPr="00267651">
        <w:rPr>
          <w:rFonts w:cs="Readex Pro"/>
          <w:sz w:val="16"/>
          <w:szCs w:val="16"/>
        </w:rPr>
        <w:t>.</w:t>
      </w:r>
    </w:p>
  </w:footnote>
  <w:footnote w:id="188">
    <w:p w14:paraId="2F5F235E" w14:textId="7796D8D1"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Restrictive practices are defined as follows: </w:t>
      </w:r>
      <w:r w:rsidR="005127F3" w:rsidRPr="00267651">
        <w:rPr>
          <w:rFonts w:cs="Readex Pro"/>
          <w:sz w:val="16"/>
          <w:szCs w:val="16"/>
        </w:rPr>
        <w:t>‘</w:t>
      </w:r>
      <w:r w:rsidRPr="00267651">
        <w:rPr>
          <w:rFonts w:cs="Readex Pro"/>
          <w:i/>
          <w:iCs/>
          <w:sz w:val="16"/>
          <w:szCs w:val="16"/>
        </w:rPr>
        <w:t>Any action, approach or intervention that has the effect of limiting the rights or freedom of movement of a person. Restrictive practices include physical restraints, chemical restraints, mechanical restraints, environmental restraints and seclusion.</w:t>
      </w:r>
      <w:r w:rsidR="005127F3" w:rsidRPr="00267651">
        <w:rPr>
          <w:rFonts w:cs="Readex Pro"/>
          <w:i/>
          <w:iCs/>
          <w:sz w:val="16"/>
          <w:szCs w:val="16"/>
        </w:rPr>
        <w:t>’</w:t>
      </w:r>
      <w:r w:rsidRPr="00267651">
        <w:rPr>
          <w:rFonts w:cs="Readex Pro"/>
          <w:sz w:val="16"/>
          <w:szCs w:val="16"/>
        </w:rPr>
        <w:t xml:space="preserve"> See Royal Commission into Violence, Abuse, Neglect and Exploitation of People with Disability, </w:t>
      </w:r>
      <w:hyperlink r:id="rId185" w:history="1">
        <w:r w:rsidRPr="00267651">
          <w:rPr>
            <w:rStyle w:val="Hyperlink"/>
            <w:rFonts w:cs="Readex Pro"/>
            <w:i/>
            <w:iCs/>
            <w:sz w:val="16"/>
            <w:szCs w:val="16"/>
          </w:rPr>
          <w:t>Final Report – Volume 6: Enabling autonomy and access</w:t>
        </w:r>
      </w:hyperlink>
      <w:r w:rsidRPr="00267651">
        <w:rPr>
          <w:rFonts w:cs="Readex Pro"/>
          <w:sz w:val="16"/>
          <w:szCs w:val="16"/>
        </w:rPr>
        <w:t xml:space="preserve"> (September 2023), page 6.</w:t>
      </w:r>
    </w:p>
  </w:footnote>
  <w:footnote w:id="189">
    <w:p w14:paraId="6FDC911B" w14:textId="784DB098"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Aged Care Quality and Safety, </w:t>
      </w:r>
      <w:hyperlink r:id="rId186" w:history="1">
        <w:r w:rsidRPr="00267651">
          <w:rPr>
            <w:rStyle w:val="Hyperlink"/>
            <w:rFonts w:cs="Readex Pro"/>
            <w:i/>
            <w:iCs/>
            <w:sz w:val="16"/>
            <w:szCs w:val="16"/>
          </w:rPr>
          <w:t>Final Report – Volume 1: Summary and recommendations</w:t>
        </w:r>
      </w:hyperlink>
      <w:r w:rsidRPr="00267651">
        <w:rPr>
          <w:rFonts w:cs="Readex Pro"/>
          <w:sz w:val="16"/>
          <w:szCs w:val="16"/>
        </w:rPr>
        <w:t xml:space="preserve"> (February 2021), page 68.</w:t>
      </w:r>
    </w:p>
  </w:footnote>
  <w:footnote w:id="190">
    <w:p w14:paraId="7BB7AF58" w14:textId="1435A580"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Royal Commission into Violence, Abuse, Neglect and Exploitation of People with Disability, </w:t>
      </w:r>
      <w:hyperlink r:id="rId187" w:history="1">
        <w:r w:rsidRPr="00267651">
          <w:rPr>
            <w:rStyle w:val="Hyperlink"/>
            <w:rFonts w:cs="Readex Pro"/>
            <w:i/>
            <w:iCs/>
            <w:sz w:val="16"/>
            <w:szCs w:val="16"/>
          </w:rPr>
          <w:t>Final Report – Executive Summary, Our vision for an inclusive Australia and Recommendations</w:t>
        </w:r>
      </w:hyperlink>
      <w:r w:rsidRPr="00267651">
        <w:rPr>
          <w:rFonts w:cs="Readex Pro"/>
          <w:sz w:val="16"/>
          <w:szCs w:val="16"/>
        </w:rPr>
        <w:t xml:space="preserve"> (September 2023), page 81. See also Royal Commission into Violence, Abuse, Neglect and Exploitation of People with Disability, </w:t>
      </w:r>
      <w:r w:rsidR="00417DE3" w:rsidRPr="00267651">
        <w:rPr>
          <w:rFonts w:cs="Readex Pro"/>
          <w:sz w:val="16"/>
          <w:szCs w:val="16"/>
        </w:rPr>
        <w:t xml:space="preserve">above n </w:t>
      </w:r>
      <w:r w:rsidR="00417DE3" w:rsidRPr="00267651">
        <w:rPr>
          <w:rFonts w:cs="Readex Pro"/>
          <w:sz w:val="16"/>
          <w:szCs w:val="16"/>
        </w:rPr>
        <w:fldChar w:fldCharType="begin"/>
      </w:r>
      <w:r w:rsidR="00417DE3" w:rsidRPr="00267651">
        <w:rPr>
          <w:rFonts w:cs="Readex Pro"/>
          <w:sz w:val="16"/>
          <w:szCs w:val="16"/>
        </w:rPr>
        <w:instrText xml:space="preserve"> NOTEREF _Ref207118748 \h </w:instrText>
      </w:r>
      <w:r w:rsidR="003A2A00" w:rsidRPr="00267651">
        <w:rPr>
          <w:rFonts w:cs="Readex Pro"/>
          <w:sz w:val="16"/>
          <w:szCs w:val="16"/>
        </w:rPr>
        <w:instrText xml:space="preserve"> \* MERGEFORMAT </w:instrText>
      </w:r>
      <w:r w:rsidR="00417DE3" w:rsidRPr="00267651">
        <w:rPr>
          <w:rFonts w:cs="Readex Pro"/>
          <w:sz w:val="16"/>
          <w:szCs w:val="16"/>
        </w:rPr>
      </w:r>
      <w:r w:rsidR="00417DE3" w:rsidRPr="00267651">
        <w:rPr>
          <w:rFonts w:cs="Readex Pro"/>
          <w:sz w:val="16"/>
          <w:szCs w:val="16"/>
        </w:rPr>
        <w:fldChar w:fldCharType="separate"/>
      </w:r>
      <w:r w:rsidR="00B71AA0">
        <w:rPr>
          <w:rFonts w:cs="Readex Pro"/>
          <w:sz w:val="16"/>
          <w:szCs w:val="16"/>
        </w:rPr>
        <w:t>188</w:t>
      </w:r>
      <w:r w:rsidR="00417DE3" w:rsidRPr="00267651">
        <w:rPr>
          <w:rFonts w:cs="Readex Pro"/>
          <w:sz w:val="16"/>
          <w:szCs w:val="16"/>
        </w:rPr>
        <w:fldChar w:fldCharType="end"/>
      </w:r>
      <w:r w:rsidR="00417DE3" w:rsidRPr="00267651">
        <w:rPr>
          <w:rFonts w:cs="Readex Pro"/>
          <w:sz w:val="16"/>
          <w:szCs w:val="16"/>
        </w:rPr>
        <w:t xml:space="preserve">, </w:t>
      </w:r>
      <w:r w:rsidRPr="00267651">
        <w:rPr>
          <w:rFonts w:cs="Readex Pro"/>
          <w:sz w:val="16"/>
          <w:szCs w:val="16"/>
        </w:rPr>
        <w:t>chapter 5.</w:t>
      </w:r>
    </w:p>
  </w:footnote>
  <w:footnote w:id="191">
    <w:p w14:paraId="50CEAA98" w14:textId="48E2670A"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Royal Commission into Aged Care Quality and Safety, </w:t>
      </w:r>
      <w:hyperlink r:id="rId188" w:history="1">
        <w:r w:rsidRPr="00267651">
          <w:rPr>
            <w:rStyle w:val="Hyperlink"/>
            <w:rFonts w:cs="Readex Pro"/>
            <w:i/>
            <w:iCs/>
            <w:sz w:val="16"/>
            <w:szCs w:val="16"/>
          </w:rPr>
          <w:t>Final Report – Volume 3A: The new system</w:t>
        </w:r>
      </w:hyperlink>
      <w:r w:rsidRPr="00267651">
        <w:rPr>
          <w:rFonts w:cs="Readex Pro"/>
          <w:sz w:val="16"/>
          <w:szCs w:val="16"/>
        </w:rPr>
        <w:t xml:space="preserve"> (February 2021), recommendation 17; Royal Commission into Violence, Abuse, Neglect and Exploitation of People with Disability, </w:t>
      </w:r>
      <w:r w:rsidR="00417DE3" w:rsidRPr="00267651">
        <w:rPr>
          <w:rFonts w:cs="Readex Pro"/>
          <w:sz w:val="16"/>
          <w:szCs w:val="16"/>
        </w:rPr>
        <w:t xml:space="preserve">above n </w:t>
      </w:r>
      <w:r w:rsidR="00417DE3" w:rsidRPr="00267651">
        <w:rPr>
          <w:rFonts w:cs="Readex Pro"/>
          <w:sz w:val="16"/>
          <w:szCs w:val="16"/>
        </w:rPr>
        <w:fldChar w:fldCharType="begin"/>
      </w:r>
      <w:r w:rsidR="00417DE3" w:rsidRPr="00267651">
        <w:rPr>
          <w:rFonts w:cs="Readex Pro"/>
          <w:sz w:val="16"/>
          <w:szCs w:val="16"/>
        </w:rPr>
        <w:instrText xml:space="preserve"> NOTEREF _Ref207118748 \h </w:instrText>
      </w:r>
      <w:r w:rsidR="003A2A00" w:rsidRPr="00267651">
        <w:rPr>
          <w:rFonts w:cs="Readex Pro"/>
          <w:sz w:val="16"/>
          <w:szCs w:val="16"/>
        </w:rPr>
        <w:instrText xml:space="preserve"> \* MERGEFORMAT </w:instrText>
      </w:r>
      <w:r w:rsidR="00417DE3" w:rsidRPr="00267651">
        <w:rPr>
          <w:rFonts w:cs="Readex Pro"/>
          <w:sz w:val="16"/>
          <w:szCs w:val="16"/>
        </w:rPr>
      </w:r>
      <w:r w:rsidR="00417DE3" w:rsidRPr="00267651">
        <w:rPr>
          <w:rFonts w:cs="Readex Pro"/>
          <w:sz w:val="16"/>
          <w:szCs w:val="16"/>
        </w:rPr>
        <w:fldChar w:fldCharType="separate"/>
      </w:r>
      <w:r w:rsidR="00B71AA0">
        <w:rPr>
          <w:rFonts w:cs="Readex Pro"/>
          <w:sz w:val="16"/>
          <w:szCs w:val="16"/>
        </w:rPr>
        <w:t>188</w:t>
      </w:r>
      <w:r w:rsidR="00417DE3" w:rsidRPr="00267651">
        <w:rPr>
          <w:rFonts w:cs="Readex Pro"/>
          <w:sz w:val="16"/>
          <w:szCs w:val="16"/>
        </w:rPr>
        <w:fldChar w:fldCharType="end"/>
      </w:r>
      <w:r w:rsidR="00417DE3" w:rsidRPr="00267651">
        <w:rPr>
          <w:rFonts w:cs="Readex Pro"/>
          <w:sz w:val="16"/>
          <w:szCs w:val="16"/>
        </w:rPr>
        <w:t xml:space="preserve">, </w:t>
      </w:r>
      <w:r w:rsidRPr="00267651">
        <w:rPr>
          <w:rFonts w:cs="Readex Pro"/>
          <w:sz w:val="16"/>
          <w:szCs w:val="16"/>
        </w:rPr>
        <w:t>recommendations 6.35–6.40.</w:t>
      </w:r>
    </w:p>
  </w:footnote>
  <w:footnote w:id="192">
    <w:p w14:paraId="23736B27" w14:textId="0BC8C9C1"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89" w:history="1">
        <w:r w:rsidRPr="00267651">
          <w:rPr>
            <w:rStyle w:val="Hyperlink"/>
            <w:rFonts w:cs="Readex Pro"/>
            <w:i/>
            <w:iCs/>
            <w:sz w:val="16"/>
            <w:szCs w:val="16"/>
          </w:rPr>
          <w:t>Aged Care Act 2024</w:t>
        </w:r>
        <w:r w:rsidRPr="00267651">
          <w:rPr>
            <w:rStyle w:val="Hyperlink"/>
            <w:rFonts w:cs="Readex Pro"/>
            <w:sz w:val="16"/>
            <w:szCs w:val="16"/>
          </w:rPr>
          <w:t xml:space="preserve"> (</w:t>
        </w:r>
        <w:proofErr w:type="spellStart"/>
        <w:r w:rsidRPr="00267651">
          <w:rPr>
            <w:rStyle w:val="Hyperlink"/>
            <w:rFonts w:cs="Readex Pro"/>
            <w:sz w:val="16"/>
            <w:szCs w:val="16"/>
          </w:rPr>
          <w:t>Cth</w:t>
        </w:r>
        <w:proofErr w:type="spellEnd"/>
        <w:r w:rsidRPr="00267651">
          <w:rPr>
            <w:rStyle w:val="Hyperlink"/>
            <w:rFonts w:cs="Readex Pro"/>
            <w:sz w:val="16"/>
            <w:szCs w:val="16"/>
          </w:rPr>
          <w:t>)</w:t>
        </w:r>
      </w:hyperlink>
      <w:r w:rsidRPr="00267651">
        <w:rPr>
          <w:rFonts w:cs="Readex Pro"/>
          <w:sz w:val="16"/>
          <w:szCs w:val="16"/>
        </w:rPr>
        <w:t>.</w:t>
      </w:r>
    </w:p>
  </w:footnote>
  <w:footnote w:id="193">
    <w:p w14:paraId="1DE27A28" w14:textId="48BDEE9D"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Aged Care Quality and Safety Commission,</w:t>
      </w:r>
      <w:r w:rsidR="00502446" w:rsidRPr="00267651">
        <w:rPr>
          <w:rFonts w:cs="Readex Pro"/>
          <w:sz w:val="16"/>
          <w:szCs w:val="16"/>
        </w:rPr>
        <w:t xml:space="preserve"> above n </w:t>
      </w:r>
      <w:r w:rsidR="00502446" w:rsidRPr="00267651">
        <w:rPr>
          <w:rFonts w:cs="Readex Pro"/>
          <w:sz w:val="16"/>
          <w:szCs w:val="16"/>
        </w:rPr>
        <w:fldChar w:fldCharType="begin"/>
      </w:r>
      <w:r w:rsidR="00502446" w:rsidRPr="00267651">
        <w:rPr>
          <w:rFonts w:cs="Readex Pro"/>
          <w:sz w:val="16"/>
          <w:szCs w:val="16"/>
        </w:rPr>
        <w:instrText xml:space="preserve"> NOTEREF _Ref207118582 \h </w:instrText>
      </w:r>
      <w:r w:rsidR="003A2A00" w:rsidRPr="00267651">
        <w:rPr>
          <w:rFonts w:cs="Readex Pro"/>
          <w:sz w:val="16"/>
          <w:szCs w:val="16"/>
        </w:rPr>
        <w:instrText xml:space="preserve"> \* MERGEFORMAT </w:instrText>
      </w:r>
      <w:r w:rsidR="00502446" w:rsidRPr="00267651">
        <w:rPr>
          <w:rFonts w:cs="Readex Pro"/>
          <w:sz w:val="16"/>
          <w:szCs w:val="16"/>
        </w:rPr>
      </w:r>
      <w:r w:rsidR="00502446" w:rsidRPr="00267651">
        <w:rPr>
          <w:rFonts w:cs="Readex Pro"/>
          <w:sz w:val="16"/>
          <w:szCs w:val="16"/>
        </w:rPr>
        <w:fldChar w:fldCharType="separate"/>
      </w:r>
      <w:r w:rsidR="00B71AA0">
        <w:rPr>
          <w:rFonts w:cs="Readex Pro"/>
          <w:sz w:val="16"/>
          <w:szCs w:val="16"/>
        </w:rPr>
        <w:t>183</w:t>
      </w:r>
      <w:r w:rsidR="00502446" w:rsidRPr="00267651">
        <w:rPr>
          <w:rFonts w:cs="Readex Pro"/>
          <w:sz w:val="16"/>
          <w:szCs w:val="16"/>
        </w:rPr>
        <w:fldChar w:fldCharType="end"/>
      </w:r>
      <w:r w:rsidR="00502446" w:rsidRPr="00267651">
        <w:rPr>
          <w:rFonts w:cs="Readex Pro"/>
          <w:sz w:val="16"/>
          <w:szCs w:val="16"/>
        </w:rPr>
        <w:t xml:space="preserve">, </w:t>
      </w:r>
      <w:r w:rsidRPr="00267651">
        <w:rPr>
          <w:rFonts w:cs="Readex Pro"/>
          <w:sz w:val="16"/>
          <w:szCs w:val="16"/>
        </w:rPr>
        <w:t>page 38.</w:t>
      </w:r>
    </w:p>
  </w:footnote>
  <w:footnote w:id="194">
    <w:p w14:paraId="147512D9" w14:textId="6BA84134"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e.g. Commonwealth Ombudsman, </w:t>
      </w:r>
      <w:hyperlink r:id="rId190" w:history="1">
        <w:r w:rsidRPr="00267651">
          <w:rPr>
            <w:rStyle w:val="Hyperlink"/>
            <w:rFonts w:cs="Readex Pro"/>
            <w:i/>
            <w:iCs/>
            <w:sz w:val="16"/>
            <w:szCs w:val="16"/>
          </w:rPr>
          <w:t>Aged Care Star Ratings – Public statement</w:t>
        </w:r>
      </w:hyperlink>
      <w:r w:rsidRPr="00267651">
        <w:rPr>
          <w:rFonts w:cs="Readex Pro"/>
          <w:sz w:val="16"/>
          <w:szCs w:val="16"/>
        </w:rPr>
        <w:t xml:space="preserve"> (31 October 2024).</w:t>
      </w:r>
    </w:p>
  </w:footnote>
  <w:footnote w:id="195">
    <w:p w14:paraId="6A60B8CA" w14:textId="40B68DA5"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Inspector General of Aged Care, </w:t>
      </w:r>
      <w:hyperlink r:id="rId191" w:history="1">
        <w:r w:rsidRPr="00267651">
          <w:rPr>
            <w:rStyle w:val="Hyperlink"/>
            <w:rFonts w:cs="Readex Pro"/>
            <w:i/>
            <w:iCs/>
            <w:sz w:val="16"/>
            <w:szCs w:val="16"/>
          </w:rPr>
          <w:t>2024 Progress Report – Implementation of the Recommendations of the Royal Commission into Aged Care Quality and Safety</w:t>
        </w:r>
      </w:hyperlink>
      <w:r w:rsidRPr="00267651">
        <w:rPr>
          <w:rFonts w:cs="Readex Pro"/>
          <w:sz w:val="16"/>
          <w:szCs w:val="16"/>
        </w:rPr>
        <w:t xml:space="preserve"> (June 2024), page 40.</w:t>
      </w:r>
    </w:p>
  </w:footnote>
  <w:footnote w:id="196">
    <w:p w14:paraId="1B9E12CC" w14:textId="50DDAB2F" w:rsidR="007F1E9F" w:rsidRPr="00267651" w:rsidRDefault="007F1E9F" w:rsidP="00C54030">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NDIS Quality and Safeguards Commission, </w:t>
      </w:r>
      <w:hyperlink r:id="rId192" w:history="1">
        <w:r w:rsidRPr="00267651">
          <w:rPr>
            <w:rStyle w:val="Hyperlink"/>
            <w:rFonts w:cs="Readex Pro"/>
            <w:i/>
            <w:iCs/>
            <w:sz w:val="16"/>
            <w:szCs w:val="16"/>
          </w:rPr>
          <w:t>Annual Report 2023–24</w:t>
        </w:r>
      </w:hyperlink>
      <w:r w:rsidRPr="00267651">
        <w:rPr>
          <w:rFonts w:cs="Readex Pro"/>
          <w:sz w:val="16"/>
          <w:szCs w:val="16"/>
        </w:rPr>
        <w:t>, page 79.</w:t>
      </w:r>
    </w:p>
  </w:footnote>
  <w:footnote w:id="197">
    <w:p w14:paraId="6CF5E87A" w14:textId="4444AF04" w:rsidR="007F1E9F" w:rsidRPr="00267651" w:rsidRDefault="007F1E9F" w:rsidP="00E8725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See Royal Commission into Violence, Abuse, Neglect and Exploitation of People with Disability,</w:t>
      </w:r>
      <w:r w:rsidR="00C80BC5" w:rsidRPr="00267651">
        <w:rPr>
          <w:rFonts w:cs="Readex Pro"/>
          <w:sz w:val="16"/>
          <w:szCs w:val="16"/>
        </w:rPr>
        <w:t xml:space="preserve"> above n </w:t>
      </w:r>
      <w:r w:rsidR="00C80BC5" w:rsidRPr="00267651">
        <w:rPr>
          <w:rFonts w:cs="Readex Pro"/>
          <w:sz w:val="16"/>
          <w:szCs w:val="16"/>
        </w:rPr>
        <w:fldChar w:fldCharType="begin"/>
      </w:r>
      <w:r w:rsidR="00C80BC5" w:rsidRPr="00267651">
        <w:rPr>
          <w:rFonts w:cs="Readex Pro"/>
          <w:sz w:val="16"/>
          <w:szCs w:val="16"/>
        </w:rPr>
        <w:instrText xml:space="preserve"> NOTEREF _Ref207115945 \h </w:instrText>
      </w:r>
      <w:r w:rsidR="003A2A00" w:rsidRPr="00267651">
        <w:rPr>
          <w:rFonts w:cs="Readex Pro"/>
          <w:sz w:val="16"/>
          <w:szCs w:val="16"/>
        </w:rPr>
        <w:instrText xml:space="preserve"> \* MERGEFORMAT </w:instrText>
      </w:r>
      <w:r w:rsidR="00C80BC5" w:rsidRPr="00267651">
        <w:rPr>
          <w:rFonts w:cs="Readex Pro"/>
          <w:sz w:val="16"/>
          <w:szCs w:val="16"/>
        </w:rPr>
      </w:r>
      <w:r w:rsidR="00C80BC5" w:rsidRPr="00267651">
        <w:rPr>
          <w:rFonts w:cs="Readex Pro"/>
          <w:sz w:val="16"/>
          <w:szCs w:val="16"/>
        </w:rPr>
        <w:fldChar w:fldCharType="separate"/>
      </w:r>
      <w:r w:rsidR="00B71AA0">
        <w:rPr>
          <w:rFonts w:cs="Readex Pro"/>
          <w:sz w:val="16"/>
          <w:szCs w:val="16"/>
        </w:rPr>
        <w:t>142</w:t>
      </w:r>
      <w:r w:rsidR="00C80BC5" w:rsidRPr="00267651">
        <w:rPr>
          <w:rFonts w:cs="Readex Pro"/>
          <w:sz w:val="16"/>
          <w:szCs w:val="16"/>
        </w:rPr>
        <w:fldChar w:fldCharType="end"/>
      </w:r>
      <w:r w:rsidR="00C80BC5" w:rsidRPr="00267651">
        <w:rPr>
          <w:rFonts w:cs="Readex Pro"/>
          <w:sz w:val="16"/>
          <w:szCs w:val="16"/>
        </w:rPr>
        <w:t xml:space="preserve">, </w:t>
      </w:r>
      <w:r w:rsidRPr="00267651">
        <w:rPr>
          <w:rFonts w:cs="Readex Pro"/>
          <w:sz w:val="16"/>
          <w:szCs w:val="16"/>
        </w:rPr>
        <w:t>chapter 4.</w:t>
      </w:r>
    </w:p>
  </w:footnote>
  <w:footnote w:id="198">
    <w:p w14:paraId="30E48F40" w14:textId="77777777" w:rsidR="007F1E9F" w:rsidRPr="00E518A3" w:rsidRDefault="007F1E9F" w:rsidP="00E8725B">
      <w:pPr>
        <w:pStyle w:val="FootnoteText"/>
        <w:rPr>
          <w:rFonts w:cs="Readex Pro"/>
          <w:sz w:val="16"/>
          <w:szCs w:val="16"/>
          <w:lang w:val="fr-FR"/>
        </w:rPr>
      </w:pPr>
      <w:r w:rsidRPr="00267651">
        <w:rPr>
          <w:rStyle w:val="FootnoteReference"/>
          <w:rFonts w:cs="Readex Pro"/>
          <w:sz w:val="16"/>
          <w:szCs w:val="16"/>
        </w:rPr>
        <w:footnoteRef/>
      </w:r>
      <w:r w:rsidRPr="00E518A3">
        <w:rPr>
          <w:rFonts w:cs="Readex Pro"/>
          <w:sz w:val="16"/>
          <w:szCs w:val="16"/>
          <w:lang w:val="fr-FR"/>
        </w:rPr>
        <w:t xml:space="preserve"> </w:t>
      </w:r>
      <w:r w:rsidRPr="00E518A3">
        <w:rPr>
          <w:rFonts w:cs="Readex Pro"/>
          <w:sz w:val="16"/>
          <w:szCs w:val="16"/>
          <w:lang w:val="fr-FR"/>
        </w:rPr>
        <w:t>Ibid, pages 130–1.</w:t>
      </w:r>
    </w:p>
  </w:footnote>
  <w:footnote w:id="199">
    <w:p w14:paraId="4B5858B3" w14:textId="77777777" w:rsidR="007F1E9F" w:rsidRPr="00E518A3" w:rsidRDefault="007F1E9F" w:rsidP="00E8725B">
      <w:pPr>
        <w:pStyle w:val="FootnoteText"/>
        <w:rPr>
          <w:rFonts w:cs="Readex Pro"/>
          <w:sz w:val="16"/>
          <w:szCs w:val="16"/>
          <w:lang w:val="fr-FR"/>
        </w:rPr>
      </w:pPr>
      <w:r w:rsidRPr="00267651">
        <w:rPr>
          <w:rStyle w:val="FootnoteReference"/>
          <w:rFonts w:cs="Readex Pro"/>
          <w:sz w:val="16"/>
          <w:szCs w:val="16"/>
        </w:rPr>
        <w:footnoteRef/>
      </w:r>
      <w:r w:rsidRPr="00E518A3">
        <w:rPr>
          <w:rFonts w:cs="Readex Pro"/>
          <w:sz w:val="16"/>
          <w:szCs w:val="16"/>
          <w:lang w:val="fr-FR"/>
        </w:rPr>
        <w:t xml:space="preserve"> Ibid, pages 143–6.</w:t>
      </w:r>
    </w:p>
  </w:footnote>
  <w:footnote w:id="200">
    <w:p w14:paraId="174FABB0" w14:textId="307C3AC8" w:rsidR="007F1E9F" w:rsidRPr="00E518A3" w:rsidRDefault="007F1E9F" w:rsidP="00E8725B">
      <w:pPr>
        <w:pStyle w:val="FootnoteText"/>
        <w:rPr>
          <w:rFonts w:cs="Readex Pro"/>
          <w:sz w:val="16"/>
          <w:szCs w:val="16"/>
          <w:lang w:val="fr-FR"/>
        </w:rPr>
      </w:pPr>
      <w:r w:rsidRPr="00267651">
        <w:rPr>
          <w:rStyle w:val="FootnoteReference"/>
          <w:rFonts w:cs="Readex Pro"/>
          <w:sz w:val="16"/>
          <w:szCs w:val="16"/>
        </w:rPr>
        <w:footnoteRef/>
      </w:r>
      <w:r w:rsidRPr="00E518A3">
        <w:rPr>
          <w:rFonts w:cs="Readex Pro"/>
          <w:sz w:val="16"/>
          <w:szCs w:val="16"/>
          <w:lang w:val="fr-FR"/>
        </w:rPr>
        <w:t xml:space="preserve"> Ibid, pages 146–51.</w:t>
      </w:r>
    </w:p>
  </w:footnote>
  <w:footnote w:id="201">
    <w:p w14:paraId="22293783" w14:textId="46F60E99" w:rsidR="007F1E9F" w:rsidRPr="00267651" w:rsidRDefault="007F1E9F" w:rsidP="007403E7">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r w:rsidR="00F5233F" w:rsidRPr="00267651">
        <w:rPr>
          <w:rFonts w:cs="Readex Pro"/>
          <w:sz w:val="16"/>
          <w:szCs w:val="16"/>
        </w:rPr>
        <w:t>NT</w:t>
      </w:r>
      <w:r w:rsidRPr="00267651">
        <w:rPr>
          <w:rFonts w:cs="Readex Pro"/>
          <w:sz w:val="16"/>
          <w:szCs w:val="16"/>
        </w:rPr>
        <w:t xml:space="preserve"> </w:t>
      </w:r>
      <w:r w:rsidR="00F3189A" w:rsidRPr="00267651">
        <w:rPr>
          <w:rFonts w:cs="Readex Pro"/>
          <w:sz w:val="16"/>
          <w:szCs w:val="16"/>
        </w:rPr>
        <w:t>Principal Community Visitor</w:t>
      </w:r>
      <w:r w:rsidRPr="00267651">
        <w:rPr>
          <w:rFonts w:cs="Readex Pro"/>
          <w:sz w:val="16"/>
          <w:szCs w:val="16"/>
        </w:rPr>
        <w:t xml:space="preserve">, </w:t>
      </w:r>
      <w:hyperlink r:id="rId193" w:history="1">
        <w:r w:rsidR="00F3189A" w:rsidRPr="00267651">
          <w:rPr>
            <w:rStyle w:val="Hyperlink"/>
            <w:rFonts w:cs="Readex Pro"/>
            <w:i/>
            <w:iCs/>
            <w:sz w:val="16"/>
            <w:szCs w:val="16"/>
          </w:rPr>
          <w:t>Media Statement: L</w:t>
        </w:r>
        <w:r w:rsidRPr="00267651">
          <w:rPr>
            <w:rStyle w:val="Hyperlink"/>
            <w:rFonts w:cs="Readex Pro"/>
            <w:i/>
            <w:iCs/>
            <w:sz w:val="16"/>
            <w:szCs w:val="16"/>
          </w:rPr>
          <w:t>ocked Up Without Conviction: NT’s Most Vulnerable Deserve Care, Not Cells</w:t>
        </w:r>
      </w:hyperlink>
      <w:r w:rsidRPr="00267651">
        <w:rPr>
          <w:rFonts w:cs="Readex Pro"/>
          <w:sz w:val="16"/>
          <w:szCs w:val="16"/>
        </w:rPr>
        <w:t xml:space="preserve"> (12 May 2025)</w:t>
      </w:r>
      <w:r w:rsidR="009E2A22" w:rsidRPr="00267651">
        <w:rPr>
          <w:rFonts w:cs="Readex Pro"/>
          <w:sz w:val="16"/>
          <w:szCs w:val="16"/>
        </w:rPr>
        <w:t>; NT</w:t>
      </w:r>
      <w:r w:rsidRPr="00267651">
        <w:rPr>
          <w:rFonts w:cs="Readex Pro"/>
          <w:sz w:val="16"/>
          <w:szCs w:val="16"/>
        </w:rPr>
        <w:t xml:space="preserve"> </w:t>
      </w:r>
      <w:r w:rsidR="009E2A22" w:rsidRPr="00267651">
        <w:rPr>
          <w:rFonts w:cs="Readex Pro"/>
          <w:sz w:val="16"/>
          <w:szCs w:val="16"/>
        </w:rPr>
        <w:t xml:space="preserve">Principal Community Visitor, </w:t>
      </w:r>
      <w:hyperlink r:id="rId194" w:history="1">
        <w:r w:rsidR="009E2A22" w:rsidRPr="00267651">
          <w:rPr>
            <w:rStyle w:val="Hyperlink"/>
            <w:rFonts w:cs="Readex Pro"/>
            <w:i/>
            <w:iCs/>
            <w:sz w:val="16"/>
            <w:szCs w:val="16"/>
          </w:rPr>
          <w:t xml:space="preserve">Media Statement: </w:t>
        </w:r>
        <w:r w:rsidRPr="00267651">
          <w:rPr>
            <w:rStyle w:val="Hyperlink"/>
            <w:rFonts w:cs="Readex Pro"/>
            <w:i/>
            <w:iCs/>
            <w:sz w:val="16"/>
            <w:szCs w:val="16"/>
          </w:rPr>
          <w:t>Concern for persons with complex cognitive disabilities in Corrections</w:t>
        </w:r>
      </w:hyperlink>
      <w:r w:rsidRPr="00267651">
        <w:rPr>
          <w:rFonts w:cs="Readex Pro"/>
          <w:sz w:val="16"/>
          <w:szCs w:val="16"/>
        </w:rPr>
        <w:t xml:space="preserve"> (15 January 2025).</w:t>
      </w:r>
    </w:p>
  </w:footnote>
  <w:footnote w:id="202">
    <w:p w14:paraId="47CCC6C6" w14:textId="191EBF0C" w:rsidR="007F1E9F" w:rsidRPr="00267651" w:rsidRDefault="007F1E9F" w:rsidP="00774517">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ACT Chief Psychiatrist, </w:t>
      </w:r>
      <w:hyperlink r:id="rId195" w:history="1">
        <w:r w:rsidR="005636D0" w:rsidRPr="00267651">
          <w:rPr>
            <w:rStyle w:val="Hyperlink"/>
            <w:rFonts w:cs="Readex Pro"/>
            <w:sz w:val="16"/>
            <w:szCs w:val="16"/>
          </w:rPr>
          <w:t>‘R</w:t>
        </w:r>
        <w:r w:rsidRPr="00267651">
          <w:rPr>
            <w:rStyle w:val="Hyperlink"/>
            <w:rFonts w:cs="Readex Pro"/>
            <w:sz w:val="16"/>
            <w:szCs w:val="16"/>
          </w:rPr>
          <w:t>ecommendations for reform of care, treatment and support provided to people found not guilty because of mental impairment and released from custody into the care of mental health service</w:t>
        </w:r>
        <w:r w:rsidR="005636D0" w:rsidRPr="00267651">
          <w:rPr>
            <w:rStyle w:val="Hyperlink"/>
            <w:rFonts w:cs="Readex Pro"/>
            <w:sz w:val="16"/>
            <w:szCs w:val="16"/>
          </w:rPr>
          <w:t xml:space="preserve">s’, </w:t>
        </w:r>
        <w:r w:rsidRPr="00267651">
          <w:rPr>
            <w:rStyle w:val="Hyperlink"/>
            <w:rFonts w:cs="Readex Pro"/>
            <w:i/>
            <w:iCs/>
            <w:sz w:val="16"/>
            <w:szCs w:val="16"/>
          </w:rPr>
          <w:t>Report</w:t>
        </w:r>
        <w:r w:rsidR="005636D0" w:rsidRPr="00267651">
          <w:rPr>
            <w:rStyle w:val="Hyperlink"/>
            <w:rFonts w:cs="Readex Pro"/>
            <w:i/>
            <w:iCs/>
            <w:sz w:val="16"/>
            <w:szCs w:val="16"/>
          </w:rPr>
          <w:t xml:space="preserve"> – </w:t>
        </w:r>
        <w:r w:rsidRPr="00267651">
          <w:rPr>
            <w:rStyle w:val="Hyperlink"/>
            <w:rFonts w:cs="Readex Pro"/>
            <w:i/>
            <w:iCs/>
            <w:sz w:val="16"/>
            <w:szCs w:val="16"/>
          </w:rPr>
          <w:t>ACT Health</w:t>
        </w:r>
      </w:hyperlink>
      <w:r w:rsidR="005636D0" w:rsidRPr="00267651">
        <w:rPr>
          <w:rFonts w:cs="Readex Pro"/>
          <w:sz w:val="16"/>
          <w:szCs w:val="16"/>
        </w:rPr>
        <w:t xml:space="preserve"> (J</w:t>
      </w:r>
      <w:r w:rsidRPr="00267651">
        <w:rPr>
          <w:rFonts w:cs="Readex Pro"/>
          <w:sz w:val="16"/>
          <w:szCs w:val="16"/>
        </w:rPr>
        <w:t>anuary 2024), pages 35-6.</w:t>
      </w:r>
    </w:p>
  </w:footnote>
  <w:footnote w:id="203">
    <w:p w14:paraId="667A3E8D" w14:textId="033E3FBF" w:rsidR="007F1E9F" w:rsidRPr="00267651" w:rsidRDefault="007F1E9F" w:rsidP="00E8725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Government, </w:t>
      </w:r>
      <w:hyperlink r:id="rId196" w:history="1">
        <w:r w:rsidRPr="00267651">
          <w:rPr>
            <w:rStyle w:val="Hyperlink"/>
            <w:rFonts w:cs="Readex Pro"/>
            <w:i/>
            <w:iCs/>
            <w:sz w:val="16"/>
            <w:szCs w:val="16"/>
          </w:rPr>
          <w:t>National Statement of Principles Relating to Persons Unfit to Plead or Found Not Guilty by Reason of Cognitive or Mental Health Impairment</w:t>
        </w:r>
      </w:hyperlink>
      <w:r w:rsidRPr="00267651">
        <w:rPr>
          <w:rFonts w:cs="Readex Pro"/>
          <w:sz w:val="16"/>
          <w:szCs w:val="16"/>
        </w:rPr>
        <w:t>.</w:t>
      </w:r>
    </w:p>
  </w:footnote>
  <w:footnote w:id="204">
    <w:p w14:paraId="7ABE893A" w14:textId="4BD19813" w:rsidR="007F1E9F" w:rsidRPr="00267651" w:rsidRDefault="007F1E9F" w:rsidP="00E8725B">
      <w:pPr>
        <w:pStyle w:val="FootnoteText"/>
        <w:rPr>
          <w:rFonts w:cs="Readex Pro"/>
          <w:sz w:val="16"/>
          <w:szCs w:val="16"/>
        </w:rPr>
      </w:pPr>
      <w:r w:rsidRPr="00267651">
        <w:rPr>
          <w:rStyle w:val="FootnoteReference"/>
          <w:rFonts w:cs="Readex Pro"/>
          <w:sz w:val="16"/>
          <w:szCs w:val="16"/>
        </w:rPr>
        <w:footnoteRef/>
      </w:r>
      <w:r w:rsidR="00013E52" w:rsidRPr="00267651">
        <w:rPr>
          <w:rFonts w:cs="Readex Pro"/>
          <w:sz w:val="16"/>
          <w:szCs w:val="16"/>
        </w:rPr>
        <w:t xml:space="preserve"> Royal Commission into Violence, Abuse, Neglect and Exploitation of People with Disability, above n </w:t>
      </w:r>
      <w:r w:rsidR="00013E52" w:rsidRPr="00267651">
        <w:rPr>
          <w:rFonts w:cs="Readex Pro"/>
          <w:sz w:val="16"/>
          <w:szCs w:val="16"/>
        </w:rPr>
        <w:fldChar w:fldCharType="begin"/>
      </w:r>
      <w:r w:rsidR="00013E52" w:rsidRPr="00267651">
        <w:rPr>
          <w:rFonts w:cs="Readex Pro"/>
          <w:sz w:val="16"/>
          <w:szCs w:val="16"/>
        </w:rPr>
        <w:instrText xml:space="preserve"> NOTEREF _Ref207115945 \h  \* MERGEFORMAT </w:instrText>
      </w:r>
      <w:r w:rsidR="00013E52" w:rsidRPr="00267651">
        <w:rPr>
          <w:rFonts w:cs="Readex Pro"/>
          <w:sz w:val="16"/>
          <w:szCs w:val="16"/>
        </w:rPr>
      </w:r>
      <w:r w:rsidR="00013E52" w:rsidRPr="00267651">
        <w:rPr>
          <w:rFonts w:cs="Readex Pro"/>
          <w:sz w:val="16"/>
          <w:szCs w:val="16"/>
        </w:rPr>
        <w:fldChar w:fldCharType="separate"/>
      </w:r>
      <w:r w:rsidR="00B71AA0">
        <w:rPr>
          <w:rFonts w:cs="Readex Pro"/>
          <w:sz w:val="16"/>
          <w:szCs w:val="16"/>
        </w:rPr>
        <w:t>142</w:t>
      </w:r>
      <w:r w:rsidR="00013E52" w:rsidRPr="00267651">
        <w:rPr>
          <w:rFonts w:cs="Readex Pro"/>
          <w:sz w:val="16"/>
          <w:szCs w:val="16"/>
        </w:rPr>
        <w:fldChar w:fldCharType="end"/>
      </w:r>
      <w:r w:rsidR="00013E52" w:rsidRPr="00267651">
        <w:rPr>
          <w:rFonts w:cs="Readex Pro"/>
          <w:sz w:val="16"/>
          <w:szCs w:val="16"/>
        </w:rPr>
        <w:t>, recommendation </w:t>
      </w:r>
      <w:r w:rsidRPr="00267651">
        <w:rPr>
          <w:rFonts w:cs="Readex Pro"/>
          <w:sz w:val="16"/>
          <w:szCs w:val="16"/>
        </w:rPr>
        <w:t>8.12.</w:t>
      </w:r>
    </w:p>
  </w:footnote>
  <w:footnote w:id="205">
    <w:p w14:paraId="7AA36662" w14:textId="5F8F8520" w:rsidR="007F1E9F" w:rsidRPr="00267651" w:rsidRDefault="007F1E9F" w:rsidP="00E8725B">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w:t>
      </w:r>
      <w:r w:rsidR="00013E52" w:rsidRPr="00267651">
        <w:rPr>
          <w:rFonts w:cs="Readex Pro"/>
          <w:sz w:val="16"/>
          <w:szCs w:val="16"/>
        </w:rPr>
        <w:t>,</w:t>
      </w:r>
      <w:r w:rsidRPr="00267651">
        <w:rPr>
          <w:rFonts w:cs="Readex Pro"/>
          <w:sz w:val="16"/>
          <w:szCs w:val="16"/>
        </w:rPr>
        <w:t xml:space="preserve"> state and territory governments, </w:t>
      </w:r>
      <w:hyperlink r:id="rId197" w:history="1">
        <w:r w:rsidRPr="00267651">
          <w:rPr>
            <w:rStyle w:val="Hyperlink"/>
            <w:rFonts w:cs="Readex Pro"/>
            <w:i/>
            <w:iCs/>
            <w:sz w:val="16"/>
            <w:szCs w:val="16"/>
          </w:rPr>
          <w:t>Joint Australian, State and Territory Response to the Disability Royal Commission</w:t>
        </w:r>
      </w:hyperlink>
      <w:r w:rsidRPr="00267651">
        <w:rPr>
          <w:rFonts w:cs="Readex Pro"/>
          <w:sz w:val="16"/>
          <w:szCs w:val="16"/>
        </w:rPr>
        <w:t xml:space="preserve"> (2024), pages 63–4.</w:t>
      </w:r>
    </w:p>
  </w:footnote>
  <w:footnote w:id="206">
    <w:p w14:paraId="2B64E032" w14:textId="25CD8A65" w:rsidR="007F1E9F" w:rsidRPr="00267651" w:rsidRDefault="007F1E9F" w:rsidP="00FF4C6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w:t>
      </w:r>
      <w:hyperlink r:id="rId198" w:history="1">
        <w:r w:rsidRPr="00267651">
          <w:rPr>
            <w:rStyle w:val="Hyperlink"/>
            <w:rFonts w:cs="Readex Pro"/>
            <w:i/>
            <w:iCs/>
            <w:sz w:val="16"/>
            <w:szCs w:val="16"/>
          </w:rPr>
          <w:t>Monitoring of Places of Detention Legislation Amendment Act 2024</w:t>
        </w:r>
        <w:r w:rsidRPr="00267651">
          <w:rPr>
            <w:rStyle w:val="Hyperlink"/>
            <w:rFonts w:cs="Readex Pro"/>
            <w:sz w:val="16"/>
            <w:szCs w:val="16"/>
          </w:rPr>
          <w:t xml:space="preserve"> (ACT)</w:t>
        </w:r>
      </w:hyperlink>
      <w:r w:rsidRPr="00267651">
        <w:rPr>
          <w:rFonts w:cs="Readex Pro"/>
          <w:sz w:val="16"/>
          <w:szCs w:val="16"/>
        </w:rPr>
        <w:t xml:space="preserve">, amending </w:t>
      </w:r>
      <w:hyperlink r:id="rId199" w:history="1">
        <w:r w:rsidRPr="00267651">
          <w:rPr>
            <w:rStyle w:val="Hyperlink"/>
            <w:rFonts w:cs="Readex Pro"/>
            <w:i/>
            <w:iCs/>
            <w:sz w:val="16"/>
            <w:szCs w:val="16"/>
          </w:rPr>
          <w:t>Monitoring of Places of Detention (Optional Protocol to the Convention Against Torture) Act 2018</w:t>
        </w:r>
        <w:r w:rsidRPr="00267651">
          <w:rPr>
            <w:rStyle w:val="Hyperlink"/>
            <w:rFonts w:cs="Readex Pro"/>
            <w:sz w:val="16"/>
            <w:szCs w:val="16"/>
          </w:rPr>
          <w:t xml:space="preserve"> (ACT)</w:t>
        </w:r>
      </w:hyperlink>
      <w:r w:rsidRPr="00267651">
        <w:rPr>
          <w:rFonts w:cs="Readex Pro"/>
          <w:sz w:val="16"/>
          <w:szCs w:val="16"/>
        </w:rPr>
        <w:t>.</w:t>
      </w:r>
    </w:p>
  </w:footnote>
  <w:footnote w:id="207">
    <w:p w14:paraId="5D0BA618" w14:textId="297F0361" w:rsidR="007F1E9F" w:rsidRPr="00267651" w:rsidRDefault="007F1E9F">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As of </w:t>
      </w:r>
      <w:r w:rsidR="00250359" w:rsidRPr="00267651">
        <w:rPr>
          <w:rFonts w:cs="Readex Pro"/>
          <w:sz w:val="16"/>
          <w:szCs w:val="16"/>
        </w:rPr>
        <w:t xml:space="preserve">September </w:t>
      </w:r>
      <w:r w:rsidRPr="00267651">
        <w:rPr>
          <w:rFonts w:cs="Readex Pro"/>
          <w:sz w:val="16"/>
          <w:szCs w:val="16"/>
        </w:rPr>
        <w:t xml:space="preserve">2025, the ACT, Tasmania and the Commonwealth have NPM-specific legislation in effect, while the NT has NPM legislation </w:t>
      </w:r>
      <w:r w:rsidR="00600F53" w:rsidRPr="00267651">
        <w:rPr>
          <w:rFonts w:cs="Readex Pro"/>
          <w:sz w:val="16"/>
          <w:szCs w:val="16"/>
        </w:rPr>
        <w:t>which</w:t>
      </w:r>
      <w:r w:rsidRPr="00267651">
        <w:rPr>
          <w:rFonts w:cs="Readex Pro"/>
          <w:sz w:val="16"/>
          <w:szCs w:val="16"/>
        </w:rPr>
        <w:t xml:space="preserve"> passed the NT Parliament in 2022 but has never commenced. No other jurisdictions have NPM-specific legislation, with nominated bodies instead relying on non OPCAT</w:t>
      </w:r>
      <w:r w:rsidR="00600F53" w:rsidRPr="00267651">
        <w:rPr>
          <w:rFonts w:cs="Readex Pro"/>
          <w:sz w:val="16"/>
          <w:szCs w:val="16"/>
        </w:rPr>
        <w:t>-</w:t>
      </w:r>
      <w:r w:rsidRPr="00267651">
        <w:rPr>
          <w:rFonts w:cs="Readex Pro"/>
          <w:sz w:val="16"/>
          <w:szCs w:val="16"/>
        </w:rPr>
        <w:t>specific legislation for their work.</w:t>
      </w:r>
    </w:p>
  </w:footnote>
  <w:footnote w:id="208">
    <w:p w14:paraId="5926F766" w14:textId="79D8540C" w:rsidR="007F1E9F" w:rsidRPr="00267651" w:rsidRDefault="007F1E9F" w:rsidP="004400C6">
      <w:pPr>
        <w:pStyle w:val="FootnoteText"/>
        <w:rPr>
          <w:rFonts w:cs="Readex Pro"/>
          <w:sz w:val="16"/>
          <w:szCs w:val="16"/>
        </w:rPr>
      </w:pPr>
      <w:r w:rsidRPr="00267651">
        <w:rPr>
          <w:rStyle w:val="FootnoteReference"/>
          <w:rFonts w:cs="Readex Pro"/>
          <w:sz w:val="16"/>
          <w:szCs w:val="16"/>
        </w:rPr>
        <w:footnoteRef/>
      </w:r>
      <w:r w:rsidRPr="00267651">
        <w:rPr>
          <w:rFonts w:cs="Readex Pro"/>
          <w:sz w:val="16"/>
          <w:szCs w:val="16"/>
        </w:rPr>
        <w:t xml:space="preserve"> Australian NPM, </w:t>
      </w:r>
      <w:hyperlink r:id="rId200" w:history="1">
        <w:r w:rsidRPr="00267651">
          <w:rPr>
            <w:rStyle w:val="Hyperlink"/>
            <w:rFonts w:cs="Readex Pro"/>
            <w:i/>
            <w:iCs/>
            <w:sz w:val="16"/>
            <w:szCs w:val="16"/>
          </w:rPr>
          <w:t>Joint Statement – Critical torture prevention work again underfunded</w:t>
        </w:r>
      </w:hyperlink>
      <w:r w:rsidRPr="00267651">
        <w:rPr>
          <w:rFonts w:cs="Readex Pro"/>
          <w:sz w:val="16"/>
          <w:szCs w:val="16"/>
        </w:rPr>
        <w:t xml:space="preserve"> (26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64557" w14:textId="734F49D9" w:rsidR="00D8033D" w:rsidRDefault="0086743A">
    <w:pPr>
      <w:pStyle w:val="Header"/>
    </w:pPr>
    <w:r>
      <w:rPr>
        <w:noProof/>
      </w:rPr>
      <mc:AlternateContent>
        <mc:Choice Requires="wps">
          <w:drawing>
            <wp:anchor distT="0" distB="0" distL="0" distR="0" simplePos="0" relativeHeight="251669504" behindDoc="0" locked="0" layoutInCell="1" allowOverlap="1" wp14:anchorId="770DC475" wp14:editId="21DC428A">
              <wp:simplePos x="635" y="635"/>
              <wp:positionH relativeFrom="page">
                <wp:align>center</wp:align>
              </wp:positionH>
              <wp:positionV relativeFrom="page">
                <wp:align>top</wp:align>
              </wp:positionV>
              <wp:extent cx="643255" cy="592455"/>
              <wp:effectExtent l="0" t="0" r="4445" b="17145"/>
              <wp:wrapNone/>
              <wp:docPr id="35311739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592455"/>
                      </a:xfrm>
                      <a:prstGeom prst="rect">
                        <a:avLst/>
                      </a:prstGeom>
                      <a:noFill/>
                      <a:ln>
                        <a:noFill/>
                      </a:ln>
                    </wps:spPr>
                    <wps:txbx>
                      <w:txbxContent>
                        <w:p w14:paraId="0B82F856" w14:textId="3A7DC340" w:rsidR="0086743A" w:rsidRPr="0086743A" w:rsidRDefault="0086743A" w:rsidP="0086743A">
                          <w:pPr>
                            <w:spacing w:after="0"/>
                            <w:rPr>
                              <w:rFonts w:ascii="Calibri" w:eastAsia="Calibri" w:hAnsi="Calibri" w:cs="Calibri"/>
                              <w:noProof/>
                              <w:color w:val="FF0000"/>
                              <w:sz w:val="28"/>
                              <w:szCs w:val="28"/>
                            </w:rPr>
                          </w:pPr>
                          <w:r w:rsidRPr="0086743A">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0DC475" id="_x0000_t202" coordsize="21600,21600" o:spt="202" path="m,l,21600r21600,l21600,xe">
              <v:stroke joinstyle="miter"/>
              <v:path gradientshapeok="t" o:connecttype="rect"/>
            </v:shapetype>
            <v:shape id="_x0000_s1028" type="#_x0000_t202" alt="OFFICIAL" style="position:absolute;margin-left:0;margin-top:0;width:50.65pt;height:46.65pt;z-index:2516695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" filled="f" stroked="f">
              <v:textbox style="mso-fit-shape-to-text:t" inset="0,15pt,0,0">
                <w:txbxContent>
                  <w:p w14:paraId="0B82F856" w14:textId="3A7DC340" w:rsidR="0086743A" w:rsidRPr="0086743A" w:rsidRDefault="0086743A" w:rsidP="0086743A">
                    <w:pPr>
                      <w:spacing w:after="0"/>
                      <w:rPr>
                        <w:rFonts w:ascii="Calibri" w:eastAsia="Calibri" w:hAnsi="Calibri" w:cs="Calibri"/>
                        <w:noProof/>
                        <w:color w:val="FF0000"/>
                        <w:sz w:val="28"/>
                        <w:szCs w:val="28"/>
                      </w:rPr>
                    </w:pPr>
                    <w:r w:rsidRPr="0086743A">
                      <w:rPr>
                        <w:rFonts w:ascii="Calibri" w:eastAsia="Calibri" w:hAnsi="Calibri" w:cs="Calibri"/>
                        <w:noProof/>
                        <w:color w:val="FF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9EB"/>
    <w:multiLevelType w:val="hybridMultilevel"/>
    <w:tmpl w:val="03FAE374"/>
    <w:lvl w:ilvl="0" w:tplc="967C9BE0">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971BDC"/>
    <w:multiLevelType w:val="hybridMultilevel"/>
    <w:tmpl w:val="FD1A9C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2B5D88"/>
    <w:multiLevelType w:val="hybridMultilevel"/>
    <w:tmpl w:val="E1F03988"/>
    <w:lvl w:ilvl="0" w:tplc="7B2CD6A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A33439"/>
    <w:multiLevelType w:val="hybridMultilevel"/>
    <w:tmpl w:val="C966DD3E"/>
    <w:lvl w:ilvl="0" w:tplc="513600C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D7D0353"/>
    <w:multiLevelType w:val="hybridMultilevel"/>
    <w:tmpl w:val="9CA01256"/>
    <w:lvl w:ilvl="0" w:tplc="AC60819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5A6BD8"/>
    <w:multiLevelType w:val="hybridMultilevel"/>
    <w:tmpl w:val="B5F27970"/>
    <w:lvl w:ilvl="0" w:tplc="21CCEB9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966D51"/>
    <w:multiLevelType w:val="hybridMultilevel"/>
    <w:tmpl w:val="09288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A6178F"/>
    <w:multiLevelType w:val="hybridMultilevel"/>
    <w:tmpl w:val="9424C9A6"/>
    <w:lvl w:ilvl="0" w:tplc="A1CEEFEE">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2871AAB"/>
    <w:multiLevelType w:val="hybridMultilevel"/>
    <w:tmpl w:val="B2A61558"/>
    <w:lvl w:ilvl="0" w:tplc="54DE5C1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5011261"/>
    <w:multiLevelType w:val="hybridMultilevel"/>
    <w:tmpl w:val="75BABF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0D02C8"/>
    <w:multiLevelType w:val="hybridMultilevel"/>
    <w:tmpl w:val="D08E52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28C3CD2"/>
    <w:multiLevelType w:val="hybridMultilevel"/>
    <w:tmpl w:val="7A8A82C4"/>
    <w:lvl w:ilvl="0" w:tplc="06621F1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F291CE4"/>
    <w:multiLevelType w:val="hybridMultilevel"/>
    <w:tmpl w:val="03B6C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D05B3F"/>
    <w:multiLevelType w:val="hybridMultilevel"/>
    <w:tmpl w:val="A930313E"/>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4" w15:restartNumberingAfterBreak="0">
    <w:nsid w:val="5703599E"/>
    <w:multiLevelType w:val="hybridMultilevel"/>
    <w:tmpl w:val="E1B810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B104C9B"/>
    <w:multiLevelType w:val="hybridMultilevel"/>
    <w:tmpl w:val="1A907844"/>
    <w:lvl w:ilvl="0" w:tplc="2EEA148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CA20893"/>
    <w:multiLevelType w:val="hybridMultilevel"/>
    <w:tmpl w:val="2B023C00"/>
    <w:lvl w:ilvl="0" w:tplc="247E3F6E">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0FA2BE2"/>
    <w:multiLevelType w:val="hybridMultilevel"/>
    <w:tmpl w:val="095EC9C6"/>
    <w:lvl w:ilvl="0" w:tplc="4B3C922A">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C6B1330"/>
    <w:multiLevelType w:val="hybridMultilevel"/>
    <w:tmpl w:val="56C43312"/>
    <w:lvl w:ilvl="0" w:tplc="7FA8E62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CA42F95"/>
    <w:multiLevelType w:val="hybridMultilevel"/>
    <w:tmpl w:val="4A5C1C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D327878"/>
    <w:multiLevelType w:val="hybridMultilevel"/>
    <w:tmpl w:val="829AABE2"/>
    <w:lvl w:ilvl="0" w:tplc="7DA6E60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1585114">
    <w:abstractNumId w:val="19"/>
  </w:num>
  <w:num w:numId="2" w16cid:durableId="634798225">
    <w:abstractNumId w:val="12"/>
  </w:num>
  <w:num w:numId="3" w16cid:durableId="1598707855">
    <w:abstractNumId w:val="6"/>
  </w:num>
  <w:num w:numId="4" w16cid:durableId="811949724">
    <w:abstractNumId w:val="14"/>
  </w:num>
  <w:num w:numId="5" w16cid:durableId="1236475319">
    <w:abstractNumId w:val="10"/>
  </w:num>
  <w:num w:numId="6" w16cid:durableId="1307130331">
    <w:abstractNumId w:val="9"/>
  </w:num>
  <w:num w:numId="7" w16cid:durableId="945574080">
    <w:abstractNumId w:val="1"/>
  </w:num>
  <w:num w:numId="8" w16cid:durableId="692146656">
    <w:abstractNumId w:val="13"/>
  </w:num>
  <w:num w:numId="9" w16cid:durableId="1678457715">
    <w:abstractNumId w:val="20"/>
  </w:num>
  <w:num w:numId="10" w16cid:durableId="320930905">
    <w:abstractNumId w:val="0"/>
  </w:num>
  <w:num w:numId="11" w16cid:durableId="246622888">
    <w:abstractNumId w:val="4"/>
  </w:num>
  <w:num w:numId="12" w16cid:durableId="1833838333">
    <w:abstractNumId w:val="17"/>
  </w:num>
  <w:num w:numId="13" w16cid:durableId="1088580951">
    <w:abstractNumId w:val="18"/>
  </w:num>
  <w:num w:numId="14" w16cid:durableId="2089232691">
    <w:abstractNumId w:val="8"/>
  </w:num>
  <w:num w:numId="15" w16cid:durableId="143468773">
    <w:abstractNumId w:val="5"/>
  </w:num>
  <w:num w:numId="16" w16cid:durableId="922495423">
    <w:abstractNumId w:val="7"/>
  </w:num>
  <w:num w:numId="17" w16cid:durableId="419374822">
    <w:abstractNumId w:val="2"/>
  </w:num>
  <w:num w:numId="18" w16cid:durableId="545415817">
    <w:abstractNumId w:val="16"/>
  </w:num>
  <w:num w:numId="19" w16cid:durableId="1642617296">
    <w:abstractNumId w:val="11"/>
  </w:num>
  <w:num w:numId="20" w16cid:durableId="260144448">
    <w:abstractNumId w:val="15"/>
  </w:num>
  <w:num w:numId="21" w16cid:durableId="20945977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D2"/>
    <w:rsid w:val="000002BC"/>
    <w:rsid w:val="0000044B"/>
    <w:rsid w:val="00000A03"/>
    <w:rsid w:val="00001150"/>
    <w:rsid w:val="0000118E"/>
    <w:rsid w:val="00001361"/>
    <w:rsid w:val="00001A7F"/>
    <w:rsid w:val="00001FF0"/>
    <w:rsid w:val="0000258B"/>
    <w:rsid w:val="00002993"/>
    <w:rsid w:val="00002D80"/>
    <w:rsid w:val="00003512"/>
    <w:rsid w:val="000043F5"/>
    <w:rsid w:val="00004671"/>
    <w:rsid w:val="00004A11"/>
    <w:rsid w:val="00004BC0"/>
    <w:rsid w:val="000059AF"/>
    <w:rsid w:val="000075FD"/>
    <w:rsid w:val="000110B7"/>
    <w:rsid w:val="00013470"/>
    <w:rsid w:val="00013E52"/>
    <w:rsid w:val="00014334"/>
    <w:rsid w:val="00015206"/>
    <w:rsid w:val="00017106"/>
    <w:rsid w:val="00017B94"/>
    <w:rsid w:val="0002056F"/>
    <w:rsid w:val="00021BD4"/>
    <w:rsid w:val="00022378"/>
    <w:rsid w:val="00022488"/>
    <w:rsid w:val="000225D3"/>
    <w:rsid w:val="00022D44"/>
    <w:rsid w:val="00023105"/>
    <w:rsid w:val="0002372A"/>
    <w:rsid w:val="00023B12"/>
    <w:rsid w:val="00023EFE"/>
    <w:rsid w:val="0002400B"/>
    <w:rsid w:val="000244F9"/>
    <w:rsid w:val="00025227"/>
    <w:rsid w:val="00025DE6"/>
    <w:rsid w:val="0002755E"/>
    <w:rsid w:val="00027B96"/>
    <w:rsid w:val="00030662"/>
    <w:rsid w:val="00030ADF"/>
    <w:rsid w:val="00031282"/>
    <w:rsid w:val="00032EB2"/>
    <w:rsid w:val="000334A1"/>
    <w:rsid w:val="000337C9"/>
    <w:rsid w:val="000339D0"/>
    <w:rsid w:val="00033B98"/>
    <w:rsid w:val="00035846"/>
    <w:rsid w:val="00035CBF"/>
    <w:rsid w:val="00036207"/>
    <w:rsid w:val="00036926"/>
    <w:rsid w:val="00036AC2"/>
    <w:rsid w:val="000370A5"/>
    <w:rsid w:val="000371BA"/>
    <w:rsid w:val="00037223"/>
    <w:rsid w:val="00040313"/>
    <w:rsid w:val="00041097"/>
    <w:rsid w:val="0004121A"/>
    <w:rsid w:val="000412C6"/>
    <w:rsid w:val="0004231B"/>
    <w:rsid w:val="00042AC4"/>
    <w:rsid w:val="00042D26"/>
    <w:rsid w:val="00042E9D"/>
    <w:rsid w:val="0004364D"/>
    <w:rsid w:val="000439FA"/>
    <w:rsid w:val="000445D8"/>
    <w:rsid w:val="00045408"/>
    <w:rsid w:val="00045FC3"/>
    <w:rsid w:val="00046E5C"/>
    <w:rsid w:val="000477A3"/>
    <w:rsid w:val="00047FF1"/>
    <w:rsid w:val="000501EB"/>
    <w:rsid w:val="00050854"/>
    <w:rsid w:val="00051351"/>
    <w:rsid w:val="0005257E"/>
    <w:rsid w:val="00052A7F"/>
    <w:rsid w:val="00053447"/>
    <w:rsid w:val="00053C7D"/>
    <w:rsid w:val="00053F7C"/>
    <w:rsid w:val="00053F88"/>
    <w:rsid w:val="0005423C"/>
    <w:rsid w:val="00054980"/>
    <w:rsid w:val="00054DDC"/>
    <w:rsid w:val="00055534"/>
    <w:rsid w:val="00055D55"/>
    <w:rsid w:val="00056212"/>
    <w:rsid w:val="00056251"/>
    <w:rsid w:val="000577AC"/>
    <w:rsid w:val="00060278"/>
    <w:rsid w:val="00060817"/>
    <w:rsid w:val="000611FC"/>
    <w:rsid w:val="00061467"/>
    <w:rsid w:val="000616F5"/>
    <w:rsid w:val="0006417A"/>
    <w:rsid w:val="00064A5A"/>
    <w:rsid w:val="00065270"/>
    <w:rsid w:val="0006561D"/>
    <w:rsid w:val="0006652C"/>
    <w:rsid w:val="000671ED"/>
    <w:rsid w:val="00067611"/>
    <w:rsid w:val="0006783F"/>
    <w:rsid w:val="0007104F"/>
    <w:rsid w:val="00071454"/>
    <w:rsid w:val="000722A2"/>
    <w:rsid w:val="000723CC"/>
    <w:rsid w:val="000726A8"/>
    <w:rsid w:val="00072833"/>
    <w:rsid w:val="00072AA6"/>
    <w:rsid w:val="0007300A"/>
    <w:rsid w:val="00074B6A"/>
    <w:rsid w:val="00075696"/>
    <w:rsid w:val="00075B2A"/>
    <w:rsid w:val="00075E9B"/>
    <w:rsid w:val="0007607F"/>
    <w:rsid w:val="00077F64"/>
    <w:rsid w:val="00082EA6"/>
    <w:rsid w:val="00083D0E"/>
    <w:rsid w:val="0008527B"/>
    <w:rsid w:val="00085992"/>
    <w:rsid w:val="0008599C"/>
    <w:rsid w:val="000862F2"/>
    <w:rsid w:val="00086899"/>
    <w:rsid w:val="00086AC2"/>
    <w:rsid w:val="00086DC5"/>
    <w:rsid w:val="00087E1C"/>
    <w:rsid w:val="000916DD"/>
    <w:rsid w:val="00093F12"/>
    <w:rsid w:val="00094039"/>
    <w:rsid w:val="00094590"/>
    <w:rsid w:val="00094BDB"/>
    <w:rsid w:val="000952B2"/>
    <w:rsid w:val="00096370"/>
    <w:rsid w:val="00096CB5"/>
    <w:rsid w:val="0009778A"/>
    <w:rsid w:val="0009787F"/>
    <w:rsid w:val="000A1EF8"/>
    <w:rsid w:val="000A3A06"/>
    <w:rsid w:val="000A3A30"/>
    <w:rsid w:val="000A3E75"/>
    <w:rsid w:val="000A4480"/>
    <w:rsid w:val="000A4B17"/>
    <w:rsid w:val="000A4E06"/>
    <w:rsid w:val="000A57EF"/>
    <w:rsid w:val="000A5965"/>
    <w:rsid w:val="000A7B25"/>
    <w:rsid w:val="000B24DA"/>
    <w:rsid w:val="000B2B8C"/>
    <w:rsid w:val="000B3D94"/>
    <w:rsid w:val="000B3FA9"/>
    <w:rsid w:val="000B4674"/>
    <w:rsid w:val="000B50EC"/>
    <w:rsid w:val="000B7CFA"/>
    <w:rsid w:val="000C0774"/>
    <w:rsid w:val="000C1425"/>
    <w:rsid w:val="000C15B3"/>
    <w:rsid w:val="000C1793"/>
    <w:rsid w:val="000C1A07"/>
    <w:rsid w:val="000C2AAC"/>
    <w:rsid w:val="000C4153"/>
    <w:rsid w:val="000C4503"/>
    <w:rsid w:val="000C5456"/>
    <w:rsid w:val="000C5DF8"/>
    <w:rsid w:val="000C76F8"/>
    <w:rsid w:val="000D0A51"/>
    <w:rsid w:val="000D0C62"/>
    <w:rsid w:val="000D0E58"/>
    <w:rsid w:val="000D18B7"/>
    <w:rsid w:val="000D1D2F"/>
    <w:rsid w:val="000D1DE1"/>
    <w:rsid w:val="000D210C"/>
    <w:rsid w:val="000D259A"/>
    <w:rsid w:val="000D28B9"/>
    <w:rsid w:val="000D39AC"/>
    <w:rsid w:val="000D3B01"/>
    <w:rsid w:val="000D3D43"/>
    <w:rsid w:val="000D4033"/>
    <w:rsid w:val="000D43E8"/>
    <w:rsid w:val="000D483E"/>
    <w:rsid w:val="000D4908"/>
    <w:rsid w:val="000D57E2"/>
    <w:rsid w:val="000D6393"/>
    <w:rsid w:val="000D75E6"/>
    <w:rsid w:val="000D7F11"/>
    <w:rsid w:val="000D7FCC"/>
    <w:rsid w:val="000E1E03"/>
    <w:rsid w:val="000E6490"/>
    <w:rsid w:val="000E6774"/>
    <w:rsid w:val="000F037B"/>
    <w:rsid w:val="000F052B"/>
    <w:rsid w:val="000F1502"/>
    <w:rsid w:val="000F1B78"/>
    <w:rsid w:val="000F26E5"/>
    <w:rsid w:val="000F27AA"/>
    <w:rsid w:val="000F3D94"/>
    <w:rsid w:val="000F4D6B"/>
    <w:rsid w:val="000F6E71"/>
    <w:rsid w:val="000F73F5"/>
    <w:rsid w:val="000F74EE"/>
    <w:rsid w:val="000F7C02"/>
    <w:rsid w:val="000F7D86"/>
    <w:rsid w:val="001008D3"/>
    <w:rsid w:val="0010190E"/>
    <w:rsid w:val="00101DFA"/>
    <w:rsid w:val="00102209"/>
    <w:rsid w:val="00102269"/>
    <w:rsid w:val="001030C2"/>
    <w:rsid w:val="001039B0"/>
    <w:rsid w:val="001068A0"/>
    <w:rsid w:val="0010759E"/>
    <w:rsid w:val="001103CF"/>
    <w:rsid w:val="0011292D"/>
    <w:rsid w:val="00112F52"/>
    <w:rsid w:val="00113D24"/>
    <w:rsid w:val="00115537"/>
    <w:rsid w:val="00115606"/>
    <w:rsid w:val="00120615"/>
    <w:rsid w:val="00120A3C"/>
    <w:rsid w:val="00120ACB"/>
    <w:rsid w:val="0012199C"/>
    <w:rsid w:val="00122B72"/>
    <w:rsid w:val="00123F69"/>
    <w:rsid w:val="0012482F"/>
    <w:rsid w:val="00124FE0"/>
    <w:rsid w:val="00125669"/>
    <w:rsid w:val="0012586A"/>
    <w:rsid w:val="00126962"/>
    <w:rsid w:val="00126D03"/>
    <w:rsid w:val="00127D60"/>
    <w:rsid w:val="001307E6"/>
    <w:rsid w:val="00130965"/>
    <w:rsid w:val="0013127B"/>
    <w:rsid w:val="00132B8D"/>
    <w:rsid w:val="00133697"/>
    <w:rsid w:val="00133A29"/>
    <w:rsid w:val="00134396"/>
    <w:rsid w:val="00134686"/>
    <w:rsid w:val="00134820"/>
    <w:rsid w:val="00135277"/>
    <w:rsid w:val="00135613"/>
    <w:rsid w:val="00135960"/>
    <w:rsid w:val="00135A76"/>
    <w:rsid w:val="00135E2A"/>
    <w:rsid w:val="0013605E"/>
    <w:rsid w:val="001364B6"/>
    <w:rsid w:val="00136534"/>
    <w:rsid w:val="0013660F"/>
    <w:rsid w:val="00137582"/>
    <w:rsid w:val="00137A9D"/>
    <w:rsid w:val="00140136"/>
    <w:rsid w:val="00140633"/>
    <w:rsid w:val="0014084A"/>
    <w:rsid w:val="00140E2E"/>
    <w:rsid w:val="001412A4"/>
    <w:rsid w:val="0014278F"/>
    <w:rsid w:val="00144B31"/>
    <w:rsid w:val="0014590B"/>
    <w:rsid w:val="00145EFF"/>
    <w:rsid w:val="0014624B"/>
    <w:rsid w:val="0014635B"/>
    <w:rsid w:val="00146C2B"/>
    <w:rsid w:val="00147B86"/>
    <w:rsid w:val="00147C08"/>
    <w:rsid w:val="001509B0"/>
    <w:rsid w:val="00153127"/>
    <w:rsid w:val="001532DF"/>
    <w:rsid w:val="001539C6"/>
    <w:rsid w:val="0015649D"/>
    <w:rsid w:val="001572BE"/>
    <w:rsid w:val="00157596"/>
    <w:rsid w:val="00157EF9"/>
    <w:rsid w:val="00163DDC"/>
    <w:rsid w:val="0016513A"/>
    <w:rsid w:val="00165488"/>
    <w:rsid w:val="00165766"/>
    <w:rsid w:val="0016745C"/>
    <w:rsid w:val="00167832"/>
    <w:rsid w:val="00170708"/>
    <w:rsid w:val="00170D6B"/>
    <w:rsid w:val="0017122F"/>
    <w:rsid w:val="00171BE1"/>
    <w:rsid w:val="001725E8"/>
    <w:rsid w:val="001729F2"/>
    <w:rsid w:val="001730B3"/>
    <w:rsid w:val="0017452D"/>
    <w:rsid w:val="0017518D"/>
    <w:rsid w:val="0017535F"/>
    <w:rsid w:val="00176988"/>
    <w:rsid w:val="00176D97"/>
    <w:rsid w:val="00177CB7"/>
    <w:rsid w:val="00177DC5"/>
    <w:rsid w:val="0018097A"/>
    <w:rsid w:val="00180DC9"/>
    <w:rsid w:val="00181F41"/>
    <w:rsid w:val="00183D77"/>
    <w:rsid w:val="00185525"/>
    <w:rsid w:val="001860C4"/>
    <w:rsid w:val="00187233"/>
    <w:rsid w:val="00187514"/>
    <w:rsid w:val="00191CE7"/>
    <w:rsid w:val="0019447D"/>
    <w:rsid w:val="00194FAC"/>
    <w:rsid w:val="00195230"/>
    <w:rsid w:val="00195945"/>
    <w:rsid w:val="00195E0C"/>
    <w:rsid w:val="001963EE"/>
    <w:rsid w:val="001963EF"/>
    <w:rsid w:val="0019670C"/>
    <w:rsid w:val="001974BE"/>
    <w:rsid w:val="001A016A"/>
    <w:rsid w:val="001A0213"/>
    <w:rsid w:val="001A0BF4"/>
    <w:rsid w:val="001A1159"/>
    <w:rsid w:val="001A115A"/>
    <w:rsid w:val="001A1A49"/>
    <w:rsid w:val="001A1B4E"/>
    <w:rsid w:val="001A2A54"/>
    <w:rsid w:val="001A33DA"/>
    <w:rsid w:val="001A3DC3"/>
    <w:rsid w:val="001A5BD3"/>
    <w:rsid w:val="001A68E9"/>
    <w:rsid w:val="001A69B2"/>
    <w:rsid w:val="001A7EB6"/>
    <w:rsid w:val="001B0655"/>
    <w:rsid w:val="001B1FCF"/>
    <w:rsid w:val="001B2800"/>
    <w:rsid w:val="001B4457"/>
    <w:rsid w:val="001B50A2"/>
    <w:rsid w:val="001B7183"/>
    <w:rsid w:val="001B7386"/>
    <w:rsid w:val="001B73B7"/>
    <w:rsid w:val="001B7C4E"/>
    <w:rsid w:val="001B7EA5"/>
    <w:rsid w:val="001C016C"/>
    <w:rsid w:val="001C0187"/>
    <w:rsid w:val="001C1B03"/>
    <w:rsid w:val="001C27F6"/>
    <w:rsid w:val="001C40B3"/>
    <w:rsid w:val="001C4704"/>
    <w:rsid w:val="001C5A13"/>
    <w:rsid w:val="001C6FB7"/>
    <w:rsid w:val="001C6FF1"/>
    <w:rsid w:val="001C7158"/>
    <w:rsid w:val="001D02B9"/>
    <w:rsid w:val="001D02E7"/>
    <w:rsid w:val="001D0437"/>
    <w:rsid w:val="001D22EB"/>
    <w:rsid w:val="001D2336"/>
    <w:rsid w:val="001D35B0"/>
    <w:rsid w:val="001D3931"/>
    <w:rsid w:val="001D4806"/>
    <w:rsid w:val="001D6D6F"/>
    <w:rsid w:val="001D7B5E"/>
    <w:rsid w:val="001D7ECF"/>
    <w:rsid w:val="001E053D"/>
    <w:rsid w:val="001E1793"/>
    <w:rsid w:val="001E1B83"/>
    <w:rsid w:val="001E20F9"/>
    <w:rsid w:val="001E22E6"/>
    <w:rsid w:val="001E3A75"/>
    <w:rsid w:val="001E41C8"/>
    <w:rsid w:val="001E452A"/>
    <w:rsid w:val="001E51F9"/>
    <w:rsid w:val="001E5367"/>
    <w:rsid w:val="001E614B"/>
    <w:rsid w:val="001E665C"/>
    <w:rsid w:val="001E713E"/>
    <w:rsid w:val="001E7C91"/>
    <w:rsid w:val="001E7D82"/>
    <w:rsid w:val="001F2C5A"/>
    <w:rsid w:val="001F3018"/>
    <w:rsid w:val="001F317B"/>
    <w:rsid w:val="001F39A7"/>
    <w:rsid w:val="001F39FB"/>
    <w:rsid w:val="001F3C06"/>
    <w:rsid w:val="001F3DF8"/>
    <w:rsid w:val="001F5680"/>
    <w:rsid w:val="001F597B"/>
    <w:rsid w:val="001F6019"/>
    <w:rsid w:val="001F615A"/>
    <w:rsid w:val="001F6997"/>
    <w:rsid w:val="001F72FE"/>
    <w:rsid w:val="00200A5B"/>
    <w:rsid w:val="00201633"/>
    <w:rsid w:val="00201EDA"/>
    <w:rsid w:val="00203342"/>
    <w:rsid w:val="002037BB"/>
    <w:rsid w:val="00205509"/>
    <w:rsid w:val="00206211"/>
    <w:rsid w:val="00206CCC"/>
    <w:rsid w:val="00207145"/>
    <w:rsid w:val="0021069E"/>
    <w:rsid w:val="002107FD"/>
    <w:rsid w:val="0021237B"/>
    <w:rsid w:val="002124A7"/>
    <w:rsid w:val="00213FCF"/>
    <w:rsid w:val="00214C17"/>
    <w:rsid w:val="002177BE"/>
    <w:rsid w:val="0022023A"/>
    <w:rsid w:val="002203B9"/>
    <w:rsid w:val="002206C6"/>
    <w:rsid w:val="00221134"/>
    <w:rsid w:val="00221B45"/>
    <w:rsid w:val="00222C54"/>
    <w:rsid w:val="002230B9"/>
    <w:rsid w:val="0022376E"/>
    <w:rsid w:val="0022417E"/>
    <w:rsid w:val="00224E7D"/>
    <w:rsid w:val="00224F83"/>
    <w:rsid w:val="0022628B"/>
    <w:rsid w:val="00226356"/>
    <w:rsid w:val="002264ED"/>
    <w:rsid w:val="00227F51"/>
    <w:rsid w:val="00231267"/>
    <w:rsid w:val="00231541"/>
    <w:rsid w:val="00232013"/>
    <w:rsid w:val="00232D8C"/>
    <w:rsid w:val="00232E7B"/>
    <w:rsid w:val="00233691"/>
    <w:rsid w:val="00233A65"/>
    <w:rsid w:val="00234C46"/>
    <w:rsid w:val="00235878"/>
    <w:rsid w:val="002360FA"/>
    <w:rsid w:val="0023616D"/>
    <w:rsid w:val="00236364"/>
    <w:rsid w:val="002406A8"/>
    <w:rsid w:val="00240BE0"/>
    <w:rsid w:val="00242264"/>
    <w:rsid w:val="002423DD"/>
    <w:rsid w:val="0024326F"/>
    <w:rsid w:val="00243367"/>
    <w:rsid w:val="002449A3"/>
    <w:rsid w:val="00244AC4"/>
    <w:rsid w:val="002470B3"/>
    <w:rsid w:val="00247611"/>
    <w:rsid w:val="002477A4"/>
    <w:rsid w:val="00247E3A"/>
    <w:rsid w:val="00250359"/>
    <w:rsid w:val="0025069C"/>
    <w:rsid w:val="00250C5F"/>
    <w:rsid w:val="00251545"/>
    <w:rsid w:val="00251849"/>
    <w:rsid w:val="00252119"/>
    <w:rsid w:val="00252261"/>
    <w:rsid w:val="00253E7D"/>
    <w:rsid w:val="00256647"/>
    <w:rsid w:val="0025668F"/>
    <w:rsid w:val="00257524"/>
    <w:rsid w:val="002577F3"/>
    <w:rsid w:val="00257C33"/>
    <w:rsid w:val="00257E03"/>
    <w:rsid w:val="00260FCB"/>
    <w:rsid w:val="00261E01"/>
    <w:rsid w:val="00261EF0"/>
    <w:rsid w:val="002620E9"/>
    <w:rsid w:val="00262200"/>
    <w:rsid w:val="0026294C"/>
    <w:rsid w:val="0026315C"/>
    <w:rsid w:val="00263A79"/>
    <w:rsid w:val="002665D4"/>
    <w:rsid w:val="00266D07"/>
    <w:rsid w:val="00267651"/>
    <w:rsid w:val="00267A27"/>
    <w:rsid w:val="00270571"/>
    <w:rsid w:val="002709D5"/>
    <w:rsid w:val="00271822"/>
    <w:rsid w:val="00272530"/>
    <w:rsid w:val="00273878"/>
    <w:rsid w:val="00273B56"/>
    <w:rsid w:val="00273CC3"/>
    <w:rsid w:val="00275952"/>
    <w:rsid w:val="00276546"/>
    <w:rsid w:val="002776F0"/>
    <w:rsid w:val="002804F1"/>
    <w:rsid w:val="002809C5"/>
    <w:rsid w:val="00281826"/>
    <w:rsid w:val="00281B90"/>
    <w:rsid w:val="00283A6A"/>
    <w:rsid w:val="00284E38"/>
    <w:rsid w:val="00284E3E"/>
    <w:rsid w:val="00285D64"/>
    <w:rsid w:val="0028640C"/>
    <w:rsid w:val="00287B16"/>
    <w:rsid w:val="00291119"/>
    <w:rsid w:val="00291B82"/>
    <w:rsid w:val="002937A5"/>
    <w:rsid w:val="002971FD"/>
    <w:rsid w:val="00297B25"/>
    <w:rsid w:val="002A05B9"/>
    <w:rsid w:val="002A0B86"/>
    <w:rsid w:val="002A0ED2"/>
    <w:rsid w:val="002A1704"/>
    <w:rsid w:val="002A208B"/>
    <w:rsid w:val="002A21E1"/>
    <w:rsid w:val="002A2859"/>
    <w:rsid w:val="002A2FFB"/>
    <w:rsid w:val="002A3423"/>
    <w:rsid w:val="002A49C0"/>
    <w:rsid w:val="002A4C3B"/>
    <w:rsid w:val="002A4C60"/>
    <w:rsid w:val="002A4F59"/>
    <w:rsid w:val="002A56A6"/>
    <w:rsid w:val="002A5797"/>
    <w:rsid w:val="002A64CF"/>
    <w:rsid w:val="002A677C"/>
    <w:rsid w:val="002A78E0"/>
    <w:rsid w:val="002B261D"/>
    <w:rsid w:val="002B4740"/>
    <w:rsid w:val="002B4F26"/>
    <w:rsid w:val="002B79F8"/>
    <w:rsid w:val="002B7A07"/>
    <w:rsid w:val="002C07D3"/>
    <w:rsid w:val="002C27B5"/>
    <w:rsid w:val="002C2866"/>
    <w:rsid w:val="002C3421"/>
    <w:rsid w:val="002C376C"/>
    <w:rsid w:val="002C38C5"/>
    <w:rsid w:val="002C39E3"/>
    <w:rsid w:val="002C40C3"/>
    <w:rsid w:val="002C4810"/>
    <w:rsid w:val="002C77FC"/>
    <w:rsid w:val="002C7C90"/>
    <w:rsid w:val="002C7FAF"/>
    <w:rsid w:val="002D2998"/>
    <w:rsid w:val="002D2DB5"/>
    <w:rsid w:val="002D59AE"/>
    <w:rsid w:val="002D6E2D"/>
    <w:rsid w:val="002D7294"/>
    <w:rsid w:val="002D758D"/>
    <w:rsid w:val="002E0CFB"/>
    <w:rsid w:val="002E233B"/>
    <w:rsid w:val="002E2534"/>
    <w:rsid w:val="002E32EA"/>
    <w:rsid w:val="002E3866"/>
    <w:rsid w:val="002E39DB"/>
    <w:rsid w:val="002E41C8"/>
    <w:rsid w:val="002E4B0A"/>
    <w:rsid w:val="002E52DC"/>
    <w:rsid w:val="002E542E"/>
    <w:rsid w:val="002E7F2F"/>
    <w:rsid w:val="002F0509"/>
    <w:rsid w:val="002F10E2"/>
    <w:rsid w:val="002F1C30"/>
    <w:rsid w:val="002F1D00"/>
    <w:rsid w:val="002F20CC"/>
    <w:rsid w:val="002F3833"/>
    <w:rsid w:val="002F44BA"/>
    <w:rsid w:val="002F46D8"/>
    <w:rsid w:val="002F5330"/>
    <w:rsid w:val="002F5D66"/>
    <w:rsid w:val="002F7031"/>
    <w:rsid w:val="002F7F5A"/>
    <w:rsid w:val="0030038B"/>
    <w:rsid w:val="00300C34"/>
    <w:rsid w:val="00300C91"/>
    <w:rsid w:val="00301642"/>
    <w:rsid w:val="00302702"/>
    <w:rsid w:val="00302AEF"/>
    <w:rsid w:val="00302F4C"/>
    <w:rsid w:val="00304171"/>
    <w:rsid w:val="003046D1"/>
    <w:rsid w:val="00304C25"/>
    <w:rsid w:val="00304DD0"/>
    <w:rsid w:val="00305288"/>
    <w:rsid w:val="00307A7E"/>
    <w:rsid w:val="00310801"/>
    <w:rsid w:val="00312126"/>
    <w:rsid w:val="00312194"/>
    <w:rsid w:val="0031330B"/>
    <w:rsid w:val="003133CE"/>
    <w:rsid w:val="00313B26"/>
    <w:rsid w:val="00313D9D"/>
    <w:rsid w:val="0031462D"/>
    <w:rsid w:val="00314743"/>
    <w:rsid w:val="00314E75"/>
    <w:rsid w:val="00315097"/>
    <w:rsid w:val="0031538A"/>
    <w:rsid w:val="003158A0"/>
    <w:rsid w:val="00315BA5"/>
    <w:rsid w:val="00317C5A"/>
    <w:rsid w:val="00317CD1"/>
    <w:rsid w:val="00320087"/>
    <w:rsid w:val="003201D2"/>
    <w:rsid w:val="00320B85"/>
    <w:rsid w:val="003216D6"/>
    <w:rsid w:val="00321C1A"/>
    <w:rsid w:val="00321CE9"/>
    <w:rsid w:val="003239E2"/>
    <w:rsid w:val="00327573"/>
    <w:rsid w:val="003305CA"/>
    <w:rsid w:val="003309DB"/>
    <w:rsid w:val="00330CB0"/>
    <w:rsid w:val="0033135B"/>
    <w:rsid w:val="00332CBD"/>
    <w:rsid w:val="00333975"/>
    <w:rsid w:val="00333DA0"/>
    <w:rsid w:val="003348D0"/>
    <w:rsid w:val="00334941"/>
    <w:rsid w:val="00334D6B"/>
    <w:rsid w:val="003351F4"/>
    <w:rsid w:val="00336182"/>
    <w:rsid w:val="0033722C"/>
    <w:rsid w:val="00337843"/>
    <w:rsid w:val="0034136A"/>
    <w:rsid w:val="00341ED6"/>
    <w:rsid w:val="00342EE5"/>
    <w:rsid w:val="00342F75"/>
    <w:rsid w:val="00343E5B"/>
    <w:rsid w:val="00344B7D"/>
    <w:rsid w:val="00344C95"/>
    <w:rsid w:val="0034576D"/>
    <w:rsid w:val="00345A44"/>
    <w:rsid w:val="0034624E"/>
    <w:rsid w:val="00346892"/>
    <w:rsid w:val="00347EC8"/>
    <w:rsid w:val="00350951"/>
    <w:rsid w:val="00350A28"/>
    <w:rsid w:val="00350FF0"/>
    <w:rsid w:val="0035255F"/>
    <w:rsid w:val="003528C1"/>
    <w:rsid w:val="00352E18"/>
    <w:rsid w:val="00354AF5"/>
    <w:rsid w:val="003550BA"/>
    <w:rsid w:val="003552C9"/>
    <w:rsid w:val="003561AD"/>
    <w:rsid w:val="003567E5"/>
    <w:rsid w:val="00356BA1"/>
    <w:rsid w:val="00356DED"/>
    <w:rsid w:val="00357E15"/>
    <w:rsid w:val="00360411"/>
    <w:rsid w:val="003608BA"/>
    <w:rsid w:val="00360FF8"/>
    <w:rsid w:val="00362BDA"/>
    <w:rsid w:val="0036396D"/>
    <w:rsid w:val="0036415F"/>
    <w:rsid w:val="003651C7"/>
    <w:rsid w:val="00365DD6"/>
    <w:rsid w:val="00367FB9"/>
    <w:rsid w:val="00370A26"/>
    <w:rsid w:val="00370F05"/>
    <w:rsid w:val="00371822"/>
    <w:rsid w:val="003727B5"/>
    <w:rsid w:val="003728A3"/>
    <w:rsid w:val="00374718"/>
    <w:rsid w:val="00374BCB"/>
    <w:rsid w:val="00374DFC"/>
    <w:rsid w:val="00375620"/>
    <w:rsid w:val="00375BE8"/>
    <w:rsid w:val="00376099"/>
    <w:rsid w:val="003763D3"/>
    <w:rsid w:val="003765EE"/>
    <w:rsid w:val="00376A1E"/>
    <w:rsid w:val="003835B4"/>
    <w:rsid w:val="00383801"/>
    <w:rsid w:val="00384055"/>
    <w:rsid w:val="00384201"/>
    <w:rsid w:val="00385672"/>
    <w:rsid w:val="00385A3D"/>
    <w:rsid w:val="00385F05"/>
    <w:rsid w:val="00386541"/>
    <w:rsid w:val="0038736D"/>
    <w:rsid w:val="00387439"/>
    <w:rsid w:val="00387B69"/>
    <w:rsid w:val="00390747"/>
    <w:rsid w:val="00390F46"/>
    <w:rsid w:val="00391840"/>
    <w:rsid w:val="00392FDE"/>
    <w:rsid w:val="00393072"/>
    <w:rsid w:val="0039309F"/>
    <w:rsid w:val="003937B7"/>
    <w:rsid w:val="00393B1D"/>
    <w:rsid w:val="00394716"/>
    <w:rsid w:val="003A1B91"/>
    <w:rsid w:val="003A2A00"/>
    <w:rsid w:val="003A311C"/>
    <w:rsid w:val="003A3154"/>
    <w:rsid w:val="003A33AC"/>
    <w:rsid w:val="003A3628"/>
    <w:rsid w:val="003A3667"/>
    <w:rsid w:val="003A3E91"/>
    <w:rsid w:val="003A3EBD"/>
    <w:rsid w:val="003A4019"/>
    <w:rsid w:val="003A4B2B"/>
    <w:rsid w:val="003A4E42"/>
    <w:rsid w:val="003A609E"/>
    <w:rsid w:val="003A7B3B"/>
    <w:rsid w:val="003B09D3"/>
    <w:rsid w:val="003B0DAF"/>
    <w:rsid w:val="003B165C"/>
    <w:rsid w:val="003B1780"/>
    <w:rsid w:val="003B1C01"/>
    <w:rsid w:val="003B1E70"/>
    <w:rsid w:val="003B20D4"/>
    <w:rsid w:val="003B34FB"/>
    <w:rsid w:val="003B4AE6"/>
    <w:rsid w:val="003B51D7"/>
    <w:rsid w:val="003B52F8"/>
    <w:rsid w:val="003B534E"/>
    <w:rsid w:val="003B7845"/>
    <w:rsid w:val="003B7F7E"/>
    <w:rsid w:val="003C0B3F"/>
    <w:rsid w:val="003C0F70"/>
    <w:rsid w:val="003C1D29"/>
    <w:rsid w:val="003C1D48"/>
    <w:rsid w:val="003C2664"/>
    <w:rsid w:val="003C51FE"/>
    <w:rsid w:val="003C5FA5"/>
    <w:rsid w:val="003C63A1"/>
    <w:rsid w:val="003C6FAA"/>
    <w:rsid w:val="003C71AA"/>
    <w:rsid w:val="003C7E7D"/>
    <w:rsid w:val="003D021A"/>
    <w:rsid w:val="003D11C5"/>
    <w:rsid w:val="003D14D1"/>
    <w:rsid w:val="003D2AC1"/>
    <w:rsid w:val="003D2C2A"/>
    <w:rsid w:val="003D2FDD"/>
    <w:rsid w:val="003D30F4"/>
    <w:rsid w:val="003D34C8"/>
    <w:rsid w:val="003D364E"/>
    <w:rsid w:val="003D3B85"/>
    <w:rsid w:val="003D40B7"/>
    <w:rsid w:val="003D4144"/>
    <w:rsid w:val="003D528F"/>
    <w:rsid w:val="003D55FA"/>
    <w:rsid w:val="003D698C"/>
    <w:rsid w:val="003D7262"/>
    <w:rsid w:val="003D73CB"/>
    <w:rsid w:val="003D7716"/>
    <w:rsid w:val="003D7FD4"/>
    <w:rsid w:val="003E206A"/>
    <w:rsid w:val="003E34B2"/>
    <w:rsid w:val="003E3F9C"/>
    <w:rsid w:val="003E4026"/>
    <w:rsid w:val="003E5566"/>
    <w:rsid w:val="003E557A"/>
    <w:rsid w:val="003E57B3"/>
    <w:rsid w:val="003E6050"/>
    <w:rsid w:val="003E70EA"/>
    <w:rsid w:val="003E710F"/>
    <w:rsid w:val="003E77B0"/>
    <w:rsid w:val="003F2829"/>
    <w:rsid w:val="003F2CAA"/>
    <w:rsid w:val="003F33E1"/>
    <w:rsid w:val="003F54C1"/>
    <w:rsid w:val="003F6BAE"/>
    <w:rsid w:val="003F758D"/>
    <w:rsid w:val="003F7C45"/>
    <w:rsid w:val="00400003"/>
    <w:rsid w:val="004009A5"/>
    <w:rsid w:val="00400A92"/>
    <w:rsid w:val="004013E6"/>
    <w:rsid w:val="004028A3"/>
    <w:rsid w:val="0040461C"/>
    <w:rsid w:val="00404A7C"/>
    <w:rsid w:val="00405587"/>
    <w:rsid w:val="004062ED"/>
    <w:rsid w:val="0040657E"/>
    <w:rsid w:val="004068EC"/>
    <w:rsid w:val="00406D0D"/>
    <w:rsid w:val="004105FA"/>
    <w:rsid w:val="0041102E"/>
    <w:rsid w:val="00411417"/>
    <w:rsid w:val="00412008"/>
    <w:rsid w:val="004126C3"/>
    <w:rsid w:val="004126C6"/>
    <w:rsid w:val="004127DB"/>
    <w:rsid w:val="00413094"/>
    <w:rsid w:val="004132CA"/>
    <w:rsid w:val="0041350A"/>
    <w:rsid w:val="004139F7"/>
    <w:rsid w:val="004146BA"/>
    <w:rsid w:val="004156D6"/>
    <w:rsid w:val="00415B7D"/>
    <w:rsid w:val="00416BA3"/>
    <w:rsid w:val="00416F73"/>
    <w:rsid w:val="0041755B"/>
    <w:rsid w:val="00417C24"/>
    <w:rsid w:val="00417DE3"/>
    <w:rsid w:val="00420457"/>
    <w:rsid w:val="00421916"/>
    <w:rsid w:val="0042276E"/>
    <w:rsid w:val="00422F6B"/>
    <w:rsid w:val="004235C9"/>
    <w:rsid w:val="004245C0"/>
    <w:rsid w:val="0042468A"/>
    <w:rsid w:val="0042493F"/>
    <w:rsid w:val="004257A0"/>
    <w:rsid w:val="00425B01"/>
    <w:rsid w:val="0042623A"/>
    <w:rsid w:val="00427DEE"/>
    <w:rsid w:val="00427EDA"/>
    <w:rsid w:val="0043187D"/>
    <w:rsid w:val="004324C4"/>
    <w:rsid w:val="004327F3"/>
    <w:rsid w:val="0043285A"/>
    <w:rsid w:val="004335B4"/>
    <w:rsid w:val="00433863"/>
    <w:rsid w:val="00433C17"/>
    <w:rsid w:val="00433C6F"/>
    <w:rsid w:val="00433D16"/>
    <w:rsid w:val="0043443F"/>
    <w:rsid w:val="00434530"/>
    <w:rsid w:val="00434F9A"/>
    <w:rsid w:val="00435CEF"/>
    <w:rsid w:val="00435E81"/>
    <w:rsid w:val="004367E2"/>
    <w:rsid w:val="0043696C"/>
    <w:rsid w:val="004400C6"/>
    <w:rsid w:val="00440456"/>
    <w:rsid w:val="004404E8"/>
    <w:rsid w:val="004404FE"/>
    <w:rsid w:val="00440576"/>
    <w:rsid w:val="00440AF1"/>
    <w:rsid w:val="004418A6"/>
    <w:rsid w:val="00443356"/>
    <w:rsid w:val="00444F67"/>
    <w:rsid w:val="00445FD2"/>
    <w:rsid w:val="00446903"/>
    <w:rsid w:val="00446CED"/>
    <w:rsid w:val="00447236"/>
    <w:rsid w:val="0045013C"/>
    <w:rsid w:val="00450709"/>
    <w:rsid w:val="00451AB5"/>
    <w:rsid w:val="00452730"/>
    <w:rsid w:val="00453516"/>
    <w:rsid w:val="00453B4B"/>
    <w:rsid w:val="00453E46"/>
    <w:rsid w:val="004541B6"/>
    <w:rsid w:val="004558FA"/>
    <w:rsid w:val="004561A7"/>
    <w:rsid w:val="00456525"/>
    <w:rsid w:val="00456C6E"/>
    <w:rsid w:val="00456EA9"/>
    <w:rsid w:val="004574B1"/>
    <w:rsid w:val="004576EC"/>
    <w:rsid w:val="004607EC"/>
    <w:rsid w:val="00460A61"/>
    <w:rsid w:val="004610D2"/>
    <w:rsid w:val="00461283"/>
    <w:rsid w:val="00461CA1"/>
    <w:rsid w:val="00462362"/>
    <w:rsid w:val="00462DBD"/>
    <w:rsid w:val="0046427E"/>
    <w:rsid w:val="0046508F"/>
    <w:rsid w:val="004651E0"/>
    <w:rsid w:val="004660BB"/>
    <w:rsid w:val="00466B03"/>
    <w:rsid w:val="00467003"/>
    <w:rsid w:val="0046708F"/>
    <w:rsid w:val="004670CF"/>
    <w:rsid w:val="00470598"/>
    <w:rsid w:val="00471B79"/>
    <w:rsid w:val="00471FD3"/>
    <w:rsid w:val="00473D9A"/>
    <w:rsid w:val="00474C19"/>
    <w:rsid w:val="00476402"/>
    <w:rsid w:val="00476924"/>
    <w:rsid w:val="00477415"/>
    <w:rsid w:val="004774E5"/>
    <w:rsid w:val="00477B41"/>
    <w:rsid w:val="00477C70"/>
    <w:rsid w:val="00480390"/>
    <w:rsid w:val="00481970"/>
    <w:rsid w:val="004832F2"/>
    <w:rsid w:val="00483E27"/>
    <w:rsid w:val="00484475"/>
    <w:rsid w:val="004846EF"/>
    <w:rsid w:val="004847E7"/>
    <w:rsid w:val="00485AF9"/>
    <w:rsid w:val="00485AFE"/>
    <w:rsid w:val="00485D2E"/>
    <w:rsid w:val="00486252"/>
    <w:rsid w:val="00486C98"/>
    <w:rsid w:val="00487BB0"/>
    <w:rsid w:val="00490349"/>
    <w:rsid w:val="00490AA9"/>
    <w:rsid w:val="00490B02"/>
    <w:rsid w:val="00491375"/>
    <w:rsid w:val="00491991"/>
    <w:rsid w:val="00491C22"/>
    <w:rsid w:val="00492643"/>
    <w:rsid w:val="0049320C"/>
    <w:rsid w:val="004937CC"/>
    <w:rsid w:val="00493CFE"/>
    <w:rsid w:val="00496C1D"/>
    <w:rsid w:val="00497125"/>
    <w:rsid w:val="00497640"/>
    <w:rsid w:val="004A0381"/>
    <w:rsid w:val="004A0F77"/>
    <w:rsid w:val="004A1B71"/>
    <w:rsid w:val="004A2356"/>
    <w:rsid w:val="004A3CCE"/>
    <w:rsid w:val="004A4F77"/>
    <w:rsid w:val="004A6028"/>
    <w:rsid w:val="004A6788"/>
    <w:rsid w:val="004A6D22"/>
    <w:rsid w:val="004A7ADC"/>
    <w:rsid w:val="004B0138"/>
    <w:rsid w:val="004B10EC"/>
    <w:rsid w:val="004B1EEC"/>
    <w:rsid w:val="004B21E2"/>
    <w:rsid w:val="004B3384"/>
    <w:rsid w:val="004B3863"/>
    <w:rsid w:val="004B4450"/>
    <w:rsid w:val="004B5BC4"/>
    <w:rsid w:val="004B6442"/>
    <w:rsid w:val="004B6685"/>
    <w:rsid w:val="004B71C6"/>
    <w:rsid w:val="004B7DBA"/>
    <w:rsid w:val="004C0C78"/>
    <w:rsid w:val="004C0E3A"/>
    <w:rsid w:val="004C1375"/>
    <w:rsid w:val="004C1B04"/>
    <w:rsid w:val="004C1D7E"/>
    <w:rsid w:val="004C29D9"/>
    <w:rsid w:val="004C5814"/>
    <w:rsid w:val="004C5BFB"/>
    <w:rsid w:val="004C729D"/>
    <w:rsid w:val="004D0391"/>
    <w:rsid w:val="004D2391"/>
    <w:rsid w:val="004D23DA"/>
    <w:rsid w:val="004D3AAB"/>
    <w:rsid w:val="004D4853"/>
    <w:rsid w:val="004D6C21"/>
    <w:rsid w:val="004D7644"/>
    <w:rsid w:val="004D794C"/>
    <w:rsid w:val="004E0DA2"/>
    <w:rsid w:val="004E39C2"/>
    <w:rsid w:val="004E4DE1"/>
    <w:rsid w:val="004E5267"/>
    <w:rsid w:val="004E58A3"/>
    <w:rsid w:val="004E6054"/>
    <w:rsid w:val="004E61EC"/>
    <w:rsid w:val="004E63C5"/>
    <w:rsid w:val="004E686E"/>
    <w:rsid w:val="004E7F85"/>
    <w:rsid w:val="004F0170"/>
    <w:rsid w:val="004F0394"/>
    <w:rsid w:val="004F0A57"/>
    <w:rsid w:val="004F0CF6"/>
    <w:rsid w:val="004F18AA"/>
    <w:rsid w:val="004F1E96"/>
    <w:rsid w:val="004F1F95"/>
    <w:rsid w:val="004F3160"/>
    <w:rsid w:val="004F38D8"/>
    <w:rsid w:val="004F432D"/>
    <w:rsid w:val="004F55C0"/>
    <w:rsid w:val="004F59AF"/>
    <w:rsid w:val="004F7D7D"/>
    <w:rsid w:val="005001B2"/>
    <w:rsid w:val="00500496"/>
    <w:rsid w:val="00500FAB"/>
    <w:rsid w:val="005013EF"/>
    <w:rsid w:val="005017C7"/>
    <w:rsid w:val="005017D7"/>
    <w:rsid w:val="00501820"/>
    <w:rsid w:val="00501D14"/>
    <w:rsid w:val="00502446"/>
    <w:rsid w:val="00502678"/>
    <w:rsid w:val="005040F1"/>
    <w:rsid w:val="00504526"/>
    <w:rsid w:val="00506CB2"/>
    <w:rsid w:val="00507B32"/>
    <w:rsid w:val="00510510"/>
    <w:rsid w:val="0051165A"/>
    <w:rsid w:val="00511AE6"/>
    <w:rsid w:val="005127E4"/>
    <w:rsid w:val="005127F3"/>
    <w:rsid w:val="00513AE4"/>
    <w:rsid w:val="00513B50"/>
    <w:rsid w:val="00515ECC"/>
    <w:rsid w:val="005160CF"/>
    <w:rsid w:val="005161F5"/>
    <w:rsid w:val="00517871"/>
    <w:rsid w:val="00517A41"/>
    <w:rsid w:val="005212B0"/>
    <w:rsid w:val="00522BAE"/>
    <w:rsid w:val="00523047"/>
    <w:rsid w:val="005231CF"/>
    <w:rsid w:val="00523B78"/>
    <w:rsid w:val="00523C8C"/>
    <w:rsid w:val="00523F7B"/>
    <w:rsid w:val="005244D0"/>
    <w:rsid w:val="00524614"/>
    <w:rsid w:val="0052500E"/>
    <w:rsid w:val="005255F0"/>
    <w:rsid w:val="00525A4B"/>
    <w:rsid w:val="00525CCE"/>
    <w:rsid w:val="00525E20"/>
    <w:rsid w:val="0052612C"/>
    <w:rsid w:val="005262F1"/>
    <w:rsid w:val="00526DCD"/>
    <w:rsid w:val="00526F3C"/>
    <w:rsid w:val="0052767F"/>
    <w:rsid w:val="00527861"/>
    <w:rsid w:val="00527A01"/>
    <w:rsid w:val="005306BC"/>
    <w:rsid w:val="00530A15"/>
    <w:rsid w:val="00531AB6"/>
    <w:rsid w:val="00533401"/>
    <w:rsid w:val="00533444"/>
    <w:rsid w:val="0053471D"/>
    <w:rsid w:val="00535CB8"/>
    <w:rsid w:val="00535CC1"/>
    <w:rsid w:val="00536A27"/>
    <w:rsid w:val="005374E4"/>
    <w:rsid w:val="0054006A"/>
    <w:rsid w:val="00540592"/>
    <w:rsid w:val="005406A1"/>
    <w:rsid w:val="005408A5"/>
    <w:rsid w:val="00541259"/>
    <w:rsid w:val="005435CD"/>
    <w:rsid w:val="00543717"/>
    <w:rsid w:val="005438D8"/>
    <w:rsid w:val="0054432A"/>
    <w:rsid w:val="005447D9"/>
    <w:rsid w:val="00544B9A"/>
    <w:rsid w:val="00544C01"/>
    <w:rsid w:val="00545334"/>
    <w:rsid w:val="00545D83"/>
    <w:rsid w:val="0054623B"/>
    <w:rsid w:val="005464A9"/>
    <w:rsid w:val="00546BA1"/>
    <w:rsid w:val="0054707B"/>
    <w:rsid w:val="00547CA9"/>
    <w:rsid w:val="005500A4"/>
    <w:rsid w:val="00550900"/>
    <w:rsid w:val="00550C05"/>
    <w:rsid w:val="00552511"/>
    <w:rsid w:val="00552DAC"/>
    <w:rsid w:val="00553E66"/>
    <w:rsid w:val="00554426"/>
    <w:rsid w:val="0055460F"/>
    <w:rsid w:val="00554B80"/>
    <w:rsid w:val="00554EC6"/>
    <w:rsid w:val="0055541A"/>
    <w:rsid w:val="00556A60"/>
    <w:rsid w:val="00556F8B"/>
    <w:rsid w:val="00557393"/>
    <w:rsid w:val="005611AB"/>
    <w:rsid w:val="00561607"/>
    <w:rsid w:val="005636D0"/>
    <w:rsid w:val="00564A35"/>
    <w:rsid w:val="0056534E"/>
    <w:rsid w:val="00565553"/>
    <w:rsid w:val="00565832"/>
    <w:rsid w:val="00565BAC"/>
    <w:rsid w:val="00566230"/>
    <w:rsid w:val="00566F1B"/>
    <w:rsid w:val="0056787F"/>
    <w:rsid w:val="00570001"/>
    <w:rsid w:val="005706C5"/>
    <w:rsid w:val="00570B1C"/>
    <w:rsid w:val="00570B9B"/>
    <w:rsid w:val="005716D0"/>
    <w:rsid w:val="00571866"/>
    <w:rsid w:val="0057347A"/>
    <w:rsid w:val="00573874"/>
    <w:rsid w:val="005745E3"/>
    <w:rsid w:val="005747E9"/>
    <w:rsid w:val="00575B6A"/>
    <w:rsid w:val="00575F83"/>
    <w:rsid w:val="00576B29"/>
    <w:rsid w:val="00576DA7"/>
    <w:rsid w:val="0057768E"/>
    <w:rsid w:val="00577A73"/>
    <w:rsid w:val="00580B9B"/>
    <w:rsid w:val="00581229"/>
    <w:rsid w:val="00582EDE"/>
    <w:rsid w:val="005843B7"/>
    <w:rsid w:val="005846E3"/>
    <w:rsid w:val="0058586C"/>
    <w:rsid w:val="005859F8"/>
    <w:rsid w:val="005872D6"/>
    <w:rsid w:val="005874E0"/>
    <w:rsid w:val="00587A8F"/>
    <w:rsid w:val="00587F2D"/>
    <w:rsid w:val="005914B8"/>
    <w:rsid w:val="00591BF6"/>
    <w:rsid w:val="0059242F"/>
    <w:rsid w:val="00592DD5"/>
    <w:rsid w:val="00592F1F"/>
    <w:rsid w:val="0059326F"/>
    <w:rsid w:val="00594C57"/>
    <w:rsid w:val="005950F9"/>
    <w:rsid w:val="0059515B"/>
    <w:rsid w:val="00596662"/>
    <w:rsid w:val="00596943"/>
    <w:rsid w:val="0059744D"/>
    <w:rsid w:val="0059763D"/>
    <w:rsid w:val="00597E32"/>
    <w:rsid w:val="00597F4F"/>
    <w:rsid w:val="005A0377"/>
    <w:rsid w:val="005A0F88"/>
    <w:rsid w:val="005A1C73"/>
    <w:rsid w:val="005A26CF"/>
    <w:rsid w:val="005A32F1"/>
    <w:rsid w:val="005A3C41"/>
    <w:rsid w:val="005A4D2D"/>
    <w:rsid w:val="005A56D2"/>
    <w:rsid w:val="005A572A"/>
    <w:rsid w:val="005B0397"/>
    <w:rsid w:val="005B06A5"/>
    <w:rsid w:val="005B1734"/>
    <w:rsid w:val="005B1CED"/>
    <w:rsid w:val="005B307C"/>
    <w:rsid w:val="005B3B23"/>
    <w:rsid w:val="005B42DA"/>
    <w:rsid w:val="005B6942"/>
    <w:rsid w:val="005B7003"/>
    <w:rsid w:val="005B72F4"/>
    <w:rsid w:val="005B7757"/>
    <w:rsid w:val="005C0E01"/>
    <w:rsid w:val="005C155A"/>
    <w:rsid w:val="005C1F6C"/>
    <w:rsid w:val="005C2202"/>
    <w:rsid w:val="005C2458"/>
    <w:rsid w:val="005C36A5"/>
    <w:rsid w:val="005C3B15"/>
    <w:rsid w:val="005C3D75"/>
    <w:rsid w:val="005C563E"/>
    <w:rsid w:val="005C5E28"/>
    <w:rsid w:val="005C661B"/>
    <w:rsid w:val="005C70A2"/>
    <w:rsid w:val="005C7B1B"/>
    <w:rsid w:val="005D050F"/>
    <w:rsid w:val="005D0F24"/>
    <w:rsid w:val="005D1818"/>
    <w:rsid w:val="005D1836"/>
    <w:rsid w:val="005D1EEB"/>
    <w:rsid w:val="005D2254"/>
    <w:rsid w:val="005D355E"/>
    <w:rsid w:val="005D3A4B"/>
    <w:rsid w:val="005D3B06"/>
    <w:rsid w:val="005D42A4"/>
    <w:rsid w:val="005D4A23"/>
    <w:rsid w:val="005D5373"/>
    <w:rsid w:val="005D6DFA"/>
    <w:rsid w:val="005D785A"/>
    <w:rsid w:val="005D7D37"/>
    <w:rsid w:val="005D7D43"/>
    <w:rsid w:val="005E1017"/>
    <w:rsid w:val="005E195C"/>
    <w:rsid w:val="005E1E5B"/>
    <w:rsid w:val="005E2C50"/>
    <w:rsid w:val="005E335B"/>
    <w:rsid w:val="005E4109"/>
    <w:rsid w:val="005E4293"/>
    <w:rsid w:val="005E4A6F"/>
    <w:rsid w:val="005E4B85"/>
    <w:rsid w:val="005E4BF7"/>
    <w:rsid w:val="005E4C19"/>
    <w:rsid w:val="005E5267"/>
    <w:rsid w:val="005E6FA3"/>
    <w:rsid w:val="005E72FF"/>
    <w:rsid w:val="005E7C1F"/>
    <w:rsid w:val="005E7EE9"/>
    <w:rsid w:val="005F010C"/>
    <w:rsid w:val="005F0AF1"/>
    <w:rsid w:val="005F167F"/>
    <w:rsid w:val="005F1F9D"/>
    <w:rsid w:val="005F3F8B"/>
    <w:rsid w:val="005F4217"/>
    <w:rsid w:val="005F4406"/>
    <w:rsid w:val="005F45A0"/>
    <w:rsid w:val="005F51A0"/>
    <w:rsid w:val="005F565D"/>
    <w:rsid w:val="005F5BC5"/>
    <w:rsid w:val="005F628D"/>
    <w:rsid w:val="005F707A"/>
    <w:rsid w:val="005F77FC"/>
    <w:rsid w:val="00600038"/>
    <w:rsid w:val="006002A6"/>
    <w:rsid w:val="00600F53"/>
    <w:rsid w:val="006028FD"/>
    <w:rsid w:val="00602FD2"/>
    <w:rsid w:val="00602FDC"/>
    <w:rsid w:val="006040DA"/>
    <w:rsid w:val="00605195"/>
    <w:rsid w:val="00605376"/>
    <w:rsid w:val="00605845"/>
    <w:rsid w:val="00606F02"/>
    <w:rsid w:val="006070ED"/>
    <w:rsid w:val="00607D3B"/>
    <w:rsid w:val="00607E77"/>
    <w:rsid w:val="00607FC5"/>
    <w:rsid w:val="00610081"/>
    <w:rsid w:val="00610FA3"/>
    <w:rsid w:val="006115A0"/>
    <w:rsid w:val="006135B2"/>
    <w:rsid w:val="00613D80"/>
    <w:rsid w:val="00614A3E"/>
    <w:rsid w:val="00615023"/>
    <w:rsid w:val="00616422"/>
    <w:rsid w:val="006168A4"/>
    <w:rsid w:val="00617B9A"/>
    <w:rsid w:val="006213E0"/>
    <w:rsid w:val="0062140C"/>
    <w:rsid w:val="00621B88"/>
    <w:rsid w:val="00624516"/>
    <w:rsid w:val="00625FD0"/>
    <w:rsid w:val="006261B5"/>
    <w:rsid w:val="0062639B"/>
    <w:rsid w:val="00626432"/>
    <w:rsid w:val="0062672B"/>
    <w:rsid w:val="00626C0C"/>
    <w:rsid w:val="0063178E"/>
    <w:rsid w:val="00632025"/>
    <w:rsid w:val="0063223F"/>
    <w:rsid w:val="00632895"/>
    <w:rsid w:val="006345ED"/>
    <w:rsid w:val="006345EE"/>
    <w:rsid w:val="00634E3D"/>
    <w:rsid w:val="00635682"/>
    <w:rsid w:val="00636621"/>
    <w:rsid w:val="0063763F"/>
    <w:rsid w:val="006400CF"/>
    <w:rsid w:val="006406DE"/>
    <w:rsid w:val="0064142D"/>
    <w:rsid w:val="00641E69"/>
    <w:rsid w:val="00642BED"/>
    <w:rsid w:val="00643A2A"/>
    <w:rsid w:val="0064577D"/>
    <w:rsid w:val="006461BE"/>
    <w:rsid w:val="00646BC7"/>
    <w:rsid w:val="00647494"/>
    <w:rsid w:val="00647740"/>
    <w:rsid w:val="00647CEF"/>
    <w:rsid w:val="00647D4E"/>
    <w:rsid w:val="00650F52"/>
    <w:rsid w:val="00651D55"/>
    <w:rsid w:val="006524DA"/>
    <w:rsid w:val="0065344B"/>
    <w:rsid w:val="006537A6"/>
    <w:rsid w:val="00654C1B"/>
    <w:rsid w:val="00654D3B"/>
    <w:rsid w:val="00655176"/>
    <w:rsid w:val="00655243"/>
    <w:rsid w:val="00655276"/>
    <w:rsid w:val="00655731"/>
    <w:rsid w:val="006563A9"/>
    <w:rsid w:val="00657864"/>
    <w:rsid w:val="006607A7"/>
    <w:rsid w:val="00661AE0"/>
    <w:rsid w:val="0066293C"/>
    <w:rsid w:val="00662B9F"/>
    <w:rsid w:val="00663522"/>
    <w:rsid w:val="00663ED0"/>
    <w:rsid w:val="00665025"/>
    <w:rsid w:val="006652FD"/>
    <w:rsid w:val="0066537C"/>
    <w:rsid w:val="00665EBF"/>
    <w:rsid w:val="00666CC6"/>
    <w:rsid w:val="00666EFF"/>
    <w:rsid w:val="006675B7"/>
    <w:rsid w:val="00670087"/>
    <w:rsid w:val="006705C5"/>
    <w:rsid w:val="006719D2"/>
    <w:rsid w:val="00671A10"/>
    <w:rsid w:val="00671C13"/>
    <w:rsid w:val="00672180"/>
    <w:rsid w:val="00672E6B"/>
    <w:rsid w:val="00673E7D"/>
    <w:rsid w:val="0067513B"/>
    <w:rsid w:val="00676044"/>
    <w:rsid w:val="0067705C"/>
    <w:rsid w:val="00681578"/>
    <w:rsid w:val="00681BA5"/>
    <w:rsid w:val="00685693"/>
    <w:rsid w:val="006861B1"/>
    <w:rsid w:val="00687EEB"/>
    <w:rsid w:val="00687FC5"/>
    <w:rsid w:val="00690A0E"/>
    <w:rsid w:val="00690A59"/>
    <w:rsid w:val="00690B10"/>
    <w:rsid w:val="00690C28"/>
    <w:rsid w:val="00691B18"/>
    <w:rsid w:val="006924FC"/>
    <w:rsid w:val="00693A32"/>
    <w:rsid w:val="0069483A"/>
    <w:rsid w:val="00695049"/>
    <w:rsid w:val="00695AEE"/>
    <w:rsid w:val="00695CD3"/>
    <w:rsid w:val="00695D88"/>
    <w:rsid w:val="00696260"/>
    <w:rsid w:val="00696A51"/>
    <w:rsid w:val="00696D4A"/>
    <w:rsid w:val="00697192"/>
    <w:rsid w:val="0069796D"/>
    <w:rsid w:val="006A0525"/>
    <w:rsid w:val="006A071C"/>
    <w:rsid w:val="006A0E82"/>
    <w:rsid w:val="006A101A"/>
    <w:rsid w:val="006A11A9"/>
    <w:rsid w:val="006A1613"/>
    <w:rsid w:val="006A17B1"/>
    <w:rsid w:val="006A2A85"/>
    <w:rsid w:val="006A2C51"/>
    <w:rsid w:val="006A3BEF"/>
    <w:rsid w:val="006A517E"/>
    <w:rsid w:val="006A5758"/>
    <w:rsid w:val="006A5847"/>
    <w:rsid w:val="006A5C82"/>
    <w:rsid w:val="006B05D8"/>
    <w:rsid w:val="006B071F"/>
    <w:rsid w:val="006B07E8"/>
    <w:rsid w:val="006B0CFB"/>
    <w:rsid w:val="006B11D0"/>
    <w:rsid w:val="006B2CA9"/>
    <w:rsid w:val="006B51A6"/>
    <w:rsid w:val="006B5366"/>
    <w:rsid w:val="006B5917"/>
    <w:rsid w:val="006B616E"/>
    <w:rsid w:val="006B62AB"/>
    <w:rsid w:val="006B6C21"/>
    <w:rsid w:val="006B6DF1"/>
    <w:rsid w:val="006B6FF5"/>
    <w:rsid w:val="006C02D5"/>
    <w:rsid w:val="006C077F"/>
    <w:rsid w:val="006C0871"/>
    <w:rsid w:val="006C09EF"/>
    <w:rsid w:val="006C0DE6"/>
    <w:rsid w:val="006C12AB"/>
    <w:rsid w:val="006C1A09"/>
    <w:rsid w:val="006C1E1C"/>
    <w:rsid w:val="006C3E69"/>
    <w:rsid w:val="006C4C8F"/>
    <w:rsid w:val="006C6700"/>
    <w:rsid w:val="006C72EF"/>
    <w:rsid w:val="006D0BBC"/>
    <w:rsid w:val="006D0C9A"/>
    <w:rsid w:val="006D0EED"/>
    <w:rsid w:val="006D277F"/>
    <w:rsid w:val="006D2983"/>
    <w:rsid w:val="006D3D19"/>
    <w:rsid w:val="006D45C4"/>
    <w:rsid w:val="006D46EB"/>
    <w:rsid w:val="006D60D7"/>
    <w:rsid w:val="006D666D"/>
    <w:rsid w:val="006D7886"/>
    <w:rsid w:val="006D7FFB"/>
    <w:rsid w:val="006E00DA"/>
    <w:rsid w:val="006E041D"/>
    <w:rsid w:val="006E0B17"/>
    <w:rsid w:val="006E0F36"/>
    <w:rsid w:val="006E1EF8"/>
    <w:rsid w:val="006E20CE"/>
    <w:rsid w:val="006E22EE"/>
    <w:rsid w:val="006E399E"/>
    <w:rsid w:val="006E3F91"/>
    <w:rsid w:val="006E49B1"/>
    <w:rsid w:val="006E5092"/>
    <w:rsid w:val="006E560C"/>
    <w:rsid w:val="006E5CC7"/>
    <w:rsid w:val="006E5D49"/>
    <w:rsid w:val="006E72A5"/>
    <w:rsid w:val="006E738E"/>
    <w:rsid w:val="006F0668"/>
    <w:rsid w:val="006F167C"/>
    <w:rsid w:val="006F17B4"/>
    <w:rsid w:val="006F1E40"/>
    <w:rsid w:val="006F2FDC"/>
    <w:rsid w:val="006F301E"/>
    <w:rsid w:val="006F341A"/>
    <w:rsid w:val="006F363C"/>
    <w:rsid w:val="006F3A00"/>
    <w:rsid w:val="006F3CAC"/>
    <w:rsid w:val="006F3EC1"/>
    <w:rsid w:val="006F44A6"/>
    <w:rsid w:val="006F56D2"/>
    <w:rsid w:val="006F5AC5"/>
    <w:rsid w:val="006F5F49"/>
    <w:rsid w:val="006F61A2"/>
    <w:rsid w:val="006F67E4"/>
    <w:rsid w:val="006F7741"/>
    <w:rsid w:val="00700589"/>
    <w:rsid w:val="007015E5"/>
    <w:rsid w:val="00701696"/>
    <w:rsid w:val="00702839"/>
    <w:rsid w:val="00702AC8"/>
    <w:rsid w:val="007030EC"/>
    <w:rsid w:val="007068F5"/>
    <w:rsid w:val="00707E95"/>
    <w:rsid w:val="00710785"/>
    <w:rsid w:val="0071253F"/>
    <w:rsid w:val="00713426"/>
    <w:rsid w:val="007136D3"/>
    <w:rsid w:val="007145C4"/>
    <w:rsid w:val="007149E0"/>
    <w:rsid w:val="007160DB"/>
    <w:rsid w:val="00716316"/>
    <w:rsid w:val="0071662F"/>
    <w:rsid w:val="0071719F"/>
    <w:rsid w:val="00717D92"/>
    <w:rsid w:val="00720149"/>
    <w:rsid w:val="00720974"/>
    <w:rsid w:val="00720A9F"/>
    <w:rsid w:val="007216F0"/>
    <w:rsid w:val="00721919"/>
    <w:rsid w:val="00722F2A"/>
    <w:rsid w:val="007237D6"/>
    <w:rsid w:val="00724A8F"/>
    <w:rsid w:val="00725211"/>
    <w:rsid w:val="007256DE"/>
    <w:rsid w:val="00725E70"/>
    <w:rsid w:val="00727DCD"/>
    <w:rsid w:val="00731ADE"/>
    <w:rsid w:val="00732BE5"/>
    <w:rsid w:val="00733530"/>
    <w:rsid w:val="00733B64"/>
    <w:rsid w:val="00734EBB"/>
    <w:rsid w:val="007360FC"/>
    <w:rsid w:val="00736D37"/>
    <w:rsid w:val="007378FE"/>
    <w:rsid w:val="00737AA2"/>
    <w:rsid w:val="00740341"/>
    <w:rsid w:val="00740370"/>
    <w:rsid w:val="007403E7"/>
    <w:rsid w:val="00741D32"/>
    <w:rsid w:val="00743746"/>
    <w:rsid w:val="00743C70"/>
    <w:rsid w:val="007447B2"/>
    <w:rsid w:val="00744DAE"/>
    <w:rsid w:val="00745B92"/>
    <w:rsid w:val="0074675B"/>
    <w:rsid w:val="00750068"/>
    <w:rsid w:val="0075086E"/>
    <w:rsid w:val="007531DE"/>
    <w:rsid w:val="0075396D"/>
    <w:rsid w:val="007544CE"/>
    <w:rsid w:val="00754986"/>
    <w:rsid w:val="00754D05"/>
    <w:rsid w:val="0075526E"/>
    <w:rsid w:val="00755C74"/>
    <w:rsid w:val="00755ECE"/>
    <w:rsid w:val="00756496"/>
    <w:rsid w:val="007564E9"/>
    <w:rsid w:val="007619EF"/>
    <w:rsid w:val="00762FFC"/>
    <w:rsid w:val="0076329F"/>
    <w:rsid w:val="007635E4"/>
    <w:rsid w:val="00763C49"/>
    <w:rsid w:val="00763CA8"/>
    <w:rsid w:val="007646BD"/>
    <w:rsid w:val="00764CD0"/>
    <w:rsid w:val="00766592"/>
    <w:rsid w:val="00766EE2"/>
    <w:rsid w:val="00770159"/>
    <w:rsid w:val="007705CD"/>
    <w:rsid w:val="007713D7"/>
    <w:rsid w:val="00771FDD"/>
    <w:rsid w:val="00772FDB"/>
    <w:rsid w:val="007731A1"/>
    <w:rsid w:val="00774517"/>
    <w:rsid w:val="007778A8"/>
    <w:rsid w:val="0078214E"/>
    <w:rsid w:val="00783E97"/>
    <w:rsid w:val="007844B2"/>
    <w:rsid w:val="0078719F"/>
    <w:rsid w:val="00787EEC"/>
    <w:rsid w:val="00790172"/>
    <w:rsid w:val="00790456"/>
    <w:rsid w:val="00790CEE"/>
    <w:rsid w:val="007914F3"/>
    <w:rsid w:val="00792243"/>
    <w:rsid w:val="0079264F"/>
    <w:rsid w:val="00792A14"/>
    <w:rsid w:val="00792B64"/>
    <w:rsid w:val="00794071"/>
    <w:rsid w:val="007942F4"/>
    <w:rsid w:val="00794C27"/>
    <w:rsid w:val="00794F67"/>
    <w:rsid w:val="007951BF"/>
    <w:rsid w:val="00795513"/>
    <w:rsid w:val="00796241"/>
    <w:rsid w:val="00796A62"/>
    <w:rsid w:val="00796C53"/>
    <w:rsid w:val="00796EAF"/>
    <w:rsid w:val="00797546"/>
    <w:rsid w:val="00797BB4"/>
    <w:rsid w:val="007A00BD"/>
    <w:rsid w:val="007A0752"/>
    <w:rsid w:val="007A1A85"/>
    <w:rsid w:val="007A1B2C"/>
    <w:rsid w:val="007A43CD"/>
    <w:rsid w:val="007A5318"/>
    <w:rsid w:val="007A5E52"/>
    <w:rsid w:val="007A6451"/>
    <w:rsid w:val="007A6C15"/>
    <w:rsid w:val="007A7794"/>
    <w:rsid w:val="007A7E57"/>
    <w:rsid w:val="007A7FBE"/>
    <w:rsid w:val="007B2033"/>
    <w:rsid w:val="007B254A"/>
    <w:rsid w:val="007B300B"/>
    <w:rsid w:val="007B3450"/>
    <w:rsid w:val="007B37F7"/>
    <w:rsid w:val="007B4B0B"/>
    <w:rsid w:val="007B4F82"/>
    <w:rsid w:val="007B692F"/>
    <w:rsid w:val="007B7B8C"/>
    <w:rsid w:val="007B7C8F"/>
    <w:rsid w:val="007C031F"/>
    <w:rsid w:val="007C0520"/>
    <w:rsid w:val="007C0643"/>
    <w:rsid w:val="007C1A9F"/>
    <w:rsid w:val="007C1F80"/>
    <w:rsid w:val="007C3344"/>
    <w:rsid w:val="007C3827"/>
    <w:rsid w:val="007C39B4"/>
    <w:rsid w:val="007C3E52"/>
    <w:rsid w:val="007C48D0"/>
    <w:rsid w:val="007C4B81"/>
    <w:rsid w:val="007C4FF1"/>
    <w:rsid w:val="007C5009"/>
    <w:rsid w:val="007C5F63"/>
    <w:rsid w:val="007C6C52"/>
    <w:rsid w:val="007C7310"/>
    <w:rsid w:val="007D1F51"/>
    <w:rsid w:val="007D3190"/>
    <w:rsid w:val="007D405A"/>
    <w:rsid w:val="007D437B"/>
    <w:rsid w:val="007D6084"/>
    <w:rsid w:val="007D79A2"/>
    <w:rsid w:val="007D7E1B"/>
    <w:rsid w:val="007E0489"/>
    <w:rsid w:val="007E0752"/>
    <w:rsid w:val="007E0F98"/>
    <w:rsid w:val="007E2018"/>
    <w:rsid w:val="007E2389"/>
    <w:rsid w:val="007E246A"/>
    <w:rsid w:val="007E3FFB"/>
    <w:rsid w:val="007E4411"/>
    <w:rsid w:val="007E44FD"/>
    <w:rsid w:val="007E5772"/>
    <w:rsid w:val="007E5F3B"/>
    <w:rsid w:val="007E6589"/>
    <w:rsid w:val="007E68C0"/>
    <w:rsid w:val="007E6C68"/>
    <w:rsid w:val="007E79AD"/>
    <w:rsid w:val="007F0447"/>
    <w:rsid w:val="007F1E9F"/>
    <w:rsid w:val="007F2240"/>
    <w:rsid w:val="007F2A0E"/>
    <w:rsid w:val="007F32BA"/>
    <w:rsid w:val="007F4848"/>
    <w:rsid w:val="007F518B"/>
    <w:rsid w:val="007F639F"/>
    <w:rsid w:val="007F6D23"/>
    <w:rsid w:val="007F72F8"/>
    <w:rsid w:val="0080071C"/>
    <w:rsid w:val="00801C57"/>
    <w:rsid w:val="00802849"/>
    <w:rsid w:val="00802BBE"/>
    <w:rsid w:val="00802CF5"/>
    <w:rsid w:val="00803161"/>
    <w:rsid w:val="00803749"/>
    <w:rsid w:val="0080443F"/>
    <w:rsid w:val="008044D2"/>
    <w:rsid w:val="00804BAA"/>
    <w:rsid w:val="00805A7B"/>
    <w:rsid w:val="008062CE"/>
    <w:rsid w:val="00806C3F"/>
    <w:rsid w:val="00806C8E"/>
    <w:rsid w:val="00807577"/>
    <w:rsid w:val="00810066"/>
    <w:rsid w:val="008102C9"/>
    <w:rsid w:val="00810640"/>
    <w:rsid w:val="00810DD2"/>
    <w:rsid w:val="00811861"/>
    <w:rsid w:val="008125E5"/>
    <w:rsid w:val="008138BA"/>
    <w:rsid w:val="00813998"/>
    <w:rsid w:val="00814119"/>
    <w:rsid w:val="00814C61"/>
    <w:rsid w:val="00815014"/>
    <w:rsid w:val="00816529"/>
    <w:rsid w:val="0081664D"/>
    <w:rsid w:val="00816B94"/>
    <w:rsid w:val="00816BE8"/>
    <w:rsid w:val="00816F11"/>
    <w:rsid w:val="00816F1E"/>
    <w:rsid w:val="00817D5A"/>
    <w:rsid w:val="00820CBD"/>
    <w:rsid w:val="00820D8D"/>
    <w:rsid w:val="00820DE8"/>
    <w:rsid w:val="00821474"/>
    <w:rsid w:val="008223FA"/>
    <w:rsid w:val="008233CF"/>
    <w:rsid w:val="0082371D"/>
    <w:rsid w:val="00823902"/>
    <w:rsid w:val="0082455F"/>
    <w:rsid w:val="00824830"/>
    <w:rsid w:val="008248E8"/>
    <w:rsid w:val="008255FB"/>
    <w:rsid w:val="008256AB"/>
    <w:rsid w:val="008256CC"/>
    <w:rsid w:val="008263E5"/>
    <w:rsid w:val="00827A10"/>
    <w:rsid w:val="008300BD"/>
    <w:rsid w:val="00830461"/>
    <w:rsid w:val="00830B52"/>
    <w:rsid w:val="00830FEC"/>
    <w:rsid w:val="00831F71"/>
    <w:rsid w:val="008329FF"/>
    <w:rsid w:val="00832C2F"/>
    <w:rsid w:val="00833679"/>
    <w:rsid w:val="00833D32"/>
    <w:rsid w:val="0083417C"/>
    <w:rsid w:val="00834BDE"/>
    <w:rsid w:val="00835226"/>
    <w:rsid w:val="00836673"/>
    <w:rsid w:val="008373E4"/>
    <w:rsid w:val="00837FF6"/>
    <w:rsid w:val="0084024F"/>
    <w:rsid w:val="008409BB"/>
    <w:rsid w:val="008417A0"/>
    <w:rsid w:val="0084372D"/>
    <w:rsid w:val="00843EA3"/>
    <w:rsid w:val="00845348"/>
    <w:rsid w:val="00847B3D"/>
    <w:rsid w:val="00847C01"/>
    <w:rsid w:val="00852E79"/>
    <w:rsid w:val="00853F78"/>
    <w:rsid w:val="008546C6"/>
    <w:rsid w:val="00854F55"/>
    <w:rsid w:val="008557DD"/>
    <w:rsid w:val="0085707A"/>
    <w:rsid w:val="0085721F"/>
    <w:rsid w:val="00857267"/>
    <w:rsid w:val="00861364"/>
    <w:rsid w:val="008614FF"/>
    <w:rsid w:val="00861AAF"/>
    <w:rsid w:val="00861F0C"/>
    <w:rsid w:val="0086205E"/>
    <w:rsid w:val="00862C34"/>
    <w:rsid w:val="00863504"/>
    <w:rsid w:val="00863592"/>
    <w:rsid w:val="0086373C"/>
    <w:rsid w:val="00864B77"/>
    <w:rsid w:val="00864E28"/>
    <w:rsid w:val="0086589B"/>
    <w:rsid w:val="008659C5"/>
    <w:rsid w:val="008666F8"/>
    <w:rsid w:val="0086743A"/>
    <w:rsid w:val="00871C55"/>
    <w:rsid w:val="008735BA"/>
    <w:rsid w:val="0087399A"/>
    <w:rsid w:val="00873EC8"/>
    <w:rsid w:val="00874397"/>
    <w:rsid w:val="008744C9"/>
    <w:rsid w:val="00876DCB"/>
    <w:rsid w:val="00877013"/>
    <w:rsid w:val="00881F30"/>
    <w:rsid w:val="00882EBC"/>
    <w:rsid w:val="0088327A"/>
    <w:rsid w:val="008849F8"/>
    <w:rsid w:val="00884E8B"/>
    <w:rsid w:val="008852AA"/>
    <w:rsid w:val="00885550"/>
    <w:rsid w:val="00886024"/>
    <w:rsid w:val="0088693C"/>
    <w:rsid w:val="00886B30"/>
    <w:rsid w:val="008906AF"/>
    <w:rsid w:val="00890821"/>
    <w:rsid w:val="00890FF4"/>
    <w:rsid w:val="0089110E"/>
    <w:rsid w:val="00891E82"/>
    <w:rsid w:val="008927A1"/>
    <w:rsid w:val="00892D77"/>
    <w:rsid w:val="00892D80"/>
    <w:rsid w:val="00892F24"/>
    <w:rsid w:val="0089327D"/>
    <w:rsid w:val="00893940"/>
    <w:rsid w:val="008946C8"/>
    <w:rsid w:val="008949F0"/>
    <w:rsid w:val="0089503D"/>
    <w:rsid w:val="0089568E"/>
    <w:rsid w:val="00896028"/>
    <w:rsid w:val="008965F4"/>
    <w:rsid w:val="00897699"/>
    <w:rsid w:val="008A0376"/>
    <w:rsid w:val="008A04CD"/>
    <w:rsid w:val="008A0B84"/>
    <w:rsid w:val="008A1C0C"/>
    <w:rsid w:val="008A3D50"/>
    <w:rsid w:val="008A40CE"/>
    <w:rsid w:val="008A59F4"/>
    <w:rsid w:val="008A6281"/>
    <w:rsid w:val="008A64C4"/>
    <w:rsid w:val="008A765F"/>
    <w:rsid w:val="008A7DFF"/>
    <w:rsid w:val="008B012C"/>
    <w:rsid w:val="008B0FBA"/>
    <w:rsid w:val="008B1910"/>
    <w:rsid w:val="008B2107"/>
    <w:rsid w:val="008B4A5B"/>
    <w:rsid w:val="008B5EBF"/>
    <w:rsid w:val="008B639A"/>
    <w:rsid w:val="008B7CC0"/>
    <w:rsid w:val="008C0CE6"/>
    <w:rsid w:val="008C2599"/>
    <w:rsid w:val="008C2EE2"/>
    <w:rsid w:val="008C355D"/>
    <w:rsid w:val="008C4AF1"/>
    <w:rsid w:val="008C4ECD"/>
    <w:rsid w:val="008C5569"/>
    <w:rsid w:val="008C6242"/>
    <w:rsid w:val="008C67F0"/>
    <w:rsid w:val="008C6BAC"/>
    <w:rsid w:val="008C7BD7"/>
    <w:rsid w:val="008C7D36"/>
    <w:rsid w:val="008D3CDC"/>
    <w:rsid w:val="008D40AC"/>
    <w:rsid w:val="008D48A9"/>
    <w:rsid w:val="008D48BE"/>
    <w:rsid w:val="008D4A23"/>
    <w:rsid w:val="008D4A65"/>
    <w:rsid w:val="008D4B1B"/>
    <w:rsid w:val="008D50AB"/>
    <w:rsid w:val="008D5FE2"/>
    <w:rsid w:val="008D693E"/>
    <w:rsid w:val="008D6F47"/>
    <w:rsid w:val="008D7405"/>
    <w:rsid w:val="008D7A61"/>
    <w:rsid w:val="008D7F5F"/>
    <w:rsid w:val="008E0175"/>
    <w:rsid w:val="008E05F1"/>
    <w:rsid w:val="008E181E"/>
    <w:rsid w:val="008E2417"/>
    <w:rsid w:val="008E2F76"/>
    <w:rsid w:val="008E2FF2"/>
    <w:rsid w:val="008E32BB"/>
    <w:rsid w:val="008E3A2E"/>
    <w:rsid w:val="008E41D5"/>
    <w:rsid w:val="008E41D9"/>
    <w:rsid w:val="008E4434"/>
    <w:rsid w:val="008E4874"/>
    <w:rsid w:val="008E4E2C"/>
    <w:rsid w:val="008E5FA2"/>
    <w:rsid w:val="008E70C6"/>
    <w:rsid w:val="008E7EC2"/>
    <w:rsid w:val="008F0397"/>
    <w:rsid w:val="008F09B5"/>
    <w:rsid w:val="008F166B"/>
    <w:rsid w:val="008F3469"/>
    <w:rsid w:val="008F441A"/>
    <w:rsid w:val="008F47E1"/>
    <w:rsid w:val="008F624C"/>
    <w:rsid w:val="008F68E3"/>
    <w:rsid w:val="008F6DFD"/>
    <w:rsid w:val="008F7355"/>
    <w:rsid w:val="00900113"/>
    <w:rsid w:val="0090356B"/>
    <w:rsid w:val="00903623"/>
    <w:rsid w:val="009041C4"/>
    <w:rsid w:val="00904244"/>
    <w:rsid w:val="00905560"/>
    <w:rsid w:val="009058CA"/>
    <w:rsid w:val="00905B83"/>
    <w:rsid w:val="009071A8"/>
    <w:rsid w:val="0091144B"/>
    <w:rsid w:val="0091194E"/>
    <w:rsid w:val="00911D80"/>
    <w:rsid w:val="00913074"/>
    <w:rsid w:val="00913CE1"/>
    <w:rsid w:val="00914AEC"/>
    <w:rsid w:val="009153E3"/>
    <w:rsid w:val="009154BE"/>
    <w:rsid w:val="00915D54"/>
    <w:rsid w:val="009163C2"/>
    <w:rsid w:val="00916EB4"/>
    <w:rsid w:val="00916F88"/>
    <w:rsid w:val="00917010"/>
    <w:rsid w:val="00920567"/>
    <w:rsid w:val="00920BF7"/>
    <w:rsid w:val="00922C7C"/>
    <w:rsid w:val="00922DF2"/>
    <w:rsid w:val="00923269"/>
    <w:rsid w:val="009234CC"/>
    <w:rsid w:val="00923B4C"/>
    <w:rsid w:val="00924835"/>
    <w:rsid w:val="00924A66"/>
    <w:rsid w:val="00926813"/>
    <w:rsid w:val="00926D73"/>
    <w:rsid w:val="0093090E"/>
    <w:rsid w:val="00931BF9"/>
    <w:rsid w:val="00932783"/>
    <w:rsid w:val="00933849"/>
    <w:rsid w:val="00934269"/>
    <w:rsid w:val="00934918"/>
    <w:rsid w:val="00934D40"/>
    <w:rsid w:val="00935B93"/>
    <w:rsid w:val="0093620E"/>
    <w:rsid w:val="009368C5"/>
    <w:rsid w:val="009375EA"/>
    <w:rsid w:val="009378F0"/>
    <w:rsid w:val="0094004A"/>
    <w:rsid w:val="00941E6D"/>
    <w:rsid w:val="00941F22"/>
    <w:rsid w:val="009428E2"/>
    <w:rsid w:val="00944325"/>
    <w:rsid w:val="0094461B"/>
    <w:rsid w:val="00944937"/>
    <w:rsid w:val="009460A3"/>
    <w:rsid w:val="0094687F"/>
    <w:rsid w:val="009469C9"/>
    <w:rsid w:val="00947AA3"/>
    <w:rsid w:val="00947DD8"/>
    <w:rsid w:val="00951031"/>
    <w:rsid w:val="009521F8"/>
    <w:rsid w:val="00952B9F"/>
    <w:rsid w:val="00952C96"/>
    <w:rsid w:val="009530C8"/>
    <w:rsid w:val="00953777"/>
    <w:rsid w:val="009537A7"/>
    <w:rsid w:val="00953BEA"/>
    <w:rsid w:val="009547E1"/>
    <w:rsid w:val="00954B3A"/>
    <w:rsid w:val="00956AF5"/>
    <w:rsid w:val="00956EAD"/>
    <w:rsid w:val="00957EE4"/>
    <w:rsid w:val="00957FDB"/>
    <w:rsid w:val="00960D09"/>
    <w:rsid w:val="00961F99"/>
    <w:rsid w:val="00962470"/>
    <w:rsid w:val="00962531"/>
    <w:rsid w:val="0096472F"/>
    <w:rsid w:val="00964787"/>
    <w:rsid w:val="00964FE8"/>
    <w:rsid w:val="00965F4A"/>
    <w:rsid w:val="00966107"/>
    <w:rsid w:val="009671B8"/>
    <w:rsid w:val="00967447"/>
    <w:rsid w:val="009675D8"/>
    <w:rsid w:val="00970AB7"/>
    <w:rsid w:val="00970B85"/>
    <w:rsid w:val="0097132F"/>
    <w:rsid w:val="00972373"/>
    <w:rsid w:val="0097363C"/>
    <w:rsid w:val="00973EB9"/>
    <w:rsid w:val="009747A7"/>
    <w:rsid w:val="00974BC8"/>
    <w:rsid w:val="00974FED"/>
    <w:rsid w:val="00975659"/>
    <w:rsid w:val="00975DB8"/>
    <w:rsid w:val="00977095"/>
    <w:rsid w:val="009776CF"/>
    <w:rsid w:val="009779D9"/>
    <w:rsid w:val="009800C9"/>
    <w:rsid w:val="00980E81"/>
    <w:rsid w:val="00982FB4"/>
    <w:rsid w:val="00983894"/>
    <w:rsid w:val="00984140"/>
    <w:rsid w:val="00985014"/>
    <w:rsid w:val="009857F9"/>
    <w:rsid w:val="00985D17"/>
    <w:rsid w:val="00986933"/>
    <w:rsid w:val="00987FB6"/>
    <w:rsid w:val="00992BEA"/>
    <w:rsid w:val="0099317E"/>
    <w:rsid w:val="009945A8"/>
    <w:rsid w:val="00995478"/>
    <w:rsid w:val="00996551"/>
    <w:rsid w:val="009976D6"/>
    <w:rsid w:val="009A16B4"/>
    <w:rsid w:val="009A1768"/>
    <w:rsid w:val="009A214F"/>
    <w:rsid w:val="009A2504"/>
    <w:rsid w:val="009A25B8"/>
    <w:rsid w:val="009A38C9"/>
    <w:rsid w:val="009A5E0A"/>
    <w:rsid w:val="009A63FE"/>
    <w:rsid w:val="009A6815"/>
    <w:rsid w:val="009A69A6"/>
    <w:rsid w:val="009A6B5A"/>
    <w:rsid w:val="009A6CF1"/>
    <w:rsid w:val="009A744B"/>
    <w:rsid w:val="009B1122"/>
    <w:rsid w:val="009B1564"/>
    <w:rsid w:val="009B32A6"/>
    <w:rsid w:val="009B3AE1"/>
    <w:rsid w:val="009B3BC9"/>
    <w:rsid w:val="009B58A9"/>
    <w:rsid w:val="009B5E85"/>
    <w:rsid w:val="009B66D7"/>
    <w:rsid w:val="009B691E"/>
    <w:rsid w:val="009C07DE"/>
    <w:rsid w:val="009C2605"/>
    <w:rsid w:val="009C272C"/>
    <w:rsid w:val="009C2FEF"/>
    <w:rsid w:val="009C4634"/>
    <w:rsid w:val="009C560E"/>
    <w:rsid w:val="009C67E2"/>
    <w:rsid w:val="009C70B0"/>
    <w:rsid w:val="009C7F8B"/>
    <w:rsid w:val="009D0F61"/>
    <w:rsid w:val="009D0FE3"/>
    <w:rsid w:val="009D2A21"/>
    <w:rsid w:val="009D2E0E"/>
    <w:rsid w:val="009D43CD"/>
    <w:rsid w:val="009D4B8E"/>
    <w:rsid w:val="009D5CBB"/>
    <w:rsid w:val="009D5F99"/>
    <w:rsid w:val="009D7F23"/>
    <w:rsid w:val="009E0000"/>
    <w:rsid w:val="009E00CD"/>
    <w:rsid w:val="009E0F99"/>
    <w:rsid w:val="009E103E"/>
    <w:rsid w:val="009E21E9"/>
    <w:rsid w:val="009E2A22"/>
    <w:rsid w:val="009E365B"/>
    <w:rsid w:val="009E3C0C"/>
    <w:rsid w:val="009E49CF"/>
    <w:rsid w:val="009E57EF"/>
    <w:rsid w:val="009E5A3C"/>
    <w:rsid w:val="009E70A1"/>
    <w:rsid w:val="009E7576"/>
    <w:rsid w:val="009E7AF8"/>
    <w:rsid w:val="009F0882"/>
    <w:rsid w:val="009F0D77"/>
    <w:rsid w:val="009F125F"/>
    <w:rsid w:val="009F2796"/>
    <w:rsid w:val="009F2B63"/>
    <w:rsid w:val="009F31EF"/>
    <w:rsid w:val="009F5B2C"/>
    <w:rsid w:val="009F669C"/>
    <w:rsid w:val="009F72C4"/>
    <w:rsid w:val="009F7892"/>
    <w:rsid w:val="009F7F02"/>
    <w:rsid w:val="00A014DD"/>
    <w:rsid w:val="00A02A9B"/>
    <w:rsid w:val="00A02CAE"/>
    <w:rsid w:val="00A036DA"/>
    <w:rsid w:val="00A03D6D"/>
    <w:rsid w:val="00A03E83"/>
    <w:rsid w:val="00A05F6D"/>
    <w:rsid w:val="00A0620F"/>
    <w:rsid w:val="00A07225"/>
    <w:rsid w:val="00A07251"/>
    <w:rsid w:val="00A0796E"/>
    <w:rsid w:val="00A07E5D"/>
    <w:rsid w:val="00A10C7A"/>
    <w:rsid w:val="00A12C5D"/>
    <w:rsid w:val="00A133F0"/>
    <w:rsid w:val="00A1670D"/>
    <w:rsid w:val="00A17833"/>
    <w:rsid w:val="00A17EC1"/>
    <w:rsid w:val="00A20587"/>
    <w:rsid w:val="00A20DAF"/>
    <w:rsid w:val="00A22370"/>
    <w:rsid w:val="00A236FD"/>
    <w:rsid w:val="00A254B7"/>
    <w:rsid w:val="00A27EFE"/>
    <w:rsid w:val="00A3054C"/>
    <w:rsid w:val="00A3066C"/>
    <w:rsid w:val="00A314CC"/>
    <w:rsid w:val="00A31CE9"/>
    <w:rsid w:val="00A32203"/>
    <w:rsid w:val="00A328C3"/>
    <w:rsid w:val="00A37353"/>
    <w:rsid w:val="00A37659"/>
    <w:rsid w:val="00A401B1"/>
    <w:rsid w:val="00A410F5"/>
    <w:rsid w:val="00A410FF"/>
    <w:rsid w:val="00A4329C"/>
    <w:rsid w:val="00A43FD4"/>
    <w:rsid w:val="00A45418"/>
    <w:rsid w:val="00A46E4C"/>
    <w:rsid w:val="00A47D34"/>
    <w:rsid w:val="00A47EF6"/>
    <w:rsid w:val="00A50B92"/>
    <w:rsid w:val="00A522E3"/>
    <w:rsid w:val="00A5261E"/>
    <w:rsid w:val="00A53B45"/>
    <w:rsid w:val="00A548F9"/>
    <w:rsid w:val="00A54B1E"/>
    <w:rsid w:val="00A5618A"/>
    <w:rsid w:val="00A565A0"/>
    <w:rsid w:val="00A568A2"/>
    <w:rsid w:val="00A57679"/>
    <w:rsid w:val="00A6026A"/>
    <w:rsid w:val="00A613D2"/>
    <w:rsid w:val="00A61EFB"/>
    <w:rsid w:val="00A6353D"/>
    <w:rsid w:val="00A642F1"/>
    <w:rsid w:val="00A64566"/>
    <w:rsid w:val="00A657D1"/>
    <w:rsid w:val="00A66A93"/>
    <w:rsid w:val="00A67160"/>
    <w:rsid w:val="00A672BA"/>
    <w:rsid w:val="00A6756C"/>
    <w:rsid w:val="00A701A6"/>
    <w:rsid w:val="00A7037F"/>
    <w:rsid w:val="00A70947"/>
    <w:rsid w:val="00A70D93"/>
    <w:rsid w:val="00A7101A"/>
    <w:rsid w:val="00A71925"/>
    <w:rsid w:val="00A72210"/>
    <w:rsid w:val="00A72F97"/>
    <w:rsid w:val="00A739E8"/>
    <w:rsid w:val="00A73DBB"/>
    <w:rsid w:val="00A74493"/>
    <w:rsid w:val="00A74793"/>
    <w:rsid w:val="00A750A1"/>
    <w:rsid w:val="00A76CBD"/>
    <w:rsid w:val="00A775E1"/>
    <w:rsid w:val="00A8009E"/>
    <w:rsid w:val="00A80187"/>
    <w:rsid w:val="00A80DBA"/>
    <w:rsid w:val="00A817DA"/>
    <w:rsid w:val="00A81A81"/>
    <w:rsid w:val="00A8363B"/>
    <w:rsid w:val="00A843F3"/>
    <w:rsid w:val="00A85349"/>
    <w:rsid w:val="00A85533"/>
    <w:rsid w:val="00A8748C"/>
    <w:rsid w:val="00A8766C"/>
    <w:rsid w:val="00A9053D"/>
    <w:rsid w:val="00A906FB"/>
    <w:rsid w:val="00A922F6"/>
    <w:rsid w:val="00A93488"/>
    <w:rsid w:val="00A9424D"/>
    <w:rsid w:val="00A94758"/>
    <w:rsid w:val="00A94D69"/>
    <w:rsid w:val="00A96009"/>
    <w:rsid w:val="00A968DC"/>
    <w:rsid w:val="00A96AEB"/>
    <w:rsid w:val="00AA09FF"/>
    <w:rsid w:val="00AA1F71"/>
    <w:rsid w:val="00AA267F"/>
    <w:rsid w:val="00AA3F9C"/>
    <w:rsid w:val="00AA47EA"/>
    <w:rsid w:val="00AA4FDE"/>
    <w:rsid w:val="00AA56CE"/>
    <w:rsid w:val="00AA6AB4"/>
    <w:rsid w:val="00AA6D14"/>
    <w:rsid w:val="00AB0AF2"/>
    <w:rsid w:val="00AB144D"/>
    <w:rsid w:val="00AB14BB"/>
    <w:rsid w:val="00AB15F0"/>
    <w:rsid w:val="00AB1D63"/>
    <w:rsid w:val="00AB22F3"/>
    <w:rsid w:val="00AB254E"/>
    <w:rsid w:val="00AB255B"/>
    <w:rsid w:val="00AB2735"/>
    <w:rsid w:val="00AB48FE"/>
    <w:rsid w:val="00AB4C3B"/>
    <w:rsid w:val="00AB515A"/>
    <w:rsid w:val="00AB56DA"/>
    <w:rsid w:val="00AB62EF"/>
    <w:rsid w:val="00AB6AE7"/>
    <w:rsid w:val="00AB7268"/>
    <w:rsid w:val="00AB7BD0"/>
    <w:rsid w:val="00AC0369"/>
    <w:rsid w:val="00AC0A55"/>
    <w:rsid w:val="00AC13EE"/>
    <w:rsid w:val="00AC1525"/>
    <w:rsid w:val="00AC1FE2"/>
    <w:rsid w:val="00AC40DA"/>
    <w:rsid w:val="00AC551D"/>
    <w:rsid w:val="00AC77B1"/>
    <w:rsid w:val="00AC7EFA"/>
    <w:rsid w:val="00AD0E4A"/>
    <w:rsid w:val="00AD126E"/>
    <w:rsid w:val="00AD183B"/>
    <w:rsid w:val="00AD253C"/>
    <w:rsid w:val="00AD3533"/>
    <w:rsid w:val="00AD3D27"/>
    <w:rsid w:val="00AD4124"/>
    <w:rsid w:val="00AD4D95"/>
    <w:rsid w:val="00AD5A39"/>
    <w:rsid w:val="00AD663D"/>
    <w:rsid w:val="00AD69C9"/>
    <w:rsid w:val="00AD755C"/>
    <w:rsid w:val="00AE05FA"/>
    <w:rsid w:val="00AE0BC9"/>
    <w:rsid w:val="00AE23CC"/>
    <w:rsid w:val="00AE3784"/>
    <w:rsid w:val="00AE3ABA"/>
    <w:rsid w:val="00AE5ECE"/>
    <w:rsid w:val="00AE6335"/>
    <w:rsid w:val="00AE6AEC"/>
    <w:rsid w:val="00AF03AC"/>
    <w:rsid w:val="00AF0BAC"/>
    <w:rsid w:val="00AF2440"/>
    <w:rsid w:val="00AF2D9E"/>
    <w:rsid w:val="00AF3DF6"/>
    <w:rsid w:val="00AF4362"/>
    <w:rsid w:val="00AF56DD"/>
    <w:rsid w:val="00AF6510"/>
    <w:rsid w:val="00AF6D64"/>
    <w:rsid w:val="00AF6DF7"/>
    <w:rsid w:val="00AF6F88"/>
    <w:rsid w:val="00B01BF9"/>
    <w:rsid w:val="00B024D6"/>
    <w:rsid w:val="00B03272"/>
    <w:rsid w:val="00B03A66"/>
    <w:rsid w:val="00B042B8"/>
    <w:rsid w:val="00B04BC3"/>
    <w:rsid w:val="00B05365"/>
    <w:rsid w:val="00B0548E"/>
    <w:rsid w:val="00B06E38"/>
    <w:rsid w:val="00B075DD"/>
    <w:rsid w:val="00B10C21"/>
    <w:rsid w:val="00B12460"/>
    <w:rsid w:val="00B12898"/>
    <w:rsid w:val="00B137A1"/>
    <w:rsid w:val="00B151AE"/>
    <w:rsid w:val="00B16C86"/>
    <w:rsid w:val="00B17D85"/>
    <w:rsid w:val="00B20150"/>
    <w:rsid w:val="00B20C46"/>
    <w:rsid w:val="00B2142A"/>
    <w:rsid w:val="00B2273E"/>
    <w:rsid w:val="00B23D09"/>
    <w:rsid w:val="00B25382"/>
    <w:rsid w:val="00B256C1"/>
    <w:rsid w:val="00B25E0E"/>
    <w:rsid w:val="00B264F0"/>
    <w:rsid w:val="00B273F4"/>
    <w:rsid w:val="00B30150"/>
    <w:rsid w:val="00B307B1"/>
    <w:rsid w:val="00B30D49"/>
    <w:rsid w:val="00B3284E"/>
    <w:rsid w:val="00B328F6"/>
    <w:rsid w:val="00B33166"/>
    <w:rsid w:val="00B3459C"/>
    <w:rsid w:val="00B35894"/>
    <w:rsid w:val="00B36494"/>
    <w:rsid w:val="00B3665F"/>
    <w:rsid w:val="00B36F50"/>
    <w:rsid w:val="00B40B1C"/>
    <w:rsid w:val="00B4115A"/>
    <w:rsid w:val="00B41C20"/>
    <w:rsid w:val="00B431A7"/>
    <w:rsid w:val="00B438F2"/>
    <w:rsid w:val="00B43A0D"/>
    <w:rsid w:val="00B43C31"/>
    <w:rsid w:val="00B43D07"/>
    <w:rsid w:val="00B446FC"/>
    <w:rsid w:val="00B462B0"/>
    <w:rsid w:val="00B4691F"/>
    <w:rsid w:val="00B46B0C"/>
    <w:rsid w:val="00B46DB0"/>
    <w:rsid w:val="00B46E86"/>
    <w:rsid w:val="00B47A21"/>
    <w:rsid w:val="00B47EEF"/>
    <w:rsid w:val="00B504FF"/>
    <w:rsid w:val="00B50F14"/>
    <w:rsid w:val="00B50F40"/>
    <w:rsid w:val="00B50F91"/>
    <w:rsid w:val="00B5170A"/>
    <w:rsid w:val="00B51BB1"/>
    <w:rsid w:val="00B532EE"/>
    <w:rsid w:val="00B54F61"/>
    <w:rsid w:val="00B54FB1"/>
    <w:rsid w:val="00B5564A"/>
    <w:rsid w:val="00B55808"/>
    <w:rsid w:val="00B56261"/>
    <w:rsid w:val="00B562FD"/>
    <w:rsid w:val="00B5648F"/>
    <w:rsid w:val="00B564C3"/>
    <w:rsid w:val="00B56ABE"/>
    <w:rsid w:val="00B57210"/>
    <w:rsid w:val="00B606B5"/>
    <w:rsid w:val="00B60DE6"/>
    <w:rsid w:val="00B60E64"/>
    <w:rsid w:val="00B61BC2"/>
    <w:rsid w:val="00B623C7"/>
    <w:rsid w:val="00B62D65"/>
    <w:rsid w:val="00B630E8"/>
    <w:rsid w:val="00B63E5F"/>
    <w:rsid w:val="00B64EF6"/>
    <w:rsid w:val="00B670BC"/>
    <w:rsid w:val="00B6721A"/>
    <w:rsid w:val="00B67F00"/>
    <w:rsid w:val="00B70308"/>
    <w:rsid w:val="00B7078E"/>
    <w:rsid w:val="00B70B6B"/>
    <w:rsid w:val="00B714B6"/>
    <w:rsid w:val="00B71A46"/>
    <w:rsid w:val="00B71AA0"/>
    <w:rsid w:val="00B71B5D"/>
    <w:rsid w:val="00B720DF"/>
    <w:rsid w:val="00B72AD7"/>
    <w:rsid w:val="00B72AF0"/>
    <w:rsid w:val="00B7367B"/>
    <w:rsid w:val="00B73C27"/>
    <w:rsid w:val="00B7462A"/>
    <w:rsid w:val="00B749DE"/>
    <w:rsid w:val="00B74EDE"/>
    <w:rsid w:val="00B74F6F"/>
    <w:rsid w:val="00B761DE"/>
    <w:rsid w:val="00B76409"/>
    <w:rsid w:val="00B76C56"/>
    <w:rsid w:val="00B77A96"/>
    <w:rsid w:val="00B815B5"/>
    <w:rsid w:val="00B83190"/>
    <w:rsid w:val="00B83620"/>
    <w:rsid w:val="00B8371C"/>
    <w:rsid w:val="00B83A1C"/>
    <w:rsid w:val="00B84B29"/>
    <w:rsid w:val="00B85101"/>
    <w:rsid w:val="00B8545A"/>
    <w:rsid w:val="00B8713D"/>
    <w:rsid w:val="00B87660"/>
    <w:rsid w:val="00B9028A"/>
    <w:rsid w:val="00B90B96"/>
    <w:rsid w:val="00B911A0"/>
    <w:rsid w:val="00B91C0F"/>
    <w:rsid w:val="00B92032"/>
    <w:rsid w:val="00B927AD"/>
    <w:rsid w:val="00B92CBF"/>
    <w:rsid w:val="00B9365E"/>
    <w:rsid w:val="00B93845"/>
    <w:rsid w:val="00B94C9C"/>
    <w:rsid w:val="00B950B1"/>
    <w:rsid w:val="00B952E3"/>
    <w:rsid w:val="00B95932"/>
    <w:rsid w:val="00B959EE"/>
    <w:rsid w:val="00B95CE1"/>
    <w:rsid w:val="00B9641A"/>
    <w:rsid w:val="00B96B15"/>
    <w:rsid w:val="00B96FA8"/>
    <w:rsid w:val="00B97680"/>
    <w:rsid w:val="00BA04E0"/>
    <w:rsid w:val="00BA0955"/>
    <w:rsid w:val="00BA0A63"/>
    <w:rsid w:val="00BA1638"/>
    <w:rsid w:val="00BA170C"/>
    <w:rsid w:val="00BA1A3A"/>
    <w:rsid w:val="00BA4B26"/>
    <w:rsid w:val="00BA4D30"/>
    <w:rsid w:val="00BA55A8"/>
    <w:rsid w:val="00BA6025"/>
    <w:rsid w:val="00BA686E"/>
    <w:rsid w:val="00BA6932"/>
    <w:rsid w:val="00BA7E5E"/>
    <w:rsid w:val="00BB0A1D"/>
    <w:rsid w:val="00BB0BF5"/>
    <w:rsid w:val="00BB0C49"/>
    <w:rsid w:val="00BB1836"/>
    <w:rsid w:val="00BB24B7"/>
    <w:rsid w:val="00BB3B3D"/>
    <w:rsid w:val="00BB3B7D"/>
    <w:rsid w:val="00BB3DC9"/>
    <w:rsid w:val="00BB4008"/>
    <w:rsid w:val="00BB438D"/>
    <w:rsid w:val="00BB49F5"/>
    <w:rsid w:val="00BB5DA6"/>
    <w:rsid w:val="00BB6EAA"/>
    <w:rsid w:val="00BC0142"/>
    <w:rsid w:val="00BC3C58"/>
    <w:rsid w:val="00BC4604"/>
    <w:rsid w:val="00BC4744"/>
    <w:rsid w:val="00BC4D36"/>
    <w:rsid w:val="00BC4F06"/>
    <w:rsid w:val="00BC4F95"/>
    <w:rsid w:val="00BC553D"/>
    <w:rsid w:val="00BC5CBE"/>
    <w:rsid w:val="00BC5D09"/>
    <w:rsid w:val="00BC639F"/>
    <w:rsid w:val="00BC66B6"/>
    <w:rsid w:val="00BC75B2"/>
    <w:rsid w:val="00BC7B41"/>
    <w:rsid w:val="00BD154F"/>
    <w:rsid w:val="00BD1952"/>
    <w:rsid w:val="00BD1966"/>
    <w:rsid w:val="00BD19DB"/>
    <w:rsid w:val="00BD27DD"/>
    <w:rsid w:val="00BD3C2D"/>
    <w:rsid w:val="00BD4808"/>
    <w:rsid w:val="00BD4E10"/>
    <w:rsid w:val="00BD53F7"/>
    <w:rsid w:val="00BD6332"/>
    <w:rsid w:val="00BD7183"/>
    <w:rsid w:val="00BD7B2D"/>
    <w:rsid w:val="00BE0F57"/>
    <w:rsid w:val="00BE2F98"/>
    <w:rsid w:val="00BE3C1B"/>
    <w:rsid w:val="00BE3CA5"/>
    <w:rsid w:val="00BE56D6"/>
    <w:rsid w:val="00BE5F99"/>
    <w:rsid w:val="00BE648F"/>
    <w:rsid w:val="00BE6DF0"/>
    <w:rsid w:val="00BE7BFB"/>
    <w:rsid w:val="00BF014B"/>
    <w:rsid w:val="00BF01D3"/>
    <w:rsid w:val="00BF0645"/>
    <w:rsid w:val="00BF0667"/>
    <w:rsid w:val="00BF2CF4"/>
    <w:rsid w:val="00BF3340"/>
    <w:rsid w:val="00BF3E6B"/>
    <w:rsid w:val="00BF3F4D"/>
    <w:rsid w:val="00BF547C"/>
    <w:rsid w:val="00BF5EB6"/>
    <w:rsid w:val="00BF5F7E"/>
    <w:rsid w:val="00BF68C9"/>
    <w:rsid w:val="00BF6A6B"/>
    <w:rsid w:val="00BF6E65"/>
    <w:rsid w:val="00BF7AF9"/>
    <w:rsid w:val="00BF7ED4"/>
    <w:rsid w:val="00C006C7"/>
    <w:rsid w:val="00C016E6"/>
    <w:rsid w:val="00C03000"/>
    <w:rsid w:val="00C033E5"/>
    <w:rsid w:val="00C03A68"/>
    <w:rsid w:val="00C05664"/>
    <w:rsid w:val="00C05DFF"/>
    <w:rsid w:val="00C066FD"/>
    <w:rsid w:val="00C06FFA"/>
    <w:rsid w:val="00C0792C"/>
    <w:rsid w:val="00C1139C"/>
    <w:rsid w:val="00C1370A"/>
    <w:rsid w:val="00C14C55"/>
    <w:rsid w:val="00C14D6D"/>
    <w:rsid w:val="00C14E88"/>
    <w:rsid w:val="00C157E9"/>
    <w:rsid w:val="00C167DB"/>
    <w:rsid w:val="00C16F88"/>
    <w:rsid w:val="00C177F8"/>
    <w:rsid w:val="00C20E05"/>
    <w:rsid w:val="00C21DB8"/>
    <w:rsid w:val="00C229E5"/>
    <w:rsid w:val="00C236DC"/>
    <w:rsid w:val="00C23CB0"/>
    <w:rsid w:val="00C23FBC"/>
    <w:rsid w:val="00C2566A"/>
    <w:rsid w:val="00C25B52"/>
    <w:rsid w:val="00C25C6A"/>
    <w:rsid w:val="00C261C1"/>
    <w:rsid w:val="00C3040A"/>
    <w:rsid w:val="00C326DC"/>
    <w:rsid w:val="00C32B79"/>
    <w:rsid w:val="00C35385"/>
    <w:rsid w:val="00C36B0E"/>
    <w:rsid w:val="00C37663"/>
    <w:rsid w:val="00C37693"/>
    <w:rsid w:val="00C37F69"/>
    <w:rsid w:val="00C404DE"/>
    <w:rsid w:val="00C4099C"/>
    <w:rsid w:val="00C40C82"/>
    <w:rsid w:val="00C41396"/>
    <w:rsid w:val="00C41A59"/>
    <w:rsid w:val="00C44179"/>
    <w:rsid w:val="00C44E04"/>
    <w:rsid w:val="00C45EF8"/>
    <w:rsid w:val="00C50505"/>
    <w:rsid w:val="00C51D3F"/>
    <w:rsid w:val="00C51D58"/>
    <w:rsid w:val="00C52C9D"/>
    <w:rsid w:val="00C53382"/>
    <w:rsid w:val="00C538A4"/>
    <w:rsid w:val="00C53CE7"/>
    <w:rsid w:val="00C54030"/>
    <w:rsid w:val="00C54442"/>
    <w:rsid w:val="00C54BA3"/>
    <w:rsid w:val="00C54BC7"/>
    <w:rsid w:val="00C572B3"/>
    <w:rsid w:val="00C57B67"/>
    <w:rsid w:val="00C57EB0"/>
    <w:rsid w:val="00C6135E"/>
    <w:rsid w:val="00C61376"/>
    <w:rsid w:val="00C63694"/>
    <w:rsid w:val="00C63A12"/>
    <w:rsid w:val="00C63A7E"/>
    <w:rsid w:val="00C63E7B"/>
    <w:rsid w:val="00C653C8"/>
    <w:rsid w:val="00C65601"/>
    <w:rsid w:val="00C67453"/>
    <w:rsid w:val="00C67B83"/>
    <w:rsid w:val="00C67E0A"/>
    <w:rsid w:val="00C70805"/>
    <w:rsid w:val="00C70CD6"/>
    <w:rsid w:val="00C70DC5"/>
    <w:rsid w:val="00C70F14"/>
    <w:rsid w:val="00C72696"/>
    <w:rsid w:val="00C7338B"/>
    <w:rsid w:val="00C73462"/>
    <w:rsid w:val="00C7375E"/>
    <w:rsid w:val="00C73CA0"/>
    <w:rsid w:val="00C74CAE"/>
    <w:rsid w:val="00C756D7"/>
    <w:rsid w:val="00C75E9A"/>
    <w:rsid w:val="00C765AB"/>
    <w:rsid w:val="00C7678D"/>
    <w:rsid w:val="00C77C49"/>
    <w:rsid w:val="00C77CB1"/>
    <w:rsid w:val="00C77E0C"/>
    <w:rsid w:val="00C80BC5"/>
    <w:rsid w:val="00C813FF"/>
    <w:rsid w:val="00C820C0"/>
    <w:rsid w:val="00C828C6"/>
    <w:rsid w:val="00C8334A"/>
    <w:rsid w:val="00C838C3"/>
    <w:rsid w:val="00C83967"/>
    <w:rsid w:val="00C83AA7"/>
    <w:rsid w:val="00C83DC8"/>
    <w:rsid w:val="00C83FCC"/>
    <w:rsid w:val="00C84DD8"/>
    <w:rsid w:val="00C8551B"/>
    <w:rsid w:val="00C866A0"/>
    <w:rsid w:val="00C8672F"/>
    <w:rsid w:val="00C87CD8"/>
    <w:rsid w:val="00C9050F"/>
    <w:rsid w:val="00C90AE5"/>
    <w:rsid w:val="00C92029"/>
    <w:rsid w:val="00C9219A"/>
    <w:rsid w:val="00C9261E"/>
    <w:rsid w:val="00C92AF3"/>
    <w:rsid w:val="00C94FAA"/>
    <w:rsid w:val="00C954EC"/>
    <w:rsid w:val="00C95E8D"/>
    <w:rsid w:val="00C965BA"/>
    <w:rsid w:val="00C965C4"/>
    <w:rsid w:val="00C96FE3"/>
    <w:rsid w:val="00C977E6"/>
    <w:rsid w:val="00C97A5A"/>
    <w:rsid w:val="00C97EBD"/>
    <w:rsid w:val="00CA0BFE"/>
    <w:rsid w:val="00CA25FD"/>
    <w:rsid w:val="00CA2AE0"/>
    <w:rsid w:val="00CA4ABA"/>
    <w:rsid w:val="00CA51F4"/>
    <w:rsid w:val="00CA59DE"/>
    <w:rsid w:val="00CA5A6A"/>
    <w:rsid w:val="00CA5C9E"/>
    <w:rsid w:val="00CA6423"/>
    <w:rsid w:val="00CA6959"/>
    <w:rsid w:val="00CA6D9C"/>
    <w:rsid w:val="00CA76EA"/>
    <w:rsid w:val="00CB061D"/>
    <w:rsid w:val="00CB0CE1"/>
    <w:rsid w:val="00CB1BFC"/>
    <w:rsid w:val="00CB1D43"/>
    <w:rsid w:val="00CB22AC"/>
    <w:rsid w:val="00CB2AB7"/>
    <w:rsid w:val="00CB2BF1"/>
    <w:rsid w:val="00CB2EF6"/>
    <w:rsid w:val="00CB411E"/>
    <w:rsid w:val="00CB494A"/>
    <w:rsid w:val="00CB544D"/>
    <w:rsid w:val="00CB5C08"/>
    <w:rsid w:val="00CB5DCA"/>
    <w:rsid w:val="00CB72CF"/>
    <w:rsid w:val="00CC15EB"/>
    <w:rsid w:val="00CC2424"/>
    <w:rsid w:val="00CC24AB"/>
    <w:rsid w:val="00CC2B5C"/>
    <w:rsid w:val="00CC34B6"/>
    <w:rsid w:val="00CC350F"/>
    <w:rsid w:val="00CC3E85"/>
    <w:rsid w:val="00CC4B29"/>
    <w:rsid w:val="00CC4FEE"/>
    <w:rsid w:val="00CC6BF9"/>
    <w:rsid w:val="00CD0D7C"/>
    <w:rsid w:val="00CD18FB"/>
    <w:rsid w:val="00CD2A22"/>
    <w:rsid w:val="00CD3515"/>
    <w:rsid w:val="00CD382F"/>
    <w:rsid w:val="00CD478D"/>
    <w:rsid w:val="00CD4D0E"/>
    <w:rsid w:val="00CD4EEF"/>
    <w:rsid w:val="00CD55A4"/>
    <w:rsid w:val="00CD582F"/>
    <w:rsid w:val="00CD5DDE"/>
    <w:rsid w:val="00CD63CD"/>
    <w:rsid w:val="00CD7F17"/>
    <w:rsid w:val="00CE1072"/>
    <w:rsid w:val="00CE11CD"/>
    <w:rsid w:val="00CE3174"/>
    <w:rsid w:val="00CE32F9"/>
    <w:rsid w:val="00CE3D7D"/>
    <w:rsid w:val="00CE3E1A"/>
    <w:rsid w:val="00CE5BF7"/>
    <w:rsid w:val="00CE6BEE"/>
    <w:rsid w:val="00CE6DFA"/>
    <w:rsid w:val="00CE717D"/>
    <w:rsid w:val="00CE751D"/>
    <w:rsid w:val="00CE7E1C"/>
    <w:rsid w:val="00CF04E6"/>
    <w:rsid w:val="00CF1E0B"/>
    <w:rsid w:val="00CF2072"/>
    <w:rsid w:val="00CF258B"/>
    <w:rsid w:val="00CF2728"/>
    <w:rsid w:val="00CF2A43"/>
    <w:rsid w:val="00CF4E03"/>
    <w:rsid w:val="00CF53D6"/>
    <w:rsid w:val="00CF5B6A"/>
    <w:rsid w:val="00CF70A6"/>
    <w:rsid w:val="00CF78F5"/>
    <w:rsid w:val="00CF7E43"/>
    <w:rsid w:val="00D00BF7"/>
    <w:rsid w:val="00D00E04"/>
    <w:rsid w:val="00D02755"/>
    <w:rsid w:val="00D03078"/>
    <w:rsid w:val="00D03D9D"/>
    <w:rsid w:val="00D0440C"/>
    <w:rsid w:val="00D047C3"/>
    <w:rsid w:val="00D04FFA"/>
    <w:rsid w:val="00D0512C"/>
    <w:rsid w:val="00D05280"/>
    <w:rsid w:val="00D059EA"/>
    <w:rsid w:val="00D05D1C"/>
    <w:rsid w:val="00D05FF1"/>
    <w:rsid w:val="00D06527"/>
    <w:rsid w:val="00D067E9"/>
    <w:rsid w:val="00D073CC"/>
    <w:rsid w:val="00D07C4C"/>
    <w:rsid w:val="00D1012C"/>
    <w:rsid w:val="00D101F1"/>
    <w:rsid w:val="00D10423"/>
    <w:rsid w:val="00D10774"/>
    <w:rsid w:val="00D1210E"/>
    <w:rsid w:val="00D126BC"/>
    <w:rsid w:val="00D14120"/>
    <w:rsid w:val="00D15DE2"/>
    <w:rsid w:val="00D172B1"/>
    <w:rsid w:val="00D17499"/>
    <w:rsid w:val="00D21206"/>
    <w:rsid w:val="00D214AF"/>
    <w:rsid w:val="00D21551"/>
    <w:rsid w:val="00D21C17"/>
    <w:rsid w:val="00D22777"/>
    <w:rsid w:val="00D227D7"/>
    <w:rsid w:val="00D22E43"/>
    <w:rsid w:val="00D23499"/>
    <w:rsid w:val="00D245DD"/>
    <w:rsid w:val="00D24D7D"/>
    <w:rsid w:val="00D254D9"/>
    <w:rsid w:val="00D255B7"/>
    <w:rsid w:val="00D2585B"/>
    <w:rsid w:val="00D25981"/>
    <w:rsid w:val="00D267D9"/>
    <w:rsid w:val="00D27371"/>
    <w:rsid w:val="00D27BA8"/>
    <w:rsid w:val="00D301FD"/>
    <w:rsid w:val="00D310CA"/>
    <w:rsid w:val="00D31106"/>
    <w:rsid w:val="00D324A9"/>
    <w:rsid w:val="00D329B8"/>
    <w:rsid w:val="00D34A78"/>
    <w:rsid w:val="00D40A8A"/>
    <w:rsid w:val="00D41126"/>
    <w:rsid w:val="00D411E1"/>
    <w:rsid w:val="00D42191"/>
    <w:rsid w:val="00D43C2B"/>
    <w:rsid w:val="00D44C63"/>
    <w:rsid w:val="00D44E70"/>
    <w:rsid w:val="00D4596D"/>
    <w:rsid w:val="00D45B56"/>
    <w:rsid w:val="00D4726C"/>
    <w:rsid w:val="00D475B7"/>
    <w:rsid w:val="00D5003A"/>
    <w:rsid w:val="00D5182F"/>
    <w:rsid w:val="00D51C63"/>
    <w:rsid w:val="00D5225F"/>
    <w:rsid w:val="00D525C7"/>
    <w:rsid w:val="00D52748"/>
    <w:rsid w:val="00D54062"/>
    <w:rsid w:val="00D54A52"/>
    <w:rsid w:val="00D55245"/>
    <w:rsid w:val="00D552C3"/>
    <w:rsid w:val="00D55D30"/>
    <w:rsid w:val="00D564CD"/>
    <w:rsid w:val="00D57D06"/>
    <w:rsid w:val="00D6002D"/>
    <w:rsid w:val="00D605DA"/>
    <w:rsid w:val="00D6065B"/>
    <w:rsid w:val="00D61598"/>
    <w:rsid w:val="00D6268D"/>
    <w:rsid w:val="00D64252"/>
    <w:rsid w:val="00D64259"/>
    <w:rsid w:val="00D647BA"/>
    <w:rsid w:val="00D650DD"/>
    <w:rsid w:val="00D65A26"/>
    <w:rsid w:val="00D66488"/>
    <w:rsid w:val="00D66822"/>
    <w:rsid w:val="00D66F8A"/>
    <w:rsid w:val="00D67580"/>
    <w:rsid w:val="00D67A24"/>
    <w:rsid w:val="00D70693"/>
    <w:rsid w:val="00D72024"/>
    <w:rsid w:val="00D7243C"/>
    <w:rsid w:val="00D72FA9"/>
    <w:rsid w:val="00D731C7"/>
    <w:rsid w:val="00D7332D"/>
    <w:rsid w:val="00D73B71"/>
    <w:rsid w:val="00D762E8"/>
    <w:rsid w:val="00D764C9"/>
    <w:rsid w:val="00D7701C"/>
    <w:rsid w:val="00D8033D"/>
    <w:rsid w:val="00D81453"/>
    <w:rsid w:val="00D815E7"/>
    <w:rsid w:val="00D82D8F"/>
    <w:rsid w:val="00D82F21"/>
    <w:rsid w:val="00D830FE"/>
    <w:rsid w:val="00D835ED"/>
    <w:rsid w:val="00D839CD"/>
    <w:rsid w:val="00D84181"/>
    <w:rsid w:val="00D841A5"/>
    <w:rsid w:val="00D85C5F"/>
    <w:rsid w:val="00D87A1F"/>
    <w:rsid w:val="00D87FF4"/>
    <w:rsid w:val="00D90047"/>
    <w:rsid w:val="00D91013"/>
    <w:rsid w:val="00D910DE"/>
    <w:rsid w:val="00D92A55"/>
    <w:rsid w:val="00D95045"/>
    <w:rsid w:val="00D95083"/>
    <w:rsid w:val="00D95440"/>
    <w:rsid w:val="00D956BF"/>
    <w:rsid w:val="00D95F82"/>
    <w:rsid w:val="00D96966"/>
    <w:rsid w:val="00D9721D"/>
    <w:rsid w:val="00D97328"/>
    <w:rsid w:val="00D9799C"/>
    <w:rsid w:val="00DA03F9"/>
    <w:rsid w:val="00DA0CE0"/>
    <w:rsid w:val="00DA14A5"/>
    <w:rsid w:val="00DA16CE"/>
    <w:rsid w:val="00DA16E0"/>
    <w:rsid w:val="00DA19B2"/>
    <w:rsid w:val="00DA23BA"/>
    <w:rsid w:val="00DA2B15"/>
    <w:rsid w:val="00DA2F20"/>
    <w:rsid w:val="00DA30B2"/>
    <w:rsid w:val="00DA3A89"/>
    <w:rsid w:val="00DA4977"/>
    <w:rsid w:val="00DA4B2E"/>
    <w:rsid w:val="00DA4B79"/>
    <w:rsid w:val="00DA548E"/>
    <w:rsid w:val="00DA618F"/>
    <w:rsid w:val="00DA76AC"/>
    <w:rsid w:val="00DB0748"/>
    <w:rsid w:val="00DB130E"/>
    <w:rsid w:val="00DB1E5E"/>
    <w:rsid w:val="00DB2590"/>
    <w:rsid w:val="00DB4012"/>
    <w:rsid w:val="00DB4C69"/>
    <w:rsid w:val="00DB5931"/>
    <w:rsid w:val="00DB5A7D"/>
    <w:rsid w:val="00DB613E"/>
    <w:rsid w:val="00DB78CE"/>
    <w:rsid w:val="00DB7B7B"/>
    <w:rsid w:val="00DC0F0C"/>
    <w:rsid w:val="00DC1A6C"/>
    <w:rsid w:val="00DC273B"/>
    <w:rsid w:val="00DC2EA4"/>
    <w:rsid w:val="00DC4F21"/>
    <w:rsid w:val="00DC6278"/>
    <w:rsid w:val="00DC70C6"/>
    <w:rsid w:val="00DD0A30"/>
    <w:rsid w:val="00DD0F82"/>
    <w:rsid w:val="00DD1226"/>
    <w:rsid w:val="00DD187B"/>
    <w:rsid w:val="00DD1D5D"/>
    <w:rsid w:val="00DD24CD"/>
    <w:rsid w:val="00DD2EC3"/>
    <w:rsid w:val="00DD3D83"/>
    <w:rsid w:val="00DD469C"/>
    <w:rsid w:val="00DD47B5"/>
    <w:rsid w:val="00DD4FAA"/>
    <w:rsid w:val="00DD5157"/>
    <w:rsid w:val="00DD586D"/>
    <w:rsid w:val="00DD5886"/>
    <w:rsid w:val="00DD5933"/>
    <w:rsid w:val="00DD5B7A"/>
    <w:rsid w:val="00DD62E4"/>
    <w:rsid w:val="00DE009A"/>
    <w:rsid w:val="00DE045B"/>
    <w:rsid w:val="00DE05D7"/>
    <w:rsid w:val="00DE1A33"/>
    <w:rsid w:val="00DE1ACA"/>
    <w:rsid w:val="00DE1CFA"/>
    <w:rsid w:val="00DE2750"/>
    <w:rsid w:val="00DE2AAA"/>
    <w:rsid w:val="00DE31B2"/>
    <w:rsid w:val="00DE462E"/>
    <w:rsid w:val="00DE48F3"/>
    <w:rsid w:val="00DE5935"/>
    <w:rsid w:val="00DE5B37"/>
    <w:rsid w:val="00DE6F95"/>
    <w:rsid w:val="00DF05DB"/>
    <w:rsid w:val="00DF0A2F"/>
    <w:rsid w:val="00DF11F9"/>
    <w:rsid w:val="00DF1316"/>
    <w:rsid w:val="00DF15E6"/>
    <w:rsid w:val="00DF231F"/>
    <w:rsid w:val="00DF258E"/>
    <w:rsid w:val="00DF395B"/>
    <w:rsid w:val="00DF4D7A"/>
    <w:rsid w:val="00DF51AB"/>
    <w:rsid w:val="00DF5977"/>
    <w:rsid w:val="00DF5BE8"/>
    <w:rsid w:val="00E00A2E"/>
    <w:rsid w:val="00E01A6D"/>
    <w:rsid w:val="00E01D4A"/>
    <w:rsid w:val="00E01D9F"/>
    <w:rsid w:val="00E02DB9"/>
    <w:rsid w:val="00E0348D"/>
    <w:rsid w:val="00E0370D"/>
    <w:rsid w:val="00E0390A"/>
    <w:rsid w:val="00E03C91"/>
    <w:rsid w:val="00E04592"/>
    <w:rsid w:val="00E05F7D"/>
    <w:rsid w:val="00E07039"/>
    <w:rsid w:val="00E07478"/>
    <w:rsid w:val="00E076CC"/>
    <w:rsid w:val="00E07FD5"/>
    <w:rsid w:val="00E104F5"/>
    <w:rsid w:val="00E10853"/>
    <w:rsid w:val="00E1213C"/>
    <w:rsid w:val="00E122D4"/>
    <w:rsid w:val="00E126EA"/>
    <w:rsid w:val="00E12E6A"/>
    <w:rsid w:val="00E14DC0"/>
    <w:rsid w:val="00E14FA2"/>
    <w:rsid w:val="00E1581E"/>
    <w:rsid w:val="00E15FA9"/>
    <w:rsid w:val="00E171F2"/>
    <w:rsid w:val="00E21061"/>
    <w:rsid w:val="00E21926"/>
    <w:rsid w:val="00E22378"/>
    <w:rsid w:val="00E231D5"/>
    <w:rsid w:val="00E231D8"/>
    <w:rsid w:val="00E24D20"/>
    <w:rsid w:val="00E258E4"/>
    <w:rsid w:val="00E2631B"/>
    <w:rsid w:val="00E264D1"/>
    <w:rsid w:val="00E26A90"/>
    <w:rsid w:val="00E27B7F"/>
    <w:rsid w:val="00E30DF1"/>
    <w:rsid w:val="00E311FB"/>
    <w:rsid w:val="00E31659"/>
    <w:rsid w:val="00E319B6"/>
    <w:rsid w:val="00E3445A"/>
    <w:rsid w:val="00E351F4"/>
    <w:rsid w:val="00E369F7"/>
    <w:rsid w:val="00E36E40"/>
    <w:rsid w:val="00E37308"/>
    <w:rsid w:val="00E37825"/>
    <w:rsid w:val="00E378B9"/>
    <w:rsid w:val="00E421A8"/>
    <w:rsid w:val="00E424E7"/>
    <w:rsid w:val="00E428C8"/>
    <w:rsid w:val="00E43489"/>
    <w:rsid w:val="00E44157"/>
    <w:rsid w:val="00E45860"/>
    <w:rsid w:val="00E466DA"/>
    <w:rsid w:val="00E479A8"/>
    <w:rsid w:val="00E47DB0"/>
    <w:rsid w:val="00E50A46"/>
    <w:rsid w:val="00E50C23"/>
    <w:rsid w:val="00E5151A"/>
    <w:rsid w:val="00E518A3"/>
    <w:rsid w:val="00E523EE"/>
    <w:rsid w:val="00E52E72"/>
    <w:rsid w:val="00E53141"/>
    <w:rsid w:val="00E53860"/>
    <w:rsid w:val="00E5476F"/>
    <w:rsid w:val="00E55184"/>
    <w:rsid w:val="00E561A2"/>
    <w:rsid w:val="00E57297"/>
    <w:rsid w:val="00E57D69"/>
    <w:rsid w:val="00E60A4D"/>
    <w:rsid w:val="00E61381"/>
    <w:rsid w:val="00E61800"/>
    <w:rsid w:val="00E621E4"/>
    <w:rsid w:val="00E62822"/>
    <w:rsid w:val="00E63C17"/>
    <w:rsid w:val="00E6450D"/>
    <w:rsid w:val="00E65AF7"/>
    <w:rsid w:val="00E66ADE"/>
    <w:rsid w:val="00E675D7"/>
    <w:rsid w:val="00E70D61"/>
    <w:rsid w:val="00E719FD"/>
    <w:rsid w:val="00E743C8"/>
    <w:rsid w:val="00E74646"/>
    <w:rsid w:val="00E757CB"/>
    <w:rsid w:val="00E759FB"/>
    <w:rsid w:val="00E76659"/>
    <w:rsid w:val="00E76680"/>
    <w:rsid w:val="00E766B7"/>
    <w:rsid w:val="00E76DBE"/>
    <w:rsid w:val="00E774FB"/>
    <w:rsid w:val="00E77BA6"/>
    <w:rsid w:val="00E818E7"/>
    <w:rsid w:val="00E81C72"/>
    <w:rsid w:val="00E81D59"/>
    <w:rsid w:val="00E82D1C"/>
    <w:rsid w:val="00E84731"/>
    <w:rsid w:val="00E855B4"/>
    <w:rsid w:val="00E85B7E"/>
    <w:rsid w:val="00E8725B"/>
    <w:rsid w:val="00E87BCB"/>
    <w:rsid w:val="00E9001A"/>
    <w:rsid w:val="00E913F1"/>
    <w:rsid w:val="00E91551"/>
    <w:rsid w:val="00E91946"/>
    <w:rsid w:val="00E92074"/>
    <w:rsid w:val="00E92345"/>
    <w:rsid w:val="00E938BF"/>
    <w:rsid w:val="00E93920"/>
    <w:rsid w:val="00E93B8F"/>
    <w:rsid w:val="00E93CC4"/>
    <w:rsid w:val="00E94B46"/>
    <w:rsid w:val="00E96257"/>
    <w:rsid w:val="00E97191"/>
    <w:rsid w:val="00EA00FB"/>
    <w:rsid w:val="00EA1375"/>
    <w:rsid w:val="00EA13AF"/>
    <w:rsid w:val="00EA17B1"/>
    <w:rsid w:val="00EA1AE8"/>
    <w:rsid w:val="00EA21CA"/>
    <w:rsid w:val="00EA26CF"/>
    <w:rsid w:val="00EA333E"/>
    <w:rsid w:val="00EA4087"/>
    <w:rsid w:val="00EA4167"/>
    <w:rsid w:val="00EA4D61"/>
    <w:rsid w:val="00EA4F26"/>
    <w:rsid w:val="00EA6FF1"/>
    <w:rsid w:val="00EA7A65"/>
    <w:rsid w:val="00EB14FA"/>
    <w:rsid w:val="00EB19A8"/>
    <w:rsid w:val="00EB22F9"/>
    <w:rsid w:val="00EB2F61"/>
    <w:rsid w:val="00EB3CDF"/>
    <w:rsid w:val="00EB4657"/>
    <w:rsid w:val="00EB570D"/>
    <w:rsid w:val="00EB6629"/>
    <w:rsid w:val="00EC036A"/>
    <w:rsid w:val="00EC1141"/>
    <w:rsid w:val="00EC12B7"/>
    <w:rsid w:val="00EC1FFA"/>
    <w:rsid w:val="00EC3DCF"/>
    <w:rsid w:val="00EC3E14"/>
    <w:rsid w:val="00EC40DC"/>
    <w:rsid w:val="00EC4B50"/>
    <w:rsid w:val="00EC4D73"/>
    <w:rsid w:val="00EC513A"/>
    <w:rsid w:val="00EC7509"/>
    <w:rsid w:val="00EC7725"/>
    <w:rsid w:val="00EC7814"/>
    <w:rsid w:val="00ED004A"/>
    <w:rsid w:val="00ED0106"/>
    <w:rsid w:val="00ED06EC"/>
    <w:rsid w:val="00ED168B"/>
    <w:rsid w:val="00ED203B"/>
    <w:rsid w:val="00ED2C77"/>
    <w:rsid w:val="00ED3198"/>
    <w:rsid w:val="00ED465C"/>
    <w:rsid w:val="00ED48D5"/>
    <w:rsid w:val="00ED4A03"/>
    <w:rsid w:val="00ED556B"/>
    <w:rsid w:val="00ED5C82"/>
    <w:rsid w:val="00ED6917"/>
    <w:rsid w:val="00ED6BBC"/>
    <w:rsid w:val="00ED7C00"/>
    <w:rsid w:val="00EE0983"/>
    <w:rsid w:val="00EE1A3C"/>
    <w:rsid w:val="00EE1FF2"/>
    <w:rsid w:val="00EE2093"/>
    <w:rsid w:val="00EE2A29"/>
    <w:rsid w:val="00EE3C7D"/>
    <w:rsid w:val="00EE43C5"/>
    <w:rsid w:val="00EE5394"/>
    <w:rsid w:val="00EE6342"/>
    <w:rsid w:val="00EE6BE7"/>
    <w:rsid w:val="00EE6EAB"/>
    <w:rsid w:val="00EE769E"/>
    <w:rsid w:val="00EE7D64"/>
    <w:rsid w:val="00EF1A93"/>
    <w:rsid w:val="00EF2FE9"/>
    <w:rsid w:val="00EF4AE8"/>
    <w:rsid w:val="00EF52A6"/>
    <w:rsid w:val="00EF5336"/>
    <w:rsid w:val="00EF5402"/>
    <w:rsid w:val="00EF6E52"/>
    <w:rsid w:val="00F00765"/>
    <w:rsid w:val="00F00D14"/>
    <w:rsid w:val="00F014A4"/>
    <w:rsid w:val="00F02321"/>
    <w:rsid w:val="00F033B0"/>
    <w:rsid w:val="00F03574"/>
    <w:rsid w:val="00F03BDB"/>
    <w:rsid w:val="00F048AC"/>
    <w:rsid w:val="00F05DF5"/>
    <w:rsid w:val="00F06C97"/>
    <w:rsid w:val="00F072FB"/>
    <w:rsid w:val="00F10DC8"/>
    <w:rsid w:val="00F11295"/>
    <w:rsid w:val="00F11CC7"/>
    <w:rsid w:val="00F12787"/>
    <w:rsid w:val="00F12D10"/>
    <w:rsid w:val="00F12D33"/>
    <w:rsid w:val="00F134BD"/>
    <w:rsid w:val="00F15659"/>
    <w:rsid w:val="00F15F52"/>
    <w:rsid w:val="00F16192"/>
    <w:rsid w:val="00F16B38"/>
    <w:rsid w:val="00F17004"/>
    <w:rsid w:val="00F17432"/>
    <w:rsid w:val="00F179B4"/>
    <w:rsid w:val="00F2011B"/>
    <w:rsid w:val="00F20B81"/>
    <w:rsid w:val="00F21B76"/>
    <w:rsid w:val="00F23D00"/>
    <w:rsid w:val="00F311F4"/>
    <w:rsid w:val="00F31381"/>
    <w:rsid w:val="00F31499"/>
    <w:rsid w:val="00F3189A"/>
    <w:rsid w:val="00F31BA7"/>
    <w:rsid w:val="00F33086"/>
    <w:rsid w:val="00F339D5"/>
    <w:rsid w:val="00F33E10"/>
    <w:rsid w:val="00F352D3"/>
    <w:rsid w:val="00F35D0E"/>
    <w:rsid w:val="00F3633D"/>
    <w:rsid w:val="00F3634C"/>
    <w:rsid w:val="00F377E3"/>
    <w:rsid w:val="00F4127B"/>
    <w:rsid w:val="00F42749"/>
    <w:rsid w:val="00F4289A"/>
    <w:rsid w:val="00F42DD4"/>
    <w:rsid w:val="00F432FE"/>
    <w:rsid w:val="00F43ADB"/>
    <w:rsid w:val="00F444CC"/>
    <w:rsid w:val="00F45135"/>
    <w:rsid w:val="00F453BE"/>
    <w:rsid w:val="00F45D4B"/>
    <w:rsid w:val="00F45E2F"/>
    <w:rsid w:val="00F46AD6"/>
    <w:rsid w:val="00F47CF7"/>
    <w:rsid w:val="00F50920"/>
    <w:rsid w:val="00F514A3"/>
    <w:rsid w:val="00F5233F"/>
    <w:rsid w:val="00F534E3"/>
    <w:rsid w:val="00F538D8"/>
    <w:rsid w:val="00F544C3"/>
    <w:rsid w:val="00F5544B"/>
    <w:rsid w:val="00F55498"/>
    <w:rsid w:val="00F5674D"/>
    <w:rsid w:val="00F56DB0"/>
    <w:rsid w:val="00F57339"/>
    <w:rsid w:val="00F57ABE"/>
    <w:rsid w:val="00F61479"/>
    <w:rsid w:val="00F6187E"/>
    <w:rsid w:val="00F618C4"/>
    <w:rsid w:val="00F61B2E"/>
    <w:rsid w:val="00F61B9E"/>
    <w:rsid w:val="00F63382"/>
    <w:rsid w:val="00F63507"/>
    <w:rsid w:val="00F63AA4"/>
    <w:rsid w:val="00F64DFE"/>
    <w:rsid w:val="00F65950"/>
    <w:rsid w:val="00F66587"/>
    <w:rsid w:val="00F665ED"/>
    <w:rsid w:val="00F6673D"/>
    <w:rsid w:val="00F672D6"/>
    <w:rsid w:val="00F7122A"/>
    <w:rsid w:val="00F723D6"/>
    <w:rsid w:val="00F72F4A"/>
    <w:rsid w:val="00F74261"/>
    <w:rsid w:val="00F74F3E"/>
    <w:rsid w:val="00F77332"/>
    <w:rsid w:val="00F77411"/>
    <w:rsid w:val="00F804C1"/>
    <w:rsid w:val="00F80B02"/>
    <w:rsid w:val="00F80C31"/>
    <w:rsid w:val="00F80F56"/>
    <w:rsid w:val="00F815B4"/>
    <w:rsid w:val="00F820C1"/>
    <w:rsid w:val="00F82564"/>
    <w:rsid w:val="00F82B71"/>
    <w:rsid w:val="00F83666"/>
    <w:rsid w:val="00F8396B"/>
    <w:rsid w:val="00F84B69"/>
    <w:rsid w:val="00F84BF4"/>
    <w:rsid w:val="00F84C0A"/>
    <w:rsid w:val="00F84D00"/>
    <w:rsid w:val="00F84F82"/>
    <w:rsid w:val="00F86679"/>
    <w:rsid w:val="00F8774F"/>
    <w:rsid w:val="00F9011E"/>
    <w:rsid w:val="00F925A2"/>
    <w:rsid w:val="00F926F8"/>
    <w:rsid w:val="00F93857"/>
    <w:rsid w:val="00F9509D"/>
    <w:rsid w:val="00F9531A"/>
    <w:rsid w:val="00F97939"/>
    <w:rsid w:val="00F9797D"/>
    <w:rsid w:val="00FA07FC"/>
    <w:rsid w:val="00FA0AFC"/>
    <w:rsid w:val="00FA0C6D"/>
    <w:rsid w:val="00FA234D"/>
    <w:rsid w:val="00FA2756"/>
    <w:rsid w:val="00FA2AE6"/>
    <w:rsid w:val="00FA37C1"/>
    <w:rsid w:val="00FA3836"/>
    <w:rsid w:val="00FA3972"/>
    <w:rsid w:val="00FA3C9C"/>
    <w:rsid w:val="00FA3CFF"/>
    <w:rsid w:val="00FA41C9"/>
    <w:rsid w:val="00FA41E7"/>
    <w:rsid w:val="00FA70FE"/>
    <w:rsid w:val="00FA7CB9"/>
    <w:rsid w:val="00FB0C13"/>
    <w:rsid w:val="00FB18C5"/>
    <w:rsid w:val="00FB1B6A"/>
    <w:rsid w:val="00FB33B8"/>
    <w:rsid w:val="00FB3976"/>
    <w:rsid w:val="00FB3F40"/>
    <w:rsid w:val="00FB420B"/>
    <w:rsid w:val="00FB42F6"/>
    <w:rsid w:val="00FB4AD5"/>
    <w:rsid w:val="00FB5230"/>
    <w:rsid w:val="00FB52AE"/>
    <w:rsid w:val="00FB664E"/>
    <w:rsid w:val="00FB6831"/>
    <w:rsid w:val="00FB6978"/>
    <w:rsid w:val="00FB789B"/>
    <w:rsid w:val="00FB7B49"/>
    <w:rsid w:val="00FC09EC"/>
    <w:rsid w:val="00FC112D"/>
    <w:rsid w:val="00FC1187"/>
    <w:rsid w:val="00FC194D"/>
    <w:rsid w:val="00FC2BF6"/>
    <w:rsid w:val="00FC2BFA"/>
    <w:rsid w:val="00FC2CE4"/>
    <w:rsid w:val="00FC2F99"/>
    <w:rsid w:val="00FC35FE"/>
    <w:rsid w:val="00FC379F"/>
    <w:rsid w:val="00FC3AAC"/>
    <w:rsid w:val="00FC438E"/>
    <w:rsid w:val="00FC4BAF"/>
    <w:rsid w:val="00FC5AC7"/>
    <w:rsid w:val="00FC6A7A"/>
    <w:rsid w:val="00FC6DF4"/>
    <w:rsid w:val="00FD0716"/>
    <w:rsid w:val="00FD1E49"/>
    <w:rsid w:val="00FD24E8"/>
    <w:rsid w:val="00FD2E75"/>
    <w:rsid w:val="00FD33D2"/>
    <w:rsid w:val="00FD436F"/>
    <w:rsid w:val="00FD504A"/>
    <w:rsid w:val="00FD58B7"/>
    <w:rsid w:val="00FD66FB"/>
    <w:rsid w:val="00FD71C0"/>
    <w:rsid w:val="00FD71D5"/>
    <w:rsid w:val="00FE107A"/>
    <w:rsid w:val="00FE15B6"/>
    <w:rsid w:val="00FE16D2"/>
    <w:rsid w:val="00FE2EA8"/>
    <w:rsid w:val="00FE3254"/>
    <w:rsid w:val="00FE41B9"/>
    <w:rsid w:val="00FE5101"/>
    <w:rsid w:val="00FE5FCB"/>
    <w:rsid w:val="00FE7D34"/>
    <w:rsid w:val="00FF1790"/>
    <w:rsid w:val="00FF18A6"/>
    <w:rsid w:val="00FF1FAB"/>
    <w:rsid w:val="00FF1FCA"/>
    <w:rsid w:val="00FF20EE"/>
    <w:rsid w:val="00FF22B6"/>
    <w:rsid w:val="00FF2998"/>
    <w:rsid w:val="00FF2ED7"/>
    <w:rsid w:val="00FF37A4"/>
    <w:rsid w:val="00FF475F"/>
    <w:rsid w:val="00FF481E"/>
    <w:rsid w:val="00FF4C6F"/>
    <w:rsid w:val="00FF4D0A"/>
    <w:rsid w:val="00FF4DA6"/>
    <w:rsid w:val="00FF4F68"/>
    <w:rsid w:val="00FF7A62"/>
    <w:rsid w:val="00FF7AC2"/>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B1BEB"/>
  <w15:chartTrackingRefBased/>
  <w15:docId w15:val="{B2B28EEC-8216-4559-93B6-2F9FFE09A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993"/>
    <w:pPr>
      <w:spacing w:before="120" w:after="120" w:line="276" w:lineRule="auto"/>
    </w:pPr>
    <w:rPr>
      <w:rFonts w:ascii="Readex Pro" w:hAnsi="Readex Pro" w:cs="Poppins"/>
      <w:color w:val="0D3946" w:themeColor="accent1"/>
      <w:sz w:val="18"/>
      <w:lang w:eastAsia="en-GB"/>
    </w:rPr>
  </w:style>
  <w:style w:type="paragraph" w:styleId="Heading1">
    <w:name w:val="heading 1"/>
    <w:basedOn w:val="Normal"/>
    <w:next w:val="Normal"/>
    <w:link w:val="Heading1Char"/>
    <w:uiPriority w:val="9"/>
    <w:qFormat/>
    <w:rsid w:val="00FC2CE4"/>
    <w:pPr>
      <w:keepNext/>
      <w:keepLines/>
      <w:outlineLvl w:val="0"/>
    </w:pPr>
    <w:rPr>
      <w:rFonts w:ascii="Readex Pro Medium" w:eastAsiaTheme="majorEastAsia" w:hAnsi="Readex Pro Medium" w:cstheme="majorBidi"/>
      <w:color w:val="719243" w:themeColor="accent2"/>
      <w:sz w:val="60"/>
      <w:szCs w:val="32"/>
    </w:rPr>
  </w:style>
  <w:style w:type="paragraph" w:styleId="Heading2">
    <w:name w:val="heading 2"/>
    <w:basedOn w:val="Heading1"/>
    <w:next w:val="Normal"/>
    <w:link w:val="Heading2Char"/>
    <w:uiPriority w:val="9"/>
    <w:unhideWhenUsed/>
    <w:qFormat/>
    <w:rsid w:val="00FC2CE4"/>
    <w:pPr>
      <w:spacing w:before="40"/>
      <w:outlineLvl w:val="1"/>
    </w:pPr>
    <w:rPr>
      <w:sz w:val="50"/>
      <w:szCs w:val="26"/>
    </w:rPr>
  </w:style>
  <w:style w:type="paragraph" w:styleId="Heading3">
    <w:name w:val="heading 3"/>
    <w:basedOn w:val="Normal"/>
    <w:next w:val="Normal"/>
    <w:link w:val="Heading3Char"/>
    <w:uiPriority w:val="9"/>
    <w:unhideWhenUsed/>
    <w:qFormat/>
    <w:rsid w:val="00FC2CE4"/>
    <w:pPr>
      <w:keepNext/>
      <w:keepLines/>
      <w:spacing w:before="40"/>
      <w:outlineLvl w:val="2"/>
    </w:pPr>
    <w:rPr>
      <w:rFonts w:ascii="Readex Pro Medium" w:eastAsiaTheme="majorEastAsia" w:hAnsi="Readex Pro Medium" w:cstheme="majorBidi"/>
      <w:color w:val="937CB9" w:themeColor="accent3"/>
      <w:sz w:val="40"/>
    </w:rPr>
  </w:style>
  <w:style w:type="paragraph" w:styleId="Heading4">
    <w:name w:val="heading 4"/>
    <w:basedOn w:val="Normal"/>
    <w:next w:val="Normal"/>
    <w:link w:val="Heading4Char"/>
    <w:uiPriority w:val="9"/>
    <w:unhideWhenUsed/>
    <w:qFormat/>
    <w:rsid w:val="007447B2"/>
    <w:pPr>
      <w:keepNext/>
      <w:keepLines/>
      <w:spacing w:before="40"/>
      <w:outlineLvl w:val="3"/>
    </w:pPr>
    <w:rPr>
      <w:rFonts w:eastAsiaTheme="majorEastAsia" w:cstheme="majorBidi"/>
      <w:iCs/>
      <w:color w:val="937CB9" w:themeColor="accent3"/>
      <w:sz w:val="28"/>
    </w:rPr>
  </w:style>
  <w:style w:type="paragraph" w:styleId="Heading5">
    <w:name w:val="heading 5"/>
    <w:basedOn w:val="Normal"/>
    <w:next w:val="Normal"/>
    <w:link w:val="Heading5Char"/>
    <w:uiPriority w:val="9"/>
    <w:unhideWhenUsed/>
    <w:qFormat/>
    <w:rsid w:val="00002993"/>
    <w:pPr>
      <w:keepNext/>
      <w:keepLines/>
      <w:outlineLvl w:val="4"/>
    </w:pPr>
    <w:rPr>
      <w:rFonts w:eastAsiaTheme="majorEastAsia" w:cs="Readex Pro"/>
      <w:color w:val="937CB9" w:themeColor="accent3"/>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1D5"/>
    <w:pPr>
      <w:spacing w:before="100" w:beforeAutospacing="1" w:after="100" w:afterAutospacing="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FC2CE4"/>
    <w:rPr>
      <w:rFonts w:ascii="Readex Pro Medium" w:eastAsiaTheme="majorEastAsia" w:hAnsi="Readex Pro Medium" w:cstheme="majorBidi"/>
      <w:color w:val="719243" w:themeColor="accent2"/>
      <w:sz w:val="60"/>
      <w:szCs w:val="32"/>
    </w:rPr>
  </w:style>
  <w:style w:type="character" w:customStyle="1" w:styleId="Heading2Char">
    <w:name w:val="Heading 2 Char"/>
    <w:basedOn w:val="DefaultParagraphFont"/>
    <w:link w:val="Heading2"/>
    <w:uiPriority w:val="9"/>
    <w:rsid w:val="00FC2CE4"/>
    <w:rPr>
      <w:rFonts w:ascii="Readex Pro Medium" w:eastAsiaTheme="majorEastAsia" w:hAnsi="Readex Pro Medium" w:cstheme="majorBidi"/>
      <w:color w:val="719243" w:themeColor="accent2"/>
      <w:sz w:val="50"/>
      <w:szCs w:val="26"/>
    </w:rPr>
  </w:style>
  <w:style w:type="character" w:customStyle="1" w:styleId="Heading3Char">
    <w:name w:val="Heading 3 Char"/>
    <w:basedOn w:val="DefaultParagraphFont"/>
    <w:link w:val="Heading3"/>
    <w:uiPriority w:val="9"/>
    <w:rsid w:val="00FC2CE4"/>
    <w:rPr>
      <w:rFonts w:ascii="Readex Pro Medium" w:eastAsiaTheme="majorEastAsia" w:hAnsi="Readex Pro Medium" w:cstheme="majorBidi"/>
      <w:color w:val="937CB9" w:themeColor="accent3"/>
      <w:sz w:val="40"/>
    </w:rPr>
  </w:style>
  <w:style w:type="character" w:customStyle="1" w:styleId="Heading4Char">
    <w:name w:val="Heading 4 Char"/>
    <w:basedOn w:val="DefaultParagraphFont"/>
    <w:link w:val="Heading4"/>
    <w:uiPriority w:val="9"/>
    <w:rsid w:val="007447B2"/>
    <w:rPr>
      <w:rFonts w:ascii="Readex Pro" w:eastAsiaTheme="majorEastAsia" w:hAnsi="Readex Pro" w:cstheme="majorBidi"/>
      <w:iCs/>
      <w:color w:val="937CB9" w:themeColor="accent3"/>
      <w:sz w:val="28"/>
    </w:rPr>
  </w:style>
  <w:style w:type="paragraph" w:styleId="Title">
    <w:name w:val="Title"/>
    <w:basedOn w:val="Normal"/>
    <w:next w:val="Normal"/>
    <w:link w:val="TitleChar"/>
    <w:uiPriority w:val="10"/>
    <w:qFormat/>
    <w:rsid w:val="00FC2CE4"/>
    <w:pPr>
      <w:contextualSpacing/>
    </w:pPr>
    <w:rPr>
      <w:rFonts w:ascii="Readex Pro Light" w:eastAsiaTheme="majorEastAsia" w:hAnsi="Readex Pro Light" w:cstheme="majorBidi"/>
      <w:color w:val="719243" w:themeColor="accent2"/>
      <w:spacing w:val="-10"/>
      <w:kern w:val="28"/>
      <w:sz w:val="70"/>
      <w:szCs w:val="56"/>
    </w:rPr>
  </w:style>
  <w:style w:type="character" w:customStyle="1" w:styleId="TitleChar">
    <w:name w:val="Title Char"/>
    <w:basedOn w:val="DefaultParagraphFont"/>
    <w:link w:val="Title"/>
    <w:uiPriority w:val="10"/>
    <w:rsid w:val="00FC2CE4"/>
    <w:rPr>
      <w:rFonts w:ascii="Readex Pro Light" w:eastAsiaTheme="majorEastAsia" w:hAnsi="Readex Pro Light" w:cstheme="majorBidi"/>
      <w:color w:val="719243" w:themeColor="accent2"/>
      <w:spacing w:val="-10"/>
      <w:kern w:val="28"/>
      <w:sz w:val="70"/>
      <w:szCs w:val="56"/>
    </w:rPr>
  </w:style>
  <w:style w:type="paragraph" w:styleId="Header">
    <w:name w:val="header"/>
    <w:basedOn w:val="Normal"/>
    <w:link w:val="HeaderChar"/>
    <w:uiPriority w:val="99"/>
    <w:unhideWhenUsed/>
    <w:rsid w:val="00607FC5"/>
    <w:pPr>
      <w:tabs>
        <w:tab w:val="center" w:pos="4513"/>
        <w:tab w:val="right" w:pos="9026"/>
      </w:tabs>
    </w:pPr>
  </w:style>
  <w:style w:type="character" w:customStyle="1" w:styleId="HeaderChar">
    <w:name w:val="Header Char"/>
    <w:basedOn w:val="DefaultParagraphFont"/>
    <w:link w:val="Header"/>
    <w:uiPriority w:val="99"/>
    <w:rsid w:val="00607FC5"/>
  </w:style>
  <w:style w:type="paragraph" w:styleId="Footer">
    <w:name w:val="footer"/>
    <w:basedOn w:val="Normal"/>
    <w:link w:val="FooterChar"/>
    <w:uiPriority w:val="99"/>
    <w:unhideWhenUsed/>
    <w:rsid w:val="00607FC5"/>
    <w:pPr>
      <w:tabs>
        <w:tab w:val="center" w:pos="4513"/>
        <w:tab w:val="right" w:pos="9026"/>
      </w:tabs>
    </w:pPr>
  </w:style>
  <w:style w:type="character" w:customStyle="1" w:styleId="FooterChar">
    <w:name w:val="Footer Char"/>
    <w:basedOn w:val="DefaultParagraphFont"/>
    <w:link w:val="Footer"/>
    <w:uiPriority w:val="99"/>
    <w:rsid w:val="00607FC5"/>
  </w:style>
  <w:style w:type="character" w:styleId="PageNumber">
    <w:name w:val="page number"/>
    <w:basedOn w:val="DefaultParagraphFont"/>
    <w:uiPriority w:val="99"/>
    <w:semiHidden/>
    <w:unhideWhenUsed/>
    <w:rsid w:val="003A33AC"/>
  </w:style>
  <w:style w:type="character" w:customStyle="1" w:styleId="Heading5Char">
    <w:name w:val="Heading 5 Char"/>
    <w:basedOn w:val="DefaultParagraphFont"/>
    <w:link w:val="Heading5"/>
    <w:uiPriority w:val="9"/>
    <w:rsid w:val="00002993"/>
    <w:rPr>
      <w:rFonts w:ascii="Readex Pro" w:eastAsiaTheme="majorEastAsia" w:hAnsi="Readex Pro" w:cs="Readex Pro"/>
      <w:color w:val="937CB9" w:themeColor="accent3"/>
      <w:sz w:val="22"/>
      <w:szCs w:val="28"/>
      <w:lang w:eastAsia="en-GB"/>
    </w:rPr>
  </w:style>
  <w:style w:type="paragraph" w:customStyle="1" w:styleId="Introparagraph">
    <w:name w:val="Intro paragraph"/>
    <w:basedOn w:val="Normal"/>
    <w:link w:val="IntroparagraphChar"/>
    <w:qFormat/>
    <w:rsid w:val="00E81C72"/>
    <w:rPr>
      <w:sz w:val="22"/>
      <w:szCs w:val="20"/>
    </w:rPr>
  </w:style>
  <w:style w:type="character" w:customStyle="1" w:styleId="IntroparagraphChar">
    <w:name w:val="Intro paragraph Char"/>
    <w:basedOn w:val="DefaultParagraphFont"/>
    <w:link w:val="Introparagraph"/>
    <w:rsid w:val="00E81C72"/>
    <w:rPr>
      <w:rFonts w:ascii="Readex Pro" w:hAnsi="Readex Pro"/>
      <w:color w:val="0D3946" w:themeColor="accent1"/>
      <w:sz w:val="22"/>
      <w:szCs w:val="20"/>
      <w:lang w:eastAsia="en-GB"/>
    </w:rPr>
  </w:style>
  <w:style w:type="paragraph" w:customStyle="1" w:styleId="PageNumber1">
    <w:name w:val="Page Number1"/>
    <w:basedOn w:val="Footer"/>
    <w:link w:val="PagenumberChar"/>
    <w:qFormat/>
    <w:rsid w:val="004D7644"/>
    <w:pPr>
      <w:spacing w:before="0" w:after="0" w:line="240" w:lineRule="auto"/>
    </w:pPr>
    <w:rPr>
      <w:rFonts w:cs="Readex Pro"/>
      <w:color w:val="719243" w:themeColor="accent2"/>
      <w:sz w:val="16"/>
      <w:szCs w:val="16"/>
    </w:rPr>
  </w:style>
  <w:style w:type="character" w:customStyle="1" w:styleId="PagenumberChar">
    <w:name w:val="Page number Char"/>
    <w:basedOn w:val="FooterChar"/>
    <w:link w:val="PageNumber1"/>
    <w:rsid w:val="004D7644"/>
    <w:rPr>
      <w:rFonts w:ascii="Readex Pro" w:hAnsi="Readex Pro" w:cs="Readex Pro"/>
      <w:color w:val="719243" w:themeColor="accent2"/>
      <w:sz w:val="16"/>
      <w:szCs w:val="16"/>
      <w:lang w:eastAsia="en-GB"/>
    </w:rPr>
  </w:style>
  <w:style w:type="paragraph" w:customStyle="1" w:styleId="Footertagline">
    <w:name w:val="Footer tagline"/>
    <w:basedOn w:val="Footer"/>
    <w:link w:val="FootertaglineChar"/>
    <w:qFormat/>
    <w:rsid w:val="004D7644"/>
    <w:pPr>
      <w:spacing w:before="0" w:after="0" w:line="240" w:lineRule="auto"/>
      <w:jc w:val="center"/>
    </w:pPr>
    <w:rPr>
      <w:rFonts w:ascii="Caprasimo" w:hAnsi="Caprasimo"/>
      <w:color w:val="719243" w:themeColor="accent2"/>
      <w:sz w:val="15"/>
      <w:szCs w:val="15"/>
    </w:rPr>
  </w:style>
  <w:style w:type="character" w:customStyle="1" w:styleId="FootertaglineChar">
    <w:name w:val="Footer tagline Char"/>
    <w:basedOn w:val="FooterChar"/>
    <w:link w:val="Footertagline"/>
    <w:rsid w:val="004D7644"/>
    <w:rPr>
      <w:rFonts w:ascii="Caprasimo" w:hAnsi="Caprasimo" w:cs="Poppins"/>
      <w:color w:val="719243" w:themeColor="accent2"/>
      <w:sz w:val="15"/>
      <w:szCs w:val="15"/>
      <w:lang w:eastAsia="en-GB"/>
    </w:rPr>
  </w:style>
  <w:style w:type="paragraph" w:styleId="Quote">
    <w:name w:val="Quote"/>
    <w:basedOn w:val="Normal"/>
    <w:next w:val="Normal"/>
    <w:link w:val="QuoteChar"/>
    <w:uiPriority w:val="29"/>
    <w:qFormat/>
    <w:rsid w:val="002A4C3B"/>
    <w:pPr>
      <w:spacing w:before="200" w:after="160"/>
      <w:ind w:left="720" w:right="864"/>
    </w:pPr>
    <w:rPr>
      <w:rFonts w:cs="Readex Pro"/>
      <w:color w:val="937CB9" w:themeColor="accent3"/>
    </w:rPr>
  </w:style>
  <w:style w:type="character" w:customStyle="1" w:styleId="QuoteChar">
    <w:name w:val="Quote Char"/>
    <w:basedOn w:val="DefaultParagraphFont"/>
    <w:link w:val="Quote"/>
    <w:uiPriority w:val="29"/>
    <w:rsid w:val="002A4C3B"/>
    <w:rPr>
      <w:rFonts w:ascii="Readex Pro" w:hAnsi="Readex Pro" w:cs="Readex Pro"/>
      <w:color w:val="937CB9" w:themeColor="accent3"/>
      <w:sz w:val="18"/>
      <w:lang w:eastAsia="en-GB"/>
    </w:rPr>
  </w:style>
  <w:style w:type="character" w:styleId="Strong">
    <w:name w:val="Strong"/>
    <w:basedOn w:val="DefaultParagraphFont"/>
    <w:uiPriority w:val="22"/>
    <w:rsid w:val="00FF7AC2"/>
    <w:rPr>
      <w:b/>
      <w:bCs/>
    </w:rPr>
  </w:style>
  <w:style w:type="table" w:styleId="TableGrid">
    <w:name w:val="Table Grid"/>
    <w:basedOn w:val="TableNormal"/>
    <w:uiPriority w:val="39"/>
    <w:rsid w:val="00A02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Accent2">
    <w:name w:val="List Table 5 Dark Accent 2"/>
    <w:basedOn w:val="TableNormal"/>
    <w:uiPriority w:val="50"/>
    <w:rsid w:val="00F15F52"/>
    <w:rPr>
      <w:color w:val="FFFFFF" w:themeColor="background1"/>
    </w:rPr>
    <w:tblPr>
      <w:tblStyleRowBandSize w:val="1"/>
      <w:tblStyleColBandSize w:val="1"/>
      <w:tblBorders>
        <w:top w:val="single" w:sz="24" w:space="0" w:color="719243" w:themeColor="accent2"/>
        <w:left w:val="single" w:sz="24" w:space="0" w:color="719243" w:themeColor="accent2"/>
        <w:bottom w:val="single" w:sz="24" w:space="0" w:color="719243" w:themeColor="accent2"/>
        <w:right w:val="single" w:sz="24" w:space="0" w:color="719243" w:themeColor="accent2"/>
      </w:tblBorders>
    </w:tblPr>
    <w:tcPr>
      <w:shd w:val="clear" w:color="auto" w:fill="7192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Heading1alt">
    <w:name w:val="Heading 1 (alt)"/>
    <w:basedOn w:val="Heading1"/>
    <w:link w:val="Heading1altChar"/>
    <w:qFormat/>
    <w:rsid w:val="00BF68C9"/>
    <w:rPr>
      <w:rFonts w:ascii="Caprasimo" w:hAnsi="Caprasimo"/>
    </w:rPr>
  </w:style>
  <w:style w:type="character" w:customStyle="1" w:styleId="Heading1altChar">
    <w:name w:val="Heading 1 (alt) Char"/>
    <w:basedOn w:val="Heading1Char"/>
    <w:link w:val="Heading1alt"/>
    <w:rsid w:val="00BF68C9"/>
    <w:rPr>
      <w:rFonts w:ascii="Caprasimo" w:eastAsiaTheme="majorEastAsia" w:hAnsi="Caprasimo" w:cstheme="majorBidi"/>
      <w:color w:val="719243" w:themeColor="accent2"/>
      <w:sz w:val="60"/>
      <w:szCs w:val="32"/>
      <w:lang w:eastAsia="en-GB"/>
    </w:rPr>
  </w:style>
  <w:style w:type="paragraph" w:customStyle="1" w:styleId="Heading2alt">
    <w:name w:val="Heading 2 (alt)"/>
    <w:basedOn w:val="Heading2"/>
    <w:link w:val="Heading2altChar"/>
    <w:qFormat/>
    <w:rsid w:val="00BF68C9"/>
    <w:rPr>
      <w:rFonts w:ascii="Caprasimo" w:hAnsi="Caprasimo"/>
    </w:rPr>
  </w:style>
  <w:style w:type="character" w:customStyle="1" w:styleId="Heading2altChar">
    <w:name w:val="Heading 2 (alt) Char"/>
    <w:basedOn w:val="Heading2Char"/>
    <w:link w:val="Heading2alt"/>
    <w:rsid w:val="00BF68C9"/>
    <w:rPr>
      <w:rFonts w:ascii="Caprasimo" w:eastAsiaTheme="majorEastAsia" w:hAnsi="Caprasimo" w:cstheme="majorBidi"/>
      <w:color w:val="719243" w:themeColor="accent2"/>
      <w:sz w:val="50"/>
      <w:szCs w:val="26"/>
      <w:lang w:eastAsia="en-GB"/>
    </w:rPr>
  </w:style>
  <w:style w:type="paragraph" w:customStyle="1" w:styleId="Heading3alt">
    <w:name w:val="Heading 3 (alt)"/>
    <w:basedOn w:val="Heading3"/>
    <w:link w:val="Heading3altChar"/>
    <w:qFormat/>
    <w:rsid w:val="00BF68C9"/>
    <w:rPr>
      <w:rFonts w:ascii="Caprasimo" w:hAnsi="Caprasimo"/>
    </w:rPr>
  </w:style>
  <w:style w:type="character" w:customStyle="1" w:styleId="Heading3altChar">
    <w:name w:val="Heading 3 (alt) Char"/>
    <w:basedOn w:val="Heading3Char"/>
    <w:link w:val="Heading3alt"/>
    <w:rsid w:val="00BF68C9"/>
    <w:rPr>
      <w:rFonts w:ascii="Caprasimo" w:eastAsiaTheme="majorEastAsia" w:hAnsi="Caprasimo" w:cstheme="majorBidi"/>
      <w:color w:val="937CB9" w:themeColor="accent3"/>
      <w:sz w:val="40"/>
      <w:lang w:eastAsia="en-GB"/>
    </w:rPr>
  </w:style>
  <w:style w:type="paragraph" w:customStyle="1" w:styleId="Heading4alt">
    <w:name w:val="Heading 4 (alt)"/>
    <w:basedOn w:val="Heading4"/>
    <w:link w:val="Heading4altChar"/>
    <w:qFormat/>
    <w:rsid w:val="00BF68C9"/>
    <w:rPr>
      <w:rFonts w:ascii="Caprasimo" w:hAnsi="Caprasimo"/>
    </w:rPr>
  </w:style>
  <w:style w:type="character" w:customStyle="1" w:styleId="Heading4altChar">
    <w:name w:val="Heading 4 (alt) Char"/>
    <w:basedOn w:val="Heading4Char"/>
    <w:link w:val="Heading4alt"/>
    <w:rsid w:val="00BF68C9"/>
    <w:rPr>
      <w:rFonts w:ascii="Caprasimo" w:eastAsiaTheme="majorEastAsia" w:hAnsi="Caprasimo" w:cstheme="majorBidi"/>
      <w:iCs/>
      <w:color w:val="937CB9" w:themeColor="accent3"/>
      <w:sz w:val="28"/>
      <w:lang w:eastAsia="en-GB"/>
    </w:rPr>
  </w:style>
  <w:style w:type="paragraph" w:customStyle="1" w:styleId="Heading5alt">
    <w:name w:val="Heading 5 (alt)"/>
    <w:basedOn w:val="Heading5"/>
    <w:link w:val="Heading5altChar"/>
    <w:qFormat/>
    <w:rsid w:val="007C1A9F"/>
    <w:rPr>
      <w:rFonts w:ascii="Caprasimo" w:hAnsi="Caprasimo"/>
    </w:rPr>
  </w:style>
  <w:style w:type="character" w:customStyle="1" w:styleId="Heading5altChar">
    <w:name w:val="Heading 5 (alt) Char"/>
    <w:basedOn w:val="Heading5Char"/>
    <w:link w:val="Heading5alt"/>
    <w:rsid w:val="007C1A9F"/>
    <w:rPr>
      <w:rFonts w:ascii="Caprasimo" w:eastAsiaTheme="majorEastAsia" w:hAnsi="Caprasimo" w:cstheme="majorBidi"/>
      <w:color w:val="937CB9" w:themeColor="accent3"/>
      <w:sz w:val="22"/>
      <w:szCs w:val="28"/>
      <w:lang w:eastAsia="en-GB"/>
    </w:rPr>
  </w:style>
  <w:style w:type="paragraph" w:customStyle="1" w:styleId="Quotealt">
    <w:name w:val="Quote (alt)"/>
    <w:basedOn w:val="Quote"/>
    <w:link w:val="QuotealtChar"/>
    <w:qFormat/>
    <w:rsid w:val="00BF68C9"/>
    <w:rPr>
      <w:rFonts w:ascii="Caprasimo" w:hAnsi="Caprasimo"/>
    </w:rPr>
  </w:style>
  <w:style w:type="character" w:customStyle="1" w:styleId="QuotealtChar">
    <w:name w:val="Quote (alt) Char"/>
    <w:basedOn w:val="QuoteChar"/>
    <w:link w:val="Quotealt"/>
    <w:rsid w:val="00BF68C9"/>
    <w:rPr>
      <w:rFonts w:ascii="Caprasimo" w:hAnsi="Caprasimo" w:cs="Readex Pro"/>
      <w:color w:val="937CB9" w:themeColor="accent3"/>
      <w:sz w:val="18"/>
      <w:lang w:eastAsia="en-GB"/>
    </w:rPr>
  </w:style>
  <w:style w:type="paragraph" w:customStyle="1" w:styleId="Contactdetails">
    <w:name w:val="Contact details"/>
    <w:basedOn w:val="Normal"/>
    <w:uiPriority w:val="99"/>
    <w:rsid w:val="00766592"/>
    <w:pPr>
      <w:suppressAutoHyphens/>
      <w:autoSpaceDE w:val="0"/>
      <w:autoSpaceDN w:val="0"/>
      <w:adjustRightInd w:val="0"/>
      <w:spacing w:before="0" w:after="0" w:line="288" w:lineRule="auto"/>
      <w:jc w:val="center"/>
      <w:textAlignment w:val="center"/>
    </w:pPr>
    <w:rPr>
      <w:rFonts w:ascii="ReadexPro-Regular" w:hAnsi="ReadexPro-Regular" w:cs="ReadexPro-Regular"/>
      <w:color w:val="729143"/>
      <w:kern w:val="0"/>
      <w:sz w:val="16"/>
      <w:szCs w:val="16"/>
      <w:lang w:val="en-US" w:eastAsia="en-US"/>
    </w:rPr>
  </w:style>
  <w:style w:type="character" w:customStyle="1" w:styleId="Altfont">
    <w:name w:val="Alt font"/>
    <w:uiPriority w:val="99"/>
    <w:rsid w:val="00513AE4"/>
    <w:rPr>
      <w:rFonts w:ascii="Caprasimo" w:hAnsi="Caprasimo" w:cs="Caprasimo"/>
    </w:rPr>
  </w:style>
  <w:style w:type="paragraph" w:customStyle="1" w:styleId="Intropara">
    <w:name w:val="Intro para"/>
    <w:basedOn w:val="Normal"/>
    <w:uiPriority w:val="99"/>
    <w:rsid w:val="007C1A9F"/>
    <w:pPr>
      <w:suppressAutoHyphens/>
      <w:autoSpaceDE w:val="0"/>
      <w:autoSpaceDN w:val="0"/>
      <w:adjustRightInd w:val="0"/>
      <w:spacing w:before="0" w:after="283" w:line="300" w:lineRule="atLeast"/>
      <w:textAlignment w:val="center"/>
    </w:pPr>
    <w:rPr>
      <w:rFonts w:ascii="ReadexPro-Medium" w:hAnsi="ReadexPro-Medium" w:cs="ReadexPro-Medium"/>
      <w:color w:val="0F3A45"/>
      <w:kern w:val="0"/>
      <w:sz w:val="22"/>
      <w:szCs w:val="22"/>
      <w:lang w:val="en-US" w:eastAsia="en-US"/>
    </w:rPr>
  </w:style>
  <w:style w:type="table" w:styleId="GridTable4-Accent2">
    <w:name w:val="Grid Table 4 Accent 2"/>
    <w:basedOn w:val="TableNormal"/>
    <w:uiPriority w:val="49"/>
    <w:rsid w:val="007C1A9F"/>
    <w:tblPr>
      <w:tblStyleRowBandSize w:val="1"/>
      <w:tblStyleColBandSize w:val="1"/>
      <w:tblBorders>
        <w:top w:val="single" w:sz="4" w:space="0" w:color="ABC784" w:themeColor="accent2" w:themeTint="99"/>
        <w:left w:val="single" w:sz="4" w:space="0" w:color="ABC784" w:themeColor="accent2" w:themeTint="99"/>
        <w:bottom w:val="single" w:sz="4" w:space="0" w:color="ABC784" w:themeColor="accent2" w:themeTint="99"/>
        <w:right w:val="single" w:sz="4" w:space="0" w:color="ABC784" w:themeColor="accent2" w:themeTint="99"/>
        <w:insideH w:val="single" w:sz="4" w:space="0" w:color="ABC784" w:themeColor="accent2" w:themeTint="99"/>
        <w:insideV w:val="single" w:sz="4" w:space="0" w:color="ABC784" w:themeColor="accent2" w:themeTint="99"/>
      </w:tblBorders>
    </w:tblPr>
    <w:tblStylePr w:type="firstRow">
      <w:rPr>
        <w:b/>
        <w:bCs/>
        <w:color w:val="FFFFFF" w:themeColor="background1"/>
      </w:rPr>
      <w:tblPr/>
      <w:tcPr>
        <w:tcBorders>
          <w:top w:val="single" w:sz="4" w:space="0" w:color="719243" w:themeColor="accent2"/>
          <w:left w:val="single" w:sz="4" w:space="0" w:color="719243" w:themeColor="accent2"/>
          <w:bottom w:val="single" w:sz="4" w:space="0" w:color="719243" w:themeColor="accent2"/>
          <w:right w:val="single" w:sz="4" w:space="0" w:color="719243" w:themeColor="accent2"/>
          <w:insideH w:val="nil"/>
          <w:insideV w:val="nil"/>
        </w:tcBorders>
        <w:shd w:val="clear" w:color="auto" w:fill="719243" w:themeFill="accent2"/>
      </w:tcPr>
    </w:tblStylePr>
    <w:tblStylePr w:type="lastRow">
      <w:rPr>
        <w:b/>
        <w:bCs/>
      </w:rPr>
      <w:tblPr/>
      <w:tcPr>
        <w:tcBorders>
          <w:top w:val="double" w:sz="4" w:space="0" w:color="719243" w:themeColor="accent2"/>
        </w:tcBorders>
      </w:tcPr>
    </w:tblStylePr>
    <w:tblStylePr w:type="firstCol">
      <w:rPr>
        <w:b/>
        <w:bCs/>
      </w:rPr>
    </w:tblStylePr>
    <w:tblStylePr w:type="lastCol">
      <w:rPr>
        <w:b/>
        <w:bCs/>
      </w:rPr>
    </w:tblStylePr>
    <w:tblStylePr w:type="band1Vert">
      <w:tblPr/>
      <w:tcPr>
        <w:shd w:val="clear" w:color="auto" w:fill="E2ECD6" w:themeFill="accent2" w:themeFillTint="33"/>
      </w:tcPr>
    </w:tblStylePr>
    <w:tblStylePr w:type="band1Horz">
      <w:tblPr/>
      <w:tcPr>
        <w:shd w:val="clear" w:color="auto" w:fill="E2ECD6" w:themeFill="accent2" w:themeFillTint="33"/>
      </w:tcPr>
    </w:tblStylePr>
  </w:style>
  <w:style w:type="paragraph" w:customStyle="1" w:styleId="Body">
    <w:name w:val="Body"/>
    <w:basedOn w:val="Normal"/>
    <w:uiPriority w:val="99"/>
    <w:rsid w:val="007C1A9F"/>
    <w:pPr>
      <w:suppressAutoHyphens/>
      <w:autoSpaceDE w:val="0"/>
      <w:autoSpaceDN w:val="0"/>
      <w:adjustRightInd w:val="0"/>
      <w:spacing w:before="0" w:after="283" w:line="280" w:lineRule="atLeast"/>
      <w:textAlignment w:val="center"/>
    </w:pPr>
    <w:rPr>
      <w:rFonts w:ascii="ReadexPro-Regular" w:hAnsi="ReadexPro-Regular" w:cs="ReadexPro-Regular"/>
      <w:color w:val="0F3A45"/>
      <w:kern w:val="0"/>
      <w:szCs w:val="18"/>
      <w:lang w:val="en-US" w:eastAsia="en-US"/>
    </w:rPr>
  </w:style>
  <w:style w:type="character" w:styleId="Hyperlink">
    <w:name w:val="Hyperlink"/>
    <w:basedOn w:val="DefaultParagraphFont"/>
    <w:uiPriority w:val="99"/>
    <w:unhideWhenUsed/>
    <w:rsid w:val="007C1A9F"/>
    <w:rPr>
      <w:color w:val="0563C1" w:themeColor="hyperlink"/>
      <w:u w:val="single"/>
    </w:rPr>
  </w:style>
  <w:style w:type="character" w:styleId="UnresolvedMention">
    <w:name w:val="Unresolved Mention"/>
    <w:basedOn w:val="DefaultParagraphFont"/>
    <w:uiPriority w:val="99"/>
    <w:semiHidden/>
    <w:unhideWhenUsed/>
    <w:rsid w:val="007C1A9F"/>
    <w:rPr>
      <w:color w:val="605E5C"/>
      <w:shd w:val="clear" w:color="auto" w:fill="E1DFDD"/>
    </w:rPr>
  </w:style>
  <w:style w:type="paragraph" w:styleId="ListParagraph">
    <w:name w:val="List Paragraph"/>
    <w:basedOn w:val="Normal"/>
    <w:uiPriority w:val="34"/>
    <w:qFormat/>
    <w:rsid w:val="006719D2"/>
    <w:pPr>
      <w:ind w:left="720"/>
      <w:contextualSpacing/>
    </w:pPr>
  </w:style>
  <w:style w:type="character" w:styleId="CommentReference">
    <w:name w:val="annotation reference"/>
    <w:basedOn w:val="DefaultParagraphFont"/>
    <w:uiPriority w:val="99"/>
    <w:semiHidden/>
    <w:unhideWhenUsed/>
    <w:rsid w:val="006719D2"/>
    <w:rPr>
      <w:sz w:val="16"/>
      <w:szCs w:val="16"/>
    </w:rPr>
  </w:style>
  <w:style w:type="paragraph" w:styleId="CommentText">
    <w:name w:val="annotation text"/>
    <w:basedOn w:val="Normal"/>
    <w:link w:val="CommentTextChar"/>
    <w:uiPriority w:val="99"/>
    <w:unhideWhenUsed/>
    <w:rsid w:val="006719D2"/>
    <w:pPr>
      <w:spacing w:line="240" w:lineRule="auto"/>
    </w:pPr>
    <w:rPr>
      <w:sz w:val="20"/>
      <w:szCs w:val="20"/>
    </w:rPr>
  </w:style>
  <w:style w:type="character" w:customStyle="1" w:styleId="CommentTextChar">
    <w:name w:val="Comment Text Char"/>
    <w:basedOn w:val="DefaultParagraphFont"/>
    <w:link w:val="CommentText"/>
    <w:uiPriority w:val="99"/>
    <w:rsid w:val="006719D2"/>
    <w:rPr>
      <w:rFonts w:ascii="Readex Pro" w:hAnsi="Readex Pro" w:cs="Poppins"/>
      <w:color w:val="0D3946" w:themeColor="accent1"/>
      <w:sz w:val="20"/>
      <w:szCs w:val="20"/>
      <w:lang w:eastAsia="en-GB"/>
    </w:rPr>
  </w:style>
  <w:style w:type="paragraph" w:styleId="CommentSubject">
    <w:name w:val="annotation subject"/>
    <w:basedOn w:val="CommentText"/>
    <w:next w:val="CommentText"/>
    <w:link w:val="CommentSubjectChar"/>
    <w:uiPriority w:val="99"/>
    <w:semiHidden/>
    <w:unhideWhenUsed/>
    <w:rsid w:val="006719D2"/>
    <w:rPr>
      <w:b/>
      <w:bCs/>
    </w:rPr>
  </w:style>
  <w:style w:type="character" w:customStyle="1" w:styleId="CommentSubjectChar">
    <w:name w:val="Comment Subject Char"/>
    <w:basedOn w:val="CommentTextChar"/>
    <w:link w:val="CommentSubject"/>
    <w:uiPriority w:val="99"/>
    <w:semiHidden/>
    <w:rsid w:val="006719D2"/>
    <w:rPr>
      <w:rFonts w:ascii="Readex Pro" w:hAnsi="Readex Pro" w:cs="Poppins"/>
      <w:b/>
      <w:bCs/>
      <w:color w:val="0D3946" w:themeColor="accent1"/>
      <w:sz w:val="20"/>
      <w:szCs w:val="20"/>
      <w:lang w:eastAsia="en-GB"/>
    </w:rPr>
  </w:style>
  <w:style w:type="paragraph" w:styleId="FootnoteText">
    <w:name w:val="footnote text"/>
    <w:basedOn w:val="Normal"/>
    <w:link w:val="FootnoteTextChar"/>
    <w:uiPriority w:val="99"/>
    <w:unhideWhenUsed/>
    <w:rsid w:val="006A5758"/>
    <w:pPr>
      <w:spacing w:before="0" w:after="0" w:line="240" w:lineRule="auto"/>
    </w:pPr>
    <w:rPr>
      <w:sz w:val="20"/>
      <w:szCs w:val="20"/>
    </w:rPr>
  </w:style>
  <w:style w:type="character" w:customStyle="1" w:styleId="FootnoteTextChar">
    <w:name w:val="Footnote Text Char"/>
    <w:basedOn w:val="DefaultParagraphFont"/>
    <w:link w:val="FootnoteText"/>
    <w:uiPriority w:val="99"/>
    <w:rsid w:val="006A5758"/>
    <w:rPr>
      <w:rFonts w:ascii="Readex Pro" w:hAnsi="Readex Pro" w:cs="Poppins"/>
      <w:color w:val="0D3946" w:themeColor="accent1"/>
      <w:sz w:val="20"/>
      <w:szCs w:val="20"/>
      <w:lang w:eastAsia="en-GB"/>
    </w:rPr>
  </w:style>
  <w:style w:type="character" w:styleId="FootnoteReference">
    <w:name w:val="footnote reference"/>
    <w:basedOn w:val="DefaultParagraphFont"/>
    <w:uiPriority w:val="99"/>
    <w:semiHidden/>
    <w:unhideWhenUsed/>
    <w:rsid w:val="006A5758"/>
    <w:rPr>
      <w:vertAlign w:val="superscript"/>
    </w:rPr>
  </w:style>
  <w:style w:type="paragraph" w:styleId="TOCHeading">
    <w:name w:val="TOC Heading"/>
    <w:basedOn w:val="Heading1"/>
    <w:next w:val="Normal"/>
    <w:uiPriority w:val="39"/>
    <w:unhideWhenUsed/>
    <w:qFormat/>
    <w:rsid w:val="0063178E"/>
    <w:pPr>
      <w:spacing w:after="0" w:line="259" w:lineRule="auto"/>
      <w:outlineLvl w:val="9"/>
    </w:pPr>
    <w:rPr>
      <w:rFonts w:asciiTheme="majorHAnsi" w:hAnsiTheme="majorHAnsi"/>
      <w:color w:val="092A34" w:themeColor="accent1" w:themeShade="BF"/>
      <w:kern w:val="0"/>
      <w:sz w:val="32"/>
      <w:lang w:val="en-US" w:eastAsia="en-US"/>
      <w14:ligatures w14:val="none"/>
    </w:rPr>
  </w:style>
  <w:style w:type="paragraph" w:styleId="TOC1">
    <w:name w:val="toc 1"/>
    <w:basedOn w:val="Normal"/>
    <w:next w:val="Normal"/>
    <w:autoRedefine/>
    <w:uiPriority w:val="39"/>
    <w:unhideWhenUsed/>
    <w:rsid w:val="0063178E"/>
    <w:pPr>
      <w:spacing w:after="100"/>
    </w:pPr>
  </w:style>
  <w:style w:type="paragraph" w:styleId="TOC2">
    <w:name w:val="toc 2"/>
    <w:basedOn w:val="Normal"/>
    <w:next w:val="Normal"/>
    <w:autoRedefine/>
    <w:uiPriority w:val="39"/>
    <w:unhideWhenUsed/>
    <w:rsid w:val="0063178E"/>
    <w:pPr>
      <w:spacing w:after="100"/>
      <w:ind w:left="180"/>
    </w:pPr>
  </w:style>
  <w:style w:type="paragraph" w:styleId="TOC3">
    <w:name w:val="toc 3"/>
    <w:basedOn w:val="Normal"/>
    <w:next w:val="Normal"/>
    <w:autoRedefine/>
    <w:uiPriority w:val="39"/>
    <w:unhideWhenUsed/>
    <w:rsid w:val="0063178E"/>
    <w:pPr>
      <w:spacing w:after="100"/>
      <w:ind w:left="360"/>
    </w:pPr>
  </w:style>
  <w:style w:type="paragraph" w:styleId="EndnoteText">
    <w:name w:val="endnote text"/>
    <w:basedOn w:val="Normal"/>
    <w:link w:val="EndnoteTextChar"/>
    <w:uiPriority w:val="99"/>
    <w:semiHidden/>
    <w:unhideWhenUsed/>
    <w:rsid w:val="008D40AC"/>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8D40AC"/>
    <w:rPr>
      <w:rFonts w:ascii="Readex Pro" w:hAnsi="Readex Pro" w:cs="Poppins"/>
      <w:color w:val="0D3946" w:themeColor="accent1"/>
      <w:sz w:val="20"/>
      <w:szCs w:val="20"/>
      <w:lang w:eastAsia="en-GB"/>
    </w:rPr>
  </w:style>
  <w:style w:type="character" w:styleId="EndnoteReference">
    <w:name w:val="endnote reference"/>
    <w:basedOn w:val="DefaultParagraphFont"/>
    <w:uiPriority w:val="99"/>
    <w:semiHidden/>
    <w:unhideWhenUsed/>
    <w:rsid w:val="008D40AC"/>
    <w:rPr>
      <w:vertAlign w:val="superscript"/>
    </w:rPr>
  </w:style>
  <w:style w:type="paragraph" w:styleId="Revision">
    <w:name w:val="Revision"/>
    <w:hidden/>
    <w:uiPriority w:val="99"/>
    <w:semiHidden/>
    <w:rsid w:val="009B3AE1"/>
    <w:rPr>
      <w:rFonts w:ascii="Readex Pro" w:hAnsi="Readex Pro" w:cs="Poppins"/>
      <w:color w:val="0D3946" w:themeColor="accent1"/>
      <w:sz w:val="18"/>
      <w:lang w:eastAsia="en-GB"/>
    </w:rPr>
  </w:style>
  <w:style w:type="character" w:styleId="FollowedHyperlink">
    <w:name w:val="FollowedHyperlink"/>
    <w:basedOn w:val="DefaultParagraphFont"/>
    <w:uiPriority w:val="99"/>
    <w:semiHidden/>
    <w:unhideWhenUsed/>
    <w:rsid w:val="00A376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846480">
      <w:bodyDiv w:val="1"/>
      <w:marLeft w:val="0"/>
      <w:marRight w:val="0"/>
      <w:marTop w:val="0"/>
      <w:marBottom w:val="0"/>
      <w:divBdr>
        <w:top w:val="none" w:sz="0" w:space="0" w:color="auto"/>
        <w:left w:val="none" w:sz="0" w:space="0" w:color="auto"/>
        <w:bottom w:val="none" w:sz="0" w:space="0" w:color="auto"/>
        <w:right w:val="none" w:sz="0" w:space="0" w:color="auto"/>
      </w:divBdr>
    </w:div>
    <w:div w:id="1372413038">
      <w:bodyDiv w:val="1"/>
      <w:marLeft w:val="0"/>
      <w:marRight w:val="0"/>
      <w:marTop w:val="0"/>
      <w:marBottom w:val="0"/>
      <w:divBdr>
        <w:top w:val="none" w:sz="0" w:space="0" w:color="auto"/>
        <w:left w:val="none" w:sz="0" w:space="0" w:color="auto"/>
        <w:bottom w:val="none" w:sz="0" w:space="0" w:color="auto"/>
        <w:right w:val="none" w:sz="0" w:space="0" w:color="auto"/>
      </w:divBdr>
    </w:div>
    <w:div w:id="164554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svg"/><Relationship Id="rId25" Type="http://schemas.openxmlformats.org/officeDocument/2006/relationships/image" Target="media/image13.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cid:image001.png@01DB15AB.080640A0" TargetMode="External"/><Relationship Id="rId27" Type="http://schemas.openxmlformats.org/officeDocument/2006/relationships/image" Target="media/image15.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_rels/footnotes.xml.rels><?xml version="1.0" encoding="UTF-8" standalone="yes"?>
<Relationships xmlns="http://schemas.openxmlformats.org/package/2006/relationships"><Relationship Id="rId117" Type="http://schemas.openxmlformats.org/officeDocument/2006/relationships/hyperlink" Target="https://www.prisonstudies.org/sites/default/files/resources/downloads/world_female_imprisonment_list_6th_edition.pdf/" TargetMode="External"/><Relationship Id="rId21" Type="http://schemas.openxmlformats.org/officeDocument/2006/relationships/hyperlink" Target="https://www.alsnswact.org.au/bail-fail-report-card" TargetMode="External"/><Relationship Id="rId42" Type="http://schemas.openxmlformats.org/officeDocument/2006/relationships/hyperlink" Target="https://www.pc.gov.au/ongoing/report-on-government-services/2025/justice/police-services/rogs-2025-partc-section6-police-services-data-tables.xlsx" TargetMode="External"/><Relationship Id="rId63" Type="http://schemas.openxmlformats.org/officeDocument/2006/relationships/hyperlink" Target="https://gcyp.sa.gov.au/wordpress/wp-content/uploads/2025/08/Special-Report-into-the-use-of-Isolation-at-the-Adelaide-Youth-Training-Centre.pdf" TargetMode="External"/><Relationship Id="rId84" Type="http://schemas.openxmlformats.org/officeDocument/2006/relationships/hyperlink" Target="https://gcyp.sa.gov.au/2023/11/17/kids-in-police-cells-time-to-upgrade-our-facilities-and-upgrade-our-thinking/" TargetMode="External"/><Relationship Id="rId138" Type="http://schemas.openxmlformats.org/officeDocument/2006/relationships/hyperlink" Target="https://www.ama.com.au/sites/default/files/2023-03/AMA%20position%20statement%20-%20Health%20Care%20in%20Custodial%20Settings%20-%202023.pdf" TargetMode="External"/><Relationship Id="rId159" Type="http://schemas.openxmlformats.org/officeDocument/2006/relationships/hyperlink" Target="https://www.abc.net.au/news/2025-08-06/un-urges-australian-government-to-halt-nauru-deportation/105614816" TargetMode="External"/><Relationship Id="rId170" Type="http://schemas.openxmlformats.org/officeDocument/2006/relationships/hyperlink" Target="https://humanrights.gov.au/our-work/asylum-seekers-and-refugees/publications/inspections-australias-immigration-detention" TargetMode="External"/><Relationship Id="rId191" Type="http://schemas.openxmlformats.org/officeDocument/2006/relationships/hyperlink" Target="https://www.igac.gov.au/sites/default/files/2024-08/2024-progress-report-on-the-implementation-of-the-recommendations-of-the-royal-commission-into-aged-care-quality-and-safety.pdf" TargetMode="External"/><Relationship Id="rId107" Type="http://schemas.openxmlformats.org/officeDocument/2006/relationships/hyperlink" Target="https://www.aic.gov.au/publications/tandi/tandi610" TargetMode="External"/><Relationship Id="rId11" Type="http://schemas.openxmlformats.org/officeDocument/2006/relationships/hyperlink" Target="https://content.legislation.vic.gov.au/sites/default/files/2025-03/25-008aa-authorised.pdf" TargetMode="External"/><Relationship Id="rId32" Type="http://schemas.openxmlformats.org/officeDocument/2006/relationships/hyperlink" Target="https://gcyp.sa.gov.au/wordpress/wp-content/uploads/2024/11/GYCP_TCV_CYPV_YTOV_Annual-Report-2023-24.pdf" TargetMode="External"/><Relationship Id="rId53" Type="http://schemas.openxmlformats.org/officeDocument/2006/relationships/hyperlink" Target="https://occ.nt.gov.au/_resources/documents/media-releases/media-releases-card-list/OCC-MEDIA-STATEMENT-28-JULY-2025.pdf" TargetMode="External"/><Relationship Id="rId74" Type="http://schemas.openxmlformats.org/officeDocument/2006/relationships/hyperlink" Target="https://www.abc.net.au/news/2024-07-11/queensland-brisbane-watch-house-youth-baton/104080720" TargetMode="External"/><Relationship Id="rId128" Type="http://schemas.openxmlformats.org/officeDocument/2006/relationships/hyperlink" Target="https://www.custodialinspector.tas.gov.au/__data/assets/pdf_file/0010/793990/Adult-Wellbeing-Inspection-Report-2024.pdf" TargetMode="External"/><Relationship Id="rId149" Type="http://schemas.openxmlformats.org/officeDocument/2006/relationships/hyperlink" Target="https://academic.oup.com/rsq/article-abstract/37/3/279/5048429?redirectedFrom=fulltext" TargetMode="External"/><Relationship Id="rId5" Type="http://schemas.openxmlformats.org/officeDocument/2006/relationships/hyperlink" Target="https://www.aph.gov.au/DocumentStore.ashx?id=9f91f282-3adb-40a6-9a09-c172aab1e90b&amp;subId=767930" TargetMode="External"/><Relationship Id="rId95" Type="http://schemas.openxmlformats.org/officeDocument/2006/relationships/hyperlink" Target="https://www.naaja.org.au/aboriginal-people-continue-to-be-locked-up-at-record-levels-putting-lives-at-risk/" TargetMode="External"/><Relationship Id="rId160" Type="http://schemas.openxmlformats.org/officeDocument/2006/relationships/hyperlink" Target="https://www.abc.net.au/news/2025-08-30/federal-government-inks-400m-deal-for-nauru/105716134" TargetMode="External"/><Relationship Id="rId181" Type="http://schemas.openxmlformats.org/officeDocument/2006/relationships/hyperlink" Target="https://www.abs.gov.au/statistics/health/disability/disability-ageing-and-carers-australia-summary-findings/latest-release" TargetMode="External"/><Relationship Id="rId22" Type="http://schemas.openxmlformats.org/officeDocument/2006/relationships/hyperlink" Target="https://www.agd.sa.gov.au/law-and-justice/young-offenders" TargetMode="External"/><Relationship Id="rId43" Type="http://schemas.openxmlformats.org/officeDocument/2006/relationships/hyperlink" Target="https://www.act.gov.au/__data/assets/pdf_file/0005/2608475/Jumbunna-Research-Independent-Review-First-Report.pdf" TargetMode="External"/><Relationship Id="rId64" Type="http://schemas.openxmlformats.org/officeDocument/2006/relationships/hyperlink" Target="https://occ.nt.gov.au/__data/assets/pdf_file/0010/1556884/OCC-Investigation-Report-Tabled-4-September-2025.pdf" TargetMode="External"/><Relationship Id="rId118" Type="http://schemas.openxmlformats.org/officeDocument/2006/relationships/hyperlink" Target="https://fls.org.au/app/uploads/2021/03/Constellation_of_Circumstances_Report_digital_landscape_updated.pdf" TargetMode="External"/><Relationship Id="rId139" Type="http://schemas.openxmlformats.org/officeDocument/2006/relationships/hyperlink" Target="https://www.ama.com.au/sites/default/files/2024-02/AMA-Submission-to-PBAC-Meeting-Agenda-Item-Access-to-Medicines-for-People-in-Custodial-Settings.pdf" TargetMode="External"/><Relationship Id="rId85" Type="http://schemas.openxmlformats.org/officeDocument/2006/relationships/hyperlink" Target="https://www.ics.act.gov.au/__data/assets/pdf_file/0007/2623741/ACT-OICS-Healthy-Centre-Review-of-Bimberi-2024_FA_TAGGED.pdf" TargetMode="External"/><Relationship Id="rId150" Type="http://schemas.openxmlformats.org/officeDocument/2006/relationships/hyperlink" Target="https://www.aph.gov.au/DocumentStore.ashx?id=1eb2d07f-52ed-4c27-b1ab-94a81695514e&amp;subId=754873" TargetMode="External"/><Relationship Id="rId171" Type="http://schemas.openxmlformats.org/officeDocument/2006/relationships/hyperlink" Target="https://humanrights.gov.au/our-work/asylum-seekers-and-refugees/publications/use-force-immigration-detention" TargetMode="External"/><Relationship Id="rId192" Type="http://schemas.openxmlformats.org/officeDocument/2006/relationships/hyperlink" Target="https://www.ndiscommission.gov.au/sites/default/files/2024-10/20241018_AR_accessible.pdf" TargetMode="External"/><Relationship Id="rId12" Type="http://schemas.openxmlformats.org/officeDocument/2006/relationships/hyperlink" Target="https://humanrights.gov.au/about/news/media-releases/national-childrens-commissioner-condemns-new-victorian-bail-laws-backward" TargetMode="External"/><Relationship Id="rId33" Type="http://schemas.openxmlformats.org/officeDocument/2006/relationships/hyperlink" Target="https://gcyp.sa.gov.au/wordpress/wp-content/uploads/2024/12/GCYP-TCV-Sumbmission-Inquiry-into-Australias-youth-justice-and-incarceration-system.pdf" TargetMode="External"/><Relationship Id="rId108" Type="http://schemas.openxmlformats.org/officeDocument/2006/relationships/hyperlink" Target="https://fls.org.au/app/uploads/2021/03/Fitzroy-Legal-Service-Homlessness-Inquiry-submission-FINAL.pdf" TargetMode="External"/><Relationship Id="rId129" Type="http://schemas.openxmlformats.org/officeDocument/2006/relationships/hyperlink" Target="https://www.oics.wa.gov.au/wp-content/uploads/2025/04/2025_04_08-Greenough-Inspection-Report-FINAL.pdf" TargetMode="External"/><Relationship Id="rId54" Type="http://schemas.openxmlformats.org/officeDocument/2006/relationships/hyperlink" Target="https://www.ombudsman.gov.au/__data/assets/pdf_file/0019/320716/Australian-NPM-Joint-Statement-NT-Youth-Justice-Reforms.pdf" TargetMode="External"/><Relationship Id="rId75" Type="http://schemas.openxmlformats.org/officeDocument/2006/relationships/hyperlink" Target="https://www.theguardian.com/australia-news/article/2024/jul/17/queensland-youth-crime-watch-house-footage-police-treatment-ntwnfb" TargetMode="External"/><Relationship Id="rId96" Type="http://schemas.openxmlformats.org/officeDocument/2006/relationships/hyperlink" Target="https://www.austlii.edu.au/au/other/IndigLRes/rciadic/national/vol1/17.html" TargetMode="External"/><Relationship Id="rId140" Type="http://schemas.openxmlformats.org/officeDocument/2006/relationships/hyperlink" Target="https://inspectorcustodial.nsw.gov.au/documents/inspection-reports/Health_Services_in_NSW_Correctional_Facilities.pdf" TargetMode="External"/><Relationship Id="rId161" Type="http://schemas.openxmlformats.org/officeDocument/2006/relationships/hyperlink" Target="https://minister.homeaffairs.gov.au/TonyBurke/Pages/statement-on-nauru-mou.aspx" TargetMode="External"/><Relationship Id="rId182" Type="http://schemas.openxmlformats.org/officeDocument/2006/relationships/hyperlink" Target="https://www.royalcommission.gov.au/aged-care/final-report" TargetMode="External"/><Relationship Id="rId6" Type="http://schemas.openxmlformats.org/officeDocument/2006/relationships/hyperlink" Target="https://www.ag.gov.au/sites/default/files/2023-12/age-of-criminal-responsibility-working-group-report-2023-scag.pdf" TargetMode="External"/><Relationship Id="rId23" Type="http://schemas.openxmlformats.org/officeDocument/2006/relationships/hyperlink" Target="https://gcyp.sa.gov.au/wordpress/wp-content/uploads/2025/07/Guardian-submission-_Criminal-Law-Consolidation-Act-Street-Gangs-Amendment-Bill-2025.pdf" TargetMode="External"/><Relationship Id="rId119" Type="http://schemas.openxmlformats.org/officeDocument/2006/relationships/hyperlink" Target="https://www.austlii.edu.au/cgi-bin/viewdoc/au/journals/IntJlCrimJustSocDem/2022/52.html" TargetMode="External"/><Relationship Id="rId44" Type="http://schemas.openxmlformats.org/officeDocument/2006/relationships/hyperlink" Target="https://www.aph.gov.au/DocumentStore.ashx?id=41b6f4e0-2297-4f04-b90f-da5e4eb18715&amp;subId=768229" TargetMode="External"/><Relationship Id="rId65" Type="http://schemas.openxmlformats.org/officeDocument/2006/relationships/hyperlink" Target="https://occ.nt.gov.au/__data/assets/pdf_file/0009/1556865/OCC-Statement-4-September-2025.pdf" TargetMode="External"/><Relationship Id="rId86" Type="http://schemas.openxmlformats.org/officeDocument/2006/relationships/hyperlink" Target="https://www.aph.gov.au/DocumentStore.ashx?id=2f48dedc-de44-4246-8a76-f270545514db&amp;subId=775345" TargetMode="External"/><Relationship Id="rId130" Type="http://schemas.openxmlformats.org/officeDocument/2006/relationships/hyperlink" Target="https://www.abc.net.au/news/2024-11-01/female-prisoner-move-traumatic-legal-expert/104545658" TargetMode="External"/><Relationship Id="rId151" Type="http://schemas.openxmlformats.org/officeDocument/2006/relationships/hyperlink" Target="https://www.ombudsman.gov.au/__data/assets/pdf_file/0022/290137/Australian-NPM-Annual-Report-2021-22.pdf" TargetMode="External"/><Relationship Id="rId172" Type="http://schemas.openxmlformats.org/officeDocument/2006/relationships/hyperlink" Target="https://www.ombudsman.gov.au/__data/assets/pdf_file/0018/314802/Issues-paper-Fit-to-fly.pdf" TargetMode="External"/><Relationship Id="rId193" Type="http://schemas.openxmlformats.org/officeDocument/2006/relationships/hyperlink" Target="https://cvp.nt.gov.au/__data/assets/pdf_file/0004/1523641/12.5.25-CVP-Media-Statement.pdf" TargetMode="External"/><Relationship Id="rId13" Type="http://schemas.openxmlformats.org/officeDocument/2006/relationships/hyperlink" Target="https://legislation.nt.gov.au/Pages/~/link.aspx?_id=E03A306C1B264B679C60FF73193FDAB1&amp;amp;_z=z" TargetMode="External"/><Relationship Id="rId109" Type="http://schemas.openxmlformats.org/officeDocument/2006/relationships/hyperlink" Target="https://www.theguardian.com/australia-news/2024/feb/04/always-a-bed-in-prison-australias-housing-crisis-blamed-for-rise-in-unsentenced-prisoners" TargetMode="External"/><Relationship Id="rId34" Type="http://schemas.openxmlformats.org/officeDocument/2006/relationships/hyperlink" Target="https://www.ombudsman.act.gov.au/__data/assets/pdf_file/0007/321001/Post-Visit-Summary-Bimberi-Youth-Justice.pdf" TargetMode="External"/><Relationship Id="rId55" Type="http://schemas.openxmlformats.org/officeDocument/2006/relationships/hyperlink" Target="https://www.ombudsman.gov.au/__data/assets/pdf_file/0019/304534/Australian-NPM-Annual-Report-2022-23.pdf" TargetMode="External"/><Relationship Id="rId76" Type="http://schemas.openxmlformats.org/officeDocument/2006/relationships/hyperlink" Target="https://www.youtube.com/watch?v=Wh3nLFYssfA&amp;t=72s" TargetMode="External"/><Relationship Id="rId97" Type="http://schemas.openxmlformats.org/officeDocument/2006/relationships/hyperlink" Target="https://www.aic.gov.au/statistics/deaths-custody-australia" TargetMode="External"/><Relationship Id="rId120" Type="http://schemas.openxmlformats.org/officeDocument/2006/relationships/hyperlink" Target="https://cedakenticomedia.blob.core.windows.net/cedamediatest/kentico/media/attachments/double-jeopardy-the-economic-and-social-costs-of-keeping-women-behind-bars.pdf" TargetMode="External"/><Relationship Id="rId141" Type="http://schemas.openxmlformats.org/officeDocument/2006/relationships/hyperlink" Target="https://disability.royalcommission.gov.au/system/files/2023-09/Final%20Report%20-%20Volume%208%2C%20Criminal%20justice%20and%20people%20with%20disability.pdf" TargetMode="External"/><Relationship Id="rId7" Type="http://schemas.openxmlformats.org/officeDocument/2006/relationships/hyperlink" Target="https://web.archive.org.au/awa/20220325033202mp_/https:/www.ag.gov.au/sites/default/files/2020-03/Council-of-Attorneys-General-communique-November-2018.pdf" TargetMode="External"/><Relationship Id="rId71" Type="http://schemas.openxmlformats.org/officeDocument/2006/relationships/hyperlink" Target="https://www.youthjustice.qld.gov.au/our-department/our-legislation/changes-act" TargetMode="External"/><Relationship Id="rId92" Type="http://schemas.openxmlformats.org/officeDocument/2006/relationships/hyperlink" Target="https://www.closingthegap.gov.au/national-agreement" TargetMode="External"/><Relationship Id="rId162" Type="http://schemas.openxmlformats.org/officeDocument/2006/relationships/hyperlink" Target="https://parlinfo.aph.gov.au/parlInfo/download/legislation/bills/r7363_first-reps/toc_pdf/25061b01.pdf;fileType=application%2Fpdf" TargetMode="External"/><Relationship Id="rId183" Type="http://schemas.openxmlformats.org/officeDocument/2006/relationships/hyperlink" Target="https://disability.royalcommission.gov.au/publications/final-report" TargetMode="External"/><Relationship Id="rId2" Type="http://schemas.openxmlformats.org/officeDocument/2006/relationships/hyperlink" Target="https://humanrights.gov.au/sites/default/files/document/publication/1807_help_way_earlier_-_accessible_0.pdf" TargetMode="External"/><Relationship Id="rId29" Type="http://schemas.openxmlformats.org/officeDocument/2006/relationships/hyperlink" Target="https://www.qfcc.qld.gov.au/sites/default/files/2023-12/FINAL%20-%20Watchhouse%20Review%20-%20Who%27s%20Responsible%20-%20November%202023.pdf" TargetMode="External"/><Relationship Id="rId24" Type="http://schemas.openxmlformats.org/officeDocument/2006/relationships/hyperlink" Target="https://gcyp.sa.gov.au/2025/04/07/south-australias-youth-crime-plan-is-a-dangerous-step-backwards/" TargetMode="External"/><Relationship Id="rId40" Type="http://schemas.openxmlformats.org/officeDocument/2006/relationships/hyperlink" Target="https://www.ombudsman.act.gov.au/__data/assets/pdf_file/0023/318560/ACT-Policing-Use-of-Force.pdf" TargetMode="External"/><Relationship Id="rId45" Type="http://schemas.openxmlformats.org/officeDocument/2006/relationships/hyperlink" Target="https://parlinfo.aph.gov.au/parlInfo/download/committees/reportsen/RB000499/toc_pdf/Australia%e2%80%99syouthjusticeandincarcerationsystem.pdf" TargetMode="External"/><Relationship Id="rId66" Type="http://schemas.openxmlformats.org/officeDocument/2006/relationships/hyperlink" Target="https://www.oics.wa.gov.au/wp-content/uploads/2023/05/00.2-Clean-Copy-Inspection-Report-148-Banksia-Hill-Detention-Centre-and-Unit-18-at-Casuarina-Prison.pdf" TargetMode="External"/><Relationship Id="rId87" Type="http://schemas.openxmlformats.org/officeDocument/2006/relationships/hyperlink" Target="https://www.oics.wa.gov.au/wp-content/uploads/2025/07/00.2-Clean-Copy-of-Report-Inspection-Report-163-%E2%80%93-Acacia-Prison.pdf" TargetMode="External"/><Relationship Id="rId110" Type="http://schemas.openxmlformats.org/officeDocument/2006/relationships/hyperlink" Target="https://www.parliament.act.gov.au/__data/assets/pdf_file/0016/2460202/Submission-010-ACT-Human-Rights-Commission_redacted.pdf" TargetMode="External"/><Relationship Id="rId115" Type="http://schemas.openxmlformats.org/officeDocument/2006/relationships/hyperlink" Target="https://parliament.nt.gov.au/__data/assets/pdf_file/0007/1527136/Uncorrected-Transcript-Estimates-Committee-Thursday-12-June-2025.pdf" TargetMode="External"/><Relationship Id="rId131" Type="http://schemas.openxmlformats.org/officeDocument/2006/relationships/hyperlink" Target="https://www.sbs.com.au/nitv/article/20-in-a-cell-no-fresh-air-drinking-water-above-a-toilet-accounts-from-inside-an-nt-watch-house/paxes5brn" TargetMode="External"/><Relationship Id="rId136" Type="http://schemas.openxmlformats.org/officeDocument/2006/relationships/hyperlink" Target="https://www.oics.wa.gov.au/wp-content/uploads/2024/11/2024_11_01-2023-Inspection-MWP-report-print.pdf" TargetMode="External"/><Relationship Id="rId157" Type="http://schemas.openxmlformats.org/officeDocument/2006/relationships/hyperlink" Target="https://www.legislation.gov.au/C1958A00062/latest/text" TargetMode="External"/><Relationship Id="rId178" Type="http://schemas.openxmlformats.org/officeDocument/2006/relationships/hyperlink" Target="https://www.ombudsman.gov.au/__data/assets/pdf_file/0017/315017/Post-Visit-Summary-Yongah-Hill-Immigration-Detention-Centre-2024.pdf" TargetMode="External"/><Relationship Id="rId61" Type="http://schemas.openxmlformats.org/officeDocument/2006/relationships/hyperlink" Target="https://content.legislation.vic.gov.au/sites/default/files/2024-10/05-96aa139-authorised.pdf" TargetMode="External"/><Relationship Id="rId82" Type="http://schemas.openxmlformats.org/officeDocument/2006/relationships/hyperlink" Target="https://open-crime-data.s3.ap-southeast-2.amazonaws.com/Crime%20Statistics/Persons%20Currently%20In%20Watchhouse%20Custody.pdf" TargetMode="External"/><Relationship Id="rId152" Type="http://schemas.openxmlformats.org/officeDocument/2006/relationships/hyperlink" Target="https://humanrights.gov.au/sites/default/files/document/publication/Immigration%20detainees%20in%20prolonged%20or%20indefinite%20detention%20v%20Commonwealth%20of%20Australia.pdf" TargetMode="External"/><Relationship Id="rId173" Type="http://schemas.openxmlformats.org/officeDocument/2006/relationships/hyperlink" Target="https://humanrights.gov.au/sites/default/files/home_affairs_response_ahrc_risk_report2019.pdf" TargetMode="External"/><Relationship Id="rId194" Type="http://schemas.openxmlformats.org/officeDocument/2006/relationships/hyperlink" Target="https://cvp.nt.gov.au/__data/assets/pdf_file/0005/1523642/15.1.25-CVP-Media-Statement-_variation.pdf" TargetMode="External"/><Relationship Id="rId199" Type="http://schemas.openxmlformats.org/officeDocument/2006/relationships/hyperlink" Target="https://www.legislation.act.gov.au/a/2018-3" TargetMode="External"/><Relationship Id="rId19" Type="http://schemas.openxmlformats.org/officeDocument/2006/relationships/hyperlink" Target="https://bocsar.nsw.gov.au/media/2025/mr-custody-jun2025.html" TargetMode="External"/><Relationship Id="rId14" Type="http://schemas.openxmlformats.org/officeDocument/2006/relationships/hyperlink" Target="https://legislation.nt.gov.au/en/LegislationPortal/Acts/~/link.aspx?_id=61F7B0B50CDE450CA2F068614F05DB54&amp;amp;_z=z&amp;format=assented" TargetMode="External"/><Relationship Id="rId30" Type="http://schemas.openxmlformats.org/officeDocument/2006/relationships/hyperlink" Target="https://documents.parliament.qld.gov.au/com/JICSC-CD82/MQSACATAB2-9E30/Transcript%20-%208%20May%202025%20-%20JIC%20-%20Hearing%20-%20Inquiry%20into%20the%20Making%20Queensland%20Safer%20(Adult%20Crime,%20Adult%20Time)%20Amendment%20Bill.pdf" TargetMode="External"/><Relationship Id="rId35" Type="http://schemas.openxmlformats.org/officeDocument/2006/relationships/hyperlink" Target="https://www.childabuseroyalcommission.gov.au/sites/default/files/final_report_-_volume_15_contemporary_detention_environments.pdf" TargetMode="External"/><Relationship Id="rId56" Type="http://schemas.openxmlformats.org/officeDocument/2006/relationships/hyperlink" Target="https://www.ombudsman.gov.au/__data/assets/pdf_file/0018/317160/Australian-NPM-Annual-Report-2023-24.pdf" TargetMode="External"/><Relationship Id="rId77" Type="http://schemas.openxmlformats.org/officeDocument/2006/relationships/hyperlink" Target="https://www.qcoss.org.au/wp-content/uploads/2024/12/web_QCOSS-submission-Watch-House-review.pdf" TargetMode="External"/><Relationship Id="rId100" Type="http://schemas.openxmlformats.org/officeDocument/2006/relationships/hyperlink" Target="https://cdn.craft.cloud/06ad3276-b3d9-4912-bcbb-37795aade9a8/assets/documents/Yoorrook-for-justice-report.pdf" TargetMode="External"/><Relationship Id="rId105" Type="http://schemas.openxmlformats.org/officeDocument/2006/relationships/hyperlink" Target="https://www.abs.gov.au/AUSSTATS/abs@.nsf/Lookup/4512.0Main+Features1March%20Quarter%202015?OpenDocument=" TargetMode="External"/><Relationship Id="rId126" Type="http://schemas.openxmlformats.org/officeDocument/2006/relationships/hyperlink" Target="https://www.apt.ch/sites/default/files/2024-12/australia_country_report.pdf" TargetMode="External"/><Relationship Id="rId147" Type="http://schemas.openxmlformats.org/officeDocument/2006/relationships/hyperlink" Target="https://hwlebsworth.com.au/high-court-provides-clarity-on-the-constitutional-limit-of-immigration-detention/" TargetMode="External"/><Relationship Id="rId168" Type="http://schemas.openxmlformats.org/officeDocument/2006/relationships/hyperlink" Target="https://www.ombudsman.gov.au/__data/assets/pdf_file/0015/112560/Immigration-Detention-Oversight-January-to-June-2020.pdf" TargetMode="External"/><Relationship Id="rId8" Type="http://schemas.openxmlformats.org/officeDocument/2006/relationships/hyperlink" Target="https://www.legislation.qld.gov.au/view/whole/html/inforce/current/act-1992-044" TargetMode="External"/><Relationship Id="rId51" Type="http://schemas.openxmlformats.org/officeDocument/2006/relationships/hyperlink" Target="https://www.theguardian.com/australia-news/2024/oct/14/northern-territory-spit-hood-ban-lifted-clp-ntwnfb" TargetMode="External"/><Relationship Id="rId72" Type="http://schemas.openxmlformats.org/officeDocument/2006/relationships/hyperlink" Target="https://www.abc.net.au/news/2024-04-29/youth-crime-politicised-queensland-commissioner/103756732" TargetMode="External"/><Relationship Id="rId93" Type="http://schemas.openxmlformats.org/officeDocument/2006/relationships/hyperlink" Target="https://www.pc.gov.au/closing-the-gap-data/dashboard/se/outcome-area10" TargetMode="External"/><Relationship Id="rId98" Type="http://schemas.openxmlformats.org/officeDocument/2006/relationships/hyperlink" Target="https://www.abs.gov.au/statistics/people/aboriginal-and-torres-strait-islander-peoples/estimates-aboriginal-and-torres-strait-islander-australians/latest-release" TargetMode="External"/><Relationship Id="rId121" Type="http://schemas.openxmlformats.org/officeDocument/2006/relationships/hyperlink" Target="https://www.fvrim.vic.gov.au/monitoring-victorias-family-violence-reforms-accurate-identification-predominant-aggressor/print-all" TargetMode="External"/><Relationship Id="rId142" Type="http://schemas.openxmlformats.org/officeDocument/2006/relationships/hyperlink" Target="https://www.ndisreview.gov.au/sites/default/files/resource/download/working-together-ndis-review-final-report.pdf" TargetMode="External"/><Relationship Id="rId163" Type="http://schemas.openxmlformats.org/officeDocument/2006/relationships/hyperlink" Target="https://parlinfo.aph.gov.au/parlInfo/download/legislation/ems/r7363_ems_6c51dc67-faf5-4f32-b525-e8ac01bf0695/upload_pdf/JC016546.pdf;fileType=application%2Fpdf" TargetMode="External"/><Relationship Id="rId184" Type="http://schemas.openxmlformats.org/officeDocument/2006/relationships/hyperlink" Target="https://www.royalcommission.gov.au/about-royal-commissions" TargetMode="External"/><Relationship Id="rId189" Type="http://schemas.openxmlformats.org/officeDocument/2006/relationships/hyperlink" Target="https://www.legislation.gov.au/C2024A00104/asmade/text" TargetMode="External"/><Relationship Id="rId3" Type="http://schemas.openxmlformats.org/officeDocument/2006/relationships/hyperlink" Target="https://www.ombudsman.gov.au/__data/assets/pdf_file/0022/305572/Australian-NPM-joint-submission-Senate-LCA-References-Committee-inquiry-Australias-youth-justice-and-incarceration-system.pdf" TargetMode="External"/><Relationship Id="rId25" Type="http://schemas.openxmlformats.org/officeDocument/2006/relationships/hyperlink" Target="https://www.npm.act.gov.au/__data/assets/pdf_file/0008/2869568/ACT-NPM-Submission-Review-of-Decision-Making-Criteria-in-Bail-Act.pdf" TargetMode="External"/><Relationship Id="rId46" Type="http://schemas.openxmlformats.org/officeDocument/2006/relationships/hyperlink" Target="https://legislation.nt.gov.au/Legislation/YOUTH-JUSTICE-ACT-2005" TargetMode="External"/><Relationship Id="rId67" Type="http://schemas.openxmlformats.org/officeDocument/2006/relationships/hyperlink" Target="https://www.qfcc.qld.gov.au/sites/default/files/2024-02/ANZCCGA%20Statement%20on%20Isolation%20in%20Youth%20Detention.pdf" TargetMode="External"/><Relationship Id="rId116" Type="http://schemas.openxmlformats.org/officeDocument/2006/relationships/hyperlink" Target="https://supremecourt.nt.gov.au/__data/assets/pdf_file/0003/1491213/Woods_27032025_22420726_sen_net.pdf" TargetMode="External"/><Relationship Id="rId137" Type="http://schemas.openxmlformats.org/officeDocument/2006/relationships/hyperlink" Target="https://www.legislation.gov.au/C2004A00101/latest/text" TargetMode="External"/><Relationship Id="rId158" Type="http://schemas.openxmlformats.org/officeDocument/2006/relationships/hyperlink" Target="https://humanrights.gov.au/about/news/media-releases/human-rights-commissioner-says-nzyq-nauru-resettlement-announcement" TargetMode="External"/><Relationship Id="rId20" Type="http://schemas.openxmlformats.org/officeDocument/2006/relationships/hyperlink" Target="https://bocsar.nsw.gov.au/documents/publications/custody/2025_06_NSW_Custody_Statistics_Jun_2025.pdf" TargetMode="External"/><Relationship Id="rId41" Type="http://schemas.openxmlformats.org/officeDocument/2006/relationships/hyperlink" Target="https://occ.nt.gov.au/__data/assets/pdf_file/0004/1478614/OCC-Explainer-Youth-Diversion.pdf" TargetMode="External"/><Relationship Id="rId62" Type="http://schemas.openxmlformats.org/officeDocument/2006/relationships/hyperlink" Target="https://www.ombudsman.qld.gov.au/ArticleDocuments/574/IDS%20CYDC%20Inspection%20report%202024%20-%20Focus%20on%20separation%20-%20PUBLIC.PDF.aspx?embed=Y" TargetMode="External"/><Relationship Id="rId83" Type="http://schemas.openxmlformats.org/officeDocument/2006/relationships/hyperlink" Target="https://www.custodialinspector.tas.gov.au/__data/assets/pdf_file/0005/814073/Children-in-Tasmanias-prisons-review-report-2025.pdf" TargetMode="External"/><Relationship Id="rId88" Type="http://schemas.openxmlformats.org/officeDocument/2006/relationships/hyperlink" Target="https://www.oics.wa.gov.au/wp-content/uploads/2021/05/Banksia-Hill-2020-002.pdf" TargetMode="External"/><Relationship Id="rId111" Type="http://schemas.openxmlformats.org/officeDocument/2006/relationships/hyperlink" Target="https://apo.org.au/sites/default/files/resource-files/2019-08/apo-nid253906.pdf" TargetMode="External"/><Relationship Id="rId132" Type="http://schemas.openxmlformats.org/officeDocument/2006/relationships/hyperlink" Target="https://www1.racgp.org.au/getattachment/3985557e-7dca-41b0-9b99-1332494e0031/Out-of-sight-out-of-mind.aspx" TargetMode="External"/><Relationship Id="rId153" Type="http://schemas.openxmlformats.org/officeDocument/2006/relationships/hyperlink" Target="https://www.legislation.gov.au/C1958A00062/latest/text" TargetMode="External"/><Relationship Id="rId174" Type="http://schemas.openxmlformats.org/officeDocument/2006/relationships/hyperlink" Target="https://humanrights.gov.au/sites/default/files/att_a_-_home_affairs_response_-_ahrc_2019_idc_inspection_report_-_ohr-20-00262_0.pdf" TargetMode="External"/><Relationship Id="rId179" Type="http://schemas.openxmlformats.org/officeDocument/2006/relationships/hyperlink" Target="https://humanrights.gov.au/our-work/asylum-seekers-and-refugees/publications/yongah-hill-immigration-detention-inspection" TargetMode="External"/><Relationship Id="rId195" Type="http://schemas.openxmlformats.org/officeDocument/2006/relationships/hyperlink" Target="https://www.act.gov.au/__data/assets/pdf_file/0003/2408160/Chief-Psychiatrists-Report-Jan-2024.pdf" TargetMode="External"/><Relationship Id="rId190" Type="http://schemas.openxmlformats.org/officeDocument/2006/relationships/hyperlink" Target="https://www.ombudsman.gov.au/__data/assets/pdf_file/0020/306083/Public-Statement-Aged-Care-Star-Ratings-October-2024.pdf" TargetMode="External"/><Relationship Id="rId15" Type="http://schemas.openxmlformats.org/officeDocument/2006/relationships/hyperlink" Target="https://legislation.nt.gov.au/Legislation/YOUTH-JUSTICE-ACT-2005" TargetMode="External"/><Relationship Id="rId36" Type="http://schemas.openxmlformats.org/officeDocument/2006/relationships/hyperlink" Target="https://www.commissionofinquiry.tas.gov.au/report/listing/volume-5/chapter-10/_nocache" TargetMode="External"/><Relationship Id="rId57" Type="http://schemas.openxmlformats.org/officeDocument/2006/relationships/hyperlink" Target="https://www.ics.act.gov.au/__data/assets/pdf_file/0006/2390676/11702R-ACT-ICS-NMP-Report-text_FA_tagged_2023.pdf" TargetMode="External"/><Relationship Id="rId106" Type="http://schemas.openxmlformats.org/officeDocument/2006/relationships/hyperlink" Target="https://assets.nationbuilder.com/justicereforminitiative/pages/441/attachments/original/1733879416/Dec_2024_BAIL_REFORM.pdf?1733879416" TargetMode="External"/><Relationship Id="rId127" Type="http://schemas.openxmlformats.org/officeDocument/2006/relationships/hyperlink" Target="https://theconversation.com/no-support-no-housing-no-job-the-vicious-cycle-pushing-more-women-into-prison-257218" TargetMode="External"/><Relationship Id="rId10" Type="http://schemas.openxmlformats.org/officeDocument/2006/relationships/hyperlink" Target="https://www.legislation.qld.gov.au/view/whole/html/asmade/act-2024-054" TargetMode="External"/><Relationship Id="rId31" Type="http://schemas.openxmlformats.org/officeDocument/2006/relationships/hyperlink" Target="https://gcyp.sa.gov.au/wordpress/wp-content/uploads/2023/11/Training-Centre-Visitor-2022-2023-Annual-Report.pdf" TargetMode="External"/><Relationship Id="rId52" Type="http://schemas.openxmlformats.org/officeDocument/2006/relationships/hyperlink" Target="https://www.ombudsman.gov.au/__data/assets/pdf_file/0019/305623/Australian-NPM-joint-statement-reintroduction-of-spit-hoods-for-children-in-the-NT.pdf" TargetMode="External"/><Relationship Id="rId73" Type="http://schemas.openxmlformats.org/officeDocument/2006/relationships/hyperlink" Target="https://www.abc.net.au/news/2024-07-10/indigenous-teenager-beaten-brisbane-police-watch-house-cctv/104070840" TargetMode="External"/><Relationship Id="rId78" Type="http://schemas.openxmlformats.org/officeDocument/2006/relationships/hyperlink" Target="https://www.couriermail.com.au/truecrimeaustralia/police-courts-qld/qlds-decaying-watch-houses-exposed-as-danger-to-police-inmates/news-story/fbbb4ba7a4ffc52ffdd17aedb0b4ff93" TargetMode="External"/><Relationship Id="rId94" Type="http://schemas.openxmlformats.org/officeDocument/2006/relationships/hyperlink" Target="https://static1.squarespace.com/static/62ebb08a9ffa427423c18724/t/685b4f091f5af860bd9f1b48/1750814543128/Closing+The+Gap+Review.pdf" TargetMode="External"/><Relationship Id="rId99" Type="http://schemas.openxmlformats.org/officeDocument/2006/relationships/hyperlink" Target="https://www.alrc.gov.au/wp-content/uploads/2019/08/final_report_133_amended1.pdf" TargetMode="External"/><Relationship Id="rId101" Type="http://schemas.openxmlformats.org/officeDocument/2006/relationships/hyperlink" Target="https://www.agd.sa.gov.au/__data/assets/pdf_file/0010/918766/Report-of-the-Advisory-Commission.pdf" TargetMode="External"/><Relationship Id="rId122" Type="http://schemas.openxmlformats.org/officeDocument/2006/relationships/hyperlink" Target="https://www.naaja.org.au/wp-content/uploads/2022/11/20221110-DFSV-review_NAAJA-Submission-FINAL.pdf" TargetMode="External"/><Relationship Id="rId143" Type="http://schemas.openxmlformats.org/officeDocument/2006/relationships/hyperlink" Target="https://ourguidelines.ndis.gov.au/how-ndis-supports-work-menu/justice-system/who-funds-supports-you-need-when-youre-custody" TargetMode="External"/><Relationship Id="rId148" Type="http://schemas.openxmlformats.org/officeDocument/2006/relationships/hyperlink" Target="https://assets.publishing.service.gov.uk/media/5a8024f940f0b62305b89713/52532_Shaw_Review_Accessible.pdf" TargetMode="External"/><Relationship Id="rId164" Type="http://schemas.openxmlformats.org/officeDocument/2006/relationships/hyperlink" Target="https://www.ombudsman.gov.au/__data/assets/pdf_file/0019/318052/Commonwealth-NPM-Annual-Report-23-24.pdf" TargetMode="External"/><Relationship Id="rId169" Type="http://schemas.openxmlformats.org/officeDocument/2006/relationships/hyperlink" Target="https://humanrights.gov.au/sites/default/files/document/publication/final_version_-_the_use_of_hotels_as_alternative_places_of_detention_apods_2023_0.pdf" TargetMode="External"/><Relationship Id="rId185" Type="http://schemas.openxmlformats.org/officeDocument/2006/relationships/hyperlink" Target="https://disability.royalcommission.gov.au/system/files/2023-09/Final%20Report%20-%20Volume%206%2C%20Enabling%20autonomy%20and%20access.pdf" TargetMode="External"/><Relationship Id="rId4" Type="http://schemas.openxmlformats.org/officeDocument/2006/relationships/hyperlink" Target="https://www.ombudsman.gov.au/__data/assets/pdf_file/0010/300511/NPM-Network-Joint-Statement-Queensland-law-change-and-youth-justice-6-September-2023.pdf" TargetMode="External"/><Relationship Id="rId9" Type="http://schemas.openxmlformats.org/officeDocument/2006/relationships/hyperlink" Target="https://www.legislation.qld.gov.au/view/whole/html/asmade/act-2024-045" TargetMode="External"/><Relationship Id="rId180" Type="http://schemas.openxmlformats.org/officeDocument/2006/relationships/hyperlink" Target="https://www.agedcarequality.gov.au/sites/default/files/media/sector-performance-report-for-quarter-3-january-march-2025.pdf" TargetMode="External"/><Relationship Id="rId26" Type="http://schemas.openxmlformats.org/officeDocument/2006/relationships/hyperlink" Target="https://www.legislation.qld.gov.au/view/pdf/asmade/act-2025-010" TargetMode="External"/><Relationship Id="rId47" Type="http://schemas.openxmlformats.org/officeDocument/2006/relationships/hyperlink" Target="https://legislation.nt.gov.au/LegislationPortal/Acts/~/link.aspx?_id=B306457A4A004E2CB9952B640A5750F4&amp;amp;_z=z&amp;format=assented" TargetMode="External"/><Relationship Id="rId68" Type="http://schemas.openxmlformats.org/officeDocument/2006/relationships/hyperlink" Target="https://www.abc.net.au/news/2025-03-25/nt-teenager-held-in-palmerston-police-watch-house-three-nights/105089906" TargetMode="External"/><Relationship Id="rId89" Type="http://schemas.openxmlformats.org/officeDocument/2006/relationships/hyperlink" Target="https://www.ombudsman.gov.au/__data/assets/pdf_file/0031/304996/The-Australian-National-Preventive-Mechanism-Convention-against-Torture-follow-up.pdf" TargetMode="External"/><Relationship Id="rId112" Type="http://schemas.openxmlformats.org/officeDocument/2006/relationships/hyperlink" Target="https://www.oics.wa.gov.au/wp-content/uploads/2025/02/Hakea-Prison-2024-Inspection-Report-FINAL-v8.pdf" TargetMode="External"/><Relationship Id="rId133" Type="http://schemas.openxmlformats.org/officeDocument/2006/relationships/hyperlink" Target="https://www.oics.wa.gov.au/wp-content/uploads/2025/03/FINAL-PRINT_CCU_10_02_2025.pdf" TargetMode="External"/><Relationship Id="rId154" Type="http://schemas.openxmlformats.org/officeDocument/2006/relationships/hyperlink" Target="https://www.ombudsman.gov.au/__data/assets/pdf_file/0015/320811/Righting-Wrongful-Detention.pdf" TargetMode="External"/><Relationship Id="rId175" Type="http://schemas.openxmlformats.org/officeDocument/2006/relationships/hyperlink" Target="https://www.ombudsman.gov.au/__data/assets/pdf_file/0025/318922/Post-Visit-Summary-Villawood-Immigration-Detention-Centre-and-Miowera-Village-June-2025.pdf" TargetMode="External"/><Relationship Id="rId196" Type="http://schemas.openxmlformats.org/officeDocument/2006/relationships/hyperlink" Target="https://www.ag.gov.au/sites/default/files/2020-03/national-principles-human-rights-integrity.PDF" TargetMode="External"/><Relationship Id="rId200" Type="http://schemas.openxmlformats.org/officeDocument/2006/relationships/hyperlink" Target="https://www.ombudsman.gov.au/industry-and-agency-oversight/monitoring-places-of-detention-opcat/australian-npm-opcat-publications-and-reports" TargetMode="External"/><Relationship Id="rId16" Type="http://schemas.openxmlformats.org/officeDocument/2006/relationships/hyperlink" Target="https://legislation.nt.gov.au/LegislationPortal/Acts/~/link.aspx?_id=B306457A4A004E2CB9952B640A5750F4&amp;amp;_z=z&amp;format=assented" TargetMode="External"/><Relationship Id="rId37" Type="http://schemas.openxmlformats.org/officeDocument/2006/relationships/hyperlink" Target="https://occ.nt.gov.au/__data/assets/pdf_file/0019/1452025/FINAL-Submission-to-Senate-YJ-Inquiry-October-2024.pdf" TargetMode="External"/><Relationship Id="rId58" Type="http://schemas.openxmlformats.org/officeDocument/2006/relationships/hyperlink" Target="https://www.oics.wa.gov.au/wp-content/uploads/2024/11/20218_11_18-Youth-Custody.pdf" TargetMode="External"/><Relationship Id="rId79" Type="http://schemas.openxmlformats.org/officeDocument/2006/relationships/hyperlink" Target="https://www.9news.com.au/national/watchhouses-are-not-prison-daycare-centres--police-union-boss-blasts-queensland-corrective-services/40cd53a9-052d-4987-88f1-1db5ec6ecad0" TargetMode="External"/><Relationship Id="rId102" Type="http://schemas.openxmlformats.org/officeDocument/2006/relationships/hyperlink" Target="https://www.oics.wa.gov.au/wp-content/uploads/2024/10/2023-24-Annual-Report-Final.pdf" TargetMode="External"/><Relationship Id="rId123" Type="http://schemas.openxmlformats.org/officeDocument/2006/relationships/hyperlink" Target="https://lsbc.vic.gov.au/sites/default/files/2023-10/Keeping_Women_Out_of_the_Justice_System_final_report.pdf" TargetMode="External"/><Relationship Id="rId144" Type="http://schemas.openxmlformats.org/officeDocument/2006/relationships/hyperlink" Target="https://www.homeaffairs.gov.au/research-and-stats/files/immigration-detention-community-statistics-30-june-2025.pdf" TargetMode="External"/><Relationship Id="rId90" Type="http://schemas.openxmlformats.org/officeDocument/2006/relationships/hyperlink" Target="https://www.abs.gov.au/statistics/people/crime-and-justice/prisoners-australia/latest-release" TargetMode="External"/><Relationship Id="rId165" Type="http://schemas.openxmlformats.org/officeDocument/2006/relationships/hyperlink" Target="https://www.ombudsman.gov.au/__data/assets/pdf_file/0026/314891/Post-Visit-Summary-Melbourne-Immigration-Detention-Centre-17-December-2024.pdf" TargetMode="External"/><Relationship Id="rId186" Type="http://schemas.openxmlformats.org/officeDocument/2006/relationships/hyperlink" Target="https://www.royalcommission.gov.au/system/files/2024-03/aged-care-rc-final-report-volume-1.pdf" TargetMode="External"/><Relationship Id="rId27" Type="http://schemas.openxmlformats.org/officeDocument/2006/relationships/hyperlink" Target="https://www.legislation.qld.gov.au/view/pdf/bill.first.hrc/bill-2025-028" TargetMode="External"/><Relationship Id="rId48" Type="http://schemas.openxmlformats.org/officeDocument/2006/relationships/hyperlink" Target="https://legislation.nt.gov.au/LegislationPortal/Acts/~/link.aspx?_id=B306457A4A004E2CB9952B640A5750F4&amp;amp;_z=z&amp;format=assented" TargetMode="External"/><Relationship Id="rId69" Type="http://schemas.openxmlformats.org/officeDocument/2006/relationships/hyperlink" Target="https://www.ombudsman.qld.gov.au/ArticleDocuments/591/Cairns%20and%20Murgon%20watch-houses%20inspection%20report%20-%20PUBLIC.PDF.aspx?embed=Y" TargetMode="External"/><Relationship Id="rId113" Type="http://schemas.openxmlformats.org/officeDocument/2006/relationships/hyperlink" Target="https://www.ics.act.gov.au/__data/assets/pdf_file/0006/2111964/11432R-ACT-ICS-Healthy-Prison-Review-Nov-2022_tagged_FA-updated.pdf" TargetMode="External"/><Relationship Id="rId134" Type="http://schemas.openxmlformats.org/officeDocument/2006/relationships/hyperlink" Target="https://www.custodialinspector.tas.gov.au/__data/assets/pdf_file/0004/769018/Adult-Health-Care-Inspection-Report-2023.pdf" TargetMode="External"/><Relationship Id="rId80" Type="http://schemas.openxmlformats.org/officeDocument/2006/relationships/hyperlink" Target="https://www.qpu.asn.au/journals/winter-2025" TargetMode="External"/><Relationship Id="rId155" Type="http://schemas.openxmlformats.org/officeDocument/2006/relationships/hyperlink" Target="https://www.nauru.gov.nr/media/204459/nauru_bulletin__6_24_apr2025__289_.pdf" TargetMode="External"/><Relationship Id="rId176" Type="http://schemas.openxmlformats.org/officeDocument/2006/relationships/hyperlink" Target="https://www.ombudsman.gov.au/__data/assets/pdf_file/0019/305137/Villawood-Immigration-Detention-Centre-Post-Visit-Summary-September-2024.pdf" TargetMode="External"/><Relationship Id="rId197" Type="http://schemas.openxmlformats.org/officeDocument/2006/relationships/hyperlink" Target="https://www.dss.gov.au/system/files/documents/2024-10/jointaustralianstateandterritoryresponsetodrcjuly2024334720724_0.pdf" TargetMode="External"/><Relationship Id="rId17" Type="http://schemas.openxmlformats.org/officeDocument/2006/relationships/hyperlink" Target="https://www.aihw.gov.au/reports/youth-justice/youth-justice-in-australia-2023-24/contents/detention/unsentenced-detention" TargetMode="External"/><Relationship Id="rId38" Type="http://schemas.openxmlformats.org/officeDocument/2006/relationships/hyperlink" Target="https://www.aihw.gov.au/reports/youth-justice/youth-justice-in-australia-2023-24/contents/state-and-territory-overviews/northern-territory" TargetMode="External"/><Relationship Id="rId59" Type="http://schemas.openxmlformats.org/officeDocument/2006/relationships/hyperlink" Target="https://www.custodialinspector.tas.gov.au/__data/assets/pdf_file/0011/785990/2023-24-Annual-Report-Office-of-the-Custodial-Inspector.pdf" TargetMode="External"/><Relationship Id="rId103" Type="http://schemas.openxmlformats.org/officeDocument/2006/relationships/hyperlink" Target="https://www.parliament.act.gov.au/__data/assets/pdf_file/0017/2510207/Submission-015-ACT-Inspector-of-Correctional-Services_redacted.pdf" TargetMode="External"/><Relationship Id="rId124" Type="http://schemas.openxmlformats.org/officeDocument/2006/relationships/hyperlink" Target="https://www.aihw.gov.au/getmedia/32d3a8dc-eb84-4a3b-90dc-79a1aba0efc6/aihw-phe-281.pdf.aspx" TargetMode="External"/><Relationship Id="rId70" Type="http://schemas.openxmlformats.org/officeDocument/2006/relationships/hyperlink" Target="https://www.qhrc.qld.gov.au/__data/assets/word_doc/0003/53283/2025.04.11-Detention-of-a-child-in-a-watch-house.docx" TargetMode="External"/><Relationship Id="rId91" Type="http://schemas.openxmlformats.org/officeDocument/2006/relationships/hyperlink" Target="https://www.aihw.gov.au/reports/youth-justice/youth-detention-population-in-australia-2024/contents/first-nations-young-people/key-findings" TargetMode="External"/><Relationship Id="rId145" Type="http://schemas.openxmlformats.org/officeDocument/2006/relationships/hyperlink" Target="https://eresources.hcourt.gov.au/downloadPdf/2023/HCA/37" TargetMode="External"/><Relationship Id="rId166" Type="http://schemas.openxmlformats.org/officeDocument/2006/relationships/hyperlink" Target="https://humanrights.gov.au/our-work/legal/publications/mr-cj-v-commonwealth-australia-department-home-affairs-2024" TargetMode="External"/><Relationship Id="rId187" Type="http://schemas.openxmlformats.org/officeDocument/2006/relationships/hyperlink" Target="https://disability.royalcommission.gov.au/system/files/2023-11/Final%20report%20-%20Executive%20Summary%2C%20Our%20vision%20for%20an%20inclusive%20Australia%20and%20Recommendations.pdf" TargetMode="External"/><Relationship Id="rId1" Type="http://schemas.openxmlformats.org/officeDocument/2006/relationships/hyperlink" Target="https://www.aic.gov.au/sites/default/files/2020-09/ti605_youth_justice_in_australia.pdf" TargetMode="External"/><Relationship Id="rId28" Type="http://schemas.openxmlformats.org/officeDocument/2006/relationships/hyperlink" Target="https://www.aihw.gov.au/reports/youth-justice/youth-justice-in-australia-2023-24/contents/data-dashboard" TargetMode="External"/><Relationship Id="rId49" Type="http://schemas.openxmlformats.org/officeDocument/2006/relationships/hyperlink" Target="https://legislation.nt.gov.au/Legislation/YOUTH-JUSTICE-REGULATIONS-2006" TargetMode="External"/><Relationship Id="rId114" Type="http://schemas.openxmlformats.org/officeDocument/2006/relationships/hyperlink" Target="https://www.abc.net.au/news/2025-06-13/nt-prison-lockdowns-police-watch-houses-budget-estimates/105409586" TargetMode="External"/><Relationship Id="rId60" Type="http://schemas.openxmlformats.org/officeDocument/2006/relationships/hyperlink" Target="https://ccyp.vic.gov.au/assets/corporate-documents/AnnRep2023-24/Annual-Report-2023-24-Commission-for-Children-and-Young-People.PDF" TargetMode="External"/><Relationship Id="rId81" Type="http://schemas.openxmlformats.org/officeDocument/2006/relationships/hyperlink" Target="https://www.police.qld.gov.au/sites/default/files/2025-07/QPS%20Watch-house%20Review%202025_1_0.pdf" TargetMode="External"/><Relationship Id="rId135" Type="http://schemas.openxmlformats.org/officeDocument/2006/relationships/hyperlink" Target="https://assets.ombudsman.vic.gov.au/assets/FINAL_07.03.24_VO-PARLIAMENTARY-REPORT_Investigation-into-healthcare-provision-for-Aboriginal-people-in-Victorian-prisons_Mar-2024.pdf" TargetMode="External"/><Relationship Id="rId156" Type="http://schemas.openxmlformats.org/officeDocument/2006/relationships/hyperlink" Target="https://minister.homeaffairs.gov.au/TonyBurke/Pages/statement-on-nzyq.aspx" TargetMode="External"/><Relationship Id="rId177" Type="http://schemas.openxmlformats.org/officeDocument/2006/relationships/hyperlink" Target="https://humanrights.gov.au/sites/default/files/2024-12/Not%20Just%20An%20Afterthought%20Women%20in%20Immigration%20Detention%20Inspection%20Report%20Dec%202024.pdf" TargetMode="External"/><Relationship Id="rId198" Type="http://schemas.openxmlformats.org/officeDocument/2006/relationships/hyperlink" Target="https://www.legislation.act.gov.au/a/2024-41/" TargetMode="External"/><Relationship Id="rId18" Type="http://schemas.openxmlformats.org/officeDocument/2006/relationships/hyperlink" Target="https://www.aic.gov.au/sites/default/files/2020-05/rpp125.pdf" TargetMode="External"/><Relationship Id="rId39" Type="http://schemas.openxmlformats.org/officeDocument/2006/relationships/hyperlink" Target="https://www.sbs.com.au/nitv/living-black/article/cyrus-says-he-was-denied-fresh-drinking-water-in-youth-detention-where-he-says-violent-abuse-and-racism-against-children-go-unchecked/3ivxwnfgo" TargetMode="External"/><Relationship Id="rId50" Type="http://schemas.openxmlformats.org/officeDocument/2006/relationships/hyperlink" Target="https://legislation.nt.gov.au/LegislationPortal/Acts/~/link.aspx?_id=B306457A4A004E2CB9952B640A5750F4&amp;amp;_z=z&amp;format=assented" TargetMode="External"/><Relationship Id="rId104" Type="http://schemas.openxmlformats.org/officeDocument/2006/relationships/hyperlink" Target="https://www.abs.gov.au/statistics/people/crime-and-justice/corrective-services-australia/latest-release" TargetMode="External"/><Relationship Id="rId125" Type="http://schemas.openxmlformats.org/officeDocument/2006/relationships/hyperlink" Target="https://www.parliament.vic.gov.au/get-involved/inquiries/inquiry-into-children-with-imprisoned-parents/reports/" TargetMode="External"/><Relationship Id="rId146" Type="http://schemas.openxmlformats.org/officeDocument/2006/relationships/hyperlink" Target="https://www.hcourt.gov.au/cases/case_m66-2024" TargetMode="External"/><Relationship Id="rId167" Type="http://schemas.openxmlformats.org/officeDocument/2006/relationships/hyperlink" Target="https://www.ombudsman.gov.au/__data/assets/pdf_file/0027/314892/Post-Visit-Summary-Brisbane-Immigration-Detention-Centre-17-December-2024.pdf" TargetMode="External"/><Relationship Id="rId188" Type="http://schemas.openxmlformats.org/officeDocument/2006/relationships/hyperlink" Target="https://www.royalcommission.gov.au/system/files/2021-03/final-report-volume-3a.pdf" TargetMode="External"/></Relationships>
</file>

<file path=word/theme/theme1.xml><?xml version="1.0" encoding="utf-8"?>
<a:theme xmlns:a="http://schemas.openxmlformats.org/drawingml/2006/main" name="Office Theme">
  <a:themeElements>
    <a:clrScheme name="Australian NPM Palette">
      <a:dk1>
        <a:srgbClr val="000000"/>
      </a:dk1>
      <a:lt1>
        <a:srgbClr val="FFFFFF"/>
      </a:lt1>
      <a:dk2>
        <a:srgbClr val="44546A"/>
      </a:dk2>
      <a:lt2>
        <a:srgbClr val="E7E6E6"/>
      </a:lt2>
      <a:accent1>
        <a:srgbClr val="0D3946"/>
      </a:accent1>
      <a:accent2>
        <a:srgbClr val="719243"/>
      </a:accent2>
      <a:accent3>
        <a:srgbClr val="937CB9"/>
      </a:accent3>
      <a:accent4>
        <a:srgbClr val="F2EEEA"/>
      </a:accent4>
      <a:accent5>
        <a:srgbClr val="8C9CA1"/>
      </a:accent5>
      <a:accent6>
        <a:srgbClr val="F6F5F2"/>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C458BF7C48FA64C9799E91ED7CCBFAA" ma:contentTypeVersion="0" ma:contentTypeDescription="Create a new document." ma:contentTypeScope="" ma:versionID="c88b792759c97bea6cce34609ab353fe">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etadata xmlns="http://www.objective.com/ecm/document/metadata/UNKNOWN" version="1.0.0">
  <systemFields>
    <field name="Objective-Id">
      <value order="0">A2515172</value>
    </field>
    <field name="Objective-Title">
      <value order="0">DRAFT - Australian NPM - written contribution to LOIPR - CAT seventh periodic review</value>
    </field>
  </systemFields>
  <catalogues/>
</metadata>
</file>

<file path=customXml/itemProps1.xml><?xml version="1.0" encoding="utf-8"?>
<ds:datastoreItem xmlns:ds="http://schemas.openxmlformats.org/officeDocument/2006/customXml" ds:itemID="{C8003265-28D2-4077-907A-77BAB78772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463660-7D0D-4333-BFA5-12FE63C12186}">
  <ds:schemaRefs>
    <ds:schemaRef ds:uri="http://schemas.openxmlformats.org/officeDocument/2006/bibliography"/>
  </ds:schemaRefs>
</ds:datastoreItem>
</file>

<file path=customXml/itemProps3.xml><?xml version="1.0" encoding="utf-8"?>
<ds:datastoreItem xmlns:ds="http://schemas.openxmlformats.org/officeDocument/2006/customXml" ds:itemID="{6DD70F2F-745B-4A50-9026-B54C74346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7A783B5-2B40-40F8-BDDE-A6ABC164F79F}">
  <ds:schemaRefs>
    <ds:schemaRef ds:uri="http://schemas.microsoft.com/sharepoint/v3/contenttype/forms"/>
  </ds:schemaRefs>
</ds:datastoreItem>
</file>

<file path=customXml/itemProps5.xml><?xml version="1.0" encoding="utf-8"?>
<ds:datastoreItem xmlns:ds="http://schemas.openxmlformats.org/officeDocument/2006/customXml" ds:itemID="{5745109E-2DDF-40CB-AC2B-FF9B10C90820}">
  <ds:schemaRefs>
    <ds:schemaRef ds:uri="http://www.objective.com/ecm/document/metadata/UNKNOWN"/>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15</TotalTime>
  <Pages>30</Pages>
  <Words>10087</Words>
  <Characters>57499</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NPM Coordinator</dc:creator>
  <cp:keywords/>
  <dc:description/>
  <cp:lastModifiedBy>Youssef Hamdan</cp:lastModifiedBy>
  <cp:revision>4</cp:revision>
  <cp:lastPrinted>2025-09-12T05:42:00Z</cp:lastPrinted>
  <dcterms:created xsi:type="dcterms:W3CDTF">2025-09-13T01:02:00Z</dcterms:created>
  <dcterms:modified xsi:type="dcterms:W3CDTF">2025-09-13T01:09:00Z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A2515172</vt:lpwstr>
  </property>
  <property fmtid="{D5CDD505-2E9C-101B-9397-08002B2CF9AE}" pid="4" name="Objective-Title">
    <vt:lpwstr>FINAL - Australian NPM - written contribution to LOIPR - CAT seventh periodic review</vt:lpwstr>
  </property>
  <property fmtid="{D5CDD505-2E9C-101B-9397-08002B2CF9AE}" pid="5" name="Objective-Author - Internal">
    <vt:lpwstr>Robert Wardle</vt:lpwstr>
  </property>
  <property fmtid="{D5CDD505-2E9C-101B-9397-08002B2CF9AE}" pid="6" name="Objective-Agency">
    <vt:lpwstr/>
  </property>
  <property fmtid="{D5CDD505-2E9C-101B-9397-08002B2CF9AE}" pid="7" name="Objective-Date on Physical Item">
    <vt:lpwstr/>
  </property>
  <property fmtid="{D5CDD505-2E9C-101B-9397-08002B2CF9AE}" pid="8" name="Objective-Date Physical Item Digitised">
    <vt:lpwstr/>
  </property>
  <property fmtid="{D5CDD505-2E9C-101B-9397-08002B2CF9AE}" pid="9" name="Objective-Date Physical Item Destroyed">
    <vt:lpwstr/>
  </property>
  <property fmtid="{D5CDD505-2E9C-101B-9397-08002B2CF9AE}" pid="10" name="Objective-Physical Item Exists?">
    <vt:lpwstr>No</vt:lpwstr>
  </property>
  <property fmtid="{D5CDD505-2E9C-101B-9397-08002B2CF9AE}" pid="11" name="Objective-Addressee">
    <vt:lpwstr/>
  </property>
  <property fmtid="{D5CDD505-2E9C-101B-9397-08002B2CF9AE}" pid="12" name="Objective-Date Sent">
    <vt:lpwstr/>
  </property>
  <property fmtid="{D5CDD505-2E9C-101B-9397-08002B2CF9AE}" pid="13" name="Objective-Signatory">
    <vt:lpwstr/>
  </property>
  <property fmtid="{D5CDD505-2E9C-101B-9397-08002B2CF9AE}" pid="14" name="Objective-Detailed Description">
    <vt:lpwstr/>
  </property>
  <property fmtid="{D5CDD505-2E9C-101B-9397-08002B2CF9AE}" pid="15" name="Objective-Channel">
    <vt:lpwstr>Outgoing</vt:lpwstr>
  </property>
  <property fmtid="{D5CDD505-2E9C-101B-9397-08002B2CF9AE}" pid="16" name="ContentTypeId">
    <vt:lpwstr>0x0101004C458BF7C48FA64C9799E91ED7CCBFAA</vt:lpwstr>
  </property>
  <property fmtid="{D5CDD505-2E9C-101B-9397-08002B2CF9AE}" pid="17" name="ClassificationContentMarkingHeaderShapeIds">
    <vt:lpwstr>57131036,150c24d0,4cffaa14</vt:lpwstr>
  </property>
  <property fmtid="{D5CDD505-2E9C-101B-9397-08002B2CF9AE}" pid="18" name="ClassificationContentMarkingHeaderFontProps">
    <vt:lpwstr>#ff0000,14,Calibri</vt:lpwstr>
  </property>
  <property fmtid="{D5CDD505-2E9C-101B-9397-08002B2CF9AE}" pid="19" name="ClassificationContentMarkingHeaderText">
    <vt:lpwstr>OFFICIAL</vt:lpwstr>
  </property>
  <property fmtid="{D5CDD505-2E9C-101B-9397-08002B2CF9AE}" pid="20" name="MSIP_Label_5bbf0467-194f-41f9-8081-2850b327124b_Enabled">
    <vt:lpwstr>true</vt:lpwstr>
  </property>
  <property fmtid="{D5CDD505-2E9C-101B-9397-08002B2CF9AE}" pid="21" name="MSIP_Label_5bbf0467-194f-41f9-8081-2850b327124b_SetDate">
    <vt:lpwstr>2025-04-03T06:52:34Z</vt:lpwstr>
  </property>
  <property fmtid="{D5CDD505-2E9C-101B-9397-08002B2CF9AE}" pid="22" name="MSIP_Label_5bbf0467-194f-41f9-8081-2850b327124b_Method">
    <vt:lpwstr>Privileged</vt:lpwstr>
  </property>
  <property fmtid="{D5CDD505-2E9C-101B-9397-08002B2CF9AE}" pid="23" name="MSIP_Label_5bbf0467-194f-41f9-8081-2850b327124b_Name">
    <vt:lpwstr>Official</vt:lpwstr>
  </property>
  <property fmtid="{D5CDD505-2E9C-101B-9397-08002B2CF9AE}" pid="24" name="MSIP_Label_5bbf0467-194f-41f9-8081-2850b327124b_SiteId">
    <vt:lpwstr>443ee9e8-11ff-4c82-9e41-39331045260a</vt:lpwstr>
  </property>
  <property fmtid="{D5CDD505-2E9C-101B-9397-08002B2CF9AE}" pid="25" name="MSIP_Label_5bbf0467-194f-41f9-8081-2850b327124b_ActionId">
    <vt:lpwstr>97754d67-dd82-4ce7-9400-a1214f9a5552</vt:lpwstr>
  </property>
  <property fmtid="{D5CDD505-2E9C-101B-9397-08002B2CF9AE}" pid="26" name="MSIP_Label_5bbf0467-194f-41f9-8081-2850b327124b_ContentBits">
    <vt:lpwstr>1</vt:lpwstr>
  </property>
  <property fmtid="{D5CDD505-2E9C-101B-9397-08002B2CF9AE}" pid="27" name="MSIP_Label_5bbf0467-194f-41f9-8081-2850b327124b_Tag">
    <vt:lpwstr>10, 0, 1, 1</vt:lpwstr>
  </property>
</Properties>
</file>