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8141F" w14:textId="780E0CB9" w:rsidR="00CC3744" w:rsidRPr="007E0709" w:rsidRDefault="007E0709" w:rsidP="005B2AC2">
      <w:pPr>
        <w:jc w:val="center"/>
        <w:rPr>
          <w:rFonts w:ascii="Sylfaen" w:hAnsi="Sylfaen"/>
          <w:b/>
          <w:bCs/>
          <w:sz w:val="28"/>
          <w:szCs w:val="28"/>
          <w:lang w:val="ka-GE"/>
        </w:rPr>
      </w:pPr>
      <w:r>
        <w:rPr>
          <w:noProof/>
        </w:rPr>
        <w:drawing>
          <wp:inline distT="0" distB="0" distL="0" distR="0" wp14:anchorId="4A54D21B" wp14:editId="32CCD595">
            <wp:extent cx="2604851" cy="2295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9136" cy="2299301"/>
                    </a:xfrm>
                    <a:prstGeom prst="rect">
                      <a:avLst/>
                    </a:prstGeom>
                    <a:noFill/>
                    <a:ln>
                      <a:noFill/>
                    </a:ln>
                  </pic:spPr>
                </pic:pic>
              </a:graphicData>
            </a:graphic>
          </wp:inline>
        </w:drawing>
      </w:r>
    </w:p>
    <w:p w14:paraId="33B45174" w14:textId="077554AB" w:rsidR="00D66712" w:rsidRDefault="00D66712" w:rsidP="00C550B5">
      <w:pPr>
        <w:jc w:val="both"/>
        <w:rPr>
          <w:rFonts w:ascii="Sylfaen" w:hAnsi="Sylfaen"/>
          <w:b/>
          <w:bCs/>
          <w:sz w:val="28"/>
          <w:szCs w:val="28"/>
        </w:rPr>
      </w:pPr>
    </w:p>
    <w:p w14:paraId="3B3DDDE4" w14:textId="77777777" w:rsidR="007132D3" w:rsidRDefault="007132D3" w:rsidP="00C550B5">
      <w:pPr>
        <w:jc w:val="both"/>
        <w:rPr>
          <w:rFonts w:ascii="Sylfaen" w:hAnsi="Sylfaen"/>
          <w:b/>
          <w:bCs/>
          <w:sz w:val="28"/>
          <w:szCs w:val="28"/>
        </w:rPr>
      </w:pPr>
    </w:p>
    <w:p w14:paraId="30BEDE6C" w14:textId="533C64A3" w:rsidR="00E01195" w:rsidRPr="007B3F9C" w:rsidRDefault="00E01195" w:rsidP="007B3F9C">
      <w:pPr>
        <w:jc w:val="center"/>
        <w:rPr>
          <w:rFonts w:ascii="Sylfaen" w:hAnsi="Sylfaen"/>
          <w:b/>
          <w:bCs/>
          <w:sz w:val="40"/>
          <w:szCs w:val="40"/>
        </w:rPr>
      </w:pPr>
      <w:r w:rsidRPr="007B3F9C">
        <w:rPr>
          <w:rFonts w:ascii="Sylfaen" w:hAnsi="Sylfaen"/>
          <w:b/>
          <w:bCs/>
          <w:sz w:val="40"/>
          <w:szCs w:val="40"/>
        </w:rPr>
        <w:t>Written Submission for 108</w:t>
      </w:r>
      <w:r w:rsidR="006E5F5F" w:rsidRPr="006E5F5F">
        <w:rPr>
          <w:rFonts w:ascii="Sylfaen" w:hAnsi="Sylfaen"/>
          <w:b/>
          <w:bCs/>
          <w:sz w:val="40"/>
          <w:szCs w:val="40"/>
          <w:vertAlign w:val="superscript"/>
        </w:rPr>
        <w:t>th</w:t>
      </w:r>
      <w:r w:rsidR="006E5F5F">
        <w:rPr>
          <w:rFonts w:ascii="Sylfaen" w:hAnsi="Sylfaen"/>
          <w:b/>
          <w:bCs/>
          <w:sz w:val="40"/>
          <w:szCs w:val="40"/>
        </w:rPr>
        <w:t xml:space="preserve"> </w:t>
      </w:r>
      <w:r w:rsidRPr="007B3F9C">
        <w:rPr>
          <w:rFonts w:ascii="Sylfaen" w:hAnsi="Sylfaen"/>
          <w:b/>
          <w:bCs/>
          <w:sz w:val="40"/>
          <w:szCs w:val="40"/>
        </w:rPr>
        <w:t>session (14 November</w:t>
      </w:r>
      <w:r w:rsidR="006E5F5F">
        <w:rPr>
          <w:rFonts w:ascii="Sylfaen" w:hAnsi="Sylfaen"/>
          <w:b/>
          <w:bCs/>
          <w:sz w:val="40"/>
          <w:szCs w:val="40"/>
        </w:rPr>
        <w:t xml:space="preserve"> </w:t>
      </w:r>
      <w:r w:rsidRPr="007B3F9C">
        <w:rPr>
          <w:rFonts w:ascii="Sylfaen" w:hAnsi="Sylfaen"/>
          <w:b/>
          <w:bCs/>
          <w:sz w:val="40"/>
          <w:szCs w:val="40"/>
        </w:rPr>
        <w:t>-</w:t>
      </w:r>
      <w:r w:rsidR="006E5F5F">
        <w:rPr>
          <w:rFonts w:ascii="Sylfaen" w:hAnsi="Sylfaen"/>
          <w:b/>
          <w:bCs/>
          <w:sz w:val="40"/>
          <w:szCs w:val="40"/>
        </w:rPr>
        <w:t xml:space="preserve"> </w:t>
      </w:r>
      <w:r w:rsidRPr="007B3F9C">
        <w:rPr>
          <w:rFonts w:ascii="Sylfaen" w:hAnsi="Sylfaen"/>
          <w:b/>
          <w:bCs/>
          <w:sz w:val="40"/>
          <w:szCs w:val="40"/>
        </w:rPr>
        <w:t>2 December 2022) of the Committee on Elimination of Racial Discrimination (CERD)</w:t>
      </w:r>
    </w:p>
    <w:p w14:paraId="1265147D" w14:textId="743EF0B4" w:rsidR="007B3F9C" w:rsidRPr="007B3F9C" w:rsidRDefault="007B3F9C" w:rsidP="007B3F9C">
      <w:pPr>
        <w:jc w:val="center"/>
        <w:rPr>
          <w:rFonts w:ascii="Sylfaen" w:hAnsi="Sylfaen"/>
          <w:b/>
          <w:bCs/>
          <w:sz w:val="40"/>
          <w:szCs w:val="40"/>
        </w:rPr>
      </w:pPr>
      <w:r w:rsidRPr="007B3F9C">
        <w:rPr>
          <w:rFonts w:ascii="Sylfaen" w:hAnsi="Sylfaen"/>
          <w:b/>
          <w:bCs/>
          <w:sz w:val="40"/>
          <w:szCs w:val="40"/>
        </w:rPr>
        <w:t>by the National Human Rights Institution – the Public Defender of Georgia</w:t>
      </w:r>
    </w:p>
    <w:p w14:paraId="2567AEC7" w14:textId="77777777" w:rsidR="00E01195" w:rsidRPr="007B3F9C" w:rsidRDefault="00E01195" w:rsidP="007B3F9C">
      <w:pPr>
        <w:jc w:val="center"/>
        <w:rPr>
          <w:rFonts w:ascii="Sylfaen" w:hAnsi="Sylfaen"/>
          <w:b/>
          <w:bCs/>
          <w:sz w:val="40"/>
          <w:szCs w:val="40"/>
        </w:rPr>
      </w:pPr>
    </w:p>
    <w:p w14:paraId="5DC24FE0" w14:textId="027F203E" w:rsidR="00D66712" w:rsidRDefault="00D66712" w:rsidP="00C550B5">
      <w:pPr>
        <w:jc w:val="both"/>
        <w:rPr>
          <w:rFonts w:ascii="Sylfaen" w:hAnsi="Sylfaen"/>
          <w:b/>
          <w:bCs/>
          <w:sz w:val="28"/>
          <w:szCs w:val="28"/>
        </w:rPr>
      </w:pPr>
    </w:p>
    <w:p w14:paraId="62049229" w14:textId="64680C1B" w:rsidR="00D66712" w:rsidRDefault="00D66712" w:rsidP="00C550B5">
      <w:pPr>
        <w:jc w:val="both"/>
        <w:rPr>
          <w:rFonts w:ascii="Sylfaen" w:hAnsi="Sylfaen"/>
          <w:b/>
          <w:bCs/>
          <w:sz w:val="28"/>
          <w:szCs w:val="28"/>
        </w:rPr>
      </w:pPr>
    </w:p>
    <w:p w14:paraId="06A55728" w14:textId="3023BED3" w:rsidR="00D66712" w:rsidRDefault="00D66712" w:rsidP="00C550B5">
      <w:pPr>
        <w:jc w:val="both"/>
        <w:rPr>
          <w:rFonts w:ascii="Sylfaen" w:hAnsi="Sylfaen"/>
          <w:b/>
          <w:bCs/>
          <w:sz w:val="28"/>
          <w:szCs w:val="28"/>
        </w:rPr>
      </w:pPr>
    </w:p>
    <w:p w14:paraId="665C76EC" w14:textId="044B3203" w:rsidR="00D66712" w:rsidRDefault="00D66712" w:rsidP="00C550B5">
      <w:pPr>
        <w:jc w:val="both"/>
        <w:rPr>
          <w:rFonts w:ascii="Sylfaen" w:hAnsi="Sylfaen"/>
          <w:b/>
          <w:bCs/>
          <w:sz w:val="28"/>
          <w:szCs w:val="28"/>
        </w:rPr>
      </w:pPr>
    </w:p>
    <w:p w14:paraId="53CA5908" w14:textId="78EC8CD4" w:rsidR="00D66712" w:rsidRDefault="00D66712" w:rsidP="00C550B5">
      <w:pPr>
        <w:jc w:val="both"/>
        <w:rPr>
          <w:rFonts w:ascii="Sylfaen" w:hAnsi="Sylfaen"/>
          <w:b/>
          <w:bCs/>
          <w:sz w:val="28"/>
          <w:szCs w:val="28"/>
        </w:rPr>
      </w:pPr>
    </w:p>
    <w:p w14:paraId="25E39D06" w14:textId="31655622" w:rsidR="00D66712" w:rsidRDefault="00D66712" w:rsidP="00C550B5">
      <w:pPr>
        <w:jc w:val="both"/>
        <w:rPr>
          <w:rFonts w:ascii="Sylfaen" w:hAnsi="Sylfaen"/>
          <w:b/>
          <w:bCs/>
          <w:sz w:val="28"/>
          <w:szCs w:val="28"/>
        </w:rPr>
      </w:pPr>
    </w:p>
    <w:p w14:paraId="0E10F78A" w14:textId="77777777" w:rsidR="00D66712" w:rsidRDefault="00D66712" w:rsidP="00C550B5">
      <w:pPr>
        <w:jc w:val="both"/>
        <w:rPr>
          <w:rFonts w:ascii="Sylfaen" w:hAnsi="Sylfaen"/>
          <w:b/>
          <w:bCs/>
          <w:sz w:val="28"/>
          <w:szCs w:val="28"/>
        </w:rPr>
      </w:pPr>
    </w:p>
    <w:sdt>
      <w:sdtPr>
        <w:rPr>
          <w:rFonts w:asciiTheme="minorHAnsi" w:eastAsiaTheme="minorHAnsi" w:hAnsiTheme="minorHAnsi" w:cstheme="minorBidi"/>
          <w:color w:val="auto"/>
          <w:sz w:val="22"/>
          <w:szCs w:val="22"/>
        </w:rPr>
        <w:id w:val="887694983"/>
        <w:docPartObj>
          <w:docPartGallery w:val="Table of Contents"/>
          <w:docPartUnique/>
        </w:docPartObj>
      </w:sdtPr>
      <w:sdtEndPr>
        <w:rPr>
          <w:b/>
          <w:bCs/>
          <w:noProof/>
        </w:rPr>
      </w:sdtEndPr>
      <w:sdtContent>
        <w:p w14:paraId="1A94F481" w14:textId="2EDD1DF6" w:rsidR="009416E8" w:rsidRPr="003E4977" w:rsidRDefault="003E4977">
          <w:pPr>
            <w:pStyle w:val="TOCHeading"/>
            <w:rPr>
              <w:rFonts w:ascii="Sylfaen" w:hAnsi="Sylfaen"/>
              <w:sz w:val="40"/>
              <w:szCs w:val="40"/>
            </w:rPr>
          </w:pPr>
          <w:r w:rsidRPr="003E4977">
            <w:rPr>
              <w:rFonts w:ascii="Sylfaen" w:hAnsi="Sylfaen"/>
              <w:sz w:val="40"/>
              <w:szCs w:val="40"/>
            </w:rPr>
            <w:t xml:space="preserve">Table of </w:t>
          </w:r>
          <w:r w:rsidR="009416E8" w:rsidRPr="003E4977">
            <w:rPr>
              <w:rFonts w:ascii="Sylfaen" w:hAnsi="Sylfaen"/>
              <w:sz w:val="40"/>
              <w:szCs w:val="40"/>
            </w:rPr>
            <w:t>Contents</w:t>
          </w:r>
        </w:p>
        <w:p w14:paraId="28BCF4CB" w14:textId="15DD8045" w:rsidR="009416E8" w:rsidRPr="003E4977" w:rsidRDefault="009416E8">
          <w:pPr>
            <w:pStyle w:val="TOC1"/>
            <w:tabs>
              <w:tab w:val="right" w:leader="dot" w:pos="9350"/>
            </w:tabs>
            <w:rPr>
              <w:rFonts w:ascii="Sylfaen" w:hAnsi="Sylfaen"/>
              <w:noProof/>
              <w:sz w:val="28"/>
              <w:szCs w:val="28"/>
            </w:rPr>
          </w:pPr>
          <w:r w:rsidRPr="003E4977">
            <w:rPr>
              <w:rFonts w:ascii="Sylfaen" w:hAnsi="Sylfaen"/>
              <w:sz w:val="28"/>
              <w:szCs w:val="28"/>
            </w:rPr>
            <w:fldChar w:fldCharType="begin"/>
          </w:r>
          <w:r w:rsidRPr="003E4977">
            <w:rPr>
              <w:rFonts w:ascii="Sylfaen" w:hAnsi="Sylfaen"/>
              <w:sz w:val="28"/>
              <w:szCs w:val="28"/>
            </w:rPr>
            <w:instrText xml:space="preserve"> TOC \o "1-3" \h \z \u </w:instrText>
          </w:r>
          <w:r w:rsidRPr="003E4977">
            <w:rPr>
              <w:rFonts w:ascii="Sylfaen" w:hAnsi="Sylfaen"/>
              <w:sz w:val="28"/>
              <w:szCs w:val="28"/>
            </w:rPr>
            <w:fldChar w:fldCharType="separate"/>
          </w:r>
          <w:hyperlink w:anchor="_Toc116583227" w:history="1">
            <w:r w:rsidRPr="003E4977">
              <w:rPr>
                <w:rStyle w:val="Hyperlink"/>
                <w:rFonts w:ascii="Sylfaen" w:hAnsi="Sylfaen"/>
                <w:noProof/>
                <w:sz w:val="28"/>
                <w:szCs w:val="28"/>
              </w:rPr>
              <w:t>I. Introduction</w:t>
            </w:r>
            <w:r w:rsidRPr="003E4977">
              <w:rPr>
                <w:rFonts w:ascii="Sylfaen" w:hAnsi="Sylfaen"/>
                <w:noProof/>
                <w:webHidden/>
                <w:sz w:val="28"/>
                <w:szCs w:val="28"/>
              </w:rPr>
              <w:tab/>
            </w:r>
            <w:r w:rsidRPr="003E4977">
              <w:rPr>
                <w:rFonts w:ascii="Sylfaen" w:hAnsi="Sylfaen"/>
                <w:noProof/>
                <w:webHidden/>
                <w:sz w:val="28"/>
                <w:szCs w:val="28"/>
              </w:rPr>
              <w:fldChar w:fldCharType="begin"/>
            </w:r>
            <w:r w:rsidRPr="003E4977">
              <w:rPr>
                <w:rFonts w:ascii="Sylfaen" w:hAnsi="Sylfaen"/>
                <w:noProof/>
                <w:webHidden/>
                <w:sz w:val="28"/>
                <w:szCs w:val="28"/>
              </w:rPr>
              <w:instrText xml:space="preserve"> PAGEREF _Toc116583227 \h </w:instrText>
            </w:r>
            <w:r w:rsidRPr="003E4977">
              <w:rPr>
                <w:rFonts w:ascii="Sylfaen" w:hAnsi="Sylfaen"/>
                <w:noProof/>
                <w:webHidden/>
                <w:sz w:val="28"/>
                <w:szCs w:val="28"/>
              </w:rPr>
            </w:r>
            <w:r w:rsidRPr="003E4977">
              <w:rPr>
                <w:rFonts w:ascii="Sylfaen" w:hAnsi="Sylfaen"/>
                <w:noProof/>
                <w:webHidden/>
                <w:sz w:val="28"/>
                <w:szCs w:val="28"/>
              </w:rPr>
              <w:fldChar w:fldCharType="separate"/>
            </w:r>
            <w:r w:rsidR="00121291">
              <w:rPr>
                <w:rFonts w:ascii="Sylfaen" w:hAnsi="Sylfaen"/>
                <w:noProof/>
                <w:webHidden/>
                <w:sz w:val="28"/>
                <w:szCs w:val="28"/>
              </w:rPr>
              <w:t>3</w:t>
            </w:r>
            <w:r w:rsidRPr="003E4977">
              <w:rPr>
                <w:rFonts w:ascii="Sylfaen" w:hAnsi="Sylfaen"/>
                <w:noProof/>
                <w:webHidden/>
                <w:sz w:val="28"/>
                <w:szCs w:val="28"/>
              </w:rPr>
              <w:fldChar w:fldCharType="end"/>
            </w:r>
          </w:hyperlink>
        </w:p>
        <w:p w14:paraId="7407C9E3" w14:textId="3B8FA522" w:rsidR="009416E8" w:rsidRPr="003E4977" w:rsidRDefault="00000000">
          <w:pPr>
            <w:pStyle w:val="TOC1"/>
            <w:tabs>
              <w:tab w:val="right" w:leader="dot" w:pos="9350"/>
            </w:tabs>
            <w:rPr>
              <w:rFonts w:ascii="Sylfaen" w:hAnsi="Sylfaen"/>
              <w:noProof/>
              <w:sz w:val="28"/>
              <w:szCs w:val="28"/>
            </w:rPr>
          </w:pPr>
          <w:hyperlink w:anchor="_Toc116583228" w:history="1">
            <w:r w:rsidR="009416E8" w:rsidRPr="003E4977">
              <w:rPr>
                <w:rStyle w:val="Hyperlink"/>
                <w:rFonts w:ascii="Sylfaen" w:hAnsi="Sylfaen"/>
                <w:noProof/>
                <w:sz w:val="28"/>
                <w:szCs w:val="28"/>
              </w:rPr>
              <w:t>II. Implementation of the Concluding Observations of the Committee</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_Toc116583228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3</w:t>
            </w:r>
            <w:r w:rsidR="009416E8" w:rsidRPr="003E4977">
              <w:rPr>
                <w:rFonts w:ascii="Sylfaen" w:hAnsi="Sylfaen"/>
                <w:noProof/>
                <w:webHidden/>
                <w:sz w:val="28"/>
                <w:szCs w:val="28"/>
              </w:rPr>
              <w:fldChar w:fldCharType="end"/>
            </w:r>
          </w:hyperlink>
        </w:p>
        <w:p w14:paraId="69D907DE" w14:textId="7A0EF059" w:rsidR="009416E8" w:rsidRPr="003E4977" w:rsidRDefault="00000000" w:rsidP="00BE7533">
          <w:pPr>
            <w:pStyle w:val="TOC2"/>
            <w:rPr>
              <w:rFonts w:ascii="Sylfaen" w:hAnsi="Sylfaen"/>
              <w:noProof/>
              <w:sz w:val="28"/>
              <w:szCs w:val="28"/>
            </w:rPr>
          </w:pPr>
          <w:hyperlink w:anchor="_Toc116583229" w:history="1">
            <w:r w:rsidR="009416E8" w:rsidRPr="003E4977">
              <w:rPr>
                <w:rStyle w:val="Hyperlink"/>
                <w:rFonts w:ascii="Sylfaen" w:hAnsi="Sylfaen"/>
                <w:noProof/>
                <w:sz w:val="28"/>
                <w:szCs w:val="28"/>
              </w:rPr>
              <w:t>Recommendations (7)–(9) – Anti-discrimination legislation and fight against hate speech</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_Toc116583229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3</w:t>
            </w:r>
            <w:r w:rsidR="009416E8" w:rsidRPr="003E4977">
              <w:rPr>
                <w:rFonts w:ascii="Sylfaen" w:hAnsi="Sylfaen"/>
                <w:noProof/>
                <w:webHidden/>
                <w:sz w:val="28"/>
                <w:szCs w:val="28"/>
              </w:rPr>
              <w:fldChar w:fldCharType="end"/>
            </w:r>
          </w:hyperlink>
        </w:p>
        <w:p w14:paraId="460FB9F9" w14:textId="0E92975A" w:rsidR="009416E8" w:rsidRPr="003E4977" w:rsidRDefault="00000000" w:rsidP="00BE7533">
          <w:pPr>
            <w:pStyle w:val="TOC2"/>
            <w:rPr>
              <w:rFonts w:ascii="Sylfaen" w:hAnsi="Sylfaen"/>
              <w:noProof/>
              <w:sz w:val="28"/>
              <w:szCs w:val="28"/>
            </w:rPr>
          </w:pPr>
          <w:hyperlink w:anchor="_Toc116583230" w:history="1">
            <w:r w:rsidR="009416E8" w:rsidRPr="003E4977">
              <w:rPr>
                <w:rStyle w:val="Hyperlink"/>
                <w:rFonts w:ascii="Sylfaen" w:hAnsi="Sylfaen"/>
                <w:noProof/>
                <w:sz w:val="28"/>
                <w:szCs w:val="28"/>
                <w:lang w:val="ka-GE"/>
              </w:rPr>
              <w:t>Recommendation (11) – Disaggregated data</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_Toc116583230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8</w:t>
            </w:r>
            <w:r w:rsidR="009416E8" w:rsidRPr="003E4977">
              <w:rPr>
                <w:rFonts w:ascii="Sylfaen" w:hAnsi="Sylfaen"/>
                <w:noProof/>
                <w:webHidden/>
                <w:sz w:val="28"/>
                <w:szCs w:val="28"/>
              </w:rPr>
              <w:fldChar w:fldCharType="end"/>
            </w:r>
          </w:hyperlink>
        </w:p>
        <w:p w14:paraId="645E55A1" w14:textId="75D11D8B" w:rsidR="009416E8" w:rsidRPr="003E4977" w:rsidRDefault="00000000" w:rsidP="00BE7533">
          <w:pPr>
            <w:pStyle w:val="TOC2"/>
            <w:rPr>
              <w:rFonts w:ascii="Sylfaen" w:hAnsi="Sylfaen"/>
              <w:noProof/>
              <w:sz w:val="28"/>
              <w:szCs w:val="28"/>
            </w:rPr>
          </w:pPr>
          <w:hyperlink w:anchor="_Toc116583231" w:history="1">
            <w:r w:rsidR="009416E8" w:rsidRPr="003E4977">
              <w:rPr>
                <w:rStyle w:val="Hyperlink"/>
                <w:rFonts w:ascii="Sylfaen" w:hAnsi="Sylfaen"/>
                <w:noProof/>
                <w:sz w:val="28"/>
                <w:szCs w:val="28"/>
                <w:lang w:val="ka-GE"/>
              </w:rPr>
              <w:t>Recommendations (12)–(13) – National or ethnic minorities</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_Toc116583231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9</w:t>
            </w:r>
            <w:r w:rsidR="009416E8" w:rsidRPr="003E4977">
              <w:rPr>
                <w:rFonts w:ascii="Sylfaen" w:hAnsi="Sylfaen"/>
                <w:noProof/>
                <w:webHidden/>
                <w:sz w:val="28"/>
                <w:szCs w:val="28"/>
              </w:rPr>
              <w:fldChar w:fldCharType="end"/>
            </w:r>
          </w:hyperlink>
        </w:p>
        <w:p w14:paraId="1207E8F8" w14:textId="5715B410" w:rsidR="009416E8" w:rsidRPr="003E4977" w:rsidRDefault="00000000" w:rsidP="00BE7533">
          <w:pPr>
            <w:pStyle w:val="TOC2"/>
            <w:rPr>
              <w:rFonts w:ascii="Sylfaen" w:hAnsi="Sylfaen"/>
              <w:noProof/>
              <w:sz w:val="28"/>
              <w:szCs w:val="28"/>
            </w:rPr>
          </w:pPr>
          <w:hyperlink w:anchor="_Toc116583232" w:history="1">
            <w:r w:rsidR="009416E8" w:rsidRPr="003E4977">
              <w:rPr>
                <w:rStyle w:val="Hyperlink"/>
                <w:rFonts w:ascii="Sylfaen" w:hAnsi="Sylfaen"/>
                <w:noProof/>
                <w:sz w:val="28"/>
                <w:szCs w:val="28"/>
              </w:rPr>
              <w:t>Recommendation (17) – Persons who were forcibly removed during USSR</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_Toc116583232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12</w:t>
            </w:r>
            <w:r w:rsidR="009416E8" w:rsidRPr="003E4977">
              <w:rPr>
                <w:rFonts w:ascii="Sylfaen" w:hAnsi="Sylfaen"/>
                <w:noProof/>
                <w:webHidden/>
                <w:sz w:val="28"/>
                <w:szCs w:val="28"/>
              </w:rPr>
              <w:fldChar w:fldCharType="end"/>
            </w:r>
          </w:hyperlink>
        </w:p>
        <w:p w14:paraId="54811FA6" w14:textId="519B360B" w:rsidR="009416E8" w:rsidRPr="003E4977" w:rsidRDefault="00000000" w:rsidP="00BE7533">
          <w:pPr>
            <w:pStyle w:val="TOC2"/>
            <w:rPr>
              <w:rFonts w:ascii="Sylfaen" w:hAnsi="Sylfaen"/>
              <w:noProof/>
              <w:sz w:val="28"/>
              <w:szCs w:val="28"/>
            </w:rPr>
          </w:pPr>
          <w:hyperlink w:anchor="_Toc116583233" w:history="1">
            <w:r w:rsidR="009416E8" w:rsidRPr="003E4977">
              <w:rPr>
                <w:rStyle w:val="Hyperlink"/>
                <w:rFonts w:ascii="Sylfaen" w:hAnsi="Sylfaen"/>
                <w:noProof/>
                <w:sz w:val="28"/>
                <w:szCs w:val="28"/>
                <w:lang w:val="ka-GE"/>
              </w:rPr>
              <w:t>Recommendation (2</w:t>
            </w:r>
            <w:r w:rsidR="009416E8" w:rsidRPr="003E4977">
              <w:rPr>
                <w:rStyle w:val="Hyperlink"/>
                <w:rFonts w:ascii="Sylfaen" w:hAnsi="Sylfaen"/>
                <w:noProof/>
                <w:sz w:val="28"/>
                <w:szCs w:val="28"/>
              </w:rPr>
              <w:t>1</w:t>
            </w:r>
            <w:r w:rsidR="009416E8" w:rsidRPr="003E4977">
              <w:rPr>
                <w:rStyle w:val="Hyperlink"/>
                <w:rFonts w:ascii="Sylfaen" w:hAnsi="Sylfaen"/>
                <w:noProof/>
                <w:sz w:val="28"/>
                <w:szCs w:val="28"/>
                <w:lang w:val="ka-GE"/>
              </w:rPr>
              <w:t xml:space="preserve">) – </w:t>
            </w:r>
            <w:r w:rsidR="009416E8" w:rsidRPr="003E4977">
              <w:rPr>
                <w:rStyle w:val="Hyperlink"/>
                <w:rFonts w:ascii="Sylfaen" w:hAnsi="Sylfaen"/>
                <w:noProof/>
                <w:sz w:val="28"/>
                <w:szCs w:val="28"/>
              </w:rPr>
              <w:t>Asylum-seekers</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_Toc116583233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13</w:t>
            </w:r>
            <w:r w:rsidR="009416E8" w:rsidRPr="003E4977">
              <w:rPr>
                <w:rFonts w:ascii="Sylfaen" w:hAnsi="Sylfaen"/>
                <w:noProof/>
                <w:webHidden/>
                <w:sz w:val="28"/>
                <w:szCs w:val="28"/>
              </w:rPr>
              <w:fldChar w:fldCharType="end"/>
            </w:r>
          </w:hyperlink>
        </w:p>
        <w:p w14:paraId="78A80DED" w14:textId="5E699743" w:rsidR="009416E8" w:rsidRPr="003E4977" w:rsidRDefault="00000000">
          <w:pPr>
            <w:pStyle w:val="TOC1"/>
            <w:tabs>
              <w:tab w:val="right" w:leader="dot" w:pos="9350"/>
            </w:tabs>
            <w:rPr>
              <w:rFonts w:ascii="Sylfaen" w:hAnsi="Sylfaen"/>
              <w:noProof/>
              <w:sz w:val="28"/>
              <w:szCs w:val="28"/>
            </w:rPr>
          </w:pPr>
          <w:hyperlink w:anchor="_Toc116583234" w:history="1">
            <w:r w:rsidR="009416E8" w:rsidRPr="003E4977">
              <w:rPr>
                <w:rStyle w:val="Hyperlink"/>
                <w:rFonts w:ascii="Sylfaen" w:hAnsi="Sylfaen"/>
                <w:noProof/>
                <w:sz w:val="28"/>
                <w:szCs w:val="28"/>
              </w:rPr>
              <w:t>III. Implementation of other obligations under the Convention</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_Toc116583234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17</w:t>
            </w:r>
            <w:r w:rsidR="009416E8" w:rsidRPr="003E4977">
              <w:rPr>
                <w:rFonts w:ascii="Sylfaen" w:hAnsi="Sylfaen"/>
                <w:noProof/>
                <w:webHidden/>
                <w:sz w:val="28"/>
                <w:szCs w:val="28"/>
              </w:rPr>
              <w:fldChar w:fldCharType="end"/>
            </w:r>
          </w:hyperlink>
        </w:p>
        <w:p w14:paraId="622B2924" w14:textId="75D5D5C1" w:rsidR="009416E8" w:rsidRPr="003E4977" w:rsidRDefault="00000000" w:rsidP="00BE7533">
          <w:pPr>
            <w:pStyle w:val="TOC2"/>
            <w:rPr>
              <w:rFonts w:ascii="Sylfaen" w:hAnsi="Sylfaen"/>
              <w:noProof/>
              <w:sz w:val="28"/>
              <w:szCs w:val="28"/>
            </w:rPr>
          </w:pPr>
          <w:hyperlink w:anchor="_Toc116583235" w:history="1">
            <w:r w:rsidR="009416E8" w:rsidRPr="003E4977">
              <w:rPr>
                <w:rStyle w:val="Hyperlink"/>
                <w:rFonts w:ascii="Sylfaen" w:hAnsi="Sylfaen"/>
                <w:noProof/>
                <w:sz w:val="28"/>
                <w:szCs w:val="28"/>
              </w:rPr>
              <w:t>Article 6. Judicial Reform and Mediation</w:t>
            </w:r>
            <w:r w:rsidR="009416E8" w:rsidRPr="003E4977">
              <w:rPr>
                <w:rFonts w:ascii="Sylfaen" w:hAnsi="Sylfaen"/>
                <w:noProof/>
                <w:webHidden/>
                <w:sz w:val="28"/>
                <w:szCs w:val="28"/>
              </w:rPr>
              <w:tab/>
            </w:r>
            <w:r w:rsidR="009416E8" w:rsidRPr="003E4977">
              <w:rPr>
                <w:rFonts w:ascii="Sylfaen" w:hAnsi="Sylfaen"/>
                <w:noProof/>
                <w:webHidden/>
                <w:sz w:val="28"/>
                <w:szCs w:val="28"/>
              </w:rPr>
              <w:fldChar w:fldCharType="begin"/>
            </w:r>
            <w:r w:rsidR="009416E8" w:rsidRPr="003E4977">
              <w:rPr>
                <w:rFonts w:ascii="Sylfaen" w:hAnsi="Sylfaen"/>
                <w:noProof/>
                <w:webHidden/>
                <w:sz w:val="28"/>
                <w:szCs w:val="28"/>
              </w:rPr>
              <w:instrText xml:space="preserve"> PAGEREF _Toc116583235 \h </w:instrText>
            </w:r>
            <w:r w:rsidR="009416E8" w:rsidRPr="003E4977">
              <w:rPr>
                <w:rFonts w:ascii="Sylfaen" w:hAnsi="Sylfaen"/>
                <w:noProof/>
                <w:webHidden/>
                <w:sz w:val="28"/>
                <w:szCs w:val="28"/>
              </w:rPr>
            </w:r>
            <w:r w:rsidR="009416E8" w:rsidRPr="003E4977">
              <w:rPr>
                <w:rFonts w:ascii="Sylfaen" w:hAnsi="Sylfaen"/>
                <w:noProof/>
                <w:webHidden/>
                <w:sz w:val="28"/>
                <w:szCs w:val="28"/>
              </w:rPr>
              <w:fldChar w:fldCharType="separate"/>
            </w:r>
            <w:r w:rsidR="00121291">
              <w:rPr>
                <w:rFonts w:ascii="Sylfaen" w:hAnsi="Sylfaen"/>
                <w:noProof/>
                <w:webHidden/>
                <w:sz w:val="28"/>
                <w:szCs w:val="28"/>
              </w:rPr>
              <w:t>17</w:t>
            </w:r>
            <w:r w:rsidR="009416E8" w:rsidRPr="003E4977">
              <w:rPr>
                <w:rFonts w:ascii="Sylfaen" w:hAnsi="Sylfaen"/>
                <w:noProof/>
                <w:webHidden/>
                <w:sz w:val="28"/>
                <w:szCs w:val="28"/>
              </w:rPr>
              <w:fldChar w:fldCharType="end"/>
            </w:r>
          </w:hyperlink>
        </w:p>
        <w:p w14:paraId="5F74AF42" w14:textId="59F87B4E" w:rsidR="009416E8" w:rsidRDefault="009416E8">
          <w:r w:rsidRPr="003E4977">
            <w:rPr>
              <w:rFonts w:ascii="Sylfaen" w:hAnsi="Sylfaen"/>
              <w:b/>
              <w:bCs/>
              <w:noProof/>
              <w:sz w:val="28"/>
              <w:szCs w:val="28"/>
            </w:rPr>
            <w:fldChar w:fldCharType="end"/>
          </w:r>
        </w:p>
      </w:sdtContent>
    </w:sdt>
    <w:p w14:paraId="3F4A276F" w14:textId="77777777" w:rsidR="00CC3744" w:rsidRDefault="00CC3744" w:rsidP="00C550B5">
      <w:pPr>
        <w:jc w:val="both"/>
        <w:rPr>
          <w:rFonts w:ascii="Sylfaen" w:hAnsi="Sylfaen"/>
          <w:b/>
          <w:bCs/>
          <w:sz w:val="28"/>
          <w:szCs w:val="28"/>
        </w:rPr>
      </w:pPr>
    </w:p>
    <w:p w14:paraId="5A006046" w14:textId="77777777" w:rsidR="00CC3744" w:rsidRDefault="00CC3744" w:rsidP="00C550B5">
      <w:pPr>
        <w:jc w:val="both"/>
        <w:rPr>
          <w:rFonts w:ascii="Sylfaen" w:hAnsi="Sylfaen"/>
          <w:b/>
          <w:bCs/>
          <w:sz w:val="28"/>
          <w:szCs w:val="28"/>
        </w:rPr>
      </w:pPr>
    </w:p>
    <w:p w14:paraId="4376365C" w14:textId="77777777" w:rsidR="00CC3744" w:rsidRDefault="00CC3744" w:rsidP="00C550B5">
      <w:pPr>
        <w:jc w:val="both"/>
        <w:rPr>
          <w:rFonts w:ascii="Sylfaen" w:hAnsi="Sylfaen"/>
          <w:b/>
          <w:bCs/>
          <w:sz w:val="28"/>
          <w:szCs w:val="28"/>
        </w:rPr>
      </w:pPr>
    </w:p>
    <w:p w14:paraId="6E4B8887" w14:textId="77777777" w:rsidR="00CC3744" w:rsidRDefault="00CC3744" w:rsidP="00C550B5">
      <w:pPr>
        <w:jc w:val="both"/>
        <w:rPr>
          <w:rFonts w:ascii="Sylfaen" w:hAnsi="Sylfaen"/>
          <w:b/>
          <w:bCs/>
          <w:sz w:val="28"/>
          <w:szCs w:val="28"/>
        </w:rPr>
      </w:pPr>
    </w:p>
    <w:p w14:paraId="38EE41A7" w14:textId="77777777" w:rsidR="00CC3744" w:rsidRDefault="00CC3744" w:rsidP="00C550B5">
      <w:pPr>
        <w:jc w:val="both"/>
        <w:rPr>
          <w:rFonts w:ascii="Sylfaen" w:hAnsi="Sylfaen"/>
          <w:b/>
          <w:bCs/>
          <w:sz w:val="28"/>
          <w:szCs w:val="28"/>
        </w:rPr>
      </w:pPr>
    </w:p>
    <w:p w14:paraId="404BDE7A" w14:textId="77777777" w:rsidR="00CC3744" w:rsidRDefault="00CC3744" w:rsidP="00C550B5">
      <w:pPr>
        <w:jc w:val="both"/>
        <w:rPr>
          <w:rFonts w:ascii="Sylfaen" w:hAnsi="Sylfaen"/>
          <w:b/>
          <w:bCs/>
          <w:sz w:val="28"/>
          <w:szCs w:val="28"/>
        </w:rPr>
      </w:pPr>
    </w:p>
    <w:p w14:paraId="163A3F2E" w14:textId="77777777" w:rsidR="00CC3744" w:rsidRDefault="00CC3744" w:rsidP="00C550B5">
      <w:pPr>
        <w:jc w:val="both"/>
        <w:rPr>
          <w:rFonts w:ascii="Sylfaen" w:hAnsi="Sylfaen"/>
          <w:b/>
          <w:bCs/>
          <w:sz w:val="28"/>
          <w:szCs w:val="28"/>
        </w:rPr>
      </w:pPr>
    </w:p>
    <w:p w14:paraId="4F1D70D1" w14:textId="77777777" w:rsidR="00CC3744" w:rsidRDefault="00CC3744" w:rsidP="00C550B5">
      <w:pPr>
        <w:jc w:val="both"/>
        <w:rPr>
          <w:rFonts w:ascii="Sylfaen" w:hAnsi="Sylfaen"/>
          <w:b/>
          <w:bCs/>
          <w:sz w:val="28"/>
          <w:szCs w:val="28"/>
        </w:rPr>
      </w:pPr>
    </w:p>
    <w:p w14:paraId="3A07D0EB" w14:textId="77777777" w:rsidR="00CC3744" w:rsidRDefault="00CC3744" w:rsidP="00C550B5">
      <w:pPr>
        <w:jc w:val="both"/>
        <w:rPr>
          <w:rFonts w:ascii="Sylfaen" w:hAnsi="Sylfaen"/>
          <w:b/>
          <w:bCs/>
          <w:sz w:val="28"/>
          <w:szCs w:val="28"/>
        </w:rPr>
      </w:pPr>
    </w:p>
    <w:p w14:paraId="5E7E9B51" w14:textId="77777777" w:rsidR="00CC3744" w:rsidRDefault="00CC3744" w:rsidP="00C550B5">
      <w:pPr>
        <w:jc w:val="both"/>
        <w:rPr>
          <w:rFonts w:ascii="Sylfaen" w:hAnsi="Sylfaen"/>
          <w:b/>
          <w:bCs/>
          <w:sz w:val="28"/>
          <w:szCs w:val="28"/>
        </w:rPr>
      </w:pPr>
    </w:p>
    <w:p w14:paraId="611C4F5A" w14:textId="77777777" w:rsidR="00CC3744" w:rsidRDefault="00CC3744" w:rsidP="00C550B5">
      <w:pPr>
        <w:jc w:val="both"/>
        <w:rPr>
          <w:rFonts w:ascii="Sylfaen" w:hAnsi="Sylfaen"/>
          <w:b/>
          <w:bCs/>
          <w:sz w:val="28"/>
          <w:szCs w:val="28"/>
        </w:rPr>
      </w:pPr>
    </w:p>
    <w:p w14:paraId="33DEE67D" w14:textId="77777777" w:rsidR="007E764A" w:rsidRDefault="007E764A" w:rsidP="00C550B5">
      <w:pPr>
        <w:jc w:val="both"/>
        <w:rPr>
          <w:rFonts w:ascii="Sylfaen" w:hAnsi="Sylfaen"/>
          <w:b/>
          <w:bCs/>
          <w:sz w:val="28"/>
          <w:szCs w:val="28"/>
        </w:rPr>
        <w:sectPr w:rsidR="007E764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39E29048" w14:textId="77777777" w:rsidR="00CC3744" w:rsidRDefault="00CC3744" w:rsidP="00C550B5">
      <w:pPr>
        <w:jc w:val="both"/>
        <w:rPr>
          <w:rFonts w:ascii="Sylfaen" w:hAnsi="Sylfaen"/>
          <w:b/>
          <w:bCs/>
          <w:sz w:val="28"/>
          <w:szCs w:val="28"/>
        </w:rPr>
      </w:pPr>
    </w:p>
    <w:p w14:paraId="76390267" w14:textId="45D3B5BB" w:rsidR="00FD7493" w:rsidRPr="00C87E6E" w:rsidRDefault="00FD7493" w:rsidP="00F4567A">
      <w:pPr>
        <w:pStyle w:val="Heading1"/>
        <w:rPr>
          <w:rFonts w:ascii="Sylfaen" w:hAnsi="Sylfaen"/>
          <w:b/>
          <w:bCs/>
          <w:sz w:val="28"/>
          <w:szCs w:val="28"/>
        </w:rPr>
      </w:pPr>
      <w:bookmarkStart w:id="0" w:name="_Toc116583227"/>
      <w:r w:rsidRPr="00001A4C">
        <w:rPr>
          <w:rFonts w:ascii="Sylfaen" w:hAnsi="Sylfaen"/>
          <w:b/>
          <w:bCs/>
          <w:sz w:val="28"/>
          <w:szCs w:val="28"/>
        </w:rPr>
        <w:t>I. Introduction</w:t>
      </w:r>
      <w:bookmarkEnd w:id="0"/>
    </w:p>
    <w:p w14:paraId="65EFAEDB" w14:textId="77777777" w:rsidR="00807405" w:rsidRPr="00807405" w:rsidRDefault="00807405" w:rsidP="00807405"/>
    <w:p w14:paraId="7E2E203B" w14:textId="59D08827" w:rsidR="00801E7A" w:rsidRDefault="004E1CF9" w:rsidP="00C550B5">
      <w:pPr>
        <w:jc w:val="both"/>
        <w:rPr>
          <w:rFonts w:ascii="Sylfaen" w:hAnsi="Sylfaen"/>
          <w:sz w:val="24"/>
          <w:szCs w:val="24"/>
        </w:rPr>
      </w:pPr>
      <w:r>
        <w:rPr>
          <w:rFonts w:ascii="Sylfaen" w:hAnsi="Sylfaen"/>
          <w:sz w:val="24"/>
          <w:szCs w:val="24"/>
        </w:rPr>
        <w:t xml:space="preserve">1. </w:t>
      </w:r>
      <w:r w:rsidR="00C550B5" w:rsidRPr="00C550B5">
        <w:rPr>
          <w:rFonts w:ascii="Sylfaen" w:hAnsi="Sylfaen"/>
          <w:sz w:val="24"/>
          <w:szCs w:val="24"/>
        </w:rPr>
        <w:t>T</w:t>
      </w:r>
      <w:r w:rsidR="00C550B5">
        <w:rPr>
          <w:rFonts w:ascii="Sylfaen" w:hAnsi="Sylfaen"/>
          <w:sz w:val="24"/>
          <w:szCs w:val="24"/>
        </w:rPr>
        <w:t>he present report of the PDO</w:t>
      </w:r>
      <w:r w:rsidR="00AB4800">
        <w:rPr>
          <w:rFonts w:ascii="Sylfaen" w:hAnsi="Sylfaen"/>
          <w:sz w:val="24"/>
          <w:szCs w:val="24"/>
        </w:rPr>
        <w:t xml:space="preserve"> </w:t>
      </w:r>
      <w:r w:rsidR="00674C15">
        <w:rPr>
          <w:rFonts w:ascii="Sylfaen" w:hAnsi="Sylfaen"/>
          <w:sz w:val="24"/>
          <w:szCs w:val="24"/>
        </w:rPr>
        <w:t>evaluates the implementation</w:t>
      </w:r>
      <w:r w:rsidR="00DD5893">
        <w:rPr>
          <w:rFonts w:ascii="Sylfaen" w:hAnsi="Sylfaen"/>
          <w:sz w:val="24"/>
          <w:szCs w:val="24"/>
        </w:rPr>
        <w:t xml:space="preserve"> of the </w:t>
      </w:r>
      <w:r w:rsidR="00DD5893" w:rsidRPr="00DD5893">
        <w:rPr>
          <w:rFonts w:ascii="Sylfaen" w:hAnsi="Sylfaen"/>
          <w:sz w:val="24"/>
          <w:szCs w:val="24"/>
        </w:rPr>
        <w:t>International Convention on the Elimination of All Forms of Racial Discrimination</w:t>
      </w:r>
      <w:r w:rsidR="00DD5893">
        <w:rPr>
          <w:rFonts w:ascii="Sylfaen" w:hAnsi="Sylfaen"/>
          <w:sz w:val="24"/>
          <w:szCs w:val="24"/>
        </w:rPr>
        <w:t xml:space="preserve"> (hereinafter ICERD)</w:t>
      </w:r>
      <w:r w:rsidR="002802D7">
        <w:rPr>
          <w:rFonts w:ascii="Sylfaen" w:hAnsi="Sylfaen"/>
          <w:sz w:val="24"/>
          <w:szCs w:val="24"/>
        </w:rPr>
        <w:t xml:space="preserve"> by the government of Georgia</w:t>
      </w:r>
      <w:r w:rsidR="00DD5893">
        <w:rPr>
          <w:rFonts w:ascii="Sylfaen" w:hAnsi="Sylfaen"/>
          <w:sz w:val="24"/>
          <w:szCs w:val="24"/>
        </w:rPr>
        <w:t>.</w:t>
      </w:r>
      <w:r w:rsidR="00DC2E98">
        <w:rPr>
          <w:rFonts w:ascii="Sylfaen" w:hAnsi="Sylfaen"/>
          <w:sz w:val="24"/>
          <w:szCs w:val="24"/>
        </w:rPr>
        <w:t xml:space="preserve"> In particular, it comments on and </w:t>
      </w:r>
      <w:r w:rsidR="00AB4800">
        <w:rPr>
          <w:rFonts w:ascii="Sylfaen" w:hAnsi="Sylfaen"/>
          <w:sz w:val="24"/>
          <w:szCs w:val="24"/>
        </w:rPr>
        <w:t xml:space="preserve">assesses </w:t>
      </w:r>
      <w:r w:rsidR="004353AD">
        <w:rPr>
          <w:rFonts w:ascii="Sylfaen" w:hAnsi="Sylfaen"/>
          <w:sz w:val="24"/>
          <w:szCs w:val="24"/>
        </w:rPr>
        <w:t xml:space="preserve">some of </w:t>
      </w:r>
      <w:r w:rsidR="00AB4800">
        <w:rPr>
          <w:rFonts w:ascii="Sylfaen" w:hAnsi="Sylfaen"/>
          <w:sz w:val="24"/>
          <w:szCs w:val="24"/>
        </w:rPr>
        <w:t>the implementation</w:t>
      </w:r>
      <w:r w:rsidR="004353AD">
        <w:rPr>
          <w:rFonts w:ascii="Sylfaen" w:hAnsi="Sylfaen"/>
          <w:sz w:val="24"/>
          <w:szCs w:val="24"/>
        </w:rPr>
        <w:t xml:space="preserve"> measures mentioned in the c</w:t>
      </w:r>
      <w:r w:rsidR="004353AD" w:rsidRPr="004353AD">
        <w:rPr>
          <w:rFonts w:ascii="Sylfaen" w:hAnsi="Sylfaen"/>
          <w:sz w:val="24"/>
          <w:szCs w:val="24"/>
        </w:rPr>
        <w:t>ombined ninth and tenth periodic reports</w:t>
      </w:r>
      <w:r w:rsidR="00165D43">
        <w:rPr>
          <w:rFonts w:ascii="Sylfaen" w:hAnsi="Sylfaen"/>
          <w:sz w:val="24"/>
          <w:szCs w:val="24"/>
        </w:rPr>
        <w:t xml:space="preserve"> (hereinafter the </w:t>
      </w:r>
      <w:r w:rsidR="00674C15">
        <w:rPr>
          <w:rFonts w:ascii="Sylfaen" w:hAnsi="Sylfaen"/>
          <w:sz w:val="24"/>
          <w:szCs w:val="24"/>
        </w:rPr>
        <w:t>State Report)</w:t>
      </w:r>
      <w:r w:rsidR="004353AD" w:rsidRPr="004353AD">
        <w:rPr>
          <w:rFonts w:ascii="Sylfaen" w:hAnsi="Sylfaen"/>
          <w:sz w:val="24"/>
          <w:szCs w:val="24"/>
        </w:rPr>
        <w:t xml:space="preserve"> submitted by Georgia</w:t>
      </w:r>
      <w:r w:rsidR="00165D43">
        <w:rPr>
          <w:rFonts w:ascii="Sylfaen" w:hAnsi="Sylfaen"/>
          <w:sz w:val="24"/>
          <w:szCs w:val="24"/>
        </w:rPr>
        <w:t xml:space="preserve"> to the Committee on the Elimination of Racial Discrimination (</w:t>
      </w:r>
      <w:r w:rsidR="00674C15">
        <w:rPr>
          <w:rFonts w:ascii="Sylfaen" w:hAnsi="Sylfaen"/>
          <w:sz w:val="24"/>
          <w:szCs w:val="24"/>
        </w:rPr>
        <w:t>hereinafter CERD)</w:t>
      </w:r>
      <w:r w:rsidR="00DC2E98">
        <w:rPr>
          <w:rFonts w:ascii="Sylfaen" w:hAnsi="Sylfaen"/>
          <w:sz w:val="24"/>
          <w:szCs w:val="24"/>
        </w:rPr>
        <w:t>.</w:t>
      </w:r>
      <w:r w:rsidR="002055F3">
        <w:rPr>
          <w:rFonts w:ascii="Sylfaen" w:hAnsi="Sylfaen"/>
          <w:sz w:val="24"/>
          <w:szCs w:val="24"/>
        </w:rPr>
        <w:t xml:space="preserve"> </w:t>
      </w:r>
    </w:p>
    <w:p w14:paraId="48DB0974" w14:textId="10ECFE80" w:rsidR="00473FDF" w:rsidRPr="00CC5115" w:rsidRDefault="00090F22" w:rsidP="00F4567A">
      <w:pPr>
        <w:pStyle w:val="Heading1"/>
        <w:rPr>
          <w:rFonts w:ascii="Sylfaen" w:hAnsi="Sylfaen"/>
          <w:b/>
          <w:bCs/>
          <w:sz w:val="28"/>
          <w:szCs w:val="28"/>
        </w:rPr>
      </w:pPr>
      <w:bookmarkStart w:id="1" w:name="_Toc116583228"/>
      <w:r w:rsidRPr="00CC5115">
        <w:rPr>
          <w:rFonts w:ascii="Sylfaen" w:hAnsi="Sylfaen"/>
          <w:b/>
          <w:bCs/>
          <w:sz w:val="28"/>
          <w:szCs w:val="28"/>
        </w:rPr>
        <w:t>II. Implementation of the Concluding Observations of the Committee</w:t>
      </w:r>
      <w:bookmarkEnd w:id="1"/>
    </w:p>
    <w:p w14:paraId="7D1D62A0" w14:textId="77777777" w:rsidR="00CB68C1" w:rsidRDefault="00CB68C1" w:rsidP="00F4567A">
      <w:pPr>
        <w:pStyle w:val="Heading2"/>
        <w:rPr>
          <w:rFonts w:ascii="Sylfaen" w:hAnsi="Sylfaen"/>
          <w:b/>
          <w:bCs/>
        </w:rPr>
      </w:pPr>
      <w:bookmarkStart w:id="2" w:name="_Toc116583229"/>
    </w:p>
    <w:p w14:paraId="2C4DDBC2" w14:textId="46CE6CBE" w:rsidR="00090F22" w:rsidRPr="00CB68C1" w:rsidRDefault="00955F45" w:rsidP="00F4567A">
      <w:pPr>
        <w:pStyle w:val="Heading2"/>
        <w:rPr>
          <w:rFonts w:ascii="Sylfaen" w:hAnsi="Sylfaen"/>
          <w:b/>
          <w:bCs/>
        </w:rPr>
      </w:pPr>
      <w:r w:rsidRPr="00CC5115">
        <w:rPr>
          <w:rFonts w:ascii="Sylfaen" w:hAnsi="Sylfaen"/>
          <w:b/>
          <w:bCs/>
        </w:rPr>
        <w:t>Recommendations (7)</w:t>
      </w:r>
      <w:r w:rsidR="00996BA5">
        <w:rPr>
          <w:rFonts w:ascii="Sylfaen" w:hAnsi="Sylfaen"/>
          <w:b/>
          <w:bCs/>
          <w:lang w:val="ka-GE"/>
        </w:rPr>
        <w:t xml:space="preserve"> </w:t>
      </w:r>
      <w:r w:rsidRPr="00CC5115">
        <w:rPr>
          <w:rFonts w:ascii="Sylfaen" w:hAnsi="Sylfaen"/>
          <w:b/>
          <w:bCs/>
        </w:rPr>
        <w:t>–</w:t>
      </w:r>
      <w:r w:rsidR="00996BA5">
        <w:rPr>
          <w:rFonts w:ascii="Sylfaen" w:hAnsi="Sylfaen"/>
          <w:b/>
          <w:bCs/>
          <w:lang w:val="ka-GE"/>
        </w:rPr>
        <w:t xml:space="preserve"> </w:t>
      </w:r>
      <w:r w:rsidRPr="00CC5115">
        <w:rPr>
          <w:rFonts w:ascii="Sylfaen" w:hAnsi="Sylfaen"/>
          <w:b/>
          <w:bCs/>
        </w:rPr>
        <w:t>(9) – anti-discrimination legislation and fight against hate speech</w:t>
      </w:r>
      <w:bookmarkEnd w:id="2"/>
    </w:p>
    <w:p w14:paraId="43627A9D" w14:textId="6133F0C7" w:rsidR="00230379" w:rsidRDefault="00230379" w:rsidP="00230379">
      <w:pPr>
        <w:jc w:val="both"/>
        <w:rPr>
          <w:rFonts w:ascii="Sylfaen" w:hAnsi="Sylfaen"/>
          <w:b/>
          <w:bCs/>
          <w:sz w:val="24"/>
          <w:szCs w:val="24"/>
          <w:lang w:val="ka-GE"/>
        </w:rPr>
      </w:pPr>
      <w:r>
        <w:rPr>
          <w:rFonts w:ascii="Sylfaen" w:hAnsi="Sylfaen"/>
          <w:b/>
          <w:bCs/>
          <w:sz w:val="24"/>
          <w:szCs w:val="24"/>
        </w:rPr>
        <w:t>Legislation</w:t>
      </w:r>
    </w:p>
    <w:p w14:paraId="3DC404A2" w14:textId="1B20AFE1" w:rsidR="00C00C2F" w:rsidRPr="00996BA5" w:rsidRDefault="00ED0BE5" w:rsidP="00230379">
      <w:pPr>
        <w:jc w:val="both"/>
        <w:rPr>
          <w:rFonts w:ascii="Sylfaen" w:hAnsi="Sylfaen"/>
          <w:sz w:val="24"/>
          <w:szCs w:val="24"/>
          <w:lang w:val="ka-GE"/>
        </w:rPr>
      </w:pPr>
      <w:r w:rsidRPr="00996BA5">
        <w:rPr>
          <w:rFonts w:ascii="Sylfaen" w:hAnsi="Sylfaen"/>
          <w:sz w:val="24"/>
          <w:szCs w:val="24"/>
          <w:lang w:val="ka-GE"/>
        </w:rPr>
        <w:t xml:space="preserve">2. </w:t>
      </w:r>
      <w:r w:rsidRPr="00996BA5">
        <w:rPr>
          <w:rFonts w:ascii="Sylfaen" w:hAnsi="Sylfaen"/>
          <w:sz w:val="24"/>
          <w:szCs w:val="24"/>
        </w:rPr>
        <w:t>T</w:t>
      </w:r>
      <w:r w:rsidRPr="00996BA5">
        <w:rPr>
          <w:rFonts w:ascii="Sylfaen" w:hAnsi="Sylfaen"/>
          <w:sz w:val="24"/>
          <w:szCs w:val="24"/>
          <w:lang w:val="ka-GE"/>
        </w:rPr>
        <w:t>he current Code of Administrative offences is seriously flawed in that it does not include a discriminatory motive (whether racial or homophobic or based on other status or characteristic) as a circumstance aggravating administrative penalty.  Thus, it is not possible to reveal and establish a discriminatory motive in cases which are classified as administrative offences.</w:t>
      </w:r>
      <w:r w:rsidR="00C00C2F" w:rsidRPr="00996BA5">
        <w:rPr>
          <w:rStyle w:val="FootnoteReference"/>
          <w:rFonts w:ascii="Sylfaen" w:hAnsi="Sylfaen"/>
          <w:sz w:val="24"/>
          <w:szCs w:val="24"/>
          <w:lang w:val="ka-GE"/>
        </w:rPr>
        <w:footnoteReference w:id="1"/>
      </w:r>
      <w:r w:rsidR="006F08E5" w:rsidRPr="00996BA5">
        <w:t xml:space="preserve"> </w:t>
      </w:r>
      <w:r w:rsidR="006F08E5" w:rsidRPr="00996BA5">
        <w:rPr>
          <w:rFonts w:ascii="Sylfaen" w:hAnsi="Sylfaen"/>
          <w:sz w:val="24"/>
          <w:szCs w:val="24"/>
          <w:lang w:val="ka-GE"/>
        </w:rPr>
        <w:t>This greatly complicates the maintenance of statistics on alleged hate motivated offences and increases the likelihood that illegal hate acts will be left beyond attention</w:t>
      </w:r>
      <w:r w:rsidR="004B71C9" w:rsidRPr="00996BA5">
        <w:rPr>
          <w:rFonts w:ascii="Sylfaen" w:hAnsi="Sylfaen"/>
          <w:sz w:val="24"/>
          <w:szCs w:val="24"/>
        </w:rPr>
        <w:t xml:space="preserve">. The Public Defender </w:t>
      </w:r>
      <w:r w:rsidR="006B67E2" w:rsidRPr="00996BA5">
        <w:rPr>
          <w:rFonts w:ascii="Sylfaen" w:hAnsi="Sylfaen"/>
          <w:sz w:val="24"/>
          <w:szCs w:val="24"/>
        </w:rPr>
        <w:t xml:space="preserve">issued </w:t>
      </w:r>
      <w:r w:rsidR="00A34ACE" w:rsidRPr="00996BA5">
        <w:rPr>
          <w:rFonts w:ascii="Sylfaen" w:hAnsi="Sylfaen"/>
          <w:sz w:val="24"/>
          <w:szCs w:val="24"/>
        </w:rPr>
        <w:t xml:space="preserve">recommendation to the </w:t>
      </w:r>
      <w:r w:rsidR="00364AF0">
        <w:rPr>
          <w:rFonts w:ascii="Sylfaen" w:hAnsi="Sylfaen"/>
          <w:sz w:val="24"/>
          <w:szCs w:val="24"/>
        </w:rPr>
        <w:t xml:space="preserve">Parliament </w:t>
      </w:r>
      <w:r w:rsidR="00C707D8" w:rsidRPr="00996BA5">
        <w:rPr>
          <w:rFonts w:ascii="Sylfaen" w:hAnsi="Sylfaen"/>
          <w:sz w:val="24"/>
          <w:szCs w:val="24"/>
        </w:rPr>
        <w:t>of Georgia</w:t>
      </w:r>
      <w:r w:rsidR="00A34ACE" w:rsidRPr="00996BA5">
        <w:rPr>
          <w:rFonts w:ascii="Sylfaen" w:hAnsi="Sylfaen"/>
          <w:sz w:val="24"/>
          <w:szCs w:val="24"/>
        </w:rPr>
        <w:t xml:space="preserve"> to </w:t>
      </w:r>
      <w:r w:rsidR="00712836" w:rsidRPr="00996BA5">
        <w:rPr>
          <w:rFonts w:ascii="Sylfaen" w:hAnsi="Sylfaen"/>
          <w:sz w:val="24"/>
          <w:szCs w:val="24"/>
        </w:rPr>
        <w:t>a</w:t>
      </w:r>
      <w:r w:rsidR="00230379" w:rsidRPr="00996BA5">
        <w:rPr>
          <w:rFonts w:ascii="Sylfaen" w:hAnsi="Sylfaen"/>
          <w:sz w:val="24"/>
          <w:szCs w:val="24"/>
          <w:lang w:val="ka-GE"/>
        </w:rPr>
        <w:t>mend the Code of Administrative Offenses and define the discriminatory motive of</w:t>
      </w:r>
      <w:r w:rsidR="006B67E2" w:rsidRPr="00996BA5">
        <w:rPr>
          <w:rFonts w:ascii="Sylfaen" w:hAnsi="Sylfaen"/>
          <w:sz w:val="24"/>
          <w:szCs w:val="24"/>
        </w:rPr>
        <w:t xml:space="preserve"> </w:t>
      </w:r>
      <w:r w:rsidR="00230379" w:rsidRPr="00996BA5">
        <w:rPr>
          <w:rFonts w:ascii="Sylfaen" w:hAnsi="Sylfaen"/>
          <w:sz w:val="24"/>
          <w:szCs w:val="24"/>
          <w:lang w:val="ka-GE"/>
        </w:rPr>
        <w:t>the offense as a qualifying circumstance</w:t>
      </w:r>
      <w:r w:rsidR="006B67E2" w:rsidRPr="00996BA5">
        <w:rPr>
          <w:rFonts w:ascii="Sylfaen" w:hAnsi="Sylfaen"/>
          <w:sz w:val="24"/>
          <w:szCs w:val="24"/>
        </w:rPr>
        <w:t>.</w:t>
      </w:r>
      <w:r w:rsidR="00364AF0">
        <w:rPr>
          <w:rStyle w:val="FootnoteReference"/>
          <w:rFonts w:ascii="Sylfaen" w:hAnsi="Sylfaen"/>
          <w:sz w:val="24"/>
          <w:szCs w:val="24"/>
        </w:rPr>
        <w:footnoteReference w:id="2"/>
      </w:r>
      <w:r w:rsidR="006B67E2" w:rsidRPr="00996BA5">
        <w:rPr>
          <w:rFonts w:ascii="Sylfaen" w:hAnsi="Sylfaen"/>
          <w:sz w:val="24"/>
          <w:szCs w:val="24"/>
        </w:rPr>
        <w:t xml:space="preserve"> However, this recommendation has not been implemented yet. </w:t>
      </w:r>
      <w:r w:rsidR="00CB68C1" w:rsidRPr="00996BA5">
        <w:rPr>
          <w:rFonts w:ascii="Sylfaen" w:hAnsi="Sylfaen"/>
          <w:sz w:val="24"/>
          <w:szCs w:val="24"/>
        </w:rPr>
        <w:br/>
      </w:r>
    </w:p>
    <w:p w14:paraId="44270D5D" w14:textId="278F412C" w:rsidR="00EF324D" w:rsidRPr="00E826EA" w:rsidRDefault="00EF324D" w:rsidP="00C550B5">
      <w:pPr>
        <w:jc w:val="both"/>
        <w:rPr>
          <w:rFonts w:ascii="Sylfaen" w:hAnsi="Sylfaen"/>
          <w:b/>
          <w:bCs/>
          <w:sz w:val="28"/>
          <w:szCs w:val="28"/>
        </w:rPr>
      </w:pPr>
      <w:r w:rsidRPr="00E826EA">
        <w:rPr>
          <w:rFonts w:ascii="Sylfaen" w:hAnsi="Sylfaen"/>
          <w:b/>
          <w:bCs/>
          <w:sz w:val="24"/>
          <w:szCs w:val="24"/>
        </w:rPr>
        <w:t>Strengthening Response Mechanism</w:t>
      </w:r>
    </w:p>
    <w:p w14:paraId="08ACB462" w14:textId="644AE0B2" w:rsidR="005619A9" w:rsidRDefault="00C00C2F" w:rsidP="00C550B5">
      <w:pPr>
        <w:jc w:val="both"/>
        <w:rPr>
          <w:rFonts w:ascii="Sylfaen" w:hAnsi="Sylfaen" w:cs="Arial"/>
          <w:sz w:val="24"/>
          <w:szCs w:val="24"/>
        </w:rPr>
      </w:pPr>
      <w:r>
        <w:rPr>
          <w:rFonts w:ascii="Sylfaen" w:hAnsi="Sylfaen"/>
          <w:sz w:val="24"/>
          <w:szCs w:val="24"/>
        </w:rPr>
        <w:t>3</w:t>
      </w:r>
      <w:r w:rsidR="004E1CF9">
        <w:rPr>
          <w:rFonts w:ascii="Sylfaen" w:hAnsi="Sylfaen"/>
          <w:sz w:val="24"/>
          <w:szCs w:val="24"/>
        </w:rPr>
        <w:t xml:space="preserve">. </w:t>
      </w:r>
      <w:r w:rsidR="004E6906">
        <w:rPr>
          <w:rFonts w:ascii="Sylfaen" w:hAnsi="Sylfaen"/>
          <w:sz w:val="24"/>
          <w:szCs w:val="24"/>
        </w:rPr>
        <w:t>In</w:t>
      </w:r>
      <w:r w:rsidR="00213AD3">
        <w:rPr>
          <w:rFonts w:ascii="Sylfaen" w:hAnsi="Sylfaen"/>
          <w:sz w:val="24"/>
          <w:szCs w:val="24"/>
          <w:lang w:val="ka-GE"/>
        </w:rPr>
        <w:t xml:space="preserve"> </w:t>
      </w:r>
      <w:r w:rsidR="00213AD3">
        <w:rPr>
          <w:rFonts w:ascii="Sylfaen" w:hAnsi="Sylfaen"/>
          <w:sz w:val="24"/>
          <w:szCs w:val="24"/>
        </w:rPr>
        <w:t>paragraph 13</w:t>
      </w:r>
      <w:r w:rsidR="00930112">
        <w:rPr>
          <w:rFonts w:ascii="Sylfaen" w:hAnsi="Sylfaen"/>
          <w:sz w:val="24"/>
          <w:szCs w:val="24"/>
        </w:rPr>
        <w:t xml:space="preserve"> of t</w:t>
      </w:r>
      <w:r w:rsidR="005619A9">
        <w:rPr>
          <w:rFonts w:ascii="Sylfaen" w:hAnsi="Sylfaen"/>
          <w:sz w:val="24"/>
          <w:szCs w:val="24"/>
        </w:rPr>
        <w:t>he State Report</w:t>
      </w:r>
      <w:r w:rsidR="00930112">
        <w:rPr>
          <w:rFonts w:ascii="Sylfaen" w:hAnsi="Sylfaen"/>
          <w:sz w:val="24"/>
          <w:szCs w:val="24"/>
        </w:rPr>
        <w:t xml:space="preserve"> the Government </w:t>
      </w:r>
      <w:r w:rsidR="005619A9">
        <w:rPr>
          <w:rFonts w:ascii="Sylfaen" w:hAnsi="Sylfaen"/>
          <w:sz w:val="24"/>
          <w:szCs w:val="24"/>
        </w:rPr>
        <w:t xml:space="preserve">refers to adoption of </w:t>
      </w:r>
      <w:r w:rsidR="005619A9" w:rsidRPr="005619A9">
        <w:rPr>
          <w:rFonts w:ascii="Sylfaen" w:hAnsi="Sylfaen"/>
          <w:sz w:val="24"/>
          <w:szCs w:val="24"/>
        </w:rPr>
        <w:t>the Law of Georgia on the State Inspector Service</w:t>
      </w:r>
      <w:r w:rsidR="00B86B75">
        <w:rPr>
          <w:rFonts w:ascii="Sylfaen" w:hAnsi="Sylfaen"/>
          <w:sz w:val="24"/>
          <w:szCs w:val="24"/>
        </w:rPr>
        <w:t xml:space="preserve"> (hereinafter SIS)</w:t>
      </w:r>
      <w:r w:rsidR="005619A9">
        <w:rPr>
          <w:rFonts w:ascii="Sylfaen" w:hAnsi="Sylfaen"/>
          <w:sz w:val="24"/>
          <w:szCs w:val="24"/>
        </w:rPr>
        <w:t xml:space="preserve"> in 2019 and</w:t>
      </w:r>
      <w:r w:rsidR="00B86B75">
        <w:rPr>
          <w:rFonts w:ascii="Sylfaen" w:hAnsi="Sylfaen"/>
          <w:sz w:val="24"/>
          <w:szCs w:val="24"/>
        </w:rPr>
        <w:t xml:space="preserve"> </w:t>
      </w:r>
      <w:r w:rsidR="00BF6267">
        <w:rPr>
          <w:rFonts w:ascii="Sylfaen" w:hAnsi="Sylfaen"/>
          <w:sz w:val="24"/>
          <w:szCs w:val="24"/>
        </w:rPr>
        <w:t xml:space="preserve">the </w:t>
      </w:r>
      <w:r w:rsidR="00B86B75" w:rsidRPr="00B86B75">
        <w:rPr>
          <w:rFonts w:ascii="Sylfaen" w:hAnsi="Sylfaen"/>
          <w:sz w:val="24"/>
          <w:szCs w:val="24"/>
        </w:rPr>
        <w:t xml:space="preserve">SIS operational principles, </w:t>
      </w:r>
      <w:r w:rsidR="00B86B75" w:rsidRPr="00B86B75">
        <w:rPr>
          <w:rFonts w:ascii="Sylfaen" w:hAnsi="Sylfaen"/>
          <w:sz w:val="24"/>
          <w:szCs w:val="24"/>
        </w:rPr>
        <w:lastRenderedPageBreak/>
        <w:t>competencies, and guarantees</w:t>
      </w:r>
      <w:r w:rsidR="00B86B75">
        <w:rPr>
          <w:rFonts w:ascii="Sylfaen" w:hAnsi="Sylfaen"/>
          <w:sz w:val="24"/>
          <w:szCs w:val="24"/>
        </w:rPr>
        <w:t xml:space="preserve"> defined by this law</w:t>
      </w:r>
      <w:r w:rsidR="00B86B75" w:rsidRPr="00BF6267">
        <w:rPr>
          <w:rFonts w:ascii="Sylfaen" w:hAnsi="Sylfaen"/>
          <w:sz w:val="24"/>
          <w:szCs w:val="24"/>
        </w:rPr>
        <w:t>.</w:t>
      </w:r>
      <w:r w:rsidR="00F1759F" w:rsidRPr="00BF6267">
        <w:rPr>
          <w:rStyle w:val="FootnoteReference"/>
          <w:rFonts w:ascii="Sylfaen" w:hAnsi="Sylfaen"/>
          <w:sz w:val="24"/>
          <w:szCs w:val="24"/>
        </w:rPr>
        <w:footnoteReference w:id="3"/>
      </w:r>
      <w:r w:rsidR="00B86B75" w:rsidRPr="00BF6267">
        <w:rPr>
          <w:rFonts w:ascii="Sylfaen" w:hAnsi="Sylfaen"/>
          <w:sz w:val="24"/>
          <w:szCs w:val="24"/>
        </w:rPr>
        <w:t xml:space="preserve"> </w:t>
      </w:r>
      <w:r w:rsidR="005619A9" w:rsidRPr="00BF6267">
        <w:rPr>
          <w:rFonts w:ascii="Sylfaen" w:hAnsi="Sylfaen"/>
          <w:sz w:val="24"/>
          <w:szCs w:val="24"/>
        </w:rPr>
        <w:t xml:space="preserve"> </w:t>
      </w:r>
      <w:r w:rsidR="00BF6267">
        <w:rPr>
          <w:rFonts w:ascii="Sylfaen" w:hAnsi="Sylfaen" w:cs="Arial"/>
          <w:sz w:val="24"/>
          <w:szCs w:val="24"/>
        </w:rPr>
        <w:t xml:space="preserve">Based on </w:t>
      </w:r>
      <w:r w:rsidR="00BF6267" w:rsidRPr="00BF6267">
        <w:rPr>
          <w:rFonts w:ascii="Sylfaen" w:hAnsi="Sylfaen" w:cs="Arial"/>
          <w:sz w:val="24"/>
          <w:szCs w:val="24"/>
        </w:rPr>
        <w:t xml:space="preserve">monitoring </w:t>
      </w:r>
      <w:r w:rsidR="002055F3">
        <w:rPr>
          <w:rFonts w:ascii="Sylfaen" w:hAnsi="Sylfaen" w:cs="Arial"/>
          <w:sz w:val="24"/>
          <w:szCs w:val="24"/>
        </w:rPr>
        <w:t>of</w:t>
      </w:r>
      <w:r w:rsidR="00BF6267" w:rsidRPr="00BF6267">
        <w:rPr>
          <w:rFonts w:ascii="Sylfaen" w:hAnsi="Sylfaen" w:cs="Arial"/>
          <w:sz w:val="24"/>
          <w:szCs w:val="24"/>
        </w:rPr>
        <w:t xml:space="preserve"> activities of the </w:t>
      </w:r>
      <w:r w:rsidR="00BF6267">
        <w:rPr>
          <w:rFonts w:ascii="Sylfaen" w:hAnsi="Sylfaen" w:cs="Arial"/>
          <w:sz w:val="24"/>
          <w:szCs w:val="24"/>
        </w:rPr>
        <w:t>SIS</w:t>
      </w:r>
      <w:r w:rsidR="00BF6267" w:rsidRPr="00BF6267">
        <w:rPr>
          <w:rFonts w:ascii="Sylfaen" w:hAnsi="Sylfaen" w:cs="Arial"/>
          <w:sz w:val="24"/>
          <w:szCs w:val="24"/>
        </w:rPr>
        <w:t xml:space="preserve">, the PDO concluded that the investigations conducted by the SIS met the </w:t>
      </w:r>
      <w:r w:rsidR="00CD38E4">
        <w:rPr>
          <w:rFonts w:ascii="Sylfaen" w:hAnsi="Sylfaen" w:cs="Arial"/>
          <w:sz w:val="24"/>
          <w:szCs w:val="24"/>
        </w:rPr>
        <w:t>standards of an effective investigation</w:t>
      </w:r>
      <w:r w:rsidR="00BF6267" w:rsidRPr="00BF6267">
        <w:rPr>
          <w:rFonts w:ascii="Sylfaen" w:hAnsi="Sylfaen" w:cs="Arial"/>
          <w:sz w:val="24"/>
          <w:szCs w:val="24"/>
        </w:rPr>
        <w:t>.</w:t>
      </w:r>
      <w:r w:rsidR="00BF6267" w:rsidRPr="00BF6267">
        <w:rPr>
          <w:rStyle w:val="FootnoteReference"/>
          <w:rFonts w:ascii="Sylfaen" w:hAnsi="Sylfaen" w:cs="Arial"/>
          <w:sz w:val="24"/>
          <w:szCs w:val="24"/>
        </w:rPr>
        <w:footnoteReference w:id="4"/>
      </w:r>
      <w:r w:rsidR="00DD35F4">
        <w:rPr>
          <w:rFonts w:ascii="Sylfaen" w:hAnsi="Sylfaen" w:cs="Arial"/>
          <w:sz w:val="24"/>
          <w:szCs w:val="24"/>
        </w:rPr>
        <w:t xml:space="preserve"> </w:t>
      </w:r>
      <w:r w:rsidR="00BF6267">
        <w:rPr>
          <w:rFonts w:ascii="Sylfaen" w:hAnsi="Sylfaen" w:cs="Arial"/>
          <w:sz w:val="24"/>
          <w:szCs w:val="24"/>
        </w:rPr>
        <w:t xml:space="preserve"> </w:t>
      </w:r>
      <w:r w:rsidR="00DD35F4">
        <w:rPr>
          <w:rFonts w:ascii="Sylfaen" w:hAnsi="Sylfaen" w:cs="Arial"/>
          <w:sz w:val="24"/>
          <w:szCs w:val="24"/>
        </w:rPr>
        <w:t xml:space="preserve">At the same time, </w:t>
      </w:r>
      <w:r w:rsidR="00BF6267" w:rsidRPr="00BF6267">
        <w:rPr>
          <w:rFonts w:ascii="Sylfaen" w:hAnsi="Sylfaen" w:cs="Arial"/>
          <w:sz w:val="24"/>
          <w:szCs w:val="24"/>
        </w:rPr>
        <w:t>the PDO consistently referred to shortcomings in the legal framework of functioning of the SIS.  For example, the SIS was largely dependent on the prosecutor in the investigation process.</w:t>
      </w:r>
      <w:r w:rsidR="00BF6267" w:rsidRPr="00BF6267">
        <w:rPr>
          <w:rStyle w:val="FootnoteReference"/>
          <w:rFonts w:ascii="Sylfaen" w:hAnsi="Sylfaen" w:cs="Arial"/>
          <w:sz w:val="24"/>
          <w:szCs w:val="24"/>
        </w:rPr>
        <w:footnoteReference w:id="5"/>
      </w:r>
      <w:r w:rsidR="00BF6267" w:rsidRPr="003804B3">
        <w:rPr>
          <w:rFonts w:ascii="Sylfaen" w:hAnsi="Sylfaen" w:cs="Arial"/>
          <w:sz w:val="24"/>
          <w:szCs w:val="24"/>
        </w:rPr>
        <w:t xml:space="preserve">  </w:t>
      </w:r>
      <w:r w:rsidR="00263460">
        <w:rPr>
          <w:rFonts w:ascii="Sylfaen" w:hAnsi="Sylfaen" w:cs="Arial"/>
          <w:sz w:val="24"/>
          <w:szCs w:val="24"/>
        </w:rPr>
        <w:t>Thus, in</w:t>
      </w:r>
      <w:r w:rsidR="00B4741D">
        <w:rPr>
          <w:rFonts w:ascii="Sylfaen" w:hAnsi="Sylfaen" w:cs="Arial"/>
          <w:sz w:val="24"/>
          <w:szCs w:val="24"/>
        </w:rPr>
        <w:t xml:space="preserve"> the view of the PDO, the </w:t>
      </w:r>
      <w:r w:rsidR="006F2672">
        <w:rPr>
          <w:rFonts w:ascii="Sylfaen" w:hAnsi="Sylfaen" w:cs="Arial"/>
          <w:sz w:val="24"/>
          <w:szCs w:val="24"/>
        </w:rPr>
        <w:t>SIS</w:t>
      </w:r>
      <w:r w:rsidR="00B4741D" w:rsidRPr="00B4741D">
        <w:rPr>
          <w:rFonts w:ascii="Sylfaen" w:hAnsi="Sylfaen" w:cs="Arial"/>
          <w:sz w:val="24"/>
          <w:szCs w:val="24"/>
        </w:rPr>
        <w:t xml:space="preserve"> needed strengthening of its independence and effectiveness</w:t>
      </w:r>
      <w:r w:rsidR="00B4741D">
        <w:rPr>
          <w:rFonts w:ascii="Sylfaen" w:hAnsi="Sylfaen" w:cs="Arial"/>
          <w:sz w:val="24"/>
          <w:szCs w:val="24"/>
        </w:rPr>
        <w:t xml:space="preserve">. </w:t>
      </w:r>
      <w:r w:rsidR="00DD35F4">
        <w:rPr>
          <w:rFonts w:ascii="Sylfaen" w:hAnsi="Sylfaen" w:cs="Arial"/>
          <w:sz w:val="24"/>
          <w:szCs w:val="24"/>
        </w:rPr>
        <w:t xml:space="preserve">However, </w:t>
      </w:r>
      <w:r w:rsidR="00E60527">
        <w:rPr>
          <w:rFonts w:ascii="Sylfaen" w:hAnsi="Sylfaen" w:cs="Arial"/>
          <w:sz w:val="24"/>
          <w:szCs w:val="24"/>
        </w:rPr>
        <w:t xml:space="preserve">instead of improving the SIS regulatory framework, the Parliament of Georgia </w:t>
      </w:r>
      <w:r w:rsidR="00430FF7">
        <w:rPr>
          <w:rFonts w:ascii="Sylfaen" w:hAnsi="Sylfaen" w:cs="Arial"/>
          <w:sz w:val="24"/>
          <w:szCs w:val="24"/>
        </w:rPr>
        <w:t>adopted legislative amendments in a</w:t>
      </w:r>
      <w:r w:rsidR="00440E8F">
        <w:rPr>
          <w:rFonts w:ascii="Sylfaen" w:hAnsi="Sylfaen" w:cs="Arial"/>
          <w:sz w:val="24"/>
          <w:szCs w:val="24"/>
        </w:rPr>
        <w:t xml:space="preserve">n expediated manner, </w:t>
      </w:r>
      <w:r w:rsidR="00440E8F" w:rsidRPr="003804B3">
        <w:rPr>
          <w:rFonts w:ascii="Sylfaen" w:hAnsi="Sylfaen" w:cs="Arial"/>
          <w:sz w:val="24"/>
          <w:szCs w:val="24"/>
        </w:rPr>
        <w:t>abolish</w:t>
      </w:r>
      <w:r w:rsidR="00440E8F">
        <w:rPr>
          <w:rFonts w:ascii="Sylfaen" w:hAnsi="Sylfaen" w:cs="Arial"/>
          <w:sz w:val="24"/>
          <w:szCs w:val="24"/>
        </w:rPr>
        <w:t>ing</w:t>
      </w:r>
      <w:r w:rsidR="00440E8F" w:rsidRPr="003804B3">
        <w:rPr>
          <w:rFonts w:ascii="Sylfaen" w:hAnsi="Sylfaen" w:cs="Arial"/>
          <w:sz w:val="24"/>
          <w:szCs w:val="24"/>
        </w:rPr>
        <w:t xml:space="preserve"> the position of State Inspector and the State Inspector Service and establish</w:t>
      </w:r>
      <w:r w:rsidR="00440E8F">
        <w:rPr>
          <w:rFonts w:ascii="Sylfaen" w:hAnsi="Sylfaen" w:cs="Arial"/>
          <w:sz w:val="24"/>
          <w:szCs w:val="24"/>
        </w:rPr>
        <w:t>ing</w:t>
      </w:r>
      <w:r w:rsidR="00440E8F" w:rsidRPr="003804B3">
        <w:rPr>
          <w:rFonts w:ascii="Sylfaen" w:hAnsi="Sylfaen" w:cs="Arial"/>
          <w:sz w:val="24"/>
          <w:szCs w:val="24"/>
        </w:rPr>
        <w:t xml:space="preserve"> two separate state agencies: Special Investigation and Personal Data Protection Services</w:t>
      </w:r>
      <w:r w:rsidR="00440E8F">
        <w:rPr>
          <w:rFonts w:ascii="Sylfaen" w:hAnsi="Sylfaen" w:cs="Arial"/>
          <w:sz w:val="24"/>
          <w:szCs w:val="24"/>
        </w:rPr>
        <w:t>.</w:t>
      </w:r>
      <w:r w:rsidR="00EA7D3A">
        <w:rPr>
          <w:rStyle w:val="FootnoteReference"/>
          <w:rFonts w:ascii="Sylfaen" w:hAnsi="Sylfaen" w:cs="Arial"/>
          <w:sz w:val="24"/>
          <w:szCs w:val="24"/>
        </w:rPr>
        <w:footnoteReference w:id="6"/>
      </w:r>
      <w:r w:rsidR="00440E8F">
        <w:rPr>
          <w:rFonts w:ascii="Sylfaen" w:hAnsi="Sylfaen" w:cs="Arial"/>
          <w:sz w:val="24"/>
          <w:szCs w:val="24"/>
        </w:rPr>
        <w:t xml:space="preserve"> </w:t>
      </w:r>
      <w:r w:rsidR="00426C33" w:rsidRPr="00426C33">
        <w:rPr>
          <w:rFonts w:ascii="Sylfaen" w:hAnsi="Sylfaen" w:cs="Arial"/>
          <w:sz w:val="24"/>
          <w:szCs w:val="24"/>
        </w:rPr>
        <w:t>The amendment</w:t>
      </w:r>
      <w:r w:rsidR="004E00C1">
        <w:rPr>
          <w:rFonts w:ascii="Sylfaen" w:hAnsi="Sylfaen" w:cs="Arial"/>
          <w:sz w:val="24"/>
          <w:szCs w:val="24"/>
        </w:rPr>
        <w:t>s</w:t>
      </w:r>
      <w:r w:rsidR="00426C33" w:rsidRPr="00426C33">
        <w:rPr>
          <w:rFonts w:ascii="Sylfaen" w:hAnsi="Sylfaen" w:cs="Arial"/>
          <w:sz w:val="24"/>
          <w:szCs w:val="24"/>
        </w:rPr>
        <w:t xml:space="preserve"> terminated the term of office of a head of an independent state body elected for a fixed period without</w:t>
      </w:r>
      <w:r w:rsidR="00EA7D3A">
        <w:rPr>
          <w:rFonts w:ascii="Sylfaen" w:hAnsi="Sylfaen" w:cs="Arial"/>
          <w:sz w:val="24"/>
          <w:szCs w:val="24"/>
        </w:rPr>
        <w:t xml:space="preserve"> substantive and wide consultations,</w:t>
      </w:r>
      <w:r w:rsidR="00426C33" w:rsidRPr="00426C33">
        <w:rPr>
          <w:rFonts w:ascii="Sylfaen" w:hAnsi="Sylfaen" w:cs="Arial"/>
          <w:sz w:val="24"/>
          <w:szCs w:val="24"/>
        </w:rPr>
        <w:t xml:space="preserve"> prior warning or a reasoned argument with respect to her professional activities. This can have a chilling effect on other state bodies which will fear that if their opinions don’t comply with the interests of the government, their institutions will be abolished.</w:t>
      </w:r>
      <w:r w:rsidR="00426C33" w:rsidRPr="003804B3">
        <w:rPr>
          <w:rFonts w:ascii="Sylfaen" w:hAnsi="Sylfaen" w:cs="Arial"/>
          <w:sz w:val="24"/>
          <w:szCs w:val="24"/>
        </w:rPr>
        <w:t xml:space="preserve">  </w:t>
      </w:r>
      <w:r w:rsidR="00586B55">
        <w:rPr>
          <w:rFonts w:ascii="Sylfaen" w:hAnsi="Sylfaen" w:cs="Arial"/>
          <w:sz w:val="24"/>
          <w:szCs w:val="24"/>
        </w:rPr>
        <w:t xml:space="preserve">Furthermore, the </w:t>
      </w:r>
      <w:r w:rsidR="00EB38BE" w:rsidRPr="00EB38BE">
        <w:rPr>
          <w:rFonts w:ascii="Sylfaen" w:hAnsi="Sylfaen" w:cs="Arial"/>
          <w:sz w:val="24"/>
          <w:szCs w:val="24"/>
        </w:rPr>
        <w:t>OSCE/ODIHR legal opinion</w:t>
      </w:r>
      <w:r w:rsidR="00EB38BE">
        <w:rPr>
          <w:rFonts w:ascii="Sylfaen" w:hAnsi="Sylfaen" w:cs="Arial"/>
          <w:sz w:val="24"/>
          <w:szCs w:val="24"/>
        </w:rPr>
        <w:t xml:space="preserve">, prepared at the request of the PDO, </w:t>
      </w:r>
      <w:r w:rsidR="00EE401B">
        <w:rPr>
          <w:rFonts w:ascii="Sylfaen" w:hAnsi="Sylfaen" w:cs="Arial"/>
          <w:sz w:val="24"/>
          <w:szCs w:val="24"/>
        </w:rPr>
        <w:t>assessed the amendment</w:t>
      </w:r>
      <w:r w:rsidR="0035267F">
        <w:rPr>
          <w:rFonts w:ascii="Sylfaen" w:hAnsi="Sylfaen" w:cs="Arial"/>
          <w:sz w:val="24"/>
          <w:szCs w:val="24"/>
        </w:rPr>
        <w:t>s negatively</w:t>
      </w:r>
      <w:r w:rsidR="00831344">
        <w:rPr>
          <w:rFonts w:ascii="Sylfaen" w:hAnsi="Sylfaen" w:cs="Arial"/>
          <w:sz w:val="24"/>
          <w:szCs w:val="24"/>
        </w:rPr>
        <w:t>, stating that “</w:t>
      </w:r>
      <w:r w:rsidR="00831344" w:rsidRPr="00831344">
        <w:rPr>
          <w:rFonts w:ascii="Sylfaen" w:hAnsi="Sylfaen" w:cs="Arial"/>
          <w:sz w:val="24"/>
          <w:szCs w:val="24"/>
        </w:rPr>
        <w:t>contrary to international standards, amendments to the law on the State Inspector’s Service were rushed through the Parliament of Georgia without consultation</w:t>
      </w:r>
      <w:r w:rsidR="00831344">
        <w:rPr>
          <w:rFonts w:ascii="Sylfaen" w:hAnsi="Sylfaen" w:cs="Arial"/>
          <w:sz w:val="24"/>
          <w:szCs w:val="24"/>
        </w:rPr>
        <w:t>”.</w:t>
      </w:r>
      <w:r w:rsidR="00831344">
        <w:rPr>
          <w:rStyle w:val="FootnoteReference"/>
          <w:rFonts w:ascii="Sylfaen" w:hAnsi="Sylfaen" w:cs="Arial"/>
          <w:sz w:val="24"/>
          <w:szCs w:val="24"/>
        </w:rPr>
        <w:footnoteReference w:id="7"/>
      </w:r>
      <w:r w:rsidR="000E17E7">
        <w:rPr>
          <w:rFonts w:ascii="Sylfaen" w:hAnsi="Sylfaen" w:cs="Arial"/>
          <w:sz w:val="24"/>
          <w:szCs w:val="24"/>
        </w:rPr>
        <w:t xml:space="preserve"> As to the newly established Special Investigation Service, the </w:t>
      </w:r>
      <w:r w:rsidR="00586B55">
        <w:rPr>
          <w:rFonts w:ascii="Sylfaen" w:hAnsi="Sylfaen" w:cs="Arial"/>
          <w:sz w:val="24"/>
          <w:szCs w:val="24"/>
        </w:rPr>
        <w:t>OSCE/ODIHR legal opinion reads that “</w:t>
      </w:r>
      <w:r w:rsidR="007F3AF9" w:rsidRPr="007F3AF9">
        <w:rPr>
          <w:rFonts w:ascii="Sylfaen" w:hAnsi="Sylfaen" w:cs="Arial"/>
          <w:sz w:val="24"/>
          <w:szCs w:val="24"/>
        </w:rPr>
        <w:t>expansion of mandate to a range of additional offenses and to potentially cover those</w:t>
      </w:r>
      <w:r w:rsidR="007F3AF9">
        <w:rPr>
          <w:rFonts w:ascii="Sylfaen" w:hAnsi="Sylfaen" w:cs="Arial"/>
          <w:sz w:val="24"/>
          <w:szCs w:val="24"/>
        </w:rPr>
        <w:t xml:space="preserve"> </w:t>
      </w:r>
      <w:r w:rsidR="007F3AF9" w:rsidRPr="007F3AF9">
        <w:rPr>
          <w:rFonts w:ascii="Sylfaen" w:hAnsi="Sylfaen" w:cs="Arial"/>
          <w:sz w:val="24"/>
          <w:szCs w:val="24"/>
        </w:rPr>
        <w:t>committed by any individual risks seriously diluting the important focus of the institution</w:t>
      </w:r>
      <w:r w:rsidR="007F3AF9">
        <w:rPr>
          <w:rFonts w:ascii="Sylfaen" w:hAnsi="Sylfaen" w:cs="Arial"/>
          <w:sz w:val="24"/>
          <w:szCs w:val="24"/>
        </w:rPr>
        <w:t xml:space="preserve"> </w:t>
      </w:r>
      <w:r w:rsidR="007F3AF9" w:rsidRPr="007F3AF9">
        <w:rPr>
          <w:rFonts w:ascii="Sylfaen" w:hAnsi="Sylfaen" w:cs="Arial"/>
          <w:sz w:val="24"/>
          <w:szCs w:val="24"/>
        </w:rPr>
        <w:t>in combatting the impunity of law enforcement officials</w:t>
      </w:r>
      <w:r w:rsidR="007F3AF9">
        <w:rPr>
          <w:rFonts w:ascii="Sylfaen" w:hAnsi="Sylfaen" w:cs="Arial"/>
          <w:sz w:val="24"/>
          <w:szCs w:val="24"/>
        </w:rPr>
        <w:t>”.</w:t>
      </w:r>
      <w:r w:rsidR="007F3AF9">
        <w:rPr>
          <w:rStyle w:val="FootnoteReference"/>
          <w:rFonts w:ascii="Sylfaen" w:hAnsi="Sylfaen" w:cs="Arial"/>
          <w:sz w:val="24"/>
          <w:szCs w:val="24"/>
        </w:rPr>
        <w:footnoteReference w:id="8"/>
      </w:r>
      <w:r w:rsidR="00811427">
        <w:rPr>
          <w:rFonts w:ascii="Sylfaen" w:hAnsi="Sylfaen" w:cs="Arial"/>
          <w:sz w:val="24"/>
          <w:szCs w:val="24"/>
        </w:rPr>
        <w:t xml:space="preserve"> Moreover, </w:t>
      </w:r>
      <w:r w:rsidR="00811427" w:rsidRPr="003804B3">
        <w:rPr>
          <w:rFonts w:ascii="Sylfaen" w:hAnsi="Sylfaen" w:cs="Arial"/>
          <w:sz w:val="24"/>
          <w:szCs w:val="24"/>
        </w:rPr>
        <w:t>certain crimes committed by the prosecutors fall outside the mandate of the</w:t>
      </w:r>
      <w:r w:rsidR="003357E1">
        <w:rPr>
          <w:rFonts w:ascii="Sylfaen" w:hAnsi="Sylfaen" w:cs="Arial"/>
          <w:sz w:val="24"/>
          <w:szCs w:val="24"/>
        </w:rPr>
        <w:t xml:space="preserve"> </w:t>
      </w:r>
      <w:r w:rsidR="00811427" w:rsidRPr="003804B3">
        <w:rPr>
          <w:rFonts w:ascii="Sylfaen" w:hAnsi="Sylfaen" w:cs="Arial"/>
          <w:sz w:val="24"/>
          <w:szCs w:val="24"/>
        </w:rPr>
        <w:t>Special Investigation Service</w:t>
      </w:r>
      <w:r w:rsidR="00515FCF">
        <w:rPr>
          <w:rFonts w:ascii="Sylfaen" w:hAnsi="Sylfaen" w:cs="Arial"/>
          <w:sz w:val="24"/>
          <w:szCs w:val="24"/>
        </w:rPr>
        <w:t>. The</w:t>
      </w:r>
      <w:r w:rsidR="00811427">
        <w:rPr>
          <w:rFonts w:ascii="Sylfaen" w:hAnsi="Sylfaen" w:cs="Arial"/>
          <w:sz w:val="24"/>
          <w:szCs w:val="24"/>
        </w:rPr>
        <w:t xml:space="preserve"> amendment</w:t>
      </w:r>
      <w:r w:rsidR="003357E1">
        <w:rPr>
          <w:rFonts w:ascii="Sylfaen" w:hAnsi="Sylfaen" w:cs="Arial"/>
          <w:sz w:val="24"/>
          <w:szCs w:val="24"/>
        </w:rPr>
        <w:t xml:space="preserve"> </w:t>
      </w:r>
      <w:r w:rsidR="00515FCF">
        <w:rPr>
          <w:rFonts w:ascii="Sylfaen" w:hAnsi="Sylfaen" w:cs="Arial"/>
          <w:sz w:val="24"/>
          <w:szCs w:val="24"/>
        </w:rPr>
        <w:t xml:space="preserve">also </w:t>
      </w:r>
      <w:r w:rsidR="003357E1">
        <w:rPr>
          <w:rFonts w:ascii="Sylfaen" w:hAnsi="Sylfaen" w:cs="Arial"/>
          <w:sz w:val="24"/>
          <w:szCs w:val="24"/>
        </w:rPr>
        <w:t>fails</w:t>
      </w:r>
      <w:r w:rsidR="00811427">
        <w:rPr>
          <w:rFonts w:ascii="Sylfaen" w:hAnsi="Sylfaen" w:cs="Arial"/>
          <w:sz w:val="24"/>
          <w:szCs w:val="24"/>
        </w:rPr>
        <w:t xml:space="preserve"> </w:t>
      </w:r>
      <w:r w:rsidR="003357E1">
        <w:rPr>
          <w:rFonts w:ascii="Sylfaen" w:hAnsi="Sylfaen" w:cs="Arial"/>
          <w:sz w:val="24"/>
          <w:szCs w:val="24"/>
        </w:rPr>
        <w:t xml:space="preserve">to </w:t>
      </w:r>
      <w:r w:rsidR="00811427">
        <w:rPr>
          <w:rFonts w:ascii="Sylfaen" w:hAnsi="Sylfaen" w:cs="Arial"/>
          <w:sz w:val="24"/>
          <w:szCs w:val="24"/>
        </w:rPr>
        <w:t xml:space="preserve">provide </w:t>
      </w:r>
      <w:r w:rsidR="00811427" w:rsidRPr="00811427">
        <w:rPr>
          <w:rFonts w:ascii="Sylfaen" w:hAnsi="Sylfaen" w:cs="Arial"/>
          <w:sz w:val="24"/>
          <w:szCs w:val="24"/>
        </w:rPr>
        <w:t xml:space="preserve">sufficient guarantees for the institutional independence </w:t>
      </w:r>
      <w:r w:rsidR="008D658A" w:rsidRPr="00811427">
        <w:rPr>
          <w:rFonts w:ascii="Sylfaen" w:hAnsi="Sylfaen" w:cs="Arial"/>
          <w:sz w:val="24"/>
          <w:szCs w:val="24"/>
        </w:rPr>
        <w:t xml:space="preserve">of </w:t>
      </w:r>
      <w:r w:rsidR="008D658A">
        <w:rPr>
          <w:rFonts w:ascii="Sylfaen" w:hAnsi="Sylfaen" w:cs="Arial"/>
          <w:sz w:val="24"/>
          <w:szCs w:val="24"/>
        </w:rPr>
        <w:t>both</w:t>
      </w:r>
      <w:r w:rsidR="003357E1">
        <w:rPr>
          <w:rFonts w:ascii="Sylfaen" w:hAnsi="Sylfaen" w:cs="Arial"/>
          <w:sz w:val="24"/>
          <w:szCs w:val="24"/>
        </w:rPr>
        <w:t xml:space="preserve"> </w:t>
      </w:r>
      <w:r w:rsidR="00515FCF">
        <w:rPr>
          <w:rFonts w:ascii="Sylfaen" w:hAnsi="Sylfaen" w:cs="Arial"/>
          <w:sz w:val="24"/>
          <w:szCs w:val="24"/>
        </w:rPr>
        <w:t xml:space="preserve">of the </w:t>
      </w:r>
      <w:r w:rsidR="003357E1">
        <w:rPr>
          <w:rFonts w:ascii="Sylfaen" w:hAnsi="Sylfaen" w:cs="Arial"/>
          <w:sz w:val="24"/>
          <w:szCs w:val="24"/>
        </w:rPr>
        <w:t>newly established bodies.</w:t>
      </w:r>
      <w:r w:rsidR="00515FCF">
        <w:rPr>
          <w:rStyle w:val="FootnoteReference"/>
          <w:rFonts w:ascii="Sylfaen" w:hAnsi="Sylfaen" w:cs="Arial"/>
          <w:sz w:val="24"/>
          <w:szCs w:val="24"/>
        </w:rPr>
        <w:footnoteReference w:id="9"/>
      </w:r>
    </w:p>
    <w:p w14:paraId="4C5E27E6" w14:textId="47038735" w:rsidR="00AF364A" w:rsidRDefault="00297058" w:rsidP="00F630A1">
      <w:pPr>
        <w:autoSpaceDE w:val="0"/>
        <w:autoSpaceDN w:val="0"/>
        <w:adjustRightInd w:val="0"/>
        <w:spacing w:after="0" w:line="240" w:lineRule="auto"/>
        <w:jc w:val="both"/>
        <w:rPr>
          <w:rFonts w:ascii="Sylfaen" w:hAnsi="Sylfaen" w:cs="ArialMT"/>
          <w:sz w:val="24"/>
          <w:szCs w:val="24"/>
        </w:rPr>
      </w:pPr>
      <w:r>
        <w:rPr>
          <w:rFonts w:ascii="Sylfaen" w:hAnsi="Sylfaen" w:cs="Arial"/>
          <w:sz w:val="24"/>
          <w:szCs w:val="24"/>
          <w:lang w:val="ka-GE"/>
        </w:rPr>
        <w:t>4</w:t>
      </w:r>
      <w:r w:rsidR="00AF364A" w:rsidRPr="00F04EF1">
        <w:rPr>
          <w:rFonts w:ascii="Sylfaen" w:hAnsi="Sylfaen" w:cs="Arial"/>
          <w:sz w:val="24"/>
          <w:szCs w:val="24"/>
        </w:rPr>
        <w:t>.</w:t>
      </w:r>
      <w:r w:rsidR="00AF364A" w:rsidRPr="00F04EF1">
        <w:rPr>
          <w:rFonts w:ascii="Sylfaen" w:hAnsi="Sylfaen" w:cs="ArialMT"/>
          <w:sz w:val="24"/>
          <w:szCs w:val="24"/>
        </w:rPr>
        <w:t xml:space="preserve"> In 2018 the Public Defender addressed the General Prosecutor of Georgia and the Minister of Interior with a general proposal to create a structural unit in the existing investigative </w:t>
      </w:r>
      <w:r w:rsidR="00AF364A" w:rsidRPr="00F04EF1">
        <w:rPr>
          <w:rFonts w:ascii="Sylfaen" w:hAnsi="Sylfaen" w:cs="ArialMT"/>
          <w:sz w:val="24"/>
          <w:szCs w:val="24"/>
        </w:rPr>
        <w:lastRenderedPageBreak/>
        <w:t>system responsible for investigating hate crimes, which will be staffed with the aim of preventing crimes committed against vulnerable groups and conducting timely and effective investigations. It should be noted that in the framework of the UN Universal Periodic Review</w:t>
      </w:r>
      <w:r w:rsidR="00F907DB" w:rsidRPr="00F04EF1">
        <w:rPr>
          <w:rFonts w:ascii="Sylfaen" w:hAnsi="Sylfaen" w:cs="ArialMT"/>
          <w:sz w:val="24"/>
          <w:szCs w:val="24"/>
        </w:rPr>
        <w:t xml:space="preserve"> in 2nd </w:t>
      </w:r>
      <w:r w:rsidR="00AB496D" w:rsidRPr="00F04EF1">
        <w:rPr>
          <w:rStyle w:val="FootnoteReference"/>
          <w:rFonts w:ascii="Sylfaen" w:hAnsi="Sylfaen" w:cs="ArialMT"/>
          <w:sz w:val="24"/>
          <w:szCs w:val="24"/>
        </w:rPr>
        <w:footnoteReference w:id="10"/>
      </w:r>
      <w:r w:rsidR="00DE6ED7" w:rsidRPr="00F04EF1">
        <w:rPr>
          <w:rFonts w:ascii="Sylfaen" w:hAnsi="Sylfaen" w:cs="ArialMT"/>
          <w:sz w:val="24"/>
          <w:szCs w:val="24"/>
        </w:rPr>
        <w:t xml:space="preserve"> and </w:t>
      </w:r>
      <w:r w:rsidR="00F907DB" w:rsidRPr="00F04EF1">
        <w:rPr>
          <w:rFonts w:ascii="Sylfaen" w:hAnsi="Sylfaen" w:cs="ArialMT"/>
          <w:sz w:val="24"/>
          <w:szCs w:val="24"/>
        </w:rPr>
        <w:t>3rd cycles</w:t>
      </w:r>
      <w:r w:rsidR="00DE6ED7" w:rsidRPr="00F04EF1">
        <w:rPr>
          <w:rStyle w:val="FootnoteReference"/>
          <w:rFonts w:ascii="Sylfaen" w:hAnsi="Sylfaen" w:cs="ArialMT"/>
          <w:sz w:val="24"/>
          <w:szCs w:val="24"/>
        </w:rPr>
        <w:footnoteReference w:id="11"/>
      </w:r>
      <w:r w:rsidR="00DE6ED7" w:rsidRPr="00F04EF1">
        <w:rPr>
          <w:rFonts w:ascii="Sylfaen" w:hAnsi="Sylfaen" w:cs="ArialMT"/>
          <w:sz w:val="24"/>
          <w:szCs w:val="24"/>
        </w:rPr>
        <w:t xml:space="preserve"> </w:t>
      </w:r>
      <w:r w:rsidR="00AF364A" w:rsidRPr="00F04EF1">
        <w:rPr>
          <w:rFonts w:ascii="Sylfaen" w:hAnsi="Sylfaen" w:cs="ArialMT"/>
          <w:sz w:val="24"/>
          <w:szCs w:val="24"/>
        </w:rPr>
        <w:t>Georgia received a recommendation to establish a special structural unit to</w:t>
      </w:r>
      <w:r w:rsidR="002E33BC" w:rsidRPr="00F04EF1">
        <w:rPr>
          <w:rFonts w:ascii="Sylfaen" w:hAnsi="Sylfaen" w:cs="ArialMT"/>
          <w:sz w:val="24"/>
          <w:szCs w:val="24"/>
        </w:rPr>
        <w:t xml:space="preserve"> </w:t>
      </w:r>
      <w:r w:rsidR="00AF364A" w:rsidRPr="00F04EF1">
        <w:rPr>
          <w:rFonts w:ascii="Sylfaen" w:hAnsi="Sylfaen" w:cs="ArialMT"/>
          <w:sz w:val="24"/>
          <w:szCs w:val="24"/>
        </w:rPr>
        <w:t>investigate hate crimes. The European Commission against Racism and Intolerance</w:t>
      </w:r>
      <w:r w:rsidR="002E33BC" w:rsidRPr="00F04EF1">
        <w:rPr>
          <w:rFonts w:ascii="Sylfaen" w:hAnsi="Sylfaen" w:cs="ArialMT"/>
          <w:sz w:val="24"/>
          <w:szCs w:val="24"/>
        </w:rPr>
        <w:t xml:space="preserve"> </w:t>
      </w:r>
      <w:r w:rsidR="00AF364A" w:rsidRPr="00F04EF1">
        <w:rPr>
          <w:rFonts w:ascii="Sylfaen" w:hAnsi="Sylfaen" w:cs="ArialMT"/>
          <w:sz w:val="24"/>
          <w:szCs w:val="24"/>
        </w:rPr>
        <w:t>(ECRI) in its 2016 report on Georgia also addressed this issue</w:t>
      </w:r>
      <w:r w:rsidR="002E33BC" w:rsidRPr="00F04EF1">
        <w:rPr>
          <w:rFonts w:ascii="Sylfaen" w:hAnsi="Sylfaen" w:cs="ArialMT"/>
          <w:sz w:val="24"/>
          <w:szCs w:val="24"/>
        </w:rPr>
        <w:t>.</w:t>
      </w:r>
      <w:r w:rsidR="001E13E2" w:rsidRPr="00F04EF1">
        <w:rPr>
          <w:rStyle w:val="FootnoteReference"/>
          <w:rFonts w:ascii="Sylfaen" w:hAnsi="Sylfaen" w:cs="ArialMT"/>
          <w:sz w:val="24"/>
          <w:szCs w:val="24"/>
        </w:rPr>
        <w:footnoteReference w:id="12"/>
      </w:r>
      <w:r w:rsidR="00AF364A" w:rsidRPr="00F04EF1">
        <w:rPr>
          <w:rFonts w:ascii="Sylfaen" w:hAnsi="Sylfaen" w:cs="ArialMT"/>
          <w:sz w:val="24"/>
          <w:szCs w:val="24"/>
        </w:rPr>
        <w:t xml:space="preserve"> In addition, </w:t>
      </w:r>
      <w:bookmarkStart w:id="3" w:name="_Hlk116468647"/>
      <w:r w:rsidR="00AF364A" w:rsidRPr="00F04EF1">
        <w:rPr>
          <w:rFonts w:ascii="Sylfaen" w:hAnsi="Sylfaen" w:cs="ArialMT"/>
          <w:sz w:val="24"/>
          <w:szCs w:val="24"/>
        </w:rPr>
        <w:t>in its</w:t>
      </w:r>
      <w:r w:rsidR="003A57CE" w:rsidRPr="00F04EF1">
        <w:rPr>
          <w:rFonts w:ascii="Sylfaen" w:hAnsi="Sylfaen"/>
          <w:sz w:val="24"/>
          <w:szCs w:val="24"/>
        </w:rPr>
        <w:t xml:space="preserve"> </w:t>
      </w:r>
      <w:r w:rsidR="003A57CE" w:rsidRPr="00F04EF1">
        <w:rPr>
          <w:rFonts w:ascii="Sylfaen" w:hAnsi="Sylfaen" w:cs="ArialMT"/>
          <w:sz w:val="24"/>
          <w:szCs w:val="24"/>
        </w:rPr>
        <w:t>decision</w:t>
      </w:r>
      <w:r w:rsidR="00EF3A13" w:rsidRPr="00F04EF1">
        <w:rPr>
          <w:rFonts w:ascii="Sylfaen" w:hAnsi="Sylfaen" w:cs="ArialMT"/>
          <w:sz w:val="24"/>
          <w:szCs w:val="24"/>
        </w:rPr>
        <w:t xml:space="preserve">s in Identoba and others group v. Georgia </w:t>
      </w:r>
      <w:r w:rsidR="003A57CE" w:rsidRPr="00F04EF1">
        <w:rPr>
          <w:rFonts w:ascii="Sylfaen" w:hAnsi="Sylfaen" w:cs="ArialMT"/>
          <w:sz w:val="24"/>
          <w:szCs w:val="24"/>
        </w:rPr>
        <w:t>the Committee of Ministers</w:t>
      </w:r>
      <w:r w:rsidR="002E33BC" w:rsidRPr="00F04EF1">
        <w:rPr>
          <w:rFonts w:ascii="Sylfaen" w:hAnsi="Sylfaen" w:cs="ArialMT"/>
          <w:sz w:val="24"/>
          <w:szCs w:val="24"/>
        </w:rPr>
        <w:t xml:space="preserve"> of the Council of Europe</w:t>
      </w:r>
      <w:r w:rsidR="00EF3A13" w:rsidRPr="00F04EF1">
        <w:rPr>
          <w:rFonts w:ascii="Sylfaen" w:hAnsi="Sylfaen" w:cs="ArialMT"/>
          <w:sz w:val="24"/>
          <w:szCs w:val="24"/>
        </w:rPr>
        <w:t xml:space="preserve"> </w:t>
      </w:r>
      <w:r w:rsidR="001C15DA" w:rsidRPr="00F04EF1">
        <w:rPr>
          <w:rFonts w:ascii="Sylfaen" w:hAnsi="Sylfaen" w:cs="ArialMT"/>
          <w:sz w:val="24"/>
          <w:szCs w:val="24"/>
        </w:rPr>
        <w:t xml:space="preserve">constantly </w:t>
      </w:r>
      <w:r w:rsidR="00A273AF">
        <w:rPr>
          <w:rFonts w:ascii="Sylfaen" w:hAnsi="Sylfaen" w:cs="ArialMT"/>
          <w:sz w:val="24"/>
          <w:szCs w:val="24"/>
        </w:rPr>
        <w:t xml:space="preserve">calls on </w:t>
      </w:r>
      <w:r w:rsidR="003A57CE" w:rsidRPr="00F04EF1">
        <w:rPr>
          <w:rFonts w:ascii="Sylfaen" w:hAnsi="Sylfaen" w:cs="ArialMT"/>
          <w:sz w:val="24"/>
          <w:szCs w:val="24"/>
        </w:rPr>
        <w:t>the</w:t>
      </w:r>
      <w:r w:rsidR="002E33BC" w:rsidRPr="00F04EF1">
        <w:rPr>
          <w:rFonts w:ascii="Sylfaen" w:hAnsi="Sylfaen" w:cs="ArialMT"/>
          <w:sz w:val="24"/>
          <w:szCs w:val="24"/>
        </w:rPr>
        <w:t xml:space="preserve"> Georgian </w:t>
      </w:r>
      <w:r w:rsidR="00A273AF">
        <w:rPr>
          <w:rFonts w:ascii="Sylfaen" w:hAnsi="Sylfaen" w:cs="ArialMT"/>
          <w:sz w:val="24"/>
          <w:szCs w:val="24"/>
        </w:rPr>
        <w:t>Government</w:t>
      </w:r>
      <w:r w:rsidR="003A57CE" w:rsidRPr="00F04EF1">
        <w:rPr>
          <w:rFonts w:ascii="Sylfaen" w:hAnsi="Sylfaen" w:cs="ArialMT"/>
          <w:sz w:val="24"/>
          <w:szCs w:val="24"/>
        </w:rPr>
        <w:t xml:space="preserve">, to establish a specialized investigative unit </w:t>
      </w:r>
      <w:bookmarkEnd w:id="3"/>
      <w:r w:rsidR="003A57CE" w:rsidRPr="00F04EF1">
        <w:rPr>
          <w:rFonts w:ascii="Sylfaen" w:hAnsi="Sylfaen" w:cs="ArialMT"/>
          <w:sz w:val="24"/>
          <w:szCs w:val="24"/>
        </w:rPr>
        <w:t>within the police</w:t>
      </w:r>
      <w:r w:rsidR="001E5848" w:rsidRPr="00F04EF1">
        <w:rPr>
          <w:rFonts w:ascii="Sylfaen" w:hAnsi="Sylfaen" w:cs="ArialMT"/>
          <w:sz w:val="24"/>
          <w:szCs w:val="24"/>
        </w:rPr>
        <w:t xml:space="preserve"> </w:t>
      </w:r>
      <w:r w:rsidR="003A57CE" w:rsidRPr="00F04EF1">
        <w:rPr>
          <w:rFonts w:ascii="Sylfaen" w:hAnsi="Sylfaen" w:cs="ArialMT"/>
          <w:sz w:val="24"/>
          <w:szCs w:val="24"/>
        </w:rPr>
        <w:t>in order to carry out effective investigations into hate crimes.</w:t>
      </w:r>
      <w:r w:rsidR="001E5848" w:rsidRPr="00F04EF1">
        <w:rPr>
          <w:rStyle w:val="FootnoteReference"/>
          <w:rFonts w:ascii="Sylfaen" w:hAnsi="Sylfaen" w:cs="ArialMT"/>
          <w:sz w:val="24"/>
          <w:szCs w:val="24"/>
        </w:rPr>
        <w:footnoteReference w:id="13"/>
      </w:r>
      <w:r w:rsidR="003A57CE" w:rsidRPr="00F04EF1">
        <w:rPr>
          <w:rFonts w:ascii="Sylfaen" w:hAnsi="Sylfaen" w:cs="ArialMT"/>
          <w:sz w:val="24"/>
          <w:szCs w:val="24"/>
        </w:rPr>
        <w:t xml:space="preserve"> It is noteworthy, that the Human Rights Protection and Quality Monitoring Department</w:t>
      </w:r>
      <w:r w:rsidR="002A722E">
        <w:rPr>
          <w:rFonts w:ascii="Sylfaen" w:hAnsi="Sylfaen" w:cs="ArialMT"/>
          <w:sz w:val="24"/>
          <w:szCs w:val="24"/>
        </w:rPr>
        <w:t xml:space="preserve"> </w:t>
      </w:r>
      <w:r w:rsidR="003A57CE" w:rsidRPr="00F04EF1">
        <w:rPr>
          <w:rFonts w:ascii="Sylfaen" w:hAnsi="Sylfaen" w:cs="ArialMT"/>
          <w:sz w:val="24"/>
          <w:szCs w:val="24"/>
        </w:rPr>
        <w:t>of the Ministry of Internal Affairs</w:t>
      </w:r>
      <w:r w:rsidR="00CB2490" w:rsidRPr="00F04EF1">
        <w:rPr>
          <w:rFonts w:ascii="Sylfaen" w:hAnsi="Sylfaen" w:cs="ArialMT"/>
          <w:sz w:val="24"/>
          <w:szCs w:val="24"/>
          <w:lang w:val="ka-GE"/>
        </w:rPr>
        <w:t xml:space="preserve"> </w:t>
      </w:r>
      <w:r w:rsidR="00777CAF">
        <w:rPr>
          <w:rFonts w:ascii="Sylfaen" w:hAnsi="Sylfaen" w:cs="ArialMT"/>
          <w:sz w:val="24"/>
          <w:szCs w:val="24"/>
        </w:rPr>
        <w:t xml:space="preserve">referred </w:t>
      </w:r>
      <w:r w:rsidR="00CB2490" w:rsidRPr="00F04EF1">
        <w:rPr>
          <w:rFonts w:ascii="Sylfaen" w:hAnsi="Sylfaen" w:cs="ArialMT"/>
          <w:sz w:val="24"/>
          <w:szCs w:val="24"/>
        </w:rPr>
        <w:t>in paragraph</w:t>
      </w:r>
      <w:r w:rsidR="00F04EF1" w:rsidRPr="00F04EF1">
        <w:rPr>
          <w:rFonts w:ascii="Sylfaen" w:hAnsi="Sylfaen" w:cs="ArialMT"/>
          <w:sz w:val="24"/>
          <w:szCs w:val="24"/>
        </w:rPr>
        <w:t>s</w:t>
      </w:r>
      <w:r w:rsidR="00CB2490" w:rsidRPr="00F04EF1">
        <w:rPr>
          <w:rFonts w:ascii="Sylfaen" w:hAnsi="Sylfaen" w:cs="ArialMT"/>
          <w:sz w:val="24"/>
          <w:szCs w:val="24"/>
        </w:rPr>
        <w:t xml:space="preserve"> </w:t>
      </w:r>
      <w:r w:rsidR="00F04EF1" w:rsidRPr="00F04EF1">
        <w:rPr>
          <w:rFonts w:ascii="Sylfaen" w:hAnsi="Sylfaen" w:cs="ArialMT"/>
          <w:sz w:val="24"/>
          <w:szCs w:val="24"/>
        </w:rPr>
        <w:t xml:space="preserve">14-16 </w:t>
      </w:r>
      <w:r w:rsidR="00777CAF">
        <w:rPr>
          <w:rFonts w:ascii="Sylfaen" w:hAnsi="Sylfaen" w:cs="ArialMT"/>
          <w:sz w:val="24"/>
          <w:szCs w:val="24"/>
        </w:rPr>
        <w:t>of</w:t>
      </w:r>
      <w:r w:rsidR="00F04EF1" w:rsidRPr="00F04EF1">
        <w:rPr>
          <w:rFonts w:ascii="Sylfaen" w:hAnsi="Sylfaen" w:cs="ArialMT"/>
          <w:sz w:val="24"/>
          <w:szCs w:val="24"/>
        </w:rPr>
        <w:t xml:space="preserve"> State Report</w:t>
      </w:r>
      <w:r w:rsidR="003A57CE" w:rsidRPr="00F04EF1">
        <w:rPr>
          <w:rFonts w:ascii="Sylfaen" w:hAnsi="Sylfaen" w:cs="ArialMT"/>
          <w:sz w:val="24"/>
          <w:szCs w:val="24"/>
        </w:rPr>
        <w:t>, which monitors the investigation of crimes committed</w:t>
      </w:r>
      <w:r w:rsidR="00777CAF">
        <w:rPr>
          <w:rFonts w:ascii="Sylfaen" w:hAnsi="Sylfaen" w:cs="ArialMT"/>
          <w:sz w:val="24"/>
          <w:szCs w:val="24"/>
        </w:rPr>
        <w:t xml:space="preserve"> </w:t>
      </w:r>
      <w:r w:rsidR="003A57CE" w:rsidRPr="00F04EF1">
        <w:rPr>
          <w:rFonts w:ascii="Sylfaen" w:hAnsi="Sylfaen" w:cs="ArialMT"/>
          <w:sz w:val="24"/>
          <w:szCs w:val="24"/>
        </w:rPr>
        <w:t>on discriminatory grounds is not equipped with an investigative function. Accordingly,</w:t>
      </w:r>
      <w:r w:rsidR="00FD13F3">
        <w:rPr>
          <w:rFonts w:ascii="Sylfaen" w:hAnsi="Sylfaen" w:cs="ArialMT"/>
          <w:sz w:val="24"/>
          <w:szCs w:val="24"/>
        </w:rPr>
        <w:t xml:space="preserve"> </w:t>
      </w:r>
      <w:r w:rsidR="003A57CE" w:rsidRPr="00F04EF1">
        <w:rPr>
          <w:rFonts w:ascii="Sylfaen" w:hAnsi="Sylfaen" w:cs="ArialMT"/>
          <w:sz w:val="24"/>
          <w:szCs w:val="24"/>
        </w:rPr>
        <w:t>this recommendation cannot be considered implemented by referring to the existence of</w:t>
      </w:r>
      <w:r w:rsidR="00FD13F3">
        <w:rPr>
          <w:rFonts w:ascii="Sylfaen" w:hAnsi="Sylfaen" w:cs="ArialMT"/>
          <w:sz w:val="24"/>
          <w:szCs w:val="24"/>
        </w:rPr>
        <w:t xml:space="preserve"> </w:t>
      </w:r>
      <w:r w:rsidR="003A57CE" w:rsidRPr="00F04EF1">
        <w:rPr>
          <w:rFonts w:ascii="Sylfaen" w:hAnsi="Sylfaen" w:cs="ArialMT"/>
          <w:sz w:val="24"/>
          <w:szCs w:val="24"/>
        </w:rPr>
        <w:t>this department.</w:t>
      </w:r>
      <w:r w:rsidR="009B58C9">
        <w:rPr>
          <w:rFonts w:ascii="Sylfaen" w:hAnsi="Sylfaen" w:cs="ArialMT"/>
          <w:sz w:val="24"/>
          <w:szCs w:val="24"/>
        </w:rPr>
        <w:t xml:space="preserve"> </w:t>
      </w:r>
    </w:p>
    <w:p w14:paraId="564CB371" w14:textId="77777777" w:rsidR="0049662B" w:rsidRDefault="0049662B" w:rsidP="00C550B5">
      <w:pPr>
        <w:jc w:val="both"/>
        <w:rPr>
          <w:rFonts w:ascii="Sylfaen" w:hAnsi="Sylfaen"/>
          <w:sz w:val="24"/>
          <w:szCs w:val="24"/>
        </w:rPr>
      </w:pPr>
    </w:p>
    <w:p w14:paraId="23566ACE" w14:textId="311C17AD" w:rsidR="00DB2D66" w:rsidRDefault="0049662B" w:rsidP="00C550B5">
      <w:pPr>
        <w:jc w:val="both"/>
        <w:rPr>
          <w:rFonts w:ascii="Sylfaen" w:hAnsi="Sylfaen"/>
          <w:sz w:val="24"/>
          <w:szCs w:val="24"/>
        </w:rPr>
      </w:pPr>
      <w:r>
        <w:rPr>
          <w:rFonts w:ascii="Sylfaen" w:hAnsi="Sylfaen"/>
          <w:sz w:val="24"/>
          <w:szCs w:val="24"/>
        </w:rPr>
        <w:t>5</w:t>
      </w:r>
      <w:r w:rsidR="00EF324D">
        <w:rPr>
          <w:rFonts w:ascii="Sylfaen" w:hAnsi="Sylfaen"/>
          <w:sz w:val="24"/>
          <w:szCs w:val="24"/>
          <w:lang w:val="ka-GE"/>
        </w:rPr>
        <w:t xml:space="preserve">. </w:t>
      </w:r>
      <w:r w:rsidR="00593729">
        <w:rPr>
          <w:rFonts w:ascii="Sylfaen" w:hAnsi="Sylfaen"/>
          <w:sz w:val="24"/>
          <w:szCs w:val="24"/>
        </w:rPr>
        <w:t>In the context of strengthening response mechanism, t</w:t>
      </w:r>
      <w:r w:rsidR="00DB2D66">
        <w:rPr>
          <w:rFonts w:ascii="Sylfaen" w:hAnsi="Sylfaen"/>
          <w:sz w:val="24"/>
          <w:szCs w:val="24"/>
        </w:rPr>
        <w:t>he State Report</w:t>
      </w:r>
      <w:r w:rsidR="00593729">
        <w:rPr>
          <w:rFonts w:ascii="Sylfaen" w:hAnsi="Sylfaen"/>
          <w:sz w:val="24"/>
          <w:szCs w:val="24"/>
        </w:rPr>
        <w:t xml:space="preserve"> also</w:t>
      </w:r>
      <w:r w:rsidR="00DB2D66">
        <w:rPr>
          <w:rFonts w:ascii="Sylfaen" w:hAnsi="Sylfaen"/>
          <w:sz w:val="24"/>
          <w:szCs w:val="24"/>
        </w:rPr>
        <w:t xml:space="preserve"> </w:t>
      </w:r>
      <w:r w:rsidR="0003054B">
        <w:rPr>
          <w:rFonts w:ascii="Sylfaen" w:hAnsi="Sylfaen"/>
          <w:sz w:val="24"/>
          <w:szCs w:val="24"/>
        </w:rPr>
        <w:t xml:space="preserve">refers to the </w:t>
      </w:r>
      <w:r w:rsidR="0003054B" w:rsidRPr="0003054B">
        <w:rPr>
          <w:rFonts w:ascii="Sylfaen" w:hAnsi="Sylfaen"/>
          <w:sz w:val="24"/>
          <w:szCs w:val="24"/>
        </w:rPr>
        <w:t>Service of Coordinator of a Witness and Victim Protection</w:t>
      </w:r>
      <w:r w:rsidR="006D4E3A">
        <w:rPr>
          <w:rFonts w:ascii="Sylfaen" w:hAnsi="Sylfaen"/>
          <w:sz w:val="24"/>
          <w:szCs w:val="24"/>
        </w:rPr>
        <w:t xml:space="preserve"> within the Prosecut</w:t>
      </w:r>
      <w:r w:rsidR="00247C24">
        <w:rPr>
          <w:rFonts w:ascii="Sylfaen" w:hAnsi="Sylfaen"/>
          <w:sz w:val="24"/>
          <w:szCs w:val="24"/>
        </w:rPr>
        <w:t>o</w:t>
      </w:r>
      <w:r w:rsidR="006D4E3A">
        <w:rPr>
          <w:rFonts w:ascii="Sylfaen" w:hAnsi="Sylfaen"/>
          <w:sz w:val="24"/>
          <w:szCs w:val="24"/>
        </w:rPr>
        <w:t xml:space="preserve">r’s </w:t>
      </w:r>
      <w:r w:rsidR="00563929">
        <w:rPr>
          <w:rFonts w:ascii="Sylfaen" w:hAnsi="Sylfaen"/>
          <w:sz w:val="24"/>
          <w:szCs w:val="24"/>
        </w:rPr>
        <w:t>O</w:t>
      </w:r>
      <w:r w:rsidR="006D4E3A">
        <w:rPr>
          <w:rFonts w:ascii="Sylfaen" w:hAnsi="Sylfaen"/>
          <w:sz w:val="24"/>
          <w:szCs w:val="24"/>
        </w:rPr>
        <w:t>ffice and its participation in the criminal law procedures</w:t>
      </w:r>
      <w:r w:rsidR="00186503">
        <w:rPr>
          <w:rFonts w:ascii="Sylfaen" w:hAnsi="Sylfaen"/>
          <w:sz w:val="24"/>
          <w:szCs w:val="24"/>
        </w:rPr>
        <w:t xml:space="preserve"> including those</w:t>
      </w:r>
      <w:r w:rsidR="00E01614">
        <w:rPr>
          <w:rFonts w:ascii="Sylfaen" w:hAnsi="Sylfaen"/>
          <w:sz w:val="24"/>
          <w:szCs w:val="24"/>
        </w:rPr>
        <w:t xml:space="preserve"> related to hate crime cases</w:t>
      </w:r>
      <w:r w:rsidR="006D4E3A">
        <w:rPr>
          <w:rFonts w:ascii="Sylfaen" w:hAnsi="Sylfaen"/>
          <w:sz w:val="24"/>
          <w:szCs w:val="24"/>
        </w:rPr>
        <w:t>.</w:t>
      </w:r>
      <w:r w:rsidR="006D4E3A">
        <w:rPr>
          <w:rStyle w:val="FootnoteReference"/>
          <w:rFonts w:ascii="Sylfaen" w:hAnsi="Sylfaen"/>
          <w:sz w:val="24"/>
          <w:szCs w:val="24"/>
        </w:rPr>
        <w:footnoteReference w:id="14"/>
      </w:r>
      <w:r w:rsidR="00081BF0">
        <w:rPr>
          <w:rFonts w:ascii="Sylfaen" w:hAnsi="Sylfaen"/>
          <w:sz w:val="24"/>
          <w:szCs w:val="24"/>
        </w:rPr>
        <w:t xml:space="preserve"> </w:t>
      </w:r>
      <w:r w:rsidR="00F9495D">
        <w:rPr>
          <w:rFonts w:ascii="Sylfaen" w:hAnsi="Sylfaen"/>
          <w:sz w:val="24"/>
          <w:szCs w:val="24"/>
        </w:rPr>
        <w:t xml:space="preserve">While the PDO generally welcomes the existence of </w:t>
      </w:r>
      <w:r w:rsidR="00906D5D">
        <w:rPr>
          <w:rFonts w:ascii="Sylfaen" w:hAnsi="Sylfaen"/>
          <w:sz w:val="24"/>
          <w:szCs w:val="24"/>
        </w:rPr>
        <w:t xml:space="preserve">this Service, it is </w:t>
      </w:r>
      <w:r w:rsidR="0018202F">
        <w:rPr>
          <w:rFonts w:ascii="Sylfaen" w:hAnsi="Sylfaen"/>
          <w:sz w:val="24"/>
          <w:szCs w:val="24"/>
        </w:rPr>
        <w:t>concerned with insufficient effectiveness of its involvement in the criminal proceedings</w:t>
      </w:r>
      <w:r w:rsidR="0095677D">
        <w:rPr>
          <w:rFonts w:ascii="Sylfaen" w:hAnsi="Sylfaen"/>
          <w:sz w:val="24"/>
          <w:szCs w:val="24"/>
        </w:rPr>
        <w:t xml:space="preserve"> caused by a low number of</w:t>
      </w:r>
      <w:r w:rsidR="00404D95">
        <w:rPr>
          <w:rFonts w:ascii="Sylfaen" w:hAnsi="Sylfaen"/>
          <w:sz w:val="24"/>
          <w:szCs w:val="24"/>
        </w:rPr>
        <w:t xml:space="preserve"> coordinators. In particular, </w:t>
      </w:r>
      <w:r w:rsidR="00C17537">
        <w:rPr>
          <w:rFonts w:ascii="Sylfaen" w:hAnsi="Sylfaen"/>
          <w:sz w:val="24"/>
          <w:szCs w:val="24"/>
        </w:rPr>
        <w:t xml:space="preserve">there were only </w:t>
      </w:r>
      <w:r w:rsidR="00F86A19">
        <w:rPr>
          <w:rFonts w:ascii="Sylfaen" w:hAnsi="Sylfaen"/>
          <w:sz w:val="24"/>
          <w:szCs w:val="24"/>
        </w:rPr>
        <w:t xml:space="preserve">18 coordinators employed by the </w:t>
      </w:r>
      <w:r w:rsidR="00185C39">
        <w:rPr>
          <w:rFonts w:ascii="Sylfaen" w:hAnsi="Sylfaen"/>
          <w:sz w:val="24"/>
          <w:szCs w:val="24"/>
        </w:rPr>
        <w:t xml:space="preserve">General Prosecutor’s Office nationwide </w:t>
      </w:r>
      <w:r w:rsidR="005714DF">
        <w:rPr>
          <w:rFonts w:ascii="Sylfaen" w:hAnsi="Sylfaen"/>
          <w:sz w:val="24"/>
          <w:szCs w:val="24"/>
        </w:rPr>
        <w:t>while the Ministry of Internal Affairs employed only 14 coordinators</w:t>
      </w:r>
      <w:r w:rsidR="0002623C">
        <w:rPr>
          <w:rFonts w:ascii="Sylfaen" w:hAnsi="Sylfaen"/>
          <w:sz w:val="24"/>
          <w:szCs w:val="24"/>
        </w:rPr>
        <w:t xml:space="preserve"> </w:t>
      </w:r>
      <w:r w:rsidR="00185C39">
        <w:rPr>
          <w:rFonts w:ascii="Sylfaen" w:hAnsi="Sylfaen"/>
          <w:sz w:val="24"/>
          <w:szCs w:val="24"/>
        </w:rPr>
        <w:t>according</w:t>
      </w:r>
      <w:r w:rsidR="00C07020">
        <w:rPr>
          <w:rFonts w:ascii="Sylfaen" w:hAnsi="Sylfaen"/>
          <w:sz w:val="24"/>
          <w:szCs w:val="24"/>
        </w:rPr>
        <w:t xml:space="preserve"> to</w:t>
      </w:r>
      <w:r w:rsidR="00185C39">
        <w:rPr>
          <w:rFonts w:ascii="Sylfaen" w:hAnsi="Sylfaen"/>
          <w:sz w:val="24"/>
          <w:szCs w:val="24"/>
        </w:rPr>
        <w:t xml:space="preserve"> the letters received from </w:t>
      </w:r>
      <w:r w:rsidR="00A13A6E">
        <w:rPr>
          <w:rFonts w:ascii="Sylfaen" w:hAnsi="Sylfaen"/>
          <w:sz w:val="24"/>
          <w:szCs w:val="24"/>
        </w:rPr>
        <w:t>this body in January and February 2022.</w:t>
      </w:r>
      <w:r w:rsidR="00807A5D">
        <w:rPr>
          <w:rStyle w:val="FootnoteReference"/>
          <w:rFonts w:ascii="Sylfaen" w:hAnsi="Sylfaen"/>
          <w:sz w:val="24"/>
          <w:szCs w:val="24"/>
        </w:rPr>
        <w:footnoteReference w:id="15"/>
      </w:r>
      <w:r w:rsidR="00A13A6E">
        <w:rPr>
          <w:rFonts w:ascii="Sylfaen" w:hAnsi="Sylfaen"/>
          <w:sz w:val="24"/>
          <w:szCs w:val="24"/>
        </w:rPr>
        <w:t xml:space="preserve"> </w:t>
      </w:r>
      <w:r w:rsidR="0095677D">
        <w:rPr>
          <w:rFonts w:ascii="Sylfaen" w:hAnsi="Sylfaen"/>
          <w:sz w:val="24"/>
          <w:szCs w:val="24"/>
        </w:rPr>
        <w:t xml:space="preserve"> </w:t>
      </w:r>
      <w:r w:rsidR="00377CB6">
        <w:rPr>
          <w:rFonts w:ascii="Sylfaen" w:hAnsi="Sylfaen"/>
          <w:sz w:val="24"/>
          <w:szCs w:val="24"/>
        </w:rPr>
        <w:t>This</w:t>
      </w:r>
      <w:r w:rsidR="002E1C74">
        <w:rPr>
          <w:rFonts w:ascii="Sylfaen" w:hAnsi="Sylfaen"/>
          <w:sz w:val="24"/>
          <w:szCs w:val="24"/>
        </w:rPr>
        <w:t xml:space="preserve"> number</w:t>
      </w:r>
      <w:r w:rsidR="00377CB6">
        <w:rPr>
          <w:rFonts w:ascii="Sylfaen" w:hAnsi="Sylfaen"/>
          <w:sz w:val="24"/>
          <w:szCs w:val="24"/>
        </w:rPr>
        <w:t xml:space="preserve"> is clearly insufficient if </w:t>
      </w:r>
      <w:r w:rsidR="00E01614">
        <w:rPr>
          <w:rFonts w:ascii="Sylfaen" w:hAnsi="Sylfaen"/>
          <w:sz w:val="24"/>
          <w:szCs w:val="24"/>
        </w:rPr>
        <w:t>one looks at the statistics on hate crimes</w:t>
      </w:r>
      <w:r w:rsidR="009643AA">
        <w:rPr>
          <w:rFonts w:ascii="Sylfaen" w:hAnsi="Sylfaen"/>
          <w:sz w:val="24"/>
          <w:szCs w:val="24"/>
        </w:rPr>
        <w:t xml:space="preserve"> provided</w:t>
      </w:r>
      <w:r w:rsidR="008977D3">
        <w:rPr>
          <w:rFonts w:ascii="Sylfaen" w:hAnsi="Sylfaen"/>
          <w:sz w:val="24"/>
          <w:szCs w:val="24"/>
        </w:rPr>
        <w:t xml:space="preserve"> </w:t>
      </w:r>
      <w:r w:rsidR="00D16E96">
        <w:rPr>
          <w:rFonts w:ascii="Sylfaen" w:hAnsi="Sylfaen"/>
          <w:sz w:val="24"/>
          <w:szCs w:val="24"/>
        </w:rPr>
        <w:t xml:space="preserve">in </w:t>
      </w:r>
      <w:r w:rsidR="00186503">
        <w:rPr>
          <w:rFonts w:ascii="Sylfaen" w:hAnsi="Sylfaen"/>
          <w:sz w:val="24"/>
          <w:szCs w:val="24"/>
        </w:rPr>
        <w:t>a report by the Ministry of Justice</w:t>
      </w:r>
      <w:r w:rsidR="008977D3">
        <w:rPr>
          <w:rFonts w:ascii="Sylfaen" w:hAnsi="Sylfaen"/>
          <w:sz w:val="24"/>
          <w:szCs w:val="24"/>
        </w:rPr>
        <w:t xml:space="preserve"> of Georgia</w:t>
      </w:r>
      <w:r w:rsidR="00D16E96">
        <w:rPr>
          <w:rFonts w:ascii="Sylfaen" w:hAnsi="Sylfaen"/>
          <w:sz w:val="24"/>
          <w:szCs w:val="24"/>
        </w:rPr>
        <w:t xml:space="preserve">: prosecution began against 834 individuals in cases of crimes committed with intolerance motive </w:t>
      </w:r>
      <w:r w:rsidR="004265FF">
        <w:rPr>
          <w:rFonts w:ascii="Sylfaen" w:hAnsi="Sylfaen"/>
          <w:sz w:val="24"/>
          <w:szCs w:val="24"/>
        </w:rPr>
        <w:t>and 895 persons were recognized as</w:t>
      </w:r>
      <w:r w:rsidR="00F05169">
        <w:rPr>
          <w:rFonts w:ascii="Sylfaen" w:hAnsi="Sylfaen"/>
          <w:sz w:val="24"/>
          <w:szCs w:val="24"/>
        </w:rPr>
        <w:t xml:space="preserve"> victims</w:t>
      </w:r>
      <w:r w:rsidR="00EE3C4F">
        <w:rPr>
          <w:rFonts w:ascii="Sylfaen" w:hAnsi="Sylfaen"/>
          <w:sz w:val="24"/>
          <w:szCs w:val="24"/>
        </w:rPr>
        <w:t xml:space="preserve"> in 2021</w:t>
      </w:r>
      <w:r w:rsidR="00F05169">
        <w:rPr>
          <w:rFonts w:ascii="Sylfaen" w:hAnsi="Sylfaen"/>
          <w:sz w:val="24"/>
          <w:szCs w:val="24"/>
        </w:rPr>
        <w:t>.</w:t>
      </w:r>
      <w:r w:rsidR="006168B2">
        <w:rPr>
          <w:rStyle w:val="FootnoteReference"/>
          <w:rFonts w:ascii="Sylfaen" w:hAnsi="Sylfaen"/>
          <w:sz w:val="24"/>
          <w:szCs w:val="24"/>
        </w:rPr>
        <w:footnoteReference w:id="16"/>
      </w:r>
      <w:r w:rsidR="00F05169">
        <w:rPr>
          <w:rFonts w:ascii="Sylfaen" w:hAnsi="Sylfaen"/>
          <w:sz w:val="24"/>
          <w:szCs w:val="24"/>
        </w:rPr>
        <w:t xml:space="preserve"> </w:t>
      </w:r>
      <w:r w:rsidR="00E01614">
        <w:rPr>
          <w:rFonts w:ascii="Sylfaen" w:hAnsi="Sylfaen"/>
          <w:sz w:val="24"/>
          <w:szCs w:val="24"/>
        </w:rPr>
        <w:t xml:space="preserve"> </w:t>
      </w:r>
    </w:p>
    <w:p w14:paraId="3EBDB524" w14:textId="4DB4EB43" w:rsidR="00CB40FF" w:rsidRPr="006A1D84" w:rsidRDefault="00CB40FF" w:rsidP="005406A1">
      <w:pPr>
        <w:jc w:val="both"/>
        <w:rPr>
          <w:rFonts w:ascii="Sylfaen" w:hAnsi="Sylfaen"/>
          <w:b/>
          <w:bCs/>
          <w:sz w:val="24"/>
          <w:szCs w:val="24"/>
        </w:rPr>
      </w:pPr>
      <w:r w:rsidRPr="006A1D84">
        <w:rPr>
          <w:rFonts w:ascii="Sylfaen" w:hAnsi="Sylfaen"/>
          <w:b/>
          <w:bCs/>
          <w:sz w:val="24"/>
          <w:szCs w:val="24"/>
        </w:rPr>
        <w:lastRenderedPageBreak/>
        <w:t>Rais</w:t>
      </w:r>
      <w:r w:rsidR="00C02DBB" w:rsidRPr="006A1D84">
        <w:rPr>
          <w:rFonts w:ascii="Sylfaen" w:hAnsi="Sylfaen"/>
          <w:b/>
          <w:bCs/>
          <w:sz w:val="24"/>
          <w:szCs w:val="24"/>
        </w:rPr>
        <w:t>ing</w:t>
      </w:r>
      <w:r w:rsidRPr="006A1D84">
        <w:rPr>
          <w:rFonts w:ascii="Sylfaen" w:hAnsi="Sylfaen"/>
          <w:b/>
          <w:bCs/>
          <w:sz w:val="24"/>
          <w:szCs w:val="24"/>
        </w:rPr>
        <w:t xml:space="preserve"> awareness of representatives of law-enforcement bodies</w:t>
      </w:r>
    </w:p>
    <w:p w14:paraId="67ED1A1C" w14:textId="3FE6AC59" w:rsidR="006955A9" w:rsidRDefault="0049662B" w:rsidP="00C73453">
      <w:pPr>
        <w:jc w:val="both"/>
        <w:rPr>
          <w:rFonts w:ascii="Sylfaen" w:hAnsi="Sylfaen"/>
          <w:sz w:val="24"/>
          <w:szCs w:val="24"/>
        </w:rPr>
      </w:pPr>
      <w:r>
        <w:rPr>
          <w:rFonts w:ascii="Sylfaen" w:hAnsi="Sylfaen"/>
          <w:sz w:val="24"/>
          <w:szCs w:val="24"/>
        </w:rPr>
        <w:t>6</w:t>
      </w:r>
      <w:r w:rsidR="004E1CF9">
        <w:rPr>
          <w:rFonts w:ascii="Sylfaen" w:hAnsi="Sylfaen"/>
          <w:sz w:val="24"/>
          <w:szCs w:val="24"/>
        </w:rPr>
        <w:t xml:space="preserve">. </w:t>
      </w:r>
      <w:r w:rsidR="00E87871">
        <w:rPr>
          <w:rFonts w:ascii="Sylfaen" w:hAnsi="Sylfaen"/>
          <w:sz w:val="24"/>
          <w:szCs w:val="24"/>
        </w:rPr>
        <w:t>In terms of awareness raising</w:t>
      </w:r>
      <w:r w:rsidR="00230EAC">
        <w:rPr>
          <w:rFonts w:ascii="Sylfaen" w:hAnsi="Sylfaen"/>
          <w:sz w:val="24"/>
          <w:szCs w:val="24"/>
        </w:rPr>
        <w:t xml:space="preserve"> on issues of </w:t>
      </w:r>
      <w:r w:rsidR="00933615">
        <w:rPr>
          <w:rFonts w:ascii="Sylfaen" w:hAnsi="Sylfaen"/>
          <w:sz w:val="24"/>
          <w:szCs w:val="24"/>
        </w:rPr>
        <w:t>non-discrimination, it is important to support counter-narrative against racial discriminatio</w:t>
      </w:r>
      <w:r w:rsidR="00C25DEF">
        <w:rPr>
          <w:rFonts w:ascii="Sylfaen" w:hAnsi="Sylfaen"/>
          <w:sz w:val="24"/>
          <w:szCs w:val="24"/>
        </w:rPr>
        <w:t xml:space="preserve">n. </w:t>
      </w:r>
      <w:r w:rsidR="00DC501E">
        <w:rPr>
          <w:rFonts w:ascii="Sylfaen" w:hAnsi="Sylfaen"/>
          <w:sz w:val="24"/>
          <w:szCs w:val="24"/>
        </w:rPr>
        <w:t xml:space="preserve">Public officials and figures bear special responsibility to </w:t>
      </w:r>
      <w:r w:rsidR="002710A3">
        <w:rPr>
          <w:rFonts w:ascii="Sylfaen" w:hAnsi="Sylfaen"/>
          <w:sz w:val="24"/>
          <w:szCs w:val="24"/>
        </w:rPr>
        <w:t>avoid and condemn racist rhetoric and promot</w:t>
      </w:r>
      <w:r w:rsidR="00845631">
        <w:rPr>
          <w:rFonts w:ascii="Sylfaen" w:hAnsi="Sylfaen"/>
          <w:sz w:val="24"/>
          <w:szCs w:val="24"/>
        </w:rPr>
        <w:t xml:space="preserve">e tolerance and equality. </w:t>
      </w:r>
      <w:r w:rsidR="005A1FCE">
        <w:rPr>
          <w:rFonts w:ascii="Sylfaen" w:hAnsi="Sylfaen"/>
          <w:sz w:val="24"/>
          <w:szCs w:val="24"/>
        </w:rPr>
        <w:t>According to the General Recommendation N35 by the CERD, “f</w:t>
      </w:r>
      <w:r w:rsidR="005A1FCE" w:rsidRPr="005A1FCE">
        <w:rPr>
          <w:rFonts w:ascii="Sylfaen" w:hAnsi="Sylfaen"/>
          <w:sz w:val="24"/>
          <w:szCs w:val="24"/>
        </w:rPr>
        <w:t>ormal rejection of hate speech by high-level public officials and condemnation of the hateful ideas expressed play an important role in promoting a culture of tolerance and respect</w:t>
      </w:r>
      <w:r w:rsidR="005A1FCE">
        <w:rPr>
          <w:rFonts w:ascii="Sylfaen" w:hAnsi="Sylfaen"/>
          <w:sz w:val="24"/>
          <w:szCs w:val="24"/>
        </w:rPr>
        <w:t>”</w:t>
      </w:r>
      <w:r w:rsidR="00CD1431">
        <w:rPr>
          <w:rStyle w:val="FootnoteReference"/>
          <w:rFonts w:ascii="Sylfaen" w:hAnsi="Sylfaen"/>
          <w:sz w:val="24"/>
          <w:szCs w:val="24"/>
        </w:rPr>
        <w:footnoteReference w:id="17"/>
      </w:r>
      <w:r w:rsidR="005A1FCE">
        <w:rPr>
          <w:rFonts w:ascii="Sylfaen" w:hAnsi="Sylfaen"/>
          <w:sz w:val="24"/>
          <w:szCs w:val="24"/>
        </w:rPr>
        <w:t xml:space="preserve"> and </w:t>
      </w:r>
      <w:r w:rsidR="00CD1431">
        <w:rPr>
          <w:rFonts w:ascii="Sylfaen" w:hAnsi="Sylfaen"/>
          <w:sz w:val="24"/>
          <w:szCs w:val="24"/>
        </w:rPr>
        <w:t>“</w:t>
      </w:r>
      <w:r w:rsidR="00CD1431" w:rsidRPr="00CD1431">
        <w:rPr>
          <w:rFonts w:ascii="Sylfaen" w:hAnsi="Sylfaen"/>
          <w:sz w:val="24"/>
          <w:szCs w:val="24"/>
        </w:rPr>
        <w:t>racist expressions emanating from such authorities or institutions are regarded by the Committee as of particular concern, especially statements attributed to high-ranking officials</w:t>
      </w:r>
      <w:r w:rsidR="00CD1431">
        <w:rPr>
          <w:rFonts w:ascii="Sylfaen" w:hAnsi="Sylfaen"/>
          <w:sz w:val="24"/>
          <w:szCs w:val="24"/>
        </w:rPr>
        <w:t>”.</w:t>
      </w:r>
      <w:r w:rsidR="00CD1431">
        <w:rPr>
          <w:rStyle w:val="FootnoteReference"/>
          <w:rFonts w:ascii="Sylfaen" w:hAnsi="Sylfaen"/>
          <w:sz w:val="24"/>
          <w:szCs w:val="24"/>
        </w:rPr>
        <w:footnoteReference w:id="18"/>
      </w:r>
      <w:r w:rsidR="00842854">
        <w:rPr>
          <w:rFonts w:ascii="Sylfaen" w:hAnsi="Sylfaen"/>
          <w:sz w:val="24"/>
          <w:szCs w:val="24"/>
        </w:rPr>
        <w:t xml:space="preserve"> Unfortunately, there have been several </w:t>
      </w:r>
      <w:r w:rsidR="009D5A8E">
        <w:rPr>
          <w:rFonts w:ascii="Sylfaen" w:hAnsi="Sylfaen"/>
          <w:sz w:val="24"/>
          <w:szCs w:val="24"/>
        </w:rPr>
        <w:t>instances of racist expressions</w:t>
      </w:r>
      <w:r w:rsidR="005406A1">
        <w:rPr>
          <w:rFonts w:ascii="Sylfaen" w:hAnsi="Sylfaen"/>
          <w:sz w:val="24"/>
          <w:szCs w:val="24"/>
        </w:rPr>
        <w:t xml:space="preserve"> or statements encouraging discrimination</w:t>
      </w:r>
      <w:r w:rsidR="009D5A8E">
        <w:rPr>
          <w:rFonts w:ascii="Sylfaen" w:hAnsi="Sylfaen"/>
          <w:sz w:val="24"/>
          <w:szCs w:val="24"/>
        </w:rPr>
        <w:t xml:space="preserve"> by public figures.</w:t>
      </w:r>
      <w:r w:rsidR="00A253A7">
        <w:rPr>
          <w:rFonts w:ascii="Sylfaen" w:hAnsi="Sylfaen"/>
          <w:sz w:val="24"/>
          <w:szCs w:val="24"/>
        </w:rPr>
        <w:t xml:space="preserve"> </w:t>
      </w:r>
      <w:r w:rsidR="004140A4">
        <w:rPr>
          <w:rFonts w:ascii="Sylfaen" w:hAnsi="Sylfaen"/>
          <w:sz w:val="24"/>
          <w:szCs w:val="24"/>
        </w:rPr>
        <w:t xml:space="preserve">To name an example, </w:t>
      </w:r>
      <w:r w:rsidR="004140A4" w:rsidRPr="004140A4">
        <w:rPr>
          <w:rFonts w:ascii="Sylfaen" w:hAnsi="Sylfaen"/>
          <w:sz w:val="24"/>
          <w:szCs w:val="24"/>
        </w:rPr>
        <w:t xml:space="preserve">MP </w:t>
      </w:r>
      <w:r w:rsidR="004140A4">
        <w:rPr>
          <w:rFonts w:ascii="Sylfaen" w:hAnsi="Sylfaen"/>
          <w:sz w:val="24"/>
          <w:szCs w:val="24"/>
        </w:rPr>
        <w:t xml:space="preserve">and member of the ruling party </w:t>
      </w:r>
      <w:r w:rsidR="004140A4" w:rsidRPr="004140A4">
        <w:rPr>
          <w:rFonts w:ascii="Sylfaen" w:hAnsi="Sylfaen"/>
          <w:sz w:val="24"/>
          <w:szCs w:val="24"/>
        </w:rPr>
        <w:t>Nino Tsilosani referred to the Christian and Muslim communities as Georgians and Muslims during the events related to the</w:t>
      </w:r>
      <w:r w:rsidR="000466D7">
        <w:rPr>
          <w:rFonts w:ascii="Sylfaen" w:hAnsi="Sylfaen"/>
          <w:sz w:val="24"/>
          <w:szCs w:val="24"/>
        </w:rPr>
        <w:t xml:space="preserve"> conflict around</w:t>
      </w:r>
      <w:r w:rsidR="004140A4" w:rsidRPr="004140A4">
        <w:rPr>
          <w:rFonts w:ascii="Sylfaen" w:hAnsi="Sylfaen"/>
          <w:sz w:val="24"/>
          <w:szCs w:val="24"/>
        </w:rPr>
        <w:t xml:space="preserve"> construction of a mosque in the village of Buknari.</w:t>
      </w:r>
      <w:r w:rsidR="00DF772A">
        <w:rPr>
          <w:rStyle w:val="FootnoteReference"/>
          <w:rFonts w:ascii="Sylfaen" w:hAnsi="Sylfaen"/>
          <w:sz w:val="24"/>
          <w:szCs w:val="24"/>
        </w:rPr>
        <w:footnoteReference w:id="19"/>
      </w:r>
      <w:r w:rsidR="00C64D4D">
        <w:rPr>
          <w:rFonts w:ascii="Sylfaen" w:hAnsi="Sylfaen"/>
          <w:sz w:val="24"/>
          <w:szCs w:val="24"/>
        </w:rPr>
        <w:t xml:space="preserve"> Moreover, </w:t>
      </w:r>
      <w:r w:rsidR="00C64D4D" w:rsidRPr="00C64D4D">
        <w:rPr>
          <w:rFonts w:ascii="Sylfaen" w:hAnsi="Sylfaen"/>
          <w:sz w:val="24"/>
          <w:szCs w:val="24"/>
        </w:rPr>
        <w:t xml:space="preserve">Zaza Abashidze, Director of the National Center of Manuscripts, responded to the lockdown imposed on Marneuli-Bolnisi, districts populated by Azerbaijani-speaking people, during the first wave of the novel coronavirus, by posting a statement on Facebook, saying that “They should be locked up in the village and die out к </w:t>
      </w:r>
      <w:proofErr w:type="spellStart"/>
      <w:r w:rsidR="00C64D4D" w:rsidRPr="00C64D4D">
        <w:rPr>
          <w:rFonts w:ascii="Sylfaen" w:hAnsi="Sylfaen"/>
          <w:sz w:val="24"/>
          <w:szCs w:val="24"/>
        </w:rPr>
        <w:t>ебённой</w:t>
      </w:r>
      <w:proofErr w:type="spellEnd"/>
      <w:r w:rsidR="00C64D4D" w:rsidRPr="00C64D4D">
        <w:rPr>
          <w:rFonts w:ascii="Sylfaen" w:hAnsi="Sylfaen"/>
          <w:sz w:val="24"/>
          <w:szCs w:val="24"/>
        </w:rPr>
        <w:t xml:space="preserve"> </w:t>
      </w:r>
      <w:proofErr w:type="spellStart"/>
      <w:r w:rsidR="00C64D4D" w:rsidRPr="00C64D4D">
        <w:rPr>
          <w:rFonts w:ascii="Sylfaen" w:hAnsi="Sylfaen"/>
          <w:sz w:val="24"/>
          <w:szCs w:val="24"/>
        </w:rPr>
        <w:t>матери</w:t>
      </w:r>
      <w:proofErr w:type="spellEnd"/>
      <w:r w:rsidR="00C64D4D" w:rsidRPr="00C64D4D">
        <w:rPr>
          <w:rFonts w:ascii="Sylfaen" w:hAnsi="Sylfaen"/>
          <w:sz w:val="24"/>
          <w:szCs w:val="24"/>
        </w:rPr>
        <w:t>!"</w:t>
      </w:r>
      <w:r w:rsidR="00C64D4D">
        <w:rPr>
          <w:rFonts w:ascii="Sylfaen" w:hAnsi="Sylfaen"/>
          <w:sz w:val="24"/>
          <w:szCs w:val="24"/>
        </w:rPr>
        <w:t>.</w:t>
      </w:r>
      <w:r w:rsidR="00C64D4D">
        <w:rPr>
          <w:rStyle w:val="FootnoteReference"/>
          <w:rFonts w:ascii="Sylfaen" w:hAnsi="Sylfaen"/>
          <w:sz w:val="24"/>
          <w:szCs w:val="24"/>
        </w:rPr>
        <w:footnoteReference w:id="20"/>
      </w:r>
      <w:r w:rsidR="005406A1">
        <w:rPr>
          <w:rFonts w:ascii="Sylfaen" w:hAnsi="Sylfaen"/>
          <w:sz w:val="24"/>
          <w:szCs w:val="24"/>
        </w:rPr>
        <w:t xml:space="preserve"> </w:t>
      </w:r>
      <w:r w:rsidR="005406A1" w:rsidRPr="005406A1">
        <w:rPr>
          <w:rFonts w:ascii="Sylfaen" w:hAnsi="Sylfaen"/>
          <w:sz w:val="24"/>
          <w:szCs w:val="24"/>
        </w:rPr>
        <w:t>When speaking of the conflict between ethnic Georgians and Azerbaijanis on</w:t>
      </w:r>
      <w:r w:rsidR="005406A1">
        <w:rPr>
          <w:rFonts w:ascii="Sylfaen" w:hAnsi="Sylfaen"/>
          <w:sz w:val="24"/>
          <w:szCs w:val="24"/>
        </w:rPr>
        <w:t xml:space="preserve"> </w:t>
      </w:r>
      <w:r w:rsidR="005406A1" w:rsidRPr="005406A1">
        <w:rPr>
          <w:rFonts w:ascii="Sylfaen" w:hAnsi="Sylfaen"/>
          <w:sz w:val="24"/>
          <w:szCs w:val="24"/>
        </w:rPr>
        <w:t>May 16 and 17 2021 in Dmanisi,</w:t>
      </w:r>
      <w:r w:rsidR="005406A1">
        <w:rPr>
          <w:rFonts w:ascii="Sylfaen" w:hAnsi="Sylfaen"/>
          <w:sz w:val="24"/>
          <w:szCs w:val="24"/>
        </w:rPr>
        <w:t xml:space="preserve"> </w:t>
      </w:r>
      <w:r w:rsidR="005406A1" w:rsidRPr="005406A1">
        <w:rPr>
          <w:rFonts w:ascii="Sylfaen" w:hAnsi="Sylfaen"/>
          <w:sz w:val="24"/>
          <w:szCs w:val="24"/>
        </w:rPr>
        <w:t xml:space="preserve">MP </w:t>
      </w:r>
      <w:r w:rsidR="005406A1">
        <w:rPr>
          <w:rFonts w:ascii="Sylfaen" w:hAnsi="Sylfaen"/>
          <w:sz w:val="24"/>
          <w:szCs w:val="24"/>
        </w:rPr>
        <w:t xml:space="preserve">and </w:t>
      </w:r>
      <w:r w:rsidR="00B453B0">
        <w:rPr>
          <w:rFonts w:ascii="Sylfaen" w:hAnsi="Sylfaen"/>
          <w:sz w:val="24"/>
          <w:szCs w:val="24"/>
        </w:rPr>
        <w:t>the chairperson of the Parliament’s Culture Committee,</w:t>
      </w:r>
      <w:r w:rsidR="005406A1">
        <w:rPr>
          <w:rFonts w:ascii="Sylfaen" w:hAnsi="Sylfaen"/>
          <w:sz w:val="24"/>
          <w:szCs w:val="24"/>
        </w:rPr>
        <w:t xml:space="preserve"> </w:t>
      </w:r>
      <w:r w:rsidR="005406A1" w:rsidRPr="005406A1">
        <w:rPr>
          <w:rFonts w:ascii="Sylfaen" w:hAnsi="Sylfaen"/>
          <w:sz w:val="24"/>
          <w:szCs w:val="24"/>
        </w:rPr>
        <w:t>Eliso Bolkvadze</w:t>
      </w:r>
      <w:r w:rsidR="00B453B0">
        <w:rPr>
          <w:rFonts w:ascii="Sylfaen" w:hAnsi="Sylfaen"/>
          <w:sz w:val="24"/>
          <w:szCs w:val="24"/>
        </w:rPr>
        <w:t xml:space="preserve"> </w:t>
      </w:r>
      <w:r w:rsidR="005406A1" w:rsidRPr="005406A1">
        <w:rPr>
          <w:rFonts w:ascii="Sylfaen" w:hAnsi="Sylfaen"/>
          <w:sz w:val="24"/>
          <w:szCs w:val="24"/>
        </w:rPr>
        <w:t>said</w:t>
      </w:r>
      <w:r w:rsidR="00B453B0">
        <w:rPr>
          <w:rFonts w:ascii="Sylfaen" w:hAnsi="Sylfaen"/>
          <w:sz w:val="24"/>
          <w:szCs w:val="24"/>
        </w:rPr>
        <w:t xml:space="preserve"> </w:t>
      </w:r>
      <w:r w:rsidR="005406A1" w:rsidRPr="005406A1">
        <w:rPr>
          <w:rFonts w:ascii="Sylfaen" w:hAnsi="Sylfaen"/>
          <w:sz w:val="24"/>
          <w:szCs w:val="24"/>
        </w:rPr>
        <w:t>that she was sure that the issue would be resolved in a “friendly atmosphere between the two countries”</w:t>
      </w:r>
      <w:r w:rsidR="00B453B0">
        <w:rPr>
          <w:rFonts w:ascii="Sylfaen" w:hAnsi="Sylfaen"/>
          <w:sz w:val="24"/>
          <w:szCs w:val="24"/>
        </w:rPr>
        <w:t>.</w:t>
      </w:r>
      <w:r w:rsidR="00B453B0">
        <w:rPr>
          <w:rStyle w:val="FootnoteReference"/>
          <w:rFonts w:ascii="Sylfaen" w:hAnsi="Sylfaen"/>
          <w:sz w:val="24"/>
          <w:szCs w:val="24"/>
        </w:rPr>
        <w:footnoteReference w:id="21"/>
      </w:r>
      <w:r w:rsidR="001F698F">
        <w:rPr>
          <w:rFonts w:ascii="Sylfaen" w:hAnsi="Sylfaen"/>
          <w:sz w:val="24"/>
          <w:szCs w:val="24"/>
        </w:rPr>
        <w:t xml:space="preserve"> Such statements </w:t>
      </w:r>
      <w:r w:rsidR="00617F52">
        <w:rPr>
          <w:rFonts w:ascii="Sylfaen" w:hAnsi="Sylfaen"/>
          <w:sz w:val="24"/>
          <w:szCs w:val="24"/>
        </w:rPr>
        <w:t xml:space="preserve">may have the effect of encouraging discrimination and division of the society instead of promoting equality and tolerance. </w:t>
      </w:r>
    </w:p>
    <w:p w14:paraId="2545F383" w14:textId="33B15C76" w:rsidR="00C73453" w:rsidRPr="006A1D84" w:rsidRDefault="00C73453" w:rsidP="00C73453">
      <w:pPr>
        <w:jc w:val="both"/>
        <w:rPr>
          <w:rFonts w:ascii="Sylfaen" w:hAnsi="Sylfaen"/>
          <w:b/>
          <w:bCs/>
          <w:sz w:val="24"/>
          <w:szCs w:val="24"/>
        </w:rPr>
      </w:pPr>
      <w:r w:rsidRPr="006A1D84">
        <w:rPr>
          <w:rFonts w:ascii="Sylfaen" w:hAnsi="Sylfaen"/>
          <w:b/>
          <w:bCs/>
          <w:sz w:val="24"/>
          <w:szCs w:val="24"/>
        </w:rPr>
        <w:t>Raising public awareness</w:t>
      </w:r>
    </w:p>
    <w:p w14:paraId="1701E6AD" w14:textId="0632548B" w:rsidR="00C73453" w:rsidRPr="00C73453" w:rsidRDefault="0049662B" w:rsidP="0028387D">
      <w:pPr>
        <w:jc w:val="both"/>
        <w:rPr>
          <w:rFonts w:ascii="Sylfaen" w:hAnsi="Sylfaen"/>
          <w:sz w:val="24"/>
          <w:szCs w:val="24"/>
          <w:lang w:val="ka-GE"/>
        </w:rPr>
      </w:pPr>
      <w:r>
        <w:rPr>
          <w:rFonts w:ascii="Sylfaen" w:hAnsi="Sylfaen"/>
          <w:sz w:val="24"/>
          <w:szCs w:val="24"/>
        </w:rPr>
        <w:t>7</w:t>
      </w:r>
      <w:r w:rsidR="00C73453">
        <w:rPr>
          <w:rFonts w:ascii="Sylfaen" w:hAnsi="Sylfaen"/>
          <w:sz w:val="24"/>
          <w:szCs w:val="24"/>
        </w:rPr>
        <w:t xml:space="preserve">. The State Report describes various measures and events conducted to raise awareness </w:t>
      </w:r>
      <w:r w:rsidR="00C73453" w:rsidRPr="00F27610">
        <w:rPr>
          <w:rFonts w:ascii="Sylfaen" w:hAnsi="Sylfaen"/>
          <w:sz w:val="24"/>
          <w:szCs w:val="24"/>
        </w:rPr>
        <w:t>on anti-discrimination legislation and discrimination-related issues among different target groups</w:t>
      </w:r>
      <w:r w:rsidR="00C73453">
        <w:rPr>
          <w:rFonts w:ascii="Sylfaen" w:hAnsi="Sylfaen"/>
          <w:sz w:val="24"/>
          <w:szCs w:val="24"/>
        </w:rPr>
        <w:t xml:space="preserve"> in the society.</w:t>
      </w:r>
      <w:r w:rsidR="00C73453">
        <w:rPr>
          <w:rStyle w:val="FootnoteReference"/>
          <w:rFonts w:ascii="Sylfaen" w:hAnsi="Sylfaen"/>
          <w:sz w:val="24"/>
          <w:szCs w:val="24"/>
        </w:rPr>
        <w:footnoteReference w:id="22"/>
      </w:r>
      <w:r w:rsidR="00C73453">
        <w:rPr>
          <w:rFonts w:ascii="Sylfaen" w:hAnsi="Sylfaen"/>
          <w:sz w:val="24"/>
          <w:szCs w:val="24"/>
        </w:rPr>
        <w:t xml:space="preserve"> While the PDO appreciates these efforts, the knowledge of the general public on matters concerning equality and discrimination remains weak. In this connection, the PDO would like to refer to the report on changes in </w:t>
      </w:r>
      <w:r w:rsidR="00C73453" w:rsidRPr="006529A8">
        <w:rPr>
          <w:rFonts w:ascii="Sylfaen" w:hAnsi="Sylfaen"/>
          <w:sz w:val="24"/>
          <w:szCs w:val="24"/>
        </w:rPr>
        <w:t xml:space="preserve">the public’s attitudes towards hate speech, hate </w:t>
      </w:r>
      <w:r w:rsidR="00C73453" w:rsidRPr="006529A8">
        <w:rPr>
          <w:rFonts w:ascii="Sylfaen" w:hAnsi="Sylfaen"/>
          <w:sz w:val="24"/>
          <w:szCs w:val="24"/>
        </w:rPr>
        <w:lastRenderedPageBreak/>
        <w:t>crime, and discrimination</w:t>
      </w:r>
      <w:r w:rsidR="00C73453">
        <w:rPr>
          <w:rFonts w:ascii="Sylfaen" w:hAnsi="Sylfaen"/>
          <w:sz w:val="24"/>
          <w:szCs w:val="24"/>
        </w:rPr>
        <w:t xml:space="preserve"> between 2018 and 2021 in Georgia conducted for the Council of Europe project </w:t>
      </w:r>
      <w:r w:rsidR="00C73453" w:rsidRPr="00FC0DC7">
        <w:rPr>
          <w:rFonts w:ascii="Sylfaen" w:hAnsi="Sylfaen"/>
          <w:sz w:val="24"/>
          <w:szCs w:val="24"/>
        </w:rPr>
        <w:t>“Fight against Discrimination,</w:t>
      </w:r>
      <w:r w:rsidR="00C73453">
        <w:rPr>
          <w:rFonts w:ascii="Sylfaen" w:hAnsi="Sylfaen"/>
          <w:sz w:val="24"/>
          <w:szCs w:val="24"/>
        </w:rPr>
        <w:t xml:space="preserve"> </w:t>
      </w:r>
      <w:r w:rsidR="00C73453" w:rsidRPr="00FC0DC7">
        <w:rPr>
          <w:rFonts w:ascii="Sylfaen" w:hAnsi="Sylfaen"/>
          <w:sz w:val="24"/>
          <w:szCs w:val="24"/>
        </w:rPr>
        <w:t xml:space="preserve">Hate Crimes and Hate Speech in </w:t>
      </w:r>
      <w:proofErr w:type="gramStart"/>
      <w:r w:rsidR="00C73453" w:rsidRPr="00FC0DC7">
        <w:rPr>
          <w:rFonts w:ascii="Sylfaen" w:hAnsi="Sylfaen"/>
          <w:sz w:val="24"/>
          <w:szCs w:val="24"/>
        </w:rPr>
        <w:t>Georgia“</w:t>
      </w:r>
      <w:proofErr w:type="gramEnd"/>
      <w:r w:rsidR="00C73453">
        <w:rPr>
          <w:rFonts w:ascii="Sylfaen" w:hAnsi="Sylfaen"/>
          <w:sz w:val="24"/>
          <w:szCs w:val="24"/>
        </w:rPr>
        <w:t>.</w:t>
      </w:r>
      <w:r w:rsidR="00C73453">
        <w:rPr>
          <w:rStyle w:val="FootnoteReference"/>
          <w:rFonts w:ascii="Sylfaen" w:hAnsi="Sylfaen"/>
          <w:sz w:val="24"/>
          <w:szCs w:val="24"/>
        </w:rPr>
        <w:footnoteReference w:id="23"/>
      </w:r>
      <w:r w:rsidR="00C73453">
        <w:rPr>
          <w:rFonts w:ascii="Sylfaen" w:hAnsi="Sylfaen"/>
          <w:sz w:val="24"/>
          <w:szCs w:val="24"/>
        </w:rPr>
        <w:t xml:space="preserve"> The report states that “</w:t>
      </w:r>
      <w:r w:rsidR="00C73453" w:rsidRPr="009148A1">
        <w:rPr>
          <w:rFonts w:ascii="Sylfaen" w:hAnsi="Sylfaen"/>
          <w:sz w:val="24"/>
          <w:szCs w:val="24"/>
        </w:rPr>
        <w:t>there</w:t>
      </w:r>
      <w:r w:rsidR="00C73453">
        <w:rPr>
          <w:rFonts w:ascii="Sylfaen" w:hAnsi="Sylfaen"/>
          <w:sz w:val="24"/>
          <w:szCs w:val="24"/>
        </w:rPr>
        <w:t xml:space="preserve"> </w:t>
      </w:r>
      <w:r w:rsidR="00C73453" w:rsidRPr="009148A1">
        <w:rPr>
          <w:rFonts w:ascii="Sylfaen" w:hAnsi="Sylfaen"/>
          <w:sz w:val="24"/>
          <w:szCs w:val="24"/>
        </w:rPr>
        <w:t>has been little if any change in terms of awareness of Georgian legislation against</w:t>
      </w:r>
      <w:r w:rsidR="00C73453">
        <w:rPr>
          <w:rFonts w:ascii="Sylfaen" w:hAnsi="Sylfaen"/>
          <w:sz w:val="24"/>
          <w:szCs w:val="24"/>
        </w:rPr>
        <w:t xml:space="preserve"> </w:t>
      </w:r>
      <w:r w:rsidR="00C73453" w:rsidRPr="009148A1">
        <w:rPr>
          <w:rFonts w:ascii="Sylfaen" w:hAnsi="Sylfaen"/>
          <w:sz w:val="24"/>
          <w:szCs w:val="24"/>
        </w:rPr>
        <w:t>discrimination, hate crime, and hate speech. Knowledge of and appreciation of existing</w:t>
      </w:r>
      <w:r w:rsidR="00C73453">
        <w:rPr>
          <w:rFonts w:ascii="Sylfaen" w:hAnsi="Sylfaen"/>
          <w:sz w:val="24"/>
          <w:szCs w:val="24"/>
        </w:rPr>
        <w:t xml:space="preserve"> </w:t>
      </w:r>
      <w:r w:rsidR="00C73453" w:rsidRPr="009148A1">
        <w:rPr>
          <w:rFonts w:ascii="Sylfaen" w:hAnsi="Sylfaen"/>
          <w:sz w:val="24"/>
          <w:szCs w:val="24"/>
        </w:rPr>
        <w:t>redress mechanisms and their effectiveness also remain stagnan</w:t>
      </w:r>
      <w:r w:rsidR="00C73453">
        <w:rPr>
          <w:rFonts w:ascii="Sylfaen" w:hAnsi="Sylfaen"/>
          <w:sz w:val="24"/>
          <w:szCs w:val="24"/>
        </w:rPr>
        <w:t>t”.</w:t>
      </w:r>
      <w:r w:rsidR="00C73453">
        <w:rPr>
          <w:rStyle w:val="FootnoteReference"/>
          <w:rFonts w:ascii="Sylfaen" w:hAnsi="Sylfaen"/>
          <w:sz w:val="24"/>
          <w:szCs w:val="24"/>
        </w:rPr>
        <w:footnoteReference w:id="24"/>
      </w:r>
      <w:r w:rsidR="00C73453">
        <w:rPr>
          <w:rFonts w:ascii="Sylfaen" w:hAnsi="Sylfaen"/>
          <w:sz w:val="24"/>
          <w:szCs w:val="24"/>
        </w:rPr>
        <w:t xml:space="preserve"> Thus, the Georgian government has not fully fulfilled the CERD’s recommendation to “a</w:t>
      </w:r>
      <w:r w:rsidR="00C73453" w:rsidRPr="00F751D6">
        <w:rPr>
          <w:rFonts w:ascii="Sylfaen" w:hAnsi="Sylfaen"/>
          <w:sz w:val="24"/>
          <w:szCs w:val="24"/>
        </w:rPr>
        <w:t>dopt targeted measures to raise awareness of the standards and norms enshrined in the new anti-discrimination legislation among the public at large, and among communities at particular risk of being discriminated against, such as Roma, non-citizens, and national, ethnic and ethno-religious minorities</w:t>
      </w:r>
      <w:r w:rsidR="00C73453">
        <w:rPr>
          <w:rFonts w:ascii="Sylfaen" w:hAnsi="Sylfaen"/>
          <w:sz w:val="24"/>
          <w:szCs w:val="24"/>
        </w:rPr>
        <w:t>”.</w:t>
      </w:r>
      <w:r w:rsidR="00C73453">
        <w:rPr>
          <w:rStyle w:val="FootnoteReference"/>
          <w:rFonts w:ascii="Sylfaen" w:hAnsi="Sylfaen"/>
          <w:sz w:val="24"/>
          <w:szCs w:val="24"/>
        </w:rPr>
        <w:footnoteReference w:id="25"/>
      </w:r>
    </w:p>
    <w:p w14:paraId="7124230A" w14:textId="282204D8" w:rsidR="0028387D" w:rsidRDefault="0049662B" w:rsidP="0028387D">
      <w:pPr>
        <w:jc w:val="both"/>
        <w:rPr>
          <w:rFonts w:ascii="Sylfaen" w:hAnsi="Sylfaen"/>
          <w:sz w:val="24"/>
          <w:szCs w:val="24"/>
        </w:rPr>
      </w:pPr>
      <w:r>
        <w:rPr>
          <w:rFonts w:ascii="Sylfaen" w:hAnsi="Sylfaen"/>
          <w:sz w:val="24"/>
          <w:szCs w:val="24"/>
        </w:rPr>
        <w:t>8</w:t>
      </w:r>
      <w:r w:rsidR="004E1CF9">
        <w:rPr>
          <w:rFonts w:ascii="Sylfaen" w:hAnsi="Sylfaen"/>
          <w:sz w:val="24"/>
          <w:szCs w:val="24"/>
        </w:rPr>
        <w:t xml:space="preserve">. </w:t>
      </w:r>
      <w:r w:rsidR="0066039B">
        <w:rPr>
          <w:rFonts w:ascii="Sylfaen" w:hAnsi="Sylfaen"/>
          <w:sz w:val="24"/>
          <w:szCs w:val="24"/>
        </w:rPr>
        <w:t xml:space="preserve">In the context </w:t>
      </w:r>
      <w:r w:rsidR="00066B0C">
        <w:rPr>
          <w:rFonts w:ascii="Sylfaen" w:hAnsi="Sylfaen"/>
          <w:sz w:val="24"/>
          <w:szCs w:val="24"/>
        </w:rPr>
        <w:t xml:space="preserve">of raising public awareness, the State Report </w:t>
      </w:r>
      <w:r w:rsidR="00AB402A">
        <w:rPr>
          <w:rFonts w:ascii="Sylfaen" w:hAnsi="Sylfaen"/>
          <w:sz w:val="24"/>
          <w:szCs w:val="24"/>
        </w:rPr>
        <w:t>states that</w:t>
      </w:r>
      <w:r w:rsidR="00AB402A" w:rsidRPr="00AB402A">
        <w:rPr>
          <w:rFonts w:ascii="Sylfaen" w:hAnsi="Sylfaen"/>
          <w:sz w:val="24"/>
          <w:szCs w:val="24"/>
        </w:rPr>
        <w:t xml:space="preserve"> the State Agency for Religious Issues permanently conducts</w:t>
      </w:r>
      <w:r w:rsidR="00AB402A">
        <w:rPr>
          <w:rFonts w:ascii="Sylfaen" w:hAnsi="Sylfaen"/>
          <w:sz w:val="24"/>
          <w:szCs w:val="24"/>
        </w:rPr>
        <w:t xml:space="preserve"> </w:t>
      </w:r>
      <w:r w:rsidR="001E6EE1">
        <w:rPr>
          <w:rFonts w:ascii="Sylfaen" w:hAnsi="Sylfaen"/>
          <w:sz w:val="24"/>
          <w:szCs w:val="24"/>
        </w:rPr>
        <w:t xml:space="preserve">trainings </w:t>
      </w:r>
      <w:r w:rsidR="00AB402A">
        <w:rPr>
          <w:rFonts w:ascii="Sylfaen" w:hAnsi="Sylfaen"/>
          <w:sz w:val="24"/>
          <w:szCs w:val="24"/>
        </w:rPr>
        <w:t xml:space="preserve">to strengthen inclusivity and </w:t>
      </w:r>
      <w:r w:rsidR="00D13735" w:rsidRPr="00D13735">
        <w:rPr>
          <w:rFonts w:ascii="Sylfaen" w:hAnsi="Sylfaen"/>
          <w:sz w:val="24"/>
          <w:szCs w:val="24"/>
        </w:rPr>
        <w:t>cooperates intensively with all religious organizations existing in Georgia and promotes dialogue with them</w:t>
      </w:r>
      <w:r w:rsidR="00D13735">
        <w:rPr>
          <w:rFonts w:ascii="Sylfaen" w:hAnsi="Sylfaen"/>
          <w:sz w:val="24"/>
          <w:szCs w:val="24"/>
        </w:rPr>
        <w:t>.</w:t>
      </w:r>
      <w:r w:rsidR="00D13735">
        <w:rPr>
          <w:rStyle w:val="FootnoteReference"/>
          <w:rFonts w:ascii="Sylfaen" w:hAnsi="Sylfaen"/>
          <w:sz w:val="24"/>
          <w:szCs w:val="24"/>
        </w:rPr>
        <w:footnoteReference w:id="26"/>
      </w:r>
      <w:r w:rsidR="00987633">
        <w:rPr>
          <w:rFonts w:ascii="Sylfaen" w:hAnsi="Sylfaen"/>
          <w:sz w:val="24"/>
          <w:szCs w:val="24"/>
        </w:rPr>
        <w:t xml:space="preserve"> Officially, t</w:t>
      </w:r>
      <w:r w:rsidR="00987633" w:rsidRPr="00987633">
        <w:rPr>
          <w:rFonts w:ascii="Sylfaen" w:hAnsi="Sylfaen"/>
          <w:sz w:val="24"/>
          <w:szCs w:val="24"/>
        </w:rPr>
        <w:t>he Agency is a legal entity under public law, which carries out informational, research, scientific-educational and recommendation activities in the field of religion for the Government of Georgia and the Prime Minister of Georgia.</w:t>
      </w:r>
      <w:r w:rsidR="00987633">
        <w:rPr>
          <w:rStyle w:val="FootnoteReference"/>
          <w:rFonts w:ascii="Sylfaen" w:hAnsi="Sylfaen"/>
          <w:sz w:val="24"/>
          <w:szCs w:val="24"/>
        </w:rPr>
        <w:footnoteReference w:id="27"/>
      </w:r>
      <w:r w:rsidR="00987633">
        <w:rPr>
          <w:rFonts w:ascii="Sylfaen" w:hAnsi="Sylfaen"/>
          <w:sz w:val="24"/>
          <w:szCs w:val="24"/>
        </w:rPr>
        <w:t xml:space="preserve"> However, </w:t>
      </w:r>
      <w:r w:rsidR="00C56397">
        <w:rPr>
          <w:rFonts w:ascii="Sylfaen" w:hAnsi="Sylfaen"/>
          <w:sz w:val="24"/>
          <w:szCs w:val="24"/>
        </w:rPr>
        <w:t>t</w:t>
      </w:r>
      <w:r w:rsidR="00C56397" w:rsidRPr="00C56397">
        <w:rPr>
          <w:rFonts w:ascii="Sylfaen" w:hAnsi="Sylfaen"/>
          <w:sz w:val="24"/>
          <w:szCs w:val="24"/>
        </w:rPr>
        <w:t>he role of the State Agency for Religious Issues in protecting religious freedom is still unclear</w:t>
      </w:r>
      <w:r w:rsidR="00C56397">
        <w:rPr>
          <w:rFonts w:ascii="Sylfaen" w:hAnsi="Sylfaen"/>
          <w:sz w:val="24"/>
          <w:szCs w:val="24"/>
        </w:rPr>
        <w:t>.</w:t>
      </w:r>
      <w:r w:rsidR="00C56397">
        <w:rPr>
          <w:rStyle w:val="FootnoteReference"/>
          <w:rFonts w:ascii="Sylfaen" w:hAnsi="Sylfaen"/>
          <w:sz w:val="24"/>
          <w:szCs w:val="24"/>
        </w:rPr>
        <w:footnoteReference w:id="28"/>
      </w:r>
      <w:r w:rsidR="009E259D">
        <w:rPr>
          <w:rFonts w:ascii="Sylfaen" w:hAnsi="Sylfaen"/>
          <w:sz w:val="24"/>
          <w:szCs w:val="24"/>
        </w:rPr>
        <w:t xml:space="preserve"> The </w:t>
      </w:r>
      <w:r w:rsidR="009E259D" w:rsidRPr="009E259D">
        <w:rPr>
          <w:rFonts w:ascii="Sylfaen" w:hAnsi="Sylfaen"/>
          <w:sz w:val="24"/>
          <w:szCs w:val="24"/>
        </w:rPr>
        <w:t>establish</w:t>
      </w:r>
      <w:r w:rsidR="009E259D">
        <w:rPr>
          <w:rFonts w:ascii="Sylfaen" w:hAnsi="Sylfaen"/>
          <w:sz w:val="24"/>
          <w:szCs w:val="24"/>
        </w:rPr>
        <w:t xml:space="preserve">ment </w:t>
      </w:r>
      <w:r w:rsidR="009E259D" w:rsidRPr="009E259D">
        <w:rPr>
          <w:rFonts w:ascii="Sylfaen" w:hAnsi="Sylfaen"/>
          <w:sz w:val="24"/>
          <w:szCs w:val="24"/>
        </w:rPr>
        <w:t xml:space="preserve">of the Agency </w:t>
      </w:r>
      <w:r w:rsidR="009D556E">
        <w:rPr>
          <w:rFonts w:ascii="Sylfaen" w:hAnsi="Sylfaen"/>
          <w:sz w:val="24"/>
          <w:szCs w:val="24"/>
        </w:rPr>
        <w:t>attracted</w:t>
      </w:r>
      <w:r w:rsidR="009E259D" w:rsidRPr="009E259D">
        <w:rPr>
          <w:rFonts w:ascii="Sylfaen" w:hAnsi="Sylfaen"/>
          <w:sz w:val="24"/>
          <w:szCs w:val="24"/>
        </w:rPr>
        <w:t xml:space="preserve"> criticism </w:t>
      </w:r>
      <w:r w:rsidR="002A1589">
        <w:rPr>
          <w:rFonts w:ascii="Sylfaen" w:hAnsi="Sylfaen"/>
          <w:sz w:val="24"/>
          <w:szCs w:val="24"/>
        </w:rPr>
        <w:t>by</w:t>
      </w:r>
      <w:r w:rsidR="009E259D" w:rsidRPr="009E259D">
        <w:rPr>
          <w:rFonts w:ascii="Sylfaen" w:hAnsi="Sylfaen"/>
          <w:sz w:val="24"/>
          <w:szCs w:val="24"/>
        </w:rPr>
        <w:t xml:space="preserve"> a significant number of human rights organizations and religious associations.</w:t>
      </w:r>
      <w:r w:rsidR="00164231">
        <w:rPr>
          <w:rStyle w:val="FootnoteReference"/>
          <w:rFonts w:ascii="Sylfaen" w:hAnsi="Sylfaen"/>
          <w:sz w:val="24"/>
          <w:szCs w:val="24"/>
        </w:rPr>
        <w:footnoteReference w:id="29"/>
      </w:r>
      <w:r w:rsidR="001F0DB6">
        <w:rPr>
          <w:rFonts w:ascii="Sylfaen" w:hAnsi="Sylfaen"/>
          <w:sz w:val="24"/>
          <w:szCs w:val="24"/>
        </w:rPr>
        <w:t xml:space="preserve"> </w:t>
      </w:r>
      <w:r w:rsidR="00BE581D">
        <w:rPr>
          <w:rFonts w:ascii="Sylfaen" w:hAnsi="Sylfaen"/>
          <w:sz w:val="24"/>
          <w:szCs w:val="24"/>
        </w:rPr>
        <w:t>S</w:t>
      </w:r>
      <w:r w:rsidR="001F0DB6">
        <w:rPr>
          <w:rFonts w:ascii="Sylfaen" w:hAnsi="Sylfaen"/>
          <w:sz w:val="24"/>
          <w:szCs w:val="24"/>
        </w:rPr>
        <w:t xml:space="preserve">ome NGOs working on religious matters have even demanded </w:t>
      </w:r>
      <w:r w:rsidR="002D60F9">
        <w:rPr>
          <w:rFonts w:ascii="Sylfaen" w:hAnsi="Sylfaen"/>
          <w:sz w:val="24"/>
          <w:szCs w:val="24"/>
        </w:rPr>
        <w:t xml:space="preserve">its abolition </w:t>
      </w:r>
      <w:r w:rsidR="001F0DB6">
        <w:rPr>
          <w:rFonts w:ascii="Sylfaen" w:hAnsi="Sylfaen"/>
          <w:sz w:val="24"/>
          <w:szCs w:val="24"/>
        </w:rPr>
        <w:t>in light of its problematic mandate</w:t>
      </w:r>
      <w:r w:rsidR="007A44E8">
        <w:rPr>
          <w:rFonts w:ascii="Sylfaen" w:hAnsi="Sylfaen"/>
          <w:sz w:val="24"/>
          <w:szCs w:val="24"/>
        </w:rPr>
        <w:t xml:space="preserve"> and a considerable number of religious associations do not trust th</w:t>
      </w:r>
      <w:r w:rsidR="002D60F9">
        <w:rPr>
          <w:rFonts w:ascii="Sylfaen" w:hAnsi="Sylfaen"/>
          <w:sz w:val="24"/>
          <w:szCs w:val="24"/>
        </w:rPr>
        <w:t>e Agency.</w:t>
      </w:r>
      <w:r w:rsidR="00EF6EF8">
        <w:rPr>
          <w:rStyle w:val="FootnoteReference"/>
          <w:rFonts w:ascii="Sylfaen" w:hAnsi="Sylfaen"/>
          <w:sz w:val="24"/>
          <w:szCs w:val="24"/>
        </w:rPr>
        <w:footnoteReference w:id="30"/>
      </w:r>
      <w:r w:rsidR="0028387D">
        <w:rPr>
          <w:rFonts w:ascii="Sylfaen" w:hAnsi="Sylfaen"/>
          <w:sz w:val="24"/>
          <w:szCs w:val="24"/>
        </w:rPr>
        <w:t xml:space="preserve"> The PDO and NGOs working on religious issues consider the Agency to be </w:t>
      </w:r>
      <w:r w:rsidR="0028387D" w:rsidRPr="0028387D">
        <w:rPr>
          <w:rFonts w:ascii="Sylfaen" w:hAnsi="Sylfaen"/>
          <w:sz w:val="24"/>
          <w:szCs w:val="24"/>
        </w:rPr>
        <w:t>a source of increased threat</w:t>
      </w:r>
      <w:r w:rsidR="0028387D">
        <w:rPr>
          <w:rFonts w:ascii="Sylfaen" w:hAnsi="Sylfaen"/>
          <w:sz w:val="24"/>
          <w:szCs w:val="24"/>
        </w:rPr>
        <w:t xml:space="preserve"> </w:t>
      </w:r>
      <w:r w:rsidR="0028387D" w:rsidRPr="0028387D">
        <w:rPr>
          <w:rFonts w:ascii="Sylfaen" w:hAnsi="Sylfaen"/>
          <w:sz w:val="24"/>
          <w:szCs w:val="24"/>
        </w:rPr>
        <w:t xml:space="preserve">of interference </w:t>
      </w:r>
      <w:r w:rsidR="009026F2">
        <w:rPr>
          <w:rFonts w:ascii="Sylfaen" w:hAnsi="Sylfaen"/>
          <w:sz w:val="24"/>
          <w:szCs w:val="24"/>
        </w:rPr>
        <w:t xml:space="preserve">in </w:t>
      </w:r>
      <w:r w:rsidR="0028387D" w:rsidRPr="0028387D">
        <w:rPr>
          <w:rFonts w:ascii="Sylfaen" w:hAnsi="Sylfaen"/>
          <w:sz w:val="24"/>
          <w:szCs w:val="24"/>
        </w:rPr>
        <w:t>and control of the internal affairs of religious associations by the state.</w:t>
      </w:r>
      <w:r w:rsidR="0028387D">
        <w:rPr>
          <w:rStyle w:val="FootnoteReference"/>
          <w:rFonts w:ascii="Sylfaen" w:hAnsi="Sylfaen"/>
          <w:sz w:val="24"/>
          <w:szCs w:val="24"/>
        </w:rPr>
        <w:footnoteReference w:id="31"/>
      </w:r>
      <w:r w:rsidR="00B91B81">
        <w:rPr>
          <w:rFonts w:ascii="Sylfaen" w:hAnsi="Sylfaen"/>
          <w:sz w:val="24"/>
          <w:szCs w:val="24"/>
        </w:rPr>
        <w:t xml:space="preserve"> </w:t>
      </w:r>
      <w:r w:rsidR="00B91B81" w:rsidRPr="00B91B81">
        <w:rPr>
          <w:rFonts w:ascii="Sylfaen" w:hAnsi="Sylfaen"/>
          <w:sz w:val="24"/>
          <w:szCs w:val="24"/>
        </w:rPr>
        <w:t xml:space="preserve">It is </w:t>
      </w:r>
      <w:r w:rsidR="00B91B81">
        <w:rPr>
          <w:rFonts w:ascii="Sylfaen" w:hAnsi="Sylfaen"/>
          <w:sz w:val="24"/>
          <w:szCs w:val="24"/>
        </w:rPr>
        <w:t xml:space="preserve">also </w:t>
      </w:r>
      <w:r w:rsidR="00B91B81" w:rsidRPr="00B91B81">
        <w:rPr>
          <w:rFonts w:ascii="Sylfaen" w:hAnsi="Sylfaen"/>
          <w:sz w:val="24"/>
          <w:szCs w:val="24"/>
        </w:rPr>
        <w:t xml:space="preserve">noteworthy that on March 1, 2016, the European Commission against Racism and Intolerance (ECRI) expressed serious concern on the work of the Agency and called </w:t>
      </w:r>
      <w:r w:rsidR="00657492">
        <w:rPr>
          <w:rFonts w:ascii="Sylfaen" w:hAnsi="Sylfaen"/>
          <w:sz w:val="24"/>
          <w:szCs w:val="24"/>
        </w:rPr>
        <w:t xml:space="preserve">upon </w:t>
      </w:r>
      <w:r w:rsidR="00B91B81" w:rsidRPr="00B91B81">
        <w:rPr>
          <w:rFonts w:ascii="Sylfaen" w:hAnsi="Sylfaen"/>
          <w:sz w:val="24"/>
          <w:szCs w:val="24"/>
        </w:rPr>
        <w:t xml:space="preserve">the government to instruct the Agency to  </w:t>
      </w:r>
      <w:r w:rsidR="00B91B81" w:rsidRPr="00B91B81">
        <w:rPr>
          <w:rFonts w:ascii="Sylfaen" w:hAnsi="Sylfaen"/>
          <w:sz w:val="24"/>
          <w:szCs w:val="24"/>
        </w:rPr>
        <w:lastRenderedPageBreak/>
        <w:t>actively</w:t>
      </w:r>
      <w:r w:rsidR="009F320B">
        <w:rPr>
          <w:rFonts w:ascii="Sylfaen" w:hAnsi="Sylfaen"/>
          <w:sz w:val="24"/>
          <w:szCs w:val="24"/>
        </w:rPr>
        <w:t xml:space="preserve"> cooperate</w:t>
      </w:r>
      <w:r w:rsidR="00B91B81" w:rsidRPr="00B91B81">
        <w:rPr>
          <w:rFonts w:ascii="Sylfaen" w:hAnsi="Sylfaen"/>
          <w:sz w:val="24"/>
          <w:szCs w:val="24"/>
        </w:rPr>
        <w:t xml:space="preserve"> with the Council of </w:t>
      </w:r>
      <w:r w:rsidR="00D67EEA">
        <w:rPr>
          <w:rFonts w:ascii="Sylfaen" w:hAnsi="Sylfaen"/>
          <w:sz w:val="24"/>
          <w:szCs w:val="24"/>
        </w:rPr>
        <w:t>Religions under the Public Defender.</w:t>
      </w:r>
      <w:r w:rsidR="00EE5CC3">
        <w:rPr>
          <w:rStyle w:val="FootnoteReference"/>
          <w:rFonts w:ascii="Sylfaen" w:hAnsi="Sylfaen"/>
          <w:sz w:val="24"/>
          <w:szCs w:val="24"/>
        </w:rPr>
        <w:footnoteReference w:id="32"/>
      </w:r>
      <w:r w:rsidR="00D67EEA">
        <w:rPr>
          <w:rFonts w:ascii="Sylfaen" w:hAnsi="Sylfaen"/>
          <w:sz w:val="24"/>
          <w:szCs w:val="24"/>
        </w:rPr>
        <w:t xml:space="preserve"> </w:t>
      </w:r>
      <w:r w:rsidR="00B91B81" w:rsidRPr="00B91B81">
        <w:rPr>
          <w:rFonts w:ascii="Sylfaen" w:hAnsi="Sylfaen"/>
          <w:sz w:val="24"/>
          <w:szCs w:val="24"/>
        </w:rPr>
        <w:t xml:space="preserve">However, the Commission (ECRI) </w:t>
      </w:r>
      <w:r w:rsidR="00687E95">
        <w:rPr>
          <w:rFonts w:ascii="Sylfaen" w:hAnsi="Sylfaen"/>
          <w:sz w:val="24"/>
          <w:szCs w:val="24"/>
        </w:rPr>
        <w:t xml:space="preserve">later </w:t>
      </w:r>
      <w:r w:rsidR="00B91B81" w:rsidRPr="00B91B81">
        <w:rPr>
          <w:rFonts w:ascii="Sylfaen" w:hAnsi="Sylfaen"/>
          <w:sz w:val="24"/>
          <w:szCs w:val="24"/>
        </w:rPr>
        <w:t>assessed that its recommendation ha</w:t>
      </w:r>
      <w:r w:rsidR="00687E95">
        <w:rPr>
          <w:rFonts w:ascii="Sylfaen" w:hAnsi="Sylfaen"/>
          <w:sz w:val="24"/>
          <w:szCs w:val="24"/>
        </w:rPr>
        <w:t>d</w:t>
      </w:r>
      <w:r w:rsidR="00B91B81" w:rsidRPr="00B91B81">
        <w:rPr>
          <w:rFonts w:ascii="Sylfaen" w:hAnsi="Sylfaen"/>
          <w:sz w:val="24"/>
          <w:szCs w:val="24"/>
        </w:rPr>
        <w:t xml:space="preserve"> not been implemented, as the Agency d</w:t>
      </w:r>
      <w:r w:rsidR="00687E95">
        <w:rPr>
          <w:rFonts w:ascii="Sylfaen" w:hAnsi="Sylfaen"/>
          <w:sz w:val="24"/>
          <w:szCs w:val="24"/>
        </w:rPr>
        <w:t xml:space="preserve">id </w:t>
      </w:r>
      <w:r w:rsidR="00B91B81" w:rsidRPr="00B91B81">
        <w:rPr>
          <w:rFonts w:ascii="Sylfaen" w:hAnsi="Sylfaen"/>
          <w:sz w:val="24"/>
          <w:szCs w:val="24"/>
        </w:rPr>
        <w:t>take appropriate steps to cooperate with the Council of Religions.</w:t>
      </w:r>
      <w:r w:rsidR="00687E95">
        <w:rPr>
          <w:rStyle w:val="FootnoteReference"/>
          <w:rFonts w:ascii="Sylfaen" w:hAnsi="Sylfaen"/>
          <w:sz w:val="24"/>
          <w:szCs w:val="24"/>
        </w:rPr>
        <w:footnoteReference w:id="33"/>
      </w:r>
    </w:p>
    <w:p w14:paraId="095BCAAF" w14:textId="7C09CF41" w:rsidR="001C57C1" w:rsidRPr="006A1D84" w:rsidRDefault="001C57C1" w:rsidP="0028387D">
      <w:pPr>
        <w:jc w:val="both"/>
        <w:rPr>
          <w:rFonts w:ascii="Sylfaen" w:hAnsi="Sylfaen"/>
          <w:b/>
          <w:bCs/>
          <w:sz w:val="24"/>
          <w:szCs w:val="24"/>
        </w:rPr>
      </w:pPr>
      <w:r w:rsidRPr="006A1D84">
        <w:rPr>
          <w:rFonts w:ascii="Sylfaen" w:hAnsi="Sylfaen"/>
          <w:b/>
          <w:bCs/>
          <w:sz w:val="24"/>
          <w:szCs w:val="24"/>
        </w:rPr>
        <w:t>Fight against intolerance and racism in the education sector</w:t>
      </w:r>
      <w:r w:rsidR="00672991" w:rsidRPr="006A1D84">
        <w:rPr>
          <w:rFonts w:ascii="Sylfaen" w:hAnsi="Sylfaen"/>
          <w:b/>
          <w:bCs/>
          <w:sz w:val="24"/>
          <w:szCs w:val="24"/>
        </w:rPr>
        <w:t xml:space="preserve"> and higher education and science</w:t>
      </w:r>
    </w:p>
    <w:p w14:paraId="3F0F4211" w14:textId="61DBB14A" w:rsidR="001C57C1" w:rsidRPr="0066039B" w:rsidRDefault="00672991" w:rsidP="0028387D">
      <w:pPr>
        <w:jc w:val="both"/>
        <w:rPr>
          <w:rFonts w:ascii="Sylfaen" w:hAnsi="Sylfaen"/>
          <w:sz w:val="24"/>
          <w:szCs w:val="24"/>
        </w:rPr>
      </w:pPr>
      <w:r>
        <w:rPr>
          <w:rFonts w:ascii="Sylfaen" w:hAnsi="Sylfaen"/>
          <w:sz w:val="24"/>
          <w:szCs w:val="24"/>
        </w:rPr>
        <w:t>9. The State Report describes measures taken to f</w:t>
      </w:r>
      <w:r w:rsidRPr="0027209C">
        <w:rPr>
          <w:rFonts w:ascii="Sylfaen" w:hAnsi="Sylfaen"/>
          <w:sz w:val="24"/>
          <w:szCs w:val="24"/>
        </w:rPr>
        <w:t>ight against intolerance and racism in the education sector</w:t>
      </w:r>
      <w:r>
        <w:rPr>
          <w:rFonts w:ascii="Sylfaen" w:hAnsi="Sylfaen"/>
          <w:sz w:val="24"/>
          <w:szCs w:val="24"/>
        </w:rPr>
        <w:t xml:space="preserve"> including higher education institutions.</w:t>
      </w:r>
      <w:r>
        <w:rPr>
          <w:rStyle w:val="FootnoteReference"/>
          <w:rFonts w:ascii="Sylfaen" w:hAnsi="Sylfaen"/>
          <w:sz w:val="24"/>
          <w:szCs w:val="24"/>
        </w:rPr>
        <w:footnoteReference w:id="34"/>
      </w:r>
      <w:r>
        <w:rPr>
          <w:rFonts w:ascii="Sylfaen" w:hAnsi="Sylfaen"/>
          <w:sz w:val="24"/>
          <w:szCs w:val="24"/>
        </w:rPr>
        <w:t xml:space="preserve"> </w:t>
      </w:r>
      <w:r w:rsidR="00191421">
        <w:rPr>
          <w:rFonts w:ascii="Sylfaen" w:hAnsi="Sylfaen"/>
          <w:sz w:val="24"/>
          <w:szCs w:val="24"/>
          <w:lang w:val="ka-GE"/>
        </w:rPr>
        <w:t xml:space="preserve"> </w:t>
      </w:r>
      <w:r w:rsidR="00191421">
        <w:rPr>
          <w:rFonts w:ascii="Sylfaen" w:hAnsi="Sylfaen"/>
          <w:sz w:val="24"/>
          <w:szCs w:val="24"/>
        </w:rPr>
        <w:t xml:space="preserve">In fact, the Report notes that </w:t>
      </w:r>
      <w:r>
        <w:rPr>
          <w:rFonts w:ascii="Sylfaen" w:hAnsi="Sylfaen"/>
          <w:sz w:val="24"/>
          <w:szCs w:val="24"/>
        </w:rPr>
        <w:t>“</w:t>
      </w:r>
      <w:r w:rsidRPr="00892A09">
        <w:rPr>
          <w:rFonts w:ascii="Sylfaen" w:hAnsi="Sylfaen"/>
          <w:sz w:val="24"/>
          <w:szCs w:val="24"/>
        </w:rPr>
        <w:t xml:space="preserve">higher education institutions focus on human rights education in their </w:t>
      </w:r>
      <w:r w:rsidR="00884FB5">
        <w:rPr>
          <w:rFonts w:ascii="Sylfaen" w:hAnsi="Sylfaen"/>
          <w:sz w:val="24"/>
          <w:szCs w:val="24"/>
        </w:rPr>
        <w:t>programs</w:t>
      </w:r>
      <w:r>
        <w:rPr>
          <w:rFonts w:ascii="Sylfaen" w:hAnsi="Sylfaen"/>
          <w:sz w:val="24"/>
          <w:szCs w:val="24"/>
        </w:rPr>
        <w:t>”</w:t>
      </w:r>
      <w:r w:rsidRPr="00892A09">
        <w:rPr>
          <w:rFonts w:ascii="Sylfaen" w:hAnsi="Sylfaen"/>
          <w:sz w:val="24"/>
          <w:szCs w:val="24"/>
        </w:rPr>
        <w:t>.</w:t>
      </w:r>
      <w:r>
        <w:rPr>
          <w:rStyle w:val="FootnoteReference"/>
          <w:rFonts w:ascii="Sylfaen" w:hAnsi="Sylfaen"/>
          <w:sz w:val="24"/>
          <w:szCs w:val="24"/>
        </w:rPr>
        <w:footnoteReference w:id="35"/>
      </w:r>
      <w:r>
        <w:rPr>
          <w:rFonts w:ascii="Sylfaen" w:hAnsi="Sylfaen"/>
          <w:sz w:val="24"/>
          <w:szCs w:val="24"/>
        </w:rPr>
        <w:t xml:space="preserve"> </w:t>
      </w:r>
      <w:r w:rsidRPr="005D2B1E">
        <w:rPr>
          <w:rFonts w:ascii="Sylfaen" w:hAnsi="Sylfaen"/>
          <w:sz w:val="24"/>
          <w:szCs w:val="24"/>
        </w:rPr>
        <w:t>In this connection</w:t>
      </w:r>
      <w:r w:rsidR="00EA5A5E">
        <w:rPr>
          <w:rFonts w:ascii="Sylfaen" w:hAnsi="Sylfaen"/>
          <w:sz w:val="24"/>
          <w:szCs w:val="24"/>
        </w:rPr>
        <w:t>,</w:t>
      </w:r>
      <w:r w:rsidR="00E1608E">
        <w:rPr>
          <w:rFonts w:ascii="Sylfaen" w:hAnsi="Sylfaen"/>
          <w:sz w:val="24"/>
          <w:szCs w:val="24"/>
          <w:lang w:val="ka-GE"/>
        </w:rPr>
        <w:t xml:space="preserve"> </w:t>
      </w:r>
      <w:r w:rsidR="00E1608E">
        <w:rPr>
          <w:rFonts w:ascii="Sylfaen" w:hAnsi="Sylfaen"/>
          <w:sz w:val="24"/>
          <w:szCs w:val="24"/>
        </w:rPr>
        <w:t>it should be noted that</w:t>
      </w:r>
      <w:r w:rsidRPr="005D2B1E">
        <w:rPr>
          <w:rFonts w:ascii="Sylfaen" w:hAnsi="Sylfaen"/>
          <w:sz w:val="24"/>
          <w:szCs w:val="24"/>
        </w:rPr>
        <w:t xml:space="preserve"> the PDO conducted a study on teaching human rights </w:t>
      </w:r>
      <w:r w:rsidR="001E2678">
        <w:rPr>
          <w:rFonts w:ascii="Sylfaen" w:hAnsi="Sylfaen"/>
          <w:sz w:val="24"/>
          <w:szCs w:val="24"/>
        </w:rPr>
        <w:t>in</w:t>
      </w:r>
      <w:r w:rsidR="00E1608E">
        <w:rPr>
          <w:rFonts w:ascii="Sylfaen" w:hAnsi="Sylfaen"/>
          <w:sz w:val="24"/>
          <w:szCs w:val="24"/>
        </w:rPr>
        <w:t xml:space="preserve"> undergraduate law courses at higher education institutions.</w:t>
      </w:r>
      <w:r w:rsidRPr="005D2B1E">
        <w:rPr>
          <w:rFonts w:ascii="Sylfaen" w:hAnsi="Sylfaen"/>
          <w:sz w:val="24"/>
          <w:szCs w:val="24"/>
        </w:rPr>
        <w:t xml:space="preserve"> </w:t>
      </w:r>
      <w:r w:rsidR="00550B0E">
        <w:rPr>
          <w:rFonts w:ascii="Sylfaen" w:hAnsi="Sylfaen"/>
          <w:sz w:val="24"/>
          <w:szCs w:val="24"/>
          <w:lang w:val="ka-GE"/>
        </w:rPr>
        <w:t xml:space="preserve"> </w:t>
      </w:r>
      <w:r>
        <w:rPr>
          <w:rFonts w:ascii="Sylfaen" w:hAnsi="Sylfaen"/>
          <w:sz w:val="24"/>
          <w:szCs w:val="24"/>
        </w:rPr>
        <w:t xml:space="preserve">The study revealed </w:t>
      </w:r>
      <w:r w:rsidR="00EA5A5E">
        <w:rPr>
          <w:rFonts w:ascii="Sylfaen" w:hAnsi="Sylfaen"/>
          <w:sz w:val="24"/>
          <w:szCs w:val="24"/>
        </w:rPr>
        <w:t xml:space="preserve">that in </w:t>
      </w:r>
      <w:r w:rsidR="00E1608E">
        <w:rPr>
          <w:rFonts w:ascii="Sylfaen" w:hAnsi="Sylfaen"/>
          <w:sz w:val="24"/>
          <w:szCs w:val="24"/>
        </w:rPr>
        <w:t>m</w:t>
      </w:r>
      <w:r>
        <w:rPr>
          <w:rFonts w:ascii="Sylfaen" w:hAnsi="Sylfaen"/>
          <w:sz w:val="24"/>
          <w:szCs w:val="24"/>
        </w:rPr>
        <w:t xml:space="preserve">ost </w:t>
      </w:r>
      <w:r w:rsidR="00EA5A5E">
        <w:rPr>
          <w:rFonts w:ascii="Sylfaen" w:hAnsi="Sylfaen"/>
          <w:sz w:val="24"/>
          <w:szCs w:val="24"/>
        </w:rPr>
        <w:t>cases human rights are taught through only one compulsory course.</w:t>
      </w:r>
      <w:r w:rsidR="00B73261">
        <w:rPr>
          <w:rStyle w:val="FootnoteReference"/>
          <w:rFonts w:ascii="Sylfaen" w:hAnsi="Sylfaen"/>
          <w:sz w:val="24"/>
          <w:szCs w:val="24"/>
        </w:rPr>
        <w:footnoteReference w:id="36"/>
      </w:r>
      <w:r>
        <w:rPr>
          <w:rFonts w:ascii="Sylfaen" w:hAnsi="Sylfaen"/>
          <w:sz w:val="24"/>
          <w:szCs w:val="24"/>
        </w:rPr>
        <w:t xml:space="preserve"> </w:t>
      </w:r>
      <w:r w:rsidR="00EA5A5E">
        <w:rPr>
          <w:rFonts w:ascii="Sylfaen" w:hAnsi="Sylfaen"/>
          <w:sz w:val="24"/>
          <w:szCs w:val="24"/>
        </w:rPr>
        <w:t>Moreover, the Georgian</w:t>
      </w:r>
      <w:r w:rsidR="002C29FA">
        <w:rPr>
          <w:rFonts w:ascii="Sylfaen" w:hAnsi="Sylfaen"/>
          <w:sz w:val="24"/>
          <w:szCs w:val="24"/>
        </w:rPr>
        <w:t>-</w:t>
      </w:r>
      <w:r w:rsidR="00EA5A5E">
        <w:rPr>
          <w:rFonts w:ascii="Sylfaen" w:hAnsi="Sylfaen"/>
          <w:sz w:val="24"/>
          <w:szCs w:val="24"/>
        </w:rPr>
        <w:t xml:space="preserve">language </w:t>
      </w:r>
      <w:r w:rsidR="002C29FA">
        <w:rPr>
          <w:rFonts w:ascii="Sylfaen" w:hAnsi="Sylfaen"/>
          <w:sz w:val="24"/>
          <w:szCs w:val="24"/>
        </w:rPr>
        <w:t xml:space="preserve">textbooks </w:t>
      </w:r>
      <w:r>
        <w:rPr>
          <w:rFonts w:ascii="Sylfaen" w:hAnsi="Sylfaen"/>
          <w:sz w:val="24"/>
          <w:szCs w:val="24"/>
        </w:rPr>
        <w:t xml:space="preserve">used </w:t>
      </w:r>
      <w:r w:rsidR="00E1608E">
        <w:rPr>
          <w:rFonts w:ascii="Sylfaen" w:hAnsi="Sylfaen"/>
          <w:sz w:val="24"/>
          <w:szCs w:val="24"/>
        </w:rPr>
        <w:t>to teach those</w:t>
      </w:r>
      <w:r>
        <w:rPr>
          <w:rFonts w:ascii="Sylfaen" w:hAnsi="Sylfaen"/>
          <w:sz w:val="24"/>
          <w:szCs w:val="24"/>
        </w:rPr>
        <w:t xml:space="preserve"> courses </w:t>
      </w:r>
      <w:r w:rsidR="002C29FA">
        <w:rPr>
          <w:rFonts w:ascii="Sylfaen" w:hAnsi="Sylfaen"/>
          <w:sz w:val="24"/>
          <w:szCs w:val="24"/>
        </w:rPr>
        <w:t>are</w:t>
      </w:r>
      <w:r>
        <w:rPr>
          <w:rFonts w:ascii="Sylfaen" w:hAnsi="Sylfaen"/>
          <w:sz w:val="24"/>
          <w:szCs w:val="24"/>
        </w:rPr>
        <w:t xml:space="preserve"> outdated in some cases</w:t>
      </w:r>
      <w:r w:rsidR="00EA5A5E">
        <w:rPr>
          <w:rFonts w:ascii="Sylfaen" w:hAnsi="Sylfaen"/>
          <w:sz w:val="24"/>
          <w:szCs w:val="24"/>
        </w:rPr>
        <w:t>.</w:t>
      </w:r>
      <w:r w:rsidR="00B73261">
        <w:rPr>
          <w:rStyle w:val="FootnoteReference"/>
          <w:rFonts w:ascii="Sylfaen" w:hAnsi="Sylfaen"/>
          <w:sz w:val="24"/>
          <w:szCs w:val="24"/>
        </w:rPr>
        <w:footnoteReference w:id="37"/>
      </w:r>
      <w:r>
        <w:rPr>
          <w:rFonts w:ascii="Sylfaen" w:hAnsi="Sylfaen"/>
          <w:sz w:val="24"/>
          <w:szCs w:val="24"/>
        </w:rPr>
        <w:t xml:space="preserve"> </w:t>
      </w:r>
      <w:r w:rsidR="00EA5A5E">
        <w:rPr>
          <w:rFonts w:ascii="Sylfaen" w:hAnsi="Sylfaen"/>
          <w:sz w:val="24"/>
          <w:szCs w:val="24"/>
        </w:rPr>
        <w:t>Similarly, using a comparative method to teach human rights law is also uncommon.</w:t>
      </w:r>
      <w:r w:rsidR="00B73261">
        <w:rPr>
          <w:rStyle w:val="FootnoteReference"/>
          <w:rFonts w:ascii="Sylfaen" w:hAnsi="Sylfaen"/>
          <w:sz w:val="24"/>
          <w:szCs w:val="24"/>
        </w:rPr>
        <w:footnoteReference w:id="38"/>
      </w:r>
      <w:r w:rsidR="00EA5A5E">
        <w:rPr>
          <w:rFonts w:ascii="Sylfaen" w:hAnsi="Sylfaen"/>
          <w:sz w:val="24"/>
          <w:szCs w:val="24"/>
        </w:rPr>
        <w:t xml:space="preserve"> </w:t>
      </w:r>
      <w:r w:rsidR="00550B0E">
        <w:rPr>
          <w:rFonts w:ascii="Sylfaen" w:hAnsi="Sylfaen"/>
          <w:sz w:val="24"/>
          <w:szCs w:val="24"/>
        </w:rPr>
        <w:t xml:space="preserve">In particular, </w:t>
      </w:r>
      <w:r w:rsidR="00EA5A5E">
        <w:rPr>
          <w:rFonts w:ascii="Sylfaen" w:hAnsi="Sylfaen"/>
          <w:sz w:val="24"/>
          <w:szCs w:val="24"/>
        </w:rPr>
        <w:t>most programs do not include a compulsory course dedicated to European human rights law.</w:t>
      </w:r>
      <w:r w:rsidR="00B73261">
        <w:rPr>
          <w:rStyle w:val="FootnoteReference"/>
          <w:rFonts w:ascii="Sylfaen" w:hAnsi="Sylfaen"/>
          <w:sz w:val="24"/>
          <w:szCs w:val="24"/>
        </w:rPr>
        <w:footnoteReference w:id="39"/>
      </w:r>
      <w:r w:rsidR="00EA5A5E">
        <w:rPr>
          <w:rFonts w:ascii="Sylfaen" w:hAnsi="Sylfaen"/>
          <w:sz w:val="24"/>
          <w:szCs w:val="24"/>
        </w:rPr>
        <w:t xml:space="preserve"> </w:t>
      </w:r>
      <w:r>
        <w:rPr>
          <w:rFonts w:ascii="Sylfaen" w:hAnsi="Sylfaen"/>
          <w:sz w:val="24"/>
          <w:szCs w:val="24"/>
        </w:rPr>
        <w:t xml:space="preserve"> </w:t>
      </w:r>
      <w:r w:rsidR="00E1608E">
        <w:rPr>
          <w:rFonts w:ascii="Sylfaen" w:hAnsi="Sylfaen"/>
          <w:sz w:val="24"/>
          <w:szCs w:val="24"/>
        </w:rPr>
        <w:t xml:space="preserve">Lastly, in most instances, </w:t>
      </w:r>
      <w:r>
        <w:rPr>
          <w:rFonts w:ascii="Sylfaen" w:hAnsi="Sylfaen"/>
          <w:sz w:val="24"/>
          <w:szCs w:val="24"/>
        </w:rPr>
        <w:t xml:space="preserve">teaching and learning </w:t>
      </w:r>
      <w:r w:rsidR="00E1608E">
        <w:rPr>
          <w:rFonts w:ascii="Sylfaen" w:hAnsi="Sylfaen"/>
          <w:sz w:val="24"/>
          <w:szCs w:val="24"/>
        </w:rPr>
        <w:t>are</w:t>
      </w:r>
      <w:r w:rsidR="00EA5A5E">
        <w:rPr>
          <w:rFonts w:ascii="Sylfaen" w:hAnsi="Sylfaen"/>
          <w:sz w:val="24"/>
          <w:szCs w:val="24"/>
        </w:rPr>
        <w:t xml:space="preserve"> entirely </w:t>
      </w:r>
      <w:r>
        <w:rPr>
          <w:rFonts w:ascii="Sylfaen" w:hAnsi="Sylfaen"/>
          <w:sz w:val="24"/>
          <w:szCs w:val="24"/>
        </w:rPr>
        <w:t>theoretical</w:t>
      </w:r>
      <w:r w:rsidR="00E1608E">
        <w:rPr>
          <w:rFonts w:ascii="Sylfaen" w:hAnsi="Sylfaen"/>
          <w:sz w:val="24"/>
          <w:szCs w:val="24"/>
        </w:rPr>
        <w:t xml:space="preserve"> </w:t>
      </w:r>
      <w:r>
        <w:rPr>
          <w:rFonts w:ascii="Sylfaen" w:hAnsi="Sylfaen"/>
          <w:sz w:val="24"/>
          <w:szCs w:val="24"/>
        </w:rPr>
        <w:t xml:space="preserve">and not oriented on </w:t>
      </w:r>
      <w:r w:rsidR="00E1608E">
        <w:rPr>
          <w:rFonts w:ascii="Sylfaen" w:hAnsi="Sylfaen"/>
          <w:sz w:val="24"/>
          <w:szCs w:val="24"/>
        </w:rPr>
        <w:t xml:space="preserve">the </w:t>
      </w:r>
      <w:r>
        <w:rPr>
          <w:rFonts w:ascii="Sylfaen" w:hAnsi="Sylfaen"/>
          <w:sz w:val="24"/>
          <w:szCs w:val="24"/>
        </w:rPr>
        <w:t xml:space="preserve">development of practical skills </w:t>
      </w:r>
      <w:r w:rsidR="00E1608E">
        <w:rPr>
          <w:rFonts w:ascii="Sylfaen" w:hAnsi="Sylfaen"/>
          <w:sz w:val="24"/>
          <w:szCs w:val="24"/>
        </w:rPr>
        <w:t>of students</w:t>
      </w:r>
      <w:r>
        <w:rPr>
          <w:rFonts w:ascii="Sylfaen" w:hAnsi="Sylfaen"/>
          <w:sz w:val="24"/>
          <w:szCs w:val="24"/>
        </w:rPr>
        <w:t>.</w:t>
      </w:r>
      <w:r>
        <w:rPr>
          <w:rStyle w:val="FootnoteReference"/>
          <w:rFonts w:ascii="Sylfaen" w:hAnsi="Sylfaen"/>
          <w:sz w:val="24"/>
          <w:szCs w:val="24"/>
        </w:rPr>
        <w:footnoteReference w:id="40"/>
      </w:r>
    </w:p>
    <w:p w14:paraId="67B729FB" w14:textId="6B1EAA34" w:rsidR="00DC2E98" w:rsidRDefault="003244D6" w:rsidP="00F4567A">
      <w:pPr>
        <w:pStyle w:val="Heading2"/>
        <w:rPr>
          <w:rFonts w:ascii="Sylfaen" w:hAnsi="Sylfaen"/>
          <w:b/>
          <w:bCs/>
          <w:lang w:val="ka-GE"/>
        </w:rPr>
      </w:pPr>
      <w:bookmarkStart w:id="5" w:name="_Toc116583230"/>
      <w:r w:rsidRPr="00CB68C1">
        <w:rPr>
          <w:rFonts w:ascii="Sylfaen" w:hAnsi="Sylfaen"/>
          <w:b/>
          <w:bCs/>
          <w:lang w:val="ka-GE"/>
        </w:rPr>
        <w:t>Recommendation (11) – Disaggregated data</w:t>
      </w:r>
      <w:bookmarkEnd w:id="5"/>
    </w:p>
    <w:p w14:paraId="12748F58" w14:textId="77777777" w:rsidR="00CB68C1" w:rsidRPr="00CB68C1" w:rsidRDefault="00CB68C1" w:rsidP="00CB68C1">
      <w:pPr>
        <w:rPr>
          <w:highlight w:val="yellow"/>
          <w:lang w:val="ka-GE"/>
        </w:rPr>
      </w:pPr>
    </w:p>
    <w:p w14:paraId="3416D131" w14:textId="5BBF7172" w:rsidR="00D9665B" w:rsidRDefault="005B194B" w:rsidP="00625601">
      <w:pPr>
        <w:jc w:val="both"/>
        <w:rPr>
          <w:rFonts w:ascii="Sylfaen" w:hAnsi="Sylfaen"/>
          <w:sz w:val="24"/>
          <w:szCs w:val="24"/>
          <w:lang w:val="ka-GE"/>
        </w:rPr>
      </w:pPr>
      <w:r>
        <w:rPr>
          <w:rFonts w:ascii="Sylfaen" w:hAnsi="Sylfaen"/>
          <w:sz w:val="24"/>
          <w:szCs w:val="24"/>
        </w:rPr>
        <w:t xml:space="preserve">10. </w:t>
      </w:r>
      <w:r w:rsidR="00C247B4" w:rsidRPr="00C247B4">
        <w:rPr>
          <w:rFonts w:ascii="Sylfaen" w:hAnsi="Sylfaen"/>
          <w:sz w:val="24"/>
          <w:szCs w:val="24"/>
          <w:lang w:val="ka-GE"/>
        </w:rPr>
        <w:t>It is noteworthy that the Public Defender positively assesses the steps taken to produce statistics and publish a unified report on the crimes committed on the grounds of intolerance. However, at the same time, it should be noted that there is a need to analyze the risk factors causing hate crime and also the circumstances that prevent its detection.</w:t>
      </w:r>
    </w:p>
    <w:p w14:paraId="5A7018E0" w14:textId="197729E3" w:rsidR="00630977" w:rsidRDefault="00630977" w:rsidP="00625601">
      <w:pPr>
        <w:jc w:val="both"/>
        <w:rPr>
          <w:rFonts w:ascii="Sylfaen" w:hAnsi="Sylfaen"/>
          <w:sz w:val="24"/>
          <w:szCs w:val="24"/>
          <w:lang w:val="ka-GE"/>
        </w:rPr>
      </w:pPr>
    </w:p>
    <w:p w14:paraId="0B8E9B25" w14:textId="77777777" w:rsidR="00630977" w:rsidRDefault="00630977" w:rsidP="00625601">
      <w:pPr>
        <w:jc w:val="both"/>
        <w:rPr>
          <w:rFonts w:ascii="Sylfaen" w:hAnsi="Sylfaen"/>
          <w:sz w:val="24"/>
          <w:szCs w:val="24"/>
          <w:lang w:val="ka-GE"/>
        </w:rPr>
      </w:pPr>
    </w:p>
    <w:p w14:paraId="3F4062EC" w14:textId="2B31A5D4" w:rsidR="00B86AED" w:rsidRDefault="000378F6" w:rsidP="00F4567A">
      <w:pPr>
        <w:pStyle w:val="Heading2"/>
        <w:rPr>
          <w:rFonts w:ascii="Sylfaen" w:hAnsi="Sylfaen"/>
          <w:b/>
          <w:bCs/>
          <w:lang w:val="ka-GE"/>
        </w:rPr>
      </w:pPr>
      <w:bookmarkStart w:id="6" w:name="_Toc116583231"/>
      <w:r w:rsidRPr="00CB68C1">
        <w:rPr>
          <w:rFonts w:ascii="Sylfaen" w:hAnsi="Sylfaen"/>
          <w:b/>
          <w:bCs/>
          <w:lang w:val="ka-GE"/>
        </w:rPr>
        <w:lastRenderedPageBreak/>
        <w:t>Recommendations (12)</w:t>
      </w:r>
      <w:r w:rsidR="00E23E66">
        <w:rPr>
          <w:rFonts w:ascii="Sylfaen" w:hAnsi="Sylfaen"/>
          <w:b/>
          <w:bCs/>
          <w:lang w:val="ka-GE"/>
        </w:rPr>
        <w:t xml:space="preserve"> </w:t>
      </w:r>
      <w:r w:rsidRPr="00CB68C1">
        <w:rPr>
          <w:rFonts w:ascii="Sylfaen" w:hAnsi="Sylfaen"/>
          <w:b/>
          <w:bCs/>
          <w:lang w:val="ka-GE"/>
        </w:rPr>
        <w:t>–</w:t>
      </w:r>
      <w:r w:rsidR="00E23E66">
        <w:rPr>
          <w:rFonts w:ascii="Sylfaen" w:hAnsi="Sylfaen"/>
          <w:b/>
          <w:bCs/>
          <w:lang w:val="ka-GE"/>
        </w:rPr>
        <w:t xml:space="preserve"> </w:t>
      </w:r>
      <w:r w:rsidRPr="00CB68C1">
        <w:rPr>
          <w:rFonts w:ascii="Sylfaen" w:hAnsi="Sylfaen"/>
          <w:b/>
          <w:bCs/>
          <w:lang w:val="ka-GE"/>
        </w:rPr>
        <w:t>(13) – National or ethnic minorities</w:t>
      </w:r>
      <w:bookmarkEnd w:id="6"/>
      <w:r w:rsidRPr="00CB68C1">
        <w:rPr>
          <w:rFonts w:ascii="Sylfaen" w:hAnsi="Sylfaen"/>
          <w:b/>
          <w:bCs/>
          <w:lang w:val="ka-GE"/>
        </w:rPr>
        <w:t xml:space="preserve">   </w:t>
      </w:r>
    </w:p>
    <w:p w14:paraId="58ABA994" w14:textId="77777777" w:rsidR="00CB68C1" w:rsidRPr="00CB68C1" w:rsidRDefault="00CB68C1" w:rsidP="00CB68C1">
      <w:pPr>
        <w:rPr>
          <w:lang w:val="ka-GE"/>
        </w:rPr>
      </w:pPr>
    </w:p>
    <w:p w14:paraId="78B0B376" w14:textId="65CBDDC3" w:rsidR="00B86AED" w:rsidRPr="006A1D84" w:rsidRDefault="005E2F77" w:rsidP="00625601">
      <w:pPr>
        <w:jc w:val="both"/>
        <w:rPr>
          <w:rFonts w:ascii="Sylfaen" w:hAnsi="Sylfaen"/>
          <w:b/>
          <w:bCs/>
          <w:sz w:val="24"/>
          <w:szCs w:val="24"/>
        </w:rPr>
      </w:pPr>
      <w:r w:rsidRPr="006A1D84">
        <w:rPr>
          <w:rFonts w:ascii="Sylfaen" w:hAnsi="Sylfaen"/>
          <w:b/>
          <w:bCs/>
          <w:sz w:val="24"/>
          <w:szCs w:val="24"/>
        </w:rPr>
        <w:t>Education and the state language</w:t>
      </w:r>
    </w:p>
    <w:p w14:paraId="19449E4D" w14:textId="77777777" w:rsidR="005E2F77" w:rsidRPr="00AA0D72" w:rsidRDefault="005E2F77" w:rsidP="005E2F77">
      <w:pPr>
        <w:jc w:val="both"/>
        <w:rPr>
          <w:rFonts w:ascii="Sylfaen" w:hAnsi="Sylfaen"/>
          <w:sz w:val="24"/>
          <w:szCs w:val="24"/>
        </w:rPr>
      </w:pPr>
      <w:r>
        <w:rPr>
          <w:rFonts w:ascii="Sylfaen" w:hAnsi="Sylfaen"/>
          <w:sz w:val="24"/>
          <w:szCs w:val="24"/>
        </w:rPr>
        <w:t xml:space="preserve">11. The State Report describes various measures undertaken to </w:t>
      </w:r>
      <w:r w:rsidRPr="00A94C2D">
        <w:rPr>
          <w:rFonts w:ascii="Sylfaen" w:hAnsi="Sylfaen"/>
          <w:sz w:val="24"/>
          <w:szCs w:val="24"/>
        </w:rPr>
        <w:t>ensur</w:t>
      </w:r>
      <w:r>
        <w:rPr>
          <w:rFonts w:ascii="Sylfaen" w:hAnsi="Sylfaen"/>
          <w:sz w:val="24"/>
          <w:szCs w:val="24"/>
        </w:rPr>
        <w:t>e</w:t>
      </w:r>
      <w:r w:rsidRPr="00A94C2D">
        <w:rPr>
          <w:rFonts w:ascii="Sylfaen" w:hAnsi="Sylfaen"/>
          <w:sz w:val="24"/>
          <w:szCs w:val="24"/>
        </w:rPr>
        <w:t xml:space="preserve"> access to high-quality education</w:t>
      </w:r>
      <w:r>
        <w:rPr>
          <w:rFonts w:ascii="Sylfaen" w:hAnsi="Sylfaen"/>
          <w:sz w:val="24"/>
          <w:szCs w:val="24"/>
        </w:rPr>
        <w:t xml:space="preserve"> for ethnic minorities </w:t>
      </w:r>
      <w:r w:rsidRPr="00A94C2D">
        <w:rPr>
          <w:rFonts w:ascii="Sylfaen" w:hAnsi="Sylfaen"/>
          <w:sz w:val="24"/>
          <w:szCs w:val="24"/>
        </w:rPr>
        <w:t>and improv</w:t>
      </w:r>
      <w:r>
        <w:rPr>
          <w:rFonts w:ascii="Sylfaen" w:hAnsi="Sylfaen"/>
          <w:sz w:val="24"/>
          <w:szCs w:val="24"/>
        </w:rPr>
        <w:t>e</w:t>
      </w:r>
      <w:r w:rsidRPr="00A94C2D">
        <w:rPr>
          <w:rFonts w:ascii="Sylfaen" w:hAnsi="Sylfaen"/>
          <w:sz w:val="24"/>
          <w:szCs w:val="24"/>
        </w:rPr>
        <w:t xml:space="preserve"> the level of the state language knowledge</w:t>
      </w:r>
      <w:r>
        <w:rPr>
          <w:rFonts w:ascii="Sylfaen" w:hAnsi="Sylfaen"/>
          <w:sz w:val="24"/>
          <w:szCs w:val="24"/>
        </w:rPr>
        <w:t>.</w:t>
      </w:r>
      <w:r>
        <w:rPr>
          <w:rStyle w:val="FootnoteReference"/>
          <w:rFonts w:ascii="Sylfaen" w:hAnsi="Sylfaen"/>
          <w:sz w:val="24"/>
          <w:szCs w:val="24"/>
        </w:rPr>
        <w:footnoteReference w:id="41"/>
      </w:r>
      <w:r>
        <w:rPr>
          <w:rFonts w:ascii="Sylfaen" w:hAnsi="Sylfaen"/>
          <w:sz w:val="24"/>
          <w:szCs w:val="24"/>
        </w:rPr>
        <w:t xml:space="preserve"> While the PDO welcomes these efforts, it is nevertheless concerned about challenges persisting throughout past years, such as: </w:t>
      </w:r>
      <w:r w:rsidRPr="000648D5">
        <w:rPr>
          <w:rFonts w:ascii="Sylfaen" w:hAnsi="Sylfaen"/>
          <w:sz w:val="24"/>
          <w:szCs w:val="24"/>
        </w:rPr>
        <w:t>lack of a unified conceptual approach and vision, training of</w:t>
      </w:r>
      <w:r>
        <w:rPr>
          <w:rFonts w:ascii="Sylfaen" w:hAnsi="Sylfaen"/>
          <w:sz w:val="24"/>
          <w:szCs w:val="24"/>
        </w:rPr>
        <w:t xml:space="preserve"> </w:t>
      </w:r>
      <w:r w:rsidRPr="000648D5">
        <w:rPr>
          <w:rFonts w:ascii="Sylfaen" w:hAnsi="Sylfaen"/>
          <w:sz w:val="24"/>
          <w:szCs w:val="24"/>
        </w:rPr>
        <w:t>bilingual teachers, provision of</w:t>
      </w:r>
      <w:r>
        <w:rPr>
          <w:rFonts w:ascii="Sylfaen" w:hAnsi="Sylfaen"/>
          <w:sz w:val="24"/>
          <w:szCs w:val="24"/>
        </w:rPr>
        <w:t xml:space="preserve"> educational</w:t>
      </w:r>
      <w:r w:rsidRPr="000648D5">
        <w:rPr>
          <w:rFonts w:ascii="Sylfaen" w:hAnsi="Sylfaen"/>
          <w:sz w:val="24"/>
          <w:szCs w:val="24"/>
        </w:rPr>
        <w:t xml:space="preserve"> institutions with appropriate training and methodological programmes,</w:t>
      </w:r>
      <w:r>
        <w:rPr>
          <w:rFonts w:ascii="Sylfaen" w:hAnsi="Sylfaen"/>
          <w:sz w:val="24"/>
          <w:szCs w:val="24"/>
        </w:rPr>
        <w:t xml:space="preserve"> </w:t>
      </w:r>
      <w:r w:rsidRPr="000648D5">
        <w:rPr>
          <w:rFonts w:ascii="Sylfaen" w:hAnsi="Sylfaen"/>
          <w:sz w:val="24"/>
          <w:szCs w:val="24"/>
        </w:rPr>
        <w:t>auxiliary textbooks and necessary material-technical resources</w:t>
      </w:r>
      <w:r>
        <w:rPr>
          <w:rFonts w:ascii="Sylfaen" w:hAnsi="Sylfaen"/>
          <w:sz w:val="24"/>
          <w:szCs w:val="24"/>
        </w:rPr>
        <w:t>.</w:t>
      </w:r>
      <w:r>
        <w:rPr>
          <w:rStyle w:val="FootnoteReference"/>
          <w:rFonts w:ascii="Sylfaen" w:hAnsi="Sylfaen"/>
          <w:sz w:val="24"/>
          <w:szCs w:val="24"/>
        </w:rPr>
        <w:footnoteReference w:id="42"/>
      </w:r>
      <w:r>
        <w:rPr>
          <w:rFonts w:ascii="Sylfaen" w:hAnsi="Sylfaen"/>
          <w:sz w:val="24"/>
          <w:szCs w:val="24"/>
        </w:rPr>
        <w:t xml:space="preserve"> According to the State Report, t</w:t>
      </w:r>
      <w:r w:rsidRPr="002069CF">
        <w:rPr>
          <w:rFonts w:ascii="Sylfaen" w:hAnsi="Sylfaen"/>
          <w:sz w:val="24"/>
          <w:szCs w:val="24"/>
        </w:rPr>
        <w:t>he national curriculum is available in languages of ethnic minorities</w:t>
      </w:r>
      <w:r>
        <w:rPr>
          <w:rFonts w:ascii="Sylfaen" w:hAnsi="Sylfaen"/>
          <w:sz w:val="24"/>
          <w:szCs w:val="24"/>
        </w:rPr>
        <w:t>.</w:t>
      </w:r>
      <w:r>
        <w:rPr>
          <w:rStyle w:val="FootnoteReference"/>
          <w:rFonts w:ascii="Sylfaen" w:hAnsi="Sylfaen"/>
          <w:sz w:val="24"/>
          <w:szCs w:val="24"/>
        </w:rPr>
        <w:footnoteReference w:id="43"/>
      </w:r>
      <w:r>
        <w:rPr>
          <w:rFonts w:ascii="Sylfaen" w:hAnsi="Sylfaen"/>
          <w:sz w:val="24"/>
          <w:szCs w:val="24"/>
        </w:rPr>
        <w:t xml:space="preserve"> However, certain textbooks are still not available in languages of ethnic minorities. In particular, </w:t>
      </w:r>
      <w:r w:rsidRPr="00A26F0B">
        <w:rPr>
          <w:rFonts w:ascii="Sylfaen" w:hAnsi="Sylfaen"/>
          <w:sz w:val="24"/>
          <w:szCs w:val="24"/>
        </w:rPr>
        <w:t xml:space="preserve">no effective measures </w:t>
      </w:r>
      <w:r>
        <w:rPr>
          <w:rFonts w:ascii="Sylfaen" w:hAnsi="Sylfaen"/>
          <w:sz w:val="24"/>
          <w:szCs w:val="24"/>
        </w:rPr>
        <w:t xml:space="preserve">have been </w:t>
      </w:r>
      <w:r w:rsidRPr="00A26F0B">
        <w:rPr>
          <w:rFonts w:ascii="Sylfaen" w:hAnsi="Sylfaen"/>
          <w:sz w:val="24"/>
          <w:szCs w:val="24"/>
        </w:rPr>
        <w:t>taken to develop and</w:t>
      </w:r>
      <w:r>
        <w:rPr>
          <w:rFonts w:ascii="Sylfaen" w:hAnsi="Sylfaen"/>
          <w:sz w:val="24"/>
          <w:szCs w:val="24"/>
        </w:rPr>
        <w:t xml:space="preserve"> </w:t>
      </w:r>
      <w:r w:rsidRPr="00A26F0B">
        <w:rPr>
          <w:rFonts w:ascii="Sylfaen" w:hAnsi="Sylfaen"/>
          <w:sz w:val="24"/>
          <w:szCs w:val="24"/>
        </w:rPr>
        <w:t>publish native language and literature textbooks for Armenian, Azerbaijani or Russian-language schools</w:t>
      </w:r>
      <w:r>
        <w:rPr>
          <w:rFonts w:ascii="Sylfaen" w:hAnsi="Sylfaen"/>
          <w:sz w:val="24"/>
          <w:szCs w:val="24"/>
        </w:rPr>
        <w:t xml:space="preserve"> </w:t>
      </w:r>
      <w:r w:rsidRPr="00A26F0B">
        <w:rPr>
          <w:rFonts w:ascii="Sylfaen" w:hAnsi="Sylfaen"/>
          <w:sz w:val="24"/>
          <w:szCs w:val="24"/>
        </w:rPr>
        <w:t xml:space="preserve">of Georgia and to ensure </w:t>
      </w:r>
      <w:r>
        <w:rPr>
          <w:rFonts w:ascii="Sylfaen" w:hAnsi="Sylfaen"/>
          <w:sz w:val="24"/>
          <w:szCs w:val="24"/>
        </w:rPr>
        <w:t xml:space="preserve">teaching these (school) subjects </w:t>
      </w:r>
      <w:r w:rsidRPr="00A26F0B">
        <w:rPr>
          <w:rFonts w:ascii="Sylfaen" w:hAnsi="Sylfaen"/>
          <w:sz w:val="24"/>
          <w:szCs w:val="24"/>
        </w:rPr>
        <w:t>with textbooks published in Georgia</w:t>
      </w:r>
      <w:r>
        <w:rPr>
          <w:rFonts w:ascii="Sylfaen" w:hAnsi="Sylfaen"/>
          <w:sz w:val="24"/>
          <w:szCs w:val="24"/>
        </w:rPr>
        <w:t>.</w:t>
      </w:r>
      <w:r>
        <w:rPr>
          <w:rStyle w:val="FootnoteReference"/>
          <w:rFonts w:ascii="Sylfaen" w:hAnsi="Sylfaen"/>
          <w:sz w:val="24"/>
          <w:szCs w:val="24"/>
        </w:rPr>
        <w:footnoteReference w:id="44"/>
      </w:r>
      <w:r>
        <w:rPr>
          <w:rFonts w:ascii="Sylfaen" w:hAnsi="Sylfaen"/>
          <w:sz w:val="24"/>
          <w:szCs w:val="24"/>
        </w:rPr>
        <w:t xml:space="preserve"> Moreover, d</w:t>
      </w:r>
      <w:r w:rsidRPr="00343B3F">
        <w:rPr>
          <w:rFonts w:ascii="Sylfaen" w:hAnsi="Sylfaen"/>
          <w:sz w:val="24"/>
          <w:szCs w:val="24"/>
        </w:rPr>
        <w:t>evelopment of language</w:t>
      </w:r>
      <w:r>
        <w:rPr>
          <w:rFonts w:ascii="Sylfaen" w:hAnsi="Sylfaen"/>
          <w:sz w:val="24"/>
          <w:szCs w:val="24"/>
        </w:rPr>
        <w:t xml:space="preserve"> </w:t>
      </w:r>
      <w:r w:rsidRPr="00343B3F">
        <w:rPr>
          <w:rFonts w:ascii="Sylfaen" w:hAnsi="Sylfaen"/>
          <w:sz w:val="24"/>
          <w:szCs w:val="24"/>
        </w:rPr>
        <w:t>textbooks for small ethnic minorities (Ossetian, Chechen, Khundzuri/Avaric, Udi, Assyrian, and</w:t>
      </w:r>
      <w:r>
        <w:rPr>
          <w:rFonts w:ascii="Sylfaen" w:hAnsi="Sylfaen"/>
          <w:sz w:val="24"/>
          <w:szCs w:val="24"/>
        </w:rPr>
        <w:t xml:space="preserve"> </w:t>
      </w:r>
      <w:r w:rsidRPr="00343B3F">
        <w:rPr>
          <w:rFonts w:ascii="Sylfaen" w:hAnsi="Sylfaen"/>
          <w:sz w:val="24"/>
          <w:szCs w:val="24"/>
        </w:rPr>
        <w:t>Kurdish/Kurmanji)</w:t>
      </w:r>
      <w:r>
        <w:rPr>
          <w:rFonts w:ascii="Sylfaen" w:hAnsi="Sylfaen"/>
          <w:sz w:val="24"/>
          <w:szCs w:val="24"/>
        </w:rPr>
        <w:t xml:space="preserve"> remains to be a problem as well.</w:t>
      </w:r>
      <w:r>
        <w:rPr>
          <w:rStyle w:val="FootnoteReference"/>
          <w:rFonts w:ascii="Sylfaen" w:hAnsi="Sylfaen"/>
          <w:sz w:val="24"/>
          <w:szCs w:val="24"/>
        </w:rPr>
        <w:footnoteReference w:id="45"/>
      </w:r>
      <w:r>
        <w:rPr>
          <w:rFonts w:ascii="Sylfaen" w:hAnsi="Sylfaen"/>
          <w:sz w:val="24"/>
          <w:szCs w:val="24"/>
        </w:rPr>
        <w:t xml:space="preserve"> In terms of knowledge of the state language, t</w:t>
      </w:r>
      <w:r w:rsidRPr="00264C6C">
        <w:rPr>
          <w:rFonts w:ascii="Sylfaen" w:hAnsi="Sylfaen"/>
          <w:sz w:val="24"/>
          <w:szCs w:val="24"/>
        </w:rPr>
        <w:t xml:space="preserve">he visits paid by representatives of the </w:t>
      </w:r>
      <w:r>
        <w:rPr>
          <w:rFonts w:ascii="Sylfaen" w:hAnsi="Sylfaen"/>
          <w:sz w:val="24"/>
          <w:szCs w:val="24"/>
        </w:rPr>
        <w:t xml:space="preserve">PDO </w:t>
      </w:r>
      <w:r w:rsidRPr="00264C6C">
        <w:rPr>
          <w:rFonts w:ascii="Sylfaen" w:hAnsi="Sylfaen"/>
          <w:sz w:val="24"/>
          <w:szCs w:val="24"/>
        </w:rPr>
        <w:t>to the regions populated by ethnic minorities</w:t>
      </w:r>
      <w:r>
        <w:rPr>
          <w:rFonts w:ascii="Sylfaen" w:hAnsi="Sylfaen"/>
          <w:sz w:val="24"/>
          <w:szCs w:val="24"/>
        </w:rPr>
        <w:t xml:space="preserve"> </w:t>
      </w:r>
      <w:r w:rsidRPr="00264C6C">
        <w:rPr>
          <w:rFonts w:ascii="Sylfaen" w:hAnsi="Sylfaen"/>
          <w:sz w:val="24"/>
          <w:szCs w:val="24"/>
        </w:rPr>
        <w:t>revealed the need of strengthening the popularization of official language learning among adult</w:t>
      </w:r>
      <w:r>
        <w:rPr>
          <w:rFonts w:ascii="Sylfaen" w:hAnsi="Sylfaen"/>
          <w:sz w:val="24"/>
          <w:szCs w:val="24"/>
        </w:rPr>
        <w:t xml:space="preserve"> </w:t>
      </w:r>
      <w:r w:rsidRPr="00264C6C">
        <w:rPr>
          <w:rFonts w:ascii="Sylfaen" w:hAnsi="Sylfaen"/>
          <w:sz w:val="24"/>
          <w:szCs w:val="24"/>
        </w:rPr>
        <w:t>population.</w:t>
      </w:r>
      <w:r>
        <w:rPr>
          <w:rStyle w:val="FootnoteReference"/>
          <w:rFonts w:ascii="Sylfaen" w:hAnsi="Sylfaen"/>
          <w:sz w:val="24"/>
          <w:szCs w:val="24"/>
        </w:rPr>
        <w:footnoteReference w:id="46"/>
      </w:r>
      <w:r w:rsidRPr="00264C6C">
        <w:rPr>
          <w:rFonts w:ascii="Sylfaen" w:hAnsi="Sylfaen"/>
          <w:sz w:val="24"/>
          <w:szCs w:val="24"/>
        </w:rPr>
        <w:t xml:space="preserve"> At the same time, schoolchildren expressed dissatisfaction with the education quality</w:t>
      </w:r>
      <w:r>
        <w:rPr>
          <w:rFonts w:ascii="Sylfaen" w:hAnsi="Sylfaen"/>
          <w:sz w:val="24"/>
          <w:szCs w:val="24"/>
        </w:rPr>
        <w:t>.</w:t>
      </w:r>
      <w:r>
        <w:rPr>
          <w:rStyle w:val="FootnoteReference"/>
          <w:rFonts w:ascii="Sylfaen" w:hAnsi="Sylfaen"/>
          <w:sz w:val="24"/>
          <w:szCs w:val="24"/>
        </w:rPr>
        <w:footnoteReference w:id="47"/>
      </w:r>
      <w:r>
        <w:rPr>
          <w:rFonts w:ascii="Sylfaen" w:hAnsi="Sylfaen"/>
          <w:sz w:val="24"/>
          <w:szCs w:val="24"/>
        </w:rPr>
        <w:t xml:space="preserve"> As to access to higher education, the State Report mentions the programme “1+4” providing a simplified enrollment procedure.</w:t>
      </w:r>
      <w:r>
        <w:rPr>
          <w:rStyle w:val="FootnoteReference"/>
          <w:rFonts w:ascii="Sylfaen" w:hAnsi="Sylfaen"/>
          <w:sz w:val="24"/>
          <w:szCs w:val="24"/>
        </w:rPr>
        <w:footnoteReference w:id="48"/>
      </w:r>
      <w:r>
        <w:rPr>
          <w:rFonts w:ascii="Sylfaen" w:hAnsi="Sylfaen"/>
          <w:sz w:val="24"/>
          <w:szCs w:val="24"/>
          <w:lang w:val="ka-GE"/>
        </w:rPr>
        <w:t xml:space="preserve"> </w:t>
      </w:r>
      <w:r>
        <w:rPr>
          <w:rFonts w:ascii="Sylfaen" w:hAnsi="Sylfaen"/>
          <w:sz w:val="24"/>
          <w:szCs w:val="24"/>
        </w:rPr>
        <w:t xml:space="preserve">In this connection, the PDO would like to pay attention to the large proportion of students who enroll at universities using this simplified procedure but do not receive state </w:t>
      </w:r>
      <w:r>
        <w:rPr>
          <w:rFonts w:ascii="Sylfaen" w:hAnsi="Sylfaen"/>
          <w:sz w:val="24"/>
          <w:szCs w:val="24"/>
        </w:rPr>
        <w:lastRenderedPageBreak/>
        <w:t>funding due to the amount of funds allocated to the relevant language groups.</w:t>
      </w:r>
      <w:r>
        <w:rPr>
          <w:rStyle w:val="FootnoteReference"/>
          <w:rFonts w:ascii="Sylfaen" w:hAnsi="Sylfaen"/>
          <w:sz w:val="24"/>
          <w:szCs w:val="24"/>
        </w:rPr>
        <w:footnoteReference w:id="49"/>
      </w:r>
      <w:r>
        <w:rPr>
          <w:rFonts w:ascii="Sylfaen" w:hAnsi="Sylfaen"/>
          <w:sz w:val="24"/>
          <w:szCs w:val="24"/>
        </w:rPr>
        <w:t xml:space="preserve"> Moreover, according to the order of the </w:t>
      </w:r>
      <w:r w:rsidRPr="001A03AC">
        <w:rPr>
          <w:rFonts w:ascii="Sylfaen" w:hAnsi="Sylfaen"/>
          <w:sz w:val="24"/>
          <w:szCs w:val="24"/>
        </w:rPr>
        <w:t>Minister of Education and Science of Georgia</w:t>
      </w:r>
      <w:r>
        <w:rPr>
          <w:rFonts w:ascii="Sylfaen" w:hAnsi="Sylfaen"/>
          <w:sz w:val="24"/>
          <w:szCs w:val="24"/>
        </w:rPr>
        <w:t xml:space="preserve">, </w:t>
      </w:r>
      <w:r w:rsidRPr="00AA0D72">
        <w:rPr>
          <w:rFonts w:ascii="Sylfaen" w:hAnsi="Sylfaen"/>
          <w:sz w:val="24"/>
          <w:szCs w:val="24"/>
        </w:rPr>
        <w:t>beneficiaries of the Georgian language education programme are not covered by funding of those programme directions, in which tuition fees are fully funded by the State.</w:t>
      </w:r>
      <w:r>
        <w:rPr>
          <w:rStyle w:val="FootnoteReference"/>
          <w:rFonts w:ascii="Sylfaen" w:hAnsi="Sylfaen"/>
          <w:sz w:val="24"/>
          <w:szCs w:val="24"/>
        </w:rPr>
        <w:footnoteReference w:id="50"/>
      </w:r>
      <w:r w:rsidRPr="00AA0D72">
        <w:rPr>
          <w:rFonts w:ascii="Sylfaen" w:hAnsi="Sylfaen"/>
          <w:sz w:val="24"/>
          <w:szCs w:val="24"/>
        </w:rPr>
        <w:t xml:space="preserve"> </w:t>
      </w:r>
      <w:r>
        <w:rPr>
          <w:rFonts w:ascii="Sylfaen" w:hAnsi="Sylfaen"/>
          <w:sz w:val="24"/>
          <w:szCs w:val="24"/>
        </w:rPr>
        <w:t>Such an exclusion from state funding as well as insufficient amount of funding often makes higher education inaccessible for ethnic minority students.</w:t>
      </w:r>
      <w:r>
        <w:rPr>
          <w:rStyle w:val="FootnoteReference"/>
          <w:rFonts w:ascii="Sylfaen" w:hAnsi="Sylfaen"/>
          <w:sz w:val="24"/>
          <w:szCs w:val="24"/>
        </w:rPr>
        <w:footnoteReference w:id="51"/>
      </w:r>
      <w:r>
        <w:rPr>
          <w:rFonts w:ascii="Sylfaen" w:hAnsi="Sylfaen"/>
          <w:sz w:val="24"/>
          <w:szCs w:val="24"/>
        </w:rPr>
        <w:t xml:space="preserve"> Thus, the PDO</w:t>
      </w:r>
      <w:r w:rsidRPr="00C47A6B">
        <w:rPr>
          <w:rFonts w:ascii="Sylfaen" w:hAnsi="Sylfaen"/>
          <w:sz w:val="24"/>
          <w:szCs w:val="24"/>
        </w:rPr>
        <w:t xml:space="preserve"> has been pointing out for</w:t>
      </w:r>
      <w:r>
        <w:rPr>
          <w:rFonts w:ascii="Sylfaen" w:hAnsi="Sylfaen"/>
          <w:sz w:val="24"/>
          <w:szCs w:val="24"/>
        </w:rPr>
        <w:t xml:space="preserve"> </w:t>
      </w:r>
      <w:r w:rsidRPr="00C47A6B">
        <w:rPr>
          <w:rFonts w:ascii="Sylfaen" w:hAnsi="Sylfaen"/>
          <w:sz w:val="24"/>
          <w:szCs w:val="24"/>
        </w:rPr>
        <w:t>years that it is important for the State to increase funding for students</w:t>
      </w:r>
      <w:r>
        <w:rPr>
          <w:rFonts w:ascii="Sylfaen" w:hAnsi="Sylfaen"/>
          <w:sz w:val="24"/>
          <w:szCs w:val="24"/>
        </w:rPr>
        <w:t>.</w:t>
      </w:r>
    </w:p>
    <w:p w14:paraId="5907608C" w14:textId="6449635F" w:rsidR="005E2F77" w:rsidRDefault="005E2F77" w:rsidP="00625601">
      <w:pPr>
        <w:jc w:val="both"/>
        <w:rPr>
          <w:rFonts w:ascii="Sylfaen" w:hAnsi="Sylfaen"/>
          <w:sz w:val="24"/>
          <w:szCs w:val="24"/>
        </w:rPr>
      </w:pPr>
    </w:p>
    <w:p w14:paraId="6E762B79" w14:textId="67B0B0F1" w:rsidR="007702E9" w:rsidRPr="006A1D84" w:rsidRDefault="007702E9" w:rsidP="00625601">
      <w:pPr>
        <w:jc w:val="both"/>
        <w:rPr>
          <w:rFonts w:ascii="Sylfaen" w:hAnsi="Sylfaen"/>
          <w:b/>
          <w:bCs/>
          <w:sz w:val="24"/>
          <w:szCs w:val="24"/>
        </w:rPr>
      </w:pPr>
      <w:r w:rsidRPr="006A1D84">
        <w:rPr>
          <w:rFonts w:ascii="Sylfaen" w:hAnsi="Sylfaen"/>
          <w:b/>
          <w:bCs/>
          <w:sz w:val="24"/>
          <w:szCs w:val="24"/>
        </w:rPr>
        <w:t>Political Participation</w:t>
      </w:r>
    </w:p>
    <w:p w14:paraId="10245E14" w14:textId="0588028E" w:rsidR="007702E9" w:rsidRDefault="007702E9" w:rsidP="007702E9">
      <w:pPr>
        <w:jc w:val="both"/>
        <w:rPr>
          <w:rFonts w:ascii="Sylfaen" w:hAnsi="Sylfaen"/>
          <w:sz w:val="24"/>
          <w:szCs w:val="24"/>
        </w:rPr>
      </w:pPr>
      <w:r w:rsidRPr="002A5FFB">
        <w:rPr>
          <w:rFonts w:ascii="Sylfaen" w:hAnsi="Sylfaen"/>
          <w:sz w:val="24"/>
          <w:szCs w:val="24"/>
        </w:rPr>
        <w:t>1</w:t>
      </w:r>
      <w:r>
        <w:rPr>
          <w:rFonts w:ascii="Sylfaen" w:hAnsi="Sylfaen"/>
          <w:sz w:val="24"/>
          <w:szCs w:val="24"/>
        </w:rPr>
        <w:t>2</w:t>
      </w:r>
      <w:r w:rsidRPr="002A5FFB">
        <w:rPr>
          <w:rFonts w:ascii="Sylfaen" w:hAnsi="Sylfaen"/>
          <w:sz w:val="24"/>
          <w:szCs w:val="24"/>
        </w:rPr>
        <w:t>.</w:t>
      </w:r>
      <w:r>
        <w:rPr>
          <w:rFonts w:ascii="Sylfaen" w:hAnsi="Sylfaen"/>
          <w:sz w:val="24"/>
          <w:szCs w:val="24"/>
        </w:rPr>
        <w:t xml:space="preserve"> In terms of political participation of ethnic minorities, the State Report claims that “</w:t>
      </w:r>
      <w:r w:rsidRPr="00030989">
        <w:rPr>
          <w:rFonts w:ascii="Sylfaen" w:hAnsi="Sylfaen"/>
          <w:sz w:val="24"/>
          <w:szCs w:val="24"/>
        </w:rPr>
        <w:t>their representatives in the local self-governments are proportional to the population composition</w:t>
      </w:r>
      <w:r>
        <w:rPr>
          <w:rFonts w:ascii="Sylfaen" w:hAnsi="Sylfaen"/>
          <w:sz w:val="24"/>
          <w:szCs w:val="24"/>
        </w:rPr>
        <w:t>”.</w:t>
      </w:r>
      <w:r>
        <w:rPr>
          <w:rStyle w:val="FootnoteReference"/>
          <w:rFonts w:ascii="Sylfaen" w:hAnsi="Sylfaen"/>
          <w:sz w:val="24"/>
          <w:szCs w:val="24"/>
        </w:rPr>
        <w:footnoteReference w:id="52"/>
      </w:r>
      <w:r>
        <w:rPr>
          <w:rFonts w:ascii="Sylfaen" w:hAnsi="Sylfaen"/>
          <w:sz w:val="24"/>
          <w:szCs w:val="24"/>
        </w:rPr>
        <w:t xml:space="preserve"> However, the PDO would like to note that members of ethnic minorities are not proportionally represented</w:t>
      </w:r>
      <w:r>
        <w:t xml:space="preserve"> </w:t>
      </w:r>
      <w:r w:rsidRPr="00225CFA">
        <w:rPr>
          <w:rFonts w:ascii="Sylfaen" w:hAnsi="Sylfaen"/>
          <w:sz w:val="24"/>
          <w:szCs w:val="24"/>
        </w:rPr>
        <w:t>in local self-governments in regions densely populated by national</w:t>
      </w:r>
      <w:r>
        <w:rPr>
          <w:rFonts w:ascii="Sylfaen" w:hAnsi="Sylfaen"/>
          <w:sz w:val="24"/>
          <w:szCs w:val="24"/>
        </w:rPr>
        <w:t xml:space="preserve"> </w:t>
      </w:r>
      <w:r w:rsidRPr="00225CFA">
        <w:rPr>
          <w:rFonts w:ascii="Sylfaen" w:hAnsi="Sylfaen"/>
          <w:sz w:val="24"/>
          <w:szCs w:val="24"/>
        </w:rPr>
        <w:t>minorities</w:t>
      </w:r>
      <w:r>
        <w:rPr>
          <w:rFonts w:ascii="Sylfaen" w:hAnsi="Sylfaen"/>
          <w:sz w:val="24"/>
          <w:szCs w:val="24"/>
        </w:rPr>
        <w:t>.</w:t>
      </w:r>
      <w:r>
        <w:rPr>
          <w:rStyle w:val="FootnoteReference"/>
          <w:rFonts w:ascii="Sylfaen" w:hAnsi="Sylfaen"/>
          <w:sz w:val="24"/>
          <w:szCs w:val="24"/>
        </w:rPr>
        <w:footnoteReference w:id="53"/>
      </w:r>
      <w:r>
        <w:rPr>
          <w:rFonts w:ascii="Sylfaen" w:hAnsi="Sylfaen"/>
          <w:sz w:val="24"/>
          <w:szCs w:val="24"/>
        </w:rPr>
        <w:t xml:space="preserve"> </w:t>
      </w:r>
      <w:r w:rsidRPr="001D7A7E">
        <w:rPr>
          <w:rFonts w:ascii="Sylfaen" w:hAnsi="Sylfaen"/>
          <w:sz w:val="24"/>
          <w:szCs w:val="24"/>
        </w:rPr>
        <w:t xml:space="preserve">For example, </w:t>
      </w:r>
      <w:r>
        <w:rPr>
          <w:rFonts w:ascii="Sylfaen" w:hAnsi="Sylfaen"/>
          <w:sz w:val="24"/>
          <w:szCs w:val="24"/>
        </w:rPr>
        <w:t xml:space="preserve">in 2021 </w:t>
      </w:r>
      <w:r w:rsidRPr="001D7A7E">
        <w:rPr>
          <w:rFonts w:ascii="Sylfaen" w:hAnsi="Sylfaen"/>
          <w:sz w:val="24"/>
          <w:szCs w:val="24"/>
        </w:rPr>
        <w:t>only 36% of the</w:t>
      </w:r>
      <w:r>
        <w:rPr>
          <w:rFonts w:ascii="Sylfaen" w:hAnsi="Sylfaen"/>
          <w:sz w:val="24"/>
          <w:szCs w:val="24"/>
        </w:rPr>
        <w:t xml:space="preserve"> </w:t>
      </w:r>
      <w:r w:rsidRPr="001D7A7E">
        <w:rPr>
          <w:rFonts w:ascii="Sylfaen" w:hAnsi="Sylfaen"/>
          <w:sz w:val="24"/>
          <w:szCs w:val="24"/>
        </w:rPr>
        <w:t xml:space="preserve">employees of the Marneuli Town Hall </w:t>
      </w:r>
      <w:r>
        <w:rPr>
          <w:rFonts w:ascii="Sylfaen" w:hAnsi="Sylfaen"/>
          <w:sz w:val="24"/>
          <w:szCs w:val="24"/>
        </w:rPr>
        <w:t>were</w:t>
      </w:r>
      <w:r w:rsidRPr="001D7A7E">
        <w:rPr>
          <w:rFonts w:ascii="Sylfaen" w:hAnsi="Sylfaen"/>
          <w:sz w:val="24"/>
          <w:szCs w:val="24"/>
        </w:rPr>
        <w:t xml:space="preserve"> representatives of national minorities, whereas</w:t>
      </w:r>
      <w:r>
        <w:rPr>
          <w:rFonts w:ascii="Sylfaen" w:hAnsi="Sylfaen"/>
          <w:sz w:val="24"/>
          <w:szCs w:val="24"/>
        </w:rPr>
        <w:t xml:space="preserve"> </w:t>
      </w:r>
      <w:r w:rsidRPr="001D7A7E">
        <w:rPr>
          <w:rFonts w:ascii="Sylfaen" w:hAnsi="Sylfaen"/>
          <w:sz w:val="24"/>
          <w:szCs w:val="24"/>
        </w:rPr>
        <w:t>representatives of national minorities</w:t>
      </w:r>
      <w:r>
        <w:rPr>
          <w:rFonts w:ascii="Sylfaen" w:hAnsi="Sylfaen"/>
          <w:sz w:val="24"/>
          <w:szCs w:val="24"/>
        </w:rPr>
        <w:t xml:space="preserve"> constitute</w:t>
      </w:r>
      <w:r w:rsidRPr="001D7A7E">
        <w:rPr>
          <w:rFonts w:ascii="Sylfaen" w:hAnsi="Sylfaen"/>
          <w:sz w:val="24"/>
          <w:szCs w:val="24"/>
        </w:rPr>
        <w:t xml:space="preserve"> 91.4% of the</w:t>
      </w:r>
      <w:r>
        <w:rPr>
          <w:rFonts w:ascii="Sylfaen" w:hAnsi="Sylfaen"/>
          <w:sz w:val="24"/>
          <w:szCs w:val="24"/>
        </w:rPr>
        <w:t xml:space="preserve"> </w:t>
      </w:r>
      <w:r w:rsidRPr="001D7A7E">
        <w:rPr>
          <w:rFonts w:ascii="Sylfaen" w:hAnsi="Sylfaen"/>
          <w:sz w:val="24"/>
          <w:szCs w:val="24"/>
        </w:rPr>
        <w:t>population of the Marneuli municipality</w:t>
      </w:r>
      <w:r>
        <w:rPr>
          <w:rFonts w:ascii="Sylfaen" w:hAnsi="Sylfaen"/>
          <w:sz w:val="24"/>
          <w:szCs w:val="24"/>
        </w:rPr>
        <w:t>.</w:t>
      </w:r>
      <w:r>
        <w:rPr>
          <w:rStyle w:val="FootnoteReference"/>
          <w:rFonts w:ascii="Sylfaen" w:hAnsi="Sylfaen"/>
          <w:sz w:val="24"/>
          <w:szCs w:val="24"/>
        </w:rPr>
        <w:footnoteReference w:id="54"/>
      </w:r>
      <w:r>
        <w:rPr>
          <w:rFonts w:ascii="Sylfaen" w:hAnsi="Sylfaen"/>
          <w:sz w:val="24"/>
          <w:szCs w:val="24"/>
        </w:rPr>
        <w:t xml:space="preserve"> Similarly, </w:t>
      </w:r>
      <w:r w:rsidRPr="00F00BE2">
        <w:rPr>
          <w:rFonts w:ascii="Sylfaen" w:hAnsi="Sylfaen"/>
          <w:sz w:val="24"/>
          <w:szCs w:val="24"/>
        </w:rPr>
        <w:t>only 14% of those employed in the Town</w:t>
      </w:r>
      <w:r>
        <w:rPr>
          <w:rFonts w:ascii="Sylfaen" w:hAnsi="Sylfaen"/>
          <w:sz w:val="24"/>
          <w:szCs w:val="24"/>
        </w:rPr>
        <w:t xml:space="preserve"> </w:t>
      </w:r>
      <w:r w:rsidRPr="00F00BE2">
        <w:rPr>
          <w:rFonts w:ascii="Sylfaen" w:hAnsi="Sylfaen"/>
          <w:sz w:val="24"/>
          <w:szCs w:val="24"/>
        </w:rPr>
        <w:t xml:space="preserve">Hall </w:t>
      </w:r>
      <w:r>
        <w:rPr>
          <w:rFonts w:ascii="Sylfaen" w:hAnsi="Sylfaen"/>
          <w:sz w:val="24"/>
          <w:szCs w:val="24"/>
        </w:rPr>
        <w:t xml:space="preserve">of Bolnisi municipality </w:t>
      </w:r>
      <w:r w:rsidRPr="00F00BE2">
        <w:rPr>
          <w:rFonts w:ascii="Sylfaen" w:hAnsi="Sylfaen"/>
          <w:sz w:val="24"/>
          <w:szCs w:val="24"/>
        </w:rPr>
        <w:t>represent</w:t>
      </w:r>
      <w:r>
        <w:rPr>
          <w:rFonts w:ascii="Sylfaen" w:hAnsi="Sylfaen"/>
          <w:sz w:val="24"/>
          <w:szCs w:val="24"/>
        </w:rPr>
        <w:t>ed</w:t>
      </w:r>
      <w:r w:rsidRPr="00F00BE2">
        <w:rPr>
          <w:rFonts w:ascii="Sylfaen" w:hAnsi="Sylfaen"/>
          <w:sz w:val="24"/>
          <w:szCs w:val="24"/>
        </w:rPr>
        <w:t xml:space="preserve"> national minorities</w:t>
      </w:r>
      <w:r>
        <w:rPr>
          <w:rFonts w:ascii="Sylfaen" w:hAnsi="Sylfaen"/>
          <w:sz w:val="24"/>
          <w:szCs w:val="24"/>
        </w:rPr>
        <w:t xml:space="preserve"> which constitute </w:t>
      </w:r>
      <w:r w:rsidRPr="001D7A7E">
        <w:rPr>
          <w:rFonts w:ascii="Sylfaen" w:hAnsi="Sylfaen"/>
          <w:sz w:val="24"/>
          <w:szCs w:val="24"/>
        </w:rPr>
        <w:t>69.1% of</w:t>
      </w:r>
      <w:r>
        <w:rPr>
          <w:rFonts w:ascii="Sylfaen" w:hAnsi="Sylfaen"/>
          <w:sz w:val="24"/>
          <w:szCs w:val="24"/>
        </w:rPr>
        <w:t xml:space="preserve"> </w:t>
      </w:r>
      <w:r w:rsidRPr="001D7A7E">
        <w:rPr>
          <w:rFonts w:ascii="Sylfaen" w:hAnsi="Sylfaen"/>
          <w:sz w:val="24"/>
          <w:szCs w:val="24"/>
        </w:rPr>
        <w:t xml:space="preserve">the population </w:t>
      </w:r>
      <w:r>
        <w:rPr>
          <w:rFonts w:ascii="Sylfaen" w:hAnsi="Sylfaen"/>
          <w:sz w:val="24"/>
          <w:szCs w:val="24"/>
        </w:rPr>
        <w:t>there.</w:t>
      </w:r>
      <w:r>
        <w:rPr>
          <w:rStyle w:val="FootnoteReference"/>
          <w:rFonts w:ascii="Sylfaen" w:hAnsi="Sylfaen"/>
          <w:sz w:val="24"/>
          <w:szCs w:val="24"/>
        </w:rPr>
        <w:footnoteReference w:id="55"/>
      </w:r>
      <w:r>
        <w:rPr>
          <w:rFonts w:ascii="Sylfaen" w:hAnsi="Sylfaen"/>
          <w:sz w:val="24"/>
          <w:szCs w:val="24"/>
        </w:rPr>
        <w:t xml:space="preserve"> Moreover, </w:t>
      </w:r>
      <w:r w:rsidRPr="00223ADF">
        <w:rPr>
          <w:rFonts w:ascii="Sylfaen" w:hAnsi="Sylfaen"/>
          <w:sz w:val="24"/>
          <w:szCs w:val="24"/>
        </w:rPr>
        <w:t>National minorities are still very rarely represented and/or not represented at all in central government</w:t>
      </w:r>
      <w:r>
        <w:rPr>
          <w:rFonts w:ascii="Sylfaen" w:hAnsi="Sylfaen"/>
          <w:sz w:val="24"/>
          <w:szCs w:val="24"/>
        </w:rPr>
        <w:t xml:space="preserve"> </w:t>
      </w:r>
      <w:r w:rsidRPr="00223ADF">
        <w:rPr>
          <w:rFonts w:ascii="Sylfaen" w:hAnsi="Sylfaen"/>
          <w:sz w:val="24"/>
          <w:szCs w:val="24"/>
        </w:rPr>
        <w:t>bodies (except for the Office of the State Minister for Civic Equality and Integration).</w:t>
      </w:r>
      <w:r>
        <w:rPr>
          <w:rStyle w:val="FootnoteReference"/>
          <w:rFonts w:ascii="Sylfaen" w:hAnsi="Sylfaen"/>
          <w:sz w:val="24"/>
          <w:szCs w:val="24"/>
        </w:rPr>
        <w:footnoteReference w:id="56"/>
      </w:r>
    </w:p>
    <w:p w14:paraId="32E08E9C" w14:textId="1B24FD2E" w:rsidR="00751057" w:rsidRDefault="007702E9" w:rsidP="007702E9">
      <w:pPr>
        <w:jc w:val="both"/>
        <w:rPr>
          <w:rFonts w:ascii="Sylfaen" w:hAnsi="Sylfaen"/>
          <w:sz w:val="24"/>
          <w:szCs w:val="24"/>
        </w:rPr>
      </w:pPr>
      <w:r>
        <w:rPr>
          <w:rFonts w:ascii="Sylfaen" w:hAnsi="Sylfaen"/>
          <w:sz w:val="24"/>
          <w:szCs w:val="24"/>
        </w:rPr>
        <w:t>13. In the context of political participation, the State Report reads that “s</w:t>
      </w:r>
      <w:r w:rsidRPr="00993E65">
        <w:rPr>
          <w:rFonts w:ascii="Sylfaen" w:hAnsi="Sylfaen"/>
          <w:sz w:val="24"/>
          <w:szCs w:val="24"/>
        </w:rPr>
        <w:t xml:space="preserve">ince 2017 community-consultative councils operate at the offices of the administration of the state representative/governors in Kakheti and Kvemo </w:t>
      </w:r>
      <w:proofErr w:type="spellStart"/>
      <w:r w:rsidRPr="00993E65">
        <w:rPr>
          <w:rFonts w:ascii="Sylfaen" w:hAnsi="Sylfaen"/>
          <w:sz w:val="24"/>
          <w:szCs w:val="24"/>
        </w:rPr>
        <w:t>Kartli</w:t>
      </w:r>
      <w:proofErr w:type="spellEnd"/>
      <w:r w:rsidRPr="00993E65">
        <w:rPr>
          <w:rFonts w:ascii="Sylfaen" w:hAnsi="Sylfaen"/>
          <w:sz w:val="24"/>
          <w:szCs w:val="24"/>
        </w:rPr>
        <w:t xml:space="preserve"> regions that ensure engagement of </w:t>
      </w:r>
      <w:r w:rsidRPr="00993E65">
        <w:rPr>
          <w:rFonts w:ascii="Sylfaen" w:hAnsi="Sylfaen"/>
          <w:sz w:val="24"/>
          <w:szCs w:val="24"/>
        </w:rPr>
        <w:lastRenderedPageBreak/>
        <w:t>ethnic minority representatives in the decision-making process</w:t>
      </w:r>
      <w:r>
        <w:rPr>
          <w:rFonts w:ascii="Sylfaen" w:hAnsi="Sylfaen"/>
          <w:sz w:val="24"/>
          <w:szCs w:val="24"/>
        </w:rPr>
        <w:t>”.</w:t>
      </w:r>
      <w:r>
        <w:rPr>
          <w:rStyle w:val="FootnoteReference"/>
          <w:rFonts w:ascii="Sylfaen" w:hAnsi="Sylfaen"/>
          <w:sz w:val="24"/>
          <w:szCs w:val="24"/>
        </w:rPr>
        <w:footnoteReference w:id="57"/>
      </w:r>
      <w:r>
        <w:rPr>
          <w:rFonts w:ascii="Sylfaen" w:hAnsi="Sylfaen"/>
          <w:sz w:val="24"/>
          <w:szCs w:val="24"/>
        </w:rPr>
        <w:t xml:space="preserve"> The </w:t>
      </w:r>
      <w:r w:rsidRPr="0075604C">
        <w:rPr>
          <w:rFonts w:ascii="Sylfaen" w:hAnsi="Sylfaen"/>
          <w:sz w:val="24"/>
          <w:szCs w:val="24"/>
        </w:rPr>
        <w:t>Council of National Minorities under the auspices</w:t>
      </w:r>
      <w:r>
        <w:rPr>
          <w:rFonts w:ascii="Sylfaen" w:hAnsi="Sylfaen"/>
          <w:sz w:val="24"/>
          <w:szCs w:val="24"/>
          <w:lang w:val="ka-GE"/>
        </w:rPr>
        <w:t xml:space="preserve"> </w:t>
      </w:r>
      <w:r>
        <w:rPr>
          <w:rFonts w:ascii="Sylfaen" w:hAnsi="Sylfaen"/>
          <w:sz w:val="24"/>
          <w:szCs w:val="24"/>
        </w:rPr>
        <w:t xml:space="preserve">of the PDO has assessed the work of the aforesaid consultative councils negatively. In particular, according to the Council of National Minorities, </w:t>
      </w:r>
      <w:r w:rsidRPr="007A4596">
        <w:rPr>
          <w:rFonts w:ascii="Sylfaen" w:hAnsi="Sylfaen"/>
          <w:sz w:val="24"/>
          <w:szCs w:val="24"/>
        </w:rPr>
        <w:t>the</w:t>
      </w:r>
      <w:r>
        <w:rPr>
          <w:rFonts w:ascii="Sylfaen" w:hAnsi="Sylfaen"/>
          <w:sz w:val="24"/>
          <w:szCs w:val="24"/>
        </w:rPr>
        <w:t>se</w:t>
      </w:r>
      <w:r w:rsidRPr="007A4596">
        <w:rPr>
          <w:rFonts w:ascii="Sylfaen" w:hAnsi="Sylfaen"/>
          <w:sz w:val="24"/>
          <w:szCs w:val="24"/>
        </w:rPr>
        <w:t xml:space="preserve"> consultative councils do not sufficiently ensure regular dialogue between the representatives of national minorities and the state.</w:t>
      </w:r>
      <w:r>
        <w:rPr>
          <w:rStyle w:val="FootnoteReference"/>
          <w:rFonts w:ascii="Sylfaen" w:hAnsi="Sylfaen"/>
          <w:sz w:val="24"/>
          <w:szCs w:val="24"/>
        </w:rPr>
        <w:footnoteReference w:id="58"/>
      </w:r>
      <w:r w:rsidRPr="007A4596">
        <w:rPr>
          <w:rFonts w:ascii="Sylfaen" w:hAnsi="Sylfaen"/>
          <w:sz w:val="24"/>
          <w:szCs w:val="24"/>
        </w:rPr>
        <w:t xml:space="preserve"> Furthermore, these councils usually have civic engagement functions and are not designated to act as minority consultation mechanisms.</w:t>
      </w:r>
      <w:r>
        <w:rPr>
          <w:rStyle w:val="FootnoteReference"/>
          <w:rFonts w:ascii="Sylfaen" w:hAnsi="Sylfaen"/>
          <w:sz w:val="24"/>
          <w:szCs w:val="24"/>
        </w:rPr>
        <w:footnoteReference w:id="59"/>
      </w:r>
      <w:r w:rsidRPr="007A4596">
        <w:rPr>
          <w:rFonts w:ascii="Sylfaen" w:hAnsi="Sylfaen"/>
          <w:sz w:val="24"/>
          <w:szCs w:val="24"/>
        </w:rPr>
        <w:t xml:space="preserve"> </w:t>
      </w:r>
      <w:r>
        <w:rPr>
          <w:rFonts w:ascii="Sylfaen" w:hAnsi="Sylfaen"/>
          <w:sz w:val="24"/>
          <w:szCs w:val="24"/>
        </w:rPr>
        <w:t xml:space="preserve">Moreover, </w:t>
      </w:r>
      <w:r w:rsidRPr="007A4596">
        <w:rPr>
          <w:rFonts w:ascii="Sylfaen" w:hAnsi="Sylfaen"/>
          <w:sz w:val="24"/>
          <w:szCs w:val="24"/>
        </w:rPr>
        <w:t>their mandate is rather ambiguous.</w:t>
      </w:r>
      <w:r>
        <w:rPr>
          <w:rStyle w:val="FootnoteReference"/>
          <w:rFonts w:ascii="Sylfaen" w:hAnsi="Sylfaen"/>
          <w:sz w:val="24"/>
          <w:szCs w:val="24"/>
        </w:rPr>
        <w:footnoteReference w:id="60"/>
      </w:r>
      <w:r>
        <w:rPr>
          <w:rFonts w:ascii="Sylfaen" w:hAnsi="Sylfaen"/>
          <w:sz w:val="24"/>
          <w:szCs w:val="24"/>
        </w:rPr>
        <w:t xml:space="preserve"> Thus, the PDO considers that </w:t>
      </w:r>
      <w:r w:rsidRPr="00DC3423">
        <w:rPr>
          <w:rFonts w:ascii="Sylfaen" w:hAnsi="Sylfaen"/>
          <w:sz w:val="24"/>
          <w:szCs w:val="24"/>
        </w:rPr>
        <w:t xml:space="preserve">no effective institutionalized consultative mechanisms </w:t>
      </w:r>
      <w:r>
        <w:rPr>
          <w:rFonts w:ascii="Sylfaen" w:hAnsi="Sylfaen"/>
          <w:sz w:val="24"/>
          <w:szCs w:val="24"/>
        </w:rPr>
        <w:t xml:space="preserve">have been </w:t>
      </w:r>
      <w:r w:rsidRPr="00DC3423">
        <w:rPr>
          <w:rFonts w:ascii="Sylfaen" w:hAnsi="Sylfaen"/>
          <w:sz w:val="24"/>
          <w:szCs w:val="24"/>
        </w:rPr>
        <w:t>established for minorities at the executive level and no effective steps were taken to strengthen the</w:t>
      </w:r>
      <w:r>
        <w:rPr>
          <w:rFonts w:ascii="Sylfaen" w:hAnsi="Sylfaen"/>
          <w:sz w:val="24"/>
          <w:szCs w:val="24"/>
        </w:rPr>
        <w:t xml:space="preserve"> </w:t>
      </w:r>
      <w:r w:rsidRPr="00DC3423">
        <w:rPr>
          <w:rFonts w:ascii="Sylfaen" w:hAnsi="Sylfaen"/>
          <w:sz w:val="24"/>
          <w:szCs w:val="24"/>
        </w:rPr>
        <w:t>existing mechanisms.</w:t>
      </w:r>
      <w:r>
        <w:rPr>
          <w:rStyle w:val="FootnoteReference"/>
          <w:rFonts w:ascii="Sylfaen" w:hAnsi="Sylfaen"/>
          <w:sz w:val="24"/>
          <w:szCs w:val="24"/>
        </w:rPr>
        <w:footnoteReference w:id="61"/>
      </w:r>
      <w:r>
        <w:rPr>
          <w:rFonts w:ascii="Sylfaen" w:hAnsi="Sylfaen"/>
          <w:sz w:val="24"/>
          <w:szCs w:val="24"/>
        </w:rPr>
        <w:t xml:space="preserve"> </w:t>
      </w:r>
    </w:p>
    <w:p w14:paraId="0080EA9E" w14:textId="2BFF51EA" w:rsidR="007702E9" w:rsidRPr="006A1D84" w:rsidRDefault="002123B5" w:rsidP="00625601">
      <w:pPr>
        <w:jc w:val="both"/>
        <w:rPr>
          <w:rFonts w:ascii="Sylfaen" w:hAnsi="Sylfaen"/>
          <w:b/>
          <w:bCs/>
          <w:sz w:val="24"/>
          <w:szCs w:val="24"/>
        </w:rPr>
      </w:pPr>
      <w:r w:rsidRPr="006A1D84">
        <w:rPr>
          <w:rFonts w:ascii="Sylfaen" w:hAnsi="Sylfaen"/>
          <w:b/>
          <w:bCs/>
          <w:sz w:val="24"/>
          <w:szCs w:val="24"/>
        </w:rPr>
        <w:t>Access to employment and economic empowerment</w:t>
      </w:r>
    </w:p>
    <w:p w14:paraId="378CA0A7" w14:textId="76E39B7E" w:rsidR="00D769AC" w:rsidRDefault="002123B5" w:rsidP="00D769AC">
      <w:pPr>
        <w:jc w:val="both"/>
        <w:rPr>
          <w:rFonts w:ascii="Sylfaen" w:hAnsi="Sylfaen"/>
          <w:sz w:val="24"/>
          <w:szCs w:val="24"/>
        </w:rPr>
      </w:pPr>
      <w:r>
        <w:rPr>
          <w:rFonts w:ascii="Sylfaen" w:hAnsi="Sylfaen"/>
          <w:sz w:val="24"/>
          <w:szCs w:val="24"/>
        </w:rPr>
        <w:t>14.</w:t>
      </w:r>
      <w:r w:rsidR="00D769AC">
        <w:rPr>
          <w:rFonts w:ascii="Sylfaen" w:hAnsi="Sylfaen"/>
          <w:sz w:val="24"/>
          <w:szCs w:val="24"/>
        </w:rPr>
        <w:t xml:space="preserve"> In terms of access to employment and economic empowerment, the State Report mentions various </w:t>
      </w:r>
      <w:r w:rsidR="00D769AC" w:rsidRPr="0050686E">
        <w:rPr>
          <w:rFonts w:ascii="Sylfaen" w:hAnsi="Sylfaen"/>
          <w:sz w:val="24"/>
          <w:szCs w:val="24"/>
        </w:rPr>
        <w:t>employment facilitation programmes</w:t>
      </w:r>
      <w:r w:rsidR="00D769AC">
        <w:rPr>
          <w:rFonts w:ascii="Sylfaen" w:hAnsi="Sylfaen"/>
          <w:sz w:val="24"/>
          <w:szCs w:val="24"/>
        </w:rPr>
        <w:t>.</w:t>
      </w:r>
      <w:r w:rsidR="00D769AC">
        <w:rPr>
          <w:rStyle w:val="FootnoteReference"/>
          <w:rFonts w:ascii="Sylfaen" w:hAnsi="Sylfaen"/>
          <w:sz w:val="24"/>
          <w:szCs w:val="24"/>
        </w:rPr>
        <w:footnoteReference w:id="62"/>
      </w:r>
      <w:r w:rsidR="00D769AC">
        <w:rPr>
          <w:rFonts w:ascii="Sylfaen" w:hAnsi="Sylfaen"/>
          <w:sz w:val="24"/>
          <w:szCs w:val="24"/>
        </w:rPr>
        <w:t xml:space="preserve"> In this connection, the PDO has assessed </w:t>
      </w:r>
      <w:r w:rsidR="00D769AC" w:rsidRPr="00F364A9">
        <w:rPr>
          <w:rFonts w:ascii="Sylfaen" w:hAnsi="Sylfaen"/>
          <w:sz w:val="24"/>
          <w:szCs w:val="24"/>
        </w:rPr>
        <w:t>employment support programmes</w:t>
      </w:r>
      <w:r w:rsidR="00D769AC">
        <w:rPr>
          <w:rFonts w:ascii="Sylfaen" w:hAnsi="Sylfaen"/>
          <w:sz w:val="24"/>
          <w:szCs w:val="24"/>
        </w:rPr>
        <w:t xml:space="preserve"> of the Social Service Agency and the </w:t>
      </w:r>
      <w:r w:rsidR="00D769AC" w:rsidRPr="00F364A9">
        <w:rPr>
          <w:rFonts w:ascii="Sylfaen" w:hAnsi="Sylfaen"/>
          <w:sz w:val="24"/>
          <w:szCs w:val="24"/>
        </w:rPr>
        <w:t>internship in civil service for the</w:t>
      </w:r>
      <w:r w:rsidR="00D769AC">
        <w:rPr>
          <w:rFonts w:ascii="Sylfaen" w:hAnsi="Sylfaen"/>
          <w:sz w:val="24"/>
          <w:szCs w:val="24"/>
        </w:rPr>
        <w:t xml:space="preserve"> </w:t>
      </w:r>
      <w:r w:rsidR="00D769AC" w:rsidRPr="00F364A9">
        <w:rPr>
          <w:rFonts w:ascii="Sylfaen" w:hAnsi="Sylfaen"/>
          <w:sz w:val="24"/>
          <w:szCs w:val="24"/>
        </w:rPr>
        <w:t>beneficiaries of the Georgian language programme (</w:t>
      </w:r>
      <w:r w:rsidR="00D769AC">
        <w:rPr>
          <w:rFonts w:ascii="Sylfaen" w:hAnsi="Sylfaen"/>
          <w:sz w:val="24"/>
          <w:szCs w:val="24"/>
        </w:rPr>
        <w:t>“</w:t>
      </w:r>
      <w:r w:rsidR="00D769AC" w:rsidRPr="00F364A9">
        <w:rPr>
          <w:rFonts w:ascii="Sylfaen" w:hAnsi="Sylfaen"/>
          <w:sz w:val="24"/>
          <w:szCs w:val="24"/>
        </w:rPr>
        <w:t>1+4 programme</w:t>
      </w:r>
      <w:r w:rsidR="00D769AC">
        <w:rPr>
          <w:rFonts w:ascii="Sylfaen" w:hAnsi="Sylfaen"/>
          <w:sz w:val="24"/>
          <w:szCs w:val="24"/>
        </w:rPr>
        <w:t>”</w:t>
      </w:r>
      <w:r w:rsidR="00D769AC" w:rsidRPr="00F364A9">
        <w:rPr>
          <w:rFonts w:ascii="Sylfaen" w:hAnsi="Sylfaen"/>
          <w:sz w:val="24"/>
          <w:szCs w:val="24"/>
        </w:rPr>
        <w:t>)</w:t>
      </w:r>
      <w:r w:rsidR="00D769AC">
        <w:rPr>
          <w:rFonts w:ascii="Sylfaen" w:hAnsi="Sylfaen"/>
          <w:sz w:val="24"/>
          <w:szCs w:val="24"/>
        </w:rPr>
        <w:t xml:space="preserve"> as a fragmental and thus insufficient intervention to solve the problems in employment of ethnic minorities.</w:t>
      </w:r>
      <w:r w:rsidR="00D769AC">
        <w:rPr>
          <w:rStyle w:val="FootnoteReference"/>
          <w:rFonts w:ascii="Sylfaen" w:hAnsi="Sylfaen"/>
          <w:sz w:val="24"/>
          <w:szCs w:val="24"/>
        </w:rPr>
        <w:footnoteReference w:id="63"/>
      </w:r>
    </w:p>
    <w:p w14:paraId="7CF6511A" w14:textId="5E2CD85D" w:rsidR="002123B5" w:rsidRPr="006A1D84" w:rsidRDefault="00D769AC" w:rsidP="00625601">
      <w:pPr>
        <w:jc w:val="both"/>
        <w:rPr>
          <w:rFonts w:ascii="Sylfaen" w:hAnsi="Sylfaen"/>
          <w:b/>
          <w:bCs/>
          <w:sz w:val="24"/>
          <w:szCs w:val="24"/>
        </w:rPr>
      </w:pPr>
      <w:r w:rsidRPr="006A1D84">
        <w:rPr>
          <w:rFonts w:ascii="Sylfaen" w:hAnsi="Sylfaen"/>
          <w:b/>
          <w:bCs/>
          <w:sz w:val="24"/>
          <w:szCs w:val="24"/>
        </w:rPr>
        <w:t>Healthcare</w:t>
      </w:r>
    </w:p>
    <w:p w14:paraId="7975430B" w14:textId="5C990629" w:rsidR="00D769AC" w:rsidRDefault="00D769AC" w:rsidP="00625601">
      <w:pPr>
        <w:jc w:val="both"/>
        <w:rPr>
          <w:rFonts w:ascii="Sylfaen" w:hAnsi="Sylfaen"/>
          <w:sz w:val="24"/>
          <w:szCs w:val="24"/>
        </w:rPr>
      </w:pPr>
      <w:r>
        <w:rPr>
          <w:rFonts w:ascii="Sylfaen" w:hAnsi="Sylfaen"/>
          <w:sz w:val="24"/>
          <w:szCs w:val="24"/>
        </w:rPr>
        <w:t>15. According to the State report “e</w:t>
      </w:r>
      <w:r w:rsidRPr="00AC17C2">
        <w:rPr>
          <w:rFonts w:ascii="Sylfaen" w:hAnsi="Sylfaen"/>
          <w:sz w:val="24"/>
          <w:szCs w:val="24"/>
        </w:rPr>
        <w:t>thnic minorities in the regions densely inhabited by ethnic minorities have access to information on state healthcare programmes and social benefits, various disease, and their prevention</w:t>
      </w:r>
      <w:r>
        <w:rPr>
          <w:rFonts w:ascii="Sylfaen" w:hAnsi="Sylfaen"/>
          <w:sz w:val="24"/>
          <w:szCs w:val="24"/>
        </w:rPr>
        <w:t xml:space="preserve"> and i</w:t>
      </w:r>
      <w:r w:rsidRPr="00AC17C2">
        <w:rPr>
          <w:rFonts w:ascii="Sylfaen" w:hAnsi="Sylfaen"/>
          <w:sz w:val="24"/>
          <w:szCs w:val="24"/>
        </w:rPr>
        <w:t>nformation materials are available in minority languages</w:t>
      </w:r>
      <w:r>
        <w:rPr>
          <w:rFonts w:ascii="Sylfaen" w:hAnsi="Sylfaen"/>
          <w:sz w:val="24"/>
          <w:szCs w:val="24"/>
        </w:rPr>
        <w:t>”.</w:t>
      </w:r>
      <w:r>
        <w:rPr>
          <w:rStyle w:val="FootnoteReference"/>
          <w:rFonts w:ascii="Sylfaen" w:hAnsi="Sylfaen"/>
          <w:sz w:val="24"/>
          <w:szCs w:val="24"/>
        </w:rPr>
        <w:footnoteReference w:id="64"/>
      </w:r>
      <w:r>
        <w:rPr>
          <w:rFonts w:ascii="Sylfaen" w:hAnsi="Sylfaen"/>
          <w:sz w:val="24"/>
          <w:szCs w:val="24"/>
        </w:rPr>
        <w:t xml:space="preserve"> However, a study by the PDO has revealed that women and groups from non-dominant ethnic groups face significant challenges in accessing sexual and reproductive health </w:t>
      </w:r>
      <w:r>
        <w:rPr>
          <w:rFonts w:ascii="Sylfaen" w:hAnsi="Sylfaen"/>
          <w:sz w:val="24"/>
          <w:szCs w:val="24"/>
        </w:rPr>
        <w:lastRenderedPageBreak/>
        <w:t>services.</w:t>
      </w:r>
      <w:r>
        <w:rPr>
          <w:rStyle w:val="FootnoteReference"/>
          <w:rFonts w:ascii="Sylfaen" w:hAnsi="Sylfaen"/>
          <w:sz w:val="24"/>
          <w:szCs w:val="24"/>
        </w:rPr>
        <w:footnoteReference w:id="65"/>
      </w:r>
      <w:r>
        <w:rPr>
          <w:rFonts w:ascii="Sylfaen" w:hAnsi="Sylfaen"/>
          <w:sz w:val="24"/>
          <w:szCs w:val="24"/>
        </w:rPr>
        <w:t xml:space="preserve"> One of the challenges is the lack of relevant information caused by lack of comprehensive education on human sexuality at schools and limited access </w:t>
      </w:r>
      <w:r w:rsidRPr="008E5210">
        <w:rPr>
          <w:rFonts w:ascii="Sylfaen" w:hAnsi="Sylfaen"/>
          <w:sz w:val="24"/>
          <w:szCs w:val="24"/>
        </w:rPr>
        <w:t>to information in a language</w:t>
      </w:r>
      <w:r>
        <w:rPr>
          <w:rFonts w:ascii="Sylfaen" w:hAnsi="Sylfaen"/>
          <w:sz w:val="24"/>
          <w:szCs w:val="24"/>
        </w:rPr>
        <w:t xml:space="preserve"> which girls and women from non-dominant ethnic groups understand.</w:t>
      </w:r>
      <w:r>
        <w:rPr>
          <w:rStyle w:val="FootnoteReference"/>
          <w:rFonts w:ascii="Sylfaen" w:hAnsi="Sylfaen"/>
          <w:sz w:val="24"/>
          <w:szCs w:val="24"/>
        </w:rPr>
        <w:footnoteReference w:id="66"/>
      </w:r>
      <w:r>
        <w:rPr>
          <w:rFonts w:ascii="Sylfaen" w:hAnsi="Sylfaen"/>
          <w:sz w:val="24"/>
          <w:szCs w:val="24"/>
        </w:rPr>
        <w:t xml:space="preserve"> Other factors hindering access to reproductive and sexual health services include </w:t>
      </w:r>
      <w:r w:rsidRPr="00274948">
        <w:rPr>
          <w:rFonts w:ascii="Sylfaen" w:hAnsi="Sylfaen"/>
          <w:sz w:val="24"/>
          <w:szCs w:val="24"/>
          <w:lang w:val="ka-GE"/>
        </w:rPr>
        <w:t>scarcity of state sexual and reproductive health programs and services, non-inclusiveness, low-quality</w:t>
      </w:r>
      <w:r>
        <w:rPr>
          <w:rFonts w:ascii="Sylfaen" w:hAnsi="Sylfaen"/>
          <w:sz w:val="24"/>
          <w:szCs w:val="24"/>
        </w:rPr>
        <w:t>,</w:t>
      </w:r>
      <w:r w:rsidRPr="00274948">
        <w:rPr>
          <w:rFonts w:ascii="Sylfaen" w:hAnsi="Sylfaen"/>
          <w:sz w:val="24"/>
          <w:szCs w:val="24"/>
          <w:lang w:val="ka-GE"/>
        </w:rPr>
        <w:t xml:space="preserve"> administrative problems </w:t>
      </w:r>
      <w:r>
        <w:rPr>
          <w:rFonts w:ascii="Sylfaen" w:hAnsi="Sylfaen"/>
          <w:sz w:val="24"/>
          <w:szCs w:val="24"/>
        </w:rPr>
        <w:t>and lack of gender-sensitivity of the available services and programs.</w:t>
      </w:r>
      <w:r>
        <w:rPr>
          <w:rStyle w:val="FootnoteReference"/>
          <w:rFonts w:ascii="Sylfaen" w:hAnsi="Sylfaen"/>
          <w:sz w:val="24"/>
          <w:szCs w:val="24"/>
        </w:rPr>
        <w:footnoteReference w:id="67"/>
      </w:r>
    </w:p>
    <w:p w14:paraId="0689920C" w14:textId="1167B246" w:rsidR="0079314C" w:rsidRDefault="00142269" w:rsidP="00625601">
      <w:pPr>
        <w:jc w:val="both"/>
        <w:rPr>
          <w:rFonts w:ascii="Sylfaen" w:hAnsi="Sylfaen"/>
          <w:sz w:val="24"/>
          <w:szCs w:val="24"/>
        </w:rPr>
      </w:pPr>
      <w:r w:rsidRPr="00142269">
        <w:rPr>
          <w:rFonts w:ascii="Sylfaen" w:hAnsi="Sylfaen"/>
          <w:sz w:val="24"/>
          <w:szCs w:val="24"/>
        </w:rPr>
        <w:t>Due to the language barrier, members of non-dominant ethnic groups are unable to properly enjoy</w:t>
      </w:r>
      <w:r w:rsidRPr="00142269">
        <w:t xml:space="preserve"> </w:t>
      </w:r>
      <w:r w:rsidRPr="00142269">
        <w:rPr>
          <w:rFonts w:ascii="Sylfaen" w:hAnsi="Sylfaen"/>
          <w:sz w:val="24"/>
          <w:szCs w:val="24"/>
        </w:rPr>
        <w:t>health care services</w:t>
      </w:r>
      <w:r w:rsidR="004744DA">
        <w:rPr>
          <w:rFonts w:ascii="Sylfaen" w:hAnsi="Sylfaen"/>
          <w:sz w:val="24"/>
          <w:szCs w:val="24"/>
          <w:lang w:val="ka-GE"/>
        </w:rPr>
        <w:t xml:space="preserve">. </w:t>
      </w:r>
      <w:r w:rsidR="00926561">
        <w:rPr>
          <w:rFonts w:ascii="Sylfaen" w:hAnsi="Sylfaen"/>
          <w:sz w:val="24"/>
          <w:szCs w:val="24"/>
        </w:rPr>
        <w:t>M</w:t>
      </w:r>
      <w:r w:rsidR="0054461F" w:rsidRPr="0054461F">
        <w:rPr>
          <w:rFonts w:ascii="Sylfaen" w:hAnsi="Sylfaen"/>
          <w:sz w:val="24"/>
          <w:szCs w:val="24"/>
        </w:rPr>
        <w:t>embers of ethnic minorities are</w:t>
      </w:r>
      <w:r w:rsidR="00926561">
        <w:rPr>
          <w:rFonts w:ascii="Sylfaen" w:hAnsi="Sylfaen"/>
          <w:sz w:val="24"/>
          <w:szCs w:val="24"/>
        </w:rPr>
        <w:t xml:space="preserve"> </w:t>
      </w:r>
      <w:r w:rsidR="0054461F" w:rsidRPr="0054461F">
        <w:rPr>
          <w:rFonts w:ascii="Sylfaen" w:hAnsi="Sylfaen"/>
          <w:sz w:val="24"/>
          <w:szCs w:val="24"/>
        </w:rPr>
        <w:t>forced to ask their family members, relatives or friends to accompany them and help in communicating</w:t>
      </w:r>
      <w:r w:rsidR="00926561">
        <w:rPr>
          <w:rFonts w:ascii="Sylfaen" w:hAnsi="Sylfaen"/>
          <w:sz w:val="24"/>
          <w:szCs w:val="24"/>
        </w:rPr>
        <w:t xml:space="preserve"> </w:t>
      </w:r>
      <w:r w:rsidR="0054461F" w:rsidRPr="0054461F">
        <w:rPr>
          <w:rFonts w:ascii="Sylfaen" w:hAnsi="Sylfaen"/>
          <w:sz w:val="24"/>
          <w:szCs w:val="24"/>
        </w:rPr>
        <w:t>with doctors, which, of course, is associated with additional risk factors</w:t>
      </w:r>
      <w:r w:rsidR="00926561">
        <w:rPr>
          <w:rFonts w:ascii="Sylfaen" w:hAnsi="Sylfaen"/>
          <w:sz w:val="24"/>
          <w:szCs w:val="24"/>
        </w:rPr>
        <w:t>.</w:t>
      </w:r>
      <w:r w:rsidR="0054461F">
        <w:rPr>
          <w:rStyle w:val="FootnoteReference"/>
          <w:rFonts w:ascii="Sylfaen" w:hAnsi="Sylfaen"/>
          <w:sz w:val="24"/>
          <w:szCs w:val="24"/>
        </w:rPr>
        <w:footnoteReference w:id="68"/>
      </w:r>
    </w:p>
    <w:p w14:paraId="5BE33C19" w14:textId="49154CD7" w:rsidR="0079314C" w:rsidRPr="006A1D84" w:rsidRDefault="0079314C" w:rsidP="00625601">
      <w:pPr>
        <w:jc w:val="both"/>
        <w:rPr>
          <w:rFonts w:ascii="Sylfaen" w:hAnsi="Sylfaen"/>
          <w:b/>
          <w:bCs/>
          <w:sz w:val="24"/>
          <w:szCs w:val="24"/>
        </w:rPr>
      </w:pPr>
      <w:r w:rsidRPr="006A1D84">
        <w:rPr>
          <w:rFonts w:ascii="Sylfaen" w:hAnsi="Sylfaen"/>
          <w:b/>
          <w:bCs/>
          <w:sz w:val="24"/>
          <w:szCs w:val="24"/>
        </w:rPr>
        <w:t>Access to media and information</w:t>
      </w:r>
    </w:p>
    <w:p w14:paraId="1AE15AB9" w14:textId="77777777" w:rsidR="0079314C" w:rsidRDefault="0079314C" w:rsidP="0079314C">
      <w:pPr>
        <w:jc w:val="both"/>
        <w:rPr>
          <w:rFonts w:ascii="Sylfaen" w:hAnsi="Sylfaen"/>
          <w:sz w:val="24"/>
          <w:szCs w:val="24"/>
        </w:rPr>
      </w:pPr>
      <w:r>
        <w:rPr>
          <w:rFonts w:ascii="Sylfaen" w:hAnsi="Sylfaen"/>
          <w:sz w:val="24"/>
          <w:szCs w:val="24"/>
        </w:rPr>
        <w:t>16. The State Report also addresses access to media and information for ethnic minorities, including the activities of the Georgian Public Broadcaster in this respect.</w:t>
      </w:r>
      <w:r>
        <w:rPr>
          <w:rStyle w:val="FootnoteReference"/>
          <w:rFonts w:ascii="Sylfaen" w:hAnsi="Sylfaen"/>
          <w:sz w:val="24"/>
          <w:szCs w:val="24"/>
        </w:rPr>
        <w:footnoteReference w:id="69"/>
      </w:r>
      <w:r>
        <w:rPr>
          <w:rFonts w:ascii="Sylfaen" w:hAnsi="Sylfaen"/>
          <w:sz w:val="24"/>
          <w:szCs w:val="24"/>
        </w:rPr>
        <w:t xml:space="preserve"> Despite the activities of the Public Broadcaster, the PDO would like to note that </w:t>
      </w:r>
      <w:r w:rsidRPr="00607354">
        <w:rPr>
          <w:rFonts w:ascii="Sylfaen" w:hAnsi="Sylfaen"/>
          <w:sz w:val="24"/>
          <w:szCs w:val="24"/>
        </w:rPr>
        <w:t>the practice of disseminating</w:t>
      </w:r>
      <w:r>
        <w:rPr>
          <w:rFonts w:ascii="Sylfaen" w:hAnsi="Sylfaen"/>
          <w:sz w:val="24"/>
          <w:szCs w:val="24"/>
        </w:rPr>
        <w:t xml:space="preserve"> </w:t>
      </w:r>
      <w:r w:rsidRPr="00607354">
        <w:rPr>
          <w:rFonts w:ascii="Sylfaen" w:hAnsi="Sylfaen"/>
          <w:sz w:val="24"/>
          <w:szCs w:val="24"/>
        </w:rPr>
        <w:t xml:space="preserve">information in the languages of national minorities </w:t>
      </w:r>
      <w:r>
        <w:rPr>
          <w:rFonts w:ascii="Sylfaen" w:hAnsi="Sylfaen"/>
          <w:sz w:val="24"/>
          <w:szCs w:val="24"/>
        </w:rPr>
        <w:t xml:space="preserve">mainly </w:t>
      </w:r>
      <w:r w:rsidRPr="00607354">
        <w:rPr>
          <w:rFonts w:ascii="Sylfaen" w:hAnsi="Sylfaen"/>
          <w:sz w:val="24"/>
          <w:szCs w:val="24"/>
        </w:rPr>
        <w:t xml:space="preserve">through </w:t>
      </w:r>
      <w:r>
        <w:rPr>
          <w:rFonts w:ascii="Sylfaen" w:hAnsi="Sylfaen"/>
          <w:sz w:val="24"/>
          <w:szCs w:val="24"/>
        </w:rPr>
        <w:t xml:space="preserve">the </w:t>
      </w:r>
      <w:r w:rsidRPr="00607354">
        <w:rPr>
          <w:rFonts w:ascii="Sylfaen" w:hAnsi="Sylfaen"/>
          <w:sz w:val="24"/>
          <w:szCs w:val="24"/>
        </w:rPr>
        <w:t>online platform remains</w:t>
      </w:r>
      <w:r>
        <w:rPr>
          <w:rFonts w:ascii="Sylfaen" w:hAnsi="Sylfaen"/>
          <w:sz w:val="24"/>
          <w:szCs w:val="24"/>
        </w:rPr>
        <w:t xml:space="preserve"> </w:t>
      </w:r>
      <w:r w:rsidRPr="00607354">
        <w:rPr>
          <w:rFonts w:ascii="Sylfaen" w:hAnsi="Sylfaen"/>
          <w:sz w:val="24"/>
          <w:szCs w:val="24"/>
        </w:rPr>
        <w:t>problematic, since</w:t>
      </w:r>
      <w:r>
        <w:rPr>
          <w:rFonts w:ascii="Sylfaen" w:hAnsi="Sylfaen"/>
          <w:sz w:val="24"/>
          <w:szCs w:val="24"/>
        </w:rPr>
        <w:t xml:space="preserve"> residents </w:t>
      </w:r>
      <w:r w:rsidRPr="00607354">
        <w:rPr>
          <w:rFonts w:ascii="Sylfaen" w:hAnsi="Sylfaen"/>
          <w:sz w:val="24"/>
          <w:szCs w:val="24"/>
        </w:rPr>
        <w:t>of regions populated by national minorities have limited access to the</w:t>
      </w:r>
      <w:r>
        <w:rPr>
          <w:rFonts w:ascii="Sylfaen" w:hAnsi="Sylfaen"/>
          <w:sz w:val="24"/>
          <w:szCs w:val="24"/>
        </w:rPr>
        <w:t xml:space="preserve"> i</w:t>
      </w:r>
      <w:r w:rsidRPr="00607354">
        <w:rPr>
          <w:rFonts w:ascii="Sylfaen" w:hAnsi="Sylfaen"/>
          <w:sz w:val="24"/>
          <w:szCs w:val="24"/>
        </w:rPr>
        <w:t>nternet.</w:t>
      </w:r>
      <w:r>
        <w:rPr>
          <w:rStyle w:val="FootnoteReference"/>
          <w:rFonts w:ascii="Sylfaen" w:hAnsi="Sylfaen"/>
          <w:sz w:val="24"/>
          <w:szCs w:val="24"/>
        </w:rPr>
        <w:footnoteReference w:id="70"/>
      </w:r>
      <w:r>
        <w:rPr>
          <w:rFonts w:ascii="Sylfaen" w:hAnsi="Sylfaen"/>
          <w:sz w:val="24"/>
          <w:szCs w:val="24"/>
        </w:rPr>
        <w:t xml:space="preserve"> </w:t>
      </w:r>
      <w:r w:rsidRPr="00AF0471">
        <w:rPr>
          <w:rFonts w:ascii="Sylfaen" w:hAnsi="Sylfaen"/>
          <w:sz w:val="24"/>
          <w:szCs w:val="24"/>
        </w:rPr>
        <w:t xml:space="preserve">A clear </w:t>
      </w:r>
      <w:r>
        <w:rPr>
          <w:rFonts w:ascii="Sylfaen" w:hAnsi="Sylfaen"/>
          <w:sz w:val="24"/>
          <w:szCs w:val="24"/>
        </w:rPr>
        <w:t>illustration</w:t>
      </w:r>
      <w:r w:rsidRPr="00AF0471">
        <w:rPr>
          <w:rFonts w:ascii="Sylfaen" w:hAnsi="Sylfaen"/>
          <w:sz w:val="24"/>
          <w:szCs w:val="24"/>
        </w:rPr>
        <w:t xml:space="preserve"> of this</w:t>
      </w:r>
      <w:r>
        <w:rPr>
          <w:rFonts w:ascii="Sylfaen" w:hAnsi="Sylfaen"/>
          <w:sz w:val="24"/>
          <w:szCs w:val="24"/>
        </w:rPr>
        <w:t xml:space="preserve"> issue</w:t>
      </w:r>
      <w:r w:rsidRPr="00AF0471">
        <w:rPr>
          <w:rFonts w:ascii="Sylfaen" w:hAnsi="Sylfaen"/>
          <w:sz w:val="24"/>
          <w:szCs w:val="24"/>
        </w:rPr>
        <w:t xml:space="preserve"> is the online platforms statistics provided by the Public Broadcaster</w:t>
      </w:r>
      <w:r>
        <w:rPr>
          <w:rFonts w:ascii="Sylfaen" w:hAnsi="Sylfaen"/>
          <w:sz w:val="24"/>
          <w:szCs w:val="24"/>
        </w:rPr>
        <w:t xml:space="preserve"> </w:t>
      </w:r>
      <w:r w:rsidRPr="00AF0471">
        <w:rPr>
          <w:rFonts w:ascii="Sylfaen" w:hAnsi="Sylfaen"/>
          <w:sz w:val="24"/>
          <w:szCs w:val="24"/>
        </w:rPr>
        <w:t>itself</w:t>
      </w:r>
      <w:r>
        <w:rPr>
          <w:rFonts w:ascii="Sylfaen" w:hAnsi="Sylfaen"/>
          <w:sz w:val="24"/>
          <w:szCs w:val="24"/>
        </w:rPr>
        <w:t xml:space="preserve">. </w:t>
      </w:r>
      <w:r w:rsidRPr="00AF0471">
        <w:rPr>
          <w:rFonts w:ascii="Sylfaen" w:hAnsi="Sylfaen"/>
          <w:sz w:val="24"/>
          <w:szCs w:val="24"/>
        </w:rPr>
        <w:t xml:space="preserve"> </w:t>
      </w:r>
      <w:r>
        <w:rPr>
          <w:rFonts w:ascii="Sylfaen" w:hAnsi="Sylfaen"/>
          <w:sz w:val="24"/>
          <w:szCs w:val="24"/>
        </w:rPr>
        <w:t xml:space="preserve">According to the statistics, </w:t>
      </w:r>
      <w:r w:rsidRPr="00AF0471">
        <w:rPr>
          <w:rFonts w:ascii="Sylfaen" w:hAnsi="Sylfaen"/>
          <w:sz w:val="24"/>
          <w:szCs w:val="24"/>
        </w:rPr>
        <w:t>the simultaneously interpreted Moambe programme had only 500</w:t>
      </w:r>
      <w:r>
        <w:rPr>
          <w:rFonts w:ascii="Sylfaen" w:hAnsi="Sylfaen"/>
          <w:sz w:val="24"/>
          <w:szCs w:val="24"/>
        </w:rPr>
        <w:t>-</w:t>
      </w:r>
      <w:r w:rsidRPr="00AF0471">
        <w:rPr>
          <w:rFonts w:ascii="Sylfaen" w:hAnsi="Sylfaen"/>
          <w:sz w:val="24"/>
          <w:szCs w:val="24"/>
        </w:rPr>
        <w:t>1500 views daily</w:t>
      </w:r>
      <w:r>
        <w:rPr>
          <w:rFonts w:ascii="Sylfaen" w:hAnsi="Sylfaen"/>
          <w:sz w:val="24"/>
          <w:szCs w:val="24"/>
        </w:rPr>
        <w:t xml:space="preserve"> in 2021</w:t>
      </w:r>
      <w:r w:rsidRPr="00AF0471">
        <w:rPr>
          <w:rFonts w:ascii="Sylfaen" w:hAnsi="Sylfaen"/>
          <w:sz w:val="24"/>
          <w:szCs w:val="24"/>
        </w:rPr>
        <w:t>.</w:t>
      </w:r>
      <w:r>
        <w:rPr>
          <w:rStyle w:val="FootnoteReference"/>
          <w:rFonts w:ascii="Sylfaen" w:hAnsi="Sylfaen"/>
          <w:sz w:val="24"/>
          <w:szCs w:val="24"/>
        </w:rPr>
        <w:footnoteReference w:id="71"/>
      </w:r>
    </w:p>
    <w:p w14:paraId="5131B61C" w14:textId="4216A0F5" w:rsidR="0079314C" w:rsidRDefault="000460AE" w:rsidP="00F4567A">
      <w:pPr>
        <w:pStyle w:val="Heading2"/>
        <w:rPr>
          <w:rFonts w:ascii="Sylfaen" w:hAnsi="Sylfaen"/>
          <w:b/>
          <w:bCs/>
        </w:rPr>
      </w:pPr>
      <w:bookmarkStart w:id="7" w:name="_Toc116583232"/>
      <w:r w:rsidRPr="00CB68C1">
        <w:rPr>
          <w:rFonts w:ascii="Sylfaen" w:hAnsi="Sylfaen"/>
          <w:b/>
          <w:bCs/>
        </w:rPr>
        <w:t>Recommendation (17) – Persons who were forcibly removed during USSR</w:t>
      </w:r>
      <w:bookmarkEnd w:id="7"/>
    </w:p>
    <w:p w14:paraId="79299D35" w14:textId="77777777" w:rsidR="00CB68C1" w:rsidRPr="00FA5A63" w:rsidRDefault="00CB68C1" w:rsidP="00CB68C1"/>
    <w:p w14:paraId="505501B4" w14:textId="16B2E0F3" w:rsidR="00C750BA" w:rsidRPr="004F4029" w:rsidRDefault="000460AE" w:rsidP="004721DB">
      <w:pPr>
        <w:jc w:val="both"/>
        <w:rPr>
          <w:rFonts w:ascii="Sylfaen" w:hAnsi="Sylfaen"/>
          <w:sz w:val="24"/>
          <w:szCs w:val="24"/>
        </w:rPr>
      </w:pPr>
      <w:r>
        <w:rPr>
          <w:rFonts w:ascii="Sylfaen" w:hAnsi="Sylfaen"/>
          <w:sz w:val="24"/>
          <w:szCs w:val="24"/>
        </w:rPr>
        <w:t xml:space="preserve">17. </w:t>
      </w:r>
      <w:r w:rsidR="00297F3B">
        <w:rPr>
          <w:rFonts w:ascii="Sylfaen" w:hAnsi="Sylfaen"/>
          <w:sz w:val="24"/>
          <w:szCs w:val="24"/>
        </w:rPr>
        <w:t xml:space="preserve">The State Report also addresses the matter of repatriation of the persons forcibly displaced </w:t>
      </w:r>
      <w:r w:rsidR="00297F3B" w:rsidRPr="00EA3F67">
        <w:rPr>
          <w:rFonts w:ascii="Sylfaen" w:hAnsi="Sylfaen"/>
          <w:sz w:val="24"/>
          <w:szCs w:val="24"/>
        </w:rPr>
        <w:t>by the Former USSR from the Georgian SSR</w:t>
      </w:r>
      <w:r w:rsidR="00297F3B">
        <w:rPr>
          <w:rFonts w:ascii="Sylfaen" w:hAnsi="Sylfaen"/>
          <w:sz w:val="24"/>
          <w:szCs w:val="24"/>
        </w:rPr>
        <w:t xml:space="preserve">. </w:t>
      </w:r>
      <w:r w:rsidR="00D96208">
        <w:rPr>
          <w:rFonts w:ascii="Sylfaen" w:hAnsi="Sylfaen"/>
          <w:sz w:val="24"/>
          <w:szCs w:val="24"/>
        </w:rPr>
        <w:t>T</w:t>
      </w:r>
      <w:r w:rsidR="00297F3B">
        <w:rPr>
          <w:rFonts w:ascii="Sylfaen" w:hAnsi="Sylfaen"/>
          <w:sz w:val="24"/>
          <w:szCs w:val="24"/>
        </w:rPr>
        <w:t xml:space="preserve">he State Report mentions the </w:t>
      </w:r>
      <w:r w:rsidR="00297F3B" w:rsidRPr="00004D82">
        <w:rPr>
          <w:rFonts w:ascii="Sylfaen" w:hAnsi="Sylfaen"/>
          <w:sz w:val="24"/>
          <w:szCs w:val="24"/>
        </w:rPr>
        <w:t xml:space="preserve">Strategy on Repatriation of Persons Involuntarily Displaced by the Former USSR from the Georgian SSR </w:t>
      </w:r>
      <w:r w:rsidR="00297F3B" w:rsidRPr="00004D82">
        <w:rPr>
          <w:rFonts w:ascii="Sylfaen" w:hAnsi="Sylfaen"/>
          <w:sz w:val="24"/>
          <w:szCs w:val="24"/>
        </w:rPr>
        <w:lastRenderedPageBreak/>
        <w:t>in the 1940s approved by the Government of Georgia on September 12, 2014</w:t>
      </w:r>
      <w:r w:rsidR="00297F3B">
        <w:rPr>
          <w:rFonts w:ascii="Sylfaen" w:hAnsi="Sylfaen"/>
          <w:sz w:val="24"/>
          <w:szCs w:val="24"/>
        </w:rPr>
        <w:t>.</w:t>
      </w:r>
      <w:r w:rsidR="00297F3B">
        <w:rPr>
          <w:rStyle w:val="FootnoteReference"/>
          <w:rFonts w:ascii="Sylfaen" w:hAnsi="Sylfaen"/>
          <w:sz w:val="24"/>
          <w:szCs w:val="24"/>
        </w:rPr>
        <w:footnoteReference w:id="72"/>
      </w:r>
      <w:r w:rsidR="00297F3B">
        <w:rPr>
          <w:rFonts w:ascii="Sylfaen" w:hAnsi="Sylfaen"/>
          <w:sz w:val="24"/>
          <w:szCs w:val="24"/>
        </w:rPr>
        <w:t xml:space="preserve"> However, the PDO would like to note that the Strategy only applies to t</w:t>
      </w:r>
      <w:r w:rsidR="00297F3B" w:rsidRPr="000D3E37">
        <w:rPr>
          <w:rFonts w:ascii="Sylfaen" w:hAnsi="Sylfaen"/>
          <w:sz w:val="24"/>
          <w:szCs w:val="24"/>
        </w:rPr>
        <w:t>he group of persons who have already</w:t>
      </w:r>
      <w:r w:rsidR="00297F3B">
        <w:rPr>
          <w:rFonts w:ascii="Sylfaen" w:hAnsi="Sylfaen"/>
          <w:sz w:val="24"/>
          <w:szCs w:val="24"/>
        </w:rPr>
        <w:t xml:space="preserve"> </w:t>
      </w:r>
      <w:r w:rsidR="00297F3B" w:rsidRPr="000D3E37">
        <w:rPr>
          <w:rFonts w:ascii="Sylfaen" w:hAnsi="Sylfaen"/>
          <w:sz w:val="24"/>
          <w:szCs w:val="24"/>
        </w:rPr>
        <w:t>obtained repatriate status and/or Georgian citizenship.</w:t>
      </w:r>
      <w:r w:rsidR="00297F3B">
        <w:rPr>
          <w:rStyle w:val="FootnoteReference"/>
          <w:rFonts w:ascii="Sylfaen" w:hAnsi="Sylfaen"/>
          <w:sz w:val="24"/>
          <w:szCs w:val="24"/>
        </w:rPr>
        <w:footnoteReference w:id="73"/>
      </w:r>
      <w:r w:rsidR="00297F3B">
        <w:rPr>
          <w:rFonts w:ascii="Sylfaen" w:hAnsi="Sylfaen"/>
          <w:sz w:val="24"/>
          <w:szCs w:val="24"/>
        </w:rPr>
        <w:t xml:space="preserve"> According to the State Report, </w:t>
      </w:r>
      <w:r w:rsidR="00297F3B" w:rsidRPr="002B513C">
        <w:rPr>
          <w:rFonts w:ascii="Sylfaen" w:hAnsi="Sylfaen"/>
          <w:sz w:val="24"/>
          <w:szCs w:val="24"/>
        </w:rPr>
        <w:t>494 persons with the status of a repatriate applied for Georgian citizenship</w:t>
      </w:r>
      <w:r w:rsidR="00297F3B">
        <w:rPr>
          <w:rFonts w:ascii="Sylfaen" w:hAnsi="Sylfaen"/>
          <w:sz w:val="24"/>
          <w:szCs w:val="24"/>
        </w:rPr>
        <w:t xml:space="preserve"> and </w:t>
      </w:r>
      <w:r w:rsidR="00297F3B" w:rsidRPr="002B513C">
        <w:rPr>
          <w:rFonts w:ascii="Sylfaen" w:hAnsi="Sylfaen"/>
          <w:sz w:val="24"/>
          <w:szCs w:val="24"/>
        </w:rPr>
        <w:t>acquired Georgian citizenship</w:t>
      </w:r>
      <w:r w:rsidR="00297F3B">
        <w:rPr>
          <w:rFonts w:ascii="Sylfaen" w:hAnsi="Sylfaen"/>
          <w:sz w:val="24"/>
          <w:szCs w:val="24"/>
        </w:rPr>
        <w:t xml:space="preserve"> which has not taken effect yet.</w:t>
      </w:r>
      <w:r w:rsidR="00297F3B">
        <w:rPr>
          <w:rStyle w:val="FootnoteReference"/>
          <w:rFonts w:ascii="Sylfaen" w:hAnsi="Sylfaen"/>
          <w:sz w:val="24"/>
          <w:szCs w:val="24"/>
        </w:rPr>
        <w:footnoteReference w:id="74"/>
      </w:r>
      <w:r w:rsidR="00297F3B">
        <w:rPr>
          <w:rFonts w:ascii="Sylfaen" w:hAnsi="Sylfaen"/>
          <w:sz w:val="24"/>
          <w:szCs w:val="24"/>
        </w:rPr>
        <w:t xml:space="preserve"> </w:t>
      </w:r>
      <w:r w:rsidR="00297F3B" w:rsidRPr="001D48BF">
        <w:rPr>
          <w:rFonts w:ascii="Sylfaen" w:hAnsi="Sylfaen"/>
          <w:sz w:val="24"/>
          <w:szCs w:val="24"/>
        </w:rPr>
        <w:t>Meetings held with community members in various regions and studies conducted by human rights</w:t>
      </w:r>
      <w:r w:rsidR="00297F3B">
        <w:rPr>
          <w:rFonts w:ascii="Sylfaen" w:hAnsi="Sylfaen"/>
          <w:sz w:val="24"/>
          <w:szCs w:val="24"/>
        </w:rPr>
        <w:t xml:space="preserve"> </w:t>
      </w:r>
      <w:r w:rsidR="00297F3B" w:rsidRPr="001D48BF">
        <w:rPr>
          <w:rFonts w:ascii="Sylfaen" w:hAnsi="Sylfaen"/>
          <w:sz w:val="24"/>
          <w:szCs w:val="24"/>
        </w:rPr>
        <w:t>organizations show that some Meskhetians are unable to receive citizenship as they missed</w:t>
      </w:r>
      <w:r w:rsidR="00297F3B">
        <w:rPr>
          <w:rFonts w:ascii="Sylfaen" w:hAnsi="Sylfaen"/>
          <w:sz w:val="24"/>
          <w:szCs w:val="24"/>
        </w:rPr>
        <w:t xml:space="preserve"> </w:t>
      </w:r>
      <w:r w:rsidR="00297F3B" w:rsidRPr="001D48BF">
        <w:rPr>
          <w:rFonts w:ascii="Sylfaen" w:hAnsi="Sylfaen"/>
          <w:sz w:val="24"/>
          <w:szCs w:val="24"/>
        </w:rPr>
        <w:t xml:space="preserve">the deadline for the simplified procedure, while other citizenship procedures </w:t>
      </w:r>
      <w:r w:rsidR="00297F3B">
        <w:rPr>
          <w:rFonts w:ascii="Sylfaen" w:hAnsi="Sylfaen"/>
          <w:sz w:val="24"/>
          <w:szCs w:val="24"/>
        </w:rPr>
        <w:t>pose</w:t>
      </w:r>
      <w:r w:rsidR="00297F3B" w:rsidRPr="001D48BF">
        <w:rPr>
          <w:rFonts w:ascii="Sylfaen" w:hAnsi="Sylfaen"/>
          <w:sz w:val="24"/>
          <w:szCs w:val="24"/>
        </w:rPr>
        <w:t xml:space="preserve"> insurmountable barriers</w:t>
      </w:r>
      <w:r w:rsidR="00297F3B">
        <w:rPr>
          <w:rFonts w:ascii="Sylfaen" w:hAnsi="Sylfaen"/>
          <w:sz w:val="24"/>
          <w:szCs w:val="24"/>
        </w:rPr>
        <w:t xml:space="preserve"> </w:t>
      </w:r>
      <w:r w:rsidR="00297F3B" w:rsidRPr="001D48BF">
        <w:rPr>
          <w:rFonts w:ascii="Sylfaen" w:hAnsi="Sylfaen"/>
          <w:sz w:val="24"/>
          <w:szCs w:val="24"/>
        </w:rPr>
        <w:t>for them, including</w:t>
      </w:r>
      <w:r w:rsidR="00297F3B">
        <w:rPr>
          <w:rFonts w:ascii="Sylfaen" w:hAnsi="Sylfaen"/>
          <w:sz w:val="24"/>
          <w:szCs w:val="24"/>
        </w:rPr>
        <w:t>,</w:t>
      </w:r>
      <w:r w:rsidR="00297F3B" w:rsidRPr="001D48BF">
        <w:rPr>
          <w:rFonts w:ascii="Sylfaen" w:hAnsi="Sylfaen"/>
          <w:sz w:val="24"/>
          <w:szCs w:val="24"/>
        </w:rPr>
        <w:t xml:space="preserve">  the lack of knowledge of the language, citizenship of another country, lack</w:t>
      </w:r>
      <w:r w:rsidR="00297F3B">
        <w:rPr>
          <w:rFonts w:ascii="Sylfaen" w:hAnsi="Sylfaen"/>
          <w:sz w:val="24"/>
          <w:szCs w:val="24"/>
        </w:rPr>
        <w:t xml:space="preserve"> </w:t>
      </w:r>
      <w:r w:rsidR="00297F3B" w:rsidRPr="001D48BF">
        <w:rPr>
          <w:rFonts w:ascii="Sylfaen" w:hAnsi="Sylfaen"/>
          <w:sz w:val="24"/>
          <w:szCs w:val="24"/>
        </w:rPr>
        <w:t>of the history of living permanently and continuously in Georgia.</w:t>
      </w:r>
      <w:r w:rsidR="00297F3B">
        <w:rPr>
          <w:rStyle w:val="FootnoteReference"/>
          <w:rFonts w:ascii="Sylfaen" w:hAnsi="Sylfaen"/>
          <w:sz w:val="24"/>
          <w:szCs w:val="24"/>
        </w:rPr>
        <w:footnoteReference w:id="75"/>
      </w:r>
      <w:r w:rsidR="00297F3B">
        <w:rPr>
          <w:rFonts w:ascii="Sylfaen" w:hAnsi="Sylfaen"/>
          <w:sz w:val="24"/>
          <w:szCs w:val="24"/>
        </w:rPr>
        <w:t xml:space="preserve"> In turn, not having citizenship creates social and legal problems for Meskhetians, such as difficulty in accessing public services, including health care programmes.</w:t>
      </w:r>
      <w:r w:rsidR="00297F3B">
        <w:rPr>
          <w:rStyle w:val="FootnoteReference"/>
          <w:rFonts w:ascii="Sylfaen" w:hAnsi="Sylfaen"/>
          <w:sz w:val="24"/>
          <w:szCs w:val="24"/>
        </w:rPr>
        <w:footnoteReference w:id="76"/>
      </w:r>
      <w:r w:rsidR="00297F3B">
        <w:rPr>
          <w:rFonts w:ascii="Sylfaen" w:hAnsi="Sylfaen"/>
          <w:sz w:val="24"/>
          <w:szCs w:val="24"/>
        </w:rPr>
        <w:t xml:space="preserve"> T</w:t>
      </w:r>
      <w:r w:rsidR="00297F3B" w:rsidRPr="00333A86">
        <w:rPr>
          <w:rFonts w:ascii="Sylfaen" w:hAnsi="Sylfaen"/>
          <w:sz w:val="24"/>
          <w:szCs w:val="24"/>
        </w:rPr>
        <w:t>he ratio of people deported from Georgia in 1944 (up to 20,000 families) to</w:t>
      </w:r>
      <w:r w:rsidR="00297F3B">
        <w:rPr>
          <w:rFonts w:ascii="Sylfaen" w:hAnsi="Sylfaen"/>
          <w:sz w:val="24"/>
          <w:szCs w:val="24"/>
        </w:rPr>
        <w:t xml:space="preserve"> the Meskhetians </w:t>
      </w:r>
      <w:r w:rsidR="00297F3B" w:rsidRPr="00333A86">
        <w:rPr>
          <w:rFonts w:ascii="Sylfaen" w:hAnsi="Sylfaen"/>
          <w:sz w:val="24"/>
          <w:szCs w:val="24"/>
        </w:rPr>
        <w:t xml:space="preserve">who received Georgian citizenship after returning to Georgia </w:t>
      </w:r>
      <w:r w:rsidR="00297F3B">
        <w:rPr>
          <w:rFonts w:ascii="Sylfaen" w:hAnsi="Sylfaen"/>
          <w:sz w:val="24"/>
          <w:szCs w:val="24"/>
        </w:rPr>
        <w:t>(494 persons)</w:t>
      </w:r>
      <w:r w:rsidR="00297F3B" w:rsidRPr="00333A86">
        <w:rPr>
          <w:rFonts w:ascii="Sylfaen" w:hAnsi="Sylfaen"/>
          <w:sz w:val="24"/>
          <w:szCs w:val="24"/>
        </w:rPr>
        <w:t xml:space="preserve"> indicates that the repatriation</w:t>
      </w:r>
      <w:r w:rsidR="00297F3B">
        <w:rPr>
          <w:rFonts w:ascii="Sylfaen" w:hAnsi="Sylfaen"/>
          <w:sz w:val="24"/>
          <w:szCs w:val="24"/>
        </w:rPr>
        <w:t xml:space="preserve"> </w:t>
      </w:r>
      <w:r w:rsidR="00297F3B" w:rsidRPr="00333A86">
        <w:rPr>
          <w:rFonts w:ascii="Sylfaen" w:hAnsi="Sylfaen"/>
          <w:sz w:val="24"/>
          <w:szCs w:val="24"/>
        </w:rPr>
        <w:t>process of the Meskhetian community cannot be considered complete.</w:t>
      </w:r>
      <w:r w:rsidR="00297F3B">
        <w:rPr>
          <w:rStyle w:val="FootnoteReference"/>
          <w:rFonts w:ascii="Sylfaen" w:hAnsi="Sylfaen"/>
          <w:sz w:val="24"/>
          <w:szCs w:val="24"/>
        </w:rPr>
        <w:footnoteReference w:id="77"/>
      </w:r>
      <w:r w:rsidR="00297F3B" w:rsidRPr="00333A86">
        <w:rPr>
          <w:rFonts w:ascii="Sylfaen" w:hAnsi="Sylfaen"/>
          <w:sz w:val="24"/>
          <w:szCs w:val="24"/>
        </w:rPr>
        <w:t xml:space="preserve"> A similar assessment was reflected</w:t>
      </w:r>
      <w:r w:rsidR="00297F3B">
        <w:rPr>
          <w:rFonts w:ascii="Sylfaen" w:hAnsi="Sylfaen"/>
          <w:sz w:val="24"/>
          <w:szCs w:val="24"/>
        </w:rPr>
        <w:t xml:space="preserve"> </w:t>
      </w:r>
      <w:r w:rsidR="00297F3B" w:rsidRPr="00333A86">
        <w:rPr>
          <w:rFonts w:ascii="Sylfaen" w:hAnsi="Sylfaen"/>
          <w:sz w:val="24"/>
          <w:szCs w:val="24"/>
        </w:rPr>
        <w:t>in the opinions of the Advisory Committee on the Framework Convention for the Protection of National</w:t>
      </w:r>
      <w:r w:rsidR="00297F3B">
        <w:rPr>
          <w:rFonts w:ascii="Sylfaen" w:hAnsi="Sylfaen"/>
          <w:sz w:val="24"/>
          <w:szCs w:val="24"/>
        </w:rPr>
        <w:t xml:space="preserve"> </w:t>
      </w:r>
      <w:r w:rsidR="00297F3B" w:rsidRPr="00333A86">
        <w:rPr>
          <w:rFonts w:ascii="Sylfaen" w:hAnsi="Sylfaen"/>
          <w:sz w:val="24"/>
          <w:szCs w:val="24"/>
        </w:rPr>
        <w:t>Minorities in 2019, emphasizing that in reality, only a very small number of deported Meskhetians returned</w:t>
      </w:r>
      <w:r w:rsidR="00297F3B">
        <w:rPr>
          <w:rFonts w:ascii="Sylfaen" w:hAnsi="Sylfaen"/>
          <w:sz w:val="24"/>
          <w:szCs w:val="24"/>
        </w:rPr>
        <w:t xml:space="preserve"> </w:t>
      </w:r>
      <w:r w:rsidR="00297F3B" w:rsidRPr="00333A86">
        <w:rPr>
          <w:rFonts w:ascii="Sylfaen" w:hAnsi="Sylfaen"/>
          <w:sz w:val="24"/>
          <w:szCs w:val="24"/>
        </w:rPr>
        <w:t>to Georgia</w:t>
      </w:r>
      <w:r w:rsidR="00297F3B">
        <w:rPr>
          <w:rFonts w:ascii="Sylfaen" w:hAnsi="Sylfaen"/>
          <w:sz w:val="24"/>
          <w:szCs w:val="24"/>
        </w:rPr>
        <w:t>.</w:t>
      </w:r>
      <w:r w:rsidR="00297F3B">
        <w:rPr>
          <w:rStyle w:val="FootnoteReference"/>
          <w:rFonts w:ascii="Sylfaen" w:hAnsi="Sylfaen"/>
          <w:sz w:val="24"/>
          <w:szCs w:val="24"/>
        </w:rPr>
        <w:footnoteReference w:id="78"/>
      </w:r>
      <w:r w:rsidR="00297F3B">
        <w:rPr>
          <w:rFonts w:ascii="Sylfaen" w:hAnsi="Sylfaen"/>
          <w:sz w:val="24"/>
          <w:szCs w:val="24"/>
        </w:rPr>
        <w:t xml:space="preserve"> T</w:t>
      </w:r>
      <w:r w:rsidR="00297F3B" w:rsidRPr="00017CE7">
        <w:rPr>
          <w:rFonts w:ascii="Sylfaen" w:hAnsi="Sylfaen"/>
          <w:sz w:val="24"/>
          <w:szCs w:val="24"/>
        </w:rPr>
        <w:t>he Advisory Committee called on Georgia to continue its efforts</w:t>
      </w:r>
      <w:r w:rsidR="00297F3B">
        <w:rPr>
          <w:rFonts w:ascii="Sylfaen" w:hAnsi="Sylfaen"/>
          <w:sz w:val="24"/>
          <w:szCs w:val="24"/>
        </w:rPr>
        <w:t xml:space="preserve"> </w:t>
      </w:r>
      <w:r w:rsidR="00297F3B" w:rsidRPr="00017CE7">
        <w:rPr>
          <w:rFonts w:ascii="Sylfaen" w:hAnsi="Sylfaen"/>
          <w:sz w:val="24"/>
          <w:szCs w:val="24"/>
        </w:rPr>
        <w:t>to facilitate the voluntary return of deported Meskhetians</w:t>
      </w:r>
      <w:r w:rsidR="00297F3B">
        <w:rPr>
          <w:rFonts w:ascii="Sylfaen" w:hAnsi="Sylfaen"/>
          <w:sz w:val="24"/>
          <w:szCs w:val="24"/>
        </w:rPr>
        <w:t>.</w:t>
      </w:r>
      <w:r w:rsidR="00297F3B">
        <w:rPr>
          <w:rStyle w:val="FootnoteReference"/>
          <w:rFonts w:ascii="Sylfaen" w:hAnsi="Sylfaen"/>
          <w:sz w:val="24"/>
          <w:szCs w:val="24"/>
        </w:rPr>
        <w:footnoteReference w:id="79"/>
      </w:r>
    </w:p>
    <w:p w14:paraId="47E5D583" w14:textId="0393CE1C" w:rsidR="00E33F5A" w:rsidRDefault="00D6365B" w:rsidP="00F4567A">
      <w:pPr>
        <w:pStyle w:val="Heading2"/>
        <w:rPr>
          <w:rFonts w:ascii="Sylfaen" w:hAnsi="Sylfaen"/>
          <w:b/>
          <w:bCs/>
        </w:rPr>
      </w:pPr>
      <w:bookmarkStart w:id="8" w:name="_Toc116583233"/>
      <w:r w:rsidRPr="00CB68C1">
        <w:rPr>
          <w:rFonts w:ascii="Sylfaen" w:hAnsi="Sylfaen"/>
          <w:b/>
          <w:bCs/>
          <w:lang w:val="ka-GE"/>
        </w:rPr>
        <w:t>Recommendation (2</w:t>
      </w:r>
      <w:r w:rsidR="00104FBF" w:rsidRPr="00CB68C1">
        <w:rPr>
          <w:rFonts w:ascii="Sylfaen" w:hAnsi="Sylfaen"/>
          <w:b/>
          <w:bCs/>
        </w:rPr>
        <w:t>1</w:t>
      </w:r>
      <w:r w:rsidRPr="00CB68C1">
        <w:rPr>
          <w:rFonts w:ascii="Sylfaen" w:hAnsi="Sylfaen"/>
          <w:b/>
          <w:bCs/>
          <w:lang w:val="ka-GE"/>
        </w:rPr>
        <w:t xml:space="preserve">) – </w:t>
      </w:r>
      <w:r w:rsidR="00104FBF" w:rsidRPr="00CB68C1">
        <w:rPr>
          <w:rFonts w:ascii="Sylfaen" w:hAnsi="Sylfaen"/>
          <w:b/>
          <w:bCs/>
        </w:rPr>
        <w:t>Asylum-seekers</w:t>
      </w:r>
      <w:bookmarkEnd w:id="8"/>
    </w:p>
    <w:p w14:paraId="5856ACA9" w14:textId="77777777" w:rsidR="00CB68C1" w:rsidRPr="00CB68C1" w:rsidRDefault="00CB68C1" w:rsidP="00CB68C1"/>
    <w:p w14:paraId="43249F41" w14:textId="58CD4168" w:rsidR="000A2D03" w:rsidRDefault="000A2D03" w:rsidP="004721DB">
      <w:pPr>
        <w:jc w:val="both"/>
        <w:rPr>
          <w:rFonts w:ascii="Sylfaen" w:hAnsi="Sylfaen"/>
          <w:b/>
          <w:bCs/>
          <w:sz w:val="24"/>
          <w:szCs w:val="24"/>
        </w:rPr>
      </w:pPr>
      <w:bookmarkStart w:id="9" w:name="_Hlk117067283"/>
      <w:r w:rsidRPr="000A2D03">
        <w:rPr>
          <w:rFonts w:ascii="Sylfaen" w:hAnsi="Sylfaen"/>
          <w:b/>
          <w:bCs/>
          <w:sz w:val="24"/>
          <w:szCs w:val="24"/>
        </w:rPr>
        <w:t>Compliance of the Law of Georgia on International Protection with international standards</w:t>
      </w:r>
    </w:p>
    <w:p w14:paraId="01FA2416" w14:textId="3F465D36" w:rsidR="007B6605" w:rsidRDefault="00104FBF" w:rsidP="00E115C9">
      <w:pPr>
        <w:jc w:val="both"/>
        <w:rPr>
          <w:rFonts w:ascii="Sylfaen" w:hAnsi="Sylfaen"/>
          <w:sz w:val="24"/>
          <w:szCs w:val="24"/>
        </w:rPr>
      </w:pPr>
      <w:r w:rsidRPr="00073CF4">
        <w:rPr>
          <w:rFonts w:ascii="Sylfaen" w:hAnsi="Sylfaen"/>
          <w:sz w:val="24"/>
          <w:szCs w:val="24"/>
        </w:rPr>
        <w:lastRenderedPageBreak/>
        <w:t>18.</w:t>
      </w:r>
      <w:r w:rsidR="00B4767F" w:rsidRPr="00073CF4">
        <w:rPr>
          <w:rFonts w:ascii="Sylfaen" w:hAnsi="Sylfaen"/>
          <w:sz w:val="24"/>
          <w:szCs w:val="24"/>
        </w:rPr>
        <w:t xml:space="preserve"> The State Report </w:t>
      </w:r>
      <w:r w:rsidR="00B4767F">
        <w:rPr>
          <w:rFonts w:ascii="Sylfaen" w:hAnsi="Sylfaen"/>
          <w:sz w:val="24"/>
          <w:szCs w:val="24"/>
        </w:rPr>
        <w:t>claims that the Law of Georgia on International Protection “</w:t>
      </w:r>
      <w:r w:rsidR="00B4767F" w:rsidRPr="00B4767F">
        <w:rPr>
          <w:rFonts w:ascii="Sylfaen" w:hAnsi="Sylfaen"/>
          <w:sz w:val="24"/>
          <w:szCs w:val="24"/>
        </w:rPr>
        <w:t>fully complies with the 1951 Geneva Convention Related to the Status of Refugees</w:t>
      </w:r>
      <w:r w:rsidR="00B4767F">
        <w:rPr>
          <w:rFonts w:ascii="Sylfaen" w:hAnsi="Sylfaen"/>
          <w:sz w:val="24"/>
          <w:szCs w:val="24"/>
        </w:rPr>
        <w:t>”.</w:t>
      </w:r>
      <w:r w:rsidR="00B4767F">
        <w:rPr>
          <w:rStyle w:val="FootnoteReference"/>
          <w:rFonts w:ascii="Sylfaen" w:hAnsi="Sylfaen"/>
          <w:sz w:val="24"/>
          <w:szCs w:val="24"/>
        </w:rPr>
        <w:footnoteReference w:id="80"/>
      </w:r>
      <w:r w:rsidR="00E36D37">
        <w:rPr>
          <w:rFonts w:ascii="Sylfaen" w:hAnsi="Sylfaen"/>
          <w:sz w:val="24"/>
          <w:szCs w:val="24"/>
        </w:rPr>
        <w:t xml:space="preserve"> However, the PDO considers that regulation regarding </w:t>
      </w:r>
      <w:r w:rsidR="00DD6621">
        <w:rPr>
          <w:rFonts w:ascii="Sylfaen" w:hAnsi="Sylfaen"/>
          <w:sz w:val="24"/>
          <w:szCs w:val="24"/>
        </w:rPr>
        <w:t>imposition of criminal liability for illegal border</w:t>
      </w:r>
      <w:r w:rsidR="004619C9">
        <w:rPr>
          <w:rFonts w:ascii="Sylfaen" w:hAnsi="Sylfaen"/>
          <w:sz w:val="24"/>
          <w:szCs w:val="24"/>
        </w:rPr>
        <w:t>-</w:t>
      </w:r>
      <w:r w:rsidR="00DD6621">
        <w:rPr>
          <w:rFonts w:ascii="Sylfaen" w:hAnsi="Sylfaen"/>
          <w:sz w:val="24"/>
          <w:szCs w:val="24"/>
        </w:rPr>
        <w:t xml:space="preserve">crossing contradicts both the </w:t>
      </w:r>
      <w:r w:rsidR="004619C9">
        <w:rPr>
          <w:rFonts w:ascii="Sylfaen" w:hAnsi="Sylfaen"/>
          <w:sz w:val="24"/>
          <w:szCs w:val="24"/>
        </w:rPr>
        <w:t xml:space="preserve">1951 Geneva Convention as well as the Constitution of Georgia. </w:t>
      </w:r>
      <w:r w:rsidR="006D1D9C">
        <w:rPr>
          <w:rFonts w:ascii="Sylfaen" w:hAnsi="Sylfaen"/>
          <w:sz w:val="24"/>
          <w:szCs w:val="24"/>
        </w:rPr>
        <w:t xml:space="preserve">As the State Report reads, </w:t>
      </w:r>
      <w:r w:rsidR="00235EF3">
        <w:rPr>
          <w:rFonts w:ascii="Sylfaen" w:hAnsi="Sylfaen"/>
          <w:sz w:val="24"/>
          <w:szCs w:val="24"/>
        </w:rPr>
        <w:t>“in</w:t>
      </w:r>
      <w:r w:rsidR="00235EF3" w:rsidRPr="004B3176">
        <w:rPr>
          <w:rFonts w:ascii="Sylfaen" w:hAnsi="Sylfaen"/>
          <w:sz w:val="24"/>
          <w:szCs w:val="24"/>
        </w:rPr>
        <w:t xml:space="preserve"> the case of the illegal entry into or stay in the territory of Georgia of an alien or a stateless person, he/she shall immediately apply to the state agency with a request for international protection. In such case he/she shall be released from criminal liability in accordance with Article 7 of the Law on International Protection</w:t>
      </w:r>
      <w:r w:rsidR="00235EF3">
        <w:rPr>
          <w:rFonts w:ascii="Sylfaen" w:hAnsi="Sylfaen"/>
          <w:sz w:val="24"/>
          <w:szCs w:val="24"/>
        </w:rPr>
        <w:t>”</w:t>
      </w:r>
      <w:r w:rsidR="00235EF3" w:rsidRPr="004B3176">
        <w:rPr>
          <w:rFonts w:ascii="Sylfaen" w:hAnsi="Sylfaen"/>
          <w:sz w:val="24"/>
          <w:szCs w:val="24"/>
        </w:rPr>
        <w:t>.</w:t>
      </w:r>
      <w:r w:rsidR="00235EF3">
        <w:rPr>
          <w:rStyle w:val="FootnoteReference"/>
          <w:rFonts w:ascii="Sylfaen" w:hAnsi="Sylfaen"/>
          <w:sz w:val="24"/>
          <w:szCs w:val="24"/>
        </w:rPr>
        <w:footnoteReference w:id="81"/>
      </w:r>
      <w:r w:rsidR="00235EF3">
        <w:rPr>
          <w:rFonts w:ascii="Sylfaen" w:hAnsi="Sylfaen"/>
          <w:sz w:val="24"/>
          <w:szCs w:val="24"/>
        </w:rPr>
        <w:t xml:space="preserve"> However, the same article stipulates that</w:t>
      </w:r>
      <w:r w:rsidR="00235EF3" w:rsidRPr="00207AF0">
        <w:rPr>
          <w:rFonts w:ascii="Sylfaen" w:hAnsi="Sylfaen"/>
          <w:sz w:val="24"/>
          <w:szCs w:val="24"/>
        </w:rPr>
        <w:t xml:space="preserve"> if </w:t>
      </w:r>
      <w:r w:rsidR="00235EF3">
        <w:rPr>
          <w:rFonts w:ascii="Sylfaen" w:hAnsi="Sylfaen"/>
          <w:sz w:val="24"/>
          <w:szCs w:val="24"/>
        </w:rPr>
        <w:t>a</w:t>
      </w:r>
      <w:r w:rsidR="00235EF3" w:rsidRPr="00207AF0">
        <w:rPr>
          <w:rFonts w:ascii="Sylfaen" w:hAnsi="Sylfaen"/>
          <w:sz w:val="24"/>
          <w:szCs w:val="24"/>
        </w:rPr>
        <w:t xml:space="preserve"> person is not granted </w:t>
      </w:r>
      <w:r w:rsidR="00235EF3">
        <w:rPr>
          <w:rFonts w:ascii="Sylfaen" w:hAnsi="Sylfaen"/>
          <w:sz w:val="24"/>
          <w:szCs w:val="24"/>
        </w:rPr>
        <w:t xml:space="preserve">refugee </w:t>
      </w:r>
      <w:r w:rsidR="00235EF3" w:rsidRPr="00207AF0">
        <w:rPr>
          <w:rFonts w:ascii="Sylfaen" w:hAnsi="Sylfaen"/>
          <w:sz w:val="24"/>
          <w:szCs w:val="24"/>
        </w:rPr>
        <w:t>status</w:t>
      </w:r>
      <w:r w:rsidR="00235EF3">
        <w:rPr>
          <w:rFonts w:ascii="Sylfaen" w:hAnsi="Sylfaen"/>
          <w:sz w:val="24"/>
          <w:szCs w:val="24"/>
        </w:rPr>
        <w:t>, humanitarian status or temporary protection</w:t>
      </w:r>
      <w:r w:rsidR="00235EF3" w:rsidRPr="00207AF0">
        <w:rPr>
          <w:rFonts w:ascii="Sylfaen" w:hAnsi="Sylfaen"/>
          <w:sz w:val="24"/>
          <w:szCs w:val="24"/>
        </w:rPr>
        <w:t xml:space="preserve"> after reviewing the</w:t>
      </w:r>
      <w:r w:rsidR="00235EF3">
        <w:rPr>
          <w:rFonts w:ascii="Sylfaen" w:hAnsi="Sylfaen"/>
          <w:sz w:val="24"/>
          <w:szCs w:val="24"/>
        </w:rPr>
        <w:t xml:space="preserve"> </w:t>
      </w:r>
      <w:r w:rsidR="00235EF3" w:rsidRPr="00207AF0">
        <w:rPr>
          <w:rFonts w:ascii="Sylfaen" w:hAnsi="Sylfaen"/>
          <w:sz w:val="24"/>
          <w:szCs w:val="24"/>
        </w:rPr>
        <w:t>application, he/she will face criminal liability for entering the territory of Georgia illegally</w:t>
      </w:r>
      <w:r w:rsidR="00235EF3">
        <w:rPr>
          <w:rFonts w:ascii="Sylfaen" w:hAnsi="Sylfaen"/>
          <w:sz w:val="24"/>
          <w:szCs w:val="24"/>
        </w:rPr>
        <w:t>.</w:t>
      </w:r>
      <w:r w:rsidR="00235EF3">
        <w:rPr>
          <w:rStyle w:val="FootnoteReference"/>
          <w:rFonts w:ascii="Sylfaen" w:hAnsi="Sylfaen"/>
          <w:sz w:val="24"/>
          <w:szCs w:val="24"/>
        </w:rPr>
        <w:footnoteReference w:id="82"/>
      </w:r>
      <w:r w:rsidR="00235EF3">
        <w:rPr>
          <w:rFonts w:ascii="Sylfaen" w:hAnsi="Sylfaen"/>
          <w:sz w:val="24"/>
          <w:szCs w:val="24"/>
        </w:rPr>
        <w:t xml:space="preserve"> As the PDO considers this provision unconstitutional, it filed a constitutional lawsuit last year.</w:t>
      </w:r>
      <w:r w:rsidR="00235EF3">
        <w:rPr>
          <w:rStyle w:val="FootnoteReference"/>
          <w:rFonts w:ascii="Sylfaen" w:hAnsi="Sylfaen"/>
          <w:sz w:val="24"/>
          <w:szCs w:val="24"/>
        </w:rPr>
        <w:footnoteReference w:id="83"/>
      </w:r>
      <w:r w:rsidR="00235EF3">
        <w:rPr>
          <w:rFonts w:ascii="Sylfaen" w:hAnsi="Sylfaen"/>
          <w:sz w:val="24"/>
          <w:szCs w:val="24"/>
        </w:rPr>
        <w:t xml:space="preserve"> The PDO finds that </w:t>
      </w:r>
      <w:r w:rsidR="00235EF3" w:rsidRPr="00623FDB">
        <w:rPr>
          <w:rFonts w:ascii="Sylfaen" w:hAnsi="Sylfaen"/>
          <w:sz w:val="24"/>
          <w:szCs w:val="24"/>
        </w:rPr>
        <w:t xml:space="preserve">the disputed </w:t>
      </w:r>
      <w:r w:rsidR="00235EF3">
        <w:rPr>
          <w:rFonts w:ascii="Sylfaen" w:hAnsi="Sylfaen"/>
          <w:sz w:val="24"/>
          <w:szCs w:val="24"/>
        </w:rPr>
        <w:t>provision</w:t>
      </w:r>
      <w:r w:rsidR="00235EF3" w:rsidRPr="00623FDB">
        <w:rPr>
          <w:rFonts w:ascii="Sylfaen" w:hAnsi="Sylfaen"/>
          <w:sz w:val="24"/>
          <w:szCs w:val="24"/>
        </w:rPr>
        <w:t xml:space="preserve"> contradicts the constitutional norm establishing the right to</w:t>
      </w:r>
      <w:r w:rsidR="00235EF3">
        <w:rPr>
          <w:rFonts w:ascii="Sylfaen" w:hAnsi="Sylfaen"/>
          <w:sz w:val="24"/>
          <w:szCs w:val="24"/>
        </w:rPr>
        <w:t xml:space="preserve"> </w:t>
      </w:r>
      <w:r w:rsidR="00235EF3" w:rsidRPr="00623FDB">
        <w:rPr>
          <w:rFonts w:ascii="Sylfaen" w:hAnsi="Sylfaen"/>
          <w:sz w:val="24"/>
          <w:szCs w:val="24"/>
        </w:rPr>
        <w:t>asylum as well as the norm of the Convention relating to the Status of Refugees</w:t>
      </w:r>
      <w:r w:rsidR="00235EF3">
        <w:rPr>
          <w:rFonts w:ascii="Sylfaen" w:hAnsi="Sylfaen"/>
          <w:sz w:val="24"/>
          <w:szCs w:val="24"/>
        </w:rPr>
        <w:t xml:space="preserve"> establishing </w:t>
      </w:r>
      <w:r w:rsidR="00235EF3" w:rsidRPr="00623FDB">
        <w:rPr>
          <w:rFonts w:ascii="Sylfaen" w:hAnsi="Sylfaen"/>
          <w:sz w:val="24"/>
          <w:szCs w:val="24"/>
        </w:rPr>
        <w:t xml:space="preserve">the exemption </w:t>
      </w:r>
      <w:r w:rsidR="00235EF3">
        <w:rPr>
          <w:rFonts w:ascii="Sylfaen" w:hAnsi="Sylfaen"/>
          <w:sz w:val="24"/>
          <w:szCs w:val="24"/>
        </w:rPr>
        <w:t>for</w:t>
      </w:r>
      <w:r w:rsidR="00235EF3" w:rsidRPr="00623FDB">
        <w:rPr>
          <w:rFonts w:ascii="Sylfaen" w:hAnsi="Sylfaen"/>
          <w:sz w:val="24"/>
          <w:szCs w:val="24"/>
        </w:rPr>
        <w:t xml:space="preserve"> refugee</w:t>
      </w:r>
      <w:r w:rsidR="00235EF3">
        <w:rPr>
          <w:rFonts w:ascii="Sylfaen" w:hAnsi="Sylfaen"/>
          <w:sz w:val="24"/>
          <w:szCs w:val="24"/>
        </w:rPr>
        <w:t>s</w:t>
      </w:r>
      <w:r w:rsidR="00235EF3" w:rsidRPr="00623FDB">
        <w:rPr>
          <w:rFonts w:ascii="Sylfaen" w:hAnsi="Sylfaen"/>
          <w:sz w:val="24"/>
          <w:szCs w:val="24"/>
        </w:rPr>
        <w:t xml:space="preserve"> from criminal liability for illegal border crossing.</w:t>
      </w:r>
      <w:r w:rsidR="00235EF3">
        <w:rPr>
          <w:rStyle w:val="FootnoteReference"/>
          <w:rFonts w:ascii="Sylfaen" w:hAnsi="Sylfaen"/>
          <w:sz w:val="24"/>
          <w:szCs w:val="24"/>
        </w:rPr>
        <w:footnoteReference w:id="84"/>
      </w:r>
      <w:r w:rsidR="00235EF3">
        <w:rPr>
          <w:rFonts w:ascii="Sylfaen" w:hAnsi="Sylfaen"/>
          <w:sz w:val="24"/>
          <w:szCs w:val="24"/>
        </w:rPr>
        <w:t xml:space="preserve"> </w:t>
      </w:r>
      <w:r w:rsidR="00B14299">
        <w:rPr>
          <w:rFonts w:ascii="Sylfaen" w:hAnsi="Sylfaen"/>
          <w:sz w:val="24"/>
          <w:szCs w:val="24"/>
        </w:rPr>
        <w:t>W</w:t>
      </w:r>
      <w:r w:rsidR="00011464" w:rsidRPr="00011464">
        <w:rPr>
          <w:rFonts w:ascii="Sylfaen" w:hAnsi="Sylfaen"/>
          <w:sz w:val="24"/>
          <w:szCs w:val="24"/>
        </w:rPr>
        <w:t>hile the act (of crossing the border) itself and the circumstances excluding liability are not decisive for the imposition of criminal liability, but rather how the relevant body will subsequently make a decision on a person's request for international protection, the person is not guaranteed exemption from criminal liability, and he/she may be subject to punishment for reasons independent of him/her. As a result, in such circumstances, a person may refuse to apply for asylum and thus remain without the benefit of the right to asylum</w:t>
      </w:r>
      <w:r w:rsidR="00C16FDE">
        <w:rPr>
          <w:rFonts w:ascii="Sylfaen" w:hAnsi="Sylfaen"/>
          <w:sz w:val="24"/>
          <w:szCs w:val="24"/>
        </w:rPr>
        <w:t>.</w:t>
      </w:r>
      <w:r w:rsidR="00C16FDE">
        <w:rPr>
          <w:rStyle w:val="FootnoteReference"/>
          <w:rFonts w:ascii="Sylfaen" w:hAnsi="Sylfaen"/>
          <w:sz w:val="24"/>
          <w:szCs w:val="24"/>
        </w:rPr>
        <w:footnoteReference w:id="85"/>
      </w:r>
      <w:r w:rsidR="00E115C9">
        <w:rPr>
          <w:rFonts w:ascii="Sylfaen" w:hAnsi="Sylfaen"/>
          <w:sz w:val="24"/>
          <w:szCs w:val="24"/>
        </w:rPr>
        <w:t xml:space="preserve"> </w:t>
      </w:r>
      <w:bookmarkEnd w:id="9"/>
      <w:r w:rsidR="00E115C9">
        <w:rPr>
          <w:rFonts w:ascii="Sylfaen" w:hAnsi="Sylfaen"/>
          <w:sz w:val="24"/>
          <w:szCs w:val="24"/>
        </w:rPr>
        <w:t xml:space="preserve">Moreover, the PDO </w:t>
      </w:r>
      <w:r w:rsidR="00E115C9" w:rsidRPr="00865590">
        <w:rPr>
          <w:rFonts w:ascii="Sylfaen" w:hAnsi="Sylfaen"/>
          <w:sz w:val="24"/>
          <w:szCs w:val="24"/>
        </w:rPr>
        <w:t xml:space="preserve">identified cases of violation of </w:t>
      </w:r>
      <w:r w:rsidR="00E115C9">
        <w:rPr>
          <w:rFonts w:ascii="Sylfaen" w:hAnsi="Sylfaen"/>
          <w:sz w:val="24"/>
          <w:szCs w:val="24"/>
        </w:rPr>
        <w:t>article 7</w:t>
      </w:r>
      <w:r w:rsidR="00E115C9" w:rsidRPr="00865590">
        <w:t xml:space="preserve"> </w:t>
      </w:r>
      <w:r w:rsidR="00E115C9" w:rsidRPr="00865590">
        <w:rPr>
          <w:rFonts w:ascii="Sylfaen" w:hAnsi="Sylfaen"/>
          <w:sz w:val="24"/>
          <w:szCs w:val="24"/>
        </w:rPr>
        <w:t>of the Law on International Protection</w:t>
      </w:r>
      <w:r w:rsidR="00E115C9">
        <w:rPr>
          <w:rFonts w:ascii="Sylfaen" w:hAnsi="Sylfaen"/>
          <w:sz w:val="24"/>
          <w:szCs w:val="24"/>
        </w:rPr>
        <w:t xml:space="preserve"> in practice. In particular, a</w:t>
      </w:r>
      <w:r w:rsidR="00E115C9" w:rsidRPr="000A3C0E">
        <w:rPr>
          <w:rFonts w:ascii="Sylfaen" w:hAnsi="Sylfaen"/>
          <w:sz w:val="24"/>
          <w:szCs w:val="24"/>
        </w:rPr>
        <w:t>ccording to the interrogation scripts, two Turkish citizens, placed in a penitentiary institution on charges of illegally</w:t>
      </w:r>
      <w:r w:rsidR="00E115C9">
        <w:rPr>
          <w:rFonts w:ascii="Sylfaen" w:hAnsi="Sylfaen"/>
          <w:sz w:val="24"/>
          <w:szCs w:val="24"/>
        </w:rPr>
        <w:t xml:space="preserve"> </w:t>
      </w:r>
      <w:r w:rsidR="00E115C9" w:rsidRPr="000A3C0E">
        <w:rPr>
          <w:rFonts w:ascii="Sylfaen" w:hAnsi="Sylfaen"/>
          <w:sz w:val="24"/>
          <w:szCs w:val="24"/>
        </w:rPr>
        <w:t xml:space="preserve">crossing the Georgian state border, </w:t>
      </w:r>
      <w:r w:rsidR="00E115C9">
        <w:rPr>
          <w:rFonts w:ascii="Sylfaen" w:hAnsi="Sylfaen"/>
          <w:sz w:val="24"/>
          <w:szCs w:val="24"/>
        </w:rPr>
        <w:t xml:space="preserve">sought </w:t>
      </w:r>
      <w:r w:rsidR="00E115C9" w:rsidRPr="000A3C0E">
        <w:rPr>
          <w:rFonts w:ascii="Sylfaen" w:hAnsi="Sylfaen"/>
          <w:sz w:val="24"/>
          <w:szCs w:val="24"/>
        </w:rPr>
        <w:t>asylum during their detention at the border.</w:t>
      </w:r>
      <w:r w:rsidR="00E115C9">
        <w:rPr>
          <w:rStyle w:val="FootnoteReference"/>
          <w:rFonts w:ascii="Sylfaen" w:hAnsi="Sylfaen"/>
          <w:sz w:val="24"/>
          <w:szCs w:val="24"/>
        </w:rPr>
        <w:footnoteReference w:id="86"/>
      </w:r>
      <w:r w:rsidR="00E115C9" w:rsidRPr="000A3C0E">
        <w:rPr>
          <w:rFonts w:ascii="Sylfaen" w:hAnsi="Sylfaen"/>
          <w:sz w:val="24"/>
          <w:szCs w:val="24"/>
        </w:rPr>
        <w:t xml:space="preserve"> </w:t>
      </w:r>
      <w:r w:rsidR="00FA1260">
        <w:rPr>
          <w:rFonts w:ascii="Sylfaen" w:hAnsi="Sylfaen"/>
          <w:sz w:val="24"/>
          <w:szCs w:val="24"/>
        </w:rPr>
        <w:t>A</w:t>
      </w:r>
      <w:r w:rsidR="007C2C9B" w:rsidRPr="000A3C0E">
        <w:rPr>
          <w:rFonts w:ascii="Sylfaen" w:hAnsi="Sylfaen"/>
          <w:sz w:val="24"/>
          <w:szCs w:val="24"/>
        </w:rPr>
        <w:t>ccording to the Ministry of Internal</w:t>
      </w:r>
      <w:r w:rsidR="007C2C9B">
        <w:rPr>
          <w:rFonts w:ascii="Sylfaen" w:hAnsi="Sylfaen"/>
          <w:sz w:val="24"/>
          <w:szCs w:val="24"/>
        </w:rPr>
        <w:t xml:space="preserve"> </w:t>
      </w:r>
      <w:r w:rsidR="007C2C9B" w:rsidRPr="000A3C0E">
        <w:rPr>
          <w:rFonts w:ascii="Sylfaen" w:hAnsi="Sylfaen"/>
          <w:sz w:val="24"/>
          <w:szCs w:val="24"/>
        </w:rPr>
        <w:t>Affairs, their registration</w:t>
      </w:r>
      <w:r w:rsidR="007C2C9B">
        <w:rPr>
          <w:rFonts w:ascii="Sylfaen" w:hAnsi="Sylfaen"/>
          <w:sz w:val="24"/>
          <w:szCs w:val="24"/>
        </w:rPr>
        <w:t xml:space="preserve"> of the Turkish citizens</w:t>
      </w:r>
      <w:r w:rsidR="007C2C9B" w:rsidRPr="000A3C0E">
        <w:rPr>
          <w:rFonts w:ascii="Sylfaen" w:hAnsi="Sylfaen"/>
          <w:sz w:val="24"/>
          <w:szCs w:val="24"/>
        </w:rPr>
        <w:t xml:space="preserve"> as asylum seekers</w:t>
      </w:r>
      <w:r w:rsidR="007C2C9B">
        <w:rPr>
          <w:rFonts w:ascii="Sylfaen" w:hAnsi="Sylfaen"/>
          <w:sz w:val="24"/>
          <w:szCs w:val="24"/>
        </w:rPr>
        <w:t xml:space="preserve"> was </w:t>
      </w:r>
      <w:r w:rsidR="007C2C9B">
        <w:rPr>
          <w:rFonts w:ascii="Sylfaen" w:hAnsi="Sylfaen"/>
          <w:sz w:val="24"/>
          <w:szCs w:val="24"/>
        </w:rPr>
        <w:lastRenderedPageBreak/>
        <w:t xml:space="preserve">not proven and this </w:t>
      </w:r>
      <w:r w:rsidR="007C2C9B" w:rsidRPr="000A3C0E">
        <w:rPr>
          <w:rFonts w:ascii="Sylfaen" w:hAnsi="Sylfaen"/>
          <w:sz w:val="24"/>
          <w:szCs w:val="24"/>
        </w:rPr>
        <w:t>served as basis for their criminal</w:t>
      </w:r>
      <w:r w:rsidR="007C2C9B">
        <w:rPr>
          <w:rFonts w:ascii="Sylfaen" w:hAnsi="Sylfaen"/>
          <w:sz w:val="24"/>
          <w:szCs w:val="24"/>
        </w:rPr>
        <w:t xml:space="preserve"> </w:t>
      </w:r>
      <w:r w:rsidR="007C2C9B" w:rsidRPr="000A3C0E">
        <w:rPr>
          <w:rFonts w:ascii="Sylfaen" w:hAnsi="Sylfaen"/>
          <w:sz w:val="24"/>
          <w:szCs w:val="24"/>
        </w:rPr>
        <w:t>prosecution.</w:t>
      </w:r>
      <w:r w:rsidR="007C2C9B">
        <w:rPr>
          <w:rStyle w:val="FootnoteReference"/>
          <w:rFonts w:ascii="Sylfaen" w:hAnsi="Sylfaen"/>
          <w:sz w:val="24"/>
          <w:szCs w:val="24"/>
        </w:rPr>
        <w:footnoteReference w:id="87"/>
      </w:r>
      <w:r w:rsidR="007C2C9B">
        <w:rPr>
          <w:rFonts w:ascii="Sylfaen" w:hAnsi="Sylfaen"/>
          <w:sz w:val="24"/>
          <w:szCs w:val="24"/>
        </w:rPr>
        <w:t xml:space="preserve"> </w:t>
      </w:r>
      <w:r w:rsidR="00FA1260">
        <w:rPr>
          <w:rFonts w:ascii="Sylfaen" w:hAnsi="Sylfaen"/>
          <w:sz w:val="24"/>
          <w:szCs w:val="24"/>
        </w:rPr>
        <w:t>However, t</w:t>
      </w:r>
      <w:r w:rsidR="00E115C9" w:rsidRPr="000A3C0E">
        <w:rPr>
          <w:rFonts w:ascii="Sylfaen" w:hAnsi="Sylfaen"/>
          <w:sz w:val="24"/>
          <w:szCs w:val="24"/>
        </w:rPr>
        <w:t>he border police were</w:t>
      </w:r>
      <w:r w:rsidR="00E115C9">
        <w:rPr>
          <w:rFonts w:ascii="Sylfaen" w:hAnsi="Sylfaen"/>
          <w:sz w:val="24"/>
          <w:szCs w:val="24"/>
        </w:rPr>
        <w:t xml:space="preserve"> </w:t>
      </w:r>
      <w:r w:rsidR="00E115C9" w:rsidRPr="000A3C0E">
        <w:rPr>
          <w:rFonts w:ascii="Sylfaen" w:hAnsi="Sylfaen"/>
          <w:sz w:val="24"/>
          <w:szCs w:val="24"/>
        </w:rPr>
        <w:t xml:space="preserve">obliged to release the detainees as soon as they </w:t>
      </w:r>
      <w:r w:rsidR="00E115C9">
        <w:rPr>
          <w:rFonts w:ascii="Sylfaen" w:hAnsi="Sylfaen"/>
          <w:sz w:val="24"/>
          <w:szCs w:val="24"/>
        </w:rPr>
        <w:t xml:space="preserve">received/identified their requests </w:t>
      </w:r>
      <w:r w:rsidR="00E115C9" w:rsidRPr="000A3C0E">
        <w:rPr>
          <w:rFonts w:ascii="Sylfaen" w:hAnsi="Sylfaen"/>
          <w:sz w:val="24"/>
          <w:szCs w:val="24"/>
        </w:rPr>
        <w:t>for international</w:t>
      </w:r>
      <w:r w:rsidR="00E115C9">
        <w:rPr>
          <w:rFonts w:ascii="Sylfaen" w:hAnsi="Sylfaen"/>
          <w:sz w:val="24"/>
          <w:szCs w:val="24"/>
        </w:rPr>
        <w:t xml:space="preserve"> </w:t>
      </w:r>
      <w:r w:rsidR="00E115C9" w:rsidRPr="000A3C0E">
        <w:rPr>
          <w:rFonts w:ascii="Sylfaen" w:hAnsi="Sylfaen"/>
          <w:sz w:val="24"/>
          <w:szCs w:val="24"/>
        </w:rPr>
        <w:t>protection and to inform the Migration Department of their applications.</w:t>
      </w:r>
      <w:r w:rsidR="00E115C9">
        <w:rPr>
          <w:rStyle w:val="FootnoteReference"/>
          <w:rFonts w:ascii="Sylfaen" w:hAnsi="Sylfaen"/>
          <w:sz w:val="24"/>
          <w:szCs w:val="24"/>
        </w:rPr>
        <w:footnoteReference w:id="88"/>
      </w:r>
      <w:r w:rsidR="00E115C9" w:rsidRPr="000A3C0E">
        <w:rPr>
          <w:rFonts w:ascii="Sylfaen" w:hAnsi="Sylfaen"/>
          <w:sz w:val="24"/>
          <w:szCs w:val="24"/>
        </w:rPr>
        <w:t xml:space="preserve"> </w:t>
      </w:r>
      <w:r w:rsidR="00FA1260">
        <w:rPr>
          <w:rFonts w:ascii="Sylfaen" w:hAnsi="Sylfaen"/>
          <w:sz w:val="24"/>
          <w:szCs w:val="24"/>
        </w:rPr>
        <w:t>Thus, the PDO considers the detention of the Turkish citizens illegal.</w:t>
      </w:r>
      <w:r w:rsidR="00AB616C">
        <w:rPr>
          <w:rFonts w:ascii="Sylfaen" w:hAnsi="Sylfaen"/>
          <w:sz w:val="24"/>
          <w:szCs w:val="24"/>
        </w:rPr>
        <w:t xml:space="preserve"> </w:t>
      </w:r>
      <w:r w:rsidR="00E115C9">
        <w:rPr>
          <w:rFonts w:ascii="Sylfaen" w:hAnsi="Sylfaen"/>
          <w:sz w:val="24"/>
          <w:szCs w:val="24"/>
        </w:rPr>
        <w:t>In 2022, the PDO has continued to study similar cases</w:t>
      </w:r>
      <w:r w:rsidR="00AB616C">
        <w:rPr>
          <w:rFonts w:ascii="Sylfaen" w:hAnsi="Sylfaen"/>
          <w:sz w:val="24"/>
          <w:szCs w:val="24"/>
        </w:rPr>
        <w:t xml:space="preserve"> in terms of availability of the asylum procedure and potential violations of the principle of ex</w:t>
      </w:r>
      <w:r w:rsidR="00572E8D">
        <w:rPr>
          <w:rFonts w:ascii="Sylfaen" w:hAnsi="Sylfaen"/>
          <w:sz w:val="24"/>
          <w:szCs w:val="24"/>
        </w:rPr>
        <w:t xml:space="preserve">emption from criminal liability. </w:t>
      </w:r>
      <w:r w:rsidR="00E115C9">
        <w:rPr>
          <w:rFonts w:ascii="Sylfaen" w:hAnsi="Sylfaen"/>
          <w:sz w:val="24"/>
          <w:szCs w:val="24"/>
        </w:rPr>
        <w:t xml:space="preserve">These cases </w:t>
      </w:r>
      <w:r w:rsidR="00E115C9" w:rsidRPr="000F77C8">
        <w:rPr>
          <w:rFonts w:ascii="Sylfaen" w:hAnsi="Sylfaen"/>
          <w:sz w:val="24"/>
          <w:szCs w:val="24"/>
        </w:rPr>
        <w:t xml:space="preserve">involve citizens of Afghanistan, Iran and Morocco, who </w:t>
      </w:r>
      <w:r w:rsidR="00E115C9">
        <w:rPr>
          <w:rFonts w:ascii="Sylfaen" w:hAnsi="Sylfaen"/>
          <w:sz w:val="24"/>
          <w:szCs w:val="24"/>
        </w:rPr>
        <w:t>have stated</w:t>
      </w:r>
      <w:r w:rsidR="00E115C9" w:rsidRPr="000F77C8">
        <w:rPr>
          <w:rFonts w:ascii="Sylfaen" w:hAnsi="Sylfaen"/>
          <w:sz w:val="24"/>
          <w:szCs w:val="24"/>
        </w:rPr>
        <w:t xml:space="preserve"> that they are still </w:t>
      </w:r>
      <w:r w:rsidR="00E115C9">
        <w:rPr>
          <w:rFonts w:ascii="Sylfaen" w:hAnsi="Sylfaen"/>
          <w:sz w:val="24"/>
          <w:szCs w:val="24"/>
        </w:rPr>
        <w:t xml:space="preserve">being </w:t>
      </w:r>
      <w:r w:rsidR="00E115C9" w:rsidRPr="000F77C8">
        <w:rPr>
          <w:rFonts w:ascii="Sylfaen" w:hAnsi="Sylfaen"/>
          <w:sz w:val="24"/>
          <w:szCs w:val="24"/>
        </w:rPr>
        <w:t>prosecuted for violating the law</w:t>
      </w:r>
      <w:r w:rsidR="00E115C9">
        <w:rPr>
          <w:rFonts w:ascii="Sylfaen" w:hAnsi="Sylfaen"/>
          <w:sz w:val="24"/>
          <w:szCs w:val="24"/>
        </w:rPr>
        <w:t xml:space="preserve"> </w:t>
      </w:r>
      <w:r w:rsidR="00E115C9" w:rsidRPr="000F77C8">
        <w:rPr>
          <w:rFonts w:ascii="Sylfaen" w:hAnsi="Sylfaen"/>
          <w:sz w:val="24"/>
          <w:szCs w:val="24"/>
        </w:rPr>
        <w:t xml:space="preserve">despite </w:t>
      </w:r>
      <w:r w:rsidR="00E115C9">
        <w:rPr>
          <w:rFonts w:ascii="Sylfaen" w:hAnsi="Sylfaen"/>
          <w:sz w:val="24"/>
          <w:szCs w:val="24"/>
        </w:rPr>
        <w:t xml:space="preserve">having requested </w:t>
      </w:r>
      <w:r w:rsidR="00E115C9" w:rsidRPr="000F77C8">
        <w:rPr>
          <w:rFonts w:ascii="Sylfaen" w:hAnsi="Sylfaen"/>
          <w:sz w:val="24"/>
          <w:szCs w:val="24"/>
        </w:rPr>
        <w:t>asylum</w:t>
      </w:r>
      <w:r w:rsidR="00E115C9">
        <w:rPr>
          <w:rFonts w:ascii="Sylfaen" w:hAnsi="Sylfaen"/>
          <w:sz w:val="24"/>
          <w:szCs w:val="24"/>
        </w:rPr>
        <w:t>.</w:t>
      </w:r>
      <w:r w:rsidR="00E115C9">
        <w:rPr>
          <w:rStyle w:val="FootnoteReference"/>
          <w:rFonts w:ascii="Sylfaen" w:hAnsi="Sylfaen"/>
          <w:sz w:val="24"/>
          <w:szCs w:val="24"/>
        </w:rPr>
        <w:footnoteReference w:id="89"/>
      </w:r>
    </w:p>
    <w:p w14:paraId="31BC4441" w14:textId="77777777" w:rsidR="00693099" w:rsidRDefault="0035336B" w:rsidP="004721DB">
      <w:pPr>
        <w:jc w:val="both"/>
        <w:rPr>
          <w:rFonts w:ascii="Sylfaen" w:hAnsi="Sylfaen"/>
          <w:b/>
          <w:bCs/>
          <w:sz w:val="24"/>
          <w:szCs w:val="24"/>
          <w:lang w:val="ka-GE"/>
        </w:rPr>
      </w:pPr>
      <w:r w:rsidRPr="0035336B">
        <w:rPr>
          <w:rFonts w:ascii="Sylfaen" w:hAnsi="Sylfaen"/>
          <w:b/>
          <w:bCs/>
          <w:sz w:val="24"/>
          <w:szCs w:val="24"/>
          <w:lang w:val="ka-GE"/>
        </w:rPr>
        <w:t>Fair and efficient asylum procedure</w:t>
      </w:r>
    </w:p>
    <w:p w14:paraId="664DA7BF" w14:textId="4C27C629" w:rsidR="00E74097" w:rsidRPr="007712D9" w:rsidRDefault="006452C8" w:rsidP="004721DB">
      <w:pPr>
        <w:jc w:val="both"/>
        <w:rPr>
          <w:rFonts w:ascii="Sylfaen" w:hAnsi="Sylfaen"/>
          <w:sz w:val="24"/>
          <w:szCs w:val="24"/>
          <w:lang w:val="ka-GE"/>
        </w:rPr>
      </w:pPr>
      <w:r>
        <w:rPr>
          <w:rFonts w:ascii="Sylfaen" w:hAnsi="Sylfaen"/>
          <w:sz w:val="24"/>
          <w:szCs w:val="24"/>
          <w:lang w:val="ka-GE"/>
        </w:rPr>
        <w:t>19</w:t>
      </w:r>
      <w:r w:rsidR="00B568BE">
        <w:rPr>
          <w:rFonts w:ascii="Sylfaen" w:hAnsi="Sylfaen"/>
          <w:sz w:val="24"/>
          <w:szCs w:val="24"/>
        </w:rPr>
        <w:t xml:space="preserve">. </w:t>
      </w:r>
      <w:r w:rsidR="002B16FD">
        <w:rPr>
          <w:rFonts w:ascii="Sylfaen" w:hAnsi="Sylfaen"/>
          <w:sz w:val="24"/>
          <w:szCs w:val="24"/>
        </w:rPr>
        <w:t>T</w:t>
      </w:r>
      <w:r w:rsidR="00652FE7">
        <w:rPr>
          <w:rFonts w:ascii="Sylfaen" w:hAnsi="Sylfaen"/>
          <w:sz w:val="24"/>
          <w:szCs w:val="24"/>
        </w:rPr>
        <w:t>he maximum term for reviewing and deciding applications is 21 months.</w:t>
      </w:r>
      <w:r w:rsidR="00E74097">
        <w:rPr>
          <w:rFonts w:ascii="Sylfaen" w:hAnsi="Sylfaen"/>
          <w:sz w:val="24"/>
          <w:szCs w:val="24"/>
        </w:rPr>
        <w:t xml:space="preserve"> In practice, compliance with this term is problematic. </w:t>
      </w:r>
      <w:r w:rsidR="005D76DB">
        <w:rPr>
          <w:rFonts w:ascii="Sylfaen" w:hAnsi="Sylfaen"/>
          <w:sz w:val="24"/>
          <w:szCs w:val="24"/>
        </w:rPr>
        <w:t xml:space="preserve">According to the official statistics, the number of those asylum seeker cases in which </w:t>
      </w:r>
      <w:r w:rsidR="00FE5ECF">
        <w:rPr>
          <w:rFonts w:ascii="Sylfaen" w:hAnsi="Sylfaen"/>
          <w:sz w:val="24"/>
          <w:szCs w:val="24"/>
        </w:rPr>
        <w:t>the review and decision-making took more than 21 months is increasing.</w:t>
      </w:r>
      <w:r w:rsidR="00FE5ECF">
        <w:rPr>
          <w:rStyle w:val="FootnoteReference"/>
          <w:rFonts w:ascii="Sylfaen" w:hAnsi="Sylfaen"/>
          <w:sz w:val="24"/>
          <w:szCs w:val="24"/>
        </w:rPr>
        <w:footnoteReference w:id="90"/>
      </w:r>
      <w:r w:rsidR="00FE5ECF">
        <w:rPr>
          <w:rFonts w:ascii="Sylfaen" w:hAnsi="Sylfaen"/>
          <w:sz w:val="24"/>
          <w:szCs w:val="24"/>
        </w:rPr>
        <w:t xml:space="preserve"> </w:t>
      </w:r>
      <w:r w:rsidR="00705F65">
        <w:rPr>
          <w:rFonts w:ascii="Sylfaen" w:hAnsi="Sylfaen"/>
          <w:sz w:val="24"/>
          <w:szCs w:val="24"/>
        </w:rPr>
        <w:t xml:space="preserve">If one also </w:t>
      </w:r>
      <w:r w:rsidR="00A3173D">
        <w:rPr>
          <w:rFonts w:ascii="Sylfaen" w:hAnsi="Sylfaen"/>
          <w:sz w:val="24"/>
          <w:szCs w:val="24"/>
        </w:rPr>
        <w:t>takes into account</w:t>
      </w:r>
      <w:r w:rsidR="00705F65">
        <w:rPr>
          <w:rFonts w:ascii="Sylfaen" w:hAnsi="Sylfaen"/>
          <w:sz w:val="24"/>
          <w:szCs w:val="24"/>
        </w:rPr>
        <w:t xml:space="preserve"> the time needed for litigation in the courts of first and second instance, </w:t>
      </w:r>
      <w:r w:rsidR="00217882">
        <w:rPr>
          <w:rFonts w:ascii="Sylfaen" w:hAnsi="Sylfaen"/>
          <w:sz w:val="24"/>
          <w:szCs w:val="24"/>
        </w:rPr>
        <w:t xml:space="preserve">it becomes clear that the period for decision-making on granting asylum is unreasonably protracted and </w:t>
      </w:r>
      <w:r w:rsidR="009D4A43">
        <w:rPr>
          <w:rFonts w:ascii="Sylfaen" w:hAnsi="Sylfaen"/>
          <w:sz w:val="24"/>
          <w:szCs w:val="24"/>
        </w:rPr>
        <w:t>deprives an asylum seeker of the opportunity to enjoy various rights and places him in legal uncertainty for long time</w:t>
      </w:r>
      <w:r w:rsidR="00AD32D4">
        <w:rPr>
          <w:rFonts w:ascii="Sylfaen" w:hAnsi="Sylfaen"/>
          <w:sz w:val="24"/>
          <w:szCs w:val="24"/>
        </w:rPr>
        <w:t>.</w:t>
      </w:r>
      <w:r w:rsidR="00871ECD">
        <w:rPr>
          <w:rStyle w:val="FootnoteReference"/>
          <w:rFonts w:ascii="Sylfaen" w:hAnsi="Sylfaen"/>
          <w:sz w:val="24"/>
          <w:szCs w:val="24"/>
        </w:rPr>
        <w:footnoteReference w:id="91"/>
      </w:r>
      <w:r w:rsidR="00217882">
        <w:rPr>
          <w:rFonts w:ascii="Sylfaen" w:hAnsi="Sylfaen"/>
          <w:sz w:val="24"/>
          <w:szCs w:val="24"/>
        </w:rPr>
        <w:t xml:space="preserve"> </w:t>
      </w:r>
    </w:p>
    <w:p w14:paraId="04170E5A" w14:textId="593B294F" w:rsidR="007F6065" w:rsidRDefault="007F6065" w:rsidP="004721DB">
      <w:pPr>
        <w:jc w:val="both"/>
        <w:rPr>
          <w:rFonts w:ascii="Sylfaen" w:hAnsi="Sylfaen"/>
          <w:sz w:val="24"/>
          <w:szCs w:val="24"/>
        </w:rPr>
      </w:pPr>
      <w:r>
        <w:rPr>
          <w:rFonts w:ascii="Sylfaen" w:hAnsi="Sylfaen"/>
          <w:sz w:val="24"/>
          <w:szCs w:val="24"/>
        </w:rPr>
        <w:t>2</w:t>
      </w:r>
      <w:r w:rsidR="00FC2C1F">
        <w:rPr>
          <w:rFonts w:ascii="Sylfaen" w:hAnsi="Sylfaen"/>
          <w:sz w:val="24"/>
          <w:szCs w:val="24"/>
        </w:rPr>
        <w:t>0</w:t>
      </w:r>
      <w:r>
        <w:rPr>
          <w:rFonts w:ascii="Sylfaen" w:hAnsi="Sylfaen"/>
          <w:sz w:val="24"/>
          <w:szCs w:val="24"/>
        </w:rPr>
        <w:t xml:space="preserve">. </w:t>
      </w:r>
      <w:r w:rsidR="00DF295A">
        <w:rPr>
          <w:rFonts w:ascii="Sylfaen" w:hAnsi="Sylfaen"/>
          <w:sz w:val="24"/>
          <w:szCs w:val="24"/>
        </w:rPr>
        <w:t xml:space="preserve">In terms of the </w:t>
      </w:r>
      <w:r w:rsidR="00860FF4">
        <w:rPr>
          <w:rFonts w:ascii="Sylfaen" w:hAnsi="Sylfaen"/>
          <w:sz w:val="24"/>
          <w:szCs w:val="24"/>
        </w:rPr>
        <w:t>accessibility and fairness</w:t>
      </w:r>
      <w:r w:rsidR="00DF295A">
        <w:rPr>
          <w:rFonts w:ascii="Sylfaen" w:hAnsi="Sylfaen"/>
          <w:sz w:val="24"/>
          <w:szCs w:val="24"/>
        </w:rPr>
        <w:t xml:space="preserve"> of the asylum procedure,</w:t>
      </w:r>
      <w:r w:rsidR="00860FF4">
        <w:rPr>
          <w:rFonts w:ascii="Sylfaen" w:hAnsi="Sylfaen"/>
          <w:sz w:val="24"/>
          <w:szCs w:val="24"/>
        </w:rPr>
        <w:t xml:space="preserve"> it is important that asylum seekers</w:t>
      </w:r>
      <w:r w:rsidR="00F51CE6">
        <w:rPr>
          <w:rFonts w:ascii="Sylfaen" w:hAnsi="Sylfaen"/>
          <w:sz w:val="24"/>
          <w:szCs w:val="24"/>
        </w:rPr>
        <w:t xml:space="preserve"> are provided with the information about the procedure in a language they understand. In this connection, t</w:t>
      </w:r>
      <w:r>
        <w:rPr>
          <w:rFonts w:ascii="Sylfaen" w:hAnsi="Sylfaen"/>
          <w:sz w:val="24"/>
          <w:szCs w:val="24"/>
        </w:rPr>
        <w:t>he State Report reads that “</w:t>
      </w:r>
      <w:r w:rsidRPr="007F6065">
        <w:rPr>
          <w:rFonts w:ascii="Sylfaen" w:hAnsi="Sylfaen"/>
          <w:sz w:val="24"/>
          <w:szCs w:val="24"/>
        </w:rPr>
        <w:t>The state agency shall ensure the translation of information for an alien or a stateless person into a language understandable for him/her</w:t>
      </w:r>
      <w:r>
        <w:rPr>
          <w:rFonts w:ascii="Sylfaen" w:hAnsi="Sylfaen"/>
          <w:sz w:val="24"/>
          <w:szCs w:val="24"/>
        </w:rPr>
        <w:t>”.</w:t>
      </w:r>
      <w:r>
        <w:rPr>
          <w:rStyle w:val="FootnoteReference"/>
          <w:rFonts w:ascii="Sylfaen" w:hAnsi="Sylfaen"/>
          <w:sz w:val="24"/>
          <w:szCs w:val="24"/>
        </w:rPr>
        <w:footnoteReference w:id="92"/>
      </w:r>
      <w:r w:rsidR="00D347BC">
        <w:rPr>
          <w:rFonts w:ascii="Sylfaen" w:hAnsi="Sylfaen"/>
          <w:sz w:val="24"/>
          <w:szCs w:val="24"/>
        </w:rPr>
        <w:t xml:space="preserve"> However, the PDO’s report has found that provision of translation is one of the challenges of an inter</w:t>
      </w:r>
      <w:r w:rsidR="00A35263">
        <w:rPr>
          <w:rFonts w:ascii="Sylfaen" w:hAnsi="Sylfaen"/>
          <w:sz w:val="24"/>
          <w:szCs w:val="24"/>
        </w:rPr>
        <w:t xml:space="preserve">view procedure within the asylum system. The PDO monitoring reveals that, in some cases, translators who have not </w:t>
      </w:r>
      <w:r w:rsidR="004556C3">
        <w:rPr>
          <w:rFonts w:ascii="Sylfaen" w:hAnsi="Sylfaen"/>
          <w:sz w:val="24"/>
          <w:szCs w:val="24"/>
        </w:rPr>
        <w:t>had trainings/preparations needed specifically for the asylum procedure</w:t>
      </w:r>
      <w:r w:rsidR="009011FA">
        <w:rPr>
          <w:rFonts w:ascii="Sylfaen" w:hAnsi="Sylfaen"/>
          <w:sz w:val="24"/>
          <w:szCs w:val="24"/>
        </w:rPr>
        <w:t xml:space="preserve"> have</w:t>
      </w:r>
      <w:r w:rsidR="004556C3">
        <w:rPr>
          <w:rFonts w:ascii="Sylfaen" w:hAnsi="Sylfaen"/>
          <w:sz w:val="24"/>
          <w:szCs w:val="24"/>
        </w:rPr>
        <w:t xml:space="preserve"> work on </w:t>
      </w:r>
      <w:r w:rsidR="007A07FA">
        <w:rPr>
          <w:rFonts w:ascii="Sylfaen" w:hAnsi="Sylfaen"/>
          <w:sz w:val="24"/>
          <w:szCs w:val="24"/>
        </w:rPr>
        <w:t>forms and review procedures.</w:t>
      </w:r>
      <w:r w:rsidR="009011FA">
        <w:rPr>
          <w:rStyle w:val="FootnoteReference"/>
          <w:rFonts w:ascii="Sylfaen" w:hAnsi="Sylfaen"/>
          <w:sz w:val="24"/>
          <w:szCs w:val="24"/>
        </w:rPr>
        <w:footnoteReference w:id="93"/>
      </w:r>
      <w:r w:rsidR="004556C3">
        <w:rPr>
          <w:rFonts w:ascii="Sylfaen" w:hAnsi="Sylfaen"/>
          <w:sz w:val="24"/>
          <w:szCs w:val="24"/>
        </w:rPr>
        <w:t xml:space="preserve"> </w:t>
      </w:r>
      <w:r w:rsidR="00E10217">
        <w:rPr>
          <w:rFonts w:ascii="Sylfaen" w:hAnsi="Sylfaen"/>
          <w:sz w:val="24"/>
          <w:szCs w:val="24"/>
        </w:rPr>
        <w:t>It is important that the asylum seekers receive service from qualified translators during every step of the asylum procedures.</w:t>
      </w:r>
    </w:p>
    <w:p w14:paraId="31C90980" w14:textId="0495B9D2" w:rsidR="00861E6B" w:rsidRDefault="00BD232F" w:rsidP="00DD6303">
      <w:pPr>
        <w:jc w:val="both"/>
        <w:rPr>
          <w:rFonts w:ascii="Sylfaen" w:hAnsi="Sylfaen"/>
          <w:sz w:val="24"/>
          <w:szCs w:val="24"/>
        </w:rPr>
      </w:pPr>
      <w:r>
        <w:rPr>
          <w:rFonts w:ascii="Sylfaen" w:hAnsi="Sylfaen"/>
          <w:sz w:val="24"/>
          <w:szCs w:val="24"/>
        </w:rPr>
        <w:lastRenderedPageBreak/>
        <w:t>2</w:t>
      </w:r>
      <w:r w:rsidR="00FC2C1F">
        <w:rPr>
          <w:rFonts w:ascii="Sylfaen" w:hAnsi="Sylfaen"/>
          <w:sz w:val="24"/>
          <w:szCs w:val="24"/>
        </w:rPr>
        <w:t>1</w:t>
      </w:r>
      <w:r>
        <w:rPr>
          <w:rFonts w:ascii="Sylfaen" w:hAnsi="Sylfaen"/>
          <w:sz w:val="24"/>
          <w:szCs w:val="24"/>
        </w:rPr>
        <w:t>. As the State Report mentions persons with special needs in the context of asylum procedures,</w:t>
      </w:r>
      <w:r w:rsidR="008C40D4">
        <w:rPr>
          <w:rStyle w:val="FootnoteReference"/>
          <w:rFonts w:ascii="Sylfaen" w:hAnsi="Sylfaen"/>
          <w:sz w:val="24"/>
          <w:szCs w:val="24"/>
        </w:rPr>
        <w:footnoteReference w:id="94"/>
      </w:r>
      <w:r>
        <w:rPr>
          <w:rFonts w:ascii="Sylfaen" w:hAnsi="Sylfaen"/>
          <w:sz w:val="24"/>
          <w:szCs w:val="24"/>
        </w:rPr>
        <w:t xml:space="preserve"> </w:t>
      </w:r>
      <w:r w:rsidR="000339D0">
        <w:rPr>
          <w:rFonts w:ascii="Sylfaen" w:hAnsi="Sylfaen"/>
          <w:sz w:val="24"/>
          <w:szCs w:val="24"/>
        </w:rPr>
        <w:t xml:space="preserve">the PDO would also like to address this matter. In particular, </w:t>
      </w:r>
      <w:r w:rsidR="00F4408A">
        <w:rPr>
          <w:rFonts w:ascii="Sylfaen" w:hAnsi="Sylfaen"/>
          <w:sz w:val="24"/>
          <w:szCs w:val="24"/>
        </w:rPr>
        <w:t>t</w:t>
      </w:r>
      <w:r w:rsidR="00F4408A" w:rsidRPr="00F4408A">
        <w:rPr>
          <w:rFonts w:ascii="Sylfaen" w:hAnsi="Sylfaen"/>
          <w:sz w:val="24"/>
          <w:szCs w:val="24"/>
        </w:rPr>
        <w:t>he</w:t>
      </w:r>
      <w:r w:rsidR="00F4408A">
        <w:rPr>
          <w:rFonts w:ascii="Sylfaen" w:hAnsi="Sylfaen"/>
          <w:sz w:val="24"/>
          <w:szCs w:val="24"/>
        </w:rPr>
        <w:t xml:space="preserve"> </w:t>
      </w:r>
      <w:r w:rsidR="00F4408A" w:rsidRPr="00F4408A">
        <w:rPr>
          <w:rFonts w:ascii="Sylfaen" w:hAnsi="Sylfaen"/>
          <w:sz w:val="24"/>
          <w:szCs w:val="24"/>
        </w:rPr>
        <w:t xml:space="preserve">monitoring </w:t>
      </w:r>
      <w:r w:rsidR="00F4408A">
        <w:rPr>
          <w:rFonts w:ascii="Sylfaen" w:hAnsi="Sylfaen"/>
          <w:sz w:val="24"/>
          <w:szCs w:val="24"/>
        </w:rPr>
        <w:t xml:space="preserve">by the PDO has </w:t>
      </w:r>
      <w:r w:rsidR="00F4408A" w:rsidRPr="00F4408A">
        <w:rPr>
          <w:rFonts w:ascii="Sylfaen" w:hAnsi="Sylfaen"/>
          <w:sz w:val="24"/>
          <w:szCs w:val="24"/>
        </w:rPr>
        <w:t>revealed that the</w:t>
      </w:r>
      <w:r w:rsidR="00F4408A">
        <w:rPr>
          <w:rFonts w:ascii="Sylfaen" w:hAnsi="Sylfaen"/>
          <w:sz w:val="24"/>
          <w:szCs w:val="24"/>
        </w:rPr>
        <w:t xml:space="preserve"> </w:t>
      </w:r>
      <w:r w:rsidR="00F4408A" w:rsidRPr="00F4408A">
        <w:rPr>
          <w:rFonts w:ascii="Sylfaen" w:hAnsi="Sylfaen"/>
          <w:sz w:val="24"/>
          <w:szCs w:val="24"/>
        </w:rPr>
        <w:t>needs of persons with disabilities are invisible to the system at all stages of the international protection</w:t>
      </w:r>
      <w:r w:rsidR="00F4408A">
        <w:rPr>
          <w:rFonts w:ascii="Sylfaen" w:hAnsi="Sylfaen"/>
          <w:sz w:val="24"/>
          <w:szCs w:val="24"/>
        </w:rPr>
        <w:t xml:space="preserve"> </w:t>
      </w:r>
      <w:r w:rsidR="00F4408A" w:rsidRPr="00F4408A">
        <w:rPr>
          <w:rFonts w:ascii="Sylfaen" w:hAnsi="Sylfaen"/>
          <w:sz w:val="24"/>
          <w:szCs w:val="24"/>
        </w:rPr>
        <w:t>procedure.</w:t>
      </w:r>
      <w:r w:rsidR="00F76E10">
        <w:rPr>
          <w:rStyle w:val="FootnoteReference"/>
          <w:rFonts w:ascii="Sylfaen" w:hAnsi="Sylfaen"/>
          <w:sz w:val="24"/>
          <w:szCs w:val="24"/>
        </w:rPr>
        <w:footnoteReference w:id="95"/>
      </w:r>
      <w:r w:rsidR="00F4408A" w:rsidRPr="00F4408A">
        <w:rPr>
          <w:rFonts w:ascii="Sylfaen" w:hAnsi="Sylfaen"/>
          <w:sz w:val="24"/>
          <w:szCs w:val="24"/>
        </w:rPr>
        <w:t xml:space="preserve"> </w:t>
      </w:r>
      <w:r w:rsidR="007758E0">
        <w:rPr>
          <w:rFonts w:ascii="Sylfaen" w:hAnsi="Sylfaen"/>
          <w:sz w:val="24"/>
          <w:szCs w:val="24"/>
        </w:rPr>
        <w:t>Under t</w:t>
      </w:r>
      <w:r w:rsidR="00F4408A" w:rsidRPr="00F4408A">
        <w:rPr>
          <w:rFonts w:ascii="Sylfaen" w:hAnsi="Sylfaen"/>
          <w:sz w:val="24"/>
          <w:szCs w:val="24"/>
        </w:rPr>
        <w:t xml:space="preserve">he current regulations </w:t>
      </w:r>
      <w:r w:rsidR="007758E0">
        <w:rPr>
          <w:rFonts w:ascii="Sylfaen" w:hAnsi="Sylfaen"/>
          <w:sz w:val="24"/>
          <w:szCs w:val="24"/>
        </w:rPr>
        <w:t xml:space="preserve">it is </w:t>
      </w:r>
      <w:r w:rsidR="00F4408A" w:rsidRPr="00F4408A">
        <w:rPr>
          <w:rFonts w:ascii="Sylfaen" w:hAnsi="Sylfaen"/>
          <w:sz w:val="24"/>
          <w:szCs w:val="24"/>
        </w:rPr>
        <w:t>possible to identify asylum seekers with disabilities and record</w:t>
      </w:r>
      <w:r w:rsidR="00F4408A">
        <w:rPr>
          <w:rFonts w:ascii="Sylfaen" w:hAnsi="Sylfaen"/>
          <w:sz w:val="24"/>
          <w:szCs w:val="24"/>
        </w:rPr>
        <w:t xml:space="preserve"> </w:t>
      </w:r>
      <w:r w:rsidR="00F4408A" w:rsidRPr="00F4408A">
        <w:rPr>
          <w:rFonts w:ascii="Sylfaen" w:hAnsi="Sylfaen"/>
          <w:sz w:val="24"/>
          <w:szCs w:val="24"/>
        </w:rPr>
        <w:t xml:space="preserve">the relevant data, however, unfortunately, this does not </w:t>
      </w:r>
      <w:r w:rsidR="007758E0">
        <w:rPr>
          <w:rFonts w:ascii="Sylfaen" w:hAnsi="Sylfaen"/>
          <w:sz w:val="24"/>
          <w:szCs w:val="24"/>
        </w:rPr>
        <w:t>take place</w:t>
      </w:r>
      <w:r w:rsidR="00F4408A" w:rsidRPr="00F4408A">
        <w:rPr>
          <w:rFonts w:ascii="Sylfaen" w:hAnsi="Sylfaen"/>
          <w:sz w:val="24"/>
          <w:szCs w:val="24"/>
        </w:rPr>
        <w:t>.</w:t>
      </w:r>
      <w:r w:rsidR="00F76E10">
        <w:rPr>
          <w:rStyle w:val="FootnoteReference"/>
          <w:rFonts w:ascii="Sylfaen" w:hAnsi="Sylfaen"/>
          <w:sz w:val="24"/>
          <w:szCs w:val="24"/>
        </w:rPr>
        <w:footnoteReference w:id="96"/>
      </w:r>
      <w:r w:rsidR="00F4408A" w:rsidRPr="00F4408A">
        <w:rPr>
          <w:rFonts w:ascii="Sylfaen" w:hAnsi="Sylfaen"/>
          <w:sz w:val="24"/>
          <w:szCs w:val="24"/>
        </w:rPr>
        <w:t xml:space="preserve"> In addition, at the stage of seeking</w:t>
      </w:r>
      <w:r w:rsidR="00F4408A">
        <w:rPr>
          <w:rFonts w:ascii="Sylfaen" w:hAnsi="Sylfaen"/>
          <w:sz w:val="24"/>
          <w:szCs w:val="24"/>
        </w:rPr>
        <w:t xml:space="preserve"> </w:t>
      </w:r>
      <w:r w:rsidR="00F4408A" w:rsidRPr="00F4408A">
        <w:rPr>
          <w:rFonts w:ascii="Sylfaen" w:hAnsi="Sylfaen"/>
          <w:sz w:val="24"/>
          <w:szCs w:val="24"/>
        </w:rPr>
        <w:t>international protection, the disability identification process is not structured according to the types of</w:t>
      </w:r>
      <w:r w:rsidR="00F4408A">
        <w:rPr>
          <w:rFonts w:ascii="Sylfaen" w:hAnsi="Sylfaen"/>
          <w:sz w:val="24"/>
          <w:szCs w:val="24"/>
        </w:rPr>
        <w:t xml:space="preserve"> </w:t>
      </w:r>
      <w:r w:rsidR="00F4408A" w:rsidRPr="00F4408A">
        <w:rPr>
          <w:rFonts w:ascii="Sylfaen" w:hAnsi="Sylfaen"/>
          <w:sz w:val="24"/>
          <w:szCs w:val="24"/>
        </w:rPr>
        <w:t>disability.</w:t>
      </w:r>
      <w:r w:rsidR="00F76E10">
        <w:rPr>
          <w:rStyle w:val="FootnoteReference"/>
          <w:rFonts w:ascii="Sylfaen" w:hAnsi="Sylfaen"/>
          <w:sz w:val="24"/>
          <w:szCs w:val="24"/>
        </w:rPr>
        <w:footnoteReference w:id="97"/>
      </w:r>
      <w:r w:rsidR="00F4408A" w:rsidRPr="00F4408A">
        <w:rPr>
          <w:rFonts w:ascii="Sylfaen" w:hAnsi="Sylfaen"/>
          <w:sz w:val="24"/>
          <w:szCs w:val="24"/>
        </w:rPr>
        <w:t xml:space="preserve"> Consequently, it does not serve</w:t>
      </w:r>
      <w:r w:rsidR="00F76E10">
        <w:rPr>
          <w:rFonts w:ascii="Sylfaen" w:hAnsi="Sylfaen"/>
          <w:sz w:val="24"/>
          <w:szCs w:val="24"/>
        </w:rPr>
        <w:t xml:space="preserve"> the</w:t>
      </w:r>
      <w:r w:rsidR="00F4408A" w:rsidRPr="00F4408A">
        <w:rPr>
          <w:rFonts w:ascii="Sylfaen" w:hAnsi="Sylfaen"/>
          <w:sz w:val="24"/>
          <w:szCs w:val="24"/>
        </w:rPr>
        <w:t xml:space="preserve"> </w:t>
      </w:r>
      <w:r w:rsidR="00C1141A">
        <w:rPr>
          <w:rFonts w:ascii="Sylfaen" w:hAnsi="Sylfaen"/>
          <w:sz w:val="24"/>
          <w:szCs w:val="24"/>
        </w:rPr>
        <w:t xml:space="preserve">determination of </w:t>
      </w:r>
      <w:r w:rsidR="00F4408A" w:rsidRPr="00F4408A">
        <w:rPr>
          <w:rFonts w:ascii="Sylfaen" w:hAnsi="Sylfaen"/>
          <w:sz w:val="24"/>
          <w:szCs w:val="24"/>
        </w:rPr>
        <w:t>the measures necessary</w:t>
      </w:r>
      <w:r w:rsidR="00C1141A">
        <w:rPr>
          <w:rFonts w:ascii="Sylfaen" w:hAnsi="Sylfaen"/>
          <w:sz w:val="24"/>
          <w:szCs w:val="24"/>
        </w:rPr>
        <w:t xml:space="preserve"> for reasonable accommodation</w:t>
      </w:r>
      <w:r w:rsidR="00E90C3D">
        <w:rPr>
          <w:rFonts w:ascii="Sylfaen" w:hAnsi="Sylfaen"/>
          <w:sz w:val="24"/>
          <w:szCs w:val="24"/>
        </w:rPr>
        <w:t xml:space="preserve"> for each person from the outset</w:t>
      </w:r>
      <w:r w:rsidR="00F4408A" w:rsidRPr="00F4408A">
        <w:rPr>
          <w:rFonts w:ascii="Sylfaen" w:hAnsi="Sylfaen"/>
          <w:sz w:val="24"/>
          <w:szCs w:val="24"/>
        </w:rPr>
        <w:t>.</w:t>
      </w:r>
      <w:r w:rsidR="00F76E10">
        <w:rPr>
          <w:rStyle w:val="FootnoteReference"/>
          <w:rFonts w:ascii="Sylfaen" w:hAnsi="Sylfaen"/>
          <w:sz w:val="24"/>
          <w:szCs w:val="24"/>
        </w:rPr>
        <w:footnoteReference w:id="98"/>
      </w:r>
      <w:r w:rsidR="00F4408A" w:rsidRPr="00F4408A">
        <w:rPr>
          <w:rFonts w:ascii="Sylfaen" w:hAnsi="Sylfaen"/>
          <w:sz w:val="24"/>
          <w:szCs w:val="24"/>
        </w:rPr>
        <w:t xml:space="preserve"> </w:t>
      </w:r>
      <w:r w:rsidR="00543D99">
        <w:rPr>
          <w:rFonts w:ascii="Sylfaen" w:hAnsi="Sylfaen"/>
          <w:sz w:val="24"/>
          <w:szCs w:val="24"/>
        </w:rPr>
        <w:t xml:space="preserve">Moreover, </w:t>
      </w:r>
      <w:r w:rsidR="00F4408A" w:rsidRPr="00F4408A">
        <w:rPr>
          <w:rFonts w:ascii="Sylfaen" w:hAnsi="Sylfaen"/>
          <w:sz w:val="24"/>
          <w:szCs w:val="24"/>
        </w:rPr>
        <w:t>there is a need to raise the</w:t>
      </w:r>
      <w:r w:rsidR="00F4408A">
        <w:rPr>
          <w:rFonts w:ascii="Sylfaen" w:hAnsi="Sylfaen"/>
          <w:sz w:val="24"/>
          <w:szCs w:val="24"/>
        </w:rPr>
        <w:t xml:space="preserve"> </w:t>
      </w:r>
      <w:r w:rsidR="00F4408A" w:rsidRPr="00F4408A">
        <w:rPr>
          <w:rFonts w:ascii="Sylfaen" w:hAnsi="Sylfaen"/>
          <w:sz w:val="24"/>
          <w:szCs w:val="24"/>
        </w:rPr>
        <w:t>awareness of both state and other services and institutions working with persons with disabilities seeking</w:t>
      </w:r>
      <w:r w:rsidR="00F4408A">
        <w:rPr>
          <w:rFonts w:ascii="Sylfaen" w:hAnsi="Sylfaen"/>
          <w:sz w:val="24"/>
          <w:szCs w:val="24"/>
        </w:rPr>
        <w:t xml:space="preserve"> </w:t>
      </w:r>
      <w:r w:rsidR="00F4408A" w:rsidRPr="00F4408A">
        <w:rPr>
          <w:rFonts w:ascii="Sylfaen" w:hAnsi="Sylfaen"/>
          <w:sz w:val="24"/>
          <w:szCs w:val="24"/>
        </w:rPr>
        <w:t>asylum or international protection.</w:t>
      </w:r>
      <w:r w:rsidR="00F76E10">
        <w:rPr>
          <w:rStyle w:val="FootnoteReference"/>
          <w:rFonts w:ascii="Sylfaen" w:hAnsi="Sylfaen"/>
          <w:sz w:val="24"/>
          <w:szCs w:val="24"/>
        </w:rPr>
        <w:footnoteReference w:id="99"/>
      </w:r>
    </w:p>
    <w:p w14:paraId="682F1E41" w14:textId="7F065526" w:rsidR="00DD6303" w:rsidRDefault="00861E6B" w:rsidP="00DD6303">
      <w:pPr>
        <w:jc w:val="both"/>
        <w:rPr>
          <w:rFonts w:ascii="Sylfaen" w:hAnsi="Sylfaen"/>
          <w:sz w:val="24"/>
          <w:szCs w:val="24"/>
        </w:rPr>
      </w:pPr>
      <w:r>
        <w:rPr>
          <w:rFonts w:ascii="Sylfaen" w:hAnsi="Sylfaen"/>
          <w:sz w:val="24"/>
          <w:szCs w:val="24"/>
          <w:lang w:val="ka-GE"/>
        </w:rPr>
        <w:t>2</w:t>
      </w:r>
      <w:r w:rsidR="00FC2C1F">
        <w:rPr>
          <w:rFonts w:ascii="Sylfaen" w:hAnsi="Sylfaen"/>
          <w:sz w:val="24"/>
          <w:szCs w:val="24"/>
        </w:rPr>
        <w:t>2</w:t>
      </w:r>
      <w:r>
        <w:rPr>
          <w:rFonts w:ascii="Sylfaen" w:hAnsi="Sylfaen"/>
          <w:sz w:val="24"/>
          <w:szCs w:val="24"/>
          <w:lang w:val="ka-GE"/>
        </w:rPr>
        <w:t xml:space="preserve">. </w:t>
      </w:r>
      <w:r w:rsidR="00DD6303">
        <w:rPr>
          <w:rFonts w:ascii="Sylfaen" w:hAnsi="Sylfaen"/>
          <w:sz w:val="24"/>
          <w:szCs w:val="24"/>
        </w:rPr>
        <w:t xml:space="preserve">In terms of asylum procedure, the State Report states that </w:t>
      </w:r>
      <w:r w:rsidR="00DD6303" w:rsidRPr="00097F90">
        <w:rPr>
          <w:rFonts w:ascii="Sylfaen" w:hAnsi="Sylfaen"/>
          <w:sz w:val="24"/>
          <w:szCs w:val="24"/>
        </w:rPr>
        <w:t>a potential threat to the state security of Georgia may be a reason for rejecting the application on international protection</w:t>
      </w:r>
      <w:r w:rsidR="00DD6303">
        <w:rPr>
          <w:rFonts w:ascii="Sylfaen" w:hAnsi="Sylfaen"/>
          <w:sz w:val="24"/>
          <w:szCs w:val="24"/>
        </w:rPr>
        <w:t>.</w:t>
      </w:r>
      <w:r w:rsidR="00DD6303">
        <w:rPr>
          <w:rStyle w:val="FootnoteReference"/>
          <w:rFonts w:ascii="Sylfaen" w:hAnsi="Sylfaen"/>
          <w:sz w:val="24"/>
          <w:szCs w:val="24"/>
        </w:rPr>
        <w:footnoteReference w:id="100"/>
      </w:r>
      <w:r w:rsidR="00DD6303">
        <w:rPr>
          <w:rFonts w:ascii="Sylfaen" w:hAnsi="Sylfaen"/>
          <w:sz w:val="24"/>
          <w:szCs w:val="24"/>
        </w:rPr>
        <w:t xml:space="preserve"> The State refers to the decision on refusal as “well-grounded”.</w:t>
      </w:r>
      <w:r w:rsidR="00DD6303">
        <w:rPr>
          <w:rStyle w:val="FootnoteReference"/>
          <w:rFonts w:ascii="Sylfaen" w:hAnsi="Sylfaen"/>
          <w:sz w:val="24"/>
          <w:szCs w:val="24"/>
        </w:rPr>
        <w:footnoteReference w:id="101"/>
      </w:r>
      <w:r w:rsidR="00DD6303">
        <w:rPr>
          <w:rFonts w:ascii="Sylfaen" w:hAnsi="Sylfaen"/>
          <w:sz w:val="24"/>
          <w:szCs w:val="24"/>
        </w:rPr>
        <w:t xml:space="preserve"> Contrary to this statement, the PDO considers the quality of substantiation of such decisions problematic. In particular, there were cases of rejecting applications of citizens of countries </w:t>
      </w:r>
      <w:r w:rsidR="00DD6303" w:rsidRPr="003A75EF">
        <w:rPr>
          <w:rFonts w:ascii="Sylfaen" w:hAnsi="Sylfaen"/>
          <w:sz w:val="24"/>
          <w:szCs w:val="24"/>
        </w:rPr>
        <w:t>where human</w:t>
      </w:r>
      <w:r w:rsidR="00DD6303">
        <w:rPr>
          <w:rFonts w:ascii="Sylfaen" w:hAnsi="Sylfaen"/>
          <w:sz w:val="24"/>
          <w:szCs w:val="24"/>
        </w:rPr>
        <w:t xml:space="preserve"> </w:t>
      </w:r>
      <w:r w:rsidR="00DD6303" w:rsidRPr="003A75EF">
        <w:rPr>
          <w:rFonts w:ascii="Sylfaen" w:hAnsi="Sylfaen"/>
          <w:sz w:val="24"/>
          <w:szCs w:val="24"/>
        </w:rPr>
        <w:t>rights violations and hostilities were taking place</w:t>
      </w:r>
      <w:r w:rsidR="00DD6303">
        <w:rPr>
          <w:rFonts w:ascii="Sylfaen" w:hAnsi="Sylfaen"/>
          <w:sz w:val="24"/>
          <w:szCs w:val="24"/>
        </w:rPr>
        <w:t>.</w:t>
      </w:r>
      <w:r w:rsidR="00DD6303">
        <w:rPr>
          <w:rStyle w:val="FootnoteReference"/>
          <w:rFonts w:ascii="Sylfaen" w:hAnsi="Sylfaen"/>
          <w:sz w:val="24"/>
          <w:szCs w:val="24"/>
        </w:rPr>
        <w:footnoteReference w:id="102"/>
      </w:r>
      <w:r w:rsidR="00DD6303">
        <w:rPr>
          <w:rFonts w:ascii="Sylfaen" w:hAnsi="Sylfaen"/>
          <w:sz w:val="24"/>
          <w:szCs w:val="24"/>
        </w:rPr>
        <w:t xml:space="preserve"> In such cases, the </w:t>
      </w:r>
      <w:r w:rsidR="00DD6303" w:rsidRPr="001A5461">
        <w:rPr>
          <w:rFonts w:ascii="Sylfaen" w:hAnsi="Sylfaen"/>
          <w:sz w:val="24"/>
          <w:szCs w:val="24"/>
        </w:rPr>
        <w:t>individual administrative-legal act</w:t>
      </w:r>
      <w:r w:rsidR="00DD6303">
        <w:rPr>
          <w:rFonts w:ascii="Sylfaen" w:hAnsi="Sylfaen"/>
          <w:sz w:val="24"/>
          <w:szCs w:val="24"/>
        </w:rPr>
        <w:t>s</w:t>
      </w:r>
      <w:r w:rsidR="00DD6303" w:rsidRPr="001A5461">
        <w:rPr>
          <w:rFonts w:ascii="Sylfaen" w:hAnsi="Sylfaen"/>
          <w:sz w:val="24"/>
          <w:szCs w:val="24"/>
        </w:rPr>
        <w:t xml:space="preserve"> issued by the</w:t>
      </w:r>
      <w:r w:rsidR="00DD6303">
        <w:rPr>
          <w:rFonts w:ascii="Sylfaen" w:hAnsi="Sylfaen"/>
          <w:sz w:val="24"/>
          <w:szCs w:val="24"/>
        </w:rPr>
        <w:t xml:space="preserve"> </w:t>
      </w:r>
      <w:r w:rsidR="00DD6303" w:rsidRPr="001A5461">
        <w:rPr>
          <w:rFonts w:ascii="Sylfaen" w:hAnsi="Sylfaen"/>
          <w:sz w:val="24"/>
          <w:szCs w:val="24"/>
        </w:rPr>
        <w:t>Ministry</w:t>
      </w:r>
      <w:r w:rsidR="00DD6303">
        <w:rPr>
          <w:rFonts w:ascii="Sylfaen" w:hAnsi="Sylfaen"/>
          <w:sz w:val="24"/>
          <w:szCs w:val="24"/>
        </w:rPr>
        <w:t xml:space="preserve"> of Internal affairs rejecting the application on grounds of threat to state security were based on the recommendation by the State Security Service.</w:t>
      </w:r>
      <w:r w:rsidR="00DD6303">
        <w:rPr>
          <w:rStyle w:val="FootnoteReference"/>
          <w:rFonts w:ascii="Sylfaen" w:hAnsi="Sylfaen"/>
          <w:sz w:val="24"/>
          <w:szCs w:val="24"/>
        </w:rPr>
        <w:footnoteReference w:id="103"/>
      </w:r>
      <w:r w:rsidR="00DD6303">
        <w:rPr>
          <w:rFonts w:ascii="Sylfaen" w:hAnsi="Sylfaen"/>
          <w:sz w:val="24"/>
          <w:szCs w:val="24"/>
        </w:rPr>
        <w:t xml:space="preserve"> In cases of such decisions, the Ministry of Internal Affairs unconditionally takes into account recommendations by the State Security Service and ignores individual circumstances of the case.</w:t>
      </w:r>
      <w:r w:rsidR="00DD6303">
        <w:rPr>
          <w:rStyle w:val="FootnoteReference"/>
          <w:rFonts w:ascii="Sylfaen" w:hAnsi="Sylfaen"/>
          <w:sz w:val="24"/>
          <w:szCs w:val="24"/>
        </w:rPr>
        <w:footnoteReference w:id="104"/>
      </w:r>
      <w:r w:rsidR="00ED4839">
        <w:rPr>
          <w:rFonts w:ascii="Sylfaen" w:hAnsi="Sylfaen"/>
          <w:sz w:val="24"/>
          <w:szCs w:val="24"/>
        </w:rPr>
        <w:t xml:space="preserve"> As </w:t>
      </w:r>
      <w:r w:rsidR="005A2513">
        <w:rPr>
          <w:rFonts w:ascii="Sylfaen" w:hAnsi="Sylfaen"/>
          <w:sz w:val="24"/>
          <w:szCs w:val="24"/>
        </w:rPr>
        <w:t xml:space="preserve"> such decisions do not contain substantiation regarding factual circumstances, it is </w:t>
      </w:r>
      <w:r w:rsidR="005A2513">
        <w:rPr>
          <w:rFonts w:ascii="Sylfaen" w:hAnsi="Sylfaen"/>
          <w:sz w:val="24"/>
          <w:szCs w:val="24"/>
        </w:rPr>
        <w:lastRenderedPageBreak/>
        <w:t>impossible to assess whether a violation of the rights of an asylum seeker or discrimination has taken place.</w:t>
      </w:r>
      <w:r w:rsidR="005A2513">
        <w:rPr>
          <w:rStyle w:val="FootnoteReference"/>
          <w:rFonts w:ascii="Sylfaen" w:hAnsi="Sylfaen"/>
          <w:sz w:val="24"/>
          <w:szCs w:val="24"/>
        </w:rPr>
        <w:footnoteReference w:id="105"/>
      </w:r>
      <w:r w:rsidR="00ED10FE">
        <w:rPr>
          <w:rFonts w:ascii="Sylfaen" w:hAnsi="Sylfaen"/>
          <w:sz w:val="24"/>
          <w:szCs w:val="24"/>
        </w:rPr>
        <w:t xml:space="preserve"> </w:t>
      </w:r>
    </w:p>
    <w:p w14:paraId="017FB885" w14:textId="5DF448BB" w:rsidR="00D6365B" w:rsidRPr="00CB68C1" w:rsidRDefault="00E20BA0" w:rsidP="00F4567A">
      <w:pPr>
        <w:pStyle w:val="Heading1"/>
        <w:rPr>
          <w:rFonts w:ascii="Sylfaen" w:hAnsi="Sylfaen"/>
          <w:b/>
          <w:bCs/>
          <w:sz w:val="28"/>
          <w:szCs w:val="28"/>
        </w:rPr>
      </w:pPr>
      <w:bookmarkStart w:id="10" w:name="_Toc116583234"/>
      <w:r w:rsidRPr="00CB68C1">
        <w:rPr>
          <w:rFonts w:ascii="Sylfaen" w:hAnsi="Sylfaen"/>
          <w:b/>
          <w:bCs/>
          <w:sz w:val="28"/>
          <w:szCs w:val="28"/>
        </w:rPr>
        <w:t>III. Implementation of other obligations under the Convention</w:t>
      </w:r>
      <w:bookmarkEnd w:id="10"/>
    </w:p>
    <w:p w14:paraId="5DA14301" w14:textId="1E4679B0" w:rsidR="00ED4839" w:rsidRPr="00CB68C1" w:rsidRDefault="00000F8C" w:rsidP="00F4567A">
      <w:pPr>
        <w:pStyle w:val="Heading2"/>
        <w:rPr>
          <w:rFonts w:ascii="Sylfaen" w:hAnsi="Sylfaen"/>
          <w:b/>
          <w:bCs/>
        </w:rPr>
      </w:pPr>
      <w:bookmarkStart w:id="11" w:name="_Toc116583235"/>
      <w:r w:rsidRPr="00CB68C1">
        <w:rPr>
          <w:rFonts w:ascii="Sylfaen" w:hAnsi="Sylfaen"/>
          <w:b/>
          <w:bCs/>
        </w:rPr>
        <w:t>Article 6. Judicial Reform and Mediation</w:t>
      </w:r>
      <w:bookmarkEnd w:id="11"/>
    </w:p>
    <w:p w14:paraId="4330BE9A" w14:textId="77777777" w:rsidR="00CB68C1" w:rsidRDefault="00CB68C1" w:rsidP="00AE6414">
      <w:pPr>
        <w:jc w:val="both"/>
        <w:rPr>
          <w:rFonts w:ascii="Sylfaen" w:hAnsi="Sylfaen"/>
          <w:sz w:val="24"/>
          <w:szCs w:val="24"/>
        </w:rPr>
      </w:pPr>
    </w:p>
    <w:p w14:paraId="225175A8" w14:textId="30FD84EC" w:rsidR="00EE5B00" w:rsidRDefault="00E82DBF" w:rsidP="00AE6414">
      <w:pPr>
        <w:jc w:val="both"/>
        <w:rPr>
          <w:rFonts w:ascii="Sylfaen" w:hAnsi="Sylfaen"/>
          <w:sz w:val="24"/>
          <w:szCs w:val="24"/>
        </w:rPr>
      </w:pPr>
      <w:r>
        <w:rPr>
          <w:rFonts w:ascii="Sylfaen" w:hAnsi="Sylfaen"/>
          <w:sz w:val="24"/>
          <w:szCs w:val="24"/>
        </w:rPr>
        <w:t>2</w:t>
      </w:r>
      <w:r w:rsidR="00FC2C1F">
        <w:rPr>
          <w:rFonts w:ascii="Sylfaen" w:hAnsi="Sylfaen"/>
          <w:sz w:val="24"/>
          <w:szCs w:val="24"/>
        </w:rPr>
        <w:t>3</w:t>
      </w:r>
      <w:r>
        <w:rPr>
          <w:rFonts w:ascii="Sylfaen" w:hAnsi="Sylfaen"/>
          <w:sz w:val="24"/>
          <w:szCs w:val="24"/>
        </w:rPr>
        <w:t>. The State Report refers to the reform</w:t>
      </w:r>
      <w:r w:rsidR="00FF6C9B">
        <w:rPr>
          <w:rFonts w:ascii="Sylfaen" w:hAnsi="Sylfaen"/>
          <w:sz w:val="24"/>
          <w:szCs w:val="24"/>
        </w:rPr>
        <w:t>s</w:t>
      </w:r>
      <w:r w:rsidR="00AD408E">
        <w:rPr>
          <w:rFonts w:ascii="Sylfaen" w:hAnsi="Sylfaen"/>
          <w:sz w:val="24"/>
          <w:szCs w:val="24"/>
        </w:rPr>
        <w:t xml:space="preserve"> increasing </w:t>
      </w:r>
      <w:r w:rsidR="00AD408E" w:rsidRPr="00AD408E">
        <w:rPr>
          <w:rFonts w:ascii="Sylfaen" w:hAnsi="Sylfaen"/>
          <w:sz w:val="24"/>
          <w:szCs w:val="24"/>
        </w:rPr>
        <w:t>independence</w:t>
      </w:r>
      <w:r w:rsidR="00FF6C9B">
        <w:rPr>
          <w:rFonts w:ascii="Sylfaen" w:hAnsi="Sylfaen"/>
          <w:sz w:val="24"/>
          <w:szCs w:val="24"/>
        </w:rPr>
        <w:t xml:space="preserve"> and </w:t>
      </w:r>
      <w:r w:rsidR="00AD408E" w:rsidRPr="00AD408E">
        <w:rPr>
          <w:rFonts w:ascii="Sylfaen" w:hAnsi="Sylfaen"/>
          <w:sz w:val="24"/>
          <w:szCs w:val="24"/>
        </w:rPr>
        <w:t>accountability</w:t>
      </w:r>
      <w:r w:rsidR="00FF6C9B">
        <w:rPr>
          <w:rFonts w:ascii="Sylfaen" w:hAnsi="Sylfaen"/>
          <w:sz w:val="24"/>
          <w:szCs w:val="24"/>
        </w:rPr>
        <w:t xml:space="preserve"> of the judiciary</w:t>
      </w:r>
      <w:r w:rsidR="00AD408E" w:rsidRPr="00AD408E">
        <w:rPr>
          <w:rFonts w:ascii="Sylfaen" w:hAnsi="Sylfaen"/>
          <w:sz w:val="24"/>
          <w:szCs w:val="24"/>
        </w:rPr>
        <w:t xml:space="preserve"> </w:t>
      </w:r>
      <w:r w:rsidR="00FF6C9B">
        <w:rPr>
          <w:rFonts w:ascii="Sylfaen" w:hAnsi="Sylfaen"/>
          <w:sz w:val="24"/>
          <w:szCs w:val="24"/>
        </w:rPr>
        <w:t xml:space="preserve">and </w:t>
      </w:r>
      <w:r w:rsidR="00AD408E" w:rsidRPr="00AD408E">
        <w:rPr>
          <w:rFonts w:ascii="Sylfaen" w:hAnsi="Sylfaen"/>
          <w:sz w:val="24"/>
          <w:szCs w:val="24"/>
        </w:rPr>
        <w:t>the High Council of Justice</w:t>
      </w:r>
      <w:r w:rsidR="00AD408E">
        <w:rPr>
          <w:rFonts w:ascii="Sylfaen" w:hAnsi="Sylfaen"/>
          <w:sz w:val="24"/>
          <w:szCs w:val="24"/>
        </w:rPr>
        <w:t>.</w:t>
      </w:r>
      <w:r w:rsidR="00AD408E">
        <w:rPr>
          <w:rStyle w:val="FootnoteReference"/>
          <w:rFonts w:ascii="Sylfaen" w:hAnsi="Sylfaen"/>
          <w:sz w:val="24"/>
          <w:szCs w:val="24"/>
        </w:rPr>
        <w:footnoteReference w:id="106"/>
      </w:r>
      <w:r w:rsidR="00ED10FE">
        <w:rPr>
          <w:rFonts w:ascii="Sylfaen" w:hAnsi="Sylfaen"/>
          <w:sz w:val="24"/>
          <w:szCs w:val="24"/>
        </w:rPr>
        <w:t xml:space="preserve"> Despite these reforms, a</w:t>
      </w:r>
      <w:r w:rsidR="00ED10FE" w:rsidRPr="00ED10FE">
        <w:rPr>
          <w:rFonts w:ascii="Sylfaen" w:hAnsi="Sylfaen"/>
          <w:sz w:val="24"/>
          <w:szCs w:val="24"/>
        </w:rPr>
        <w:t>cute challenges remain in ensuring an independent, impartial and transparent judicial system</w:t>
      </w:r>
      <w:r w:rsidR="00ED10FE">
        <w:rPr>
          <w:rFonts w:ascii="Sylfaen" w:hAnsi="Sylfaen"/>
          <w:sz w:val="24"/>
          <w:szCs w:val="24"/>
        </w:rPr>
        <w:t xml:space="preserve"> in Georgia. </w:t>
      </w:r>
      <w:r w:rsidR="001935E2" w:rsidRPr="001935E2">
        <w:rPr>
          <w:rFonts w:ascii="Sylfaen" w:hAnsi="Sylfaen"/>
          <w:sz w:val="24"/>
          <w:szCs w:val="24"/>
        </w:rPr>
        <w:t>An influential group of judges within the judiciary, in agreement with the ruling political party, administers the judiciary authority under corporate influences</w:t>
      </w:r>
      <w:r w:rsidR="001935E2">
        <w:rPr>
          <w:rFonts w:ascii="Sylfaen" w:hAnsi="Sylfaen"/>
          <w:sz w:val="24"/>
          <w:szCs w:val="24"/>
        </w:rPr>
        <w:t>.</w:t>
      </w:r>
      <w:r w:rsidR="001935E2">
        <w:rPr>
          <w:rStyle w:val="FootnoteReference"/>
          <w:rFonts w:ascii="Sylfaen" w:hAnsi="Sylfaen"/>
          <w:sz w:val="24"/>
          <w:szCs w:val="24"/>
        </w:rPr>
        <w:footnoteReference w:id="107"/>
      </w:r>
      <w:r w:rsidR="00C80321">
        <w:rPr>
          <w:rFonts w:ascii="Sylfaen" w:hAnsi="Sylfaen"/>
          <w:sz w:val="24"/>
          <w:szCs w:val="24"/>
        </w:rPr>
        <w:t xml:space="preserve"> In particular, </w:t>
      </w:r>
      <w:r w:rsidR="00C32D11" w:rsidRPr="000D36A1">
        <w:rPr>
          <w:rFonts w:ascii="Sylfaen" w:hAnsi="Sylfaen"/>
          <w:sz w:val="24"/>
          <w:szCs w:val="24"/>
        </w:rPr>
        <w:t>the members of the High Council of Justice</w:t>
      </w:r>
      <w:r w:rsidR="00C32D11">
        <w:rPr>
          <w:rFonts w:ascii="Sylfaen" w:hAnsi="Sylfaen"/>
          <w:sz w:val="24"/>
          <w:szCs w:val="24"/>
        </w:rPr>
        <w:t xml:space="preserve"> (hereinafter the Council)</w:t>
      </w:r>
      <w:r w:rsidR="00C32D11" w:rsidRPr="000D36A1">
        <w:rPr>
          <w:rFonts w:ascii="Sylfaen" w:hAnsi="Sylfaen"/>
          <w:sz w:val="24"/>
          <w:szCs w:val="24"/>
        </w:rPr>
        <w:t xml:space="preserve"> are appointed</w:t>
      </w:r>
      <w:r w:rsidR="00C32D11">
        <w:rPr>
          <w:rFonts w:ascii="Sylfaen" w:hAnsi="Sylfaen"/>
          <w:sz w:val="24"/>
          <w:szCs w:val="24"/>
        </w:rPr>
        <w:t xml:space="preserve"> and</w:t>
      </w:r>
      <w:r w:rsidR="00C32D11" w:rsidRPr="000D36A1">
        <w:rPr>
          <w:rFonts w:ascii="Sylfaen" w:hAnsi="Sylfaen"/>
          <w:sz w:val="24"/>
          <w:szCs w:val="24"/>
        </w:rPr>
        <w:t xml:space="preserve"> dismissed</w:t>
      </w:r>
      <w:r w:rsidR="00C32D11">
        <w:rPr>
          <w:rFonts w:ascii="Sylfaen" w:hAnsi="Sylfaen"/>
          <w:sz w:val="24"/>
          <w:szCs w:val="24"/>
        </w:rPr>
        <w:t xml:space="preserve"> </w:t>
      </w:r>
      <w:r w:rsidR="00C32D11" w:rsidRPr="000D36A1">
        <w:rPr>
          <w:rFonts w:ascii="Sylfaen" w:hAnsi="Sylfaen"/>
          <w:sz w:val="24"/>
          <w:szCs w:val="24"/>
        </w:rPr>
        <w:t>at the decision of th</w:t>
      </w:r>
      <w:r w:rsidR="00C32D11">
        <w:rPr>
          <w:rFonts w:ascii="Sylfaen" w:hAnsi="Sylfaen"/>
          <w:sz w:val="24"/>
          <w:szCs w:val="24"/>
        </w:rPr>
        <w:t xml:space="preserve">e aforesaid group. </w:t>
      </w:r>
      <w:r w:rsidR="00A31F56">
        <w:rPr>
          <w:rStyle w:val="FootnoteReference"/>
          <w:rFonts w:ascii="Sylfaen" w:hAnsi="Sylfaen"/>
          <w:sz w:val="24"/>
          <w:szCs w:val="24"/>
        </w:rPr>
        <w:footnoteReference w:id="108"/>
      </w:r>
      <w:r w:rsidR="00A31F56">
        <w:rPr>
          <w:rFonts w:ascii="Sylfaen" w:hAnsi="Sylfaen"/>
          <w:sz w:val="24"/>
          <w:szCs w:val="24"/>
        </w:rPr>
        <w:t xml:space="preserve"> This </w:t>
      </w:r>
      <w:r w:rsidR="00F46E9F">
        <w:rPr>
          <w:rFonts w:ascii="Sylfaen" w:hAnsi="Sylfaen"/>
          <w:sz w:val="24"/>
          <w:szCs w:val="24"/>
        </w:rPr>
        <w:t>calls</w:t>
      </w:r>
      <w:r w:rsidR="00A31F56">
        <w:rPr>
          <w:rFonts w:ascii="Sylfaen" w:hAnsi="Sylfaen"/>
          <w:sz w:val="24"/>
          <w:szCs w:val="24"/>
        </w:rPr>
        <w:t xml:space="preserve"> the independence and impartiality of the Council </w:t>
      </w:r>
      <w:r w:rsidR="00F46E9F">
        <w:rPr>
          <w:rFonts w:ascii="Sylfaen" w:hAnsi="Sylfaen"/>
          <w:sz w:val="24"/>
          <w:szCs w:val="24"/>
        </w:rPr>
        <w:t>into question.</w:t>
      </w:r>
      <w:r w:rsidR="00542C6D">
        <w:rPr>
          <w:rFonts w:ascii="Sylfaen" w:hAnsi="Sylfaen"/>
          <w:sz w:val="24"/>
          <w:szCs w:val="24"/>
        </w:rPr>
        <w:t xml:space="preserve"> </w:t>
      </w:r>
      <w:r w:rsidR="00542C6D" w:rsidRPr="00542C6D">
        <w:rPr>
          <w:rFonts w:ascii="Sylfaen" w:hAnsi="Sylfaen"/>
          <w:sz w:val="24"/>
          <w:szCs w:val="24"/>
        </w:rPr>
        <w:t xml:space="preserve">The </w:t>
      </w:r>
      <w:r w:rsidR="00542C6D">
        <w:rPr>
          <w:rFonts w:ascii="Sylfaen" w:hAnsi="Sylfaen"/>
          <w:sz w:val="24"/>
          <w:szCs w:val="24"/>
        </w:rPr>
        <w:t xml:space="preserve">Council </w:t>
      </w:r>
      <w:r w:rsidR="00542C6D" w:rsidRPr="00542C6D">
        <w:rPr>
          <w:rFonts w:ascii="Sylfaen" w:hAnsi="Sylfaen"/>
          <w:sz w:val="24"/>
          <w:szCs w:val="24"/>
        </w:rPr>
        <w:t xml:space="preserve">which is a collegiate body responsible for court administration, </w:t>
      </w:r>
      <w:r w:rsidR="00223CF4">
        <w:rPr>
          <w:rFonts w:ascii="Sylfaen" w:hAnsi="Sylfaen"/>
          <w:sz w:val="24"/>
          <w:szCs w:val="24"/>
        </w:rPr>
        <w:t xml:space="preserve">seems to </w:t>
      </w:r>
      <w:r w:rsidR="00542C6D" w:rsidRPr="00542C6D">
        <w:rPr>
          <w:rFonts w:ascii="Sylfaen" w:hAnsi="Sylfaen"/>
          <w:sz w:val="24"/>
          <w:szCs w:val="24"/>
        </w:rPr>
        <w:t>make decisions based on some informally pre-agreed, pre-coordinated rules, which completely undermine the entire reason of having a collegiate body making decisions based on pluralism, discussion and consensus/agreement.</w:t>
      </w:r>
      <w:r w:rsidR="0040208D">
        <w:rPr>
          <w:rFonts w:ascii="Sylfaen" w:hAnsi="Sylfaen"/>
          <w:sz w:val="24"/>
          <w:szCs w:val="24"/>
        </w:rPr>
        <w:t xml:space="preserve"> Indeed, a </w:t>
      </w:r>
      <w:r w:rsidR="0040208D" w:rsidRPr="0040208D">
        <w:rPr>
          <w:rFonts w:ascii="Sylfaen" w:hAnsi="Sylfaen"/>
          <w:sz w:val="24"/>
          <w:szCs w:val="24"/>
        </w:rPr>
        <w:t xml:space="preserve">monitoring report </w:t>
      </w:r>
      <w:r w:rsidR="0040208D">
        <w:rPr>
          <w:rFonts w:ascii="Sylfaen" w:hAnsi="Sylfaen"/>
          <w:sz w:val="24"/>
          <w:szCs w:val="24"/>
        </w:rPr>
        <w:t xml:space="preserve">by the PDO </w:t>
      </w:r>
      <w:r w:rsidR="0040208D" w:rsidRPr="0040208D">
        <w:rPr>
          <w:rFonts w:ascii="Sylfaen" w:hAnsi="Sylfaen"/>
          <w:sz w:val="24"/>
          <w:szCs w:val="24"/>
        </w:rPr>
        <w:t>has clearly showcased preliminary</w:t>
      </w:r>
      <w:r w:rsidR="0040208D">
        <w:rPr>
          <w:rFonts w:ascii="Sylfaen" w:hAnsi="Sylfaen"/>
          <w:sz w:val="24"/>
          <w:szCs w:val="24"/>
        </w:rPr>
        <w:t xml:space="preserve"> </w:t>
      </w:r>
      <w:r w:rsidR="0040208D" w:rsidRPr="0040208D">
        <w:rPr>
          <w:rFonts w:ascii="Sylfaen" w:hAnsi="Sylfaen"/>
          <w:sz w:val="24"/>
          <w:szCs w:val="24"/>
        </w:rPr>
        <w:t>agreement of certain members of the Council in the process of the voting.</w:t>
      </w:r>
      <w:r w:rsidR="0040208D">
        <w:rPr>
          <w:rStyle w:val="FootnoteReference"/>
          <w:rFonts w:ascii="Sylfaen" w:hAnsi="Sylfaen"/>
          <w:sz w:val="24"/>
          <w:szCs w:val="24"/>
        </w:rPr>
        <w:footnoteReference w:id="109"/>
      </w:r>
      <w:r w:rsidR="0040208D" w:rsidRPr="0040208D">
        <w:rPr>
          <w:rFonts w:ascii="Sylfaen" w:hAnsi="Sylfaen"/>
          <w:sz w:val="24"/>
          <w:szCs w:val="24"/>
        </w:rPr>
        <w:t xml:space="preserve"> </w:t>
      </w:r>
      <w:r w:rsidR="0040208D">
        <w:rPr>
          <w:rFonts w:ascii="Sylfaen" w:hAnsi="Sylfaen"/>
          <w:sz w:val="24"/>
          <w:szCs w:val="24"/>
        </w:rPr>
        <w:t xml:space="preserve">Over the years, </w:t>
      </w:r>
      <w:r w:rsidR="0040208D" w:rsidRPr="0040208D">
        <w:rPr>
          <w:rFonts w:ascii="Sylfaen" w:hAnsi="Sylfaen"/>
          <w:sz w:val="24"/>
          <w:szCs w:val="24"/>
        </w:rPr>
        <w:t>the transparency of the High Council of Justice has been steadily diminishing.</w:t>
      </w:r>
      <w:r w:rsidR="0040208D">
        <w:rPr>
          <w:rStyle w:val="FootnoteReference"/>
          <w:rFonts w:ascii="Sylfaen" w:hAnsi="Sylfaen"/>
          <w:sz w:val="24"/>
          <w:szCs w:val="24"/>
        </w:rPr>
        <w:footnoteReference w:id="110"/>
      </w:r>
      <w:r w:rsidR="0040208D" w:rsidRPr="0040208D">
        <w:rPr>
          <w:rFonts w:ascii="Sylfaen" w:hAnsi="Sylfaen"/>
          <w:sz w:val="24"/>
          <w:szCs w:val="24"/>
        </w:rPr>
        <w:t xml:space="preserve"> The Council applies</w:t>
      </w:r>
      <w:r w:rsidR="0040208D">
        <w:rPr>
          <w:rFonts w:ascii="Sylfaen" w:hAnsi="Sylfaen"/>
          <w:sz w:val="24"/>
          <w:szCs w:val="24"/>
        </w:rPr>
        <w:t xml:space="preserve"> an </w:t>
      </w:r>
      <w:r w:rsidR="0040208D" w:rsidRPr="0040208D">
        <w:rPr>
          <w:rFonts w:ascii="Sylfaen" w:hAnsi="Sylfaen"/>
          <w:sz w:val="24"/>
          <w:szCs w:val="24"/>
        </w:rPr>
        <w:t>isolationist and closed approach in its decision making and this reinforces the suspicion that significant</w:t>
      </w:r>
      <w:r w:rsidR="0040208D">
        <w:rPr>
          <w:rFonts w:ascii="Sylfaen" w:hAnsi="Sylfaen"/>
          <w:sz w:val="24"/>
          <w:szCs w:val="24"/>
        </w:rPr>
        <w:t xml:space="preserve"> </w:t>
      </w:r>
      <w:r w:rsidR="0040208D" w:rsidRPr="0040208D">
        <w:rPr>
          <w:rFonts w:ascii="Sylfaen" w:hAnsi="Sylfaen"/>
          <w:sz w:val="24"/>
          <w:szCs w:val="24"/>
        </w:rPr>
        <w:t>decisions are taken informally by an influential group.</w:t>
      </w:r>
      <w:r w:rsidR="0040208D">
        <w:rPr>
          <w:rStyle w:val="FootnoteReference"/>
          <w:rFonts w:ascii="Sylfaen" w:hAnsi="Sylfaen"/>
          <w:sz w:val="24"/>
          <w:szCs w:val="24"/>
        </w:rPr>
        <w:footnoteReference w:id="111"/>
      </w:r>
      <w:r w:rsidR="0040208D">
        <w:rPr>
          <w:rFonts w:ascii="Sylfaen" w:hAnsi="Sylfaen"/>
          <w:sz w:val="24"/>
          <w:szCs w:val="24"/>
        </w:rPr>
        <w:t xml:space="preserve"> Moreover,</w:t>
      </w:r>
      <w:r w:rsidR="003D48BF">
        <w:rPr>
          <w:rFonts w:ascii="Sylfaen" w:hAnsi="Sylfaen"/>
          <w:sz w:val="24"/>
          <w:szCs w:val="24"/>
        </w:rPr>
        <w:t xml:space="preserve"> the</w:t>
      </w:r>
      <w:r w:rsidR="0040208D">
        <w:rPr>
          <w:rFonts w:ascii="Sylfaen" w:hAnsi="Sylfaen"/>
          <w:sz w:val="24"/>
          <w:szCs w:val="24"/>
        </w:rPr>
        <w:t xml:space="preserve"> </w:t>
      </w:r>
      <w:r w:rsidR="003D48BF" w:rsidRPr="003D48BF">
        <w:rPr>
          <w:rFonts w:ascii="Sylfaen" w:hAnsi="Sylfaen"/>
          <w:sz w:val="24"/>
          <w:szCs w:val="24"/>
        </w:rPr>
        <w:t>monitoring of the judiciary system over the years shows that</w:t>
      </w:r>
      <w:r w:rsidR="003D48BF">
        <w:rPr>
          <w:rFonts w:ascii="Sylfaen" w:hAnsi="Sylfaen"/>
          <w:sz w:val="24"/>
          <w:szCs w:val="24"/>
        </w:rPr>
        <w:t xml:space="preserve"> t</w:t>
      </w:r>
      <w:r w:rsidR="00DD0ABF">
        <w:rPr>
          <w:rFonts w:ascii="Sylfaen" w:hAnsi="Sylfaen"/>
          <w:sz w:val="24"/>
          <w:szCs w:val="24"/>
        </w:rPr>
        <w:t xml:space="preserve">he </w:t>
      </w:r>
      <w:r w:rsidR="00DD0ABF" w:rsidRPr="00AF0C10">
        <w:rPr>
          <w:rFonts w:ascii="Sylfaen" w:hAnsi="Sylfaen"/>
          <w:sz w:val="24"/>
          <w:szCs w:val="24"/>
        </w:rPr>
        <w:t>Council maintains</w:t>
      </w:r>
      <w:r w:rsidR="00DD0ABF">
        <w:rPr>
          <w:rFonts w:ascii="Sylfaen" w:hAnsi="Sylfaen"/>
          <w:sz w:val="24"/>
          <w:szCs w:val="24"/>
        </w:rPr>
        <w:t xml:space="preserve"> </w:t>
      </w:r>
      <w:r w:rsidR="00DD0ABF" w:rsidRPr="00AF0C10">
        <w:rPr>
          <w:rFonts w:ascii="Sylfaen" w:hAnsi="Sylfaen"/>
          <w:sz w:val="24"/>
          <w:szCs w:val="24"/>
        </w:rPr>
        <w:t>influence over regular judges via court chairpersons appointed by the Council</w:t>
      </w:r>
      <w:r w:rsidR="00DD0ABF">
        <w:rPr>
          <w:rFonts w:ascii="Sylfaen" w:hAnsi="Sylfaen"/>
          <w:sz w:val="24"/>
          <w:szCs w:val="24"/>
        </w:rPr>
        <w:t>.</w:t>
      </w:r>
      <w:r w:rsidR="003D48BF">
        <w:rPr>
          <w:rStyle w:val="FootnoteReference"/>
          <w:rFonts w:ascii="Sylfaen" w:hAnsi="Sylfaen"/>
          <w:sz w:val="24"/>
          <w:szCs w:val="24"/>
        </w:rPr>
        <w:footnoteReference w:id="112"/>
      </w:r>
      <w:r w:rsidR="00DD0ABF">
        <w:rPr>
          <w:rFonts w:ascii="Sylfaen" w:hAnsi="Sylfaen"/>
          <w:sz w:val="24"/>
          <w:szCs w:val="24"/>
        </w:rPr>
        <w:t xml:space="preserve"> </w:t>
      </w:r>
      <w:r w:rsidR="00F156F6">
        <w:rPr>
          <w:rFonts w:ascii="Sylfaen" w:hAnsi="Sylfaen"/>
          <w:sz w:val="24"/>
          <w:szCs w:val="24"/>
        </w:rPr>
        <w:t xml:space="preserve"> </w:t>
      </w:r>
      <w:r w:rsidR="000C555C">
        <w:rPr>
          <w:rFonts w:ascii="Sylfaen" w:hAnsi="Sylfaen"/>
          <w:sz w:val="24"/>
          <w:szCs w:val="24"/>
        </w:rPr>
        <w:t>This concentration of power within the Council and the need for counter-</w:t>
      </w:r>
      <w:r w:rsidR="000C555C">
        <w:rPr>
          <w:rFonts w:ascii="Sylfaen" w:hAnsi="Sylfaen"/>
          <w:sz w:val="24"/>
          <w:szCs w:val="24"/>
        </w:rPr>
        <w:lastRenderedPageBreak/>
        <w:t>measures has also been noted by international partners, such as the UN Human Rights Committee</w:t>
      </w:r>
      <w:r w:rsidR="000C555C">
        <w:rPr>
          <w:rStyle w:val="FootnoteReference"/>
          <w:rFonts w:ascii="Sylfaen" w:hAnsi="Sylfaen"/>
          <w:sz w:val="24"/>
          <w:szCs w:val="24"/>
        </w:rPr>
        <w:footnoteReference w:id="113"/>
      </w:r>
      <w:r w:rsidR="000C555C">
        <w:rPr>
          <w:rFonts w:ascii="Sylfaen" w:hAnsi="Sylfaen"/>
          <w:sz w:val="24"/>
          <w:szCs w:val="24"/>
        </w:rPr>
        <w:t xml:space="preserve"> and the OSCE/ODIHR.</w:t>
      </w:r>
      <w:r w:rsidR="000C555C">
        <w:rPr>
          <w:rStyle w:val="FootnoteReference"/>
          <w:rFonts w:ascii="Sylfaen" w:hAnsi="Sylfaen"/>
          <w:sz w:val="24"/>
          <w:szCs w:val="24"/>
        </w:rPr>
        <w:footnoteReference w:id="114"/>
      </w:r>
      <w:r w:rsidR="007657FF">
        <w:rPr>
          <w:rFonts w:ascii="Sylfaen" w:hAnsi="Sylfaen"/>
          <w:sz w:val="24"/>
          <w:szCs w:val="24"/>
        </w:rPr>
        <w:t xml:space="preserve"> </w:t>
      </w:r>
    </w:p>
    <w:p w14:paraId="41FC1C44" w14:textId="08E11DCA" w:rsidR="00F156F6" w:rsidRDefault="00EE5B00" w:rsidP="00EE5B00">
      <w:pPr>
        <w:jc w:val="both"/>
        <w:rPr>
          <w:rFonts w:ascii="Sylfaen" w:hAnsi="Sylfaen"/>
          <w:sz w:val="24"/>
          <w:szCs w:val="24"/>
        </w:rPr>
      </w:pPr>
      <w:r>
        <w:rPr>
          <w:rFonts w:ascii="Sylfaen" w:hAnsi="Sylfaen"/>
          <w:sz w:val="24"/>
          <w:szCs w:val="24"/>
        </w:rPr>
        <w:t>2</w:t>
      </w:r>
      <w:r w:rsidR="00FC2C1F">
        <w:rPr>
          <w:rFonts w:ascii="Sylfaen" w:hAnsi="Sylfaen"/>
          <w:sz w:val="24"/>
          <w:szCs w:val="24"/>
        </w:rPr>
        <w:t>4</w:t>
      </w:r>
      <w:r>
        <w:rPr>
          <w:rFonts w:ascii="Sylfaen" w:hAnsi="Sylfaen"/>
          <w:sz w:val="24"/>
          <w:szCs w:val="24"/>
        </w:rPr>
        <w:t xml:space="preserve">. </w:t>
      </w:r>
      <w:r w:rsidR="00F156F6">
        <w:rPr>
          <w:rFonts w:ascii="Sylfaen" w:hAnsi="Sylfaen"/>
          <w:sz w:val="24"/>
          <w:szCs w:val="24"/>
        </w:rPr>
        <w:t>In th</w:t>
      </w:r>
      <w:r>
        <w:rPr>
          <w:rFonts w:ascii="Sylfaen" w:hAnsi="Sylfaen"/>
          <w:sz w:val="24"/>
          <w:szCs w:val="24"/>
        </w:rPr>
        <w:t>e</w:t>
      </w:r>
      <w:r w:rsidR="00F156F6">
        <w:rPr>
          <w:rFonts w:ascii="Sylfaen" w:hAnsi="Sylfaen"/>
          <w:sz w:val="24"/>
          <w:szCs w:val="24"/>
        </w:rPr>
        <w:t xml:space="preserve"> context</w:t>
      </w:r>
      <w:r>
        <w:rPr>
          <w:rFonts w:ascii="Sylfaen" w:hAnsi="Sylfaen"/>
          <w:sz w:val="24"/>
          <w:szCs w:val="24"/>
        </w:rPr>
        <w:t xml:space="preserve"> described in the preceding paragraph</w:t>
      </w:r>
      <w:r w:rsidR="00F156F6">
        <w:rPr>
          <w:rFonts w:ascii="Sylfaen" w:hAnsi="Sylfaen"/>
          <w:sz w:val="24"/>
          <w:szCs w:val="24"/>
        </w:rPr>
        <w:t xml:space="preserve">, </w:t>
      </w:r>
      <w:r w:rsidR="00F156F6" w:rsidRPr="00F156F6">
        <w:rPr>
          <w:rFonts w:ascii="Sylfaen" w:hAnsi="Sylfaen"/>
          <w:sz w:val="24"/>
          <w:szCs w:val="24"/>
        </w:rPr>
        <w:t>it is even more concerning that on 30</w:t>
      </w:r>
      <w:r w:rsidR="006C7E56" w:rsidRPr="000948C9">
        <w:rPr>
          <w:rFonts w:ascii="Sylfaen" w:hAnsi="Sylfaen"/>
          <w:sz w:val="24"/>
          <w:szCs w:val="24"/>
          <w:vertAlign w:val="superscript"/>
        </w:rPr>
        <w:t>th</w:t>
      </w:r>
      <w:r w:rsidR="006C7E56">
        <w:rPr>
          <w:rFonts w:ascii="Sylfaen" w:hAnsi="Sylfaen"/>
          <w:sz w:val="24"/>
          <w:szCs w:val="24"/>
        </w:rPr>
        <w:t xml:space="preserve"> </w:t>
      </w:r>
      <w:r w:rsidR="00F156F6" w:rsidRPr="00F156F6">
        <w:rPr>
          <w:rFonts w:ascii="Sylfaen" w:hAnsi="Sylfaen"/>
          <w:sz w:val="24"/>
          <w:szCs w:val="24"/>
        </w:rPr>
        <w:t>December 2021 the Parliament adopted a draft law which, inter alia,</w:t>
      </w:r>
      <w:r w:rsidR="00F156F6">
        <w:rPr>
          <w:rFonts w:ascii="Sylfaen" w:hAnsi="Sylfaen"/>
          <w:sz w:val="24"/>
          <w:szCs w:val="24"/>
        </w:rPr>
        <w:t xml:space="preserve"> decreased the </w:t>
      </w:r>
      <w:r w:rsidR="00F156F6" w:rsidRPr="00F156F6">
        <w:rPr>
          <w:rFonts w:ascii="Sylfaen" w:hAnsi="Sylfaen"/>
          <w:sz w:val="24"/>
          <w:szCs w:val="24"/>
        </w:rPr>
        <w:t>number of votes required for decision-making</w:t>
      </w:r>
      <w:r w:rsidR="00F156F6">
        <w:rPr>
          <w:rFonts w:ascii="Sylfaen" w:hAnsi="Sylfaen"/>
          <w:sz w:val="24"/>
          <w:szCs w:val="24"/>
        </w:rPr>
        <w:t xml:space="preserve"> by the Council</w:t>
      </w:r>
      <w:r w:rsidR="00F156F6" w:rsidRPr="00F156F6">
        <w:rPr>
          <w:rFonts w:ascii="Sylfaen" w:hAnsi="Sylfaen"/>
          <w:sz w:val="24"/>
          <w:szCs w:val="24"/>
        </w:rPr>
        <w:t xml:space="preserve"> on matters relating to disciplinary liabilit</w:t>
      </w:r>
      <w:r w:rsidR="00413C8E">
        <w:rPr>
          <w:rFonts w:ascii="Sylfaen" w:hAnsi="Sylfaen"/>
          <w:sz w:val="24"/>
          <w:szCs w:val="24"/>
        </w:rPr>
        <w:t>y</w:t>
      </w:r>
      <w:r w:rsidR="00F156F6" w:rsidRPr="00F156F6">
        <w:rPr>
          <w:rFonts w:ascii="Sylfaen" w:hAnsi="Sylfaen"/>
          <w:sz w:val="24"/>
          <w:szCs w:val="24"/>
        </w:rPr>
        <w:t xml:space="preserve"> of judges</w:t>
      </w:r>
      <w:r w:rsidR="00AE6414">
        <w:rPr>
          <w:rFonts w:ascii="Sylfaen" w:hAnsi="Sylfaen"/>
          <w:sz w:val="24"/>
          <w:szCs w:val="24"/>
        </w:rPr>
        <w:t xml:space="preserve">, </w:t>
      </w:r>
      <w:r w:rsidR="00AE6414" w:rsidRPr="00AE6414">
        <w:rPr>
          <w:rFonts w:ascii="Sylfaen" w:hAnsi="Sylfaen"/>
          <w:sz w:val="24"/>
          <w:szCs w:val="24"/>
        </w:rPr>
        <w:t>introduced additional</w:t>
      </w:r>
      <w:r w:rsidR="00AE6414">
        <w:rPr>
          <w:rFonts w:ascii="Sylfaen" w:hAnsi="Sylfaen"/>
          <w:sz w:val="24"/>
          <w:szCs w:val="24"/>
        </w:rPr>
        <w:t xml:space="preserve"> (and unclear)</w:t>
      </w:r>
      <w:r w:rsidR="00AE6414" w:rsidRPr="00AE6414">
        <w:rPr>
          <w:rFonts w:ascii="Sylfaen" w:hAnsi="Sylfaen"/>
          <w:sz w:val="24"/>
          <w:szCs w:val="24"/>
        </w:rPr>
        <w:t xml:space="preserve"> grounds for disciplining judges</w:t>
      </w:r>
      <w:r w:rsidR="00AE6414">
        <w:rPr>
          <w:rFonts w:ascii="Sylfaen" w:hAnsi="Sylfaen"/>
          <w:sz w:val="24"/>
          <w:szCs w:val="24"/>
        </w:rPr>
        <w:t xml:space="preserve"> and made </w:t>
      </w:r>
      <w:r w:rsidR="00AE6414" w:rsidRPr="00AE6414">
        <w:rPr>
          <w:rFonts w:ascii="Sylfaen" w:hAnsi="Sylfaen"/>
          <w:sz w:val="24"/>
          <w:szCs w:val="24"/>
        </w:rPr>
        <w:t>the removal of judges</w:t>
      </w:r>
      <w:r w:rsidR="00AE6414">
        <w:rPr>
          <w:rFonts w:ascii="Sylfaen" w:hAnsi="Sylfaen"/>
          <w:sz w:val="24"/>
          <w:szCs w:val="24"/>
        </w:rPr>
        <w:t xml:space="preserve"> </w:t>
      </w:r>
      <w:r w:rsidR="00AE6414" w:rsidRPr="00AE6414">
        <w:rPr>
          <w:rFonts w:ascii="Sylfaen" w:hAnsi="Sylfaen"/>
          <w:sz w:val="24"/>
          <w:szCs w:val="24"/>
        </w:rPr>
        <w:t>from cases</w:t>
      </w:r>
      <w:r w:rsidR="00AE6414">
        <w:rPr>
          <w:rFonts w:ascii="Sylfaen" w:hAnsi="Sylfaen"/>
          <w:sz w:val="24"/>
          <w:szCs w:val="24"/>
        </w:rPr>
        <w:t xml:space="preserve"> easier.</w:t>
      </w:r>
      <w:r w:rsidR="00AE6414">
        <w:rPr>
          <w:rStyle w:val="FootnoteReference"/>
          <w:rFonts w:ascii="Sylfaen" w:hAnsi="Sylfaen"/>
          <w:sz w:val="24"/>
          <w:szCs w:val="24"/>
        </w:rPr>
        <w:footnoteReference w:id="115"/>
      </w:r>
      <w:r>
        <w:rPr>
          <w:rFonts w:ascii="Sylfaen" w:hAnsi="Sylfaen"/>
          <w:sz w:val="24"/>
          <w:szCs w:val="24"/>
        </w:rPr>
        <w:t xml:space="preserve"> </w:t>
      </w:r>
    </w:p>
    <w:p w14:paraId="10B71F58" w14:textId="3F408FDF" w:rsidR="00000F8C" w:rsidRDefault="00226ABC" w:rsidP="002E476A">
      <w:pPr>
        <w:jc w:val="both"/>
        <w:rPr>
          <w:rFonts w:ascii="Sylfaen" w:hAnsi="Sylfaen"/>
          <w:sz w:val="24"/>
          <w:szCs w:val="24"/>
        </w:rPr>
      </w:pPr>
      <w:r>
        <w:rPr>
          <w:rFonts w:ascii="Sylfaen" w:hAnsi="Sylfaen"/>
          <w:sz w:val="24"/>
          <w:szCs w:val="24"/>
        </w:rPr>
        <w:t>2</w:t>
      </w:r>
      <w:r w:rsidR="00FC2C1F">
        <w:rPr>
          <w:rFonts w:ascii="Sylfaen" w:hAnsi="Sylfaen"/>
          <w:sz w:val="24"/>
          <w:szCs w:val="24"/>
        </w:rPr>
        <w:t>5</w:t>
      </w:r>
      <w:r>
        <w:rPr>
          <w:rFonts w:ascii="Sylfaen" w:hAnsi="Sylfaen"/>
          <w:sz w:val="24"/>
          <w:szCs w:val="24"/>
        </w:rPr>
        <w:t xml:space="preserve">. </w:t>
      </w:r>
      <w:r w:rsidR="007657FF">
        <w:rPr>
          <w:rFonts w:ascii="Sylfaen" w:hAnsi="Sylfaen"/>
          <w:sz w:val="24"/>
          <w:szCs w:val="24"/>
        </w:rPr>
        <w:t>As to the selection of judges mentioned in the State Report,</w:t>
      </w:r>
      <w:r w:rsidR="00C10549">
        <w:rPr>
          <w:rStyle w:val="FootnoteReference"/>
          <w:rFonts w:ascii="Sylfaen" w:hAnsi="Sylfaen"/>
          <w:sz w:val="24"/>
          <w:szCs w:val="24"/>
        </w:rPr>
        <w:footnoteReference w:id="116"/>
      </w:r>
      <w:r w:rsidR="007657FF">
        <w:rPr>
          <w:rFonts w:ascii="Sylfaen" w:hAnsi="Sylfaen"/>
          <w:sz w:val="24"/>
          <w:szCs w:val="24"/>
        </w:rPr>
        <w:t xml:space="preserve"> it is noteworthy that</w:t>
      </w:r>
      <w:r w:rsidR="00E74F57">
        <w:rPr>
          <w:rFonts w:ascii="Sylfaen" w:hAnsi="Sylfaen"/>
          <w:sz w:val="24"/>
          <w:szCs w:val="24"/>
        </w:rPr>
        <w:t>, under t</w:t>
      </w:r>
      <w:r w:rsidR="00E74F57" w:rsidRPr="00E74F57">
        <w:rPr>
          <w:rFonts w:ascii="Sylfaen" w:hAnsi="Sylfaen"/>
          <w:sz w:val="24"/>
          <w:szCs w:val="24"/>
        </w:rPr>
        <w:t>he political agreement brokered by</w:t>
      </w:r>
      <w:r w:rsidR="00E74F57">
        <w:rPr>
          <w:rFonts w:ascii="Sylfaen" w:hAnsi="Sylfaen"/>
          <w:sz w:val="24"/>
          <w:szCs w:val="24"/>
        </w:rPr>
        <w:t xml:space="preserve"> </w:t>
      </w:r>
      <w:r w:rsidR="00E74F57" w:rsidRPr="00E74F57">
        <w:rPr>
          <w:rFonts w:ascii="Sylfaen" w:hAnsi="Sylfaen"/>
          <w:sz w:val="24"/>
          <w:szCs w:val="24"/>
        </w:rPr>
        <w:t>the President of the European Council to defuse political crisis following 2021 Local Elections</w:t>
      </w:r>
      <w:r w:rsidR="00E74F57">
        <w:rPr>
          <w:rFonts w:ascii="Sylfaen" w:hAnsi="Sylfaen"/>
          <w:sz w:val="24"/>
          <w:szCs w:val="24"/>
        </w:rPr>
        <w:t xml:space="preserve"> </w:t>
      </w:r>
      <w:r w:rsidR="00E74F57" w:rsidRPr="00E74F57">
        <w:rPr>
          <w:rFonts w:ascii="Sylfaen" w:hAnsi="Sylfaen"/>
          <w:sz w:val="24"/>
          <w:szCs w:val="24"/>
        </w:rPr>
        <w:t>in Georgia</w:t>
      </w:r>
      <w:r w:rsidR="00E74F57">
        <w:rPr>
          <w:rFonts w:ascii="Sylfaen" w:hAnsi="Sylfaen"/>
          <w:sz w:val="24"/>
          <w:szCs w:val="24"/>
        </w:rPr>
        <w:t xml:space="preserve">, the government undertook </w:t>
      </w:r>
      <w:r w:rsidR="00E74F57" w:rsidRPr="00E74F57">
        <w:rPr>
          <w:rFonts w:ascii="Sylfaen" w:hAnsi="Sylfaen"/>
          <w:sz w:val="24"/>
          <w:szCs w:val="24"/>
        </w:rPr>
        <w:t>to suspend the process of staffing the Supreme Court</w:t>
      </w:r>
      <w:r w:rsidR="00E74F57">
        <w:rPr>
          <w:rFonts w:ascii="Sylfaen" w:hAnsi="Sylfaen"/>
          <w:sz w:val="24"/>
          <w:szCs w:val="24"/>
        </w:rPr>
        <w:t xml:space="preserve"> </w:t>
      </w:r>
      <w:r w:rsidR="00D15417">
        <w:rPr>
          <w:rFonts w:ascii="Sylfaen" w:hAnsi="Sylfaen"/>
          <w:sz w:val="24"/>
          <w:szCs w:val="24"/>
        </w:rPr>
        <w:t xml:space="preserve">until implementation of a </w:t>
      </w:r>
      <w:r w:rsidR="00D15417" w:rsidRPr="00D15417">
        <w:rPr>
          <w:rFonts w:ascii="Sylfaen" w:hAnsi="Sylfaen"/>
          <w:sz w:val="24"/>
          <w:szCs w:val="24"/>
        </w:rPr>
        <w:t>fundamental reform within the judiciary</w:t>
      </w:r>
      <w:r w:rsidR="00D15417">
        <w:rPr>
          <w:rFonts w:ascii="Sylfaen" w:hAnsi="Sylfaen"/>
          <w:sz w:val="24"/>
          <w:szCs w:val="24"/>
        </w:rPr>
        <w:t>.</w:t>
      </w:r>
      <w:r w:rsidR="00D15417">
        <w:rPr>
          <w:rStyle w:val="FootnoteReference"/>
          <w:rFonts w:ascii="Sylfaen" w:hAnsi="Sylfaen"/>
          <w:sz w:val="24"/>
          <w:szCs w:val="24"/>
        </w:rPr>
        <w:footnoteReference w:id="117"/>
      </w:r>
      <w:r w:rsidR="00F207E4">
        <w:rPr>
          <w:rFonts w:ascii="Sylfaen" w:hAnsi="Sylfaen"/>
          <w:sz w:val="24"/>
          <w:szCs w:val="24"/>
        </w:rPr>
        <w:t xml:space="preserve"> However,</w:t>
      </w:r>
      <w:r w:rsidR="00E16F8E">
        <w:rPr>
          <w:rFonts w:ascii="Sylfaen" w:hAnsi="Sylfaen"/>
          <w:sz w:val="24"/>
          <w:szCs w:val="24"/>
        </w:rPr>
        <w:t xml:space="preserve"> the process of the staffing of the Supreme Court was not suspended.</w:t>
      </w:r>
      <w:r w:rsidR="00DC53D6">
        <w:rPr>
          <w:rStyle w:val="FootnoteReference"/>
          <w:rFonts w:ascii="Sylfaen" w:hAnsi="Sylfaen"/>
          <w:sz w:val="24"/>
          <w:szCs w:val="24"/>
        </w:rPr>
        <w:footnoteReference w:id="118"/>
      </w:r>
      <w:r w:rsidR="002E476A">
        <w:rPr>
          <w:rFonts w:ascii="Sylfaen" w:hAnsi="Sylfaen"/>
          <w:sz w:val="24"/>
          <w:szCs w:val="24"/>
        </w:rPr>
        <w:t xml:space="preserve"> According to the OSCE/ODIHR report, “</w:t>
      </w:r>
      <w:r w:rsidR="002E476A" w:rsidRPr="002E476A">
        <w:rPr>
          <w:rFonts w:ascii="Sylfaen" w:hAnsi="Sylfaen"/>
          <w:sz w:val="24"/>
          <w:szCs w:val="24"/>
        </w:rPr>
        <w:t>the law does not provide sufficient safeguards to exclude undue</w:t>
      </w:r>
      <w:r w:rsidR="002E476A">
        <w:rPr>
          <w:rFonts w:ascii="Sylfaen" w:hAnsi="Sylfaen"/>
          <w:sz w:val="24"/>
          <w:szCs w:val="24"/>
        </w:rPr>
        <w:t xml:space="preserve"> </w:t>
      </w:r>
      <w:r w:rsidR="002E476A" w:rsidRPr="002E476A">
        <w:rPr>
          <w:rFonts w:ascii="Sylfaen" w:hAnsi="Sylfaen"/>
          <w:sz w:val="24"/>
          <w:szCs w:val="24"/>
        </w:rPr>
        <w:t>political influence in the appointment process and the lack of effort to garner broad political</w:t>
      </w:r>
      <w:r w:rsidR="002E476A">
        <w:rPr>
          <w:rFonts w:ascii="Sylfaen" w:hAnsi="Sylfaen"/>
          <w:sz w:val="24"/>
          <w:szCs w:val="24"/>
        </w:rPr>
        <w:t xml:space="preserve"> </w:t>
      </w:r>
      <w:r w:rsidR="002E476A" w:rsidRPr="002E476A">
        <w:rPr>
          <w:rFonts w:ascii="Sylfaen" w:hAnsi="Sylfaen"/>
          <w:sz w:val="24"/>
          <w:szCs w:val="24"/>
        </w:rPr>
        <w:t>support, as well as the hasty proceedings before parliament with no debate, did little to allay</w:t>
      </w:r>
      <w:r w:rsidR="002E476A">
        <w:rPr>
          <w:rFonts w:ascii="Sylfaen" w:hAnsi="Sylfaen"/>
          <w:sz w:val="24"/>
          <w:szCs w:val="24"/>
        </w:rPr>
        <w:t xml:space="preserve"> </w:t>
      </w:r>
      <w:r w:rsidR="002E476A" w:rsidRPr="002E476A">
        <w:rPr>
          <w:rFonts w:ascii="Sylfaen" w:hAnsi="Sylfaen"/>
          <w:sz w:val="24"/>
          <w:szCs w:val="24"/>
        </w:rPr>
        <w:t>concerns or build public trust</w:t>
      </w:r>
      <w:r>
        <w:rPr>
          <w:rFonts w:ascii="Sylfaen" w:hAnsi="Sylfaen"/>
          <w:sz w:val="24"/>
          <w:szCs w:val="24"/>
        </w:rPr>
        <w:t>”</w:t>
      </w:r>
      <w:r w:rsidR="002E476A" w:rsidRPr="002E476A">
        <w:rPr>
          <w:rFonts w:ascii="Sylfaen" w:hAnsi="Sylfaen"/>
          <w:sz w:val="24"/>
          <w:szCs w:val="24"/>
        </w:rPr>
        <w:t>.</w:t>
      </w:r>
      <w:r>
        <w:rPr>
          <w:rStyle w:val="FootnoteReference"/>
          <w:rFonts w:ascii="Sylfaen" w:hAnsi="Sylfaen"/>
          <w:sz w:val="24"/>
          <w:szCs w:val="24"/>
        </w:rPr>
        <w:footnoteReference w:id="119"/>
      </w:r>
    </w:p>
    <w:p w14:paraId="663E49B2" w14:textId="2ADC2E69" w:rsidR="007126DD" w:rsidRDefault="007126DD" w:rsidP="00DE6479">
      <w:pPr>
        <w:jc w:val="both"/>
        <w:rPr>
          <w:rFonts w:ascii="Sylfaen" w:hAnsi="Sylfaen"/>
          <w:sz w:val="24"/>
          <w:szCs w:val="24"/>
        </w:rPr>
      </w:pPr>
      <w:r>
        <w:rPr>
          <w:rFonts w:ascii="Sylfaen" w:hAnsi="Sylfaen"/>
          <w:sz w:val="24"/>
          <w:szCs w:val="24"/>
        </w:rPr>
        <w:t>2</w:t>
      </w:r>
      <w:r w:rsidR="00FC2C1F">
        <w:rPr>
          <w:rFonts w:ascii="Sylfaen" w:hAnsi="Sylfaen"/>
          <w:sz w:val="24"/>
          <w:szCs w:val="24"/>
        </w:rPr>
        <w:t>6</w:t>
      </w:r>
      <w:r>
        <w:rPr>
          <w:rFonts w:ascii="Sylfaen" w:hAnsi="Sylfaen"/>
          <w:sz w:val="24"/>
          <w:szCs w:val="24"/>
        </w:rPr>
        <w:t xml:space="preserve">. The State Report refers to the launching of </w:t>
      </w:r>
      <w:r w:rsidRPr="007126DD">
        <w:rPr>
          <w:rFonts w:ascii="Sylfaen" w:hAnsi="Sylfaen"/>
          <w:sz w:val="24"/>
          <w:szCs w:val="24"/>
        </w:rPr>
        <w:t>cases’ random electronic distribution system within the common courts</w:t>
      </w:r>
      <w:r>
        <w:rPr>
          <w:rFonts w:ascii="Sylfaen" w:hAnsi="Sylfaen"/>
          <w:sz w:val="24"/>
          <w:szCs w:val="24"/>
        </w:rPr>
        <w:t>.</w:t>
      </w:r>
      <w:r>
        <w:rPr>
          <w:rStyle w:val="FootnoteReference"/>
          <w:rFonts w:ascii="Sylfaen" w:hAnsi="Sylfaen"/>
          <w:sz w:val="24"/>
          <w:szCs w:val="24"/>
        </w:rPr>
        <w:footnoteReference w:id="120"/>
      </w:r>
      <w:r>
        <w:rPr>
          <w:rFonts w:ascii="Sylfaen" w:hAnsi="Sylfaen"/>
          <w:sz w:val="24"/>
          <w:szCs w:val="24"/>
        </w:rPr>
        <w:t xml:space="preserve"> </w:t>
      </w:r>
      <w:r w:rsidR="00DE6479">
        <w:rPr>
          <w:rFonts w:ascii="Sylfaen" w:hAnsi="Sylfaen"/>
          <w:sz w:val="24"/>
          <w:szCs w:val="24"/>
        </w:rPr>
        <w:t xml:space="preserve">In this connection, the PDO would like to note the </w:t>
      </w:r>
      <w:r w:rsidR="00DE6479" w:rsidRPr="00DE6479">
        <w:rPr>
          <w:rFonts w:ascii="Sylfaen" w:hAnsi="Sylfaen"/>
          <w:sz w:val="24"/>
          <w:szCs w:val="24"/>
        </w:rPr>
        <w:t>deficiencies identified following practical application of the</w:t>
      </w:r>
      <w:r w:rsidR="00AE0F1C">
        <w:rPr>
          <w:rFonts w:ascii="Sylfaen" w:hAnsi="Sylfaen"/>
          <w:sz w:val="24"/>
          <w:szCs w:val="24"/>
        </w:rPr>
        <w:t xml:space="preserve"> distribution system and namely </w:t>
      </w:r>
      <w:r w:rsidR="00AE0F1C" w:rsidRPr="00AE0F1C">
        <w:rPr>
          <w:rFonts w:ascii="Sylfaen" w:hAnsi="Sylfaen"/>
          <w:sz w:val="24"/>
          <w:szCs w:val="24"/>
        </w:rPr>
        <w:t>individual possibilities of influencing the composition of courts in</w:t>
      </w:r>
      <w:r w:rsidR="00AE0F1C">
        <w:rPr>
          <w:rFonts w:ascii="Sylfaen" w:hAnsi="Sylfaen"/>
          <w:sz w:val="24"/>
          <w:szCs w:val="24"/>
        </w:rPr>
        <w:t xml:space="preserve"> </w:t>
      </w:r>
      <w:r w:rsidR="00AE0F1C" w:rsidRPr="00AE0F1C">
        <w:rPr>
          <w:rFonts w:ascii="Sylfaen" w:hAnsi="Sylfaen"/>
          <w:sz w:val="24"/>
          <w:szCs w:val="24"/>
        </w:rPr>
        <w:t>exceptional cases, via bypassing the electronic distribution system</w:t>
      </w:r>
      <w:r w:rsidR="00AE0F1C">
        <w:rPr>
          <w:rFonts w:ascii="Sylfaen" w:hAnsi="Sylfaen"/>
          <w:sz w:val="24"/>
          <w:szCs w:val="24"/>
        </w:rPr>
        <w:t>.</w:t>
      </w:r>
      <w:r w:rsidR="00AE0F1C">
        <w:rPr>
          <w:rStyle w:val="FootnoteReference"/>
          <w:rFonts w:ascii="Sylfaen" w:hAnsi="Sylfaen"/>
          <w:sz w:val="24"/>
          <w:szCs w:val="24"/>
        </w:rPr>
        <w:footnoteReference w:id="121"/>
      </w:r>
      <w:r w:rsidR="00075A49">
        <w:rPr>
          <w:rFonts w:ascii="Sylfaen" w:hAnsi="Sylfaen"/>
          <w:sz w:val="24"/>
          <w:szCs w:val="24"/>
        </w:rPr>
        <w:t xml:space="preserve"> Moreover, i</w:t>
      </w:r>
      <w:r w:rsidR="00075A49" w:rsidRPr="00075A49">
        <w:rPr>
          <w:rFonts w:ascii="Sylfaen" w:hAnsi="Sylfaen"/>
          <w:sz w:val="24"/>
          <w:szCs w:val="24"/>
        </w:rPr>
        <w:t xml:space="preserve">n courts of appeals and the Supreme Court, where a case is to be heard by a panel of judges, the electronic software assigns only a </w:t>
      </w:r>
      <w:r w:rsidR="00075A49" w:rsidRPr="00075A49">
        <w:rPr>
          <w:rFonts w:ascii="Sylfaen" w:hAnsi="Sylfaen"/>
          <w:sz w:val="24"/>
          <w:szCs w:val="24"/>
        </w:rPr>
        <w:lastRenderedPageBreak/>
        <w:t xml:space="preserve">presiding/rapporteur judge </w:t>
      </w:r>
      <w:r w:rsidR="00075A49">
        <w:rPr>
          <w:rFonts w:ascii="Sylfaen" w:hAnsi="Sylfaen"/>
          <w:sz w:val="24"/>
          <w:szCs w:val="24"/>
        </w:rPr>
        <w:t>to</w:t>
      </w:r>
      <w:r w:rsidR="00075A49" w:rsidRPr="00075A49">
        <w:rPr>
          <w:rFonts w:ascii="Sylfaen" w:hAnsi="Sylfaen"/>
          <w:sz w:val="24"/>
          <w:szCs w:val="24"/>
        </w:rPr>
        <w:t xml:space="preserve"> </w:t>
      </w:r>
      <w:r w:rsidR="00075A49">
        <w:rPr>
          <w:rFonts w:ascii="Sylfaen" w:hAnsi="Sylfaen"/>
          <w:sz w:val="24"/>
          <w:szCs w:val="24"/>
        </w:rPr>
        <w:t>a</w:t>
      </w:r>
      <w:r w:rsidR="00075A49" w:rsidRPr="00075A49">
        <w:rPr>
          <w:rFonts w:ascii="Sylfaen" w:hAnsi="Sylfaen"/>
          <w:sz w:val="24"/>
          <w:szCs w:val="24"/>
        </w:rPr>
        <w:t xml:space="preserve"> case but </w:t>
      </w:r>
      <w:r w:rsidR="00075A49">
        <w:rPr>
          <w:rFonts w:ascii="Sylfaen" w:hAnsi="Sylfaen"/>
          <w:sz w:val="24"/>
          <w:szCs w:val="24"/>
        </w:rPr>
        <w:t xml:space="preserve">it remains unclear </w:t>
      </w:r>
      <w:r w:rsidR="00075A49" w:rsidRPr="00075A49">
        <w:rPr>
          <w:rFonts w:ascii="Sylfaen" w:hAnsi="Sylfaen"/>
          <w:sz w:val="24"/>
          <w:szCs w:val="24"/>
        </w:rPr>
        <w:t>how the other judges should be selected to sit on the panel</w:t>
      </w:r>
      <w:r w:rsidR="00075A49">
        <w:rPr>
          <w:rFonts w:ascii="Sylfaen" w:hAnsi="Sylfaen"/>
          <w:sz w:val="24"/>
          <w:szCs w:val="24"/>
        </w:rPr>
        <w:t>.</w:t>
      </w:r>
      <w:r w:rsidR="002062EA">
        <w:rPr>
          <w:rStyle w:val="FootnoteReference"/>
          <w:rFonts w:ascii="Sylfaen" w:hAnsi="Sylfaen"/>
          <w:sz w:val="24"/>
          <w:szCs w:val="24"/>
        </w:rPr>
        <w:footnoteReference w:id="122"/>
      </w:r>
      <w:r w:rsidR="00075A49">
        <w:rPr>
          <w:rFonts w:ascii="Sylfaen" w:hAnsi="Sylfaen"/>
          <w:sz w:val="24"/>
          <w:szCs w:val="24"/>
        </w:rPr>
        <w:t xml:space="preserve"> </w:t>
      </w:r>
      <w:r w:rsidR="00133925">
        <w:rPr>
          <w:rFonts w:ascii="Sylfaen" w:hAnsi="Sylfaen"/>
          <w:sz w:val="24"/>
          <w:szCs w:val="24"/>
        </w:rPr>
        <w:t>Contrary to the aim of increasing public confidence</w:t>
      </w:r>
      <w:r w:rsidR="007E1DFF">
        <w:rPr>
          <w:rFonts w:ascii="Sylfaen" w:hAnsi="Sylfaen"/>
          <w:sz w:val="24"/>
          <w:szCs w:val="24"/>
          <w:lang w:val="ka-GE"/>
        </w:rPr>
        <w:t xml:space="preserve"> </w:t>
      </w:r>
      <w:r w:rsidR="00133925">
        <w:rPr>
          <w:rFonts w:ascii="Sylfaen" w:hAnsi="Sylfaen"/>
          <w:sz w:val="24"/>
          <w:szCs w:val="24"/>
        </w:rPr>
        <w:t>mentioned in the State Report, p</w:t>
      </w:r>
      <w:r w:rsidR="00133925" w:rsidRPr="00133925">
        <w:rPr>
          <w:rFonts w:ascii="Sylfaen" w:hAnsi="Sylfaen"/>
          <w:sz w:val="24"/>
          <w:szCs w:val="24"/>
        </w:rPr>
        <w:t>ublic confidence towards the judiciary cannot be enhanced if a panel includes only one judge</w:t>
      </w:r>
      <w:r w:rsidR="00133925">
        <w:rPr>
          <w:rFonts w:ascii="Sylfaen" w:hAnsi="Sylfaen"/>
          <w:sz w:val="24"/>
          <w:szCs w:val="24"/>
        </w:rPr>
        <w:t xml:space="preserve"> </w:t>
      </w:r>
      <w:r w:rsidR="00133925" w:rsidRPr="00133925">
        <w:rPr>
          <w:rFonts w:ascii="Sylfaen" w:hAnsi="Sylfaen"/>
          <w:sz w:val="24"/>
          <w:szCs w:val="24"/>
        </w:rPr>
        <w:t>selected randomly by the system.</w:t>
      </w:r>
      <w:r w:rsidR="0005020D">
        <w:rPr>
          <w:rStyle w:val="FootnoteReference"/>
          <w:rFonts w:ascii="Sylfaen" w:hAnsi="Sylfaen"/>
          <w:sz w:val="24"/>
          <w:szCs w:val="24"/>
        </w:rPr>
        <w:footnoteReference w:id="123"/>
      </w:r>
    </w:p>
    <w:p w14:paraId="435E69A6" w14:textId="74C4E615" w:rsidR="00B12525" w:rsidRPr="00C550B5" w:rsidRDefault="00B12525" w:rsidP="00DF3B59">
      <w:pPr>
        <w:jc w:val="both"/>
        <w:rPr>
          <w:rFonts w:ascii="Sylfaen" w:hAnsi="Sylfaen"/>
          <w:sz w:val="24"/>
          <w:szCs w:val="24"/>
        </w:rPr>
      </w:pPr>
    </w:p>
    <w:sectPr w:rsidR="00B12525" w:rsidRPr="00C550B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5E00C" w14:textId="77777777" w:rsidR="00981842" w:rsidRDefault="00981842" w:rsidP="006D4E3A">
      <w:pPr>
        <w:spacing w:after="0" w:line="240" w:lineRule="auto"/>
      </w:pPr>
      <w:r>
        <w:separator/>
      </w:r>
    </w:p>
  </w:endnote>
  <w:endnote w:type="continuationSeparator" w:id="0">
    <w:p w14:paraId="2A4624A9" w14:textId="77777777" w:rsidR="00981842" w:rsidRDefault="00981842" w:rsidP="006D4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24F17" w14:textId="77777777" w:rsidR="007E764A" w:rsidRDefault="007E7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137138"/>
      <w:docPartObj>
        <w:docPartGallery w:val="Page Numbers (Bottom of Page)"/>
        <w:docPartUnique/>
      </w:docPartObj>
    </w:sdtPr>
    <w:sdtEndPr>
      <w:rPr>
        <w:noProof/>
      </w:rPr>
    </w:sdtEndPr>
    <w:sdtContent>
      <w:p w14:paraId="7B1AF594" w14:textId="0C8303CB" w:rsidR="00FB4A8F" w:rsidRDefault="00000000">
        <w:pPr>
          <w:pStyle w:val="Footer"/>
          <w:jc w:val="right"/>
        </w:pPr>
      </w:p>
    </w:sdtContent>
  </w:sdt>
  <w:p w14:paraId="53BF3E62" w14:textId="77777777" w:rsidR="00996CB2" w:rsidRDefault="00996C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0AE7D" w14:textId="77777777" w:rsidR="007E764A" w:rsidRDefault="007E7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38D91" w14:textId="77777777" w:rsidR="00981842" w:rsidRDefault="00981842" w:rsidP="006D4E3A">
      <w:pPr>
        <w:spacing w:after="0" w:line="240" w:lineRule="auto"/>
      </w:pPr>
      <w:r>
        <w:separator/>
      </w:r>
    </w:p>
  </w:footnote>
  <w:footnote w:type="continuationSeparator" w:id="0">
    <w:p w14:paraId="342FD375" w14:textId="77777777" w:rsidR="00981842" w:rsidRDefault="00981842" w:rsidP="006D4E3A">
      <w:pPr>
        <w:spacing w:after="0" w:line="240" w:lineRule="auto"/>
      </w:pPr>
      <w:r>
        <w:continuationSeparator/>
      </w:r>
    </w:p>
  </w:footnote>
  <w:footnote w:id="1">
    <w:p w14:paraId="4FA1BC80" w14:textId="3D8219B6" w:rsidR="00C00C2F" w:rsidRPr="00D775D4" w:rsidRDefault="00C00C2F" w:rsidP="00D775D4">
      <w:pPr>
        <w:pStyle w:val="FootnoteText"/>
        <w:jc w:val="both"/>
        <w:rPr>
          <w:rFonts w:ascii="Sylfaen" w:hAnsi="Sylfaen"/>
        </w:rPr>
      </w:pPr>
      <w:r w:rsidRPr="00D775D4">
        <w:rPr>
          <w:rStyle w:val="FootnoteReference"/>
          <w:rFonts w:ascii="Sylfaen" w:hAnsi="Sylfaen"/>
        </w:rPr>
        <w:footnoteRef/>
      </w:r>
      <w:r w:rsidRPr="00D775D4">
        <w:rPr>
          <w:rFonts w:ascii="Sylfaen" w:hAnsi="Sylfaen"/>
        </w:rPr>
        <w:t xml:space="preserve"> Alternative Report of the Public Defender of Georgia on the 2021 Reports by the Ministry of Justice concerning enforcement of decisions issued by the European Court of Human Rights and the UN Committee on the Elimination of Discrimination against Women, 2022, page 13, available at: &lt;</w:t>
      </w:r>
      <w:r w:rsidR="00811A46" w:rsidRPr="00D775D4">
        <w:rPr>
          <w:rFonts w:ascii="Sylfaen" w:hAnsi="Sylfaen"/>
        </w:rPr>
        <w:t xml:space="preserve"> </w:t>
      </w:r>
      <w:hyperlink r:id="rId1" w:history="1">
        <w:r w:rsidR="00811A46" w:rsidRPr="00D775D4">
          <w:rPr>
            <w:rStyle w:val="Hyperlink"/>
            <w:rFonts w:ascii="Sylfaen" w:hAnsi="Sylfaen"/>
          </w:rPr>
          <w:t>https://bit.ly/3L1xCrL</w:t>
        </w:r>
      </w:hyperlink>
      <w:r w:rsidR="00811A46" w:rsidRPr="00D775D4">
        <w:rPr>
          <w:rFonts w:ascii="Sylfaen" w:hAnsi="Sylfaen"/>
        </w:rPr>
        <w:t xml:space="preserve"> </w:t>
      </w:r>
      <w:r w:rsidRPr="00D775D4">
        <w:rPr>
          <w:rFonts w:ascii="Sylfaen" w:hAnsi="Sylfaen"/>
        </w:rPr>
        <w:t>&gt; [last accessed 11.10.2022].</w:t>
      </w:r>
    </w:p>
  </w:footnote>
  <w:footnote w:id="2">
    <w:p w14:paraId="5BDFD35E" w14:textId="75F0C1E9" w:rsidR="00364AF0" w:rsidRPr="00D775D4" w:rsidRDefault="00364AF0" w:rsidP="00D775D4">
      <w:pPr>
        <w:pStyle w:val="FootnoteText"/>
        <w:jc w:val="both"/>
        <w:rPr>
          <w:rFonts w:ascii="Sylfaen" w:hAnsi="Sylfaen"/>
        </w:rPr>
      </w:pPr>
      <w:r w:rsidRPr="00D775D4">
        <w:rPr>
          <w:rStyle w:val="FootnoteReference"/>
          <w:rFonts w:ascii="Sylfaen" w:hAnsi="Sylfaen"/>
        </w:rPr>
        <w:footnoteRef/>
      </w:r>
      <w:r w:rsidRPr="00D775D4">
        <w:rPr>
          <w:rFonts w:ascii="Sylfaen" w:hAnsi="Sylfaen"/>
        </w:rPr>
        <w:t xml:space="preserve"> Ibid, page</w:t>
      </w:r>
      <w:r w:rsidR="00605B63" w:rsidRPr="00D775D4">
        <w:rPr>
          <w:rFonts w:ascii="Sylfaen" w:hAnsi="Sylfaen"/>
        </w:rPr>
        <w:t xml:space="preserve"> 38.</w:t>
      </w:r>
    </w:p>
  </w:footnote>
  <w:footnote w:id="3">
    <w:p w14:paraId="06CE62B6" w14:textId="70059638" w:rsidR="00F1759F" w:rsidRPr="00E56708" w:rsidRDefault="00F1759F"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3C277E" w:rsidRPr="00E56708">
        <w:rPr>
          <w:rFonts w:ascii="Sylfaen" w:hAnsi="Sylfaen"/>
        </w:rPr>
        <w:t>Combined ninth and tenth periodic reports submitted by Georgia under article 9 of the Convention, due in 2020</w:t>
      </w:r>
      <w:r w:rsidR="003C277E" w:rsidRPr="00E56708">
        <w:rPr>
          <w:rFonts w:ascii="Sylfaen" w:hAnsi="Sylfaen"/>
          <w:lang w:val="ka-GE"/>
        </w:rPr>
        <w:t xml:space="preserve">, CERD/C/GEO/9-10, </w:t>
      </w:r>
      <w:r w:rsidR="00C037BD" w:rsidRPr="00E56708">
        <w:rPr>
          <w:rFonts w:ascii="Sylfaen" w:hAnsi="Sylfaen"/>
          <w:lang w:val="ka-GE"/>
        </w:rPr>
        <w:t>§</w:t>
      </w:r>
      <w:r w:rsidR="00C037BD" w:rsidRPr="00E56708">
        <w:rPr>
          <w:rFonts w:ascii="Sylfaen" w:hAnsi="Sylfaen"/>
        </w:rPr>
        <w:t>13.</w:t>
      </w:r>
    </w:p>
  </w:footnote>
  <w:footnote w:id="4">
    <w:p w14:paraId="2BC85465" w14:textId="36D3CBF5" w:rsidR="00BF6267" w:rsidRPr="00E56708" w:rsidRDefault="00BF6267" w:rsidP="00E56708">
      <w:pPr>
        <w:pStyle w:val="FootnoteText"/>
        <w:jc w:val="both"/>
        <w:rPr>
          <w:rFonts w:ascii="Sylfaen" w:hAnsi="Sylfaen" w:cs="Arial"/>
        </w:rPr>
      </w:pPr>
      <w:r w:rsidRPr="00E56708">
        <w:rPr>
          <w:rStyle w:val="FootnoteReference"/>
          <w:rFonts w:ascii="Sylfaen" w:hAnsi="Sylfaen" w:cs="Arial"/>
        </w:rPr>
        <w:footnoteRef/>
      </w:r>
      <w:r w:rsidRPr="00E56708">
        <w:rPr>
          <w:rFonts w:ascii="Sylfaen" w:hAnsi="Sylfaen" w:cs="Arial"/>
        </w:rPr>
        <w:t xml:space="preserve"> </w:t>
      </w:r>
      <w:r w:rsidR="0001385D" w:rsidRPr="00E56708">
        <w:rPr>
          <w:rFonts w:ascii="Sylfaen" w:hAnsi="Sylfaen" w:cs="Arial"/>
        </w:rPr>
        <w:t xml:space="preserve">Report of the Public Defender of Georgia on the Situation of Protection of Human Rights and Freedoms in Georgia 2021, </w:t>
      </w:r>
      <w:r w:rsidR="0027355F" w:rsidRPr="00E56708">
        <w:rPr>
          <w:rFonts w:ascii="Sylfaen" w:hAnsi="Sylfaen" w:cs="Arial"/>
        </w:rPr>
        <w:t>pages 10</w:t>
      </w:r>
      <w:r w:rsidR="0001385D" w:rsidRPr="00E56708">
        <w:rPr>
          <w:rFonts w:ascii="Sylfaen" w:hAnsi="Sylfaen" w:cs="Arial"/>
        </w:rPr>
        <w:t xml:space="preserve">, </w:t>
      </w:r>
      <w:r w:rsidR="0027355F" w:rsidRPr="00E56708">
        <w:rPr>
          <w:rFonts w:ascii="Sylfaen" w:hAnsi="Sylfaen" w:cs="Arial"/>
        </w:rPr>
        <w:t>48</w:t>
      </w:r>
      <w:r w:rsidR="0001385D" w:rsidRPr="00E56708">
        <w:rPr>
          <w:rFonts w:ascii="Sylfaen" w:hAnsi="Sylfaen" w:cs="Arial"/>
        </w:rPr>
        <w:t xml:space="preserve">, </w:t>
      </w:r>
      <w:r w:rsidR="008B344C" w:rsidRPr="00E56708">
        <w:rPr>
          <w:rFonts w:ascii="Sylfaen" w:hAnsi="Sylfaen" w:cs="Arial"/>
        </w:rPr>
        <w:t xml:space="preserve">available at: &lt; </w:t>
      </w:r>
      <w:hyperlink r:id="rId2" w:history="1">
        <w:r w:rsidR="008B344C" w:rsidRPr="00E56708">
          <w:rPr>
            <w:rStyle w:val="Hyperlink"/>
            <w:rFonts w:ascii="Sylfaen" w:hAnsi="Sylfaen" w:cs="Arial"/>
          </w:rPr>
          <w:t>https://bit.ly/3PgjoX2</w:t>
        </w:r>
      </w:hyperlink>
      <w:r w:rsidR="008B344C" w:rsidRPr="00E56708">
        <w:rPr>
          <w:rFonts w:ascii="Sylfaen" w:hAnsi="Sylfaen" w:cs="Arial"/>
        </w:rPr>
        <w:t xml:space="preserve"> &gt; [last accessed 03.10.2022].</w:t>
      </w:r>
    </w:p>
  </w:footnote>
  <w:footnote w:id="5">
    <w:p w14:paraId="3F5A5E83" w14:textId="0F315FC1" w:rsidR="00BF6267" w:rsidRPr="00E56708" w:rsidRDefault="00BF6267" w:rsidP="00E56708">
      <w:pPr>
        <w:pStyle w:val="FootnoteText"/>
        <w:jc w:val="both"/>
        <w:rPr>
          <w:rFonts w:ascii="Sylfaen" w:hAnsi="Sylfaen" w:cs="Arial"/>
        </w:rPr>
      </w:pPr>
      <w:r w:rsidRPr="00E56708">
        <w:rPr>
          <w:rStyle w:val="FootnoteReference"/>
          <w:rFonts w:ascii="Sylfaen" w:hAnsi="Sylfaen" w:cs="Arial"/>
        </w:rPr>
        <w:footnoteRef/>
      </w:r>
      <w:r w:rsidRPr="00E56708">
        <w:rPr>
          <w:rFonts w:ascii="Sylfaen" w:hAnsi="Sylfaen" w:cs="Arial"/>
        </w:rPr>
        <w:t xml:space="preserve"> Special Report of the Public Defender of Georgia, “Effectiveness of the investigation of inhuman treatment cases”, 2019, pages 4-5, 35, available at: &lt;</w:t>
      </w:r>
      <w:hyperlink r:id="rId3" w:history="1">
        <w:r w:rsidRPr="00E56708">
          <w:rPr>
            <w:rStyle w:val="Hyperlink"/>
            <w:rFonts w:ascii="Sylfaen" w:hAnsi="Sylfaen" w:cs="Arial"/>
          </w:rPr>
          <w:t>https://rb.gy/bdsutp</w:t>
        </w:r>
      </w:hyperlink>
      <w:r w:rsidRPr="00E56708">
        <w:rPr>
          <w:rFonts w:ascii="Sylfaen" w:hAnsi="Sylfaen" w:cs="Arial"/>
        </w:rPr>
        <w:t xml:space="preserve">  &gt; [last accessed </w:t>
      </w:r>
      <w:r w:rsidR="00737F38" w:rsidRPr="00E56708">
        <w:rPr>
          <w:rFonts w:ascii="Sylfaen" w:hAnsi="Sylfaen" w:cs="Arial"/>
        </w:rPr>
        <w:t>03</w:t>
      </w:r>
      <w:r w:rsidRPr="00E56708">
        <w:rPr>
          <w:rFonts w:ascii="Sylfaen" w:hAnsi="Sylfaen" w:cs="Arial"/>
        </w:rPr>
        <w:t>.</w:t>
      </w:r>
      <w:r w:rsidR="00737F38" w:rsidRPr="00E56708">
        <w:rPr>
          <w:rFonts w:ascii="Sylfaen" w:hAnsi="Sylfaen" w:cs="Arial"/>
        </w:rPr>
        <w:t>10</w:t>
      </w:r>
      <w:r w:rsidRPr="00E56708">
        <w:rPr>
          <w:rFonts w:ascii="Sylfaen" w:hAnsi="Sylfaen" w:cs="Arial"/>
        </w:rPr>
        <w:t>.2022].</w:t>
      </w:r>
    </w:p>
  </w:footnote>
  <w:footnote w:id="6">
    <w:p w14:paraId="1A1050CB" w14:textId="48B6A49C" w:rsidR="00EA7D3A" w:rsidRPr="00E56708" w:rsidRDefault="00EA7D3A"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F82DEF" w:rsidRPr="00E56708">
        <w:rPr>
          <w:rFonts w:ascii="Sylfaen" w:hAnsi="Sylfaen" w:cs="Arial"/>
        </w:rPr>
        <w:t xml:space="preserve">Report of the Public Defender of Georgia on the Situation of Protection of Human Rights and Freedoms in Georgia 2021, </w:t>
      </w:r>
      <w:r w:rsidR="00D96E86" w:rsidRPr="00E56708">
        <w:rPr>
          <w:rFonts w:ascii="Sylfaen" w:hAnsi="Sylfaen"/>
        </w:rPr>
        <w:t>page 96</w:t>
      </w:r>
      <w:r w:rsidR="00F82DEF" w:rsidRPr="00E56708">
        <w:rPr>
          <w:rFonts w:ascii="Sylfaen" w:hAnsi="Sylfaen"/>
        </w:rPr>
        <w:t>.</w:t>
      </w:r>
    </w:p>
  </w:footnote>
  <w:footnote w:id="7">
    <w:p w14:paraId="4A439655" w14:textId="37EF604E" w:rsidR="00831344" w:rsidRPr="00E56708" w:rsidRDefault="00831344"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00717A" w:rsidRPr="00E56708">
        <w:rPr>
          <w:rFonts w:ascii="Sylfaen" w:hAnsi="Sylfaen"/>
        </w:rPr>
        <w:t xml:space="preserve"> OSC/ODIHR, Opinion on the Legislative Amendments </w:t>
      </w:r>
      <w:r w:rsidR="00BC7901" w:rsidRPr="00E56708">
        <w:rPr>
          <w:rFonts w:ascii="Sylfaen" w:hAnsi="Sylfaen"/>
        </w:rPr>
        <w:t>on the State Inspector’s Service of Georgia, 18 February 2022, page</w:t>
      </w:r>
      <w:r w:rsidR="0000717A" w:rsidRPr="00E56708">
        <w:rPr>
          <w:rFonts w:ascii="Sylfaen" w:hAnsi="Sylfaen"/>
        </w:rPr>
        <w:t xml:space="preserve"> 2</w:t>
      </w:r>
      <w:r w:rsidR="00BC7901" w:rsidRPr="00E56708">
        <w:rPr>
          <w:rFonts w:ascii="Sylfaen" w:hAnsi="Sylfaen"/>
        </w:rPr>
        <w:t>, available at:</w:t>
      </w:r>
      <w:r w:rsidR="00822AFD" w:rsidRPr="00E56708">
        <w:rPr>
          <w:rFonts w:ascii="Sylfaen" w:hAnsi="Sylfaen"/>
        </w:rPr>
        <w:t xml:space="preserve"> </w:t>
      </w:r>
      <w:hyperlink r:id="rId4" w:history="1">
        <w:r w:rsidR="00822AFD" w:rsidRPr="00E56708">
          <w:rPr>
            <w:rStyle w:val="Hyperlink"/>
            <w:rFonts w:ascii="Sylfaen" w:hAnsi="Sylfaen"/>
          </w:rPr>
          <w:t>https://bit.ly/3CtPpqo</w:t>
        </w:r>
      </w:hyperlink>
      <w:r w:rsidR="00822AFD" w:rsidRPr="00E56708">
        <w:rPr>
          <w:rFonts w:ascii="Sylfaen" w:hAnsi="Sylfaen"/>
        </w:rPr>
        <w:t xml:space="preserve"> [last accessed 03.10.2022].</w:t>
      </w:r>
    </w:p>
  </w:footnote>
  <w:footnote w:id="8">
    <w:p w14:paraId="75AD7E78" w14:textId="3F8B69A5" w:rsidR="007F3AF9" w:rsidRPr="00E56708" w:rsidRDefault="007F3AF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A2FD9">
        <w:rPr>
          <w:rFonts w:ascii="Sylfaen" w:hAnsi="Sylfaen"/>
        </w:rPr>
        <w:t xml:space="preserve">Ibid, </w:t>
      </w:r>
      <w:r w:rsidR="00470260" w:rsidRPr="00E56708">
        <w:rPr>
          <w:rFonts w:ascii="Sylfaen" w:hAnsi="Sylfaen"/>
        </w:rPr>
        <w:t>page</w:t>
      </w:r>
      <w:r w:rsidR="0000717A" w:rsidRPr="00E56708">
        <w:rPr>
          <w:rFonts w:ascii="Sylfaen" w:hAnsi="Sylfaen"/>
        </w:rPr>
        <w:t xml:space="preserve"> 19</w:t>
      </w:r>
      <w:r w:rsidR="00470260" w:rsidRPr="00E56708">
        <w:rPr>
          <w:rFonts w:ascii="Sylfaen" w:hAnsi="Sylfaen"/>
        </w:rPr>
        <w:t>.</w:t>
      </w:r>
    </w:p>
  </w:footnote>
  <w:footnote w:id="9">
    <w:p w14:paraId="4FE82EFA" w14:textId="4DC55102" w:rsidR="00515FCF" w:rsidRPr="00E56708" w:rsidRDefault="00515FCF"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F83A8C" w:rsidRPr="00E56708">
        <w:rPr>
          <w:rFonts w:ascii="Sylfaen" w:hAnsi="Sylfaen" w:cs="Arial"/>
        </w:rPr>
        <w:t>Report of the Public Defender of Georgia on the Situation of Protection of Human Rights and Freedoms in Georgia 2021, page</w:t>
      </w:r>
      <w:r w:rsidRPr="00E56708">
        <w:rPr>
          <w:rFonts w:ascii="Sylfaen" w:hAnsi="Sylfaen"/>
        </w:rPr>
        <w:t xml:space="preserve"> 96</w:t>
      </w:r>
      <w:r w:rsidR="00F83A8C" w:rsidRPr="00E56708">
        <w:rPr>
          <w:rFonts w:ascii="Sylfaen" w:hAnsi="Sylfaen"/>
        </w:rPr>
        <w:t>.</w:t>
      </w:r>
    </w:p>
  </w:footnote>
  <w:footnote w:id="10">
    <w:p w14:paraId="6A30F11E" w14:textId="0383B4E1" w:rsidR="00AB496D" w:rsidRPr="00E56708" w:rsidRDefault="00AB496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1E13E2" w:rsidRPr="00E56708">
        <w:rPr>
          <w:rFonts w:ascii="Sylfaen" w:hAnsi="Sylfaen"/>
        </w:rPr>
        <w:t>Recommendation - 118.10</w:t>
      </w:r>
    </w:p>
  </w:footnote>
  <w:footnote w:id="11">
    <w:p w14:paraId="5B5E8B3C" w14:textId="55C81A0B" w:rsidR="00DE6ED7" w:rsidRPr="00E56708" w:rsidRDefault="00DE6ED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Recommendation - 148.73</w:t>
      </w:r>
    </w:p>
  </w:footnote>
  <w:footnote w:id="12">
    <w:p w14:paraId="1EDB8ECB" w14:textId="1EC3A350" w:rsidR="001E13E2" w:rsidRPr="00E56708" w:rsidRDefault="001E13E2"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ECRI Report on Georgia 2016</w:t>
      </w:r>
      <w:r w:rsidR="005C689A" w:rsidRPr="00E56708">
        <w:rPr>
          <w:rFonts w:ascii="Sylfaen" w:hAnsi="Sylfaen"/>
          <w:lang w:val="ka-GE"/>
        </w:rPr>
        <w:t xml:space="preserve">, </w:t>
      </w:r>
      <w:r w:rsidR="005C689A" w:rsidRPr="00E56708">
        <w:rPr>
          <w:rFonts w:ascii="Sylfaen" w:hAnsi="Sylfaen"/>
        </w:rPr>
        <w:t>page 34</w:t>
      </w:r>
      <w:r w:rsidR="002C124D" w:rsidRPr="00E56708">
        <w:rPr>
          <w:rFonts w:ascii="Sylfaen" w:hAnsi="Sylfaen"/>
        </w:rPr>
        <w:t>, §13,</w:t>
      </w:r>
      <w:r w:rsidRPr="00E56708">
        <w:rPr>
          <w:rFonts w:ascii="Sylfaen" w:hAnsi="Sylfaen"/>
        </w:rPr>
        <w:t xml:space="preserve"> Available at: </w:t>
      </w:r>
      <w:r w:rsidR="002C124D" w:rsidRPr="00E56708">
        <w:rPr>
          <w:rFonts w:ascii="Sylfaen" w:hAnsi="Sylfaen"/>
        </w:rPr>
        <w:t>&lt;</w:t>
      </w:r>
      <w:r w:rsidR="00F3020D">
        <w:rPr>
          <w:rFonts w:ascii="Sylfaen" w:hAnsi="Sylfaen"/>
        </w:rPr>
        <w:t xml:space="preserve"> </w:t>
      </w:r>
      <w:hyperlink r:id="rId5" w:history="1">
        <w:r w:rsidR="00F3020D" w:rsidRPr="003B1182">
          <w:rPr>
            <w:rStyle w:val="Hyperlink"/>
            <w:rFonts w:ascii="Sylfaen" w:hAnsi="Sylfaen"/>
          </w:rPr>
          <w:t>https://bit.ly/3Cpq3ZS</w:t>
        </w:r>
      </w:hyperlink>
      <w:r w:rsidR="00F3020D">
        <w:rPr>
          <w:rFonts w:ascii="Sylfaen" w:hAnsi="Sylfaen"/>
        </w:rPr>
        <w:t xml:space="preserve"> </w:t>
      </w:r>
      <w:r w:rsidR="002C124D" w:rsidRPr="00E56708">
        <w:rPr>
          <w:rFonts w:ascii="Sylfaen" w:hAnsi="Sylfaen"/>
        </w:rPr>
        <w:t>&gt;</w:t>
      </w:r>
    </w:p>
  </w:footnote>
  <w:footnote w:id="13">
    <w:p w14:paraId="151C3185" w14:textId="26BF4569" w:rsidR="001E5848" w:rsidRPr="00E56708" w:rsidRDefault="001E5848"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Decision</w:t>
      </w:r>
      <w:r w:rsidR="00D41DC2" w:rsidRPr="00E56708">
        <w:rPr>
          <w:rFonts w:ascii="Sylfaen" w:hAnsi="Sylfaen"/>
        </w:rPr>
        <w:t>s</w:t>
      </w:r>
      <w:r w:rsidRPr="00E56708">
        <w:rPr>
          <w:rFonts w:ascii="Sylfaen" w:hAnsi="Sylfaen"/>
        </w:rPr>
        <w:t xml:space="preserve"> of the Committee of Ministers</w:t>
      </w:r>
      <w:bookmarkStart w:id="4" w:name="_Hlk116472788"/>
      <w:r w:rsidRPr="00E56708">
        <w:rPr>
          <w:rFonts w:ascii="Sylfaen" w:hAnsi="Sylfaen"/>
        </w:rPr>
        <w:t xml:space="preserve">, </w:t>
      </w:r>
      <w:r w:rsidR="006F387F" w:rsidRPr="00E56708">
        <w:rPr>
          <w:rFonts w:ascii="Sylfaen" w:hAnsi="Sylfaen"/>
        </w:rPr>
        <w:t>§</w:t>
      </w:r>
      <w:bookmarkEnd w:id="4"/>
      <w:r w:rsidR="00D41DC2" w:rsidRPr="00E56708">
        <w:rPr>
          <w:rFonts w:ascii="Sylfaen" w:hAnsi="Sylfaen"/>
        </w:rPr>
        <w:t xml:space="preserve"> 6</w:t>
      </w:r>
      <w:r w:rsidR="009C26A7" w:rsidRPr="00E56708">
        <w:rPr>
          <w:rFonts w:ascii="Sylfaen" w:hAnsi="Sylfaen"/>
        </w:rPr>
        <w:t>-</w:t>
      </w:r>
      <w:r w:rsidR="00D41DC2" w:rsidRPr="00E56708">
        <w:rPr>
          <w:rFonts w:ascii="Sylfaen" w:hAnsi="Sylfaen"/>
        </w:rPr>
        <w:t xml:space="preserve">decision of 2021; </w:t>
      </w:r>
      <w:r w:rsidR="009C26A7" w:rsidRPr="00E56708">
        <w:rPr>
          <w:rFonts w:ascii="Sylfaen" w:hAnsi="Sylfaen"/>
        </w:rPr>
        <w:t>§ 7- decision of 2020; § 10</w:t>
      </w:r>
      <w:r w:rsidR="00634F8D" w:rsidRPr="00E56708">
        <w:rPr>
          <w:rFonts w:ascii="Sylfaen" w:hAnsi="Sylfaen"/>
        </w:rPr>
        <w:t xml:space="preserve"> </w:t>
      </w:r>
      <w:r w:rsidR="009C26A7" w:rsidRPr="00E56708">
        <w:rPr>
          <w:rFonts w:ascii="Sylfaen" w:hAnsi="Sylfaen"/>
        </w:rPr>
        <w:t>-</w:t>
      </w:r>
      <w:r w:rsidR="00634F8D" w:rsidRPr="00E56708">
        <w:rPr>
          <w:rFonts w:ascii="Sylfaen" w:hAnsi="Sylfaen"/>
        </w:rPr>
        <w:t xml:space="preserve"> </w:t>
      </w:r>
      <w:r w:rsidR="00D41DC2" w:rsidRPr="00E56708">
        <w:rPr>
          <w:rFonts w:ascii="Sylfaen" w:hAnsi="Sylfaen"/>
        </w:rPr>
        <w:t>decision of</w:t>
      </w:r>
      <w:r w:rsidR="009C26A7" w:rsidRPr="00E56708">
        <w:rPr>
          <w:rFonts w:ascii="Sylfaen" w:hAnsi="Sylfaen"/>
        </w:rPr>
        <w:t xml:space="preserve"> </w:t>
      </w:r>
      <w:r w:rsidR="00D41DC2" w:rsidRPr="00E56708">
        <w:rPr>
          <w:rFonts w:ascii="Sylfaen" w:hAnsi="Sylfaen"/>
        </w:rPr>
        <w:t xml:space="preserve">2019; </w:t>
      </w:r>
      <w:r w:rsidRPr="00E56708">
        <w:rPr>
          <w:rFonts w:ascii="Sylfaen" w:hAnsi="Sylfaen"/>
        </w:rPr>
        <w:t>available at:</w:t>
      </w:r>
      <w:r w:rsidR="00634F8D" w:rsidRPr="00E56708">
        <w:rPr>
          <w:rFonts w:ascii="Sylfaen" w:hAnsi="Sylfaen"/>
        </w:rPr>
        <w:t xml:space="preserve"> </w:t>
      </w:r>
      <w:r w:rsidR="005714DF" w:rsidRPr="00E56708">
        <w:rPr>
          <w:rFonts w:ascii="Sylfaen" w:hAnsi="Sylfaen"/>
        </w:rPr>
        <w:t xml:space="preserve">&lt; </w:t>
      </w:r>
      <w:hyperlink r:id="rId6" w:history="1">
        <w:r w:rsidR="005714DF" w:rsidRPr="00E56708">
          <w:rPr>
            <w:rStyle w:val="Hyperlink"/>
            <w:rFonts w:ascii="Sylfaen" w:hAnsi="Sylfaen"/>
          </w:rPr>
          <w:t>https://bit.ly/3yzNu1w</w:t>
        </w:r>
      </w:hyperlink>
      <w:r w:rsidR="005714DF" w:rsidRPr="00E56708">
        <w:rPr>
          <w:rFonts w:ascii="Sylfaen" w:hAnsi="Sylfaen"/>
        </w:rPr>
        <w:t xml:space="preserve"> &gt; [last accessed 12.10.2022].</w:t>
      </w:r>
    </w:p>
  </w:footnote>
  <w:footnote w:id="14">
    <w:p w14:paraId="684F9E27" w14:textId="218CE165" w:rsidR="006D4E3A" w:rsidRPr="00E56708" w:rsidRDefault="006D4E3A"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w:t>
      </w:r>
      <w:r w:rsidR="00983BDD" w:rsidRPr="00E56708">
        <w:rPr>
          <w:rFonts w:ascii="Sylfaen" w:hAnsi="Sylfaen"/>
        </w:rPr>
        <w:t>Combined ninth and tenth periodic reports submitted by Georgia under article 9 of the Convention, due in 2020</w:t>
      </w:r>
      <w:r w:rsidR="00983BDD" w:rsidRPr="00E56708">
        <w:rPr>
          <w:rFonts w:ascii="Sylfaen" w:hAnsi="Sylfaen"/>
          <w:lang w:val="ka-GE"/>
        </w:rPr>
        <w:t>, CERD/C/GEO/9-10, §</w:t>
      </w:r>
      <w:r w:rsidR="00EF2CC4" w:rsidRPr="00E56708">
        <w:rPr>
          <w:rFonts w:ascii="Sylfaen" w:hAnsi="Sylfaen"/>
        </w:rPr>
        <w:t>21</w:t>
      </w:r>
      <w:r w:rsidR="00983BDD" w:rsidRPr="00E56708">
        <w:rPr>
          <w:rFonts w:ascii="Sylfaen" w:hAnsi="Sylfaen"/>
        </w:rPr>
        <w:t>.</w:t>
      </w:r>
    </w:p>
  </w:footnote>
  <w:footnote w:id="15">
    <w:p w14:paraId="029BB245" w14:textId="393BCC5D" w:rsidR="00807A5D" w:rsidRPr="00E56708" w:rsidRDefault="00807A5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B45809" w:rsidRPr="00E56708">
        <w:rPr>
          <w:rFonts w:ascii="Sylfaen" w:hAnsi="Sylfaen" w:cs="Arial"/>
        </w:rPr>
        <w:t>Report of the Public Defender of Georgia on the Situation of Protection of Human Rights and Freedoms in Georgia 2021, page</w:t>
      </w:r>
      <w:r w:rsidR="000535E4" w:rsidRPr="00E56708">
        <w:rPr>
          <w:rFonts w:ascii="Sylfaen" w:hAnsi="Sylfaen"/>
        </w:rPr>
        <w:t xml:space="preserve"> 120</w:t>
      </w:r>
      <w:r w:rsidR="00B45809" w:rsidRPr="00E56708">
        <w:rPr>
          <w:rFonts w:ascii="Sylfaen" w:hAnsi="Sylfaen"/>
        </w:rPr>
        <w:t>.</w:t>
      </w:r>
    </w:p>
  </w:footnote>
  <w:footnote w:id="16">
    <w:p w14:paraId="7F6ADEA7" w14:textId="5907A935" w:rsidR="006168B2" w:rsidRPr="00E56708" w:rsidRDefault="006168B2" w:rsidP="00E56708">
      <w:pPr>
        <w:pStyle w:val="FootnoteText"/>
        <w:jc w:val="both"/>
        <w:rPr>
          <w:rFonts w:ascii="Sylfaen" w:hAnsi="Sylfaen"/>
        </w:rPr>
      </w:pPr>
      <w:r w:rsidRPr="00E56708">
        <w:rPr>
          <w:rStyle w:val="FootnoteReference"/>
          <w:rFonts w:ascii="Sylfaen" w:hAnsi="Sylfaen"/>
        </w:rPr>
        <w:footnoteRef/>
      </w:r>
      <w:r w:rsidR="001B6F19" w:rsidRPr="00E56708">
        <w:rPr>
          <w:rFonts w:ascii="Sylfaen" w:hAnsi="Sylfaen"/>
          <w:lang w:val="ka-GE"/>
        </w:rPr>
        <w:t xml:space="preserve"> </w:t>
      </w:r>
      <w:r w:rsidR="001B6F19" w:rsidRPr="00E56708">
        <w:rPr>
          <w:rFonts w:ascii="Sylfaen" w:hAnsi="Sylfaen"/>
        </w:rPr>
        <w:t xml:space="preserve"> The Ministry of Justice of Georgia, 2021 Report on enforcement of judgments/decisions rendered by the European Court of Human Rights against Georgia</w:t>
      </w:r>
      <w:r w:rsidR="004E6A5E" w:rsidRPr="00E56708">
        <w:rPr>
          <w:rFonts w:ascii="Sylfaen" w:hAnsi="Sylfaen"/>
        </w:rPr>
        <w:t xml:space="preserve"> (ongoing cases), 2022,</w:t>
      </w:r>
      <w:r w:rsidRPr="00E56708">
        <w:rPr>
          <w:rFonts w:ascii="Sylfaen" w:hAnsi="Sylfaen"/>
        </w:rPr>
        <w:t xml:space="preserve"> </w:t>
      </w:r>
      <w:r w:rsidR="004E6A5E" w:rsidRPr="00E56708">
        <w:rPr>
          <w:rFonts w:ascii="Sylfaen" w:hAnsi="Sylfaen"/>
        </w:rPr>
        <w:t>page 52, available at:</w:t>
      </w:r>
      <w:r w:rsidR="00EC39F7" w:rsidRPr="00E56708">
        <w:rPr>
          <w:rFonts w:ascii="Sylfaen" w:hAnsi="Sylfaen"/>
        </w:rPr>
        <w:t xml:space="preserve"> </w:t>
      </w:r>
      <w:hyperlink r:id="rId7" w:history="1">
        <w:r w:rsidR="00EC39F7" w:rsidRPr="00E56708">
          <w:rPr>
            <w:rStyle w:val="Hyperlink"/>
            <w:rFonts w:ascii="Sylfaen" w:hAnsi="Sylfaen"/>
          </w:rPr>
          <w:t>https://bit.ly/3E94ChV</w:t>
        </w:r>
      </w:hyperlink>
      <w:r w:rsidR="00EC39F7" w:rsidRPr="00E56708">
        <w:rPr>
          <w:rFonts w:ascii="Sylfaen" w:hAnsi="Sylfaen"/>
        </w:rPr>
        <w:t xml:space="preserve"> [last accessed 03.10.2022].</w:t>
      </w:r>
    </w:p>
  </w:footnote>
  <w:footnote w:id="17">
    <w:p w14:paraId="2A9E4456" w14:textId="348AA857" w:rsidR="00CD1431" w:rsidRPr="00E56708" w:rsidRDefault="00CD1431"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754CB7" w:rsidRPr="00E56708">
        <w:rPr>
          <w:rFonts w:ascii="Sylfaen" w:hAnsi="Sylfaen"/>
        </w:rPr>
        <w:t xml:space="preserve">Committee on the Elimination of Racial Discrimination, General recommendation No. 35 Combating racist hate speech, CERD/C/GC/35, 26 September 2013, </w:t>
      </w:r>
      <w:r w:rsidR="00754CB7" w:rsidRPr="00E56708">
        <w:rPr>
          <w:rFonts w:ascii="Sylfaen" w:hAnsi="Sylfaen"/>
          <w:lang w:val="ka-GE"/>
        </w:rPr>
        <w:t>§</w:t>
      </w:r>
      <w:r w:rsidR="00AC0680" w:rsidRPr="00E56708">
        <w:rPr>
          <w:rFonts w:ascii="Sylfaen" w:hAnsi="Sylfaen"/>
        </w:rPr>
        <w:t>37</w:t>
      </w:r>
    </w:p>
  </w:footnote>
  <w:footnote w:id="18">
    <w:p w14:paraId="3BECE928" w14:textId="133272EB" w:rsidR="00CD1431" w:rsidRPr="00E56708" w:rsidRDefault="00CD1431" w:rsidP="00E56708">
      <w:pPr>
        <w:pStyle w:val="FootnoteText"/>
        <w:jc w:val="both"/>
        <w:rPr>
          <w:rFonts w:ascii="Sylfaen" w:hAnsi="Sylfaen"/>
        </w:rPr>
      </w:pPr>
      <w:r w:rsidRPr="00E56708">
        <w:rPr>
          <w:rStyle w:val="FootnoteReference"/>
          <w:rFonts w:ascii="Sylfaen" w:hAnsi="Sylfaen"/>
        </w:rPr>
        <w:footnoteRef/>
      </w:r>
      <w:r w:rsidR="00AF3C9D">
        <w:rPr>
          <w:rFonts w:ascii="Sylfaen" w:hAnsi="Sylfaen"/>
        </w:rPr>
        <w:t xml:space="preserve"> Ibid</w:t>
      </w:r>
      <w:r w:rsidR="00232F22" w:rsidRPr="00E56708">
        <w:rPr>
          <w:rFonts w:ascii="Sylfaen" w:hAnsi="Sylfaen"/>
        </w:rPr>
        <w:t xml:space="preserve">, </w:t>
      </w:r>
      <w:r w:rsidR="00232F22" w:rsidRPr="00E56708">
        <w:rPr>
          <w:rFonts w:ascii="Sylfaen" w:hAnsi="Sylfaen"/>
          <w:lang w:val="ka-GE"/>
        </w:rPr>
        <w:t>§</w:t>
      </w:r>
      <w:r w:rsidRPr="00E56708">
        <w:rPr>
          <w:rFonts w:ascii="Sylfaen" w:hAnsi="Sylfaen"/>
        </w:rPr>
        <w:t>22</w:t>
      </w:r>
      <w:r w:rsidR="004D1DE3" w:rsidRPr="00E56708">
        <w:rPr>
          <w:rFonts w:ascii="Sylfaen" w:hAnsi="Sylfaen"/>
        </w:rPr>
        <w:t>.</w:t>
      </w:r>
    </w:p>
  </w:footnote>
  <w:footnote w:id="19">
    <w:p w14:paraId="0D497702" w14:textId="18201311" w:rsidR="00DF772A" w:rsidRPr="00E56708" w:rsidRDefault="00DF772A" w:rsidP="00E56708">
      <w:pPr>
        <w:pStyle w:val="FootnoteText"/>
        <w:jc w:val="both"/>
        <w:rPr>
          <w:rFonts w:ascii="Sylfaen" w:hAnsi="Sylfaen"/>
        </w:rPr>
      </w:pPr>
      <w:r w:rsidRPr="00E56708">
        <w:rPr>
          <w:rStyle w:val="FootnoteReference"/>
          <w:rFonts w:ascii="Sylfaen" w:hAnsi="Sylfaen"/>
        </w:rPr>
        <w:footnoteRef/>
      </w:r>
      <w:r w:rsidR="00B858B1" w:rsidRPr="00E56708">
        <w:rPr>
          <w:rFonts w:ascii="Sylfaen" w:hAnsi="Sylfaen"/>
        </w:rPr>
        <w:t xml:space="preserve"> Special Report of the Public Defender of Georgia </w:t>
      </w:r>
      <w:r w:rsidR="00D6503C" w:rsidRPr="00E56708">
        <w:rPr>
          <w:rFonts w:ascii="Sylfaen" w:hAnsi="Sylfaen"/>
        </w:rPr>
        <w:t>o</w:t>
      </w:r>
      <w:r w:rsidR="00B858B1" w:rsidRPr="00E56708">
        <w:rPr>
          <w:rFonts w:ascii="Sylfaen" w:hAnsi="Sylfaen"/>
        </w:rPr>
        <w:t>n Combating and Preventing Discrimination and the State of Equality</w:t>
      </w:r>
      <w:r w:rsidR="00224D51" w:rsidRPr="00E56708">
        <w:rPr>
          <w:rFonts w:ascii="Sylfaen" w:hAnsi="Sylfaen"/>
        </w:rPr>
        <w:t xml:space="preserve"> 2020, page 38, available at: </w:t>
      </w:r>
      <w:hyperlink r:id="rId8" w:history="1">
        <w:r w:rsidR="00224D51" w:rsidRPr="00E56708">
          <w:rPr>
            <w:rStyle w:val="Hyperlink"/>
            <w:rFonts w:ascii="Sylfaen" w:hAnsi="Sylfaen"/>
          </w:rPr>
          <w:t>https://bit.ly/3SOUmzI</w:t>
        </w:r>
      </w:hyperlink>
      <w:r w:rsidR="00224D51" w:rsidRPr="00E56708">
        <w:rPr>
          <w:rFonts w:ascii="Sylfaen" w:hAnsi="Sylfaen"/>
        </w:rPr>
        <w:t xml:space="preserve"> [last accessed 10.03.2022].</w:t>
      </w:r>
    </w:p>
  </w:footnote>
  <w:footnote w:id="20">
    <w:p w14:paraId="0D2C5DE1" w14:textId="615E7AE3" w:rsidR="00C64D4D" w:rsidRPr="00E56708" w:rsidRDefault="00C64D4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6E492C">
        <w:rPr>
          <w:rFonts w:ascii="Sylfaen" w:hAnsi="Sylfaen"/>
        </w:rPr>
        <w:t>Ibid.</w:t>
      </w:r>
    </w:p>
  </w:footnote>
  <w:footnote w:id="21">
    <w:p w14:paraId="56D6505A" w14:textId="1A9D1D95" w:rsidR="00B453B0" w:rsidRPr="00E56708" w:rsidRDefault="00B453B0" w:rsidP="00E56708">
      <w:pPr>
        <w:pStyle w:val="FootnoteText"/>
        <w:jc w:val="both"/>
        <w:rPr>
          <w:rFonts w:ascii="Sylfaen" w:hAnsi="Sylfaen"/>
        </w:rPr>
      </w:pPr>
      <w:r w:rsidRPr="00E56708">
        <w:rPr>
          <w:rStyle w:val="FootnoteReference"/>
          <w:rFonts w:ascii="Sylfaen" w:hAnsi="Sylfaen"/>
        </w:rPr>
        <w:footnoteRef/>
      </w:r>
      <w:r w:rsidR="00E833E9" w:rsidRPr="00E56708">
        <w:rPr>
          <w:rFonts w:ascii="Sylfaen" w:hAnsi="Sylfaen"/>
        </w:rPr>
        <w:t xml:space="preserve"> Special Report of the Public Defender of Georgia on the Situation of Equality and Combating and Preventing Discrimination 2021, Tbilisi 2022,</w:t>
      </w:r>
      <w:r w:rsidRPr="00E56708">
        <w:rPr>
          <w:rFonts w:ascii="Sylfaen" w:hAnsi="Sylfaen"/>
        </w:rPr>
        <w:t xml:space="preserve"> </w:t>
      </w:r>
      <w:r w:rsidR="00A0756E" w:rsidRPr="00E56708">
        <w:rPr>
          <w:rFonts w:ascii="Sylfaen" w:hAnsi="Sylfaen"/>
        </w:rPr>
        <w:t>page 42</w:t>
      </w:r>
      <w:r w:rsidR="00E833E9" w:rsidRPr="00E56708">
        <w:rPr>
          <w:rFonts w:ascii="Sylfaen" w:hAnsi="Sylfaen"/>
        </w:rPr>
        <w:t>, available at:</w:t>
      </w:r>
      <w:r w:rsidR="00693D0C" w:rsidRPr="00E56708">
        <w:rPr>
          <w:rFonts w:ascii="Sylfaen" w:hAnsi="Sylfaen"/>
        </w:rPr>
        <w:t xml:space="preserve"> </w:t>
      </w:r>
      <w:hyperlink r:id="rId9" w:history="1">
        <w:r w:rsidR="00693D0C" w:rsidRPr="00E56708">
          <w:rPr>
            <w:rStyle w:val="Hyperlink"/>
            <w:rFonts w:ascii="Sylfaen" w:hAnsi="Sylfaen"/>
          </w:rPr>
          <w:t>https://bit.ly/3LYxuLX</w:t>
        </w:r>
      </w:hyperlink>
      <w:r w:rsidR="00693D0C" w:rsidRPr="00E56708">
        <w:rPr>
          <w:rFonts w:ascii="Sylfaen" w:hAnsi="Sylfaen"/>
        </w:rPr>
        <w:t xml:space="preserve"> [last accessed 10.03.2022].</w:t>
      </w:r>
    </w:p>
  </w:footnote>
  <w:footnote w:id="22">
    <w:p w14:paraId="7860029A" w14:textId="77777777" w:rsidR="00C73453" w:rsidRPr="00E56708" w:rsidRDefault="00C7345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 xml:space="preserve"> 49-65.</w:t>
      </w:r>
    </w:p>
  </w:footnote>
  <w:footnote w:id="23">
    <w:p w14:paraId="1650CD1A" w14:textId="77777777" w:rsidR="00C73453" w:rsidRPr="00E56708" w:rsidRDefault="00C7345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Hate Crime, Hate Speech and Discrimination in Georgia: Attitudes and Awareness, Report of Public Survey conducted for the Co-operation Project “Fight against Discrimination, Hate Crimes and Hate Speech in Georgia”, 2022, available at:  </w:t>
      </w:r>
      <w:hyperlink r:id="rId10" w:history="1">
        <w:r w:rsidRPr="00E56708">
          <w:rPr>
            <w:rStyle w:val="Hyperlink"/>
            <w:rFonts w:ascii="Sylfaen" w:hAnsi="Sylfaen"/>
          </w:rPr>
          <w:t>https://rm.coe.int/book-eng/1680a583d0</w:t>
        </w:r>
      </w:hyperlink>
      <w:r w:rsidRPr="00E56708">
        <w:rPr>
          <w:rFonts w:ascii="Sylfaen" w:hAnsi="Sylfaen"/>
        </w:rPr>
        <w:t xml:space="preserve"> [last accessed 03.10.2022].</w:t>
      </w:r>
    </w:p>
  </w:footnote>
  <w:footnote w:id="24">
    <w:p w14:paraId="34D91B5D" w14:textId="420CE28F" w:rsidR="00C73453" w:rsidRPr="00E56708" w:rsidRDefault="00C73453" w:rsidP="00E56708">
      <w:pPr>
        <w:pStyle w:val="FootnoteText"/>
        <w:jc w:val="both"/>
        <w:rPr>
          <w:rFonts w:ascii="Sylfaen" w:hAnsi="Sylfaen"/>
        </w:rPr>
      </w:pPr>
      <w:r w:rsidRPr="00E56708">
        <w:rPr>
          <w:rStyle w:val="FootnoteReference"/>
          <w:rFonts w:ascii="Sylfaen" w:hAnsi="Sylfaen"/>
        </w:rPr>
        <w:footnoteRef/>
      </w:r>
      <w:r w:rsidR="00FF2503">
        <w:rPr>
          <w:rFonts w:ascii="Sylfaen" w:hAnsi="Sylfaen"/>
        </w:rPr>
        <w:t xml:space="preserve"> Ibid</w:t>
      </w:r>
      <w:r w:rsidRPr="00E56708">
        <w:rPr>
          <w:rFonts w:ascii="Sylfaen" w:hAnsi="Sylfaen"/>
        </w:rPr>
        <w:t>, page 49.</w:t>
      </w:r>
    </w:p>
  </w:footnote>
  <w:footnote w:id="25">
    <w:p w14:paraId="07FB8C1D" w14:textId="77777777" w:rsidR="00C73453" w:rsidRPr="00E56708" w:rsidRDefault="00C7345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Committee on the Elimination of Racial Discrimination, Concluding observations on the sixth to eighth periodic reports of Georgia, CERD/C/GEO/CO/6-8, 22 June 2016, </w:t>
      </w:r>
      <w:r w:rsidRPr="00E56708">
        <w:rPr>
          <w:rFonts w:ascii="Sylfaen" w:hAnsi="Sylfaen"/>
          <w:lang w:val="ka-GE"/>
        </w:rPr>
        <w:t>§</w:t>
      </w:r>
      <w:r w:rsidRPr="00E56708">
        <w:rPr>
          <w:rFonts w:ascii="Sylfaen" w:hAnsi="Sylfaen"/>
        </w:rPr>
        <w:t>7.</w:t>
      </w:r>
    </w:p>
  </w:footnote>
  <w:footnote w:id="26">
    <w:p w14:paraId="1E6ECA36" w14:textId="39DF220C" w:rsidR="00D13735" w:rsidRPr="00E56708" w:rsidRDefault="00D13735"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8F5A7F" w:rsidRPr="00E56708">
        <w:rPr>
          <w:rFonts w:ascii="Sylfaen" w:hAnsi="Sylfaen"/>
        </w:rPr>
        <w:t>Combined ninth and tenth periodic reports submitted by Georgia under article 9 of the Convention, due in 2020</w:t>
      </w:r>
      <w:r w:rsidR="008F5A7F" w:rsidRPr="00E56708">
        <w:rPr>
          <w:rFonts w:ascii="Sylfaen" w:hAnsi="Sylfaen"/>
          <w:lang w:val="ka-GE"/>
        </w:rPr>
        <w:t>, CERD/C/GEO/9-10, §§</w:t>
      </w:r>
      <w:r w:rsidR="008F5A7F" w:rsidRPr="00E56708">
        <w:rPr>
          <w:rFonts w:ascii="Sylfaen" w:hAnsi="Sylfaen"/>
        </w:rPr>
        <w:t xml:space="preserve"> </w:t>
      </w:r>
      <w:r w:rsidR="00941370" w:rsidRPr="00E56708">
        <w:rPr>
          <w:rFonts w:ascii="Sylfaen" w:hAnsi="Sylfaen"/>
        </w:rPr>
        <w:t>60-61</w:t>
      </w:r>
    </w:p>
  </w:footnote>
  <w:footnote w:id="27">
    <w:p w14:paraId="4F7EDC0E" w14:textId="64742EE2" w:rsidR="00987633" w:rsidRPr="00E56708" w:rsidRDefault="0098763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881B07" w:rsidRPr="00E56708">
        <w:rPr>
          <w:rFonts w:ascii="Sylfaen" w:hAnsi="Sylfaen" w:cs="Arial"/>
        </w:rPr>
        <w:t>Report of the Public Defender of Georgia on the Situation of Protection of Human Rights and Freedoms in Georgia 2020,</w:t>
      </w:r>
      <w:r w:rsidR="00C219F5" w:rsidRPr="00E56708">
        <w:rPr>
          <w:rFonts w:ascii="Sylfaen" w:hAnsi="Sylfaen"/>
        </w:rPr>
        <w:t xml:space="preserve"> page 171</w:t>
      </w:r>
      <w:r w:rsidR="00881B07" w:rsidRPr="00E56708">
        <w:rPr>
          <w:rFonts w:ascii="Sylfaen" w:hAnsi="Sylfaen"/>
        </w:rPr>
        <w:t>, available at:</w:t>
      </w:r>
      <w:r w:rsidR="001B17A2" w:rsidRPr="00E56708">
        <w:rPr>
          <w:rFonts w:ascii="Sylfaen" w:hAnsi="Sylfaen"/>
        </w:rPr>
        <w:t xml:space="preserve"> </w:t>
      </w:r>
      <w:hyperlink r:id="rId11" w:history="1">
        <w:r w:rsidR="001B17A2" w:rsidRPr="00E56708">
          <w:rPr>
            <w:rStyle w:val="Hyperlink"/>
            <w:rFonts w:ascii="Sylfaen" w:hAnsi="Sylfaen"/>
          </w:rPr>
          <w:t>https://bit.ly/3Ca7xEK</w:t>
        </w:r>
      </w:hyperlink>
      <w:r w:rsidR="001B17A2" w:rsidRPr="00E56708">
        <w:rPr>
          <w:rFonts w:ascii="Sylfaen" w:hAnsi="Sylfaen"/>
        </w:rPr>
        <w:t xml:space="preserve"> [last accessed 03.10.2022].</w:t>
      </w:r>
    </w:p>
  </w:footnote>
  <w:footnote w:id="28">
    <w:p w14:paraId="2C714A51" w14:textId="0D4242B5" w:rsidR="00C56397" w:rsidRPr="00E56708" w:rsidRDefault="00C5639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4664EA">
        <w:rPr>
          <w:rFonts w:ascii="Sylfaen" w:hAnsi="Sylfaen" w:cs="Arial"/>
        </w:rPr>
        <w:t>Ibid.</w:t>
      </w:r>
    </w:p>
  </w:footnote>
  <w:footnote w:id="29">
    <w:p w14:paraId="165537B8" w14:textId="78313733" w:rsidR="00164231" w:rsidRPr="00E56708" w:rsidRDefault="00164231" w:rsidP="00E56708">
      <w:pPr>
        <w:pStyle w:val="FootnoteText"/>
        <w:jc w:val="both"/>
        <w:rPr>
          <w:rFonts w:ascii="Sylfaen" w:hAnsi="Sylfaen"/>
        </w:rPr>
      </w:pPr>
      <w:r w:rsidRPr="00E56708">
        <w:rPr>
          <w:rStyle w:val="FootnoteReference"/>
          <w:rFonts w:ascii="Sylfaen" w:hAnsi="Sylfaen"/>
        </w:rPr>
        <w:footnoteRef/>
      </w:r>
      <w:r w:rsidR="004664EA">
        <w:rPr>
          <w:rFonts w:ascii="Sylfaen" w:hAnsi="Sylfaen" w:cs="Arial"/>
        </w:rPr>
        <w:t xml:space="preserve"> Ibid</w:t>
      </w:r>
      <w:r w:rsidR="00881B07" w:rsidRPr="00E56708">
        <w:rPr>
          <w:rFonts w:ascii="Sylfaen" w:hAnsi="Sylfaen" w:cs="Arial"/>
        </w:rPr>
        <w:t>,</w:t>
      </w:r>
      <w:r w:rsidR="00593A9F" w:rsidRPr="00E56708">
        <w:rPr>
          <w:rFonts w:ascii="Sylfaen" w:hAnsi="Sylfaen"/>
        </w:rPr>
        <w:t xml:space="preserve"> page 172</w:t>
      </w:r>
      <w:r w:rsidR="00881B07" w:rsidRPr="00E56708">
        <w:rPr>
          <w:rFonts w:ascii="Sylfaen" w:hAnsi="Sylfaen"/>
        </w:rPr>
        <w:t>.</w:t>
      </w:r>
    </w:p>
  </w:footnote>
  <w:footnote w:id="30">
    <w:p w14:paraId="29748044" w14:textId="608CBC4C" w:rsidR="00EF6EF8" w:rsidRPr="00E56708" w:rsidRDefault="00EF6EF8"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321315">
        <w:rPr>
          <w:rFonts w:ascii="Sylfaen" w:hAnsi="Sylfaen"/>
        </w:rPr>
        <w:t xml:space="preserve">Ibid. </w:t>
      </w:r>
    </w:p>
  </w:footnote>
  <w:footnote w:id="31">
    <w:p w14:paraId="47F24D0D" w14:textId="160AABB3" w:rsidR="0028387D" w:rsidRPr="00E56708" w:rsidRDefault="0028387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C80A1C" w:rsidRPr="00E56708">
        <w:rPr>
          <w:rFonts w:ascii="Sylfaen" w:hAnsi="Sylfaen" w:cs="Arial"/>
        </w:rPr>
        <w:t>Report of the Public Defender of Georgia on the Situation of Protection of Human Rights and Freedoms in Georgia 2021,</w:t>
      </w:r>
      <w:r w:rsidR="00946356" w:rsidRPr="00E56708">
        <w:rPr>
          <w:rFonts w:ascii="Sylfaen" w:hAnsi="Sylfaen"/>
        </w:rPr>
        <w:t xml:space="preserve"> page 127</w:t>
      </w:r>
      <w:r w:rsidR="00C80A1C" w:rsidRPr="00E56708">
        <w:rPr>
          <w:rFonts w:ascii="Sylfaen" w:hAnsi="Sylfaen"/>
        </w:rPr>
        <w:t>.</w:t>
      </w:r>
    </w:p>
  </w:footnote>
  <w:footnote w:id="32">
    <w:p w14:paraId="679CB07B" w14:textId="428FE7A1" w:rsidR="00EE5CC3" w:rsidRPr="00E56708" w:rsidRDefault="00EE5CC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881B07" w:rsidRPr="00E56708">
        <w:rPr>
          <w:rFonts w:ascii="Sylfaen" w:hAnsi="Sylfaen" w:cs="Arial"/>
        </w:rPr>
        <w:t>Report of the Public Defender of Georgia on the Situation of Protection of Human Rights and Freedoms in Georgia 2020,</w:t>
      </w:r>
      <w:r w:rsidRPr="00E56708">
        <w:rPr>
          <w:rFonts w:ascii="Sylfaen" w:hAnsi="Sylfaen"/>
        </w:rPr>
        <w:t xml:space="preserve"> page 172</w:t>
      </w:r>
      <w:r w:rsidR="00881B07" w:rsidRPr="00E56708">
        <w:rPr>
          <w:rFonts w:ascii="Sylfaen" w:hAnsi="Sylfaen"/>
        </w:rPr>
        <w:t>.</w:t>
      </w:r>
    </w:p>
  </w:footnote>
  <w:footnote w:id="33">
    <w:p w14:paraId="6A3FAC8B" w14:textId="5D9229D6" w:rsidR="00687E95" w:rsidRPr="00E56708" w:rsidRDefault="00687E95"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w:t>
      </w:r>
      <w:r w:rsidR="000E06C9">
        <w:rPr>
          <w:rFonts w:ascii="Sylfaen" w:hAnsi="Sylfaen"/>
        </w:rPr>
        <w:t>Ibid</w:t>
      </w:r>
      <w:r w:rsidR="00881B07" w:rsidRPr="00E56708">
        <w:rPr>
          <w:rFonts w:ascii="Sylfaen" w:hAnsi="Sylfaen"/>
        </w:rPr>
        <w:t>.</w:t>
      </w:r>
    </w:p>
  </w:footnote>
  <w:footnote w:id="34">
    <w:p w14:paraId="3A13C07D" w14:textId="77777777" w:rsidR="00672991" w:rsidRPr="00E56708" w:rsidRDefault="00672991"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 66-77.</w:t>
      </w:r>
    </w:p>
  </w:footnote>
  <w:footnote w:id="35">
    <w:p w14:paraId="2A361562" w14:textId="67292D82" w:rsidR="00672991" w:rsidRPr="00E56708" w:rsidRDefault="00672991" w:rsidP="00E56708">
      <w:pPr>
        <w:pStyle w:val="FootnoteText"/>
        <w:jc w:val="both"/>
        <w:rPr>
          <w:rFonts w:ascii="Sylfaen" w:hAnsi="Sylfaen"/>
        </w:rPr>
      </w:pPr>
      <w:r w:rsidRPr="00E56708">
        <w:rPr>
          <w:rStyle w:val="FootnoteReference"/>
          <w:rFonts w:ascii="Sylfaen" w:hAnsi="Sylfaen"/>
        </w:rPr>
        <w:footnoteRef/>
      </w:r>
      <w:r w:rsidR="00BF457E">
        <w:rPr>
          <w:rFonts w:ascii="Sylfaen" w:hAnsi="Sylfaen"/>
        </w:rPr>
        <w:t xml:space="preserve"> Ibid</w:t>
      </w:r>
      <w:r w:rsidRPr="00E56708">
        <w:rPr>
          <w:rFonts w:ascii="Sylfaen" w:hAnsi="Sylfaen"/>
          <w:lang w:val="ka-GE"/>
        </w:rPr>
        <w:t>, §75.</w:t>
      </w:r>
    </w:p>
  </w:footnote>
  <w:footnote w:id="36">
    <w:p w14:paraId="5EDDD516" w14:textId="3BA3E958" w:rsidR="00B73261" w:rsidRDefault="00B73261">
      <w:pPr>
        <w:pStyle w:val="FootnoteText"/>
      </w:pPr>
      <w:r>
        <w:rPr>
          <w:rStyle w:val="FootnoteReference"/>
        </w:rPr>
        <w:footnoteRef/>
      </w:r>
      <w:r>
        <w:t xml:space="preserve"> </w:t>
      </w:r>
      <w:r w:rsidR="00D36F0F" w:rsidRPr="00E56708">
        <w:rPr>
          <w:rFonts w:ascii="Sylfaen" w:hAnsi="Sylfaen"/>
        </w:rPr>
        <w:t xml:space="preserve">Special Report of the Public Defender of Georgia on Teaching Human Rights Law at Higher Education Level in Georgia, 2021, page 46, available at: &lt; </w:t>
      </w:r>
      <w:hyperlink r:id="rId12" w:history="1">
        <w:r w:rsidR="00D36F0F" w:rsidRPr="00E56708">
          <w:rPr>
            <w:rStyle w:val="Hyperlink"/>
            <w:rFonts w:ascii="Sylfaen" w:hAnsi="Sylfaen"/>
          </w:rPr>
          <w:t>https://bit.ly/3COXDtq</w:t>
        </w:r>
      </w:hyperlink>
      <w:r w:rsidR="00D36F0F" w:rsidRPr="00E56708">
        <w:rPr>
          <w:rFonts w:ascii="Sylfaen" w:hAnsi="Sylfaen"/>
        </w:rPr>
        <w:t xml:space="preserve"> &gt; [last accessed 11.10.2022].</w:t>
      </w:r>
    </w:p>
  </w:footnote>
  <w:footnote w:id="37">
    <w:p w14:paraId="72AB2C6E" w14:textId="461680F3" w:rsidR="00B73261" w:rsidRDefault="00B73261">
      <w:pPr>
        <w:pStyle w:val="FootnoteText"/>
      </w:pPr>
      <w:r>
        <w:rPr>
          <w:rStyle w:val="FootnoteReference"/>
        </w:rPr>
        <w:footnoteRef/>
      </w:r>
      <w:r>
        <w:t xml:space="preserve"> </w:t>
      </w:r>
      <w:r w:rsidR="00BF457E" w:rsidRPr="00BF457E">
        <w:rPr>
          <w:rFonts w:ascii="Sylfaen" w:hAnsi="Sylfaen"/>
        </w:rPr>
        <w:t>Ibid.</w:t>
      </w:r>
    </w:p>
  </w:footnote>
  <w:footnote w:id="38">
    <w:p w14:paraId="427F98D1" w14:textId="35D406A1" w:rsidR="00B73261" w:rsidRPr="00BF457E" w:rsidRDefault="00B73261">
      <w:pPr>
        <w:pStyle w:val="FootnoteText"/>
        <w:rPr>
          <w:rFonts w:ascii="Sylfaen" w:hAnsi="Sylfaen"/>
        </w:rPr>
      </w:pPr>
      <w:r w:rsidRPr="00BF457E">
        <w:rPr>
          <w:rStyle w:val="FootnoteReference"/>
          <w:rFonts w:ascii="Sylfaen" w:hAnsi="Sylfaen"/>
        </w:rPr>
        <w:footnoteRef/>
      </w:r>
      <w:r w:rsidRPr="00BF457E">
        <w:rPr>
          <w:rFonts w:ascii="Sylfaen" w:hAnsi="Sylfaen"/>
        </w:rPr>
        <w:t xml:space="preserve"> </w:t>
      </w:r>
      <w:r w:rsidR="00BF457E" w:rsidRPr="00BF457E">
        <w:rPr>
          <w:rFonts w:ascii="Sylfaen" w:hAnsi="Sylfaen"/>
        </w:rPr>
        <w:t>Ibid.</w:t>
      </w:r>
    </w:p>
  </w:footnote>
  <w:footnote w:id="39">
    <w:p w14:paraId="3C56755C" w14:textId="2BDA03FE" w:rsidR="00B73261" w:rsidRDefault="00B73261">
      <w:pPr>
        <w:pStyle w:val="FootnoteText"/>
      </w:pPr>
      <w:r w:rsidRPr="00BF457E">
        <w:rPr>
          <w:rStyle w:val="FootnoteReference"/>
          <w:rFonts w:ascii="Sylfaen" w:hAnsi="Sylfaen"/>
        </w:rPr>
        <w:footnoteRef/>
      </w:r>
      <w:r w:rsidRPr="00BF457E">
        <w:rPr>
          <w:rFonts w:ascii="Sylfaen" w:hAnsi="Sylfaen"/>
        </w:rPr>
        <w:t xml:space="preserve"> </w:t>
      </w:r>
      <w:r w:rsidR="00BF457E" w:rsidRPr="00BF457E">
        <w:rPr>
          <w:rFonts w:ascii="Sylfaen" w:hAnsi="Sylfaen"/>
        </w:rPr>
        <w:t>Ibid</w:t>
      </w:r>
      <w:r w:rsidR="00BF457E">
        <w:t>.</w:t>
      </w:r>
    </w:p>
  </w:footnote>
  <w:footnote w:id="40">
    <w:p w14:paraId="77DF1010" w14:textId="604E031B" w:rsidR="00672991" w:rsidRPr="00E56708" w:rsidRDefault="00672991"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BF457E">
        <w:rPr>
          <w:rFonts w:ascii="Sylfaen" w:hAnsi="Sylfaen"/>
        </w:rPr>
        <w:t>Ibid.</w:t>
      </w:r>
    </w:p>
  </w:footnote>
  <w:footnote w:id="41">
    <w:p w14:paraId="6CB9ED5F"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 xml:space="preserve"> 89-99.</w:t>
      </w:r>
    </w:p>
  </w:footnote>
  <w:footnote w:id="42">
    <w:p w14:paraId="33D43EC9"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 page 240.</w:t>
      </w:r>
    </w:p>
  </w:footnote>
  <w:footnote w:id="43">
    <w:p w14:paraId="707986CC"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90.</w:t>
      </w:r>
    </w:p>
  </w:footnote>
  <w:footnote w:id="44">
    <w:p w14:paraId="013541E4"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 page 240.</w:t>
      </w:r>
    </w:p>
  </w:footnote>
  <w:footnote w:id="45">
    <w:p w14:paraId="732D6C04" w14:textId="4D7A65CB"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C4855">
        <w:rPr>
          <w:rFonts w:ascii="Sylfaen" w:hAnsi="Sylfaen" w:cs="Arial"/>
        </w:rPr>
        <w:t xml:space="preserve">Ibid, </w:t>
      </w:r>
      <w:r w:rsidRPr="00E56708">
        <w:rPr>
          <w:rFonts w:ascii="Sylfaen" w:hAnsi="Sylfaen" w:cs="Arial"/>
        </w:rPr>
        <w:t>page 241.</w:t>
      </w:r>
    </w:p>
  </w:footnote>
  <w:footnote w:id="46">
    <w:p w14:paraId="3095CB65"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Special Report of the Public Defender of Georgia on the Situation of Equality and Combating and Preventing Discrimination, 2022, page 20.</w:t>
      </w:r>
    </w:p>
  </w:footnote>
  <w:footnote w:id="47">
    <w:p w14:paraId="7DA89CF5" w14:textId="758E9C3E"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7106C1">
        <w:rPr>
          <w:rFonts w:ascii="Sylfaen" w:hAnsi="Sylfaen"/>
        </w:rPr>
        <w:t>Ibid</w:t>
      </w:r>
      <w:r w:rsidRPr="00E56708">
        <w:rPr>
          <w:rFonts w:ascii="Sylfaen" w:hAnsi="Sylfaen" w:cs="Arial"/>
        </w:rPr>
        <w:t>.</w:t>
      </w:r>
    </w:p>
  </w:footnote>
  <w:footnote w:id="48">
    <w:p w14:paraId="489A56D8"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91.</w:t>
      </w:r>
    </w:p>
  </w:footnote>
  <w:footnote w:id="49">
    <w:p w14:paraId="64026F6A"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Special Report of the Public Defender of Georgia on the Situation of Equality and Combating and Preventing Discrimination, 2022, page 21;</w:t>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 page 241.</w:t>
      </w:r>
    </w:p>
  </w:footnote>
  <w:footnote w:id="50">
    <w:p w14:paraId="4C791245"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 page 241.</w:t>
      </w:r>
    </w:p>
  </w:footnote>
  <w:footnote w:id="51">
    <w:p w14:paraId="5BBEB5F5" w14:textId="77777777" w:rsidR="005E2F77" w:rsidRPr="00E56708" w:rsidRDefault="005E2F7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2020,</w:t>
      </w:r>
      <w:r w:rsidRPr="00E56708">
        <w:rPr>
          <w:rFonts w:ascii="Sylfaen" w:hAnsi="Sylfaen"/>
        </w:rPr>
        <w:t xml:space="preserve"> page 322.</w:t>
      </w:r>
    </w:p>
  </w:footnote>
  <w:footnote w:id="52">
    <w:p w14:paraId="6DFA4EA6" w14:textId="77777777"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105.</w:t>
      </w:r>
    </w:p>
  </w:footnote>
  <w:footnote w:id="53">
    <w:p w14:paraId="36A81D1B" w14:textId="77777777"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 page 239.</w:t>
      </w:r>
    </w:p>
  </w:footnote>
  <w:footnote w:id="54">
    <w:p w14:paraId="6A7176BD" w14:textId="4F4A6C5A"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EF405C">
        <w:rPr>
          <w:rFonts w:ascii="Sylfaen" w:hAnsi="Sylfaen" w:cs="Arial"/>
        </w:rPr>
        <w:t>Ibid.</w:t>
      </w:r>
    </w:p>
  </w:footnote>
  <w:footnote w:id="55">
    <w:p w14:paraId="1DE51A03" w14:textId="1E98C77C"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00EF405C">
        <w:rPr>
          <w:rFonts w:ascii="Sylfaen" w:hAnsi="Sylfaen" w:cs="Arial"/>
        </w:rPr>
        <w:t xml:space="preserve"> Ibid</w:t>
      </w:r>
      <w:r w:rsidRPr="00E56708">
        <w:rPr>
          <w:rFonts w:ascii="Sylfaen" w:hAnsi="Sylfaen" w:cs="Arial"/>
        </w:rPr>
        <w:t>.</w:t>
      </w:r>
    </w:p>
  </w:footnote>
  <w:footnote w:id="56">
    <w:p w14:paraId="7923A766" w14:textId="4F7FE96E"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EF405C">
        <w:rPr>
          <w:rFonts w:ascii="Sylfaen" w:hAnsi="Sylfaen" w:cs="Arial"/>
        </w:rPr>
        <w:t>Ibid.</w:t>
      </w:r>
    </w:p>
  </w:footnote>
  <w:footnote w:id="57">
    <w:p w14:paraId="67D9EABD" w14:textId="77777777"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106.</w:t>
      </w:r>
    </w:p>
  </w:footnote>
  <w:footnote w:id="58">
    <w:p w14:paraId="2E0F4A13" w14:textId="77777777"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2020,</w:t>
      </w:r>
      <w:r w:rsidRPr="00E56708">
        <w:rPr>
          <w:rFonts w:ascii="Sylfaen" w:hAnsi="Sylfaen"/>
        </w:rPr>
        <w:t xml:space="preserve"> page 320.</w:t>
      </w:r>
    </w:p>
  </w:footnote>
  <w:footnote w:id="59">
    <w:p w14:paraId="1B998695" w14:textId="33875D7E"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00493D28">
        <w:rPr>
          <w:rFonts w:ascii="Sylfaen" w:hAnsi="Sylfaen" w:cs="Arial"/>
        </w:rPr>
        <w:t xml:space="preserve"> Ibid</w:t>
      </w:r>
      <w:r w:rsidRPr="00E56708">
        <w:rPr>
          <w:rFonts w:ascii="Sylfaen" w:hAnsi="Sylfaen"/>
        </w:rPr>
        <w:t>.</w:t>
      </w:r>
    </w:p>
  </w:footnote>
  <w:footnote w:id="60">
    <w:p w14:paraId="6BCCC723" w14:textId="13460F73"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00493D28">
        <w:rPr>
          <w:rFonts w:ascii="Sylfaen" w:hAnsi="Sylfaen" w:cs="Arial"/>
        </w:rPr>
        <w:t xml:space="preserve"> Ibid</w:t>
      </w:r>
      <w:r w:rsidRPr="00E56708">
        <w:rPr>
          <w:rFonts w:ascii="Sylfaen" w:hAnsi="Sylfaen"/>
        </w:rPr>
        <w:t>.</w:t>
      </w:r>
    </w:p>
  </w:footnote>
  <w:footnote w:id="61">
    <w:p w14:paraId="2A006EB8" w14:textId="77777777" w:rsidR="007702E9" w:rsidRPr="00E56708" w:rsidRDefault="007702E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238.</w:t>
      </w:r>
    </w:p>
  </w:footnote>
  <w:footnote w:id="62">
    <w:p w14:paraId="66FCC946" w14:textId="77777777" w:rsidR="00D769AC" w:rsidRPr="00E56708" w:rsidRDefault="00D769A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 xml:space="preserve"> 116-117.</w:t>
      </w:r>
    </w:p>
  </w:footnote>
  <w:footnote w:id="63">
    <w:p w14:paraId="0AC281E3" w14:textId="77777777" w:rsidR="00D769AC" w:rsidRPr="00E56708" w:rsidRDefault="00D769A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239.</w:t>
      </w:r>
    </w:p>
  </w:footnote>
  <w:footnote w:id="64">
    <w:p w14:paraId="023257FD" w14:textId="77777777" w:rsidR="00D769AC" w:rsidRPr="00E56708" w:rsidRDefault="00D769A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125.</w:t>
      </w:r>
    </w:p>
  </w:footnote>
  <w:footnote w:id="65">
    <w:p w14:paraId="60664439" w14:textId="77777777" w:rsidR="00D769AC" w:rsidRPr="00E56708" w:rsidRDefault="00D769A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Special Report of the Public Defender of Georgia, Assessment of Sexual and Reproductive Health and Rights of Women and Girls from Nondominant Ethnic Groups in Georgia, 2022, available at: &lt; </w:t>
      </w:r>
      <w:hyperlink r:id="rId13" w:history="1">
        <w:r w:rsidRPr="00E56708">
          <w:rPr>
            <w:rStyle w:val="Hyperlink"/>
            <w:rFonts w:ascii="Sylfaen" w:hAnsi="Sylfaen"/>
          </w:rPr>
          <w:t>https://bit.ly/3CYWgc1</w:t>
        </w:r>
      </w:hyperlink>
      <w:r w:rsidRPr="00E56708">
        <w:rPr>
          <w:rFonts w:ascii="Sylfaen" w:hAnsi="Sylfaen"/>
        </w:rPr>
        <w:t xml:space="preserve"> &gt; [last accessed 11.10.2022].</w:t>
      </w:r>
    </w:p>
  </w:footnote>
  <w:footnote w:id="66">
    <w:p w14:paraId="4E542B34" w14:textId="2DB0DA13" w:rsidR="00D769AC" w:rsidRPr="00E56708" w:rsidRDefault="00D769A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4E1D92">
        <w:rPr>
          <w:rFonts w:ascii="Sylfaen" w:hAnsi="Sylfaen"/>
        </w:rPr>
        <w:t xml:space="preserve">Ibid, </w:t>
      </w:r>
      <w:r w:rsidRPr="00E56708">
        <w:rPr>
          <w:rFonts w:ascii="Sylfaen" w:hAnsi="Sylfaen"/>
        </w:rPr>
        <w:t>page 5.</w:t>
      </w:r>
    </w:p>
  </w:footnote>
  <w:footnote w:id="67">
    <w:p w14:paraId="0E0A5B56" w14:textId="6CA65889" w:rsidR="00D769AC" w:rsidRPr="00E56708" w:rsidRDefault="00D769A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22727">
        <w:rPr>
          <w:rFonts w:ascii="Sylfaen" w:hAnsi="Sylfaen"/>
        </w:rPr>
        <w:t xml:space="preserve">Ibid, </w:t>
      </w:r>
      <w:r w:rsidRPr="00E56708">
        <w:rPr>
          <w:rFonts w:ascii="Sylfaen" w:hAnsi="Sylfaen"/>
        </w:rPr>
        <w:t>page 6.</w:t>
      </w:r>
    </w:p>
  </w:footnote>
  <w:footnote w:id="68">
    <w:p w14:paraId="6C62F6C8" w14:textId="6D2A40B4" w:rsidR="0054461F" w:rsidRPr="00FA5A63" w:rsidRDefault="0054461F" w:rsidP="00DB6C47">
      <w:pPr>
        <w:pStyle w:val="FootnoteText"/>
        <w:jc w:val="both"/>
        <w:rPr>
          <w:rFonts w:ascii="Sylfaen" w:hAnsi="Sylfaen"/>
          <w:lang w:val="ka-GE"/>
        </w:rPr>
      </w:pPr>
      <w:r w:rsidRPr="00DB6C47">
        <w:rPr>
          <w:rStyle w:val="FootnoteReference"/>
          <w:rFonts w:ascii="Sylfaen" w:hAnsi="Sylfaen"/>
        </w:rPr>
        <w:footnoteRef/>
      </w:r>
      <w:r w:rsidRPr="00DB6C47">
        <w:rPr>
          <w:rFonts w:ascii="Sylfaen" w:hAnsi="Sylfaen"/>
        </w:rPr>
        <w:t xml:space="preserve"> </w:t>
      </w:r>
      <w:r w:rsidR="004744DA" w:rsidRPr="00DB6C47">
        <w:rPr>
          <w:rFonts w:ascii="Sylfaen" w:hAnsi="Sylfaen"/>
        </w:rPr>
        <w:t>Special Report of the Public Defender of Georgia on the Situation of Equality and Combating and Preventing Discrimination, 2022, page 21</w:t>
      </w:r>
      <w:r w:rsidR="00FA5A63">
        <w:rPr>
          <w:rFonts w:ascii="Sylfaen" w:hAnsi="Sylfaen"/>
          <w:lang w:val="ka-GE"/>
        </w:rPr>
        <w:t>.</w:t>
      </w:r>
    </w:p>
  </w:footnote>
  <w:footnote w:id="69">
    <w:p w14:paraId="1AE0BE7F" w14:textId="77777777" w:rsidR="0079314C" w:rsidRPr="00E56708" w:rsidRDefault="0079314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142.</w:t>
      </w:r>
    </w:p>
  </w:footnote>
  <w:footnote w:id="70">
    <w:p w14:paraId="3AF8D16C" w14:textId="77777777" w:rsidR="0079314C" w:rsidRPr="00E56708" w:rsidRDefault="0079314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242.</w:t>
      </w:r>
    </w:p>
  </w:footnote>
  <w:footnote w:id="71">
    <w:p w14:paraId="7686FA6B" w14:textId="4FA65680" w:rsidR="0079314C" w:rsidRPr="00E56708" w:rsidRDefault="0079314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0B7CBB">
        <w:rPr>
          <w:rFonts w:ascii="Sylfaen" w:hAnsi="Sylfaen" w:cs="Arial"/>
        </w:rPr>
        <w:t>Ibid.</w:t>
      </w:r>
    </w:p>
  </w:footnote>
  <w:footnote w:id="72">
    <w:p w14:paraId="128CE463"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200.</w:t>
      </w:r>
    </w:p>
  </w:footnote>
  <w:footnote w:id="73">
    <w:p w14:paraId="422269F4"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Special Report of the Public Defender of Georgia on the Situation of Equality and Combating and Preventing Discrimination, 2022, page 26.</w:t>
      </w:r>
    </w:p>
  </w:footnote>
  <w:footnote w:id="74">
    <w:p w14:paraId="3D479420"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205.</w:t>
      </w:r>
    </w:p>
  </w:footnote>
  <w:footnote w:id="75">
    <w:p w14:paraId="7E0A6B55"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Special Report of the Public Defender of Georgia on the Situation of Equality and Combating and Preventing Discrimination, 2022, page 25.</w:t>
      </w:r>
    </w:p>
  </w:footnote>
  <w:footnote w:id="76">
    <w:p w14:paraId="70C4A8AB"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243.</w:t>
      </w:r>
    </w:p>
  </w:footnote>
  <w:footnote w:id="77">
    <w:p w14:paraId="43878DA6"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Special Report of the Public Defender of Georgia on the Situation of Equality and Combating and Preventing Discrimination, 2022, page 25.</w:t>
      </w:r>
    </w:p>
  </w:footnote>
  <w:footnote w:id="78">
    <w:p w14:paraId="4251F7F0" w14:textId="77777777"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Advisory Committee of the Framework Convention for the Protection of National Minorities, Opinion on Georgia, 2019, </w:t>
      </w:r>
      <w:r w:rsidRPr="00E56708">
        <w:rPr>
          <w:rFonts w:ascii="Sylfaen" w:hAnsi="Sylfaen"/>
          <w:lang w:val="ka-GE"/>
        </w:rPr>
        <w:t>§</w:t>
      </w:r>
      <w:r w:rsidRPr="00E56708">
        <w:rPr>
          <w:rFonts w:ascii="Sylfaen" w:hAnsi="Sylfaen"/>
        </w:rPr>
        <w:t xml:space="preserve">43, available at: &lt; </w:t>
      </w:r>
      <w:hyperlink r:id="rId14" w:history="1">
        <w:r w:rsidRPr="00E56708">
          <w:rPr>
            <w:rStyle w:val="Hyperlink"/>
            <w:rFonts w:ascii="Sylfaen" w:hAnsi="Sylfaen"/>
          </w:rPr>
          <w:t>https://rb.gy/g0rx5r</w:t>
        </w:r>
      </w:hyperlink>
      <w:r w:rsidRPr="00E56708">
        <w:rPr>
          <w:rFonts w:ascii="Sylfaen" w:hAnsi="Sylfaen"/>
        </w:rPr>
        <w:t xml:space="preserve"> &gt; [last accessed 11.10.2022]. </w:t>
      </w:r>
    </w:p>
  </w:footnote>
  <w:footnote w:id="79">
    <w:p w14:paraId="5DA19BD6" w14:textId="0566DDA1" w:rsidR="00297F3B" w:rsidRPr="00E56708" w:rsidRDefault="00297F3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7B5F0B">
        <w:rPr>
          <w:rFonts w:ascii="Sylfaen" w:hAnsi="Sylfaen"/>
        </w:rPr>
        <w:t>Ibid</w:t>
      </w:r>
      <w:r w:rsidRPr="00E56708">
        <w:rPr>
          <w:rFonts w:ascii="Sylfaen" w:hAnsi="Sylfaen"/>
        </w:rPr>
        <w:t xml:space="preserve">, </w:t>
      </w:r>
      <w:r w:rsidRPr="00E56708">
        <w:rPr>
          <w:rFonts w:ascii="Sylfaen" w:hAnsi="Sylfaen"/>
          <w:lang w:val="ka-GE"/>
        </w:rPr>
        <w:t>§</w:t>
      </w:r>
      <w:r w:rsidRPr="00E56708">
        <w:rPr>
          <w:rFonts w:ascii="Sylfaen" w:hAnsi="Sylfaen"/>
        </w:rPr>
        <w:t>48.</w:t>
      </w:r>
    </w:p>
  </w:footnote>
  <w:footnote w:id="80">
    <w:p w14:paraId="04DB2267" w14:textId="6DA97F3C" w:rsidR="00B4767F" w:rsidRPr="00E56708" w:rsidRDefault="00B4767F"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A70500" w:rsidRPr="00E56708">
        <w:rPr>
          <w:rFonts w:ascii="Sylfaen" w:hAnsi="Sylfaen"/>
        </w:rPr>
        <w:t>Combined ninth and tenth periodic reports submitted by Georgia under article 9 of the Convention, due in 2020</w:t>
      </w:r>
      <w:r w:rsidR="00A70500" w:rsidRPr="00E56708">
        <w:rPr>
          <w:rFonts w:ascii="Sylfaen" w:hAnsi="Sylfaen"/>
          <w:lang w:val="ka-GE"/>
        </w:rPr>
        <w:t>, CERD/C/GEO/9-10, §</w:t>
      </w:r>
      <w:r w:rsidR="008D42EE" w:rsidRPr="00E56708">
        <w:rPr>
          <w:rFonts w:ascii="Sylfaen" w:hAnsi="Sylfaen"/>
        </w:rPr>
        <w:t>219.</w:t>
      </w:r>
    </w:p>
  </w:footnote>
  <w:footnote w:id="81">
    <w:p w14:paraId="1BAECE6C" w14:textId="7FF2AE5A" w:rsidR="00235EF3" w:rsidRPr="00E56708" w:rsidRDefault="00235EF3" w:rsidP="00E56708">
      <w:pPr>
        <w:pStyle w:val="FootnoteText"/>
        <w:jc w:val="both"/>
        <w:rPr>
          <w:rFonts w:ascii="Sylfaen" w:hAnsi="Sylfaen"/>
        </w:rPr>
      </w:pPr>
      <w:r w:rsidRPr="00E56708">
        <w:rPr>
          <w:rStyle w:val="FootnoteReference"/>
          <w:rFonts w:ascii="Sylfaen" w:hAnsi="Sylfaen"/>
        </w:rPr>
        <w:footnoteRef/>
      </w:r>
      <w:r w:rsidR="000A3069">
        <w:rPr>
          <w:rFonts w:ascii="Sylfaen" w:hAnsi="Sylfaen"/>
        </w:rPr>
        <w:t xml:space="preserve"> Ibid</w:t>
      </w:r>
      <w:r w:rsidRPr="00E56708">
        <w:rPr>
          <w:rFonts w:ascii="Sylfaen" w:hAnsi="Sylfaen"/>
          <w:lang w:val="ka-GE"/>
        </w:rPr>
        <w:t>, §</w:t>
      </w:r>
      <w:r w:rsidRPr="00E56708">
        <w:rPr>
          <w:rFonts w:ascii="Sylfaen" w:hAnsi="Sylfaen"/>
        </w:rPr>
        <w:t>226.</w:t>
      </w:r>
    </w:p>
  </w:footnote>
  <w:footnote w:id="82">
    <w:p w14:paraId="1C31CBE5" w14:textId="77777777" w:rsidR="00235EF3" w:rsidRPr="00E56708" w:rsidRDefault="00235EF3"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Article 7 paragraph 4 of the Law on International Protection, available at: &lt; </w:t>
      </w:r>
      <w:hyperlink r:id="rId15" w:history="1">
        <w:r w:rsidRPr="00E56708">
          <w:rPr>
            <w:rStyle w:val="Hyperlink"/>
            <w:rFonts w:ascii="Sylfaen" w:hAnsi="Sylfaen"/>
          </w:rPr>
          <w:t>https://bit.ly/3ytgesD</w:t>
        </w:r>
      </w:hyperlink>
      <w:r w:rsidRPr="00E56708">
        <w:rPr>
          <w:rFonts w:ascii="Sylfaen" w:hAnsi="Sylfaen"/>
        </w:rPr>
        <w:t xml:space="preserve"> &gt; [last accessed 12.10.2022].</w:t>
      </w:r>
    </w:p>
  </w:footnote>
  <w:footnote w:id="83">
    <w:p w14:paraId="3D67DC82" w14:textId="383A959A" w:rsidR="00235EF3" w:rsidRPr="00E56708" w:rsidRDefault="00235EF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250573" w:rsidRPr="00E56708">
        <w:rPr>
          <w:rFonts w:ascii="Sylfaen" w:hAnsi="Sylfaen" w:cs="Arial"/>
        </w:rPr>
        <w:t>Report of the Public Defender of Georgia on the Situation of Protection of Human Rights and Freedoms in Georgia 2021,</w:t>
      </w:r>
      <w:r w:rsidR="00250573" w:rsidRPr="00E56708">
        <w:rPr>
          <w:rFonts w:ascii="Sylfaen" w:hAnsi="Sylfaen"/>
        </w:rPr>
        <w:t xml:space="preserve"> page </w:t>
      </w:r>
      <w:r w:rsidR="00250573">
        <w:rPr>
          <w:rFonts w:ascii="Sylfaen" w:hAnsi="Sylfaen"/>
        </w:rPr>
        <w:t xml:space="preserve">273; </w:t>
      </w:r>
      <w:r w:rsidRPr="00E56708">
        <w:rPr>
          <w:rFonts w:ascii="Sylfaen" w:hAnsi="Sylfaen"/>
        </w:rPr>
        <w:t xml:space="preserve">The </w:t>
      </w:r>
      <w:r w:rsidR="000811B0">
        <w:rPr>
          <w:rFonts w:ascii="Sylfaen" w:hAnsi="Sylfaen"/>
        </w:rPr>
        <w:t xml:space="preserve">constitutional complaint submitted by the </w:t>
      </w:r>
      <w:r w:rsidRPr="00E56708">
        <w:rPr>
          <w:rFonts w:ascii="Sylfaen" w:hAnsi="Sylfaen"/>
        </w:rPr>
        <w:t>Public Defender of Georgia against the Parliament of Georgia</w:t>
      </w:r>
      <w:r w:rsidR="000811B0">
        <w:rPr>
          <w:rFonts w:ascii="Sylfaen" w:hAnsi="Sylfaen"/>
        </w:rPr>
        <w:t xml:space="preserve"> is </w:t>
      </w:r>
      <w:r w:rsidRPr="00E56708">
        <w:rPr>
          <w:rFonts w:ascii="Sylfaen" w:hAnsi="Sylfaen"/>
        </w:rPr>
        <w:t xml:space="preserve">available at: &lt; </w:t>
      </w:r>
      <w:hyperlink r:id="rId16" w:history="1">
        <w:r w:rsidRPr="00E56708">
          <w:rPr>
            <w:rStyle w:val="Hyperlink"/>
            <w:rFonts w:ascii="Sylfaen" w:hAnsi="Sylfaen"/>
          </w:rPr>
          <w:t>https://bit.ly/3Cn5ZqZ</w:t>
        </w:r>
      </w:hyperlink>
      <w:r w:rsidRPr="00E56708">
        <w:rPr>
          <w:rFonts w:ascii="Sylfaen" w:hAnsi="Sylfaen"/>
        </w:rPr>
        <w:t xml:space="preserve"> [last accessed 12.10.2022].</w:t>
      </w:r>
    </w:p>
  </w:footnote>
  <w:footnote w:id="84">
    <w:p w14:paraId="54832DEC" w14:textId="77777777" w:rsidR="00235EF3" w:rsidRPr="00E56708" w:rsidRDefault="00235EF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273.</w:t>
      </w:r>
    </w:p>
  </w:footnote>
  <w:footnote w:id="85">
    <w:p w14:paraId="0143803A" w14:textId="729F0A4C" w:rsidR="00C16FDE" w:rsidRPr="00E56708" w:rsidRDefault="00C16FDE"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F14F0B" w:rsidRPr="00E56708">
        <w:rPr>
          <w:rFonts w:ascii="Sylfaen" w:hAnsi="Sylfaen"/>
        </w:rPr>
        <w:t xml:space="preserve">The Special Report of the Public Defender of Georgia on Human Rights Situation of </w:t>
      </w:r>
      <w:r w:rsidR="00DD4ABF" w:rsidRPr="00E56708">
        <w:rPr>
          <w:rFonts w:ascii="Sylfaen" w:hAnsi="Sylfaen"/>
        </w:rPr>
        <w:t>Asylum Seekers and Persons having International Protection in Georgia, forthcoming.</w:t>
      </w:r>
    </w:p>
  </w:footnote>
  <w:footnote w:id="86">
    <w:p w14:paraId="6293F108" w14:textId="77777777" w:rsidR="00E115C9" w:rsidRPr="00E56708" w:rsidRDefault="00E115C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273, footnote 1152.</w:t>
      </w:r>
    </w:p>
  </w:footnote>
  <w:footnote w:id="87">
    <w:p w14:paraId="0E671EE9" w14:textId="228977FE" w:rsidR="007C2C9B" w:rsidRPr="00E56708" w:rsidRDefault="007C2C9B"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D810B2">
        <w:rPr>
          <w:rFonts w:ascii="Sylfaen" w:hAnsi="Sylfaen" w:cs="Arial"/>
        </w:rPr>
        <w:t>Ibid.</w:t>
      </w:r>
    </w:p>
  </w:footnote>
  <w:footnote w:id="88">
    <w:p w14:paraId="6092A1D6" w14:textId="56FF2C24" w:rsidR="00E115C9" w:rsidRPr="00E56708" w:rsidRDefault="00E115C9" w:rsidP="00E56708">
      <w:pPr>
        <w:pStyle w:val="FootnoteText"/>
        <w:jc w:val="both"/>
        <w:rPr>
          <w:rFonts w:ascii="Sylfaen" w:hAnsi="Sylfaen"/>
        </w:rPr>
      </w:pPr>
      <w:r w:rsidRPr="00E56708">
        <w:rPr>
          <w:rStyle w:val="FootnoteReference"/>
          <w:rFonts w:ascii="Sylfaen" w:hAnsi="Sylfaen"/>
        </w:rPr>
        <w:footnoteRef/>
      </w:r>
      <w:r w:rsidR="00D810B2">
        <w:rPr>
          <w:rFonts w:ascii="Sylfaen" w:hAnsi="Sylfaen" w:cs="Arial"/>
        </w:rPr>
        <w:t xml:space="preserve"> Ibid</w:t>
      </w:r>
      <w:r w:rsidRPr="00E56708">
        <w:rPr>
          <w:rFonts w:ascii="Sylfaen" w:hAnsi="Sylfaen"/>
        </w:rPr>
        <w:t>.</w:t>
      </w:r>
    </w:p>
  </w:footnote>
  <w:footnote w:id="89">
    <w:p w14:paraId="5AA6F307" w14:textId="77777777" w:rsidR="00E115C9" w:rsidRPr="00E56708" w:rsidRDefault="00E115C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273.</w:t>
      </w:r>
    </w:p>
  </w:footnote>
  <w:footnote w:id="90">
    <w:p w14:paraId="0B0DB5E8" w14:textId="3B33807F" w:rsidR="00FE5ECF" w:rsidRPr="00E56708" w:rsidRDefault="00FE5ECF"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432D68" w:rsidRPr="00E56708">
        <w:rPr>
          <w:rFonts w:ascii="Sylfaen" w:hAnsi="Sylfaen"/>
        </w:rPr>
        <w:t>The Special Report of the Public Defender of Georgia on Human Rights Situation of Asylum Seekers and Persons having International Protection in Georgia, forthcoming.</w:t>
      </w:r>
    </w:p>
  </w:footnote>
  <w:footnote w:id="91">
    <w:p w14:paraId="028E2777" w14:textId="385C8550" w:rsidR="00871ECD" w:rsidRPr="00E56708" w:rsidRDefault="00871ECD" w:rsidP="00E56708">
      <w:pPr>
        <w:pStyle w:val="FootnoteText"/>
        <w:jc w:val="both"/>
        <w:rPr>
          <w:rFonts w:ascii="Sylfaen" w:hAnsi="Sylfaen"/>
        </w:rPr>
      </w:pPr>
      <w:r w:rsidRPr="00E56708">
        <w:rPr>
          <w:rStyle w:val="FootnoteReference"/>
          <w:rFonts w:ascii="Sylfaen" w:hAnsi="Sylfaen"/>
        </w:rPr>
        <w:footnoteRef/>
      </w:r>
      <w:r w:rsidR="00F47622">
        <w:rPr>
          <w:rFonts w:ascii="Sylfaen" w:hAnsi="Sylfaen"/>
        </w:rPr>
        <w:t xml:space="preserve"> Ibid</w:t>
      </w:r>
      <w:r w:rsidR="00432D68" w:rsidRPr="00E56708">
        <w:rPr>
          <w:rFonts w:ascii="Sylfaen" w:hAnsi="Sylfaen"/>
        </w:rPr>
        <w:t>.</w:t>
      </w:r>
    </w:p>
  </w:footnote>
  <w:footnote w:id="92">
    <w:p w14:paraId="7EF307B2" w14:textId="1CA3BD7F" w:rsidR="007F6065" w:rsidRPr="00E56708" w:rsidRDefault="007F6065"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76664F" w:rsidRPr="00E56708">
        <w:rPr>
          <w:rFonts w:ascii="Sylfaen" w:hAnsi="Sylfaen"/>
        </w:rPr>
        <w:t>Combined ninth and tenth periodic reports submitted by Georgia under article 9 of the Convention, due in 2020</w:t>
      </w:r>
      <w:r w:rsidR="0076664F" w:rsidRPr="00E56708">
        <w:rPr>
          <w:rFonts w:ascii="Sylfaen" w:hAnsi="Sylfaen"/>
          <w:lang w:val="ka-GE"/>
        </w:rPr>
        <w:t>, CERD/C/GEO/9-10, §227.</w:t>
      </w:r>
    </w:p>
  </w:footnote>
  <w:footnote w:id="93">
    <w:p w14:paraId="2A8ABA7F" w14:textId="19603784" w:rsidR="009011FA" w:rsidRPr="00E56708" w:rsidRDefault="009011FA"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57226F" w:rsidRPr="00E56708">
        <w:rPr>
          <w:rFonts w:ascii="Sylfaen" w:hAnsi="Sylfaen"/>
        </w:rPr>
        <w:t>The Special Report of the Public Defender of Georgia on Human Rights Situation of Asylum Seekers and Persons having International Protection in Georgia, forthcoming.</w:t>
      </w:r>
    </w:p>
  </w:footnote>
  <w:footnote w:id="94">
    <w:p w14:paraId="706A2348" w14:textId="2242ACA3" w:rsidR="008C40D4" w:rsidRPr="00E56708" w:rsidRDefault="008C40D4"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1B39DC" w:rsidRPr="00E56708">
        <w:rPr>
          <w:rFonts w:ascii="Sylfaen" w:hAnsi="Sylfaen"/>
        </w:rPr>
        <w:t>Combined ninth and tenth periodic reports submitted by Georgia under article 9 of the Convention, due in 2020</w:t>
      </w:r>
      <w:r w:rsidR="001B39DC" w:rsidRPr="00E56708">
        <w:rPr>
          <w:rFonts w:ascii="Sylfaen" w:hAnsi="Sylfaen"/>
          <w:lang w:val="ka-GE"/>
        </w:rPr>
        <w:t>, CERD/C/GEO/9-10, §221, §227.</w:t>
      </w:r>
    </w:p>
  </w:footnote>
  <w:footnote w:id="95">
    <w:p w14:paraId="6BAF3CB8" w14:textId="31BE4BB9" w:rsidR="00F76E10" w:rsidRPr="00F12299" w:rsidRDefault="00F76E10"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w:t>
      </w:r>
      <w:r w:rsidR="00414F78" w:rsidRPr="00E56708">
        <w:rPr>
          <w:rFonts w:ascii="Sylfaen" w:hAnsi="Sylfaen" w:cs="Arial"/>
        </w:rPr>
        <w:t>Report of the Public Defender of Georgia on the Situation of Protection of Human Rights and Freedoms in Georgia 2021,</w:t>
      </w:r>
      <w:r w:rsidR="00414F78" w:rsidRPr="00E56708">
        <w:rPr>
          <w:rFonts w:ascii="Sylfaen" w:hAnsi="Sylfaen"/>
        </w:rPr>
        <w:t xml:space="preserve"> page</w:t>
      </w:r>
      <w:r w:rsidR="003F70F4" w:rsidRPr="00E56708">
        <w:rPr>
          <w:rFonts w:ascii="Sylfaen" w:hAnsi="Sylfaen"/>
        </w:rPr>
        <w:t xml:space="preserve"> 276</w:t>
      </w:r>
      <w:r w:rsidR="00414F78" w:rsidRPr="00E56708">
        <w:rPr>
          <w:rFonts w:ascii="Sylfaen" w:hAnsi="Sylfaen"/>
          <w:lang w:val="ka-GE"/>
        </w:rPr>
        <w:t>.</w:t>
      </w:r>
    </w:p>
  </w:footnote>
  <w:footnote w:id="96">
    <w:p w14:paraId="7996AD22" w14:textId="2BBEC0B9" w:rsidR="00F76E10" w:rsidRPr="00E56708" w:rsidRDefault="00F76E10" w:rsidP="00E56708">
      <w:pPr>
        <w:pStyle w:val="FootnoteText"/>
        <w:jc w:val="both"/>
        <w:rPr>
          <w:rFonts w:ascii="Sylfaen" w:hAnsi="Sylfaen"/>
        </w:rPr>
      </w:pPr>
      <w:r w:rsidRPr="00E56708">
        <w:rPr>
          <w:rStyle w:val="FootnoteReference"/>
          <w:rFonts w:ascii="Sylfaen" w:hAnsi="Sylfaen"/>
        </w:rPr>
        <w:footnoteRef/>
      </w:r>
      <w:r w:rsidR="00917E34">
        <w:rPr>
          <w:rFonts w:ascii="Sylfaen" w:hAnsi="Sylfaen" w:cs="Arial"/>
        </w:rPr>
        <w:t xml:space="preserve"> Ibid</w:t>
      </w:r>
      <w:r w:rsidR="00414F78" w:rsidRPr="00E56708">
        <w:rPr>
          <w:rFonts w:ascii="Sylfaen" w:hAnsi="Sylfaen"/>
          <w:lang w:val="ka-GE"/>
        </w:rPr>
        <w:t>.</w:t>
      </w:r>
    </w:p>
  </w:footnote>
  <w:footnote w:id="97">
    <w:p w14:paraId="19E71A78" w14:textId="635706B0" w:rsidR="00F76E10" w:rsidRPr="00E56708" w:rsidRDefault="00F76E10"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17E34">
        <w:rPr>
          <w:rFonts w:ascii="Sylfaen" w:hAnsi="Sylfaen" w:cs="Arial"/>
        </w:rPr>
        <w:t>Ibid</w:t>
      </w:r>
      <w:r w:rsidR="00414F78" w:rsidRPr="00E56708">
        <w:rPr>
          <w:rFonts w:ascii="Sylfaen" w:hAnsi="Sylfaen"/>
          <w:lang w:val="ka-GE"/>
        </w:rPr>
        <w:t>.</w:t>
      </w:r>
    </w:p>
  </w:footnote>
  <w:footnote w:id="98">
    <w:p w14:paraId="45179621" w14:textId="5F16FD7C" w:rsidR="00F76E10" w:rsidRPr="00E56708" w:rsidRDefault="00F76E10"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17E34">
        <w:rPr>
          <w:rFonts w:ascii="Sylfaen" w:hAnsi="Sylfaen" w:cs="Arial"/>
        </w:rPr>
        <w:t>Ibid</w:t>
      </w:r>
      <w:r w:rsidR="00414F78" w:rsidRPr="00E56708">
        <w:rPr>
          <w:rFonts w:ascii="Sylfaen" w:hAnsi="Sylfaen"/>
          <w:lang w:val="ka-GE"/>
        </w:rPr>
        <w:t>.</w:t>
      </w:r>
    </w:p>
  </w:footnote>
  <w:footnote w:id="99">
    <w:p w14:paraId="08BF91F9" w14:textId="380CB606" w:rsidR="00F76E10" w:rsidRPr="00E56708" w:rsidRDefault="00F76E10"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17E34">
        <w:rPr>
          <w:rFonts w:ascii="Sylfaen" w:hAnsi="Sylfaen" w:cs="Arial"/>
        </w:rPr>
        <w:t>Ibid</w:t>
      </w:r>
      <w:r w:rsidR="00286BA2" w:rsidRPr="00E56708">
        <w:rPr>
          <w:rFonts w:ascii="Sylfaen" w:hAnsi="Sylfaen"/>
          <w:lang w:val="ka-GE"/>
        </w:rPr>
        <w:t>.</w:t>
      </w:r>
    </w:p>
  </w:footnote>
  <w:footnote w:id="100">
    <w:p w14:paraId="46CD26B3" w14:textId="77777777" w:rsidR="00DD6303" w:rsidRPr="00E56708" w:rsidRDefault="00DD630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Combined ninth and tenth periodic reports submitted by Georgia under article 9 of the Convention, due in 2020</w:t>
      </w:r>
      <w:r w:rsidRPr="00E56708">
        <w:rPr>
          <w:rFonts w:ascii="Sylfaen" w:hAnsi="Sylfaen"/>
          <w:lang w:val="ka-GE"/>
        </w:rPr>
        <w:t>, CERD/C/GEO/9-10, §</w:t>
      </w:r>
      <w:r w:rsidRPr="00E56708">
        <w:rPr>
          <w:rFonts w:ascii="Sylfaen" w:hAnsi="Sylfaen"/>
        </w:rPr>
        <w:t>230.</w:t>
      </w:r>
    </w:p>
  </w:footnote>
  <w:footnote w:id="101">
    <w:p w14:paraId="47526C55" w14:textId="72B018B9" w:rsidR="00DD6303" w:rsidRPr="00E56708" w:rsidRDefault="00DD630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C12CF1">
        <w:rPr>
          <w:rFonts w:ascii="Sylfaen" w:hAnsi="Sylfaen"/>
        </w:rPr>
        <w:t>Ibid</w:t>
      </w:r>
      <w:r w:rsidRPr="00E56708">
        <w:rPr>
          <w:rFonts w:ascii="Sylfaen" w:hAnsi="Sylfaen"/>
        </w:rPr>
        <w:t>.</w:t>
      </w:r>
    </w:p>
  </w:footnote>
  <w:footnote w:id="102">
    <w:p w14:paraId="4012C169" w14:textId="77777777" w:rsidR="00DD6303" w:rsidRPr="00E56708" w:rsidRDefault="00DD630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Pr="00E56708">
        <w:rPr>
          <w:rFonts w:ascii="Sylfaen" w:hAnsi="Sylfaen" w:cs="Arial"/>
        </w:rPr>
        <w:t>Report of the Public Defender of Georgia on the Situation of Protection of Human Rights and Freedoms in Georgia 2021,</w:t>
      </w:r>
      <w:r w:rsidRPr="00E56708">
        <w:rPr>
          <w:rFonts w:ascii="Sylfaen" w:hAnsi="Sylfaen"/>
        </w:rPr>
        <w:t xml:space="preserve"> page 272.</w:t>
      </w:r>
    </w:p>
  </w:footnote>
  <w:footnote w:id="103">
    <w:p w14:paraId="2A92AC64" w14:textId="1F2706AB" w:rsidR="00DD6303" w:rsidRPr="00E56708" w:rsidRDefault="00DD6303" w:rsidP="00E56708">
      <w:pPr>
        <w:pStyle w:val="FootnoteText"/>
        <w:jc w:val="both"/>
        <w:rPr>
          <w:rFonts w:ascii="Sylfaen" w:hAnsi="Sylfaen"/>
        </w:rPr>
      </w:pPr>
      <w:r w:rsidRPr="00E56708">
        <w:rPr>
          <w:rStyle w:val="FootnoteReference"/>
          <w:rFonts w:ascii="Sylfaen" w:hAnsi="Sylfaen"/>
        </w:rPr>
        <w:footnoteRef/>
      </w:r>
      <w:r w:rsidR="003278C0">
        <w:rPr>
          <w:rFonts w:ascii="Sylfaen" w:hAnsi="Sylfaen" w:cs="Arial"/>
        </w:rPr>
        <w:t xml:space="preserve"> Ibid</w:t>
      </w:r>
      <w:r w:rsidRPr="00E56708">
        <w:rPr>
          <w:rFonts w:ascii="Sylfaen" w:hAnsi="Sylfaen" w:cs="Arial"/>
        </w:rPr>
        <w:t>,</w:t>
      </w:r>
      <w:r w:rsidRPr="00E56708">
        <w:rPr>
          <w:rFonts w:ascii="Sylfaen" w:hAnsi="Sylfaen"/>
        </w:rPr>
        <w:t xml:space="preserve"> page</w:t>
      </w:r>
      <w:r w:rsidR="003278C0">
        <w:rPr>
          <w:rFonts w:ascii="Sylfaen" w:hAnsi="Sylfaen"/>
        </w:rPr>
        <w:t>s</w:t>
      </w:r>
      <w:r w:rsidRPr="00E56708">
        <w:rPr>
          <w:rFonts w:ascii="Sylfaen" w:hAnsi="Sylfaen"/>
        </w:rPr>
        <w:t xml:space="preserve"> 272-273.</w:t>
      </w:r>
    </w:p>
  </w:footnote>
  <w:footnote w:id="104">
    <w:p w14:paraId="57EC4A99" w14:textId="3CBD0F14" w:rsidR="00DD6303" w:rsidRPr="00E56708" w:rsidRDefault="00DD6303"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3278C0">
        <w:rPr>
          <w:rFonts w:ascii="Sylfaen" w:hAnsi="Sylfaen" w:cs="Arial"/>
        </w:rPr>
        <w:t>Ibid</w:t>
      </w:r>
      <w:r w:rsidRPr="00E56708">
        <w:rPr>
          <w:rFonts w:ascii="Sylfaen" w:hAnsi="Sylfaen" w:cs="Arial"/>
        </w:rPr>
        <w:t>,</w:t>
      </w:r>
      <w:r w:rsidRPr="00E56708">
        <w:rPr>
          <w:rFonts w:ascii="Sylfaen" w:hAnsi="Sylfaen"/>
        </w:rPr>
        <w:t xml:space="preserve"> page 273.</w:t>
      </w:r>
    </w:p>
  </w:footnote>
  <w:footnote w:id="105">
    <w:p w14:paraId="591C3160" w14:textId="4D1B37DA" w:rsidR="005A2513" w:rsidRPr="000948C9" w:rsidRDefault="005A2513"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w:t>
      </w:r>
      <w:r w:rsidR="002D4199" w:rsidRPr="00E56708">
        <w:rPr>
          <w:rFonts w:ascii="Sylfaen" w:hAnsi="Sylfaen"/>
        </w:rPr>
        <w:t>The Special Report of the Public Defender of Georgia on Human Rights Situation of Asylum Seekers and Persons having International Protection in Georgia, forthcoming.</w:t>
      </w:r>
    </w:p>
  </w:footnote>
  <w:footnote w:id="106">
    <w:p w14:paraId="3DDB4659" w14:textId="73556B5E" w:rsidR="00AD408E" w:rsidRPr="000948C9" w:rsidRDefault="00AD408E" w:rsidP="00E56708">
      <w:pPr>
        <w:pStyle w:val="FootnoteText"/>
        <w:jc w:val="both"/>
        <w:rPr>
          <w:rFonts w:ascii="Sylfaen" w:hAnsi="Sylfaen"/>
          <w:lang w:val="ka-GE"/>
        </w:rPr>
      </w:pPr>
      <w:r w:rsidRPr="00E56708">
        <w:rPr>
          <w:rStyle w:val="FootnoteReference"/>
          <w:rFonts w:ascii="Sylfaen" w:hAnsi="Sylfaen"/>
        </w:rPr>
        <w:footnoteRef/>
      </w:r>
      <w:r w:rsidRPr="00E56708">
        <w:rPr>
          <w:rFonts w:ascii="Sylfaen" w:hAnsi="Sylfaen"/>
        </w:rPr>
        <w:t xml:space="preserve"> </w:t>
      </w:r>
      <w:r w:rsidR="003967EE" w:rsidRPr="00E56708">
        <w:rPr>
          <w:rFonts w:ascii="Sylfaen" w:hAnsi="Sylfaen"/>
        </w:rPr>
        <w:t>Combined ninth and tenth periodic reports submitted by Georgia under article 9 of the Convention, due in 2020</w:t>
      </w:r>
      <w:r w:rsidR="003967EE" w:rsidRPr="00E56708">
        <w:rPr>
          <w:rFonts w:ascii="Sylfaen" w:hAnsi="Sylfaen"/>
          <w:lang w:val="ka-GE"/>
        </w:rPr>
        <w:t>, CERD/C/GEO/9-10,</w:t>
      </w:r>
      <w:r w:rsidR="00FF6C9B">
        <w:rPr>
          <w:rFonts w:ascii="Sylfaen" w:hAnsi="Sylfaen"/>
        </w:rPr>
        <w:t xml:space="preserve"> </w:t>
      </w:r>
      <w:r w:rsidR="00FF6C9B" w:rsidRPr="00E56708">
        <w:rPr>
          <w:rFonts w:ascii="Sylfaen" w:hAnsi="Sylfaen"/>
          <w:lang w:val="ka-GE"/>
        </w:rPr>
        <w:t>§289</w:t>
      </w:r>
      <w:r w:rsidR="00FF6C9B">
        <w:rPr>
          <w:rFonts w:ascii="Sylfaen" w:hAnsi="Sylfaen"/>
        </w:rPr>
        <w:t>,</w:t>
      </w:r>
      <w:r w:rsidR="003967EE" w:rsidRPr="00E56708">
        <w:rPr>
          <w:rFonts w:ascii="Sylfaen" w:hAnsi="Sylfaen"/>
          <w:lang w:val="ka-GE"/>
        </w:rPr>
        <w:t xml:space="preserve"> §291.</w:t>
      </w:r>
    </w:p>
  </w:footnote>
  <w:footnote w:id="107">
    <w:p w14:paraId="0274C938" w14:textId="2EF03BCD" w:rsidR="001935E2" w:rsidRPr="00E56708" w:rsidRDefault="001935E2"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73635B" w:rsidRPr="00E56708">
        <w:rPr>
          <w:rFonts w:ascii="Sylfaen" w:hAnsi="Sylfaen" w:cs="Arial"/>
        </w:rPr>
        <w:t>Report of the Public Defender of Georgia on the Situation of Protection of Human Rights and Freedoms in Georgia 2021,</w:t>
      </w:r>
      <w:r w:rsidR="0073635B" w:rsidRPr="00E56708">
        <w:rPr>
          <w:rFonts w:ascii="Sylfaen" w:hAnsi="Sylfaen"/>
        </w:rPr>
        <w:t xml:space="preserve"> page</w:t>
      </w:r>
      <w:r w:rsidR="0073635B" w:rsidRPr="00E56708">
        <w:rPr>
          <w:rFonts w:ascii="Sylfaen" w:hAnsi="Sylfaen"/>
          <w:lang w:val="ka-GE"/>
        </w:rPr>
        <w:t xml:space="preserve"> 76.</w:t>
      </w:r>
    </w:p>
  </w:footnote>
  <w:footnote w:id="108">
    <w:p w14:paraId="7B057DA1" w14:textId="31052299" w:rsidR="00A31F56" w:rsidRPr="00E56708" w:rsidRDefault="00A31F56"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635C5E">
        <w:rPr>
          <w:rFonts w:ascii="Sylfaen" w:hAnsi="Sylfaen" w:cs="Arial"/>
        </w:rPr>
        <w:t>Ibid</w:t>
      </w:r>
      <w:r w:rsidR="0073635B" w:rsidRPr="00E56708">
        <w:rPr>
          <w:rFonts w:ascii="Sylfaen" w:hAnsi="Sylfaen" w:cs="Arial"/>
        </w:rPr>
        <w:t>,</w:t>
      </w:r>
      <w:r w:rsidR="0073635B" w:rsidRPr="00E56708">
        <w:rPr>
          <w:rFonts w:ascii="Sylfaen" w:hAnsi="Sylfaen"/>
        </w:rPr>
        <w:t xml:space="preserve"> pages 77-78.</w:t>
      </w:r>
    </w:p>
  </w:footnote>
  <w:footnote w:id="109">
    <w:p w14:paraId="46BEFE65" w14:textId="3E3AC02E" w:rsidR="0040208D" w:rsidRPr="00E56708" w:rsidRDefault="0040208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635C5E">
        <w:rPr>
          <w:rFonts w:ascii="Sylfaen" w:hAnsi="Sylfaen" w:cs="Arial"/>
        </w:rPr>
        <w:t>Ibid</w:t>
      </w:r>
      <w:r w:rsidR="00F0692F" w:rsidRPr="00E56708">
        <w:rPr>
          <w:rFonts w:ascii="Sylfaen" w:hAnsi="Sylfaen" w:cs="Arial"/>
        </w:rPr>
        <w:t>,</w:t>
      </w:r>
      <w:r w:rsidR="00F0692F" w:rsidRPr="00E56708">
        <w:rPr>
          <w:rFonts w:ascii="Sylfaen" w:hAnsi="Sylfaen"/>
        </w:rPr>
        <w:t xml:space="preserve"> page 76.</w:t>
      </w:r>
    </w:p>
  </w:footnote>
  <w:footnote w:id="110">
    <w:p w14:paraId="40B27820" w14:textId="0CAF74E1" w:rsidR="0040208D" w:rsidRPr="00E56708" w:rsidRDefault="0040208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635C5E">
        <w:rPr>
          <w:rFonts w:ascii="Sylfaen" w:hAnsi="Sylfaen" w:cs="Arial"/>
        </w:rPr>
        <w:t>Ibid.</w:t>
      </w:r>
    </w:p>
  </w:footnote>
  <w:footnote w:id="111">
    <w:p w14:paraId="1024AF7A" w14:textId="0796EC10" w:rsidR="0040208D" w:rsidRPr="00E56708" w:rsidRDefault="0040208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332D71">
        <w:rPr>
          <w:rFonts w:ascii="Sylfaen" w:hAnsi="Sylfaen" w:cs="Arial"/>
        </w:rPr>
        <w:t>Ibid</w:t>
      </w:r>
      <w:r w:rsidR="009238BC" w:rsidRPr="00E56708">
        <w:rPr>
          <w:rFonts w:ascii="Sylfaen" w:hAnsi="Sylfaen"/>
        </w:rPr>
        <w:t>.</w:t>
      </w:r>
    </w:p>
  </w:footnote>
  <w:footnote w:id="112">
    <w:p w14:paraId="003FAC1B" w14:textId="60421A6F" w:rsidR="003D48BF" w:rsidRPr="00E56708" w:rsidRDefault="003D48BF"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332D71">
        <w:rPr>
          <w:rFonts w:ascii="Sylfaen" w:hAnsi="Sylfaen" w:cs="Arial"/>
        </w:rPr>
        <w:t>Ibid</w:t>
      </w:r>
      <w:r w:rsidR="0072543D" w:rsidRPr="00E56708">
        <w:rPr>
          <w:rFonts w:ascii="Sylfaen" w:hAnsi="Sylfaen" w:cs="Arial"/>
        </w:rPr>
        <w:t>,</w:t>
      </w:r>
      <w:r w:rsidR="0072543D" w:rsidRPr="00E56708">
        <w:rPr>
          <w:rFonts w:ascii="Sylfaen" w:hAnsi="Sylfaen"/>
        </w:rPr>
        <w:t xml:space="preserve"> page 77.</w:t>
      </w:r>
    </w:p>
  </w:footnote>
  <w:footnote w:id="113">
    <w:p w14:paraId="61CDF148" w14:textId="58D4FEF5" w:rsidR="000C555C" w:rsidRPr="00E56708" w:rsidRDefault="000C555C" w:rsidP="00E56708">
      <w:pPr>
        <w:pStyle w:val="FootnoteText"/>
        <w:jc w:val="both"/>
        <w:rPr>
          <w:rFonts w:ascii="Sylfaen" w:hAnsi="Sylfaen"/>
        </w:rPr>
      </w:pPr>
      <w:r w:rsidRPr="00E56708">
        <w:rPr>
          <w:rStyle w:val="FootnoteReference"/>
          <w:rFonts w:ascii="Sylfaen" w:hAnsi="Sylfaen"/>
        </w:rPr>
        <w:footnoteRef/>
      </w:r>
      <w:r w:rsidR="00540F4A" w:rsidRPr="00E56708">
        <w:rPr>
          <w:rFonts w:ascii="Sylfaen" w:hAnsi="Sylfaen"/>
        </w:rPr>
        <w:t xml:space="preserve"> The</w:t>
      </w:r>
      <w:r w:rsidRPr="00E56708">
        <w:rPr>
          <w:rFonts w:ascii="Sylfaen" w:hAnsi="Sylfaen"/>
        </w:rPr>
        <w:t xml:space="preserve"> Human Rights Committee</w:t>
      </w:r>
      <w:r w:rsidRPr="00E56708">
        <w:rPr>
          <w:rFonts w:ascii="Sylfaen" w:hAnsi="Sylfaen"/>
          <w:lang w:val="ka-GE"/>
        </w:rPr>
        <w:t xml:space="preserve">, </w:t>
      </w:r>
      <w:r w:rsidRPr="00E56708">
        <w:rPr>
          <w:rFonts w:ascii="Sylfaen" w:hAnsi="Sylfaen"/>
        </w:rPr>
        <w:t>Concluding observations on the fifth periodic report of Georgia</w:t>
      </w:r>
      <w:r w:rsidRPr="00E56708">
        <w:rPr>
          <w:rFonts w:ascii="Sylfaen" w:hAnsi="Sylfaen"/>
          <w:lang w:val="ka-GE"/>
        </w:rPr>
        <w:t xml:space="preserve">, 27 </w:t>
      </w:r>
      <w:r w:rsidRPr="00E56708">
        <w:rPr>
          <w:rFonts w:ascii="Sylfaen" w:hAnsi="Sylfaen"/>
        </w:rPr>
        <w:t xml:space="preserve">July 2022, </w:t>
      </w:r>
      <w:r w:rsidR="003D33ED" w:rsidRPr="00E56708">
        <w:rPr>
          <w:rFonts w:ascii="Sylfaen" w:hAnsi="Sylfaen"/>
        </w:rPr>
        <w:t xml:space="preserve">CCPR/C/GEO/CO/5, </w:t>
      </w:r>
      <w:r w:rsidR="00540F4A" w:rsidRPr="00E56708">
        <w:rPr>
          <w:rFonts w:ascii="Sylfaen" w:hAnsi="Sylfaen"/>
          <w:lang w:val="ka-GE"/>
        </w:rPr>
        <w:t>§§</w:t>
      </w:r>
      <w:r w:rsidR="00540F4A" w:rsidRPr="00E56708">
        <w:rPr>
          <w:rFonts w:ascii="Sylfaen" w:hAnsi="Sylfaen"/>
        </w:rPr>
        <w:t xml:space="preserve"> </w:t>
      </w:r>
      <w:r w:rsidRPr="00E56708">
        <w:rPr>
          <w:rFonts w:ascii="Sylfaen" w:hAnsi="Sylfaen"/>
        </w:rPr>
        <w:t>37-38.</w:t>
      </w:r>
    </w:p>
  </w:footnote>
  <w:footnote w:id="114">
    <w:p w14:paraId="34AE4B85" w14:textId="5566757F" w:rsidR="000C555C" w:rsidRPr="00CF789E" w:rsidRDefault="000C555C" w:rsidP="00E56708">
      <w:pPr>
        <w:pStyle w:val="FootnoteText"/>
        <w:jc w:val="both"/>
        <w:rPr>
          <w:rFonts w:ascii="Sylfaen" w:hAnsi="Sylfaen" w:cs="Arial"/>
        </w:rPr>
      </w:pPr>
      <w:r w:rsidRPr="00E56708">
        <w:rPr>
          <w:rStyle w:val="FootnoteReference"/>
          <w:rFonts w:ascii="Sylfaen" w:hAnsi="Sylfaen"/>
        </w:rPr>
        <w:footnoteRef/>
      </w:r>
      <w:r w:rsidRPr="00E56708">
        <w:rPr>
          <w:rFonts w:ascii="Sylfaen" w:hAnsi="Sylfaen"/>
        </w:rPr>
        <w:t xml:space="preserve"> </w:t>
      </w:r>
      <w:r w:rsidR="00A1175C" w:rsidRPr="00E56708">
        <w:rPr>
          <w:rFonts w:ascii="Sylfaen" w:hAnsi="Sylfaen" w:cs="Arial"/>
        </w:rPr>
        <w:t>OSCE/ODIHR, Fourth Report on the Nomination and Appointment of Supreme Court Judges in Georgia, August 2021, page 13, available at: &lt;</w:t>
      </w:r>
      <w:hyperlink r:id="rId17" w:history="1">
        <w:r w:rsidR="00A1175C" w:rsidRPr="00E56708">
          <w:rPr>
            <w:rStyle w:val="Hyperlink"/>
            <w:rFonts w:ascii="Sylfaen" w:hAnsi="Sylfaen" w:cs="Arial"/>
          </w:rPr>
          <w:t>https://bit.ly/3yRfwWW</w:t>
        </w:r>
      </w:hyperlink>
      <w:r w:rsidR="00A1175C" w:rsidRPr="00E56708">
        <w:rPr>
          <w:rFonts w:ascii="Sylfaen" w:hAnsi="Sylfaen" w:cs="Arial"/>
        </w:rPr>
        <w:t xml:space="preserve"> &gt; [last accessed 13.10.2022].</w:t>
      </w:r>
    </w:p>
  </w:footnote>
  <w:footnote w:id="115">
    <w:p w14:paraId="489FE888" w14:textId="510CF3D3" w:rsidR="00AE6414" w:rsidRPr="00E56708" w:rsidRDefault="00AE6414"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883576" w:rsidRPr="00E56708">
        <w:rPr>
          <w:rFonts w:ascii="Sylfaen" w:hAnsi="Sylfaen" w:cs="Arial"/>
        </w:rPr>
        <w:t>Report of the Public Defender of Georgia on the Situation of Protection of Human Rights and Freedoms in Georgia 2021, pages 79-80.</w:t>
      </w:r>
    </w:p>
  </w:footnote>
  <w:footnote w:id="116">
    <w:p w14:paraId="22416750" w14:textId="2FEE8B06" w:rsidR="00C10549" w:rsidRPr="00E56708" w:rsidRDefault="00C10549"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0F567C" w:rsidRPr="00E56708">
        <w:rPr>
          <w:rFonts w:ascii="Sylfaen" w:hAnsi="Sylfaen"/>
        </w:rPr>
        <w:t>Combined ninth and tenth periodic reports submitted by Georgia under article 9 of the Convention, due in 2020</w:t>
      </w:r>
      <w:r w:rsidR="000F567C" w:rsidRPr="00E56708">
        <w:rPr>
          <w:rFonts w:ascii="Sylfaen" w:hAnsi="Sylfaen"/>
          <w:lang w:val="ka-GE"/>
        </w:rPr>
        <w:t>, CERD/C/GEO/9-10, §2</w:t>
      </w:r>
      <w:r w:rsidR="000F567C" w:rsidRPr="00E56708">
        <w:rPr>
          <w:rFonts w:ascii="Sylfaen" w:hAnsi="Sylfaen"/>
        </w:rPr>
        <w:t>89.</w:t>
      </w:r>
    </w:p>
  </w:footnote>
  <w:footnote w:id="117">
    <w:p w14:paraId="19E00743" w14:textId="12F2228D" w:rsidR="00D15417" w:rsidRPr="00E56708" w:rsidRDefault="00D15417"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CA5E09" w:rsidRPr="00E56708">
        <w:rPr>
          <w:rFonts w:ascii="Sylfaen" w:hAnsi="Sylfaen" w:cs="Arial"/>
        </w:rPr>
        <w:t>Report of the Public Defender of Georgia on the Situation of Protection of Human Rights and Freedoms in Georgia 2021, page 74.</w:t>
      </w:r>
    </w:p>
  </w:footnote>
  <w:footnote w:id="118">
    <w:p w14:paraId="066D0E4B" w14:textId="5696E10B" w:rsidR="00DC53D6" w:rsidRPr="00E56708" w:rsidRDefault="00DC53D6" w:rsidP="00E56708">
      <w:pPr>
        <w:pStyle w:val="FootnoteText"/>
        <w:jc w:val="both"/>
        <w:rPr>
          <w:rFonts w:ascii="Sylfaen" w:hAnsi="Sylfaen"/>
        </w:rPr>
      </w:pPr>
      <w:r w:rsidRPr="00E56708">
        <w:rPr>
          <w:rStyle w:val="FootnoteReference"/>
          <w:rFonts w:ascii="Sylfaen" w:hAnsi="Sylfaen"/>
        </w:rPr>
        <w:footnoteRef/>
      </w:r>
      <w:r w:rsidR="0015096B">
        <w:rPr>
          <w:rFonts w:ascii="Sylfaen" w:hAnsi="Sylfaen" w:cs="Arial"/>
        </w:rPr>
        <w:t xml:space="preserve"> Ibid</w:t>
      </w:r>
      <w:r w:rsidR="00CA5E09" w:rsidRPr="00E56708">
        <w:rPr>
          <w:rFonts w:ascii="Sylfaen" w:hAnsi="Sylfaen" w:cs="Arial"/>
        </w:rPr>
        <w:t>.</w:t>
      </w:r>
    </w:p>
  </w:footnote>
  <w:footnote w:id="119">
    <w:p w14:paraId="32A479ED" w14:textId="7E8AA4DD" w:rsidR="00226ABC" w:rsidRPr="00E56708" w:rsidRDefault="00226AB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9A2112" w:rsidRPr="00E56708">
        <w:rPr>
          <w:rFonts w:ascii="Sylfaen" w:hAnsi="Sylfaen" w:cs="Arial"/>
        </w:rPr>
        <w:t>OSCE/ODIHR, Fourth Report on the Nomination and Appointment of Supreme Court Judges in Georgia, August 2021, page 2.</w:t>
      </w:r>
    </w:p>
  </w:footnote>
  <w:footnote w:id="120">
    <w:p w14:paraId="41C9DFEB" w14:textId="1EC8E668" w:rsidR="007126DD" w:rsidRPr="00E56708" w:rsidRDefault="007126DD"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3766D6" w:rsidRPr="00E56708">
        <w:rPr>
          <w:rFonts w:ascii="Sylfaen" w:hAnsi="Sylfaen"/>
        </w:rPr>
        <w:t>Combined ninth and tenth periodic reports submitted by Georgia under article 9 of the Convention, due in 2020</w:t>
      </w:r>
      <w:r w:rsidR="003766D6" w:rsidRPr="00E56708">
        <w:rPr>
          <w:rFonts w:ascii="Sylfaen" w:hAnsi="Sylfaen"/>
          <w:lang w:val="ka-GE"/>
        </w:rPr>
        <w:t>, CERD/C/GEO/9-10, §</w:t>
      </w:r>
      <w:r w:rsidR="007A5AC0" w:rsidRPr="00E56708">
        <w:rPr>
          <w:rFonts w:ascii="Sylfaen" w:hAnsi="Sylfaen"/>
        </w:rPr>
        <w:t>290.</w:t>
      </w:r>
    </w:p>
  </w:footnote>
  <w:footnote w:id="121">
    <w:p w14:paraId="4424E4EC" w14:textId="04323239" w:rsidR="00AE0F1C" w:rsidRPr="00E56708" w:rsidRDefault="00AE0F1C" w:rsidP="00E56708">
      <w:pPr>
        <w:pStyle w:val="FootnoteText"/>
        <w:jc w:val="both"/>
        <w:rPr>
          <w:rFonts w:ascii="Sylfaen" w:hAnsi="Sylfaen"/>
        </w:rPr>
      </w:pPr>
      <w:r w:rsidRPr="00E56708">
        <w:rPr>
          <w:rStyle w:val="FootnoteReference"/>
          <w:rFonts w:ascii="Sylfaen" w:hAnsi="Sylfaen"/>
        </w:rPr>
        <w:footnoteRef/>
      </w:r>
      <w:r w:rsidRPr="00E56708">
        <w:rPr>
          <w:rFonts w:ascii="Sylfaen" w:hAnsi="Sylfaen"/>
        </w:rPr>
        <w:t xml:space="preserve"> </w:t>
      </w:r>
      <w:r w:rsidR="001172E4" w:rsidRPr="00E56708">
        <w:rPr>
          <w:rFonts w:ascii="Sylfaen" w:hAnsi="Sylfaen" w:cs="Arial"/>
        </w:rPr>
        <w:t>Report of the Public Defender of Georgia on the Situation of Protection of Human Rights and Freedoms in Georgia 2021, page</w:t>
      </w:r>
      <w:r w:rsidR="00323E73" w:rsidRPr="00E56708">
        <w:rPr>
          <w:rFonts w:ascii="Sylfaen" w:hAnsi="Sylfaen" w:cs="Arial"/>
        </w:rPr>
        <w:t xml:space="preserve"> 81.</w:t>
      </w:r>
    </w:p>
  </w:footnote>
  <w:footnote w:id="122">
    <w:p w14:paraId="1E9753B8" w14:textId="0D99BE95" w:rsidR="002062EA" w:rsidRPr="00E56708" w:rsidRDefault="002062EA" w:rsidP="00E56708">
      <w:pPr>
        <w:pStyle w:val="FootnoteText"/>
        <w:jc w:val="both"/>
        <w:rPr>
          <w:rFonts w:ascii="Sylfaen" w:hAnsi="Sylfaen"/>
        </w:rPr>
      </w:pPr>
      <w:r w:rsidRPr="00E56708">
        <w:rPr>
          <w:rStyle w:val="FootnoteReference"/>
          <w:rFonts w:ascii="Sylfaen" w:hAnsi="Sylfaen"/>
        </w:rPr>
        <w:footnoteRef/>
      </w:r>
      <w:r w:rsidR="002D0BC3">
        <w:rPr>
          <w:rFonts w:ascii="Sylfaen" w:hAnsi="Sylfaen" w:cs="Arial"/>
        </w:rPr>
        <w:t xml:space="preserve"> Ibid</w:t>
      </w:r>
      <w:r w:rsidR="00323E73" w:rsidRPr="00E56708">
        <w:rPr>
          <w:rFonts w:ascii="Sylfaen" w:hAnsi="Sylfaen" w:cs="Arial"/>
        </w:rPr>
        <w:t>.</w:t>
      </w:r>
    </w:p>
  </w:footnote>
  <w:footnote w:id="123">
    <w:p w14:paraId="732844F4" w14:textId="12CC9C2D" w:rsidR="0005020D" w:rsidRDefault="0005020D" w:rsidP="00E56708">
      <w:pPr>
        <w:pStyle w:val="FootnoteText"/>
        <w:jc w:val="both"/>
      </w:pPr>
      <w:r w:rsidRPr="00E56708">
        <w:rPr>
          <w:rStyle w:val="FootnoteReference"/>
          <w:rFonts w:ascii="Sylfaen" w:hAnsi="Sylfaen"/>
        </w:rPr>
        <w:footnoteRef/>
      </w:r>
      <w:r w:rsidRPr="00E56708">
        <w:rPr>
          <w:rFonts w:ascii="Sylfaen" w:hAnsi="Sylfaen"/>
        </w:rPr>
        <w:t xml:space="preserve"> </w:t>
      </w:r>
      <w:r w:rsidR="002D0BC3">
        <w:rPr>
          <w:rFonts w:ascii="Sylfaen" w:hAnsi="Sylfaen" w:cs="Arial"/>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08D2D" w14:textId="77777777" w:rsidR="007E764A" w:rsidRDefault="007E7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45BE1" w14:textId="77777777" w:rsidR="007E764A" w:rsidRDefault="007E7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15F4" w14:textId="77777777" w:rsidR="007E764A" w:rsidRDefault="007E76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52D48" w14:textId="77777777" w:rsidR="00FB4A8F" w:rsidRDefault="00FB4A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3MjO3NLY0tTSwMDRS0lEKTi0uzszPAykwqgUASBf+AywAAAA="/>
  </w:docVars>
  <w:rsids>
    <w:rsidRoot w:val="009630A6"/>
    <w:rsid w:val="00000F8C"/>
    <w:rsid w:val="00001A4C"/>
    <w:rsid w:val="0000717A"/>
    <w:rsid w:val="00011464"/>
    <w:rsid w:val="0001385D"/>
    <w:rsid w:val="00017BC1"/>
    <w:rsid w:val="000202C5"/>
    <w:rsid w:val="00021323"/>
    <w:rsid w:val="0002623C"/>
    <w:rsid w:val="0003054B"/>
    <w:rsid w:val="00031AC1"/>
    <w:rsid w:val="000339D0"/>
    <w:rsid w:val="000378F6"/>
    <w:rsid w:val="00042C01"/>
    <w:rsid w:val="000460AE"/>
    <w:rsid w:val="000466D7"/>
    <w:rsid w:val="0005020D"/>
    <w:rsid w:val="00053151"/>
    <w:rsid w:val="000535E4"/>
    <w:rsid w:val="00060C1C"/>
    <w:rsid w:val="00066B0C"/>
    <w:rsid w:val="0007130D"/>
    <w:rsid w:val="00073CF4"/>
    <w:rsid w:val="00075A49"/>
    <w:rsid w:val="00077238"/>
    <w:rsid w:val="000811B0"/>
    <w:rsid w:val="00081BF0"/>
    <w:rsid w:val="00090C89"/>
    <w:rsid w:val="00090F22"/>
    <w:rsid w:val="000948C9"/>
    <w:rsid w:val="00096F52"/>
    <w:rsid w:val="00097526"/>
    <w:rsid w:val="00097831"/>
    <w:rsid w:val="000A2D03"/>
    <w:rsid w:val="000A3069"/>
    <w:rsid w:val="000B60C2"/>
    <w:rsid w:val="000B6DF1"/>
    <w:rsid w:val="000B7CBB"/>
    <w:rsid w:val="000C16CE"/>
    <w:rsid w:val="000C46B9"/>
    <w:rsid w:val="000C555C"/>
    <w:rsid w:val="000C6373"/>
    <w:rsid w:val="000D0650"/>
    <w:rsid w:val="000E06C9"/>
    <w:rsid w:val="000E17E7"/>
    <w:rsid w:val="000E4CDC"/>
    <w:rsid w:val="000E76A7"/>
    <w:rsid w:val="000F567C"/>
    <w:rsid w:val="0010049C"/>
    <w:rsid w:val="00104FBF"/>
    <w:rsid w:val="00116258"/>
    <w:rsid w:val="001172E4"/>
    <w:rsid w:val="001177A3"/>
    <w:rsid w:val="0012007E"/>
    <w:rsid w:val="00121291"/>
    <w:rsid w:val="00124F4C"/>
    <w:rsid w:val="00131868"/>
    <w:rsid w:val="00133925"/>
    <w:rsid w:val="00142269"/>
    <w:rsid w:val="0015096B"/>
    <w:rsid w:val="0015129F"/>
    <w:rsid w:val="00151A1E"/>
    <w:rsid w:val="00164231"/>
    <w:rsid w:val="00165D43"/>
    <w:rsid w:val="001739E8"/>
    <w:rsid w:val="0018202F"/>
    <w:rsid w:val="00182E17"/>
    <w:rsid w:val="00185251"/>
    <w:rsid w:val="00185C39"/>
    <w:rsid w:val="001863B1"/>
    <w:rsid w:val="00186503"/>
    <w:rsid w:val="00191421"/>
    <w:rsid w:val="001935E2"/>
    <w:rsid w:val="00197CC0"/>
    <w:rsid w:val="001A2C40"/>
    <w:rsid w:val="001B0E7F"/>
    <w:rsid w:val="001B17A2"/>
    <w:rsid w:val="001B2E26"/>
    <w:rsid w:val="001B39DC"/>
    <w:rsid w:val="001B6F19"/>
    <w:rsid w:val="001C15DA"/>
    <w:rsid w:val="001C57C1"/>
    <w:rsid w:val="001D2CBC"/>
    <w:rsid w:val="001E13E2"/>
    <w:rsid w:val="001E186D"/>
    <w:rsid w:val="001E2678"/>
    <w:rsid w:val="001E5848"/>
    <w:rsid w:val="001E6EE1"/>
    <w:rsid w:val="001F0DB6"/>
    <w:rsid w:val="001F58BF"/>
    <w:rsid w:val="001F698F"/>
    <w:rsid w:val="00200B34"/>
    <w:rsid w:val="00203161"/>
    <w:rsid w:val="002055F3"/>
    <w:rsid w:val="002062EA"/>
    <w:rsid w:val="002123B5"/>
    <w:rsid w:val="00213AD3"/>
    <w:rsid w:val="00217882"/>
    <w:rsid w:val="002226D2"/>
    <w:rsid w:val="00223CF4"/>
    <w:rsid w:val="00224D51"/>
    <w:rsid w:val="00226ABC"/>
    <w:rsid w:val="00230379"/>
    <w:rsid w:val="00230EAC"/>
    <w:rsid w:val="00232F22"/>
    <w:rsid w:val="00235EF3"/>
    <w:rsid w:val="00240281"/>
    <w:rsid w:val="0024037F"/>
    <w:rsid w:val="00246C6C"/>
    <w:rsid w:val="00247C24"/>
    <w:rsid w:val="00250573"/>
    <w:rsid w:val="002570C4"/>
    <w:rsid w:val="00263460"/>
    <w:rsid w:val="00266D7F"/>
    <w:rsid w:val="002700B4"/>
    <w:rsid w:val="002710A3"/>
    <w:rsid w:val="00271E73"/>
    <w:rsid w:val="0027355F"/>
    <w:rsid w:val="00277776"/>
    <w:rsid w:val="002777C7"/>
    <w:rsid w:val="002802D7"/>
    <w:rsid w:val="00281411"/>
    <w:rsid w:val="00281501"/>
    <w:rsid w:val="0028387D"/>
    <w:rsid w:val="00286BA2"/>
    <w:rsid w:val="0029465F"/>
    <w:rsid w:val="00297058"/>
    <w:rsid w:val="00297F3B"/>
    <w:rsid w:val="002A010A"/>
    <w:rsid w:val="002A1589"/>
    <w:rsid w:val="002A2BF7"/>
    <w:rsid w:val="002A722E"/>
    <w:rsid w:val="002B16FD"/>
    <w:rsid w:val="002B39E1"/>
    <w:rsid w:val="002B7539"/>
    <w:rsid w:val="002C124D"/>
    <w:rsid w:val="002C29FA"/>
    <w:rsid w:val="002C4B92"/>
    <w:rsid w:val="002D0BC3"/>
    <w:rsid w:val="002D4199"/>
    <w:rsid w:val="002D4838"/>
    <w:rsid w:val="002D60F9"/>
    <w:rsid w:val="002D6BE8"/>
    <w:rsid w:val="002E1C74"/>
    <w:rsid w:val="002E33BC"/>
    <w:rsid w:val="002E43FC"/>
    <w:rsid w:val="002E476A"/>
    <w:rsid w:val="002E7470"/>
    <w:rsid w:val="002E7DA2"/>
    <w:rsid w:val="00306779"/>
    <w:rsid w:val="00310DE7"/>
    <w:rsid w:val="00312676"/>
    <w:rsid w:val="00321315"/>
    <w:rsid w:val="00323E73"/>
    <w:rsid w:val="003244D6"/>
    <w:rsid w:val="003278C0"/>
    <w:rsid w:val="00332D71"/>
    <w:rsid w:val="003357E1"/>
    <w:rsid w:val="00343119"/>
    <w:rsid w:val="00344048"/>
    <w:rsid w:val="003468D9"/>
    <w:rsid w:val="0035267F"/>
    <w:rsid w:val="0035336B"/>
    <w:rsid w:val="00363CC5"/>
    <w:rsid w:val="0036496E"/>
    <w:rsid w:val="00364AF0"/>
    <w:rsid w:val="00364F22"/>
    <w:rsid w:val="00364F7F"/>
    <w:rsid w:val="00371203"/>
    <w:rsid w:val="003766D6"/>
    <w:rsid w:val="00377CB6"/>
    <w:rsid w:val="003967EE"/>
    <w:rsid w:val="003A2818"/>
    <w:rsid w:val="003A57CE"/>
    <w:rsid w:val="003C277E"/>
    <w:rsid w:val="003C474B"/>
    <w:rsid w:val="003C5608"/>
    <w:rsid w:val="003D33ED"/>
    <w:rsid w:val="003D3F77"/>
    <w:rsid w:val="003D48BF"/>
    <w:rsid w:val="003E4977"/>
    <w:rsid w:val="003E781E"/>
    <w:rsid w:val="003F70F4"/>
    <w:rsid w:val="0040208D"/>
    <w:rsid w:val="00404D95"/>
    <w:rsid w:val="00413C8E"/>
    <w:rsid w:val="004140A4"/>
    <w:rsid w:val="00414F78"/>
    <w:rsid w:val="00416520"/>
    <w:rsid w:val="00423B16"/>
    <w:rsid w:val="004258AB"/>
    <w:rsid w:val="004265FF"/>
    <w:rsid w:val="00426C33"/>
    <w:rsid w:val="00430FF7"/>
    <w:rsid w:val="00432D68"/>
    <w:rsid w:val="00434F4F"/>
    <w:rsid w:val="004353AD"/>
    <w:rsid w:val="004364A3"/>
    <w:rsid w:val="00440E8F"/>
    <w:rsid w:val="00446E61"/>
    <w:rsid w:val="0045374D"/>
    <w:rsid w:val="004556C3"/>
    <w:rsid w:val="00456DBA"/>
    <w:rsid w:val="004619C9"/>
    <w:rsid w:val="004664EA"/>
    <w:rsid w:val="00470260"/>
    <w:rsid w:val="004721DB"/>
    <w:rsid w:val="004728B3"/>
    <w:rsid w:val="00473FDF"/>
    <w:rsid w:val="004744DA"/>
    <w:rsid w:val="00480B54"/>
    <w:rsid w:val="00485CB7"/>
    <w:rsid w:val="00487516"/>
    <w:rsid w:val="00493058"/>
    <w:rsid w:val="00493D28"/>
    <w:rsid w:val="0049662B"/>
    <w:rsid w:val="004A577D"/>
    <w:rsid w:val="004B71C9"/>
    <w:rsid w:val="004C4971"/>
    <w:rsid w:val="004C5ECC"/>
    <w:rsid w:val="004D1DE3"/>
    <w:rsid w:val="004E00C1"/>
    <w:rsid w:val="004E1CF9"/>
    <w:rsid w:val="004E1D92"/>
    <w:rsid w:val="004E6906"/>
    <w:rsid w:val="004E6A5E"/>
    <w:rsid w:val="004F4029"/>
    <w:rsid w:val="004F4D09"/>
    <w:rsid w:val="004F5428"/>
    <w:rsid w:val="004F5888"/>
    <w:rsid w:val="0050191D"/>
    <w:rsid w:val="00510E29"/>
    <w:rsid w:val="0051394D"/>
    <w:rsid w:val="0051581F"/>
    <w:rsid w:val="00515FCF"/>
    <w:rsid w:val="00524DBB"/>
    <w:rsid w:val="00533144"/>
    <w:rsid w:val="005405B9"/>
    <w:rsid w:val="005406A1"/>
    <w:rsid w:val="00540F4A"/>
    <w:rsid w:val="00542C6D"/>
    <w:rsid w:val="00543D99"/>
    <w:rsid w:val="0054461F"/>
    <w:rsid w:val="00550B0E"/>
    <w:rsid w:val="005528EC"/>
    <w:rsid w:val="005562E1"/>
    <w:rsid w:val="005619A9"/>
    <w:rsid w:val="00563929"/>
    <w:rsid w:val="00570222"/>
    <w:rsid w:val="005714DF"/>
    <w:rsid w:val="0057226F"/>
    <w:rsid w:val="00572553"/>
    <w:rsid w:val="00572E8D"/>
    <w:rsid w:val="0058571D"/>
    <w:rsid w:val="00586544"/>
    <w:rsid w:val="00586B55"/>
    <w:rsid w:val="005875AA"/>
    <w:rsid w:val="00593729"/>
    <w:rsid w:val="00593A9F"/>
    <w:rsid w:val="005A1FCE"/>
    <w:rsid w:val="005A2513"/>
    <w:rsid w:val="005A4D0F"/>
    <w:rsid w:val="005A62C8"/>
    <w:rsid w:val="005A6423"/>
    <w:rsid w:val="005B194B"/>
    <w:rsid w:val="005B2AC2"/>
    <w:rsid w:val="005B70DA"/>
    <w:rsid w:val="005B7C9C"/>
    <w:rsid w:val="005C689A"/>
    <w:rsid w:val="005D2B1E"/>
    <w:rsid w:val="005D76DB"/>
    <w:rsid w:val="005E1406"/>
    <w:rsid w:val="005E2F77"/>
    <w:rsid w:val="005F129F"/>
    <w:rsid w:val="005F307A"/>
    <w:rsid w:val="005F38BC"/>
    <w:rsid w:val="005F487C"/>
    <w:rsid w:val="00605B63"/>
    <w:rsid w:val="006168B2"/>
    <w:rsid w:val="00617BF9"/>
    <w:rsid w:val="00617F52"/>
    <w:rsid w:val="006250F3"/>
    <w:rsid w:val="00625601"/>
    <w:rsid w:val="006275C6"/>
    <w:rsid w:val="00630977"/>
    <w:rsid w:val="00634F8D"/>
    <w:rsid w:val="00635C5E"/>
    <w:rsid w:val="006413CD"/>
    <w:rsid w:val="006452C8"/>
    <w:rsid w:val="006529A8"/>
    <w:rsid w:val="00652FE7"/>
    <w:rsid w:val="00655E39"/>
    <w:rsid w:val="00655F78"/>
    <w:rsid w:val="00657492"/>
    <w:rsid w:val="00657ABD"/>
    <w:rsid w:val="00657C9A"/>
    <w:rsid w:val="00660276"/>
    <w:rsid w:val="0066039B"/>
    <w:rsid w:val="00661E77"/>
    <w:rsid w:val="006623C6"/>
    <w:rsid w:val="00662991"/>
    <w:rsid w:val="00663664"/>
    <w:rsid w:val="00664FCB"/>
    <w:rsid w:val="0067252A"/>
    <w:rsid w:val="00672991"/>
    <w:rsid w:val="00674C15"/>
    <w:rsid w:val="00687E95"/>
    <w:rsid w:val="00693099"/>
    <w:rsid w:val="00693D0C"/>
    <w:rsid w:val="006955A9"/>
    <w:rsid w:val="006977D1"/>
    <w:rsid w:val="006A1D84"/>
    <w:rsid w:val="006A3212"/>
    <w:rsid w:val="006A5C0F"/>
    <w:rsid w:val="006B0415"/>
    <w:rsid w:val="006B13AA"/>
    <w:rsid w:val="006B30FA"/>
    <w:rsid w:val="006B4D23"/>
    <w:rsid w:val="006B67E2"/>
    <w:rsid w:val="006C1FBF"/>
    <w:rsid w:val="006C7E56"/>
    <w:rsid w:val="006D1D9C"/>
    <w:rsid w:val="006D4E3A"/>
    <w:rsid w:val="006E492C"/>
    <w:rsid w:val="006E5F5F"/>
    <w:rsid w:val="006E7F4A"/>
    <w:rsid w:val="006F0455"/>
    <w:rsid w:val="006F08E5"/>
    <w:rsid w:val="006F148E"/>
    <w:rsid w:val="006F2672"/>
    <w:rsid w:val="006F2DF7"/>
    <w:rsid w:val="006F387F"/>
    <w:rsid w:val="006F4065"/>
    <w:rsid w:val="006F462D"/>
    <w:rsid w:val="00705F65"/>
    <w:rsid w:val="007106C1"/>
    <w:rsid w:val="007126DD"/>
    <w:rsid w:val="00712836"/>
    <w:rsid w:val="007132D3"/>
    <w:rsid w:val="00721C7E"/>
    <w:rsid w:val="007237E1"/>
    <w:rsid w:val="0072543D"/>
    <w:rsid w:val="00730387"/>
    <w:rsid w:val="00730973"/>
    <w:rsid w:val="00732057"/>
    <w:rsid w:val="0073635B"/>
    <w:rsid w:val="00737F38"/>
    <w:rsid w:val="00751057"/>
    <w:rsid w:val="00754CB7"/>
    <w:rsid w:val="007563A8"/>
    <w:rsid w:val="00763189"/>
    <w:rsid w:val="007657FF"/>
    <w:rsid w:val="0076664F"/>
    <w:rsid w:val="007702E9"/>
    <w:rsid w:val="007712D9"/>
    <w:rsid w:val="007758E0"/>
    <w:rsid w:val="00776C5F"/>
    <w:rsid w:val="00777CAF"/>
    <w:rsid w:val="007919B3"/>
    <w:rsid w:val="0079314C"/>
    <w:rsid w:val="007947DB"/>
    <w:rsid w:val="00795134"/>
    <w:rsid w:val="007A039A"/>
    <w:rsid w:val="007A063D"/>
    <w:rsid w:val="007A07FA"/>
    <w:rsid w:val="007A44E8"/>
    <w:rsid w:val="007A5AC0"/>
    <w:rsid w:val="007A78CF"/>
    <w:rsid w:val="007B3B1E"/>
    <w:rsid w:val="007B3F9C"/>
    <w:rsid w:val="007B5F0B"/>
    <w:rsid w:val="007B65EE"/>
    <w:rsid w:val="007B6605"/>
    <w:rsid w:val="007B6873"/>
    <w:rsid w:val="007C1E7E"/>
    <w:rsid w:val="007C2C9B"/>
    <w:rsid w:val="007D0981"/>
    <w:rsid w:val="007D55D5"/>
    <w:rsid w:val="007D5C63"/>
    <w:rsid w:val="007E0709"/>
    <w:rsid w:val="007E1DFF"/>
    <w:rsid w:val="007E764A"/>
    <w:rsid w:val="007F07AA"/>
    <w:rsid w:val="007F0CDB"/>
    <w:rsid w:val="007F3AF9"/>
    <w:rsid w:val="007F431C"/>
    <w:rsid w:val="007F4F3F"/>
    <w:rsid w:val="007F6065"/>
    <w:rsid w:val="007F6D94"/>
    <w:rsid w:val="00801E7A"/>
    <w:rsid w:val="008064E0"/>
    <w:rsid w:val="00807405"/>
    <w:rsid w:val="00807A5D"/>
    <w:rsid w:val="00811427"/>
    <w:rsid w:val="00811A46"/>
    <w:rsid w:val="0082145A"/>
    <w:rsid w:val="00822AFD"/>
    <w:rsid w:val="00831344"/>
    <w:rsid w:val="008371C2"/>
    <w:rsid w:val="00842854"/>
    <w:rsid w:val="00845631"/>
    <w:rsid w:val="00855B13"/>
    <w:rsid w:val="00856278"/>
    <w:rsid w:val="00860FF4"/>
    <w:rsid w:val="00861E6B"/>
    <w:rsid w:val="00866667"/>
    <w:rsid w:val="0087030F"/>
    <w:rsid w:val="00871C25"/>
    <w:rsid w:val="00871ECD"/>
    <w:rsid w:val="00881B07"/>
    <w:rsid w:val="00883576"/>
    <w:rsid w:val="00884FB5"/>
    <w:rsid w:val="00894D68"/>
    <w:rsid w:val="008977D3"/>
    <w:rsid w:val="008A2DCD"/>
    <w:rsid w:val="008B3354"/>
    <w:rsid w:val="008B344C"/>
    <w:rsid w:val="008C20DE"/>
    <w:rsid w:val="008C21DF"/>
    <w:rsid w:val="008C40D4"/>
    <w:rsid w:val="008D3FC1"/>
    <w:rsid w:val="008D42EE"/>
    <w:rsid w:val="008D658A"/>
    <w:rsid w:val="008E7E43"/>
    <w:rsid w:val="008F0FAC"/>
    <w:rsid w:val="008F360D"/>
    <w:rsid w:val="008F5A7F"/>
    <w:rsid w:val="008F6489"/>
    <w:rsid w:val="009011FA"/>
    <w:rsid w:val="009026F2"/>
    <w:rsid w:val="00906D5D"/>
    <w:rsid w:val="00906DE5"/>
    <w:rsid w:val="009075AB"/>
    <w:rsid w:val="00912656"/>
    <w:rsid w:val="0091364B"/>
    <w:rsid w:val="009148A1"/>
    <w:rsid w:val="00917E34"/>
    <w:rsid w:val="00922727"/>
    <w:rsid w:val="009238BC"/>
    <w:rsid w:val="009241B3"/>
    <w:rsid w:val="00924AC8"/>
    <w:rsid w:val="00926561"/>
    <w:rsid w:val="00930112"/>
    <w:rsid w:val="00930B65"/>
    <w:rsid w:val="00933615"/>
    <w:rsid w:val="009366CB"/>
    <w:rsid w:val="00941370"/>
    <w:rsid w:val="009416E8"/>
    <w:rsid w:val="00946356"/>
    <w:rsid w:val="0095333F"/>
    <w:rsid w:val="00955F45"/>
    <w:rsid w:val="0095677D"/>
    <w:rsid w:val="009630A6"/>
    <w:rsid w:val="009643AA"/>
    <w:rsid w:val="00971FCD"/>
    <w:rsid w:val="0097293A"/>
    <w:rsid w:val="00973AEC"/>
    <w:rsid w:val="00976A63"/>
    <w:rsid w:val="00980DA1"/>
    <w:rsid w:val="00981842"/>
    <w:rsid w:val="00981D88"/>
    <w:rsid w:val="00983BDD"/>
    <w:rsid w:val="00987633"/>
    <w:rsid w:val="00991B68"/>
    <w:rsid w:val="00996BA5"/>
    <w:rsid w:val="00996CB2"/>
    <w:rsid w:val="009A2112"/>
    <w:rsid w:val="009A2FD9"/>
    <w:rsid w:val="009A42AC"/>
    <w:rsid w:val="009A5FE0"/>
    <w:rsid w:val="009B1452"/>
    <w:rsid w:val="009B58C9"/>
    <w:rsid w:val="009C26A7"/>
    <w:rsid w:val="009C3E11"/>
    <w:rsid w:val="009C4555"/>
    <w:rsid w:val="009C4855"/>
    <w:rsid w:val="009D4A43"/>
    <w:rsid w:val="009D556E"/>
    <w:rsid w:val="009D5A8E"/>
    <w:rsid w:val="009D5F4E"/>
    <w:rsid w:val="009E259D"/>
    <w:rsid w:val="009F071B"/>
    <w:rsid w:val="009F320B"/>
    <w:rsid w:val="00A036E7"/>
    <w:rsid w:val="00A050E6"/>
    <w:rsid w:val="00A0756E"/>
    <w:rsid w:val="00A1175C"/>
    <w:rsid w:val="00A13A6E"/>
    <w:rsid w:val="00A170A0"/>
    <w:rsid w:val="00A22CD3"/>
    <w:rsid w:val="00A253A7"/>
    <w:rsid w:val="00A273AF"/>
    <w:rsid w:val="00A3173D"/>
    <w:rsid w:val="00A31F56"/>
    <w:rsid w:val="00A34ACE"/>
    <w:rsid w:val="00A35263"/>
    <w:rsid w:val="00A370E6"/>
    <w:rsid w:val="00A435B7"/>
    <w:rsid w:val="00A70500"/>
    <w:rsid w:val="00A92E17"/>
    <w:rsid w:val="00AA08D8"/>
    <w:rsid w:val="00AA1C40"/>
    <w:rsid w:val="00AA4643"/>
    <w:rsid w:val="00AB0941"/>
    <w:rsid w:val="00AB256D"/>
    <w:rsid w:val="00AB402A"/>
    <w:rsid w:val="00AB4800"/>
    <w:rsid w:val="00AB496D"/>
    <w:rsid w:val="00AB4CE9"/>
    <w:rsid w:val="00AB616C"/>
    <w:rsid w:val="00AB6ED6"/>
    <w:rsid w:val="00AB78FF"/>
    <w:rsid w:val="00AC0680"/>
    <w:rsid w:val="00AC759F"/>
    <w:rsid w:val="00AD3125"/>
    <w:rsid w:val="00AD32D4"/>
    <w:rsid w:val="00AD408E"/>
    <w:rsid w:val="00AD5699"/>
    <w:rsid w:val="00AE0F1C"/>
    <w:rsid w:val="00AE6414"/>
    <w:rsid w:val="00AF0A67"/>
    <w:rsid w:val="00AF364A"/>
    <w:rsid w:val="00AF3C9D"/>
    <w:rsid w:val="00AF7DC7"/>
    <w:rsid w:val="00B00A3D"/>
    <w:rsid w:val="00B05B31"/>
    <w:rsid w:val="00B070F1"/>
    <w:rsid w:val="00B12525"/>
    <w:rsid w:val="00B14299"/>
    <w:rsid w:val="00B344BE"/>
    <w:rsid w:val="00B441BB"/>
    <w:rsid w:val="00B453B0"/>
    <w:rsid w:val="00B45809"/>
    <w:rsid w:val="00B4741D"/>
    <w:rsid w:val="00B4767F"/>
    <w:rsid w:val="00B568BE"/>
    <w:rsid w:val="00B632AB"/>
    <w:rsid w:val="00B64E36"/>
    <w:rsid w:val="00B66E49"/>
    <w:rsid w:val="00B72CBE"/>
    <w:rsid w:val="00B73261"/>
    <w:rsid w:val="00B858B1"/>
    <w:rsid w:val="00B86AED"/>
    <w:rsid w:val="00B86B75"/>
    <w:rsid w:val="00B917D0"/>
    <w:rsid w:val="00B91B81"/>
    <w:rsid w:val="00B92D88"/>
    <w:rsid w:val="00BA4933"/>
    <w:rsid w:val="00BB1135"/>
    <w:rsid w:val="00BB1609"/>
    <w:rsid w:val="00BB52B0"/>
    <w:rsid w:val="00BC7901"/>
    <w:rsid w:val="00BD0B56"/>
    <w:rsid w:val="00BD232F"/>
    <w:rsid w:val="00BD2402"/>
    <w:rsid w:val="00BD657E"/>
    <w:rsid w:val="00BE581D"/>
    <w:rsid w:val="00BE7533"/>
    <w:rsid w:val="00BF1EB4"/>
    <w:rsid w:val="00BF457E"/>
    <w:rsid w:val="00BF6267"/>
    <w:rsid w:val="00C00C2F"/>
    <w:rsid w:val="00C02965"/>
    <w:rsid w:val="00C02DBB"/>
    <w:rsid w:val="00C037BD"/>
    <w:rsid w:val="00C03A54"/>
    <w:rsid w:val="00C07020"/>
    <w:rsid w:val="00C10549"/>
    <w:rsid w:val="00C1141A"/>
    <w:rsid w:val="00C12CF1"/>
    <w:rsid w:val="00C16FDE"/>
    <w:rsid w:val="00C17537"/>
    <w:rsid w:val="00C2019B"/>
    <w:rsid w:val="00C219F5"/>
    <w:rsid w:val="00C245BF"/>
    <w:rsid w:val="00C247B4"/>
    <w:rsid w:val="00C252B4"/>
    <w:rsid w:val="00C257EE"/>
    <w:rsid w:val="00C25DEF"/>
    <w:rsid w:val="00C32D11"/>
    <w:rsid w:val="00C356C4"/>
    <w:rsid w:val="00C41270"/>
    <w:rsid w:val="00C453D2"/>
    <w:rsid w:val="00C4728D"/>
    <w:rsid w:val="00C550B5"/>
    <w:rsid w:val="00C56397"/>
    <w:rsid w:val="00C56840"/>
    <w:rsid w:val="00C64D4D"/>
    <w:rsid w:val="00C707D8"/>
    <w:rsid w:val="00C73453"/>
    <w:rsid w:val="00C750BA"/>
    <w:rsid w:val="00C80321"/>
    <w:rsid w:val="00C80A1C"/>
    <w:rsid w:val="00C87E6E"/>
    <w:rsid w:val="00C93E80"/>
    <w:rsid w:val="00C95B5C"/>
    <w:rsid w:val="00C96F62"/>
    <w:rsid w:val="00CA21D0"/>
    <w:rsid w:val="00CA259F"/>
    <w:rsid w:val="00CA5E09"/>
    <w:rsid w:val="00CB13FC"/>
    <w:rsid w:val="00CB2490"/>
    <w:rsid w:val="00CB3835"/>
    <w:rsid w:val="00CB40FF"/>
    <w:rsid w:val="00CB4EB1"/>
    <w:rsid w:val="00CB68C1"/>
    <w:rsid w:val="00CC002B"/>
    <w:rsid w:val="00CC3744"/>
    <w:rsid w:val="00CC5115"/>
    <w:rsid w:val="00CD1431"/>
    <w:rsid w:val="00CD38E4"/>
    <w:rsid w:val="00CF6447"/>
    <w:rsid w:val="00CF789E"/>
    <w:rsid w:val="00D13735"/>
    <w:rsid w:val="00D15417"/>
    <w:rsid w:val="00D16E96"/>
    <w:rsid w:val="00D254E3"/>
    <w:rsid w:val="00D347BC"/>
    <w:rsid w:val="00D36F0F"/>
    <w:rsid w:val="00D41DC2"/>
    <w:rsid w:val="00D4459C"/>
    <w:rsid w:val="00D52B65"/>
    <w:rsid w:val="00D54231"/>
    <w:rsid w:val="00D630DA"/>
    <w:rsid w:val="00D6365B"/>
    <w:rsid w:val="00D6503C"/>
    <w:rsid w:val="00D66712"/>
    <w:rsid w:val="00D67EEA"/>
    <w:rsid w:val="00D769AC"/>
    <w:rsid w:val="00D775D4"/>
    <w:rsid w:val="00D80813"/>
    <w:rsid w:val="00D80DC1"/>
    <w:rsid w:val="00D810B2"/>
    <w:rsid w:val="00D87515"/>
    <w:rsid w:val="00D96208"/>
    <w:rsid w:val="00D9665B"/>
    <w:rsid w:val="00D96E86"/>
    <w:rsid w:val="00DA7629"/>
    <w:rsid w:val="00DB2D66"/>
    <w:rsid w:val="00DB68B3"/>
    <w:rsid w:val="00DB6C47"/>
    <w:rsid w:val="00DC2E98"/>
    <w:rsid w:val="00DC487E"/>
    <w:rsid w:val="00DC4D56"/>
    <w:rsid w:val="00DC501E"/>
    <w:rsid w:val="00DC53D6"/>
    <w:rsid w:val="00DD0ABF"/>
    <w:rsid w:val="00DD35F4"/>
    <w:rsid w:val="00DD4ABF"/>
    <w:rsid w:val="00DD5893"/>
    <w:rsid w:val="00DD6303"/>
    <w:rsid w:val="00DD6621"/>
    <w:rsid w:val="00DD68DD"/>
    <w:rsid w:val="00DE6479"/>
    <w:rsid w:val="00DE6ED7"/>
    <w:rsid w:val="00DE735D"/>
    <w:rsid w:val="00DF295A"/>
    <w:rsid w:val="00DF3B59"/>
    <w:rsid w:val="00DF4D0C"/>
    <w:rsid w:val="00DF6AE5"/>
    <w:rsid w:val="00DF763E"/>
    <w:rsid w:val="00DF772A"/>
    <w:rsid w:val="00E01195"/>
    <w:rsid w:val="00E01614"/>
    <w:rsid w:val="00E0302F"/>
    <w:rsid w:val="00E072D2"/>
    <w:rsid w:val="00E07BDD"/>
    <w:rsid w:val="00E10217"/>
    <w:rsid w:val="00E115C9"/>
    <w:rsid w:val="00E11D31"/>
    <w:rsid w:val="00E15DF1"/>
    <w:rsid w:val="00E1608E"/>
    <w:rsid w:val="00E16F8E"/>
    <w:rsid w:val="00E20BA0"/>
    <w:rsid w:val="00E23E66"/>
    <w:rsid w:val="00E254BF"/>
    <w:rsid w:val="00E33F5A"/>
    <w:rsid w:val="00E35830"/>
    <w:rsid w:val="00E36D37"/>
    <w:rsid w:val="00E4706A"/>
    <w:rsid w:val="00E51E8C"/>
    <w:rsid w:val="00E56708"/>
    <w:rsid w:val="00E60527"/>
    <w:rsid w:val="00E74097"/>
    <w:rsid w:val="00E74F57"/>
    <w:rsid w:val="00E80BFD"/>
    <w:rsid w:val="00E826C7"/>
    <w:rsid w:val="00E826EA"/>
    <w:rsid w:val="00E82DBF"/>
    <w:rsid w:val="00E833E9"/>
    <w:rsid w:val="00E87871"/>
    <w:rsid w:val="00E90C3D"/>
    <w:rsid w:val="00E92A4A"/>
    <w:rsid w:val="00E93047"/>
    <w:rsid w:val="00EA4386"/>
    <w:rsid w:val="00EA5A5E"/>
    <w:rsid w:val="00EA7D3A"/>
    <w:rsid w:val="00EB2F61"/>
    <w:rsid w:val="00EB38BE"/>
    <w:rsid w:val="00EC39F7"/>
    <w:rsid w:val="00ED0BE5"/>
    <w:rsid w:val="00ED10FE"/>
    <w:rsid w:val="00ED4839"/>
    <w:rsid w:val="00ED5044"/>
    <w:rsid w:val="00EE3C4F"/>
    <w:rsid w:val="00EE401B"/>
    <w:rsid w:val="00EE5B00"/>
    <w:rsid w:val="00EE5CC3"/>
    <w:rsid w:val="00EF2CC4"/>
    <w:rsid w:val="00EF324D"/>
    <w:rsid w:val="00EF3A13"/>
    <w:rsid w:val="00EF405C"/>
    <w:rsid w:val="00EF6EF8"/>
    <w:rsid w:val="00F03198"/>
    <w:rsid w:val="00F04EF1"/>
    <w:rsid w:val="00F05169"/>
    <w:rsid w:val="00F05F2F"/>
    <w:rsid w:val="00F0692F"/>
    <w:rsid w:val="00F12299"/>
    <w:rsid w:val="00F134B8"/>
    <w:rsid w:val="00F14F0B"/>
    <w:rsid w:val="00F156F6"/>
    <w:rsid w:val="00F1759F"/>
    <w:rsid w:val="00F17EF9"/>
    <w:rsid w:val="00F207E4"/>
    <w:rsid w:val="00F23C6F"/>
    <w:rsid w:val="00F2414F"/>
    <w:rsid w:val="00F27610"/>
    <w:rsid w:val="00F3020D"/>
    <w:rsid w:val="00F4408A"/>
    <w:rsid w:val="00F44C56"/>
    <w:rsid w:val="00F4567A"/>
    <w:rsid w:val="00F46E9F"/>
    <w:rsid w:val="00F47622"/>
    <w:rsid w:val="00F51CE6"/>
    <w:rsid w:val="00F611D3"/>
    <w:rsid w:val="00F617ED"/>
    <w:rsid w:val="00F61E01"/>
    <w:rsid w:val="00F630A1"/>
    <w:rsid w:val="00F64008"/>
    <w:rsid w:val="00F751D6"/>
    <w:rsid w:val="00F76E10"/>
    <w:rsid w:val="00F80208"/>
    <w:rsid w:val="00F82DEF"/>
    <w:rsid w:val="00F83A8C"/>
    <w:rsid w:val="00F86A19"/>
    <w:rsid w:val="00F86C65"/>
    <w:rsid w:val="00F87D83"/>
    <w:rsid w:val="00F907DB"/>
    <w:rsid w:val="00F94266"/>
    <w:rsid w:val="00F9495D"/>
    <w:rsid w:val="00F975D7"/>
    <w:rsid w:val="00F97D2F"/>
    <w:rsid w:val="00FA1260"/>
    <w:rsid w:val="00FA5A63"/>
    <w:rsid w:val="00FA6479"/>
    <w:rsid w:val="00FB4A8F"/>
    <w:rsid w:val="00FB57D2"/>
    <w:rsid w:val="00FC06D8"/>
    <w:rsid w:val="00FC0DC7"/>
    <w:rsid w:val="00FC2C1F"/>
    <w:rsid w:val="00FC69EA"/>
    <w:rsid w:val="00FD13F3"/>
    <w:rsid w:val="00FD6474"/>
    <w:rsid w:val="00FD7493"/>
    <w:rsid w:val="00FE0B44"/>
    <w:rsid w:val="00FE3C3C"/>
    <w:rsid w:val="00FE5C2B"/>
    <w:rsid w:val="00FE5EB2"/>
    <w:rsid w:val="00FE5ECF"/>
    <w:rsid w:val="00FE79C1"/>
    <w:rsid w:val="00FE7D11"/>
    <w:rsid w:val="00FE7F34"/>
    <w:rsid w:val="00FF2503"/>
    <w:rsid w:val="00FF6C9B"/>
    <w:rsid w:val="00FF7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EA124"/>
  <w15:chartTrackingRefBased/>
  <w15:docId w15:val="{03B7C7E3-FFB9-4DA1-8CCB-0889D2579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6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6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5_G"/>
    <w:basedOn w:val="Normal"/>
    <w:link w:val="FootnoteTextChar"/>
    <w:uiPriority w:val="99"/>
    <w:unhideWhenUsed/>
    <w:qFormat/>
    <w:rsid w:val="006D4E3A"/>
    <w:pPr>
      <w:spacing w:after="0" w:line="240" w:lineRule="auto"/>
    </w:pPr>
    <w:rPr>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qFormat/>
    <w:rsid w:val="006D4E3A"/>
    <w:rPr>
      <w:sz w:val="20"/>
      <w:szCs w:val="20"/>
    </w:rPr>
  </w:style>
  <w:style w:type="character" w:styleId="FootnoteReference">
    <w:name w:val="footnote reference"/>
    <w:aliases w:val="16 Point,Superscript 6 Point, Char Char, Carattere Char1, Carattere Char Char Carattere Carattere Char Char,ftref,Carattere Char1,Carattere Char Char Carattere Carattere Char Char, BVI fnr,BVI fnr, BVI fnr Car Car,4_GR,BVI fnr Car Car"/>
    <w:basedOn w:val="DefaultParagraphFont"/>
    <w:link w:val="Char2"/>
    <w:uiPriority w:val="99"/>
    <w:unhideWhenUsed/>
    <w:qFormat/>
    <w:rsid w:val="006D4E3A"/>
    <w:rPr>
      <w:vertAlign w:val="superscript"/>
    </w:rPr>
  </w:style>
  <w:style w:type="paragraph" w:customStyle="1" w:styleId="Default">
    <w:name w:val="Default"/>
    <w:rsid w:val="00377CB6"/>
    <w:pPr>
      <w:autoSpaceDE w:val="0"/>
      <w:autoSpaceDN w:val="0"/>
      <w:adjustRightInd w:val="0"/>
      <w:spacing w:after="0" w:line="240" w:lineRule="auto"/>
    </w:pPr>
    <w:rPr>
      <w:rFonts w:ascii="Sylfaen" w:hAnsi="Sylfaen" w:cs="Sylfaen"/>
      <w:color w:val="000000"/>
      <w:sz w:val="24"/>
      <w:szCs w:val="24"/>
    </w:rPr>
  </w:style>
  <w:style w:type="character" w:styleId="CommentReference">
    <w:name w:val="annotation reference"/>
    <w:basedOn w:val="DefaultParagraphFont"/>
    <w:uiPriority w:val="99"/>
    <w:semiHidden/>
    <w:unhideWhenUsed/>
    <w:rsid w:val="00FE7D11"/>
    <w:rPr>
      <w:sz w:val="16"/>
      <w:szCs w:val="16"/>
    </w:rPr>
  </w:style>
  <w:style w:type="paragraph" w:styleId="CommentText">
    <w:name w:val="annotation text"/>
    <w:basedOn w:val="Normal"/>
    <w:link w:val="CommentTextChar"/>
    <w:uiPriority w:val="99"/>
    <w:semiHidden/>
    <w:unhideWhenUsed/>
    <w:rsid w:val="00FE7D11"/>
    <w:pPr>
      <w:spacing w:line="240" w:lineRule="auto"/>
    </w:pPr>
    <w:rPr>
      <w:sz w:val="20"/>
      <w:szCs w:val="20"/>
    </w:rPr>
  </w:style>
  <w:style w:type="character" w:customStyle="1" w:styleId="CommentTextChar">
    <w:name w:val="Comment Text Char"/>
    <w:basedOn w:val="DefaultParagraphFont"/>
    <w:link w:val="CommentText"/>
    <w:uiPriority w:val="99"/>
    <w:semiHidden/>
    <w:rsid w:val="00FE7D11"/>
    <w:rPr>
      <w:sz w:val="20"/>
      <w:szCs w:val="20"/>
    </w:rPr>
  </w:style>
  <w:style w:type="paragraph" w:styleId="CommentSubject">
    <w:name w:val="annotation subject"/>
    <w:basedOn w:val="CommentText"/>
    <w:next w:val="CommentText"/>
    <w:link w:val="CommentSubjectChar"/>
    <w:uiPriority w:val="99"/>
    <w:semiHidden/>
    <w:unhideWhenUsed/>
    <w:rsid w:val="00FE7D11"/>
    <w:rPr>
      <w:b/>
      <w:bCs/>
    </w:rPr>
  </w:style>
  <w:style w:type="character" w:customStyle="1" w:styleId="CommentSubjectChar">
    <w:name w:val="Comment Subject Char"/>
    <w:basedOn w:val="CommentTextChar"/>
    <w:link w:val="CommentSubject"/>
    <w:uiPriority w:val="99"/>
    <w:semiHidden/>
    <w:rsid w:val="00FE7D11"/>
    <w:rPr>
      <w:b/>
      <w:bCs/>
      <w:sz w:val="20"/>
      <w:szCs w:val="20"/>
    </w:rPr>
  </w:style>
  <w:style w:type="character" w:styleId="Hyperlink">
    <w:name w:val="Hyperlink"/>
    <w:basedOn w:val="DefaultParagraphFont"/>
    <w:uiPriority w:val="99"/>
    <w:unhideWhenUsed/>
    <w:rsid w:val="006A5C0F"/>
    <w:rPr>
      <w:color w:val="0563C1" w:themeColor="hyperlink"/>
      <w:u w:val="single"/>
    </w:rPr>
  </w:style>
  <w:style w:type="character" w:styleId="UnresolvedMention">
    <w:name w:val="Unresolved Mention"/>
    <w:basedOn w:val="DefaultParagraphFont"/>
    <w:uiPriority w:val="99"/>
    <w:semiHidden/>
    <w:unhideWhenUsed/>
    <w:rsid w:val="006A5C0F"/>
    <w:rPr>
      <w:color w:val="605E5C"/>
      <w:shd w:val="clear" w:color="auto" w:fill="E1DFDD"/>
    </w:rPr>
  </w:style>
  <w:style w:type="paragraph" w:customStyle="1" w:styleId="Char2">
    <w:name w:val="Char2"/>
    <w:basedOn w:val="Normal"/>
    <w:link w:val="FootnoteReference"/>
    <w:uiPriority w:val="99"/>
    <w:qFormat/>
    <w:rsid w:val="00BF6267"/>
    <w:pPr>
      <w:spacing w:line="240" w:lineRule="exact"/>
    </w:pPr>
    <w:rPr>
      <w:vertAlign w:val="superscript"/>
    </w:rPr>
  </w:style>
  <w:style w:type="character" w:styleId="FollowedHyperlink">
    <w:name w:val="FollowedHyperlink"/>
    <w:basedOn w:val="DefaultParagraphFont"/>
    <w:uiPriority w:val="99"/>
    <w:semiHidden/>
    <w:unhideWhenUsed/>
    <w:rsid w:val="00F17EF9"/>
    <w:rPr>
      <w:color w:val="954F72" w:themeColor="followedHyperlink"/>
      <w:u w:val="single"/>
    </w:rPr>
  </w:style>
  <w:style w:type="paragraph" w:styleId="Revision">
    <w:name w:val="Revision"/>
    <w:hidden/>
    <w:uiPriority w:val="99"/>
    <w:semiHidden/>
    <w:rsid w:val="00213AD3"/>
    <w:pPr>
      <w:spacing w:after="0" w:line="240" w:lineRule="auto"/>
    </w:pPr>
  </w:style>
  <w:style w:type="paragraph" w:styleId="NormalWeb">
    <w:name w:val="Normal (Web)"/>
    <w:basedOn w:val="Normal"/>
    <w:uiPriority w:val="99"/>
    <w:unhideWhenUsed/>
    <w:rsid w:val="00AD31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456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567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416E8"/>
    <w:pPr>
      <w:outlineLvl w:val="9"/>
    </w:pPr>
  </w:style>
  <w:style w:type="paragraph" w:styleId="TOC1">
    <w:name w:val="toc 1"/>
    <w:basedOn w:val="Normal"/>
    <w:next w:val="Normal"/>
    <w:autoRedefine/>
    <w:uiPriority w:val="39"/>
    <w:unhideWhenUsed/>
    <w:rsid w:val="009416E8"/>
    <w:pPr>
      <w:spacing w:after="100"/>
    </w:pPr>
  </w:style>
  <w:style w:type="paragraph" w:styleId="TOC2">
    <w:name w:val="toc 2"/>
    <w:basedOn w:val="Normal"/>
    <w:next w:val="Normal"/>
    <w:autoRedefine/>
    <w:uiPriority w:val="39"/>
    <w:unhideWhenUsed/>
    <w:rsid w:val="00BE7533"/>
    <w:pPr>
      <w:tabs>
        <w:tab w:val="right" w:leader="dot" w:pos="9350"/>
      </w:tabs>
      <w:spacing w:after="100"/>
      <w:ind w:left="220"/>
    </w:pPr>
  </w:style>
  <w:style w:type="paragraph" w:styleId="Header">
    <w:name w:val="header"/>
    <w:basedOn w:val="Normal"/>
    <w:link w:val="HeaderChar"/>
    <w:uiPriority w:val="99"/>
    <w:unhideWhenUsed/>
    <w:rsid w:val="00996C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CB2"/>
  </w:style>
  <w:style w:type="paragraph" w:styleId="Footer">
    <w:name w:val="footer"/>
    <w:basedOn w:val="Normal"/>
    <w:link w:val="FooterChar"/>
    <w:uiPriority w:val="99"/>
    <w:unhideWhenUsed/>
    <w:rsid w:val="00996C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8" Type="http://schemas.openxmlformats.org/officeDocument/2006/relationships/hyperlink" Target="https://bit.ly/3SOUmzI" TargetMode="External"/><Relationship Id="rId13" Type="http://schemas.openxmlformats.org/officeDocument/2006/relationships/hyperlink" Target="https://bit.ly/3CYWgc1" TargetMode="External"/><Relationship Id="rId3" Type="http://schemas.openxmlformats.org/officeDocument/2006/relationships/hyperlink" Target="https://rb.gy/bdsutp" TargetMode="External"/><Relationship Id="rId7" Type="http://schemas.openxmlformats.org/officeDocument/2006/relationships/hyperlink" Target="https://bit.ly/3E94ChV" TargetMode="External"/><Relationship Id="rId12" Type="http://schemas.openxmlformats.org/officeDocument/2006/relationships/hyperlink" Target="https://bit.ly/3COXDtq" TargetMode="External"/><Relationship Id="rId17" Type="http://schemas.openxmlformats.org/officeDocument/2006/relationships/hyperlink" Target="https://bit.ly/3yRfwWW" TargetMode="External"/><Relationship Id="rId2" Type="http://schemas.openxmlformats.org/officeDocument/2006/relationships/hyperlink" Target="https://bit.ly/3PgjoX2" TargetMode="External"/><Relationship Id="rId16" Type="http://schemas.openxmlformats.org/officeDocument/2006/relationships/hyperlink" Target="https://bit.ly/3Cn5ZqZ" TargetMode="External"/><Relationship Id="rId1" Type="http://schemas.openxmlformats.org/officeDocument/2006/relationships/hyperlink" Target="https://bit.ly/3L1xCrL" TargetMode="External"/><Relationship Id="rId6" Type="http://schemas.openxmlformats.org/officeDocument/2006/relationships/hyperlink" Target="https://bit.ly/3yzNu1w" TargetMode="External"/><Relationship Id="rId11" Type="http://schemas.openxmlformats.org/officeDocument/2006/relationships/hyperlink" Target="https://bit.ly/3Ca7xEK" TargetMode="External"/><Relationship Id="rId5" Type="http://schemas.openxmlformats.org/officeDocument/2006/relationships/hyperlink" Target="https://bit.ly/3Cpq3ZS" TargetMode="External"/><Relationship Id="rId15" Type="http://schemas.openxmlformats.org/officeDocument/2006/relationships/hyperlink" Target="https://bit.ly/3ytgesD" TargetMode="External"/><Relationship Id="rId10" Type="http://schemas.openxmlformats.org/officeDocument/2006/relationships/hyperlink" Target="https://rm.coe.int/book-eng/1680a583d0" TargetMode="External"/><Relationship Id="rId4" Type="http://schemas.openxmlformats.org/officeDocument/2006/relationships/hyperlink" Target="https://bit.ly/3CtPpqo" TargetMode="External"/><Relationship Id="rId9" Type="http://schemas.openxmlformats.org/officeDocument/2006/relationships/hyperlink" Target="https://bit.ly/3LYxuLX" TargetMode="External"/><Relationship Id="rId14" Type="http://schemas.openxmlformats.org/officeDocument/2006/relationships/hyperlink" Target="https://rb.gy/g0rx5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97A420-C8DC-4572-BEC1-C0B4E17E9A09}">
  <ds:schemaRefs>
    <ds:schemaRef ds:uri="http://schemas.openxmlformats.org/officeDocument/2006/bibliography"/>
  </ds:schemaRefs>
</ds:datastoreItem>
</file>

<file path=customXml/itemProps2.xml><?xml version="1.0" encoding="utf-8"?>
<ds:datastoreItem xmlns:ds="http://schemas.openxmlformats.org/officeDocument/2006/customXml" ds:itemID="{D0A11D5B-5CC9-4136-9FD6-47049462D790}"/>
</file>

<file path=customXml/itemProps3.xml><?xml version="1.0" encoding="utf-8"?>
<ds:datastoreItem xmlns:ds="http://schemas.openxmlformats.org/officeDocument/2006/customXml" ds:itemID="{9FAC6E8C-FD54-4A29-B2ED-A96E9EF9EA28}"/>
</file>

<file path=customXml/itemProps4.xml><?xml version="1.0" encoding="utf-8"?>
<ds:datastoreItem xmlns:ds="http://schemas.openxmlformats.org/officeDocument/2006/customXml" ds:itemID="{108C5E88-94B2-4ADA-AD0E-1FF310337023}"/>
</file>

<file path=docProps/app.xml><?xml version="1.0" encoding="utf-8"?>
<Properties xmlns="http://schemas.openxmlformats.org/officeDocument/2006/extended-properties" xmlns:vt="http://schemas.openxmlformats.org/officeDocument/2006/docPropsVTypes">
  <Template>Normal</Template>
  <TotalTime>145</TotalTime>
  <Pages>19</Pages>
  <Words>5063</Words>
  <Characters>28863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Gomarteli</dc:creator>
  <cp:keywords/>
  <dc:description/>
  <cp:lastModifiedBy>Salome Gomarteli</cp:lastModifiedBy>
  <cp:revision>111</cp:revision>
  <dcterms:created xsi:type="dcterms:W3CDTF">2022-10-20T08:56:00Z</dcterms:created>
  <dcterms:modified xsi:type="dcterms:W3CDTF">2022-10-24T14:01:00Z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1dcca9f0c2a5daad852199470c2d67e7abc5d8b6959c583e68badf5e90bbd8f8</vt:lpwstr>
  </property>
  <property fmtid="{D5CDD505-2E9C-101B-9397-08002B2CF9AE}" pid="3" name="ContentTypeId">
    <vt:lpwstr>0x010100619F83A6D186D14591065E56FDFCE7B0</vt:lpwstr>
  </property>
</Properties>
</file>