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1ACB9" w14:textId="77777777" w:rsidR="00507092" w:rsidRPr="0081413A" w:rsidRDefault="00507092" w:rsidP="007B7EDC">
      <w:pPr>
        <w:spacing w:before="80" w:after="80" w:line="278" w:lineRule="auto"/>
        <w:ind w:right="282"/>
        <w:jc w:val="center"/>
        <w:rPr>
          <w:rFonts w:ascii="Palatino Linotype" w:hAnsi="Palatino Linotype"/>
          <w:b/>
          <w:bCs/>
          <w:sz w:val="26"/>
          <w:szCs w:val="26"/>
          <w:lang w:val="en-GB"/>
        </w:rPr>
      </w:pPr>
      <w:r w:rsidRPr="0081413A">
        <w:rPr>
          <w:rFonts w:ascii="Palatino Linotype" w:hAnsi="Palatino Linotype"/>
          <w:b/>
          <w:bCs/>
          <w:sz w:val="26"/>
          <w:szCs w:val="26"/>
          <w:lang w:val="en-GB"/>
        </w:rPr>
        <w:t>Seventh Periodic report of Italy concerning the implementation of the</w:t>
      </w:r>
      <w:r>
        <w:rPr>
          <w:rFonts w:ascii="Palatino Linotype" w:hAnsi="Palatino Linotype"/>
          <w:b/>
          <w:bCs/>
          <w:sz w:val="26"/>
          <w:szCs w:val="26"/>
          <w:lang w:val="en-GB"/>
        </w:rPr>
        <w:t xml:space="preserve"> </w:t>
      </w:r>
      <w:r w:rsidRPr="0081413A">
        <w:rPr>
          <w:rFonts w:ascii="Palatino Linotype" w:hAnsi="Palatino Linotype"/>
          <w:b/>
          <w:bCs/>
          <w:sz w:val="26"/>
          <w:szCs w:val="26"/>
          <w:lang w:val="en-GB"/>
        </w:rPr>
        <w:t>Convention Against Torture</w:t>
      </w:r>
    </w:p>
    <w:p w14:paraId="7FBBF7F7" w14:textId="77777777" w:rsidR="00507092" w:rsidRPr="0081413A" w:rsidRDefault="00507092" w:rsidP="007B7EDC">
      <w:pPr>
        <w:spacing w:before="80" w:after="80" w:line="278" w:lineRule="auto"/>
        <w:ind w:left="567" w:right="282"/>
        <w:rPr>
          <w:rFonts w:ascii="Palatino Linotype" w:hAnsi="Palatino Linotype"/>
          <w:b/>
          <w:bCs/>
          <w:sz w:val="26"/>
          <w:szCs w:val="26"/>
          <w:lang w:val="en-GB"/>
        </w:rPr>
      </w:pPr>
    </w:p>
    <w:p w14:paraId="6924B8DD" w14:textId="77777777" w:rsidR="00507092" w:rsidRPr="0081413A" w:rsidRDefault="00507092" w:rsidP="007B7EDC">
      <w:pPr>
        <w:spacing w:before="80" w:after="80" w:line="278" w:lineRule="auto"/>
        <w:ind w:left="567" w:right="282"/>
        <w:jc w:val="center"/>
        <w:rPr>
          <w:rFonts w:ascii="Palatino Linotype" w:hAnsi="Palatino Linotype"/>
          <w:b/>
          <w:bCs/>
          <w:sz w:val="26"/>
          <w:szCs w:val="26"/>
          <w:lang w:val="en-GB"/>
        </w:rPr>
      </w:pPr>
      <w:r w:rsidRPr="0081413A">
        <w:rPr>
          <w:rFonts w:ascii="Palatino Linotype" w:hAnsi="Palatino Linotype"/>
          <w:b/>
          <w:bCs/>
          <w:sz w:val="26"/>
          <w:szCs w:val="26"/>
          <w:lang w:val="en-GB"/>
        </w:rPr>
        <w:t xml:space="preserve"> National Guarantor for the Rights of Persons Deprived of Liberty (Italian NPM)</w:t>
      </w:r>
    </w:p>
    <w:p w14:paraId="40D4D31F" w14:textId="77777777" w:rsidR="00507092" w:rsidRPr="0081413A" w:rsidRDefault="00507092" w:rsidP="007B7EDC">
      <w:pPr>
        <w:spacing w:before="80" w:after="80" w:line="278" w:lineRule="auto"/>
        <w:ind w:left="567" w:right="282"/>
        <w:rPr>
          <w:rFonts w:ascii="Palatino Linotype" w:hAnsi="Palatino Linotype"/>
          <w:b/>
          <w:bCs/>
          <w:sz w:val="26"/>
          <w:szCs w:val="26"/>
          <w:lang w:val="en-GB"/>
        </w:rPr>
      </w:pPr>
    </w:p>
    <w:p w14:paraId="3FB42820" w14:textId="77777777" w:rsidR="00507092" w:rsidRPr="0081413A" w:rsidRDefault="00507092" w:rsidP="007B7EDC">
      <w:pPr>
        <w:spacing w:before="80" w:after="80" w:line="278" w:lineRule="auto"/>
        <w:ind w:left="567" w:right="282"/>
        <w:jc w:val="center"/>
        <w:rPr>
          <w:rFonts w:ascii="Palatino Linotype" w:hAnsi="Palatino Linotype"/>
          <w:sz w:val="26"/>
          <w:szCs w:val="26"/>
          <w:lang w:val="en-GB"/>
        </w:rPr>
      </w:pPr>
      <w:r w:rsidRPr="0081413A">
        <w:rPr>
          <w:rFonts w:ascii="Palatino Linotype" w:hAnsi="Palatino Linotype"/>
          <w:sz w:val="26"/>
          <w:szCs w:val="26"/>
          <w:lang w:val="en-GB"/>
        </w:rPr>
        <w:t>*******</w:t>
      </w:r>
    </w:p>
    <w:p w14:paraId="7D74219F" w14:textId="77777777" w:rsidR="00507092" w:rsidRPr="0081413A" w:rsidRDefault="00507092" w:rsidP="007B7EDC">
      <w:pPr>
        <w:spacing w:before="80" w:after="80" w:line="278" w:lineRule="auto"/>
        <w:ind w:left="567" w:right="282"/>
        <w:jc w:val="both"/>
        <w:rPr>
          <w:rFonts w:ascii="Palatino Linotype" w:hAnsi="Palatino Linotype" w:cs="Calibri"/>
          <w:b/>
          <w:bCs/>
          <w:sz w:val="26"/>
          <w:szCs w:val="26"/>
          <w:lang w:val="en-GB"/>
        </w:rPr>
      </w:pPr>
    </w:p>
    <w:p w14:paraId="6B3AD455" w14:textId="77777777" w:rsidR="00507092" w:rsidRPr="0081413A" w:rsidRDefault="00507092" w:rsidP="007B7EDC">
      <w:pPr>
        <w:spacing w:before="80" w:after="80" w:line="278" w:lineRule="auto"/>
        <w:ind w:left="567" w:right="282"/>
        <w:jc w:val="both"/>
        <w:rPr>
          <w:rFonts w:ascii="Palatino Linotype" w:hAnsi="Palatino Linotype" w:cs="Calibri"/>
          <w:b/>
          <w:bCs/>
          <w:sz w:val="26"/>
          <w:szCs w:val="26"/>
          <w:lang w:val="en-GB"/>
        </w:rPr>
      </w:pPr>
      <w:r w:rsidRPr="0081413A">
        <w:rPr>
          <w:rFonts w:ascii="Palatino Linotype" w:hAnsi="Palatino Linotype" w:cs="Calibri"/>
          <w:b/>
          <w:bCs/>
          <w:sz w:val="26"/>
          <w:szCs w:val="26"/>
          <w:lang w:val="en-GB"/>
        </w:rPr>
        <w:t>The establishment of the NHRI in Italy</w:t>
      </w:r>
    </w:p>
    <w:p w14:paraId="4AF0BF95" w14:textId="77777777" w:rsidR="00507092" w:rsidRPr="0081413A" w:rsidRDefault="00507092" w:rsidP="007B7EDC">
      <w:pPr>
        <w:spacing w:before="80" w:after="80" w:line="278" w:lineRule="auto"/>
        <w:ind w:left="567" w:right="282"/>
        <w:jc w:val="both"/>
        <w:rPr>
          <w:rFonts w:ascii="Palatino Linotype" w:hAnsi="Palatino Linotype" w:cs="Calibri"/>
          <w:b/>
          <w:bCs/>
          <w:sz w:val="26"/>
          <w:szCs w:val="26"/>
          <w:lang w:val="en-GB"/>
        </w:rPr>
      </w:pPr>
    </w:p>
    <w:p w14:paraId="10F296F7" w14:textId="77777777" w:rsidR="00507092" w:rsidRPr="0081413A" w:rsidRDefault="00507092" w:rsidP="007B7EDC">
      <w:pPr>
        <w:tabs>
          <w:tab w:val="left" w:pos="851"/>
        </w:tabs>
        <w:spacing w:before="80" w:after="80" w:line="278" w:lineRule="auto"/>
        <w:ind w:left="567" w:right="282"/>
        <w:jc w:val="both"/>
        <w:rPr>
          <w:rFonts w:ascii="Palatino Linotype" w:hAnsi="Palatino Linotype" w:cs="Calibri"/>
          <w:sz w:val="26"/>
          <w:szCs w:val="26"/>
          <w:lang w:val="en-GB"/>
        </w:rPr>
      </w:pPr>
      <w:r w:rsidRPr="0081413A">
        <w:rPr>
          <w:rFonts w:ascii="Palatino Linotype" w:hAnsi="Palatino Linotype" w:cs="Calibri"/>
          <w:sz w:val="26"/>
          <w:szCs w:val="26"/>
          <w:lang w:val="en-GB"/>
        </w:rPr>
        <w:t>1</w:t>
      </w:r>
      <w:r w:rsidRPr="0081413A">
        <w:rPr>
          <w:rFonts w:ascii="Palatino Linotype" w:hAnsi="Palatino Linotype" w:cs="Calibri"/>
          <w:sz w:val="26"/>
          <w:szCs w:val="26"/>
          <w:lang w:val="en-GB"/>
        </w:rPr>
        <w:tab/>
        <w:t>Regarding the establishment of the NHRI in Italy, here below are expressed the GNPL’s considerations.</w:t>
      </w:r>
    </w:p>
    <w:p w14:paraId="4596416B" w14:textId="77777777" w:rsidR="00507092" w:rsidRPr="0081413A" w:rsidRDefault="00507092" w:rsidP="007B7EDC">
      <w:pPr>
        <w:tabs>
          <w:tab w:val="left" w:pos="851"/>
        </w:tabs>
        <w:spacing w:before="80" w:after="80" w:line="278" w:lineRule="auto"/>
        <w:ind w:left="567" w:right="282"/>
        <w:jc w:val="both"/>
        <w:rPr>
          <w:rFonts w:ascii="Palatino Linotype" w:hAnsi="Palatino Linotype" w:cs="Calibri"/>
          <w:sz w:val="26"/>
          <w:szCs w:val="26"/>
          <w:lang w:val="en-GB"/>
        </w:rPr>
      </w:pPr>
      <w:r w:rsidRPr="0081413A">
        <w:rPr>
          <w:rFonts w:ascii="Palatino Linotype" w:hAnsi="Palatino Linotype" w:cs="Calibri"/>
          <w:sz w:val="26"/>
          <w:szCs w:val="26"/>
          <w:lang w:val="en-GB"/>
        </w:rPr>
        <w:t>2</w:t>
      </w:r>
      <w:r w:rsidRPr="0081413A">
        <w:rPr>
          <w:rFonts w:ascii="Palatino Linotype" w:hAnsi="Palatino Linotype" w:cs="Calibri"/>
          <w:sz w:val="26"/>
          <w:szCs w:val="26"/>
          <w:lang w:val="en-GB"/>
        </w:rPr>
        <w:tab/>
        <w:t>For the sake of systemic consistency, it is to remember the</w:t>
      </w:r>
      <w:r>
        <w:rPr>
          <w:rFonts w:ascii="Palatino Linotype" w:hAnsi="Palatino Linotype" w:cs="Calibri"/>
          <w:sz w:val="26"/>
          <w:szCs w:val="26"/>
          <w:lang w:val="en-GB"/>
        </w:rPr>
        <w:t xml:space="preserve"> presence</w:t>
      </w:r>
      <w:r w:rsidRPr="0081413A">
        <w:rPr>
          <w:rFonts w:ascii="Palatino Linotype" w:hAnsi="Palatino Linotype" w:cs="Calibri"/>
          <w:sz w:val="26"/>
          <w:szCs w:val="26"/>
          <w:lang w:val="en-GB"/>
        </w:rPr>
        <w:t xml:space="preserve"> of bodies that may impact subject matters, competencies, and expertise already established within the domestic and international legal frameworks. This includes specific mandates already granted to the National Guarantor for the Rights of Persons Deprived of Liberty (‘GNPL’</w:t>
      </w:r>
      <w:r>
        <w:rPr>
          <w:rFonts w:ascii="Palatino Linotype" w:hAnsi="Palatino Linotype" w:cs="Calibri"/>
          <w:sz w:val="26"/>
          <w:szCs w:val="26"/>
          <w:lang w:val="en-GB"/>
        </w:rPr>
        <w:t xml:space="preserve"> or ‘National Guarantor’</w:t>
      </w:r>
      <w:r w:rsidRPr="0081413A">
        <w:rPr>
          <w:rFonts w:ascii="Palatino Linotype" w:hAnsi="Palatino Linotype" w:cs="Calibri"/>
          <w:sz w:val="26"/>
          <w:szCs w:val="26"/>
          <w:lang w:val="en-GB"/>
        </w:rPr>
        <w:t>). These powers derive from the fulfilment of international obligations and, as such, must not be subjected to unreasonable restriction, potential duplication, or overlap.</w:t>
      </w:r>
    </w:p>
    <w:p w14:paraId="30588ED9" w14:textId="77777777" w:rsidR="00507092" w:rsidRPr="0081413A" w:rsidRDefault="00507092" w:rsidP="007B7EDC">
      <w:pPr>
        <w:spacing w:before="80" w:after="80" w:line="278" w:lineRule="auto"/>
        <w:ind w:left="567" w:right="282"/>
        <w:jc w:val="both"/>
        <w:outlineLvl w:val="0"/>
        <w:rPr>
          <w:rFonts w:ascii="Palatino Linotype" w:hAnsi="Palatino Linotype" w:cs="Calibri"/>
          <w:sz w:val="26"/>
          <w:szCs w:val="26"/>
          <w:lang w:val="en-GB"/>
        </w:rPr>
      </w:pPr>
      <w:r w:rsidRPr="0081413A">
        <w:rPr>
          <w:rFonts w:ascii="Palatino Linotype" w:hAnsi="Palatino Linotype" w:cs="Calibri"/>
          <w:sz w:val="26"/>
          <w:szCs w:val="26"/>
          <w:lang w:val="en-GB"/>
        </w:rPr>
        <w:t xml:space="preserve">The GNPL has already expressed its position </w:t>
      </w:r>
      <w:r>
        <w:rPr>
          <w:rFonts w:ascii="Palatino Linotype" w:hAnsi="Palatino Linotype" w:cs="Calibri"/>
          <w:sz w:val="26"/>
          <w:szCs w:val="26"/>
          <w:lang w:val="en-GB"/>
        </w:rPr>
        <w:t xml:space="preserve">about NHRI to be established in Italy </w:t>
      </w:r>
      <w:r w:rsidRPr="0081413A">
        <w:rPr>
          <w:rFonts w:ascii="Palatino Linotype" w:hAnsi="Palatino Linotype" w:cs="Calibri"/>
          <w:sz w:val="26"/>
          <w:szCs w:val="26"/>
          <w:lang w:val="en-GB"/>
        </w:rPr>
        <w:t>in the Report to the Italian Senate Extraordinary Commission for the Protection and Promotion of Human Rights (the memorandum of 1</w:t>
      </w:r>
      <w:r w:rsidRPr="00D65986">
        <w:rPr>
          <w:rFonts w:ascii="Palatino Linotype" w:hAnsi="Palatino Linotype" w:cs="Calibri"/>
          <w:sz w:val="26"/>
          <w:szCs w:val="26"/>
          <w:vertAlign w:val="superscript"/>
          <w:lang w:val="en-GB"/>
        </w:rPr>
        <w:t>st</w:t>
      </w:r>
      <w:r w:rsidRPr="0081413A">
        <w:rPr>
          <w:rFonts w:ascii="Palatino Linotype" w:hAnsi="Palatino Linotype" w:cs="Calibri"/>
          <w:sz w:val="26"/>
          <w:szCs w:val="26"/>
          <w:lang w:val="en-GB"/>
        </w:rPr>
        <w:t xml:space="preserve"> August 2024, and at the hearing held on July 2025). More recently, such position has been formalised during the visit to Italy of the Council of Europe Commissioner for Human Rights. On that occasion, the GNPL stressed that, in view of the establishment of an NHRI, the competencies and natural vocation of the GNPL regarding human rights should be duly </w:t>
      </w:r>
      <w:proofErr w:type="gramStart"/>
      <w:r w:rsidRPr="0081413A">
        <w:rPr>
          <w:rFonts w:ascii="Palatino Linotype" w:hAnsi="Palatino Linotype" w:cs="Calibri"/>
          <w:sz w:val="26"/>
          <w:szCs w:val="26"/>
          <w:lang w:val="en-GB"/>
        </w:rPr>
        <w:t xml:space="preserve">taken into </w:t>
      </w:r>
      <w:r w:rsidRPr="0081413A">
        <w:rPr>
          <w:rFonts w:ascii="Palatino Linotype" w:hAnsi="Palatino Linotype" w:cs="Calibri"/>
          <w:sz w:val="26"/>
          <w:szCs w:val="26"/>
          <w:lang w:val="en-GB"/>
        </w:rPr>
        <w:lastRenderedPageBreak/>
        <w:t>account</w:t>
      </w:r>
      <w:proofErr w:type="gramEnd"/>
      <w:r w:rsidRPr="0081413A">
        <w:rPr>
          <w:rFonts w:ascii="Palatino Linotype" w:hAnsi="Palatino Linotype" w:cs="Calibri"/>
          <w:sz w:val="26"/>
          <w:szCs w:val="26"/>
          <w:lang w:val="en-GB"/>
        </w:rPr>
        <w:t xml:space="preserve">, considering the possibility of assigning the functions of the future body to the GNPL, either exclusively or with a significant concurrent role. </w:t>
      </w:r>
    </w:p>
    <w:p w14:paraId="506CE0AA" w14:textId="77777777" w:rsidR="00507092" w:rsidRPr="0081413A" w:rsidRDefault="00507092" w:rsidP="007B7EDC">
      <w:pPr>
        <w:tabs>
          <w:tab w:val="left" w:pos="851"/>
        </w:tabs>
        <w:spacing w:before="80" w:after="80" w:line="278" w:lineRule="auto"/>
        <w:ind w:left="567" w:right="282"/>
        <w:jc w:val="both"/>
        <w:outlineLvl w:val="0"/>
        <w:rPr>
          <w:rFonts w:ascii="Palatino Linotype" w:hAnsi="Palatino Linotype" w:cs="Calibri"/>
          <w:sz w:val="26"/>
          <w:szCs w:val="26"/>
          <w:lang w:val="en-GB"/>
        </w:rPr>
      </w:pPr>
      <w:r w:rsidRPr="0081413A">
        <w:rPr>
          <w:rFonts w:ascii="Palatino Linotype" w:hAnsi="Palatino Linotype" w:cs="Calibri"/>
          <w:sz w:val="26"/>
          <w:szCs w:val="26"/>
          <w:lang w:val="en-GB"/>
        </w:rPr>
        <w:t>3</w:t>
      </w:r>
      <w:r w:rsidRPr="0081413A">
        <w:rPr>
          <w:rFonts w:ascii="Palatino Linotype" w:hAnsi="Palatino Linotype" w:cs="Calibri"/>
          <w:sz w:val="26"/>
          <w:szCs w:val="26"/>
          <w:lang w:val="en-GB"/>
        </w:rPr>
        <w:tab/>
      </w:r>
      <w:r w:rsidRPr="0081413A">
        <w:rPr>
          <w:rFonts w:ascii="Palatino Linotype" w:hAnsi="Palatino Linotype"/>
          <w:sz w:val="26"/>
          <w:szCs w:val="26"/>
          <w:lang w:val="en-GB"/>
        </w:rPr>
        <w:t xml:space="preserve">The 2020 reform bolstered the GNPL’s functional and financial autonomy. It reflected its comprehensive authority over all forms of detention </w:t>
      </w:r>
      <w:r w:rsidRPr="0081413A">
        <w:rPr>
          <w:rFonts w:ascii="Palatino Linotype" w:hAnsi="Palatino Linotype"/>
          <w:i/>
          <w:iCs/>
          <w:sz w:val="26"/>
          <w:szCs w:val="26"/>
          <w:lang w:val="en-GB"/>
        </w:rPr>
        <w:t>de jure</w:t>
      </w:r>
      <w:r w:rsidRPr="0081413A">
        <w:rPr>
          <w:rFonts w:ascii="Palatino Linotype" w:hAnsi="Palatino Linotype"/>
          <w:sz w:val="26"/>
          <w:szCs w:val="26"/>
          <w:lang w:val="en-GB"/>
        </w:rPr>
        <w:t xml:space="preserve"> and </w:t>
      </w:r>
      <w:r w:rsidRPr="0081413A">
        <w:rPr>
          <w:rFonts w:ascii="Palatino Linotype" w:hAnsi="Palatino Linotype"/>
          <w:i/>
          <w:iCs/>
          <w:sz w:val="26"/>
          <w:szCs w:val="26"/>
          <w:lang w:val="en-GB"/>
        </w:rPr>
        <w:t>de facto</w:t>
      </w:r>
      <w:r w:rsidRPr="0081413A">
        <w:rPr>
          <w:rFonts w:ascii="Palatino Linotype" w:hAnsi="Palatino Linotype"/>
          <w:sz w:val="26"/>
          <w:szCs w:val="26"/>
          <w:lang w:val="en-GB"/>
        </w:rPr>
        <w:t xml:space="preserve"> — and not just criminal: this has been particularly evident in the modification to the institution’s name which removed the specific reference to "detained persons". The GNPL operates under a mandate of independence, conducting unannounced visits, accessing all necessary documentation, and holding private interviews with persons deprived of liberty and without interference</w:t>
      </w:r>
      <w:r>
        <w:rPr>
          <w:rFonts w:ascii="Palatino Linotype" w:hAnsi="Palatino Linotype"/>
          <w:sz w:val="26"/>
          <w:szCs w:val="26"/>
          <w:lang w:val="en-GB"/>
        </w:rPr>
        <w:t xml:space="preserve"> of staff officers </w:t>
      </w:r>
      <w:r w:rsidRPr="00D65986">
        <w:rPr>
          <w:rFonts w:ascii="Palatino Linotype" w:hAnsi="Palatino Linotype"/>
          <w:sz w:val="26"/>
          <w:szCs w:val="26"/>
          <w:lang w:val="en-GB"/>
        </w:rPr>
        <w:t>employed in custodial services</w:t>
      </w:r>
      <w:r w:rsidRPr="0081413A">
        <w:rPr>
          <w:rFonts w:ascii="Palatino Linotype" w:hAnsi="Palatino Linotype"/>
          <w:sz w:val="26"/>
          <w:szCs w:val="26"/>
          <w:lang w:val="en-GB"/>
        </w:rPr>
        <w:t>.</w:t>
      </w:r>
      <w:r w:rsidRPr="0081413A">
        <w:rPr>
          <w:rFonts w:ascii="Palatino Linotype" w:hAnsi="Palatino Linotype" w:cs="Calibri"/>
          <w:sz w:val="26"/>
          <w:szCs w:val="26"/>
          <w:lang w:val="en-GB"/>
        </w:rPr>
        <w:t xml:space="preserve"> </w:t>
      </w:r>
    </w:p>
    <w:p w14:paraId="7BF3BEAF" w14:textId="2D658A7E" w:rsidR="00507092" w:rsidRPr="0081413A" w:rsidRDefault="00507092" w:rsidP="007B7EDC">
      <w:pPr>
        <w:tabs>
          <w:tab w:val="left" w:pos="851"/>
        </w:tabs>
        <w:spacing w:before="80" w:after="80" w:line="278" w:lineRule="auto"/>
        <w:ind w:left="567" w:right="282"/>
        <w:jc w:val="both"/>
        <w:rPr>
          <w:rFonts w:ascii="Palatino Linotype" w:hAnsi="Palatino Linotype"/>
          <w:sz w:val="26"/>
          <w:szCs w:val="26"/>
          <w:lang w:val="en-GB"/>
        </w:rPr>
      </w:pPr>
      <w:r w:rsidRPr="0081413A">
        <w:rPr>
          <w:rFonts w:ascii="Palatino Linotype" w:hAnsi="Palatino Linotype"/>
          <w:sz w:val="26"/>
          <w:szCs w:val="26"/>
          <w:lang w:val="en-GB"/>
        </w:rPr>
        <w:t>4</w:t>
      </w:r>
      <w:r w:rsidRPr="0081413A">
        <w:rPr>
          <w:rFonts w:ascii="Palatino Linotype" w:hAnsi="Palatino Linotype"/>
          <w:sz w:val="26"/>
          <w:szCs w:val="26"/>
          <w:lang w:val="en-GB"/>
        </w:rPr>
        <w:tab/>
        <w:t>With reference to the local Guarantors’ institutional and operational condition, the GNPL recalls that the Italian Parliament in 2020 (decree-</w:t>
      </w:r>
      <w:r w:rsidR="00297197">
        <w:rPr>
          <w:rFonts w:ascii="Palatino Linotype" w:hAnsi="Palatino Linotype"/>
          <w:sz w:val="26"/>
          <w:szCs w:val="26"/>
          <w:lang w:val="en-GB"/>
        </w:rPr>
        <w:t>L</w:t>
      </w:r>
      <w:r w:rsidRPr="0081413A">
        <w:rPr>
          <w:rFonts w:ascii="Palatino Linotype" w:hAnsi="Palatino Linotype"/>
          <w:sz w:val="26"/>
          <w:szCs w:val="26"/>
          <w:lang w:val="en-GB"/>
        </w:rPr>
        <w:t xml:space="preserve">aw </w:t>
      </w:r>
      <w:r w:rsidR="00B73D6C">
        <w:rPr>
          <w:rFonts w:ascii="Palatino Linotype" w:hAnsi="Palatino Linotype"/>
          <w:sz w:val="26"/>
          <w:szCs w:val="26"/>
          <w:lang w:val="en-GB"/>
        </w:rPr>
        <w:t xml:space="preserve">21 October 2020, </w:t>
      </w:r>
      <w:r w:rsidRPr="0081413A">
        <w:rPr>
          <w:rFonts w:ascii="Palatino Linotype" w:hAnsi="Palatino Linotype"/>
          <w:sz w:val="26"/>
          <w:szCs w:val="26"/>
          <w:lang w:val="en-GB"/>
        </w:rPr>
        <w:t>n</w:t>
      </w:r>
      <w:r w:rsidR="00297197">
        <w:rPr>
          <w:rFonts w:ascii="Palatino Linotype" w:hAnsi="Palatino Linotype"/>
          <w:sz w:val="26"/>
          <w:szCs w:val="26"/>
          <w:lang w:val="en-GB"/>
        </w:rPr>
        <w:t>o</w:t>
      </w:r>
      <w:r w:rsidRPr="0081413A">
        <w:rPr>
          <w:rFonts w:ascii="Palatino Linotype" w:hAnsi="Palatino Linotype"/>
          <w:sz w:val="26"/>
          <w:szCs w:val="26"/>
          <w:lang w:val="en-GB"/>
        </w:rPr>
        <w:t xml:space="preserve">. 130 converted </w:t>
      </w:r>
      <w:r w:rsidR="00297197" w:rsidRPr="00297197">
        <w:rPr>
          <w:rFonts w:ascii="Palatino Linotype" w:hAnsi="Palatino Linotype"/>
          <w:sz w:val="26"/>
          <w:szCs w:val="26"/>
          <w:lang w:val="en-GB"/>
        </w:rPr>
        <w:t xml:space="preserve">with amendments </w:t>
      </w:r>
      <w:r w:rsidRPr="0081413A">
        <w:rPr>
          <w:rFonts w:ascii="Palatino Linotype" w:hAnsi="Palatino Linotype"/>
          <w:sz w:val="26"/>
          <w:szCs w:val="26"/>
          <w:lang w:val="en-GB"/>
        </w:rPr>
        <w:t xml:space="preserve">into </w:t>
      </w:r>
      <w:r w:rsidR="00297197">
        <w:rPr>
          <w:rFonts w:ascii="Palatino Linotype" w:hAnsi="Palatino Linotype"/>
          <w:sz w:val="26"/>
          <w:szCs w:val="26"/>
          <w:lang w:val="en-GB"/>
        </w:rPr>
        <w:t>L</w:t>
      </w:r>
      <w:r w:rsidRPr="0081413A">
        <w:rPr>
          <w:rFonts w:ascii="Palatino Linotype" w:hAnsi="Palatino Linotype"/>
          <w:sz w:val="26"/>
          <w:szCs w:val="26"/>
          <w:lang w:val="en-GB"/>
        </w:rPr>
        <w:t>aw 18 December 2020, n</w:t>
      </w:r>
      <w:r w:rsidR="00297197">
        <w:rPr>
          <w:rFonts w:ascii="Palatino Linotype" w:hAnsi="Palatino Linotype"/>
          <w:sz w:val="26"/>
          <w:szCs w:val="26"/>
          <w:lang w:val="en-GB"/>
        </w:rPr>
        <w:t>o</w:t>
      </w:r>
      <w:r w:rsidRPr="0081413A">
        <w:rPr>
          <w:rFonts w:ascii="Palatino Linotype" w:hAnsi="Palatino Linotype"/>
          <w:sz w:val="26"/>
          <w:szCs w:val="26"/>
          <w:lang w:val="en-GB"/>
        </w:rPr>
        <w:t xml:space="preserve">. 173) designated the GNPL as the only NPM for Italy. </w:t>
      </w:r>
    </w:p>
    <w:p w14:paraId="50E7331D" w14:textId="77777777" w:rsidR="00507092" w:rsidRPr="0081413A" w:rsidRDefault="00507092" w:rsidP="007B7EDC">
      <w:pPr>
        <w:tabs>
          <w:tab w:val="left" w:pos="426"/>
        </w:tabs>
        <w:spacing w:before="80" w:after="80" w:line="278" w:lineRule="auto"/>
        <w:ind w:left="567" w:right="282"/>
        <w:jc w:val="both"/>
        <w:rPr>
          <w:rFonts w:ascii="Palatino Linotype" w:hAnsi="Palatino Linotype"/>
          <w:sz w:val="26"/>
          <w:szCs w:val="26"/>
          <w:lang w:val="en-GB"/>
        </w:rPr>
      </w:pPr>
      <w:r w:rsidRPr="0081413A">
        <w:rPr>
          <w:rFonts w:ascii="Palatino Linotype" w:hAnsi="Palatino Linotype"/>
          <w:sz w:val="26"/>
          <w:szCs w:val="26"/>
          <w:lang w:val="en-GB"/>
        </w:rPr>
        <w:t>Therefore, the local Guarantors (regional and sub-regional) do not</w:t>
      </w:r>
      <w:r>
        <w:rPr>
          <w:rFonts w:ascii="Palatino Linotype" w:hAnsi="Palatino Linotype"/>
          <w:sz w:val="26"/>
          <w:szCs w:val="26"/>
          <w:lang w:val="en-GB"/>
        </w:rPr>
        <w:t>,</w:t>
      </w:r>
      <w:r w:rsidRPr="0081413A">
        <w:rPr>
          <w:rFonts w:ascii="Palatino Linotype" w:hAnsi="Palatino Linotype"/>
          <w:sz w:val="26"/>
          <w:szCs w:val="26"/>
          <w:lang w:val="en-GB"/>
        </w:rPr>
        <w:t xml:space="preserve"> operate as such</w:t>
      </w:r>
      <w:r>
        <w:rPr>
          <w:rFonts w:ascii="Palatino Linotype" w:hAnsi="Palatino Linotype"/>
          <w:sz w:val="26"/>
          <w:szCs w:val="26"/>
          <w:lang w:val="en-GB"/>
        </w:rPr>
        <w:t>, even if t</w:t>
      </w:r>
      <w:r w:rsidRPr="0081413A">
        <w:rPr>
          <w:rFonts w:ascii="Palatino Linotype" w:hAnsi="Palatino Linotype"/>
          <w:sz w:val="26"/>
          <w:szCs w:val="26"/>
          <w:lang w:val="en-GB"/>
        </w:rPr>
        <w:t xml:space="preserve">hey </w:t>
      </w:r>
      <w:r>
        <w:rPr>
          <w:rFonts w:ascii="Palatino Linotype" w:hAnsi="Palatino Linotype"/>
          <w:sz w:val="26"/>
          <w:szCs w:val="26"/>
          <w:lang w:val="en-GB"/>
        </w:rPr>
        <w:t xml:space="preserve">can still </w:t>
      </w:r>
      <w:r w:rsidRPr="0081413A">
        <w:rPr>
          <w:rFonts w:ascii="Palatino Linotype" w:hAnsi="Palatino Linotype"/>
          <w:sz w:val="26"/>
          <w:szCs w:val="26"/>
          <w:lang w:val="en-GB"/>
        </w:rPr>
        <w:t>receive delegated powers from the GNPL to handle specific matters concerning migration and social-healthcare assistance</w:t>
      </w:r>
      <w:r w:rsidRPr="0081413A">
        <w:rPr>
          <w:rStyle w:val="Rimandonotaapidipagina"/>
          <w:rFonts w:ascii="Palatino Linotype" w:hAnsi="Palatino Linotype"/>
          <w:sz w:val="26"/>
          <w:szCs w:val="26"/>
          <w:lang w:val="en-GB"/>
        </w:rPr>
        <w:footnoteReference w:id="1"/>
      </w:r>
      <w:r w:rsidRPr="0081413A">
        <w:rPr>
          <w:rFonts w:ascii="Palatino Linotype" w:hAnsi="Palatino Linotype"/>
          <w:sz w:val="26"/>
          <w:szCs w:val="26"/>
          <w:lang w:val="en-GB"/>
        </w:rPr>
        <w:t xml:space="preserve">. </w:t>
      </w:r>
    </w:p>
    <w:p w14:paraId="50A0BCF8" w14:textId="77777777" w:rsidR="00507092" w:rsidRPr="0081413A" w:rsidRDefault="00507092" w:rsidP="007B7EDC">
      <w:pPr>
        <w:spacing w:before="80" w:after="80" w:line="278" w:lineRule="auto"/>
        <w:ind w:left="567" w:right="282"/>
        <w:jc w:val="both"/>
        <w:rPr>
          <w:rFonts w:ascii="Palatino Linotype" w:hAnsi="Palatino Linotype"/>
          <w:sz w:val="26"/>
          <w:szCs w:val="26"/>
          <w:lang w:val="en-GB"/>
        </w:rPr>
      </w:pPr>
      <w:r w:rsidRPr="0081413A">
        <w:rPr>
          <w:rFonts w:ascii="Palatino Linotype" w:hAnsi="Palatino Linotype"/>
          <w:sz w:val="26"/>
          <w:szCs w:val="26"/>
          <w:lang w:val="en-GB"/>
        </w:rPr>
        <w:t xml:space="preserve">To date, in Italy, there are 95 territorial Guarantors, out of which 19 are regional Guarantors, 76 are sub-regional Guarantors (68 municipal/metropolitan Guarantors, and 8 provincial Guarantors). </w:t>
      </w:r>
    </w:p>
    <w:p w14:paraId="417E6357" w14:textId="77777777" w:rsidR="00507092" w:rsidRPr="0081413A" w:rsidRDefault="00507092" w:rsidP="007B7EDC">
      <w:pPr>
        <w:spacing w:before="80" w:after="80" w:line="278" w:lineRule="auto"/>
        <w:ind w:left="567" w:right="282"/>
        <w:jc w:val="both"/>
        <w:rPr>
          <w:rFonts w:ascii="Palatino Linotype" w:hAnsi="Palatino Linotype"/>
          <w:sz w:val="26"/>
          <w:szCs w:val="26"/>
          <w:lang w:val="en-GB"/>
        </w:rPr>
      </w:pPr>
    </w:p>
    <w:p w14:paraId="28B5D401" w14:textId="77777777" w:rsidR="00507092" w:rsidRPr="00A9301B" w:rsidRDefault="00507092" w:rsidP="007B7EDC">
      <w:pPr>
        <w:tabs>
          <w:tab w:val="left" w:pos="993"/>
        </w:tabs>
        <w:spacing w:before="80" w:after="80" w:line="278" w:lineRule="auto"/>
        <w:ind w:left="426" w:right="282" w:hanging="426"/>
        <w:jc w:val="both"/>
        <w:outlineLvl w:val="0"/>
        <w:rPr>
          <w:rFonts w:ascii="Palatino Linotype" w:hAnsi="Palatino Linotype"/>
          <w:b/>
          <w:bCs/>
          <w:sz w:val="26"/>
          <w:szCs w:val="26"/>
          <w:lang w:val="en-GB"/>
        </w:rPr>
      </w:pPr>
      <w:r w:rsidRPr="00A9301B">
        <w:rPr>
          <w:rFonts w:ascii="Palatino Linotype" w:hAnsi="Palatino Linotype"/>
          <w:b/>
          <w:bCs/>
          <w:sz w:val="26"/>
          <w:szCs w:val="26"/>
          <w:lang w:val="en-GB"/>
        </w:rPr>
        <w:lastRenderedPageBreak/>
        <w:t>1</w:t>
      </w:r>
      <w:r w:rsidRPr="00A9301B">
        <w:rPr>
          <w:rFonts w:ascii="Palatino Linotype" w:hAnsi="Palatino Linotype"/>
          <w:b/>
          <w:bCs/>
          <w:sz w:val="26"/>
          <w:szCs w:val="26"/>
          <w:lang w:val="en-GB"/>
        </w:rPr>
        <w:tab/>
        <w:t xml:space="preserve">The National Guarantor’s financial, structural and functional independence </w:t>
      </w:r>
    </w:p>
    <w:p w14:paraId="6292E435" w14:textId="77777777" w:rsidR="00507092" w:rsidRDefault="00507092" w:rsidP="007B7EDC">
      <w:pPr>
        <w:tabs>
          <w:tab w:val="left" w:pos="0"/>
        </w:tabs>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1.1 M</w:t>
      </w:r>
      <w:r w:rsidRPr="0081413A">
        <w:rPr>
          <w:rFonts w:ascii="Palatino Linotype" w:hAnsi="Palatino Linotype"/>
          <w:sz w:val="26"/>
          <w:szCs w:val="26"/>
          <w:lang w:val="en-GB"/>
        </w:rPr>
        <w:t xml:space="preserve">embers of the GNPL Board have expertise in disciplines related to the protection of human rights and they cannot hold institutional offices, including elective ones, or positions of responsibility within political parties. </w:t>
      </w:r>
      <w:r w:rsidRPr="0081413A">
        <w:rPr>
          <w:rFonts w:ascii="Palatino Linotype" w:hAnsi="Palatino Linotype"/>
          <w:b/>
          <w:bCs/>
          <w:sz w:val="26"/>
          <w:szCs w:val="26"/>
          <w:lang w:val="en-GB"/>
        </w:rPr>
        <w:t>In the performance of its institutional activities, the National Guarantor is not subject to requests for authorisation from any other Authority to access premises, view documents, or meet with persons deprived of personal liberty</w:t>
      </w:r>
      <w:r w:rsidRPr="0081413A">
        <w:rPr>
          <w:rFonts w:ascii="Palatino Linotype" w:hAnsi="Palatino Linotype"/>
          <w:sz w:val="26"/>
          <w:szCs w:val="26"/>
          <w:lang w:val="en-GB"/>
        </w:rPr>
        <w:t>.</w:t>
      </w:r>
    </w:p>
    <w:p w14:paraId="3849A7C9" w14:textId="77777777" w:rsidR="00507092" w:rsidRDefault="00507092" w:rsidP="007B7EDC">
      <w:pPr>
        <w:tabs>
          <w:tab w:val="left" w:pos="0"/>
        </w:tabs>
        <w:spacing w:before="80" w:after="80" w:line="278" w:lineRule="auto"/>
        <w:ind w:right="282"/>
        <w:jc w:val="both"/>
        <w:rPr>
          <w:rFonts w:ascii="Palatino Linotype" w:hAnsi="Palatino Linotype"/>
          <w:sz w:val="26"/>
          <w:szCs w:val="26"/>
          <w:lang w:val="en-GB"/>
        </w:rPr>
      </w:pPr>
      <w:r w:rsidRPr="00531579">
        <w:rPr>
          <w:rFonts w:ascii="Palatino Linotype" w:hAnsi="Palatino Linotype"/>
          <w:sz w:val="26"/>
          <w:szCs w:val="26"/>
          <w:lang w:val="en-GB"/>
        </w:rPr>
        <w:t xml:space="preserve">1.2 On the </w:t>
      </w:r>
      <w:r w:rsidRPr="00531579">
        <w:rPr>
          <w:rFonts w:ascii="Palatino Linotype" w:hAnsi="Palatino Linotype"/>
          <w:sz w:val="26"/>
          <w:szCs w:val="26"/>
          <w:u w:val="single"/>
          <w:lang w:val="en-GB"/>
        </w:rPr>
        <w:t>structural independence</w:t>
      </w:r>
      <w:r w:rsidRPr="00531579">
        <w:rPr>
          <w:rFonts w:ascii="Palatino Linotype" w:hAnsi="Palatino Linotype"/>
          <w:sz w:val="26"/>
          <w:szCs w:val="26"/>
          <w:lang w:val="en-GB"/>
        </w:rPr>
        <w:t>, the GNPL's staff, although originating from other public administrations, is selected by the GNPL’s Board. The selected personnel are at the GNPL’s disposal and operate under its exclusive authority</w:t>
      </w:r>
      <w:r w:rsidRPr="00531579">
        <w:rPr>
          <w:rFonts w:ascii="Palatino Linotype" w:hAnsi="Palatino Linotype"/>
          <w:sz w:val="26"/>
          <w:szCs w:val="26"/>
          <w:vertAlign w:val="superscript"/>
          <w:lang w:val="en-GB"/>
        </w:rPr>
        <w:footnoteReference w:id="2"/>
      </w:r>
      <w:r w:rsidRPr="00531579">
        <w:rPr>
          <w:rFonts w:ascii="Palatino Linotype" w:hAnsi="Palatino Linotype"/>
          <w:sz w:val="26"/>
          <w:szCs w:val="26"/>
          <w:lang w:val="en-GB"/>
        </w:rPr>
        <w:t>. The GNPL’s personnel is required to respect confidentiality duties regarding information acquired during their collaboration with the Guarantor's Office. Staff performance is evaluated by the GNPL rather than by the original administration, which merely takes note of the evaluation for the administration of incentives provided by law for public officials.</w:t>
      </w:r>
    </w:p>
    <w:p w14:paraId="7CB69E63" w14:textId="77777777" w:rsidR="00507092" w:rsidRPr="0081413A" w:rsidRDefault="00507092" w:rsidP="007B7EDC">
      <w:pPr>
        <w:tabs>
          <w:tab w:val="left" w:pos="0"/>
        </w:tabs>
        <w:spacing w:before="80" w:after="80" w:line="278" w:lineRule="auto"/>
        <w:ind w:right="282"/>
        <w:jc w:val="both"/>
        <w:outlineLvl w:val="0"/>
        <w:rPr>
          <w:rFonts w:ascii="Palatino Linotype" w:hAnsi="Palatino Linotype"/>
          <w:sz w:val="26"/>
          <w:szCs w:val="26"/>
          <w:lang w:val="en-GB"/>
        </w:rPr>
      </w:pPr>
      <w:r>
        <w:rPr>
          <w:rFonts w:ascii="Palatino Linotype" w:hAnsi="Palatino Linotype"/>
          <w:sz w:val="26"/>
          <w:szCs w:val="26"/>
          <w:lang w:val="en-GB"/>
        </w:rPr>
        <w:t>1.3 T</w:t>
      </w:r>
      <w:r w:rsidRPr="0081413A">
        <w:rPr>
          <w:rFonts w:ascii="Palatino Linotype" w:hAnsi="Palatino Linotype"/>
          <w:sz w:val="26"/>
          <w:szCs w:val="26"/>
          <w:lang w:val="en-GB"/>
        </w:rPr>
        <w:t xml:space="preserve">he </w:t>
      </w:r>
      <w:r w:rsidRPr="00BA2A60">
        <w:rPr>
          <w:rFonts w:ascii="Palatino Linotype" w:hAnsi="Palatino Linotype"/>
          <w:sz w:val="26"/>
          <w:szCs w:val="26"/>
          <w:u w:val="single"/>
          <w:lang w:val="en-GB"/>
        </w:rPr>
        <w:t>financial independence</w:t>
      </w:r>
      <w:r w:rsidRPr="0081413A">
        <w:rPr>
          <w:rFonts w:ascii="Palatino Linotype" w:hAnsi="Palatino Linotype"/>
          <w:sz w:val="26"/>
          <w:szCs w:val="26"/>
          <w:lang w:val="en-GB"/>
        </w:rPr>
        <w:t xml:space="preserve"> of the GNPL, </w:t>
      </w:r>
      <w:r>
        <w:rPr>
          <w:rFonts w:ascii="Palatino Linotype" w:hAnsi="Palatino Linotype"/>
          <w:sz w:val="26"/>
          <w:szCs w:val="26"/>
          <w:lang w:val="en-GB"/>
        </w:rPr>
        <w:t xml:space="preserve">is substantial but not </w:t>
      </w:r>
      <w:r w:rsidRPr="0081413A">
        <w:rPr>
          <w:rFonts w:ascii="Palatino Linotype" w:hAnsi="Palatino Linotype"/>
          <w:sz w:val="26"/>
          <w:szCs w:val="26"/>
          <w:lang w:val="en-GB"/>
        </w:rPr>
        <w:t>fully implemented. The GNPL uses the resources explicitly allocated for its functioning by the annual national budget to the Ministry of Justice; it does not, therefore, have its own budget, even if these resources are not available for any other use. The GNPL is not therefore included in the Ministry of Justice structure (it cannot give orders or interfere with the GNPL activities). For this reason, since 2020 (decree-Law no. 130/2020 converted with amendments into Law no. 173/2020), the GNPL adopts annual spending plans</w:t>
      </w:r>
      <w:r w:rsidRPr="0081413A">
        <w:rPr>
          <w:rStyle w:val="Rimandonotaapidipagina"/>
          <w:rFonts w:ascii="Palatino Linotype" w:hAnsi="Palatino Linotype"/>
          <w:sz w:val="26"/>
          <w:szCs w:val="26"/>
          <w:lang w:val="en-GB"/>
        </w:rPr>
        <w:footnoteReference w:id="3"/>
      </w:r>
      <w:r w:rsidRPr="0081413A">
        <w:rPr>
          <w:rFonts w:ascii="Palatino Linotype" w:hAnsi="Palatino Linotype"/>
          <w:sz w:val="26"/>
          <w:szCs w:val="26"/>
          <w:lang w:val="en-GB"/>
        </w:rPr>
        <w:t xml:space="preserve">. </w:t>
      </w:r>
    </w:p>
    <w:p w14:paraId="04E72A0A" w14:textId="77777777" w:rsidR="00507092" w:rsidRPr="0081413A" w:rsidRDefault="00507092" w:rsidP="007B7EDC">
      <w:pPr>
        <w:tabs>
          <w:tab w:val="left" w:pos="0"/>
        </w:tabs>
        <w:spacing w:before="80" w:after="80" w:line="278" w:lineRule="auto"/>
        <w:ind w:right="282"/>
        <w:jc w:val="both"/>
        <w:rPr>
          <w:rFonts w:ascii="Palatino Linotype" w:hAnsi="Palatino Linotype"/>
          <w:sz w:val="26"/>
          <w:szCs w:val="26"/>
          <w:lang w:val="en-GB"/>
        </w:rPr>
      </w:pPr>
    </w:p>
    <w:p w14:paraId="33446EAA" w14:textId="77777777" w:rsidR="00507092" w:rsidRPr="0081413A" w:rsidRDefault="00507092" w:rsidP="007B7EDC">
      <w:pPr>
        <w:tabs>
          <w:tab w:val="left" w:pos="0"/>
        </w:tabs>
        <w:spacing w:before="80" w:after="80" w:line="278" w:lineRule="auto"/>
        <w:ind w:right="282"/>
        <w:jc w:val="both"/>
        <w:outlineLvl w:val="0"/>
        <w:rPr>
          <w:rFonts w:ascii="Palatino Linotype" w:hAnsi="Palatino Linotype" w:cs="Calibri"/>
          <w:sz w:val="26"/>
          <w:szCs w:val="26"/>
          <w:lang w:val="en-GB"/>
        </w:rPr>
      </w:pPr>
      <w:r>
        <w:rPr>
          <w:rFonts w:ascii="Palatino Linotype" w:hAnsi="Palatino Linotype" w:cs="Calibri"/>
          <w:sz w:val="26"/>
          <w:szCs w:val="26"/>
          <w:lang w:val="en-GB"/>
        </w:rPr>
        <w:lastRenderedPageBreak/>
        <w:t xml:space="preserve">1.4 </w:t>
      </w:r>
      <w:r w:rsidRPr="0081413A">
        <w:rPr>
          <w:rFonts w:ascii="Palatino Linotype" w:hAnsi="Palatino Linotype" w:cs="Calibri"/>
          <w:sz w:val="26"/>
          <w:szCs w:val="26"/>
          <w:lang w:val="en-GB"/>
        </w:rPr>
        <w:t xml:space="preserve">The </w:t>
      </w:r>
      <w:proofErr w:type="gramStart"/>
      <w:r w:rsidRPr="0081413A">
        <w:rPr>
          <w:rFonts w:ascii="Palatino Linotype" w:hAnsi="Palatino Linotype" w:cs="Calibri"/>
          <w:sz w:val="26"/>
          <w:szCs w:val="26"/>
          <w:lang w:val="en-GB"/>
        </w:rPr>
        <w:t>aforementioned framework</w:t>
      </w:r>
      <w:proofErr w:type="gramEnd"/>
      <w:r w:rsidRPr="0081413A">
        <w:rPr>
          <w:rFonts w:ascii="Palatino Linotype" w:hAnsi="Palatino Linotype" w:cs="Calibri"/>
          <w:sz w:val="26"/>
          <w:szCs w:val="26"/>
          <w:lang w:val="en-GB"/>
        </w:rPr>
        <w:t xml:space="preserve"> affords the GNPL</w:t>
      </w:r>
      <w:r>
        <w:rPr>
          <w:rFonts w:ascii="Palatino Linotype" w:hAnsi="Palatino Linotype" w:cs="Calibri"/>
          <w:sz w:val="26"/>
          <w:szCs w:val="26"/>
          <w:lang w:val="en-GB"/>
        </w:rPr>
        <w:t xml:space="preserve"> a</w:t>
      </w:r>
      <w:r w:rsidRPr="0081413A">
        <w:rPr>
          <w:rFonts w:ascii="Palatino Linotype" w:hAnsi="Palatino Linotype" w:cs="Calibri"/>
          <w:sz w:val="26"/>
          <w:szCs w:val="26"/>
          <w:lang w:val="en-GB"/>
        </w:rPr>
        <w:t xml:space="preserve"> sufficient operational autonomy to discharge its mandates with the necessary diligence. It must be observed, however, that the GNPL’s institutional framework is disadvantageous in comparison to other Italian Guarantor Authorities, specifically regarding the remuneration of personnel and Board members, as well as its current identity, having not been granted a formally autonomous institutional status.</w:t>
      </w:r>
    </w:p>
    <w:p w14:paraId="63564FF7" w14:textId="77777777" w:rsidR="00507092" w:rsidRPr="0081413A" w:rsidRDefault="00507092" w:rsidP="007B7EDC">
      <w:pPr>
        <w:tabs>
          <w:tab w:val="left" w:pos="0"/>
        </w:tabs>
        <w:spacing w:before="80" w:after="80" w:line="278" w:lineRule="auto"/>
        <w:ind w:right="282"/>
        <w:jc w:val="both"/>
        <w:outlineLvl w:val="0"/>
        <w:rPr>
          <w:rFonts w:ascii="Palatino Linotype" w:hAnsi="Palatino Linotype" w:cs="Calibri"/>
          <w:sz w:val="26"/>
          <w:szCs w:val="26"/>
          <w:lang w:val="en-GB"/>
        </w:rPr>
      </w:pPr>
      <w:r w:rsidRPr="0081413A">
        <w:rPr>
          <w:rFonts w:ascii="Palatino Linotype" w:hAnsi="Palatino Linotype" w:cs="Calibri"/>
          <w:sz w:val="26"/>
          <w:szCs w:val="26"/>
          <w:lang w:val="en-GB"/>
        </w:rPr>
        <w:t xml:space="preserve">Furthermore, </w:t>
      </w:r>
      <w:proofErr w:type="gramStart"/>
      <w:r w:rsidRPr="0081413A">
        <w:rPr>
          <w:rFonts w:ascii="Palatino Linotype" w:hAnsi="Palatino Linotype" w:cs="Calibri"/>
          <w:sz w:val="26"/>
          <w:szCs w:val="26"/>
          <w:lang w:val="en-GB"/>
        </w:rPr>
        <w:t>in light of</w:t>
      </w:r>
      <w:proofErr w:type="gramEnd"/>
      <w:r w:rsidRPr="0081413A">
        <w:rPr>
          <w:rFonts w:ascii="Palatino Linotype" w:hAnsi="Palatino Linotype" w:cs="Calibri"/>
          <w:sz w:val="26"/>
          <w:szCs w:val="26"/>
          <w:lang w:val="en-GB"/>
        </w:rPr>
        <w:t xml:space="preserve"> the obligations which </w:t>
      </w:r>
      <w:r w:rsidRPr="0081413A">
        <w:rPr>
          <w:rFonts w:ascii="Palatino Linotype" w:hAnsi="Palatino Linotype"/>
          <w:sz w:val="26"/>
          <w:szCs w:val="26"/>
          <w:lang w:val="en-GB"/>
        </w:rPr>
        <w:t xml:space="preserve">– </w:t>
      </w:r>
      <w:r w:rsidRPr="0081413A">
        <w:rPr>
          <w:rFonts w:ascii="Palatino Linotype" w:hAnsi="Palatino Linotype" w:cs="Calibri"/>
          <w:sz w:val="26"/>
          <w:szCs w:val="26"/>
          <w:lang w:val="en-GB"/>
        </w:rPr>
        <w:t xml:space="preserve">under prevailing legislation </w:t>
      </w:r>
      <w:r w:rsidRPr="0081413A">
        <w:rPr>
          <w:rFonts w:ascii="Palatino Linotype" w:hAnsi="Palatino Linotype"/>
          <w:sz w:val="26"/>
          <w:szCs w:val="26"/>
          <w:lang w:val="en-GB"/>
        </w:rPr>
        <w:t xml:space="preserve">– </w:t>
      </w:r>
      <w:r w:rsidRPr="0081413A">
        <w:rPr>
          <w:rFonts w:ascii="Palatino Linotype" w:hAnsi="Palatino Linotype" w:cs="Calibri"/>
          <w:sz w:val="26"/>
          <w:szCs w:val="26"/>
          <w:lang w:val="en-GB"/>
        </w:rPr>
        <w:t>could be assigned to the GNPL for the implementation of the EU New Pact on Migration and Asylum, necessitating more frequent monitoring visits, a comprehensive restructuring of the GNPL’s administrative framework and a corresponding increase of resources are nevertheless imperative and essential.</w:t>
      </w:r>
    </w:p>
    <w:p w14:paraId="01469944" w14:textId="77777777" w:rsidR="00507092" w:rsidRPr="0081413A" w:rsidRDefault="00507092" w:rsidP="007B7EDC">
      <w:pPr>
        <w:spacing w:before="80" w:after="80" w:line="278" w:lineRule="auto"/>
        <w:ind w:left="567" w:right="282"/>
        <w:jc w:val="both"/>
        <w:outlineLvl w:val="0"/>
        <w:rPr>
          <w:rFonts w:ascii="Palatino Linotype" w:hAnsi="Palatino Linotype" w:cs="Calibri"/>
          <w:sz w:val="26"/>
          <w:szCs w:val="26"/>
          <w:lang w:val="en-GB"/>
        </w:rPr>
      </w:pPr>
    </w:p>
    <w:p w14:paraId="0C7273B6" w14:textId="77777777" w:rsidR="00507092" w:rsidRPr="00A9301B" w:rsidRDefault="00507092" w:rsidP="007B7EDC">
      <w:pPr>
        <w:tabs>
          <w:tab w:val="left" w:pos="426"/>
        </w:tabs>
        <w:spacing w:before="80" w:after="80" w:line="278" w:lineRule="auto"/>
        <w:ind w:right="282"/>
        <w:jc w:val="both"/>
        <w:outlineLvl w:val="0"/>
        <w:rPr>
          <w:rFonts w:ascii="Palatino Linotype" w:hAnsi="Palatino Linotype"/>
          <w:b/>
          <w:bCs/>
          <w:sz w:val="26"/>
          <w:szCs w:val="26"/>
          <w:lang w:val="en-GB"/>
        </w:rPr>
      </w:pPr>
      <w:r w:rsidRPr="00A9301B">
        <w:rPr>
          <w:rFonts w:ascii="Palatino Linotype" w:hAnsi="Palatino Linotype"/>
          <w:b/>
          <w:bCs/>
          <w:sz w:val="26"/>
          <w:szCs w:val="26"/>
          <w:lang w:val="en-GB"/>
        </w:rPr>
        <w:t>2</w:t>
      </w:r>
      <w:r w:rsidRPr="00A9301B">
        <w:rPr>
          <w:rFonts w:ascii="Palatino Linotype" w:hAnsi="Palatino Linotype"/>
          <w:b/>
          <w:bCs/>
          <w:sz w:val="26"/>
          <w:szCs w:val="26"/>
          <w:lang w:val="en-GB"/>
        </w:rPr>
        <w:tab/>
        <w:t xml:space="preserve">Areas of intervention </w:t>
      </w:r>
    </w:p>
    <w:p w14:paraId="1DCDD4D4" w14:textId="77777777" w:rsidR="00507092" w:rsidRPr="0081413A" w:rsidRDefault="00507092" w:rsidP="007B7EDC">
      <w:pPr>
        <w:tabs>
          <w:tab w:val="left" w:pos="426"/>
        </w:tabs>
        <w:spacing w:before="80" w:after="80" w:line="278" w:lineRule="auto"/>
        <w:ind w:left="360" w:right="282" w:hanging="360"/>
        <w:jc w:val="both"/>
        <w:outlineLvl w:val="0"/>
        <w:rPr>
          <w:rFonts w:ascii="Palatino Linotype" w:hAnsi="Palatino Linotype"/>
          <w:sz w:val="26"/>
          <w:szCs w:val="26"/>
          <w:lang w:val="en-GB"/>
        </w:rPr>
      </w:pPr>
      <w:r w:rsidRPr="0081413A">
        <w:rPr>
          <w:rFonts w:ascii="Palatino Linotype" w:hAnsi="Palatino Linotype"/>
          <w:sz w:val="26"/>
          <w:szCs w:val="26"/>
          <w:lang w:val="en-GB"/>
        </w:rPr>
        <w:t>2.1</w:t>
      </w:r>
      <w:r w:rsidRPr="0081413A">
        <w:rPr>
          <w:rFonts w:ascii="Palatino Linotype" w:hAnsi="Palatino Linotype"/>
          <w:sz w:val="26"/>
          <w:szCs w:val="26"/>
          <w:lang w:val="en-GB"/>
        </w:rPr>
        <w:tab/>
        <w:t xml:space="preserve">The activities of the GNPL are very much guided by the following principles: </w:t>
      </w:r>
    </w:p>
    <w:p w14:paraId="7C6A8179" w14:textId="77777777" w:rsidR="00507092" w:rsidRPr="0081413A" w:rsidRDefault="00507092" w:rsidP="007B7EDC">
      <w:pPr>
        <w:pStyle w:val="Paragrafoelenco"/>
        <w:numPr>
          <w:ilvl w:val="0"/>
          <w:numId w:val="26"/>
        </w:numPr>
        <w:spacing w:before="80" w:after="80" w:line="278" w:lineRule="auto"/>
        <w:ind w:left="709" w:right="282"/>
        <w:contextualSpacing w:val="0"/>
        <w:jc w:val="left"/>
        <w:outlineLvl w:val="0"/>
        <w:rPr>
          <w:rFonts w:ascii="Palatino Linotype" w:hAnsi="Palatino Linotype"/>
          <w:sz w:val="26"/>
          <w:szCs w:val="26"/>
          <w:lang w:val="en-GB"/>
        </w:rPr>
      </w:pPr>
      <w:r w:rsidRPr="0081413A">
        <w:rPr>
          <w:rFonts w:ascii="Palatino Linotype" w:hAnsi="Palatino Linotype"/>
          <w:sz w:val="26"/>
          <w:szCs w:val="26"/>
          <w:lang w:val="en-GB"/>
        </w:rPr>
        <w:t xml:space="preserve">independence from the controlled Authorities, in compliance with </w:t>
      </w:r>
      <w:proofErr w:type="gramStart"/>
      <w:r w:rsidRPr="0081413A">
        <w:rPr>
          <w:rFonts w:ascii="Palatino Linotype" w:hAnsi="Palatino Linotype"/>
          <w:sz w:val="26"/>
          <w:szCs w:val="26"/>
          <w:lang w:val="en-GB"/>
        </w:rPr>
        <w:t>OPCAT;</w:t>
      </w:r>
      <w:proofErr w:type="gramEnd"/>
      <w:r w:rsidRPr="0081413A">
        <w:rPr>
          <w:rFonts w:ascii="Palatino Linotype" w:hAnsi="Palatino Linotype"/>
          <w:sz w:val="26"/>
          <w:szCs w:val="26"/>
          <w:lang w:val="en-GB"/>
        </w:rPr>
        <w:t xml:space="preserve"> </w:t>
      </w:r>
    </w:p>
    <w:p w14:paraId="1CF5E6D9" w14:textId="77777777" w:rsidR="00507092" w:rsidRPr="0081413A" w:rsidRDefault="00507092" w:rsidP="007B7EDC">
      <w:pPr>
        <w:pStyle w:val="Paragrafoelenco"/>
        <w:numPr>
          <w:ilvl w:val="0"/>
          <w:numId w:val="26"/>
        </w:numPr>
        <w:spacing w:before="80" w:after="80" w:line="278" w:lineRule="auto"/>
        <w:ind w:left="709" w:right="282"/>
        <w:contextualSpacing w:val="0"/>
        <w:jc w:val="left"/>
        <w:outlineLvl w:val="0"/>
        <w:rPr>
          <w:rFonts w:ascii="Palatino Linotype" w:hAnsi="Palatino Linotype"/>
          <w:sz w:val="26"/>
          <w:szCs w:val="26"/>
          <w:lang w:val="en-GB"/>
        </w:rPr>
      </w:pPr>
      <w:r w:rsidRPr="0081413A">
        <w:rPr>
          <w:rFonts w:ascii="Palatino Linotype" w:hAnsi="Palatino Linotype"/>
          <w:sz w:val="26"/>
          <w:szCs w:val="26"/>
          <w:lang w:val="en-GB"/>
        </w:rPr>
        <w:t>obligation of confidentiality about what has been acquired during the institutional visits</w:t>
      </w:r>
      <w:r w:rsidRPr="0081413A">
        <w:rPr>
          <w:rStyle w:val="Rimandonotaapidipagina"/>
          <w:rFonts w:ascii="Palatino Linotype" w:hAnsi="Palatino Linotype"/>
          <w:sz w:val="26"/>
          <w:szCs w:val="26"/>
          <w:lang w:val="en-GB"/>
        </w:rPr>
        <w:footnoteReference w:id="4"/>
      </w:r>
      <w:r w:rsidRPr="0081413A">
        <w:rPr>
          <w:rFonts w:ascii="Palatino Linotype" w:hAnsi="Palatino Linotype"/>
          <w:sz w:val="26"/>
          <w:szCs w:val="26"/>
          <w:lang w:val="en-GB"/>
        </w:rPr>
        <w:t xml:space="preserve">; </w:t>
      </w:r>
    </w:p>
    <w:p w14:paraId="20A5D3A6" w14:textId="77777777" w:rsidR="00507092" w:rsidRPr="0081413A" w:rsidRDefault="00507092" w:rsidP="00AB0AC0">
      <w:pPr>
        <w:pStyle w:val="Paragrafoelenco"/>
        <w:numPr>
          <w:ilvl w:val="0"/>
          <w:numId w:val="26"/>
        </w:numPr>
        <w:spacing w:before="80" w:after="80" w:line="278" w:lineRule="auto"/>
        <w:ind w:left="709" w:right="282"/>
        <w:contextualSpacing w:val="0"/>
        <w:outlineLvl w:val="0"/>
        <w:rPr>
          <w:rFonts w:ascii="Palatino Linotype" w:hAnsi="Palatino Linotype"/>
          <w:sz w:val="26"/>
          <w:szCs w:val="26"/>
          <w:lang w:val="en-GB"/>
        </w:rPr>
      </w:pPr>
      <w:proofErr w:type="spellStart"/>
      <w:r w:rsidRPr="0081413A">
        <w:rPr>
          <w:rFonts w:ascii="Palatino Linotype" w:hAnsi="Palatino Linotype"/>
          <w:sz w:val="26"/>
          <w:szCs w:val="26"/>
          <w:lang w:val="en-GB"/>
        </w:rPr>
        <w:t>the</w:t>
      </w:r>
      <w:proofErr w:type="spellEnd"/>
      <w:r w:rsidRPr="0081413A">
        <w:rPr>
          <w:rFonts w:ascii="Palatino Linotype" w:hAnsi="Palatino Linotype"/>
          <w:sz w:val="26"/>
          <w:szCs w:val="26"/>
          <w:lang w:val="en-GB"/>
        </w:rPr>
        <w:t xml:space="preserve"> </w:t>
      </w:r>
      <w:r w:rsidRPr="0081413A">
        <w:rPr>
          <w:rFonts w:ascii="Palatino Linotype" w:hAnsi="Palatino Linotype"/>
          <w:i/>
          <w:iCs/>
          <w:sz w:val="26"/>
          <w:szCs w:val="26"/>
          <w:lang w:val="en-GB"/>
        </w:rPr>
        <w:t>do no harm</w:t>
      </w:r>
      <w:r w:rsidRPr="0081413A">
        <w:rPr>
          <w:rFonts w:ascii="Palatino Linotype" w:hAnsi="Palatino Linotype"/>
          <w:sz w:val="26"/>
          <w:szCs w:val="26"/>
          <w:lang w:val="en-GB"/>
        </w:rPr>
        <w:t xml:space="preserve"> principle, namely the protection from reprisals of those who have been contacted by the GNPL before, during and after the visits. The GNPL is actively committed to ensuring that no one (public authorities or public officials) orders, applies, permits or tolerates any sanction against any person or organisation for having communicated any true or false </w:t>
      </w:r>
      <w:r w:rsidRPr="0081413A">
        <w:rPr>
          <w:rFonts w:ascii="Palatino Linotype" w:hAnsi="Palatino Linotype"/>
          <w:sz w:val="26"/>
          <w:szCs w:val="26"/>
          <w:lang w:val="en-GB"/>
        </w:rPr>
        <w:lastRenderedPageBreak/>
        <w:t xml:space="preserve">information to the Authority and, more generally, that no kind of prejudice is </w:t>
      </w:r>
      <w:proofErr w:type="gramStart"/>
      <w:r w:rsidRPr="0081413A">
        <w:rPr>
          <w:rFonts w:ascii="Palatino Linotype" w:hAnsi="Palatino Linotype"/>
          <w:sz w:val="26"/>
          <w:szCs w:val="26"/>
          <w:lang w:val="en-GB"/>
        </w:rPr>
        <w:t>suffered;</w:t>
      </w:r>
      <w:proofErr w:type="gramEnd"/>
    </w:p>
    <w:p w14:paraId="14B53F5B" w14:textId="77777777" w:rsidR="00507092" w:rsidRPr="0081413A" w:rsidRDefault="00507092" w:rsidP="007B7EDC">
      <w:pPr>
        <w:pStyle w:val="Paragrafoelenco"/>
        <w:numPr>
          <w:ilvl w:val="0"/>
          <w:numId w:val="26"/>
        </w:numPr>
        <w:tabs>
          <w:tab w:val="left" w:pos="284"/>
        </w:tabs>
        <w:spacing w:before="80" w:after="80" w:line="278" w:lineRule="auto"/>
        <w:ind w:left="709" w:right="282"/>
        <w:contextualSpacing w:val="0"/>
        <w:jc w:val="left"/>
        <w:outlineLvl w:val="0"/>
        <w:rPr>
          <w:rFonts w:ascii="Palatino Linotype" w:hAnsi="Palatino Linotype"/>
          <w:sz w:val="26"/>
          <w:szCs w:val="26"/>
          <w:lang w:val="en-GB"/>
        </w:rPr>
      </w:pPr>
      <w:r w:rsidRPr="0081413A">
        <w:rPr>
          <w:rFonts w:ascii="Palatino Linotype" w:hAnsi="Palatino Linotype"/>
          <w:sz w:val="26"/>
          <w:szCs w:val="26"/>
          <w:lang w:val="en-GB"/>
        </w:rPr>
        <w:t xml:space="preserve">obligation to forward to the prosecutorial Authorities any </w:t>
      </w:r>
      <w:r w:rsidRPr="0081413A">
        <w:rPr>
          <w:rFonts w:ascii="Palatino Linotype" w:hAnsi="Palatino Linotype"/>
          <w:i/>
          <w:iCs/>
          <w:sz w:val="26"/>
          <w:szCs w:val="26"/>
          <w:lang w:val="en-GB"/>
        </w:rPr>
        <w:t xml:space="preserve">notitia </w:t>
      </w:r>
      <w:proofErr w:type="spellStart"/>
      <w:r w:rsidRPr="0081413A">
        <w:rPr>
          <w:rFonts w:ascii="Palatino Linotype" w:hAnsi="Palatino Linotype"/>
          <w:i/>
          <w:iCs/>
          <w:sz w:val="26"/>
          <w:szCs w:val="26"/>
          <w:lang w:val="en-GB"/>
        </w:rPr>
        <w:t>criminis</w:t>
      </w:r>
      <w:proofErr w:type="spellEnd"/>
      <w:r w:rsidRPr="0081413A">
        <w:rPr>
          <w:rFonts w:ascii="Palatino Linotype" w:hAnsi="Palatino Linotype"/>
          <w:sz w:val="26"/>
          <w:szCs w:val="26"/>
          <w:lang w:val="en-GB"/>
        </w:rPr>
        <w:t xml:space="preserve"> relevant to facts acknowledged during the GNPL’s visits. </w:t>
      </w:r>
    </w:p>
    <w:p w14:paraId="084C3471" w14:textId="77777777" w:rsidR="00507092" w:rsidRPr="0081413A" w:rsidRDefault="00507092" w:rsidP="007B7EDC">
      <w:pPr>
        <w:tabs>
          <w:tab w:val="left" w:pos="284"/>
        </w:tabs>
        <w:spacing w:before="80" w:after="80" w:line="278" w:lineRule="auto"/>
        <w:ind w:left="360" w:right="282"/>
        <w:jc w:val="both"/>
        <w:outlineLvl w:val="0"/>
        <w:rPr>
          <w:rFonts w:ascii="Palatino Linotype" w:hAnsi="Palatino Linotype"/>
          <w:sz w:val="26"/>
          <w:szCs w:val="26"/>
          <w:lang w:val="en-GB"/>
        </w:rPr>
      </w:pPr>
    </w:p>
    <w:p w14:paraId="6E84973C" w14:textId="77777777" w:rsidR="00507092" w:rsidRPr="0081413A" w:rsidRDefault="00507092" w:rsidP="007B7EDC">
      <w:pPr>
        <w:pStyle w:val="Paragrafoelenco"/>
        <w:numPr>
          <w:ilvl w:val="1"/>
          <w:numId w:val="27"/>
        </w:numPr>
        <w:tabs>
          <w:tab w:val="left" w:pos="426"/>
        </w:tabs>
        <w:spacing w:before="80" w:after="80" w:line="278" w:lineRule="auto"/>
        <w:ind w:right="282"/>
        <w:contextualSpacing w:val="0"/>
        <w:jc w:val="left"/>
        <w:outlineLvl w:val="0"/>
        <w:rPr>
          <w:rFonts w:ascii="Palatino Linotype" w:hAnsi="Palatino Linotype"/>
          <w:sz w:val="26"/>
          <w:szCs w:val="26"/>
          <w:lang w:val="en-GB"/>
        </w:rPr>
      </w:pPr>
      <w:r w:rsidRPr="0081413A">
        <w:rPr>
          <w:rFonts w:ascii="Palatino Linotype" w:hAnsi="Palatino Linotype"/>
          <w:sz w:val="26"/>
          <w:szCs w:val="26"/>
          <w:lang w:val="en-GB"/>
        </w:rPr>
        <w:t xml:space="preserve">The GNPL’s areas of intervention refer to: </w:t>
      </w:r>
    </w:p>
    <w:p w14:paraId="6FAABDDF" w14:textId="3D6C1B59" w:rsidR="00507092" w:rsidRPr="0081413A" w:rsidRDefault="00507092" w:rsidP="007B7EDC">
      <w:pPr>
        <w:numPr>
          <w:ilvl w:val="0"/>
          <w:numId w:val="17"/>
        </w:numPr>
        <w:spacing w:before="80" w:after="80" w:line="278" w:lineRule="auto"/>
        <w:ind w:left="644" w:right="282" w:hanging="284"/>
        <w:jc w:val="both"/>
        <w:outlineLvl w:val="0"/>
        <w:rPr>
          <w:rFonts w:ascii="Palatino Linotype" w:hAnsi="Palatino Linotype"/>
          <w:sz w:val="26"/>
          <w:szCs w:val="26"/>
          <w:lang w:val="en-GB"/>
        </w:rPr>
      </w:pPr>
      <w:r w:rsidRPr="0081413A">
        <w:rPr>
          <w:rFonts w:ascii="Palatino Linotype" w:hAnsi="Palatino Linotype"/>
          <w:sz w:val="26"/>
          <w:szCs w:val="26"/>
          <w:lang w:val="en-GB"/>
        </w:rPr>
        <w:t xml:space="preserve">criminal detention (pre-trial and post-trial custodial facilities for both adults and minors, including the implementation of community sanctions and </w:t>
      </w:r>
      <w:proofErr w:type="gramStart"/>
      <w:r w:rsidRPr="0081413A">
        <w:rPr>
          <w:rFonts w:ascii="Palatino Linotype" w:hAnsi="Palatino Linotype"/>
          <w:sz w:val="26"/>
          <w:szCs w:val="26"/>
          <w:lang w:val="en-GB"/>
        </w:rPr>
        <w:t>measures;</w:t>
      </w:r>
      <w:proofErr w:type="gramEnd"/>
    </w:p>
    <w:p w14:paraId="04431591" w14:textId="77777777" w:rsidR="00507092" w:rsidRPr="0081413A" w:rsidRDefault="00507092" w:rsidP="007B7EDC">
      <w:pPr>
        <w:numPr>
          <w:ilvl w:val="0"/>
          <w:numId w:val="17"/>
        </w:numPr>
        <w:spacing w:before="80" w:after="80" w:line="278" w:lineRule="auto"/>
        <w:ind w:left="644" w:right="282" w:hanging="284"/>
        <w:jc w:val="both"/>
        <w:outlineLvl w:val="0"/>
        <w:rPr>
          <w:rFonts w:ascii="Palatino Linotype" w:hAnsi="Palatino Linotype"/>
          <w:sz w:val="26"/>
          <w:szCs w:val="26"/>
          <w:lang w:val="en-GB"/>
        </w:rPr>
      </w:pPr>
      <w:r w:rsidRPr="0081413A">
        <w:rPr>
          <w:rFonts w:ascii="Palatino Linotype" w:hAnsi="Palatino Linotype"/>
          <w:sz w:val="26"/>
          <w:szCs w:val="26"/>
          <w:lang w:val="en-GB"/>
        </w:rPr>
        <w:t xml:space="preserve">police </w:t>
      </w:r>
      <w:proofErr w:type="gramStart"/>
      <w:r w:rsidRPr="0081413A">
        <w:rPr>
          <w:rFonts w:ascii="Palatino Linotype" w:hAnsi="Palatino Linotype"/>
          <w:sz w:val="26"/>
          <w:szCs w:val="26"/>
          <w:lang w:val="en-GB"/>
        </w:rPr>
        <w:t>custody;</w:t>
      </w:r>
      <w:proofErr w:type="gramEnd"/>
      <w:r w:rsidRPr="0081413A">
        <w:rPr>
          <w:rFonts w:ascii="Palatino Linotype" w:hAnsi="Palatino Linotype"/>
          <w:sz w:val="26"/>
          <w:szCs w:val="26"/>
          <w:lang w:val="en-GB"/>
        </w:rPr>
        <w:t xml:space="preserve"> </w:t>
      </w:r>
    </w:p>
    <w:p w14:paraId="1C9F1167" w14:textId="77777777" w:rsidR="00507092" w:rsidRPr="0081413A" w:rsidRDefault="00507092" w:rsidP="007B7EDC">
      <w:pPr>
        <w:numPr>
          <w:ilvl w:val="0"/>
          <w:numId w:val="17"/>
        </w:numPr>
        <w:spacing w:before="80" w:after="80" w:line="278" w:lineRule="auto"/>
        <w:ind w:left="644" w:right="282" w:hanging="284"/>
        <w:jc w:val="both"/>
        <w:outlineLvl w:val="0"/>
        <w:rPr>
          <w:rFonts w:ascii="Palatino Linotype" w:hAnsi="Palatino Linotype"/>
          <w:sz w:val="26"/>
          <w:szCs w:val="26"/>
          <w:lang w:val="en-GB"/>
        </w:rPr>
      </w:pPr>
      <w:r w:rsidRPr="0081413A">
        <w:rPr>
          <w:rFonts w:ascii="Palatino Linotype" w:hAnsi="Palatino Linotype"/>
          <w:sz w:val="26"/>
          <w:szCs w:val="26"/>
          <w:lang w:val="en-GB"/>
        </w:rPr>
        <w:t xml:space="preserve">administrative detention of irregular migrants (including the </w:t>
      </w:r>
      <w:r w:rsidRPr="0081413A">
        <w:rPr>
          <w:rFonts w:ascii="Palatino Linotype" w:hAnsi="Palatino Linotype"/>
          <w:i/>
          <w:iCs/>
          <w:sz w:val="26"/>
          <w:szCs w:val="26"/>
          <w:lang w:val="en-GB"/>
        </w:rPr>
        <w:t>de facto</w:t>
      </w:r>
      <w:r w:rsidRPr="0081413A">
        <w:rPr>
          <w:rFonts w:ascii="Palatino Linotype" w:hAnsi="Palatino Linotype"/>
          <w:sz w:val="26"/>
          <w:szCs w:val="26"/>
          <w:lang w:val="en-GB"/>
        </w:rPr>
        <w:t xml:space="preserve"> deprivation of liberty in the so-called ‘hotspots’) in pre-removal centres (‘CPR’), in the so-called ‘suitable </w:t>
      </w:r>
      <w:proofErr w:type="gramStart"/>
      <w:r w:rsidRPr="0081413A">
        <w:rPr>
          <w:rFonts w:ascii="Palatino Linotype" w:hAnsi="Palatino Linotype"/>
          <w:sz w:val="26"/>
          <w:szCs w:val="26"/>
          <w:lang w:val="en-GB"/>
        </w:rPr>
        <w:t>premises’</w:t>
      </w:r>
      <w:proofErr w:type="gramEnd"/>
      <w:r w:rsidRPr="0081413A">
        <w:rPr>
          <w:rFonts w:ascii="Palatino Linotype" w:hAnsi="Palatino Linotype"/>
          <w:sz w:val="26"/>
          <w:szCs w:val="26"/>
          <w:lang w:val="en-GB"/>
        </w:rPr>
        <w:t xml:space="preserve"> at the </w:t>
      </w:r>
      <w:proofErr w:type="spellStart"/>
      <w:r w:rsidRPr="0081413A">
        <w:rPr>
          <w:rFonts w:ascii="Palatino Linotype" w:hAnsi="Palatino Linotype"/>
          <w:sz w:val="26"/>
          <w:szCs w:val="26"/>
          <w:lang w:val="en-GB"/>
        </w:rPr>
        <w:t>Questure</w:t>
      </w:r>
      <w:proofErr w:type="spellEnd"/>
      <w:r w:rsidRPr="0081413A">
        <w:rPr>
          <w:rFonts w:ascii="Palatino Linotype" w:hAnsi="Palatino Linotype"/>
          <w:sz w:val="26"/>
          <w:szCs w:val="26"/>
          <w:lang w:val="en-GB"/>
        </w:rPr>
        <w:t xml:space="preserve">, in the waiting areas at the airports and ports, and so </w:t>
      </w:r>
      <w:proofErr w:type="gramStart"/>
      <w:r w:rsidRPr="0081413A">
        <w:rPr>
          <w:rFonts w:ascii="Palatino Linotype" w:hAnsi="Palatino Linotype"/>
          <w:sz w:val="26"/>
          <w:szCs w:val="26"/>
          <w:lang w:val="en-GB"/>
        </w:rPr>
        <w:t>on;</w:t>
      </w:r>
      <w:proofErr w:type="gramEnd"/>
      <w:r w:rsidRPr="0081413A">
        <w:rPr>
          <w:rFonts w:ascii="Palatino Linotype" w:hAnsi="Palatino Linotype"/>
          <w:sz w:val="26"/>
          <w:szCs w:val="26"/>
          <w:lang w:val="en-GB"/>
        </w:rPr>
        <w:t xml:space="preserve"> </w:t>
      </w:r>
    </w:p>
    <w:p w14:paraId="1D6B58F6" w14:textId="77777777" w:rsidR="00507092" w:rsidRPr="0081413A" w:rsidRDefault="00507092" w:rsidP="007B7EDC">
      <w:pPr>
        <w:numPr>
          <w:ilvl w:val="0"/>
          <w:numId w:val="17"/>
        </w:numPr>
        <w:spacing w:before="80" w:after="80" w:line="278" w:lineRule="auto"/>
        <w:ind w:left="644" w:right="282" w:hanging="284"/>
        <w:jc w:val="both"/>
        <w:outlineLvl w:val="0"/>
        <w:rPr>
          <w:rFonts w:ascii="Palatino Linotype" w:hAnsi="Palatino Linotype"/>
          <w:sz w:val="26"/>
          <w:szCs w:val="26"/>
          <w:lang w:val="en-GB"/>
        </w:rPr>
      </w:pPr>
      <w:r w:rsidRPr="0081413A">
        <w:rPr>
          <w:rFonts w:ascii="Palatino Linotype" w:hAnsi="Palatino Linotype"/>
          <w:sz w:val="26"/>
          <w:szCs w:val="26"/>
          <w:lang w:val="en-GB"/>
        </w:rPr>
        <w:t xml:space="preserve">health care: psychiatric facilities for the diagnosis and care of mental disorders (‘SPDC’) where compulsory health treatments occur, forensic health facilities (‘REMS’), and care homes for disabled or elderly persons, hospital wards for prisoners, therapeutic communities. </w:t>
      </w:r>
    </w:p>
    <w:p w14:paraId="3A40A637" w14:textId="77777777" w:rsidR="00507092" w:rsidRPr="0081413A" w:rsidRDefault="00507092" w:rsidP="007B7EDC">
      <w:pPr>
        <w:spacing w:before="80" w:after="80" w:line="278" w:lineRule="auto"/>
        <w:ind w:left="644" w:right="282"/>
        <w:jc w:val="both"/>
        <w:outlineLvl w:val="0"/>
        <w:rPr>
          <w:rFonts w:ascii="Palatino Linotype" w:hAnsi="Palatino Linotype"/>
          <w:sz w:val="26"/>
          <w:szCs w:val="26"/>
          <w:lang w:val="en-GB"/>
        </w:rPr>
      </w:pPr>
      <w:r w:rsidRPr="0081413A">
        <w:rPr>
          <w:rFonts w:ascii="Palatino Linotype" w:hAnsi="Palatino Linotype"/>
          <w:sz w:val="26"/>
          <w:szCs w:val="26"/>
          <w:lang w:val="en-GB"/>
        </w:rPr>
        <w:t>Since 2016, the GNPL has started an activity (Directive 2008/115/CE of the European Parliament and the Council of 16 December 2008 on common standards and procedures in Member States for returning illegally staying third-country nationals) under which the GNPL constitutes the effective and independent forced-return monitoring system (Article 8, para 6)</w:t>
      </w:r>
      <w:r w:rsidRPr="0081413A">
        <w:rPr>
          <w:rStyle w:val="Rimandonotaapidipagina"/>
          <w:rFonts w:ascii="Palatino Linotype" w:hAnsi="Palatino Linotype"/>
          <w:sz w:val="26"/>
          <w:szCs w:val="26"/>
          <w:lang w:val="en-GB"/>
        </w:rPr>
        <w:footnoteReference w:id="5"/>
      </w:r>
      <w:r w:rsidRPr="0081413A">
        <w:rPr>
          <w:rFonts w:ascii="Palatino Linotype" w:hAnsi="Palatino Linotype"/>
          <w:sz w:val="26"/>
          <w:szCs w:val="26"/>
          <w:lang w:val="en-GB"/>
        </w:rPr>
        <w:t xml:space="preserve">. </w:t>
      </w:r>
    </w:p>
    <w:p w14:paraId="5D356572" w14:textId="77777777" w:rsidR="00507092" w:rsidRPr="0081413A" w:rsidRDefault="00507092" w:rsidP="007B7EDC">
      <w:pPr>
        <w:tabs>
          <w:tab w:val="left" w:pos="426"/>
        </w:tabs>
        <w:spacing w:before="80" w:after="80" w:line="278" w:lineRule="auto"/>
        <w:ind w:left="360" w:right="282" w:hanging="420"/>
        <w:jc w:val="both"/>
        <w:outlineLvl w:val="0"/>
        <w:rPr>
          <w:rFonts w:ascii="Palatino Linotype" w:hAnsi="Palatino Linotype"/>
          <w:sz w:val="26"/>
          <w:szCs w:val="26"/>
          <w:lang w:val="en-GB"/>
        </w:rPr>
      </w:pPr>
      <w:r w:rsidRPr="0081413A">
        <w:rPr>
          <w:rFonts w:ascii="Palatino Linotype" w:hAnsi="Palatino Linotype"/>
          <w:sz w:val="26"/>
          <w:szCs w:val="26"/>
          <w:lang w:val="en-GB"/>
        </w:rPr>
        <w:t>2.3</w:t>
      </w:r>
      <w:r w:rsidRPr="0081413A">
        <w:rPr>
          <w:rFonts w:ascii="Palatino Linotype" w:hAnsi="Palatino Linotype"/>
          <w:sz w:val="26"/>
          <w:szCs w:val="26"/>
          <w:lang w:val="en-GB"/>
        </w:rPr>
        <w:tab/>
        <w:t>In this context, the GNPL implemented three projects funded by the Asylum, Migration and Integration Fund (AMIF):</w:t>
      </w:r>
    </w:p>
    <w:p w14:paraId="64819B9B" w14:textId="77777777" w:rsidR="00507092" w:rsidRPr="0081413A" w:rsidRDefault="00507092" w:rsidP="007B7EDC">
      <w:pPr>
        <w:spacing w:before="80" w:after="80" w:line="278" w:lineRule="auto"/>
        <w:ind w:left="567" w:right="282" w:hanging="283"/>
        <w:jc w:val="both"/>
        <w:outlineLvl w:val="0"/>
        <w:rPr>
          <w:rFonts w:ascii="Palatino Linotype" w:hAnsi="Palatino Linotype"/>
          <w:sz w:val="26"/>
          <w:szCs w:val="26"/>
          <w:lang w:val="en-GB"/>
        </w:rPr>
      </w:pPr>
      <w:r w:rsidRPr="0081413A">
        <w:rPr>
          <w:rFonts w:ascii="Palatino Linotype" w:hAnsi="Palatino Linotype"/>
          <w:sz w:val="26"/>
          <w:szCs w:val="26"/>
          <w:lang w:val="en-GB"/>
        </w:rPr>
        <w:lastRenderedPageBreak/>
        <w:t>•</w:t>
      </w:r>
      <w:r w:rsidRPr="0081413A">
        <w:rPr>
          <w:rFonts w:ascii="Palatino Linotype" w:hAnsi="Palatino Linotype"/>
          <w:sz w:val="26"/>
          <w:szCs w:val="26"/>
          <w:lang w:val="en-GB"/>
        </w:rPr>
        <w:tab/>
        <w:t>2017–2020, 'Realisation of a forced-return monitoring system': the first project yielded successful results in terms of operations monitored (1,566 compared to the 1,000 originally planned).</w:t>
      </w:r>
    </w:p>
    <w:p w14:paraId="5B3B774D" w14:textId="77777777" w:rsidR="00507092" w:rsidRPr="0081413A" w:rsidRDefault="00507092" w:rsidP="007B7EDC">
      <w:pPr>
        <w:spacing w:before="80" w:after="80" w:line="278" w:lineRule="auto"/>
        <w:ind w:left="567" w:right="282" w:hanging="283"/>
        <w:jc w:val="both"/>
        <w:outlineLvl w:val="0"/>
        <w:rPr>
          <w:rFonts w:ascii="Palatino Linotype" w:hAnsi="Palatino Linotype"/>
          <w:sz w:val="26"/>
          <w:szCs w:val="26"/>
          <w:lang w:val="en-GB"/>
        </w:rPr>
      </w:pPr>
      <w:r w:rsidRPr="0081413A">
        <w:rPr>
          <w:rFonts w:ascii="Palatino Linotype" w:hAnsi="Palatino Linotype"/>
          <w:sz w:val="26"/>
          <w:szCs w:val="26"/>
          <w:lang w:val="en-GB"/>
        </w:rPr>
        <w:t>•</w:t>
      </w:r>
      <w:r w:rsidRPr="0081413A">
        <w:rPr>
          <w:rFonts w:ascii="Palatino Linotype" w:hAnsi="Palatino Linotype"/>
          <w:sz w:val="26"/>
          <w:szCs w:val="26"/>
          <w:lang w:val="en-GB"/>
        </w:rPr>
        <w:tab/>
        <w:t>2020–2023, 'Implementation of a forced-return monitoring system': this project built upon the National Guarantor’s experience in its role as an effective monitoring system. It provided training for staff involved and adopted a global approach to return operations, extending monitoring to post-arrival and post-return phases through cooperation with the NPMs of the third countries of return.</w:t>
      </w:r>
    </w:p>
    <w:p w14:paraId="135CB7B1" w14:textId="77777777" w:rsidR="00507092" w:rsidRPr="0081413A" w:rsidRDefault="00507092" w:rsidP="007B7EDC">
      <w:pPr>
        <w:spacing w:before="80" w:after="80" w:line="278" w:lineRule="auto"/>
        <w:ind w:left="567" w:right="282" w:hanging="283"/>
        <w:jc w:val="both"/>
        <w:outlineLvl w:val="0"/>
        <w:rPr>
          <w:rFonts w:ascii="Palatino Linotype" w:hAnsi="Palatino Linotype"/>
          <w:sz w:val="26"/>
          <w:szCs w:val="26"/>
          <w:lang w:val="en-GB"/>
        </w:rPr>
      </w:pPr>
      <w:r w:rsidRPr="0081413A">
        <w:rPr>
          <w:rFonts w:ascii="Palatino Linotype" w:hAnsi="Palatino Linotype"/>
          <w:sz w:val="26"/>
          <w:szCs w:val="26"/>
          <w:lang w:val="en-GB"/>
        </w:rPr>
        <w:t>•</w:t>
      </w:r>
      <w:r w:rsidRPr="0081413A">
        <w:rPr>
          <w:rFonts w:ascii="Palatino Linotype" w:hAnsi="Palatino Linotype"/>
          <w:sz w:val="26"/>
          <w:szCs w:val="26"/>
          <w:lang w:val="en-GB"/>
        </w:rPr>
        <w:tab/>
        <w:t>2024–ongoing, 'Forced returns and protection of rights': this latest project has expanded its functional perspective to external actors (including civil society organisations), who will be trained as monitors and deployed in return operations by the GNPL. The project utilises solid collaboration with academic experts (through three action-research initiatives) on themes such as: safeguarding the right to health in CPRs and during return operations; security management models in administrative detention; and the effectiveness and sustainability of return policies in terms of protecting the human rights of returnees.</w:t>
      </w:r>
    </w:p>
    <w:p w14:paraId="66FFB84C" w14:textId="77777777" w:rsidR="00507092" w:rsidRPr="0081413A" w:rsidRDefault="00507092" w:rsidP="007B7EDC">
      <w:pPr>
        <w:spacing w:before="80" w:after="80" w:line="278" w:lineRule="auto"/>
        <w:ind w:left="360" w:right="282"/>
        <w:jc w:val="both"/>
        <w:rPr>
          <w:rFonts w:ascii="Palatino Linotype" w:hAnsi="Palatino Linotype"/>
          <w:sz w:val="26"/>
          <w:szCs w:val="26"/>
          <w:lang w:val="en-GB"/>
        </w:rPr>
      </w:pPr>
    </w:p>
    <w:p w14:paraId="7B4E21E2" w14:textId="77777777" w:rsidR="00507092" w:rsidRPr="00A9301B" w:rsidRDefault="00507092" w:rsidP="007B7EDC">
      <w:pPr>
        <w:pStyle w:val="Paragrafoelenco"/>
        <w:numPr>
          <w:ilvl w:val="0"/>
          <w:numId w:val="27"/>
        </w:numPr>
        <w:spacing w:before="80" w:after="80" w:line="278" w:lineRule="auto"/>
        <w:ind w:left="567" w:right="282" w:hanging="567"/>
        <w:outlineLvl w:val="0"/>
        <w:rPr>
          <w:rFonts w:ascii="Palatino Linotype" w:hAnsi="Palatino Linotype"/>
          <w:b/>
          <w:bCs/>
          <w:sz w:val="26"/>
          <w:szCs w:val="26"/>
          <w:lang w:val="en-GB"/>
        </w:rPr>
      </w:pPr>
      <w:r w:rsidRPr="00A9301B">
        <w:rPr>
          <w:rFonts w:ascii="Palatino Linotype" w:hAnsi="Palatino Linotype"/>
          <w:b/>
          <w:bCs/>
          <w:sz w:val="26"/>
          <w:szCs w:val="26"/>
          <w:lang w:val="en-GB"/>
        </w:rPr>
        <w:t>Synergies and criticalities in the GNPL’s cooperation with the Authorities concerned with its oversight activity</w:t>
      </w:r>
    </w:p>
    <w:p w14:paraId="0D6EF505" w14:textId="77777777" w:rsidR="00507092" w:rsidRPr="0081413A" w:rsidRDefault="00507092" w:rsidP="007B7EDC">
      <w:pPr>
        <w:tabs>
          <w:tab w:val="left" w:pos="567"/>
        </w:tabs>
        <w:spacing w:before="80" w:after="80" w:line="278" w:lineRule="auto"/>
        <w:ind w:right="284"/>
        <w:jc w:val="both"/>
        <w:rPr>
          <w:rFonts w:ascii="Palatino Linotype" w:hAnsi="Palatino Linotype"/>
          <w:sz w:val="26"/>
          <w:szCs w:val="26"/>
          <w:lang w:val="en-GB"/>
        </w:rPr>
      </w:pPr>
      <w:r>
        <w:rPr>
          <w:rFonts w:ascii="Palatino Linotype" w:hAnsi="Palatino Linotype"/>
          <w:sz w:val="26"/>
          <w:szCs w:val="26"/>
          <w:lang w:val="en-GB"/>
        </w:rPr>
        <w:t xml:space="preserve">3.1 </w:t>
      </w:r>
      <w:r w:rsidRPr="0081413A">
        <w:rPr>
          <w:rFonts w:ascii="Palatino Linotype" w:hAnsi="Palatino Linotype"/>
          <w:sz w:val="26"/>
          <w:szCs w:val="26"/>
          <w:lang w:val="en-GB"/>
        </w:rPr>
        <w:t xml:space="preserve">The GNPL’s monitoring activity is based on guidelines that constantly seek cooperation and dialogue, both at the local and central levels, with the competent State authorities regarding the deprivation of liberty and with various other stakeholders. The results of this activity are primarily translated into a proactive and solution-oriented approach which is intrinsic to all the activities of the National Guarantor.  From its very outset, the GNPL intended to bring forward the analysis of different contexts of deprivation of liberty from mere observation towards more advanced perspectives of situational management — and </w:t>
      </w:r>
      <w:r w:rsidRPr="0081413A">
        <w:rPr>
          <w:rFonts w:ascii="Palatino Linotype" w:hAnsi="Palatino Linotype"/>
          <w:sz w:val="26"/>
          <w:szCs w:val="26"/>
          <w:lang w:val="en-GB"/>
        </w:rPr>
        <w:lastRenderedPageBreak/>
        <w:t xml:space="preserve">to foster the construction of a culture of human rights in the context of deprivation of liberty.  </w:t>
      </w:r>
    </w:p>
    <w:p w14:paraId="74BA8094" w14:textId="77777777" w:rsidR="00507092" w:rsidRPr="0081413A" w:rsidRDefault="00507092" w:rsidP="007B7EDC">
      <w:pPr>
        <w:spacing w:before="80" w:after="80" w:line="278" w:lineRule="auto"/>
        <w:ind w:right="282"/>
        <w:jc w:val="both"/>
        <w:rPr>
          <w:rFonts w:ascii="Palatino Linotype" w:hAnsi="Palatino Linotype"/>
          <w:sz w:val="26"/>
          <w:szCs w:val="26"/>
          <w:lang w:val="en-GB"/>
        </w:rPr>
      </w:pPr>
      <w:r w:rsidRPr="0081413A">
        <w:rPr>
          <w:rFonts w:ascii="Palatino Linotype" w:hAnsi="Palatino Linotype"/>
          <w:sz w:val="26"/>
          <w:szCs w:val="26"/>
          <w:lang w:val="en-GB"/>
        </w:rPr>
        <w:t>Relevantly, the GNPL</w:t>
      </w:r>
    </w:p>
    <w:p w14:paraId="31E39DB6" w14:textId="77777777" w:rsidR="00507092" w:rsidRPr="0081413A" w:rsidRDefault="00507092" w:rsidP="007B7EDC">
      <w:pPr>
        <w:pStyle w:val="Paragrafoelenco"/>
        <w:numPr>
          <w:ilvl w:val="0"/>
          <w:numId w:val="29"/>
        </w:numPr>
        <w:spacing w:before="80" w:after="80" w:line="278" w:lineRule="auto"/>
        <w:ind w:right="282"/>
        <w:contextualSpacing w:val="0"/>
        <w:rPr>
          <w:rFonts w:ascii="Palatino Linotype" w:hAnsi="Palatino Linotype"/>
          <w:sz w:val="26"/>
          <w:szCs w:val="26"/>
          <w:lang w:val="en-GB"/>
        </w:rPr>
      </w:pPr>
      <w:r w:rsidRPr="0081413A">
        <w:rPr>
          <w:rFonts w:ascii="Palatino Linotype" w:hAnsi="Palatino Linotype"/>
          <w:sz w:val="26"/>
          <w:szCs w:val="26"/>
          <w:lang w:val="en-GB"/>
        </w:rPr>
        <w:t xml:space="preserve">publishes </w:t>
      </w:r>
      <w:r w:rsidRPr="00597EDA">
        <w:rPr>
          <w:rFonts w:ascii="Palatino Linotype" w:hAnsi="Palatino Linotype"/>
          <w:sz w:val="26"/>
          <w:szCs w:val="26"/>
          <w:u w:val="single"/>
          <w:lang w:val="en-GB"/>
        </w:rPr>
        <w:t xml:space="preserve">annual </w:t>
      </w:r>
      <w:r w:rsidRPr="0081413A">
        <w:rPr>
          <w:rFonts w:ascii="Palatino Linotype" w:hAnsi="Palatino Linotype"/>
          <w:sz w:val="26"/>
          <w:szCs w:val="26"/>
          <w:u w:val="single"/>
          <w:lang w:val="en-GB"/>
        </w:rPr>
        <w:t>reports</w:t>
      </w:r>
      <w:r w:rsidRPr="0081413A">
        <w:rPr>
          <w:rStyle w:val="Rimandonotaapidipagina"/>
          <w:rFonts w:ascii="Palatino Linotype" w:hAnsi="Palatino Linotype"/>
          <w:sz w:val="26"/>
          <w:szCs w:val="26"/>
          <w:u w:val="single"/>
          <w:lang w:val="en-GB"/>
        </w:rPr>
        <w:footnoteReference w:id="6"/>
      </w:r>
      <w:r w:rsidRPr="0081413A">
        <w:rPr>
          <w:rFonts w:ascii="Palatino Linotype" w:hAnsi="Palatino Linotype"/>
          <w:sz w:val="26"/>
          <w:szCs w:val="26"/>
          <w:u w:val="single"/>
          <w:lang w:val="en-GB"/>
        </w:rPr>
        <w:t xml:space="preserve"> and reports on visits carried out</w:t>
      </w:r>
      <w:r w:rsidRPr="0081413A">
        <w:rPr>
          <w:rFonts w:ascii="Palatino Linotype" w:hAnsi="Palatino Linotype"/>
          <w:sz w:val="26"/>
          <w:szCs w:val="26"/>
          <w:lang w:val="en-GB"/>
        </w:rPr>
        <w:t xml:space="preserve">, including relative recommendations and the responses from the Administrations to which recommendations are </w:t>
      </w:r>
      <w:proofErr w:type="gramStart"/>
      <w:r w:rsidRPr="0081413A">
        <w:rPr>
          <w:rFonts w:ascii="Palatino Linotype" w:hAnsi="Palatino Linotype"/>
          <w:sz w:val="26"/>
          <w:szCs w:val="26"/>
          <w:lang w:val="en-GB"/>
        </w:rPr>
        <w:t>addressed;</w:t>
      </w:r>
      <w:proofErr w:type="gramEnd"/>
      <w:r w:rsidRPr="0081413A">
        <w:rPr>
          <w:rFonts w:ascii="Palatino Linotype" w:hAnsi="Palatino Linotype"/>
          <w:sz w:val="26"/>
          <w:szCs w:val="26"/>
          <w:lang w:val="en-GB"/>
        </w:rPr>
        <w:t xml:space="preserve"> </w:t>
      </w:r>
    </w:p>
    <w:p w14:paraId="042610FC" w14:textId="77777777" w:rsidR="00507092" w:rsidRPr="0081413A" w:rsidRDefault="00507092" w:rsidP="007B7EDC">
      <w:pPr>
        <w:pStyle w:val="Paragrafoelenco"/>
        <w:numPr>
          <w:ilvl w:val="0"/>
          <w:numId w:val="29"/>
        </w:numPr>
        <w:spacing w:before="80" w:after="80" w:line="278" w:lineRule="auto"/>
        <w:ind w:right="282"/>
        <w:contextualSpacing w:val="0"/>
        <w:rPr>
          <w:rFonts w:ascii="Palatino Linotype" w:hAnsi="Palatino Linotype"/>
          <w:sz w:val="26"/>
          <w:szCs w:val="26"/>
          <w:lang w:val="en-GB"/>
        </w:rPr>
      </w:pPr>
      <w:proofErr w:type="gramStart"/>
      <w:r w:rsidRPr="0081413A">
        <w:rPr>
          <w:rFonts w:ascii="Palatino Linotype" w:hAnsi="Palatino Linotype"/>
          <w:sz w:val="26"/>
          <w:szCs w:val="26"/>
          <w:u w:val="single"/>
          <w:lang w:val="en-GB"/>
        </w:rPr>
        <w:t>enters into</w:t>
      </w:r>
      <w:proofErr w:type="gramEnd"/>
      <w:r w:rsidRPr="0081413A">
        <w:rPr>
          <w:rFonts w:ascii="Palatino Linotype" w:hAnsi="Palatino Linotype"/>
          <w:sz w:val="26"/>
          <w:szCs w:val="26"/>
          <w:u w:val="single"/>
          <w:lang w:val="en-GB"/>
        </w:rPr>
        <w:t xml:space="preserve"> dialogue with the Authorities concerned</w:t>
      </w:r>
      <w:r w:rsidRPr="0081413A">
        <w:rPr>
          <w:rFonts w:ascii="Palatino Linotype" w:hAnsi="Palatino Linotype"/>
          <w:sz w:val="26"/>
          <w:szCs w:val="26"/>
          <w:lang w:val="en-GB"/>
        </w:rPr>
        <w:t xml:space="preserve"> over the detention of persons entrusted to </w:t>
      </w:r>
      <w:proofErr w:type="gramStart"/>
      <w:r w:rsidRPr="0081413A">
        <w:rPr>
          <w:rFonts w:ascii="Palatino Linotype" w:hAnsi="Palatino Linotype"/>
          <w:sz w:val="26"/>
          <w:szCs w:val="26"/>
          <w:lang w:val="en-GB"/>
        </w:rPr>
        <w:t>them;</w:t>
      </w:r>
      <w:proofErr w:type="gramEnd"/>
      <w:r w:rsidRPr="0081413A">
        <w:rPr>
          <w:rFonts w:ascii="Palatino Linotype" w:hAnsi="Palatino Linotype"/>
          <w:sz w:val="26"/>
          <w:szCs w:val="26"/>
          <w:lang w:val="en-GB"/>
        </w:rPr>
        <w:t xml:space="preserve"> </w:t>
      </w:r>
    </w:p>
    <w:p w14:paraId="43663A0F" w14:textId="77777777" w:rsidR="00507092" w:rsidRPr="0081413A" w:rsidRDefault="00507092" w:rsidP="007B7EDC">
      <w:pPr>
        <w:pStyle w:val="Paragrafoelenco"/>
        <w:numPr>
          <w:ilvl w:val="0"/>
          <w:numId w:val="29"/>
        </w:numPr>
        <w:spacing w:before="80" w:after="80" w:line="278" w:lineRule="auto"/>
        <w:ind w:right="282"/>
        <w:contextualSpacing w:val="0"/>
        <w:rPr>
          <w:rFonts w:ascii="Palatino Linotype" w:hAnsi="Palatino Linotype"/>
          <w:sz w:val="26"/>
          <w:szCs w:val="26"/>
          <w:lang w:val="en-GB"/>
        </w:rPr>
      </w:pPr>
      <w:r w:rsidRPr="0081413A">
        <w:rPr>
          <w:rFonts w:ascii="Palatino Linotype" w:hAnsi="Palatino Linotype"/>
          <w:sz w:val="26"/>
          <w:szCs w:val="26"/>
          <w:u w:val="single"/>
          <w:lang w:val="en-GB"/>
        </w:rPr>
        <w:t>carries out a consultative activity with the Parliament, the Courts and the local Administrations</w:t>
      </w:r>
      <w:r w:rsidRPr="0081413A">
        <w:rPr>
          <w:rFonts w:ascii="Palatino Linotype" w:hAnsi="Palatino Linotype"/>
          <w:sz w:val="26"/>
          <w:szCs w:val="26"/>
          <w:lang w:val="en-GB"/>
        </w:rPr>
        <w:t xml:space="preserve"> —in compliance with the provisions of Article 19(c) of </w:t>
      </w:r>
      <w:proofErr w:type="gramStart"/>
      <w:r w:rsidRPr="0081413A">
        <w:rPr>
          <w:rFonts w:ascii="Palatino Linotype" w:hAnsi="Palatino Linotype"/>
          <w:sz w:val="26"/>
          <w:szCs w:val="26"/>
          <w:lang w:val="en-GB"/>
        </w:rPr>
        <w:t>OPCAT;</w:t>
      </w:r>
      <w:proofErr w:type="gramEnd"/>
      <w:r w:rsidRPr="0081413A">
        <w:rPr>
          <w:rFonts w:ascii="Palatino Linotype" w:hAnsi="Palatino Linotype"/>
          <w:sz w:val="26"/>
          <w:szCs w:val="26"/>
          <w:lang w:val="en-GB"/>
        </w:rPr>
        <w:t xml:space="preserve"> </w:t>
      </w:r>
    </w:p>
    <w:p w14:paraId="43CE393A" w14:textId="77777777" w:rsidR="00507092" w:rsidRPr="0081413A" w:rsidRDefault="00507092" w:rsidP="007B7EDC">
      <w:pPr>
        <w:pStyle w:val="Paragrafoelenco"/>
        <w:numPr>
          <w:ilvl w:val="0"/>
          <w:numId w:val="29"/>
        </w:numPr>
        <w:spacing w:before="80" w:after="80" w:line="278" w:lineRule="auto"/>
        <w:ind w:right="282"/>
        <w:contextualSpacing w:val="0"/>
        <w:rPr>
          <w:rFonts w:ascii="Palatino Linotype" w:hAnsi="Palatino Linotype"/>
          <w:sz w:val="26"/>
          <w:szCs w:val="26"/>
          <w:lang w:val="en-GB"/>
        </w:rPr>
      </w:pPr>
      <w:proofErr w:type="gramStart"/>
      <w:r w:rsidRPr="0081413A">
        <w:rPr>
          <w:rFonts w:ascii="Palatino Linotype" w:hAnsi="Palatino Linotype"/>
          <w:sz w:val="26"/>
          <w:szCs w:val="26"/>
          <w:u w:val="single"/>
          <w:lang w:val="en-GB"/>
        </w:rPr>
        <w:t>enters into</w:t>
      </w:r>
      <w:proofErr w:type="gramEnd"/>
      <w:r w:rsidRPr="0081413A">
        <w:rPr>
          <w:rFonts w:ascii="Palatino Linotype" w:hAnsi="Palatino Linotype"/>
          <w:sz w:val="26"/>
          <w:szCs w:val="26"/>
          <w:u w:val="single"/>
          <w:lang w:val="en-GB"/>
        </w:rPr>
        <w:t xml:space="preserve"> dialogue and cooperates with regional and global HR organisations and with international </w:t>
      </w:r>
      <w:proofErr w:type="gramStart"/>
      <w:r w:rsidRPr="0081413A">
        <w:rPr>
          <w:rFonts w:ascii="Palatino Linotype" w:hAnsi="Palatino Linotype"/>
          <w:sz w:val="26"/>
          <w:szCs w:val="26"/>
          <w:u w:val="single"/>
          <w:lang w:val="en-GB"/>
        </w:rPr>
        <w:t>stakeholders;</w:t>
      </w:r>
      <w:proofErr w:type="gramEnd"/>
      <w:r w:rsidRPr="0081413A">
        <w:rPr>
          <w:rFonts w:ascii="Palatino Linotype" w:hAnsi="Palatino Linotype"/>
          <w:sz w:val="26"/>
          <w:szCs w:val="26"/>
          <w:u w:val="single"/>
          <w:lang w:val="en-GB"/>
        </w:rPr>
        <w:t xml:space="preserve"> </w:t>
      </w:r>
    </w:p>
    <w:p w14:paraId="59762F80" w14:textId="77777777" w:rsidR="00507092" w:rsidRPr="0081413A" w:rsidRDefault="00507092" w:rsidP="007B7EDC">
      <w:pPr>
        <w:pStyle w:val="Paragrafoelenco"/>
        <w:numPr>
          <w:ilvl w:val="0"/>
          <w:numId w:val="29"/>
        </w:numPr>
        <w:spacing w:before="80" w:after="80" w:line="278" w:lineRule="auto"/>
        <w:ind w:right="282"/>
        <w:contextualSpacing w:val="0"/>
        <w:rPr>
          <w:rFonts w:ascii="Palatino Linotype" w:hAnsi="Palatino Linotype"/>
          <w:sz w:val="26"/>
          <w:szCs w:val="26"/>
          <w:lang w:val="en-GB"/>
        </w:rPr>
      </w:pPr>
      <w:r w:rsidRPr="0081413A">
        <w:rPr>
          <w:rFonts w:ascii="Palatino Linotype" w:hAnsi="Palatino Linotype"/>
          <w:sz w:val="26"/>
          <w:szCs w:val="26"/>
          <w:u w:val="single"/>
          <w:lang w:val="en-GB"/>
        </w:rPr>
        <w:t>participates as “civil and/or injured” party in criminal proceedings</w:t>
      </w:r>
      <w:r w:rsidRPr="0081413A">
        <w:rPr>
          <w:rFonts w:ascii="Palatino Linotype" w:hAnsi="Palatino Linotype"/>
          <w:sz w:val="26"/>
          <w:szCs w:val="26"/>
          <w:lang w:val="en-GB"/>
        </w:rPr>
        <w:t xml:space="preserve"> concerning the violation of Article 3 of the European Convention of Human Rights occurred in places of deprivation of liberty.</w:t>
      </w:r>
    </w:p>
    <w:p w14:paraId="3855CB2D" w14:textId="77777777" w:rsidR="00FB1EE3" w:rsidRDefault="00FB1EE3" w:rsidP="00FB1EE3">
      <w:pPr>
        <w:spacing w:before="80" w:after="80" w:line="278" w:lineRule="auto"/>
        <w:ind w:right="282"/>
        <w:rPr>
          <w:rFonts w:ascii="Palatino Linotype" w:hAnsi="Palatino Linotype"/>
          <w:sz w:val="26"/>
          <w:szCs w:val="26"/>
          <w:lang w:val="en-US"/>
        </w:rPr>
      </w:pPr>
    </w:p>
    <w:p w14:paraId="26091BA4" w14:textId="77FCD219" w:rsidR="00507092" w:rsidRPr="00280596" w:rsidRDefault="00507092" w:rsidP="00280596">
      <w:pPr>
        <w:tabs>
          <w:tab w:val="left" w:pos="426"/>
        </w:tabs>
        <w:spacing w:before="80" w:after="80" w:line="278" w:lineRule="auto"/>
        <w:ind w:left="430" w:right="282" w:hanging="430"/>
        <w:jc w:val="both"/>
        <w:rPr>
          <w:rFonts w:ascii="Palatino Linotype" w:hAnsi="Palatino Linotype"/>
          <w:b/>
          <w:bCs/>
          <w:sz w:val="26"/>
          <w:szCs w:val="26"/>
          <w:lang w:val="en-US"/>
        </w:rPr>
      </w:pPr>
      <w:r w:rsidRPr="00FB1EE3">
        <w:rPr>
          <w:rFonts w:ascii="Palatino Linotype" w:hAnsi="Palatino Linotype"/>
          <w:sz w:val="26"/>
          <w:szCs w:val="26"/>
          <w:lang w:val="en-US"/>
        </w:rPr>
        <w:t xml:space="preserve">3.2 </w:t>
      </w:r>
      <w:r w:rsidR="00280596">
        <w:rPr>
          <w:rFonts w:ascii="Palatino Linotype" w:hAnsi="Palatino Linotype"/>
          <w:sz w:val="26"/>
          <w:szCs w:val="26"/>
          <w:lang w:val="en-US"/>
        </w:rPr>
        <w:tab/>
      </w:r>
      <w:r w:rsidRPr="00280596">
        <w:rPr>
          <w:rFonts w:ascii="Palatino Linotype" w:hAnsi="Palatino Linotype"/>
          <w:b/>
          <w:bCs/>
          <w:sz w:val="26"/>
          <w:szCs w:val="26"/>
          <w:lang w:val="en-US"/>
        </w:rPr>
        <w:t xml:space="preserve">Outcomes of the visits and steps taken by the State Party </w:t>
      </w:r>
      <w:proofErr w:type="gramStart"/>
      <w:r w:rsidR="00280596">
        <w:rPr>
          <w:rFonts w:ascii="Palatino Linotype" w:hAnsi="Palatino Linotype"/>
          <w:b/>
          <w:bCs/>
          <w:sz w:val="26"/>
          <w:szCs w:val="26"/>
          <w:lang w:val="en-US"/>
        </w:rPr>
        <w:t>in  response</w:t>
      </w:r>
      <w:proofErr w:type="gramEnd"/>
      <w:r w:rsidRPr="00280596">
        <w:rPr>
          <w:rFonts w:ascii="Palatino Linotype" w:hAnsi="Palatino Linotype"/>
          <w:b/>
          <w:bCs/>
          <w:sz w:val="26"/>
          <w:szCs w:val="26"/>
          <w:lang w:val="en-US"/>
        </w:rPr>
        <w:t xml:space="preserve"> to the NPM’s recommendations</w:t>
      </w:r>
    </w:p>
    <w:p w14:paraId="3E2CE6BF" w14:textId="0F863B71" w:rsidR="00507092" w:rsidRPr="00D65986" w:rsidRDefault="00507092" w:rsidP="007B7EDC">
      <w:pPr>
        <w:tabs>
          <w:tab w:val="left" w:pos="567"/>
        </w:tabs>
        <w:spacing w:before="80" w:after="80" w:line="278" w:lineRule="auto"/>
        <w:ind w:right="282"/>
        <w:jc w:val="both"/>
        <w:rPr>
          <w:rFonts w:ascii="Palatino Linotype" w:hAnsi="Palatino Linotype"/>
          <w:sz w:val="26"/>
          <w:szCs w:val="26"/>
          <w:lang w:val="en-GB"/>
        </w:rPr>
      </w:pPr>
      <w:r w:rsidRPr="00D65986">
        <w:rPr>
          <w:rFonts w:ascii="Palatino Linotype" w:hAnsi="Palatino Linotype"/>
          <w:bCs/>
          <w:sz w:val="26"/>
          <w:szCs w:val="26"/>
          <w:lang w:val="en-GB"/>
        </w:rPr>
        <w:t>3.2</w:t>
      </w:r>
      <w:r w:rsidR="00FB1EE3">
        <w:rPr>
          <w:rFonts w:ascii="Palatino Linotype" w:hAnsi="Palatino Linotype"/>
          <w:bCs/>
          <w:sz w:val="26"/>
          <w:szCs w:val="26"/>
          <w:lang w:val="en-GB"/>
        </w:rPr>
        <w:t>.1</w:t>
      </w:r>
      <w:r>
        <w:rPr>
          <w:rFonts w:ascii="Palatino Linotype" w:hAnsi="Palatino Linotype"/>
          <w:b/>
          <w:sz w:val="26"/>
          <w:szCs w:val="26"/>
          <w:lang w:val="en-GB"/>
        </w:rPr>
        <w:t xml:space="preserve"> </w:t>
      </w:r>
      <w:r>
        <w:rPr>
          <w:rFonts w:ascii="Palatino Linotype" w:hAnsi="Palatino Linotype"/>
          <w:b/>
          <w:sz w:val="26"/>
          <w:szCs w:val="26"/>
          <w:lang w:val="en-GB"/>
        </w:rPr>
        <w:tab/>
      </w:r>
      <w:r w:rsidRPr="00C51242">
        <w:rPr>
          <w:rFonts w:ascii="Palatino Linotype" w:hAnsi="Palatino Linotype"/>
          <w:b/>
          <w:sz w:val="26"/>
          <w:szCs w:val="26"/>
          <w:lang w:val="en-GB"/>
        </w:rPr>
        <w:t>Reports and recommendations regarding migrants</w:t>
      </w:r>
      <w:r w:rsidRPr="00C51242">
        <w:rPr>
          <w:rFonts w:ascii="Palatino Linotype" w:hAnsi="Palatino Linotype"/>
          <w:bCs/>
          <w:sz w:val="26"/>
          <w:szCs w:val="26"/>
          <w:lang w:val="en-GB"/>
        </w:rPr>
        <w:t>. Between</w:t>
      </w:r>
      <w:r w:rsidRPr="00C51242">
        <w:rPr>
          <w:rFonts w:ascii="Palatino Linotype" w:hAnsi="Palatino Linotype"/>
          <w:sz w:val="26"/>
          <w:szCs w:val="26"/>
          <w:lang w:val="en-GB"/>
        </w:rPr>
        <w:t xml:space="preserve"> 2017 and 2021, the GNPL issued 10 reports based on visits to CPRs (thematic </w:t>
      </w:r>
      <w:r w:rsidRPr="00D65986">
        <w:rPr>
          <w:rFonts w:ascii="Palatino Linotype" w:hAnsi="Palatino Linotype"/>
          <w:sz w:val="26"/>
          <w:szCs w:val="26"/>
          <w:lang w:val="en-GB"/>
        </w:rPr>
        <w:t>report), police facilities at borders, a first reception centre for minors, and an informal settlement, as well as on forced return operations</w:t>
      </w:r>
      <w:r>
        <w:rPr>
          <w:rStyle w:val="Rimandonotaapidipagina"/>
          <w:rFonts w:ascii="Palatino Linotype" w:hAnsi="Palatino Linotype"/>
          <w:sz w:val="26"/>
          <w:szCs w:val="26"/>
          <w:lang w:val="en-GB"/>
        </w:rPr>
        <w:footnoteReference w:id="7"/>
      </w:r>
      <w:r w:rsidRPr="00D65986">
        <w:rPr>
          <w:rFonts w:ascii="Palatino Linotype" w:hAnsi="Palatino Linotype"/>
          <w:sz w:val="26"/>
          <w:szCs w:val="26"/>
          <w:lang w:val="en-GB"/>
        </w:rPr>
        <w:t xml:space="preserve">. In the period under review (2022–2026), the GNPL </w:t>
      </w:r>
      <w:r w:rsidRPr="00D65986">
        <w:rPr>
          <w:rFonts w:ascii="Palatino Linotype" w:hAnsi="Palatino Linotype"/>
          <w:sz w:val="26"/>
          <w:szCs w:val="26"/>
          <w:lang w:val="en-GB"/>
        </w:rPr>
        <w:lastRenderedPageBreak/>
        <w:t xml:space="preserve">published a total of 25 reports on the deprivation of liberty of migrants  and visited 32 facilities: 21 reports on </w:t>
      </w:r>
      <w:r w:rsidRPr="00D65986">
        <w:rPr>
          <w:rFonts w:ascii="Palatino Linotype" w:hAnsi="Palatino Linotype"/>
          <w:i/>
          <w:iCs/>
          <w:sz w:val="26"/>
          <w:szCs w:val="26"/>
          <w:lang w:val="en-GB"/>
        </w:rPr>
        <w:t>ad hoc</w:t>
      </w:r>
      <w:r w:rsidRPr="00D65986">
        <w:rPr>
          <w:rFonts w:ascii="Palatino Linotype" w:hAnsi="Palatino Linotype"/>
          <w:sz w:val="26"/>
          <w:szCs w:val="26"/>
          <w:lang w:val="en-GB"/>
        </w:rPr>
        <w:t xml:space="preserve"> visits to CPRs (including the CPR in </w:t>
      </w:r>
      <w:proofErr w:type="spellStart"/>
      <w:r w:rsidRPr="00D65986">
        <w:rPr>
          <w:rFonts w:ascii="Palatino Linotype" w:hAnsi="Palatino Linotype"/>
          <w:sz w:val="26"/>
          <w:szCs w:val="26"/>
          <w:lang w:val="en-GB"/>
        </w:rPr>
        <w:t>Gjadër</w:t>
      </w:r>
      <w:proofErr w:type="spellEnd"/>
      <w:r w:rsidRPr="00D65986">
        <w:rPr>
          <w:rFonts w:ascii="Palatino Linotype" w:hAnsi="Palatino Linotype"/>
          <w:sz w:val="26"/>
          <w:szCs w:val="26"/>
          <w:lang w:val="en-GB"/>
        </w:rPr>
        <w:t>-Albania); 8 reports on visits to the so called ‘suitable premises’; a summary document regarding visits conducted by Regional Guarantors under the power of delegation granted by Law 130/2020, including a visit to a first reception centre</w:t>
      </w:r>
      <w:r>
        <w:rPr>
          <w:rFonts w:ascii="Palatino Linotype" w:hAnsi="Palatino Linotype"/>
          <w:sz w:val="26"/>
          <w:szCs w:val="26"/>
          <w:lang w:val="en-GB"/>
        </w:rPr>
        <w:t>;</w:t>
      </w:r>
      <w:r w:rsidRPr="00D65986">
        <w:rPr>
          <w:rFonts w:ascii="Palatino Linotype" w:hAnsi="Palatino Linotype"/>
          <w:sz w:val="26"/>
          <w:szCs w:val="26"/>
          <w:lang w:val="en-GB"/>
        </w:rPr>
        <w:t xml:space="preserve"> </w:t>
      </w:r>
      <w:r>
        <w:rPr>
          <w:rFonts w:ascii="Palatino Linotype" w:hAnsi="Palatino Linotype"/>
          <w:sz w:val="26"/>
          <w:szCs w:val="26"/>
          <w:lang w:val="en-GB"/>
        </w:rPr>
        <w:t>six</w:t>
      </w:r>
      <w:r w:rsidRPr="00D65986">
        <w:rPr>
          <w:rFonts w:ascii="Palatino Linotype" w:hAnsi="Palatino Linotype"/>
          <w:sz w:val="26"/>
          <w:szCs w:val="26"/>
          <w:lang w:val="en-GB"/>
        </w:rPr>
        <w:t xml:space="preserve"> reports received responses from the Ministry of the Interior which provided detailed replies and accepted many of the GNPL’s observations. </w:t>
      </w:r>
    </w:p>
    <w:p w14:paraId="5B9CFD1C" w14:textId="77777777" w:rsidR="00507092" w:rsidRPr="0081413A" w:rsidRDefault="00507092" w:rsidP="007B7EDC">
      <w:pPr>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T</w:t>
      </w:r>
      <w:r w:rsidRPr="0081413A">
        <w:rPr>
          <w:rFonts w:ascii="Palatino Linotype" w:hAnsi="Palatino Linotype"/>
          <w:sz w:val="26"/>
          <w:szCs w:val="26"/>
          <w:lang w:val="en-GB"/>
        </w:rPr>
        <w:t xml:space="preserve">he recommendations addressed to the competent authorities focused on: material conditions of the immigration detention structures (poor hygiene and lack of controls by the Authorities in charge); preventing self-harm and suicide risks; psychological and social support for migrants; medication administration; defining multidisciplinary procedures to report medical incompatibility with detention to the National Health Service and periodic health checks for detained migrants; housing standards in CPRs and the provision of call buttons in detention sectors; freedom of communication (availability of personal cellular phones, mainly) and recreational/social activities in pre-removal centres; the right of defence and the need to provide judicial authorities with complete files for detention validation hearings; information on assisted voluntary returns and the immediate reporting of ‘non-removable’ individuals for the issuance of residence permits; the use of force in CPRs;  </w:t>
      </w:r>
      <w:r>
        <w:rPr>
          <w:rFonts w:ascii="Palatino Linotype" w:hAnsi="Palatino Linotype"/>
          <w:sz w:val="26"/>
          <w:szCs w:val="26"/>
          <w:lang w:val="en-GB"/>
        </w:rPr>
        <w:t xml:space="preserve">the duty of registration of each </w:t>
      </w:r>
      <w:r w:rsidRPr="0081413A">
        <w:rPr>
          <w:rFonts w:ascii="Palatino Linotype" w:hAnsi="Palatino Linotype"/>
          <w:sz w:val="26"/>
          <w:szCs w:val="26"/>
          <w:lang w:val="en-GB"/>
        </w:rPr>
        <w:t xml:space="preserve">intimate body searches; the </w:t>
      </w:r>
      <w:r>
        <w:rPr>
          <w:rFonts w:ascii="Palatino Linotype" w:hAnsi="Palatino Linotype"/>
          <w:sz w:val="26"/>
          <w:szCs w:val="26"/>
          <w:lang w:val="en-GB"/>
        </w:rPr>
        <w:t xml:space="preserve">duty of </w:t>
      </w:r>
      <w:r w:rsidRPr="0081413A">
        <w:rPr>
          <w:rFonts w:ascii="Palatino Linotype" w:hAnsi="Palatino Linotype"/>
          <w:sz w:val="26"/>
          <w:szCs w:val="26"/>
          <w:lang w:val="en-GB"/>
        </w:rPr>
        <w:t xml:space="preserve"> recording in registers </w:t>
      </w:r>
      <w:r>
        <w:rPr>
          <w:rFonts w:ascii="Palatino Linotype" w:hAnsi="Palatino Linotype"/>
          <w:sz w:val="26"/>
          <w:szCs w:val="26"/>
          <w:lang w:val="en-GB"/>
        </w:rPr>
        <w:t>any</w:t>
      </w:r>
      <w:r w:rsidRPr="0081413A">
        <w:rPr>
          <w:rFonts w:ascii="Palatino Linotype" w:hAnsi="Palatino Linotype"/>
          <w:sz w:val="26"/>
          <w:szCs w:val="26"/>
          <w:lang w:val="en-GB"/>
        </w:rPr>
        <w:t xml:space="preserve"> critical event according to the 2022 Regulation</w:t>
      </w:r>
      <w:r>
        <w:rPr>
          <w:rFonts w:ascii="Palatino Linotype" w:hAnsi="Palatino Linotype"/>
          <w:sz w:val="26"/>
          <w:szCs w:val="26"/>
          <w:lang w:val="en-GB"/>
        </w:rPr>
        <w:t xml:space="preserve"> and its fulfilment</w:t>
      </w:r>
      <w:r w:rsidRPr="0081413A">
        <w:rPr>
          <w:rFonts w:ascii="Palatino Linotype" w:hAnsi="Palatino Linotype"/>
          <w:sz w:val="26"/>
          <w:szCs w:val="26"/>
          <w:lang w:val="en-GB"/>
        </w:rPr>
        <w:t xml:space="preserve">. </w:t>
      </w:r>
    </w:p>
    <w:p w14:paraId="30A6FF34" w14:textId="77777777" w:rsidR="00507092" w:rsidRPr="0081413A" w:rsidRDefault="00507092" w:rsidP="007B7EDC">
      <w:pPr>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 xml:space="preserve">About the so called </w:t>
      </w:r>
      <w:r w:rsidRPr="0081413A">
        <w:rPr>
          <w:rFonts w:ascii="Palatino Linotype" w:hAnsi="Palatino Linotype"/>
          <w:sz w:val="26"/>
          <w:szCs w:val="26"/>
          <w:lang w:val="en-GB"/>
        </w:rPr>
        <w:t>‘suitable premises’, the GNPL has forwarded recommendations</w:t>
      </w:r>
      <w:r>
        <w:rPr>
          <w:rFonts w:ascii="Palatino Linotype" w:hAnsi="Palatino Linotype"/>
          <w:sz w:val="26"/>
          <w:szCs w:val="26"/>
          <w:lang w:val="en-GB"/>
        </w:rPr>
        <w:t xml:space="preserve"> with reference to cases</w:t>
      </w:r>
      <w:r w:rsidRPr="0081413A">
        <w:rPr>
          <w:rFonts w:ascii="Palatino Linotype" w:hAnsi="Palatino Linotype"/>
          <w:sz w:val="26"/>
          <w:szCs w:val="26"/>
          <w:lang w:val="en-GB"/>
        </w:rPr>
        <w:t xml:space="preserve"> </w:t>
      </w:r>
      <w:r>
        <w:rPr>
          <w:rFonts w:ascii="Palatino Linotype" w:hAnsi="Palatino Linotype"/>
          <w:sz w:val="26"/>
          <w:szCs w:val="26"/>
          <w:lang w:val="en-GB"/>
        </w:rPr>
        <w:t xml:space="preserve">of </w:t>
      </w:r>
      <w:r w:rsidRPr="0081413A">
        <w:rPr>
          <w:rFonts w:ascii="Palatino Linotype" w:hAnsi="Palatino Linotype"/>
          <w:sz w:val="26"/>
          <w:szCs w:val="26"/>
          <w:lang w:val="en-GB"/>
        </w:rPr>
        <w:t>lack of legal assistance to persons be apprehended on the territory; lack of cultural/linguistic mediators;</w:t>
      </w:r>
      <w:r>
        <w:rPr>
          <w:rFonts w:ascii="Palatino Linotype" w:hAnsi="Palatino Linotype"/>
          <w:sz w:val="26"/>
          <w:szCs w:val="26"/>
          <w:lang w:val="en-GB"/>
        </w:rPr>
        <w:t xml:space="preserve"> </w:t>
      </w:r>
      <w:r w:rsidRPr="0081413A">
        <w:rPr>
          <w:rFonts w:ascii="Palatino Linotype" w:hAnsi="Palatino Linotype"/>
          <w:sz w:val="26"/>
          <w:szCs w:val="26"/>
          <w:lang w:val="en-GB"/>
        </w:rPr>
        <w:t>lack of health assistance.</w:t>
      </w:r>
    </w:p>
    <w:p w14:paraId="1199342D" w14:textId="77777777" w:rsidR="00507092" w:rsidRPr="0081413A" w:rsidRDefault="00507092" w:rsidP="007B7EDC">
      <w:pPr>
        <w:spacing w:before="80" w:after="80" w:line="278" w:lineRule="auto"/>
        <w:ind w:left="567" w:right="282"/>
        <w:jc w:val="both"/>
        <w:rPr>
          <w:rFonts w:ascii="Palatino Linotype" w:hAnsi="Palatino Linotype"/>
          <w:sz w:val="26"/>
          <w:szCs w:val="26"/>
          <w:lang w:val="en-GB"/>
        </w:rPr>
      </w:pPr>
    </w:p>
    <w:p w14:paraId="3D73645C" w14:textId="5DAF90A7" w:rsidR="00507092" w:rsidRDefault="00507092" w:rsidP="007B7EDC">
      <w:pPr>
        <w:pStyle w:val="Paragrafoelenco"/>
        <w:tabs>
          <w:tab w:val="left" w:pos="567"/>
        </w:tabs>
        <w:spacing w:before="80" w:after="80" w:line="278" w:lineRule="auto"/>
        <w:ind w:left="0" w:right="282"/>
        <w:contextualSpacing w:val="0"/>
        <w:rPr>
          <w:rFonts w:ascii="Palatino Linotype" w:hAnsi="Palatino Linotype"/>
          <w:sz w:val="26"/>
          <w:szCs w:val="26"/>
          <w:lang w:val="en-GB"/>
        </w:rPr>
      </w:pPr>
      <w:r w:rsidRPr="00D65986">
        <w:rPr>
          <w:rFonts w:ascii="Palatino Linotype" w:hAnsi="Palatino Linotype"/>
          <w:bCs/>
          <w:sz w:val="26"/>
          <w:szCs w:val="26"/>
          <w:lang w:val="en-GB"/>
        </w:rPr>
        <w:lastRenderedPageBreak/>
        <w:t>3.</w:t>
      </w:r>
      <w:r w:rsidR="00FB1EE3">
        <w:rPr>
          <w:rFonts w:ascii="Palatino Linotype" w:hAnsi="Palatino Linotype"/>
          <w:bCs/>
          <w:sz w:val="26"/>
          <w:szCs w:val="26"/>
          <w:lang w:val="en-GB"/>
        </w:rPr>
        <w:t>2.2</w:t>
      </w:r>
      <w:r>
        <w:rPr>
          <w:rFonts w:ascii="Palatino Linotype" w:hAnsi="Palatino Linotype"/>
          <w:b/>
          <w:sz w:val="26"/>
          <w:szCs w:val="26"/>
          <w:lang w:val="en-GB"/>
        </w:rPr>
        <w:t xml:space="preserve"> </w:t>
      </w:r>
      <w:r>
        <w:rPr>
          <w:rFonts w:ascii="Palatino Linotype" w:hAnsi="Palatino Linotype"/>
          <w:b/>
          <w:sz w:val="26"/>
          <w:szCs w:val="26"/>
          <w:lang w:val="en-GB"/>
        </w:rPr>
        <w:tab/>
      </w:r>
      <w:r w:rsidRPr="0081413A">
        <w:rPr>
          <w:rFonts w:ascii="Palatino Linotype" w:hAnsi="Palatino Linotype"/>
          <w:b/>
          <w:sz w:val="26"/>
          <w:szCs w:val="26"/>
          <w:lang w:val="en-GB"/>
        </w:rPr>
        <w:t>Reports and recommendations regarding criminal detention.</w:t>
      </w:r>
      <w:r w:rsidRPr="0081413A">
        <w:rPr>
          <w:rFonts w:ascii="Palatino Linotype" w:hAnsi="Palatino Linotype"/>
          <w:bCs/>
          <w:sz w:val="26"/>
          <w:szCs w:val="26"/>
          <w:lang w:val="en-GB"/>
        </w:rPr>
        <w:t xml:space="preserve"> During the 2022–2026 period, the GNPL visited 218 facilities and published </w:t>
      </w:r>
      <w:r w:rsidRPr="0081413A">
        <w:rPr>
          <w:rFonts w:ascii="Palatino Linotype" w:hAnsi="Palatino Linotype"/>
          <w:sz w:val="26"/>
          <w:szCs w:val="26"/>
          <w:lang w:val="en-GB"/>
        </w:rPr>
        <w:t>18 reports</w:t>
      </w:r>
      <w:r w:rsidRPr="0081413A">
        <w:rPr>
          <w:rFonts w:ascii="Palatino Linotype" w:hAnsi="Palatino Linotype"/>
          <w:bCs/>
          <w:sz w:val="26"/>
          <w:szCs w:val="26"/>
          <w:lang w:val="en-GB"/>
        </w:rPr>
        <w:t xml:space="preserve"> covering </w:t>
      </w:r>
      <w:r w:rsidRPr="0081413A">
        <w:rPr>
          <w:rFonts w:ascii="Palatino Linotype" w:hAnsi="Palatino Linotype"/>
          <w:bCs/>
          <w:i/>
          <w:iCs/>
          <w:sz w:val="26"/>
          <w:szCs w:val="26"/>
          <w:lang w:val="en-GB"/>
        </w:rPr>
        <w:t>ad hoc</w:t>
      </w:r>
      <w:r w:rsidRPr="0081413A">
        <w:rPr>
          <w:rFonts w:ascii="Palatino Linotype" w:hAnsi="Palatino Linotype"/>
          <w:bCs/>
          <w:sz w:val="26"/>
          <w:szCs w:val="26"/>
          <w:lang w:val="en-GB"/>
        </w:rPr>
        <w:t xml:space="preserve"> visits, follow-up visits, and regional visits of both adult and youth institutions. 15 reports received replies from the Authorities concerned. The GNPL’s efforts focused on key areas of intervention, such as the structural conditions and hygiene of prison establishments; overcrowding and space management; healthcare and psychiatric assistance; vulnerable groups: women, mothers, and minors; institutional rights and transparency (registers and accountability, privacy and dignity - during medical visits, within hospital settings, and in psychiatric wards, contacts with the outside world - guaranteeing rights to telephone/video calls, educational opportunities, and vocational training); security and staffing.  </w:t>
      </w:r>
    </w:p>
    <w:p w14:paraId="0EDDF83D" w14:textId="77777777" w:rsidR="00507092" w:rsidRPr="0081413A" w:rsidRDefault="00507092" w:rsidP="007B7EDC">
      <w:pPr>
        <w:pStyle w:val="Paragrafoelenco"/>
        <w:spacing w:before="80" w:after="80" w:line="278" w:lineRule="auto"/>
        <w:ind w:left="0" w:right="282"/>
        <w:contextualSpacing w:val="0"/>
        <w:rPr>
          <w:rFonts w:ascii="Palatino Linotype" w:hAnsi="Palatino Linotype" w:cs="Calibri"/>
          <w:sz w:val="26"/>
          <w:szCs w:val="26"/>
          <w:lang w:val="en-GB"/>
        </w:rPr>
      </w:pPr>
      <w:r>
        <w:rPr>
          <w:rFonts w:ascii="Palatino Linotype" w:hAnsi="Palatino Linotype" w:cs="Calibri"/>
          <w:sz w:val="26"/>
          <w:szCs w:val="26"/>
          <w:lang w:val="en-GB"/>
        </w:rPr>
        <w:t>I</w:t>
      </w:r>
      <w:r w:rsidRPr="0081413A">
        <w:rPr>
          <w:rFonts w:ascii="Palatino Linotype" w:hAnsi="Palatino Linotype" w:cs="Calibri"/>
          <w:sz w:val="26"/>
          <w:szCs w:val="26"/>
          <w:lang w:val="en-GB"/>
        </w:rPr>
        <w:t xml:space="preserve">n a letter-report sent to then Ministry of Justice, the GNPL recommended that </w:t>
      </w:r>
    </w:p>
    <w:p w14:paraId="7488F554" w14:textId="77777777" w:rsidR="00507092" w:rsidRPr="0081413A" w:rsidRDefault="00507092" w:rsidP="007B7EDC">
      <w:pPr>
        <w:pStyle w:val="NormaleWeb"/>
        <w:numPr>
          <w:ilvl w:val="0"/>
          <w:numId w:val="25"/>
        </w:numPr>
        <w:spacing w:before="80" w:beforeAutospacing="0" w:after="80" w:afterAutospacing="0" w:line="278" w:lineRule="auto"/>
        <w:ind w:left="360" w:right="282"/>
        <w:jc w:val="both"/>
        <w:rPr>
          <w:rFonts w:ascii="Palatino Linotype" w:hAnsi="Palatino Linotype"/>
          <w:sz w:val="26"/>
          <w:szCs w:val="26"/>
          <w:lang w:val="en-GB"/>
        </w:rPr>
      </w:pPr>
      <w:r w:rsidRPr="0081413A">
        <w:rPr>
          <w:rFonts w:ascii="Palatino Linotype" w:hAnsi="Palatino Linotype"/>
          <w:sz w:val="26"/>
          <w:szCs w:val="26"/>
          <w:lang w:val="en-GB"/>
        </w:rPr>
        <w:t xml:space="preserve">every extraordinary search must be notified in advance to the GNPL, to whom the prison Governor’s authorised order shall be sent, containing the statement of reasons, the procedures to be implemented, and a specific indication of the assigned personnel and the equipment authorised for </w:t>
      </w:r>
      <w:proofErr w:type="gramStart"/>
      <w:r w:rsidRPr="0081413A">
        <w:rPr>
          <w:rFonts w:ascii="Palatino Linotype" w:hAnsi="Palatino Linotype"/>
          <w:sz w:val="26"/>
          <w:szCs w:val="26"/>
          <w:lang w:val="en-GB"/>
        </w:rPr>
        <w:t>use;</w:t>
      </w:r>
      <w:proofErr w:type="gramEnd"/>
    </w:p>
    <w:p w14:paraId="4538880F" w14:textId="77777777" w:rsidR="00507092" w:rsidRPr="0081413A" w:rsidRDefault="00507092" w:rsidP="007B7EDC">
      <w:pPr>
        <w:pStyle w:val="NormaleWeb"/>
        <w:numPr>
          <w:ilvl w:val="0"/>
          <w:numId w:val="24"/>
        </w:numPr>
        <w:spacing w:before="80" w:beforeAutospacing="0" w:after="80" w:afterAutospacing="0" w:line="278" w:lineRule="auto"/>
        <w:ind w:left="360" w:right="282"/>
        <w:jc w:val="both"/>
        <w:rPr>
          <w:rFonts w:ascii="Palatino Linotype" w:hAnsi="Palatino Linotype"/>
          <w:sz w:val="26"/>
          <w:szCs w:val="26"/>
          <w:lang w:val="en-GB"/>
        </w:rPr>
      </w:pPr>
      <w:r w:rsidRPr="0081413A">
        <w:rPr>
          <w:rFonts w:ascii="Palatino Linotype" w:hAnsi="Palatino Linotype"/>
          <w:sz w:val="26"/>
          <w:szCs w:val="26"/>
          <w:lang w:val="en-GB"/>
        </w:rPr>
        <w:t xml:space="preserve">the submission to the GNPL of a final report, comprehensive of all actions carried out during the search, must be guaranteed within 15 days from the conclusion of the </w:t>
      </w:r>
      <w:proofErr w:type="gramStart"/>
      <w:r w:rsidRPr="0081413A">
        <w:rPr>
          <w:rFonts w:ascii="Palatino Linotype" w:hAnsi="Palatino Linotype"/>
          <w:sz w:val="26"/>
          <w:szCs w:val="26"/>
          <w:lang w:val="en-GB"/>
        </w:rPr>
        <w:t>operations;</w:t>
      </w:r>
      <w:proofErr w:type="gramEnd"/>
    </w:p>
    <w:p w14:paraId="24C87AB2" w14:textId="77777777" w:rsidR="00507092" w:rsidRPr="0081413A" w:rsidRDefault="00507092" w:rsidP="007B7EDC">
      <w:pPr>
        <w:pStyle w:val="NormaleWeb"/>
        <w:numPr>
          <w:ilvl w:val="0"/>
          <w:numId w:val="24"/>
        </w:numPr>
        <w:spacing w:before="80" w:beforeAutospacing="0" w:after="80" w:afterAutospacing="0" w:line="278" w:lineRule="auto"/>
        <w:ind w:left="360" w:right="282"/>
        <w:jc w:val="both"/>
        <w:rPr>
          <w:rFonts w:ascii="Palatino Linotype" w:hAnsi="Palatino Linotype"/>
          <w:sz w:val="26"/>
          <w:szCs w:val="26"/>
          <w:lang w:val="en-GB"/>
        </w:rPr>
      </w:pPr>
      <w:r w:rsidRPr="0081413A">
        <w:rPr>
          <w:rFonts w:ascii="Palatino Linotype" w:hAnsi="Palatino Linotype"/>
          <w:sz w:val="26"/>
          <w:szCs w:val="26"/>
          <w:lang w:val="en-GB"/>
        </w:rPr>
        <w:t>in cases where the extraordinary search occurs on an emergency basis, only the final report, containing all the previously specified necessary information, shall be forwarded.</w:t>
      </w:r>
    </w:p>
    <w:p w14:paraId="3A17D0F0" w14:textId="77777777" w:rsidR="00507092" w:rsidRPr="0081413A" w:rsidRDefault="00507092" w:rsidP="007B7EDC">
      <w:pPr>
        <w:spacing w:before="80" w:after="80" w:line="278" w:lineRule="auto"/>
        <w:ind w:right="282"/>
        <w:jc w:val="both"/>
        <w:rPr>
          <w:rFonts w:ascii="Palatino Linotype" w:hAnsi="Palatino Linotype"/>
          <w:sz w:val="26"/>
          <w:szCs w:val="26"/>
          <w:lang w:val="en-GB"/>
        </w:rPr>
      </w:pPr>
      <w:r w:rsidRPr="0081413A">
        <w:rPr>
          <w:rFonts w:ascii="Palatino Linotype" w:hAnsi="Palatino Linotype" w:cs="Calibri"/>
          <w:sz w:val="26"/>
          <w:szCs w:val="26"/>
          <w:lang w:val="en-GB"/>
        </w:rPr>
        <w:t xml:space="preserve">Concerning the use of video surveillance in prisons, in the same document, the GNPL recommended that: a) the planning and timeline regarding the acquisition and implementation of technological equipment (including the provision of body cams) and the enhancement and improvement of video surveillance and recording systems be </w:t>
      </w:r>
      <w:r w:rsidRPr="0081413A">
        <w:rPr>
          <w:rFonts w:ascii="Palatino Linotype" w:hAnsi="Palatino Linotype" w:cs="Calibri"/>
          <w:sz w:val="26"/>
          <w:szCs w:val="26"/>
          <w:lang w:val="en-GB"/>
        </w:rPr>
        <w:lastRenderedPageBreak/>
        <w:t>communicated to the GNPL; b) the storage of video recordings shall take place on servers located in prisons and at the regional prison administrations. Recordings shall be catalogued and preserved for periods corresponding to the timeframe in which a formal complaint may be lodged, or in accordance with the procedural steps following the report of a crime to the Judicial Authority; for incidents not constituting a crime, recordings shall be kept for a maximum period of 120 days, for which more specific justification regarding the necessity of storage for such a duration is required. Almost all recommendations formulated in the letter-report were met by the Prison Administration.</w:t>
      </w:r>
    </w:p>
    <w:p w14:paraId="3EB74B99" w14:textId="77777777" w:rsidR="00507092" w:rsidRPr="00D65986" w:rsidRDefault="00507092" w:rsidP="007B7EDC">
      <w:pPr>
        <w:pStyle w:val="Paragrafoelenco"/>
        <w:spacing w:before="80" w:after="80" w:line="278" w:lineRule="auto"/>
        <w:ind w:left="0" w:right="282"/>
        <w:contextualSpacing w:val="0"/>
        <w:rPr>
          <w:rFonts w:ascii="Palatino Linotype" w:hAnsi="Palatino Linotype"/>
          <w:bCs/>
          <w:sz w:val="26"/>
          <w:szCs w:val="26"/>
          <w:lang w:val="en-GB"/>
        </w:rPr>
      </w:pPr>
      <w:r w:rsidRPr="0081413A">
        <w:rPr>
          <w:rFonts w:ascii="Palatino Linotype" w:hAnsi="Palatino Linotype"/>
          <w:bCs/>
          <w:sz w:val="26"/>
          <w:szCs w:val="26"/>
          <w:lang w:val="en-GB"/>
        </w:rPr>
        <w:t>Some recommendations were met while others remained unheard especially in those cases where responsibilities are shared with other Authorities (such, for example, the management of psychiatric cases in ordinary prison wards waiting for placement in REMS, or the management of detained mothers and their children).</w:t>
      </w:r>
      <w:r>
        <w:rPr>
          <w:rFonts w:ascii="Palatino Linotype" w:hAnsi="Palatino Linotype"/>
          <w:bCs/>
          <w:sz w:val="26"/>
          <w:szCs w:val="26"/>
          <w:lang w:val="en-GB"/>
        </w:rPr>
        <w:t xml:space="preserve"> </w:t>
      </w:r>
      <w:r w:rsidRPr="0081413A">
        <w:rPr>
          <w:rFonts w:ascii="Palatino Linotype" w:hAnsi="Palatino Linotype"/>
          <w:bCs/>
          <w:sz w:val="26"/>
          <w:szCs w:val="26"/>
          <w:lang w:val="en-GB"/>
        </w:rPr>
        <w:t>Such an intense reporting activity reinforced the GNPL’s perspective that aims to constantly shift the internal culture of law enforcement and healthcare staff from one of "custody and control" to one of "care and rights”</w:t>
      </w:r>
      <w:r w:rsidRPr="0081413A">
        <w:rPr>
          <w:rFonts w:ascii="Palatino Linotype" w:hAnsi="Palatino Linotype"/>
          <w:b/>
          <w:bCs/>
          <w:sz w:val="26"/>
          <w:szCs w:val="26"/>
          <w:lang w:val="en-GB"/>
        </w:rPr>
        <w:t>.</w:t>
      </w:r>
    </w:p>
    <w:p w14:paraId="18DC0034" w14:textId="77777777" w:rsidR="00507092" w:rsidRPr="0081413A" w:rsidRDefault="00507092" w:rsidP="007B7EDC">
      <w:pPr>
        <w:spacing w:before="80" w:after="80" w:line="278" w:lineRule="auto"/>
        <w:ind w:left="567" w:right="282"/>
        <w:jc w:val="both"/>
        <w:rPr>
          <w:rFonts w:ascii="Palatino Linotype" w:hAnsi="Palatino Linotype"/>
          <w:sz w:val="26"/>
          <w:szCs w:val="26"/>
          <w:lang w:val="en-GB"/>
        </w:rPr>
      </w:pPr>
    </w:p>
    <w:p w14:paraId="4B0099A4" w14:textId="1D583C85" w:rsidR="00507092" w:rsidRPr="0081413A" w:rsidRDefault="00507092" w:rsidP="007B7EDC">
      <w:pPr>
        <w:pStyle w:val="Paragrafoelenco"/>
        <w:tabs>
          <w:tab w:val="left" w:pos="567"/>
        </w:tabs>
        <w:spacing w:before="80" w:after="80" w:line="278" w:lineRule="auto"/>
        <w:ind w:left="0" w:right="282"/>
        <w:contextualSpacing w:val="0"/>
        <w:rPr>
          <w:rFonts w:ascii="Palatino Linotype" w:hAnsi="Palatino Linotype"/>
          <w:sz w:val="26"/>
          <w:szCs w:val="26"/>
          <w:lang w:val="en-GB"/>
        </w:rPr>
      </w:pPr>
      <w:r w:rsidRPr="00D65986">
        <w:rPr>
          <w:rFonts w:ascii="Palatino Linotype" w:hAnsi="Palatino Linotype"/>
          <w:bCs/>
          <w:sz w:val="26"/>
          <w:szCs w:val="26"/>
          <w:lang w:val="en-GB"/>
        </w:rPr>
        <w:t>3.</w:t>
      </w:r>
      <w:r w:rsidR="00FB1EE3">
        <w:rPr>
          <w:rFonts w:ascii="Palatino Linotype" w:hAnsi="Palatino Linotype"/>
          <w:bCs/>
          <w:sz w:val="26"/>
          <w:szCs w:val="26"/>
          <w:lang w:val="en-GB"/>
        </w:rPr>
        <w:t>2.3</w:t>
      </w:r>
      <w:r>
        <w:rPr>
          <w:rFonts w:ascii="Palatino Linotype" w:hAnsi="Palatino Linotype"/>
          <w:b/>
          <w:sz w:val="26"/>
          <w:szCs w:val="26"/>
          <w:lang w:val="en-GB"/>
        </w:rPr>
        <w:t xml:space="preserve"> </w:t>
      </w:r>
      <w:r>
        <w:rPr>
          <w:rFonts w:ascii="Palatino Linotype" w:hAnsi="Palatino Linotype"/>
          <w:b/>
          <w:sz w:val="26"/>
          <w:szCs w:val="26"/>
          <w:lang w:val="en-GB"/>
        </w:rPr>
        <w:tab/>
      </w:r>
      <w:r w:rsidRPr="0081413A">
        <w:rPr>
          <w:rFonts w:ascii="Palatino Linotype" w:hAnsi="Palatino Linotype"/>
          <w:b/>
          <w:sz w:val="26"/>
          <w:szCs w:val="26"/>
          <w:lang w:val="en-GB"/>
        </w:rPr>
        <w:t>Reports and recommendations regarding healthcare facilities</w:t>
      </w:r>
      <w:r w:rsidRPr="0081413A">
        <w:rPr>
          <w:rFonts w:ascii="Palatino Linotype" w:hAnsi="Palatino Linotype"/>
          <w:bCs/>
          <w:sz w:val="26"/>
          <w:szCs w:val="26"/>
          <w:lang w:val="en-GB"/>
        </w:rPr>
        <w:t xml:space="preserve">.  </w:t>
      </w:r>
      <w:r w:rsidRPr="0081413A">
        <w:rPr>
          <w:rFonts w:ascii="Palatino Linotype" w:hAnsi="Palatino Linotype"/>
          <w:sz w:val="26"/>
          <w:szCs w:val="26"/>
          <w:lang w:val="en-GB"/>
        </w:rPr>
        <w:t xml:space="preserve">During the 2022–2026 period, the GNPL published 8 </w:t>
      </w:r>
      <w:r w:rsidRPr="0081413A">
        <w:rPr>
          <w:rFonts w:ascii="Palatino Linotype" w:hAnsi="Palatino Linotype"/>
          <w:i/>
          <w:iCs/>
          <w:sz w:val="26"/>
          <w:szCs w:val="26"/>
          <w:lang w:val="en-GB"/>
        </w:rPr>
        <w:t>ad hoc</w:t>
      </w:r>
      <w:r w:rsidRPr="0081413A">
        <w:rPr>
          <w:rFonts w:ascii="Palatino Linotype" w:hAnsi="Palatino Linotype"/>
          <w:sz w:val="26"/>
          <w:szCs w:val="26"/>
          <w:lang w:val="en-GB"/>
        </w:rPr>
        <w:t xml:space="preserve"> reports regarding 34 visits to forensic health facilities, social-healthcare and residential care facilities, hospital ward for prisoners, and therapeutic communities. </w:t>
      </w:r>
      <w:r>
        <w:rPr>
          <w:rFonts w:ascii="Palatino Linotype" w:hAnsi="Palatino Linotype"/>
          <w:sz w:val="26"/>
          <w:szCs w:val="26"/>
          <w:lang w:val="en-GB"/>
        </w:rPr>
        <w:t>Two</w:t>
      </w:r>
      <w:r w:rsidRPr="0081413A">
        <w:rPr>
          <w:rFonts w:ascii="Palatino Linotype" w:hAnsi="Palatino Linotype"/>
          <w:sz w:val="26"/>
          <w:szCs w:val="26"/>
          <w:lang w:val="en-GB"/>
        </w:rPr>
        <w:t xml:space="preserve"> reports received responses from the Authorities concerned. </w:t>
      </w:r>
    </w:p>
    <w:p w14:paraId="7112FEBE" w14:textId="77777777" w:rsidR="00507092" w:rsidRDefault="00507092" w:rsidP="007B7EDC">
      <w:pPr>
        <w:spacing w:before="80" w:after="80" w:line="278" w:lineRule="auto"/>
        <w:ind w:right="282"/>
        <w:jc w:val="both"/>
        <w:rPr>
          <w:rFonts w:ascii="Palatino Linotype" w:hAnsi="Palatino Linotype"/>
          <w:sz w:val="26"/>
          <w:szCs w:val="26"/>
          <w:lang w:val="en-GB"/>
        </w:rPr>
      </w:pPr>
      <w:r w:rsidRPr="0081413A">
        <w:rPr>
          <w:rFonts w:ascii="Palatino Linotype" w:hAnsi="Palatino Linotype"/>
          <w:sz w:val="26"/>
          <w:szCs w:val="26"/>
          <w:lang w:val="en-GB"/>
        </w:rPr>
        <w:t xml:space="preserve">The recommendations formulated by the GNPL focused specifically on: REMS (Residences for the Execution of Security Measures), emphasizing the strictly healthcare management of these facilities, the need to overcome waiting lists, the principle that placement in REMS should be a last resort (the need for the reinforcement of the territorial psychiatric services and for a robust programme of alternatives to detention), and </w:t>
      </w:r>
      <w:r w:rsidRPr="0081413A">
        <w:rPr>
          <w:rFonts w:ascii="Palatino Linotype" w:hAnsi="Palatino Linotype"/>
          <w:sz w:val="26"/>
          <w:szCs w:val="26"/>
          <w:lang w:val="en-GB"/>
        </w:rPr>
        <w:lastRenderedPageBreak/>
        <w:t>the requirement to move the REMS model away from a prison-like structure and mindset. Psychiatric wards for involuntary treatments in civil hospitals (SPDCs): recommendations addressed the excessive use of mechanical restraint and the necessity of seeking informed consent from patients undergoing Involuntary Medical Treatment (TSO). RSA and RSD (Social care homes and Residences for People with Disabilities)</w:t>
      </w:r>
      <w:r w:rsidRPr="0081413A">
        <w:rPr>
          <w:rFonts w:ascii="Palatino Linotype" w:hAnsi="Palatino Linotype"/>
          <w:b/>
          <w:bCs/>
          <w:sz w:val="26"/>
          <w:szCs w:val="26"/>
          <w:lang w:val="en-GB"/>
        </w:rPr>
        <w:t xml:space="preserve">: </w:t>
      </w:r>
      <w:r w:rsidRPr="0081413A">
        <w:rPr>
          <w:rFonts w:ascii="Palatino Linotype" w:hAnsi="Palatino Linotype"/>
          <w:sz w:val="26"/>
          <w:szCs w:val="26"/>
          <w:lang w:val="en-GB"/>
        </w:rPr>
        <w:t xml:space="preserve">recommendations focused on the freedom of movement for residents and the right to maintain a level of social interaction necessary for their reintegration into the community. </w:t>
      </w:r>
    </w:p>
    <w:p w14:paraId="00C3BAE2" w14:textId="77777777" w:rsidR="00507092" w:rsidRDefault="00507092" w:rsidP="007B7EDC">
      <w:pPr>
        <w:spacing w:before="80" w:after="80" w:line="278" w:lineRule="auto"/>
        <w:ind w:right="282"/>
        <w:jc w:val="both"/>
        <w:rPr>
          <w:rFonts w:ascii="Palatino Linotype" w:hAnsi="Palatino Linotype"/>
          <w:sz w:val="26"/>
          <w:szCs w:val="26"/>
          <w:lang w:val="en-GB"/>
        </w:rPr>
      </w:pPr>
    </w:p>
    <w:p w14:paraId="6FE52D51" w14:textId="1BBFDEB0" w:rsidR="00507092" w:rsidRPr="0081413A" w:rsidRDefault="00507092" w:rsidP="007B7EDC">
      <w:pPr>
        <w:pStyle w:val="Paragrafoelenco"/>
        <w:tabs>
          <w:tab w:val="left" w:pos="567"/>
        </w:tabs>
        <w:spacing w:before="80" w:after="80" w:line="278" w:lineRule="auto"/>
        <w:ind w:left="0" w:right="282"/>
        <w:contextualSpacing w:val="0"/>
        <w:rPr>
          <w:rFonts w:ascii="Palatino Linotype" w:hAnsi="Palatino Linotype" w:cs="Calibri"/>
          <w:sz w:val="26"/>
          <w:szCs w:val="26"/>
          <w:lang w:val="en-GB"/>
        </w:rPr>
      </w:pPr>
      <w:r w:rsidRPr="00D65986">
        <w:rPr>
          <w:rFonts w:ascii="Palatino Linotype" w:hAnsi="Palatino Linotype"/>
          <w:bCs/>
          <w:sz w:val="26"/>
          <w:szCs w:val="26"/>
          <w:lang w:val="en-GB"/>
        </w:rPr>
        <w:t>3.</w:t>
      </w:r>
      <w:r w:rsidR="00FB1EE3">
        <w:rPr>
          <w:rFonts w:ascii="Palatino Linotype" w:hAnsi="Palatino Linotype"/>
          <w:bCs/>
          <w:sz w:val="26"/>
          <w:szCs w:val="26"/>
          <w:lang w:val="en-GB"/>
        </w:rPr>
        <w:t>2.4</w:t>
      </w:r>
      <w:r>
        <w:rPr>
          <w:rFonts w:ascii="Palatino Linotype" w:hAnsi="Palatino Linotype"/>
          <w:b/>
          <w:sz w:val="26"/>
          <w:szCs w:val="26"/>
          <w:lang w:val="en-GB"/>
        </w:rPr>
        <w:t xml:space="preserve"> </w:t>
      </w:r>
      <w:r>
        <w:rPr>
          <w:rFonts w:ascii="Palatino Linotype" w:hAnsi="Palatino Linotype"/>
          <w:b/>
          <w:sz w:val="26"/>
          <w:szCs w:val="26"/>
          <w:lang w:val="en-GB"/>
        </w:rPr>
        <w:tab/>
      </w:r>
      <w:r w:rsidRPr="0081413A">
        <w:rPr>
          <w:rFonts w:ascii="Palatino Linotype" w:hAnsi="Palatino Linotype"/>
          <w:b/>
          <w:sz w:val="26"/>
          <w:szCs w:val="26"/>
          <w:lang w:val="en-GB"/>
        </w:rPr>
        <w:t>Reports and recommendations regarding detention in Police facilities</w:t>
      </w:r>
      <w:r w:rsidRPr="0081413A">
        <w:rPr>
          <w:rFonts w:ascii="Palatino Linotype" w:hAnsi="Palatino Linotype"/>
          <w:bCs/>
          <w:sz w:val="26"/>
          <w:szCs w:val="26"/>
          <w:lang w:val="en-GB"/>
        </w:rPr>
        <w:t>. During the</w:t>
      </w:r>
      <w:r w:rsidRPr="0081413A">
        <w:rPr>
          <w:rFonts w:ascii="Palatino Linotype" w:hAnsi="Palatino Linotype" w:cs="Calibri"/>
          <w:sz w:val="26"/>
          <w:szCs w:val="26"/>
          <w:lang w:val="en-GB"/>
        </w:rPr>
        <w:t xml:space="preserve"> 2022–2026 period, the GNPL visited 21 facilities across various Police Forces, the results of which are published in two </w:t>
      </w:r>
      <w:r>
        <w:rPr>
          <w:rFonts w:ascii="Palatino Linotype" w:hAnsi="Palatino Linotype" w:cs="Calibri"/>
          <w:sz w:val="26"/>
          <w:szCs w:val="26"/>
          <w:lang w:val="en-GB"/>
        </w:rPr>
        <w:t xml:space="preserve">specific </w:t>
      </w:r>
      <w:r w:rsidRPr="0081413A">
        <w:rPr>
          <w:rFonts w:ascii="Palatino Linotype" w:hAnsi="Palatino Linotype" w:cs="Calibri"/>
          <w:sz w:val="26"/>
          <w:szCs w:val="26"/>
          <w:lang w:val="en-GB"/>
        </w:rPr>
        <w:t xml:space="preserve">reports. The recommendations formulated by the GNPL focused specifically on ordinary and extraordinary prison searches and the need for police officers’ identification, the assignment of identification codes on equipment and tools used during Police activities, the creation of a dedicated registry to track assignments to individual officers. </w:t>
      </w:r>
    </w:p>
    <w:p w14:paraId="460865A0" w14:textId="77777777" w:rsidR="00507092" w:rsidRDefault="00507092" w:rsidP="007B7EDC">
      <w:pPr>
        <w:spacing w:before="80" w:after="80" w:line="278" w:lineRule="auto"/>
        <w:ind w:right="282"/>
        <w:jc w:val="both"/>
        <w:rPr>
          <w:rFonts w:ascii="Palatino Linotype" w:hAnsi="Palatino Linotype"/>
          <w:sz w:val="26"/>
          <w:szCs w:val="26"/>
          <w:lang w:val="en-GB"/>
        </w:rPr>
      </w:pPr>
      <w:r w:rsidRPr="0081413A">
        <w:rPr>
          <w:rFonts w:ascii="Palatino Linotype" w:hAnsi="Palatino Linotype" w:cs="Calibri"/>
          <w:sz w:val="26"/>
          <w:szCs w:val="26"/>
          <w:lang w:val="en-GB"/>
        </w:rPr>
        <w:t>Other recommendations regarded the improvement of the material conditions in police holding cells; the safeguard of core procedural rights, that is the right to a medical examination, the right to legal assistance, the right to inform others of one's arrest or detention, and the effective right to be informed of one's own rights (the so called ‘letter of rights’).</w:t>
      </w:r>
      <w:r w:rsidRPr="0081413A">
        <w:rPr>
          <w:rFonts w:ascii="Palatino Linotype" w:hAnsi="Palatino Linotype"/>
          <w:sz w:val="26"/>
          <w:szCs w:val="26"/>
          <w:lang w:val="en-GB"/>
        </w:rPr>
        <w:t xml:space="preserve"> </w:t>
      </w:r>
    </w:p>
    <w:p w14:paraId="377B01CF" w14:textId="77777777" w:rsidR="00344889" w:rsidRPr="0081413A" w:rsidRDefault="00344889" w:rsidP="007B7EDC">
      <w:pPr>
        <w:spacing w:before="80" w:after="80" w:line="278" w:lineRule="auto"/>
        <w:ind w:right="282"/>
        <w:jc w:val="both"/>
        <w:rPr>
          <w:rFonts w:ascii="Palatino Linotype" w:hAnsi="Palatino Linotype"/>
          <w:sz w:val="26"/>
          <w:szCs w:val="26"/>
          <w:lang w:val="en-GB"/>
        </w:rPr>
      </w:pPr>
    </w:p>
    <w:p w14:paraId="4B2F9167" w14:textId="77777777" w:rsidR="00507092" w:rsidRPr="0081413A" w:rsidRDefault="00507092" w:rsidP="007B7EDC">
      <w:pPr>
        <w:tabs>
          <w:tab w:val="left" w:pos="567"/>
        </w:tabs>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 xml:space="preserve">4    </w:t>
      </w:r>
      <w:r>
        <w:rPr>
          <w:rFonts w:ascii="Palatino Linotype" w:hAnsi="Palatino Linotype"/>
          <w:sz w:val="26"/>
          <w:szCs w:val="26"/>
          <w:lang w:val="en-GB"/>
        </w:rPr>
        <w:tab/>
      </w:r>
      <w:r w:rsidRPr="0081413A">
        <w:rPr>
          <w:rFonts w:ascii="Palatino Linotype" w:hAnsi="Palatino Linotype"/>
          <w:sz w:val="26"/>
          <w:szCs w:val="26"/>
          <w:lang w:val="en-GB"/>
        </w:rPr>
        <w:t>Here below a summary table on visits and reports:</w:t>
      </w:r>
    </w:p>
    <w:tbl>
      <w:tblPr>
        <w:tblStyle w:val="Grigliatabella"/>
        <w:tblW w:w="0" w:type="auto"/>
        <w:tblLook w:val="04A0" w:firstRow="1" w:lastRow="0" w:firstColumn="1" w:lastColumn="0" w:noHBand="0" w:noVBand="1"/>
      </w:tblPr>
      <w:tblGrid>
        <w:gridCol w:w="2494"/>
        <w:gridCol w:w="2992"/>
        <w:gridCol w:w="3008"/>
      </w:tblGrid>
      <w:tr w:rsidR="00507092" w:rsidRPr="0081413A" w14:paraId="557A1DE7" w14:textId="77777777" w:rsidTr="00E82789">
        <w:tc>
          <w:tcPr>
            <w:tcW w:w="2626" w:type="dxa"/>
          </w:tcPr>
          <w:p w14:paraId="7AE9F3EE"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
                <w:sz w:val="26"/>
                <w:szCs w:val="26"/>
              </w:rPr>
            </w:pPr>
            <w:r w:rsidRPr="0081413A">
              <w:rPr>
                <w:rFonts w:ascii="Palatino Linotype" w:hAnsi="Palatino Linotype"/>
                <w:b/>
                <w:sz w:val="26"/>
                <w:szCs w:val="26"/>
              </w:rPr>
              <w:t>Domain</w:t>
            </w:r>
          </w:p>
        </w:tc>
        <w:tc>
          <w:tcPr>
            <w:tcW w:w="3546" w:type="dxa"/>
          </w:tcPr>
          <w:p w14:paraId="7C3FF7A7"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
                <w:sz w:val="26"/>
                <w:szCs w:val="26"/>
                <w:lang w:val="en-GB"/>
              </w:rPr>
            </w:pPr>
            <w:r w:rsidRPr="0081413A">
              <w:rPr>
                <w:rFonts w:ascii="Palatino Linotype" w:hAnsi="Palatino Linotype"/>
                <w:b/>
                <w:sz w:val="26"/>
                <w:szCs w:val="26"/>
                <w:lang w:val="en-GB"/>
              </w:rPr>
              <w:t xml:space="preserve">Number of facilities visited </w:t>
            </w:r>
          </w:p>
          <w:p w14:paraId="3D0CCE29"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
                <w:sz w:val="26"/>
                <w:szCs w:val="26"/>
                <w:lang w:val="en-GB"/>
              </w:rPr>
            </w:pPr>
            <w:r w:rsidRPr="0081413A">
              <w:rPr>
                <w:rFonts w:ascii="Palatino Linotype" w:hAnsi="Palatino Linotype"/>
                <w:b/>
                <w:sz w:val="26"/>
                <w:szCs w:val="26"/>
                <w:lang w:val="en-GB"/>
              </w:rPr>
              <w:t>during the 2022 – 2026 period</w:t>
            </w:r>
          </w:p>
        </w:tc>
        <w:tc>
          <w:tcPr>
            <w:tcW w:w="3456" w:type="dxa"/>
          </w:tcPr>
          <w:p w14:paraId="2F4DC48D"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
                <w:sz w:val="26"/>
                <w:szCs w:val="26"/>
                <w:highlight w:val="yellow"/>
              </w:rPr>
            </w:pPr>
            <w:r w:rsidRPr="0081413A">
              <w:rPr>
                <w:rFonts w:ascii="Palatino Linotype" w:hAnsi="Palatino Linotype"/>
                <w:b/>
                <w:sz w:val="26"/>
                <w:szCs w:val="26"/>
              </w:rPr>
              <w:t>Number of reports</w:t>
            </w:r>
          </w:p>
        </w:tc>
      </w:tr>
      <w:tr w:rsidR="00507092" w:rsidRPr="00355F49" w14:paraId="07C29A89" w14:textId="77777777" w:rsidTr="00E82789">
        <w:trPr>
          <w:trHeight w:val="613"/>
        </w:trPr>
        <w:tc>
          <w:tcPr>
            <w:tcW w:w="2626" w:type="dxa"/>
          </w:tcPr>
          <w:p w14:paraId="48DA081A" w14:textId="77777777" w:rsidR="00507092" w:rsidRPr="0081413A" w:rsidRDefault="00507092" w:rsidP="007B7EDC">
            <w:pPr>
              <w:tabs>
                <w:tab w:val="left" w:pos="709"/>
              </w:tabs>
              <w:spacing w:before="80" w:after="80" w:line="278" w:lineRule="auto"/>
              <w:ind w:left="567" w:right="282"/>
              <w:jc w:val="both"/>
              <w:rPr>
                <w:rFonts w:ascii="Palatino Linotype" w:hAnsi="Palatino Linotype"/>
                <w:b/>
                <w:sz w:val="26"/>
                <w:szCs w:val="26"/>
                <w:lang w:val="en-GB"/>
              </w:rPr>
            </w:pPr>
            <w:r w:rsidRPr="0081413A">
              <w:rPr>
                <w:rFonts w:ascii="Palatino Linotype" w:hAnsi="Palatino Linotype"/>
                <w:b/>
                <w:sz w:val="26"/>
                <w:szCs w:val="26"/>
                <w:lang w:val="en-GB"/>
              </w:rPr>
              <w:lastRenderedPageBreak/>
              <w:t>Criminal detention</w:t>
            </w:r>
          </w:p>
        </w:tc>
        <w:tc>
          <w:tcPr>
            <w:tcW w:w="3546" w:type="dxa"/>
          </w:tcPr>
          <w:p w14:paraId="6F759779"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Cs/>
                <w:sz w:val="26"/>
                <w:szCs w:val="26"/>
                <w:lang w:val="en-GB"/>
              </w:rPr>
            </w:pPr>
            <w:r w:rsidRPr="0081413A">
              <w:rPr>
                <w:rFonts w:ascii="Palatino Linotype" w:hAnsi="Palatino Linotype"/>
                <w:bCs/>
                <w:sz w:val="26"/>
                <w:szCs w:val="26"/>
                <w:lang w:val="en-GB"/>
              </w:rPr>
              <w:t>218</w:t>
            </w:r>
          </w:p>
        </w:tc>
        <w:tc>
          <w:tcPr>
            <w:tcW w:w="3456" w:type="dxa"/>
            <w:vMerge w:val="restart"/>
          </w:tcPr>
          <w:p w14:paraId="03724D1E" w14:textId="77777777" w:rsidR="00507092" w:rsidRDefault="00507092" w:rsidP="00C33610">
            <w:pPr>
              <w:tabs>
                <w:tab w:val="left" w:pos="709"/>
              </w:tabs>
              <w:spacing w:before="80" w:after="80" w:line="278" w:lineRule="auto"/>
              <w:ind w:right="282"/>
              <w:rPr>
                <w:rFonts w:ascii="Palatino Linotype" w:hAnsi="Palatino Linotype"/>
                <w:b/>
                <w:sz w:val="26"/>
                <w:szCs w:val="26"/>
                <w:lang w:val="en-GB"/>
              </w:rPr>
            </w:pPr>
          </w:p>
          <w:p w14:paraId="38FAB480" w14:textId="77777777" w:rsidR="00C33610" w:rsidRPr="0081413A" w:rsidRDefault="00C33610" w:rsidP="00C33610">
            <w:pPr>
              <w:tabs>
                <w:tab w:val="left" w:pos="709"/>
              </w:tabs>
              <w:spacing w:before="80" w:after="80" w:line="278" w:lineRule="auto"/>
              <w:ind w:right="282"/>
              <w:rPr>
                <w:rFonts w:ascii="Palatino Linotype" w:hAnsi="Palatino Linotype"/>
                <w:b/>
                <w:sz w:val="26"/>
                <w:szCs w:val="26"/>
                <w:lang w:val="en-GB"/>
              </w:rPr>
            </w:pPr>
          </w:p>
          <w:p w14:paraId="53052754"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Cs/>
                <w:sz w:val="26"/>
                <w:szCs w:val="26"/>
                <w:highlight w:val="yellow"/>
                <w:lang w:val="en-GB"/>
              </w:rPr>
            </w:pPr>
            <w:r w:rsidRPr="0081413A">
              <w:rPr>
                <w:rFonts w:ascii="Palatino Linotype" w:hAnsi="Palatino Linotype"/>
                <w:b/>
                <w:sz w:val="26"/>
                <w:szCs w:val="26"/>
                <w:lang w:val="en-GB"/>
              </w:rPr>
              <w:t>Reports published relevant to the same period and visits: 54</w:t>
            </w:r>
          </w:p>
        </w:tc>
      </w:tr>
      <w:tr w:rsidR="00507092" w:rsidRPr="0081413A" w14:paraId="1AAD7FEF" w14:textId="77777777" w:rsidTr="00E82789">
        <w:trPr>
          <w:trHeight w:val="565"/>
        </w:trPr>
        <w:tc>
          <w:tcPr>
            <w:tcW w:w="2626" w:type="dxa"/>
          </w:tcPr>
          <w:p w14:paraId="4FAF2527" w14:textId="77777777" w:rsidR="00507092" w:rsidRPr="0081413A" w:rsidRDefault="00507092" w:rsidP="007B7EDC">
            <w:pPr>
              <w:tabs>
                <w:tab w:val="left" w:pos="709"/>
              </w:tabs>
              <w:spacing w:before="80" w:after="80" w:line="278" w:lineRule="auto"/>
              <w:ind w:left="567" w:right="282"/>
              <w:jc w:val="both"/>
              <w:rPr>
                <w:rFonts w:ascii="Palatino Linotype" w:hAnsi="Palatino Linotype"/>
                <w:b/>
                <w:sz w:val="26"/>
                <w:szCs w:val="26"/>
                <w:lang w:val="en-GB"/>
              </w:rPr>
            </w:pPr>
            <w:r w:rsidRPr="0081413A">
              <w:rPr>
                <w:rFonts w:ascii="Palatino Linotype" w:hAnsi="Palatino Linotype"/>
                <w:b/>
                <w:sz w:val="26"/>
                <w:szCs w:val="26"/>
                <w:lang w:val="en-GB"/>
              </w:rPr>
              <w:t>Migrants</w:t>
            </w:r>
          </w:p>
        </w:tc>
        <w:tc>
          <w:tcPr>
            <w:tcW w:w="3546" w:type="dxa"/>
          </w:tcPr>
          <w:p w14:paraId="0D312987"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Cs/>
                <w:sz w:val="26"/>
                <w:szCs w:val="26"/>
                <w:lang w:val="en-GB"/>
              </w:rPr>
            </w:pPr>
            <w:r w:rsidRPr="0081413A">
              <w:rPr>
                <w:rFonts w:ascii="Palatino Linotype" w:hAnsi="Palatino Linotype"/>
                <w:bCs/>
                <w:sz w:val="26"/>
                <w:szCs w:val="26"/>
                <w:lang w:val="en-GB"/>
              </w:rPr>
              <w:t>32</w:t>
            </w:r>
          </w:p>
        </w:tc>
        <w:tc>
          <w:tcPr>
            <w:tcW w:w="3456" w:type="dxa"/>
            <w:vMerge/>
          </w:tcPr>
          <w:p w14:paraId="3212EA26"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Cs/>
                <w:sz w:val="26"/>
                <w:szCs w:val="26"/>
                <w:lang w:val="en-GB"/>
              </w:rPr>
            </w:pPr>
          </w:p>
        </w:tc>
      </w:tr>
      <w:tr w:rsidR="00507092" w:rsidRPr="0081413A" w14:paraId="7E2860F3" w14:textId="77777777" w:rsidTr="00E82789">
        <w:trPr>
          <w:trHeight w:val="546"/>
        </w:trPr>
        <w:tc>
          <w:tcPr>
            <w:tcW w:w="2626" w:type="dxa"/>
          </w:tcPr>
          <w:p w14:paraId="0D11BC49" w14:textId="77777777" w:rsidR="00507092" w:rsidRPr="0081413A" w:rsidRDefault="00507092" w:rsidP="007B7EDC">
            <w:pPr>
              <w:tabs>
                <w:tab w:val="left" w:pos="709"/>
              </w:tabs>
              <w:spacing w:before="80" w:after="80" w:line="278" w:lineRule="auto"/>
              <w:ind w:left="567" w:right="282"/>
              <w:jc w:val="both"/>
              <w:rPr>
                <w:rFonts w:ascii="Palatino Linotype" w:hAnsi="Palatino Linotype"/>
                <w:b/>
                <w:sz w:val="26"/>
                <w:szCs w:val="26"/>
                <w:lang w:val="en-GB"/>
              </w:rPr>
            </w:pPr>
            <w:r w:rsidRPr="0081413A">
              <w:rPr>
                <w:rFonts w:ascii="Palatino Linotype" w:hAnsi="Palatino Linotype"/>
                <w:b/>
                <w:sz w:val="26"/>
                <w:szCs w:val="26"/>
                <w:lang w:val="en-GB"/>
              </w:rPr>
              <w:t>Health protection</w:t>
            </w:r>
          </w:p>
        </w:tc>
        <w:tc>
          <w:tcPr>
            <w:tcW w:w="3546" w:type="dxa"/>
          </w:tcPr>
          <w:p w14:paraId="7C70E26E"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Cs/>
                <w:sz w:val="26"/>
                <w:szCs w:val="26"/>
                <w:lang w:val="en-GB"/>
              </w:rPr>
            </w:pPr>
            <w:r w:rsidRPr="0081413A">
              <w:rPr>
                <w:rFonts w:ascii="Palatino Linotype" w:hAnsi="Palatino Linotype"/>
                <w:bCs/>
                <w:sz w:val="26"/>
                <w:szCs w:val="26"/>
                <w:lang w:val="en-GB"/>
              </w:rPr>
              <w:t>34</w:t>
            </w:r>
          </w:p>
        </w:tc>
        <w:tc>
          <w:tcPr>
            <w:tcW w:w="3456" w:type="dxa"/>
            <w:vMerge/>
          </w:tcPr>
          <w:p w14:paraId="11AB92B8"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Cs/>
                <w:sz w:val="26"/>
                <w:szCs w:val="26"/>
                <w:lang w:val="en-GB"/>
              </w:rPr>
            </w:pPr>
          </w:p>
        </w:tc>
      </w:tr>
      <w:tr w:rsidR="00507092" w:rsidRPr="0081413A" w14:paraId="7A4C836D" w14:textId="77777777" w:rsidTr="00E82789">
        <w:trPr>
          <w:trHeight w:val="696"/>
        </w:trPr>
        <w:tc>
          <w:tcPr>
            <w:tcW w:w="2626" w:type="dxa"/>
          </w:tcPr>
          <w:p w14:paraId="6E1C4EC0" w14:textId="77777777" w:rsidR="00507092" w:rsidRPr="0081413A" w:rsidRDefault="00507092" w:rsidP="007B7EDC">
            <w:pPr>
              <w:tabs>
                <w:tab w:val="left" w:pos="709"/>
              </w:tabs>
              <w:spacing w:before="80" w:after="80" w:line="278" w:lineRule="auto"/>
              <w:ind w:left="567" w:right="282"/>
              <w:jc w:val="both"/>
              <w:rPr>
                <w:rFonts w:ascii="Palatino Linotype" w:hAnsi="Palatino Linotype"/>
                <w:b/>
                <w:sz w:val="26"/>
                <w:szCs w:val="26"/>
                <w:lang w:val="en-GB"/>
              </w:rPr>
            </w:pPr>
            <w:r w:rsidRPr="0081413A">
              <w:rPr>
                <w:rFonts w:ascii="Palatino Linotype" w:hAnsi="Palatino Linotype"/>
                <w:b/>
                <w:sz w:val="26"/>
                <w:szCs w:val="26"/>
                <w:lang w:val="en-GB"/>
              </w:rPr>
              <w:t>Police Forces</w:t>
            </w:r>
          </w:p>
        </w:tc>
        <w:tc>
          <w:tcPr>
            <w:tcW w:w="3546" w:type="dxa"/>
          </w:tcPr>
          <w:p w14:paraId="4F05FAFC"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Cs/>
                <w:sz w:val="26"/>
                <w:szCs w:val="26"/>
                <w:lang w:val="en-GB"/>
              </w:rPr>
            </w:pPr>
            <w:r w:rsidRPr="0081413A">
              <w:rPr>
                <w:rFonts w:ascii="Palatino Linotype" w:hAnsi="Palatino Linotype"/>
                <w:bCs/>
                <w:sz w:val="26"/>
                <w:szCs w:val="26"/>
                <w:lang w:val="en-GB"/>
              </w:rPr>
              <w:t>27</w:t>
            </w:r>
          </w:p>
        </w:tc>
        <w:tc>
          <w:tcPr>
            <w:tcW w:w="3456" w:type="dxa"/>
            <w:vMerge/>
          </w:tcPr>
          <w:p w14:paraId="337A6A4B"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Cs/>
                <w:sz w:val="26"/>
                <w:szCs w:val="26"/>
                <w:lang w:val="en-GB"/>
              </w:rPr>
            </w:pPr>
          </w:p>
        </w:tc>
      </w:tr>
      <w:tr w:rsidR="00507092" w:rsidRPr="0081413A" w14:paraId="7AE86BE8" w14:textId="77777777" w:rsidTr="00E82789">
        <w:tc>
          <w:tcPr>
            <w:tcW w:w="2626" w:type="dxa"/>
          </w:tcPr>
          <w:p w14:paraId="645AF80A" w14:textId="77777777" w:rsidR="00507092" w:rsidRPr="0081413A" w:rsidRDefault="00507092" w:rsidP="007B7EDC">
            <w:pPr>
              <w:tabs>
                <w:tab w:val="left" w:pos="709"/>
              </w:tabs>
              <w:spacing w:before="80" w:after="80" w:line="278" w:lineRule="auto"/>
              <w:ind w:left="567" w:right="282"/>
              <w:jc w:val="right"/>
              <w:rPr>
                <w:rFonts w:ascii="Palatino Linotype" w:hAnsi="Palatino Linotype"/>
                <w:b/>
                <w:sz w:val="26"/>
                <w:szCs w:val="26"/>
                <w:lang w:val="en-GB"/>
              </w:rPr>
            </w:pPr>
            <w:r w:rsidRPr="0081413A">
              <w:rPr>
                <w:rFonts w:ascii="Palatino Linotype" w:hAnsi="Palatino Linotype"/>
                <w:b/>
                <w:sz w:val="26"/>
                <w:szCs w:val="26"/>
                <w:lang w:val="en-GB"/>
              </w:rPr>
              <w:t>Total</w:t>
            </w:r>
          </w:p>
        </w:tc>
        <w:tc>
          <w:tcPr>
            <w:tcW w:w="3546" w:type="dxa"/>
          </w:tcPr>
          <w:p w14:paraId="10EA72D3"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
                <w:sz w:val="26"/>
                <w:szCs w:val="26"/>
                <w:lang w:val="en-GB"/>
              </w:rPr>
            </w:pPr>
            <w:r w:rsidRPr="0081413A">
              <w:rPr>
                <w:rFonts w:ascii="Palatino Linotype" w:hAnsi="Palatino Linotype"/>
                <w:b/>
                <w:sz w:val="26"/>
                <w:szCs w:val="26"/>
                <w:lang w:val="en-GB"/>
              </w:rPr>
              <w:t>311</w:t>
            </w:r>
          </w:p>
        </w:tc>
        <w:tc>
          <w:tcPr>
            <w:tcW w:w="3456" w:type="dxa"/>
            <w:vMerge/>
          </w:tcPr>
          <w:p w14:paraId="0D43BE4E" w14:textId="77777777" w:rsidR="00507092" w:rsidRPr="0081413A" w:rsidRDefault="00507092" w:rsidP="007B7EDC">
            <w:pPr>
              <w:tabs>
                <w:tab w:val="left" w:pos="709"/>
              </w:tabs>
              <w:spacing w:before="80" w:after="80" w:line="278" w:lineRule="auto"/>
              <w:ind w:left="567" w:right="282"/>
              <w:jc w:val="center"/>
              <w:rPr>
                <w:rFonts w:ascii="Palatino Linotype" w:hAnsi="Palatino Linotype"/>
                <w:b/>
                <w:sz w:val="26"/>
                <w:szCs w:val="26"/>
                <w:lang w:val="en-GB"/>
              </w:rPr>
            </w:pPr>
          </w:p>
        </w:tc>
      </w:tr>
    </w:tbl>
    <w:p w14:paraId="41809E9D" w14:textId="2BA1C5AC" w:rsidR="00507092" w:rsidRPr="0081413A" w:rsidRDefault="00507092" w:rsidP="007B7EDC">
      <w:pPr>
        <w:spacing w:before="80" w:after="80" w:line="278" w:lineRule="auto"/>
        <w:ind w:left="567" w:right="282"/>
        <w:jc w:val="both"/>
        <w:outlineLvl w:val="0"/>
        <w:rPr>
          <w:rFonts w:ascii="Palatino Linotype" w:hAnsi="Palatino Linotype"/>
          <w:sz w:val="26"/>
          <w:szCs w:val="26"/>
          <w:lang w:val="en-GB"/>
        </w:rPr>
      </w:pPr>
      <w:r w:rsidRPr="0081413A">
        <w:rPr>
          <w:rFonts w:ascii="Palatino Linotype" w:hAnsi="Palatino Linotype"/>
          <w:sz w:val="26"/>
          <w:szCs w:val="26"/>
          <w:lang w:val="en-GB"/>
        </w:rPr>
        <w:t>For further details, see annexed table.</w:t>
      </w:r>
    </w:p>
    <w:p w14:paraId="7E51C645" w14:textId="77777777" w:rsidR="00507092" w:rsidRPr="0081413A" w:rsidRDefault="00507092" w:rsidP="007B7EDC">
      <w:pPr>
        <w:spacing w:before="80" w:after="80" w:line="278" w:lineRule="auto"/>
        <w:ind w:left="567" w:right="282"/>
        <w:jc w:val="both"/>
        <w:rPr>
          <w:rFonts w:ascii="Palatino Linotype" w:hAnsi="Palatino Linotype" w:cs="Calibri"/>
          <w:sz w:val="26"/>
          <w:szCs w:val="26"/>
          <w:lang w:val="en-GB"/>
        </w:rPr>
      </w:pPr>
    </w:p>
    <w:p w14:paraId="22305215" w14:textId="77777777" w:rsidR="00507092" w:rsidRPr="00D65986" w:rsidRDefault="00507092" w:rsidP="007B7EDC">
      <w:pPr>
        <w:pStyle w:val="Paragrafoelenco"/>
        <w:spacing w:before="80" w:after="80" w:line="278" w:lineRule="auto"/>
        <w:ind w:left="0" w:right="282"/>
        <w:rPr>
          <w:rFonts w:ascii="Palatino Linotype" w:hAnsi="Palatino Linotype" w:cs="Calibri"/>
          <w:sz w:val="26"/>
          <w:szCs w:val="26"/>
          <w:lang w:val="en-GB"/>
        </w:rPr>
      </w:pPr>
      <w:r>
        <w:rPr>
          <w:rFonts w:ascii="Palatino Linotype" w:hAnsi="Palatino Linotype" w:cs="Calibri"/>
          <w:sz w:val="26"/>
          <w:szCs w:val="26"/>
          <w:lang w:val="en-GB"/>
        </w:rPr>
        <w:t xml:space="preserve">5     </w:t>
      </w:r>
      <w:r w:rsidRPr="00D65986">
        <w:rPr>
          <w:rFonts w:ascii="Palatino Linotype" w:hAnsi="Palatino Linotype" w:cs="Calibri"/>
          <w:sz w:val="26"/>
          <w:szCs w:val="26"/>
          <w:lang w:val="en-GB"/>
        </w:rPr>
        <w:t xml:space="preserve">Many recommendations were also formulated in reports drafted after regional visits, including visits conducted to different places of deprivation of liberty present on the territory of a single region: </w:t>
      </w:r>
      <w:r w:rsidRPr="00D65986">
        <w:rPr>
          <w:rFonts w:ascii="Palatino Linotype" w:hAnsi="Palatino Linotype"/>
          <w:sz w:val="26"/>
          <w:szCs w:val="26"/>
          <w:lang w:val="en-GB"/>
        </w:rPr>
        <w:t>during the 2022–2026 period</w:t>
      </w:r>
      <w:r w:rsidRPr="00D65986">
        <w:rPr>
          <w:rFonts w:ascii="Palatino Linotype" w:hAnsi="Palatino Linotype" w:cs="Calibri"/>
          <w:sz w:val="26"/>
          <w:szCs w:val="26"/>
          <w:lang w:val="en-GB"/>
        </w:rPr>
        <w:t xml:space="preserve">, the GNPL carried out three regional visits (Tuscany, Liguria and Piedmont). </w:t>
      </w:r>
    </w:p>
    <w:p w14:paraId="32C9C3C6" w14:textId="77777777" w:rsidR="00507092" w:rsidRDefault="00507092" w:rsidP="007B7EDC">
      <w:pPr>
        <w:spacing w:before="80" w:after="80" w:line="278" w:lineRule="auto"/>
        <w:ind w:right="282"/>
        <w:jc w:val="both"/>
        <w:rPr>
          <w:rFonts w:ascii="Palatino Linotype" w:hAnsi="Palatino Linotype" w:cs="Calibri"/>
          <w:sz w:val="26"/>
          <w:szCs w:val="26"/>
          <w:lang w:val="en-GB"/>
        </w:rPr>
      </w:pPr>
      <w:r w:rsidRPr="0081413A">
        <w:rPr>
          <w:rFonts w:ascii="Palatino Linotype" w:hAnsi="Palatino Linotype" w:cs="Calibri"/>
          <w:sz w:val="26"/>
          <w:szCs w:val="26"/>
          <w:lang w:val="en-GB"/>
        </w:rPr>
        <w:t>In summary, it can be said that administrative authorities engage in dialogue with the GNPL and meet its recommendations with an appreciated degree of compliance.</w:t>
      </w:r>
    </w:p>
    <w:p w14:paraId="0C7222C0" w14:textId="77777777" w:rsidR="00344889" w:rsidRPr="0081413A" w:rsidRDefault="00344889" w:rsidP="007B7EDC">
      <w:pPr>
        <w:spacing w:before="80" w:after="80" w:line="278" w:lineRule="auto"/>
        <w:ind w:right="282"/>
        <w:jc w:val="both"/>
        <w:rPr>
          <w:rFonts w:ascii="Palatino Linotype" w:hAnsi="Palatino Linotype" w:cs="Calibri"/>
          <w:sz w:val="26"/>
          <w:szCs w:val="26"/>
          <w:lang w:val="en-GB"/>
        </w:rPr>
      </w:pPr>
    </w:p>
    <w:p w14:paraId="1BA1E468" w14:textId="73F390D9" w:rsidR="00507092" w:rsidRPr="0088186C" w:rsidRDefault="00507092" w:rsidP="007B7EDC">
      <w:pPr>
        <w:tabs>
          <w:tab w:val="left" w:pos="426"/>
        </w:tabs>
        <w:spacing w:before="80" w:after="80" w:line="278" w:lineRule="auto"/>
        <w:ind w:left="500" w:right="282" w:hanging="500"/>
        <w:jc w:val="both"/>
        <w:outlineLvl w:val="0"/>
        <w:rPr>
          <w:rFonts w:ascii="Palatino Linotype" w:hAnsi="Palatino Linotype"/>
          <w:b/>
          <w:bCs/>
          <w:sz w:val="26"/>
          <w:szCs w:val="26"/>
          <w:lang w:val="en-GB"/>
        </w:rPr>
      </w:pPr>
      <w:r w:rsidRPr="00D65986">
        <w:rPr>
          <w:rFonts w:ascii="Palatino Linotype" w:hAnsi="Palatino Linotype"/>
          <w:sz w:val="26"/>
          <w:szCs w:val="26"/>
          <w:lang w:val="en-GB"/>
        </w:rPr>
        <w:t>6</w:t>
      </w:r>
      <w:r>
        <w:rPr>
          <w:rFonts w:ascii="Palatino Linotype" w:hAnsi="Palatino Linotype"/>
          <w:sz w:val="26"/>
          <w:szCs w:val="26"/>
          <w:lang w:val="en-GB"/>
        </w:rPr>
        <w:tab/>
      </w:r>
      <w:r w:rsidRPr="0042364E">
        <w:rPr>
          <w:rFonts w:ascii="Palatino Linotype" w:hAnsi="Palatino Linotype"/>
          <w:i/>
          <w:iCs/>
          <w:sz w:val="26"/>
          <w:szCs w:val="26"/>
          <w:lang w:val="en-GB"/>
        </w:rPr>
        <w:t xml:space="preserve"> </w:t>
      </w:r>
      <w:r w:rsidRPr="0088186C">
        <w:rPr>
          <w:rFonts w:ascii="Palatino Linotype" w:hAnsi="Palatino Linotype"/>
          <w:b/>
          <w:bCs/>
          <w:sz w:val="26"/>
          <w:szCs w:val="26"/>
          <w:lang w:val="en-GB"/>
        </w:rPr>
        <w:t>Formal dialogues with the Authorities concerned over the detention of persons entrusted to them</w:t>
      </w:r>
    </w:p>
    <w:p w14:paraId="7A612D1F" w14:textId="77777777" w:rsidR="00507092" w:rsidRPr="0081413A" w:rsidRDefault="00507092" w:rsidP="007B7EDC">
      <w:pPr>
        <w:spacing w:before="80" w:after="80" w:line="278" w:lineRule="auto"/>
        <w:ind w:right="282"/>
        <w:jc w:val="both"/>
        <w:rPr>
          <w:rFonts w:ascii="Palatino Linotype" w:hAnsi="Palatino Linotype"/>
          <w:sz w:val="26"/>
          <w:szCs w:val="26"/>
          <w:lang w:val="en-GB"/>
        </w:rPr>
      </w:pPr>
      <w:r w:rsidRPr="00160F6A">
        <w:rPr>
          <w:rFonts w:ascii="Palatino Linotype" w:hAnsi="Palatino Linotype"/>
          <w:sz w:val="26"/>
          <w:szCs w:val="26"/>
          <w:lang w:val="en-GB"/>
        </w:rPr>
        <w:t>6.1</w:t>
      </w:r>
      <w:r>
        <w:rPr>
          <w:rFonts w:ascii="Palatino Linotype" w:hAnsi="Palatino Linotype"/>
          <w:b/>
          <w:bCs/>
          <w:sz w:val="26"/>
          <w:szCs w:val="26"/>
          <w:lang w:val="en-GB"/>
        </w:rPr>
        <w:t xml:space="preserve"> </w:t>
      </w:r>
      <w:r w:rsidRPr="0081413A">
        <w:rPr>
          <w:rFonts w:ascii="Palatino Linotype" w:hAnsi="Palatino Linotype"/>
          <w:b/>
          <w:bCs/>
          <w:sz w:val="26"/>
          <w:szCs w:val="26"/>
          <w:lang w:val="en-GB"/>
        </w:rPr>
        <w:t xml:space="preserve">Deprivation of liberty and migrant persons – criticalities. </w:t>
      </w:r>
      <w:r w:rsidRPr="0081413A">
        <w:rPr>
          <w:rFonts w:ascii="Palatino Linotype" w:hAnsi="Palatino Linotype"/>
          <w:sz w:val="26"/>
          <w:szCs w:val="26"/>
          <w:lang w:val="en-GB"/>
        </w:rPr>
        <w:t xml:space="preserve">Regarding access to information about the hotspot facilities, the Department for Civil Liberties of the Ministry of the Interior issued an opinion stating that the GNPL’s competence is limited exclusively to the 'detention structures’. In the Department’s view, this excludes hotspots that do not contain formal designated detention premises (that is, most of them). The GNPL subsequently submitted a set of considerations </w:t>
      </w:r>
      <w:r w:rsidRPr="0081413A">
        <w:rPr>
          <w:rFonts w:ascii="Palatino Linotype" w:hAnsi="Palatino Linotype"/>
          <w:sz w:val="26"/>
          <w:szCs w:val="26"/>
          <w:lang w:val="en-GB"/>
        </w:rPr>
        <w:lastRenderedPageBreak/>
        <w:t xml:space="preserve">reaffirming its prerogatives, deriving specifically from the provisions of the OPCAT (General Comment on Article 4 of the Protocol). Following this, the Department on 6 July 2025 provided the requested data (referred to 2024) but maintained that «information regarding hotspots does not fall within the Guarantor's competence» and «therefore will not be provided again in the future». </w:t>
      </w:r>
    </w:p>
    <w:p w14:paraId="7D0CF85B" w14:textId="57438FC1" w:rsidR="00507092" w:rsidRPr="00454E70" w:rsidRDefault="00507092" w:rsidP="007B7EDC">
      <w:pPr>
        <w:spacing w:before="80" w:after="80" w:line="278" w:lineRule="auto"/>
        <w:ind w:right="284"/>
        <w:jc w:val="both"/>
        <w:rPr>
          <w:rFonts w:ascii="Palatino Linotype" w:hAnsi="Palatino Linotype"/>
          <w:sz w:val="26"/>
          <w:szCs w:val="26"/>
          <w:lang w:val="en-GB"/>
        </w:rPr>
      </w:pPr>
      <w:r>
        <w:rPr>
          <w:rFonts w:ascii="Palatino Linotype" w:hAnsi="Palatino Linotype"/>
          <w:sz w:val="26"/>
          <w:szCs w:val="26"/>
          <w:lang w:val="en-GB"/>
        </w:rPr>
        <w:t>6.</w:t>
      </w:r>
      <w:r w:rsidR="00454E70">
        <w:rPr>
          <w:rFonts w:ascii="Palatino Linotype" w:hAnsi="Palatino Linotype"/>
          <w:sz w:val="26"/>
          <w:szCs w:val="26"/>
          <w:lang w:val="en-GB"/>
        </w:rPr>
        <w:t>1.1</w:t>
      </w:r>
      <w:r>
        <w:rPr>
          <w:rFonts w:ascii="Palatino Linotype" w:hAnsi="Palatino Linotype"/>
          <w:sz w:val="26"/>
          <w:szCs w:val="26"/>
          <w:lang w:val="en-GB"/>
        </w:rPr>
        <w:t xml:space="preserve">   </w:t>
      </w:r>
      <w:r w:rsidRPr="00280596">
        <w:rPr>
          <w:rFonts w:ascii="Palatino Linotype" w:hAnsi="Palatino Linotype"/>
          <w:b/>
          <w:bCs/>
          <w:sz w:val="26"/>
          <w:szCs w:val="26"/>
          <w:lang w:val="en-GB"/>
        </w:rPr>
        <w:t>Wrongful administrative proceedings</w:t>
      </w:r>
    </w:p>
    <w:p w14:paraId="75A0A77A" w14:textId="77777777" w:rsidR="00507092" w:rsidRPr="0081413A" w:rsidRDefault="00507092" w:rsidP="007B7EDC">
      <w:pPr>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T</w:t>
      </w:r>
      <w:r w:rsidRPr="0081413A">
        <w:rPr>
          <w:rFonts w:ascii="Palatino Linotype" w:hAnsi="Palatino Linotype"/>
          <w:sz w:val="26"/>
          <w:szCs w:val="26"/>
          <w:lang w:val="en-GB"/>
        </w:rPr>
        <w:t xml:space="preserve">he new draft tender specifications for the management of CPRs </w:t>
      </w:r>
      <w:r>
        <w:rPr>
          <w:rFonts w:ascii="Palatino Linotype" w:hAnsi="Palatino Linotype"/>
          <w:sz w:val="26"/>
          <w:szCs w:val="26"/>
          <w:lang w:val="en-GB"/>
        </w:rPr>
        <w:t>(</w:t>
      </w:r>
      <w:r w:rsidRPr="0081413A">
        <w:rPr>
          <w:rFonts w:ascii="Palatino Linotype" w:hAnsi="Palatino Linotype"/>
          <w:sz w:val="26"/>
          <w:szCs w:val="26"/>
          <w:lang w:val="en-GB"/>
        </w:rPr>
        <w:t>approved by Decree of the Minister of the Interior on 4 March 2024</w:t>
      </w:r>
      <w:r>
        <w:rPr>
          <w:rFonts w:ascii="Palatino Linotype" w:hAnsi="Palatino Linotype"/>
          <w:sz w:val="26"/>
          <w:szCs w:val="26"/>
          <w:lang w:val="en-GB"/>
        </w:rPr>
        <w:t>)</w:t>
      </w:r>
      <w:r w:rsidRPr="0081413A">
        <w:rPr>
          <w:rFonts w:ascii="Palatino Linotype" w:hAnsi="Palatino Linotype"/>
          <w:sz w:val="26"/>
          <w:szCs w:val="26"/>
          <w:lang w:val="en-GB"/>
        </w:rPr>
        <w:t xml:space="preserve"> </w:t>
      </w:r>
      <w:r>
        <w:rPr>
          <w:rFonts w:ascii="Palatino Linotype" w:hAnsi="Palatino Linotype"/>
          <w:sz w:val="26"/>
          <w:szCs w:val="26"/>
          <w:lang w:val="en-GB"/>
        </w:rPr>
        <w:t xml:space="preserve">did not pay consideration to advice from the </w:t>
      </w:r>
      <w:r w:rsidRPr="0081413A">
        <w:rPr>
          <w:rFonts w:ascii="Palatino Linotype" w:hAnsi="Palatino Linotype"/>
          <w:sz w:val="26"/>
          <w:szCs w:val="26"/>
          <w:lang w:val="en-GB"/>
        </w:rPr>
        <w:t xml:space="preserve">Ministry of Health and the GNPL. </w:t>
      </w:r>
      <w:r>
        <w:rPr>
          <w:rFonts w:ascii="Palatino Linotype" w:hAnsi="Palatino Linotype"/>
          <w:sz w:val="26"/>
          <w:szCs w:val="26"/>
          <w:lang w:val="en-GB"/>
        </w:rPr>
        <w:t>The highest administrative Court of Italy (</w:t>
      </w:r>
      <w:r w:rsidRPr="0081413A">
        <w:rPr>
          <w:rFonts w:ascii="Palatino Linotype" w:hAnsi="Palatino Linotype"/>
          <w:sz w:val="26"/>
          <w:szCs w:val="26"/>
          <w:lang w:val="en-GB"/>
        </w:rPr>
        <w:t>judgment No. 7839/202</w:t>
      </w:r>
      <w:r>
        <w:rPr>
          <w:rFonts w:ascii="Palatino Linotype" w:hAnsi="Palatino Linotype"/>
          <w:sz w:val="26"/>
          <w:szCs w:val="26"/>
          <w:lang w:val="en-GB"/>
        </w:rPr>
        <w:t>5)</w:t>
      </w:r>
      <w:r w:rsidRPr="0081413A">
        <w:rPr>
          <w:rFonts w:ascii="Palatino Linotype" w:hAnsi="Palatino Linotype"/>
          <w:sz w:val="26"/>
          <w:szCs w:val="26"/>
          <w:lang w:val="en-GB"/>
        </w:rPr>
        <w:t xml:space="preserve"> declared the decree approving the tender specifications partially unlawful, based in part on the </w:t>
      </w:r>
      <w:proofErr w:type="gramStart"/>
      <w:r w:rsidRPr="0081413A">
        <w:rPr>
          <w:rFonts w:ascii="Palatino Linotype" w:hAnsi="Palatino Linotype"/>
          <w:sz w:val="26"/>
          <w:szCs w:val="26"/>
          <w:lang w:val="en-GB"/>
        </w:rPr>
        <w:t>aforementioned lack</w:t>
      </w:r>
      <w:proofErr w:type="gramEnd"/>
      <w:r w:rsidRPr="0081413A">
        <w:rPr>
          <w:rFonts w:ascii="Palatino Linotype" w:hAnsi="Palatino Linotype"/>
          <w:sz w:val="26"/>
          <w:szCs w:val="26"/>
          <w:lang w:val="en-GB"/>
        </w:rPr>
        <w:t xml:space="preserve"> of involvement of the GNPL</w:t>
      </w:r>
      <w:r>
        <w:rPr>
          <w:rFonts w:ascii="Palatino Linotype" w:hAnsi="Palatino Linotype"/>
          <w:sz w:val="26"/>
          <w:szCs w:val="26"/>
          <w:lang w:val="en-GB"/>
        </w:rPr>
        <w:t>.</w:t>
      </w:r>
      <w:r w:rsidRPr="0081413A">
        <w:rPr>
          <w:rFonts w:ascii="Palatino Linotype" w:hAnsi="Palatino Linotype"/>
          <w:sz w:val="26"/>
          <w:szCs w:val="26"/>
          <w:lang w:val="en-GB"/>
        </w:rPr>
        <w:t xml:space="preserve"> </w:t>
      </w:r>
      <w:r>
        <w:rPr>
          <w:rFonts w:ascii="Palatino Linotype" w:hAnsi="Palatino Linotype"/>
          <w:sz w:val="26"/>
          <w:szCs w:val="26"/>
          <w:lang w:val="en-GB"/>
        </w:rPr>
        <w:t xml:space="preserve">The Court </w:t>
      </w:r>
      <w:r w:rsidRPr="0081413A">
        <w:rPr>
          <w:rFonts w:ascii="Palatino Linotype" w:hAnsi="Palatino Linotype"/>
          <w:sz w:val="26"/>
          <w:szCs w:val="26"/>
          <w:lang w:val="en-GB"/>
        </w:rPr>
        <w:t xml:space="preserve">supported its judgement by </w:t>
      </w:r>
      <w:proofErr w:type="gramStart"/>
      <w:r w:rsidRPr="0081413A">
        <w:rPr>
          <w:rFonts w:ascii="Palatino Linotype" w:hAnsi="Palatino Linotype"/>
          <w:sz w:val="26"/>
          <w:szCs w:val="26"/>
          <w:lang w:val="en-GB"/>
        </w:rPr>
        <w:t>making reference</w:t>
      </w:r>
      <w:proofErr w:type="gramEnd"/>
      <w:r w:rsidRPr="0081413A">
        <w:rPr>
          <w:rFonts w:ascii="Palatino Linotype" w:hAnsi="Palatino Linotype"/>
          <w:sz w:val="26"/>
          <w:szCs w:val="26"/>
          <w:lang w:val="en-GB"/>
        </w:rPr>
        <w:t xml:space="preserve"> to a letter the GNPL sent to the Ministry of the Interior in June 2024 where some discrepancies and irregularities in the CPR tender specifications were stigmatised. </w:t>
      </w:r>
    </w:p>
    <w:p w14:paraId="2F45ED3B" w14:textId="4409B82E" w:rsidR="00507092" w:rsidRPr="0081413A" w:rsidRDefault="00507092" w:rsidP="007B7EDC">
      <w:pPr>
        <w:tabs>
          <w:tab w:val="left" w:pos="567"/>
        </w:tabs>
        <w:spacing w:before="80" w:after="80" w:line="278" w:lineRule="auto"/>
        <w:ind w:right="284"/>
        <w:jc w:val="both"/>
        <w:rPr>
          <w:rFonts w:ascii="Palatino Linotype" w:hAnsi="Palatino Linotype"/>
          <w:sz w:val="26"/>
          <w:szCs w:val="26"/>
          <w:lang w:val="en-GB"/>
        </w:rPr>
      </w:pPr>
      <w:r>
        <w:rPr>
          <w:rFonts w:ascii="Palatino Linotype" w:hAnsi="Palatino Linotype"/>
          <w:sz w:val="26"/>
          <w:szCs w:val="26"/>
          <w:lang w:val="en-GB"/>
        </w:rPr>
        <w:t>6.</w:t>
      </w:r>
      <w:r w:rsidR="00B00C7E">
        <w:rPr>
          <w:rFonts w:ascii="Palatino Linotype" w:hAnsi="Palatino Linotype"/>
          <w:sz w:val="26"/>
          <w:szCs w:val="26"/>
          <w:lang w:val="en-GB"/>
        </w:rPr>
        <w:t>1.2</w:t>
      </w:r>
      <w:r>
        <w:rPr>
          <w:rFonts w:ascii="Palatino Linotype" w:hAnsi="Palatino Linotype"/>
          <w:sz w:val="26"/>
          <w:szCs w:val="26"/>
          <w:lang w:val="en-GB"/>
        </w:rPr>
        <w:t xml:space="preserve"> Even if rare, some </w:t>
      </w:r>
      <w:r w:rsidRPr="0081413A">
        <w:rPr>
          <w:rFonts w:ascii="Palatino Linotype" w:hAnsi="Palatino Linotype"/>
          <w:sz w:val="26"/>
          <w:szCs w:val="26"/>
          <w:lang w:val="en-GB"/>
        </w:rPr>
        <w:t xml:space="preserve">lack of cooperation </w:t>
      </w:r>
      <w:r>
        <w:rPr>
          <w:rFonts w:ascii="Palatino Linotype" w:hAnsi="Palatino Linotype"/>
          <w:sz w:val="26"/>
          <w:szCs w:val="26"/>
          <w:lang w:val="en-GB"/>
        </w:rPr>
        <w:t xml:space="preserve">happened </w:t>
      </w:r>
      <w:r w:rsidRPr="0081413A">
        <w:rPr>
          <w:rFonts w:ascii="Palatino Linotype" w:hAnsi="Palatino Linotype"/>
          <w:sz w:val="26"/>
          <w:szCs w:val="26"/>
          <w:lang w:val="en-GB"/>
        </w:rPr>
        <w:t>by some Prefectures and Police Headquarters managing CPRs</w:t>
      </w:r>
      <w:r>
        <w:rPr>
          <w:rFonts w:ascii="Palatino Linotype" w:hAnsi="Palatino Linotype"/>
          <w:sz w:val="26"/>
          <w:szCs w:val="26"/>
          <w:lang w:val="en-GB"/>
        </w:rPr>
        <w:t>. C</w:t>
      </w:r>
      <w:r w:rsidRPr="0081413A">
        <w:rPr>
          <w:rFonts w:ascii="Palatino Linotype" w:hAnsi="Palatino Linotype"/>
          <w:sz w:val="26"/>
          <w:szCs w:val="26"/>
          <w:lang w:val="en-GB"/>
        </w:rPr>
        <w:t>oncerns deal with the failure to disclose to the GNPL certain data and documents about the functioning and organisation of the security service in CPRs, which constitute the standard subject of the institutional monitoring conducted by the GNPL.</w:t>
      </w:r>
    </w:p>
    <w:p w14:paraId="28AAB84B" w14:textId="3130247C" w:rsidR="00507092" w:rsidRDefault="00507092" w:rsidP="007B7EDC">
      <w:pPr>
        <w:tabs>
          <w:tab w:val="left" w:pos="567"/>
        </w:tabs>
        <w:spacing w:before="80" w:after="80" w:line="278" w:lineRule="auto"/>
        <w:ind w:right="284"/>
        <w:jc w:val="both"/>
        <w:rPr>
          <w:rFonts w:ascii="Palatino Linotype" w:hAnsi="Palatino Linotype"/>
          <w:sz w:val="26"/>
          <w:szCs w:val="26"/>
          <w:lang w:val="en-GB"/>
        </w:rPr>
      </w:pPr>
      <w:r>
        <w:rPr>
          <w:rFonts w:ascii="Palatino Linotype" w:hAnsi="Palatino Linotype"/>
          <w:sz w:val="26"/>
          <w:szCs w:val="26"/>
          <w:lang w:val="en-GB"/>
        </w:rPr>
        <w:t>6.</w:t>
      </w:r>
      <w:r w:rsidR="00B00C7E">
        <w:rPr>
          <w:rFonts w:ascii="Palatino Linotype" w:hAnsi="Palatino Linotype"/>
          <w:sz w:val="26"/>
          <w:szCs w:val="26"/>
          <w:lang w:val="en-GB"/>
        </w:rPr>
        <w:t>1.3</w:t>
      </w:r>
      <w:r>
        <w:rPr>
          <w:rFonts w:ascii="Palatino Linotype" w:hAnsi="Palatino Linotype"/>
          <w:sz w:val="26"/>
          <w:szCs w:val="26"/>
          <w:lang w:val="en-GB"/>
        </w:rPr>
        <w:t xml:space="preserve"> T</w:t>
      </w:r>
      <w:r w:rsidRPr="0081413A">
        <w:rPr>
          <w:rFonts w:ascii="Palatino Linotype" w:hAnsi="Palatino Linotype"/>
          <w:sz w:val="26"/>
          <w:szCs w:val="26"/>
          <w:lang w:val="en-GB"/>
        </w:rPr>
        <w:t xml:space="preserve">he establishment of independent monitoring mechanisms to safeguard fundamental rights during screening and asylum border procedures — </w:t>
      </w:r>
      <w:r>
        <w:rPr>
          <w:rFonts w:ascii="Palatino Linotype" w:hAnsi="Palatino Linotype"/>
          <w:sz w:val="26"/>
          <w:szCs w:val="26"/>
          <w:lang w:val="en-GB"/>
        </w:rPr>
        <w:t>is</w:t>
      </w:r>
      <w:r w:rsidRPr="0081413A">
        <w:rPr>
          <w:rFonts w:ascii="Palatino Linotype" w:hAnsi="Palatino Linotype"/>
          <w:sz w:val="26"/>
          <w:szCs w:val="26"/>
          <w:lang w:val="en-GB"/>
        </w:rPr>
        <w:t xml:space="preserve"> mandated by Article 10 of the Screening Regulation (EU) 2024/1356 and Article 43(4) of the Asylum Procedure Regulation (EU) 2024/1348</w:t>
      </w:r>
      <w:r>
        <w:rPr>
          <w:rFonts w:ascii="Palatino Linotype" w:hAnsi="Palatino Linotype"/>
          <w:sz w:val="26"/>
          <w:szCs w:val="26"/>
          <w:lang w:val="en-GB"/>
        </w:rPr>
        <w:t>.</w:t>
      </w:r>
      <w:r w:rsidRPr="0081413A">
        <w:rPr>
          <w:rFonts w:ascii="Palatino Linotype" w:hAnsi="Palatino Linotype"/>
          <w:b/>
          <w:bCs/>
          <w:sz w:val="26"/>
          <w:szCs w:val="26"/>
          <w:lang w:val="en-GB"/>
        </w:rPr>
        <w:t xml:space="preserve"> </w:t>
      </w:r>
      <w:r>
        <w:rPr>
          <w:rFonts w:ascii="Palatino Linotype" w:hAnsi="Palatino Linotype"/>
          <w:sz w:val="26"/>
          <w:szCs w:val="26"/>
          <w:lang w:val="en-GB"/>
        </w:rPr>
        <w:t>I</w:t>
      </w:r>
      <w:r w:rsidRPr="0081413A">
        <w:rPr>
          <w:rFonts w:ascii="Palatino Linotype" w:hAnsi="Palatino Linotype"/>
          <w:sz w:val="26"/>
          <w:szCs w:val="26"/>
          <w:lang w:val="en-GB"/>
        </w:rPr>
        <w:t>n November 2025</w:t>
      </w:r>
      <w:r>
        <w:rPr>
          <w:rFonts w:ascii="Palatino Linotype" w:hAnsi="Palatino Linotype"/>
          <w:sz w:val="26"/>
          <w:szCs w:val="26"/>
          <w:lang w:val="en-GB"/>
        </w:rPr>
        <w:t>,</w:t>
      </w:r>
      <w:r w:rsidRPr="0081413A">
        <w:rPr>
          <w:rFonts w:ascii="Palatino Linotype" w:hAnsi="Palatino Linotype"/>
          <w:sz w:val="26"/>
          <w:szCs w:val="26"/>
          <w:lang w:val="en-GB"/>
        </w:rPr>
        <w:t xml:space="preserve"> the GNPL sent a letter to the Ministry of the Interior highlighting some critical aspects referring to the need for the </w:t>
      </w:r>
      <w:r>
        <w:rPr>
          <w:rFonts w:ascii="Palatino Linotype" w:hAnsi="Palatino Linotype"/>
          <w:sz w:val="26"/>
          <w:szCs w:val="26"/>
          <w:lang w:val="en-GB"/>
        </w:rPr>
        <w:t xml:space="preserve">body proposed to act as monitoring </w:t>
      </w:r>
      <w:r w:rsidRPr="0081413A">
        <w:rPr>
          <w:rFonts w:ascii="Palatino Linotype" w:hAnsi="Palatino Linotype"/>
          <w:sz w:val="26"/>
          <w:szCs w:val="26"/>
          <w:lang w:val="en-GB"/>
        </w:rPr>
        <w:t xml:space="preserve">mechanism </w:t>
      </w:r>
      <w:r>
        <w:rPr>
          <w:rFonts w:ascii="Palatino Linotype" w:hAnsi="Palatino Linotype"/>
          <w:sz w:val="26"/>
          <w:szCs w:val="26"/>
          <w:lang w:val="en-GB"/>
        </w:rPr>
        <w:t>(</w:t>
      </w:r>
      <w:r w:rsidRPr="0081413A">
        <w:rPr>
          <w:rFonts w:ascii="Palatino Linotype" w:hAnsi="Palatino Linotype"/>
          <w:sz w:val="26"/>
          <w:szCs w:val="26"/>
          <w:lang w:val="en-GB"/>
        </w:rPr>
        <w:t>the Data Protection Authority</w:t>
      </w:r>
      <w:r>
        <w:rPr>
          <w:rFonts w:ascii="Palatino Linotype" w:hAnsi="Palatino Linotype"/>
          <w:sz w:val="26"/>
          <w:szCs w:val="26"/>
          <w:lang w:val="en-GB"/>
        </w:rPr>
        <w:t>)</w:t>
      </w:r>
      <w:r w:rsidRPr="0081413A">
        <w:rPr>
          <w:rFonts w:ascii="Palatino Linotype" w:hAnsi="Palatino Linotype"/>
          <w:sz w:val="26"/>
          <w:szCs w:val="26"/>
          <w:lang w:val="en-GB"/>
        </w:rPr>
        <w:t xml:space="preserve"> to guarantee coherence and complementarity </w:t>
      </w:r>
      <w:r w:rsidRPr="0081413A">
        <w:rPr>
          <w:rFonts w:ascii="Palatino Linotype" w:hAnsi="Palatino Linotype"/>
          <w:sz w:val="26"/>
          <w:szCs w:val="26"/>
          <w:lang w:val="en-GB"/>
        </w:rPr>
        <w:lastRenderedPageBreak/>
        <w:t xml:space="preserve">with the GNPL, being it the National Preventive Mechanism with monitoring prerogatives on places of deprivation of liberty for migrant persons and currently functioning as effective monitoring system under the Return Directive 115/2008. The letter originated from the peculiar situation occurred in which the GNPL was neither informed nor involved in the initial design process. Ultimately, the GNPL was only invited to join the operational group after the monitoring mechanism had already been designated to the Data Protection Authority. </w:t>
      </w:r>
    </w:p>
    <w:p w14:paraId="386CD024" w14:textId="222C7569" w:rsidR="00507092" w:rsidRPr="00D65986" w:rsidRDefault="00507092" w:rsidP="007B7EDC">
      <w:pPr>
        <w:spacing w:before="80" w:after="80" w:line="278" w:lineRule="auto"/>
        <w:ind w:right="284"/>
        <w:jc w:val="both"/>
        <w:rPr>
          <w:rFonts w:ascii="Palatino Linotype" w:hAnsi="Palatino Linotype"/>
          <w:sz w:val="26"/>
          <w:szCs w:val="26"/>
          <w:lang w:val="en-GB"/>
        </w:rPr>
      </w:pPr>
      <w:r>
        <w:rPr>
          <w:rFonts w:ascii="Palatino Linotype" w:hAnsi="Palatino Linotype"/>
          <w:sz w:val="26"/>
          <w:szCs w:val="26"/>
          <w:lang w:val="en-GB"/>
        </w:rPr>
        <w:t>6.</w:t>
      </w:r>
      <w:r w:rsidR="00B00C7E">
        <w:rPr>
          <w:rFonts w:ascii="Palatino Linotype" w:hAnsi="Palatino Linotype"/>
          <w:sz w:val="26"/>
          <w:szCs w:val="26"/>
          <w:lang w:val="en-GB"/>
        </w:rPr>
        <w:t>1.4</w:t>
      </w:r>
      <w:r>
        <w:rPr>
          <w:rFonts w:ascii="Palatino Linotype" w:hAnsi="Palatino Linotype"/>
          <w:sz w:val="26"/>
          <w:szCs w:val="26"/>
          <w:lang w:val="en-GB"/>
        </w:rPr>
        <w:t xml:space="preserve"> A still unresolved criticality is related to the i</w:t>
      </w:r>
      <w:r w:rsidRPr="009E6904">
        <w:rPr>
          <w:rFonts w:ascii="Palatino Linotype" w:hAnsi="Palatino Linotype"/>
          <w:sz w:val="26"/>
          <w:szCs w:val="26"/>
          <w:lang w:val="en-GB"/>
        </w:rPr>
        <w:t xml:space="preserve">mplementation of the recommendation contained in paragraph 29 (Safeguards in relation to the detention of migrants) of the Concluding observations </w:t>
      </w:r>
      <w:r>
        <w:rPr>
          <w:rFonts w:ascii="Palatino Linotype" w:hAnsi="Palatino Linotype"/>
          <w:sz w:val="26"/>
          <w:szCs w:val="26"/>
          <w:lang w:val="en-GB"/>
        </w:rPr>
        <w:t xml:space="preserve">(CED/C/ITA/CO/1) to the Convention </w:t>
      </w:r>
      <w:r w:rsidRPr="00D65986">
        <w:rPr>
          <w:rFonts w:ascii="Palatino Linotype" w:hAnsi="Palatino Linotype"/>
          <w:sz w:val="26"/>
          <w:szCs w:val="26"/>
          <w:lang w:val="en-GB"/>
        </w:rPr>
        <w:t>for the Protection of All Persons from Enforced Disappearance</w:t>
      </w:r>
      <w:r>
        <w:rPr>
          <w:rFonts w:ascii="Palatino Linotype" w:hAnsi="Palatino Linotype"/>
          <w:sz w:val="26"/>
          <w:szCs w:val="26"/>
          <w:lang w:val="en-GB"/>
        </w:rPr>
        <w:t xml:space="preserve"> (CED), 10 May 2019. On</w:t>
      </w:r>
      <w:r w:rsidRPr="009E6904">
        <w:rPr>
          <w:rFonts w:ascii="Palatino Linotype" w:hAnsi="Palatino Linotype"/>
          <w:sz w:val="26"/>
          <w:szCs w:val="26"/>
          <w:lang w:val="en-GB"/>
        </w:rPr>
        <w:t xml:space="preserve"> many occasions</w:t>
      </w:r>
      <w:r>
        <w:rPr>
          <w:rFonts w:ascii="Palatino Linotype" w:hAnsi="Palatino Linotype"/>
          <w:sz w:val="26"/>
          <w:szCs w:val="26"/>
          <w:lang w:val="en-GB"/>
        </w:rPr>
        <w:t xml:space="preserve">, the GNPL requested to the Italian Government to have the list of the ‘suitable </w:t>
      </w:r>
      <w:proofErr w:type="gramStart"/>
      <w:r>
        <w:rPr>
          <w:rFonts w:ascii="Palatino Linotype" w:hAnsi="Palatino Linotype"/>
          <w:sz w:val="26"/>
          <w:szCs w:val="26"/>
          <w:lang w:val="en-GB"/>
        </w:rPr>
        <w:t>premises’</w:t>
      </w:r>
      <w:proofErr w:type="gramEnd"/>
      <w:r>
        <w:rPr>
          <w:rFonts w:ascii="Palatino Linotype" w:hAnsi="Palatino Linotype"/>
          <w:sz w:val="26"/>
          <w:szCs w:val="26"/>
          <w:lang w:val="en-GB"/>
        </w:rPr>
        <w:t xml:space="preserve"> published </w:t>
      </w:r>
      <w:r w:rsidRPr="009E6904">
        <w:rPr>
          <w:rFonts w:ascii="Palatino Linotype" w:hAnsi="Palatino Linotype"/>
          <w:sz w:val="26"/>
          <w:szCs w:val="26"/>
          <w:lang w:val="en-GB"/>
        </w:rPr>
        <w:t>together with regulations set for their use</w:t>
      </w:r>
      <w:r>
        <w:rPr>
          <w:rFonts w:ascii="Palatino Linotype" w:hAnsi="Palatino Linotype"/>
          <w:sz w:val="26"/>
          <w:szCs w:val="26"/>
          <w:lang w:val="en-GB"/>
        </w:rPr>
        <w:t>.</w:t>
      </w:r>
    </w:p>
    <w:p w14:paraId="4179C613" w14:textId="444C0F27" w:rsidR="00507092" w:rsidRPr="0081413A" w:rsidRDefault="00507092" w:rsidP="007B7EDC">
      <w:pPr>
        <w:tabs>
          <w:tab w:val="left" w:pos="567"/>
        </w:tabs>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6.</w:t>
      </w:r>
      <w:r w:rsidR="00B00C7E">
        <w:rPr>
          <w:rFonts w:ascii="Palatino Linotype" w:hAnsi="Palatino Linotype"/>
          <w:sz w:val="26"/>
          <w:szCs w:val="26"/>
          <w:lang w:val="en-GB"/>
        </w:rPr>
        <w:t>1.5</w:t>
      </w:r>
      <w:r>
        <w:rPr>
          <w:rFonts w:ascii="Palatino Linotype" w:hAnsi="Palatino Linotype"/>
          <w:sz w:val="26"/>
          <w:szCs w:val="26"/>
          <w:lang w:val="en-GB"/>
        </w:rPr>
        <w:tab/>
      </w:r>
      <w:r w:rsidRPr="0081413A">
        <w:rPr>
          <w:rFonts w:ascii="Palatino Linotype" w:hAnsi="Palatino Linotype"/>
          <w:sz w:val="26"/>
          <w:szCs w:val="26"/>
          <w:lang w:val="en-GB"/>
        </w:rPr>
        <w:t>Finally, not all the reports containing recommendations received replies from the Ministry of Interior.</w:t>
      </w:r>
    </w:p>
    <w:p w14:paraId="793959F7" w14:textId="77777777" w:rsidR="00A9301B" w:rsidRDefault="00A9301B" w:rsidP="0042364E">
      <w:pPr>
        <w:spacing w:before="80" w:after="80" w:line="278" w:lineRule="auto"/>
        <w:ind w:right="282"/>
        <w:jc w:val="both"/>
        <w:rPr>
          <w:rFonts w:ascii="Palatino Linotype" w:hAnsi="Palatino Linotype"/>
          <w:b/>
          <w:bCs/>
          <w:sz w:val="26"/>
          <w:szCs w:val="26"/>
          <w:lang w:val="en-GB"/>
        </w:rPr>
      </w:pPr>
    </w:p>
    <w:p w14:paraId="501BB349" w14:textId="65714699" w:rsidR="00507092" w:rsidRDefault="00B00C7E" w:rsidP="007B7EDC">
      <w:pPr>
        <w:tabs>
          <w:tab w:val="left" w:pos="567"/>
        </w:tabs>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6.2</w:t>
      </w:r>
      <w:r w:rsidR="00507092" w:rsidRPr="00160F6A">
        <w:rPr>
          <w:rFonts w:ascii="Palatino Linotype" w:hAnsi="Palatino Linotype"/>
          <w:sz w:val="26"/>
          <w:szCs w:val="26"/>
          <w:lang w:val="en-GB"/>
        </w:rPr>
        <w:t xml:space="preserve"> </w:t>
      </w:r>
      <w:r>
        <w:rPr>
          <w:rFonts w:ascii="Palatino Linotype" w:hAnsi="Palatino Linotype"/>
          <w:sz w:val="26"/>
          <w:szCs w:val="26"/>
          <w:lang w:val="en-GB"/>
        </w:rPr>
        <w:tab/>
      </w:r>
      <w:r w:rsidR="00507092" w:rsidRPr="0081413A">
        <w:rPr>
          <w:rFonts w:ascii="Palatino Linotype" w:hAnsi="Palatino Linotype"/>
          <w:b/>
          <w:bCs/>
          <w:sz w:val="26"/>
          <w:szCs w:val="26"/>
          <w:lang w:val="en-GB"/>
        </w:rPr>
        <w:t xml:space="preserve">Deprivation of liberty and migrant persons – positive aspects. </w:t>
      </w:r>
      <w:r w:rsidR="00507092" w:rsidRPr="0081413A">
        <w:rPr>
          <w:rFonts w:ascii="Palatino Linotype" w:hAnsi="Palatino Linotype"/>
          <w:sz w:val="26"/>
          <w:szCs w:val="26"/>
          <w:lang w:val="en-GB"/>
        </w:rPr>
        <w:t xml:space="preserve"> </w:t>
      </w:r>
    </w:p>
    <w:p w14:paraId="51B9E656" w14:textId="5E4BD111" w:rsidR="00507092" w:rsidRPr="0081413A" w:rsidRDefault="00B00C7E" w:rsidP="007B7EDC">
      <w:pPr>
        <w:tabs>
          <w:tab w:val="left" w:pos="567"/>
        </w:tabs>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6</w:t>
      </w:r>
      <w:r w:rsidR="00507092">
        <w:rPr>
          <w:rFonts w:ascii="Palatino Linotype" w:hAnsi="Palatino Linotype"/>
          <w:sz w:val="26"/>
          <w:szCs w:val="26"/>
          <w:lang w:val="en-GB"/>
        </w:rPr>
        <w:t>.</w:t>
      </w:r>
      <w:r>
        <w:rPr>
          <w:rFonts w:ascii="Palatino Linotype" w:hAnsi="Palatino Linotype"/>
          <w:sz w:val="26"/>
          <w:szCs w:val="26"/>
          <w:lang w:val="en-GB"/>
        </w:rPr>
        <w:t>2.1</w:t>
      </w:r>
      <w:r w:rsidR="00507092">
        <w:rPr>
          <w:rFonts w:ascii="Palatino Linotype" w:hAnsi="Palatino Linotype"/>
          <w:sz w:val="26"/>
          <w:szCs w:val="26"/>
          <w:lang w:val="en-GB"/>
        </w:rPr>
        <w:t xml:space="preserve"> </w:t>
      </w:r>
      <w:r w:rsidR="00507092" w:rsidRPr="0081413A">
        <w:rPr>
          <w:rFonts w:ascii="Palatino Linotype" w:hAnsi="Palatino Linotype"/>
          <w:sz w:val="26"/>
          <w:szCs w:val="26"/>
          <w:lang w:val="en-GB"/>
        </w:rPr>
        <w:t xml:space="preserve">During the drafting process of the new CPR Regulation, the GNPL was repeatedly invited to provide its proposals on the draft text. </w:t>
      </w:r>
      <w:proofErr w:type="gramStart"/>
      <w:r w:rsidR="00507092" w:rsidRPr="0081413A">
        <w:rPr>
          <w:rFonts w:ascii="Palatino Linotype" w:hAnsi="Palatino Linotype"/>
          <w:sz w:val="26"/>
          <w:szCs w:val="26"/>
          <w:lang w:val="en-GB"/>
        </w:rPr>
        <w:t>The majority of</w:t>
      </w:r>
      <w:proofErr w:type="gramEnd"/>
      <w:r w:rsidR="00507092" w:rsidRPr="0081413A">
        <w:rPr>
          <w:rFonts w:ascii="Palatino Linotype" w:hAnsi="Palatino Linotype"/>
          <w:sz w:val="26"/>
          <w:szCs w:val="26"/>
          <w:lang w:val="en-GB"/>
        </w:rPr>
        <w:t xml:space="preserve"> the considerations it expressed were </w:t>
      </w:r>
      <w:proofErr w:type="gramStart"/>
      <w:r w:rsidR="00507092" w:rsidRPr="0081413A">
        <w:rPr>
          <w:rFonts w:ascii="Palatino Linotype" w:hAnsi="Palatino Linotype"/>
          <w:sz w:val="26"/>
          <w:szCs w:val="26"/>
          <w:lang w:val="en-GB"/>
        </w:rPr>
        <w:t>taken into account</w:t>
      </w:r>
      <w:proofErr w:type="gramEnd"/>
      <w:r w:rsidR="00507092" w:rsidRPr="0081413A">
        <w:rPr>
          <w:rFonts w:ascii="Palatino Linotype" w:hAnsi="Palatino Linotype"/>
          <w:sz w:val="26"/>
          <w:szCs w:val="26"/>
          <w:lang w:val="en-GB"/>
        </w:rPr>
        <w:t xml:space="preserve">, and the approved document incorporates many of its observations and recommendations. </w:t>
      </w:r>
    </w:p>
    <w:p w14:paraId="63C663E1" w14:textId="77777777" w:rsidR="00507092" w:rsidRDefault="00507092" w:rsidP="007B7EDC">
      <w:pPr>
        <w:spacing w:before="80" w:after="80" w:line="278" w:lineRule="auto"/>
        <w:ind w:right="282"/>
        <w:jc w:val="both"/>
        <w:rPr>
          <w:rFonts w:ascii="Palatino Linotype" w:hAnsi="Palatino Linotype"/>
          <w:sz w:val="26"/>
          <w:szCs w:val="26"/>
          <w:lang w:val="en-GB"/>
        </w:rPr>
      </w:pPr>
      <w:r w:rsidRPr="0081413A">
        <w:rPr>
          <w:rFonts w:ascii="Palatino Linotype" w:hAnsi="Palatino Linotype"/>
          <w:sz w:val="26"/>
          <w:szCs w:val="26"/>
          <w:lang w:val="en-GB"/>
        </w:rPr>
        <w:t>For instance, the provision of specific procedures for identifying and addressing vulnerabilities; the inclusion of medical certifications about the compatibility to detention and reports from the  socio-medical services in the CPR in the files sent to the judiciary Authority; the recording of critical incidents; a</w:t>
      </w:r>
      <w:r>
        <w:rPr>
          <w:rFonts w:ascii="Palatino Linotype" w:hAnsi="Palatino Linotype"/>
          <w:sz w:val="26"/>
          <w:szCs w:val="26"/>
          <w:lang w:val="en-GB"/>
        </w:rPr>
        <w:t xml:space="preserve">n appropriate </w:t>
      </w:r>
      <w:r w:rsidRPr="0081413A">
        <w:rPr>
          <w:rFonts w:ascii="Palatino Linotype" w:hAnsi="Palatino Linotype"/>
          <w:sz w:val="26"/>
          <w:szCs w:val="26"/>
          <w:lang w:val="en-GB"/>
        </w:rPr>
        <w:t>regulation of medical isolation; and the pharmacological coverage during return operations, in accordance with medical prescriptions.</w:t>
      </w:r>
    </w:p>
    <w:p w14:paraId="4CF2AB7E" w14:textId="77777777" w:rsidR="00507092" w:rsidRPr="0081413A" w:rsidRDefault="00507092" w:rsidP="007B7EDC">
      <w:pPr>
        <w:spacing w:before="80" w:after="80" w:line="278" w:lineRule="auto"/>
        <w:ind w:right="282"/>
        <w:jc w:val="both"/>
        <w:rPr>
          <w:rFonts w:ascii="Palatino Linotype" w:hAnsi="Palatino Linotype"/>
          <w:sz w:val="26"/>
          <w:szCs w:val="26"/>
          <w:lang w:val="en-GB"/>
        </w:rPr>
      </w:pPr>
      <w:r w:rsidRPr="0081413A">
        <w:rPr>
          <w:rFonts w:ascii="Palatino Linotype" w:hAnsi="Palatino Linotype"/>
          <w:sz w:val="26"/>
          <w:szCs w:val="26"/>
          <w:lang w:val="en-GB"/>
        </w:rPr>
        <w:lastRenderedPageBreak/>
        <w:t xml:space="preserve">In addition, such Regulation provides that: «Upon timely notification to the Prefecture, access [to CPRs] shall be granted to members or staff of the Office of the National Guarantor for the Rights of Persons Deprived of Liberty, as well as monitors specifically appointed by the National Guarantor in the exercise of the functions referred to in Article 8, paragraph 6 of Directive 2008/115/EC of the European Parliament and of the Council of 16 December 2008». Therefore, the legal framework now explicitly recognises the prerogative of the GNPL's monitors to access pre-removal detention Centres involved in forced return operations. </w:t>
      </w:r>
    </w:p>
    <w:p w14:paraId="14A9EB2D" w14:textId="15243CCA" w:rsidR="00507092" w:rsidRPr="0081413A" w:rsidRDefault="00B00C7E" w:rsidP="007B7EDC">
      <w:pPr>
        <w:tabs>
          <w:tab w:val="left" w:pos="567"/>
        </w:tabs>
        <w:spacing w:before="80" w:after="80" w:line="278" w:lineRule="auto"/>
        <w:ind w:right="284"/>
        <w:jc w:val="both"/>
        <w:rPr>
          <w:rFonts w:ascii="Palatino Linotype" w:hAnsi="Palatino Linotype"/>
          <w:sz w:val="26"/>
          <w:szCs w:val="26"/>
          <w:lang w:val="en-GB"/>
        </w:rPr>
      </w:pPr>
      <w:r>
        <w:rPr>
          <w:rFonts w:ascii="Palatino Linotype" w:hAnsi="Palatino Linotype"/>
          <w:sz w:val="26"/>
          <w:szCs w:val="26"/>
          <w:lang w:val="en-GB"/>
        </w:rPr>
        <w:t>6</w:t>
      </w:r>
      <w:r w:rsidR="00507092">
        <w:rPr>
          <w:rFonts w:ascii="Palatino Linotype" w:hAnsi="Palatino Linotype"/>
          <w:sz w:val="26"/>
          <w:szCs w:val="26"/>
          <w:lang w:val="en-GB"/>
        </w:rPr>
        <w:t>.2</w:t>
      </w:r>
      <w:r>
        <w:rPr>
          <w:rFonts w:ascii="Palatino Linotype" w:hAnsi="Palatino Linotype"/>
          <w:sz w:val="26"/>
          <w:szCs w:val="26"/>
          <w:lang w:val="en-GB"/>
        </w:rPr>
        <w:t>.2</w:t>
      </w:r>
      <w:r w:rsidR="00507092">
        <w:rPr>
          <w:rFonts w:ascii="Palatino Linotype" w:hAnsi="Palatino Linotype"/>
          <w:sz w:val="26"/>
          <w:szCs w:val="26"/>
          <w:lang w:val="en-GB"/>
        </w:rPr>
        <w:tab/>
      </w:r>
      <w:r w:rsidR="00507092" w:rsidRPr="0081413A">
        <w:rPr>
          <w:rFonts w:ascii="Palatino Linotype" w:hAnsi="Palatino Linotype"/>
          <w:sz w:val="26"/>
          <w:szCs w:val="26"/>
          <w:lang w:val="en-GB"/>
        </w:rPr>
        <w:t xml:space="preserve">Furthermore, mention must be made of the fact that, at the initiative of the Ministry of the Interior, the process for adopting the National Strategy for Integrated Border Management and subsequent implementing acts was launched in 2024. This process aligns with the multiannual strategic policy cycle for European Integrated Border Management established by the European Commission (Communication of March 14, 2023) and defined by the Frontex Agency (Decision of September 20, 2023), pursuant to Articles 8 and 9 of Regulation (EU) 2019/1896. For the development of the National Strategy for Integrated Border Management, a specific Inter-ministerial Committee was established and a dedicated Technical Committee for the drafting of documents related to integrated border management (CTR) became effective in the same year.  </w:t>
      </w:r>
    </w:p>
    <w:p w14:paraId="55AFCE20" w14:textId="77777777" w:rsidR="00507092" w:rsidRPr="0081413A" w:rsidRDefault="00507092" w:rsidP="007B7EDC">
      <w:pPr>
        <w:spacing w:before="80" w:after="80" w:line="278" w:lineRule="auto"/>
        <w:ind w:right="282"/>
        <w:jc w:val="both"/>
        <w:rPr>
          <w:rFonts w:ascii="Palatino Linotype" w:hAnsi="Palatino Linotype"/>
          <w:sz w:val="26"/>
          <w:szCs w:val="26"/>
          <w:lang w:val="en-GB"/>
        </w:rPr>
      </w:pPr>
      <w:r w:rsidRPr="0081413A">
        <w:rPr>
          <w:rFonts w:ascii="Palatino Linotype" w:hAnsi="Palatino Linotype"/>
          <w:sz w:val="26"/>
          <w:szCs w:val="26"/>
          <w:lang w:val="en-GB"/>
        </w:rPr>
        <w:t>The GNPL was designated as a member of the Technical Committee and in this capacity, it participated in the proceedings that led to the adoption of the final text of the National Strategy and the related Action Plan in December 2024.</w:t>
      </w:r>
    </w:p>
    <w:p w14:paraId="548384FB" w14:textId="288A6EF9" w:rsidR="00507092" w:rsidRPr="0081413A" w:rsidRDefault="00B00C7E" w:rsidP="007B7EDC">
      <w:pPr>
        <w:tabs>
          <w:tab w:val="left" w:pos="567"/>
        </w:tabs>
        <w:spacing w:before="80" w:after="80" w:line="278" w:lineRule="auto"/>
        <w:ind w:right="284"/>
        <w:jc w:val="both"/>
        <w:rPr>
          <w:rFonts w:ascii="Palatino Linotype" w:hAnsi="Palatino Linotype"/>
          <w:sz w:val="26"/>
          <w:szCs w:val="26"/>
          <w:lang w:val="en-GB"/>
        </w:rPr>
      </w:pPr>
      <w:r w:rsidRPr="00B00C7E">
        <w:rPr>
          <w:rFonts w:ascii="Palatino Linotype" w:hAnsi="Palatino Linotype"/>
          <w:sz w:val="26"/>
          <w:szCs w:val="26"/>
          <w:lang w:val="en-GB"/>
        </w:rPr>
        <w:t>6.2.</w:t>
      </w:r>
      <w:r>
        <w:rPr>
          <w:rFonts w:ascii="Palatino Linotype" w:hAnsi="Palatino Linotype"/>
          <w:sz w:val="26"/>
          <w:szCs w:val="26"/>
          <w:lang w:val="en-GB"/>
        </w:rPr>
        <w:t>3</w:t>
      </w:r>
      <w:r w:rsidR="00507092">
        <w:rPr>
          <w:rFonts w:ascii="Palatino Linotype" w:hAnsi="Palatino Linotype"/>
          <w:sz w:val="26"/>
          <w:szCs w:val="26"/>
          <w:lang w:val="en-GB"/>
        </w:rPr>
        <w:tab/>
        <w:t>A</w:t>
      </w:r>
      <w:r w:rsidR="00507092" w:rsidRPr="0081413A">
        <w:rPr>
          <w:rFonts w:ascii="Palatino Linotype" w:hAnsi="Palatino Linotype"/>
          <w:sz w:val="26"/>
          <w:szCs w:val="26"/>
          <w:lang w:val="en-GB"/>
        </w:rPr>
        <w:t xml:space="preserve"> particularly significant positive aspect concerns the GNPL’s participation in the training course</w:t>
      </w:r>
      <w:r w:rsidR="00507092">
        <w:rPr>
          <w:rFonts w:ascii="Palatino Linotype" w:hAnsi="Palatino Linotype"/>
          <w:sz w:val="26"/>
          <w:szCs w:val="26"/>
          <w:lang w:val="en-GB"/>
        </w:rPr>
        <w:t>s</w:t>
      </w:r>
      <w:r w:rsidR="00507092" w:rsidRPr="0081413A">
        <w:rPr>
          <w:rFonts w:ascii="Palatino Linotype" w:hAnsi="Palatino Linotype"/>
          <w:sz w:val="26"/>
          <w:szCs w:val="26"/>
          <w:lang w:val="en-GB"/>
        </w:rPr>
        <w:t xml:space="preserve"> for international escorts assigned to forced return operations, organised annually by the Immigration and Border Control Office of the Ministry of the Interior. This Office requests the GNPL to appoint two officials to inform escort officers regarding the </w:t>
      </w:r>
      <w:r w:rsidR="00507092" w:rsidRPr="0081413A">
        <w:rPr>
          <w:rFonts w:ascii="Palatino Linotype" w:hAnsi="Palatino Linotype"/>
          <w:sz w:val="26"/>
          <w:szCs w:val="26"/>
          <w:lang w:val="en-GB"/>
        </w:rPr>
        <w:lastRenderedPageBreak/>
        <w:t>prerogatives and mandate of the GNPL, as well as the rights of persons subject to compulsory expulsion orders.</w:t>
      </w:r>
    </w:p>
    <w:p w14:paraId="5491657A" w14:textId="77777777" w:rsidR="00507092" w:rsidRPr="0081413A" w:rsidRDefault="00507092" w:rsidP="007B7EDC">
      <w:pPr>
        <w:spacing w:before="80" w:after="80" w:line="278" w:lineRule="auto"/>
        <w:ind w:right="282"/>
        <w:jc w:val="both"/>
        <w:rPr>
          <w:rFonts w:ascii="Palatino Linotype" w:hAnsi="Palatino Linotype"/>
          <w:b/>
          <w:bCs/>
          <w:sz w:val="26"/>
          <w:szCs w:val="26"/>
          <w:lang w:val="en-GB"/>
        </w:rPr>
      </w:pPr>
    </w:p>
    <w:p w14:paraId="68EEE06B" w14:textId="6790A75F" w:rsidR="00507092" w:rsidRPr="0081413A" w:rsidRDefault="00B00C7E" w:rsidP="007B7EDC">
      <w:pPr>
        <w:tabs>
          <w:tab w:val="left" w:pos="567"/>
        </w:tabs>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6.3</w:t>
      </w:r>
      <w:r w:rsidR="00507092">
        <w:rPr>
          <w:rFonts w:ascii="Palatino Linotype" w:hAnsi="Palatino Linotype"/>
          <w:b/>
          <w:bCs/>
          <w:sz w:val="26"/>
          <w:szCs w:val="26"/>
          <w:lang w:val="en-GB"/>
        </w:rPr>
        <w:t xml:space="preserve"> </w:t>
      </w:r>
      <w:r>
        <w:rPr>
          <w:rFonts w:ascii="Palatino Linotype" w:hAnsi="Palatino Linotype"/>
          <w:b/>
          <w:bCs/>
          <w:sz w:val="26"/>
          <w:szCs w:val="26"/>
          <w:lang w:val="en-GB"/>
        </w:rPr>
        <w:tab/>
      </w:r>
      <w:r w:rsidR="00507092" w:rsidRPr="0081413A">
        <w:rPr>
          <w:rFonts w:ascii="Palatino Linotype" w:hAnsi="Palatino Linotype"/>
          <w:b/>
          <w:bCs/>
          <w:sz w:val="26"/>
          <w:szCs w:val="26"/>
          <w:lang w:val="en-GB"/>
        </w:rPr>
        <w:t xml:space="preserve">Deprivation of liberty in criminal detention – criticalities. </w:t>
      </w:r>
      <w:r w:rsidR="00507092" w:rsidRPr="0081413A">
        <w:rPr>
          <w:rFonts w:ascii="Palatino Linotype" w:hAnsi="Palatino Linotype"/>
          <w:sz w:val="26"/>
          <w:szCs w:val="26"/>
          <w:lang w:val="en-GB"/>
        </w:rPr>
        <w:t>On 16 March 2026, the prison Administration informed the GNPL that the so called ‘</w:t>
      </w:r>
      <w:proofErr w:type="spellStart"/>
      <w:r w:rsidR="00507092" w:rsidRPr="0081413A">
        <w:rPr>
          <w:rFonts w:ascii="Palatino Linotype" w:hAnsi="Palatino Linotype"/>
          <w:sz w:val="26"/>
          <w:szCs w:val="26"/>
          <w:lang w:val="en-GB"/>
        </w:rPr>
        <w:t>Applicativo</w:t>
      </w:r>
      <w:proofErr w:type="spellEnd"/>
      <w:r w:rsidR="00507092" w:rsidRPr="0081413A">
        <w:rPr>
          <w:rFonts w:ascii="Palatino Linotype" w:hAnsi="Palatino Linotype"/>
          <w:sz w:val="26"/>
          <w:szCs w:val="26"/>
          <w:lang w:val="en-GB"/>
        </w:rPr>
        <w:t xml:space="preserve"> 15 – ASD’ (application for determining the availability of prison cell space per person in a prison establishment, the overcrowding rate and the allocation of prisoners in wards) will be suspended for a certain period due to the need to update and boost some of its operational and technical features. The GNPL immediately reacted to the Head of the Prison Administration highlighting that the application has become a unique instrument to verify the conformity of detention spaces to the ECtHR’s jurisprudence that has been recognised as a best practice by supranational bodies and most welcome, as well as the establishment of the GNPL. Moreover, the service suspension would have an enormous impact on the GNPL’s periodical studies on deaths in detention (especially, prisoners’ suicidal attempts and self-harming) and the Observatory on the respect of the adult prisoner’s dignity</w:t>
      </w:r>
      <w:r w:rsidR="00507092" w:rsidRPr="0081413A">
        <w:rPr>
          <w:rStyle w:val="Rimandonotaapidipagina"/>
          <w:rFonts w:ascii="Palatino Linotype" w:hAnsi="Palatino Linotype"/>
          <w:sz w:val="26"/>
          <w:szCs w:val="26"/>
          <w:lang w:val="en-GB"/>
        </w:rPr>
        <w:footnoteReference w:id="8"/>
      </w:r>
      <w:r w:rsidR="00507092" w:rsidRPr="0081413A">
        <w:rPr>
          <w:rFonts w:ascii="Palatino Linotype" w:hAnsi="Palatino Linotype"/>
          <w:sz w:val="26"/>
          <w:szCs w:val="26"/>
          <w:lang w:val="en-GB"/>
        </w:rPr>
        <w:t>. In the letter, the GNPL expressed its concerns and worries about the possible long duration of the suspension and requested to have access to the application also during the renovation activities have started.</w:t>
      </w:r>
      <w:r w:rsidR="00507092">
        <w:rPr>
          <w:rFonts w:ascii="Palatino Linotype" w:hAnsi="Palatino Linotype"/>
          <w:sz w:val="26"/>
          <w:szCs w:val="26"/>
          <w:lang w:val="en-GB"/>
        </w:rPr>
        <w:t xml:space="preserve"> A more appropriate way to update the tool has been announced by the Head of the Department.</w:t>
      </w:r>
      <w:r w:rsidR="00507092" w:rsidRPr="0081413A">
        <w:rPr>
          <w:rFonts w:ascii="Palatino Linotype" w:hAnsi="Palatino Linotype"/>
          <w:sz w:val="26"/>
          <w:szCs w:val="26"/>
          <w:lang w:val="en-GB"/>
        </w:rPr>
        <w:t xml:space="preserve"> </w:t>
      </w:r>
    </w:p>
    <w:p w14:paraId="2F2466AD" w14:textId="4F71123F" w:rsidR="00507092" w:rsidRDefault="00B00C7E" w:rsidP="007B7EDC">
      <w:pPr>
        <w:tabs>
          <w:tab w:val="left" w:pos="567"/>
        </w:tabs>
        <w:spacing w:before="80" w:after="80" w:line="278" w:lineRule="auto"/>
        <w:ind w:right="284"/>
        <w:jc w:val="both"/>
        <w:rPr>
          <w:rFonts w:ascii="Palatino Linotype" w:hAnsi="Palatino Linotype"/>
          <w:sz w:val="26"/>
          <w:szCs w:val="26"/>
          <w:lang w:val="en-GB"/>
        </w:rPr>
      </w:pPr>
      <w:r>
        <w:rPr>
          <w:rFonts w:ascii="Palatino Linotype" w:hAnsi="Palatino Linotype"/>
          <w:sz w:val="26"/>
          <w:szCs w:val="26"/>
          <w:lang w:val="en-GB"/>
        </w:rPr>
        <w:t>6.4</w:t>
      </w:r>
      <w:r w:rsidR="00507092" w:rsidRPr="00160F6A">
        <w:rPr>
          <w:rFonts w:ascii="Palatino Linotype" w:hAnsi="Palatino Linotype"/>
          <w:sz w:val="26"/>
          <w:szCs w:val="26"/>
          <w:lang w:val="en-GB"/>
        </w:rPr>
        <w:t xml:space="preserve"> </w:t>
      </w:r>
      <w:r w:rsidR="00507092">
        <w:rPr>
          <w:rFonts w:ascii="Palatino Linotype" w:hAnsi="Palatino Linotype"/>
          <w:b/>
          <w:bCs/>
          <w:sz w:val="26"/>
          <w:szCs w:val="26"/>
          <w:lang w:val="en-GB"/>
        </w:rPr>
        <w:tab/>
      </w:r>
      <w:r w:rsidR="00507092" w:rsidRPr="0081413A">
        <w:rPr>
          <w:rFonts w:ascii="Palatino Linotype" w:hAnsi="Palatino Linotype"/>
          <w:b/>
          <w:bCs/>
          <w:sz w:val="26"/>
          <w:szCs w:val="26"/>
          <w:lang w:val="en-GB"/>
        </w:rPr>
        <w:t>Deprivation of liberty in criminal detention – positive aspects</w:t>
      </w:r>
      <w:r w:rsidR="00507092" w:rsidRPr="0081413A">
        <w:rPr>
          <w:rFonts w:ascii="Palatino Linotype" w:hAnsi="Palatino Linotype"/>
          <w:sz w:val="26"/>
          <w:szCs w:val="26"/>
          <w:lang w:val="en-GB"/>
        </w:rPr>
        <w:t xml:space="preserve">. </w:t>
      </w:r>
    </w:p>
    <w:p w14:paraId="2283D3B7" w14:textId="3DDDFF29" w:rsidR="00507092" w:rsidRPr="0081413A" w:rsidRDefault="009B43CF" w:rsidP="007B7EDC">
      <w:pPr>
        <w:tabs>
          <w:tab w:val="left" w:pos="567"/>
        </w:tabs>
        <w:spacing w:before="80" w:after="80" w:line="278" w:lineRule="auto"/>
        <w:ind w:right="284"/>
        <w:jc w:val="both"/>
        <w:rPr>
          <w:rFonts w:ascii="Palatino Linotype" w:hAnsi="Palatino Linotype"/>
          <w:sz w:val="26"/>
          <w:szCs w:val="26"/>
          <w:lang w:val="en-GB"/>
        </w:rPr>
      </w:pPr>
      <w:r>
        <w:rPr>
          <w:rFonts w:ascii="Palatino Linotype" w:hAnsi="Palatino Linotype"/>
          <w:sz w:val="26"/>
          <w:szCs w:val="26"/>
          <w:lang w:val="en-GB"/>
        </w:rPr>
        <w:t>6.4.</w:t>
      </w:r>
      <w:r w:rsidR="00507092">
        <w:rPr>
          <w:rFonts w:ascii="Palatino Linotype" w:hAnsi="Palatino Linotype"/>
          <w:sz w:val="26"/>
          <w:szCs w:val="26"/>
          <w:lang w:val="en-GB"/>
        </w:rPr>
        <w:t xml:space="preserve">1 </w:t>
      </w:r>
      <w:r w:rsidR="00507092" w:rsidRPr="0081413A">
        <w:rPr>
          <w:rFonts w:ascii="Palatino Linotype" w:hAnsi="Palatino Linotype"/>
          <w:sz w:val="26"/>
          <w:szCs w:val="26"/>
          <w:lang w:val="en-GB"/>
        </w:rPr>
        <w:t>In March 2024, the GNPL and the National Council for Economics and Labour (CNEL) signed a M</w:t>
      </w:r>
      <w:r w:rsidR="00507092">
        <w:rPr>
          <w:rFonts w:ascii="Palatino Linotype" w:hAnsi="Palatino Linotype"/>
          <w:sz w:val="26"/>
          <w:szCs w:val="26"/>
          <w:lang w:val="en-GB"/>
        </w:rPr>
        <w:t>emorandum</w:t>
      </w:r>
      <w:r w:rsidR="00507092" w:rsidRPr="0081413A">
        <w:rPr>
          <w:rFonts w:ascii="Palatino Linotype" w:hAnsi="Palatino Linotype"/>
          <w:sz w:val="26"/>
          <w:szCs w:val="26"/>
          <w:lang w:val="en-GB"/>
        </w:rPr>
        <w:t xml:space="preserve"> to improve job opportunities for prisoners. The MoU is grounded on the parties’ acknowledgement for the need to develop working models that tangibly foster social reintegration and are compliant with the norms and </w:t>
      </w:r>
      <w:r w:rsidR="00507092" w:rsidRPr="0081413A">
        <w:rPr>
          <w:rFonts w:ascii="Palatino Linotype" w:hAnsi="Palatino Linotype"/>
          <w:sz w:val="26"/>
          <w:szCs w:val="26"/>
          <w:lang w:val="en-GB"/>
        </w:rPr>
        <w:lastRenderedPageBreak/>
        <w:t xml:space="preserve">principles established by international Conventions on the promotion and protection of human rights and dignity ratified by Italy. </w:t>
      </w:r>
    </w:p>
    <w:p w14:paraId="365DD74B" w14:textId="612CCDE9" w:rsidR="00507092" w:rsidRPr="0081413A" w:rsidRDefault="009B43CF" w:rsidP="007B7EDC">
      <w:pPr>
        <w:tabs>
          <w:tab w:val="left" w:pos="567"/>
        </w:tabs>
        <w:spacing w:before="80" w:after="80" w:line="278" w:lineRule="auto"/>
        <w:ind w:right="284"/>
        <w:jc w:val="both"/>
        <w:rPr>
          <w:rFonts w:ascii="Palatino Linotype" w:hAnsi="Palatino Linotype"/>
          <w:sz w:val="26"/>
          <w:szCs w:val="26"/>
          <w:lang w:val="en-GB"/>
        </w:rPr>
      </w:pPr>
      <w:r w:rsidRPr="009B43CF">
        <w:rPr>
          <w:rFonts w:ascii="Palatino Linotype" w:hAnsi="Palatino Linotype" w:cstheme="minorHAnsi"/>
          <w:sz w:val="26"/>
          <w:szCs w:val="26"/>
          <w:lang w:val="en-GB"/>
        </w:rPr>
        <w:t>6.4.</w:t>
      </w:r>
      <w:r>
        <w:rPr>
          <w:rFonts w:ascii="Palatino Linotype" w:hAnsi="Palatino Linotype" w:cstheme="minorHAnsi"/>
          <w:sz w:val="26"/>
          <w:szCs w:val="26"/>
          <w:lang w:val="en-GB"/>
        </w:rPr>
        <w:t>2</w:t>
      </w:r>
      <w:r w:rsidRPr="009B43CF">
        <w:rPr>
          <w:rFonts w:ascii="Palatino Linotype" w:hAnsi="Palatino Linotype" w:cstheme="minorHAnsi"/>
          <w:sz w:val="26"/>
          <w:szCs w:val="26"/>
          <w:lang w:val="en-GB"/>
        </w:rPr>
        <w:t xml:space="preserve"> </w:t>
      </w:r>
      <w:r w:rsidR="00507092" w:rsidRPr="0081413A">
        <w:rPr>
          <w:rFonts w:ascii="Palatino Linotype" w:hAnsi="Palatino Linotype" w:cstheme="minorHAnsi"/>
          <w:sz w:val="26"/>
          <w:szCs w:val="26"/>
          <w:lang w:val="en-GB"/>
        </w:rPr>
        <w:t>Following a Constitutional Court ruling, the Italian prison administration created a group of experts, in early 2024, to figure out how to allow prisoners to have conjugal visits that may last longer than family visits and with the possibility to have sexual intercourses in a private room.  The GNPL was called to participate in the group</w:t>
      </w:r>
      <w:r w:rsidR="00507092">
        <w:rPr>
          <w:rStyle w:val="Rimandonotaapidipagina"/>
          <w:rFonts w:ascii="Palatino Linotype" w:hAnsi="Palatino Linotype" w:cstheme="minorHAnsi"/>
          <w:sz w:val="26"/>
          <w:szCs w:val="26"/>
          <w:lang w:val="en-GB"/>
        </w:rPr>
        <w:footnoteReference w:id="9"/>
      </w:r>
      <w:r w:rsidR="00507092" w:rsidRPr="0081413A">
        <w:rPr>
          <w:rFonts w:ascii="Palatino Linotype" w:hAnsi="Palatino Linotype" w:cstheme="minorHAnsi"/>
          <w:sz w:val="26"/>
          <w:szCs w:val="26"/>
          <w:lang w:val="en-GB"/>
        </w:rPr>
        <w:t xml:space="preserve">. </w:t>
      </w:r>
    </w:p>
    <w:p w14:paraId="49191A7C" w14:textId="77777777" w:rsidR="00507092" w:rsidRPr="0081413A" w:rsidRDefault="00507092" w:rsidP="007B7EDC">
      <w:pPr>
        <w:spacing w:before="80" w:after="80" w:line="278" w:lineRule="auto"/>
        <w:ind w:right="282"/>
        <w:jc w:val="both"/>
        <w:rPr>
          <w:rFonts w:ascii="Palatino Linotype" w:hAnsi="Palatino Linotype"/>
          <w:b/>
          <w:bCs/>
          <w:sz w:val="26"/>
          <w:szCs w:val="26"/>
          <w:lang w:val="en-GB"/>
        </w:rPr>
      </w:pPr>
    </w:p>
    <w:p w14:paraId="6319D066" w14:textId="78D244C5" w:rsidR="00507092" w:rsidRPr="0081413A" w:rsidRDefault="009B43CF" w:rsidP="007B7EDC">
      <w:pPr>
        <w:tabs>
          <w:tab w:val="left" w:pos="567"/>
        </w:tabs>
        <w:spacing w:before="80" w:after="80" w:line="278" w:lineRule="auto"/>
        <w:ind w:right="282"/>
        <w:jc w:val="both"/>
        <w:rPr>
          <w:rFonts w:ascii="Palatino Linotype" w:hAnsi="Palatino Linotype"/>
          <w:sz w:val="26"/>
          <w:szCs w:val="26"/>
          <w:lang w:val="en-GB"/>
        </w:rPr>
      </w:pPr>
      <w:r>
        <w:rPr>
          <w:rFonts w:ascii="Palatino Linotype" w:hAnsi="Palatino Linotype"/>
          <w:b/>
          <w:bCs/>
          <w:sz w:val="26"/>
          <w:szCs w:val="26"/>
          <w:lang w:val="en-GB"/>
        </w:rPr>
        <w:t>6.5</w:t>
      </w:r>
      <w:r w:rsidR="00507092">
        <w:rPr>
          <w:rFonts w:ascii="Palatino Linotype" w:hAnsi="Palatino Linotype"/>
          <w:b/>
          <w:bCs/>
          <w:sz w:val="26"/>
          <w:szCs w:val="26"/>
          <w:lang w:val="en-GB"/>
        </w:rPr>
        <w:t xml:space="preserve"> </w:t>
      </w:r>
      <w:r w:rsidR="00A9301B">
        <w:rPr>
          <w:rFonts w:ascii="Palatino Linotype" w:hAnsi="Palatino Linotype"/>
          <w:b/>
          <w:bCs/>
          <w:sz w:val="26"/>
          <w:szCs w:val="26"/>
          <w:lang w:val="en-GB"/>
        </w:rPr>
        <w:tab/>
      </w:r>
      <w:r w:rsidR="00507092" w:rsidRPr="0081413A">
        <w:rPr>
          <w:rFonts w:ascii="Palatino Linotype" w:hAnsi="Palatino Linotype"/>
          <w:b/>
          <w:bCs/>
          <w:sz w:val="26"/>
          <w:szCs w:val="26"/>
          <w:lang w:val="en-GB"/>
        </w:rPr>
        <w:t>Deprivation of liberty in police detention – criticalities</w:t>
      </w:r>
      <w:r w:rsidR="00507092" w:rsidRPr="0081413A">
        <w:rPr>
          <w:rFonts w:ascii="Palatino Linotype" w:hAnsi="Palatino Linotype"/>
          <w:sz w:val="26"/>
          <w:szCs w:val="26"/>
          <w:lang w:val="en-GB"/>
        </w:rPr>
        <w:t>. Further efforts are required to the Authorities concerned to ensure that comprehensive information regarding the GNPL’s mandate and functions is disseminated across all police training programmes and territorial departments nationwide.</w:t>
      </w:r>
    </w:p>
    <w:p w14:paraId="05FBBEF5" w14:textId="77777777" w:rsidR="00344889" w:rsidRDefault="00344889" w:rsidP="007B7EDC">
      <w:pPr>
        <w:tabs>
          <w:tab w:val="left" w:pos="567"/>
        </w:tabs>
        <w:spacing w:before="80" w:after="80" w:line="278" w:lineRule="auto"/>
        <w:ind w:right="282"/>
        <w:jc w:val="both"/>
        <w:rPr>
          <w:rFonts w:ascii="Palatino Linotype" w:hAnsi="Palatino Linotype"/>
          <w:b/>
          <w:bCs/>
          <w:sz w:val="26"/>
          <w:szCs w:val="26"/>
          <w:lang w:val="en-GB"/>
        </w:rPr>
      </w:pPr>
    </w:p>
    <w:p w14:paraId="7DB4FB4C" w14:textId="501C60BC" w:rsidR="00A9301B" w:rsidRDefault="009B43CF" w:rsidP="007B7EDC">
      <w:pPr>
        <w:tabs>
          <w:tab w:val="left" w:pos="567"/>
        </w:tabs>
        <w:spacing w:before="80" w:after="80" w:line="278" w:lineRule="auto"/>
        <w:ind w:right="282"/>
        <w:jc w:val="both"/>
        <w:rPr>
          <w:rFonts w:ascii="Palatino Linotype" w:hAnsi="Palatino Linotype"/>
          <w:sz w:val="26"/>
          <w:szCs w:val="26"/>
          <w:lang w:val="en-GB"/>
        </w:rPr>
      </w:pPr>
      <w:r>
        <w:rPr>
          <w:rFonts w:ascii="Palatino Linotype" w:hAnsi="Palatino Linotype"/>
          <w:b/>
          <w:bCs/>
          <w:sz w:val="26"/>
          <w:szCs w:val="26"/>
          <w:lang w:val="en-GB"/>
        </w:rPr>
        <w:t>6.6</w:t>
      </w:r>
      <w:r w:rsidR="00507092">
        <w:rPr>
          <w:rFonts w:ascii="Palatino Linotype" w:hAnsi="Palatino Linotype"/>
          <w:b/>
          <w:bCs/>
          <w:sz w:val="26"/>
          <w:szCs w:val="26"/>
          <w:lang w:val="en-GB"/>
        </w:rPr>
        <w:t xml:space="preserve"> </w:t>
      </w:r>
      <w:r w:rsidR="00A9301B">
        <w:rPr>
          <w:rFonts w:ascii="Palatino Linotype" w:hAnsi="Palatino Linotype"/>
          <w:b/>
          <w:bCs/>
          <w:sz w:val="26"/>
          <w:szCs w:val="26"/>
          <w:lang w:val="en-GB"/>
        </w:rPr>
        <w:tab/>
      </w:r>
      <w:r w:rsidR="00507092" w:rsidRPr="0081413A">
        <w:rPr>
          <w:rFonts w:ascii="Palatino Linotype" w:hAnsi="Palatino Linotype"/>
          <w:b/>
          <w:bCs/>
          <w:sz w:val="26"/>
          <w:szCs w:val="26"/>
          <w:lang w:val="en-GB"/>
        </w:rPr>
        <w:t>Deprivation of liberty in police detention – positive aspects</w:t>
      </w:r>
      <w:r w:rsidR="00507092" w:rsidRPr="0081413A">
        <w:rPr>
          <w:rFonts w:ascii="Palatino Linotype" w:hAnsi="Palatino Linotype"/>
          <w:sz w:val="26"/>
          <w:szCs w:val="26"/>
          <w:lang w:val="en-GB"/>
        </w:rPr>
        <w:t xml:space="preserve">. </w:t>
      </w:r>
    </w:p>
    <w:p w14:paraId="705CD296" w14:textId="43E9F5EF" w:rsidR="00507092" w:rsidRDefault="009B43CF" w:rsidP="009B43CF">
      <w:pPr>
        <w:tabs>
          <w:tab w:val="left" w:pos="567"/>
        </w:tabs>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6.6.</w:t>
      </w:r>
      <w:r w:rsidR="00507092">
        <w:rPr>
          <w:rFonts w:ascii="Palatino Linotype" w:hAnsi="Palatino Linotype"/>
          <w:sz w:val="26"/>
          <w:szCs w:val="26"/>
          <w:lang w:val="en-GB"/>
        </w:rPr>
        <w:t>1</w:t>
      </w:r>
      <w:r>
        <w:rPr>
          <w:rFonts w:ascii="Palatino Linotype" w:hAnsi="Palatino Linotype"/>
          <w:sz w:val="26"/>
          <w:szCs w:val="26"/>
          <w:lang w:val="en-GB"/>
        </w:rPr>
        <w:tab/>
      </w:r>
      <w:r w:rsidR="00507092" w:rsidRPr="0081413A">
        <w:rPr>
          <w:rFonts w:ascii="Palatino Linotype" w:hAnsi="Palatino Linotype"/>
          <w:sz w:val="26"/>
          <w:szCs w:val="26"/>
          <w:lang w:val="en-GB"/>
        </w:rPr>
        <w:t>Since 2021, there has been full cooperation from the General Command of the Carabinieri, the General Command of the Guardia di Finanza, and the Department of Public Security of the Ministry of the Interior regarding access to data and information. Specifically, the GNPL highlights the regular updates to the mapping of holding cells nationwide and the registering of individuals in custody awaiting their arrest validation hearing by a judge.</w:t>
      </w:r>
    </w:p>
    <w:p w14:paraId="3407B629" w14:textId="77777777" w:rsidR="00507092" w:rsidRPr="0081413A" w:rsidRDefault="00507092" w:rsidP="007B7EDC">
      <w:pPr>
        <w:spacing w:before="80" w:after="80" w:line="278" w:lineRule="auto"/>
        <w:ind w:right="282"/>
        <w:jc w:val="both"/>
        <w:rPr>
          <w:rFonts w:ascii="Palatino Linotype" w:hAnsi="Palatino Linotype"/>
          <w:sz w:val="26"/>
          <w:szCs w:val="26"/>
          <w:lang w:val="en-GB"/>
        </w:rPr>
      </w:pPr>
      <w:r w:rsidRPr="0081413A">
        <w:rPr>
          <w:rFonts w:ascii="Palatino Linotype" w:hAnsi="Palatino Linotype"/>
          <w:sz w:val="26"/>
          <w:szCs w:val="26"/>
          <w:lang w:val="en-GB"/>
        </w:rPr>
        <w:t>Furthermore, since its introduction, these three authorities have consistently reported data regarding the use of TASER to the GNPL.</w:t>
      </w:r>
    </w:p>
    <w:p w14:paraId="26E40B80" w14:textId="332F08ED" w:rsidR="00507092" w:rsidRDefault="009B43CF" w:rsidP="007B7EDC">
      <w:pPr>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6.6.</w:t>
      </w:r>
      <w:r w:rsidR="00507092">
        <w:rPr>
          <w:rFonts w:ascii="Palatino Linotype" w:hAnsi="Palatino Linotype"/>
          <w:sz w:val="26"/>
          <w:szCs w:val="26"/>
          <w:lang w:val="en-GB"/>
        </w:rPr>
        <w:t>2 S</w:t>
      </w:r>
      <w:r w:rsidR="00507092" w:rsidRPr="0081413A">
        <w:rPr>
          <w:rFonts w:ascii="Palatino Linotype" w:hAnsi="Palatino Linotype"/>
          <w:sz w:val="26"/>
          <w:szCs w:val="26"/>
          <w:lang w:val="en-GB"/>
        </w:rPr>
        <w:t xml:space="preserve">pecial mention must be made of the MoU for </w:t>
      </w:r>
      <w:proofErr w:type="gramStart"/>
      <w:r w:rsidR="00507092" w:rsidRPr="0081413A">
        <w:rPr>
          <w:rFonts w:ascii="Palatino Linotype" w:hAnsi="Palatino Linotype"/>
          <w:sz w:val="26"/>
          <w:szCs w:val="26"/>
          <w:lang w:val="en-GB"/>
        </w:rPr>
        <w:t>mutual cooperation</w:t>
      </w:r>
      <w:proofErr w:type="gramEnd"/>
      <w:r w:rsidR="00507092" w:rsidRPr="0081413A">
        <w:rPr>
          <w:rFonts w:ascii="Palatino Linotype" w:hAnsi="Palatino Linotype"/>
          <w:sz w:val="26"/>
          <w:szCs w:val="26"/>
          <w:lang w:val="en-GB"/>
        </w:rPr>
        <w:t xml:space="preserve"> signed with the Carabinieri and the State Police. This includes the </w:t>
      </w:r>
      <w:r w:rsidR="00507092" w:rsidRPr="0081413A">
        <w:rPr>
          <w:rFonts w:ascii="Palatino Linotype" w:hAnsi="Palatino Linotype"/>
          <w:sz w:val="26"/>
          <w:szCs w:val="26"/>
          <w:lang w:val="en-GB"/>
        </w:rPr>
        <w:lastRenderedPageBreak/>
        <w:t xml:space="preserve">designation of experts specifically tasked with </w:t>
      </w:r>
      <w:r w:rsidR="00507092">
        <w:rPr>
          <w:rFonts w:ascii="Palatino Linotype" w:hAnsi="Palatino Linotype"/>
          <w:sz w:val="26"/>
          <w:szCs w:val="26"/>
          <w:lang w:val="en-GB"/>
        </w:rPr>
        <w:t xml:space="preserve">delivering training sessions on the GNPL, </w:t>
      </w:r>
      <w:r w:rsidR="00507092" w:rsidRPr="0081413A">
        <w:rPr>
          <w:rFonts w:ascii="Palatino Linotype" w:hAnsi="Palatino Linotype"/>
          <w:sz w:val="26"/>
          <w:szCs w:val="26"/>
          <w:lang w:val="en-GB"/>
        </w:rPr>
        <w:t>collaborating in working groups and technical roundtables organised by the GNPL.</w:t>
      </w:r>
    </w:p>
    <w:p w14:paraId="159A07B7" w14:textId="08355315" w:rsidR="00507092" w:rsidRPr="0081413A" w:rsidRDefault="009B43CF" w:rsidP="007B7EDC">
      <w:pPr>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6.6.</w:t>
      </w:r>
      <w:r w:rsidR="00507092">
        <w:rPr>
          <w:rFonts w:ascii="Palatino Linotype" w:hAnsi="Palatino Linotype"/>
          <w:sz w:val="26"/>
          <w:szCs w:val="26"/>
          <w:lang w:val="en-GB"/>
        </w:rPr>
        <w:t xml:space="preserve">3 A successful cooperation resulted in </w:t>
      </w:r>
      <w:r w:rsidR="00507092" w:rsidRPr="0081413A">
        <w:rPr>
          <w:rFonts w:ascii="Palatino Linotype" w:hAnsi="Palatino Linotype"/>
          <w:sz w:val="26"/>
          <w:szCs w:val="26"/>
          <w:lang w:val="en-GB"/>
        </w:rPr>
        <w:t>drafting and distributing a handbook (</w:t>
      </w:r>
      <w:proofErr w:type="spellStart"/>
      <w:r w:rsidR="00507092" w:rsidRPr="0081413A">
        <w:rPr>
          <w:rFonts w:ascii="Palatino Linotype" w:hAnsi="Palatino Linotype"/>
          <w:sz w:val="26"/>
          <w:szCs w:val="26"/>
          <w:lang w:val="en-GB"/>
        </w:rPr>
        <w:t>vademecum</w:t>
      </w:r>
      <w:proofErr w:type="spellEnd"/>
      <w:r w:rsidR="00507092" w:rsidRPr="0081413A">
        <w:rPr>
          <w:rFonts w:ascii="Palatino Linotype" w:hAnsi="Palatino Linotype"/>
          <w:sz w:val="26"/>
          <w:szCs w:val="26"/>
          <w:lang w:val="en-GB"/>
        </w:rPr>
        <w:t>) regarding the GNPL’s monitoring visits to all police training schools/academies and law enforcement premises.</w:t>
      </w:r>
      <w:r w:rsidR="00507092">
        <w:rPr>
          <w:rFonts w:ascii="Palatino Linotype" w:hAnsi="Palatino Linotype"/>
          <w:sz w:val="26"/>
          <w:szCs w:val="26"/>
          <w:lang w:val="en-GB"/>
        </w:rPr>
        <w:t xml:space="preserve"> Both activities have been also recalled in the </w:t>
      </w:r>
      <w:r w:rsidR="00507092" w:rsidRPr="00BF2539">
        <w:rPr>
          <w:rFonts w:ascii="Palatino Linotype" w:hAnsi="Palatino Linotype"/>
          <w:sz w:val="26"/>
          <w:szCs w:val="26"/>
          <w:lang w:val="en-GB"/>
        </w:rPr>
        <w:t>Additional information submitted by Italy under article 29 (4) of the Convention</w:t>
      </w:r>
      <w:r w:rsidR="00507092">
        <w:rPr>
          <w:rFonts w:ascii="Palatino Linotype" w:hAnsi="Palatino Linotype"/>
          <w:sz w:val="26"/>
          <w:szCs w:val="26"/>
          <w:lang w:val="en-GB"/>
        </w:rPr>
        <w:t xml:space="preserve"> (</w:t>
      </w:r>
      <w:r w:rsidR="00507092" w:rsidRPr="00BF2539">
        <w:rPr>
          <w:rFonts w:ascii="Palatino Linotype" w:hAnsi="Palatino Linotype"/>
          <w:sz w:val="26"/>
          <w:szCs w:val="26"/>
          <w:lang w:val="en-GB"/>
        </w:rPr>
        <w:t>CED/C/ITA/AI/1</w:t>
      </w:r>
      <w:r w:rsidR="00507092">
        <w:rPr>
          <w:rFonts w:ascii="Palatino Linotype" w:hAnsi="Palatino Linotype"/>
          <w:sz w:val="26"/>
          <w:szCs w:val="26"/>
          <w:lang w:val="en-GB"/>
        </w:rPr>
        <w:t xml:space="preserve">) </w:t>
      </w:r>
      <w:r w:rsidR="00507092" w:rsidRPr="00BF2539">
        <w:rPr>
          <w:rFonts w:ascii="Palatino Linotype" w:hAnsi="Palatino Linotype"/>
          <w:sz w:val="26"/>
          <w:szCs w:val="26"/>
          <w:lang w:val="en-GB"/>
        </w:rPr>
        <w:t>for the Protection of All Persons from Enforced Disappearance</w:t>
      </w:r>
      <w:r w:rsidR="00507092">
        <w:rPr>
          <w:rFonts w:ascii="Palatino Linotype" w:hAnsi="Palatino Linotype"/>
          <w:sz w:val="26"/>
          <w:szCs w:val="26"/>
          <w:lang w:val="en-GB"/>
        </w:rPr>
        <w:t xml:space="preserve"> (</w:t>
      </w:r>
      <w:r w:rsidR="00507092" w:rsidRPr="00BF2539">
        <w:rPr>
          <w:rFonts w:ascii="Palatino Linotype" w:hAnsi="Palatino Linotype"/>
          <w:sz w:val="26"/>
          <w:szCs w:val="26"/>
          <w:lang w:val="en-GB"/>
        </w:rPr>
        <w:t>22 May 2025</w:t>
      </w:r>
      <w:r w:rsidR="00507092">
        <w:rPr>
          <w:rFonts w:ascii="Palatino Linotype" w:hAnsi="Palatino Linotype"/>
          <w:sz w:val="26"/>
          <w:szCs w:val="26"/>
          <w:lang w:val="en-GB"/>
        </w:rPr>
        <w:t>).</w:t>
      </w:r>
    </w:p>
    <w:p w14:paraId="5126C5A1" w14:textId="06CF01C1" w:rsidR="00507092" w:rsidRPr="0081413A" w:rsidRDefault="009B43CF" w:rsidP="007B7EDC">
      <w:pPr>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6.6.</w:t>
      </w:r>
      <w:r w:rsidR="00507092">
        <w:rPr>
          <w:rFonts w:ascii="Palatino Linotype" w:hAnsi="Palatino Linotype"/>
          <w:sz w:val="26"/>
          <w:szCs w:val="26"/>
          <w:lang w:val="en-GB"/>
        </w:rPr>
        <w:t xml:space="preserve">4 A meaningful </w:t>
      </w:r>
      <w:r w:rsidR="00507092" w:rsidRPr="0081413A">
        <w:rPr>
          <w:rFonts w:ascii="Palatino Linotype" w:hAnsi="Palatino Linotype"/>
          <w:sz w:val="26"/>
          <w:szCs w:val="26"/>
          <w:lang w:val="en-GB"/>
        </w:rPr>
        <w:t xml:space="preserve">project </w:t>
      </w:r>
      <w:r w:rsidR="00507092">
        <w:rPr>
          <w:rFonts w:ascii="Palatino Linotype" w:hAnsi="Palatino Linotype"/>
          <w:sz w:val="26"/>
          <w:szCs w:val="26"/>
          <w:lang w:val="en-GB"/>
        </w:rPr>
        <w:t xml:space="preserve">is </w:t>
      </w:r>
      <w:r w:rsidR="00507092" w:rsidRPr="0081413A">
        <w:rPr>
          <w:rFonts w:ascii="Palatino Linotype" w:hAnsi="Palatino Linotype"/>
          <w:sz w:val="26"/>
          <w:szCs w:val="26"/>
          <w:lang w:val="en-GB"/>
        </w:rPr>
        <w:t>launched in collaboration with the Regional Guarantor of Emilia-Romagna. This initiative enabled both desk-based and on-site monitoring of all holding cells managed by the Carabinieri, State Police, Guardia di Finanza, and Local Police throughout the regional territory.</w:t>
      </w:r>
    </w:p>
    <w:p w14:paraId="57789CA2" w14:textId="0F7208F1" w:rsidR="00507092" w:rsidRPr="0081413A" w:rsidRDefault="009B43CF" w:rsidP="007B7EDC">
      <w:pPr>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6.6.</w:t>
      </w:r>
      <w:r w:rsidR="00507092">
        <w:rPr>
          <w:rFonts w:ascii="Palatino Linotype" w:hAnsi="Palatino Linotype"/>
          <w:sz w:val="26"/>
          <w:szCs w:val="26"/>
          <w:lang w:val="en-GB"/>
        </w:rPr>
        <w:t xml:space="preserve">5 </w:t>
      </w:r>
      <w:r w:rsidR="00507092" w:rsidRPr="0081413A">
        <w:rPr>
          <w:rFonts w:ascii="Palatino Linotype" w:hAnsi="Palatino Linotype"/>
          <w:sz w:val="26"/>
          <w:szCs w:val="26"/>
          <w:lang w:val="en-GB"/>
        </w:rPr>
        <w:t>Moreover, among the positive aspects in this field of intervention is the delivery of a comprehensive information on the GNPL to training courses addressed to Police forces (mainly the Carabinieri Corps and State Police).</w:t>
      </w:r>
    </w:p>
    <w:p w14:paraId="0382303F" w14:textId="77777777" w:rsidR="009B43CF" w:rsidRDefault="009B43CF" w:rsidP="007B7EDC">
      <w:pPr>
        <w:tabs>
          <w:tab w:val="left" w:pos="567"/>
        </w:tabs>
        <w:spacing w:before="80" w:after="80" w:line="278" w:lineRule="auto"/>
        <w:ind w:right="284"/>
        <w:jc w:val="both"/>
        <w:rPr>
          <w:rFonts w:ascii="Palatino Linotype" w:hAnsi="Palatino Linotype"/>
          <w:b/>
          <w:bCs/>
          <w:sz w:val="26"/>
          <w:szCs w:val="26"/>
          <w:lang w:val="en-GB"/>
        </w:rPr>
      </w:pPr>
    </w:p>
    <w:p w14:paraId="1B8C8293" w14:textId="2A717583" w:rsidR="00507092" w:rsidRPr="0081413A" w:rsidRDefault="006B50C9" w:rsidP="007B7EDC">
      <w:pPr>
        <w:tabs>
          <w:tab w:val="left" w:pos="567"/>
        </w:tabs>
        <w:spacing w:before="80" w:after="80" w:line="278" w:lineRule="auto"/>
        <w:ind w:right="284"/>
        <w:jc w:val="both"/>
        <w:rPr>
          <w:rFonts w:ascii="Palatino Linotype" w:hAnsi="Palatino Linotype"/>
          <w:sz w:val="26"/>
          <w:szCs w:val="26"/>
          <w:lang w:val="en-GB"/>
        </w:rPr>
      </w:pPr>
      <w:r>
        <w:rPr>
          <w:rFonts w:ascii="Palatino Linotype" w:hAnsi="Palatino Linotype"/>
          <w:b/>
          <w:bCs/>
          <w:sz w:val="26"/>
          <w:szCs w:val="26"/>
          <w:lang w:val="en-GB"/>
        </w:rPr>
        <w:t>6.</w:t>
      </w:r>
      <w:r w:rsidR="009B43CF">
        <w:rPr>
          <w:rFonts w:ascii="Palatino Linotype" w:hAnsi="Palatino Linotype"/>
          <w:b/>
          <w:bCs/>
          <w:sz w:val="26"/>
          <w:szCs w:val="26"/>
          <w:lang w:val="en-GB"/>
        </w:rPr>
        <w:t>7</w:t>
      </w:r>
      <w:r w:rsidR="00507092">
        <w:rPr>
          <w:rFonts w:ascii="Palatino Linotype" w:hAnsi="Palatino Linotype"/>
          <w:b/>
          <w:bCs/>
          <w:sz w:val="26"/>
          <w:szCs w:val="26"/>
          <w:lang w:val="en-GB"/>
        </w:rPr>
        <w:t xml:space="preserve"> </w:t>
      </w:r>
      <w:r w:rsidR="00A9301B">
        <w:rPr>
          <w:rFonts w:ascii="Palatino Linotype" w:hAnsi="Palatino Linotype"/>
          <w:b/>
          <w:bCs/>
          <w:sz w:val="26"/>
          <w:szCs w:val="26"/>
          <w:lang w:val="en-GB"/>
        </w:rPr>
        <w:tab/>
      </w:r>
      <w:r w:rsidR="00507092" w:rsidRPr="0081413A">
        <w:rPr>
          <w:rFonts w:ascii="Palatino Linotype" w:hAnsi="Palatino Linotype"/>
          <w:b/>
          <w:bCs/>
          <w:sz w:val="26"/>
          <w:szCs w:val="26"/>
          <w:lang w:val="en-GB"/>
        </w:rPr>
        <w:t>Deprivation of liberty in health care facilities – criticalities</w:t>
      </w:r>
      <w:r w:rsidR="00507092" w:rsidRPr="0081413A">
        <w:rPr>
          <w:rFonts w:ascii="Palatino Linotype" w:hAnsi="Palatino Linotype"/>
          <w:sz w:val="26"/>
          <w:szCs w:val="26"/>
          <w:lang w:val="en-GB"/>
        </w:rPr>
        <w:t xml:space="preserve">. Greater progress is required to ensure unimpeded access to healthcare-related facilities where individuals are </w:t>
      </w:r>
      <w:r w:rsidR="00507092" w:rsidRPr="0081413A">
        <w:rPr>
          <w:rFonts w:ascii="Palatino Linotype" w:hAnsi="Palatino Linotype"/>
          <w:i/>
          <w:iCs/>
          <w:sz w:val="26"/>
          <w:szCs w:val="26"/>
          <w:lang w:val="en-GB"/>
        </w:rPr>
        <w:t>de facto</w:t>
      </w:r>
      <w:r w:rsidR="00507092" w:rsidRPr="0081413A">
        <w:rPr>
          <w:rFonts w:ascii="Palatino Linotype" w:hAnsi="Palatino Linotype"/>
          <w:sz w:val="26"/>
          <w:szCs w:val="26"/>
          <w:lang w:val="en-GB"/>
        </w:rPr>
        <w:t xml:space="preserve"> or </w:t>
      </w:r>
      <w:r w:rsidR="00507092" w:rsidRPr="0081413A">
        <w:rPr>
          <w:rFonts w:ascii="Palatino Linotype" w:hAnsi="Palatino Linotype"/>
          <w:i/>
          <w:iCs/>
          <w:sz w:val="26"/>
          <w:szCs w:val="26"/>
          <w:lang w:val="en-GB"/>
        </w:rPr>
        <w:t>de jure</w:t>
      </w:r>
      <w:r w:rsidR="00507092" w:rsidRPr="0081413A">
        <w:rPr>
          <w:rFonts w:ascii="Palatino Linotype" w:hAnsi="Palatino Linotype"/>
          <w:sz w:val="26"/>
          <w:szCs w:val="26"/>
          <w:lang w:val="en-GB"/>
        </w:rPr>
        <w:t xml:space="preserve"> deprived of liberty. Strengthening oversight in these settings is essential to guarantee that the rights and dignity of patients are fully protected. In many healthcare and social care settings, the GNPL’s mandate remains largely unrecognised. On several occasions—specifically within social care homes (RSA) and psychiatric facilities (SPDC)—monitoring teams were initially denied entry, with access only granted after significant delays and the intervention of higher-level authorities.</w:t>
      </w:r>
    </w:p>
    <w:p w14:paraId="29B8D89A" w14:textId="77777777" w:rsidR="006B50C9" w:rsidRDefault="006B50C9" w:rsidP="007B7EDC">
      <w:pPr>
        <w:tabs>
          <w:tab w:val="left" w:pos="567"/>
        </w:tabs>
        <w:spacing w:before="80" w:after="80" w:line="278" w:lineRule="auto"/>
        <w:ind w:right="284"/>
        <w:jc w:val="both"/>
        <w:rPr>
          <w:rFonts w:ascii="Palatino Linotype" w:hAnsi="Palatino Linotype"/>
          <w:b/>
          <w:bCs/>
          <w:sz w:val="26"/>
          <w:szCs w:val="26"/>
          <w:lang w:val="en-GB"/>
        </w:rPr>
      </w:pPr>
    </w:p>
    <w:p w14:paraId="7879F314" w14:textId="557E1039" w:rsidR="00507092" w:rsidRDefault="006B50C9" w:rsidP="007B7EDC">
      <w:pPr>
        <w:tabs>
          <w:tab w:val="left" w:pos="567"/>
        </w:tabs>
        <w:spacing w:before="80" w:after="80" w:line="278" w:lineRule="auto"/>
        <w:ind w:right="284"/>
        <w:jc w:val="both"/>
        <w:rPr>
          <w:rFonts w:ascii="Palatino Linotype" w:hAnsi="Palatino Linotype"/>
          <w:sz w:val="26"/>
          <w:szCs w:val="26"/>
          <w:lang w:val="en-GB"/>
        </w:rPr>
      </w:pPr>
      <w:r>
        <w:rPr>
          <w:rFonts w:ascii="Palatino Linotype" w:hAnsi="Palatino Linotype"/>
          <w:b/>
          <w:bCs/>
          <w:sz w:val="26"/>
          <w:szCs w:val="26"/>
          <w:lang w:val="en-GB"/>
        </w:rPr>
        <w:lastRenderedPageBreak/>
        <w:t>6.8</w:t>
      </w:r>
      <w:r w:rsidR="00507092">
        <w:rPr>
          <w:rFonts w:ascii="Palatino Linotype" w:hAnsi="Palatino Linotype"/>
          <w:b/>
          <w:bCs/>
          <w:sz w:val="26"/>
          <w:szCs w:val="26"/>
          <w:lang w:val="en-GB"/>
        </w:rPr>
        <w:t xml:space="preserve"> </w:t>
      </w:r>
      <w:r w:rsidR="00A9301B">
        <w:rPr>
          <w:rFonts w:ascii="Palatino Linotype" w:hAnsi="Palatino Linotype"/>
          <w:b/>
          <w:bCs/>
          <w:sz w:val="26"/>
          <w:szCs w:val="26"/>
          <w:lang w:val="en-GB"/>
        </w:rPr>
        <w:tab/>
      </w:r>
      <w:r w:rsidR="00507092" w:rsidRPr="0081413A">
        <w:rPr>
          <w:rFonts w:ascii="Palatino Linotype" w:hAnsi="Palatino Linotype"/>
          <w:b/>
          <w:bCs/>
          <w:sz w:val="26"/>
          <w:szCs w:val="26"/>
          <w:lang w:val="en-GB"/>
        </w:rPr>
        <w:t>Deprivation of liberty in health care facilities – positive aspects</w:t>
      </w:r>
      <w:r w:rsidR="00507092" w:rsidRPr="0081413A">
        <w:rPr>
          <w:rFonts w:ascii="Palatino Linotype" w:hAnsi="Palatino Linotype"/>
          <w:sz w:val="26"/>
          <w:szCs w:val="26"/>
          <w:lang w:val="en-GB"/>
        </w:rPr>
        <w:t>.</w:t>
      </w:r>
    </w:p>
    <w:p w14:paraId="796F3083" w14:textId="0FF59A6D" w:rsidR="00507092" w:rsidRPr="0081413A" w:rsidRDefault="006B50C9" w:rsidP="006B50C9">
      <w:pPr>
        <w:tabs>
          <w:tab w:val="left" w:pos="567"/>
        </w:tabs>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6.8</w:t>
      </w:r>
      <w:r w:rsidR="00507092">
        <w:rPr>
          <w:rFonts w:ascii="Palatino Linotype" w:hAnsi="Palatino Linotype"/>
          <w:sz w:val="26"/>
          <w:szCs w:val="26"/>
          <w:lang w:val="en-GB"/>
        </w:rPr>
        <w:t>.1</w:t>
      </w:r>
      <w:r w:rsidR="00A9301B">
        <w:rPr>
          <w:rFonts w:ascii="Palatino Linotype" w:hAnsi="Palatino Linotype"/>
          <w:sz w:val="26"/>
          <w:szCs w:val="26"/>
          <w:lang w:val="en-GB"/>
        </w:rPr>
        <w:tab/>
      </w:r>
      <w:r>
        <w:rPr>
          <w:rFonts w:ascii="Palatino Linotype" w:hAnsi="Palatino Linotype"/>
          <w:sz w:val="26"/>
          <w:szCs w:val="26"/>
          <w:lang w:val="en-GB"/>
        </w:rPr>
        <w:t xml:space="preserve"> </w:t>
      </w:r>
      <w:r w:rsidR="00507092" w:rsidRPr="0081413A">
        <w:rPr>
          <w:rFonts w:ascii="Palatino Linotype" w:hAnsi="Palatino Linotype"/>
          <w:sz w:val="26"/>
          <w:szCs w:val="26"/>
          <w:lang w:val="en-GB"/>
        </w:rPr>
        <w:t xml:space="preserve">The GNPL </w:t>
      </w:r>
      <w:r w:rsidR="00507092">
        <w:rPr>
          <w:rFonts w:ascii="Palatino Linotype" w:hAnsi="Palatino Linotype"/>
          <w:sz w:val="26"/>
          <w:szCs w:val="26"/>
          <w:lang w:val="en-GB"/>
        </w:rPr>
        <w:t xml:space="preserve">is granted full and free </w:t>
      </w:r>
      <w:r w:rsidR="00507092" w:rsidRPr="0081413A">
        <w:rPr>
          <w:rFonts w:ascii="Palatino Linotype" w:hAnsi="Palatino Linotype"/>
          <w:sz w:val="26"/>
          <w:szCs w:val="26"/>
          <w:lang w:val="en-GB"/>
        </w:rPr>
        <w:t>access to the Regional Information System for monitoring the closure of OPGs (Forensic Psychiatric Hospitals) and Penitentiary Healthcare Services (SMOP). The system is designed to provide a continuous flow of data between the Ministry of Health, the Regions, and the Department of Penitentiary Administration (DAP) and include: a) the REMS Placement Management (monitoring the waiting lists and the effective placement of individuals subject to security measures in REMS); b) data on healthcare in prisons (on health services delivered to prison population); c) Individualised Therapeutic Plans (PTRI).</w:t>
      </w:r>
    </w:p>
    <w:p w14:paraId="39A5014F" w14:textId="5C31F24E" w:rsidR="00507092" w:rsidRPr="0081413A" w:rsidRDefault="006B50C9" w:rsidP="007B7EDC">
      <w:pPr>
        <w:spacing w:before="80" w:after="80" w:line="278" w:lineRule="auto"/>
        <w:ind w:right="282"/>
        <w:jc w:val="both"/>
        <w:rPr>
          <w:rFonts w:ascii="Palatino Linotype" w:hAnsi="Palatino Linotype"/>
          <w:sz w:val="26"/>
          <w:szCs w:val="26"/>
          <w:lang w:val="en-GB"/>
        </w:rPr>
      </w:pPr>
      <w:r w:rsidRPr="006B50C9">
        <w:rPr>
          <w:rFonts w:ascii="Palatino Linotype" w:hAnsi="Palatino Linotype"/>
          <w:sz w:val="26"/>
          <w:szCs w:val="26"/>
          <w:lang w:val="en-GB"/>
        </w:rPr>
        <w:t>6.8.</w:t>
      </w:r>
      <w:r w:rsidR="00507092">
        <w:rPr>
          <w:rFonts w:ascii="Palatino Linotype" w:hAnsi="Palatino Linotype"/>
          <w:sz w:val="26"/>
          <w:szCs w:val="26"/>
          <w:lang w:val="en-GB"/>
        </w:rPr>
        <w:t>2</w:t>
      </w:r>
      <w:r>
        <w:rPr>
          <w:rFonts w:ascii="Palatino Linotype" w:hAnsi="Palatino Linotype"/>
          <w:sz w:val="26"/>
          <w:szCs w:val="26"/>
          <w:lang w:val="en-GB"/>
        </w:rPr>
        <w:t xml:space="preserve"> </w:t>
      </w:r>
      <w:r w:rsidR="00507092" w:rsidRPr="0081413A">
        <w:rPr>
          <w:rFonts w:ascii="Palatino Linotype" w:hAnsi="Palatino Linotype"/>
          <w:sz w:val="26"/>
          <w:szCs w:val="26"/>
          <w:lang w:val="en-GB"/>
        </w:rPr>
        <w:t>Recently, the GNPL reached out to the National Guarantor for Disabilities (</w:t>
      </w:r>
      <w:r w:rsidR="00507092">
        <w:rPr>
          <w:rFonts w:ascii="Palatino Linotype" w:hAnsi="Palatino Linotype"/>
          <w:sz w:val="26"/>
          <w:szCs w:val="26"/>
          <w:lang w:val="en-GB"/>
        </w:rPr>
        <w:t xml:space="preserve">newly established in 2025 and </w:t>
      </w:r>
      <w:r w:rsidR="00507092" w:rsidRPr="0081413A">
        <w:rPr>
          <w:rFonts w:ascii="Palatino Linotype" w:hAnsi="Palatino Linotype"/>
          <w:sz w:val="26"/>
          <w:szCs w:val="26"/>
          <w:lang w:val="en-GB"/>
        </w:rPr>
        <w:t xml:space="preserve">designated as Independent Monitoring Mechanism – IMM – under the CRPD – Convention on the Rights of Persons with Disabilities) in order to convey the GNPL’s availability to cooperate in the monitoring of places of deprivation of liberty which can fall under both remits. </w:t>
      </w:r>
    </w:p>
    <w:p w14:paraId="0A3006F3" w14:textId="77777777" w:rsidR="00507092" w:rsidRPr="0081413A" w:rsidRDefault="00507092" w:rsidP="007B7EDC">
      <w:pPr>
        <w:spacing w:before="80" w:after="80" w:line="278" w:lineRule="auto"/>
        <w:ind w:right="282"/>
        <w:jc w:val="both"/>
        <w:outlineLvl w:val="0"/>
        <w:rPr>
          <w:rFonts w:ascii="Palatino Linotype" w:hAnsi="Palatino Linotype"/>
          <w:sz w:val="26"/>
          <w:szCs w:val="26"/>
          <w:lang w:val="en-GB"/>
        </w:rPr>
      </w:pPr>
    </w:p>
    <w:p w14:paraId="6F87442F" w14:textId="6ACFC84A" w:rsidR="00507092" w:rsidRPr="00A9301B" w:rsidRDefault="0088186C" w:rsidP="007B7EDC">
      <w:pPr>
        <w:tabs>
          <w:tab w:val="left" w:pos="567"/>
        </w:tabs>
        <w:spacing w:before="80" w:after="80" w:line="278" w:lineRule="auto"/>
        <w:ind w:left="567" w:right="282" w:hanging="567"/>
        <w:jc w:val="both"/>
        <w:outlineLvl w:val="0"/>
        <w:rPr>
          <w:rFonts w:ascii="Palatino Linotype" w:hAnsi="Palatino Linotype"/>
          <w:b/>
          <w:bCs/>
          <w:sz w:val="26"/>
          <w:szCs w:val="26"/>
          <w:lang w:val="en-GB"/>
        </w:rPr>
      </w:pPr>
      <w:proofErr w:type="gramStart"/>
      <w:r>
        <w:rPr>
          <w:rFonts w:ascii="Palatino Linotype" w:hAnsi="Palatino Linotype"/>
          <w:b/>
          <w:bCs/>
          <w:sz w:val="26"/>
          <w:szCs w:val="26"/>
          <w:lang w:val="en-GB"/>
        </w:rPr>
        <w:t>7</w:t>
      </w:r>
      <w:r w:rsidR="00507092" w:rsidRPr="00A9301B">
        <w:rPr>
          <w:rFonts w:ascii="Palatino Linotype" w:hAnsi="Palatino Linotype"/>
          <w:b/>
          <w:bCs/>
          <w:sz w:val="26"/>
          <w:szCs w:val="26"/>
          <w:lang w:val="en-GB"/>
        </w:rPr>
        <w:t xml:space="preserve">  </w:t>
      </w:r>
      <w:r w:rsidR="00A9301B">
        <w:rPr>
          <w:rFonts w:ascii="Palatino Linotype" w:hAnsi="Palatino Linotype"/>
          <w:b/>
          <w:bCs/>
          <w:sz w:val="26"/>
          <w:szCs w:val="26"/>
          <w:lang w:val="en-GB"/>
        </w:rPr>
        <w:tab/>
      </w:r>
      <w:proofErr w:type="gramEnd"/>
      <w:r w:rsidR="00507092" w:rsidRPr="00A9301B">
        <w:rPr>
          <w:rFonts w:ascii="Palatino Linotype" w:hAnsi="Palatino Linotype"/>
          <w:b/>
          <w:bCs/>
          <w:sz w:val="26"/>
          <w:szCs w:val="26"/>
          <w:lang w:val="en-GB"/>
        </w:rPr>
        <w:t>Consultative</w:t>
      </w:r>
      <w:r>
        <w:rPr>
          <w:rFonts w:ascii="Palatino Linotype" w:hAnsi="Palatino Linotype"/>
          <w:b/>
          <w:bCs/>
          <w:sz w:val="26"/>
          <w:szCs w:val="26"/>
          <w:lang w:val="en-GB"/>
        </w:rPr>
        <w:t xml:space="preserve"> </w:t>
      </w:r>
      <w:proofErr w:type="gramStart"/>
      <w:r w:rsidR="00507092" w:rsidRPr="00A9301B">
        <w:rPr>
          <w:rFonts w:ascii="Palatino Linotype" w:hAnsi="Palatino Linotype"/>
          <w:b/>
          <w:bCs/>
          <w:sz w:val="26"/>
          <w:szCs w:val="26"/>
          <w:lang w:val="en-GB"/>
        </w:rPr>
        <w:t>activity</w:t>
      </w:r>
      <w:proofErr w:type="gramEnd"/>
      <w:r w:rsidR="00507092" w:rsidRPr="00A9301B">
        <w:rPr>
          <w:rFonts w:ascii="Palatino Linotype" w:hAnsi="Palatino Linotype"/>
          <w:b/>
          <w:bCs/>
          <w:sz w:val="26"/>
          <w:szCs w:val="26"/>
          <w:lang w:val="en-GB"/>
        </w:rPr>
        <w:t xml:space="preserve"> with the Parliament, the Courts and the local Administrations</w:t>
      </w:r>
    </w:p>
    <w:p w14:paraId="334FA9D9" w14:textId="77777777" w:rsidR="00507092" w:rsidRPr="0081413A" w:rsidRDefault="00507092" w:rsidP="007B7EDC">
      <w:pPr>
        <w:suppressAutoHyphens/>
        <w:spacing w:before="80" w:after="80" w:line="278" w:lineRule="auto"/>
        <w:ind w:right="282"/>
        <w:jc w:val="both"/>
        <w:rPr>
          <w:rFonts w:ascii="Palatino Linotype" w:eastAsia="Calibri" w:hAnsi="Palatino Linotype" w:cs="Tahoma"/>
          <w:sz w:val="26"/>
          <w:szCs w:val="26"/>
          <w:lang w:val="en-GB"/>
        </w:rPr>
      </w:pPr>
      <w:r w:rsidRPr="0081413A">
        <w:rPr>
          <w:rFonts w:ascii="Palatino Linotype" w:eastAsia="Calibri" w:hAnsi="Palatino Linotype" w:cs="Tahoma"/>
          <w:sz w:val="26"/>
          <w:szCs w:val="26"/>
          <w:lang w:val="en-GB"/>
        </w:rPr>
        <w:t xml:space="preserve">During the period under review, the NG continued providing the Parliament, the Courts (national and international) and the Administrations with opinions on relevant issues, </w:t>
      </w:r>
      <w:proofErr w:type="gramStart"/>
      <w:r w:rsidRPr="0081413A">
        <w:rPr>
          <w:rFonts w:ascii="Palatino Linotype" w:eastAsia="Calibri" w:hAnsi="Palatino Linotype" w:cs="Tahoma"/>
          <w:sz w:val="26"/>
          <w:szCs w:val="26"/>
          <w:lang w:val="en-GB"/>
        </w:rPr>
        <w:t>in particular on</w:t>
      </w:r>
      <w:proofErr w:type="gramEnd"/>
      <w:r w:rsidRPr="0081413A">
        <w:rPr>
          <w:rFonts w:ascii="Palatino Linotype" w:eastAsia="Calibri" w:hAnsi="Palatino Linotype" w:cs="Tahoma"/>
          <w:sz w:val="26"/>
          <w:szCs w:val="26"/>
          <w:lang w:val="en-GB"/>
        </w:rPr>
        <w:t xml:space="preserve"> immigration detention and criminal detention. </w:t>
      </w:r>
    </w:p>
    <w:p w14:paraId="1233BD88" w14:textId="77777777" w:rsidR="00507092" w:rsidRPr="0081413A" w:rsidRDefault="00507092" w:rsidP="007B7EDC">
      <w:pPr>
        <w:suppressAutoHyphens/>
        <w:spacing w:before="80" w:after="80" w:line="278" w:lineRule="auto"/>
        <w:ind w:right="282"/>
        <w:jc w:val="both"/>
        <w:rPr>
          <w:rFonts w:ascii="Palatino Linotype" w:eastAsia="Calibri" w:hAnsi="Palatino Linotype" w:cs="Tahoma"/>
          <w:sz w:val="26"/>
          <w:szCs w:val="26"/>
          <w:lang w:val="en-GB"/>
        </w:rPr>
      </w:pPr>
    </w:p>
    <w:p w14:paraId="65FAB9C2" w14:textId="4AF6251B" w:rsidR="00507092" w:rsidRPr="0081413A" w:rsidRDefault="0088186C" w:rsidP="007B7EDC">
      <w:pPr>
        <w:suppressAutoHyphens/>
        <w:spacing w:before="80" w:after="80" w:line="278" w:lineRule="auto"/>
        <w:ind w:right="282"/>
        <w:jc w:val="both"/>
        <w:rPr>
          <w:rFonts w:ascii="Palatino Linotype" w:eastAsia="Calibri" w:hAnsi="Palatino Linotype" w:cs="Tahoma"/>
          <w:sz w:val="26"/>
          <w:szCs w:val="26"/>
          <w:lang w:val="en-GB"/>
        </w:rPr>
      </w:pPr>
      <w:r>
        <w:rPr>
          <w:rFonts w:ascii="Palatino Linotype" w:eastAsia="Calibri" w:hAnsi="Palatino Linotype" w:cs="Tahoma"/>
          <w:sz w:val="26"/>
          <w:szCs w:val="26"/>
          <w:lang w:val="en-GB"/>
        </w:rPr>
        <w:t>7</w:t>
      </w:r>
      <w:r w:rsidR="00507092" w:rsidRPr="00747C54">
        <w:rPr>
          <w:rFonts w:ascii="Palatino Linotype" w:eastAsia="Calibri" w:hAnsi="Palatino Linotype" w:cs="Tahoma"/>
          <w:sz w:val="26"/>
          <w:szCs w:val="26"/>
          <w:lang w:val="en-GB"/>
        </w:rPr>
        <w:t>.1 In the field of immigration detention</w:t>
      </w:r>
      <w:r w:rsidR="00507092" w:rsidRPr="0081413A">
        <w:rPr>
          <w:rFonts w:ascii="Palatino Linotype" w:eastAsia="Calibri" w:hAnsi="Palatino Linotype" w:cs="Tahoma"/>
          <w:sz w:val="26"/>
          <w:szCs w:val="26"/>
          <w:lang w:val="en-GB"/>
        </w:rPr>
        <w:t>, the GNPL submitted:</w:t>
      </w:r>
    </w:p>
    <w:p w14:paraId="5EB53FE3" w14:textId="77777777" w:rsidR="00507092" w:rsidRPr="0081413A" w:rsidRDefault="00507092" w:rsidP="007B7EDC">
      <w:pPr>
        <w:pStyle w:val="Paragrafoelenco"/>
        <w:numPr>
          <w:ilvl w:val="0"/>
          <w:numId w:val="15"/>
        </w:numPr>
        <w:suppressAutoHyphens/>
        <w:spacing w:before="80" w:after="80" w:line="278" w:lineRule="auto"/>
        <w:ind w:right="282"/>
        <w:contextualSpacing w:val="0"/>
        <w:rPr>
          <w:rFonts w:ascii="Palatino Linotype" w:hAnsi="Palatino Linotype"/>
          <w:sz w:val="26"/>
          <w:szCs w:val="26"/>
          <w:lang w:val="en-GB"/>
        </w:rPr>
      </w:pPr>
      <w:r w:rsidRPr="0081413A">
        <w:rPr>
          <w:rFonts w:ascii="Palatino Linotype" w:hAnsi="Palatino Linotype"/>
          <w:sz w:val="26"/>
          <w:szCs w:val="26"/>
          <w:lang w:val="en-GB"/>
        </w:rPr>
        <w:t xml:space="preserve">Opinion on the draft Decree-Law containing </w:t>
      </w:r>
      <w:r w:rsidRPr="0081413A">
        <w:rPr>
          <w:rFonts w:ascii="Palatino Linotype" w:hAnsi="Palatino Linotype"/>
          <w:i/>
          <w:iCs/>
          <w:sz w:val="26"/>
          <w:szCs w:val="26"/>
          <w:lang w:val="en-GB"/>
        </w:rPr>
        <w:t xml:space="preserve">Urgent provisions for the management of migration flows and procedural simplification in matters of immigration </w:t>
      </w:r>
      <w:r w:rsidRPr="0081413A">
        <w:rPr>
          <w:rFonts w:ascii="Palatino Linotype" w:hAnsi="Palatino Linotype"/>
          <w:sz w:val="26"/>
          <w:szCs w:val="26"/>
          <w:lang w:val="en-GB"/>
        </w:rPr>
        <w:t>(30 December 2022</w:t>
      </w:r>
      <w:proofErr w:type="gramStart"/>
      <w:r w:rsidRPr="0081413A">
        <w:rPr>
          <w:rFonts w:ascii="Palatino Linotype" w:hAnsi="Palatino Linotype"/>
          <w:sz w:val="26"/>
          <w:szCs w:val="26"/>
          <w:lang w:val="en-GB"/>
        </w:rPr>
        <w:t>);</w:t>
      </w:r>
      <w:proofErr w:type="gramEnd"/>
      <w:r w:rsidRPr="0081413A">
        <w:rPr>
          <w:rFonts w:ascii="Palatino Linotype" w:hAnsi="Palatino Linotype"/>
          <w:sz w:val="26"/>
          <w:szCs w:val="26"/>
          <w:lang w:val="en-GB"/>
        </w:rPr>
        <w:t xml:space="preserve"> </w:t>
      </w:r>
    </w:p>
    <w:p w14:paraId="6A60BD55" w14:textId="77777777" w:rsidR="00507092" w:rsidRPr="0081413A" w:rsidRDefault="00507092" w:rsidP="007B7EDC">
      <w:pPr>
        <w:pStyle w:val="Paragrafoelenco"/>
        <w:numPr>
          <w:ilvl w:val="0"/>
          <w:numId w:val="15"/>
        </w:numPr>
        <w:suppressAutoHyphens/>
        <w:spacing w:before="80" w:after="80" w:line="278" w:lineRule="auto"/>
        <w:ind w:right="282"/>
        <w:contextualSpacing w:val="0"/>
        <w:rPr>
          <w:rFonts w:ascii="Palatino Linotype" w:hAnsi="Palatino Linotype"/>
          <w:sz w:val="26"/>
          <w:szCs w:val="26"/>
          <w:lang w:val="en-GB"/>
        </w:rPr>
      </w:pPr>
      <w:r w:rsidRPr="0081413A">
        <w:rPr>
          <w:rFonts w:ascii="Palatino Linotype" w:hAnsi="Palatino Linotype"/>
          <w:sz w:val="26"/>
          <w:szCs w:val="26"/>
          <w:lang w:val="en-GB"/>
        </w:rPr>
        <w:lastRenderedPageBreak/>
        <w:t xml:space="preserve">Opinion on the Bill for the conversion into law of Decree-Law No. 1 of January 2, 2023, containing </w:t>
      </w:r>
      <w:r w:rsidRPr="0081413A">
        <w:rPr>
          <w:rFonts w:ascii="Palatino Linotype" w:hAnsi="Palatino Linotype"/>
          <w:i/>
          <w:iCs/>
          <w:sz w:val="26"/>
          <w:szCs w:val="26"/>
          <w:lang w:val="en-GB"/>
        </w:rPr>
        <w:t xml:space="preserve">Urgent provisions for the management of migration </w:t>
      </w:r>
      <w:proofErr w:type="gramStart"/>
      <w:r w:rsidRPr="0081413A">
        <w:rPr>
          <w:rFonts w:ascii="Palatino Linotype" w:hAnsi="Palatino Linotype"/>
          <w:i/>
          <w:iCs/>
          <w:sz w:val="26"/>
          <w:szCs w:val="26"/>
          <w:lang w:val="en-GB"/>
        </w:rPr>
        <w:t>flows</w:t>
      </w:r>
      <w:r w:rsidRPr="0081413A">
        <w:rPr>
          <w:rFonts w:ascii="Palatino Linotype" w:hAnsi="Palatino Linotype"/>
          <w:sz w:val="26"/>
          <w:szCs w:val="26"/>
          <w:lang w:val="en-GB"/>
        </w:rPr>
        <w:t>;</w:t>
      </w:r>
      <w:proofErr w:type="gramEnd"/>
      <w:r w:rsidRPr="0081413A">
        <w:rPr>
          <w:rFonts w:ascii="Palatino Linotype" w:hAnsi="Palatino Linotype"/>
          <w:sz w:val="26"/>
          <w:szCs w:val="26"/>
          <w:lang w:val="en-GB"/>
        </w:rPr>
        <w:t xml:space="preserve"> </w:t>
      </w:r>
    </w:p>
    <w:p w14:paraId="1C4C45DD" w14:textId="77777777" w:rsidR="00507092" w:rsidRPr="0081413A" w:rsidRDefault="00507092" w:rsidP="007B7EDC">
      <w:pPr>
        <w:pStyle w:val="Paragrafoelenco"/>
        <w:numPr>
          <w:ilvl w:val="0"/>
          <w:numId w:val="15"/>
        </w:numPr>
        <w:suppressAutoHyphens/>
        <w:spacing w:before="80" w:after="80" w:line="278" w:lineRule="auto"/>
        <w:ind w:right="282"/>
        <w:contextualSpacing w:val="0"/>
        <w:rPr>
          <w:rFonts w:ascii="Palatino Linotype" w:hAnsi="Palatino Linotype"/>
          <w:sz w:val="26"/>
          <w:szCs w:val="26"/>
          <w:lang w:val="en-GB"/>
        </w:rPr>
      </w:pPr>
      <w:r w:rsidRPr="0081413A">
        <w:rPr>
          <w:rFonts w:ascii="Palatino Linotype" w:hAnsi="Palatino Linotype"/>
          <w:sz w:val="26"/>
          <w:szCs w:val="26"/>
          <w:lang w:val="en-GB"/>
        </w:rPr>
        <w:t xml:space="preserve">GNPL’s letter on Decree-Law No. 124 of September 19, 2023, containing </w:t>
      </w:r>
      <w:r w:rsidRPr="0081413A">
        <w:rPr>
          <w:rFonts w:ascii="Palatino Linotype" w:hAnsi="Palatino Linotype"/>
          <w:i/>
          <w:iCs/>
          <w:sz w:val="26"/>
          <w:szCs w:val="26"/>
          <w:lang w:val="en-GB"/>
        </w:rPr>
        <w:t xml:space="preserve">Urgent provisions regarding cohesion policies for the economic relaunch of the Southern regions of the country, as well as on </w:t>
      </w:r>
      <w:proofErr w:type="gramStart"/>
      <w:r w:rsidRPr="0081413A">
        <w:rPr>
          <w:rFonts w:ascii="Palatino Linotype" w:hAnsi="Palatino Linotype"/>
          <w:i/>
          <w:iCs/>
          <w:sz w:val="26"/>
          <w:szCs w:val="26"/>
          <w:lang w:val="en-GB"/>
        </w:rPr>
        <w:t>immigration</w:t>
      </w:r>
      <w:r w:rsidRPr="0081413A">
        <w:rPr>
          <w:rFonts w:ascii="Palatino Linotype" w:hAnsi="Palatino Linotype"/>
          <w:sz w:val="26"/>
          <w:szCs w:val="26"/>
          <w:lang w:val="en-GB"/>
        </w:rPr>
        <w:t>;</w:t>
      </w:r>
      <w:proofErr w:type="gramEnd"/>
      <w:r w:rsidRPr="0081413A">
        <w:rPr>
          <w:rFonts w:ascii="Palatino Linotype" w:hAnsi="Palatino Linotype"/>
          <w:sz w:val="26"/>
          <w:szCs w:val="26"/>
          <w:lang w:val="en-GB"/>
        </w:rPr>
        <w:t xml:space="preserve"> </w:t>
      </w:r>
    </w:p>
    <w:p w14:paraId="3520FCE9" w14:textId="77777777" w:rsidR="00507092" w:rsidRPr="0081413A" w:rsidRDefault="00507092" w:rsidP="007B7EDC">
      <w:pPr>
        <w:pStyle w:val="Paragrafoelenco"/>
        <w:numPr>
          <w:ilvl w:val="0"/>
          <w:numId w:val="15"/>
        </w:numPr>
        <w:suppressAutoHyphens/>
        <w:spacing w:before="80" w:after="80" w:line="278" w:lineRule="auto"/>
        <w:ind w:right="282"/>
        <w:contextualSpacing w:val="0"/>
        <w:rPr>
          <w:rFonts w:ascii="Palatino Linotype" w:hAnsi="Palatino Linotype"/>
          <w:sz w:val="26"/>
          <w:szCs w:val="26"/>
          <w:lang w:val="en-GB"/>
        </w:rPr>
      </w:pPr>
      <w:r w:rsidRPr="0081413A">
        <w:rPr>
          <w:rFonts w:ascii="Palatino Linotype" w:hAnsi="Palatino Linotype"/>
          <w:sz w:val="26"/>
          <w:szCs w:val="26"/>
          <w:lang w:val="en-GB"/>
        </w:rPr>
        <w:t xml:space="preserve">Opinion on Decree-Law No. 133 of October 5, 2023, containing </w:t>
      </w:r>
      <w:r w:rsidRPr="0081413A">
        <w:rPr>
          <w:rFonts w:ascii="Palatino Linotype" w:hAnsi="Palatino Linotype"/>
          <w:i/>
          <w:iCs/>
          <w:sz w:val="26"/>
          <w:szCs w:val="26"/>
          <w:lang w:val="en-GB"/>
        </w:rPr>
        <w:t xml:space="preserve">Urgent provisions regarding immigration and international protection, as well as support for security policies and the functionality of the Ministry of the </w:t>
      </w:r>
      <w:proofErr w:type="gramStart"/>
      <w:r w:rsidRPr="0081413A">
        <w:rPr>
          <w:rFonts w:ascii="Palatino Linotype" w:hAnsi="Palatino Linotype"/>
          <w:i/>
          <w:iCs/>
          <w:sz w:val="26"/>
          <w:szCs w:val="26"/>
          <w:lang w:val="en-GB"/>
        </w:rPr>
        <w:t>Interior</w:t>
      </w:r>
      <w:r w:rsidRPr="0081413A">
        <w:rPr>
          <w:rFonts w:ascii="Palatino Linotype" w:hAnsi="Palatino Linotype"/>
          <w:sz w:val="26"/>
          <w:szCs w:val="26"/>
          <w:lang w:val="en-GB"/>
        </w:rPr>
        <w:t>;</w:t>
      </w:r>
      <w:proofErr w:type="gramEnd"/>
      <w:r w:rsidRPr="0081413A">
        <w:rPr>
          <w:rFonts w:ascii="Palatino Linotype" w:hAnsi="Palatino Linotype"/>
          <w:sz w:val="26"/>
          <w:szCs w:val="26"/>
          <w:lang w:val="en-GB"/>
        </w:rPr>
        <w:t xml:space="preserve"> </w:t>
      </w:r>
    </w:p>
    <w:p w14:paraId="4D935760" w14:textId="77777777" w:rsidR="00507092" w:rsidRPr="0081413A" w:rsidRDefault="00507092" w:rsidP="007B7EDC">
      <w:pPr>
        <w:pStyle w:val="Paragrafoelenco"/>
        <w:numPr>
          <w:ilvl w:val="0"/>
          <w:numId w:val="15"/>
        </w:numPr>
        <w:suppressAutoHyphens/>
        <w:spacing w:before="80" w:after="80" w:line="278" w:lineRule="auto"/>
        <w:ind w:right="282"/>
        <w:contextualSpacing w:val="0"/>
        <w:rPr>
          <w:rFonts w:ascii="Palatino Linotype" w:hAnsi="Palatino Linotype"/>
          <w:sz w:val="26"/>
          <w:szCs w:val="26"/>
          <w:lang w:val="en-GB"/>
        </w:rPr>
      </w:pPr>
      <w:r w:rsidRPr="0081413A">
        <w:rPr>
          <w:rFonts w:ascii="Palatino Linotype" w:hAnsi="Palatino Linotype"/>
          <w:sz w:val="26"/>
          <w:szCs w:val="26"/>
          <w:lang w:val="en-GB"/>
        </w:rPr>
        <w:t xml:space="preserve">Opinion on draft law AC 1493: Bill for the conversion into law of Decree-Law No. 37 of March 28, 2025, containing </w:t>
      </w:r>
      <w:r w:rsidRPr="0081413A">
        <w:rPr>
          <w:rFonts w:ascii="Palatino Linotype" w:hAnsi="Palatino Linotype"/>
          <w:i/>
          <w:iCs/>
          <w:sz w:val="26"/>
          <w:szCs w:val="26"/>
          <w:lang w:val="en-GB"/>
        </w:rPr>
        <w:t>Urgent provisions for the prevention of irregular immigration</w:t>
      </w:r>
      <w:r w:rsidRPr="0081413A">
        <w:rPr>
          <w:rFonts w:ascii="Palatino Linotype" w:hAnsi="Palatino Linotype"/>
          <w:sz w:val="26"/>
          <w:szCs w:val="26"/>
          <w:lang w:val="en-GB"/>
        </w:rPr>
        <w:t>.</w:t>
      </w:r>
    </w:p>
    <w:p w14:paraId="288BEAD3" w14:textId="77777777" w:rsidR="00507092" w:rsidRPr="0081413A" w:rsidRDefault="00507092" w:rsidP="007B7EDC">
      <w:pPr>
        <w:spacing w:before="80" w:after="80" w:line="278" w:lineRule="auto"/>
        <w:ind w:right="282"/>
        <w:jc w:val="both"/>
        <w:rPr>
          <w:rFonts w:ascii="Palatino Linotype" w:hAnsi="Palatino Linotype"/>
          <w:sz w:val="26"/>
          <w:szCs w:val="26"/>
          <w:lang w:val="en-GB"/>
        </w:rPr>
      </w:pPr>
      <w:r w:rsidRPr="0081413A">
        <w:rPr>
          <w:rFonts w:ascii="Palatino Linotype" w:hAnsi="Palatino Linotype"/>
          <w:sz w:val="26"/>
          <w:szCs w:val="26"/>
          <w:lang w:val="en-GB"/>
        </w:rPr>
        <w:t xml:space="preserve">The GNPL’s advisory function has also extended to specific acts and regulations of individual administrative bodies, both national and transnational (10 opinions). Notable among these are: </w:t>
      </w:r>
    </w:p>
    <w:p w14:paraId="1ABC582D" w14:textId="77777777" w:rsidR="00507092" w:rsidRPr="0081413A" w:rsidRDefault="00507092" w:rsidP="007B7EDC">
      <w:pPr>
        <w:pStyle w:val="Paragrafoelenco"/>
        <w:numPr>
          <w:ilvl w:val="0"/>
          <w:numId w:val="21"/>
        </w:numPr>
        <w:spacing w:before="80" w:after="80" w:line="278" w:lineRule="auto"/>
        <w:ind w:left="360" w:right="282" w:hanging="426"/>
        <w:contextualSpacing w:val="0"/>
        <w:rPr>
          <w:rFonts w:ascii="Palatino Linotype" w:hAnsi="Palatino Linotype"/>
          <w:sz w:val="26"/>
          <w:szCs w:val="26"/>
          <w:lang w:val="en-GB"/>
        </w:rPr>
      </w:pPr>
      <w:r w:rsidRPr="0081413A">
        <w:rPr>
          <w:rFonts w:ascii="Palatino Linotype" w:hAnsi="Palatino Linotype"/>
          <w:sz w:val="26"/>
          <w:szCs w:val="26"/>
          <w:lang w:val="en-GB"/>
        </w:rPr>
        <w:t>Opinion on the new revision of the draft CPR Regulation, approved by Ministerial Decree on May 19, 2022 (the so-called ‘Lamorgese Directive’). Many of the amendments proposed by the GNPL were accepted and incorporated into the final approved text.</w:t>
      </w:r>
    </w:p>
    <w:p w14:paraId="468F80AD" w14:textId="77777777" w:rsidR="00507092" w:rsidRPr="0081413A" w:rsidRDefault="00507092" w:rsidP="007B7EDC">
      <w:pPr>
        <w:pStyle w:val="Paragrafoelenco"/>
        <w:numPr>
          <w:ilvl w:val="0"/>
          <w:numId w:val="21"/>
        </w:numPr>
        <w:spacing w:before="80" w:after="80" w:line="278" w:lineRule="auto"/>
        <w:ind w:left="360" w:right="282" w:hanging="426"/>
        <w:contextualSpacing w:val="0"/>
        <w:rPr>
          <w:rFonts w:ascii="Palatino Linotype" w:hAnsi="Palatino Linotype"/>
          <w:sz w:val="26"/>
          <w:szCs w:val="26"/>
          <w:lang w:val="en-GB"/>
        </w:rPr>
      </w:pPr>
      <w:r w:rsidRPr="0081413A">
        <w:rPr>
          <w:rFonts w:ascii="Palatino Linotype" w:hAnsi="Palatino Linotype"/>
          <w:sz w:val="26"/>
          <w:szCs w:val="26"/>
          <w:lang w:val="en-GB"/>
        </w:rPr>
        <w:t xml:space="preserve">Opinion to the Rapporteur of the European Parliament’s Committee on Civil Liberties, Justice and Home Affairs (LIBE), ahead of the negotiations between the Parliament, Council, and Commission for the final adoption of the New EU Pact on Migration and Asylum. In this opinion, the GNPL pointed out the omission of National Preventive Mechanisms (‘NPM’s) from the list of national monitoring bodies that Member States may designate to monitor the places and forms of detention of third-country nationals undergoing screening procedures. Article 10 of the ‘Screening Regulation’ approved on May 14, 2024 (EU Regulation No. 2024/1356) now contains an explicit reference to </w:t>
      </w:r>
      <w:proofErr w:type="gramStart"/>
      <w:r w:rsidRPr="0081413A">
        <w:rPr>
          <w:rFonts w:ascii="Palatino Linotype" w:hAnsi="Palatino Linotype"/>
          <w:sz w:val="26"/>
          <w:szCs w:val="26"/>
          <w:lang w:val="en-GB"/>
        </w:rPr>
        <w:t>NPMs;</w:t>
      </w:r>
      <w:proofErr w:type="gramEnd"/>
    </w:p>
    <w:p w14:paraId="0A484DE2" w14:textId="77777777" w:rsidR="00507092" w:rsidRPr="0081413A" w:rsidRDefault="00507092" w:rsidP="007B7EDC">
      <w:pPr>
        <w:pStyle w:val="Paragrafoelenco"/>
        <w:numPr>
          <w:ilvl w:val="0"/>
          <w:numId w:val="21"/>
        </w:numPr>
        <w:spacing w:before="80" w:after="80" w:line="278" w:lineRule="auto"/>
        <w:ind w:left="360" w:right="282" w:hanging="426"/>
        <w:contextualSpacing w:val="0"/>
        <w:rPr>
          <w:rFonts w:ascii="Palatino Linotype" w:hAnsi="Palatino Linotype"/>
          <w:sz w:val="26"/>
          <w:szCs w:val="26"/>
          <w:lang w:val="en-GB"/>
        </w:rPr>
      </w:pPr>
      <w:r w:rsidRPr="0081413A">
        <w:rPr>
          <w:rFonts w:ascii="Palatino Linotype" w:hAnsi="Palatino Linotype"/>
          <w:sz w:val="26"/>
          <w:szCs w:val="26"/>
          <w:lang w:val="en-GB"/>
        </w:rPr>
        <w:lastRenderedPageBreak/>
        <w:t>Opinion to the Ministry of the Interior regarding the Fundamental Rights Monitoring Mechanism provided for by Article 10 of EU Regulation No. 2024/1356 (‘Screening Regulation’) and Article 43 of EU Regulation No. 2024/1348 (‘Procedures Regulation’)</w:t>
      </w:r>
    </w:p>
    <w:p w14:paraId="12E09332" w14:textId="77777777" w:rsidR="00507092" w:rsidRPr="0081413A" w:rsidRDefault="00507092" w:rsidP="007B7EDC">
      <w:pPr>
        <w:suppressAutoHyphens/>
        <w:spacing w:before="80" w:after="80" w:line="278" w:lineRule="auto"/>
        <w:ind w:left="360" w:right="282"/>
        <w:jc w:val="both"/>
        <w:rPr>
          <w:rFonts w:ascii="Palatino Linotype" w:eastAsia="Calibri" w:hAnsi="Palatino Linotype" w:cs="Tahoma"/>
          <w:sz w:val="26"/>
          <w:szCs w:val="26"/>
          <w:lang w:val="en-GB"/>
        </w:rPr>
      </w:pPr>
    </w:p>
    <w:p w14:paraId="4C7BB291" w14:textId="794C10A3" w:rsidR="00507092" w:rsidRPr="0081413A" w:rsidRDefault="0088186C" w:rsidP="007B7EDC">
      <w:pPr>
        <w:suppressAutoHyphens/>
        <w:spacing w:before="80" w:after="80" w:line="278" w:lineRule="auto"/>
        <w:ind w:right="282"/>
        <w:jc w:val="both"/>
        <w:rPr>
          <w:rFonts w:ascii="Palatino Linotype" w:eastAsia="Calibri" w:hAnsi="Palatino Linotype" w:cs="Tahoma"/>
          <w:sz w:val="26"/>
          <w:szCs w:val="26"/>
          <w:lang w:val="en-GB"/>
        </w:rPr>
      </w:pPr>
      <w:r>
        <w:rPr>
          <w:rFonts w:ascii="Palatino Linotype" w:eastAsia="Calibri" w:hAnsi="Palatino Linotype" w:cs="Tahoma"/>
          <w:sz w:val="26"/>
          <w:szCs w:val="26"/>
          <w:lang w:val="en-GB"/>
        </w:rPr>
        <w:t>7</w:t>
      </w:r>
      <w:r w:rsidR="00507092" w:rsidRPr="00747C54">
        <w:rPr>
          <w:rFonts w:ascii="Palatino Linotype" w:eastAsia="Calibri" w:hAnsi="Palatino Linotype" w:cs="Tahoma"/>
          <w:sz w:val="26"/>
          <w:szCs w:val="26"/>
          <w:lang w:val="en-GB"/>
        </w:rPr>
        <w:t>.2 In the field of criminal detention</w:t>
      </w:r>
      <w:r w:rsidR="00507092" w:rsidRPr="0081413A">
        <w:rPr>
          <w:rFonts w:ascii="Palatino Linotype" w:eastAsia="Calibri" w:hAnsi="Palatino Linotype" w:cs="Tahoma"/>
          <w:sz w:val="26"/>
          <w:szCs w:val="26"/>
          <w:lang w:val="en-GB"/>
        </w:rPr>
        <w:t>, the GNPL submitted:</w:t>
      </w:r>
    </w:p>
    <w:p w14:paraId="407E3081" w14:textId="77777777" w:rsidR="00507092" w:rsidRPr="0081413A" w:rsidRDefault="00507092" w:rsidP="007B7EDC">
      <w:pPr>
        <w:pStyle w:val="Paragrafoelenco"/>
        <w:numPr>
          <w:ilvl w:val="0"/>
          <w:numId w:val="22"/>
        </w:numPr>
        <w:suppressAutoHyphens/>
        <w:spacing w:before="80" w:after="80" w:line="278" w:lineRule="auto"/>
        <w:ind w:left="426" w:right="282" w:hanging="426"/>
        <w:contextualSpacing w:val="0"/>
        <w:rPr>
          <w:rFonts w:ascii="Palatino Linotype" w:hAnsi="Palatino Linotype"/>
          <w:sz w:val="26"/>
          <w:szCs w:val="26"/>
          <w:lang w:val="en-GB"/>
        </w:rPr>
      </w:pPr>
      <w:r w:rsidRPr="0081413A">
        <w:rPr>
          <w:rFonts w:ascii="Palatino Linotype" w:hAnsi="Palatino Linotype"/>
          <w:sz w:val="26"/>
          <w:szCs w:val="26"/>
          <w:lang w:val="en-GB"/>
        </w:rPr>
        <w:t xml:space="preserve">Opinion on draft law A.C. 2933 - </w:t>
      </w:r>
      <w:r w:rsidRPr="0081413A">
        <w:rPr>
          <w:rFonts w:ascii="Palatino Linotype" w:hAnsi="Palatino Linotype"/>
          <w:i/>
          <w:iCs/>
          <w:sz w:val="26"/>
          <w:szCs w:val="26"/>
          <w:lang w:val="en-GB"/>
        </w:rPr>
        <w:t xml:space="preserve">Provisions for the promotion and support of theatrical activities in prisons, aimed at contributing to the rehabilitation and the social and professional reintegration of </w:t>
      </w:r>
      <w:proofErr w:type="gramStart"/>
      <w:r w:rsidRPr="0081413A">
        <w:rPr>
          <w:rFonts w:ascii="Palatino Linotype" w:hAnsi="Palatino Linotype"/>
          <w:i/>
          <w:iCs/>
          <w:sz w:val="26"/>
          <w:szCs w:val="26"/>
          <w:lang w:val="en-GB"/>
        </w:rPr>
        <w:t>inmates</w:t>
      </w:r>
      <w:r w:rsidRPr="0081413A">
        <w:rPr>
          <w:rFonts w:ascii="Palatino Linotype" w:hAnsi="Palatino Linotype"/>
          <w:sz w:val="26"/>
          <w:szCs w:val="26"/>
          <w:lang w:val="en-GB"/>
        </w:rPr>
        <w:t>;</w:t>
      </w:r>
      <w:proofErr w:type="gramEnd"/>
      <w:r w:rsidRPr="0081413A">
        <w:rPr>
          <w:rFonts w:ascii="Palatino Linotype" w:hAnsi="Palatino Linotype"/>
          <w:sz w:val="26"/>
          <w:szCs w:val="26"/>
          <w:lang w:val="en-GB"/>
        </w:rPr>
        <w:t xml:space="preserve"> </w:t>
      </w:r>
    </w:p>
    <w:p w14:paraId="441797CF" w14:textId="77777777" w:rsidR="00507092" w:rsidRPr="0081413A" w:rsidRDefault="00507092" w:rsidP="007B7EDC">
      <w:pPr>
        <w:pStyle w:val="Paragrafoelenco"/>
        <w:numPr>
          <w:ilvl w:val="0"/>
          <w:numId w:val="22"/>
        </w:numPr>
        <w:suppressAutoHyphens/>
        <w:spacing w:before="80" w:after="80" w:line="278" w:lineRule="auto"/>
        <w:ind w:left="426" w:right="282" w:hanging="426"/>
        <w:contextualSpacing w:val="0"/>
        <w:rPr>
          <w:rFonts w:ascii="Palatino Linotype" w:hAnsi="Palatino Linotype"/>
          <w:sz w:val="26"/>
          <w:szCs w:val="26"/>
          <w:lang w:val="en-GB"/>
        </w:rPr>
      </w:pPr>
      <w:r w:rsidRPr="0081413A">
        <w:rPr>
          <w:rFonts w:ascii="Palatino Linotype" w:hAnsi="Palatino Linotype"/>
          <w:sz w:val="26"/>
          <w:szCs w:val="26"/>
          <w:lang w:val="en-GB"/>
        </w:rPr>
        <w:t xml:space="preserve">Opinion on draft law A.C. 243-a and related acts - Legislative proposal concerning </w:t>
      </w:r>
      <w:r w:rsidRPr="0081413A">
        <w:rPr>
          <w:rFonts w:ascii="Palatino Linotype" w:hAnsi="Palatino Linotype"/>
          <w:i/>
          <w:iCs/>
          <w:sz w:val="26"/>
          <w:szCs w:val="26"/>
          <w:lang w:val="en-GB"/>
        </w:rPr>
        <w:t>Measures for the prevention of radicalisation and Jihadist extremism</w:t>
      </w:r>
      <w:r w:rsidRPr="0081413A">
        <w:rPr>
          <w:rFonts w:ascii="Palatino Linotype" w:hAnsi="Palatino Linotype"/>
          <w:sz w:val="26"/>
          <w:szCs w:val="26"/>
          <w:lang w:val="en-GB"/>
        </w:rPr>
        <w:t xml:space="preserve">. The GNPL expressed a positive assessment of the measure’s objective to prevent subversive phenomena of violent radicalisation and to encourage deradicalisation, within the framework of respecting the fundamental rights and guarantees established by national and international </w:t>
      </w:r>
      <w:proofErr w:type="gramStart"/>
      <w:r w:rsidRPr="0081413A">
        <w:rPr>
          <w:rFonts w:ascii="Palatino Linotype" w:hAnsi="Palatino Linotype"/>
          <w:sz w:val="26"/>
          <w:szCs w:val="26"/>
          <w:lang w:val="en-GB"/>
        </w:rPr>
        <w:t>law;</w:t>
      </w:r>
      <w:proofErr w:type="gramEnd"/>
      <w:r w:rsidRPr="0081413A">
        <w:rPr>
          <w:rFonts w:ascii="Palatino Linotype" w:hAnsi="Palatino Linotype"/>
          <w:sz w:val="26"/>
          <w:szCs w:val="26"/>
          <w:lang w:val="en-GB"/>
        </w:rPr>
        <w:t xml:space="preserve"> </w:t>
      </w:r>
    </w:p>
    <w:p w14:paraId="5827BCF6" w14:textId="77777777" w:rsidR="00507092" w:rsidRPr="0081413A" w:rsidRDefault="00507092" w:rsidP="007B7EDC">
      <w:pPr>
        <w:pStyle w:val="Paragrafoelenco"/>
        <w:numPr>
          <w:ilvl w:val="0"/>
          <w:numId w:val="22"/>
        </w:numPr>
        <w:suppressAutoHyphens/>
        <w:spacing w:before="80" w:after="80" w:line="278" w:lineRule="auto"/>
        <w:ind w:left="426" w:right="282" w:hanging="426"/>
        <w:contextualSpacing w:val="0"/>
        <w:rPr>
          <w:rFonts w:ascii="Palatino Linotype" w:hAnsi="Palatino Linotype"/>
          <w:sz w:val="26"/>
          <w:szCs w:val="26"/>
          <w:lang w:val="en-GB"/>
        </w:rPr>
      </w:pPr>
      <w:r w:rsidRPr="0081413A">
        <w:rPr>
          <w:rFonts w:ascii="Palatino Linotype" w:hAnsi="Palatino Linotype"/>
          <w:sz w:val="26"/>
          <w:szCs w:val="26"/>
          <w:lang w:val="en-GB"/>
        </w:rPr>
        <w:t>Opinion on draft law A.C. 552</w:t>
      </w:r>
      <w:r w:rsidRPr="0081413A">
        <w:rPr>
          <w:rFonts w:ascii="Palatino Linotype" w:hAnsi="Palatino Linotype"/>
          <w:b/>
          <w:bCs/>
          <w:sz w:val="26"/>
          <w:szCs w:val="26"/>
          <w:lang w:val="en-GB"/>
        </w:rPr>
        <w:t>:</w:t>
      </w:r>
      <w:r w:rsidRPr="0081413A">
        <w:rPr>
          <w:rFonts w:ascii="Palatino Linotype" w:hAnsi="Palatino Linotype"/>
          <w:sz w:val="26"/>
          <w:szCs w:val="26"/>
          <w:lang w:val="en-GB"/>
        </w:rPr>
        <w:t xml:space="preserve"> Legislative proposal initiated </w:t>
      </w:r>
      <w:proofErr w:type="gramStart"/>
      <w:r w:rsidRPr="0081413A">
        <w:rPr>
          <w:rFonts w:ascii="Palatino Linotype" w:hAnsi="Palatino Linotype"/>
          <w:sz w:val="26"/>
          <w:szCs w:val="26"/>
          <w:lang w:val="en-GB"/>
        </w:rPr>
        <w:t>by  Roberto</w:t>
      </w:r>
      <w:proofErr w:type="gramEnd"/>
      <w:r w:rsidRPr="0081413A">
        <w:rPr>
          <w:rFonts w:ascii="Palatino Linotype" w:hAnsi="Palatino Linotype"/>
          <w:sz w:val="26"/>
          <w:szCs w:val="26"/>
          <w:lang w:val="en-GB"/>
        </w:rPr>
        <w:t xml:space="preserve"> Giachetti</w:t>
      </w:r>
      <w:r>
        <w:rPr>
          <w:rFonts w:ascii="Palatino Linotype" w:hAnsi="Palatino Linotype"/>
          <w:sz w:val="26"/>
          <w:szCs w:val="26"/>
          <w:lang w:val="en-GB"/>
        </w:rPr>
        <w:t xml:space="preserve"> MP</w:t>
      </w:r>
      <w:r w:rsidRPr="0081413A">
        <w:rPr>
          <w:rFonts w:ascii="Palatino Linotype" w:hAnsi="Palatino Linotype"/>
          <w:sz w:val="26"/>
          <w:szCs w:val="26"/>
          <w:lang w:val="en-GB"/>
        </w:rPr>
        <w:t xml:space="preserve">, concerning </w:t>
      </w:r>
      <w:r w:rsidRPr="0081413A">
        <w:rPr>
          <w:rFonts w:ascii="Palatino Linotype" w:hAnsi="Palatino Linotype"/>
          <w:i/>
          <w:iCs/>
          <w:sz w:val="26"/>
          <w:szCs w:val="26"/>
          <w:lang w:val="en-GB"/>
        </w:rPr>
        <w:t xml:space="preserve">Amendments to Law No. 354 of July 26, 1975, regarding the granting of early release and temporary provisions for its </w:t>
      </w:r>
      <w:proofErr w:type="gramStart"/>
      <w:r w:rsidRPr="0081413A">
        <w:rPr>
          <w:rFonts w:ascii="Palatino Linotype" w:hAnsi="Palatino Linotype"/>
          <w:i/>
          <w:iCs/>
          <w:sz w:val="26"/>
          <w:szCs w:val="26"/>
          <w:lang w:val="en-GB"/>
        </w:rPr>
        <w:t>application</w:t>
      </w:r>
      <w:r w:rsidRPr="0081413A">
        <w:rPr>
          <w:rFonts w:ascii="Palatino Linotype" w:hAnsi="Palatino Linotype"/>
          <w:sz w:val="26"/>
          <w:szCs w:val="26"/>
          <w:lang w:val="en-GB"/>
        </w:rPr>
        <w:t>;</w:t>
      </w:r>
      <w:proofErr w:type="gramEnd"/>
      <w:r w:rsidRPr="0081413A">
        <w:rPr>
          <w:rFonts w:ascii="Palatino Linotype" w:hAnsi="Palatino Linotype"/>
          <w:sz w:val="26"/>
          <w:szCs w:val="26"/>
          <w:lang w:val="en-GB"/>
        </w:rPr>
        <w:t xml:space="preserve"> </w:t>
      </w:r>
    </w:p>
    <w:p w14:paraId="0788FE44" w14:textId="77777777" w:rsidR="00507092" w:rsidRPr="0081413A" w:rsidRDefault="00507092" w:rsidP="007B7EDC">
      <w:pPr>
        <w:pStyle w:val="Paragrafoelenco"/>
        <w:numPr>
          <w:ilvl w:val="0"/>
          <w:numId w:val="22"/>
        </w:numPr>
        <w:suppressAutoHyphens/>
        <w:spacing w:before="80" w:after="80" w:line="278" w:lineRule="auto"/>
        <w:ind w:left="426" w:right="282" w:hanging="426"/>
        <w:contextualSpacing w:val="0"/>
        <w:rPr>
          <w:rFonts w:ascii="Palatino Linotype" w:hAnsi="Palatino Linotype"/>
          <w:sz w:val="26"/>
          <w:szCs w:val="26"/>
          <w:lang w:val="en-GB"/>
        </w:rPr>
      </w:pPr>
      <w:r w:rsidRPr="0081413A">
        <w:rPr>
          <w:rFonts w:ascii="Palatino Linotype" w:hAnsi="Palatino Linotype"/>
          <w:sz w:val="26"/>
          <w:szCs w:val="26"/>
          <w:lang w:val="en-GB"/>
        </w:rPr>
        <w:t>Opinion on draft law A.S. 1183: Government draft law presented by the President of the Council of Ministers (MELONI) and the Minister of Justice (NORDIO). Conversion into law of Decree-Law No. 92 of July 4, 2024, containing urgent measures regarding the prison system, civil and criminal justice, and Ministry of Justice personnel.</w:t>
      </w:r>
    </w:p>
    <w:p w14:paraId="2D8F2276" w14:textId="77777777" w:rsidR="00507092" w:rsidRPr="0081413A" w:rsidRDefault="00507092" w:rsidP="007B7EDC">
      <w:pPr>
        <w:pStyle w:val="Paragrafoelenco"/>
        <w:numPr>
          <w:ilvl w:val="0"/>
          <w:numId w:val="22"/>
        </w:numPr>
        <w:suppressAutoHyphens/>
        <w:spacing w:before="80" w:after="80" w:line="278" w:lineRule="auto"/>
        <w:ind w:left="426" w:right="282" w:hanging="426"/>
        <w:contextualSpacing w:val="0"/>
        <w:rPr>
          <w:rFonts w:ascii="Palatino Linotype" w:hAnsi="Palatino Linotype"/>
          <w:sz w:val="26"/>
          <w:szCs w:val="26"/>
          <w:lang w:val="en-GB"/>
        </w:rPr>
      </w:pPr>
      <w:r w:rsidRPr="0081413A">
        <w:rPr>
          <w:rFonts w:ascii="Palatino Linotype" w:hAnsi="Palatino Linotype"/>
          <w:sz w:val="26"/>
          <w:szCs w:val="26"/>
          <w:lang w:val="en-GB"/>
        </w:rPr>
        <w:t xml:space="preserve">Opinion on Article 45(4) of the Prison Law regarding the registration in the Registry Office of detained foreign persons without a residence permit. </w:t>
      </w:r>
    </w:p>
    <w:p w14:paraId="6729E5B4" w14:textId="77777777" w:rsidR="00507092" w:rsidRPr="0081413A" w:rsidRDefault="00507092" w:rsidP="007B7EDC">
      <w:pPr>
        <w:suppressAutoHyphens/>
        <w:spacing w:before="80" w:after="80" w:line="278" w:lineRule="auto"/>
        <w:ind w:left="567" w:right="282"/>
        <w:jc w:val="both"/>
        <w:rPr>
          <w:rFonts w:ascii="Palatino Linotype" w:eastAsia="Calibri" w:hAnsi="Palatino Linotype" w:cs="Tahoma"/>
          <w:sz w:val="26"/>
          <w:szCs w:val="26"/>
          <w:lang w:val="en-GB"/>
        </w:rPr>
      </w:pPr>
    </w:p>
    <w:p w14:paraId="4D5E0641" w14:textId="2C48DB19" w:rsidR="00507092" w:rsidRPr="0081413A" w:rsidRDefault="0088186C" w:rsidP="007B7EDC">
      <w:pPr>
        <w:suppressAutoHyphens/>
        <w:spacing w:before="80" w:after="80" w:line="278" w:lineRule="auto"/>
        <w:ind w:right="282"/>
        <w:jc w:val="both"/>
        <w:rPr>
          <w:rFonts w:ascii="Palatino Linotype" w:eastAsia="Calibri" w:hAnsi="Palatino Linotype" w:cs="Tahoma"/>
          <w:sz w:val="26"/>
          <w:szCs w:val="26"/>
          <w:lang w:val="en-GB"/>
        </w:rPr>
      </w:pPr>
      <w:r>
        <w:rPr>
          <w:rFonts w:ascii="Palatino Linotype" w:eastAsia="Calibri" w:hAnsi="Palatino Linotype" w:cs="Tahoma"/>
          <w:sz w:val="26"/>
          <w:szCs w:val="26"/>
          <w:lang w:val="en-GB"/>
        </w:rPr>
        <w:lastRenderedPageBreak/>
        <w:t>7</w:t>
      </w:r>
      <w:r w:rsidR="00507092" w:rsidRPr="00747C54">
        <w:rPr>
          <w:rFonts w:ascii="Palatino Linotype" w:eastAsia="Calibri" w:hAnsi="Palatino Linotype" w:cs="Tahoma"/>
          <w:sz w:val="26"/>
          <w:szCs w:val="26"/>
          <w:lang w:val="en-GB"/>
        </w:rPr>
        <w:t xml:space="preserve">.3 In the field of </w:t>
      </w:r>
      <w:r w:rsidR="00507092" w:rsidRPr="00747C54">
        <w:rPr>
          <w:rFonts w:ascii="Palatino Linotype" w:hAnsi="Palatino Linotype"/>
          <w:sz w:val="26"/>
          <w:szCs w:val="26"/>
          <w:lang w:val="en-GB"/>
        </w:rPr>
        <w:t>deprivation of liberty within healthcare and social-healthcare facilities</w:t>
      </w:r>
      <w:r w:rsidR="00507092" w:rsidRPr="0081413A">
        <w:rPr>
          <w:rFonts w:ascii="Palatino Linotype" w:eastAsia="Calibri" w:hAnsi="Palatino Linotype" w:cs="Tahoma"/>
          <w:sz w:val="26"/>
          <w:szCs w:val="26"/>
          <w:lang w:val="en-GB"/>
        </w:rPr>
        <w:t>, the GNPL submitted:</w:t>
      </w:r>
    </w:p>
    <w:p w14:paraId="2B22B99D" w14:textId="77777777" w:rsidR="00507092" w:rsidRPr="0081413A" w:rsidRDefault="00507092" w:rsidP="007B7EDC">
      <w:pPr>
        <w:pStyle w:val="Paragrafoelenco"/>
        <w:numPr>
          <w:ilvl w:val="0"/>
          <w:numId w:val="23"/>
        </w:numPr>
        <w:suppressAutoHyphens/>
        <w:spacing w:before="80" w:after="80" w:line="278" w:lineRule="auto"/>
        <w:ind w:left="426" w:right="282" w:hanging="426"/>
        <w:contextualSpacing w:val="0"/>
        <w:rPr>
          <w:rFonts w:ascii="Palatino Linotype" w:hAnsi="Palatino Linotype"/>
          <w:sz w:val="26"/>
          <w:szCs w:val="26"/>
          <w:lang w:val="en-GB"/>
        </w:rPr>
      </w:pPr>
      <w:r w:rsidRPr="0081413A">
        <w:rPr>
          <w:rFonts w:ascii="Palatino Linotype" w:hAnsi="Palatino Linotype"/>
          <w:sz w:val="26"/>
          <w:szCs w:val="26"/>
          <w:lang w:val="en-GB"/>
        </w:rPr>
        <w:t>Opinion in response to inquiries raised by the Complex Operational Unit (UOC) of the Emergency Room and Emergency Medicine department of the ‘San Filippo Neri’ Hospital in Rome (Asl Roma 1) regarding the legality and use of mechanical restraint in Emergency Departments.</w:t>
      </w:r>
    </w:p>
    <w:p w14:paraId="6E37993E" w14:textId="77777777" w:rsidR="00507092" w:rsidRPr="0081413A" w:rsidRDefault="00507092" w:rsidP="007B7EDC">
      <w:pPr>
        <w:suppressAutoHyphens/>
        <w:spacing w:before="80" w:after="80" w:line="278" w:lineRule="auto"/>
        <w:ind w:left="567" w:right="282"/>
        <w:jc w:val="both"/>
        <w:rPr>
          <w:rFonts w:ascii="Palatino Linotype" w:eastAsia="Calibri" w:hAnsi="Palatino Linotype" w:cs="Tahoma"/>
          <w:sz w:val="26"/>
          <w:szCs w:val="26"/>
          <w:lang w:val="en-GB"/>
        </w:rPr>
      </w:pPr>
    </w:p>
    <w:p w14:paraId="65FEDE3A" w14:textId="1979B2A8" w:rsidR="00507092" w:rsidRPr="0081413A" w:rsidRDefault="0088186C" w:rsidP="007B7EDC">
      <w:pPr>
        <w:suppressAutoHyphens/>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7</w:t>
      </w:r>
      <w:r w:rsidR="00507092">
        <w:rPr>
          <w:rFonts w:ascii="Palatino Linotype" w:hAnsi="Palatino Linotype"/>
          <w:sz w:val="26"/>
          <w:szCs w:val="26"/>
          <w:lang w:val="en-GB"/>
        </w:rPr>
        <w:t xml:space="preserve">.4 </w:t>
      </w:r>
      <w:r w:rsidR="00507092" w:rsidRPr="0081413A">
        <w:rPr>
          <w:rFonts w:ascii="Palatino Linotype" w:hAnsi="Palatino Linotype"/>
          <w:sz w:val="26"/>
          <w:szCs w:val="26"/>
          <w:lang w:val="en-GB"/>
        </w:rPr>
        <w:t xml:space="preserve">Other opinions have covered multiple areas of the GNPL's intervention: </w:t>
      </w:r>
    </w:p>
    <w:p w14:paraId="068A575A" w14:textId="77777777" w:rsidR="00296B8E" w:rsidRDefault="00507092" w:rsidP="007B7EDC">
      <w:pPr>
        <w:tabs>
          <w:tab w:val="left" w:pos="426"/>
        </w:tabs>
        <w:suppressAutoHyphens/>
        <w:spacing w:before="80" w:after="80" w:line="278" w:lineRule="auto"/>
        <w:ind w:left="426" w:right="282" w:hanging="426"/>
        <w:jc w:val="both"/>
        <w:rPr>
          <w:rFonts w:ascii="Palatino Linotype" w:hAnsi="Palatino Linotype"/>
          <w:sz w:val="26"/>
          <w:szCs w:val="26"/>
          <w:lang w:val="en-GB"/>
        </w:rPr>
      </w:pPr>
      <w:r w:rsidRPr="0081413A">
        <w:rPr>
          <w:rFonts w:ascii="Palatino Linotype" w:hAnsi="Palatino Linotype"/>
          <w:sz w:val="26"/>
          <w:szCs w:val="26"/>
          <w:lang w:val="en-GB"/>
        </w:rPr>
        <w:t>(</w:t>
      </w:r>
      <w:r w:rsidR="00296B8E">
        <w:rPr>
          <w:rFonts w:ascii="Palatino Linotype" w:hAnsi="Palatino Linotype"/>
          <w:sz w:val="26"/>
          <w:szCs w:val="26"/>
          <w:lang w:val="en-GB"/>
        </w:rPr>
        <w:t>a</w:t>
      </w:r>
      <w:r w:rsidRPr="0081413A">
        <w:rPr>
          <w:rFonts w:ascii="Palatino Linotype" w:hAnsi="Palatino Linotype"/>
          <w:sz w:val="26"/>
          <w:szCs w:val="26"/>
          <w:lang w:val="en-GB"/>
        </w:rPr>
        <w:t>) Opinion on Senate draft law A.S. 1162, converting into law Decree-Law No. 162 of 2022, concerning ‘statutory bars' (</w:t>
      </w:r>
      <w:proofErr w:type="spellStart"/>
      <w:r w:rsidRPr="0081413A">
        <w:rPr>
          <w:rFonts w:ascii="Palatino Linotype" w:hAnsi="Palatino Linotype"/>
          <w:i/>
          <w:iCs/>
          <w:sz w:val="26"/>
          <w:szCs w:val="26"/>
          <w:lang w:val="en-GB"/>
        </w:rPr>
        <w:t>ostatività</w:t>
      </w:r>
      <w:proofErr w:type="spellEnd"/>
      <w:r w:rsidRPr="0081413A">
        <w:rPr>
          <w:rFonts w:ascii="Palatino Linotype" w:hAnsi="Palatino Linotype"/>
          <w:sz w:val="26"/>
          <w:szCs w:val="26"/>
          <w:lang w:val="en-GB"/>
        </w:rPr>
        <w:t xml:space="preserve">) and illegal </w:t>
      </w:r>
      <w:proofErr w:type="gramStart"/>
      <w:r w:rsidRPr="0081413A">
        <w:rPr>
          <w:rFonts w:ascii="Palatino Linotype" w:hAnsi="Palatino Linotype"/>
          <w:sz w:val="26"/>
          <w:szCs w:val="26"/>
          <w:lang w:val="en-GB"/>
        </w:rPr>
        <w:t>gatherings;</w:t>
      </w:r>
      <w:proofErr w:type="gramEnd"/>
      <w:r w:rsidRPr="0081413A">
        <w:rPr>
          <w:rFonts w:ascii="Palatino Linotype" w:hAnsi="Palatino Linotype"/>
          <w:sz w:val="26"/>
          <w:szCs w:val="26"/>
          <w:lang w:val="en-GB"/>
        </w:rPr>
        <w:t xml:space="preserve"> </w:t>
      </w:r>
    </w:p>
    <w:p w14:paraId="483E51C4" w14:textId="77777777" w:rsidR="00296B8E" w:rsidRDefault="00507092" w:rsidP="007B7EDC">
      <w:pPr>
        <w:tabs>
          <w:tab w:val="left" w:pos="426"/>
        </w:tabs>
        <w:suppressAutoHyphens/>
        <w:spacing w:before="80" w:after="80" w:line="278" w:lineRule="auto"/>
        <w:ind w:left="426" w:right="282" w:hanging="426"/>
        <w:jc w:val="both"/>
        <w:rPr>
          <w:rFonts w:ascii="Palatino Linotype" w:hAnsi="Palatino Linotype"/>
          <w:sz w:val="26"/>
          <w:szCs w:val="26"/>
          <w:lang w:val="en-GB"/>
        </w:rPr>
      </w:pPr>
      <w:r w:rsidRPr="0081413A">
        <w:rPr>
          <w:rFonts w:ascii="Palatino Linotype" w:hAnsi="Palatino Linotype"/>
          <w:sz w:val="26"/>
          <w:szCs w:val="26"/>
          <w:lang w:val="en-GB"/>
        </w:rPr>
        <w:t>(</w:t>
      </w:r>
      <w:r w:rsidR="00296B8E">
        <w:rPr>
          <w:rFonts w:ascii="Palatino Linotype" w:hAnsi="Palatino Linotype"/>
          <w:sz w:val="26"/>
          <w:szCs w:val="26"/>
          <w:lang w:val="en-GB"/>
        </w:rPr>
        <w:t>b</w:t>
      </w:r>
      <w:r w:rsidRPr="0081413A">
        <w:rPr>
          <w:rFonts w:ascii="Palatino Linotype" w:hAnsi="Palatino Linotype"/>
          <w:sz w:val="26"/>
          <w:szCs w:val="26"/>
          <w:lang w:val="en-GB"/>
        </w:rPr>
        <w:t xml:space="preserve">) Opinion on Article 45 of the Prison Regulations, addressed to the Prison Administration, the Regions and Autonomous Provinces of Trento and Bolzano, and the Central Directorate for Demographic Services of the Department for Internal and Territorial Affairs of the Ministry of the </w:t>
      </w:r>
      <w:proofErr w:type="gramStart"/>
      <w:r w:rsidRPr="0081413A">
        <w:rPr>
          <w:rFonts w:ascii="Palatino Linotype" w:hAnsi="Palatino Linotype"/>
          <w:sz w:val="26"/>
          <w:szCs w:val="26"/>
          <w:lang w:val="en-GB"/>
        </w:rPr>
        <w:t>Interior;</w:t>
      </w:r>
      <w:proofErr w:type="gramEnd"/>
      <w:r w:rsidRPr="0081413A">
        <w:rPr>
          <w:rFonts w:ascii="Palatino Linotype" w:hAnsi="Palatino Linotype"/>
          <w:sz w:val="26"/>
          <w:szCs w:val="26"/>
          <w:lang w:val="en-GB"/>
        </w:rPr>
        <w:t xml:space="preserve"> </w:t>
      </w:r>
    </w:p>
    <w:p w14:paraId="6D3C6BE3" w14:textId="77777777" w:rsidR="00296B8E" w:rsidRDefault="00296B8E" w:rsidP="007B7EDC">
      <w:pPr>
        <w:tabs>
          <w:tab w:val="left" w:pos="426"/>
        </w:tabs>
        <w:suppressAutoHyphens/>
        <w:spacing w:before="80" w:after="80" w:line="278" w:lineRule="auto"/>
        <w:ind w:left="426" w:right="282" w:hanging="426"/>
        <w:jc w:val="both"/>
        <w:rPr>
          <w:rFonts w:ascii="Palatino Linotype" w:hAnsi="Palatino Linotype"/>
          <w:sz w:val="26"/>
          <w:szCs w:val="26"/>
          <w:lang w:val="en-GB"/>
        </w:rPr>
      </w:pPr>
      <w:r w:rsidRPr="0081413A">
        <w:rPr>
          <w:rFonts w:ascii="Palatino Linotype" w:hAnsi="Palatino Linotype"/>
          <w:sz w:val="26"/>
          <w:szCs w:val="26"/>
          <w:lang w:val="en-GB"/>
        </w:rPr>
        <w:t>(</w:t>
      </w:r>
      <w:r>
        <w:rPr>
          <w:rFonts w:ascii="Palatino Linotype" w:hAnsi="Palatino Linotype"/>
          <w:sz w:val="26"/>
          <w:szCs w:val="26"/>
          <w:lang w:val="en-GB"/>
        </w:rPr>
        <w:t>c</w:t>
      </w:r>
      <w:r w:rsidRPr="0081413A">
        <w:rPr>
          <w:rFonts w:ascii="Palatino Linotype" w:hAnsi="Palatino Linotype"/>
          <w:sz w:val="26"/>
          <w:szCs w:val="26"/>
          <w:lang w:val="en-GB"/>
        </w:rPr>
        <w:t>)</w:t>
      </w:r>
      <w:r>
        <w:rPr>
          <w:rFonts w:ascii="Palatino Linotype" w:hAnsi="Palatino Linotype"/>
          <w:sz w:val="26"/>
          <w:szCs w:val="26"/>
          <w:lang w:val="en-GB"/>
        </w:rPr>
        <w:tab/>
      </w:r>
      <w:r w:rsidR="00507092" w:rsidRPr="0081413A">
        <w:rPr>
          <w:rFonts w:ascii="Palatino Linotype" w:hAnsi="Palatino Linotype"/>
          <w:sz w:val="26"/>
          <w:szCs w:val="26"/>
          <w:lang w:val="en-GB"/>
        </w:rPr>
        <w:t xml:space="preserve">Memorandum submitted to the Chamber of Deputies regarding draft law A.C. 1660 (presented by Ministers Piantedosi, </w:t>
      </w:r>
      <w:proofErr w:type="spellStart"/>
      <w:r w:rsidR="00507092" w:rsidRPr="0081413A">
        <w:rPr>
          <w:rFonts w:ascii="Palatino Linotype" w:hAnsi="Palatino Linotype"/>
          <w:sz w:val="26"/>
          <w:szCs w:val="26"/>
          <w:lang w:val="en-GB"/>
        </w:rPr>
        <w:t>Nordio</w:t>
      </w:r>
      <w:proofErr w:type="spellEnd"/>
      <w:r w:rsidR="00507092" w:rsidRPr="0081413A">
        <w:rPr>
          <w:rFonts w:ascii="Palatino Linotype" w:hAnsi="Palatino Linotype"/>
          <w:sz w:val="26"/>
          <w:szCs w:val="26"/>
          <w:lang w:val="en-GB"/>
        </w:rPr>
        <w:t xml:space="preserve">, and Crosetto), containing </w:t>
      </w:r>
      <w:r w:rsidR="00507092" w:rsidRPr="0081413A">
        <w:rPr>
          <w:rFonts w:ascii="Palatino Linotype" w:hAnsi="Palatino Linotype"/>
          <w:i/>
          <w:iCs/>
          <w:sz w:val="26"/>
          <w:szCs w:val="26"/>
          <w:lang w:val="en-GB"/>
        </w:rPr>
        <w:t xml:space="preserve">Provisions on public security, protection of personnel in service, victims of usury, and the Prison </w:t>
      </w:r>
      <w:proofErr w:type="gramStart"/>
      <w:r w:rsidR="00507092" w:rsidRPr="0081413A">
        <w:rPr>
          <w:rFonts w:ascii="Palatino Linotype" w:hAnsi="Palatino Linotype"/>
          <w:i/>
          <w:iCs/>
          <w:sz w:val="26"/>
          <w:szCs w:val="26"/>
          <w:lang w:val="en-GB"/>
        </w:rPr>
        <w:t>System</w:t>
      </w:r>
      <w:r w:rsidR="00507092" w:rsidRPr="0081413A">
        <w:rPr>
          <w:rFonts w:ascii="Palatino Linotype" w:hAnsi="Palatino Linotype"/>
          <w:sz w:val="26"/>
          <w:szCs w:val="26"/>
          <w:lang w:val="en-GB"/>
        </w:rPr>
        <w:t>;</w:t>
      </w:r>
      <w:proofErr w:type="gramEnd"/>
    </w:p>
    <w:p w14:paraId="346E081D" w14:textId="585A9C8F" w:rsidR="00507092" w:rsidRPr="0081413A" w:rsidRDefault="00296B8E" w:rsidP="007B7EDC">
      <w:pPr>
        <w:tabs>
          <w:tab w:val="left" w:pos="426"/>
        </w:tabs>
        <w:suppressAutoHyphens/>
        <w:spacing w:before="80" w:after="80" w:line="278" w:lineRule="auto"/>
        <w:ind w:left="426" w:right="282" w:hanging="426"/>
        <w:jc w:val="both"/>
        <w:rPr>
          <w:rFonts w:ascii="Palatino Linotype" w:hAnsi="Palatino Linotype"/>
          <w:sz w:val="26"/>
          <w:szCs w:val="26"/>
          <w:lang w:val="en-GB"/>
        </w:rPr>
      </w:pPr>
      <w:r>
        <w:rPr>
          <w:rFonts w:ascii="Palatino Linotype" w:hAnsi="Palatino Linotype"/>
          <w:sz w:val="26"/>
          <w:szCs w:val="26"/>
          <w:lang w:val="en-GB"/>
        </w:rPr>
        <w:t>(d)</w:t>
      </w:r>
      <w:r>
        <w:rPr>
          <w:rFonts w:ascii="Palatino Linotype" w:hAnsi="Palatino Linotype"/>
          <w:sz w:val="26"/>
          <w:szCs w:val="26"/>
          <w:lang w:val="en-GB"/>
        </w:rPr>
        <w:tab/>
      </w:r>
      <w:r w:rsidR="00507092" w:rsidRPr="0081413A">
        <w:rPr>
          <w:rFonts w:ascii="Palatino Linotype" w:hAnsi="Palatino Linotype"/>
          <w:sz w:val="26"/>
          <w:szCs w:val="26"/>
          <w:lang w:val="en-GB"/>
        </w:rPr>
        <w:t xml:space="preserve">Memorandum submitted to the Senate of the Republic — Extraordinary Commission for the Protection and Promotion of Human Rights — as a follow-up to the fact-finding inquiry into the levels and mechanisms of human rights protection in Italy and internationally. This memorandum provides an analytical review of the GNPL’s activities and functions, emphasizing its mandate as NPM and its unique role within Italy’s institutional human rights architecture. </w:t>
      </w:r>
    </w:p>
    <w:p w14:paraId="7C3A1D38" w14:textId="77777777" w:rsidR="00507092" w:rsidRPr="0081413A" w:rsidRDefault="00507092" w:rsidP="007B7EDC">
      <w:pPr>
        <w:suppressAutoHyphens/>
        <w:spacing w:before="80" w:after="80" w:line="278" w:lineRule="auto"/>
        <w:ind w:left="567" w:right="282"/>
        <w:jc w:val="both"/>
        <w:rPr>
          <w:rFonts w:ascii="Palatino Linotype" w:eastAsia="Calibri" w:hAnsi="Palatino Linotype" w:cs="Tahoma"/>
          <w:sz w:val="26"/>
          <w:szCs w:val="26"/>
          <w:lang w:val="en-GB"/>
        </w:rPr>
      </w:pPr>
    </w:p>
    <w:p w14:paraId="5C7FE1A2" w14:textId="50FBC5D2" w:rsidR="00507092" w:rsidRDefault="0088186C" w:rsidP="007B7EDC">
      <w:pPr>
        <w:suppressAutoHyphens/>
        <w:spacing w:before="80" w:after="80" w:line="278" w:lineRule="auto"/>
        <w:ind w:right="282"/>
        <w:jc w:val="both"/>
        <w:rPr>
          <w:rFonts w:ascii="Palatino Linotype" w:eastAsia="Calibri" w:hAnsi="Palatino Linotype" w:cs="Tahoma"/>
          <w:sz w:val="26"/>
          <w:szCs w:val="26"/>
          <w:lang w:val="en-GB"/>
        </w:rPr>
      </w:pPr>
      <w:r>
        <w:rPr>
          <w:rFonts w:ascii="Palatino Linotype" w:eastAsia="Calibri" w:hAnsi="Palatino Linotype" w:cs="Tahoma"/>
          <w:sz w:val="26"/>
          <w:szCs w:val="26"/>
          <w:lang w:val="en-GB"/>
        </w:rPr>
        <w:t>7</w:t>
      </w:r>
      <w:r w:rsidR="00507092">
        <w:rPr>
          <w:rFonts w:ascii="Palatino Linotype" w:eastAsia="Calibri" w:hAnsi="Palatino Linotype" w:cs="Tahoma"/>
          <w:sz w:val="26"/>
          <w:szCs w:val="26"/>
          <w:lang w:val="en-GB"/>
        </w:rPr>
        <w:t>.5 T</w:t>
      </w:r>
      <w:r w:rsidR="00507092" w:rsidRPr="0081413A">
        <w:rPr>
          <w:rFonts w:ascii="Palatino Linotype" w:eastAsia="Calibri" w:hAnsi="Palatino Linotype" w:cs="Tahoma"/>
          <w:sz w:val="26"/>
          <w:szCs w:val="26"/>
          <w:lang w:val="en-GB"/>
        </w:rPr>
        <w:t xml:space="preserve">he GNPL continued its activities as </w:t>
      </w:r>
      <w:r w:rsidR="00507092" w:rsidRPr="0081413A">
        <w:rPr>
          <w:rFonts w:ascii="Palatino Linotype" w:eastAsia="Calibri" w:hAnsi="Palatino Linotype" w:cs="Tahoma"/>
          <w:i/>
          <w:iCs/>
          <w:sz w:val="26"/>
          <w:szCs w:val="26"/>
          <w:lang w:val="en-GB"/>
        </w:rPr>
        <w:t>amicus curiae</w:t>
      </w:r>
      <w:r w:rsidR="00507092" w:rsidRPr="0081413A">
        <w:rPr>
          <w:rFonts w:ascii="Palatino Linotype" w:eastAsia="Calibri" w:hAnsi="Palatino Linotype" w:cs="Tahoma"/>
          <w:sz w:val="26"/>
          <w:szCs w:val="26"/>
          <w:lang w:val="en-GB"/>
        </w:rPr>
        <w:t xml:space="preserve"> by submitting memoranda and opinions to both national and international judicial authorities. Specifically, the GNPL was admitted submitting written observations to the Italian Constitutional Court and the European Court of Human Rights (ECtHR).</w:t>
      </w:r>
    </w:p>
    <w:p w14:paraId="30FFDA18" w14:textId="77777777" w:rsidR="00507092" w:rsidRDefault="00507092" w:rsidP="007B7EDC">
      <w:pPr>
        <w:suppressAutoHyphens/>
        <w:spacing w:before="80" w:after="80" w:line="278" w:lineRule="auto"/>
        <w:ind w:right="282"/>
        <w:jc w:val="both"/>
        <w:rPr>
          <w:rFonts w:ascii="Palatino Linotype" w:eastAsia="Calibri" w:hAnsi="Palatino Linotype" w:cs="Tahoma"/>
          <w:sz w:val="26"/>
          <w:szCs w:val="26"/>
          <w:lang w:val="en-GB"/>
        </w:rPr>
      </w:pPr>
      <w:r w:rsidRPr="0081413A">
        <w:rPr>
          <w:rFonts w:ascii="Palatino Linotype" w:eastAsia="Calibri" w:hAnsi="Palatino Linotype" w:cs="Tahoma"/>
          <w:sz w:val="26"/>
          <w:szCs w:val="26"/>
          <w:lang w:val="en-GB"/>
        </w:rPr>
        <w:t>On 9 December 2024, the GNPL submitted an opinion to the Constitutional Court about the constitutionality of Article 14, paragraph 2, of the Consolidated Law on Immigration. In ruling No. 96 of 3 July 2025, the Court declared the questions of constitutionality inadmissible. Nonetheless, it acknowledged — as previously noted by the GNPL in its opinion —that the challenged provision is inadequate in defining, with sufficient precision, the modalities of detention within CPR</w:t>
      </w:r>
      <w:r>
        <w:rPr>
          <w:rFonts w:ascii="Palatino Linotype" w:eastAsia="Calibri" w:hAnsi="Palatino Linotype" w:cs="Tahoma"/>
          <w:sz w:val="26"/>
          <w:szCs w:val="26"/>
          <w:lang w:val="en-GB"/>
        </w:rPr>
        <w:t>:</w:t>
      </w:r>
      <w:r w:rsidRPr="0081413A">
        <w:rPr>
          <w:rFonts w:ascii="Palatino Linotype" w:eastAsia="Calibri" w:hAnsi="Palatino Linotype" w:cs="Tahoma"/>
          <w:sz w:val="26"/>
          <w:szCs w:val="26"/>
          <w:lang w:val="en-GB"/>
        </w:rPr>
        <w:t xml:space="preserve"> In </w:t>
      </w:r>
    </w:p>
    <w:p w14:paraId="625EA72E" w14:textId="77777777" w:rsidR="00507092" w:rsidRDefault="00507092" w:rsidP="007B7EDC">
      <w:pPr>
        <w:suppressAutoHyphens/>
        <w:spacing w:before="80" w:after="80" w:line="278" w:lineRule="auto"/>
        <w:ind w:right="282"/>
        <w:jc w:val="both"/>
        <w:rPr>
          <w:rFonts w:ascii="Palatino Linotype" w:eastAsia="Calibri" w:hAnsi="Palatino Linotype" w:cs="Tahoma"/>
          <w:sz w:val="26"/>
          <w:szCs w:val="26"/>
          <w:lang w:val="en-GB"/>
        </w:rPr>
      </w:pPr>
      <w:r>
        <w:rPr>
          <w:rFonts w:ascii="Palatino Linotype" w:eastAsia="Calibri" w:hAnsi="Palatino Linotype" w:cs="Tahoma"/>
          <w:sz w:val="26"/>
          <w:szCs w:val="26"/>
          <w:lang w:val="en-GB"/>
        </w:rPr>
        <w:t xml:space="preserve">Written submissions to the ECtHR were about: </w:t>
      </w:r>
    </w:p>
    <w:p w14:paraId="64406F18" w14:textId="77777777" w:rsidR="00507092" w:rsidRPr="00D65986" w:rsidRDefault="00507092" w:rsidP="007B7EDC">
      <w:pPr>
        <w:pStyle w:val="Paragrafoelenco"/>
        <w:numPr>
          <w:ilvl w:val="0"/>
          <w:numId w:val="28"/>
        </w:numPr>
        <w:suppressAutoHyphens/>
        <w:spacing w:before="80" w:after="80" w:line="278" w:lineRule="auto"/>
        <w:ind w:left="0" w:right="282"/>
        <w:jc w:val="left"/>
        <w:rPr>
          <w:rFonts w:ascii="Palatino Linotype" w:eastAsia="Calibri" w:hAnsi="Palatino Linotype" w:cs="Tahoma"/>
          <w:sz w:val="26"/>
          <w:szCs w:val="26"/>
          <w:lang w:val="en-GB"/>
        </w:rPr>
      </w:pPr>
      <w:r w:rsidRPr="00D65986">
        <w:rPr>
          <w:rFonts w:ascii="Palatino Linotype" w:eastAsia="Calibri" w:hAnsi="Palatino Linotype" w:cs="Tahoma"/>
          <w:sz w:val="26"/>
          <w:szCs w:val="26"/>
          <w:lang w:val="en-GB"/>
        </w:rPr>
        <w:t>the lawfulness of mechanical restraint in psychiatric hospitalisation and its use for 'therapeutic' purposes (</w:t>
      </w:r>
      <w:r w:rsidRPr="00D65986">
        <w:rPr>
          <w:rFonts w:ascii="Palatino Linotype" w:eastAsia="Calibri" w:hAnsi="Palatino Linotype" w:cs="Tahoma"/>
          <w:i/>
          <w:iCs/>
          <w:sz w:val="26"/>
          <w:szCs w:val="26"/>
          <w:lang w:val="en-GB"/>
        </w:rPr>
        <w:t>Lavorgna v. Italy</w:t>
      </w:r>
      <w:proofErr w:type="gramStart"/>
      <w:r w:rsidRPr="00D65986">
        <w:rPr>
          <w:rFonts w:ascii="Palatino Linotype" w:eastAsia="Calibri" w:hAnsi="Palatino Linotype" w:cs="Tahoma"/>
          <w:sz w:val="26"/>
          <w:szCs w:val="26"/>
          <w:lang w:val="en-GB"/>
        </w:rPr>
        <w:t>);</w:t>
      </w:r>
      <w:proofErr w:type="gramEnd"/>
      <w:r w:rsidRPr="00D65986">
        <w:rPr>
          <w:rFonts w:ascii="Palatino Linotype" w:eastAsia="Calibri" w:hAnsi="Palatino Linotype" w:cs="Tahoma"/>
          <w:sz w:val="26"/>
          <w:szCs w:val="26"/>
          <w:lang w:val="en-GB"/>
        </w:rPr>
        <w:t xml:space="preserve"> </w:t>
      </w:r>
    </w:p>
    <w:p w14:paraId="16F2CE54" w14:textId="77777777" w:rsidR="00507092" w:rsidRDefault="00507092" w:rsidP="007B7EDC">
      <w:pPr>
        <w:pStyle w:val="Paragrafoelenco"/>
        <w:numPr>
          <w:ilvl w:val="0"/>
          <w:numId w:val="28"/>
        </w:numPr>
        <w:suppressAutoHyphens/>
        <w:spacing w:before="80" w:after="80" w:line="278" w:lineRule="auto"/>
        <w:ind w:left="0" w:right="282"/>
        <w:jc w:val="left"/>
        <w:rPr>
          <w:rFonts w:ascii="Palatino Linotype" w:eastAsia="Calibri" w:hAnsi="Palatino Linotype" w:cs="Tahoma"/>
          <w:sz w:val="26"/>
          <w:szCs w:val="26"/>
          <w:lang w:val="en-GB"/>
        </w:rPr>
      </w:pPr>
      <w:r w:rsidRPr="00D65986">
        <w:rPr>
          <w:rFonts w:ascii="Palatino Linotype" w:eastAsia="Calibri" w:hAnsi="Palatino Linotype" w:cs="Tahoma"/>
          <w:sz w:val="26"/>
          <w:szCs w:val="26"/>
          <w:lang w:val="en-GB"/>
        </w:rPr>
        <w:t>the imprisonment of individuals with psychiatric illnesses awaiting placement in REMS (</w:t>
      </w:r>
      <w:r w:rsidRPr="00D65986">
        <w:rPr>
          <w:rFonts w:ascii="Palatino Linotype" w:eastAsia="Calibri" w:hAnsi="Palatino Linotype" w:cs="Tahoma"/>
          <w:i/>
          <w:iCs/>
          <w:sz w:val="26"/>
          <w:szCs w:val="26"/>
          <w:lang w:val="en-GB"/>
        </w:rPr>
        <w:t>Brunetti v. Italy</w:t>
      </w:r>
      <w:proofErr w:type="gramStart"/>
      <w:r w:rsidRPr="00D65986">
        <w:rPr>
          <w:rFonts w:ascii="Palatino Linotype" w:eastAsia="Calibri" w:hAnsi="Palatino Linotype" w:cs="Tahoma"/>
          <w:sz w:val="26"/>
          <w:szCs w:val="26"/>
          <w:lang w:val="en-GB"/>
        </w:rPr>
        <w:t>);</w:t>
      </w:r>
      <w:proofErr w:type="gramEnd"/>
      <w:r w:rsidRPr="00D65986">
        <w:rPr>
          <w:rFonts w:ascii="Palatino Linotype" w:eastAsia="Calibri" w:hAnsi="Palatino Linotype" w:cs="Tahoma"/>
          <w:sz w:val="26"/>
          <w:szCs w:val="26"/>
          <w:lang w:val="en-GB"/>
        </w:rPr>
        <w:t xml:space="preserve"> </w:t>
      </w:r>
    </w:p>
    <w:p w14:paraId="7BE2217D" w14:textId="77777777" w:rsidR="00507092" w:rsidRDefault="00507092" w:rsidP="007B7EDC">
      <w:pPr>
        <w:pStyle w:val="Paragrafoelenco"/>
        <w:numPr>
          <w:ilvl w:val="0"/>
          <w:numId w:val="28"/>
        </w:numPr>
        <w:suppressAutoHyphens/>
        <w:spacing w:before="80" w:after="80" w:line="278" w:lineRule="auto"/>
        <w:ind w:left="0" w:right="282"/>
        <w:jc w:val="left"/>
        <w:rPr>
          <w:rFonts w:ascii="Palatino Linotype" w:eastAsia="Calibri" w:hAnsi="Palatino Linotype" w:cs="Tahoma"/>
          <w:sz w:val="26"/>
          <w:szCs w:val="26"/>
          <w:lang w:val="en-GB"/>
        </w:rPr>
      </w:pPr>
      <w:r w:rsidRPr="00D65986">
        <w:rPr>
          <w:rFonts w:ascii="Palatino Linotype" w:eastAsia="Calibri" w:hAnsi="Palatino Linotype" w:cs="Tahoma"/>
          <w:sz w:val="26"/>
          <w:szCs w:val="26"/>
          <w:lang w:val="en-GB"/>
        </w:rPr>
        <w:t>the special prison regime under Article 41-bis (</w:t>
      </w:r>
      <w:r w:rsidRPr="00D65986">
        <w:rPr>
          <w:rFonts w:ascii="Palatino Linotype" w:eastAsia="Calibri" w:hAnsi="Palatino Linotype" w:cs="Tahoma"/>
          <w:i/>
          <w:iCs/>
          <w:sz w:val="26"/>
          <w:szCs w:val="26"/>
          <w:lang w:val="en-GB"/>
        </w:rPr>
        <w:t>No. 59946/17 and Others</w:t>
      </w:r>
      <w:proofErr w:type="gramStart"/>
      <w:r w:rsidRPr="00D65986">
        <w:rPr>
          <w:rFonts w:ascii="Palatino Linotype" w:eastAsia="Calibri" w:hAnsi="Palatino Linotype" w:cs="Tahoma"/>
          <w:sz w:val="26"/>
          <w:szCs w:val="26"/>
          <w:lang w:val="en-GB"/>
        </w:rPr>
        <w:t>);</w:t>
      </w:r>
      <w:proofErr w:type="gramEnd"/>
      <w:r w:rsidRPr="00D65986">
        <w:rPr>
          <w:rFonts w:ascii="Palatino Linotype" w:eastAsia="Calibri" w:hAnsi="Palatino Linotype" w:cs="Tahoma"/>
          <w:sz w:val="26"/>
          <w:szCs w:val="26"/>
          <w:lang w:val="en-GB"/>
        </w:rPr>
        <w:t xml:space="preserve"> </w:t>
      </w:r>
    </w:p>
    <w:p w14:paraId="2D2BA25C" w14:textId="77777777" w:rsidR="00507092" w:rsidRDefault="00507092" w:rsidP="007B7EDC">
      <w:pPr>
        <w:pStyle w:val="Paragrafoelenco"/>
        <w:numPr>
          <w:ilvl w:val="0"/>
          <w:numId w:val="28"/>
        </w:numPr>
        <w:suppressAutoHyphens/>
        <w:spacing w:before="80" w:after="80" w:line="278" w:lineRule="auto"/>
        <w:ind w:left="0" w:right="282"/>
        <w:jc w:val="left"/>
        <w:rPr>
          <w:rFonts w:ascii="Palatino Linotype" w:eastAsia="Calibri" w:hAnsi="Palatino Linotype" w:cs="Tahoma"/>
          <w:sz w:val="26"/>
          <w:szCs w:val="26"/>
          <w:lang w:val="en-GB"/>
        </w:rPr>
      </w:pPr>
      <w:r w:rsidRPr="00D65986">
        <w:rPr>
          <w:rFonts w:ascii="Palatino Linotype" w:eastAsia="Calibri" w:hAnsi="Palatino Linotype" w:cs="Tahoma"/>
          <w:sz w:val="26"/>
          <w:szCs w:val="26"/>
          <w:lang w:val="en-GB"/>
        </w:rPr>
        <w:t>the practice of delaying the assignment of a Place of Safety (POS) to vessels rescuing migrants at sea (</w:t>
      </w:r>
      <w:r w:rsidRPr="00D65986">
        <w:rPr>
          <w:rFonts w:ascii="Palatino Linotype" w:eastAsia="Calibri" w:hAnsi="Palatino Linotype" w:cs="Tahoma"/>
          <w:i/>
          <w:iCs/>
          <w:sz w:val="26"/>
          <w:szCs w:val="26"/>
          <w:lang w:val="en-GB"/>
        </w:rPr>
        <w:t>Y.A. and Others v. Italy</w:t>
      </w:r>
      <w:r w:rsidRPr="00D65986">
        <w:rPr>
          <w:rFonts w:ascii="Palatino Linotype" w:eastAsia="Calibri" w:hAnsi="Palatino Linotype" w:cs="Tahoma"/>
          <w:sz w:val="26"/>
          <w:szCs w:val="26"/>
          <w:lang w:val="en-GB"/>
        </w:rPr>
        <w:t xml:space="preserve">, </w:t>
      </w:r>
      <w:r w:rsidRPr="00D65986">
        <w:rPr>
          <w:rFonts w:ascii="Palatino Linotype" w:eastAsia="Calibri" w:hAnsi="Palatino Linotype" w:cs="Tahoma"/>
          <w:i/>
          <w:iCs/>
          <w:sz w:val="26"/>
          <w:szCs w:val="26"/>
          <w:lang w:val="en-GB"/>
        </w:rPr>
        <w:t>B.G. and Others v. Italy</w:t>
      </w:r>
      <w:r w:rsidRPr="00D65986">
        <w:rPr>
          <w:rFonts w:ascii="Palatino Linotype" w:eastAsia="Calibri" w:hAnsi="Palatino Linotype" w:cs="Tahoma"/>
          <w:sz w:val="26"/>
          <w:szCs w:val="26"/>
          <w:lang w:val="en-GB"/>
        </w:rPr>
        <w:t xml:space="preserve">, </w:t>
      </w:r>
      <w:r w:rsidRPr="00D65986">
        <w:rPr>
          <w:rFonts w:ascii="Palatino Linotype" w:eastAsia="Calibri" w:hAnsi="Palatino Linotype" w:cs="Tahoma"/>
          <w:i/>
          <w:iCs/>
          <w:sz w:val="26"/>
          <w:szCs w:val="26"/>
          <w:lang w:val="en-GB"/>
        </w:rPr>
        <w:t>M.S. and J.M. v. Italy</w:t>
      </w:r>
      <w:proofErr w:type="gramStart"/>
      <w:r w:rsidRPr="00D65986">
        <w:rPr>
          <w:rFonts w:ascii="Palatino Linotype" w:eastAsia="Calibri" w:hAnsi="Palatino Linotype" w:cs="Tahoma"/>
          <w:sz w:val="26"/>
          <w:szCs w:val="26"/>
          <w:lang w:val="en-GB"/>
        </w:rPr>
        <w:t>);</w:t>
      </w:r>
      <w:proofErr w:type="gramEnd"/>
      <w:r w:rsidRPr="00D65986">
        <w:rPr>
          <w:rFonts w:ascii="Palatino Linotype" w:eastAsia="Calibri" w:hAnsi="Palatino Linotype" w:cs="Tahoma"/>
          <w:sz w:val="26"/>
          <w:szCs w:val="26"/>
          <w:lang w:val="en-GB"/>
        </w:rPr>
        <w:t xml:space="preserve"> </w:t>
      </w:r>
    </w:p>
    <w:p w14:paraId="7E007743" w14:textId="77777777" w:rsidR="00507092" w:rsidRDefault="00507092" w:rsidP="007B7EDC">
      <w:pPr>
        <w:pStyle w:val="Paragrafoelenco"/>
        <w:numPr>
          <w:ilvl w:val="0"/>
          <w:numId w:val="28"/>
        </w:numPr>
        <w:suppressAutoHyphens/>
        <w:spacing w:before="80" w:after="80" w:line="278" w:lineRule="auto"/>
        <w:ind w:left="0" w:right="282"/>
        <w:jc w:val="left"/>
        <w:rPr>
          <w:rFonts w:ascii="Palatino Linotype" w:eastAsia="Calibri" w:hAnsi="Palatino Linotype" w:cs="Tahoma"/>
          <w:sz w:val="26"/>
          <w:szCs w:val="26"/>
          <w:lang w:val="en-GB"/>
        </w:rPr>
      </w:pPr>
      <w:r w:rsidRPr="00D65986">
        <w:rPr>
          <w:rFonts w:ascii="Palatino Linotype" w:eastAsia="Calibri" w:hAnsi="Palatino Linotype" w:cs="Tahoma"/>
          <w:sz w:val="26"/>
          <w:szCs w:val="26"/>
          <w:lang w:val="en-GB"/>
        </w:rPr>
        <w:t>the placement of vulnerable individuals in social care homes as well as the proportionality of such interventions (</w:t>
      </w:r>
      <w:r w:rsidRPr="00D65986">
        <w:rPr>
          <w:rFonts w:ascii="Palatino Linotype" w:eastAsia="Calibri" w:hAnsi="Palatino Linotype" w:cs="Tahoma"/>
          <w:i/>
          <w:iCs/>
          <w:sz w:val="26"/>
          <w:szCs w:val="26"/>
          <w:lang w:val="en-GB"/>
        </w:rPr>
        <w:t>Calvi and C.G. v. Italy</w:t>
      </w:r>
      <w:r w:rsidRPr="00D65986">
        <w:rPr>
          <w:rFonts w:ascii="Palatino Linotype" w:eastAsia="Calibri" w:hAnsi="Palatino Linotype" w:cs="Tahoma"/>
          <w:sz w:val="26"/>
          <w:szCs w:val="26"/>
          <w:lang w:val="en-GB"/>
        </w:rPr>
        <w:t xml:space="preserve">). </w:t>
      </w:r>
    </w:p>
    <w:p w14:paraId="72EC4F5B" w14:textId="77777777" w:rsidR="00507092" w:rsidRPr="00D65986" w:rsidRDefault="00507092" w:rsidP="007B7EDC">
      <w:pPr>
        <w:suppressAutoHyphens/>
        <w:spacing w:before="80" w:after="80" w:line="278" w:lineRule="auto"/>
        <w:ind w:right="282"/>
        <w:jc w:val="both"/>
        <w:rPr>
          <w:rFonts w:ascii="Palatino Linotype" w:eastAsia="Calibri" w:hAnsi="Palatino Linotype" w:cs="Tahoma"/>
          <w:sz w:val="26"/>
          <w:szCs w:val="26"/>
          <w:lang w:val="en-GB"/>
        </w:rPr>
      </w:pPr>
      <w:r w:rsidRPr="00D65986">
        <w:rPr>
          <w:rFonts w:ascii="Palatino Linotype" w:eastAsia="Calibri" w:hAnsi="Palatino Linotype" w:cs="Tahoma"/>
          <w:sz w:val="26"/>
          <w:szCs w:val="26"/>
          <w:lang w:val="en-GB"/>
        </w:rPr>
        <w:t xml:space="preserve">In </w:t>
      </w:r>
      <w:r w:rsidRPr="00D65986">
        <w:rPr>
          <w:rFonts w:ascii="Palatino Linotype" w:eastAsia="Calibri" w:hAnsi="Palatino Linotype" w:cs="Tahoma"/>
          <w:i/>
          <w:iCs/>
          <w:sz w:val="26"/>
          <w:szCs w:val="26"/>
          <w:lang w:val="en-GB"/>
        </w:rPr>
        <w:t>Lavorgna v. Italy</w:t>
      </w:r>
      <w:r w:rsidRPr="00D65986">
        <w:rPr>
          <w:rFonts w:ascii="Palatino Linotype" w:eastAsia="Calibri" w:hAnsi="Palatino Linotype" w:cs="Tahoma"/>
          <w:sz w:val="26"/>
          <w:szCs w:val="26"/>
          <w:lang w:val="en-GB"/>
        </w:rPr>
        <w:t xml:space="preserve"> (finding a violation of Article 3 ECHR), the GNPL intervened by highlighting the lack of specific national legislation on restraint and the fact that 'state of necessity' (Art. 54 of the Criminal Code) applies only to imminent danger, and not to future risks. </w:t>
      </w:r>
    </w:p>
    <w:p w14:paraId="6EAD4660" w14:textId="77777777" w:rsidR="00507092" w:rsidRDefault="00507092" w:rsidP="007B7EDC">
      <w:pPr>
        <w:suppressAutoHyphens/>
        <w:spacing w:before="80" w:after="80" w:line="278" w:lineRule="auto"/>
        <w:ind w:right="282"/>
        <w:jc w:val="both"/>
        <w:rPr>
          <w:rFonts w:ascii="Palatino Linotype" w:eastAsia="Calibri" w:hAnsi="Palatino Linotype" w:cs="Tahoma"/>
          <w:sz w:val="26"/>
          <w:szCs w:val="26"/>
          <w:lang w:val="en-GB"/>
        </w:rPr>
      </w:pPr>
      <w:r w:rsidRPr="0081413A">
        <w:rPr>
          <w:rFonts w:ascii="Palatino Linotype" w:eastAsia="Calibri" w:hAnsi="Palatino Linotype" w:cs="Tahoma"/>
          <w:sz w:val="26"/>
          <w:szCs w:val="26"/>
          <w:lang w:val="en-GB"/>
        </w:rPr>
        <w:t xml:space="preserve">In </w:t>
      </w:r>
      <w:r w:rsidRPr="0081413A">
        <w:rPr>
          <w:rFonts w:ascii="Palatino Linotype" w:eastAsia="Calibri" w:hAnsi="Palatino Linotype" w:cs="Tahoma"/>
          <w:i/>
          <w:iCs/>
          <w:sz w:val="26"/>
          <w:szCs w:val="26"/>
          <w:lang w:val="en-GB"/>
        </w:rPr>
        <w:t>Calvi and C.G. v. Italy</w:t>
      </w:r>
      <w:r w:rsidRPr="0081413A">
        <w:rPr>
          <w:rFonts w:ascii="Palatino Linotype" w:eastAsia="Calibri" w:hAnsi="Palatino Linotype" w:cs="Tahoma"/>
          <w:sz w:val="26"/>
          <w:szCs w:val="26"/>
          <w:lang w:val="en-GB"/>
        </w:rPr>
        <w:t xml:space="preserve"> (finding a violation of Article 8 ECHR), the Court deemed the GNPL’s recommendations relevant in assessing the degree of segregation suffered by the applicant in a social care home. </w:t>
      </w:r>
    </w:p>
    <w:p w14:paraId="0871B582" w14:textId="77777777" w:rsidR="00507092" w:rsidRDefault="00507092" w:rsidP="007B7EDC">
      <w:pPr>
        <w:suppressAutoHyphens/>
        <w:spacing w:before="80" w:after="80" w:line="278" w:lineRule="auto"/>
        <w:ind w:right="282"/>
        <w:jc w:val="both"/>
        <w:rPr>
          <w:rFonts w:ascii="Palatino Linotype" w:eastAsia="Calibri" w:hAnsi="Palatino Linotype" w:cs="Tahoma"/>
          <w:sz w:val="26"/>
          <w:szCs w:val="26"/>
          <w:lang w:val="en-GB"/>
        </w:rPr>
      </w:pPr>
      <w:r>
        <w:rPr>
          <w:rFonts w:ascii="Palatino Linotype" w:eastAsia="Calibri" w:hAnsi="Palatino Linotype" w:cs="Tahoma"/>
          <w:sz w:val="26"/>
          <w:szCs w:val="26"/>
          <w:lang w:val="en-GB"/>
        </w:rPr>
        <w:lastRenderedPageBreak/>
        <w:t>R</w:t>
      </w:r>
      <w:r w:rsidRPr="0081413A">
        <w:rPr>
          <w:rFonts w:ascii="Palatino Linotype" w:eastAsia="Calibri" w:hAnsi="Palatino Linotype" w:cs="Tahoma"/>
          <w:sz w:val="26"/>
          <w:szCs w:val="26"/>
          <w:lang w:val="en-GB"/>
        </w:rPr>
        <w:t xml:space="preserve">egarding hotspots, in the judgment of March 30, 2023, in </w:t>
      </w:r>
      <w:r w:rsidRPr="0081413A">
        <w:rPr>
          <w:rFonts w:ascii="Palatino Linotype" w:eastAsia="Calibri" w:hAnsi="Palatino Linotype" w:cs="Tahoma"/>
          <w:i/>
          <w:iCs/>
          <w:sz w:val="26"/>
          <w:szCs w:val="26"/>
          <w:lang w:val="en-GB"/>
        </w:rPr>
        <w:t>J.A. and Others v. Italy</w:t>
      </w:r>
      <w:r w:rsidRPr="0081413A">
        <w:rPr>
          <w:rFonts w:ascii="Palatino Linotype" w:eastAsia="Calibri" w:hAnsi="Palatino Linotype" w:cs="Tahoma"/>
          <w:sz w:val="26"/>
          <w:szCs w:val="26"/>
          <w:lang w:val="en-GB"/>
        </w:rPr>
        <w:t xml:space="preserve"> and subsequent similar cases, the ECtHR found Italy responsible for violations of Articles 5, 3, and 4 of the ECHR and Article 4 of Protocol 4. </w:t>
      </w:r>
    </w:p>
    <w:p w14:paraId="77BA73B4" w14:textId="77777777" w:rsidR="00296B8E" w:rsidRDefault="00507092" w:rsidP="007B7EDC">
      <w:pPr>
        <w:suppressAutoHyphens/>
        <w:spacing w:before="80" w:after="80" w:line="278" w:lineRule="auto"/>
        <w:ind w:right="282"/>
        <w:jc w:val="both"/>
        <w:rPr>
          <w:rFonts w:ascii="Palatino Linotype" w:eastAsia="Calibri" w:hAnsi="Palatino Linotype" w:cs="Tahoma"/>
          <w:sz w:val="26"/>
          <w:szCs w:val="26"/>
          <w:lang w:val="en-GB"/>
        </w:rPr>
      </w:pPr>
      <w:r w:rsidRPr="0081413A">
        <w:rPr>
          <w:rFonts w:ascii="Palatino Linotype" w:eastAsia="Calibri" w:hAnsi="Palatino Linotype" w:cs="Tahoma"/>
          <w:sz w:val="26"/>
          <w:szCs w:val="26"/>
          <w:lang w:val="en-GB"/>
        </w:rPr>
        <w:t>The ECtHR based its judgements, among other things, on the reports and documents produced by the GNPL.</w:t>
      </w:r>
    </w:p>
    <w:p w14:paraId="5C605F2C" w14:textId="77777777" w:rsidR="00296B8E" w:rsidRDefault="00296B8E" w:rsidP="007B7EDC">
      <w:pPr>
        <w:suppressAutoHyphens/>
        <w:spacing w:before="80" w:after="80" w:line="278" w:lineRule="auto"/>
        <w:ind w:right="282"/>
        <w:jc w:val="both"/>
        <w:rPr>
          <w:rFonts w:ascii="Palatino Linotype" w:eastAsia="Calibri" w:hAnsi="Palatino Linotype" w:cs="Tahoma"/>
          <w:sz w:val="26"/>
          <w:szCs w:val="26"/>
          <w:lang w:val="en-GB"/>
        </w:rPr>
      </w:pPr>
    </w:p>
    <w:p w14:paraId="0D4CED9C" w14:textId="14FD4B8F" w:rsidR="00507092" w:rsidRPr="00296B8E" w:rsidRDefault="0088186C" w:rsidP="007B7EDC">
      <w:pPr>
        <w:tabs>
          <w:tab w:val="left" w:pos="567"/>
        </w:tabs>
        <w:suppressAutoHyphens/>
        <w:spacing w:before="80" w:after="80" w:line="278" w:lineRule="auto"/>
        <w:ind w:left="567" w:right="282" w:hanging="567"/>
        <w:jc w:val="both"/>
        <w:rPr>
          <w:rFonts w:ascii="Palatino Linotype" w:hAnsi="Palatino Linotype"/>
          <w:b/>
          <w:bCs/>
          <w:sz w:val="26"/>
          <w:szCs w:val="26"/>
          <w:lang w:val="en-US"/>
        </w:rPr>
      </w:pPr>
      <w:r>
        <w:rPr>
          <w:rFonts w:ascii="Palatino Linotype" w:eastAsia="Calibri" w:hAnsi="Palatino Linotype" w:cs="Tahoma"/>
          <w:b/>
          <w:bCs/>
          <w:sz w:val="26"/>
          <w:szCs w:val="26"/>
          <w:lang w:val="en-GB"/>
        </w:rPr>
        <w:t>8</w:t>
      </w:r>
      <w:r w:rsidR="00507092" w:rsidRPr="00296B8E">
        <w:rPr>
          <w:rFonts w:ascii="Palatino Linotype" w:eastAsia="Calibri" w:hAnsi="Palatino Linotype" w:cs="Tahoma"/>
          <w:b/>
          <w:bCs/>
          <w:sz w:val="26"/>
          <w:szCs w:val="26"/>
          <w:lang w:val="en-GB"/>
        </w:rPr>
        <w:tab/>
        <w:t>D</w:t>
      </w:r>
      <w:proofErr w:type="spellStart"/>
      <w:r w:rsidR="00507092" w:rsidRPr="00296B8E">
        <w:rPr>
          <w:rFonts w:ascii="Palatino Linotype" w:hAnsi="Palatino Linotype"/>
          <w:b/>
          <w:bCs/>
          <w:sz w:val="26"/>
          <w:szCs w:val="26"/>
          <w:lang w:val="en-US"/>
        </w:rPr>
        <w:t>ialogue</w:t>
      </w:r>
      <w:proofErr w:type="spellEnd"/>
      <w:r w:rsidR="00507092" w:rsidRPr="00296B8E">
        <w:rPr>
          <w:rFonts w:ascii="Palatino Linotype" w:hAnsi="Palatino Linotype"/>
          <w:b/>
          <w:bCs/>
          <w:sz w:val="26"/>
          <w:szCs w:val="26"/>
          <w:lang w:val="en-US"/>
        </w:rPr>
        <w:t xml:space="preserve"> and cooperation with regional and global HR </w:t>
      </w:r>
      <w:proofErr w:type="spellStart"/>
      <w:r w:rsidR="00507092" w:rsidRPr="00296B8E">
        <w:rPr>
          <w:rFonts w:ascii="Palatino Linotype" w:hAnsi="Palatino Linotype"/>
          <w:b/>
          <w:bCs/>
          <w:sz w:val="26"/>
          <w:szCs w:val="26"/>
          <w:lang w:val="en-US"/>
        </w:rPr>
        <w:t>organisations</w:t>
      </w:r>
      <w:proofErr w:type="spellEnd"/>
      <w:r w:rsidR="00507092" w:rsidRPr="00296B8E">
        <w:rPr>
          <w:rFonts w:ascii="Palatino Linotype" w:hAnsi="Palatino Linotype"/>
          <w:b/>
          <w:bCs/>
          <w:sz w:val="26"/>
          <w:szCs w:val="26"/>
          <w:lang w:val="en-US"/>
        </w:rPr>
        <w:t xml:space="preserve"> and with international stakeholders</w:t>
      </w:r>
    </w:p>
    <w:p w14:paraId="5B4421AF" w14:textId="77777777" w:rsidR="00507092" w:rsidRPr="0081413A" w:rsidRDefault="00507092" w:rsidP="007B7EDC">
      <w:pPr>
        <w:pStyle w:val="NormaleWeb"/>
        <w:spacing w:before="80" w:beforeAutospacing="0" w:after="80" w:afterAutospacing="0" w:line="278" w:lineRule="auto"/>
        <w:ind w:right="282"/>
        <w:jc w:val="both"/>
        <w:rPr>
          <w:rFonts w:ascii="Palatino Linotype" w:hAnsi="Palatino Linotype"/>
          <w:sz w:val="26"/>
          <w:szCs w:val="26"/>
          <w:lang w:val="en-GB"/>
        </w:rPr>
      </w:pPr>
      <w:r w:rsidRPr="0081413A">
        <w:rPr>
          <w:rFonts w:ascii="Palatino Linotype" w:hAnsi="Palatino Linotype"/>
          <w:sz w:val="26"/>
          <w:szCs w:val="26"/>
          <w:lang w:val="en-GB"/>
        </w:rPr>
        <w:t>The GNPL maintains well-established relationships with international bodies and oversight organisations from other countries.</w:t>
      </w:r>
    </w:p>
    <w:p w14:paraId="5FCD1043" w14:textId="50D75258" w:rsidR="00507092" w:rsidRDefault="0088186C" w:rsidP="007B7EDC">
      <w:pPr>
        <w:pStyle w:val="NormaleWeb"/>
        <w:spacing w:before="80" w:beforeAutospacing="0" w:after="80" w:afterAutospacing="0" w:line="278" w:lineRule="auto"/>
        <w:ind w:right="282"/>
        <w:jc w:val="both"/>
        <w:rPr>
          <w:rFonts w:ascii="Palatino Linotype" w:hAnsi="Palatino Linotype"/>
          <w:sz w:val="26"/>
          <w:szCs w:val="26"/>
          <w:lang w:val="en-GB"/>
        </w:rPr>
      </w:pPr>
      <w:r>
        <w:rPr>
          <w:rFonts w:ascii="Palatino Linotype" w:hAnsi="Palatino Linotype"/>
          <w:sz w:val="26"/>
          <w:szCs w:val="26"/>
          <w:lang w:val="en-GB"/>
        </w:rPr>
        <w:t>8</w:t>
      </w:r>
      <w:r w:rsidR="00507092">
        <w:rPr>
          <w:rFonts w:ascii="Palatino Linotype" w:hAnsi="Palatino Linotype"/>
          <w:sz w:val="26"/>
          <w:szCs w:val="26"/>
          <w:lang w:val="en-GB"/>
        </w:rPr>
        <w:t>.1</w:t>
      </w:r>
      <w:r w:rsidR="00507092">
        <w:rPr>
          <w:rFonts w:ascii="Palatino Linotype" w:hAnsi="Palatino Linotype"/>
          <w:sz w:val="26"/>
          <w:szCs w:val="26"/>
          <w:lang w:val="en-GB"/>
        </w:rPr>
        <w:tab/>
      </w:r>
      <w:r w:rsidR="00507092" w:rsidRPr="0081413A">
        <w:rPr>
          <w:rFonts w:ascii="Palatino Linotype" w:hAnsi="Palatino Linotype"/>
          <w:sz w:val="26"/>
          <w:szCs w:val="26"/>
          <w:lang w:val="en-GB"/>
        </w:rPr>
        <w:t>The GNPL also contributed to the General Comment No. 1 (2024) on Article 4 of the Optional Protocol (places of deprivation of liberty) by the UN Subcommittee on Prevention of Torture (SPT). This was done through two written submissions</w:t>
      </w:r>
      <w:r w:rsidR="00507092" w:rsidRPr="0081413A">
        <w:rPr>
          <w:rStyle w:val="Rimandonotaapidipagina"/>
          <w:rFonts w:ascii="Palatino Linotype" w:hAnsi="Palatino Linotype"/>
          <w:sz w:val="26"/>
          <w:szCs w:val="26"/>
          <w:lang w:val="en-GB"/>
        </w:rPr>
        <w:footnoteReference w:id="10"/>
      </w:r>
      <w:r w:rsidR="00507092" w:rsidRPr="0081413A">
        <w:rPr>
          <w:rFonts w:ascii="Palatino Linotype" w:hAnsi="Palatino Linotype"/>
          <w:sz w:val="26"/>
          <w:szCs w:val="26"/>
          <w:lang w:val="en-GB"/>
        </w:rPr>
        <w:t>. Due to this contribution, the GNPL was invited on 8  June  2023, to participate in the Day of General Discussion on the draft General Comment, alongside representatives from the Committee Against Torture (CAT), the CPT, the CPTA (Africa), the Red Cross (ICRC), the Inter-American Court of Human Rights (</w:t>
      </w:r>
      <w:proofErr w:type="spellStart"/>
      <w:r w:rsidR="00507092" w:rsidRPr="0081413A">
        <w:rPr>
          <w:rFonts w:ascii="Palatino Linotype" w:hAnsi="Palatino Linotype"/>
          <w:sz w:val="26"/>
          <w:szCs w:val="26"/>
          <w:lang w:val="en-GB"/>
        </w:rPr>
        <w:t>IACtHr</w:t>
      </w:r>
      <w:proofErr w:type="spellEnd"/>
      <w:r w:rsidR="00507092" w:rsidRPr="0081413A">
        <w:rPr>
          <w:rFonts w:ascii="Palatino Linotype" w:hAnsi="Palatino Linotype"/>
          <w:sz w:val="26"/>
          <w:szCs w:val="26"/>
          <w:lang w:val="en-GB"/>
        </w:rPr>
        <w:t>), and other selected National Preventive Mechanisms (NPMs) and civil society organisations.</w:t>
      </w:r>
    </w:p>
    <w:p w14:paraId="677DDE51" w14:textId="4DD6E0B0" w:rsidR="00507092" w:rsidRPr="0081413A" w:rsidRDefault="0088186C" w:rsidP="007B7EDC">
      <w:pPr>
        <w:pStyle w:val="NormaleWeb"/>
        <w:spacing w:before="80" w:beforeAutospacing="0" w:after="80" w:afterAutospacing="0" w:line="278" w:lineRule="auto"/>
        <w:ind w:right="282"/>
        <w:jc w:val="both"/>
        <w:rPr>
          <w:rFonts w:ascii="Palatino Linotype" w:hAnsi="Palatino Linotype"/>
          <w:sz w:val="26"/>
          <w:szCs w:val="26"/>
          <w:lang w:val="en-US"/>
        </w:rPr>
      </w:pPr>
      <w:r>
        <w:rPr>
          <w:rFonts w:ascii="Palatino Linotype" w:hAnsi="Palatino Linotype"/>
          <w:sz w:val="26"/>
          <w:szCs w:val="26"/>
          <w:lang w:val="en-GB"/>
        </w:rPr>
        <w:t>8</w:t>
      </w:r>
      <w:r w:rsidR="00507092">
        <w:rPr>
          <w:rFonts w:ascii="Palatino Linotype" w:hAnsi="Palatino Linotype"/>
          <w:sz w:val="26"/>
          <w:szCs w:val="26"/>
          <w:lang w:val="en-GB"/>
        </w:rPr>
        <w:t>.2 T</w:t>
      </w:r>
      <w:r w:rsidR="00507092" w:rsidRPr="0081413A">
        <w:rPr>
          <w:rFonts w:ascii="Palatino Linotype" w:hAnsi="Palatino Linotype"/>
          <w:sz w:val="26"/>
          <w:szCs w:val="26"/>
          <w:lang w:val="en-GB"/>
        </w:rPr>
        <w:t xml:space="preserve">he GNPL </w:t>
      </w:r>
      <w:r w:rsidR="00507092">
        <w:rPr>
          <w:rFonts w:ascii="Palatino Linotype" w:hAnsi="Palatino Linotype"/>
          <w:sz w:val="26"/>
          <w:szCs w:val="26"/>
          <w:lang w:val="en-GB"/>
        </w:rPr>
        <w:t xml:space="preserve">also </w:t>
      </w:r>
      <w:r w:rsidR="00507092" w:rsidRPr="0081413A">
        <w:rPr>
          <w:rFonts w:ascii="Palatino Linotype" w:hAnsi="Palatino Linotype"/>
          <w:sz w:val="26"/>
          <w:szCs w:val="26"/>
          <w:lang w:val="en-GB"/>
        </w:rPr>
        <w:t xml:space="preserve">met with the European Committee for the Prevention of Torture (CPT) of the Council of Europe during its periodic visit (28 March – 8 April 2022), its </w:t>
      </w:r>
      <w:r w:rsidR="00507092" w:rsidRPr="0081413A">
        <w:rPr>
          <w:rFonts w:ascii="Palatino Linotype" w:hAnsi="Palatino Linotype"/>
          <w:i/>
          <w:iCs/>
          <w:sz w:val="26"/>
          <w:szCs w:val="26"/>
          <w:lang w:val="en-GB"/>
        </w:rPr>
        <w:t>ad hoc</w:t>
      </w:r>
      <w:r w:rsidR="00507092" w:rsidRPr="0081413A">
        <w:rPr>
          <w:rFonts w:ascii="Palatino Linotype" w:hAnsi="Palatino Linotype"/>
          <w:sz w:val="26"/>
          <w:szCs w:val="26"/>
          <w:lang w:val="en-GB"/>
        </w:rPr>
        <w:t xml:space="preserve"> visit to CPRs (2–12 April 2024), and its </w:t>
      </w:r>
      <w:r w:rsidR="00507092" w:rsidRPr="0081413A">
        <w:rPr>
          <w:rFonts w:ascii="Palatino Linotype" w:hAnsi="Palatino Linotype"/>
          <w:i/>
          <w:iCs/>
          <w:sz w:val="26"/>
          <w:szCs w:val="26"/>
          <w:lang w:val="en-GB"/>
        </w:rPr>
        <w:t>ad hoc</w:t>
      </w:r>
      <w:r w:rsidR="00507092" w:rsidRPr="0081413A">
        <w:rPr>
          <w:rFonts w:ascii="Palatino Linotype" w:hAnsi="Palatino Linotype"/>
          <w:sz w:val="26"/>
          <w:szCs w:val="26"/>
          <w:lang w:val="en-GB"/>
        </w:rPr>
        <w:t xml:space="preserve"> visit focusing on prison conditions and regimes (1–12 September 2025)</w:t>
      </w:r>
      <w:r w:rsidR="00507092" w:rsidRPr="0081413A">
        <w:rPr>
          <w:rStyle w:val="Rimandonotaapidipagina"/>
          <w:rFonts w:ascii="Palatino Linotype" w:hAnsi="Palatino Linotype"/>
          <w:sz w:val="26"/>
          <w:szCs w:val="26"/>
          <w:lang w:val="en-US"/>
        </w:rPr>
        <w:footnoteReference w:id="11"/>
      </w:r>
      <w:r w:rsidR="00507092" w:rsidRPr="0081413A">
        <w:rPr>
          <w:rFonts w:ascii="Palatino Linotype" w:hAnsi="Palatino Linotype"/>
          <w:sz w:val="26"/>
          <w:szCs w:val="26"/>
          <w:lang w:val="en-US"/>
        </w:rPr>
        <w:t xml:space="preserve">.  </w:t>
      </w:r>
    </w:p>
    <w:p w14:paraId="62C6BD43" w14:textId="5D58193D" w:rsidR="00507092" w:rsidRDefault="0088186C" w:rsidP="007B7EDC">
      <w:pPr>
        <w:spacing w:before="80" w:after="80" w:line="278" w:lineRule="auto"/>
        <w:ind w:right="282"/>
        <w:jc w:val="both"/>
        <w:rPr>
          <w:rFonts w:ascii="Palatino Linotype" w:hAnsi="Palatino Linotype"/>
          <w:sz w:val="26"/>
          <w:szCs w:val="26"/>
          <w:lang w:val="en-US"/>
        </w:rPr>
      </w:pPr>
      <w:r>
        <w:rPr>
          <w:rFonts w:ascii="Palatino Linotype" w:hAnsi="Palatino Linotype"/>
          <w:sz w:val="26"/>
          <w:szCs w:val="26"/>
          <w:lang w:val="en-US"/>
        </w:rPr>
        <w:lastRenderedPageBreak/>
        <w:t>8</w:t>
      </w:r>
      <w:r w:rsidR="00507092">
        <w:rPr>
          <w:rFonts w:ascii="Palatino Linotype" w:hAnsi="Palatino Linotype"/>
          <w:sz w:val="26"/>
          <w:szCs w:val="26"/>
          <w:lang w:val="en-US"/>
        </w:rPr>
        <w:t>.3</w:t>
      </w:r>
      <w:r w:rsidR="00507092">
        <w:rPr>
          <w:rFonts w:ascii="Palatino Linotype" w:hAnsi="Palatino Linotype"/>
          <w:sz w:val="26"/>
          <w:szCs w:val="26"/>
          <w:lang w:val="en-US"/>
        </w:rPr>
        <w:tab/>
      </w:r>
      <w:r w:rsidR="00507092" w:rsidRPr="0081413A">
        <w:rPr>
          <w:rFonts w:ascii="Palatino Linotype" w:hAnsi="Palatino Linotype"/>
          <w:sz w:val="26"/>
          <w:szCs w:val="26"/>
          <w:lang w:val="en-US"/>
        </w:rPr>
        <w:t xml:space="preserve">On 2 May 2024, the GNPL met the </w:t>
      </w:r>
      <w:r w:rsidR="00507092" w:rsidRPr="0081413A">
        <w:rPr>
          <w:rFonts w:ascii="Palatino Linotype" w:hAnsi="Palatino Linotype"/>
          <w:sz w:val="26"/>
          <w:szCs w:val="26"/>
          <w:lang w:val="en-GB"/>
        </w:rPr>
        <w:t>International Independent Expert Mechanism to Advance Racial Justice and Equality in Law Enforcement (EMLER)</w:t>
      </w:r>
      <w:r w:rsidR="00507092" w:rsidRPr="0081413A">
        <w:rPr>
          <w:rFonts w:ascii="Palatino Linotype" w:hAnsi="Palatino Linotype"/>
          <w:i/>
          <w:iCs/>
          <w:sz w:val="26"/>
          <w:szCs w:val="26"/>
          <w:lang w:val="en-GB"/>
        </w:rPr>
        <w:t xml:space="preserve"> </w:t>
      </w:r>
      <w:r w:rsidR="00507092" w:rsidRPr="0081413A">
        <w:rPr>
          <w:rFonts w:ascii="Palatino Linotype" w:hAnsi="Palatino Linotype"/>
          <w:sz w:val="26"/>
          <w:szCs w:val="26"/>
          <w:lang w:val="en-GB"/>
        </w:rPr>
        <w:t xml:space="preserve">to which the GNPL submitted some observations tackling different aspects: </w:t>
      </w:r>
      <w:r w:rsidR="00507092" w:rsidRPr="0081413A">
        <w:rPr>
          <w:rFonts w:ascii="Palatino Linotype" w:hAnsi="Palatino Linotype"/>
          <w:sz w:val="26"/>
          <w:szCs w:val="26"/>
          <w:lang w:val="en-US"/>
        </w:rPr>
        <w:t xml:space="preserve">the risk of </w:t>
      </w:r>
      <w:proofErr w:type="spellStart"/>
      <w:r w:rsidR="00507092" w:rsidRPr="0081413A">
        <w:rPr>
          <w:rFonts w:ascii="Palatino Linotype" w:hAnsi="Palatino Linotype"/>
          <w:sz w:val="26"/>
          <w:szCs w:val="26"/>
          <w:lang w:val="en-US"/>
        </w:rPr>
        <w:t>disalignment</w:t>
      </w:r>
      <w:proofErr w:type="spellEnd"/>
      <w:r w:rsidR="00507092" w:rsidRPr="0081413A">
        <w:rPr>
          <w:rFonts w:ascii="Palatino Linotype" w:hAnsi="Palatino Linotype"/>
          <w:sz w:val="26"/>
          <w:szCs w:val="26"/>
          <w:lang w:val="en-US"/>
        </w:rPr>
        <w:t xml:space="preserve"> of regulations regarding the detention of foreign nationals from constitutional parameters and guarantees (rule of law and jurisdiction reserve); the risk that administrative detention may gradually move from a system to make expulsions or pushbacks effective to a punitive sanction mechanism for irregularly staying migrants; some considerations about the managerial main issues in CPRs; number of suicides in prisons; prison overcrowding; the use of force by Police officers in detention facilities. </w:t>
      </w:r>
    </w:p>
    <w:p w14:paraId="27817954" w14:textId="21D85F74" w:rsidR="00507092" w:rsidRPr="0081413A" w:rsidRDefault="0088186C" w:rsidP="007B7EDC">
      <w:pPr>
        <w:spacing w:before="80" w:after="80" w:line="278" w:lineRule="auto"/>
        <w:ind w:right="282"/>
        <w:jc w:val="both"/>
        <w:rPr>
          <w:rFonts w:ascii="Palatino Linotype" w:hAnsi="Palatino Linotype"/>
          <w:sz w:val="26"/>
          <w:szCs w:val="26"/>
          <w:lang w:val="en-US"/>
        </w:rPr>
      </w:pPr>
      <w:r>
        <w:rPr>
          <w:rFonts w:ascii="Palatino Linotype" w:hAnsi="Palatino Linotype"/>
          <w:sz w:val="26"/>
          <w:szCs w:val="26"/>
          <w:lang w:val="en-US"/>
        </w:rPr>
        <w:t>8</w:t>
      </w:r>
      <w:r w:rsidR="00507092">
        <w:rPr>
          <w:rFonts w:ascii="Palatino Linotype" w:hAnsi="Palatino Linotype"/>
          <w:sz w:val="26"/>
          <w:szCs w:val="26"/>
          <w:lang w:val="en-US"/>
        </w:rPr>
        <w:t xml:space="preserve">.4 </w:t>
      </w:r>
      <w:r w:rsidR="00507092" w:rsidRPr="0081413A">
        <w:rPr>
          <w:rFonts w:ascii="Palatino Linotype" w:hAnsi="Palatino Linotype"/>
          <w:sz w:val="26"/>
          <w:szCs w:val="26"/>
          <w:lang w:val="en-US"/>
        </w:rPr>
        <w:t xml:space="preserve">The cooperation with Frontex Fundamental Rights Officer has been strong and resulted in the exchange of monitors training modalities and </w:t>
      </w:r>
      <w:proofErr w:type="spellStart"/>
      <w:r w:rsidR="00507092" w:rsidRPr="0081413A">
        <w:rPr>
          <w:rFonts w:ascii="Palatino Linotype" w:hAnsi="Palatino Linotype"/>
          <w:sz w:val="26"/>
          <w:szCs w:val="26"/>
          <w:lang w:val="en-US"/>
        </w:rPr>
        <w:t>programmes</w:t>
      </w:r>
      <w:proofErr w:type="spellEnd"/>
      <w:r w:rsidR="00507092" w:rsidRPr="0081413A">
        <w:rPr>
          <w:rFonts w:ascii="Palatino Linotype" w:hAnsi="Palatino Linotype"/>
          <w:sz w:val="26"/>
          <w:szCs w:val="26"/>
          <w:lang w:val="en-US"/>
        </w:rPr>
        <w:t xml:space="preserve"> and in the participation of four GNPL’s monitors in the Frontex Pool of monitors</w:t>
      </w:r>
    </w:p>
    <w:p w14:paraId="16B3E242" w14:textId="7DCB37C6" w:rsidR="00507092" w:rsidRPr="0081413A" w:rsidRDefault="0088186C" w:rsidP="007B7EDC">
      <w:pPr>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US"/>
        </w:rPr>
        <w:t>8</w:t>
      </w:r>
      <w:r w:rsidR="00507092">
        <w:rPr>
          <w:rFonts w:ascii="Palatino Linotype" w:hAnsi="Palatino Linotype"/>
          <w:sz w:val="26"/>
          <w:szCs w:val="26"/>
          <w:lang w:val="en-US"/>
        </w:rPr>
        <w:t>.5</w:t>
      </w:r>
      <w:r w:rsidR="00507092">
        <w:rPr>
          <w:rFonts w:ascii="Palatino Linotype" w:hAnsi="Palatino Linotype"/>
          <w:sz w:val="26"/>
          <w:szCs w:val="26"/>
          <w:lang w:val="en-US"/>
        </w:rPr>
        <w:tab/>
      </w:r>
      <w:r w:rsidR="00507092" w:rsidRPr="0081413A">
        <w:rPr>
          <w:rFonts w:ascii="Palatino Linotype" w:hAnsi="Palatino Linotype"/>
          <w:sz w:val="26"/>
          <w:szCs w:val="26"/>
          <w:lang w:val="en-US"/>
        </w:rPr>
        <w:t xml:space="preserve">In 2023, the GNPL was invited to meet the Group of Experts on Action against Trafficking in Human Beings (GRETA) and submit written contributions to the Report concerning the implementation of the Council of Europe Convention on Action against Trafficking in Human Beings (THB) by Italy. </w:t>
      </w:r>
      <w:r w:rsidR="00507092" w:rsidRPr="0081413A">
        <w:rPr>
          <w:rFonts w:ascii="Palatino Linotype" w:hAnsi="Palatino Linotype"/>
          <w:sz w:val="26"/>
          <w:szCs w:val="26"/>
          <w:lang w:val="en-GB"/>
        </w:rPr>
        <w:t xml:space="preserve">At that time, as per the GNPL’s data collection, 13 imprisoned women were potentially victims of THB. The identification of victims of THB in prisons was thus difficult and none of the NGOs with the right to visit prisons were specialised on THB. The GNPL also shared with the Group the consideration that the number of forced returns of Nigerian women, which was an issue of concern in GRETA’s previous reports, had considerably decreased over the years. </w:t>
      </w:r>
    </w:p>
    <w:p w14:paraId="0DFBBB7F" w14:textId="2E8FAF8D" w:rsidR="00507092" w:rsidRPr="0081413A" w:rsidRDefault="0088186C" w:rsidP="007B7EDC">
      <w:pPr>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8</w:t>
      </w:r>
      <w:r w:rsidR="00507092">
        <w:rPr>
          <w:rFonts w:ascii="Palatino Linotype" w:hAnsi="Palatino Linotype"/>
          <w:sz w:val="26"/>
          <w:szCs w:val="26"/>
          <w:lang w:val="en-GB"/>
        </w:rPr>
        <w:t>.6</w:t>
      </w:r>
      <w:r w:rsidR="00507092">
        <w:rPr>
          <w:rFonts w:ascii="Palatino Linotype" w:hAnsi="Palatino Linotype"/>
          <w:sz w:val="26"/>
          <w:szCs w:val="26"/>
          <w:lang w:val="en-GB"/>
        </w:rPr>
        <w:tab/>
      </w:r>
      <w:r w:rsidR="00507092" w:rsidRPr="0081413A">
        <w:rPr>
          <w:rFonts w:ascii="Palatino Linotype" w:hAnsi="Palatino Linotype"/>
          <w:sz w:val="26"/>
          <w:szCs w:val="26"/>
          <w:lang w:val="en-GB"/>
        </w:rPr>
        <w:t xml:space="preserve">Particularly intense has been the exchange of study visits and other international initiatives with NPMs (Slovakia, Morocco, South </w:t>
      </w:r>
      <w:r w:rsidR="00507092" w:rsidRPr="0081413A">
        <w:rPr>
          <w:rFonts w:ascii="Palatino Linotype" w:hAnsi="Palatino Linotype"/>
          <w:sz w:val="26"/>
          <w:szCs w:val="26"/>
          <w:lang w:val="en-GB"/>
        </w:rPr>
        <w:lastRenderedPageBreak/>
        <w:t xml:space="preserve">Africa and France), and the implementation of joint </w:t>
      </w:r>
      <w:proofErr w:type="spellStart"/>
      <w:r w:rsidR="00507092" w:rsidRPr="0081413A">
        <w:rPr>
          <w:rFonts w:ascii="Palatino Linotype" w:hAnsi="Palatino Linotype"/>
          <w:sz w:val="26"/>
          <w:szCs w:val="26"/>
          <w:lang w:val="en-GB"/>
        </w:rPr>
        <w:t>monitorings</w:t>
      </w:r>
      <w:proofErr w:type="spellEnd"/>
      <w:r w:rsidR="00507092" w:rsidRPr="0081413A">
        <w:rPr>
          <w:rFonts w:ascii="Palatino Linotype" w:hAnsi="Palatino Linotype"/>
          <w:sz w:val="26"/>
          <w:szCs w:val="26"/>
          <w:lang w:val="en-GB"/>
        </w:rPr>
        <w:t xml:space="preserve"> and forced return post-handover protocols with the Albanian Ombudsperson, the Georgian Ombudsperson and the Moroccan NPM.  </w:t>
      </w:r>
    </w:p>
    <w:p w14:paraId="0D54AF7C" w14:textId="1DC19E1D" w:rsidR="00507092" w:rsidRDefault="0088186C" w:rsidP="007B7EDC">
      <w:pPr>
        <w:spacing w:before="80" w:after="80" w:line="278" w:lineRule="auto"/>
        <w:ind w:right="282"/>
        <w:jc w:val="both"/>
        <w:rPr>
          <w:rFonts w:ascii="Palatino Linotype" w:hAnsi="Palatino Linotype"/>
          <w:sz w:val="26"/>
          <w:szCs w:val="26"/>
          <w:lang w:val="en-GB"/>
        </w:rPr>
      </w:pPr>
      <w:r>
        <w:rPr>
          <w:rFonts w:ascii="Palatino Linotype" w:hAnsi="Palatino Linotype"/>
          <w:sz w:val="26"/>
          <w:szCs w:val="26"/>
          <w:lang w:val="en-GB"/>
        </w:rPr>
        <w:t>8</w:t>
      </w:r>
      <w:r w:rsidR="00507092">
        <w:rPr>
          <w:rFonts w:ascii="Palatino Linotype" w:hAnsi="Palatino Linotype"/>
          <w:sz w:val="26"/>
          <w:szCs w:val="26"/>
          <w:lang w:val="en-GB"/>
        </w:rPr>
        <w:t>.7</w:t>
      </w:r>
      <w:r w:rsidR="00507092">
        <w:rPr>
          <w:rFonts w:ascii="Palatino Linotype" w:hAnsi="Palatino Linotype"/>
          <w:sz w:val="26"/>
          <w:szCs w:val="26"/>
          <w:lang w:val="en-GB"/>
        </w:rPr>
        <w:tab/>
      </w:r>
      <w:r w:rsidR="00507092" w:rsidRPr="0081413A">
        <w:rPr>
          <w:rFonts w:ascii="Palatino Linotype" w:hAnsi="Palatino Linotype"/>
          <w:sz w:val="26"/>
          <w:szCs w:val="26"/>
          <w:lang w:val="en-GB"/>
        </w:rPr>
        <w:t>With the Association for the Prevention of Torture (APT) the GNPL has a robust collaboration which produced several contributions to the APT’s thematic publications and</w:t>
      </w:r>
      <w:proofErr w:type="gramStart"/>
      <w:r w:rsidR="00507092" w:rsidRPr="0081413A">
        <w:rPr>
          <w:rFonts w:ascii="Palatino Linotype" w:hAnsi="Palatino Linotype"/>
          <w:sz w:val="26"/>
          <w:szCs w:val="26"/>
          <w:lang w:val="en-GB"/>
        </w:rPr>
        <w:t>, in particular, the</w:t>
      </w:r>
      <w:proofErr w:type="gramEnd"/>
      <w:r w:rsidR="00507092" w:rsidRPr="0081413A">
        <w:rPr>
          <w:rFonts w:ascii="Palatino Linotype" w:hAnsi="Palatino Linotype"/>
          <w:sz w:val="26"/>
          <w:szCs w:val="26"/>
          <w:lang w:val="en-GB"/>
        </w:rPr>
        <w:t xml:space="preserve"> Italian translation of the </w:t>
      </w:r>
      <w:r w:rsidR="00507092" w:rsidRPr="0081413A">
        <w:rPr>
          <w:rFonts w:ascii="Palatino Linotype" w:hAnsi="Palatino Linotype"/>
          <w:i/>
          <w:iCs/>
          <w:sz w:val="26"/>
          <w:szCs w:val="26"/>
          <w:lang w:val="en-GB"/>
        </w:rPr>
        <w:t>Principles on Effective Interviewing for Investigations and Information Gathering</w:t>
      </w:r>
      <w:r w:rsidR="00507092" w:rsidRPr="0081413A">
        <w:rPr>
          <w:rFonts w:ascii="Palatino Linotype" w:hAnsi="Palatino Linotype"/>
          <w:sz w:val="26"/>
          <w:szCs w:val="26"/>
          <w:lang w:val="en-GB"/>
        </w:rPr>
        <w:t xml:space="preserve"> (also known as ‘Mendez Principles’</w:t>
      </w:r>
      <w:r w:rsidR="00507092">
        <w:rPr>
          <w:rStyle w:val="Rimandonotaapidipagina"/>
          <w:rFonts w:ascii="Palatino Linotype" w:hAnsi="Palatino Linotype"/>
          <w:sz w:val="26"/>
          <w:szCs w:val="26"/>
          <w:lang w:val="en-GB"/>
        </w:rPr>
        <w:footnoteReference w:id="12"/>
      </w:r>
      <w:r w:rsidR="007B7EDC">
        <w:rPr>
          <w:rFonts w:ascii="Palatino Linotype" w:hAnsi="Palatino Linotype"/>
          <w:sz w:val="26"/>
          <w:szCs w:val="26"/>
          <w:lang w:val="en-GB"/>
        </w:rPr>
        <w:t>)</w:t>
      </w:r>
      <w:r w:rsidR="00507092" w:rsidRPr="0081413A">
        <w:rPr>
          <w:rFonts w:ascii="Palatino Linotype" w:hAnsi="Palatino Linotype"/>
          <w:sz w:val="26"/>
          <w:szCs w:val="26"/>
          <w:lang w:val="en-GB"/>
        </w:rPr>
        <w:t>.</w:t>
      </w:r>
    </w:p>
    <w:p w14:paraId="1EC8325A" w14:textId="77777777" w:rsidR="00296B8E" w:rsidRPr="0081413A" w:rsidRDefault="00296B8E" w:rsidP="007B7EDC">
      <w:pPr>
        <w:spacing w:before="80" w:after="80" w:line="278" w:lineRule="auto"/>
        <w:ind w:right="282"/>
        <w:jc w:val="both"/>
        <w:rPr>
          <w:rFonts w:ascii="Palatino Linotype" w:hAnsi="Palatino Linotype"/>
          <w:sz w:val="26"/>
          <w:szCs w:val="26"/>
          <w:lang w:val="en-GB"/>
        </w:rPr>
      </w:pPr>
    </w:p>
    <w:p w14:paraId="04DCF24E" w14:textId="249560F6" w:rsidR="00507092" w:rsidRPr="00B540F7" w:rsidRDefault="005329C7" w:rsidP="007B7EDC">
      <w:pPr>
        <w:tabs>
          <w:tab w:val="left" w:pos="567"/>
        </w:tabs>
        <w:spacing w:before="80" w:after="80" w:line="278" w:lineRule="auto"/>
        <w:ind w:left="567" w:right="282" w:hanging="567"/>
        <w:jc w:val="both"/>
        <w:outlineLvl w:val="0"/>
        <w:rPr>
          <w:rFonts w:ascii="Palatino Linotype" w:hAnsi="Palatino Linotype"/>
          <w:b/>
          <w:bCs/>
          <w:sz w:val="26"/>
          <w:szCs w:val="26"/>
          <w:lang w:val="en-GB"/>
        </w:rPr>
      </w:pPr>
      <w:r>
        <w:rPr>
          <w:rFonts w:ascii="Palatino Linotype" w:hAnsi="Palatino Linotype"/>
          <w:b/>
          <w:bCs/>
          <w:sz w:val="26"/>
          <w:szCs w:val="26"/>
          <w:lang w:val="en-GB"/>
        </w:rPr>
        <w:t>9</w:t>
      </w:r>
      <w:r w:rsidR="00507092" w:rsidRPr="00B540F7">
        <w:rPr>
          <w:rFonts w:ascii="Palatino Linotype" w:hAnsi="Palatino Linotype"/>
          <w:b/>
          <w:bCs/>
          <w:sz w:val="26"/>
          <w:szCs w:val="26"/>
          <w:lang w:val="en-GB"/>
        </w:rPr>
        <w:tab/>
        <w:t xml:space="preserve">About the crime of torture and the requests of information regarding pending criminal proceedings addressed to the Prosecutors' Offices </w:t>
      </w:r>
    </w:p>
    <w:p w14:paraId="2B484E0A" w14:textId="79B82D9E" w:rsidR="00507092" w:rsidRDefault="00507092" w:rsidP="007B7EDC">
      <w:pPr>
        <w:suppressAutoHyphens/>
        <w:spacing w:before="80" w:after="80" w:line="278" w:lineRule="auto"/>
        <w:ind w:right="282"/>
        <w:jc w:val="both"/>
        <w:rPr>
          <w:rFonts w:ascii="Palatino Linotype" w:eastAsia="Calibri" w:hAnsi="Palatino Linotype" w:cs="Tahoma"/>
          <w:sz w:val="26"/>
          <w:szCs w:val="26"/>
          <w:lang w:val="en-GB"/>
        </w:rPr>
      </w:pPr>
      <w:r>
        <w:rPr>
          <w:rFonts w:ascii="Palatino Linotype" w:eastAsia="Calibri" w:hAnsi="Palatino Linotype" w:cs="Tahoma"/>
          <w:sz w:val="26"/>
          <w:szCs w:val="26"/>
          <w:lang w:val="en-GB"/>
        </w:rPr>
        <w:t>T</w:t>
      </w:r>
      <w:r w:rsidRPr="0081413A">
        <w:rPr>
          <w:rFonts w:ascii="Palatino Linotype" w:eastAsia="Calibri" w:hAnsi="Palatino Linotype" w:cs="Tahoma"/>
          <w:sz w:val="26"/>
          <w:szCs w:val="26"/>
          <w:lang w:val="en-GB"/>
        </w:rPr>
        <w:t>he National Guarantor initially expressed reservations regarding the final wording of Law no. 110/2017 (Article 613</w:t>
      </w:r>
      <w:r w:rsidRPr="0081413A">
        <w:rPr>
          <w:rFonts w:ascii="Palatino Linotype" w:eastAsia="Calibri" w:hAnsi="Palatino Linotype" w:cs="Tahoma"/>
          <w:i/>
          <w:iCs/>
          <w:sz w:val="26"/>
          <w:szCs w:val="26"/>
          <w:lang w:val="en-GB"/>
        </w:rPr>
        <w:t>bis</w:t>
      </w:r>
      <w:r w:rsidRPr="0081413A">
        <w:rPr>
          <w:rFonts w:ascii="Palatino Linotype" w:eastAsia="Calibri" w:hAnsi="Palatino Linotype" w:cs="Tahoma"/>
          <w:sz w:val="26"/>
          <w:szCs w:val="26"/>
          <w:lang w:val="en-GB"/>
        </w:rPr>
        <w:t xml:space="preserve"> and </w:t>
      </w:r>
      <w:r w:rsidRPr="0081413A">
        <w:rPr>
          <w:rFonts w:ascii="Palatino Linotype" w:eastAsia="Calibri" w:hAnsi="Palatino Linotype" w:cs="Tahoma"/>
          <w:i/>
          <w:iCs/>
          <w:sz w:val="26"/>
          <w:szCs w:val="26"/>
          <w:lang w:val="en-GB"/>
        </w:rPr>
        <w:t>ter</w:t>
      </w:r>
      <w:r w:rsidRPr="0081413A">
        <w:rPr>
          <w:rFonts w:ascii="Palatino Linotype" w:eastAsia="Calibri" w:hAnsi="Palatino Linotype" w:cs="Tahoma"/>
          <w:sz w:val="26"/>
          <w:szCs w:val="26"/>
          <w:lang w:val="en-GB"/>
        </w:rPr>
        <w:t xml:space="preserve"> of the criminal code) —noting that it did not fully align with the UN Convention's definition</w:t>
      </w:r>
      <w:r w:rsidR="007B7EDC">
        <w:rPr>
          <w:rFonts w:ascii="Palatino Linotype" w:eastAsia="Calibri" w:hAnsi="Palatino Linotype" w:cs="Tahoma"/>
          <w:sz w:val="26"/>
          <w:szCs w:val="26"/>
          <w:lang w:val="en-GB"/>
        </w:rPr>
        <w:t>.</w:t>
      </w:r>
    </w:p>
    <w:p w14:paraId="0FE695DA" w14:textId="70A591DD" w:rsidR="00507092" w:rsidRDefault="00507092" w:rsidP="007B7EDC">
      <w:pPr>
        <w:suppressAutoHyphens/>
        <w:spacing w:before="80" w:after="80" w:line="278" w:lineRule="auto"/>
        <w:ind w:right="282"/>
        <w:jc w:val="both"/>
        <w:rPr>
          <w:rFonts w:ascii="Palatino Linotype" w:eastAsia="Calibri" w:hAnsi="Palatino Linotype" w:cs="Tahoma"/>
          <w:sz w:val="26"/>
          <w:szCs w:val="26"/>
          <w:lang w:val="en-GB"/>
        </w:rPr>
      </w:pPr>
      <w:r>
        <w:rPr>
          <w:rFonts w:ascii="Palatino Linotype" w:eastAsia="Calibri" w:hAnsi="Palatino Linotype" w:cs="Tahoma"/>
          <w:sz w:val="26"/>
          <w:szCs w:val="26"/>
          <w:lang w:val="en-GB"/>
        </w:rPr>
        <w:t>T</w:t>
      </w:r>
      <w:r w:rsidRPr="0081413A">
        <w:rPr>
          <w:rFonts w:ascii="Palatino Linotype" w:eastAsia="Calibri" w:hAnsi="Palatino Linotype" w:cs="Tahoma"/>
          <w:sz w:val="26"/>
          <w:szCs w:val="26"/>
          <w:lang w:val="en-GB"/>
        </w:rPr>
        <w:t>he G</w:t>
      </w:r>
      <w:r>
        <w:rPr>
          <w:rFonts w:ascii="Palatino Linotype" w:eastAsia="Calibri" w:hAnsi="Palatino Linotype" w:cs="Tahoma"/>
          <w:sz w:val="26"/>
          <w:szCs w:val="26"/>
          <w:lang w:val="en-GB"/>
        </w:rPr>
        <w:t xml:space="preserve">NPL </w:t>
      </w:r>
      <w:r w:rsidRPr="0081413A">
        <w:rPr>
          <w:rFonts w:ascii="Palatino Linotype" w:eastAsia="Calibri" w:hAnsi="Palatino Linotype" w:cs="Tahoma"/>
          <w:sz w:val="26"/>
          <w:szCs w:val="26"/>
          <w:lang w:val="en-GB"/>
        </w:rPr>
        <w:t xml:space="preserve">ultimately viewed the law as a significant milestone. </w:t>
      </w:r>
    </w:p>
    <w:p w14:paraId="5B52C44D" w14:textId="77777777" w:rsidR="007B5735" w:rsidRDefault="00507092" w:rsidP="007B7EDC">
      <w:pPr>
        <w:suppressAutoHyphens/>
        <w:spacing w:before="80" w:after="80" w:line="278" w:lineRule="auto"/>
        <w:ind w:right="282"/>
        <w:jc w:val="both"/>
        <w:rPr>
          <w:rFonts w:ascii="Palatino Linotype" w:eastAsia="Calibri" w:hAnsi="Palatino Linotype" w:cs="Tahoma"/>
          <w:sz w:val="26"/>
          <w:szCs w:val="26"/>
          <w:lang w:val="en-GB"/>
        </w:rPr>
      </w:pPr>
      <w:r w:rsidRPr="0081413A">
        <w:rPr>
          <w:rFonts w:ascii="Palatino Linotype" w:eastAsia="Calibri" w:hAnsi="Palatino Linotype" w:cs="Tahoma"/>
          <w:sz w:val="26"/>
          <w:szCs w:val="26"/>
          <w:lang w:val="en-GB"/>
        </w:rPr>
        <w:t>The</w:t>
      </w:r>
      <w:r>
        <w:rPr>
          <w:rFonts w:ascii="Palatino Linotype" w:eastAsia="Calibri" w:hAnsi="Palatino Linotype" w:cs="Tahoma"/>
          <w:sz w:val="26"/>
          <w:szCs w:val="26"/>
          <w:lang w:val="en-GB"/>
        </w:rPr>
        <w:t xml:space="preserve"> Authority </w:t>
      </w:r>
      <w:r w:rsidRPr="0081413A">
        <w:rPr>
          <w:rFonts w:ascii="Palatino Linotype" w:eastAsia="Calibri" w:hAnsi="Palatino Linotype" w:cs="Tahoma"/>
          <w:sz w:val="26"/>
          <w:szCs w:val="26"/>
          <w:lang w:val="en-GB"/>
        </w:rPr>
        <w:t xml:space="preserve">maintained that the provision sends a clear "zero tolerance" signal against ill-treatment, trusting that any initial interpretative ambiguities would be resolved through future judicial application and case law. And it </w:t>
      </w:r>
      <w:proofErr w:type="gramStart"/>
      <w:r w:rsidRPr="0081413A">
        <w:rPr>
          <w:rFonts w:ascii="Palatino Linotype" w:eastAsia="Calibri" w:hAnsi="Palatino Linotype" w:cs="Tahoma"/>
          <w:sz w:val="26"/>
          <w:szCs w:val="26"/>
          <w:lang w:val="en-GB"/>
        </w:rPr>
        <w:t>actually happened</w:t>
      </w:r>
      <w:proofErr w:type="gramEnd"/>
      <w:r w:rsidRPr="0081413A">
        <w:rPr>
          <w:rFonts w:ascii="Palatino Linotype" w:eastAsia="Calibri" w:hAnsi="Palatino Linotype" w:cs="Tahoma"/>
          <w:sz w:val="26"/>
          <w:szCs w:val="26"/>
          <w:lang w:val="en-GB"/>
        </w:rPr>
        <w:t xml:space="preserve">. During the period under review, the NG joined several criminal proceedings as a civil party in cases involving torture, severe ill-treatment, and other offences. The NG is currently involved in 15 criminal proceedings, </w:t>
      </w:r>
      <w:proofErr w:type="gramStart"/>
      <w:r w:rsidRPr="0081413A">
        <w:rPr>
          <w:rFonts w:ascii="Palatino Linotype" w:eastAsia="Calibri" w:hAnsi="Palatino Linotype" w:cs="Tahoma"/>
          <w:sz w:val="26"/>
          <w:szCs w:val="26"/>
          <w:lang w:val="en-GB"/>
        </w:rPr>
        <w:t>the majority of</w:t>
      </w:r>
      <w:proofErr w:type="gramEnd"/>
      <w:r w:rsidRPr="0081413A">
        <w:rPr>
          <w:rFonts w:ascii="Palatino Linotype" w:eastAsia="Calibri" w:hAnsi="Palatino Linotype" w:cs="Tahoma"/>
          <w:sz w:val="26"/>
          <w:szCs w:val="26"/>
          <w:lang w:val="en-GB"/>
        </w:rPr>
        <w:t xml:space="preserve"> which concern incidents that took place in prisons or pre-removal Centres. Two criminal proceedings regarding episodes of torture and ill-treatment within prison facilities were recently concluded in the Court of Appeal and the Court of First Instance. These cases resulted in </w:t>
      </w:r>
      <w:r w:rsidRPr="0081413A">
        <w:rPr>
          <w:rFonts w:ascii="Palatino Linotype" w:eastAsia="Calibri" w:hAnsi="Palatino Linotype" w:cs="Tahoma"/>
          <w:sz w:val="26"/>
          <w:szCs w:val="26"/>
          <w:lang w:val="en-GB"/>
        </w:rPr>
        <w:lastRenderedPageBreak/>
        <w:t>convictions for aggravated torture under Article 613-bis, paragraphs 1, 2, and 4 of the Criminal Code.</w:t>
      </w:r>
    </w:p>
    <w:p w14:paraId="625145C9" w14:textId="77777777" w:rsidR="00766848" w:rsidRDefault="00766848" w:rsidP="007B7EDC">
      <w:pPr>
        <w:suppressAutoHyphens/>
        <w:spacing w:before="80" w:after="80" w:line="278" w:lineRule="auto"/>
        <w:ind w:right="282"/>
        <w:jc w:val="both"/>
        <w:rPr>
          <w:rFonts w:ascii="Palatino Linotype" w:hAnsi="Palatino Linotype"/>
          <w:sz w:val="26"/>
          <w:szCs w:val="26"/>
          <w:lang w:val="en-GB"/>
        </w:rPr>
      </w:pPr>
    </w:p>
    <w:p w14:paraId="438D0B9E" w14:textId="11A5352B" w:rsidR="00507092" w:rsidRDefault="00507092" w:rsidP="007B7EDC">
      <w:pPr>
        <w:suppressAutoHyphens/>
        <w:spacing w:before="80" w:after="80" w:line="278" w:lineRule="auto"/>
        <w:ind w:right="282"/>
        <w:jc w:val="both"/>
        <w:rPr>
          <w:rFonts w:ascii="Palatino Linotype" w:hAnsi="Palatino Linotype"/>
          <w:sz w:val="26"/>
          <w:szCs w:val="26"/>
          <w:lang w:val="en-GB"/>
        </w:rPr>
      </w:pPr>
      <w:r w:rsidRPr="00B23D64">
        <w:rPr>
          <w:rFonts w:ascii="Palatino Linotype" w:hAnsi="Palatino Linotype"/>
          <w:sz w:val="26"/>
          <w:szCs w:val="26"/>
          <w:lang w:val="en-GB"/>
        </w:rPr>
        <w:t xml:space="preserve">Rome, </w:t>
      </w:r>
      <w:r w:rsidR="003E4D8D">
        <w:rPr>
          <w:rFonts w:ascii="Palatino Linotype" w:hAnsi="Palatino Linotype"/>
          <w:sz w:val="26"/>
          <w:szCs w:val="26"/>
          <w:lang w:val="en-GB"/>
        </w:rPr>
        <w:t>3</w:t>
      </w:r>
      <w:r w:rsidRPr="00B23D64">
        <w:rPr>
          <w:rFonts w:ascii="Palatino Linotype" w:hAnsi="Palatino Linotype"/>
          <w:sz w:val="26"/>
          <w:szCs w:val="26"/>
          <w:lang w:val="en-GB"/>
        </w:rPr>
        <w:t xml:space="preserve"> April 2026</w:t>
      </w:r>
    </w:p>
    <w:p w14:paraId="0CBE59B3" w14:textId="77777777" w:rsidR="008F1D26" w:rsidRPr="00B23D64" w:rsidRDefault="008F1D26" w:rsidP="007B7EDC">
      <w:pPr>
        <w:suppressAutoHyphens/>
        <w:spacing w:before="80" w:after="80" w:line="278" w:lineRule="auto"/>
        <w:ind w:right="282"/>
        <w:jc w:val="both"/>
        <w:rPr>
          <w:rFonts w:ascii="Palatino Linotype" w:hAnsi="Palatino Linotype"/>
          <w:sz w:val="26"/>
          <w:szCs w:val="26"/>
          <w:lang w:val="en-GB"/>
        </w:rPr>
      </w:pPr>
    </w:p>
    <w:p w14:paraId="1503874A" w14:textId="77777777" w:rsidR="00507092" w:rsidRPr="00641E6A" w:rsidRDefault="00507092" w:rsidP="007B7EDC">
      <w:pPr>
        <w:suppressAutoHyphens/>
        <w:spacing w:before="80" w:after="80" w:line="278" w:lineRule="auto"/>
        <w:ind w:left="567" w:right="282"/>
        <w:jc w:val="center"/>
        <w:rPr>
          <w:rFonts w:ascii="Palatino Linotype" w:hAnsi="Palatino Linotype"/>
          <w:sz w:val="26"/>
          <w:szCs w:val="26"/>
        </w:rPr>
      </w:pPr>
      <w:r w:rsidRPr="001A3E5A">
        <w:rPr>
          <w:noProof/>
        </w:rPr>
        <w:drawing>
          <wp:inline distT="0" distB="0" distL="0" distR="0" wp14:anchorId="16C0002F" wp14:editId="5ED3C571">
            <wp:extent cx="2300400" cy="572400"/>
            <wp:effectExtent l="0" t="0" r="508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0400" cy="572400"/>
                    </a:xfrm>
                    <a:prstGeom prst="rect">
                      <a:avLst/>
                    </a:prstGeom>
                    <a:noFill/>
                    <a:ln>
                      <a:noFill/>
                    </a:ln>
                  </pic:spPr>
                </pic:pic>
              </a:graphicData>
            </a:graphic>
          </wp:inline>
        </w:drawing>
      </w:r>
    </w:p>
    <w:p w14:paraId="4369E206" w14:textId="77777777" w:rsidR="00507092" w:rsidRPr="00766848" w:rsidRDefault="00507092" w:rsidP="007B7EDC">
      <w:pPr>
        <w:suppressAutoHyphens/>
        <w:spacing w:before="80" w:after="80" w:line="278" w:lineRule="auto"/>
        <w:ind w:left="567" w:right="282"/>
        <w:jc w:val="center"/>
        <w:rPr>
          <w:rFonts w:ascii="Palatino Linotype" w:hAnsi="Palatino Linotype"/>
          <w:sz w:val="26"/>
          <w:szCs w:val="26"/>
          <w:lang w:val="en-US"/>
        </w:rPr>
      </w:pPr>
      <w:r w:rsidRPr="00766848">
        <w:rPr>
          <w:rFonts w:ascii="Palatino Linotype" w:hAnsi="Palatino Linotype"/>
          <w:sz w:val="26"/>
          <w:szCs w:val="26"/>
          <w:lang w:val="en-US"/>
        </w:rPr>
        <w:t>Riccardo Turrini Vita</w:t>
      </w:r>
    </w:p>
    <w:p w14:paraId="4998508F" w14:textId="0D73969B" w:rsidR="00DB4189" w:rsidRPr="00766848" w:rsidRDefault="00507092" w:rsidP="007B7EDC">
      <w:pPr>
        <w:suppressAutoHyphens/>
        <w:spacing w:before="80" w:after="80" w:line="278" w:lineRule="auto"/>
        <w:ind w:left="567" w:right="282"/>
        <w:jc w:val="center"/>
        <w:rPr>
          <w:rFonts w:ascii="Palatino Linotype" w:hAnsi="Palatino Linotype"/>
          <w:bCs/>
          <w:sz w:val="26"/>
          <w:szCs w:val="26"/>
          <w:lang w:val="en-US"/>
        </w:rPr>
      </w:pPr>
      <w:r w:rsidRPr="00766848">
        <w:rPr>
          <w:rFonts w:ascii="Palatino Linotype" w:hAnsi="Palatino Linotype"/>
          <w:sz w:val="26"/>
          <w:szCs w:val="26"/>
          <w:lang w:val="en-US"/>
        </w:rPr>
        <w:t>President</w:t>
      </w:r>
    </w:p>
    <w:p w14:paraId="1D4EFF66" w14:textId="77777777" w:rsidR="00B23D64" w:rsidRPr="00766848" w:rsidRDefault="00B23D64" w:rsidP="007B7EDC">
      <w:pPr>
        <w:suppressAutoHyphens/>
        <w:spacing w:before="80" w:after="80" w:line="278" w:lineRule="auto"/>
        <w:ind w:left="567" w:right="282"/>
        <w:jc w:val="center"/>
        <w:rPr>
          <w:rFonts w:ascii="Palatino Linotype" w:hAnsi="Palatino Linotype"/>
          <w:bCs/>
          <w:sz w:val="26"/>
          <w:szCs w:val="26"/>
          <w:lang w:val="en-US"/>
        </w:rPr>
      </w:pPr>
    </w:p>
    <w:p w14:paraId="3497D813" w14:textId="77777777" w:rsidR="00B23D64" w:rsidRPr="00766848" w:rsidRDefault="00B23D64" w:rsidP="007B7EDC">
      <w:pPr>
        <w:suppressAutoHyphens/>
        <w:spacing w:before="80" w:after="80" w:line="278" w:lineRule="auto"/>
        <w:ind w:left="567" w:right="282"/>
        <w:jc w:val="center"/>
        <w:rPr>
          <w:rFonts w:ascii="Palatino Linotype" w:hAnsi="Palatino Linotype"/>
          <w:bCs/>
          <w:sz w:val="26"/>
          <w:szCs w:val="26"/>
          <w:lang w:val="en-US"/>
        </w:rPr>
      </w:pPr>
    </w:p>
    <w:p w14:paraId="5A54C89C" w14:textId="77777777" w:rsidR="00B23D64" w:rsidRPr="00766848" w:rsidRDefault="00B23D64" w:rsidP="00E313A1">
      <w:pPr>
        <w:suppressAutoHyphens/>
        <w:spacing w:before="80" w:after="80" w:line="278" w:lineRule="auto"/>
        <w:ind w:right="282"/>
        <w:rPr>
          <w:lang w:val="en-US"/>
        </w:rPr>
        <w:sectPr w:rsidR="00B23D64" w:rsidRPr="00766848" w:rsidSect="00E313A1">
          <w:headerReference w:type="default" r:id="rId9"/>
          <w:footerReference w:type="default" r:id="rId10"/>
          <w:pgSz w:w="11906" w:h="16838"/>
          <w:pgMar w:top="342" w:right="1701" w:bottom="1440" w:left="1701" w:header="345" w:footer="553" w:gutter="0"/>
          <w:cols w:space="708"/>
          <w:docGrid w:linePitch="360"/>
        </w:sectPr>
      </w:pPr>
    </w:p>
    <w:p w14:paraId="1530AEB5" w14:textId="24F393AE" w:rsidR="00B23D64" w:rsidRDefault="00B23D64" w:rsidP="007B7EDC">
      <w:pPr>
        <w:tabs>
          <w:tab w:val="left" w:pos="646"/>
          <w:tab w:val="center" w:pos="4819"/>
        </w:tabs>
        <w:spacing w:before="80" w:after="80" w:line="278" w:lineRule="auto"/>
        <w:jc w:val="center"/>
        <w:rPr>
          <w:b/>
          <w:bCs/>
          <w:lang w:val="en-GB"/>
        </w:rPr>
      </w:pPr>
      <w:r w:rsidRPr="0012667F">
        <w:rPr>
          <w:b/>
          <w:bCs/>
          <w:lang w:val="en-GB"/>
        </w:rPr>
        <w:lastRenderedPageBreak/>
        <w:t>Visits conducted and reports published (1</w:t>
      </w:r>
      <w:r w:rsidRPr="0012667F">
        <w:rPr>
          <w:b/>
          <w:bCs/>
          <w:vertAlign w:val="superscript"/>
          <w:lang w:val="en-GB"/>
        </w:rPr>
        <w:t>st</w:t>
      </w:r>
      <w:r w:rsidRPr="0012667F">
        <w:rPr>
          <w:b/>
          <w:bCs/>
          <w:lang w:val="en-GB"/>
        </w:rPr>
        <w:t xml:space="preserve"> January 2022 – 31</w:t>
      </w:r>
      <w:r w:rsidRPr="0012667F">
        <w:rPr>
          <w:b/>
          <w:bCs/>
          <w:vertAlign w:val="superscript"/>
          <w:lang w:val="en-GB"/>
        </w:rPr>
        <w:t>st</w:t>
      </w:r>
      <w:r w:rsidRPr="0012667F">
        <w:rPr>
          <w:b/>
          <w:bCs/>
          <w:lang w:val="en-GB"/>
        </w:rPr>
        <w:t xml:space="preserve"> March 2026)</w:t>
      </w:r>
    </w:p>
    <w:p w14:paraId="143B31DE" w14:textId="77777777" w:rsidR="00B23D64" w:rsidRPr="0012667F" w:rsidRDefault="00B23D64" w:rsidP="007B7EDC">
      <w:pPr>
        <w:tabs>
          <w:tab w:val="left" w:pos="646"/>
          <w:tab w:val="center" w:pos="4819"/>
        </w:tabs>
        <w:spacing w:before="80" w:after="80" w:line="278" w:lineRule="auto"/>
        <w:rPr>
          <w:b/>
          <w:bCs/>
          <w:lang w:val="en-GB"/>
        </w:rPr>
      </w:pPr>
    </w:p>
    <w:tbl>
      <w:tblPr>
        <w:tblStyle w:val="Grigliatabella"/>
        <w:tblW w:w="11192" w:type="dxa"/>
        <w:jc w:val="center"/>
        <w:tblLayout w:type="fixed"/>
        <w:tblLook w:val="04A0" w:firstRow="1" w:lastRow="0" w:firstColumn="1" w:lastColumn="0" w:noHBand="0" w:noVBand="1"/>
      </w:tblPr>
      <w:tblGrid>
        <w:gridCol w:w="1413"/>
        <w:gridCol w:w="1984"/>
        <w:gridCol w:w="993"/>
        <w:gridCol w:w="816"/>
        <w:gridCol w:w="782"/>
        <w:gridCol w:w="782"/>
        <w:gridCol w:w="1163"/>
        <w:gridCol w:w="1116"/>
        <w:gridCol w:w="2143"/>
      </w:tblGrid>
      <w:tr w:rsidR="00B23D64" w:rsidRPr="0012667F" w14:paraId="02FABF3E" w14:textId="77777777" w:rsidTr="008E5156">
        <w:trPr>
          <w:jc w:val="center"/>
        </w:trPr>
        <w:tc>
          <w:tcPr>
            <w:tcW w:w="1413" w:type="dxa"/>
          </w:tcPr>
          <w:p w14:paraId="07AB1C44" w14:textId="77777777" w:rsidR="00B23D64" w:rsidRPr="0012667F" w:rsidRDefault="00B23D64" w:rsidP="007B7EDC">
            <w:pPr>
              <w:spacing w:before="80" w:after="80" w:line="278" w:lineRule="auto"/>
              <w:jc w:val="center"/>
              <w:rPr>
                <w:rFonts w:ascii="Palatino Linotype" w:hAnsi="Palatino Linotype"/>
                <w:b/>
                <w:bCs/>
              </w:rPr>
            </w:pPr>
            <w:r>
              <w:rPr>
                <w:rFonts w:ascii="Palatino Linotype" w:hAnsi="Palatino Linotype"/>
                <w:b/>
                <w:bCs/>
              </w:rPr>
              <w:t>D</w:t>
            </w:r>
            <w:r w:rsidRPr="0012667F">
              <w:rPr>
                <w:rFonts w:ascii="Palatino Linotype" w:hAnsi="Palatino Linotype"/>
                <w:b/>
                <w:bCs/>
              </w:rPr>
              <w:t>omain</w:t>
            </w:r>
          </w:p>
        </w:tc>
        <w:tc>
          <w:tcPr>
            <w:tcW w:w="1984" w:type="dxa"/>
          </w:tcPr>
          <w:p w14:paraId="4A680D42" w14:textId="77777777" w:rsidR="00B23D64" w:rsidRPr="0012667F" w:rsidRDefault="00B23D64" w:rsidP="007B7EDC">
            <w:pPr>
              <w:spacing w:before="80" w:after="80" w:line="278" w:lineRule="auto"/>
              <w:jc w:val="center"/>
              <w:rPr>
                <w:rFonts w:ascii="Palatino Linotype" w:hAnsi="Palatino Linotype"/>
                <w:b/>
                <w:bCs/>
              </w:rPr>
            </w:pPr>
            <w:proofErr w:type="spellStart"/>
            <w:r w:rsidRPr="0012667F">
              <w:rPr>
                <w:rFonts w:ascii="Palatino Linotype" w:hAnsi="Palatino Linotype"/>
                <w:b/>
                <w:bCs/>
              </w:rPr>
              <w:t>Visited</w:t>
            </w:r>
            <w:proofErr w:type="spellEnd"/>
            <w:r w:rsidRPr="0012667F">
              <w:rPr>
                <w:rFonts w:ascii="Palatino Linotype" w:hAnsi="Palatino Linotype"/>
                <w:b/>
                <w:bCs/>
              </w:rPr>
              <w:t xml:space="preserve"> </w:t>
            </w:r>
            <w:proofErr w:type="spellStart"/>
            <w:r w:rsidRPr="0012667F">
              <w:rPr>
                <w:rFonts w:ascii="Palatino Linotype" w:hAnsi="Palatino Linotype"/>
                <w:b/>
                <w:bCs/>
              </w:rPr>
              <w:t>Structure</w:t>
            </w:r>
            <w:proofErr w:type="spellEnd"/>
          </w:p>
        </w:tc>
        <w:tc>
          <w:tcPr>
            <w:tcW w:w="993" w:type="dxa"/>
          </w:tcPr>
          <w:p w14:paraId="14D16B6E" w14:textId="77777777" w:rsidR="00B23D64" w:rsidRPr="0012667F" w:rsidRDefault="00B23D64" w:rsidP="007B7EDC">
            <w:pPr>
              <w:spacing w:before="80" w:after="80" w:line="278" w:lineRule="auto"/>
              <w:jc w:val="center"/>
              <w:rPr>
                <w:rFonts w:ascii="Palatino Linotype" w:hAnsi="Palatino Linotype"/>
                <w:b/>
                <w:bCs/>
              </w:rPr>
            </w:pPr>
            <w:proofErr w:type="spellStart"/>
            <w:r w:rsidRPr="0012667F">
              <w:rPr>
                <w:rFonts w:ascii="Palatino Linotype" w:hAnsi="Palatino Linotype"/>
                <w:b/>
                <w:bCs/>
              </w:rPr>
              <w:t>Visit</w:t>
            </w:r>
            <w:r>
              <w:rPr>
                <w:rFonts w:ascii="Palatino Linotype" w:hAnsi="Palatino Linotype"/>
                <w:b/>
                <w:bCs/>
              </w:rPr>
              <w:t>s</w:t>
            </w:r>
            <w:proofErr w:type="spellEnd"/>
            <w:r w:rsidRPr="0012667F">
              <w:rPr>
                <w:rFonts w:ascii="Palatino Linotype" w:hAnsi="Palatino Linotype"/>
                <w:b/>
                <w:bCs/>
              </w:rPr>
              <w:t xml:space="preserve"> 2022</w:t>
            </w:r>
          </w:p>
        </w:tc>
        <w:tc>
          <w:tcPr>
            <w:tcW w:w="816" w:type="dxa"/>
          </w:tcPr>
          <w:p w14:paraId="41131541" w14:textId="77777777" w:rsidR="00B23D64" w:rsidRPr="0012667F" w:rsidRDefault="00B23D64" w:rsidP="007B7EDC">
            <w:pPr>
              <w:spacing w:before="80" w:after="80" w:line="278" w:lineRule="auto"/>
              <w:jc w:val="center"/>
              <w:rPr>
                <w:rFonts w:ascii="Palatino Linotype" w:hAnsi="Palatino Linotype"/>
                <w:b/>
                <w:bCs/>
              </w:rPr>
            </w:pPr>
            <w:proofErr w:type="spellStart"/>
            <w:r w:rsidRPr="0012667F">
              <w:rPr>
                <w:rFonts w:ascii="Palatino Linotype" w:hAnsi="Palatino Linotype"/>
                <w:b/>
                <w:bCs/>
              </w:rPr>
              <w:t>Visit</w:t>
            </w:r>
            <w:r>
              <w:rPr>
                <w:rFonts w:ascii="Palatino Linotype" w:hAnsi="Palatino Linotype"/>
                <w:b/>
                <w:bCs/>
              </w:rPr>
              <w:t>s</w:t>
            </w:r>
            <w:proofErr w:type="spellEnd"/>
            <w:r w:rsidRPr="0012667F">
              <w:rPr>
                <w:rFonts w:ascii="Palatino Linotype" w:hAnsi="Palatino Linotype"/>
                <w:b/>
                <w:bCs/>
              </w:rPr>
              <w:t xml:space="preserve"> 2023</w:t>
            </w:r>
          </w:p>
        </w:tc>
        <w:tc>
          <w:tcPr>
            <w:tcW w:w="782" w:type="dxa"/>
          </w:tcPr>
          <w:p w14:paraId="14234498" w14:textId="77777777" w:rsidR="00B23D64" w:rsidRPr="0012667F" w:rsidRDefault="00B23D64" w:rsidP="007B7EDC">
            <w:pPr>
              <w:spacing w:before="80" w:after="80" w:line="278" w:lineRule="auto"/>
              <w:jc w:val="center"/>
              <w:rPr>
                <w:rFonts w:ascii="Palatino Linotype" w:hAnsi="Palatino Linotype"/>
                <w:b/>
                <w:bCs/>
              </w:rPr>
            </w:pPr>
            <w:proofErr w:type="spellStart"/>
            <w:r w:rsidRPr="0012667F">
              <w:rPr>
                <w:rFonts w:ascii="Palatino Linotype" w:hAnsi="Palatino Linotype"/>
                <w:b/>
                <w:bCs/>
              </w:rPr>
              <w:t>Visit</w:t>
            </w:r>
            <w:r>
              <w:rPr>
                <w:rFonts w:ascii="Palatino Linotype" w:hAnsi="Palatino Linotype"/>
                <w:b/>
                <w:bCs/>
              </w:rPr>
              <w:t>s</w:t>
            </w:r>
            <w:proofErr w:type="spellEnd"/>
            <w:r w:rsidRPr="0012667F">
              <w:rPr>
                <w:rFonts w:ascii="Palatino Linotype" w:hAnsi="Palatino Linotype"/>
                <w:b/>
                <w:bCs/>
              </w:rPr>
              <w:t xml:space="preserve"> 2024</w:t>
            </w:r>
          </w:p>
        </w:tc>
        <w:tc>
          <w:tcPr>
            <w:tcW w:w="782" w:type="dxa"/>
          </w:tcPr>
          <w:p w14:paraId="280B36DD" w14:textId="77777777" w:rsidR="00B23D64" w:rsidRPr="0012667F" w:rsidRDefault="00B23D64" w:rsidP="007B7EDC">
            <w:pPr>
              <w:spacing w:before="80" w:after="80" w:line="278" w:lineRule="auto"/>
              <w:jc w:val="center"/>
              <w:rPr>
                <w:rFonts w:ascii="Palatino Linotype" w:hAnsi="Palatino Linotype"/>
                <w:b/>
                <w:bCs/>
              </w:rPr>
            </w:pPr>
            <w:proofErr w:type="spellStart"/>
            <w:r w:rsidRPr="0012667F">
              <w:rPr>
                <w:rFonts w:ascii="Palatino Linotype" w:hAnsi="Palatino Linotype"/>
                <w:b/>
                <w:bCs/>
              </w:rPr>
              <w:t>Visit</w:t>
            </w:r>
            <w:r>
              <w:rPr>
                <w:rFonts w:ascii="Palatino Linotype" w:hAnsi="Palatino Linotype"/>
                <w:b/>
                <w:bCs/>
              </w:rPr>
              <w:t>s</w:t>
            </w:r>
            <w:proofErr w:type="spellEnd"/>
            <w:r w:rsidRPr="0012667F">
              <w:rPr>
                <w:rFonts w:ascii="Palatino Linotype" w:hAnsi="Palatino Linotype"/>
                <w:b/>
                <w:bCs/>
              </w:rPr>
              <w:t xml:space="preserve"> 2025</w:t>
            </w:r>
          </w:p>
        </w:tc>
        <w:tc>
          <w:tcPr>
            <w:tcW w:w="1163" w:type="dxa"/>
          </w:tcPr>
          <w:p w14:paraId="5144863D" w14:textId="77777777" w:rsidR="00B23D64" w:rsidRPr="0012667F" w:rsidRDefault="00B23D64" w:rsidP="007B7EDC">
            <w:pPr>
              <w:spacing w:before="80" w:after="80" w:line="278" w:lineRule="auto"/>
              <w:jc w:val="center"/>
              <w:rPr>
                <w:rFonts w:ascii="Palatino Linotype" w:hAnsi="Palatino Linotype"/>
                <w:b/>
                <w:bCs/>
                <w:lang w:val="en-GB"/>
              </w:rPr>
            </w:pPr>
            <w:r w:rsidRPr="0012667F">
              <w:rPr>
                <w:rFonts w:ascii="Palatino Linotype" w:hAnsi="Palatino Linotype"/>
                <w:b/>
                <w:bCs/>
                <w:lang w:val="en-GB"/>
              </w:rPr>
              <w:t xml:space="preserve">Visits up to </w:t>
            </w:r>
            <w:r>
              <w:rPr>
                <w:rFonts w:ascii="Palatino Linotype" w:hAnsi="Palatino Linotype"/>
                <w:b/>
                <w:bCs/>
                <w:lang w:val="en-GB"/>
              </w:rPr>
              <w:t>31</w:t>
            </w:r>
            <w:r w:rsidRPr="0012667F">
              <w:rPr>
                <w:rFonts w:ascii="Palatino Linotype" w:hAnsi="Palatino Linotype"/>
                <w:b/>
                <w:bCs/>
                <w:lang w:val="en-GB"/>
              </w:rPr>
              <w:t>/3/2026</w:t>
            </w:r>
          </w:p>
        </w:tc>
        <w:tc>
          <w:tcPr>
            <w:tcW w:w="1116" w:type="dxa"/>
          </w:tcPr>
          <w:p w14:paraId="4CDEB6B7" w14:textId="77777777" w:rsidR="00B23D64" w:rsidRPr="0012667F" w:rsidRDefault="00B23D64" w:rsidP="007B7EDC">
            <w:pPr>
              <w:spacing w:before="80" w:after="80" w:line="278" w:lineRule="auto"/>
              <w:jc w:val="center"/>
              <w:rPr>
                <w:rFonts w:ascii="Palatino Linotype" w:hAnsi="Palatino Linotype"/>
                <w:b/>
                <w:bCs/>
              </w:rPr>
            </w:pPr>
            <w:r>
              <w:rPr>
                <w:rFonts w:ascii="Palatino Linotype" w:hAnsi="Palatino Linotype"/>
                <w:b/>
                <w:bCs/>
              </w:rPr>
              <w:t xml:space="preserve">Total </w:t>
            </w:r>
            <w:proofErr w:type="spellStart"/>
            <w:r>
              <w:rPr>
                <w:rFonts w:ascii="Palatino Linotype" w:hAnsi="Palatino Linotype"/>
                <w:b/>
                <w:bCs/>
              </w:rPr>
              <w:t>visited</w:t>
            </w:r>
            <w:proofErr w:type="spellEnd"/>
            <w:r>
              <w:rPr>
                <w:rFonts w:ascii="Palatino Linotype" w:hAnsi="Palatino Linotype"/>
                <w:b/>
                <w:bCs/>
              </w:rPr>
              <w:t xml:space="preserve"> </w:t>
            </w:r>
            <w:proofErr w:type="spellStart"/>
            <w:r>
              <w:rPr>
                <w:rFonts w:ascii="Palatino Linotype" w:hAnsi="Palatino Linotype"/>
                <w:b/>
                <w:bCs/>
              </w:rPr>
              <w:t>structures</w:t>
            </w:r>
            <w:proofErr w:type="spellEnd"/>
          </w:p>
        </w:tc>
        <w:tc>
          <w:tcPr>
            <w:tcW w:w="2143" w:type="dxa"/>
          </w:tcPr>
          <w:p w14:paraId="17145B2E" w14:textId="77777777" w:rsidR="00B23D64" w:rsidRPr="0012667F" w:rsidRDefault="00B23D64" w:rsidP="007B7EDC">
            <w:pPr>
              <w:spacing w:before="80" w:after="80" w:line="278" w:lineRule="auto"/>
              <w:jc w:val="center"/>
              <w:rPr>
                <w:rFonts w:ascii="Palatino Linotype" w:hAnsi="Palatino Linotype"/>
                <w:b/>
                <w:bCs/>
              </w:rPr>
            </w:pPr>
            <w:r>
              <w:rPr>
                <w:rFonts w:ascii="Palatino Linotype" w:hAnsi="Palatino Linotype"/>
                <w:b/>
                <w:bCs/>
              </w:rPr>
              <w:t>Total reports</w:t>
            </w:r>
          </w:p>
        </w:tc>
      </w:tr>
      <w:tr w:rsidR="00B23D64" w:rsidRPr="00355F49" w14:paraId="41D367E3" w14:textId="77777777" w:rsidTr="008E5156">
        <w:trPr>
          <w:jc w:val="center"/>
        </w:trPr>
        <w:tc>
          <w:tcPr>
            <w:tcW w:w="1413" w:type="dxa"/>
            <w:vMerge w:val="restart"/>
            <w:vAlign w:val="center"/>
          </w:tcPr>
          <w:p w14:paraId="68876498" w14:textId="77777777" w:rsidR="00B23D64" w:rsidRPr="00A940D8" w:rsidRDefault="00B23D64" w:rsidP="007B7EDC">
            <w:pPr>
              <w:spacing w:before="80" w:after="80" w:line="278" w:lineRule="auto"/>
              <w:jc w:val="center"/>
              <w:rPr>
                <w:rFonts w:ascii="Palatino Linotype" w:hAnsi="Palatino Linotype"/>
                <w:b/>
                <w:bCs/>
              </w:rPr>
            </w:pPr>
            <w:proofErr w:type="spellStart"/>
            <w:r w:rsidRPr="00A940D8">
              <w:rPr>
                <w:rFonts w:ascii="Palatino Linotype" w:hAnsi="Palatino Linotype"/>
                <w:b/>
                <w:bCs/>
              </w:rPr>
              <w:t>Administrative</w:t>
            </w:r>
            <w:proofErr w:type="spellEnd"/>
            <w:r w:rsidRPr="00A940D8">
              <w:rPr>
                <w:rFonts w:ascii="Palatino Linotype" w:hAnsi="Palatino Linotype"/>
                <w:b/>
                <w:bCs/>
              </w:rPr>
              <w:t xml:space="preserve"> </w:t>
            </w:r>
            <w:proofErr w:type="spellStart"/>
            <w:r w:rsidRPr="00A940D8">
              <w:rPr>
                <w:rFonts w:ascii="Palatino Linotype" w:hAnsi="Palatino Linotype"/>
                <w:b/>
                <w:bCs/>
              </w:rPr>
              <w:t>detention</w:t>
            </w:r>
            <w:proofErr w:type="spellEnd"/>
          </w:p>
        </w:tc>
        <w:tc>
          <w:tcPr>
            <w:tcW w:w="1984" w:type="dxa"/>
            <w:vAlign w:val="bottom"/>
          </w:tcPr>
          <w:p w14:paraId="2D2B0878" w14:textId="77777777" w:rsidR="00B23D64" w:rsidRPr="0012667F" w:rsidRDefault="00B23D64" w:rsidP="007B7EDC">
            <w:pPr>
              <w:spacing w:before="80" w:after="80" w:line="278" w:lineRule="auto"/>
              <w:rPr>
                <w:rFonts w:ascii="Palatino Linotype" w:hAnsi="Palatino Linotype"/>
              </w:rPr>
            </w:pPr>
            <w:r>
              <w:rPr>
                <w:rFonts w:ascii="Palatino Linotype" w:hAnsi="Palatino Linotype"/>
              </w:rPr>
              <w:t>Pre-</w:t>
            </w:r>
            <w:proofErr w:type="spellStart"/>
            <w:r>
              <w:rPr>
                <w:rFonts w:ascii="Palatino Linotype" w:hAnsi="Palatino Linotype"/>
              </w:rPr>
              <w:t>removal</w:t>
            </w:r>
            <w:proofErr w:type="spellEnd"/>
            <w:r>
              <w:rPr>
                <w:rFonts w:ascii="Palatino Linotype" w:hAnsi="Palatino Linotype"/>
              </w:rPr>
              <w:t xml:space="preserve"> Centres</w:t>
            </w:r>
          </w:p>
        </w:tc>
        <w:tc>
          <w:tcPr>
            <w:tcW w:w="993" w:type="dxa"/>
            <w:vAlign w:val="bottom"/>
          </w:tcPr>
          <w:p w14:paraId="66F0A7A0"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3</w:t>
            </w:r>
          </w:p>
        </w:tc>
        <w:tc>
          <w:tcPr>
            <w:tcW w:w="816" w:type="dxa"/>
            <w:vAlign w:val="bottom"/>
          </w:tcPr>
          <w:p w14:paraId="395BA2A1"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6</w:t>
            </w:r>
          </w:p>
        </w:tc>
        <w:tc>
          <w:tcPr>
            <w:tcW w:w="782" w:type="dxa"/>
            <w:vAlign w:val="bottom"/>
          </w:tcPr>
          <w:p w14:paraId="0B7ADDD9"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7</w:t>
            </w:r>
          </w:p>
        </w:tc>
        <w:tc>
          <w:tcPr>
            <w:tcW w:w="782" w:type="dxa"/>
            <w:vAlign w:val="bottom"/>
          </w:tcPr>
          <w:p w14:paraId="039D7BC4"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4</w:t>
            </w:r>
          </w:p>
        </w:tc>
        <w:tc>
          <w:tcPr>
            <w:tcW w:w="1163" w:type="dxa"/>
            <w:vAlign w:val="bottom"/>
          </w:tcPr>
          <w:p w14:paraId="4BA1CEF1"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1</w:t>
            </w:r>
          </w:p>
        </w:tc>
        <w:tc>
          <w:tcPr>
            <w:tcW w:w="1116" w:type="dxa"/>
            <w:vAlign w:val="bottom"/>
          </w:tcPr>
          <w:p w14:paraId="198CCAFF"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21</w:t>
            </w:r>
          </w:p>
        </w:tc>
        <w:tc>
          <w:tcPr>
            <w:tcW w:w="2143" w:type="dxa"/>
          </w:tcPr>
          <w:p w14:paraId="49544B23" w14:textId="77777777" w:rsidR="00B23D64" w:rsidRPr="0012667F" w:rsidRDefault="00B23D64" w:rsidP="007B7EDC">
            <w:pPr>
              <w:spacing w:before="80" w:after="80" w:line="278" w:lineRule="auto"/>
              <w:jc w:val="right"/>
              <w:rPr>
                <w:rFonts w:ascii="Palatino Linotype" w:hAnsi="Palatino Linotype"/>
                <w:lang w:val="en-GB"/>
              </w:rPr>
            </w:pPr>
            <w:r w:rsidRPr="0012667F">
              <w:rPr>
                <w:rFonts w:ascii="Palatino Linotype" w:hAnsi="Palatino Linotype"/>
                <w:lang w:val="en-GB"/>
              </w:rPr>
              <w:t xml:space="preserve">14 </w:t>
            </w:r>
            <w:r w:rsidRPr="0012667F">
              <w:rPr>
                <w:rFonts w:ascii="Palatino Linotype" w:hAnsi="Palatino Linotype"/>
                <w:i/>
                <w:iCs/>
                <w:lang w:val="en-GB"/>
              </w:rPr>
              <w:t>ad hoc</w:t>
            </w:r>
            <w:r w:rsidRPr="0012667F">
              <w:rPr>
                <w:rFonts w:ascii="Palatino Linotype" w:hAnsi="Palatino Linotype"/>
                <w:lang w:val="en-GB"/>
              </w:rPr>
              <w:t xml:space="preserve"> +1 regional report+1 summary document+1 </w:t>
            </w:r>
            <w:r>
              <w:rPr>
                <w:rFonts w:ascii="Palatino Linotype" w:hAnsi="Palatino Linotype"/>
                <w:lang w:val="en-GB"/>
              </w:rPr>
              <w:t>letter-report</w:t>
            </w:r>
          </w:p>
        </w:tc>
      </w:tr>
      <w:tr w:rsidR="00B23D64" w:rsidRPr="0012667F" w14:paraId="5877C96B" w14:textId="77777777" w:rsidTr="008E5156">
        <w:trPr>
          <w:jc w:val="center"/>
        </w:trPr>
        <w:tc>
          <w:tcPr>
            <w:tcW w:w="1413" w:type="dxa"/>
            <w:vMerge/>
            <w:vAlign w:val="center"/>
          </w:tcPr>
          <w:p w14:paraId="66455810" w14:textId="77777777" w:rsidR="00B23D64" w:rsidRPr="0012667F" w:rsidRDefault="00B23D64" w:rsidP="007B7EDC">
            <w:pPr>
              <w:spacing w:before="80" w:after="80" w:line="278" w:lineRule="auto"/>
              <w:rPr>
                <w:rFonts w:ascii="Palatino Linotype" w:hAnsi="Palatino Linotype"/>
                <w:b/>
                <w:bCs/>
                <w:lang w:val="en-GB"/>
              </w:rPr>
            </w:pPr>
          </w:p>
        </w:tc>
        <w:tc>
          <w:tcPr>
            <w:tcW w:w="1984" w:type="dxa"/>
            <w:vAlign w:val="bottom"/>
          </w:tcPr>
          <w:p w14:paraId="0D504D89" w14:textId="77777777" w:rsidR="00B23D64" w:rsidRPr="0012667F" w:rsidRDefault="00B23D64" w:rsidP="007B7EDC">
            <w:pPr>
              <w:spacing w:before="80" w:after="80" w:line="278" w:lineRule="auto"/>
              <w:rPr>
                <w:rFonts w:ascii="Palatino Linotype" w:hAnsi="Palatino Linotype"/>
              </w:rPr>
            </w:pPr>
            <w:r>
              <w:rPr>
                <w:rFonts w:ascii="Palatino Linotype" w:hAnsi="Palatino Linotype"/>
              </w:rPr>
              <w:t>‘</w:t>
            </w:r>
            <w:proofErr w:type="spellStart"/>
            <w:r>
              <w:rPr>
                <w:rFonts w:ascii="Palatino Linotype" w:hAnsi="Palatino Linotype"/>
              </w:rPr>
              <w:t>Suitable</w:t>
            </w:r>
            <w:proofErr w:type="spellEnd"/>
            <w:r>
              <w:rPr>
                <w:rFonts w:ascii="Palatino Linotype" w:hAnsi="Palatino Linotype"/>
              </w:rPr>
              <w:t xml:space="preserve"> </w:t>
            </w:r>
            <w:proofErr w:type="spellStart"/>
            <w:r>
              <w:rPr>
                <w:rFonts w:ascii="Palatino Linotype" w:hAnsi="Palatino Linotype"/>
              </w:rPr>
              <w:t>premises</w:t>
            </w:r>
            <w:proofErr w:type="spellEnd"/>
            <w:r>
              <w:rPr>
                <w:rFonts w:ascii="Palatino Linotype" w:hAnsi="Palatino Linotype"/>
              </w:rPr>
              <w:t>’</w:t>
            </w:r>
          </w:p>
        </w:tc>
        <w:tc>
          <w:tcPr>
            <w:tcW w:w="993" w:type="dxa"/>
            <w:vAlign w:val="bottom"/>
          </w:tcPr>
          <w:p w14:paraId="5CBB2D93"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4</w:t>
            </w:r>
          </w:p>
        </w:tc>
        <w:tc>
          <w:tcPr>
            <w:tcW w:w="816" w:type="dxa"/>
            <w:vAlign w:val="bottom"/>
          </w:tcPr>
          <w:p w14:paraId="13D05212"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782" w:type="dxa"/>
            <w:vAlign w:val="bottom"/>
          </w:tcPr>
          <w:p w14:paraId="39E94512"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782" w:type="dxa"/>
            <w:vAlign w:val="bottom"/>
          </w:tcPr>
          <w:p w14:paraId="450B96C9"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4</w:t>
            </w:r>
          </w:p>
        </w:tc>
        <w:tc>
          <w:tcPr>
            <w:tcW w:w="1163" w:type="dxa"/>
            <w:vAlign w:val="bottom"/>
          </w:tcPr>
          <w:p w14:paraId="68A46F4A"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1116" w:type="dxa"/>
            <w:vAlign w:val="bottom"/>
          </w:tcPr>
          <w:p w14:paraId="074E54A9"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8</w:t>
            </w:r>
          </w:p>
        </w:tc>
        <w:tc>
          <w:tcPr>
            <w:tcW w:w="2143" w:type="dxa"/>
          </w:tcPr>
          <w:p w14:paraId="631284A6"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 xml:space="preserve">7 </w:t>
            </w:r>
            <w:r w:rsidRPr="0012667F">
              <w:rPr>
                <w:rFonts w:ascii="Palatino Linotype" w:hAnsi="Palatino Linotype"/>
                <w:i/>
                <w:iCs/>
              </w:rPr>
              <w:t>ad hoc</w:t>
            </w:r>
            <w:r w:rsidRPr="0012667F">
              <w:rPr>
                <w:rFonts w:ascii="Palatino Linotype" w:hAnsi="Palatino Linotype"/>
              </w:rPr>
              <w:t xml:space="preserve">+1 </w:t>
            </w:r>
            <w:r w:rsidRPr="0012667F">
              <w:rPr>
                <w:rFonts w:ascii="Palatino Linotype" w:hAnsi="Palatino Linotype"/>
                <w:lang w:val="en-GB"/>
              </w:rPr>
              <w:t>regional report</w:t>
            </w:r>
          </w:p>
        </w:tc>
      </w:tr>
      <w:tr w:rsidR="00B23D64" w:rsidRPr="0012667F" w14:paraId="5601653F" w14:textId="77777777" w:rsidTr="008E5156">
        <w:trPr>
          <w:jc w:val="center"/>
        </w:trPr>
        <w:tc>
          <w:tcPr>
            <w:tcW w:w="1413" w:type="dxa"/>
            <w:vMerge/>
            <w:vAlign w:val="center"/>
          </w:tcPr>
          <w:p w14:paraId="0676E40B" w14:textId="77777777" w:rsidR="00B23D64" w:rsidRPr="0012667F" w:rsidRDefault="00B23D64" w:rsidP="007B7EDC">
            <w:pPr>
              <w:spacing w:before="80" w:after="80" w:line="278" w:lineRule="auto"/>
              <w:rPr>
                <w:rFonts w:ascii="Palatino Linotype" w:hAnsi="Palatino Linotype"/>
                <w:b/>
                <w:bCs/>
              </w:rPr>
            </w:pPr>
          </w:p>
        </w:tc>
        <w:tc>
          <w:tcPr>
            <w:tcW w:w="1984" w:type="dxa"/>
            <w:vAlign w:val="bottom"/>
          </w:tcPr>
          <w:p w14:paraId="1A172921" w14:textId="77777777" w:rsidR="00B23D64" w:rsidRPr="0012667F" w:rsidRDefault="00B23D64" w:rsidP="007B7EDC">
            <w:pPr>
              <w:spacing w:before="80" w:after="80" w:line="278" w:lineRule="auto"/>
              <w:rPr>
                <w:rFonts w:ascii="Palatino Linotype" w:hAnsi="Palatino Linotype"/>
              </w:rPr>
            </w:pPr>
            <w:r w:rsidRPr="0012667F">
              <w:rPr>
                <w:rFonts w:ascii="Palatino Linotype" w:hAnsi="Palatino Linotype"/>
              </w:rPr>
              <w:t xml:space="preserve">Hotspot </w:t>
            </w:r>
          </w:p>
        </w:tc>
        <w:tc>
          <w:tcPr>
            <w:tcW w:w="993" w:type="dxa"/>
            <w:vAlign w:val="bottom"/>
          </w:tcPr>
          <w:p w14:paraId="05919422"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816" w:type="dxa"/>
            <w:vAlign w:val="bottom"/>
          </w:tcPr>
          <w:p w14:paraId="3CEC9838"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1</w:t>
            </w:r>
          </w:p>
        </w:tc>
        <w:tc>
          <w:tcPr>
            <w:tcW w:w="782" w:type="dxa"/>
            <w:vAlign w:val="bottom"/>
          </w:tcPr>
          <w:p w14:paraId="5B987B34"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1</w:t>
            </w:r>
          </w:p>
        </w:tc>
        <w:tc>
          <w:tcPr>
            <w:tcW w:w="782" w:type="dxa"/>
            <w:vAlign w:val="bottom"/>
          </w:tcPr>
          <w:p w14:paraId="03BB5216"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1163" w:type="dxa"/>
            <w:vAlign w:val="bottom"/>
          </w:tcPr>
          <w:p w14:paraId="4448C173"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1116" w:type="dxa"/>
            <w:vAlign w:val="bottom"/>
          </w:tcPr>
          <w:p w14:paraId="3632401B"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2</w:t>
            </w:r>
          </w:p>
        </w:tc>
        <w:tc>
          <w:tcPr>
            <w:tcW w:w="2143" w:type="dxa"/>
          </w:tcPr>
          <w:p w14:paraId="40D211CB"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1 (</w:t>
            </w:r>
            <w:r>
              <w:rPr>
                <w:rFonts w:ascii="Palatino Linotype" w:hAnsi="Palatino Linotype"/>
              </w:rPr>
              <w:t xml:space="preserve">in the </w:t>
            </w:r>
            <w:r w:rsidRPr="0012667F">
              <w:rPr>
                <w:rFonts w:ascii="Palatino Linotype" w:hAnsi="Palatino Linotype"/>
                <w:lang w:val="en-GB"/>
              </w:rPr>
              <w:t>summary document</w:t>
            </w:r>
            <w:r w:rsidRPr="0012667F">
              <w:rPr>
                <w:rFonts w:ascii="Palatino Linotype" w:hAnsi="Palatino Linotype"/>
              </w:rPr>
              <w:t>)</w:t>
            </w:r>
          </w:p>
        </w:tc>
      </w:tr>
      <w:tr w:rsidR="00B23D64" w:rsidRPr="0012667F" w14:paraId="045EA924" w14:textId="77777777" w:rsidTr="008E5156">
        <w:trPr>
          <w:jc w:val="center"/>
        </w:trPr>
        <w:tc>
          <w:tcPr>
            <w:tcW w:w="1413" w:type="dxa"/>
            <w:vMerge/>
            <w:vAlign w:val="center"/>
          </w:tcPr>
          <w:p w14:paraId="0E960D30" w14:textId="77777777" w:rsidR="00B23D64" w:rsidRPr="0012667F" w:rsidRDefault="00B23D64" w:rsidP="007B7EDC">
            <w:pPr>
              <w:spacing w:before="80" w:after="80" w:line="278" w:lineRule="auto"/>
              <w:rPr>
                <w:rFonts w:ascii="Palatino Linotype" w:hAnsi="Palatino Linotype"/>
                <w:b/>
                <w:bCs/>
              </w:rPr>
            </w:pPr>
          </w:p>
        </w:tc>
        <w:tc>
          <w:tcPr>
            <w:tcW w:w="1984" w:type="dxa"/>
            <w:vAlign w:val="bottom"/>
          </w:tcPr>
          <w:p w14:paraId="2D84A21C" w14:textId="77777777" w:rsidR="00B23D64" w:rsidRPr="0012667F" w:rsidRDefault="00B23D64" w:rsidP="007B7EDC">
            <w:pPr>
              <w:spacing w:before="80" w:after="80" w:line="278" w:lineRule="auto"/>
              <w:rPr>
                <w:rFonts w:ascii="Palatino Linotype" w:hAnsi="Palatino Linotype"/>
              </w:rPr>
            </w:pPr>
            <w:r>
              <w:rPr>
                <w:rFonts w:ascii="Palatino Linotype" w:hAnsi="Palatino Linotype"/>
              </w:rPr>
              <w:t>First reception Centre</w:t>
            </w:r>
          </w:p>
        </w:tc>
        <w:tc>
          <w:tcPr>
            <w:tcW w:w="993" w:type="dxa"/>
            <w:vAlign w:val="bottom"/>
          </w:tcPr>
          <w:p w14:paraId="544BE470"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816" w:type="dxa"/>
            <w:vAlign w:val="bottom"/>
          </w:tcPr>
          <w:p w14:paraId="7E877579"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1</w:t>
            </w:r>
          </w:p>
        </w:tc>
        <w:tc>
          <w:tcPr>
            <w:tcW w:w="782" w:type="dxa"/>
            <w:vAlign w:val="bottom"/>
          </w:tcPr>
          <w:p w14:paraId="2DB2AC87" w14:textId="77777777" w:rsidR="00B23D64" w:rsidRPr="0012667F" w:rsidRDefault="00B23D64" w:rsidP="007B7EDC">
            <w:pPr>
              <w:spacing w:before="80" w:after="80" w:line="278" w:lineRule="auto"/>
              <w:jc w:val="right"/>
              <w:rPr>
                <w:rFonts w:ascii="Palatino Linotype" w:hAnsi="Palatino Linotype"/>
              </w:rPr>
            </w:pPr>
          </w:p>
        </w:tc>
        <w:tc>
          <w:tcPr>
            <w:tcW w:w="782" w:type="dxa"/>
            <w:vAlign w:val="bottom"/>
          </w:tcPr>
          <w:p w14:paraId="3A917D67"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1163" w:type="dxa"/>
            <w:vAlign w:val="bottom"/>
          </w:tcPr>
          <w:p w14:paraId="7A84A165"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1116" w:type="dxa"/>
            <w:vAlign w:val="bottom"/>
          </w:tcPr>
          <w:p w14:paraId="4D309CBF"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1</w:t>
            </w:r>
          </w:p>
        </w:tc>
        <w:tc>
          <w:tcPr>
            <w:tcW w:w="2143" w:type="dxa"/>
          </w:tcPr>
          <w:p w14:paraId="5CFA2B5E"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1 (</w:t>
            </w:r>
            <w:r>
              <w:rPr>
                <w:rFonts w:ascii="Palatino Linotype" w:hAnsi="Palatino Linotype"/>
              </w:rPr>
              <w:t xml:space="preserve">in the </w:t>
            </w:r>
            <w:r w:rsidRPr="0012667F">
              <w:rPr>
                <w:rFonts w:ascii="Palatino Linotype" w:hAnsi="Palatino Linotype"/>
                <w:lang w:val="en-GB"/>
              </w:rPr>
              <w:t>summary document</w:t>
            </w:r>
            <w:r w:rsidRPr="0012667F">
              <w:rPr>
                <w:rFonts w:ascii="Palatino Linotype" w:hAnsi="Palatino Linotype"/>
              </w:rPr>
              <w:t xml:space="preserve">) </w:t>
            </w:r>
          </w:p>
        </w:tc>
      </w:tr>
      <w:tr w:rsidR="00B23D64" w:rsidRPr="00355F49" w14:paraId="14CB767D" w14:textId="77777777" w:rsidTr="008E5156">
        <w:trPr>
          <w:jc w:val="center"/>
        </w:trPr>
        <w:tc>
          <w:tcPr>
            <w:tcW w:w="1413" w:type="dxa"/>
            <w:vMerge/>
            <w:shd w:val="clear" w:color="auto" w:fill="F2DBDB" w:themeFill="accent2" w:themeFillTint="33"/>
            <w:vAlign w:val="bottom"/>
          </w:tcPr>
          <w:p w14:paraId="3E8B8473" w14:textId="77777777" w:rsidR="00B23D64" w:rsidRPr="0012667F" w:rsidRDefault="00B23D64" w:rsidP="007B7EDC">
            <w:pPr>
              <w:spacing w:before="80" w:after="80" w:line="278" w:lineRule="auto"/>
              <w:jc w:val="right"/>
              <w:rPr>
                <w:rFonts w:ascii="Palatino Linotype" w:hAnsi="Palatino Linotype"/>
              </w:rPr>
            </w:pPr>
          </w:p>
        </w:tc>
        <w:tc>
          <w:tcPr>
            <w:tcW w:w="1984" w:type="dxa"/>
            <w:shd w:val="clear" w:color="auto" w:fill="F2DBDB" w:themeFill="accent2" w:themeFillTint="33"/>
            <w:vAlign w:val="bottom"/>
          </w:tcPr>
          <w:p w14:paraId="0964F65D" w14:textId="77777777" w:rsidR="00B23D64" w:rsidRPr="0012667F" w:rsidRDefault="00B23D64" w:rsidP="007B7EDC">
            <w:pPr>
              <w:spacing w:before="80" w:after="80" w:line="278" w:lineRule="auto"/>
              <w:jc w:val="right"/>
              <w:rPr>
                <w:rFonts w:ascii="Palatino Linotype" w:hAnsi="Palatino Linotype"/>
              </w:rPr>
            </w:pPr>
            <w:proofErr w:type="spellStart"/>
            <w:r>
              <w:rPr>
                <w:rFonts w:ascii="Palatino Linotype" w:hAnsi="Palatino Linotype"/>
                <w:b/>
                <w:bCs/>
              </w:rPr>
              <w:t>Totals</w:t>
            </w:r>
            <w:proofErr w:type="spellEnd"/>
            <w:r>
              <w:rPr>
                <w:rFonts w:ascii="Palatino Linotype" w:hAnsi="Palatino Linotype"/>
                <w:b/>
                <w:bCs/>
              </w:rPr>
              <w:t xml:space="preserve"> (</w:t>
            </w:r>
            <w:proofErr w:type="spellStart"/>
            <w:r>
              <w:rPr>
                <w:rFonts w:ascii="Palatino Linotype" w:hAnsi="Palatino Linotype"/>
                <w:b/>
                <w:bCs/>
              </w:rPr>
              <w:t>administrative</w:t>
            </w:r>
            <w:proofErr w:type="spellEnd"/>
            <w:r>
              <w:rPr>
                <w:rFonts w:ascii="Palatino Linotype" w:hAnsi="Palatino Linotype"/>
                <w:b/>
                <w:bCs/>
              </w:rPr>
              <w:t xml:space="preserve"> </w:t>
            </w:r>
            <w:proofErr w:type="spellStart"/>
            <w:r>
              <w:rPr>
                <w:rFonts w:ascii="Palatino Linotype" w:hAnsi="Palatino Linotype"/>
                <w:b/>
                <w:bCs/>
              </w:rPr>
              <w:t>detention</w:t>
            </w:r>
            <w:proofErr w:type="spellEnd"/>
            <w:r>
              <w:rPr>
                <w:rFonts w:ascii="Palatino Linotype" w:hAnsi="Palatino Linotype"/>
                <w:b/>
                <w:bCs/>
              </w:rPr>
              <w:t>)</w:t>
            </w:r>
          </w:p>
        </w:tc>
        <w:tc>
          <w:tcPr>
            <w:tcW w:w="993" w:type="dxa"/>
            <w:shd w:val="clear" w:color="auto" w:fill="F2DBDB" w:themeFill="accent2" w:themeFillTint="33"/>
            <w:vAlign w:val="bottom"/>
          </w:tcPr>
          <w:p w14:paraId="014C0550"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7</w:t>
            </w:r>
          </w:p>
        </w:tc>
        <w:tc>
          <w:tcPr>
            <w:tcW w:w="816" w:type="dxa"/>
            <w:shd w:val="clear" w:color="auto" w:fill="F2DBDB" w:themeFill="accent2" w:themeFillTint="33"/>
            <w:vAlign w:val="bottom"/>
          </w:tcPr>
          <w:p w14:paraId="5C747207"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8</w:t>
            </w:r>
          </w:p>
        </w:tc>
        <w:tc>
          <w:tcPr>
            <w:tcW w:w="782" w:type="dxa"/>
            <w:shd w:val="clear" w:color="auto" w:fill="F2DBDB" w:themeFill="accent2" w:themeFillTint="33"/>
            <w:vAlign w:val="bottom"/>
          </w:tcPr>
          <w:p w14:paraId="7A475793"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8</w:t>
            </w:r>
          </w:p>
        </w:tc>
        <w:tc>
          <w:tcPr>
            <w:tcW w:w="782" w:type="dxa"/>
            <w:shd w:val="clear" w:color="auto" w:fill="F2DBDB" w:themeFill="accent2" w:themeFillTint="33"/>
            <w:vAlign w:val="bottom"/>
          </w:tcPr>
          <w:p w14:paraId="1DF79053"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8</w:t>
            </w:r>
          </w:p>
        </w:tc>
        <w:tc>
          <w:tcPr>
            <w:tcW w:w="1163" w:type="dxa"/>
            <w:shd w:val="clear" w:color="auto" w:fill="F2DBDB" w:themeFill="accent2" w:themeFillTint="33"/>
            <w:vAlign w:val="bottom"/>
          </w:tcPr>
          <w:p w14:paraId="3D68859D"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1</w:t>
            </w:r>
          </w:p>
        </w:tc>
        <w:tc>
          <w:tcPr>
            <w:tcW w:w="1116" w:type="dxa"/>
            <w:shd w:val="clear" w:color="auto" w:fill="F2DBDB" w:themeFill="accent2" w:themeFillTint="33"/>
            <w:vAlign w:val="bottom"/>
          </w:tcPr>
          <w:p w14:paraId="6DDA9A1F" w14:textId="77777777" w:rsidR="00B23D64" w:rsidRPr="0012667F" w:rsidRDefault="00B23D64" w:rsidP="007B7EDC">
            <w:pPr>
              <w:spacing w:before="80" w:after="80" w:line="278" w:lineRule="auto"/>
              <w:ind w:right="-58"/>
              <w:jc w:val="right"/>
              <w:rPr>
                <w:rFonts w:ascii="Palatino Linotype" w:hAnsi="Palatino Linotype"/>
                <w:b/>
                <w:bCs/>
              </w:rPr>
            </w:pPr>
            <w:r w:rsidRPr="0012667F">
              <w:rPr>
                <w:rFonts w:ascii="Palatino Linotype" w:hAnsi="Palatino Linotype"/>
                <w:b/>
                <w:bCs/>
              </w:rPr>
              <w:t>32</w:t>
            </w:r>
          </w:p>
        </w:tc>
        <w:tc>
          <w:tcPr>
            <w:tcW w:w="2143" w:type="dxa"/>
            <w:shd w:val="clear" w:color="auto" w:fill="F2DBDB" w:themeFill="accent2" w:themeFillTint="33"/>
          </w:tcPr>
          <w:p w14:paraId="7657790A" w14:textId="77777777" w:rsidR="00B23D64" w:rsidRPr="00416A01" w:rsidRDefault="00B23D64" w:rsidP="007B7EDC">
            <w:pPr>
              <w:spacing w:before="80" w:after="80" w:line="278" w:lineRule="auto"/>
              <w:jc w:val="right"/>
              <w:rPr>
                <w:rFonts w:ascii="Palatino Linotype" w:hAnsi="Palatino Linotype"/>
                <w:lang w:val="en-GB"/>
              </w:rPr>
            </w:pPr>
            <w:r w:rsidRPr="00183845">
              <w:rPr>
                <w:rFonts w:ascii="Palatino Linotype" w:hAnsi="Palatino Linotype"/>
                <w:b/>
                <w:bCs/>
                <w:lang w:val="en-GB"/>
              </w:rPr>
              <w:t xml:space="preserve">25 reports </w:t>
            </w:r>
            <w:r w:rsidRPr="00416A01">
              <w:rPr>
                <w:rFonts w:ascii="Palatino Linotype" w:hAnsi="Palatino Linotype"/>
                <w:lang w:val="en-GB"/>
              </w:rPr>
              <w:t xml:space="preserve">(out of which 21 </w:t>
            </w:r>
            <w:r w:rsidRPr="00416A01">
              <w:rPr>
                <w:rFonts w:ascii="Palatino Linotype" w:hAnsi="Palatino Linotype"/>
                <w:i/>
                <w:iCs/>
                <w:lang w:val="en-GB"/>
              </w:rPr>
              <w:t>ad hoc</w:t>
            </w:r>
            <w:r w:rsidRPr="00416A01">
              <w:rPr>
                <w:rFonts w:ascii="Palatino Linotype" w:hAnsi="Palatino Linotype"/>
                <w:lang w:val="en-GB"/>
              </w:rPr>
              <w:t xml:space="preserve">+2 </w:t>
            </w:r>
            <w:r w:rsidRPr="0012667F">
              <w:rPr>
                <w:rFonts w:ascii="Palatino Linotype" w:hAnsi="Palatino Linotype"/>
                <w:lang w:val="en-GB"/>
              </w:rPr>
              <w:t>regional report</w:t>
            </w:r>
            <w:r>
              <w:rPr>
                <w:rFonts w:ascii="Palatino Linotype" w:hAnsi="Palatino Linotype"/>
                <w:lang w:val="en-GB"/>
              </w:rPr>
              <w:t>s</w:t>
            </w:r>
            <w:r w:rsidRPr="00416A01">
              <w:rPr>
                <w:rFonts w:ascii="Palatino Linotype" w:hAnsi="Palatino Linotype"/>
                <w:lang w:val="en-GB"/>
              </w:rPr>
              <w:t xml:space="preserve"> +1 </w:t>
            </w:r>
            <w:r w:rsidRPr="0012667F">
              <w:rPr>
                <w:rFonts w:ascii="Palatino Linotype" w:hAnsi="Palatino Linotype"/>
                <w:lang w:val="en-GB"/>
              </w:rPr>
              <w:t>summary document</w:t>
            </w:r>
            <w:r w:rsidRPr="00416A01">
              <w:rPr>
                <w:rFonts w:ascii="Palatino Linotype" w:hAnsi="Palatino Linotype"/>
                <w:lang w:val="en-GB"/>
              </w:rPr>
              <w:t xml:space="preserve"> +1 </w:t>
            </w:r>
            <w:r>
              <w:rPr>
                <w:rFonts w:ascii="Palatino Linotype" w:hAnsi="Palatino Linotype"/>
                <w:lang w:val="en-GB"/>
              </w:rPr>
              <w:t>letter-report)</w:t>
            </w:r>
          </w:p>
        </w:tc>
      </w:tr>
      <w:tr w:rsidR="00B23D64" w:rsidRPr="00355F49" w14:paraId="5F588AF6" w14:textId="77777777" w:rsidTr="008E5156">
        <w:trPr>
          <w:jc w:val="center"/>
        </w:trPr>
        <w:tc>
          <w:tcPr>
            <w:tcW w:w="1413" w:type="dxa"/>
            <w:vMerge w:val="restart"/>
            <w:vAlign w:val="center"/>
          </w:tcPr>
          <w:p w14:paraId="5C8D44A4" w14:textId="77777777" w:rsidR="00B23D64" w:rsidRPr="0012667F" w:rsidRDefault="00B23D64" w:rsidP="007B7EDC">
            <w:pPr>
              <w:spacing w:before="80" w:after="80" w:line="278" w:lineRule="auto"/>
              <w:jc w:val="center"/>
              <w:rPr>
                <w:rFonts w:ascii="Palatino Linotype" w:hAnsi="Palatino Linotype"/>
                <w:b/>
                <w:bCs/>
              </w:rPr>
            </w:pPr>
            <w:proofErr w:type="spellStart"/>
            <w:r>
              <w:rPr>
                <w:rFonts w:ascii="Palatino Linotype" w:hAnsi="Palatino Linotype"/>
                <w:b/>
                <w:bCs/>
              </w:rPr>
              <w:t>Criminal</w:t>
            </w:r>
            <w:proofErr w:type="spellEnd"/>
            <w:r>
              <w:rPr>
                <w:rFonts w:ascii="Palatino Linotype" w:hAnsi="Palatino Linotype"/>
                <w:b/>
                <w:bCs/>
              </w:rPr>
              <w:t xml:space="preserve"> </w:t>
            </w:r>
            <w:proofErr w:type="spellStart"/>
            <w:r>
              <w:rPr>
                <w:rFonts w:ascii="Palatino Linotype" w:hAnsi="Palatino Linotype"/>
                <w:b/>
                <w:bCs/>
              </w:rPr>
              <w:t>detention</w:t>
            </w:r>
            <w:proofErr w:type="spellEnd"/>
          </w:p>
        </w:tc>
        <w:tc>
          <w:tcPr>
            <w:tcW w:w="1984" w:type="dxa"/>
            <w:vAlign w:val="bottom"/>
          </w:tcPr>
          <w:p w14:paraId="328F405D" w14:textId="77777777" w:rsidR="00B23D64" w:rsidRPr="0012667F" w:rsidRDefault="00B23D64" w:rsidP="007B7EDC">
            <w:pPr>
              <w:spacing w:before="80" w:after="80" w:line="278" w:lineRule="auto"/>
              <w:rPr>
                <w:rFonts w:ascii="Palatino Linotype" w:hAnsi="Palatino Linotype"/>
              </w:rPr>
            </w:pPr>
            <w:proofErr w:type="spellStart"/>
            <w:r>
              <w:rPr>
                <w:rFonts w:ascii="Palatino Linotype" w:hAnsi="Palatino Linotype"/>
              </w:rPr>
              <w:t>Prisons</w:t>
            </w:r>
            <w:proofErr w:type="spellEnd"/>
            <w:r>
              <w:rPr>
                <w:rFonts w:ascii="Palatino Linotype" w:hAnsi="Palatino Linotype"/>
              </w:rPr>
              <w:t xml:space="preserve">; </w:t>
            </w:r>
            <w:proofErr w:type="spellStart"/>
            <w:r>
              <w:rPr>
                <w:rFonts w:ascii="Palatino Linotype" w:hAnsi="Palatino Linotype"/>
              </w:rPr>
              <w:t>YOIs</w:t>
            </w:r>
            <w:proofErr w:type="spellEnd"/>
            <w:r>
              <w:rPr>
                <w:rFonts w:ascii="Palatino Linotype" w:hAnsi="Palatino Linotype"/>
              </w:rPr>
              <w:t>; ICAM</w:t>
            </w:r>
          </w:p>
        </w:tc>
        <w:tc>
          <w:tcPr>
            <w:tcW w:w="993" w:type="dxa"/>
            <w:vAlign w:val="bottom"/>
          </w:tcPr>
          <w:p w14:paraId="3CA50222"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61</w:t>
            </w:r>
          </w:p>
        </w:tc>
        <w:tc>
          <w:tcPr>
            <w:tcW w:w="816" w:type="dxa"/>
            <w:vAlign w:val="bottom"/>
          </w:tcPr>
          <w:p w14:paraId="214F9DBB"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24</w:t>
            </w:r>
          </w:p>
        </w:tc>
        <w:tc>
          <w:tcPr>
            <w:tcW w:w="782" w:type="dxa"/>
            <w:vAlign w:val="bottom"/>
          </w:tcPr>
          <w:p w14:paraId="0662DE70"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56</w:t>
            </w:r>
          </w:p>
        </w:tc>
        <w:tc>
          <w:tcPr>
            <w:tcW w:w="782" w:type="dxa"/>
            <w:vAlign w:val="bottom"/>
          </w:tcPr>
          <w:p w14:paraId="19FC1773"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55</w:t>
            </w:r>
          </w:p>
        </w:tc>
        <w:tc>
          <w:tcPr>
            <w:tcW w:w="1163" w:type="dxa"/>
            <w:vAlign w:val="bottom"/>
          </w:tcPr>
          <w:p w14:paraId="771C696C"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2</w:t>
            </w:r>
            <w:r>
              <w:rPr>
                <w:rFonts w:ascii="Palatino Linotype" w:hAnsi="Palatino Linotype"/>
              </w:rPr>
              <w:t>2</w:t>
            </w:r>
          </w:p>
        </w:tc>
        <w:tc>
          <w:tcPr>
            <w:tcW w:w="1116" w:type="dxa"/>
            <w:vAlign w:val="bottom"/>
          </w:tcPr>
          <w:p w14:paraId="18053B7D" w14:textId="77777777" w:rsidR="00B23D64" w:rsidRPr="0012667F" w:rsidRDefault="00B23D64" w:rsidP="007B7EDC">
            <w:pPr>
              <w:spacing w:before="80" w:after="80" w:line="278" w:lineRule="auto"/>
              <w:ind w:right="-58"/>
              <w:jc w:val="right"/>
              <w:rPr>
                <w:rFonts w:ascii="Palatino Linotype" w:hAnsi="Palatino Linotype"/>
                <w:b/>
                <w:bCs/>
              </w:rPr>
            </w:pPr>
            <w:r w:rsidRPr="0012667F">
              <w:rPr>
                <w:rFonts w:ascii="Palatino Linotype" w:hAnsi="Palatino Linotype"/>
                <w:b/>
                <w:bCs/>
              </w:rPr>
              <w:t>2</w:t>
            </w:r>
            <w:r>
              <w:rPr>
                <w:rFonts w:ascii="Palatino Linotype" w:hAnsi="Palatino Linotype"/>
                <w:b/>
                <w:bCs/>
              </w:rPr>
              <w:t>18</w:t>
            </w:r>
          </w:p>
        </w:tc>
        <w:tc>
          <w:tcPr>
            <w:tcW w:w="2143" w:type="dxa"/>
            <w:vAlign w:val="bottom"/>
          </w:tcPr>
          <w:p w14:paraId="1BC7E994" w14:textId="77777777" w:rsidR="00B23D64" w:rsidRPr="00416A01" w:rsidRDefault="00B23D64" w:rsidP="007B7EDC">
            <w:pPr>
              <w:spacing w:before="80" w:after="80" w:line="278" w:lineRule="auto"/>
              <w:jc w:val="right"/>
              <w:rPr>
                <w:rFonts w:ascii="Palatino Linotype" w:hAnsi="Palatino Linotype"/>
                <w:lang w:val="en-GB"/>
              </w:rPr>
            </w:pPr>
            <w:r w:rsidRPr="00416A01">
              <w:rPr>
                <w:rFonts w:ascii="Palatino Linotype" w:hAnsi="Palatino Linotype"/>
                <w:lang w:val="en-GB"/>
              </w:rPr>
              <w:t>1</w:t>
            </w:r>
            <w:r>
              <w:rPr>
                <w:rFonts w:ascii="Palatino Linotype" w:hAnsi="Palatino Linotype"/>
                <w:lang w:val="en-GB"/>
              </w:rPr>
              <w:t>9</w:t>
            </w:r>
            <w:r w:rsidRPr="00416A01">
              <w:rPr>
                <w:rFonts w:ascii="Palatino Linotype" w:hAnsi="Palatino Linotype"/>
                <w:lang w:val="en-GB"/>
              </w:rPr>
              <w:t xml:space="preserve"> (1</w:t>
            </w:r>
            <w:r>
              <w:rPr>
                <w:rFonts w:ascii="Palatino Linotype" w:hAnsi="Palatino Linotype"/>
                <w:lang w:val="en-GB"/>
              </w:rPr>
              <w:t>3</w:t>
            </w:r>
            <w:r w:rsidRPr="00416A01">
              <w:rPr>
                <w:rFonts w:ascii="Palatino Linotype" w:hAnsi="Palatino Linotype"/>
                <w:lang w:val="en-GB"/>
              </w:rPr>
              <w:t xml:space="preserve"> </w:t>
            </w:r>
            <w:r w:rsidRPr="00416A01">
              <w:rPr>
                <w:rFonts w:ascii="Palatino Linotype" w:hAnsi="Palatino Linotype"/>
                <w:i/>
                <w:iCs/>
                <w:lang w:val="en-GB"/>
              </w:rPr>
              <w:t>ad hoc</w:t>
            </w:r>
            <w:r w:rsidRPr="00416A01">
              <w:rPr>
                <w:rFonts w:ascii="Palatino Linotype" w:hAnsi="Palatino Linotype"/>
                <w:lang w:val="en-GB"/>
              </w:rPr>
              <w:t>+2 thematic reports+2 regiona</w:t>
            </w:r>
            <w:r>
              <w:rPr>
                <w:rFonts w:ascii="Palatino Linotype" w:hAnsi="Palatino Linotype"/>
                <w:lang w:val="en-GB"/>
              </w:rPr>
              <w:t>l reports</w:t>
            </w:r>
            <w:r w:rsidRPr="00416A01">
              <w:rPr>
                <w:rFonts w:ascii="Palatino Linotype" w:hAnsi="Palatino Linotype"/>
                <w:lang w:val="en-GB"/>
              </w:rPr>
              <w:t>+2 follow-up</w:t>
            </w:r>
            <w:r>
              <w:rPr>
                <w:rFonts w:ascii="Palatino Linotype" w:hAnsi="Palatino Linotype"/>
                <w:lang w:val="en-GB"/>
              </w:rPr>
              <w:t>s</w:t>
            </w:r>
            <w:r w:rsidRPr="00416A01">
              <w:rPr>
                <w:rFonts w:ascii="Palatino Linotype" w:hAnsi="Palatino Linotype"/>
                <w:lang w:val="en-GB"/>
              </w:rPr>
              <w:t>)</w:t>
            </w:r>
            <w:r w:rsidRPr="00416A01">
              <w:rPr>
                <w:rFonts w:ascii="Palatino Linotype" w:hAnsi="Palatino Linotype"/>
                <w:b/>
                <w:bCs/>
                <w:lang w:val="en-GB"/>
              </w:rPr>
              <w:t xml:space="preserve"> </w:t>
            </w:r>
          </w:p>
        </w:tc>
      </w:tr>
      <w:tr w:rsidR="00B23D64" w:rsidRPr="00355F49" w14:paraId="35BF433A" w14:textId="77777777" w:rsidTr="008E5156">
        <w:trPr>
          <w:jc w:val="center"/>
        </w:trPr>
        <w:tc>
          <w:tcPr>
            <w:tcW w:w="1413" w:type="dxa"/>
            <w:vMerge/>
            <w:shd w:val="clear" w:color="auto" w:fill="F2DBDB" w:themeFill="accent2" w:themeFillTint="33"/>
            <w:vAlign w:val="bottom"/>
          </w:tcPr>
          <w:p w14:paraId="62D7E20C" w14:textId="77777777" w:rsidR="00B23D64" w:rsidRPr="006C4D07" w:rsidRDefault="00B23D64" w:rsidP="007B7EDC">
            <w:pPr>
              <w:spacing w:before="80" w:after="80" w:line="278" w:lineRule="auto"/>
              <w:jc w:val="right"/>
              <w:rPr>
                <w:rFonts w:ascii="Palatino Linotype" w:hAnsi="Palatino Linotype"/>
                <w:lang w:val="en-GB"/>
              </w:rPr>
            </w:pPr>
          </w:p>
        </w:tc>
        <w:tc>
          <w:tcPr>
            <w:tcW w:w="1984" w:type="dxa"/>
            <w:shd w:val="clear" w:color="auto" w:fill="F2DBDB" w:themeFill="accent2" w:themeFillTint="33"/>
            <w:vAlign w:val="bottom"/>
          </w:tcPr>
          <w:p w14:paraId="0F07C8AB" w14:textId="77777777" w:rsidR="00B23D64" w:rsidRPr="0012667F" w:rsidRDefault="00B23D64" w:rsidP="007B7EDC">
            <w:pPr>
              <w:spacing w:before="80" w:after="80" w:line="278" w:lineRule="auto"/>
              <w:jc w:val="right"/>
              <w:rPr>
                <w:rFonts w:ascii="Palatino Linotype" w:hAnsi="Palatino Linotype"/>
              </w:rPr>
            </w:pPr>
            <w:proofErr w:type="spellStart"/>
            <w:r w:rsidRPr="0012667F">
              <w:rPr>
                <w:rFonts w:ascii="Palatino Linotype" w:hAnsi="Palatino Linotype"/>
                <w:b/>
                <w:bCs/>
              </w:rPr>
              <w:t>Total</w:t>
            </w:r>
            <w:r>
              <w:rPr>
                <w:rFonts w:ascii="Palatino Linotype" w:hAnsi="Palatino Linotype"/>
                <w:b/>
                <w:bCs/>
              </w:rPr>
              <w:t>s</w:t>
            </w:r>
            <w:proofErr w:type="spellEnd"/>
            <w:r>
              <w:rPr>
                <w:rFonts w:ascii="Palatino Linotype" w:hAnsi="Palatino Linotype"/>
                <w:b/>
                <w:bCs/>
              </w:rPr>
              <w:t xml:space="preserve"> (</w:t>
            </w:r>
            <w:proofErr w:type="spellStart"/>
            <w:r>
              <w:rPr>
                <w:rFonts w:ascii="Palatino Linotype" w:hAnsi="Palatino Linotype"/>
                <w:b/>
                <w:bCs/>
              </w:rPr>
              <w:t>criminal</w:t>
            </w:r>
            <w:proofErr w:type="spellEnd"/>
            <w:r>
              <w:rPr>
                <w:rFonts w:ascii="Palatino Linotype" w:hAnsi="Palatino Linotype"/>
                <w:b/>
                <w:bCs/>
              </w:rPr>
              <w:t xml:space="preserve"> </w:t>
            </w:r>
            <w:proofErr w:type="spellStart"/>
            <w:r>
              <w:rPr>
                <w:rFonts w:ascii="Palatino Linotype" w:hAnsi="Palatino Linotype"/>
                <w:b/>
                <w:bCs/>
              </w:rPr>
              <w:t>detention</w:t>
            </w:r>
            <w:proofErr w:type="spellEnd"/>
            <w:r>
              <w:rPr>
                <w:rFonts w:ascii="Palatino Linotype" w:hAnsi="Palatino Linotype"/>
                <w:b/>
                <w:bCs/>
              </w:rPr>
              <w:t>)</w:t>
            </w:r>
          </w:p>
        </w:tc>
        <w:tc>
          <w:tcPr>
            <w:tcW w:w="993" w:type="dxa"/>
            <w:shd w:val="clear" w:color="auto" w:fill="F2DBDB" w:themeFill="accent2" w:themeFillTint="33"/>
            <w:vAlign w:val="bottom"/>
          </w:tcPr>
          <w:p w14:paraId="38AA0796"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6</w:t>
            </w:r>
            <w:r>
              <w:rPr>
                <w:rFonts w:ascii="Palatino Linotype" w:hAnsi="Palatino Linotype"/>
                <w:b/>
                <w:bCs/>
              </w:rPr>
              <w:t>1</w:t>
            </w:r>
          </w:p>
        </w:tc>
        <w:tc>
          <w:tcPr>
            <w:tcW w:w="816" w:type="dxa"/>
            <w:shd w:val="clear" w:color="auto" w:fill="F2DBDB" w:themeFill="accent2" w:themeFillTint="33"/>
            <w:vAlign w:val="bottom"/>
          </w:tcPr>
          <w:p w14:paraId="6DF1D98F" w14:textId="77777777" w:rsidR="00B23D64" w:rsidRPr="0012667F" w:rsidRDefault="00B23D64" w:rsidP="007B7EDC">
            <w:pPr>
              <w:spacing w:before="80" w:after="80" w:line="278" w:lineRule="auto"/>
              <w:jc w:val="right"/>
              <w:rPr>
                <w:rFonts w:ascii="Palatino Linotype" w:hAnsi="Palatino Linotype"/>
                <w:b/>
                <w:bCs/>
              </w:rPr>
            </w:pPr>
            <w:r>
              <w:rPr>
                <w:rFonts w:ascii="Palatino Linotype" w:hAnsi="Palatino Linotype"/>
                <w:b/>
                <w:bCs/>
              </w:rPr>
              <w:t>24</w:t>
            </w:r>
          </w:p>
        </w:tc>
        <w:tc>
          <w:tcPr>
            <w:tcW w:w="782" w:type="dxa"/>
            <w:shd w:val="clear" w:color="auto" w:fill="F2DBDB" w:themeFill="accent2" w:themeFillTint="33"/>
            <w:vAlign w:val="bottom"/>
          </w:tcPr>
          <w:p w14:paraId="72343B82"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56</w:t>
            </w:r>
          </w:p>
        </w:tc>
        <w:tc>
          <w:tcPr>
            <w:tcW w:w="782" w:type="dxa"/>
            <w:shd w:val="clear" w:color="auto" w:fill="F2DBDB" w:themeFill="accent2" w:themeFillTint="33"/>
            <w:vAlign w:val="bottom"/>
          </w:tcPr>
          <w:p w14:paraId="58DBCE1B"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55</w:t>
            </w:r>
          </w:p>
        </w:tc>
        <w:tc>
          <w:tcPr>
            <w:tcW w:w="1163" w:type="dxa"/>
            <w:shd w:val="clear" w:color="auto" w:fill="F2DBDB" w:themeFill="accent2" w:themeFillTint="33"/>
            <w:vAlign w:val="bottom"/>
          </w:tcPr>
          <w:p w14:paraId="037EC099" w14:textId="77777777" w:rsidR="00B23D64" w:rsidRPr="0012667F" w:rsidRDefault="00B23D64" w:rsidP="007B7EDC">
            <w:pPr>
              <w:spacing w:before="80" w:after="80" w:line="278" w:lineRule="auto"/>
              <w:jc w:val="right"/>
              <w:rPr>
                <w:rFonts w:ascii="Palatino Linotype" w:hAnsi="Palatino Linotype"/>
                <w:b/>
                <w:bCs/>
              </w:rPr>
            </w:pPr>
            <w:r>
              <w:rPr>
                <w:rFonts w:ascii="Palatino Linotype" w:hAnsi="Palatino Linotype"/>
                <w:b/>
                <w:bCs/>
              </w:rPr>
              <w:t>22</w:t>
            </w:r>
          </w:p>
        </w:tc>
        <w:tc>
          <w:tcPr>
            <w:tcW w:w="1116" w:type="dxa"/>
            <w:shd w:val="clear" w:color="auto" w:fill="F2DBDB" w:themeFill="accent2" w:themeFillTint="33"/>
            <w:vAlign w:val="bottom"/>
          </w:tcPr>
          <w:p w14:paraId="30AF5871" w14:textId="77777777" w:rsidR="00B23D64" w:rsidRPr="0012667F" w:rsidRDefault="00B23D64" w:rsidP="007B7EDC">
            <w:pPr>
              <w:spacing w:before="80" w:after="80" w:line="278" w:lineRule="auto"/>
              <w:ind w:right="-58"/>
              <w:jc w:val="right"/>
              <w:rPr>
                <w:rFonts w:ascii="Palatino Linotype" w:hAnsi="Palatino Linotype"/>
                <w:b/>
                <w:bCs/>
              </w:rPr>
            </w:pPr>
            <w:r>
              <w:rPr>
                <w:rFonts w:ascii="Palatino Linotype" w:hAnsi="Palatino Linotype"/>
                <w:b/>
                <w:bCs/>
              </w:rPr>
              <w:t>218</w:t>
            </w:r>
          </w:p>
        </w:tc>
        <w:tc>
          <w:tcPr>
            <w:tcW w:w="2143" w:type="dxa"/>
            <w:shd w:val="clear" w:color="auto" w:fill="F2DBDB" w:themeFill="accent2" w:themeFillTint="33"/>
          </w:tcPr>
          <w:p w14:paraId="51E0BCFE" w14:textId="77777777" w:rsidR="00B23D64" w:rsidRPr="00416A01" w:rsidRDefault="00B23D64" w:rsidP="007B7EDC">
            <w:pPr>
              <w:spacing w:before="80" w:after="80" w:line="278" w:lineRule="auto"/>
              <w:jc w:val="right"/>
              <w:rPr>
                <w:rFonts w:ascii="Palatino Linotype" w:hAnsi="Palatino Linotype"/>
                <w:lang w:val="en-GB"/>
              </w:rPr>
            </w:pPr>
            <w:r w:rsidRPr="00416A01">
              <w:rPr>
                <w:rFonts w:ascii="Palatino Linotype" w:hAnsi="Palatino Linotype"/>
                <w:b/>
                <w:bCs/>
                <w:lang w:val="en-GB"/>
              </w:rPr>
              <w:t>1</w:t>
            </w:r>
            <w:r>
              <w:rPr>
                <w:rFonts w:ascii="Palatino Linotype" w:hAnsi="Palatino Linotype"/>
                <w:b/>
                <w:bCs/>
                <w:lang w:val="en-GB"/>
              </w:rPr>
              <w:t>8</w:t>
            </w:r>
            <w:r w:rsidRPr="00416A01">
              <w:rPr>
                <w:rFonts w:ascii="Palatino Linotype" w:hAnsi="Palatino Linotype"/>
                <w:b/>
                <w:bCs/>
                <w:lang w:val="en-GB"/>
              </w:rPr>
              <w:t xml:space="preserve"> reports </w:t>
            </w:r>
            <w:r>
              <w:rPr>
                <w:rFonts w:ascii="Palatino Linotype" w:hAnsi="Palatino Linotype"/>
                <w:lang w:val="en-GB"/>
              </w:rPr>
              <w:t>(</w:t>
            </w:r>
            <w:r w:rsidRPr="00416A01">
              <w:rPr>
                <w:rFonts w:ascii="Palatino Linotype" w:hAnsi="Palatino Linotype"/>
                <w:lang w:val="en-GB"/>
              </w:rPr>
              <w:t>out of which 1</w:t>
            </w:r>
            <w:r>
              <w:rPr>
                <w:rFonts w:ascii="Palatino Linotype" w:hAnsi="Palatino Linotype"/>
                <w:lang w:val="en-GB"/>
              </w:rPr>
              <w:t>3</w:t>
            </w:r>
            <w:r w:rsidRPr="00416A01">
              <w:rPr>
                <w:rFonts w:ascii="Palatino Linotype" w:hAnsi="Palatino Linotype"/>
                <w:lang w:val="en-GB"/>
              </w:rPr>
              <w:t xml:space="preserve"> </w:t>
            </w:r>
            <w:r w:rsidRPr="00416A01">
              <w:rPr>
                <w:rFonts w:ascii="Palatino Linotype" w:hAnsi="Palatino Linotype"/>
                <w:i/>
                <w:iCs/>
                <w:lang w:val="en-GB"/>
              </w:rPr>
              <w:t>ad hoc</w:t>
            </w:r>
            <w:r w:rsidRPr="00416A01">
              <w:rPr>
                <w:rFonts w:ascii="Palatino Linotype" w:hAnsi="Palatino Linotype"/>
                <w:lang w:val="en-GB"/>
              </w:rPr>
              <w:t>+2 thematic reports+2 regiona</w:t>
            </w:r>
            <w:r>
              <w:rPr>
                <w:rFonts w:ascii="Palatino Linotype" w:hAnsi="Palatino Linotype"/>
                <w:lang w:val="en-GB"/>
              </w:rPr>
              <w:t>l reports</w:t>
            </w:r>
            <w:r w:rsidRPr="00416A01">
              <w:rPr>
                <w:rFonts w:ascii="Palatino Linotype" w:hAnsi="Palatino Linotype"/>
                <w:lang w:val="en-GB"/>
              </w:rPr>
              <w:t>+</w:t>
            </w:r>
            <w:r>
              <w:rPr>
                <w:rFonts w:ascii="Palatino Linotype" w:hAnsi="Palatino Linotype"/>
                <w:lang w:val="en-GB"/>
              </w:rPr>
              <w:t>1</w:t>
            </w:r>
            <w:r w:rsidRPr="00416A01">
              <w:rPr>
                <w:rFonts w:ascii="Palatino Linotype" w:hAnsi="Palatino Linotype"/>
                <w:lang w:val="en-GB"/>
              </w:rPr>
              <w:t xml:space="preserve"> follow-up)</w:t>
            </w:r>
          </w:p>
        </w:tc>
      </w:tr>
      <w:tr w:rsidR="00B23D64" w:rsidRPr="0012667F" w14:paraId="16108FDF" w14:textId="77777777" w:rsidTr="008E5156">
        <w:trPr>
          <w:jc w:val="center"/>
        </w:trPr>
        <w:tc>
          <w:tcPr>
            <w:tcW w:w="1413" w:type="dxa"/>
            <w:vMerge w:val="restart"/>
            <w:vAlign w:val="center"/>
          </w:tcPr>
          <w:p w14:paraId="0582D194" w14:textId="77777777" w:rsidR="00B23D64" w:rsidRPr="0012667F" w:rsidRDefault="00B23D64" w:rsidP="007B7EDC">
            <w:pPr>
              <w:spacing w:before="80" w:after="80" w:line="278" w:lineRule="auto"/>
              <w:jc w:val="center"/>
              <w:rPr>
                <w:rFonts w:ascii="Palatino Linotype" w:hAnsi="Palatino Linotype"/>
                <w:b/>
                <w:bCs/>
              </w:rPr>
            </w:pPr>
            <w:r>
              <w:rPr>
                <w:rFonts w:ascii="Palatino Linotype" w:hAnsi="Palatino Linotype"/>
                <w:b/>
                <w:bCs/>
              </w:rPr>
              <w:t xml:space="preserve">Police </w:t>
            </w:r>
            <w:proofErr w:type="spellStart"/>
            <w:r>
              <w:rPr>
                <w:rFonts w:ascii="Palatino Linotype" w:hAnsi="Palatino Linotype"/>
                <w:b/>
                <w:bCs/>
              </w:rPr>
              <w:t>custody</w:t>
            </w:r>
            <w:proofErr w:type="spellEnd"/>
          </w:p>
        </w:tc>
        <w:tc>
          <w:tcPr>
            <w:tcW w:w="1984" w:type="dxa"/>
            <w:vAlign w:val="bottom"/>
          </w:tcPr>
          <w:p w14:paraId="06AED583" w14:textId="77777777" w:rsidR="00B23D64" w:rsidRPr="0012667F" w:rsidRDefault="00B23D64" w:rsidP="007B7EDC">
            <w:pPr>
              <w:spacing w:before="80" w:after="80" w:line="278" w:lineRule="auto"/>
              <w:rPr>
                <w:rFonts w:ascii="Palatino Linotype" w:hAnsi="Palatino Linotype"/>
              </w:rPr>
            </w:pPr>
            <w:r>
              <w:rPr>
                <w:rFonts w:ascii="Palatino Linotype" w:hAnsi="Palatino Linotype"/>
              </w:rPr>
              <w:t>Law enforcement establishments</w:t>
            </w:r>
          </w:p>
        </w:tc>
        <w:tc>
          <w:tcPr>
            <w:tcW w:w="993" w:type="dxa"/>
            <w:vAlign w:val="bottom"/>
          </w:tcPr>
          <w:p w14:paraId="7C41C5A6"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15</w:t>
            </w:r>
          </w:p>
        </w:tc>
        <w:tc>
          <w:tcPr>
            <w:tcW w:w="816" w:type="dxa"/>
            <w:vAlign w:val="bottom"/>
          </w:tcPr>
          <w:p w14:paraId="024860F4"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6</w:t>
            </w:r>
          </w:p>
        </w:tc>
        <w:tc>
          <w:tcPr>
            <w:tcW w:w="782" w:type="dxa"/>
            <w:vAlign w:val="bottom"/>
          </w:tcPr>
          <w:p w14:paraId="2DBC16A1"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2</w:t>
            </w:r>
          </w:p>
        </w:tc>
        <w:tc>
          <w:tcPr>
            <w:tcW w:w="782" w:type="dxa"/>
            <w:vAlign w:val="bottom"/>
          </w:tcPr>
          <w:p w14:paraId="23BCFBDA"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4</w:t>
            </w:r>
          </w:p>
        </w:tc>
        <w:tc>
          <w:tcPr>
            <w:tcW w:w="1163" w:type="dxa"/>
            <w:vAlign w:val="bottom"/>
          </w:tcPr>
          <w:p w14:paraId="2416B11D"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1116" w:type="dxa"/>
            <w:vAlign w:val="bottom"/>
          </w:tcPr>
          <w:p w14:paraId="159573FD" w14:textId="77777777" w:rsidR="00B23D64" w:rsidRPr="0012667F" w:rsidRDefault="00B23D64" w:rsidP="007B7EDC">
            <w:pPr>
              <w:spacing w:before="80" w:after="80" w:line="278" w:lineRule="auto"/>
              <w:ind w:right="-58"/>
              <w:jc w:val="right"/>
              <w:rPr>
                <w:rFonts w:ascii="Palatino Linotype" w:hAnsi="Palatino Linotype"/>
                <w:b/>
                <w:bCs/>
              </w:rPr>
            </w:pPr>
            <w:r w:rsidRPr="0012667F">
              <w:rPr>
                <w:rFonts w:ascii="Palatino Linotype" w:hAnsi="Palatino Linotype"/>
                <w:b/>
                <w:bCs/>
              </w:rPr>
              <w:t>2</w:t>
            </w:r>
            <w:r>
              <w:rPr>
                <w:rFonts w:ascii="Palatino Linotype" w:hAnsi="Palatino Linotype"/>
                <w:b/>
                <w:bCs/>
              </w:rPr>
              <w:t>7</w:t>
            </w:r>
          </w:p>
        </w:tc>
        <w:tc>
          <w:tcPr>
            <w:tcW w:w="2143" w:type="dxa"/>
          </w:tcPr>
          <w:p w14:paraId="218F6B35"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 xml:space="preserve">2 </w:t>
            </w:r>
            <w:proofErr w:type="spellStart"/>
            <w:r w:rsidRPr="0012667F">
              <w:rPr>
                <w:rFonts w:ascii="Palatino Linotype" w:hAnsi="Palatino Linotype"/>
              </w:rPr>
              <w:t>regional</w:t>
            </w:r>
            <w:proofErr w:type="spellEnd"/>
            <w:r>
              <w:rPr>
                <w:rFonts w:ascii="Palatino Linotype" w:hAnsi="Palatino Linotype"/>
              </w:rPr>
              <w:t xml:space="preserve"> reports</w:t>
            </w:r>
          </w:p>
        </w:tc>
      </w:tr>
      <w:tr w:rsidR="00B23D64" w:rsidRPr="0012667F" w14:paraId="48FA2688" w14:textId="77777777" w:rsidTr="008E5156">
        <w:trPr>
          <w:jc w:val="center"/>
        </w:trPr>
        <w:tc>
          <w:tcPr>
            <w:tcW w:w="1413" w:type="dxa"/>
            <w:vMerge/>
            <w:shd w:val="clear" w:color="auto" w:fill="F2DBDB" w:themeFill="accent2" w:themeFillTint="33"/>
          </w:tcPr>
          <w:p w14:paraId="146C19A8" w14:textId="77777777" w:rsidR="00B23D64" w:rsidRPr="0012667F" w:rsidRDefault="00B23D64" w:rsidP="007B7EDC">
            <w:pPr>
              <w:spacing w:before="80" w:after="80" w:line="278" w:lineRule="auto"/>
              <w:jc w:val="right"/>
              <w:rPr>
                <w:rFonts w:ascii="Palatino Linotype" w:hAnsi="Palatino Linotype"/>
              </w:rPr>
            </w:pPr>
          </w:p>
        </w:tc>
        <w:tc>
          <w:tcPr>
            <w:tcW w:w="1984" w:type="dxa"/>
            <w:shd w:val="clear" w:color="auto" w:fill="F2DBDB" w:themeFill="accent2" w:themeFillTint="33"/>
          </w:tcPr>
          <w:p w14:paraId="12210BFD" w14:textId="77777777" w:rsidR="00B23D64" w:rsidRPr="0012667F" w:rsidRDefault="00B23D64" w:rsidP="007B7EDC">
            <w:pPr>
              <w:spacing w:before="80" w:after="80" w:line="278" w:lineRule="auto"/>
              <w:jc w:val="right"/>
              <w:rPr>
                <w:rFonts w:ascii="Palatino Linotype" w:hAnsi="Palatino Linotype"/>
              </w:rPr>
            </w:pPr>
            <w:proofErr w:type="spellStart"/>
            <w:r>
              <w:rPr>
                <w:rFonts w:ascii="Palatino Linotype" w:hAnsi="Palatino Linotype"/>
                <w:b/>
                <w:bCs/>
              </w:rPr>
              <w:t>Totals</w:t>
            </w:r>
            <w:proofErr w:type="spellEnd"/>
            <w:r>
              <w:rPr>
                <w:rFonts w:ascii="Palatino Linotype" w:hAnsi="Palatino Linotype"/>
                <w:b/>
                <w:bCs/>
              </w:rPr>
              <w:t xml:space="preserve"> (</w:t>
            </w:r>
            <w:proofErr w:type="spellStart"/>
            <w:r>
              <w:rPr>
                <w:rFonts w:ascii="Palatino Linotype" w:hAnsi="Palatino Linotype"/>
                <w:b/>
                <w:bCs/>
              </w:rPr>
              <w:t>police</w:t>
            </w:r>
            <w:proofErr w:type="spellEnd"/>
            <w:r>
              <w:rPr>
                <w:rFonts w:ascii="Palatino Linotype" w:hAnsi="Palatino Linotype"/>
                <w:b/>
                <w:bCs/>
              </w:rPr>
              <w:t xml:space="preserve"> </w:t>
            </w:r>
            <w:proofErr w:type="spellStart"/>
            <w:r>
              <w:rPr>
                <w:rFonts w:ascii="Palatino Linotype" w:hAnsi="Palatino Linotype"/>
                <w:b/>
                <w:bCs/>
              </w:rPr>
              <w:t>custody</w:t>
            </w:r>
            <w:proofErr w:type="spellEnd"/>
            <w:r>
              <w:rPr>
                <w:rFonts w:ascii="Palatino Linotype" w:hAnsi="Palatino Linotype"/>
                <w:b/>
                <w:bCs/>
              </w:rPr>
              <w:t>)</w:t>
            </w:r>
          </w:p>
        </w:tc>
        <w:tc>
          <w:tcPr>
            <w:tcW w:w="993" w:type="dxa"/>
            <w:shd w:val="clear" w:color="auto" w:fill="F2DBDB" w:themeFill="accent2" w:themeFillTint="33"/>
            <w:vAlign w:val="bottom"/>
          </w:tcPr>
          <w:p w14:paraId="18D5A71A"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15</w:t>
            </w:r>
          </w:p>
        </w:tc>
        <w:tc>
          <w:tcPr>
            <w:tcW w:w="816" w:type="dxa"/>
            <w:shd w:val="clear" w:color="auto" w:fill="F2DBDB" w:themeFill="accent2" w:themeFillTint="33"/>
            <w:vAlign w:val="bottom"/>
          </w:tcPr>
          <w:p w14:paraId="57786124"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6</w:t>
            </w:r>
          </w:p>
        </w:tc>
        <w:tc>
          <w:tcPr>
            <w:tcW w:w="782" w:type="dxa"/>
            <w:shd w:val="clear" w:color="auto" w:fill="F2DBDB" w:themeFill="accent2" w:themeFillTint="33"/>
            <w:vAlign w:val="bottom"/>
          </w:tcPr>
          <w:p w14:paraId="403393F8"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2</w:t>
            </w:r>
          </w:p>
        </w:tc>
        <w:tc>
          <w:tcPr>
            <w:tcW w:w="782" w:type="dxa"/>
            <w:shd w:val="clear" w:color="auto" w:fill="F2DBDB" w:themeFill="accent2" w:themeFillTint="33"/>
            <w:vAlign w:val="bottom"/>
          </w:tcPr>
          <w:p w14:paraId="15C06E88"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4</w:t>
            </w:r>
          </w:p>
        </w:tc>
        <w:tc>
          <w:tcPr>
            <w:tcW w:w="1163" w:type="dxa"/>
            <w:shd w:val="clear" w:color="auto" w:fill="F2DBDB" w:themeFill="accent2" w:themeFillTint="33"/>
            <w:vAlign w:val="bottom"/>
          </w:tcPr>
          <w:p w14:paraId="125D1E4B"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0</w:t>
            </w:r>
          </w:p>
        </w:tc>
        <w:tc>
          <w:tcPr>
            <w:tcW w:w="1116" w:type="dxa"/>
            <w:shd w:val="clear" w:color="auto" w:fill="F2DBDB" w:themeFill="accent2" w:themeFillTint="33"/>
            <w:vAlign w:val="bottom"/>
          </w:tcPr>
          <w:p w14:paraId="195FD048" w14:textId="77777777" w:rsidR="00B23D64" w:rsidRPr="0012667F" w:rsidRDefault="00B23D64" w:rsidP="007B7EDC">
            <w:pPr>
              <w:spacing w:before="80" w:after="80" w:line="278" w:lineRule="auto"/>
              <w:ind w:right="-58"/>
              <w:jc w:val="right"/>
              <w:rPr>
                <w:rFonts w:ascii="Palatino Linotype" w:hAnsi="Palatino Linotype"/>
                <w:b/>
                <w:bCs/>
              </w:rPr>
            </w:pPr>
            <w:r w:rsidRPr="0012667F">
              <w:rPr>
                <w:rFonts w:ascii="Palatino Linotype" w:hAnsi="Palatino Linotype"/>
                <w:b/>
                <w:bCs/>
              </w:rPr>
              <w:t>2</w:t>
            </w:r>
            <w:r>
              <w:rPr>
                <w:rFonts w:ascii="Palatino Linotype" w:hAnsi="Palatino Linotype"/>
                <w:b/>
                <w:bCs/>
              </w:rPr>
              <w:t>7</w:t>
            </w:r>
          </w:p>
        </w:tc>
        <w:tc>
          <w:tcPr>
            <w:tcW w:w="2143" w:type="dxa"/>
            <w:shd w:val="clear" w:color="auto" w:fill="F2DBDB" w:themeFill="accent2" w:themeFillTint="33"/>
          </w:tcPr>
          <w:p w14:paraId="0BC61401"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b/>
                <w:bCs/>
              </w:rPr>
              <w:t xml:space="preserve">2 </w:t>
            </w:r>
            <w:proofErr w:type="spellStart"/>
            <w:r w:rsidRPr="0012667F">
              <w:rPr>
                <w:rFonts w:ascii="Palatino Linotype" w:hAnsi="Palatino Linotype"/>
                <w:b/>
                <w:bCs/>
              </w:rPr>
              <w:t>r</w:t>
            </w:r>
            <w:r>
              <w:rPr>
                <w:rFonts w:ascii="Palatino Linotype" w:hAnsi="Palatino Linotype"/>
                <w:b/>
                <w:bCs/>
              </w:rPr>
              <w:t>egional</w:t>
            </w:r>
            <w:proofErr w:type="spellEnd"/>
            <w:r>
              <w:rPr>
                <w:rFonts w:ascii="Palatino Linotype" w:hAnsi="Palatino Linotype"/>
                <w:b/>
                <w:bCs/>
              </w:rPr>
              <w:t xml:space="preserve"> reports</w:t>
            </w:r>
          </w:p>
        </w:tc>
      </w:tr>
    </w:tbl>
    <w:p w14:paraId="76D1E824" w14:textId="77777777" w:rsidR="00B23D64" w:rsidRDefault="00B23D64" w:rsidP="007B7EDC">
      <w:pPr>
        <w:spacing w:before="80" w:after="80" w:line="278" w:lineRule="auto"/>
      </w:pPr>
    </w:p>
    <w:p w14:paraId="067A36A9" w14:textId="77777777" w:rsidR="00B23D64" w:rsidRDefault="00B23D64" w:rsidP="007B7EDC">
      <w:pPr>
        <w:spacing w:before="80" w:after="80" w:line="278" w:lineRule="auto"/>
      </w:pPr>
    </w:p>
    <w:p w14:paraId="4C5ED6A0" w14:textId="77777777" w:rsidR="00B23D64" w:rsidRDefault="00B23D64" w:rsidP="007B7EDC">
      <w:pPr>
        <w:spacing w:before="80" w:after="80" w:line="278" w:lineRule="auto"/>
      </w:pPr>
    </w:p>
    <w:p w14:paraId="40912624" w14:textId="77777777" w:rsidR="00B23D64" w:rsidRDefault="00B23D64" w:rsidP="007B7EDC">
      <w:pPr>
        <w:tabs>
          <w:tab w:val="left" w:pos="646"/>
          <w:tab w:val="center" w:pos="4819"/>
        </w:tabs>
        <w:spacing w:before="80" w:after="80" w:line="278" w:lineRule="auto"/>
        <w:rPr>
          <w:b/>
          <w:bCs/>
          <w:lang w:val="en-GB"/>
        </w:rPr>
      </w:pPr>
      <w:r>
        <w:rPr>
          <w:b/>
          <w:bCs/>
          <w:lang w:val="en-GB"/>
        </w:rPr>
        <w:tab/>
      </w:r>
      <w:r>
        <w:rPr>
          <w:b/>
          <w:bCs/>
          <w:lang w:val="en-GB"/>
        </w:rPr>
        <w:tab/>
      </w:r>
      <w:r w:rsidRPr="0012667F">
        <w:rPr>
          <w:b/>
          <w:bCs/>
          <w:lang w:val="en-GB"/>
        </w:rPr>
        <w:t>Visits conducted and reports published (1</w:t>
      </w:r>
      <w:r w:rsidRPr="0012667F">
        <w:rPr>
          <w:b/>
          <w:bCs/>
          <w:vertAlign w:val="superscript"/>
          <w:lang w:val="en-GB"/>
        </w:rPr>
        <w:t>st</w:t>
      </w:r>
      <w:r w:rsidRPr="0012667F">
        <w:rPr>
          <w:b/>
          <w:bCs/>
          <w:lang w:val="en-GB"/>
        </w:rPr>
        <w:t xml:space="preserve"> January 2022 – 31</w:t>
      </w:r>
      <w:r w:rsidRPr="0012667F">
        <w:rPr>
          <w:b/>
          <w:bCs/>
          <w:vertAlign w:val="superscript"/>
          <w:lang w:val="en-GB"/>
        </w:rPr>
        <w:t>st</w:t>
      </w:r>
      <w:r w:rsidRPr="0012667F">
        <w:rPr>
          <w:b/>
          <w:bCs/>
          <w:lang w:val="en-GB"/>
        </w:rPr>
        <w:t xml:space="preserve"> March 2026)</w:t>
      </w:r>
    </w:p>
    <w:p w14:paraId="6321F6EC" w14:textId="77777777" w:rsidR="008E5156" w:rsidRDefault="008E5156" w:rsidP="007B7EDC">
      <w:pPr>
        <w:tabs>
          <w:tab w:val="left" w:pos="646"/>
          <w:tab w:val="center" w:pos="4819"/>
        </w:tabs>
        <w:spacing w:before="80" w:after="80" w:line="278" w:lineRule="auto"/>
        <w:rPr>
          <w:b/>
          <w:bCs/>
          <w:lang w:val="en-GB"/>
        </w:rPr>
      </w:pPr>
    </w:p>
    <w:tbl>
      <w:tblPr>
        <w:tblStyle w:val="Grigliatabella"/>
        <w:tblW w:w="11199" w:type="dxa"/>
        <w:jc w:val="center"/>
        <w:tblLayout w:type="fixed"/>
        <w:tblLook w:val="04A0" w:firstRow="1" w:lastRow="0" w:firstColumn="1" w:lastColumn="0" w:noHBand="0" w:noVBand="1"/>
      </w:tblPr>
      <w:tblGrid>
        <w:gridCol w:w="1555"/>
        <w:gridCol w:w="1842"/>
        <w:gridCol w:w="993"/>
        <w:gridCol w:w="816"/>
        <w:gridCol w:w="782"/>
        <w:gridCol w:w="782"/>
        <w:gridCol w:w="1163"/>
        <w:gridCol w:w="1116"/>
        <w:gridCol w:w="2143"/>
        <w:gridCol w:w="7"/>
      </w:tblGrid>
      <w:tr w:rsidR="00B23D64" w:rsidRPr="0012667F" w14:paraId="2D04146C" w14:textId="77777777" w:rsidTr="008E5156">
        <w:trPr>
          <w:gridAfter w:val="1"/>
          <w:wAfter w:w="7" w:type="dxa"/>
          <w:jc w:val="center"/>
        </w:trPr>
        <w:tc>
          <w:tcPr>
            <w:tcW w:w="1555" w:type="dxa"/>
          </w:tcPr>
          <w:p w14:paraId="0B566737" w14:textId="77777777" w:rsidR="00B23D64" w:rsidRPr="0012667F" w:rsidRDefault="00B23D64" w:rsidP="007B7EDC">
            <w:pPr>
              <w:spacing w:before="80" w:after="80" w:line="278" w:lineRule="auto"/>
              <w:jc w:val="center"/>
              <w:rPr>
                <w:rFonts w:ascii="Palatino Linotype" w:hAnsi="Palatino Linotype"/>
                <w:b/>
                <w:bCs/>
              </w:rPr>
            </w:pPr>
            <w:r>
              <w:rPr>
                <w:rFonts w:ascii="Palatino Linotype" w:hAnsi="Palatino Linotype"/>
                <w:b/>
                <w:bCs/>
              </w:rPr>
              <w:t>D</w:t>
            </w:r>
            <w:r w:rsidRPr="0012667F">
              <w:rPr>
                <w:rFonts w:ascii="Palatino Linotype" w:hAnsi="Palatino Linotype"/>
                <w:b/>
                <w:bCs/>
              </w:rPr>
              <w:t>omain</w:t>
            </w:r>
          </w:p>
        </w:tc>
        <w:tc>
          <w:tcPr>
            <w:tcW w:w="1842" w:type="dxa"/>
          </w:tcPr>
          <w:p w14:paraId="0CC24E39" w14:textId="77777777" w:rsidR="00B23D64" w:rsidRPr="0012667F" w:rsidRDefault="00B23D64" w:rsidP="007B7EDC">
            <w:pPr>
              <w:spacing w:before="80" w:after="80" w:line="278" w:lineRule="auto"/>
              <w:jc w:val="center"/>
              <w:rPr>
                <w:rFonts w:ascii="Palatino Linotype" w:hAnsi="Palatino Linotype"/>
                <w:b/>
                <w:bCs/>
              </w:rPr>
            </w:pPr>
            <w:proofErr w:type="spellStart"/>
            <w:r w:rsidRPr="0012667F">
              <w:rPr>
                <w:rFonts w:ascii="Palatino Linotype" w:hAnsi="Palatino Linotype"/>
                <w:b/>
                <w:bCs/>
              </w:rPr>
              <w:t>Visited</w:t>
            </w:r>
            <w:proofErr w:type="spellEnd"/>
            <w:r w:rsidRPr="0012667F">
              <w:rPr>
                <w:rFonts w:ascii="Palatino Linotype" w:hAnsi="Palatino Linotype"/>
                <w:b/>
                <w:bCs/>
              </w:rPr>
              <w:t xml:space="preserve"> </w:t>
            </w:r>
            <w:proofErr w:type="spellStart"/>
            <w:r w:rsidRPr="0012667F">
              <w:rPr>
                <w:rFonts w:ascii="Palatino Linotype" w:hAnsi="Palatino Linotype"/>
                <w:b/>
                <w:bCs/>
              </w:rPr>
              <w:t>Structure</w:t>
            </w:r>
            <w:proofErr w:type="spellEnd"/>
          </w:p>
        </w:tc>
        <w:tc>
          <w:tcPr>
            <w:tcW w:w="993" w:type="dxa"/>
          </w:tcPr>
          <w:p w14:paraId="153F9EC0" w14:textId="77777777" w:rsidR="00B23D64" w:rsidRPr="0012667F" w:rsidRDefault="00B23D64" w:rsidP="007B7EDC">
            <w:pPr>
              <w:spacing w:before="80" w:after="80" w:line="278" w:lineRule="auto"/>
              <w:jc w:val="center"/>
              <w:rPr>
                <w:rFonts w:ascii="Palatino Linotype" w:hAnsi="Palatino Linotype"/>
                <w:b/>
                <w:bCs/>
              </w:rPr>
            </w:pPr>
            <w:proofErr w:type="spellStart"/>
            <w:r w:rsidRPr="0012667F">
              <w:rPr>
                <w:rFonts w:ascii="Palatino Linotype" w:hAnsi="Palatino Linotype"/>
                <w:b/>
                <w:bCs/>
              </w:rPr>
              <w:t>Visit</w:t>
            </w:r>
            <w:r>
              <w:rPr>
                <w:rFonts w:ascii="Palatino Linotype" w:hAnsi="Palatino Linotype"/>
                <w:b/>
                <w:bCs/>
              </w:rPr>
              <w:t>s</w:t>
            </w:r>
            <w:proofErr w:type="spellEnd"/>
            <w:r w:rsidRPr="0012667F">
              <w:rPr>
                <w:rFonts w:ascii="Palatino Linotype" w:hAnsi="Palatino Linotype"/>
                <w:b/>
                <w:bCs/>
              </w:rPr>
              <w:t xml:space="preserve"> 2022</w:t>
            </w:r>
          </w:p>
        </w:tc>
        <w:tc>
          <w:tcPr>
            <w:tcW w:w="816" w:type="dxa"/>
          </w:tcPr>
          <w:p w14:paraId="44B9EE83" w14:textId="77777777" w:rsidR="00B23D64" w:rsidRPr="0012667F" w:rsidRDefault="00B23D64" w:rsidP="007B7EDC">
            <w:pPr>
              <w:spacing w:before="80" w:after="80" w:line="278" w:lineRule="auto"/>
              <w:jc w:val="center"/>
              <w:rPr>
                <w:rFonts w:ascii="Palatino Linotype" w:hAnsi="Palatino Linotype"/>
                <w:b/>
                <w:bCs/>
              </w:rPr>
            </w:pPr>
            <w:proofErr w:type="spellStart"/>
            <w:r w:rsidRPr="0012667F">
              <w:rPr>
                <w:rFonts w:ascii="Palatino Linotype" w:hAnsi="Palatino Linotype"/>
                <w:b/>
                <w:bCs/>
              </w:rPr>
              <w:t>Visit</w:t>
            </w:r>
            <w:r>
              <w:rPr>
                <w:rFonts w:ascii="Palatino Linotype" w:hAnsi="Palatino Linotype"/>
                <w:b/>
                <w:bCs/>
              </w:rPr>
              <w:t>s</w:t>
            </w:r>
            <w:proofErr w:type="spellEnd"/>
            <w:r w:rsidRPr="0012667F">
              <w:rPr>
                <w:rFonts w:ascii="Palatino Linotype" w:hAnsi="Palatino Linotype"/>
                <w:b/>
                <w:bCs/>
              </w:rPr>
              <w:t xml:space="preserve"> 2023</w:t>
            </w:r>
          </w:p>
        </w:tc>
        <w:tc>
          <w:tcPr>
            <w:tcW w:w="782" w:type="dxa"/>
          </w:tcPr>
          <w:p w14:paraId="2BFFEB5C" w14:textId="77777777" w:rsidR="00B23D64" w:rsidRPr="0012667F" w:rsidRDefault="00B23D64" w:rsidP="007B7EDC">
            <w:pPr>
              <w:spacing w:before="80" w:after="80" w:line="278" w:lineRule="auto"/>
              <w:jc w:val="center"/>
              <w:rPr>
                <w:rFonts w:ascii="Palatino Linotype" w:hAnsi="Palatino Linotype"/>
                <w:b/>
                <w:bCs/>
              </w:rPr>
            </w:pPr>
            <w:proofErr w:type="spellStart"/>
            <w:r w:rsidRPr="0012667F">
              <w:rPr>
                <w:rFonts w:ascii="Palatino Linotype" w:hAnsi="Palatino Linotype"/>
                <w:b/>
                <w:bCs/>
              </w:rPr>
              <w:t>Visit</w:t>
            </w:r>
            <w:r>
              <w:rPr>
                <w:rFonts w:ascii="Palatino Linotype" w:hAnsi="Palatino Linotype"/>
                <w:b/>
                <w:bCs/>
              </w:rPr>
              <w:t>s</w:t>
            </w:r>
            <w:proofErr w:type="spellEnd"/>
            <w:r w:rsidRPr="0012667F">
              <w:rPr>
                <w:rFonts w:ascii="Palatino Linotype" w:hAnsi="Palatino Linotype"/>
                <w:b/>
                <w:bCs/>
              </w:rPr>
              <w:t xml:space="preserve"> 2024</w:t>
            </w:r>
          </w:p>
        </w:tc>
        <w:tc>
          <w:tcPr>
            <w:tcW w:w="782" w:type="dxa"/>
          </w:tcPr>
          <w:p w14:paraId="13F5051C" w14:textId="77777777" w:rsidR="00B23D64" w:rsidRPr="0012667F" w:rsidRDefault="00B23D64" w:rsidP="007B7EDC">
            <w:pPr>
              <w:spacing w:before="80" w:after="80" w:line="278" w:lineRule="auto"/>
              <w:jc w:val="center"/>
              <w:rPr>
                <w:rFonts w:ascii="Palatino Linotype" w:hAnsi="Palatino Linotype"/>
                <w:b/>
                <w:bCs/>
              </w:rPr>
            </w:pPr>
            <w:proofErr w:type="spellStart"/>
            <w:r w:rsidRPr="0012667F">
              <w:rPr>
                <w:rFonts w:ascii="Palatino Linotype" w:hAnsi="Palatino Linotype"/>
                <w:b/>
                <w:bCs/>
              </w:rPr>
              <w:t>Visit</w:t>
            </w:r>
            <w:r>
              <w:rPr>
                <w:rFonts w:ascii="Palatino Linotype" w:hAnsi="Palatino Linotype"/>
                <w:b/>
                <w:bCs/>
              </w:rPr>
              <w:t>s</w:t>
            </w:r>
            <w:proofErr w:type="spellEnd"/>
            <w:r w:rsidRPr="0012667F">
              <w:rPr>
                <w:rFonts w:ascii="Palatino Linotype" w:hAnsi="Palatino Linotype"/>
                <w:b/>
                <w:bCs/>
              </w:rPr>
              <w:t xml:space="preserve"> 2025</w:t>
            </w:r>
          </w:p>
        </w:tc>
        <w:tc>
          <w:tcPr>
            <w:tcW w:w="1163" w:type="dxa"/>
          </w:tcPr>
          <w:p w14:paraId="39D1D119" w14:textId="77777777" w:rsidR="00B23D64" w:rsidRPr="0012667F" w:rsidRDefault="00B23D64" w:rsidP="007B7EDC">
            <w:pPr>
              <w:spacing w:before="80" w:after="80" w:line="278" w:lineRule="auto"/>
              <w:jc w:val="center"/>
              <w:rPr>
                <w:rFonts w:ascii="Palatino Linotype" w:hAnsi="Palatino Linotype"/>
                <w:b/>
                <w:bCs/>
                <w:lang w:val="en-GB"/>
              </w:rPr>
            </w:pPr>
            <w:r w:rsidRPr="0012667F">
              <w:rPr>
                <w:rFonts w:ascii="Palatino Linotype" w:hAnsi="Palatino Linotype"/>
                <w:b/>
                <w:bCs/>
                <w:lang w:val="en-GB"/>
              </w:rPr>
              <w:t xml:space="preserve">Visits up to </w:t>
            </w:r>
            <w:r>
              <w:rPr>
                <w:rFonts w:ascii="Palatino Linotype" w:hAnsi="Palatino Linotype"/>
                <w:b/>
                <w:bCs/>
                <w:lang w:val="en-GB"/>
              </w:rPr>
              <w:t>31</w:t>
            </w:r>
            <w:r w:rsidRPr="0012667F">
              <w:rPr>
                <w:rFonts w:ascii="Palatino Linotype" w:hAnsi="Palatino Linotype"/>
                <w:b/>
                <w:bCs/>
                <w:lang w:val="en-GB"/>
              </w:rPr>
              <w:t>/3/2026</w:t>
            </w:r>
          </w:p>
        </w:tc>
        <w:tc>
          <w:tcPr>
            <w:tcW w:w="1116" w:type="dxa"/>
          </w:tcPr>
          <w:p w14:paraId="414F8253" w14:textId="77777777" w:rsidR="00B23D64" w:rsidRPr="0012667F" w:rsidRDefault="00B23D64" w:rsidP="007B7EDC">
            <w:pPr>
              <w:spacing w:before="80" w:after="80" w:line="278" w:lineRule="auto"/>
              <w:jc w:val="center"/>
              <w:rPr>
                <w:rFonts w:ascii="Palatino Linotype" w:hAnsi="Palatino Linotype"/>
                <w:b/>
                <w:bCs/>
              </w:rPr>
            </w:pPr>
            <w:r>
              <w:rPr>
                <w:rFonts w:ascii="Palatino Linotype" w:hAnsi="Palatino Linotype"/>
                <w:b/>
                <w:bCs/>
              </w:rPr>
              <w:t xml:space="preserve">Total </w:t>
            </w:r>
            <w:proofErr w:type="spellStart"/>
            <w:r>
              <w:rPr>
                <w:rFonts w:ascii="Palatino Linotype" w:hAnsi="Palatino Linotype"/>
                <w:b/>
                <w:bCs/>
              </w:rPr>
              <w:t>visited</w:t>
            </w:r>
            <w:proofErr w:type="spellEnd"/>
            <w:r>
              <w:rPr>
                <w:rFonts w:ascii="Palatino Linotype" w:hAnsi="Palatino Linotype"/>
                <w:b/>
                <w:bCs/>
              </w:rPr>
              <w:t xml:space="preserve"> </w:t>
            </w:r>
            <w:proofErr w:type="spellStart"/>
            <w:r>
              <w:rPr>
                <w:rFonts w:ascii="Palatino Linotype" w:hAnsi="Palatino Linotype"/>
                <w:b/>
                <w:bCs/>
              </w:rPr>
              <w:t>structures</w:t>
            </w:r>
            <w:proofErr w:type="spellEnd"/>
          </w:p>
        </w:tc>
        <w:tc>
          <w:tcPr>
            <w:tcW w:w="2143" w:type="dxa"/>
          </w:tcPr>
          <w:p w14:paraId="2247869E" w14:textId="77777777" w:rsidR="00B23D64" w:rsidRPr="0012667F" w:rsidRDefault="00B23D64" w:rsidP="007B7EDC">
            <w:pPr>
              <w:spacing w:before="80" w:after="80" w:line="278" w:lineRule="auto"/>
              <w:jc w:val="center"/>
              <w:rPr>
                <w:rFonts w:ascii="Palatino Linotype" w:hAnsi="Palatino Linotype"/>
                <w:b/>
                <w:bCs/>
              </w:rPr>
            </w:pPr>
            <w:r>
              <w:rPr>
                <w:rFonts w:ascii="Palatino Linotype" w:hAnsi="Palatino Linotype"/>
                <w:b/>
                <w:bCs/>
              </w:rPr>
              <w:t>Total reports</w:t>
            </w:r>
          </w:p>
        </w:tc>
      </w:tr>
      <w:tr w:rsidR="00B23D64" w:rsidRPr="0012667F" w14:paraId="6178F1BB" w14:textId="77777777" w:rsidTr="008E5156">
        <w:trPr>
          <w:gridAfter w:val="1"/>
          <w:wAfter w:w="7" w:type="dxa"/>
          <w:jc w:val="center"/>
        </w:trPr>
        <w:tc>
          <w:tcPr>
            <w:tcW w:w="1555" w:type="dxa"/>
            <w:vMerge w:val="restart"/>
            <w:vAlign w:val="center"/>
          </w:tcPr>
          <w:p w14:paraId="3FA503C7" w14:textId="77777777" w:rsidR="00B23D64" w:rsidRPr="0012667F" w:rsidRDefault="00B23D64" w:rsidP="007B7EDC">
            <w:pPr>
              <w:spacing w:before="80" w:after="80" w:line="278" w:lineRule="auto"/>
              <w:jc w:val="center"/>
              <w:rPr>
                <w:rFonts w:ascii="Palatino Linotype" w:hAnsi="Palatino Linotype"/>
                <w:b/>
                <w:bCs/>
              </w:rPr>
            </w:pPr>
            <w:r>
              <w:rPr>
                <w:rFonts w:ascii="Palatino Linotype" w:hAnsi="Palatino Linotype"/>
                <w:b/>
                <w:bCs/>
              </w:rPr>
              <w:t>Health care</w:t>
            </w:r>
          </w:p>
        </w:tc>
        <w:tc>
          <w:tcPr>
            <w:tcW w:w="1842" w:type="dxa"/>
            <w:vAlign w:val="bottom"/>
          </w:tcPr>
          <w:p w14:paraId="388EB100" w14:textId="77777777" w:rsidR="00B23D64" w:rsidRPr="0012667F" w:rsidRDefault="00B23D64" w:rsidP="007B7EDC">
            <w:pPr>
              <w:spacing w:before="80" w:after="80" w:line="278" w:lineRule="auto"/>
              <w:rPr>
                <w:rFonts w:ascii="Palatino Linotype" w:hAnsi="Palatino Linotype"/>
              </w:rPr>
            </w:pPr>
            <w:r w:rsidRPr="0012667F">
              <w:rPr>
                <w:rFonts w:ascii="Palatino Linotype" w:hAnsi="Palatino Linotype"/>
              </w:rPr>
              <w:t>REMS</w:t>
            </w:r>
            <w:r>
              <w:rPr>
                <w:rFonts w:ascii="Palatino Linotype" w:hAnsi="Palatino Linotype"/>
              </w:rPr>
              <w:t xml:space="preserve"> (</w:t>
            </w:r>
            <w:proofErr w:type="spellStart"/>
            <w:r>
              <w:rPr>
                <w:rFonts w:ascii="Palatino Linotype" w:hAnsi="Palatino Linotype"/>
              </w:rPr>
              <w:t>forensic</w:t>
            </w:r>
            <w:proofErr w:type="spellEnd"/>
            <w:r>
              <w:rPr>
                <w:rFonts w:ascii="Palatino Linotype" w:hAnsi="Palatino Linotype"/>
              </w:rPr>
              <w:t xml:space="preserve"> health facility)</w:t>
            </w:r>
          </w:p>
        </w:tc>
        <w:tc>
          <w:tcPr>
            <w:tcW w:w="993" w:type="dxa"/>
            <w:vAlign w:val="bottom"/>
          </w:tcPr>
          <w:p w14:paraId="55292052"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6</w:t>
            </w:r>
          </w:p>
        </w:tc>
        <w:tc>
          <w:tcPr>
            <w:tcW w:w="816" w:type="dxa"/>
            <w:vAlign w:val="bottom"/>
          </w:tcPr>
          <w:p w14:paraId="25C9C308"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1</w:t>
            </w:r>
          </w:p>
        </w:tc>
        <w:tc>
          <w:tcPr>
            <w:tcW w:w="782" w:type="dxa"/>
            <w:vAlign w:val="bottom"/>
          </w:tcPr>
          <w:p w14:paraId="484BCA32"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782" w:type="dxa"/>
            <w:vAlign w:val="bottom"/>
          </w:tcPr>
          <w:p w14:paraId="1E98B429"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1</w:t>
            </w:r>
          </w:p>
        </w:tc>
        <w:tc>
          <w:tcPr>
            <w:tcW w:w="1163" w:type="dxa"/>
            <w:vAlign w:val="bottom"/>
          </w:tcPr>
          <w:p w14:paraId="6344541F"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1</w:t>
            </w:r>
          </w:p>
        </w:tc>
        <w:tc>
          <w:tcPr>
            <w:tcW w:w="1116" w:type="dxa"/>
            <w:vAlign w:val="bottom"/>
          </w:tcPr>
          <w:p w14:paraId="4F5C1130" w14:textId="77777777" w:rsidR="00B23D64" w:rsidRPr="0012667F" w:rsidRDefault="00B23D64" w:rsidP="007B7EDC">
            <w:pPr>
              <w:spacing w:before="80" w:after="80" w:line="278" w:lineRule="auto"/>
              <w:ind w:right="-58"/>
              <w:jc w:val="right"/>
              <w:rPr>
                <w:rFonts w:ascii="Palatino Linotype" w:hAnsi="Palatino Linotype"/>
                <w:b/>
                <w:bCs/>
              </w:rPr>
            </w:pPr>
            <w:r w:rsidRPr="0012667F">
              <w:rPr>
                <w:rFonts w:ascii="Palatino Linotype" w:hAnsi="Palatino Linotype"/>
                <w:b/>
                <w:bCs/>
              </w:rPr>
              <w:t>9</w:t>
            </w:r>
          </w:p>
        </w:tc>
        <w:tc>
          <w:tcPr>
            <w:tcW w:w="2143" w:type="dxa"/>
            <w:vAlign w:val="bottom"/>
          </w:tcPr>
          <w:p w14:paraId="1A0C35CE"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 xml:space="preserve">3 </w:t>
            </w:r>
            <w:proofErr w:type="spellStart"/>
            <w:r w:rsidRPr="0012667F">
              <w:rPr>
                <w:rFonts w:ascii="Palatino Linotype" w:hAnsi="Palatino Linotype"/>
              </w:rPr>
              <w:t>regional</w:t>
            </w:r>
            <w:proofErr w:type="spellEnd"/>
            <w:r>
              <w:rPr>
                <w:rFonts w:ascii="Palatino Linotype" w:hAnsi="Palatino Linotype"/>
              </w:rPr>
              <w:t xml:space="preserve"> reports</w:t>
            </w:r>
            <w:r w:rsidRPr="0012667F">
              <w:rPr>
                <w:rFonts w:ascii="Palatino Linotype" w:hAnsi="Palatino Linotype"/>
              </w:rPr>
              <w:t xml:space="preserve"> + 1 </w:t>
            </w:r>
            <w:r w:rsidRPr="00416A01">
              <w:rPr>
                <w:rFonts w:ascii="Palatino Linotype" w:hAnsi="Palatino Linotype"/>
                <w:i/>
                <w:iCs/>
                <w:lang w:val="en-GB"/>
              </w:rPr>
              <w:t>ad hoc</w:t>
            </w:r>
          </w:p>
        </w:tc>
      </w:tr>
      <w:tr w:rsidR="00B23D64" w:rsidRPr="0012667F" w14:paraId="25C5BC11" w14:textId="77777777" w:rsidTr="008E5156">
        <w:trPr>
          <w:gridAfter w:val="1"/>
          <w:wAfter w:w="7" w:type="dxa"/>
          <w:jc w:val="center"/>
        </w:trPr>
        <w:tc>
          <w:tcPr>
            <w:tcW w:w="1555" w:type="dxa"/>
            <w:vMerge/>
          </w:tcPr>
          <w:p w14:paraId="77DE813A" w14:textId="77777777" w:rsidR="00B23D64" w:rsidRPr="0012667F" w:rsidRDefault="00B23D64" w:rsidP="007B7EDC">
            <w:pPr>
              <w:spacing w:before="80" w:after="80" w:line="278" w:lineRule="auto"/>
              <w:rPr>
                <w:rFonts w:ascii="Palatino Linotype" w:hAnsi="Palatino Linotype"/>
                <w:b/>
                <w:bCs/>
              </w:rPr>
            </w:pPr>
          </w:p>
        </w:tc>
        <w:tc>
          <w:tcPr>
            <w:tcW w:w="1842" w:type="dxa"/>
            <w:vAlign w:val="bottom"/>
          </w:tcPr>
          <w:p w14:paraId="2E10764C" w14:textId="77777777" w:rsidR="00B23D64" w:rsidRPr="00052D60" w:rsidRDefault="00B23D64" w:rsidP="007B7EDC">
            <w:pPr>
              <w:spacing w:before="80" w:after="80" w:line="278" w:lineRule="auto"/>
              <w:rPr>
                <w:rFonts w:ascii="Palatino Linotype" w:hAnsi="Palatino Linotype"/>
                <w:lang w:val="en-GB"/>
              </w:rPr>
            </w:pPr>
            <w:r w:rsidRPr="00052D60">
              <w:rPr>
                <w:rFonts w:ascii="Palatino Linotype" w:hAnsi="Palatino Linotype"/>
                <w:lang w:val="en-GB"/>
              </w:rPr>
              <w:t xml:space="preserve">SPDC (psychiatric wards </w:t>
            </w:r>
            <w:r>
              <w:rPr>
                <w:rFonts w:ascii="Palatino Linotype" w:hAnsi="Palatino Linotype"/>
                <w:lang w:val="en-GB"/>
              </w:rPr>
              <w:t>for involuntary treatments)</w:t>
            </w:r>
          </w:p>
        </w:tc>
        <w:tc>
          <w:tcPr>
            <w:tcW w:w="993" w:type="dxa"/>
            <w:vAlign w:val="bottom"/>
          </w:tcPr>
          <w:p w14:paraId="48970E8F"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8</w:t>
            </w:r>
          </w:p>
        </w:tc>
        <w:tc>
          <w:tcPr>
            <w:tcW w:w="816" w:type="dxa"/>
            <w:vAlign w:val="bottom"/>
          </w:tcPr>
          <w:p w14:paraId="661672B1"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782" w:type="dxa"/>
            <w:vAlign w:val="bottom"/>
          </w:tcPr>
          <w:p w14:paraId="063ADBFA"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2</w:t>
            </w:r>
          </w:p>
        </w:tc>
        <w:tc>
          <w:tcPr>
            <w:tcW w:w="782" w:type="dxa"/>
            <w:vAlign w:val="bottom"/>
          </w:tcPr>
          <w:p w14:paraId="1B15B9F9"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1163" w:type="dxa"/>
            <w:vAlign w:val="bottom"/>
          </w:tcPr>
          <w:p w14:paraId="2B8C491E"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1116" w:type="dxa"/>
            <w:vAlign w:val="bottom"/>
          </w:tcPr>
          <w:p w14:paraId="3FDDDE90" w14:textId="77777777" w:rsidR="00B23D64" w:rsidRPr="0012667F" w:rsidRDefault="00B23D64" w:rsidP="007B7EDC">
            <w:pPr>
              <w:spacing w:before="80" w:after="80" w:line="278" w:lineRule="auto"/>
              <w:ind w:right="-58"/>
              <w:jc w:val="right"/>
              <w:rPr>
                <w:rFonts w:ascii="Palatino Linotype" w:hAnsi="Palatino Linotype"/>
                <w:b/>
                <w:bCs/>
              </w:rPr>
            </w:pPr>
            <w:r w:rsidRPr="0012667F">
              <w:rPr>
                <w:rFonts w:ascii="Palatino Linotype" w:hAnsi="Palatino Linotype"/>
                <w:b/>
                <w:bCs/>
              </w:rPr>
              <w:t>10</w:t>
            </w:r>
          </w:p>
        </w:tc>
        <w:tc>
          <w:tcPr>
            <w:tcW w:w="2143" w:type="dxa"/>
            <w:vAlign w:val="bottom"/>
          </w:tcPr>
          <w:p w14:paraId="3DB00BE9"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 xml:space="preserve">3 </w:t>
            </w:r>
            <w:proofErr w:type="spellStart"/>
            <w:r w:rsidRPr="0012667F">
              <w:rPr>
                <w:rFonts w:ascii="Palatino Linotype" w:hAnsi="Palatino Linotype"/>
              </w:rPr>
              <w:t>regional</w:t>
            </w:r>
            <w:proofErr w:type="spellEnd"/>
            <w:r>
              <w:rPr>
                <w:rFonts w:ascii="Palatino Linotype" w:hAnsi="Palatino Linotype"/>
              </w:rPr>
              <w:t xml:space="preserve"> reports</w:t>
            </w:r>
          </w:p>
        </w:tc>
      </w:tr>
      <w:tr w:rsidR="00B23D64" w:rsidRPr="0012667F" w14:paraId="26AC617F" w14:textId="77777777" w:rsidTr="008E5156">
        <w:trPr>
          <w:gridAfter w:val="1"/>
          <w:wAfter w:w="7" w:type="dxa"/>
          <w:jc w:val="center"/>
        </w:trPr>
        <w:tc>
          <w:tcPr>
            <w:tcW w:w="1555" w:type="dxa"/>
            <w:vMerge/>
          </w:tcPr>
          <w:p w14:paraId="2DCCAA86" w14:textId="77777777" w:rsidR="00B23D64" w:rsidRPr="0012667F" w:rsidRDefault="00B23D64" w:rsidP="007B7EDC">
            <w:pPr>
              <w:spacing w:before="80" w:after="80" w:line="278" w:lineRule="auto"/>
              <w:rPr>
                <w:rFonts w:ascii="Palatino Linotype" w:hAnsi="Palatino Linotype"/>
                <w:b/>
                <w:bCs/>
              </w:rPr>
            </w:pPr>
          </w:p>
        </w:tc>
        <w:tc>
          <w:tcPr>
            <w:tcW w:w="1842" w:type="dxa"/>
            <w:vAlign w:val="bottom"/>
          </w:tcPr>
          <w:p w14:paraId="1FB6A20F" w14:textId="77777777" w:rsidR="00B23D64" w:rsidRPr="00052D60" w:rsidRDefault="00B23D64" w:rsidP="007B7EDC">
            <w:pPr>
              <w:spacing w:before="80" w:after="80" w:line="278" w:lineRule="auto"/>
              <w:rPr>
                <w:rFonts w:ascii="Palatino Linotype" w:hAnsi="Palatino Linotype"/>
                <w:lang w:val="en-GB"/>
              </w:rPr>
            </w:pPr>
            <w:r w:rsidRPr="00052D60">
              <w:rPr>
                <w:rFonts w:ascii="Palatino Linotype" w:hAnsi="Palatino Linotype"/>
                <w:lang w:val="en-GB"/>
              </w:rPr>
              <w:t>RSA/RSD (care homes for disabled or elderly persons</w:t>
            </w:r>
            <w:r>
              <w:rPr>
                <w:rFonts w:ascii="Palatino Linotype" w:hAnsi="Palatino Linotype"/>
                <w:lang w:val="en-GB"/>
              </w:rPr>
              <w:t>)</w:t>
            </w:r>
          </w:p>
        </w:tc>
        <w:tc>
          <w:tcPr>
            <w:tcW w:w="993" w:type="dxa"/>
            <w:vAlign w:val="bottom"/>
          </w:tcPr>
          <w:p w14:paraId="3C73E8F3"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7</w:t>
            </w:r>
          </w:p>
        </w:tc>
        <w:tc>
          <w:tcPr>
            <w:tcW w:w="816" w:type="dxa"/>
            <w:vAlign w:val="bottom"/>
          </w:tcPr>
          <w:p w14:paraId="45BC8167"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3</w:t>
            </w:r>
          </w:p>
        </w:tc>
        <w:tc>
          <w:tcPr>
            <w:tcW w:w="782" w:type="dxa"/>
            <w:vAlign w:val="bottom"/>
          </w:tcPr>
          <w:p w14:paraId="6BBD1F10"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1</w:t>
            </w:r>
          </w:p>
        </w:tc>
        <w:tc>
          <w:tcPr>
            <w:tcW w:w="782" w:type="dxa"/>
            <w:vAlign w:val="bottom"/>
          </w:tcPr>
          <w:p w14:paraId="515D9010"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2</w:t>
            </w:r>
          </w:p>
        </w:tc>
        <w:tc>
          <w:tcPr>
            <w:tcW w:w="1163" w:type="dxa"/>
            <w:vAlign w:val="bottom"/>
          </w:tcPr>
          <w:p w14:paraId="0D6C9B58"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1116" w:type="dxa"/>
            <w:vAlign w:val="bottom"/>
          </w:tcPr>
          <w:p w14:paraId="1A90372B" w14:textId="77777777" w:rsidR="00B23D64" w:rsidRPr="0012667F" w:rsidRDefault="00B23D64" w:rsidP="007B7EDC">
            <w:pPr>
              <w:spacing w:before="80" w:after="80" w:line="278" w:lineRule="auto"/>
              <w:ind w:right="-58"/>
              <w:jc w:val="right"/>
              <w:rPr>
                <w:rFonts w:ascii="Palatino Linotype" w:hAnsi="Palatino Linotype"/>
                <w:b/>
                <w:bCs/>
              </w:rPr>
            </w:pPr>
            <w:r w:rsidRPr="0012667F">
              <w:rPr>
                <w:rFonts w:ascii="Palatino Linotype" w:hAnsi="Palatino Linotype"/>
                <w:b/>
                <w:bCs/>
              </w:rPr>
              <w:t>1</w:t>
            </w:r>
            <w:r>
              <w:rPr>
                <w:rFonts w:ascii="Palatino Linotype" w:hAnsi="Palatino Linotype"/>
                <w:b/>
                <w:bCs/>
              </w:rPr>
              <w:t>3</w:t>
            </w:r>
          </w:p>
        </w:tc>
        <w:tc>
          <w:tcPr>
            <w:tcW w:w="2143" w:type="dxa"/>
            <w:vAlign w:val="bottom"/>
          </w:tcPr>
          <w:p w14:paraId="29A128F1"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 xml:space="preserve">3 </w:t>
            </w:r>
            <w:r w:rsidRPr="00416A01">
              <w:rPr>
                <w:rFonts w:ascii="Palatino Linotype" w:hAnsi="Palatino Linotype"/>
                <w:i/>
                <w:iCs/>
                <w:lang w:val="en-GB"/>
              </w:rPr>
              <w:t>ad hoc</w:t>
            </w:r>
            <w:r>
              <w:rPr>
                <w:rFonts w:ascii="Palatino Linotype" w:hAnsi="Palatino Linotype"/>
                <w:i/>
                <w:iCs/>
                <w:lang w:val="en-GB"/>
              </w:rPr>
              <w:t>+</w:t>
            </w:r>
            <w:r w:rsidRPr="0012667F">
              <w:rPr>
                <w:rFonts w:ascii="Palatino Linotype" w:hAnsi="Palatino Linotype"/>
              </w:rPr>
              <w:t xml:space="preserve">1 </w:t>
            </w:r>
            <w:r>
              <w:rPr>
                <w:rFonts w:ascii="Palatino Linotype" w:hAnsi="Palatino Linotype"/>
                <w:lang w:val="en-GB"/>
              </w:rPr>
              <w:t>letter-report</w:t>
            </w:r>
          </w:p>
        </w:tc>
      </w:tr>
      <w:tr w:rsidR="00B23D64" w:rsidRPr="0012667F" w14:paraId="03461D8D" w14:textId="77777777" w:rsidTr="008E5156">
        <w:trPr>
          <w:gridAfter w:val="1"/>
          <w:wAfter w:w="7" w:type="dxa"/>
          <w:jc w:val="center"/>
        </w:trPr>
        <w:tc>
          <w:tcPr>
            <w:tcW w:w="1555" w:type="dxa"/>
            <w:vMerge/>
          </w:tcPr>
          <w:p w14:paraId="3E25049A" w14:textId="77777777" w:rsidR="00B23D64" w:rsidRPr="0012667F" w:rsidRDefault="00B23D64" w:rsidP="007B7EDC">
            <w:pPr>
              <w:spacing w:before="80" w:after="80" w:line="278" w:lineRule="auto"/>
              <w:rPr>
                <w:rFonts w:ascii="Palatino Linotype" w:hAnsi="Palatino Linotype"/>
                <w:b/>
                <w:bCs/>
              </w:rPr>
            </w:pPr>
          </w:p>
        </w:tc>
        <w:tc>
          <w:tcPr>
            <w:tcW w:w="1842" w:type="dxa"/>
            <w:vAlign w:val="bottom"/>
          </w:tcPr>
          <w:p w14:paraId="2D2E5C04" w14:textId="77777777" w:rsidR="00B23D64" w:rsidRPr="0012667F" w:rsidRDefault="00B23D64" w:rsidP="007B7EDC">
            <w:pPr>
              <w:spacing w:before="80" w:after="80" w:line="278" w:lineRule="auto"/>
              <w:rPr>
                <w:rFonts w:ascii="Palatino Linotype" w:hAnsi="Palatino Linotype"/>
              </w:rPr>
            </w:pPr>
            <w:r w:rsidRPr="00052D60">
              <w:rPr>
                <w:rFonts w:ascii="Palatino Linotype" w:hAnsi="Palatino Linotype"/>
                <w:lang w:val="en-GB"/>
              </w:rPr>
              <w:t>Hospital ward for prisoners</w:t>
            </w:r>
          </w:p>
        </w:tc>
        <w:tc>
          <w:tcPr>
            <w:tcW w:w="993" w:type="dxa"/>
            <w:vAlign w:val="bottom"/>
          </w:tcPr>
          <w:p w14:paraId="668CD7A6"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816" w:type="dxa"/>
            <w:vAlign w:val="bottom"/>
          </w:tcPr>
          <w:p w14:paraId="4439DF1C"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782" w:type="dxa"/>
            <w:vAlign w:val="bottom"/>
          </w:tcPr>
          <w:p w14:paraId="7B310CE9"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1</w:t>
            </w:r>
          </w:p>
        </w:tc>
        <w:tc>
          <w:tcPr>
            <w:tcW w:w="782" w:type="dxa"/>
            <w:vAlign w:val="bottom"/>
          </w:tcPr>
          <w:p w14:paraId="23C93B63"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1163" w:type="dxa"/>
            <w:vAlign w:val="bottom"/>
          </w:tcPr>
          <w:p w14:paraId="79F7F870"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1116" w:type="dxa"/>
            <w:vAlign w:val="bottom"/>
          </w:tcPr>
          <w:p w14:paraId="3902D8B9" w14:textId="77777777" w:rsidR="00B23D64" w:rsidRPr="0012667F" w:rsidRDefault="00B23D64" w:rsidP="007B7EDC">
            <w:pPr>
              <w:spacing w:before="80" w:after="80" w:line="278" w:lineRule="auto"/>
              <w:ind w:right="-58"/>
              <w:jc w:val="right"/>
              <w:rPr>
                <w:rFonts w:ascii="Palatino Linotype" w:hAnsi="Palatino Linotype"/>
                <w:b/>
                <w:bCs/>
              </w:rPr>
            </w:pPr>
            <w:r w:rsidRPr="0012667F">
              <w:rPr>
                <w:rFonts w:ascii="Palatino Linotype" w:hAnsi="Palatino Linotype"/>
                <w:b/>
                <w:bCs/>
              </w:rPr>
              <w:t>1</w:t>
            </w:r>
          </w:p>
        </w:tc>
        <w:tc>
          <w:tcPr>
            <w:tcW w:w="2143" w:type="dxa"/>
            <w:vAlign w:val="bottom"/>
          </w:tcPr>
          <w:p w14:paraId="3D410ABF"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 xml:space="preserve">1 </w:t>
            </w:r>
            <w:proofErr w:type="spellStart"/>
            <w:r w:rsidRPr="0012667F">
              <w:rPr>
                <w:rFonts w:ascii="Palatino Linotype" w:hAnsi="Palatino Linotype"/>
              </w:rPr>
              <w:t>regional</w:t>
            </w:r>
            <w:proofErr w:type="spellEnd"/>
            <w:r>
              <w:rPr>
                <w:rFonts w:ascii="Palatino Linotype" w:hAnsi="Palatino Linotype"/>
              </w:rPr>
              <w:t xml:space="preserve"> report</w:t>
            </w:r>
            <w:r w:rsidRPr="0012667F">
              <w:rPr>
                <w:rFonts w:ascii="Palatino Linotype" w:hAnsi="Palatino Linotype"/>
              </w:rPr>
              <w:t xml:space="preserve"> </w:t>
            </w:r>
          </w:p>
        </w:tc>
      </w:tr>
      <w:tr w:rsidR="00B23D64" w:rsidRPr="0012667F" w14:paraId="19DA2AAC" w14:textId="77777777" w:rsidTr="008E5156">
        <w:trPr>
          <w:gridAfter w:val="1"/>
          <w:wAfter w:w="7" w:type="dxa"/>
          <w:jc w:val="center"/>
        </w:trPr>
        <w:tc>
          <w:tcPr>
            <w:tcW w:w="1555" w:type="dxa"/>
            <w:vMerge/>
          </w:tcPr>
          <w:p w14:paraId="33E86DBC" w14:textId="77777777" w:rsidR="00B23D64" w:rsidRPr="0012667F" w:rsidRDefault="00B23D64" w:rsidP="007B7EDC">
            <w:pPr>
              <w:spacing w:before="80" w:after="80" w:line="278" w:lineRule="auto"/>
              <w:rPr>
                <w:rFonts w:ascii="Palatino Linotype" w:hAnsi="Palatino Linotype"/>
                <w:b/>
                <w:bCs/>
              </w:rPr>
            </w:pPr>
          </w:p>
        </w:tc>
        <w:tc>
          <w:tcPr>
            <w:tcW w:w="1842" w:type="dxa"/>
            <w:vAlign w:val="bottom"/>
          </w:tcPr>
          <w:p w14:paraId="76C69206" w14:textId="77777777" w:rsidR="00B23D64" w:rsidRPr="0012667F" w:rsidRDefault="00B23D64" w:rsidP="007B7EDC">
            <w:pPr>
              <w:spacing w:before="80" w:after="80" w:line="278" w:lineRule="auto"/>
              <w:rPr>
                <w:rFonts w:ascii="Palatino Linotype" w:hAnsi="Palatino Linotype"/>
              </w:rPr>
            </w:pPr>
            <w:proofErr w:type="spellStart"/>
            <w:r>
              <w:rPr>
                <w:rFonts w:ascii="Palatino Linotype" w:hAnsi="Palatino Linotype"/>
              </w:rPr>
              <w:t>Therapeutic</w:t>
            </w:r>
            <w:proofErr w:type="spellEnd"/>
            <w:r>
              <w:rPr>
                <w:rFonts w:ascii="Palatino Linotype" w:hAnsi="Palatino Linotype"/>
              </w:rPr>
              <w:t xml:space="preserve"> community</w:t>
            </w:r>
          </w:p>
        </w:tc>
        <w:tc>
          <w:tcPr>
            <w:tcW w:w="993" w:type="dxa"/>
            <w:vAlign w:val="bottom"/>
          </w:tcPr>
          <w:p w14:paraId="3ADCE106"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1</w:t>
            </w:r>
          </w:p>
        </w:tc>
        <w:tc>
          <w:tcPr>
            <w:tcW w:w="816" w:type="dxa"/>
            <w:vAlign w:val="bottom"/>
          </w:tcPr>
          <w:p w14:paraId="46B16BEF"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782" w:type="dxa"/>
            <w:vAlign w:val="bottom"/>
          </w:tcPr>
          <w:p w14:paraId="1F8697FA"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782" w:type="dxa"/>
            <w:vAlign w:val="bottom"/>
          </w:tcPr>
          <w:p w14:paraId="098117BB"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1163" w:type="dxa"/>
            <w:vAlign w:val="bottom"/>
          </w:tcPr>
          <w:p w14:paraId="38782678"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0</w:t>
            </w:r>
          </w:p>
        </w:tc>
        <w:tc>
          <w:tcPr>
            <w:tcW w:w="1116" w:type="dxa"/>
            <w:vAlign w:val="bottom"/>
          </w:tcPr>
          <w:p w14:paraId="746892A5" w14:textId="77777777" w:rsidR="00B23D64" w:rsidRPr="0012667F" w:rsidRDefault="00B23D64" w:rsidP="007B7EDC">
            <w:pPr>
              <w:spacing w:before="80" w:after="80" w:line="278" w:lineRule="auto"/>
              <w:ind w:right="-58"/>
              <w:jc w:val="right"/>
              <w:rPr>
                <w:rFonts w:ascii="Palatino Linotype" w:hAnsi="Palatino Linotype"/>
                <w:b/>
                <w:bCs/>
              </w:rPr>
            </w:pPr>
            <w:r w:rsidRPr="0012667F">
              <w:rPr>
                <w:rFonts w:ascii="Palatino Linotype" w:hAnsi="Palatino Linotype"/>
                <w:b/>
                <w:bCs/>
              </w:rPr>
              <w:t>1</w:t>
            </w:r>
          </w:p>
        </w:tc>
        <w:tc>
          <w:tcPr>
            <w:tcW w:w="2143" w:type="dxa"/>
            <w:vAlign w:val="bottom"/>
          </w:tcPr>
          <w:p w14:paraId="6ACEC7F6" w14:textId="77777777" w:rsidR="00B23D64" w:rsidRPr="0012667F" w:rsidRDefault="00B23D64" w:rsidP="007B7EDC">
            <w:pPr>
              <w:spacing w:before="80" w:after="80" w:line="278" w:lineRule="auto"/>
              <w:jc w:val="right"/>
              <w:rPr>
                <w:rFonts w:ascii="Palatino Linotype" w:hAnsi="Palatino Linotype"/>
              </w:rPr>
            </w:pPr>
            <w:r w:rsidRPr="0012667F">
              <w:rPr>
                <w:rFonts w:ascii="Palatino Linotype" w:hAnsi="Palatino Linotype"/>
              </w:rPr>
              <w:t xml:space="preserve">1 </w:t>
            </w:r>
            <w:r w:rsidRPr="00416A01">
              <w:rPr>
                <w:rFonts w:ascii="Palatino Linotype" w:hAnsi="Palatino Linotype"/>
                <w:i/>
                <w:iCs/>
                <w:lang w:val="en-GB"/>
              </w:rPr>
              <w:t>ad hoc</w:t>
            </w:r>
          </w:p>
        </w:tc>
      </w:tr>
      <w:tr w:rsidR="00B23D64" w:rsidRPr="00355F49" w14:paraId="6DCA0D5E" w14:textId="77777777" w:rsidTr="008E5156">
        <w:trPr>
          <w:gridAfter w:val="1"/>
          <w:wAfter w:w="7" w:type="dxa"/>
          <w:jc w:val="center"/>
        </w:trPr>
        <w:tc>
          <w:tcPr>
            <w:tcW w:w="1555" w:type="dxa"/>
            <w:vMerge/>
            <w:shd w:val="clear" w:color="auto" w:fill="F2DBDB" w:themeFill="accent2" w:themeFillTint="33"/>
            <w:vAlign w:val="bottom"/>
          </w:tcPr>
          <w:p w14:paraId="61A3B72A" w14:textId="77777777" w:rsidR="00B23D64" w:rsidRPr="0012667F" w:rsidRDefault="00B23D64" w:rsidP="007B7EDC">
            <w:pPr>
              <w:spacing w:before="80" w:after="80" w:line="278" w:lineRule="auto"/>
              <w:jc w:val="right"/>
              <w:rPr>
                <w:rFonts w:ascii="Palatino Linotype" w:hAnsi="Palatino Linotype"/>
              </w:rPr>
            </w:pPr>
          </w:p>
        </w:tc>
        <w:tc>
          <w:tcPr>
            <w:tcW w:w="1842" w:type="dxa"/>
            <w:shd w:val="clear" w:color="auto" w:fill="F2DBDB" w:themeFill="accent2" w:themeFillTint="33"/>
            <w:vAlign w:val="bottom"/>
          </w:tcPr>
          <w:p w14:paraId="60B6A650" w14:textId="77777777" w:rsidR="00B23D64" w:rsidRPr="0012667F" w:rsidRDefault="00B23D64" w:rsidP="007B7EDC">
            <w:pPr>
              <w:spacing w:before="80" w:after="80" w:line="278" w:lineRule="auto"/>
              <w:jc w:val="right"/>
              <w:rPr>
                <w:rFonts w:ascii="Palatino Linotype" w:hAnsi="Palatino Linotype"/>
              </w:rPr>
            </w:pPr>
            <w:proofErr w:type="spellStart"/>
            <w:r w:rsidRPr="0012667F">
              <w:rPr>
                <w:rFonts w:ascii="Palatino Linotype" w:hAnsi="Palatino Linotype"/>
                <w:b/>
                <w:bCs/>
              </w:rPr>
              <w:t>Total</w:t>
            </w:r>
            <w:r>
              <w:rPr>
                <w:rFonts w:ascii="Palatino Linotype" w:hAnsi="Palatino Linotype"/>
                <w:b/>
                <w:bCs/>
              </w:rPr>
              <w:t>s</w:t>
            </w:r>
            <w:proofErr w:type="spellEnd"/>
            <w:r>
              <w:rPr>
                <w:rFonts w:ascii="Palatino Linotype" w:hAnsi="Palatino Linotype"/>
                <w:b/>
                <w:bCs/>
              </w:rPr>
              <w:t xml:space="preserve"> (health care)</w:t>
            </w:r>
          </w:p>
        </w:tc>
        <w:tc>
          <w:tcPr>
            <w:tcW w:w="993" w:type="dxa"/>
            <w:shd w:val="clear" w:color="auto" w:fill="F2DBDB" w:themeFill="accent2" w:themeFillTint="33"/>
            <w:vAlign w:val="bottom"/>
          </w:tcPr>
          <w:p w14:paraId="5A174605"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22</w:t>
            </w:r>
          </w:p>
        </w:tc>
        <w:tc>
          <w:tcPr>
            <w:tcW w:w="816" w:type="dxa"/>
            <w:shd w:val="clear" w:color="auto" w:fill="F2DBDB" w:themeFill="accent2" w:themeFillTint="33"/>
            <w:vAlign w:val="bottom"/>
          </w:tcPr>
          <w:p w14:paraId="49E60A6D" w14:textId="77777777" w:rsidR="00B23D64" w:rsidRPr="0012667F" w:rsidRDefault="00B23D64" w:rsidP="007B7EDC">
            <w:pPr>
              <w:spacing w:before="80" w:after="80" w:line="278" w:lineRule="auto"/>
              <w:jc w:val="right"/>
              <w:rPr>
                <w:rFonts w:ascii="Palatino Linotype" w:hAnsi="Palatino Linotype"/>
                <w:b/>
                <w:bCs/>
              </w:rPr>
            </w:pPr>
            <w:r>
              <w:rPr>
                <w:rFonts w:ascii="Palatino Linotype" w:hAnsi="Palatino Linotype"/>
                <w:b/>
                <w:bCs/>
              </w:rPr>
              <w:t>4</w:t>
            </w:r>
          </w:p>
        </w:tc>
        <w:tc>
          <w:tcPr>
            <w:tcW w:w="782" w:type="dxa"/>
            <w:shd w:val="clear" w:color="auto" w:fill="F2DBDB" w:themeFill="accent2" w:themeFillTint="33"/>
            <w:vAlign w:val="bottom"/>
          </w:tcPr>
          <w:p w14:paraId="192AE4EC"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4</w:t>
            </w:r>
          </w:p>
        </w:tc>
        <w:tc>
          <w:tcPr>
            <w:tcW w:w="782" w:type="dxa"/>
            <w:shd w:val="clear" w:color="auto" w:fill="F2DBDB" w:themeFill="accent2" w:themeFillTint="33"/>
            <w:vAlign w:val="bottom"/>
          </w:tcPr>
          <w:p w14:paraId="1D9CE5BD"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3</w:t>
            </w:r>
          </w:p>
        </w:tc>
        <w:tc>
          <w:tcPr>
            <w:tcW w:w="1163" w:type="dxa"/>
            <w:shd w:val="clear" w:color="auto" w:fill="F2DBDB" w:themeFill="accent2" w:themeFillTint="33"/>
            <w:vAlign w:val="bottom"/>
          </w:tcPr>
          <w:p w14:paraId="27263963" w14:textId="77777777" w:rsidR="00B23D64" w:rsidRPr="0012667F" w:rsidRDefault="00B23D64" w:rsidP="007B7EDC">
            <w:pPr>
              <w:spacing w:before="80" w:after="80" w:line="278" w:lineRule="auto"/>
              <w:jc w:val="right"/>
              <w:rPr>
                <w:rFonts w:ascii="Palatino Linotype" w:hAnsi="Palatino Linotype"/>
                <w:b/>
                <w:bCs/>
              </w:rPr>
            </w:pPr>
            <w:r w:rsidRPr="0012667F">
              <w:rPr>
                <w:rFonts w:ascii="Palatino Linotype" w:hAnsi="Palatino Linotype"/>
                <w:b/>
                <w:bCs/>
              </w:rPr>
              <w:t>0</w:t>
            </w:r>
          </w:p>
        </w:tc>
        <w:tc>
          <w:tcPr>
            <w:tcW w:w="1116" w:type="dxa"/>
            <w:shd w:val="clear" w:color="auto" w:fill="F2DBDB" w:themeFill="accent2" w:themeFillTint="33"/>
            <w:vAlign w:val="bottom"/>
          </w:tcPr>
          <w:p w14:paraId="00744783" w14:textId="77777777" w:rsidR="00B23D64" w:rsidRPr="0012667F" w:rsidRDefault="00B23D64" w:rsidP="007B7EDC">
            <w:pPr>
              <w:spacing w:before="80" w:after="80" w:line="278" w:lineRule="auto"/>
              <w:ind w:right="-58"/>
              <w:jc w:val="right"/>
              <w:rPr>
                <w:rFonts w:ascii="Palatino Linotype" w:hAnsi="Palatino Linotype"/>
                <w:b/>
                <w:bCs/>
              </w:rPr>
            </w:pPr>
            <w:r w:rsidRPr="0012667F">
              <w:rPr>
                <w:rFonts w:ascii="Palatino Linotype" w:hAnsi="Palatino Linotype"/>
                <w:b/>
                <w:bCs/>
              </w:rPr>
              <w:t>3</w:t>
            </w:r>
            <w:r>
              <w:rPr>
                <w:rFonts w:ascii="Palatino Linotype" w:hAnsi="Palatino Linotype"/>
                <w:b/>
                <w:bCs/>
              </w:rPr>
              <w:t>4</w:t>
            </w:r>
          </w:p>
        </w:tc>
        <w:tc>
          <w:tcPr>
            <w:tcW w:w="2143" w:type="dxa"/>
            <w:shd w:val="clear" w:color="auto" w:fill="F2DBDB" w:themeFill="accent2" w:themeFillTint="33"/>
          </w:tcPr>
          <w:p w14:paraId="07E81714" w14:textId="77777777" w:rsidR="00B23D64" w:rsidRPr="00A940D8" w:rsidRDefault="00B23D64" w:rsidP="007B7EDC">
            <w:pPr>
              <w:spacing w:before="80" w:after="80" w:line="278" w:lineRule="auto"/>
              <w:jc w:val="right"/>
              <w:rPr>
                <w:rFonts w:ascii="Palatino Linotype" w:hAnsi="Palatino Linotype"/>
                <w:lang w:val="en-GB"/>
              </w:rPr>
            </w:pPr>
            <w:r w:rsidRPr="00A940D8">
              <w:rPr>
                <w:rFonts w:ascii="Palatino Linotype" w:hAnsi="Palatino Linotype"/>
                <w:b/>
                <w:bCs/>
                <w:lang w:val="en-GB"/>
              </w:rPr>
              <w:t xml:space="preserve">8 reports </w:t>
            </w:r>
            <w:r>
              <w:rPr>
                <w:rFonts w:ascii="Palatino Linotype" w:hAnsi="Palatino Linotype"/>
                <w:lang w:val="en-GB"/>
              </w:rPr>
              <w:t>(</w:t>
            </w:r>
            <w:r w:rsidRPr="00416A01">
              <w:rPr>
                <w:rFonts w:ascii="Palatino Linotype" w:hAnsi="Palatino Linotype"/>
                <w:lang w:val="en-GB"/>
              </w:rPr>
              <w:t>out of which</w:t>
            </w:r>
            <w:r w:rsidRPr="00A940D8">
              <w:rPr>
                <w:rFonts w:ascii="Palatino Linotype" w:hAnsi="Palatino Linotype"/>
                <w:lang w:val="en-GB"/>
              </w:rPr>
              <w:t xml:space="preserve"> 5 </w:t>
            </w:r>
            <w:r w:rsidRPr="00A940D8">
              <w:rPr>
                <w:rFonts w:ascii="Palatino Linotype" w:hAnsi="Palatino Linotype"/>
                <w:i/>
                <w:iCs/>
                <w:lang w:val="en-GB"/>
              </w:rPr>
              <w:t>ad hoc</w:t>
            </w:r>
            <w:r w:rsidRPr="00A940D8">
              <w:rPr>
                <w:rFonts w:ascii="Palatino Linotype" w:hAnsi="Palatino Linotype"/>
                <w:lang w:val="en-GB"/>
              </w:rPr>
              <w:t>+3 regional</w:t>
            </w:r>
            <w:r>
              <w:rPr>
                <w:rFonts w:ascii="Palatino Linotype" w:hAnsi="Palatino Linotype"/>
                <w:lang w:val="en-GB"/>
              </w:rPr>
              <w:t xml:space="preserve"> reports)</w:t>
            </w:r>
          </w:p>
        </w:tc>
      </w:tr>
      <w:tr w:rsidR="00B23D64" w:rsidRPr="00355F49" w14:paraId="20352D66" w14:textId="77777777" w:rsidTr="00B23D64">
        <w:trPr>
          <w:jc w:val="center"/>
        </w:trPr>
        <w:tc>
          <w:tcPr>
            <w:tcW w:w="11199" w:type="dxa"/>
            <w:gridSpan w:val="10"/>
            <w:shd w:val="clear" w:color="auto" w:fill="FFFFFF" w:themeFill="background1"/>
            <w:vAlign w:val="bottom"/>
          </w:tcPr>
          <w:p w14:paraId="7B6FAFD7" w14:textId="77777777" w:rsidR="00B23D64" w:rsidRPr="006C4D07" w:rsidRDefault="00B23D64" w:rsidP="007B7EDC">
            <w:pPr>
              <w:spacing w:before="80" w:after="80" w:line="278" w:lineRule="auto"/>
              <w:jc w:val="center"/>
              <w:rPr>
                <w:rFonts w:ascii="Palatino Linotype" w:hAnsi="Palatino Linotype"/>
                <w:b/>
                <w:bCs/>
                <w:sz w:val="28"/>
                <w:szCs w:val="28"/>
                <w:lang w:val="en-GB"/>
              </w:rPr>
            </w:pPr>
            <w:r w:rsidRPr="006C4D07">
              <w:rPr>
                <w:rFonts w:ascii="Palatino Linotype" w:hAnsi="Palatino Linotype"/>
                <w:b/>
                <w:bCs/>
                <w:sz w:val="28"/>
                <w:szCs w:val="28"/>
                <w:lang w:val="en-GB"/>
              </w:rPr>
              <w:t xml:space="preserve">Total places of deprivation of liberty visited in the period under review: </w:t>
            </w:r>
            <w:r w:rsidRPr="006C4D07">
              <w:rPr>
                <w:rFonts w:ascii="Palatino Linotype" w:hAnsi="Palatino Linotype"/>
                <w:sz w:val="28"/>
                <w:szCs w:val="28"/>
                <w:lang w:val="en-GB"/>
              </w:rPr>
              <w:t>311</w:t>
            </w:r>
          </w:p>
          <w:p w14:paraId="06B9C7DD" w14:textId="77777777" w:rsidR="00B23D64" w:rsidRPr="006C4D07" w:rsidRDefault="00B23D64" w:rsidP="007B7EDC">
            <w:pPr>
              <w:spacing w:before="80" w:after="80" w:line="278" w:lineRule="auto"/>
              <w:jc w:val="center"/>
              <w:rPr>
                <w:rFonts w:ascii="Palatino Linotype" w:hAnsi="Palatino Linotype"/>
                <w:b/>
                <w:bCs/>
                <w:sz w:val="28"/>
                <w:szCs w:val="28"/>
                <w:lang w:val="en-GB"/>
              </w:rPr>
            </w:pPr>
            <w:r w:rsidRPr="006C4D07">
              <w:rPr>
                <w:rFonts w:ascii="Palatino Linotype" w:hAnsi="Palatino Linotype"/>
                <w:b/>
                <w:bCs/>
                <w:sz w:val="28"/>
                <w:szCs w:val="28"/>
                <w:lang w:val="en-GB"/>
              </w:rPr>
              <w:t xml:space="preserve">Total reports published relevant to the same period and visits: </w:t>
            </w:r>
            <w:r w:rsidRPr="006C4D07">
              <w:rPr>
                <w:rFonts w:ascii="Palatino Linotype" w:hAnsi="Palatino Linotype"/>
                <w:sz w:val="28"/>
                <w:szCs w:val="28"/>
                <w:lang w:val="en-GB"/>
              </w:rPr>
              <w:t>54</w:t>
            </w:r>
          </w:p>
        </w:tc>
      </w:tr>
    </w:tbl>
    <w:p w14:paraId="1B71013B" w14:textId="77777777" w:rsidR="00B23D64" w:rsidRPr="00766848" w:rsidRDefault="00B23D64" w:rsidP="007B7EDC">
      <w:pPr>
        <w:spacing w:before="80" w:after="80" w:line="278" w:lineRule="auto"/>
        <w:rPr>
          <w:lang w:val="en-US"/>
        </w:rPr>
      </w:pPr>
    </w:p>
    <w:tbl>
      <w:tblPr>
        <w:tblStyle w:val="Grigliatabella"/>
        <w:tblW w:w="11199" w:type="dxa"/>
        <w:jc w:val="center"/>
        <w:tblLayout w:type="fixed"/>
        <w:tblLook w:val="04A0" w:firstRow="1" w:lastRow="0" w:firstColumn="1" w:lastColumn="0" w:noHBand="0" w:noVBand="1"/>
      </w:tblPr>
      <w:tblGrid>
        <w:gridCol w:w="1697"/>
        <w:gridCol w:w="1988"/>
        <w:gridCol w:w="780"/>
        <w:gridCol w:w="745"/>
        <w:gridCol w:w="782"/>
        <w:gridCol w:w="782"/>
        <w:gridCol w:w="1164"/>
        <w:gridCol w:w="1117"/>
        <w:gridCol w:w="2144"/>
      </w:tblGrid>
      <w:tr w:rsidR="00B23D64" w:rsidRPr="000D65D7" w14:paraId="74085F2D" w14:textId="77777777" w:rsidTr="00B23D64">
        <w:trPr>
          <w:jc w:val="center"/>
        </w:trPr>
        <w:tc>
          <w:tcPr>
            <w:tcW w:w="1695" w:type="dxa"/>
            <w:shd w:val="clear" w:color="auto" w:fill="F2DBDB" w:themeFill="accent2" w:themeFillTint="33"/>
            <w:vAlign w:val="bottom"/>
          </w:tcPr>
          <w:p w14:paraId="331B59CD" w14:textId="77777777" w:rsidR="00B23D64" w:rsidRPr="000D65D7" w:rsidRDefault="00B23D64" w:rsidP="007B7EDC">
            <w:pPr>
              <w:spacing w:before="80" w:after="80" w:line="278" w:lineRule="auto"/>
              <w:jc w:val="center"/>
              <w:rPr>
                <w:rFonts w:ascii="Palatino Linotype" w:hAnsi="Palatino Linotype"/>
                <w:b/>
                <w:bCs/>
              </w:rPr>
            </w:pPr>
            <w:r w:rsidRPr="000D65D7">
              <w:rPr>
                <w:rFonts w:ascii="Palatino Linotype" w:hAnsi="Palatino Linotype"/>
                <w:b/>
                <w:bCs/>
              </w:rPr>
              <w:t>Domain</w:t>
            </w:r>
          </w:p>
        </w:tc>
        <w:tc>
          <w:tcPr>
            <w:tcW w:w="1986" w:type="dxa"/>
            <w:shd w:val="clear" w:color="auto" w:fill="F2DBDB" w:themeFill="accent2" w:themeFillTint="33"/>
            <w:vAlign w:val="bottom"/>
          </w:tcPr>
          <w:p w14:paraId="3B50ECB5" w14:textId="77777777" w:rsidR="00B23D64" w:rsidRPr="000D65D7" w:rsidRDefault="00B23D64" w:rsidP="007B7EDC">
            <w:pPr>
              <w:spacing w:before="80" w:after="80" w:line="278" w:lineRule="auto"/>
              <w:rPr>
                <w:rFonts w:ascii="Palatino Linotype" w:hAnsi="Palatino Linotype"/>
                <w:b/>
                <w:bCs/>
              </w:rPr>
            </w:pPr>
            <w:r w:rsidRPr="000D65D7">
              <w:rPr>
                <w:rFonts w:ascii="Palatino Linotype" w:hAnsi="Palatino Linotype"/>
                <w:b/>
                <w:bCs/>
              </w:rPr>
              <w:t xml:space="preserve">Operations </w:t>
            </w:r>
          </w:p>
        </w:tc>
        <w:tc>
          <w:tcPr>
            <w:tcW w:w="780" w:type="dxa"/>
            <w:shd w:val="clear" w:color="auto" w:fill="F2DBDB" w:themeFill="accent2" w:themeFillTint="33"/>
            <w:vAlign w:val="bottom"/>
          </w:tcPr>
          <w:p w14:paraId="2A95B06D" w14:textId="77777777" w:rsidR="00B23D64" w:rsidRPr="000D65D7" w:rsidRDefault="00B23D64" w:rsidP="007B7EDC">
            <w:pPr>
              <w:spacing w:before="80" w:after="80" w:line="278" w:lineRule="auto"/>
              <w:jc w:val="right"/>
              <w:rPr>
                <w:rFonts w:ascii="Palatino Linotype" w:hAnsi="Palatino Linotype"/>
                <w:b/>
                <w:bCs/>
              </w:rPr>
            </w:pPr>
            <w:r w:rsidRPr="000D65D7">
              <w:rPr>
                <w:rFonts w:ascii="Palatino Linotype" w:hAnsi="Palatino Linotype"/>
                <w:b/>
                <w:bCs/>
              </w:rPr>
              <w:t>2022</w:t>
            </w:r>
          </w:p>
        </w:tc>
        <w:tc>
          <w:tcPr>
            <w:tcW w:w="745" w:type="dxa"/>
            <w:shd w:val="clear" w:color="auto" w:fill="F2DBDB" w:themeFill="accent2" w:themeFillTint="33"/>
            <w:vAlign w:val="bottom"/>
          </w:tcPr>
          <w:p w14:paraId="4B9E02D0" w14:textId="77777777" w:rsidR="00B23D64" w:rsidRPr="000D65D7" w:rsidRDefault="00B23D64" w:rsidP="007B7EDC">
            <w:pPr>
              <w:spacing w:before="80" w:after="80" w:line="278" w:lineRule="auto"/>
              <w:jc w:val="right"/>
              <w:rPr>
                <w:rFonts w:ascii="Palatino Linotype" w:hAnsi="Palatino Linotype"/>
                <w:b/>
                <w:bCs/>
              </w:rPr>
            </w:pPr>
            <w:r w:rsidRPr="000D65D7">
              <w:rPr>
                <w:rFonts w:ascii="Palatino Linotype" w:hAnsi="Palatino Linotype"/>
                <w:b/>
                <w:bCs/>
              </w:rPr>
              <w:t>2023</w:t>
            </w:r>
          </w:p>
        </w:tc>
        <w:tc>
          <w:tcPr>
            <w:tcW w:w="782" w:type="dxa"/>
            <w:shd w:val="clear" w:color="auto" w:fill="F2DBDB" w:themeFill="accent2" w:themeFillTint="33"/>
            <w:vAlign w:val="bottom"/>
          </w:tcPr>
          <w:p w14:paraId="07DECEC4" w14:textId="77777777" w:rsidR="00B23D64" w:rsidRPr="000D65D7" w:rsidRDefault="00B23D64" w:rsidP="007B7EDC">
            <w:pPr>
              <w:spacing w:before="80" w:after="80" w:line="278" w:lineRule="auto"/>
              <w:jc w:val="right"/>
              <w:rPr>
                <w:rFonts w:ascii="Palatino Linotype" w:hAnsi="Palatino Linotype"/>
                <w:b/>
                <w:bCs/>
              </w:rPr>
            </w:pPr>
            <w:r w:rsidRPr="000D65D7">
              <w:rPr>
                <w:rFonts w:ascii="Palatino Linotype" w:hAnsi="Palatino Linotype"/>
                <w:b/>
                <w:bCs/>
              </w:rPr>
              <w:t xml:space="preserve">  2024</w:t>
            </w:r>
          </w:p>
        </w:tc>
        <w:tc>
          <w:tcPr>
            <w:tcW w:w="782" w:type="dxa"/>
            <w:shd w:val="clear" w:color="auto" w:fill="F2DBDB" w:themeFill="accent2" w:themeFillTint="33"/>
            <w:vAlign w:val="bottom"/>
          </w:tcPr>
          <w:p w14:paraId="09AEE995" w14:textId="77777777" w:rsidR="00B23D64" w:rsidRPr="000D65D7" w:rsidRDefault="00B23D64" w:rsidP="007B7EDC">
            <w:pPr>
              <w:spacing w:before="80" w:after="80" w:line="278" w:lineRule="auto"/>
              <w:jc w:val="right"/>
              <w:rPr>
                <w:rFonts w:ascii="Palatino Linotype" w:hAnsi="Palatino Linotype"/>
                <w:b/>
                <w:bCs/>
              </w:rPr>
            </w:pPr>
            <w:r w:rsidRPr="000D65D7">
              <w:rPr>
                <w:rFonts w:ascii="Palatino Linotype" w:hAnsi="Palatino Linotype"/>
                <w:b/>
                <w:bCs/>
              </w:rPr>
              <w:t>2025</w:t>
            </w:r>
          </w:p>
        </w:tc>
        <w:tc>
          <w:tcPr>
            <w:tcW w:w="1163" w:type="dxa"/>
            <w:shd w:val="clear" w:color="auto" w:fill="F2DBDB" w:themeFill="accent2" w:themeFillTint="33"/>
            <w:vAlign w:val="bottom"/>
          </w:tcPr>
          <w:p w14:paraId="1643AB55" w14:textId="77777777" w:rsidR="00B23D64" w:rsidRPr="000D65D7" w:rsidRDefault="00B23D64" w:rsidP="007B7EDC">
            <w:pPr>
              <w:spacing w:before="80" w:after="80" w:line="278" w:lineRule="auto"/>
              <w:jc w:val="center"/>
              <w:rPr>
                <w:rFonts w:ascii="Palatino Linotype" w:hAnsi="Palatino Linotype"/>
                <w:b/>
                <w:bCs/>
              </w:rPr>
            </w:pPr>
            <w:r w:rsidRPr="000D65D7">
              <w:rPr>
                <w:rFonts w:ascii="Palatino Linotype" w:hAnsi="Palatino Linotype"/>
                <w:b/>
                <w:bCs/>
                <w:lang w:val="en-GB"/>
              </w:rPr>
              <w:t>up to 31/3/2026</w:t>
            </w:r>
          </w:p>
        </w:tc>
        <w:tc>
          <w:tcPr>
            <w:tcW w:w="1116" w:type="dxa"/>
            <w:shd w:val="clear" w:color="auto" w:fill="F2DBDB" w:themeFill="accent2" w:themeFillTint="33"/>
            <w:vAlign w:val="bottom"/>
          </w:tcPr>
          <w:p w14:paraId="3D10AA2E" w14:textId="77777777" w:rsidR="00B23D64" w:rsidRPr="000D65D7" w:rsidRDefault="00B23D64" w:rsidP="007B7EDC">
            <w:pPr>
              <w:spacing w:before="80" w:after="80" w:line="278" w:lineRule="auto"/>
              <w:ind w:right="-58"/>
              <w:jc w:val="center"/>
              <w:rPr>
                <w:rFonts w:ascii="Palatino Linotype" w:hAnsi="Palatino Linotype"/>
                <w:b/>
                <w:bCs/>
              </w:rPr>
            </w:pPr>
            <w:r>
              <w:rPr>
                <w:rFonts w:ascii="Palatino Linotype" w:hAnsi="Palatino Linotype"/>
                <w:b/>
                <w:bCs/>
              </w:rPr>
              <w:t>Total</w:t>
            </w:r>
          </w:p>
        </w:tc>
        <w:tc>
          <w:tcPr>
            <w:tcW w:w="2143" w:type="dxa"/>
            <w:shd w:val="clear" w:color="auto" w:fill="F2DBDB" w:themeFill="accent2" w:themeFillTint="33"/>
          </w:tcPr>
          <w:p w14:paraId="435D796F" w14:textId="77777777" w:rsidR="00B23D64" w:rsidRPr="000D65D7" w:rsidRDefault="00B23D64" w:rsidP="007B7EDC">
            <w:pPr>
              <w:spacing w:before="80" w:after="80" w:line="278" w:lineRule="auto"/>
              <w:jc w:val="right"/>
              <w:rPr>
                <w:rFonts w:ascii="Palatino Linotype" w:hAnsi="Palatino Linotype"/>
                <w:b/>
                <w:bCs/>
                <w:lang w:val="en-GB"/>
              </w:rPr>
            </w:pPr>
          </w:p>
        </w:tc>
      </w:tr>
      <w:tr w:rsidR="00B23D64" w:rsidRPr="006C4D07" w14:paraId="00A1CD63" w14:textId="77777777" w:rsidTr="00B23D64">
        <w:trPr>
          <w:jc w:val="center"/>
        </w:trPr>
        <w:tc>
          <w:tcPr>
            <w:tcW w:w="1695" w:type="dxa"/>
            <w:vAlign w:val="bottom"/>
          </w:tcPr>
          <w:p w14:paraId="003848F9" w14:textId="77777777" w:rsidR="00B23D64" w:rsidRPr="0012667F" w:rsidRDefault="00B23D64" w:rsidP="007B7EDC">
            <w:pPr>
              <w:spacing w:before="80" w:after="80" w:line="278" w:lineRule="auto"/>
              <w:jc w:val="center"/>
              <w:rPr>
                <w:rFonts w:ascii="Palatino Linotype" w:hAnsi="Palatino Linotype"/>
              </w:rPr>
            </w:pPr>
            <w:proofErr w:type="spellStart"/>
            <w:r w:rsidRPr="006E4C4F">
              <w:rPr>
                <w:rFonts w:ascii="Palatino Linotype" w:hAnsi="Palatino Linotype"/>
                <w:b/>
                <w:bCs/>
              </w:rPr>
              <w:t>Forced-return</w:t>
            </w:r>
            <w:proofErr w:type="spellEnd"/>
            <w:r w:rsidRPr="006E4C4F">
              <w:rPr>
                <w:rFonts w:ascii="Palatino Linotype" w:hAnsi="Palatino Linotype"/>
                <w:b/>
                <w:bCs/>
              </w:rPr>
              <w:t xml:space="preserve"> monitoring</w:t>
            </w:r>
          </w:p>
        </w:tc>
        <w:tc>
          <w:tcPr>
            <w:tcW w:w="1986" w:type="dxa"/>
            <w:vAlign w:val="bottom"/>
          </w:tcPr>
          <w:p w14:paraId="0A54233F" w14:textId="77777777" w:rsidR="00B23D64" w:rsidRPr="006E4C4F" w:rsidRDefault="00B23D64" w:rsidP="007B7EDC">
            <w:pPr>
              <w:spacing w:before="80" w:after="80" w:line="278" w:lineRule="auto"/>
              <w:rPr>
                <w:rFonts w:ascii="Palatino Linotype" w:hAnsi="Palatino Linotype"/>
              </w:rPr>
            </w:pPr>
            <w:r w:rsidRPr="006E4C4F">
              <w:rPr>
                <w:rFonts w:ascii="Palatino Linotype" w:hAnsi="Palatino Linotype"/>
              </w:rPr>
              <w:t xml:space="preserve">Return </w:t>
            </w:r>
            <w:proofErr w:type="spellStart"/>
            <w:r w:rsidRPr="006E4C4F">
              <w:rPr>
                <w:rFonts w:ascii="Palatino Linotype" w:hAnsi="Palatino Linotype"/>
              </w:rPr>
              <w:t>operations</w:t>
            </w:r>
            <w:proofErr w:type="spellEnd"/>
            <w:r w:rsidRPr="006E4C4F">
              <w:rPr>
                <w:rFonts w:ascii="Palatino Linotype" w:hAnsi="Palatino Linotype"/>
              </w:rPr>
              <w:t xml:space="preserve"> </w:t>
            </w:r>
            <w:proofErr w:type="spellStart"/>
            <w:r w:rsidRPr="006E4C4F">
              <w:rPr>
                <w:rFonts w:ascii="Palatino Linotype" w:hAnsi="Palatino Linotype"/>
              </w:rPr>
              <w:t>monitored</w:t>
            </w:r>
            <w:proofErr w:type="spellEnd"/>
          </w:p>
        </w:tc>
        <w:tc>
          <w:tcPr>
            <w:tcW w:w="780" w:type="dxa"/>
            <w:vAlign w:val="bottom"/>
          </w:tcPr>
          <w:p w14:paraId="58D8D080" w14:textId="77777777" w:rsidR="00B23D64" w:rsidRPr="00BF6703" w:rsidRDefault="00B23D64" w:rsidP="007B7EDC">
            <w:pPr>
              <w:spacing w:before="80" w:after="80" w:line="278" w:lineRule="auto"/>
              <w:jc w:val="right"/>
              <w:rPr>
                <w:rFonts w:ascii="Palatino Linotype" w:hAnsi="Palatino Linotype"/>
              </w:rPr>
            </w:pPr>
            <w:r w:rsidRPr="00BF6703">
              <w:rPr>
                <w:rFonts w:ascii="Palatino Linotype" w:hAnsi="Palatino Linotype"/>
              </w:rPr>
              <w:t>110</w:t>
            </w:r>
          </w:p>
        </w:tc>
        <w:tc>
          <w:tcPr>
            <w:tcW w:w="745" w:type="dxa"/>
            <w:vAlign w:val="bottom"/>
          </w:tcPr>
          <w:p w14:paraId="10C39197" w14:textId="77777777" w:rsidR="00B23D64" w:rsidRPr="00B51725" w:rsidRDefault="00B23D64" w:rsidP="007B7EDC">
            <w:pPr>
              <w:spacing w:before="80" w:after="80" w:line="278" w:lineRule="auto"/>
              <w:jc w:val="right"/>
              <w:rPr>
                <w:rFonts w:ascii="Palatino Linotype" w:hAnsi="Palatino Linotype"/>
              </w:rPr>
            </w:pPr>
            <w:r w:rsidRPr="00B51725">
              <w:rPr>
                <w:rFonts w:ascii="Palatino Linotype" w:hAnsi="Palatino Linotype"/>
              </w:rPr>
              <w:t>13</w:t>
            </w:r>
          </w:p>
        </w:tc>
        <w:tc>
          <w:tcPr>
            <w:tcW w:w="782" w:type="dxa"/>
            <w:vAlign w:val="bottom"/>
          </w:tcPr>
          <w:p w14:paraId="39B502E8" w14:textId="77777777" w:rsidR="00B23D64" w:rsidRPr="00B51725" w:rsidRDefault="00B23D64" w:rsidP="007B7EDC">
            <w:pPr>
              <w:spacing w:before="80" w:after="80" w:line="278" w:lineRule="auto"/>
              <w:jc w:val="right"/>
              <w:rPr>
                <w:rFonts w:ascii="Palatino Linotype" w:hAnsi="Palatino Linotype"/>
              </w:rPr>
            </w:pPr>
            <w:r w:rsidRPr="00B51725">
              <w:rPr>
                <w:rFonts w:ascii="Palatino Linotype" w:hAnsi="Palatino Linotype"/>
              </w:rPr>
              <w:t>1</w:t>
            </w:r>
          </w:p>
        </w:tc>
        <w:tc>
          <w:tcPr>
            <w:tcW w:w="782" w:type="dxa"/>
            <w:vAlign w:val="bottom"/>
          </w:tcPr>
          <w:p w14:paraId="703D48D5" w14:textId="77777777" w:rsidR="00B23D64" w:rsidRPr="00B51725" w:rsidRDefault="00B23D64" w:rsidP="007B7EDC">
            <w:pPr>
              <w:spacing w:before="80" w:after="80" w:line="278" w:lineRule="auto"/>
              <w:jc w:val="right"/>
              <w:rPr>
                <w:rFonts w:ascii="Palatino Linotype" w:hAnsi="Palatino Linotype"/>
              </w:rPr>
            </w:pPr>
            <w:r w:rsidRPr="00B51725">
              <w:rPr>
                <w:rFonts w:ascii="Palatino Linotype" w:hAnsi="Palatino Linotype"/>
              </w:rPr>
              <w:t>14</w:t>
            </w:r>
          </w:p>
        </w:tc>
        <w:tc>
          <w:tcPr>
            <w:tcW w:w="1163" w:type="dxa"/>
            <w:vAlign w:val="bottom"/>
          </w:tcPr>
          <w:p w14:paraId="7A200950" w14:textId="77777777" w:rsidR="00B23D64" w:rsidRPr="00B51725" w:rsidRDefault="00B23D64" w:rsidP="007B7EDC">
            <w:pPr>
              <w:spacing w:before="80" w:after="80" w:line="278" w:lineRule="auto"/>
              <w:jc w:val="right"/>
              <w:rPr>
                <w:rFonts w:ascii="Palatino Linotype" w:hAnsi="Palatino Linotype"/>
              </w:rPr>
            </w:pPr>
            <w:r w:rsidRPr="00B51725">
              <w:rPr>
                <w:rFonts w:ascii="Palatino Linotype" w:hAnsi="Palatino Linotype"/>
              </w:rPr>
              <w:t>12</w:t>
            </w:r>
          </w:p>
        </w:tc>
        <w:tc>
          <w:tcPr>
            <w:tcW w:w="1116" w:type="dxa"/>
            <w:vAlign w:val="bottom"/>
          </w:tcPr>
          <w:p w14:paraId="3A123EAB" w14:textId="77777777" w:rsidR="00B23D64" w:rsidRPr="00F05519" w:rsidRDefault="00B23D64" w:rsidP="007B7EDC">
            <w:pPr>
              <w:spacing w:before="80" w:after="80" w:line="278" w:lineRule="auto"/>
              <w:ind w:right="-58"/>
              <w:jc w:val="right"/>
              <w:rPr>
                <w:rFonts w:ascii="Palatino Linotype" w:hAnsi="Palatino Linotype"/>
                <w:b/>
                <w:bCs/>
                <w:highlight w:val="yellow"/>
              </w:rPr>
            </w:pPr>
            <w:r w:rsidRPr="00B51725">
              <w:rPr>
                <w:rFonts w:ascii="Palatino Linotype" w:hAnsi="Palatino Linotype"/>
                <w:b/>
                <w:bCs/>
              </w:rPr>
              <w:t>150</w:t>
            </w:r>
          </w:p>
        </w:tc>
        <w:tc>
          <w:tcPr>
            <w:tcW w:w="2143" w:type="dxa"/>
          </w:tcPr>
          <w:p w14:paraId="68FB02A8" w14:textId="77777777" w:rsidR="00B23D64" w:rsidRPr="00270BB3" w:rsidRDefault="00B23D64" w:rsidP="007B7EDC">
            <w:pPr>
              <w:spacing w:before="80" w:after="80" w:line="278" w:lineRule="auto"/>
              <w:jc w:val="right"/>
              <w:rPr>
                <w:rFonts w:ascii="Palatino Linotype" w:hAnsi="Palatino Linotype"/>
                <w:lang w:val="en-GB"/>
              </w:rPr>
            </w:pPr>
            <w:r w:rsidRPr="00270BB3">
              <w:rPr>
                <w:rFonts w:ascii="Palatino Linotype" w:hAnsi="Palatino Linotype"/>
                <w:lang w:val="en-GB"/>
              </w:rPr>
              <w:t>1 report (July 2021-September 2022)</w:t>
            </w:r>
          </w:p>
        </w:tc>
      </w:tr>
    </w:tbl>
    <w:p w14:paraId="5A510716" w14:textId="77777777" w:rsidR="00B23D64" w:rsidRPr="00A940D8" w:rsidRDefault="00B23D64" w:rsidP="007B7EDC">
      <w:pPr>
        <w:spacing w:before="80" w:after="80" w:line="278" w:lineRule="auto"/>
        <w:rPr>
          <w:lang w:val="en-GB"/>
        </w:rPr>
      </w:pPr>
    </w:p>
    <w:p w14:paraId="33EEE0F6" w14:textId="77777777" w:rsidR="00B23D64" w:rsidRDefault="00B23D64" w:rsidP="007B7EDC">
      <w:pPr>
        <w:suppressAutoHyphens/>
        <w:spacing w:before="80" w:after="80" w:line="278" w:lineRule="auto"/>
        <w:jc w:val="both"/>
      </w:pPr>
    </w:p>
    <w:p w14:paraId="7E9E80C0" w14:textId="77777777" w:rsidR="00B23D64" w:rsidRPr="00507092" w:rsidRDefault="00B23D64" w:rsidP="00E313A1">
      <w:pPr>
        <w:suppressAutoHyphens/>
        <w:spacing w:before="80" w:after="80" w:line="278" w:lineRule="auto"/>
      </w:pPr>
    </w:p>
    <w:sectPr w:rsidR="00B23D64" w:rsidRPr="00507092" w:rsidSect="00B23D64">
      <w:pgSz w:w="11906" w:h="16838"/>
      <w:pgMar w:top="342" w:right="424" w:bottom="1440" w:left="567" w:header="34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B86C1" w14:textId="77777777" w:rsidR="00340138" w:rsidRDefault="00340138" w:rsidP="00B20D48">
      <w:r>
        <w:separator/>
      </w:r>
    </w:p>
  </w:endnote>
  <w:endnote w:type="continuationSeparator" w:id="0">
    <w:p w14:paraId="0F449939" w14:textId="77777777" w:rsidR="00340138" w:rsidRDefault="00340138" w:rsidP="00B20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Palace Script MT">
    <w:panose1 w:val="030303020206070C0B05"/>
    <w:charset w:val="00"/>
    <w:family w:val="script"/>
    <w:pitch w:val="variable"/>
    <w:sig w:usb0="00000003" w:usb1="00000000" w:usb2="00000000" w:usb3="00000000" w:csb0="00000001" w:csb1="00000000"/>
  </w:font>
  <w:font w:name="Shelley Andante Script">
    <w:altName w:val="Calibri"/>
    <w:charset w:val="00"/>
    <w:family w:val="script"/>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85431" w14:textId="77777777" w:rsidR="001B2A5B" w:rsidRDefault="001B2A5B" w:rsidP="00B44507">
    <w:pPr>
      <w:pStyle w:val="Didascalia"/>
      <w:spacing w:line="240" w:lineRule="exact"/>
      <w:jc w:val="left"/>
      <w:rPr>
        <w:rFonts w:ascii="Shelley Andante Script" w:hAnsi="Shelley Andante Script"/>
        <w:b w:val="0"/>
        <w: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2AED0" w14:textId="77777777" w:rsidR="00340138" w:rsidRDefault="00340138" w:rsidP="00B20D48">
      <w:r>
        <w:separator/>
      </w:r>
    </w:p>
  </w:footnote>
  <w:footnote w:type="continuationSeparator" w:id="0">
    <w:p w14:paraId="38B33621" w14:textId="77777777" w:rsidR="00340138" w:rsidRDefault="00340138" w:rsidP="00B20D48">
      <w:r>
        <w:continuationSeparator/>
      </w:r>
    </w:p>
  </w:footnote>
  <w:footnote w:id="1">
    <w:p w14:paraId="7D4A6CFE" w14:textId="77777777" w:rsidR="00507092" w:rsidRPr="006017C4" w:rsidRDefault="00507092" w:rsidP="00507092">
      <w:pPr>
        <w:pStyle w:val="Testonotaapidipagina"/>
        <w:spacing w:before="80"/>
        <w:jc w:val="both"/>
        <w:rPr>
          <w:rFonts w:ascii="Palatino Linotype" w:hAnsi="Palatino Linotype"/>
          <w:sz w:val="18"/>
          <w:szCs w:val="18"/>
          <w:lang w:val="en-GB"/>
        </w:rPr>
      </w:pPr>
      <w:r w:rsidRPr="006017C4">
        <w:rPr>
          <w:rStyle w:val="Rimandonotaapidipagina"/>
          <w:rFonts w:ascii="Palatino Linotype" w:hAnsi="Palatino Linotype"/>
          <w:sz w:val="18"/>
          <w:szCs w:val="18"/>
        </w:rPr>
        <w:footnoteRef/>
      </w:r>
      <w:r w:rsidRPr="006017C4">
        <w:rPr>
          <w:rFonts w:ascii="Palatino Linotype" w:hAnsi="Palatino Linotype"/>
          <w:sz w:val="18"/>
          <w:szCs w:val="18"/>
          <w:lang w:val="en-GB"/>
        </w:rPr>
        <w:t xml:space="preserve"> This power of delegation has been exercised only in the context of the deprivation of liberty of migrants. It allows the power of visit to be transferred to regional or local Guarantors. Through this mechanism, the GNPL conducted visits to six migrants’ detention places (the pre-removal Centres – ‘CPR’s – in Bari, Brindisi, Turin, and Milan; the Taranto hotspot; and the Isola di Capo Rizzuto first reception centre). The GNPL drafted a Summary Document on CPRs, based on the results of the delegated visits, and </w:t>
      </w:r>
      <w:proofErr w:type="gramStart"/>
      <w:r w:rsidRPr="006017C4">
        <w:rPr>
          <w:rFonts w:ascii="Palatino Linotype" w:hAnsi="Palatino Linotype"/>
          <w:sz w:val="18"/>
          <w:szCs w:val="18"/>
          <w:lang w:val="en-GB"/>
        </w:rPr>
        <w:t>in light of</w:t>
      </w:r>
      <w:proofErr w:type="gramEnd"/>
      <w:r w:rsidRPr="006017C4">
        <w:rPr>
          <w:rFonts w:ascii="Palatino Linotype" w:hAnsi="Palatino Linotype"/>
          <w:sz w:val="18"/>
          <w:szCs w:val="18"/>
          <w:lang w:val="en-GB"/>
        </w:rPr>
        <w:t xml:space="preserve"> the monitoring carried out by local Guarantors between January and March 2023. It was sent to the Ministry of the Interior on 26 April 2023.</w:t>
      </w:r>
    </w:p>
  </w:footnote>
  <w:footnote w:id="2">
    <w:p w14:paraId="2B445086" w14:textId="77777777" w:rsidR="00507092" w:rsidRPr="006017C4" w:rsidRDefault="00507092" w:rsidP="00507092">
      <w:pPr>
        <w:pStyle w:val="Testonotaapidipagina"/>
        <w:spacing w:before="80"/>
        <w:rPr>
          <w:rFonts w:ascii="Palatino Linotype" w:hAnsi="Palatino Linotype"/>
          <w:sz w:val="18"/>
          <w:szCs w:val="18"/>
          <w:lang w:val="en-GB"/>
        </w:rPr>
      </w:pPr>
      <w:r w:rsidRPr="006017C4">
        <w:rPr>
          <w:rStyle w:val="Rimandonotaapidipagina"/>
          <w:rFonts w:ascii="Palatino Linotype" w:hAnsi="Palatino Linotype"/>
          <w:sz w:val="18"/>
          <w:szCs w:val="18"/>
        </w:rPr>
        <w:footnoteRef/>
      </w:r>
      <w:r w:rsidRPr="006017C4">
        <w:rPr>
          <w:rFonts w:ascii="Palatino Linotype" w:hAnsi="Palatino Linotype"/>
          <w:sz w:val="18"/>
          <w:szCs w:val="18"/>
          <w:lang w:val="en-GB"/>
        </w:rPr>
        <w:t xml:space="preserve"> Decree of the President of the Council of Ministers no. 89/2019.</w:t>
      </w:r>
    </w:p>
  </w:footnote>
  <w:footnote w:id="3">
    <w:p w14:paraId="76D1EF15" w14:textId="77777777" w:rsidR="00507092" w:rsidRPr="00BF0441" w:rsidRDefault="00507092" w:rsidP="00507092">
      <w:pPr>
        <w:spacing w:before="80" w:line="259" w:lineRule="auto"/>
        <w:jc w:val="both"/>
        <w:outlineLvl w:val="0"/>
        <w:rPr>
          <w:lang w:val="en-GB"/>
        </w:rPr>
      </w:pPr>
      <w:r w:rsidRPr="00BF0441">
        <w:rPr>
          <w:rStyle w:val="Rimandonotaapidipagina"/>
          <w:rFonts w:ascii="Palatino Linotype" w:hAnsi="Palatino Linotype"/>
          <w:sz w:val="18"/>
          <w:szCs w:val="18"/>
        </w:rPr>
        <w:footnoteRef/>
      </w:r>
      <w:r w:rsidRPr="00BF0441">
        <w:rPr>
          <w:rFonts w:ascii="Palatino Linotype" w:hAnsi="Palatino Linotype"/>
          <w:sz w:val="18"/>
          <w:szCs w:val="18"/>
          <w:lang w:val="en-GB"/>
        </w:rPr>
        <w:t xml:space="preserve"> The GNPL’s annual budget, as established in national legislation, amounts to € 380,000. </w:t>
      </w:r>
    </w:p>
  </w:footnote>
  <w:footnote w:id="4">
    <w:p w14:paraId="6ECDE0A0" w14:textId="77777777" w:rsidR="00507092" w:rsidRPr="00333D26" w:rsidRDefault="00507092" w:rsidP="00507092">
      <w:pPr>
        <w:pStyle w:val="Testonotaapidipagina"/>
        <w:jc w:val="both"/>
        <w:rPr>
          <w:rFonts w:ascii="Palatino Linotype" w:hAnsi="Palatino Linotype"/>
          <w:sz w:val="18"/>
          <w:szCs w:val="18"/>
          <w:lang w:val="en-GB"/>
        </w:rPr>
      </w:pPr>
      <w:r w:rsidRPr="00333D26">
        <w:rPr>
          <w:rStyle w:val="Rimandonotaapidipagina"/>
          <w:rFonts w:ascii="Palatino Linotype" w:hAnsi="Palatino Linotype"/>
          <w:sz w:val="18"/>
          <w:szCs w:val="18"/>
        </w:rPr>
        <w:footnoteRef/>
      </w:r>
      <w:r w:rsidRPr="00333D26">
        <w:rPr>
          <w:rFonts w:ascii="Palatino Linotype" w:hAnsi="Palatino Linotype"/>
          <w:sz w:val="18"/>
          <w:szCs w:val="18"/>
          <w:lang w:val="en-GB"/>
        </w:rPr>
        <w:t xml:space="preserve"> The obligation of confidentiality about the outcome of the visits remains until the report on the visit and possible responses by the Authorities are published.</w:t>
      </w:r>
    </w:p>
  </w:footnote>
  <w:footnote w:id="5">
    <w:p w14:paraId="6B2F5ED2" w14:textId="77777777" w:rsidR="00507092" w:rsidRPr="00183B72" w:rsidRDefault="00507092" w:rsidP="00507092">
      <w:pPr>
        <w:pStyle w:val="Testonotaapidipagina"/>
        <w:jc w:val="both"/>
        <w:rPr>
          <w:rFonts w:ascii="Palatino Linotype" w:hAnsi="Palatino Linotype"/>
          <w:sz w:val="18"/>
          <w:szCs w:val="18"/>
          <w:lang w:val="en-GB"/>
        </w:rPr>
      </w:pPr>
      <w:r w:rsidRPr="00183B72">
        <w:rPr>
          <w:rStyle w:val="Rimandonotaapidipagina"/>
          <w:rFonts w:ascii="Palatino Linotype" w:hAnsi="Palatino Linotype"/>
          <w:sz w:val="18"/>
          <w:szCs w:val="18"/>
        </w:rPr>
        <w:footnoteRef/>
      </w:r>
      <w:r w:rsidRPr="00183B72">
        <w:rPr>
          <w:rFonts w:ascii="Palatino Linotype" w:hAnsi="Palatino Linotype"/>
          <w:sz w:val="18"/>
          <w:szCs w:val="18"/>
          <w:lang w:val="en-GB"/>
        </w:rPr>
        <w:t xml:space="preserve"> The EU appreciated the GNPL’s activity and, after over a year of effective monitoring, a long-standing infringement proce</w:t>
      </w:r>
      <w:r>
        <w:rPr>
          <w:rFonts w:ascii="Palatino Linotype" w:hAnsi="Palatino Linotype"/>
          <w:sz w:val="18"/>
          <w:szCs w:val="18"/>
          <w:lang w:val="en-GB"/>
        </w:rPr>
        <w:t>dure</w:t>
      </w:r>
      <w:r w:rsidRPr="00183B72">
        <w:rPr>
          <w:rFonts w:ascii="Palatino Linotype" w:hAnsi="Palatino Linotype"/>
          <w:sz w:val="18"/>
          <w:szCs w:val="18"/>
          <w:lang w:val="en-GB"/>
        </w:rPr>
        <w:t xml:space="preserve"> against Italy —for not being compliant with the Directive obligations —was closed.</w:t>
      </w:r>
    </w:p>
  </w:footnote>
  <w:footnote w:id="6">
    <w:p w14:paraId="13559282" w14:textId="77777777" w:rsidR="00507092" w:rsidRPr="00447C66" w:rsidRDefault="00507092" w:rsidP="00507092">
      <w:pPr>
        <w:pStyle w:val="Testonotaapidipagina"/>
        <w:jc w:val="both"/>
        <w:rPr>
          <w:rFonts w:ascii="Palatino Linotype" w:hAnsi="Palatino Linotype"/>
          <w:sz w:val="18"/>
          <w:szCs w:val="18"/>
          <w:lang w:val="en-GB"/>
        </w:rPr>
      </w:pPr>
      <w:r w:rsidRPr="00447C66">
        <w:rPr>
          <w:rStyle w:val="Rimandonotaapidipagina"/>
          <w:rFonts w:ascii="Palatino Linotype" w:hAnsi="Palatino Linotype"/>
          <w:sz w:val="18"/>
          <w:szCs w:val="18"/>
        </w:rPr>
        <w:footnoteRef/>
      </w:r>
      <w:r w:rsidRPr="00447C66">
        <w:rPr>
          <w:rFonts w:ascii="Palatino Linotype" w:hAnsi="Palatino Linotype"/>
          <w:sz w:val="18"/>
          <w:szCs w:val="18"/>
          <w:lang w:val="en-GB"/>
        </w:rPr>
        <w:t xml:space="preserve"> The GNPL produces annual reports to Parliament, which include the GNPL’s yearly activities and their results</w:t>
      </w:r>
      <w:r>
        <w:rPr>
          <w:rFonts w:ascii="Palatino Linotype" w:hAnsi="Palatino Linotype"/>
          <w:sz w:val="18"/>
          <w:szCs w:val="18"/>
          <w:lang w:val="en-GB"/>
        </w:rPr>
        <w:t xml:space="preserve"> and findings. Each</w:t>
      </w:r>
      <w:r w:rsidRPr="00447C66">
        <w:rPr>
          <w:rFonts w:ascii="Palatino Linotype" w:hAnsi="Palatino Linotype"/>
          <w:sz w:val="18"/>
          <w:szCs w:val="18"/>
          <w:lang w:val="en-GB"/>
        </w:rPr>
        <w:t xml:space="preserve"> annual Report is forwarded to the President of the Republic, the President of the Constitutional Court, the Presidents of both Chambers of the Parliament, the Prime Minister and the Ministers of Defence, Justice, Interior and Health and it is published on the GNPL website. The Report to Parliament is not subjected to the Parliament’s approval. The GNPL has just finalised the 2024 Report, which regarded the first year of activity of the newly appointed Board, being operational since end of January 2024. The GNPL has scheduled to present the 2025 Report to Parliament very soon.</w:t>
      </w:r>
    </w:p>
  </w:footnote>
  <w:footnote w:id="7">
    <w:p w14:paraId="54E22E36" w14:textId="77777777" w:rsidR="00507092" w:rsidRPr="00160F6A" w:rsidRDefault="00507092" w:rsidP="00507092">
      <w:pPr>
        <w:pStyle w:val="Testonotaapidipagina"/>
        <w:jc w:val="both"/>
        <w:rPr>
          <w:rFonts w:ascii="Palatino Linotype" w:hAnsi="Palatino Linotype"/>
          <w:sz w:val="18"/>
          <w:szCs w:val="18"/>
          <w:lang w:val="en-GB"/>
        </w:rPr>
      </w:pPr>
      <w:r w:rsidRPr="00160F6A">
        <w:rPr>
          <w:rStyle w:val="Rimandonotaapidipagina"/>
          <w:rFonts w:ascii="Palatino Linotype" w:hAnsi="Palatino Linotype"/>
          <w:sz w:val="18"/>
          <w:szCs w:val="18"/>
        </w:rPr>
        <w:footnoteRef/>
      </w:r>
      <w:r w:rsidRPr="00160F6A">
        <w:rPr>
          <w:rFonts w:ascii="Palatino Linotype" w:hAnsi="Palatino Linotype"/>
          <w:sz w:val="18"/>
          <w:szCs w:val="18"/>
          <w:lang w:val="en-GB"/>
        </w:rPr>
        <w:t xml:space="preserve"> This included a formal briefing sent to the Public Prosecutors of Agrigento and Catania following the visit to the vessel </w:t>
      </w:r>
      <w:proofErr w:type="spellStart"/>
      <w:r w:rsidRPr="00160F6A">
        <w:rPr>
          <w:rFonts w:ascii="Palatino Linotype" w:hAnsi="Palatino Linotype"/>
          <w:i/>
          <w:iCs/>
          <w:sz w:val="18"/>
          <w:szCs w:val="18"/>
          <w:lang w:val="en-GB"/>
        </w:rPr>
        <w:t>Diciotti</w:t>
      </w:r>
      <w:proofErr w:type="spellEnd"/>
      <w:r w:rsidRPr="00160F6A">
        <w:rPr>
          <w:rFonts w:ascii="Palatino Linotype" w:hAnsi="Palatino Linotype"/>
          <w:sz w:val="18"/>
          <w:szCs w:val="18"/>
          <w:lang w:val="en-GB"/>
        </w:rPr>
        <w:t>.</w:t>
      </w:r>
    </w:p>
  </w:footnote>
  <w:footnote w:id="8">
    <w:p w14:paraId="0413B52C" w14:textId="17C76421" w:rsidR="00507092" w:rsidRPr="004C1AF4" w:rsidRDefault="00507092" w:rsidP="00507092">
      <w:pPr>
        <w:pStyle w:val="Testonotaapidipagina"/>
        <w:rPr>
          <w:rFonts w:ascii="Palatino Linotype" w:hAnsi="Palatino Linotype"/>
          <w:sz w:val="18"/>
          <w:szCs w:val="18"/>
          <w:lang w:val="en-GB"/>
        </w:rPr>
      </w:pPr>
      <w:r w:rsidRPr="004C1AF4">
        <w:rPr>
          <w:rStyle w:val="Rimandonotaapidipagina"/>
          <w:rFonts w:ascii="Palatino Linotype" w:hAnsi="Palatino Linotype"/>
          <w:sz w:val="18"/>
          <w:szCs w:val="18"/>
        </w:rPr>
        <w:footnoteRef/>
      </w:r>
      <w:r w:rsidRPr="004C1AF4">
        <w:rPr>
          <w:rFonts w:ascii="Palatino Linotype" w:hAnsi="Palatino Linotype"/>
          <w:sz w:val="18"/>
          <w:szCs w:val="18"/>
          <w:lang w:val="en-GB"/>
        </w:rPr>
        <w:t xml:space="preserve"> The last issues of both reports are available here</w:t>
      </w:r>
      <w:r w:rsidR="008A7F51">
        <w:rPr>
          <w:rFonts w:ascii="Palatino Linotype" w:hAnsi="Palatino Linotype"/>
          <w:sz w:val="18"/>
          <w:szCs w:val="18"/>
          <w:lang w:val="en-GB"/>
        </w:rPr>
        <w:t>:</w:t>
      </w:r>
      <w:r w:rsidRPr="004C1AF4">
        <w:rPr>
          <w:rFonts w:ascii="Palatino Linotype" w:hAnsi="Palatino Linotype"/>
          <w:sz w:val="18"/>
          <w:szCs w:val="18"/>
          <w:lang w:val="en-GB"/>
        </w:rPr>
        <w:t xml:space="preserve"> </w:t>
      </w:r>
      <w:hyperlink r:id="rId1" w:history="1">
        <w:r w:rsidR="00C33610" w:rsidRPr="002865FC">
          <w:rPr>
            <w:rStyle w:val="Collegamentoipertestuale"/>
            <w:rFonts w:ascii="Palatino Linotype" w:hAnsi="Palatino Linotype"/>
            <w:sz w:val="18"/>
            <w:szCs w:val="18"/>
            <w:lang w:val="en-GB"/>
          </w:rPr>
          <w:t>https://www.garantenazionaleprivatiliberta.it/gnpl/it/approfondimenti.page</w:t>
        </w:r>
      </w:hyperlink>
    </w:p>
  </w:footnote>
  <w:footnote w:id="9">
    <w:p w14:paraId="031A0D83" w14:textId="77777777" w:rsidR="00507092" w:rsidRPr="00160F6A" w:rsidRDefault="00507092" w:rsidP="00507092">
      <w:pPr>
        <w:pStyle w:val="Testonotaapidipagina"/>
        <w:spacing w:before="80"/>
        <w:jc w:val="both"/>
        <w:rPr>
          <w:rFonts w:ascii="Palatino Linotype" w:hAnsi="Palatino Linotype"/>
          <w:sz w:val="18"/>
          <w:szCs w:val="18"/>
          <w:lang w:val="en-GB"/>
        </w:rPr>
      </w:pPr>
      <w:r w:rsidRPr="00160F6A">
        <w:rPr>
          <w:rStyle w:val="Rimandonotaapidipagina"/>
          <w:rFonts w:ascii="Palatino Linotype" w:hAnsi="Palatino Linotype"/>
          <w:sz w:val="18"/>
          <w:szCs w:val="18"/>
        </w:rPr>
        <w:footnoteRef/>
      </w:r>
      <w:r w:rsidRPr="00160F6A">
        <w:rPr>
          <w:rFonts w:ascii="Palatino Linotype" w:hAnsi="Palatino Linotype"/>
          <w:sz w:val="18"/>
          <w:szCs w:val="18"/>
          <w:lang w:val="en-GB"/>
        </w:rPr>
        <w:t xml:space="preserve"> In essence, the goal was to develop a proposal consistent with the current prison system — </w:t>
      </w:r>
      <w:proofErr w:type="gramStart"/>
      <w:r w:rsidRPr="00160F6A">
        <w:rPr>
          <w:rFonts w:ascii="Palatino Linotype" w:hAnsi="Palatino Linotype"/>
          <w:sz w:val="18"/>
          <w:szCs w:val="18"/>
          <w:lang w:val="en-GB"/>
        </w:rPr>
        <w:t>taking into account</w:t>
      </w:r>
      <w:proofErr w:type="gramEnd"/>
      <w:r w:rsidRPr="00160F6A">
        <w:rPr>
          <w:rFonts w:ascii="Palatino Linotype" w:hAnsi="Palatino Linotype"/>
          <w:sz w:val="18"/>
          <w:szCs w:val="18"/>
          <w:lang w:val="en-GB"/>
        </w:rPr>
        <w:t xml:space="preserve"> the structural differences between various prisons across the country— by involving experts in identifying regulations to establish the terms and methods for exercising the right to intimacy. This primarily involves identifying the partners who are to be authorised to intimate visits, as well as determining the visits number, duration, frequency, and the resulting internal organisational measures.</w:t>
      </w:r>
    </w:p>
    <w:p w14:paraId="19851ABB" w14:textId="77777777" w:rsidR="00507092" w:rsidRPr="00D65986" w:rsidRDefault="00507092" w:rsidP="00507092">
      <w:pPr>
        <w:pStyle w:val="Testonotaapidipagina"/>
        <w:jc w:val="both"/>
        <w:rPr>
          <w:lang w:val="en-GB"/>
        </w:rPr>
      </w:pPr>
    </w:p>
  </w:footnote>
  <w:footnote w:id="10">
    <w:p w14:paraId="225F3DFF" w14:textId="77777777" w:rsidR="00507092" w:rsidRPr="004C1AF4" w:rsidRDefault="00507092" w:rsidP="00507092">
      <w:pPr>
        <w:pStyle w:val="Testonotaapidipagina"/>
        <w:jc w:val="both"/>
        <w:rPr>
          <w:rFonts w:ascii="Palatino Linotype" w:hAnsi="Palatino Linotype"/>
          <w:sz w:val="18"/>
          <w:szCs w:val="18"/>
          <w:lang w:val="en-GB"/>
        </w:rPr>
      </w:pPr>
      <w:r w:rsidRPr="004C1AF4">
        <w:rPr>
          <w:rStyle w:val="Rimandonotaapidipagina"/>
          <w:rFonts w:ascii="Palatino Linotype" w:hAnsi="Palatino Linotype"/>
          <w:sz w:val="18"/>
          <w:szCs w:val="18"/>
        </w:rPr>
        <w:footnoteRef/>
      </w:r>
      <w:r w:rsidRPr="004C1AF4">
        <w:rPr>
          <w:rFonts w:ascii="Palatino Linotype" w:hAnsi="Palatino Linotype"/>
          <w:sz w:val="18"/>
          <w:szCs w:val="18"/>
          <w:lang w:val="en-GB"/>
        </w:rPr>
        <w:t xml:space="preserve"> Available at </w:t>
      </w:r>
      <w:hyperlink r:id="rId2" w:history="1">
        <w:r w:rsidRPr="004C1AF4">
          <w:rPr>
            <w:rStyle w:val="Collegamentoipertestuale"/>
            <w:rFonts w:ascii="Palatino Linotype" w:hAnsi="Palatino Linotype"/>
            <w:sz w:val="18"/>
            <w:szCs w:val="18"/>
            <w:lang w:val="en-US"/>
          </w:rPr>
          <w:t>https://www.ohchr.org/en/events/events/2023/8th-june-2023-day-general-discussion-draft-general-comment-subcommittee</w:t>
        </w:r>
      </w:hyperlink>
      <w:r w:rsidRPr="004C1AF4">
        <w:rPr>
          <w:rFonts w:ascii="Palatino Linotype" w:hAnsi="Palatino Linotype"/>
          <w:sz w:val="18"/>
          <w:szCs w:val="18"/>
          <w:lang w:val="en-US"/>
        </w:rPr>
        <w:t>.</w:t>
      </w:r>
    </w:p>
  </w:footnote>
  <w:footnote w:id="11">
    <w:p w14:paraId="3ADA23BF" w14:textId="77777777" w:rsidR="00507092" w:rsidRPr="00741D91" w:rsidRDefault="00507092" w:rsidP="00296B8E">
      <w:pPr>
        <w:pStyle w:val="Testonotaapidipagina"/>
        <w:spacing w:before="80"/>
        <w:jc w:val="both"/>
        <w:rPr>
          <w:rFonts w:ascii="Palatino Linotype" w:hAnsi="Palatino Linotype"/>
          <w:sz w:val="18"/>
          <w:szCs w:val="18"/>
          <w:lang w:val="en-GB"/>
        </w:rPr>
      </w:pPr>
      <w:r w:rsidRPr="00741D91">
        <w:rPr>
          <w:rStyle w:val="Rimandonotaapidipagina"/>
          <w:rFonts w:ascii="Palatino Linotype" w:hAnsi="Palatino Linotype"/>
          <w:sz w:val="18"/>
          <w:szCs w:val="18"/>
        </w:rPr>
        <w:footnoteRef/>
      </w:r>
      <w:r w:rsidRPr="00741D91">
        <w:rPr>
          <w:rFonts w:ascii="Palatino Linotype" w:hAnsi="Palatino Linotype"/>
          <w:sz w:val="18"/>
          <w:szCs w:val="18"/>
          <w:lang w:val="en-GB"/>
        </w:rPr>
        <w:t xml:space="preserve"> The pool of monitors was established as a subsidiary mechanism to the national monitoring mechanisms and is a requirement included in the Directive 2008/115/EC on common standards and procedures in Member States for returning illegally staying third-country nationals (Art. 8 (6) and in the Regulation (EU) 2019/1896 of 13 November 2019 on the European Border and Coast Guard (Art. 51). Forced-return monitoring is an essential tool to promote fundamental rights compliant returns.</w:t>
      </w:r>
    </w:p>
  </w:footnote>
  <w:footnote w:id="12">
    <w:p w14:paraId="5D9A347F" w14:textId="28427591" w:rsidR="00507092" w:rsidRPr="00296B8E" w:rsidRDefault="00507092" w:rsidP="00507092">
      <w:pPr>
        <w:pStyle w:val="Testonotaapidipagina"/>
        <w:jc w:val="both"/>
        <w:rPr>
          <w:rFonts w:ascii="Palatino Linotype" w:hAnsi="Palatino Linotype"/>
          <w:sz w:val="18"/>
          <w:szCs w:val="18"/>
          <w:lang w:val="en-GB"/>
        </w:rPr>
      </w:pPr>
      <w:r w:rsidRPr="00296B8E">
        <w:rPr>
          <w:rStyle w:val="Rimandonotaapidipagina"/>
          <w:rFonts w:ascii="Palatino Linotype" w:hAnsi="Palatino Linotype"/>
          <w:sz w:val="18"/>
          <w:szCs w:val="18"/>
        </w:rPr>
        <w:footnoteRef/>
      </w:r>
      <w:r w:rsidRPr="00296B8E">
        <w:rPr>
          <w:rFonts w:ascii="Palatino Linotype" w:hAnsi="Palatino Linotype"/>
          <w:sz w:val="18"/>
          <w:szCs w:val="18"/>
          <w:lang w:val="en-GB"/>
        </w:rPr>
        <w:t xml:space="preserve"> The translated volume was presented to the Italian Police Forces during the joint training activities, and some volumes were distributed to learners.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FEF1F" w14:textId="6CD3D711" w:rsidR="00B20D48" w:rsidRPr="00DA4B13" w:rsidRDefault="00000000" w:rsidP="00D427E8">
    <w:pPr>
      <w:pStyle w:val="Intestazione"/>
      <w:jc w:val="center"/>
      <w:rPr>
        <w:rFonts w:ascii="Palace Script MT" w:hAnsi="Palace Script MT"/>
        <w:color w:val="002060"/>
        <w:sz w:val="44"/>
        <w:szCs w:val="44"/>
      </w:rPr>
    </w:pPr>
    <w:sdt>
      <w:sdtPr>
        <w:rPr>
          <w:rFonts w:ascii="Palace Script MT" w:hAnsi="Palace Script MT"/>
          <w:color w:val="002060"/>
          <w:sz w:val="44"/>
          <w:szCs w:val="44"/>
        </w:rPr>
        <w:id w:val="-509912916"/>
        <w:docPartObj>
          <w:docPartGallery w:val="Page Numbers (Margins)"/>
          <w:docPartUnique/>
        </w:docPartObj>
      </w:sdtPr>
      <w:sdtContent>
        <w:r w:rsidR="00F46C77" w:rsidRPr="00F46C77">
          <w:rPr>
            <w:rFonts w:ascii="Palace Script MT" w:hAnsi="Palace Script MT"/>
            <w:noProof/>
            <w:color w:val="002060"/>
            <w:sz w:val="44"/>
            <w:szCs w:val="44"/>
          </w:rPr>
          <mc:AlternateContent>
            <mc:Choice Requires="wps">
              <w:drawing>
                <wp:anchor distT="0" distB="0" distL="114300" distR="114300" simplePos="0" relativeHeight="251659264" behindDoc="0" locked="0" layoutInCell="0" allowOverlap="1" wp14:anchorId="66C9382F" wp14:editId="3ED71210">
                  <wp:simplePos x="0" y="0"/>
                  <wp:positionH relativeFrom="rightMargin">
                    <wp:align>right</wp:align>
                  </wp:positionH>
                  <wp:positionV relativeFrom="margin">
                    <wp:align>center</wp:align>
                  </wp:positionV>
                  <wp:extent cx="727710" cy="329565"/>
                  <wp:effectExtent l="0" t="0" r="0" b="3810"/>
                  <wp:wrapNone/>
                  <wp:docPr id="1323916918"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7D624D" w14:textId="77777777" w:rsidR="00F46C77" w:rsidRDefault="00F46C77">
                              <w:pPr>
                                <w:pBdr>
                                  <w:bottom w:val="single" w:sz="4" w:space="1" w:color="auto"/>
                                </w:pBdr>
                              </w:pPr>
                              <w:r>
                                <w:fldChar w:fldCharType="begin"/>
                              </w:r>
                              <w:r>
                                <w:instrText>PAGE   \* MERGEFORMAT</w:instrText>
                              </w:r>
                              <w:r>
                                <w:fldChar w:fldCharType="separate"/>
                              </w:r>
                              <w:r>
                                <w:t>2</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66C9382F" id="Rettangolo 1" o:spid="_x0000_s1026" style="position:absolute;left:0;text-align:left;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507D624D" w14:textId="77777777" w:rsidR="00F46C77" w:rsidRDefault="00F46C77">
                        <w:pPr>
                          <w:pBdr>
                            <w:bottom w:val="single" w:sz="4" w:space="1" w:color="auto"/>
                          </w:pBdr>
                        </w:pPr>
                        <w:r>
                          <w:fldChar w:fldCharType="begin"/>
                        </w:r>
                        <w:r>
                          <w:instrText>PAGE   \* MERGEFORMAT</w:instrText>
                        </w:r>
                        <w:r>
                          <w:fldChar w:fldCharType="separate"/>
                        </w:r>
                        <w:r>
                          <w:t>2</w:t>
                        </w:r>
                        <w:r>
                          <w:fldChar w:fldCharType="end"/>
                        </w:r>
                      </w:p>
                    </w:txbxContent>
                  </v:textbox>
                  <w10:wrap anchorx="margin" anchory="margin"/>
                </v:rect>
              </w:pict>
            </mc:Fallback>
          </mc:AlternateContent>
        </w:r>
      </w:sdtContent>
    </w:sdt>
    <w:r w:rsidR="00594676">
      <w:rPr>
        <w:rFonts w:ascii="Palace Script MT" w:hAnsi="Palace Script MT"/>
        <w:color w:val="002060"/>
        <w:sz w:val="44"/>
        <w:szCs w:val="44"/>
      </w:rPr>
      <w:t xml:space="preserve"> </w:t>
    </w:r>
    <w:r w:rsidR="00302C82" w:rsidRPr="00DA4B13">
      <w:rPr>
        <w:rFonts w:ascii="Palace Script MT" w:hAnsi="Palace Script MT"/>
        <w:noProof/>
        <w:color w:val="002060"/>
        <w:sz w:val="44"/>
        <w:szCs w:val="44"/>
      </w:rPr>
      <w:drawing>
        <wp:inline distT="0" distB="0" distL="0" distR="0" wp14:anchorId="693C9601" wp14:editId="5453840C">
          <wp:extent cx="512392" cy="575276"/>
          <wp:effectExtent l="0" t="0" r="2540" b="0"/>
          <wp:docPr id="1659955018" name="Immagine 165995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blema della Repubblica Italian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2392" cy="575276"/>
                  </a:xfrm>
                  <a:prstGeom prst="rect">
                    <a:avLst/>
                  </a:prstGeom>
                </pic:spPr>
              </pic:pic>
            </a:graphicData>
          </a:graphic>
        </wp:inline>
      </w:drawing>
    </w:r>
  </w:p>
  <w:p w14:paraId="4E152A3D" w14:textId="05302DB2" w:rsidR="00B20D48" w:rsidRPr="00DA4B13" w:rsidRDefault="00EB2761" w:rsidP="00594676">
    <w:pPr>
      <w:pStyle w:val="Didascalia"/>
      <w:spacing w:line="360" w:lineRule="exact"/>
      <w:rPr>
        <w:rFonts w:ascii="Palace Script MT" w:hAnsi="Palace Script MT"/>
        <w:b w:val="0"/>
        <w:i/>
        <w:color w:val="002060"/>
        <w:sz w:val="44"/>
        <w:szCs w:val="44"/>
      </w:rPr>
    </w:pPr>
    <w:r w:rsidRPr="00DA4B13">
      <w:rPr>
        <w:rFonts w:ascii="Palace Script MT" w:hAnsi="Palace Script MT"/>
        <w:b w:val="0"/>
        <w:i/>
        <w:color w:val="002060"/>
        <w:sz w:val="44"/>
        <w:szCs w:val="44"/>
      </w:rPr>
      <w:t xml:space="preserve">  </w:t>
    </w:r>
    <w:r w:rsidR="00B20D48" w:rsidRPr="00DA4B13">
      <w:rPr>
        <w:rFonts w:ascii="Palace Script MT" w:hAnsi="Palace Script MT"/>
        <w:b w:val="0"/>
        <w:i/>
        <w:color w:val="002060"/>
        <w:sz w:val="44"/>
        <w:szCs w:val="44"/>
      </w:rPr>
      <w:t>Garante Nazionale</w:t>
    </w:r>
  </w:p>
  <w:p w14:paraId="123835EC" w14:textId="1B59B2A8" w:rsidR="00B249F5" w:rsidRDefault="00B20D48" w:rsidP="00B23D64">
    <w:pPr>
      <w:pStyle w:val="Didascalia"/>
      <w:tabs>
        <w:tab w:val="center" w:pos="4252"/>
        <w:tab w:val="left" w:pos="7700"/>
      </w:tabs>
      <w:spacing w:line="360" w:lineRule="exact"/>
      <w:rPr>
        <w:rFonts w:ascii="Palace Script MT" w:hAnsi="Palace Script MT"/>
        <w:b w:val="0"/>
        <w:i/>
        <w:color w:val="002060"/>
        <w:sz w:val="44"/>
        <w:szCs w:val="44"/>
      </w:rPr>
    </w:pPr>
    <w:r w:rsidRPr="00DA4B13">
      <w:rPr>
        <w:rFonts w:ascii="Palace Script MT" w:hAnsi="Palace Script MT"/>
        <w:b w:val="0"/>
        <w:i/>
        <w:color w:val="002060"/>
        <w:sz w:val="44"/>
        <w:szCs w:val="44"/>
      </w:rPr>
      <w:t xml:space="preserve">dei </w:t>
    </w:r>
    <w:r w:rsidR="006D48F6" w:rsidRPr="00DA4B13">
      <w:rPr>
        <w:rFonts w:ascii="Palace Script MT" w:hAnsi="Palace Script MT"/>
        <w:b w:val="0"/>
        <w:i/>
        <w:color w:val="002060"/>
        <w:sz w:val="44"/>
        <w:szCs w:val="44"/>
      </w:rPr>
      <w:t>diritti delle persone</w:t>
    </w:r>
    <w:r w:rsidRPr="00DA4B13">
      <w:rPr>
        <w:rFonts w:ascii="Palace Script MT" w:hAnsi="Palace Script MT"/>
        <w:b w:val="0"/>
        <w:i/>
        <w:color w:val="002060"/>
        <w:sz w:val="44"/>
        <w:szCs w:val="44"/>
      </w:rPr>
      <w:t xml:space="preserve"> private della libertà personale</w:t>
    </w:r>
  </w:p>
  <w:p w14:paraId="62A066A5" w14:textId="77777777" w:rsidR="00DE51DC" w:rsidRPr="00DE51DC" w:rsidRDefault="00DE51DC" w:rsidP="00DE51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BDB"/>
    <w:multiLevelType w:val="hybridMultilevel"/>
    <w:tmpl w:val="2F76325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15829C2"/>
    <w:multiLevelType w:val="hybridMultilevel"/>
    <w:tmpl w:val="461E56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6552CA5"/>
    <w:multiLevelType w:val="hybridMultilevel"/>
    <w:tmpl w:val="DDAEECDC"/>
    <w:lvl w:ilvl="0" w:tplc="5E5087C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CBC2FF3"/>
    <w:multiLevelType w:val="hybridMultilevel"/>
    <w:tmpl w:val="566CD9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E116348"/>
    <w:multiLevelType w:val="hybridMultilevel"/>
    <w:tmpl w:val="0A0AA4DA"/>
    <w:lvl w:ilvl="0" w:tplc="71E4C198">
      <w:start w:val="1"/>
      <w:numFmt w:val="bullet"/>
      <w:lvlText w:val="-"/>
      <w:lvlJc w:val="left"/>
      <w:pPr>
        <w:ind w:left="720" w:hanging="360"/>
      </w:pPr>
      <w:rPr>
        <w:rFonts w:ascii="Calibri" w:hAnsi="Calibr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03153EE"/>
    <w:multiLevelType w:val="hybridMultilevel"/>
    <w:tmpl w:val="D920293E"/>
    <w:lvl w:ilvl="0" w:tplc="8432E338">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2E45A49"/>
    <w:multiLevelType w:val="hybridMultilevel"/>
    <w:tmpl w:val="CEDED128"/>
    <w:lvl w:ilvl="0" w:tplc="ABB849D2">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148260BC"/>
    <w:multiLevelType w:val="multilevel"/>
    <w:tmpl w:val="9E48B32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3D03A7"/>
    <w:multiLevelType w:val="multilevel"/>
    <w:tmpl w:val="D7EABF3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i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6F5316"/>
    <w:multiLevelType w:val="multilevel"/>
    <w:tmpl w:val="E6ACE14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B514E3"/>
    <w:multiLevelType w:val="hybridMultilevel"/>
    <w:tmpl w:val="DBC46E1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1C19153C"/>
    <w:multiLevelType w:val="hybridMultilevel"/>
    <w:tmpl w:val="1BF8621A"/>
    <w:lvl w:ilvl="0" w:tplc="410A74E6">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CBB3706"/>
    <w:multiLevelType w:val="hybridMultilevel"/>
    <w:tmpl w:val="466CF9A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D3625C9"/>
    <w:multiLevelType w:val="hybridMultilevel"/>
    <w:tmpl w:val="3754DD0E"/>
    <w:lvl w:ilvl="0" w:tplc="04100017">
      <w:start w:val="1"/>
      <w:numFmt w:val="lowerLetter"/>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4" w15:restartNumberingAfterBreak="0">
    <w:nsid w:val="33772877"/>
    <w:multiLevelType w:val="hybridMultilevel"/>
    <w:tmpl w:val="B106B8B6"/>
    <w:lvl w:ilvl="0" w:tplc="0410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55C4FD5"/>
    <w:multiLevelType w:val="hybridMultilevel"/>
    <w:tmpl w:val="A2BEC9C0"/>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6" w15:restartNumberingAfterBreak="0">
    <w:nsid w:val="3AB86FB7"/>
    <w:multiLevelType w:val="hybridMultilevel"/>
    <w:tmpl w:val="3B9AEEDE"/>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7" w15:restartNumberingAfterBreak="0">
    <w:nsid w:val="3FAE4964"/>
    <w:multiLevelType w:val="hybridMultilevel"/>
    <w:tmpl w:val="A254E2EE"/>
    <w:lvl w:ilvl="0" w:tplc="04100001">
      <w:start w:val="1"/>
      <w:numFmt w:val="bullet"/>
      <w:lvlText w:val=""/>
      <w:lvlJc w:val="left"/>
      <w:pPr>
        <w:ind w:left="885" w:hanging="360"/>
      </w:pPr>
      <w:rPr>
        <w:rFonts w:ascii="Symbol" w:hAnsi="Symbol" w:hint="default"/>
      </w:rPr>
    </w:lvl>
    <w:lvl w:ilvl="1" w:tplc="04100003" w:tentative="1">
      <w:start w:val="1"/>
      <w:numFmt w:val="bullet"/>
      <w:lvlText w:val="o"/>
      <w:lvlJc w:val="left"/>
      <w:pPr>
        <w:ind w:left="1605" w:hanging="360"/>
      </w:pPr>
      <w:rPr>
        <w:rFonts w:ascii="Courier New" w:hAnsi="Courier New" w:cs="Courier New" w:hint="default"/>
      </w:rPr>
    </w:lvl>
    <w:lvl w:ilvl="2" w:tplc="04100005" w:tentative="1">
      <w:start w:val="1"/>
      <w:numFmt w:val="bullet"/>
      <w:lvlText w:val=""/>
      <w:lvlJc w:val="left"/>
      <w:pPr>
        <w:ind w:left="2325" w:hanging="360"/>
      </w:pPr>
      <w:rPr>
        <w:rFonts w:ascii="Wingdings" w:hAnsi="Wingdings" w:hint="default"/>
      </w:rPr>
    </w:lvl>
    <w:lvl w:ilvl="3" w:tplc="04100001" w:tentative="1">
      <w:start w:val="1"/>
      <w:numFmt w:val="bullet"/>
      <w:lvlText w:val=""/>
      <w:lvlJc w:val="left"/>
      <w:pPr>
        <w:ind w:left="3045" w:hanging="360"/>
      </w:pPr>
      <w:rPr>
        <w:rFonts w:ascii="Symbol" w:hAnsi="Symbol" w:hint="default"/>
      </w:rPr>
    </w:lvl>
    <w:lvl w:ilvl="4" w:tplc="04100003" w:tentative="1">
      <w:start w:val="1"/>
      <w:numFmt w:val="bullet"/>
      <w:lvlText w:val="o"/>
      <w:lvlJc w:val="left"/>
      <w:pPr>
        <w:ind w:left="3765" w:hanging="360"/>
      </w:pPr>
      <w:rPr>
        <w:rFonts w:ascii="Courier New" w:hAnsi="Courier New" w:cs="Courier New" w:hint="default"/>
      </w:rPr>
    </w:lvl>
    <w:lvl w:ilvl="5" w:tplc="04100005" w:tentative="1">
      <w:start w:val="1"/>
      <w:numFmt w:val="bullet"/>
      <w:lvlText w:val=""/>
      <w:lvlJc w:val="left"/>
      <w:pPr>
        <w:ind w:left="4485" w:hanging="360"/>
      </w:pPr>
      <w:rPr>
        <w:rFonts w:ascii="Wingdings" w:hAnsi="Wingdings" w:hint="default"/>
      </w:rPr>
    </w:lvl>
    <w:lvl w:ilvl="6" w:tplc="04100001" w:tentative="1">
      <w:start w:val="1"/>
      <w:numFmt w:val="bullet"/>
      <w:lvlText w:val=""/>
      <w:lvlJc w:val="left"/>
      <w:pPr>
        <w:ind w:left="5205" w:hanging="360"/>
      </w:pPr>
      <w:rPr>
        <w:rFonts w:ascii="Symbol" w:hAnsi="Symbol" w:hint="default"/>
      </w:rPr>
    </w:lvl>
    <w:lvl w:ilvl="7" w:tplc="04100003" w:tentative="1">
      <w:start w:val="1"/>
      <w:numFmt w:val="bullet"/>
      <w:lvlText w:val="o"/>
      <w:lvlJc w:val="left"/>
      <w:pPr>
        <w:ind w:left="5925" w:hanging="360"/>
      </w:pPr>
      <w:rPr>
        <w:rFonts w:ascii="Courier New" w:hAnsi="Courier New" w:cs="Courier New" w:hint="default"/>
      </w:rPr>
    </w:lvl>
    <w:lvl w:ilvl="8" w:tplc="04100005" w:tentative="1">
      <w:start w:val="1"/>
      <w:numFmt w:val="bullet"/>
      <w:lvlText w:val=""/>
      <w:lvlJc w:val="left"/>
      <w:pPr>
        <w:ind w:left="6645" w:hanging="360"/>
      </w:pPr>
      <w:rPr>
        <w:rFonts w:ascii="Wingdings" w:hAnsi="Wingdings" w:hint="default"/>
      </w:rPr>
    </w:lvl>
  </w:abstractNum>
  <w:abstractNum w:abstractNumId="18" w15:restartNumberingAfterBreak="0">
    <w:nsid w:val="42BF5118"/>
    <w:multiLevelType w:val="hybridMultilevel"/>
    <w:tmpl w:val="E06ACBFC"/>
    <w:lvl w:ilvl="0" w:tplc="9E1891EE">
      <w:start w:val="1"/>
      <w:numFmt w:val="lowerLetter"/>
      <w:lvlText w:val="%1)"/>
      <w:lvlJc w:val="left"/>
      <w:pPr>
        <w:ind w:left="1047" w:hanging="48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19" w15:restartNumberingAfterBreak="0">
    <w:nsid w:val="445B0E9A"/>
    <w:multiLevelType w:val="hybridMultilevel"/>
    <w:tmpl w:val="33A493C6"/>
    <w:lvl w:ilvl="0" w:tplc="F00A31D6">
      <w:start w:val="1"/>
      <w:numFmt w:val="lowerLetter"/>
      <w:lvlText w:val="(%1)"/>
      <w:lvlJc w:val="left"/>
      <w:pPr>
        <w:ind w:left="2160" w:hanging="360"/>
      </w:pPr>
      <w:rPr>
        <w:rFonts w:hint="default"/>
      </w:r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20" w15:restartNumberingAfterBreak="0">
    <w:nsid w:val="46D47E1C"/>
    <w:multiLevelType w:val="hybridMultilevel"/>
    <w:tmpl w:val="059EEF0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1" w15:restartNumberingAfterBreak="0">
    <w:nsid w:val="47001067"/>
    <w:multiLevelType w:val="hybridMultilevel"/>
    <w:tmpl w:val="FA6CB8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B4844A0"/>
    <w:multiLevelType w:val="hybridMultilevel"/>
    <w:tmpl w:val="D1C4E53A"/>
    <w:lvl w:ilvl="0" w:tplc="73BEDE46">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55B4829"/>
    <w:multiLevelType w:val="multilevel"/>
    <w:tmpl w:val="16AAC3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61D748C5"/>
    <w:multiLevelType w:val="hybridMultilevel"/>
    <w:tmpl w:val="D6BA2618"/>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5" w15:restartNumberingAfterBreak="0">
    <w:nsid w:val="63D40657"/>
    <w:multiLevelType w:val="hybridMultilevel"/>
    <w:tmpl w:val="D60074DA"/>
    <w:lvl w:ilvl="0" w:tplc="0E7E50C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E226C2A"/>
    <w:multiLevelType w:val="hybridMultilevel"/>
    <w:tmpl w:val="7C76374E"/>
    <w:lvl w:ilvl="0" w:tplc="29CA734A">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7" w15:restartNumberingAfterBreak="0">
    <w:nsid w:val="746C1D7E"/>
    <w:multiLevelType w:val="hybridMultilevel"/>
    <w:tmpl w:val="1D26AE6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81A530B"/>
    <w:multiLevelType w:val="hybridMultilevel"/>
    <w:tmpl w:val="3F8C4E1E"/>
    <w:lvl w:ilvl="0" w:tplc="2C005D2A">
      <w:start w:val="1"/>
      <w:numFmt w:val="decimal"/>
      <w:lvlText w:val="%1."/>
      <w:lvlJc w:val="left"/>
      <w:pPr>
        <w:ind w:left="360" w:hanging="360"/>
      </w:pPr>
      <w:rPr>
        <w:rFonts w:hint="default"/>
        <w:color w:val="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435860614">
    <w:abstractNumId w:val="27"/>
  </w:num>
  <w:num w:numId="2" w16cid:durableId="987394978">
    <w:abstractNumId w:val="1"/>
  </w:num>
  <w:num w:numId="3" w16cid:durableId="1876696285">
    <w:abstractNumId w:val="5"/>
  </w:num>
  <w:num w:numId="4" w16cid:durableId="860439785">
    <w:abstractNumId w:val="24"/>
  </w:num>
  <w:num w:numId="5" w16cid:durableId="1633290085">
    <w:abstractNumId w:val="21"/>
  </w:num>
  <w:num w:numId="6" w16cid:durableId="11039601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39402972">
    <w:abstractNumId w:val="4"/>
  </w:num>
  <w:num w:numId="8" w16cid:durableId="471532">
    <w:abstractNumId w:val="3"/>
  </w:num>
  <w:num w:numId="9" w16cid:durableId="57704110">
    <w:abstractNumId w:val="0"/>
  </w:num>
  <w:num w:numId="10" w16cid:durableId="166604845">
    <w:abstractNumId w:val="11"/>
  </w:num>
  <w:num w:numId="11" w16cid:durableId="1032850675">
    <w:abstractNumId w:val="26"/>
  </w:num>
  <w:num w:numId="12" w16cid:durableId="668630606">
    <w:abstractNumId w:val="14"/>
  </w:num>
  <w:num w:numId="13" w16cid:durableId="230968856">
    <w:abstractNumId w:val="17"/>
  </w:num>
  <w:num w:numId="14" w16cid:durableId="1136142012">
    <w:abstractNumId w:val="2"/>
  </w:num>
  <w:num w:numId="15" w16cid:durableId="559757222">
    <w:abstractNumId w:val="6"/>
  </w:num>
  <w:num w:numId="16" w16cid:durableId="1787772177">
    <w:abstractNumId w:val="23"/>
  </w:num>
  <w:num w:numId="17" w16cid:durableId="472647251">
    <w:abstractNumId w:val="12"/>
  </w:num>
  <w:num w:numId="18" w16cid:durableId="22289732">
    <w:abstractNumId w:val="28"/>
  </w:num>
  <w:num w:numId="19" w16cid:durableId="462190283">
    <w:abstractNumId w:val="8"/>
  </w:num>
  <w:num w:numId="20" w16cid:durableId="810638922">
    <w:abstractNumId w:val="9"/>
  </w:num>
  <w:num w:numId="21" w16cid:durableId="1611399707">
    <w:abstractNumId w:val="25"/>
  </w:num>
  <w:num w:numId="22" w16cid:durableId="1917469032">
    <w:abstractNumId w:val="19"/>
  </w:num>
  <w:num w:numId="23" w16cid:durableId="2002584563">
    <w:abstractNumId w:val="22"/>
  </w:num>
  <w:num w:numId="24" w16cid:durableId="661933862">
    <w:abstractNumId w:val="15"/>
  </w:num>
  <w:num w:numId="25" w16cid:durableId="1642809318">
    <w:abstractNumId w:val="10"/>
  </w:num>
  <w:num w:numId="26" w16cid:durableId="1401824004">
    <w:abstractNumId w:val="13"/>
  </w:num>
  <w:num w:numId="27" w16cid:durableId="2032294383">
    <w:abstractNumId w:val="7"/>
  </w:num>
  <w:num w:numId="28" w16cid:durableId="1723286984">
    <w:abstractNumId w:val="18"/>
  </w:num>
  <w:num w:numId="29" w16cid:durableId="13492844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05F"/>
    <w:rsid w:val="00012227"/>
    <w:rsid w:val="00022505"/>
    <w:rsid w:val="0003793B"/>
    <w:rsid w:val="000611E2"/>
    <w:rsid w:val="000651AC"/>
    <w:rsid w:val="00075EE9"/>
    <w:rsid w:val="000909F2"/>
    <w:rsid w:val="000925D6"/>
    <w:rsid w:val="0009352A"/>
    <w:rsid w:val="000C12D1"/>
    <w:rsid w:val="000D72F6"/>
    <w:rsid w:val="000F3E2B"/>
    <w:rsid w:val="000F6297"/>
    <w:rsid w:val="00103EEF"/>
    <w:rsid w:val="0010670E"/>
    <w:rsid w:val="001069FF"/>
    <w:rsid w:val="00111495"/>
    <w:rsid w:val="0011206A"/>
    <w:rsid w:val="00127D36"/>
    <w:rsid w:val="00135D8B"/>
    <w:rsid w:val="00140B0A"/>
    <w:rsid w:val="001411E4"/>
    <w:rsid w:val="0015138E"/>
    <w:rsid w:val="00155CE2"/>
    <w:rsid w:val="00160FF6"/>
    <w:rsid w:val="001617AC"/>
    <w:rsid w:val="00174222"/>
    <w:rsid w:val="001856D8"/>
    <w:rsid w:val="00191A99"/>
    <w:rsid w:val="001A3A3A"/>
    <w:rsid w:val="001A70D0"/>
    <w:rsid w:val="001B0442"/>
    <w:rsid w:val="001B0C39"/>
    <w:rsid w:val="001B2A5B"/>
    <w:rsid w:val="001B6095"/>
    <w:rsid w:val="001C1E4C"/>
    <w:rsid w:val="001D084C"/>
    <w:rsid w:val="001D538D"/>
    <w:rsid w:val="001D73E0"/>
    <w:rsid w:val="001E229E"/>
    <w:rsid w:val="001E2A06"/>
    <w:rsid w:val="001F1BAE"/>
    <w:rsid w:val="001F552B"/>
    <w:rsid w:val="002033F2"/>
    <w:rsid w:val="0021299D"/>
    <w:rsid w:val="002152F7"/>
    <w:rsid w:val="002252EE"/>
    <w:rsid w:val="002416E1"/>
    <w:rsid w:val="002423DC"/>
    <w:rsid w:val="00245FD2"/>
    <w:rsid w:val="00265B19"/>
    <w:rsid w:val="00267212"/>
    <w:rsid w:val="00280596"/>
    <w:rsid w:val="00284617"/>
    <w:rsid w:val="00290A80"/>
    <w:rsid w:val="00296B8E"/>
    <w:rsid w:val="00297197"/>
    <w:rsid w:val="002A439A"/>
    <w:rsid w:val="002A5033"/>
    <w:rsid w:val="002A71A6"/>
    <w:rsid w:val="002A7F2F"/>
    <w:rsid w:val="002B7036"/>
    <w:rsid w:val="002C556F"/>
    <w:rsid w:val="002C56F7"/>
    <w:rsid w:val="002D03DB"/>
    <w:rsid w:val="002D28EE"/>
    <w:rsid w:val="002E6A08"/>
    <w:rsid w:val="00302C82"/>
    <w:rsid w:val="00304B2C"/>
    <w:rsid w:val="00305836"/>
    <w:rsid w:val="003106A5"/>
    <w:rsid w:val="00311AD1"/>
    <w:rsid w:val="00325457"/>
    <w:rsid w:val="00336D46"/>
    <w:rsid w:val="0033755F"/>
    <w:rsid w:val="00340138"/>
    <w:rsid w:val="003433EC"/>
    <w:rsid w:val="00344889"/>
    <w:rsid w:val="00352470"/>
    <w:rsid w:val="00355F49"/>
    <w:rsid w:val="003671A9"/>
    <w:rsid w:val="003940D6"/>
    <w:rsid w:val="003A3453"/>
    <w:rsid w:val="003B3E52"/>
    <w:rsid w:val="003B6810"/>
    <w:rsid w:val="003D0DBF"/>
    <w:rsid w:val="003D493E"/>
    <w:rsid w:val="003E201C"/>
    <w:rsid w:val="003E30F8"/>
    <w:rsid w:val="003E49A2"/>
    <w:rsid w:val="003E4D8D"/>
    <w:rsid w:val="003E65F6"/>
    <w:rsid w:val="003F5843"/>
    <w:rsid w:val="003F7BEC"/>
    <w:rsid w:val="0040391B"/>
    <w:rsid w:val="004176C5"/>
    <w:rsid w:val="0042364E"/>
    <w:rsid w:val="0042490C"/>
    <w:rsid w:val="004418CA"/>
    <w:rsid w:val="00447C66"/>
    <w:rsid w:val="00454E70"/>
    <w:rsid w:val="004618FF"/>
    <w:rsid w:val="00463DFF"/>
    <w:rsid w:val="00473BFB"/>
    <w:rsid w:val="00490B96"/>
    <w:rsid w:val="004A4633"/>
    <w:rsid w:val="004B4E5F"/>
    <w:rsid w:val="004B7CFA"/>
    <w:rsid w:val="004C02F2"/>
    <w:rsid w:val="004C7668"/>
    <w:rsid w:val="004D7C95"/>
    <w:rsid w:val="004E4446"/>
    <w:rsid w:val="004E6A19"/>
    <w:rsid w:val="004E7125"/>
    <w:rsid w:val="004F0088"/>
    <w:rsid w:val="004F2357"/>
    <w:rsid w:val="004F28C2"/>
    <w:rsid w:val="00501D5E"/>
    <w:rsid w:val="005028FF"/>
    <w:rsid w:val="00507092"/>
    <w:rsid w:val="005079F4"/>
    <w:rsid w:val="00512959"/>
    <w:rsid w:val="00514AA6"/>
    <w:rsid w:val="00527E44"/>
    <w:rsid w:val="005329C7"/>
    <w:rsid w:val="00542CDE"/>
    <w:rsid w:val="0055289A"/>
    <w:rsid w:val="00563A93"/>
    <w:rsid w:val="0057219E"/>
    <w:rsid w:val="0058751B"/>
    <w:rsid w:val="00594676"/>
    <w:rsid w:val="00597EDA"/>
    <w:rsid w:val="00597EE7"/>
    <w:rsid w:val="005B087E"/>
    <w:rsid w:val="005B24DE"/>
    <w:rsid w:val="005B5C7C"/>
    <w:rsid w:val="005C09CF"/>
    <w:rsid w:val="005C5213"/>
    <w:rsid w:val="005E68C0"/>
    <w:rsid w:val="005E7EF9"/>
    <w:rsid w:val="0061373F"/>
    <w:rsid w:val="00620135"/>
    <w:rsid w:val="00622737"/>
    <w:rsid w:val="00653F2C"/>
    <w:rsid w:val="0065435D"/>
    <w:rsid w:val="00654898"/>
    <w:rsid w:val="00663A32"/>
    <w:rsid w:val="00672708"/>
    <w:rsid w:val="006730BB"/>
    <w:rsid w:val="006765A0"/>
    <w:rsid w:val="00687DCE"/>
    <w:rsid w:val="006A6CC8"/>
    <w:rsid w:val="006B0805"/>
    <w:rsid w:val="006B1369"/>
    <w:rsid w:val="006B50C9"/>
    <w:rsid w:val="006C1649"/>
    <w:rsid w:val="006C1BEF"/>
    <w:rsid w:val="006C3023"/>
    <w:rsid w:val="006C3A04"/>
    <w:rsid w:val="006D00C3"/>
    <w:rsid w:val="006D48F6"/>
    <w:rsid w:val="006D5A95"/>
    <w:rsid w:val="006D719B"/>
    <w:rsid w:val="007009A6"/>
    <w:rsid w:val="00705D43"/>
    <w:rsid w:val="00713FD9"/>
    <w:rsid w:val="00716AAA"/>
    <w:rsid w:val="00747C54"/>
    <w:rsid w:val="00766848"/>
    <w:rsid w:val="00780AA2"/>
    <w:rsid w:val="00781721"/>
    <w:rsid w:val="007919B7"/>
    <w:rsid w:val="007A4AD3"/>
    <w:rsid w:val="007B5735"/>
    <w:rsid w:val="007B7EDC"/>
    <w:rsid w:val="007C7835"/>
    <w:rsid w:val="007E29E2"/>
    <w:rsid w:val="007E4684"/>
    <w:rsid w:val="007F0271"/>
    <w:rsid w:val="007F1BFF"/>
    <w:rsid w:val="00801AD4"/>
    <w:rsid w:val="0081413A"/>
    <w:rsid w:val="008236D6"/>
    <w:rsid w:val="0083008C"/>
    <w:rsid w:val="00837F59"/>
    <w:rsid w:val="00840543"/>
    <w:rsid w:val="00841CF5"/>
    <w:rsid w:val="00842610"/>
    <w:rsid w:val="00854521"/>
    <w:rsid w:val="00856A44"/>
    <w:rsid w:val="00861D8E"/>
    <w:rsid w:val="0088186C"/>
    <w:rsid w:val="0088298E"/>
    <w:rsid w:val="00883A14"/>
    <w:rsid w:val="00886934"/>
    <w:rsid w:val="008912AB"/>
    <w:rsid w:val="0089646D"/>
    <w:rsid w:val="0089727D"/>
    <w:rsid w:val="008A2896"/>
    <w:rsid w:val="008A50F0"/>
    <w:rsid w:val="008A7F51"/>
    <w:rsid w:val="008B03AA"/>
    <w:rsid w:val="008B2E8C"/>
    <w:rsid w:val="008B4756"/>
    <w:rsid w:val="008C311F"/>
    <w:rsid w:val="008D55FC"/>
    <w:rsid w:val="008E5156"/>
    <w:rsid w:val="008E63F6"/>
    <w:rsid w:val="008E6DD5"/>
    <w:rsid w:val="008F1D26"/>
    <w:rsid w:val="008F67FF"/>
    <w:rsid w:val="00910745"/>
    <w:rsid w:val="00915845"/>
    <w:rsid w:val="00921393"/>
    <w:rsid w:val="00941E30"/>
    <w:rsid w:val="00944851"/>
    <w:rsid w:val="00951627"/>
    <w:rsid w:val="00960FA6"/>
    <w:rsid w:val="00962AB8"/>
    <w:rsid w:val="00966027"/>
    <w:rsid w:val="00967F86"/>
    <w:rsid w:val="009812A8"/>
    <w:rsid w:val="009827E9"/>
    <w:rsid w:val="0098633D"/>
    <w:rsid w:val="009A167A"/>
    <w:rsid w:val="009B0039"/>
    <w:rsid w:val="009B2D66"/>
    <w:rsid w:val="009B308C"/>
    <w:rsid w:val="009B3F22"/>
    <w:rsid w:val="009B43CF"/>
    <w:rsid w:val="009D2F6F"/>
    <w:rsid w:val="009D3A49"/>
    <w:rsid w:val="009D4583"/>
    <w:rsid w:val="009E5204"/>
    <w:rsid w:val="009E5782"/>
    <w:rsid w:val="009E5C17"/>
    <w:rsid w:val="009F152A"/>
    <w:rsid w:val="009F561D"/>
    <w:rsid w:val="00A07045"/>
    <w:rsid w:val="00A110BC"/>
    <w:rsid w:val="00A2148C"/>
    <w:rsid w:val="00A26405"/>
    <w:rsid w:val="00A31FF7"/>
    <w:rsid w:val="00A327AB"/>
    <w:rsid w:val="00A335B4"/>
    <w:rsid w:val="00A35BC1"/>
    <w:rsid w:val="00A36DB3"/>
    <w:rsid w:val="00A409A1"/>
    <w:rsid w:val="00A41D48"/>
    <w:rsid w:val="00A56396"/>
    <w:rsid w:val="00A656D3"/>
    <w:rsid w:val="00A71868"/>
    <w:rsid w:val="00A7614B"/>
    <w:rsid w:val="00A839F7"/>
    <w:rsid w:val="00A905F8"/>
    <w:rsid w:val="00A9301B"/>
    <w:rsid w:val="00A95601"/>
    <w:rsid w:val="00A96784"/>
    <w:rsid w:val="00AB0AC0"/>
    <w:rsid w:val="00AC5879"/>
    <w:rsid w:val="00AC6EFD"/>
    <w:rsid w:val="00AD063E"/>
    <w:rsid w:val="00AD33EE"/>
    <w:rsid w:val="00AE7406"/>
    <w:rsid w:val="00AF21F2"/>
    <w:rsid w:val="00AF4695"/>
    <w:rsid w:val="00B00707"/>
    <w:rsid w:val="00B00C7E"/>
    <w:rsid w:val="00B07C83"/>
    <w:rsid w:val="00B142E1"/>
    <w:rsid w:val="00B16AC3"/>
    <w:rsid w:val="00B20D48"/>
    <w:rsid w:val="00B211E2"/>
    <w:rsid w:val="00B22E7A"/>
    <w:rsid w:val="00B23D64"/>
    <w:rsid w:val="00B249F5"/>
    <w:rsid w:val="00B254CB"/>
    <w:rsid w:val="00B272B4"/>
    <w:rsid w:val="00B317CE"/>
    <w:rsid w:val="00B44507"/>
    <w:rsid w:val="00B451D2"/>
    <w:rsid w:val="00B475CC"/>
    <w:rsid w:val="00B540F7"/>
    <w:rsid w:val="00B5525E"/>
    <w:rsid w:val="00B57010"/>
    <w:rsid w:val="00B67861"/>
    <w:rsid w:val="00B73D6C"/>
    <w:rsid w:val="00B75E3C"/>
    <w:rsid w:val="00B90E06"/>
    <w:rsid w:val="00B9325E"/>
    <w:rsid w:val="00B93DBB"/>
    <w:rsid w:val="00BB40B4"/>
    <w:rsid w:val="00BB7A9D"/>
    <w:rsid w:val="00BC262F"/>
    <w:rsid w:val="00BC3366"/>
    <w:rsid w:val="00BD34F9"/>
    <w:rsid w:val="00BF28B3"/>
    <w:rsid w:val="00C017FB"/>
    <w:rsid w:val="00C02A41"/>
    <w:rsid w:val="00C107F7"/>
    <w:rsid w:val="00C1410A"/>
    <w:rsid w:val="00C1789C"/>
    <w:rsid w:val="00C24C21"/>
    <w:rsid w:val="00C33610"/>
    <w:rsid w:val="00C379FB"/>
    <w:rsid w:val="00C6068A"/>
    <w:rsid w:val="00C67154"/>
    <w:rsid w:val="00C723C5"/>
    <w:rsid w:val="00C87B62"/>
    <w:rsid w:val="00C9288F"/>
    <w:rsid w:val="00C92B83"/>
    <w:rsid w:val="00CA562C"/>
    <w:rsid w:val="00CA6045"/>
    <w:rsid w:val="00CA6705"/>
    <w:rsid w:val="00CB324E"/>
    <w:rsid w:val="00CB52F7"/>
    <w:rsid w:val="00CC6436"/>
    <w:rsid w:val="00CC6A00"/>
    <w:rsid w:val="00CD6676"/>
    <w:rsid w:val="00CF2F1E"/>
    <w:rsid w:val="00D00642"/>
    <w:rsid w:val="00D00A14"/>
    <w:rsid w:val="00D01906"/>
    <w:rsid w:val="00D200F8"/>
    <w:rsid w:val="00D22D8B"/>
    <w:rsid w:val="00D362D9"/>
    <w:rsid w:val="00D427E8"/>
    <w:rsid w:val="00D55AF9"/>
    <w:rsid w:val="00D61839"/>
    <w:rsid w:val="00D619DB"/>
    <w:rsid w:val="00D71E8D"/>
    <w:rsid w:val="00D74BE5"/>
    <w:rsid w:val="00D85B34"/>
    <w:rsid w:val="00D87DF2"/>
    <w:rsid w:val="00D924E8"/>
    <w:rsid w:val="00D96938"/>
    <w:rsid w:val="00D97D54"/>
    <w:rsid w:val="00DA0CC8"/>
    <w:rsid w:val="00DA4B13"/>
    <w:rsid w:val="00DA5D25"/>
    <w:rsid w:val="00DA705F"/>
    <w:rsid w:val="00DA7E16"/>
    <w:rsid w:val="00DB4189"/>
    <w:rsid w:val="00DC6178"/>
    <w:rsid w:val="00DD2CA9"/>
    <w:rsid w:val="00DD7262"/>
    <w:rsid w:val="00DE51DC"/>
    <w:rsid w:val="00DF2640"/>
    <w:rsid w:val="00DF2C1F"/>
    <w:rsid w:val="00DF5E12"/>
    <w:rsid w:val="00E14450"/>
    <w:rsid w:val="00E17A7D"/>
    <w:rsid w:val="00E210BE"/>
    <w:rsid w:val="00E23FE6"/>
    <w:rsid w:val="00E313A1"/>
    <w:rsid w:val="00E44790"/>
    <w:rsid w:val="00E55BED"/>
    <w:rsid w:val="00E64285"/>
    <w:rsid w:val="00E64C8B"/>
    <w:rsid w:val="00E827BE"/>
    <w:rsid w:val="00E8532F"/>
    <w:rsid w:val="00EB2761"/>
    <w:rsid w:val="00EB4CF7"/>
    <w:rsid w:val="00EB5409"/>
    <w:rsid w:val="00EB5B75"/>
    <w:rsid w:val="00ED4C07"/>
    <w:rsid w:val="00ED5C0F"/>
    <w:rsid w:val="00ED63E4"/>
    <w:rsid w:val="00EE3B48"/>
    <w:rsid w:val="00EE5792"/>
    <w:rsid w:val="00F17FFD"/>
    <w:rsid w:val="00F23354"/>
    <w:rsid w:val="00F33B18"/>
    <w:rsid w:val="00F426D7"/>
    <w:rsid w:val="00F46C74"/>
    <w:rsid w:val="00F46C77"/>
    <w:rsid w:val="00F54705"/>
    <w:rsid w:val="00F56A28"/>
    <w:rsid w:val="00F5758D"/>
    <w:rsid w:val="00F6600A"/>
    <w:rsid w:val="00F71FD7"/>
    <w:rsid w:val="00F75E7B"/>
    <w:rsid w:val="00F77E7B"/>
    <w:rsid w:val="00F92409"/>
    <w:rsid w:val="00F976C8"/>
    <w:rsid w:val="00FA4E67"/>
    <w:rsid w:val="00FB0EAC"/>
    <w:rsid w:val="00FB1EE3"/>
    <w:rsid w:val="00FC009B"/>
    <w:rsid w:val="00FD6940"/>
    <w:rsid w:val="00FF66F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F4B2C"/>
  <w15:docId w15:val="{512F9A7B-EFE1-4F8C-AE2D-7DF0AAD39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976C8"/>
    <w:pPr>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next w:val="Normale"/>
    <w:link w:val="Titolo1Carattere"/>
    <w:qFormat/>
    <w:rsid w:val="00DA705F"/>
    <w:pPr>
      <w:keepNext/>
      <w:outlineLvl w:val="0"/>
    </w:pPr>
    <w:rPr>
      <w:sz w:val="28"/>
    </w:rPr>
  </w:style>
  <w:style w:type="paragraph" w:styleId="Titolo2">
    <w:name w:val="heading 2"/>
    <w:basedOn w:val="Normale"/>
    <w:next w:val="Normale"/>
    <w:link w:val="Titolo2Carattere"/>
    <w:qFormat/>
    <w:rsid w:val="00DA705F"/>
    <w:pPr>
      <w:keepNext/>
      <w:jc w:val="center"/>
      <w:outlineLvl w:val="1"/>
    </w:pPr>
    <w:rPr>
      <w:sz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DA705F"/>
    <w:rPr>
      <w:rFonts w:ascii="Times New Roman" w:eastAsia="Times New Roman" w:hAnsi="Times New Roman" w:cs="Times New Roman"/>
      <w:sz w:val="28"/>
      <w:szCs w:val="20"/>
      <w:lang w:eastAsia="it-IT"/>
    </w:rPr>
  </w:style>
  <w:style w:type="character" w:customStyle="1" w:styleId="Titolo2Carattere">
    <w:name w:val="Titolo 2 Carattere"/>
    <w:basedOn w:val="Carpredefinitoparagrafo"/>
    <w:link w:val="Titolo2"/>
    <w:rsid w:val="00DA705F"/>
    <w:rPr>
      <w:rFonts w:ascii="Times New Roman" w:eastAsia="Times New Roman" w:hAnsi="Times New Roman" w:cs="Times New Roman"/>
      <w:sz w:val="24"/>
      <w:szCs w:val="20"/>
      <w:lang w:eastAsia="it-IT"/>
    </w:rPr>
  </w:style>
  <w:style w:type="paragraph" w:styleId="Didascalia">
    <w:name w:val="caption"/>
    <w:basedOn w:val="Normale"/>
    <w:next w:val="Normale"/>
    <w:qFormat/>
    <w:rsid w:val="00DA705F"/>
    <w:pPr>
      <w:jc w:val="center"/>
    </w:pPr>
    <w:rPr>
      <w:rFonts w:ascii="Book Antiqua" w:hAnsi="Book Antiqua"/>
      <w:b/>
      <w:sz w:val="32"/>
    </w:rPr>
  </w:style>
  <w:style w:type="paragraph" w:styleId="Titolo">
    <w:name w:val="Title"/>
    <w:basedOn w:val="Normale"/>
    <w:link w:val="TitoloCarattere"/>
    <w:qFormat/>
    <w:rsid w:val="00DA705F"/>
    <w:pPr>
      <w:jc w:val="center"/>
    </w:pPr>
    <w:rPr>
      <w:b/>
      <w:sz w:val="28"/>
    </w:rPr>
  </w:style>
  <w:style w:type="character" w:customStyle="1" w:styleId="TitoloCarattere">
    <w:name w:val="Titolo Carattere"/>
    <w:basedOn w:val="Carpredefinitoparagrafo"/>
    <w:link w:val="Titolo"/>
    <w:rsid w:val="00DA705F"/>
    <w:rPr>
      <w:rFonts w:ascii="Times New Roman" w:eastAsia="Times New Roman" w:hAnsi="Times New Roman" w:cs="Times New Roman"/>
      <w:b/>
      <w:sz w:val="28"/>
      <w:szCs w:val="20"/>
      <w:lang w:eastAsia="it-IT"/>
    </w:rPr>
  </w:style>
  <w:style w:type="paragraph" w:styleId="Testofumetto">
    <w:name w:val="Balloon Text"/>
    <w:basedOn w:val="Normale"/>
    <w:link w:val="TestofumettoCarattere"/>
    <w:uiPriority w:val="99"/>
    <w:semiHidden/>
    <w:unhideWhenUsed/>
    <w:rsid w:val="00DA705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A705F"/>
    <w:rPr>
      <w:rFonts w:ascii="Tahoma" w:eastAsia="Times New Roman" w:hAnsi="Tahoma" w:cs="Tahoma"/>
      <w:sz w:val="16"/>
      <w:szCs w:val="16"/>
      <w:lang w:eastAsia="it-IT"/>
    </w:rPr>
  </w:style>
  <w:style w:type="character" w:customStyle="1" w:styleId="apple-converted-space">
    <w:name w:val="apple-converted-space"/>
    <w:basedOn w:val="Carpredefinitoparagrafo"/>
    <w:rsid w:val="005079F4"/>
  </w:style>
  <w:style w:type="character" w:styleId="Enfasicorsivo">
    <w:name w:val="Emphasis"/>
    <w:basedOn w:val="Carpredefinitoparagrafo"/>
    <w:uiPriority w:val="20"/>
    <w:qFormat/>
    <w:rsid w:val="005079F4"/>
    <w:rPr>
      <w:i/>
      <w:iCs/>
    </w:rPr>
  </w:style>
  <w:style w:type="character" w:styleId="Collegamentoipertestuale">
    <w:name w:val="Hyperlink"/>
    <w:basedOn w:val="Carpredefinitoparagrafo"/>
    <w:uiPriority w:val="99"/>
    <w:unhideWhenUsed/>
    <w:rsid w:val="009B2D66"/>
    <w:rPr>
      <w:color w:val="0000FF" w:themeColor="hyperlink"/>
      <w:u w:val="single"/>
    </w:rPr>
  </w:style>
  <w:style w:type="paragraph" w:styleId="Intestazione">
    <w:name w:val="header"/>
    <w:basedOn w:val="Normale"/>
    <w:link w:val="IntestazioneCarattere"/>
    <w:uiPriority w:val="99"/>
    <w:unhideWhenUsed/>
    <w:rsid w:val="00B20D48"/>
    <w:pPr>
      <w:tabs>
        <w:tab w:val="center" w:pos="4819"/>
        <w:tab w:val="right" w:pos="9638"/>
      </w:tabs>
    </w:pPr>
  </w:style>
  <w:style w:type="character" w:customStyle="1" w:styleId="IntestazioneCarattere">
    <w:name w:val="Intestazione Carattere"/>
    <w:basedOn w:val="Carpredefinitoparagrafo"/>
    <w:link w:val="Intestazione"/>
    <w:uiPriority w:val="99"/>
    <w:rsid w:val="00B20D48"/>
    <w:rPr>
      <w:rFonts w:ascii="Times New Roman" w:eastAsia="Times New Roman" w:hAnsi="Times New Roman" w:cs="Times New Roman"/>
      <w:sz w:val="20"/>
      <w:szCs w:val="20"/>
      <w:lang w:eastAsia="it-IT"/>
    </w:rPr>
  </w:style>
  <w:style w:type="paragraph" w:styleId="Pidipagina">
    <w:name w:val="footer"/>
    <w:basedOn w:val="Normale"/>
    <w:link w:val="PidipaginaCarattere"/>
    <w:uiPriority w:val="99"/>
    <w:unhideWhenUsed/>
    <w:rsid w:val="00B20D48"/>
    <w:pPr>
      <w:tabs>
        <w:tab w:val="center" w:pos="4819"/>
        <w:tab w:val="right" w:pos="9638"/>
      </w:tabs>
    </w:pPr>
  </w:style>
  <w:style w:type="character" w:customStyle="1" w:styleId="PidipaginaCarattere">
    <w:name w:val="Piè di pagina Carattere"/>
    <w:basedOn w:val="Carpredefinitoparagrafo"/>
    <w:link w:val="Pidipagina"/>
    <w:uiPriority w:val="99"/>
    <w:rsid w:val="00B20D48"/>
    <w:rPr>
      <w:rFonts w:ascii="Times New Roman" w:eastAsia="Times New Roman" w:hAnsi="Times New Roman" w:cs="Times New Roman"/>
      <w:sz w:val="20"/>
      <w:szCs w:val="20"/>
      <w:lang w:eastAsia="it-IT"/>
    </w:rPr>
  </w:style>
  <w:style w:type="paragraph" w:styleId="NormaleWeb">
    <w:name w:val="Normal (Web)"/>
    <w:basedOn w:val="Normale"/>
    <w:uiPriority w:val="99"/>
    <w:unhideWhenUsed/>
    <w:rsid w:val="00BB7A9D"/>
    <w:pPr>
      <w:spacing w:before="100" w:beforeAutospacing="1" w:after="100" w:afterAutospacing="1"/>
    </w:pPr>
    <w:rPr>
      <w:sz w:val="24"/>
      <w:szCs w:val="24"/>
    </w:rPr>
  </w:style>
  <w:style w:type="paragraph" w:styleId="Paragrafoelenco">
    <w:name w:val="List Paragraph"/>
    <w:basedOn w:val="Normale"/>
    <w:uiPriority w:val="34"/>
    <w:qFormat/>
    <w:rsid w:val="00C017FB"/>
    <w:pPr>
      <w:spacing w:after="120" w:line="256" w:lineRule="auto"/>
      <w:ind w:left="720"/>
      <w:contextualSpacing/>
      <w:jc w:val="both"/>
    </w:pPr>
    <w:rPr>
      <w:rFonts w:asciiTheme="minorHAnsi" w:eastAsiaTheme="minorHAnsi" w:hAnsiTheme="minorHAnsi" w:cstheme="minorBidi"/>
      <w:sz w:val="22"/>
      <w:szCs w:val="22"/>
      <w:lang w:eastAsia="en-US"/>
    </w:rPr>
  </w:style>
  <w:style w:type="paragraph" w:styleId="Nessunaspaziatura">
    <w:name w:val="No Spacing"/>
    <w:qFormat/>
    <w:rsid w:val="00F46C74"/>
    <w:pPr>
      <w:spacing w:after="0" w:line="240" w:lineRule="auto"/>
    </w:pPr>
    <w:rPr>
      <w:rFonts w:ascii="Calibri" w:eastAsia="Calibri" w:hAnsi="Calibri" w:cs="Times New Roman"/>
    </w:rPr>
  </w:style>
  <w:style w:type="table" w:styleId="Grigliatabella">
    <w:name w:val="Table Grid"/>
    <w:basedOn w:val="Tabellanormale"/>
    <w:uiPriority w:val="39"/>
    <w:rsid w:val="005B5C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e"/>
    <w:rsid w:val="005B5C7C"/>
    <w:pPr>
      <w:autoSpaceDE w:val="0"/>
      <w:autoSpaceDN w:val="0"/>
    </w:pPr>
    <w:rPr>
      <w:rFonts w:ascii="Calibri" w:eastAsiaTheme="minorHAnsi" w:hAnsi="Calibri" w:cs="Calibri"/>
      <w:color w:val="000000"/>
      <w:sz w:val="24"/>
      <w:szCs w:val="24"/>
      <w:lang w:eastAsia="en-US"/>
    </w:rPr>
  </w:style>
  <w:style w:type="character" w:styleId="Menzionenonrisolta">
    <w:name w:val="Unresolved Mention"/>
    <w:basedOn w:val="Carpredefinitoparagrafo"/>
    <w:uiPriority w:val="99"/>
    <w:semiHidden/>
    <w:unhideWhenUsed/>
    <w:rsid w:val="004C02F2"/>
    <w:rPr>
      <w:color w:val="605E5C"/>
      <w:shd w:val="clear" w:color="auto" w:fill="E1DFDD"/>
    </w:rPr>
  </w:style>
  <w:style w:type="paragraph" w:styleId="Testonotaapidipagina">
    <w:name w:val="footnote text"/>
    <w:basedOn w:val="Normale"/>
    <w:link w:val="TestonotaapidipaginaCarattere"/>
    <w:uiPriority w:val="99"/>
    <w:rsid w:val="00DB4189"/>
    <w:pPr>
      <w:suppressAutoHyphens/>
    </w:pPr>
    <w:rPr>
      <w:rFonts w:ascii="Calibri" w:eastAsia="Calibri" w:hAnsi="Calibri" w:cs="Tahoma"/>
      <w:lang w:eastAsia="en-US"/>
    </w:rPr>
  </w:style>
  <w:style w:type="character" w:customStyle="1" w:styleId="TestonotaapidipaginaCarattere">
    <w:name w:val="Testo nota a piè di pagina Carattere"/>
    <w:basedOn w:val="Carpredefinitoparagrafo"/>
    <w:link w:val="Testonotaapidipagina"/>
    <w:uiPriority w:val="99"/>
    <w:rsid w:val="00DB4189"/>
    <w:rPr>
      <w:rFonts w:ascii="Calibri" w:eastAsia="Calibri" w:hAnsi="Calibri" w:cs="Tahoma"/>
      <w:sz w:val="20"/>
      <w:szCs w:val="20"/>
    </w:rPr>
  </w:style>
  <w:style w:type="character" w:styleId="Rimandonotaapidipagina">
    <w:name w:val="footnote reference"/>
    <w:basedOn w:val="Carpredefinitoparagrafo"/>
    <w:uiPriority w:val="99"/>
    <w:unhideWhenUsed/>
    <w:rsid w:val="00DB4189"/>
    <w:rPr>
      <w:vertAlign w:val="superscript"/>
    </w:rPr>
  </w:style>
  <w:style w:type="paragraph" w:styleId="Revisione">
    <w:name w:val="Revision"/>
    <w:hidden/>
    <w:uiPriority w:val="99"/>
    <w:semiHidden/>
    <w:rsid w:val="00D96938"/>
    <w:pPr>
      <w:spacing w:after="0" w:line="240" w:lineRule="auto"/>
    </w:pPr>
    <w:rPr>
      <w:rFonts w:ascii="Times New Roman" w:eastAsia="Times New Roman"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3718">
      <w:bodyDiv w:val="1"/>
      <w:marLeft w:val="0"/>
      <w:marRight w:val="0"/>
      <w:marTop w:val="0"/>
      <w:marBottom w:val="0"/>
      <w:divBdr>
        <w:top w:val="none" w:sz="0" w:space="0" w:color="auto"/>
        <w:left w:val="none" w:sz="0" w:space="0" w:color="auto"/>
        <w:bottom w:val="none" w:sz="0" w:space="0" w:color="auto"/>
        <w:right w:val="none" w:sz="0" w:space="0" w:color="auto"/>
      </w:divBdr>
    </w:div>
    <w:div w:id="38823888">
      <w:bodyDiv w:val="1"/>
      <w:marLeft w:val="0"/>
      <w:marRight w:val="0"/>
      <w:marTop w:val="0"/>
      <w:marBottom w:val="0"/>
      <w:divBdr>
        <w:top w:val="none" w:sz="0" w:space="0" w:color="auto"/>
        <w:left w:val="none" w:sz="0" w:space="0" w:color="auto"/>
        <w:bottom w:val="none" w:sz="0" w:space="0" w:color="auto"/>
        <w:right w:val="none" w:sz="0" w:space="0" w:color="auto"/>
      </w:divBdr>
    </w:div>
    <w:div w:id="93795213">
      <w:bodyDiv w:val="1"/>
      <w:marLeft w:val="0"/>
      <w:marRight w:val="0"/>
      <w:marTop w:val="0"/>
      <w:marBottom w:val="0"/>
      <w:divBdr>
        <w:top w:val="none" w:sz="0" w:space="0" w:color="auto"/>
        <w:left w:val="none" w:sz="0" w:space="0" w:color="auto"/>
        <w:bottom w:val="none" w:sz="0" w:space="0" w:color="auto"/>
        <w:right w:val="none" w:sz="0" w:space="0" w:color="auto"/>
      </w:divBdr>
    </w:div>
    <w:div w:id="242758105">
      <w:bodyDiv w:val="1"/>
      <w:marLeft w:val="0"/>
      <w:marRight w:val="0"/>
      <w:marTop w:val="0"/>
      <w:marBottom w:val="0"/>
      <w:divBdr>
        <w:top w:val="none" w:sz="0" w:space="0" w:color="auto"/>
        <w:left w:val="none" w:sz="0" w:space="0" w:color="auto"/>
        <w:bottom w:val="none" w:sz="0" w:space="0" w:color="auto"/>
        <w:right w:val="none" w:sz="0" w:space="0" w:color="auto"/>
      </w:divBdr>
    </w:div>
    <w:div w:id="655768365">
      <w:bodyDiv w:val="1"/>
      <w:marLeft w:val="0"/>
      <w:marRight w:val="0"/>
      <w:marTop w:val="0"/>
      <w:marBottom w:val="0"/>
      <w:divBdr>
        <w:top w:val="none" w:sz="0" w:space="0" w:color="auto"/>
        <w:left w:val="none" w:sz="0" w:space="0" w:color="auto"/>
        <w:bottom w:val="none" w:sz="0" w:space="0" w:color="auto"/>
        <w:right w:val="none" w:sz="0" w:space="0" w:color="auto"/>
      </w:divBdr>
    </w:div>
    <w:div w:id="678893025">
      <w:bodyDiv w:val="1"/>
      <w:marLeft w:val="0"/>
      <w:marRight w:val="0"/>
      <w:marTop w:val="0"/>
      <w:marBottom w:val="0"/>
      <w:divBdr>
        <w:top w:val="none" w:sz="0" w:space="0" w:color="auto"/>
        <w:left w:val="none" w:sz="0" w:space="0" w:color="auto"/>
        <w:bottom w:val="none" w:sz="0" w:space="0" w:color="auto"/>
        <w:right w:val="none" w:sz="0" w:space="0" w:color="auto"/>
      </w:divBdr>
    </w:div>
    <w:div w:id="932543288">
      <w:bodyDiv w:val="1"/>
      <w:marLeft w:val="0"/>
      <w:marRight w:val="0"/>
      <w:marTop w:val="0"/>
      <w:marBottom w:val="0"/>
      <w:divBdr>
        <w:top w:val="none" w:sz="0" w:space="0" w:color="auto"/>
        <w:left w:val="none" w:sz="0" w:space="0" w:color="auto"/>
        <w:bottom w:val="none" w:sz="0" w:space="0" w:color="auto"/>
        <w:right w:val="none" w:sz="0" w:space="0" w:color="auto"/>
      </w:divBdr>
    </w:div>
    <w:div w:id="1464469705">
      <w:bodyDiv w:val="1"/>
      <w:marLeft w:val="0"/>
      <w:marRight w:val="0"/>
      <w:marTop w:val="0"/>
      <w:marBottom w:val="0"/>
      <w:divBdr>
        <w:top w:val="none" w:sz="0" w:space="0" w:color="auto"/>
        <w:left w:val="none" w:sz="0" w:space="0" w:color="auto"/>
        <w:bottom w:val="none" w:sz="0" w:space="0" w:color="auto"/>
        <w:right w:val="none" w:sz="0" w:space="0" w:color="auto"/>
      </w:divBdr>
    </w:div>
    <w:div w:id="1644433822">
      <w:bodyDiv w:val="1"/>
      <w:marLeft w:val="0"/>
      <w:marRight w:val="0"/>
      <w:marTop w:val="0"/>
      <w:marBottom w:val="0"/>
      <w:divBdr>
        <w:top w:val="none" w:sz="0" w:space="0" w:color="auto"/>
        <w:left w:val="none" w:sz="0" w:space="0" w:color="auto"/>
        <w:bottom w:val="none" w:sz="0" w:space="0" w:color="auto"/>
        <w:right w:val="none" w:sz="0" w:space="0" w:color="auto"/>
      </w:divBdr>
    </w:div>
    <w:div w:id="1889762551">
      <w:bodyDiv w:val="1"/>
      <w:marLeft w:val="0"/>
      <w:marRight w:val="0"/>
      <w:marTop w:val="0"/>
      <w:marBottom w:val="0"/>
      <w:divBdr>
        <w:top w:val="none" w:sz="0" w:space="0" w:color="auto"/>
        <w:left w:val="none" w:sz="0" w:space="0" w:color="auto"/>
        <w:bottom w:val="none" w:sz="0" w:space="0" w:color="auto"/>
        <w:right w:val="none" w:sz="0" w:space="0" w:color="auto"/>
      </w:divBdr>
    </w:div>
    <w:div w:id="191935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en/events/events/2023/8th-june-2023-day-general-discussion-draft-general-comment-subcommittee" TargetMode="External"/><Relationship Id="rId1" Type="http://schemas.openxmlformats.org/officeDocument/2006/relationships/hyperlink" Target="https://www.garantenazionaleprivatiliberta.it/gnpl/it/approfondimenti.p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2026-04-07T08:25:02+00:00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2026-04-07T08:25:02+00:00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2026-04-07T08:25:02+00:00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87AE4AAB-605D-425A-A135-5ABDB8C17939}">
  <ds:schemaRefs>
    <ds:schemaRef ds:uri="http://schemas.openxmlformats.org/officeDocument/2006/bibliography"/>
  </ds:schemaRefs>
</ds:datastoreItem>
</file>

<file path=customXml/itemProps2.xml><?xml version="1.0" encoding="utf-8"?>
<ds:datastoreItem xmlns:ds="http://schemas.openxmlformats.org/officeDocument/2006/customXml" ds:itemID="{6121F20C-6925-4DC0-88D1-CD62C39CFE27}"/>
</file>

<file path=customXml/itemProps3.xml><?xml version="1.0" encoding="utf-8"?>
<ds:datastoreItem xmlns:ds="http://schemas.openxmlformats.org/officeDocument/2006/customXml" ds:itemID="{520A7ECA-50EF-4550-A417-D567BCE69A3D}"/>
</file>

<file path=customXml/itemProps4.xml><?xml version="1.0" encoding="utf-8"?>
<ds:datastoreItem xmlns:ds="http://schemas.openxmlformats.org/officeDocument/2006/customXml" ds:itemID="{B25203AA-0A53-41AA-AD6A-99950DB13B12}"/>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29</Pages>
  <Words>6654</Words>
  <Characters>40391</Characters>
  <Application>Microsoft Office Word</Application>
  <DocSecurity>0</DocSecurity>
  <Lines>2524</Lines>
  <Paragraphs>1238</Paragraphs>
  <ScaleCrop>false</ScaleCrop>
  <HeadingPairs>
    <vt:vector size="2" baseType="variant">
      <vt:variant>
        <vt:lpstr>Titolo</vt:lpstr>
      </vt:variant>
      <vt:variant>
        <vt:i4>1</vt:i4>
      </vt:variant>
    </vt:vector>
  </HeadingPairs>
  <TitlesOfParts>
    <vt:vector size="1" baseType="lpstr">
      <vt:lpstr/>
    </vt:vector>
  </TitlesOfParts>
  <Company>Ministero della Giustizia</Company>
  <LinksUpToDate>false</LinksUpToDate>
  <CharactersWithSpaces>45807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Marinelli</dc:creator>
  <cp:lastModifiedBy>Alessandro Albano</cp:lastModifiedBy>
  <cp:revision>2</cp:revision>
  <cp:lastPrinted>2026-04-03T09:12:00Z</cp:lastPrinted>
  <dcterms:created xsi:type="dcterms:W3CDTF">2026-04-03T15:25:00Z</dcterms:created>
  <dcterms:modified xsi:type="dcterms:W3CDTF">2026-04-03T15:25:00Z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