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4176F" w14:textId="77777777" w:rsidR="00805DD3" w:rsidRDefault="00805DD3">
      <w:pPr>
        <w:widowControl w:val="0"/>
        <w:pBdr>
          <w:top w:val="nil"/>
          <w:left w:val="nil"/>
          <w:bottom w:val="nil"/>
          <w:right w:val="nil"/>
          <w:between w:val="nil"/>
        </w:pBdr>
        <w:spacing w:line="240" w:lineRule="auto"/>
        <w:jc w:val="right"/>
        <w:rPr>
          <w:rFonts w:ascii="Garamond" w:eastAsia="Garamond" w:hAnsi="Garamond" w:cs="Garamond"/>
          <w:b/>
          <w:sz w:val="24"/>
          <w:szCs w:val="24"/>
        </w:rPr>
      </w:pPr>
    </w:p>
    <w:p w14:paraId="0713EF98" w14:textId="77777777" w:rsidR="00805DD3" w:rsidRDefault="00000000">
      <w:pPr>
        <w:widowControl w:val="0"/>
        <w:pBdr>
          <w:top w:val="nil"/>
          <w:left w:val="nil"/>
          <w:bottom w:val="nil"/>
          <w:right w:val="nil"/>
          <w:between w:val="nil"/>
        </w:pBdr>
        <w:spacing w:line="240" w:lineRule="auto"/>
        <w:jc w:val="right"/>
        <w:rPr>
          <w:rFonts w:ascii="Garamond" w:eastAsia="Garamond" w:hAnsi="Garamond" w:cs="Garamond"/>
          <w:b/>
          <w:color w:val="000000"/>
          <w:sz w:val="24"/>
          <w:szCs w:val="24"/>
        </w:rPr>
      </w:pPr>
      <w:r>
        <w:rPr>
          <w:rFonts w:ascii="Garamond" w:eastAsia="Garamond" w:hAnsi="Garamond" w:cs="Garamond"/>
          <w:b/>
          <w:color w:val="000000"/>
          <w:sz w:val="24"/>
          <w:szCs w:val="24"/>
        </w:rPr>
        <w:t xml:space="preserve">Comité CEDAW </w:t>
      </w:r>
    </w:p>
    <w:p w14:paraId="22DB4DD9" w14:textId="77777777" w:rsidR="00805DD3" w:rsidRDefault="00000000">
      <w:pPr>
        <w:widowControl w:val="0"/>
        <w:pBdr>
          <w:top w:val="nil"/>
          <w:left w:val="nil"/>
          <w:bottom w:val="nil"/>
          <w:right w:val="nil"/>
          <w:between w:val="nil"/>
        </w:pBdr>
        <w:spacing w:line="240" w:lineRule="auto"/>
        <w:ind w:right="62"/>
        <w:jc w:val="right"/>
        <w:rPr>
          <w:rFonts w:ascii="Garamond" w:eastAsia="Garamond" w:hAnsi="Garamond" w:cs="Garamond"/>
          <w:b/>
          <w:color w:val="000000"/>
          <w:sz w:val="24"/>
          <w:szCs w:val="24"/>
        </w:rPr>
      </w:pPr>
      <w:r>
        <w:rPr>
          <w:rFonts w:ascii="Garamond" w:eastAsia="Garamond" w:hAnsi="Garamond" w:cs="Garamond"/>
          <w:b/>
          <w:sz w:val="24"/>
          <w:szCs w:val="24"/>
        </w:rPr>
        <w:t>91</w:t>
      </w:r>
      <w:r>
        <w:rPr>
          <w:rFonts w:ascii="Garamond" w:eastAsia="Garamond" w:hAnsi="Garamond" w:cs="Garamond"/>
          <w:b/>
          <w:color w:val="000000"/>
          <w:sz w:val="24"/>
          <w:szCs w:val="24"/>
        </w:rPr>
        <w:t xml:space="preserve">º periodo de sesiones </w:t>
      </w:r>
    </w:p>
    <w:p w14:paraId="52463714" w14:textId="77777777" w:rsidR="00805DD3" w:rsidRDefault="00000000">
      <w:pPr>
        <w:widowControl w:val="0"/>
        <w:pBdr>
          <w:top w:val="nil"/>
          <w:left w:val="nil"/>
          <w:bottom w:val="nil"/>
          <w:right w:val="nil"/>
          <w:between w:val="nil"/>
        </w:pBdr>
        <w:spacing w:line="240" w:lineRule="auto"/>
        <w:ind w:right="60"/>
        <w:jc w:val="right"/>
        <w:rPr>
          <w:rFonts w:ascii="Garamond" w:eastAsia="Garamond" w:hAnsi="Garamond" w:cs="Garamond"/>
          <w:b/>
          <w:color w:val="000000"/>
          <w:sz w:val="24"/>
          <w:szCs w:val="24"/>
        </w:rPr>
      </w:pPr>
      <w:r>
        <w:rPr>
          <w:rFonts w:ascii="Garamond" w:eastAsia="Garamond" w:hAnsi="Garamond" w:cs="Garamond"/>
          <w:b/>
          <w:color w:val="000000"/>
          <w:sz w:val="24"/>
          <w:szCs w:val="24"/>
        </w:rPr>
        <w:t xml:space="preserve">Ginebra, </w:t>
      </w:r>
      <w:r>
        <w:rPr>
          <w:rFonts w:ascii="Garamond" w:eastAsia="Garamond" w:hAnsi="Garamond" w:cs="Garamond"/>
          <w:b/>
          <w:sz w:val="24"/>
          <w:szCs w:val="24"/>
        </w:rPr>
        <w:t xml:space="preserve">mayo </w:t>
      </w:r>
      <w:r>
        <w:rPr>
          <w:rFonts w:ascii="Garamond" w:eastAsia="Garamond" w:hAnsi="Garamond" w:cs="Garamond"/>
          <w:b/>
          <w:color w:val="000000"/>
          <w:sz w:val="24"/>
          <w:szCs w:val="24"/>
        </w:rPr>
        <w:t>20</w:t>
      </w:r>
      <w:r>
        <w:rPr>
          <w:rFonts w:ascii="Garamond" w:eastAsia="Garamond" w:hAnsi="Garamond" w:cs="Garamond"/>
          <w:b/>
          <w:sz w:val="24"/>
          <w:szCs w:val="24"/>
        </w:rPr>
        <w:t>25</w:t>
      </w:r>
      <w:r>
        <w:rPr>
          <w:rFonts w:ascii="Garamond" w:eastAsia="Garamond" w:hAnsi="Garamond" w:cs="Garamond"/>
          <w:b/>
          <w:color w:val="000000"/>
          <w:sz w:val="24"/>
          <w:szCs w:val="24"/>
        </w:rPr>
        <w:t xml:space="preserve"> </w:t>
      </w:r>
    </w:p>
    <w:p w14:paraId="6ABBCB69" w14:textId="77777777" w:rsidR="00805DD3" w:rsidRDefault="00000000">
      <w:pPr>
        <w:widowControl w:val="0"/>
        <w:pBdr>
          <w:top w:val="nil"/>
          <w:left w:val="nil"/>
          <w:bottom w:val="nil"/>
          <w:right w:val="nil"/>
          <w:between w:val="nil"/>
        </w:pBdr>
        <w:spacing w:line="240" w:lineRule="auto"/>
        <w:ind w:right="60"/>
        <w:jc w:val="right"/>
        <w:rPr>
          <w:rFonts w:ascii="Garamond" w:eastAsia="Garamond" w:hAnsi="Garamond" w:cs="Garamond"/>
          <w:b/>
          <w:color w:val="000000"/>
          <w:sz w:val="24"/>
          <w:szCs w:val="24"/>
        </w:rPr>
      </w:pPr>
      <w:r>
        <w:rPr>
          <w:rFonts w:ascii="Garamond" w:eastAsia="Garamond" w:hAnsi="Garamond" w:cs="Garamond"/>
          <w:b/>
          <w:sz w:val="24"/>
          <w:szCs w:val="24"/>
        </w:rPr>
        <w:t>10.</w:t>
      </w:r>
      <w:r>
        <w:rPr>
          <w:rFonts w:ascii="Garamond" w:eastAsia="Garamond" w:hAnsi="Garamond" w:cs="Garamond"/>
          <w:b/>
          <w:color w:val="000000"/>
          <w:sz w:val="24"/>
          <w:szCs w:val="24"/>
        </w:rPr>
        <w:t xml:space="preserve">º informe periódico de México </w:t>
      </w:r>
    </w:p>
    <w:p w14:paraId="4177707C" w14:textId="77777777" w:rsidR="00805DD3" w:rsidRDefault="00000000">
      <w:pPr>
        <w:widowControl w:val="0"/>
        <w:pBdr>
          <w:top w:val="nil"/>
          <w:left w:val="nil"/>
          <w:bottom w:val="nil"/>
          <w:right w:val="nil"/>
          <w:between w:val="nil"/>
        </w:pBdr>
        <w:spacing w:before="521" w:line="225" w:lineRule="auto"/>
        <w:ind w:left="478" w:right="458"/>
        <w:jc w:val="center"/>
        <w:rPr>
          <w:rFonts w:ascii="Garamond" w:eastAsia="Garamond" w:hAnsi="Garamond" w:cs="Garamond"/>
          <w:b/>
          <w:color w:val="000000"/>
          <w:sz w:val="28"/>
          <w:szCs w:val="28"/>
        </w:rPr>
      </w:pPr>
      <w:r>
        <w:rPr>
          <w:rFonts w:ascii="Garamond" w:eastAsia="Garamond" w:hAnsi="Garamond" w:cs="Garamond"/>
          <w:b/>
          <w:color w:val="000000"/>
          <w:sz w:val="28"/>
          <w:szCs w:val="28"/>
        </w:rPr>
        <w:t>Informe alternativo sobre la situación de los derechos reproductivos de niñas, adolescentes</w:t>
      </w:r>
      <w:r>
        <w:rPr>
          <w:rFonts w:ascii="Garamond" w:eastAsia="Garamond" w:hAnsi="Garamond" w:cs="Garamond"/>
          <w:b/>
          <w:sz w:val="28"/>
          <w:szCs w:val="28"/>
        </w:rPr>
        <w:t>,</w:t>
      </w:r>
      <w:r>
        <w:rPr>
          <w:rFonts w:ascii="Garamond" w:eastAsia="Garamond" w:hAnsi="Garamond" w:cs="Garamond"/>
          <w:b/>
          <w:color w:val="000000"/>
          <w:sz w:val="28"/>
          <w:szCs w:val="28"/>
        </w:rPr>
        <w:t xml:space="preserve"> mujeres y personas </w:t>
      </w:r>
      <w:r>
        <w:rPr>
          <w:rFonts w:ascii="Garamond" w:eastAsia="Garamond" w:hAnsi="Garamond" w:cs="Garamond"/>
          <w:b/>
          <w:sz w:val="28"/>
          <w:szCs w:val="28"/>
        </w:rPr>
        <w:t>gestantes</w:t>
      </w:r>
      <w:r>
        <w:rPr>
          <w:rFonts w:ascii="Garamond" w:eastAsia="Garamond" w:hAnsi="Garamond" w:cs="Garamond"/>
          <w:b/>
          <w:color w:val="000000"/>
          <w:sz w:val="28"/>
          <w:szCs w:val="28"/>
        </w:rPr>
        <w:t xml:space="preserve"> en México </w:t>
      </w:r>
    </w:p>
    <w:p w14:paraId="1E2309C2" w14:textId="77777777" w:rsidR="00805DD3" w:rsidRDefault="00805DD3">
      <w:pPr>
        <w:widowControl w:val="0"/>
        <w:pBdr>
          <w:top w:val="nil"/>
          <w:left w:val="nil"/>
          <w:bottom w:val="nil"/>
          <w:right w:val="nil"/>
          <w:between w:val="nil"/>
        </w:pBdr>
        <w:spacing w:before="3" w:line="240" w:lineRule="auto"/>
        <w:jc w:val="center"/>
        <w:rPr>
          <w:rFonts w:ascii="Garamond" w:eastAsia="Garamond" w:hAnsi="Garamond" w:cs="Garamond"/>
          <w:b/>
          <w:sz w:val="28"/>
          <w:szCs w:val="28"/>
        </w:rPr>
      </w:pPr>
    </w:p>
    <w:p w14:paraId="413A209B" w14:textId="77777777" w:rsidR="00805DD3" w:rsidRDefault="00000000">
      <w:pPr>
        <w:widowControl w:val="0"/>
        <w:pBdr>
          <w:top w:val="nil"/>
          <w:left w:val="nil"/>
          <w:bottom w:val="nil"/>
          <w:right w:val="nil"/>
          <w:between w:val="nil"/>
        </w:pBdr>
        <w:spacing w:before="3" w:line="240" w:lineRule="auto"/>
        <w:jc w:val="center"/>
        <w:rPr>
          <w:rFonts w:ascii="Garamond" w:eastAsia="Garamond" w:hAnsi="Garamond" w:cs="Garamond"/>
          <w:b/>
          <w:color w:val="000000"/>
          <w:sz w:val="28"/>
          <w:szCs w:val="28"/>
        </w:rPr>
      </w:pPr>
      <w:r>
        <w:rPr>
          <w:rFonts w:ascii="Garamond" w:eastAsia="Garamond" w:hAnsi="Garamond" w:cs="Garamond"/>
          <w:b/>
          <w:color w:val="000000"/>
          <w:sz w:val="28"/>
          <w:szCs w:val="28"/>
        </w:rPr>
        <w:t xml:space="preserve">Grupo de Información en Reproducción Elegida, A.C. </w:t>
      </w:r>
    </w:p>
    <w:p w14:paraId="6E01BEEF" w14:textId="77777777" w:rsidR="00805DD3" w:rsidRDefault="00000000">
      <w:pPr>
        <w:widowControl w:val="0"/>
        <w:pBdr>
          <w:top w:val="nil"/>
          <w:left w:val="nil"/>
          <w:bottom w:val="nil"/>
          <w:right w:val="nil"/>
          <w:between w:val="nil"/>
        </w:pBdr>
        <w:spacing w:before="3" w:line="240" w:lineRule="auto"/>
        <w:jc w:val="center"/>
        <w:rPr>
          <w:rFonts w:ascii="Garamond" w:eastAsia="Garamond" w:hAnsi="Garamond" w:cs="Garamond"/>
          <w:b/>
          <w:sz w:val="28"/>
          <w:szCs w:val="28"/>
        </w:rPr>
      </w:pPr>
      <w:r>
        <w:rPr>
          <w:rFonts w:ascii="Garamond" w:eastAsia="Garamond" w:hAnsi="Garamond" w:cs="Garamond"/>
          <w:b/>
          <w:sz w:val="28"/>
          <w:szCs w:val="28"/>
        </w:rPr>
        <w:t xml:space="preserve">Center </w:t>
      </w:r>
      <w:proofErr w:type="spellStart"/>
      <w:r>
        <w:rPr>
          <w:rFonts w:ascii="Garamond" w:eastAsia="Garamond" w:hAnsi="Garamond" w:cs="Garamond"/>
          <w:b/>
          <w:sz w:val="28"/>
          <w:szCs w:val="28"/>
        </w:rPr>
        <w:t>for</w:t>
      </w:r>
      <w:proofErr w:type="spellEnd"/>
      <w:r>
        <w:rPr>
          <w:rFonts w:ascii="Garamond" w:eastAsia="Garamond" w:hAnsi="Garamond" w:cs="Garamond"/>
          <w:b/>
          <w:sz w:val="28"/>
          <w:szCs w:val="28"/>
        </w:rPr>
        <w:t xml:space="preserve"> Reproductive </w:t>
      </w:r>
      <w:proofErr w:type="spellStart"/>
      <w:r>
        <w:rPr>
          <w:rFonts w:ascii="Garamond" w:eastAsia="Garamond" w:hAnsi="Garamond" w:cs="Garamond"/>
          <w:b/>
          <w:sz w:val="28"/>
          <w:szCs w:val="28"/>
        </w:rPr>
        <w:t>Rights</w:t>
      </w:r>
      <w:proofErr w:type="spellEnd"/>
      <w:r>
        <w:rPr>
          <w:rFonts w:ascii="Garamond" w:eastAsia="Garamond" w:hAnsi="Garamond" w:cs="Garamond"/>
          <w:b/>
          <w:sz w:val="28"/>
          <w:szCs w:val="28"/>
        </w:rPr>
        <w:t xml:space="preserve"> / Centro de Derechos Reproductivos</w:t>
      </w:r>
    </w:p>
    <w:p w14:paraId="5406D4DA" w14:textId="77777777" w:rsidR="00805DD3" w:rsidRDefault="00000000">
      <w:pPr>
        <w:widowControl w:val="0"/>
        <w:pBdr>
          <w:top w:val="nil"/>
          <w:left w:val="nil"/>
          <w:bottom w:val="nil"/>
          <w:right w:val="nil"/>
          <w:between w:val="nil"/>
        </w:pBdr>
        <w:spacing w:before="243" w:line="240" w:lineRule="auto"/>
        <w:jc w:val="center"/>
        <w:rPr>
          <w:rFonts w:ascii="Garamond" w:eastAsia="Garamond" w:hAnsi="Garamond" w:cs="Garamond"/>
        </w:rPr>
      </w:pPr>
      <w:r>
        <w:rPr>
          <w:rFonts w:ascii="Garamond" w:eastAsia="Garamond" w:hAnsi="Garamond" w:cs="Garamond"/>
          <w:color w:val="000000"/>
        </w:rPr>
        <w:t xml:space="preserve">Se autoriza la publicación del presente informe en el portal del Comité CEDAW </w:t>
      </w:r>
    </w:p>
    <w:p w14:paraId="25209D1E" w14:textId="77777777" w:rsidR="00805DD3" w:rsidRDefault="00000000">
      <w:pPr>
        <w:widowControl w:val="0"/>
        <w:pBdr>
          <w:top w:val="nil"/>
          <w:left w:val="nil"/>
          <w:bottom w:val="nil"/>
          <w:right w:val="nil"/>
          <w:between w:val="nil"/>
        </w:pBdr>
        <w:spacing w:before="243" w:line="240" w:lineRule="auto"/>
        <w:jc w:val="center"/>
        <w:rPr>
          <w:rFonts w:ascii="Garamond" w:eastAsia="Garamond" w:hAnsi="Garamond" w:cs="Garamond"/>
        </w:rPr>
      </w:pPr>
      <w:r>
        <w:rPr>
          <w:rFonts w:ascii="Garamond" w:eastAsia="Garamond" w:hAnsi="Garamond" w:cs="Garamond"/>
        </w:rPr>
        <w:t>***</w:t>
      </w:r>
    </w:p>
    <w:p w14:paraId="6F384D48" w14:textId="77777777" w:rsidR="00805DD3" w:rsidRDefault="00000000">
      <w:pPr>
        <w:widowControl w:val="0"/>
        <w:pBdr>
          <w:top w:val="nil"/>
          <w:left w:val="nil"/>
          <w:bottom w:val="nil"/>
          <w:right w:val="nil"/>
          <w:between w:val="nil"/>
        </w:pBdr>
        <w:spacing w:before="200" w:line="240" w:lineRule="auto"/>
        <w:ind w:left="371"/>
        <w:rPr>
          <w:rFonts w:ascii="Garamond" w:eastAsia="Garamond" w:hAnsi="Garamond" w:cs="Garamond"/>
          <w:b/>
          <w:color w:val="000000"/>
          <w:sz w:val="24"/>
          <w:szCs w:val="24"/>
        </w:rPr>
      </w:pPr>
      <w:r>
        <w:rPr>
          <w:rFonts w:ascii="Garamond" w:eastAsia="Garamond" w:hAnsi="Garamond" w:cs="Garamond"/>
          <w:b/>
          <w:color w:val="000000"/>
          <w:sz w:val="24"/>
          <w:szCs w:val="24"/>
        </w:rPr>
        <w:t xml:space="preserve">I. Introducción </w:t>
      </w:r>
    </w:p>
    <w:p w14:paraId="5DF9A4A3" w14:textId="07010F37" w:rsidR="00805DD3" w:rsidRDefault="00000000">
      <w:pPr>
        <w:widowControl w:val="0"/>
        <w:pBdr>
          <w:top w:val="nil"/>
          <w:left w:val="nil"/>
          <w:bottom w:val="nil"/>
          <w:right w:val="nil"/>
          <w:between w:val="nil"/>
        </w:pBdr>
        <w:spacing w:before="200" w:line="240" w:lineRule="auto"/>
        <w:ind w:firstLine="6"/>
        <w:jc w:val="both"/>
        <w:rPr>
          <w:rFonts w:ascii="Garamond" w:eastAsia="Garamond" w:hAnsi="Garamond" w:cs="Garamond"/>
          <w:sz w:val="24"/>
          <w:szCs w:val="24"/>
        </w:rPr>
      </w:pPr>
      <w:r>
        <w:rPr>
          <w:rFonts w:ascii="Garamond" w:eastAsia="Garamond" w:hAnsi="Garamond" w:cs="Garamond"/>
          <w:color w:val="000000"/>
          <w:sz w:val="24"/>
          <w:szCs w:val="24"/>
        </w:rPr>
        <w:t xml:space="preserve">El Grupo de Información en Reproducción Elegida, A. C. (GIRE) es una organización feminista que trabaja por la justicia reproductiva a partir de </w:t>
      </w:r>
      <w:r>
        <w:rPr>
          <w:rFonts w:ascii="Garamond" w:eastAsia="Garamond" w:hAnsi="Garamond" w:cs="Garamond"/>
          <w:sz w:val="24"/>
          <w:szCs w:val="24"/>
        </w:rPr>
        <w:t xml:space="preserve">tres </w:t>
      </w:r>
      <w:r>
        <w:rPr>
          <w:rFonts w:ascii="Garamond" w:eastAsia="Garamond" w:hAnsi="Garamond" w:cs="Garamond"/>
          <w:color w:val="000000"/>
          <w:sz w:val="24"/>
          <w:szCs w:val="24"/>
        </w:rPr>
        <w:t xml:space="preserve">temas prioritarios: </w:t>
      </w:r>
      <w:r>
        <w:rPr>
          <w:rFonts w:ascii="Garamond" w:eastAsia="Garamond" w:hAnsi="Garamond" w:cs="Garamond"/>
          <w:sz w:val="24"/>
          <w:szCs w:val="24"/>
        </w:rPr>
        <w:t>aborto, salud reproductiva y trabajo y cuidados. Por su parte, el Centro de Derechos Reproductivos es una organización global cuya misión es utilizar herramientas legales para promover los derechos sexuales y reproductivos como derechos humanos</w:t>
      </w:r>
      <w:r w:rsidR="00AB404E">
        <w:rPr>
          <w:rFonts w:ascii="Garamond" w:eastAsia="Garamond" w:hAnsi="Garamond" w:cs="Garamond"/>
          <w:sz w:val="24"/>
          <w:szCs w:val="24"/>
        </w:rPr>
        <w:t>,</w:t>
      </w:r>
      <w:r>
        <w:rPr>
          <w:rFonts w:ascii="Garamond" w:eastAsia="Garamond" w:hAnsi="Garamond" w:cs="Garamond"/>
          <w:sz w:val="24"/>
          <w:szCs w:val="24"/>
        </w:rPr>
        <w:t xml:space="preserve"> que todos los Estados están legalmente obligados a respetar, proteger y cumplir. </w:t>
      </w:r>
      <w:r>
        <w:rPr>
          <w:rFonts w:ascii="Garamond" w:eastAsia="Garamond" w:hAnsi="Garamond" w:cs="Garamond"/>
          <w:color w:val="000000"/>
          <w:sz w:val="24"/>
          <w:szCs w:val="24"/>
        </w:rPr>
        <w:t xml:space="preserve">Ambas organizaciones presentan este informe alternativo con motivo del examen del </w:t>
      </w:r>
      <w:r>
        <w:rPr>
          <w:rFonts w:ascii="Garamond" w:eastAsia="Garamond" w:hAnsi="Garamond" w:cs="Garamond"/>
          <w:sz w:val="24"/>
          <w:szCs w:val="24"/>
        </w:rPr>
        <w:t xml:space="preserve">décimo </w:t>
      </w:r>
      <w:r>
        <w:rPr>
          <w:rFonts w:ascii="Garamond" w:eastAsia="Garamond" w:hAnsi="Garamond" w:cs="Garamond"/>
          <w:color w:val="000000"/>
          <w:sz w:val="24"/>
          <w:szCs w:val="24"/>
        </w:rPr>
        <w:t xml:space="preserve">informe periódico de México, dentro del </w:t>
      </w:r>
      <w:r>
        <w:rPr>
          <w:rFonts w:ascii="Garamond" w:eastAsia="Garamond" w:hAnsi="Garamond" w:cs="Garamond"/>
          <w:sz w:val="24"/>
          <w:szCs w:val="24"/>
        </w:rPr>
        <w:t>91.</w:t>
      </w:r>
      <w:r>
        <w:rPr>
          <w:rFonts w:ascii="Garamond" w:eastAsia="Garamond" w:hAnsi="Garamond" w:cs="Garamond"/>
          <w:color w:val="000000"/>
          <w:sz w:val="24"/>
          <w:szCs w:val="24"/>
        </w:rPr>
        <w:t>º periodo de sesiones del Comité para la Eliminación de la Discriminación contra la Mujer.</w:t>
      </w:r>
    </w:p>
    <w:p w14:paraId="4D2DE731" w14:textId="77777777" w:rsidR="00805DD3" w:rsidRDefault="00000000">
      <w:pPr>
        <w:widowControl w:val="0"/>
        <w:pBdr>
          <w:top w:val="nil"/>
          <w:left w:val="nil"/>
          <w:bottom w:val="nil"/>
          <w:right w:val="nil"/>
          <w:between w:val="nil"/>
        </w:pBdr>
        <w:spacing w:before="200" w:line="240" w:lineRule="auto"/>
        <w:ind w:left="371"/>
        <w:rPr>
          <w:rFonts w:ascii="Garamond" w:eastAsia="Garamond" w:hAnsi="Garamond" w:cs="Garamond"/>
          <w:b/>
          <w:color w:val="000000"/>
          <w:sz w:val="24"/>
          <w:szCs w:val="24"/>
        </w:rPr>
      </w:pPr>
      <w:r>
        <w:rPr>
          <w:rFonts w:ascii="Garamond" w:eastAsia="Garamond" w:hAnsi="Garamond" w:cs="Garamond"/>
          <w:b/>
          <w:color w:val="000000"/>
          <w:sz w:val="24"/>
          <w:szCs w:val="24"/>
        </w:rPr>
        <w:t xml:space="preserve">II. Aborto legal y seguro </w:t>
      </w:r>
    </w:p>
    <w:p w14:paraId="750B24CE" w14:textId="20675648" w:rsidR="00805DD3" w:rsidRDefault="00000000">
      <w:pPr>
        <w:widowControl w:val="0"/>
        <w:spacing w:before="200" w:line="240" w:lineRule="auto"/>
        <w:jc w:val="both"/>
        <w:rPr>
          <w:rFonts w:ascii="Garamond" w:eastAsia="Garamond" w:hAnsi="Garamond" w:cs="Garamond"/>
          <w:sz w:val="24"/>
          <w:szCs w:val="24"/>
        </w:rPr>
      </w:pPr>
      <w:r>
        <w:rPr>
          <w:rFonts w:ascii="Garamond" w:eastAsia="Garamond" w:hAnsi="Garamond" w:cs="Garamond"/>
          <w:sz w:val="24"/>
          <w:szCs w:val="24"/>
        </w:rPr>
        <w:t xml:space="preserve">El aborto en México, a diferencia de otros servicios de salud, suele estar regulado por el derecho penal. Incluso en contextos en los que no está penalizado por completo, suelen señalarse supuestos que limitan su acceso en función de la circunstancia de la persona usuaria o la edad gestacional. Hasta el </w:t>
      </w:r>
      <w:r w:rsidR="00AB404E">
        <w:rPr>
          <w:rFonts w:ascii="Garamond" w:eastAsia="Garamond" w:hAnsi="Garamond" w:cs="Garamond"/>
          <w:sz w:val="24"/>
          <w:szCs w:val="24"/>
        </w:rPr>
        <w:t>22</w:t>
      </w:r>
      <w:r>
        <w:rPr>
          <w:rFonts w:ascii="Garamond" w:eastAsia="Garamond" w:hAnsi="Garamond" w:cs="Garamond"/>
          <w:sz w:val="24"/>
          <w:szCs w:val="24"/>
        </w:rPr>
        <w:t xml:space="preserve"> de mayo de 2025, el aborto se ha despenalizado —al menos durante el primer trimestre— en 23 de las 32 entidades del país: Ciudad de México (2007); Oaxaca (2019); Hidalgo, Veracruz, Coahuila, Baja California y Colima (2021); Sinaloa, Guerrero, Baja California Sur y Quintana Roo (2022); Puebla, Jalisco, Michoacán, San Luis Potosí, Zacatecas, Estado de México y Chiapas (2024); Nayarit, Chihuahua, Campeche, Yucatán y Tabasco (2025). </w:t>
      </w:r>
    </w:p>
    <w:p w14:paraId="478FE327" w14:textId="3765C513" w:rsidR="00805DD3" w:rsidRDefault="00000000">
      <w:pPr>
        <w:widowControl w:val="0"/>
        <w:spacing w:before="200" w:line="240" w:lineRule="auto"/>
        <w:jc w:val="both"/>
        <w:rPr>
          <w:rFonts w:ascii="Garamond" w:eastAsia="Garamond" w:hAnsi="Garamond" w:cs="Garamond"/>
          <w:sz w:val="24"/>
          <w:szCs w:val="24"/>
        </w:rPr>
      </w:pPr>
      <w:r>
        <w:rPr>
          <w:rFonts w:ascii="Garamond" w:eastAsia="Garamond" w:hAnsi="Garamond" w:cs="Garamond"/>
          <w:sz w:val="24"/>
          <w:szCs w:val="24"/>
        </w:rPr>
        <w:t>En la mayoría de estas entidades, el acceso está permitido hasta la semana 12.6 de gestación. Las excepciones son las siguientes: en Sinaloa se reconoce un plazo de 13.6 semanas; en Guerrero y Michoacán no se establece un límite gestacional para la persona que aborta, pero sí se mantiene la criminalización del personal médico que brinde el servicio después de la semana 12.6. Además, gracias a sentencias emitidas por la Suprema Corte de Justicia de la Nación (SJCN) que declararon inconstitucionales los artículos que criminalizaban de manera absoluta el aborto, en Coahuila y Chihuahua no se penaliza ni a quienes acceden al aborto ni a quienes brindan acompañamiento. No obstante, en estas dos últimas entidades aún no se han reformado las normativas sanitarias ni implementado políticas públicas que regulen la prestación del servicio.</w:t>
      </w:r>
      <w:r>
        <w:rPr>
          <w:rFonts w:ascii="Garamond" w:eastAsia="Garamond" w:hAnsi="Garamond" w:cs="Garamond"/>
          <w:sz w:val="24"/>
          <w:szCs w:val="24"/>
          <w:vertAlign w:val="superscript"/>
        </w:rPr>
        <w:footnoteReference w:id="1"/>
      </w:r>
      <w:r>
        <w:rPr>
          <w:rFonts w:ascii="Garamond" w:eastAsia="Garamond" w:hAnsi="Garamond" w:cs="Garamond"/>
          <w:sz w:val="24"/>
          <w:szCs w:val="24"/>
        </w:rPr>
        <w:t xml:space="preserve"> En contraste, </w:t>
      </w:r>
      <w:r>
        <w:rPr>
          <w:rFonts w:ascii="Garamond" w:eastAsia="Garamond" w:hAnsi="Garamond" w:cs="Garamond"/>
          <w:sz w:val="24"/>
          <w:szCs w:val="24"/>
        </w:rPr>
        <w:lastRenderedPageBreak/>
        <w:t>Aguascalientes, que a finales de 2023 había despenalizado el aborto hasta la semana doce, en agosto de 2024 aprobó una reforma que redujo el plazo a solo seis semanas, lo que constituye una simulación del respeto al derecho a decidir, genera una mayor criminalización y limita los derechos de las mujeres y personas gestantes de la entidad. Se trata de una prohibición disfrazada que obstaculiza acceder al servicio, ya que para la mayoría de las personas ese periodo no es suficiente para darse cuenta de que están embarazadas.</w:t>
      </w:r>
    </w:p>
    <w:p w14:paraId="760A33CB" w14:textId="77777777" w:rsidR="00805DD3" w:rsidRDefault="00000000">
      <w:pPr>
        <w:widowControl w:val="0"/>
        <w:spacing w:before="200" w:line="240" w:lineRule="auto"/>
        <w:jc w:val="both"/>
        <w:rPr>
          <w:rFonts w:ascii="Garamond" w:eastAsia="Garamond" w:hAnsi="Garamond" w:cs="Garamond"/>
          <w:sz w:val="24"/>
          <w:szCs w:val="24"/>
        </w:rPr>
      </w:pPr>
      <w:r>
        <w:rPr>
          <w:rFonts w:ascii="Garamond" w:eastAsia="Garamond" w:hAnsi="Garamond" w:cs="Garamond"/>
          <w:sz w:val="24"/>
          <w:szCs w:val="24"/>
        </w:rPr>
        <w:t xml:space="preserve">Las recientes despenalizaciones parciales que reducen los obstáculos para acceder al aborto voluntario son evidencia de que hay un avance en materia de derechos reproductivos. Cada vez más entidades garantizan el acceso al aborto seguro, al menos durante el primer trimestre gestacional, en las instituciones públicas de salud. Sin embargo, también es necesario reconocer que persiste un rezago frente a criterios internacionales como los de la Organización Mundial de la Salud (OMS), que ha catalogado al aborto como un servicio de salud esencial que no debería estar regulado en los códigos penales. Esta organización, en sus </w:t>
      </w:r>
      <w:r>
        <w:rPr>
          <w:rFonts w:ascii="Garamond" w:eastAsia="Garamond" w:hAnsi="Garamond" w:cs="Garamond"/>
          <w:i/>
          <w:sz w:val="24"/>
          <w:szCs w:val="24"/>
        </w:rPr>
        <w:t>Directrices sobre la atención para el aborto</w:t>
      </w:r>
      <w:r>
        <w:rPr>
          <w:rFonts w:ascii="Garamond" w:eastAsia="Garamond" w:hAnsi="Garamond" w:cs="Garamond"/>
          <w:sz w:val="24"/>
          <w:szCs w:val="24"/>
        </w:rPr>
        <w:t>, también ha señalado que “los límites a la edad gestacional no se basan en la evidencia, sino que restringen el momento en que se puede practicar un aborto legal con cualquier método.”</w:t>
      </w:r>
      <w:r>
        <w:rPr>
          <w:rFonts w:ascii="Garamond" w:eastAsia="Garamond" w:hAnsi="Garamond" w:cs="Garamond"/>
          <w:sz w:val="24"/>
          <w:szCs w:val="24"/>
          <w:vertAlign w:val="superscript"/>
        </w:rPr>
        <w:footnoteReference w:id="2"/>
      </w:r>
    </w:p>
    <w:p w14:paraId="0071F0C8" w14:textId="77777777" w:rsidR="00805DD3" w:rsidRDefault="00000000">
      <w:pPr>
        <w:widowControl w:val="0"/>
        <w:spacing w:before="200" w:line="240" w:lineRule="auto"/>
        <w:jc w:val="both"/>
        <w:rPr>
          <w:rFonts w:ascii="Garamond" w:eastAsia="Garamond" w:hAnsi="Garamond" w:cs="Garamond"/>
          <w:sz w:val="24"/>
          <w:szCs w:val="24"/>
        </w:rPr>
      </w:pPr>
      <w:r>
        <w:rPr>
          <w:rFonts w:ascii="Garamond" w:eastAsia="Garamond" w:hAnsi="Garamond" w:cs="Garamond"/>
          <w:sz w:val="24"/>
          <w:szCs w:val="24"/>
        </w:rPr>
        <w:t>Aún existen nueve entidades en las que el aborto voluntario no se ha despenalizado y solo se permite en situaciones específicas, relacionadas, por ejemplo, con criterios clínicos —como cuando hay riesgo para la vida o la salud de la persona usuaria—, con la circunstancia en que ocurrió el embarazo —en especial si implicó violencia— o con la situación socioeconómica de la persona gestante. Esto ocurre porque México cuenta con un marco jurídico de causales y plazos; es decir, tanto en el Código Penal Federal (CPF) como en los códigos penales de cada entidad, el aborto se considera un delito que puede no ser sancionado si cumple con ciertos supuestos. Cada código establece en qué situaciones es válido abortar y si las clasifica como delitos que no se sancionan o como conductas que no se consideran delito.</w:t>
      </w:r>
      <w:r>
        <w:rPr>
          <w:rFonts w:ascii="Garamond" w:eastAsia="Garamond" w:hAnsi="Garamond" w:cs="Garamond"/>
          <w:sz w:val="24"/>
          <w:szCs w:val="24"/>
          <w:vertAlign w:val="superscript"/>
        </w:rPr>
        <w:footnoteReference w:id="3"/>
      </w:r>
      <w:r>
        <w:rPr>
          <w:rFonts w:ascii="Garamond" w:eastAsia="Garamond" w:hAnsi="Garamond" w:cs="Garamond"/>
          <w:sz w:val="24"/>
          <w:szCs w:val="24"/>
        </w:rPr>
        <w:t xml:space="preserve"> </w:t>
      </w:r>
    </w:p>
    <w:p w14:paraId="2E2EC9DA" w14:textId="014AAC74" w:rsidR="00805DD3" w:rsidRDefault="00000000">
      <w:pPr>
        <w:widowControl w:val="0"/>
        <w:spacing w:before="200" w:line="240" w:lineRule="auto"/>
        <w:ind w:left="1" w:firstLine="1"/>
        <w:jc w:val="both"/>
        <w:rPr>
          <w:rFonts w:ascii="Garamond" w:eastAsia="Garamond" w:hAnsi="Garamond" w:cs="Garamond"/>
          <w:sz w:val="24"/>
          <w:szCs w:val="24"/>
        </w:rPr>
      </w:pPr>
      <w:r>
        <w:rPr>
          <w:rFonts w:ascii="Garamond" w:eastAsia="Garamond" w:hAnsi="Garamond" w:cs="Garamond"/>
          <w:sz w:val="24"/>
          <w:szCs w:val="24"/>
        </w:rPr>
        <w:t>En la actualidad, la única causal que comparten todas las entidades federativas es la de violación, la cual se encuentra normada, además de en los códigos penales, en la Ley General de Víctimas (LGV)</w:t>
      </w:r>
      <w:r>
        <w:rPr>
          <w:rFonts w:ascii="Garamond" w:eastAsia="Garamond" w:hAnsi="Garamond" w:cs="Garamond"/>
          <w:sz w:val="24"/>
          <w:szCs w:val="24"/>
          <w:vertAlign w:val="superscript"/>
        </w:rPr>
        <w:footnoteReference w:id="4"/>
      </w:r>
      <w:r>
        <w:rPr>
          <w:rFonts w:ascii="Garamond" w:eastAsia="Garamond" w:hAnsi="Garamond" w:cs="Garamond"/>
          <w:sz w:val="24"/>
          <w:szCs w:val="24"/>
        </w:rPr>
        <w:t xml:space="preserve"> y en la NOM-046-SSA2-2005 (NOM 046).</w:t>
      </w:r>
      <w:r>
        <w:rPr>
          <w:rFonts w:ascii="Garamond" w:eastAsia="Garamond" w:hAnsi="Garamond" w:cs="Garamond"/>
          <w:sz w:val="24"/>
          <w:szCs w:val="24"/>
          <w:vertAlign w:val="superscript"/>
        </w:rPr>
        <w:footnoteReference w:id="5"/>
      </w:r>
      <w:r>
        <w:rPr>
          <w:rFonts w:ascii="Garamond" w:eastAsia="Garamond" w:hAnsi="Garamond" w:cs="Garamond"/>
          <w:sz w:val="24"/>
          <w:szCs w:val="24"/>
        </w:rPr>
        <w:t xml:space="preserve"> En estos últimos dos instrumentos se reconoce al aborto en casos de violencia sexual como un servicio de emergencia médica que no debe condicionarse a que exista una denuncia previa. El único requisito es presentar una solicitud por escrito, en la que se declare, bajo protesta de decir verdad, que se trata de un embarazo causado por violación. El personal de salud debe tomar la declaración de la persona bajo el principio de buena fe, sin realizar ninguna verificación del hecho para proceder. Asimismo, tanto las instituciones de salud públicas como las privadas deben contar, en todo momento, con personal dispuesto, capacitado y disponible que realice los procedimientos solicitados por las personas usuarias.</w:t>
      </w:r>
    </w:p>
    <w:p w14:paraId="54027594" w14:textId="77777777" w:rsidR="00805DD3" w:rsidRDefault="00000000">
      <w:pPr>
        <w:widowControl w:val="0"/>
        <w:spacing w:before="200" w:line="240" w:lineRule="auto"/>
        <w:ind w:left="1" w:firstLine="1"/>
        <w:jc w:val="both"/>
        <w:rPr>
          <w:rFonts w:ascii="Garamond" w:eastAsia="Garamond" w:hAnsi="Garamond" w:cs="Garamond"/>
          <w:sz w:val="24"/>
          <w:szCs w:val="24"/>
        </w:rPr>
      </w:pPr>
      <w:r>
        <w:rPr>
          <w:rFonts w:ascii="Garamond" w:eastAsia="Garamond" w:hAnsi="Garamond" w:cs="Garamond"/>
          <w:sz w:val="24"/>
          <w:szCs w:val="24"/>
        </w:rPr>
        <w:t xml:space="preserve">Aunque la creación de la NOM 046 representó un avance normativo importante, en la práctica persistieron obstáculos para acceder al servicio de aborto. Con frecuencia, el personal de salud lo condiciona a un límite gestacional en casos de violencia sexual y, en ocasiones, exige presentar el permiso de una persona juzgadora </w:t>
      </w:r>
      <w:r>
        <w:rPr>
          <w:rFonts w:ascii="Garamond" w:eastAsia="Garamond" w:hAnsi="Garamond" w:cs="Garamond"/>
          <w:sz w:val="24"/>
          <w:szCs w:val="24"/>
        </w:rPr>
        <w:lastRenderedPageBreak/>
        <w:t>o agente del ministerio público; requisitos que son excesivos y no están contemplados en la ley.</w:t>
      </w:r>
      <w:r>
        <w:rPr>
          <w:rFonts w:ascii="Garamond" w:eastAsia="Garamond" w:hAnsi="Garamond" w:cs="Garamond"/>
          <w:sz w:val="24"/>
          <w:szCs w:val="24"/>
          <w:vertAlign w:val="superscript"/>
        </w:rPr>
        <w:footnoteReference w:id="6"/>
      </w:r>
      <w:r>
        <w:rPr>
          <w:rFonts w:ascii="Garamond" w:eastAsia="Garamond" w:hAnsi="Garamond" w:cs="Garamond"/>
          <w:sz w:val="24"/>
          <w:szCs w:val="24"/>
        </w:rPr>
        <w:t xml:space="preserve"> </w:t>
      </w:r>
    </w:p>
    <w:p w14:paraId="7D659BBF" w14:textId="057FB8C9" w:rsidR="00805DD3" w:rsidRDefault="00000000">
      <w:pPr>
        <w:widowControl w:val="0"/>
        <w:spacing w:before="200" w:line="240" w:lineRule="auto"/>
        <w:ind w:left="1" w:firstLine="1"/>
        <w:jc w:val="both"/>
        <w:rPr>
          <w:rFonts w:ascii="Garamond" w:eastAsia="Garamond" w:hAnsi="Garamond" w:cs="Garamond"/>
          <w:sz w:val="24"/>
          <w:szCs w:val="24"/>
        </w:rPr>
      </w:pPr>
      <w:r>
        <w:rPr>
          <w:rFonts w:ascii="Garamond" w:eastAsia="Garamond" w:hAnsi="Garamond" w:cs="Garamond"/>
          <w:sz w:val="24"/>
          <w:szCs w:val="24"/>
        </w:rPr>
        <w:t xml:space="preserve">En este sentido, la permanencia del aborto en la regulación penal y la falta de criterios homogéneos entre entidades han propiciado un enfoque restrictivo que limita la autonomía reproductiva de las mujeres y otras personas gestantes. Además, al generar confusión sobre cuándo es legal </w:t>
      </w:r>
      <w:r w:rsidR="00AB404E">
        <w:rPr>
          <w:rFonts w:ascii="Garamond" w:eastAsia="Garamond" w:hAnsi="Garamond" w:cs="Garamond"/>
          <w:sz w:val="24"/>
          <w:szCs w:val="24"/>
        </w:rPr>
        <w:t>abortar</w:t>
      </w:r>
      <w:r>
        <w:rPr>
          <w:rFonts w:ascii="Garamond" w:eastAsia="Garamond" w:hAnsi="Garamond" w:cs="Garamond"/>
          <w:sz w:val="24"/>
          <w:szCs w:val="24"/>
        </w:rPr>
        <w:t>, el modelo de causales y plazos ha contribuido al miedo, la criminalización y la negación del servicio. Por ello, resulta urgente establecer un marco regulatorio exclusivamente sanitario, que deje de lado la vía punitiva. Solo así se podrá garantizar el acceso al aborto como parte del ejercicio de los derechos reproductivos y de la autonomía de las mujeres y personas con capacidad de gestar, y facilitar una atención oportuna, de calidad, respetuosa, no discriminatoria y libre de estigmas.</w:t>
      </w:r>
    </w:p>
    <w:p w14:paraId="3E14E2FA" w14:textId="77777777" w:rsidR="00805DD3" w:rsidRDefault="00000000">
      <w:pPr>
        <w:widowControl w:val="0"/>
        <w:spacing w:before="200" w:line="240" w:lineRule="auto"/>
        <w:ind w:left="1" w:firstLine="1"/>
        <w:jc w:val="both"/>
        <w:rPr>
          <w:rFonts w:ascii="Garamond" w:eastAsia="Garamond" w:hAnsi="Garamond" w:cs="Garamond"/>
          <w:sz w:val="24"/>
          <w:szCs w:val="24"/>
        </w:rPr>
      </w:pPr>
      <w:r>
        <w:rPr>
          <w:rFonts w:ascii="Garamond" w:eastAsia="Garamond" w:hAnsi="Garamond" w:cs="Garamond"/>
          <w:sz w:val="24"/>
          <w:szCs w:val="24"/>
        </w:rPr>
        <w:t>El hecho de que el aborto aún esté regulado en los códigos penales también ha contribuido a que la criminalización persista. A partir de solicitudes de acceso a la información (SAI), GIRE identificó que, entre enero de 2012 y diciembre de 2022, se registraron 2169 denuncias por aborto en procuradurías y fiscalías a nivel nacional. De estas, 680 corresponden a mujeres, 127 a hombres y 367 a “quien resulte responsable”; en 1041 casos no se contó con datos sobre la persona denunciada. Destaca Nuevo León, con el mayor número de denuncias (742), de las cuales 32.5 por ciento fueron contra mujeres y en 64.6 por ciento de los casos no se tiene información sobre la persona acusada. Le siguen Baja California, con 469 denuncias, y Tamaulipas, con 299.</w:t>
      </w:r>
      <w:r>
        <w:rPr>
          <w:rFonts w:ascii="Garamond" w:eastAsia="Garamond" w:hAnsi="Garamond" w:cs="Garamond"/>
          <w:sz w:val="24"/>
          <w:szCs w:val="24"/>
          <w:vertAlign w:val="superscript"/>
        </w:rPr>
        <w:footnoteReference w:id="7"/>
      </w:r>
      <w:r>
        <w:rPr>
          <w:rFonts w:ascii="Garamond" w:eastAsia="Garamond" w:hAnsi="Garamond" w:cs="Garamond"/>
          <w:sz w:val="24"/>
          <w:szCs w:val="24"/>
        </w:rPr>
        <w:t xml:space="preserve"> </w:t>
      </w:r>
    </w:p>
    <w:p w14:paraId="42545C93" w14:textId="0FE099F0" w:rsidR="00805DD3" w:rsidRDefault="00000000">
      <w:pPr>
        <w:widowControl w:val="0"/>
        <w:spacing w:before="200" w:line="240" w:lineRule="auto"/>
        <w:jc w:val="both"/>
        <w:rPr>
          <w:rFonts w:ascii="Garamond" w:eastAsia="Garamond" w:hAnsi="Garamond" w:cs="Garamond"/>
          <w:sz w:val="24"/>
          <w:szCs w:val="24"/>
        </w:rPr>
      </w:pPr>
      <w:r>
        <w:rPr>
          <w:rFonts w:ascii="Garamond" w:eastAsia="Garamond" w:hAnsi="Garamond" w:cs="Garamond"/>
          <w:sz w:val="24"/>
          <w:szCs w:val="24"/>
        </w:rPr>
        <w:t>En el mismo periodo se reportaron también 2456 averiguaciones previas y carpetas de investigación iniciadas por el delito de aborto. La Ciudad de México concentra la mayor cantidad, con 1337 registros. Esto llama la atención, pues se trata de la primera entidad que despenalizó el aborto hasta la semana 12.6, en 2007, y a pesar de ello, la criminalización ha incrementado. Estos datos contrastan con los proporcionados por el Secretariado Ejecutivo del Sistema Nacional de Seguridad Pública (SESNSP), que desde 2015 difunde información mensual sobre la incidencia delictiva.</w:t>
      </w:r>
      <w:r>
        <w:rPr>
          <w:rFonts w:ascii="Garamond" w:eastAsia="Garamond" w:hAnsi="Garamond" w:cs="Garamond"/>
          <w:sz w:val="24"/>
          <w:szCs w:val="24"/>
          <w:vertAlign w:val="superscript"/>
        </w:rPr>
        <w:footnoteReference w:id="8"/>
      </w:r>
      <w:r>
        <w:rPr>
          <w:rFonts w:ascii="Garamond" w:eastAsia="Garamond" w:hAnsi="Garamond" w:cs="Garamond"/>
          <w:sz w:val="24"/>
          <w:szCs w:val="24"/>
        </w:rPr>
        <w:t xml:space="preserve"> Según este registro, entre enero de 2015 y diciembre de 2022, la Ciudad de México acumuló 945 carpetas de investigación por aborto, seguida por el Estado de México con 909, Nuevo León con 618 y Baja California con 404. Estas cuatro entidades concentran, en conjunto, el 56 por ciento del total nacional, que asciende a 5130 carpetas de investigación por este delito en el periodo mencionado.</w:t>
      </w:r>
      <w:r>
        <w:rPr>
          <w:rFonts w:ascii="Garamond" w:eastAsia="Garamond" w:hAnsi="Garamond" w:cs="Garamond"/>
          <w:sz w:val="24"/>
          <w:szCs w:val="24"/>
          <w:vertAlign w:val="superscript"/>
        </w:rPr>
        <w:footnoteReference w:id="9"/>
      </w:r>
      <w:r>
        <w:rPr>
          <w:rFonts w:ascii="Garamond" w:eastAsia="Garamond" w:hAnsi="Garamond" w:cs="Garamond"/>
          <w:sz w:val="24"/>
          <w:szCs w:val="24"/>
        </w:rPr>
        <w:t xml:space="preserve"> </w:t>
      </w:r>
    </w:p>
    <w:p w14:paraId="39703F61" w14:textId="77777777" w:rsidR="00805DD3" w:rsidRDefault="00000000">
      <w:pPr>
        <w:widowControl w:val="0"/>
        <w:spacing w:before="200" w:line="240" w:lineRule="auto"/>
        <w:jc w:val="both"/>
        <w:rPr>
          <w:rFonts w:ascii="Garamond" w:eastAsia="Garamond" w:hAnsi="Garamond" w:cs="Garamond"/>
          <w:sz w:val="24"/>
          <w:szCs w:val="24"/>
        </w:rPr>
      </w:pPr>
      <w:r>
        <w:rPr>
          <w:rFonts w:ascii="Garamond" w:eastAsia="Garamond" w:hAnsi="Garamond" w:cs="Garamond"/>
          <w:sz w:val="24"/>
          <w:szCs w:val="24"/>
        </w:rPr>
        <w:t>Casos como el de la Ciudad de México demuestran que, mientras el aborto permanezca en los códigos penales, el fenómeno de la criminalización persistirá. Esto tiene un impacto que trasciende la privación de la libertad de las personas gestantes. Las leyes que penalizan el aborto, de forma parcial o total, contribuyen a crear y reforzar un entorno de control, vigilancia y estigmatización hacia las mujeres y las personas gestantes; es decir, promueven que se les denuncie y se les impongan barreras significativas para acceder al servicio, lo que limita su autonomía y sus derechos reproductivos.</w:t>
      </w:r>
    </w:p>
    <w:p w14:paraId="223C4D1F" w14:textId="77777777" w:rsidR="00805DD3" w:rsidRDefault="00000000">
      <w:pPr>
        <w:widowControl w:val="0"/>
        <w:spacing w:before="200" w:line="240" w:lineRule="auto"/>
        <w:jc w:val="both"/>
        <w:rPr>
          <w:rFonts w:ascii="Garamond" w:eastAsia="Garamond" w:hAnsi="Garamond" w:cs="Garamond"/>
          <w:sz w:val="24"/>
          <w:szCs w:val="24"/>
        </w:rPr>
      </w:pPr>
      <w:r>
        <w:rPr>
          <w:rFonts w:ascii="Garamond" w:eastAsia="Garamond" w:hAnsi="Garamond" w:cs="Garamond"/>
          <w:sz w:val="24"/>
          <w:szCs w:val="24"/>
        </w:rPr>
        <w:t xml:space="preserve">Esta criminalización también se refleja en la severidad de las medidas que enfrentan las personas acusadas. La prisión preventiva, por ejemplo, es la medida cautelar más restrictiva de la libertad. Entre enero de 2012 y diciembre de 2022, con base en respuestas obtenidas vía SAI, se identificó que a 66 personas se les impuso esta medida por el delito de aborto: 40 hombres, 14 mujeres y 12 personas sin dato. Destaca el caso de Sonora, con 17 personas (11 hombres y 6 mujeres), lo que la convierte en la entidad con más mujeres en prisión </w:t>
      </w:r>
      <w:r>
        <w:rPr>
          <w:rFonts w:ascii="Garamond" w:eastAsia="Garamond" w:hAnsi="Garamond" w:cs="Garamond"/>
          <w:sz w:val="24"/>
          <w:szCs w:val="24"/>
        </w:rPr>
        <w:lastRenderedPageBreak/>
        <w:t>preventiva por este motivo. Por otro lado, durante el mismo periodo se emitieron 142 sentencias por aborto a nivel nacional: 99 condenatorias y 15 absolutorias.</w:t>
      </w:r>
      <w:r>
        <w:rPr>
          <w:rFonts w:ascii="Garamond" w:eastAsia="Garamond" w:hAnsi="Garamond" w:cs="Garamond"/>
          <w:sz w:val="24"/>
          <w:szCs w:val="24"/>
          <w:vertAlign w:val="superscript"/>
        </w:rPr>
        <w:footnoteReference w:id="10"/>
      </w:r>
    </w:p>
    <w:p w14:paraId="7E6772C7" w14:textId="367E5864" w:rsidR="00805DD3" w:rsidRDefault="00000000">
      <w:pPr>
        <w:spacing w:before="240" w:after="240" w:line="240" w:lineRule="auto"/>
        <w:jc w:val="both"/>
        <w:rPr>
          <w:rFonts w:ascii="Garamond" w:eastAsia="Garamond" w:hAnsi="Garamond" w:cs="Garamond"/>
          <w:sz w:val="24"/>
          <w:szCs w:val="24"/>
        </w:rPr>
      </w:pPr>
      <w:r>
        <w:rPr>
          <w:rFonts w:ascii="Garamond" w:eastAsia="Garamond" w:hAnsi="Garamond" w:cs="Garamond"/>
          <w:sz w:val="24"/>
          <w:szCs w:val="24"/>
        </w:rPr>
        <w:t>Como parte de sus labores, GIRE brinda acompañamiento médico, psicológico y jurídico en situaciones de criminalización relacionadas con el aborto, siempre que las personas afectadas den su consentimiento para emprender acciones integrales. También documenta los casos en los que fue posible entrevistar a la persona involucrada, y registra aquellos que se conocen a través de notas periodísticas o información proporcionada por autoridades u organizaciones civiles. Entre 2012 y 2023, GIRE atendió 46 casos de criminalización de mujeres, de sus familiares o de personas que las auxiliaron en el proceso de aborto. De ese total, acompañó 27 de forma directa.</w:t>
      </w:r>
    </w:p>
    <w:p w14:paraId="61AB384C" w14:textId="2811C3C1" w:rsidR="00805DD3" w:rsidRDefault="00000000">
      <w:pPr>
        <w:spacing w:before="240" w:after="240" w:line="240" w:lineRule="auto"/>
        <w:jc w:val="both"/>
        <w:rPr>
          <w:rFonts w:ascii="Garamond" w:eastAsia="Garamond" w:hAnsi="Garamond" w:cs="Garamond"/>
          <w:sz w:val="24"/>
          <w:szCs w:val="24"/>
        </w:rPr>
      </w:pPr>
      <w:r>
        <w:rPr>
          <w:rFonts w:ascii="Garamond" w:eastAsia="Garamond" w:hAnsi="Garamond" w:cs="Garamond"/>
          <w:sz w:val="24"/>
          <w:szCs w:val="24"/>
        </w:rPr>
        <w:t xml:space="preserve">El análisis de estos 27 casos muestra que no todas las personas denunciadas tenían pleno conocimiento de estar embarazadas o sufrieron abortos espontáneos; sin embargo, en todos ellos fueron criminalizadas. Los casos acompañados por GIRE reflejan una serie de violaciones a la autonomía y los derechos reproductivos de las mujeres y personas gestantes. La regulación del aborto en los códigos penales ha ocasionado que el personal de salud actúe como ente de vigilancia, lo que propicia que se inicien procedimientos penales incluso cuando no hay evidencia de que se haya cometido un delito. Además, existe una aplicación desproporcionada de la fuerza penal contra las mujeres y personas gestantes que se encuentran en condiciones de vulnerabilidad, ya sea económica, social y/o educativa. </w:t>
      </w:r>
    </w:p>
    <w:p w14:paraId="009BAD21" w14:textId="77777777" w:rsidR="00805DD3" w:rsidRDefault="00000000">
      <w:pPr>
        <w:spacing w:before="240" w:after="240" w:line="240" w:lineRule="auto"/>
        <w:jc w:val="both"/>
        <w:rPr>
          <w:rFonts w:ascii="Garamond" w:eastAsia="Garamond" w:hAnsi="Garamond" w:cs="Garamond"/>
          <w:sz w:val="24"/>
          <w:szCs w:val="24"/>
        </w:rPr>
      </w:pPr>
      <w:r>
        <w:rPr>
          <w:rFonts w:ascii="Garamond" w:eastAsia="Garamond" w:hAnsi="Garamond" w:cs="Garamond"/>
          <w:sz w:val="24"/>
          <w:szCs w:val="24"/>
        </w:rPr>
        <w:t xml:space="preserve">Todos estos datos confirman que regular el aborto a través del derecho penal conlleva múltiples riesgos: intensifica la persecución de quienes deciden realizarlo, perpetúa la violencia estructural al reforzar el estigma en torno al tema y representa una intromisión en los planes de vida de las mujeres y personas gestantes. Por ello, es urgente dejar atrás su regulación punitiva y hacer énfasis en reconocerlo como un asunto de derechos humanos, en particular en relación con el derecho a la salud y la autonomía reproductiva. </w:t>
      </w:r>
    </w:p>
    <w:p w14:paraId="6F4D8594" w14:textId="39DEACD6" w:rsidR="00805DD3" w:rsidRDefault="00000000">
      <w:pPr>
        <w:spacing w:before="240" w:after="240" w:line="240" w:lineRule="auto"/>
        <w:jc w:val="both"/>
        <w:rPr>
          <w:rFonts w:ascii="Garamond" w:eastAsia="Garamond" w:hAnsi="Garamond" w:cs="Garamond"/>
          <w:sz w:val="24"/>
          <w:szCs w:val="24"/>
        </w:rPr>
      </w:pPr>
      <w:r>
        <w:rPr>
          <w:rFonts w:ascii="Garamond" w:eastAsia="Garamond" w:hAnsi="Garamond" w:cs="Garamond"/>
          <w:sz w:val="24"/>
          <w:szCs w:val="24"/>
        </w:rPr>
        <w:t>Garantizar el acceso efectivo a los servicios de aborto también requiere eliminar las barreras que persisten dentro del sistema de salud, como el uso indebido de la objeción de conciencia. En México esta posición fue regulada en la Ley General de Salud (LGS) y en la NOM 046. Por su parte, la LGV, desde su promulgación en 2013, indica que se debe garantizar el acceso a los servicios de interrupción voluntaria del embarazo (IVE) para las víctimas de violencia sexual y de otras conductas que afecten su integridad física o psicológica.</w:t>
      </w:r>
    </w:p>
    <w:p w14:paraId="0C0A809F" w14:textId="77777777" w:rsidR="00805DD3" w:rsidRDefault="00000000">
      <w:pPr>
        <w:spacing w:before="240" w:after="240" w:line="240" w:lineRule="auto"/>
        <w:jc w:val="both"/>
        <w:rPr>
          <w:rFonts w:ascii="Garamond" w:eastAsia="Garamond" w:hAnsi="Garamond" w:cs="Garamond"/>
          <w:sz w:val="24"/>
          <w:szCs w:val="24"/>
        </w:rPr>
      </w:pPr>
      <w:r>
        <w:rPr>
          <w:rFonts w:ascii="Garamond" w:eastAsia="Garamond" w:hAnsi="Garamond" w:cs="Garamond"/>
          <w:sz w:val="24"/>
          <w:szCs w:val="24"/>
        </w:rPr>
        <w:t xml:space="preserve">En 2016 se reformó la NOM 046 con la finalidad de alinear su contenido con lo dispuesto por la LGV. Se modificaron los puntos 6.4.2.7 y 6.4.2.8 para establecer la obligación de las instituciones públicas de atención médica de contar con personal dispuesto, capacitado y disponible para brindar servicios de salud, incluido el aborto, a víctimas de violencia sexual. Además, si en algún momento no se pudiera prestar el servicio de interrupción del embarazo de manera oportuna y adecuada, se señaló la obligación de referir a las personas usuarias a otra institución que pueda atenderlas. Con esta reforma quedó claro que las instituciones de salud no pueden declararse objetoras en su conjunto, pues es un derecho individual que solo puede ejercer el personal de salud involucrado en el procedimiento de forma directa. </w:t>
      </w:r>
    </w:p>
    <w:p w14:paraId="09F50A8A" w14:textId="77777777" w:rsidR="00805DD3" w:rsidRDefault="00000000">
      <w:pPr>
        <w:spacing w:before="240" w:after="240" w:line="240" w:lineRule="auto"/>
        <w:jc w:val="both"/>
        <w:rPr>
          <w:rFonts w:ascii="Garamond" w:eastAsia="Garamond" w:hAnsi="Garamond" w:cs="Garamond"/>
          <w:sz w:val="24"/>
          <w:szCs w:val="24"/>
        </w:rPr>
      </w:pPr>
      <w:r>
        <w:rPr>
          <w:rFonts w:ascii="Garamond" w:eastAsia="Garamond" w:hAnsi="Garamond" w:cs="Garamond"/>
          <w:sz w:val="24"/>
          <w:szCs w:val="24"/>
        </w:rPr>
        <w:t xml:space="preserve">No obstante, el 22 de marzo del 2018, el Senado de la República aprobó la adición del artículo 10 bis a la LGS. La reforma estableció que el personal médico y de enfermería que perteneciera al Sistema Nacional de Salud tendría derecho a ejercer la objeción de conciencia para no prestar aquellos servicios a los que están obligados por la ley si eran contrarios a sus convicciones. La única excepción prevista eran los casos en que se pusiera en riesgo la vida de la persona usuaria o se tratara de una urgencia médica. Si bien esta disposición no mencionaba </w:t>
      </w:r>
      <w:r>
        <w:rPr>
          <w:rFonts w:ascii="Garamond" w:eastAsia="Garamond" w:hAnsi="Garamond" w:cs="Garamond"/>
          <w:sz w:val="24"/>
          <w:szCs w:val="24"/>
        </w:rPr>
        <w:lastRenderedPageBreak/>
        <w:t>de forma explícita la prestación de servicios de salud reproductiva, su redacción daba pie para que la objeción de conciencia se utilizara como una barrera para que las mujeres y otras personas con capacidad de gestar accedieran a servicios de salud.</w:t>
      </w:r>
    </w:p>
    <w:p w14:paraId="18A1FB25" w14:textId="655A6718" w:rsidR="00805DD3" w:rsidRDefault="004B13FA">
      <w:pPr>
        <w:spacing w:before="240" w:after="240" w:line="240" w:lineRule="auto"/>
        <w:jc w:val="both"/>
        <w:rPr>
          <w:rFonts w:ascii="Garamond" w:eastAsia="Garamond" w:hAnsi="Garamond" w:cs="Garamond"/>
          <w:sz w:val="24"/>
          <w:szCs w:val="24"/>
        </w:rPr>
      </w:pPr>
      <w:r>
        <w:rPr>
          <w:rFonts w:ascii="Garamond" w:eastAsia="Garamond" w:hAnsi="Garamond" w:cs="Garamond"/>
          <w:sz w:val="24"/>
          <w:szCs w:val="24"/>
        </w:rPr>
        <w:t xml:space="preserve">El aborto era uno de los procedimientos médicos en riesgo de quedar obstaculizados por esta reforma, pues el aborto es uno de los servicios de salud que pueden entrar en conflicto con la libertad de conciencia. Así, la redacción del artículo permitía que el personal de salud se negara a realizar abortos legales, sin garantizar que las mujeres y otras personas gestantes fueran atendidas por personal no objetor de conciencia. Es decir, implicaría tolerar actos de discriminación y violar el derecho a la salud. </w:t>
      </w:r>
    </w:p>
    <w:p w14:paraId="192C77F6" w14:textId="107455EE" w:rsidR="00805DD3" w:rsidRDefault="00000000">
      <w:pPr>
        <w:spacing w:before="240" w:after="240" w:line="240" w:lineRule="auto"/>
        <w:jc w:val="both"/>
        <w:rPr>
          <w:rFonts w:ascii="Garamond" w:eastAsia="Garamond" w:hAnsi="Garamond" w:cs="Garamond"/>
          <w:sz w:val="24"/>
          <w:szCs w:val="24"/>
        </w:rPr>
      </w:pPr>
      <w:r>
        <w:rPr>
          <w:rFonts w:ascii="Garamond" w:eastAsia="Garamond" w:hAnsi="Garamond" w:cs="Garamond"/>
          <w:sz w:val="24"/>
          <w:szCs w:val="24"/>
        </w:rPr>
        <w:t>En 2021, la SCJN, al resolver la Acción de Inconstitucionalidad 54/2018, determinó que la objeción de conciencia no es un derecho absoluto, por lo que no se puede invocar en cualquier circunstancia ni bajo cualquier modalidad. A partir de esta sentencia, quedó establecido que, para que su reglamentación y ejercicio sean válidos, debe ceñirse a ciertos límites; entre ellos, que sea de carácter individual, que se trate de una auténtica contradicción de conciencia en un contexto constitucional y democrático y que no afecte los derechos humanos de otras personas. Solo bajo estos criterios es posible proteger de forma efectiva los derechos de las mujeres y otras personas gestantes, reconocidos tanto en la Constitución como en las leyes sanitarias del país. El Estado, en consecuencia, tiene la obligación de garantizarlos en tiempo, con calidad y sin discriminación.</w:t>
      </w:r>
    </w:p>
    <w:p w14:paraId="5A02D0B6" w14:textId="5A113A4A" w:rsidR="00805DD3" w:rsidRDefault="00000000">
      <w:pPr>
        <w:spacing w:before="240" w:after="240" w:line="240" w:lineRule="auto"/>
        <w:jc w:val="both"/>
        <w:rPr>
          <w:rFonts w:ascii="Garamond" w:eastAsia="Garamond" w:hAnsi="Garamond" w:cs="Garamond"/>
          <w:sz w:val="24"/>
          <w:szCs w:val="24"/>
        </w:rPr>
      </w:pPr>
      <w:r>
        <w:rPr>
          <w:rFonts w:ascii="Garamond" w:eastAsia="Garamond" w:hAnsi="Garamond" w:cs="Garamond"/>
          <w:sz w:val="24"/>
          <w:szCs w:val="24"/>
        </w:rPr>
        <w:t xml:space="preserve">La OMS, en sus </w:t>
      </w:r>
      <w:r>
        <w:rPr>
          <w:rFonts w:ascii="Garamond" w:eastAsia="Garamond" w:hAnsi="Garamond" w:cs="Garamond"/>
          <w:i/>
          <w:sz w:val="24"/>
          <w:szCs w:val="24"/>
        </w:rPr>
        <w:t>Directrices sobre la atención para el aborto</w:t>
      </w:r>
      <w:r>
        <w:rPr>
          <w:rFonts w:ascii="Garamond" w:eastAsia="Garamond" w:hAnsi="Garamond" w:cs="Garamond"/>
          <w:sz w:val="24"/>
          <w:szCs w:val="24"/>
        </w:rPr>
        <w:t>, recomienda a los Estados regular la objeción de conciencia para proteger el acceso integral a ese servicio. Dado que tienen la obligación de ofrecer las mejores prácticas clínicas internacionales y salvaguardar los derechos de las personas que soliciten un aborto, deben asegurar que la negativa del personal de salud no socave ni obstaculice el acceso a un servicio seguro y de calidad.</w:t>
      </w:r>
      <w:r>
        <w:rPr>
          <w:rFonts w:ascii="Garamond" w:eastAsia="Garamond" w:hAnsi="Garamond" w:cs="Garamond"/>
          <w:sz w:val="24"/>
          <w:szCs w:val="24"/>
          <w:vertAlign w:val="superscript"/>
        </w:rPr>
        <w:footnoteReference w:id="11"/>
      </w:r>
      <w:r>
        <w:rPr>
          <w:rFonts w:ascii="Garamond" w:eastAsia="Garamond" w:hAnsi="Garamond" w:cs="Garamond"/>
          <w:sz w:val="24"/>
          <w:szCs w:val="24"/>
        </w:rPr>
        <w:t xml:space="preserve"> Por eso, esta posición no puede ejercerse en situaciones de emergencia, ya que debe garantizarse el respeto, la protección y el cumplimiento de los derechos humanos de las personas que solicitan un aborto; en específico, en casos de emergencia médica, como las interrupciones voluntarias de embarazos causados por violencia sexual. </w:t>
      </w:r>
    </w:p>
    <w:p w14:paraId="390DC6BC" w14:textId="53C717C2" w:rsidR="00805DD3" w:rsidRDefault="00000000">
      <w:pPr>
        <w:spacing w:before="240" w:after="240" w:line="240" w:lineRule="auto"/>
        <w:jc w:val="both"/>
        <w:rPr>
          <w:rFonts w:ascii="Garamond" w:eastAsia="Garamond" w:hAnsi="Garamond" w:cs="Garamond"/>
          <w:sz w:val="24"/>
          <w:szCs w:val="24"/>
        </w:rPr>
      </w:pPr>
      <w:r>
        <w:rPr>
          <w:rFonts w:ascii="Garamond" w:eastAsia="Garamond" w:hAnsi="Garamond" w:cs="Garamond"/>
          <w:sz w:val="24"/>
          <w:szCs w:val="24"/>
        </w:rPr>
        <w:t xml:space="preserve">En otras palabras, la objeción de conciencia nunca debe usarse para restringir o violar los derechos humanos de otras personas, por lo que las instituciones de salud no pueden invocarla como una fórmula para evadir sus obligaciones. Hasta el </w:t>
      </w:r>
      <w:r w:rsidR="004B13FA">
        <w:rPr>
          <w:rFonts w:ascii="Garamond" w:eastAsia="Garamond" w:hAnsi="Garamond" w:cs="Garamond"/>
          <w:sz w:val="24"/>
          <w:szCs w:val="24"/>
        </w:rPr>
        <w:t>22</w:t>
      </w:r>
      <w:r>
        <w:rPr>
          <w:rFonts w:ascii="Garamond" w:eastAsia="Garamond" w:hAnsi="Garamond" w:cs="Garamond"/>
          <w:sz w:val="24"/>
          <w:szCs w:val="24"/>
        </w:rPr>
        <w:t xml:space="preserve"> de mayo de 2025, sigue pendiente que la LGS aborde y regule este tema con perspectiva de derechos humanos. </w:t>
      </w:r>
    </w:p>
    <w:p w14:paraId="608DF45C" w14:textId="77777777" w:rsidR="00805DD3" w:rsidRDefault="00000000">
      <w:pPr>
        <w:widowControl w:val="0"/>
        <w:pBdr>
          <w:top w:val="nil"/>
          <w:left w:val="nil"/>
          <w:bottom w:val="nil"/>
          <w:right w:val="nil"/>
          <w:between w:val="nil"/>
        </w:pBdr>
        <w:spacing w:before="200" w:line="240" w:lineRule="auto"/>
        <w:ind w:left="371"/>
        <w:rPr>
          <w:rFonts w:ascii="Garamond" w:eastAsia="Garamond" w:hAnsi="Garamond" w:cs="Garamond"/>
          <w:b/>
          <w:sz w:val="24"/>
          <w:szCs w:val="24"/>
        </w:rPr>
      </w:pPr>
      <w:r>
        <w:rPr>
          <w:rFonts w:ascii="Garamond" w:eastAsia="Garamond" w:hAnsi="Garamond" w:cs="Garamond"/>
          <w:b/>
          <w:color w:val="000000"/>
          <w:sz w:val="24"/>
          <w:szCs w:val="24"/>
        </w:rPr>
        <w:t>III. Salud reproductiva</w:t>
      </w:r>
    </w:p>
    <w:p w14:paraId="40E45400" w14:textId="77777777" w:rsidR="00805DD3" w:rsidRDefault="00000000">
      <w:pPr>
        <w:widowControl w:val="0"/>
        <w:numPr>
          <w:ilvl w:val="0"/>
          <w:numId w:val="1"/>
        </w:numPr>
        <w:pBdr>
          <w:top w:val="nil"/>
          <w:left w:val="nil"/>
          <w:bottom w:val="nil"/>
          <w:right w:val="nil"/>
          <w:between w:val="nil"/>
        </w:pBdr>
        <w:spacing w:before="200" w:line="240" w:lineRule="auto"/>
        <w:rPr>
          <w:rFonts w:ascii="Garamond" w:eastAsia="Garamond" w:hAnsi="Garamond" w:cs="Garamond"/>
          <w:b/>
          <w:sz w:val="24"/>
          <w:szCs w:val="24"/>
        </w:rPr>
      </w:pPr>
      <w:r>
        <w:rPr>
          <w:rFonts w:ascii="Garamond" w:eastAsia="Garamond" w:hAnsi="Garamond" w:cs="Garamond"/>
          <w:b/>
          <w:color w:val="000000"/>
          <w:sz w:val="24"/>
          <w:szCs w:val="24"/>
        </w:rPr>
        <w:t xml:space="preserve">Muerte materna </w:t>
      </w:r>
    </w:p>
    <w:p w14:paraId="12775108" w14:textId="7199E189" w:rsidR="00805DD3" w:rsidRDefault="00000000">
      <w:pPr>
        <w:widowControl w:val="0"/>
        <w:pBdr>
          <w:top w:val="nil"/>
          <w:left w:val="nil"/>
          <w:bottom w:val="nil"/>
          <w:right w:val="nil"/>
          <w:between w:val="nil"/>
        </w:pBdr>
        <w:spacing w:before="200" w:line="240" w:lineRule="auto"/>
        <w:ind w:firstLine="2"/>
        <w:jc w:val="both"/>
        <w:rPr>
          <w:rFonts w:ascii="Garamond" w:eastAsia="Garamond" w:hAnsi="Garamond" w:cs="Garamond"/>
          <w:sz w:val="24"/>
          <w:szCs w:val="24"/>
        </w:rPr>
      </w:pPr>
      <w:r>
        <w:rPr>
          <w:rFonts w:ascii="Garamond" w:eastAsia="Garamond" w:hAnsi="Garamond" w:cs="Garamond"/>
          <w:sz w:val="24"/>
          <w:szCs w:val="24"/>
        </w:rPr>
        <w:t>En México, los niveles de mortalidad materna no han reducido conforme a los compromisos asumidos por el Estado. A pesar de los Objetivos de Desarrollo del Milenio (ODM)</w:t>
      </w:r>
      <w:r>
        <w:rPr>
          <w:rFonts w:ascii="Garamond" w:eastAsia="Garamond" w:hAnsi="Garamond" w:cs="Garamond"/>
          <w:sz w:val="24"/>
          <w:szCs w:val="24"/>
          <w:vertAlign w:val="superscript"/>
        </w:rPr>
        <w:footnoteReference w:id="12"/>
      </w:r>
      <w:r>
        <w:rPr>
          <w:rFonts w:ascii="Garamond" w:eastAsia="Garamond" w:hAnsi="Garamond" w:cs="Garamond"/>
          <w:sz w:val="24"/>
          <w:szCs w:val="24"/>
        </w:rPr>
        <w:t xml:space="preserve"> y, más recientemente, </w:t>
      </w:r>
      <w:r w:rsidR="004B13FA">
        <w:rPr>
          <w:rFonts w:ascii="Garamond" w:eastAsia="Garamond" w:hAnsi="Garamond" w:cs="Garamond"/>
          <w:sz w:val="24"/>
          <w:szCs w:val="24"/>
        </w:rPr>
        <w:t>de lo señalado en</w:t>
      </w:r>
      <w:r>
        <w:rPr>
          <w:rFonts w:ascii="Garamond" w:eastAsia="Garamond" w:hAnsi="Garamond" w:cs="Garamond"/>
          <w:sz w:val="24"/>
          <w:szCs w:val="24"/>
        </w:rPr>
        <w:t xml:space="preserve"> la Declaración de Nairobi —que plantea el objetivo de cero muertes maternas prevenibles para 2030—, el país no ha logrado reducir de forma sustancial su razón de muerte materna (RMM). De hecho, la crisis sanitaria derivada del SARS-CoV-2 agudizó esta situación: mientras en 2019 la RMM fue de 37.9, en 2020 aumentó a </w:t>
      </w:r>
      <w:r>
        <w:rPr>
          <w:rFonts w:ascii="Garamond" w:eastAsia="Garamond" w:hAnsi="Garamond" w:cs="Garamond"/>
          <w:sz w:val="24"/>
          <w:szCs w:val="24"/>
        </w:rPr>
        <w:lastRenderedPageBreak/>
        <w:t>60.96,</w:t>
      </w:r>
      <w:r>
        <w:rPr>
          <w:rFonts w:ascii="Garamond" w:eastAsia="Garamond" w:hAnsi="Garamond" w:cs="Garamond"/>
          <w:sz w:val="24"/>
          <w:szCs w:val="24"/>
          <w:vertAlign w:val="superscript"/>
        </w:rPr>
        <w:footnoteReference w:id="13"/>
      </w:r>
      <w:r>
        <w:rPr>
          <w:rFonts w:ascii="Garamond" w:eastAsia="Garamond" w:hAnsi="Garamond" w:cs="Garamond"/>
          <w:sz w:val="24"/>
          <w:szCs w:val="24"/>
        </w:rPr>
        <w:t xml:space="preserve"> y en 2021 alcanzó su punto más alto, con 66.54 defunciones por cada cien mil nacidos vivos, el peor registro desde 1992.</w:t>
      </w:r>
      <w:r>
        <w:rPr>
          <w:rFonts w:ascii="Garamond" w:eastAsia="Garamond" w:hAnsi="Garamond" w:cs="Garamond"/>
          <w:sz w:val="24"/>
          <w:szCs w:val="24"/>
          <w:vertAlign w:val="superscript"/>
        </w:rPr>
        <w:footnoteReference w:id="14"/>
      </w:r>
      <w:r>
        <w:rPr>
          <w:rFonts w:ascii="Garamond" w:eastAsia="Garamond" w:hAnsi="Garamond" w:cs="Garamond"/>
          <w:sz w:val="24"/>
          <w:szCs w:val="24"/>
        </w:rPr>
        <w:t xml:space="preserve"> Esto sugiere que los contagios por covid-19 —ya sea como causa directa o como una barrera por la que las personas gestantes no pudieron recibir la atención médica adecuada— tuvieron un impacto directo en las defunciones maternas. La mortalidad materna debe abordarse desde una perspectiva de justicia reproductiva, de modo que su monitoreo lleve a entender las causas estructurales de fondo y a emitir recomendaciones de corto, mediano y largo plazo para erradicarla. Además de considerar las desigualdades por sexo y género, este enfoque debe incluir condiciones como la edad, la situación socioeconómica y la </w:t>
      </w:r>
      <w:proofErr w:type="spellStart"/>
      <w:r>
        <w:rPr>
          <w:rFonts w:ascii="Garamond" w:eastAsia="Garamond" w:hAnsi="Garamond" w:cs="Garamond"/>
          <w:sz w:val="24"/>
          <w:szCs w:val="24"/>
        </w:rPr>
        <w:t>autoadscripción</w:t>
      </w:r>
      <w:proofErr w:type="spellEnd"/>
      <w:r>
        <w:rPr>
          <w:rFonts w:ascii="Garamond" w:eastAsia="Garamond" w:hAnsi="Garamond" w:cs="Garamond"/>
          <w:sz w:val="24"/>
          <w:szCs w:val="24"/>
        </w:rPr>
        <w:t xml:space="preserve"> étnica o racial.</w:t>
      </w:r>
      <w:r>
        <w:rPr>
          <w:rFonts w:ascii="Garamond" w:eastAsia="Garamond" w:hAnsi="Garamond" w:cs="Garamond"/>
          <w:sz w:val="24"/>
          <w:szCs w:val="24"/>
          <w:vertAlign w:val="superscript"/>
        </w:rPr>
        <w:footnoteReference w:id="15"/>
      </w:r>
    </w:p>
    <w:p w14:paraId="066C48E5" w14:textId="77777777" w:rsidR="00805DD3" w:rsidRDefault="00000000">
      <w:pPr>
        <w:widowControl w:val="0"/>
        <w:pBdr>
          <w:top w:val="nil"/>
          <w:left w:val="nil"/>
          <w:bottom w:val="nil"/>
          <w:right w:val="nil"/>
          <w:between w:val="nil"/>
        </w:pBdr>
        <w:spacing w:before="200" w:line="240" w:lineRule="auto"/>
        <w:ind w:firstLine="2"/>
        <w:jc w:val="both"/>
        <w:rPr>
          <w:rFonts w:ascii="Garamond" w:eastAsia="Garamond" w:hAnsi="Garamond" w:cs="Garamond"/>
          <w:sz w:val="24"/>
          <w:szCs w:val="24"/>
        </w:rPr>
      </w:pPr>
      <w:r>
        <w:rPr>
          <w:rFonts w:ascii="Garamond" w:eastAsia="Garamond" w:hAnsi="Garamond" w:cs="Garamond"/>
          <w:sz w:val="24"/>
          <w:szCs w:val="24"/>
        </w:rPr>
        <w:t>De acuerdo con datos del INEGI, entre 2009 y 2015 se observó una tendencia a la baja en este indicador en México; sin embargo, entre 2015 y 2019 hubo un estancamiento. Si la disminución hubiera continuado al mismo ritmo, el país habría alcanzado los ODM —que implicaban reducir la RMM un 75 % para el año 2015— en el año 2032. Al hacer un análisis de este indicador por entidad federativa, destaca que entre 2019 y 2021 la situación se agravó en todas, excepto en Tlaxcala. Ahora bien, al dividir el periodo en dos se observa lo siguiente: de 2019 a 2020, la RMM disminuyó en Durango, Colima, Baja California Sur y Querétaro; de 2020 a 2021, trece entidades registraron una mejora (sobresalen los casos de Tlaxcala, Tabasco y Zacatecas, que lograron reducciones porcentuales mayores al 30 %). Por otro lado, el caso de Campeche resulta especialmente preocupante. En 2019, esta entidad se posicionó como la tercera con menor RMM, con 16.16 muertes maternas por cada 100.000 nacimientos con vida. En 2020, la cifra se cuadruplicó, alcanzando 73.09, y en 2021 subió a 89.78, lo que representa un incremento del 22.83 por ciento con respecto al año anterior. En solo dos años, la RMM en Campeche se multiplicó casi seis veces, lo que la coloca como la quinta entidad con las peores cifras durante la pandemia.</w:t>
      </w:r>
      <w:r>
        <w:rPr>
          <w:rFonts w:ascii="Garamond" w:eastAsia="Garamond" w:hAnsi="Garamond" w:cs="Garamond"/>
          <w:sz w:val="24"/>
          <w:szCs w:val="24"/>
          <w:vertAlign w:val="superscript"/>
        </w:rPr>
        <w:footnoteReference w:id="16"/>
      </w:r>
    </w:p>
    <w:p w14:paraId="03353A62" w14:textId="6E0E3A3E" w:rsidR="00805DD3" w:rsidRPr="00AB404E" w:rsidRDefault="00000000" w:rsidP="00AB404E">
      <w:pPr>
        <w:widowControl w:val="0"/>
        <w:spacing w:before="200" w:line="240" w:lineRule="auto"/>
        <w:ind w:left="4" w:right="11" w:firstLine="6"/>
        <w:jc w:val="both"/>
        <w:rPr>
          <w:rFonts w:ascii="Garamond" w:eastAsia="Garamond" w:hAnsi="Garamond" w:cs="Garamond"/>
          <w:sz w:val="24"/>
          <w:szCs w:val="24"/>
        </w:rPr>
      </w:pPr>
      <w:r>
        <w:rPr>
          <w:rFonts w:ascii="Garamond" w:eastAsia="Garamond" w:hAnsi="Garamond" w:cs="Garamond"/>
          <w:sz w:val="24"/>
          <w:szCs w:val="24"/>
        </w:rPr>
        <w:t xml:space="preserve">Respecto al lugar donde ocurren las defunciones maternas, la Secretaría de Salud concentra el 49 por ciento, seguida por el Instituto Mexicano del Seguro Social (IMSS), con 25 por ciento, y los casos ocurridos en el hogar, que representan el 8.5 por ciento. En términos generales, no se observaron cambios significativos en esta distribución durante los años afectados por la pandemia. </w:t>
      </w:r>
      <w:r w:rsidR="004B13FA">
        <w:rPr>
          <w:rFonts w:ascii="Garamond" w:eastAsia="Garamond" w:hAnsi="Garamond" w:cs="Garamond"/>
          <w:sz w:val="24"/>
          <w:szCs w:val="24"/>
        </w:rPr>
        <w:t>En cuanto a características sociodemográficas, m</w:t>
      </w:r>
      <w:r>
        <w:rPr>
          <w:rFonts w:ascii="Garamond" w:eastAsia="Garamond" w:hAnsi="Garamond" w:cs="Garamond"/>
          <w:sz w:val="24"/>
          <w:szCs w:val="24"/>
        </w:rPr>
        <w:t>ás del 80 por ciento de las defunciones maternas correspondieron a personas entre 20 y 39 años, y una de cada diez personas hablaba alguna lengua indígena.</w:t>
      </w:r>
      <w:r w:rsidR="00AB404E">
        <w:rPr>
          <w:rFonts w:ascii="Garamond" w:eastAsia="Garamond" w:hAnsi="Garamond" w:cs="Garamond"/>
          <w:sz w:val="24"/>
          <w:szCs w:val="24"/>
        </w:rPr>
        <w:t xml:space="preserve"> </w:t>
      </w:r>
      <w:r>
        <w:rPr>
          <w:rFonts w:ascii="Garamond" w:eastAsia="Garamond" w:hAnsi="Garamond" w:cs="Garamond"/>
          <w:sz w:val="24"/>
          <w:szCs w:val="24"/>
        </w:rPr>
        <w:t xml:space="preserve">En </w:t>
      </w:r>
      <w:r w:rsidR="004B13FA">
        <w:rPr>
          <w:rFonts w:ascii="Garamond" w:eastAsia="Garamond" w:hAnsi="Garamond" w:cs="Garamond"/>
          <w:sz w:val="24"/>
          <w:szCs w:val="24"/>
        </w:rPr>
        <w:t>términos de</w:t>
      </w:r>
      <w:r>
        <w:rPr>
          <w:rFonts w:ascii="Garamond" w:eastAsia="Garamond" w:hAnsi="Garamond" w:cs="Garamond"/>
          <w:sz w:val="24"/>
          <w:szCs w:val="24"/>
        </w:rPr>
        <w:t xml:space="preserve"> escolaridad, más del 60 por ciento de las muertes maternas ocurrieron en personas que tenían, como máximo, la secundaria terminada; dos de cada tres fueron de personas con un nivel educativo equivalente o menor a la educación básica (sin escolaridad, primaria y secundaria). </w:t>
      </w:r>
    </w:p>
    <w:p w14:paraId="2C0D7621" w14:textId="77777777" w:rsidR="00805DD3" w:rsidRDefault="00000000">
      <w:pPr>
        <w:widowControl w:val="0"/>
        <w:spacing w:before="200" w:line="240" w:lineRule="auto"/>
        <w:ind w:left="4" w:right="11" w:firstLine="6"/>
        <w:jc w:val="both"/>
        <w:rPr>
          <w:rFonts w:ascii="Arial Narrow" w:eastAsia="Arial Narrow" w:hAnsi="Arial Narrow" w:cs="Arial Narrow"/>
          <w:sz w:val="24"/>
          <w:szCs w:val="24"/>
        </w:rPr>
      </w:pPr>
      <w:r>
        <w:rPr>
          <w:rFonts w:ascii="Garamond" w:eastAsia="Garamond" w:hAnsi="Garamond" w:cs="Garamond"/>
          <w:sz w:val="24"/>
          <w:szCs w:val="24"/>
        </w:rPr>
        <w:t xml:space="preserve">Esto evidencia que la muerte materna no es solo un indicador de salud, sino también la manifestación de fallas y desigualdades estructurales. Estas atraviesan a quienes se encuentran en situaciones de mayor de vulnerabilidad; por ejemplo, por la falta de acceso a servicios básicos y la marginación territorial que limita la atención oportuna. Frente a ello, la existencia de políticas públicas como el Lineamiento técnico para la implementación y operación de salas de labor parto-recuperación en las redes de servicios (en adelante, el Lineamiento Técnico) representa una herramienta fundamental para atajar esta problemática. Este lineamiento busca garantizar la implementación de entornos habilitantes para la atención oportuna del parto, tales como: la vigilancia y clasificación de embarazo de bajo riesgo; educación centrada en las personas usuarias; </w:t>
      </w:r>
      <w:r>
        <w:rPr>
          <w:rFonts w:ascii="Garamond" w:eastAsia="Garamond" w:hAnsi="Garamond" w:cs="Garamond"/>
          <w:sz w:val="24"/>
          <w:szCs w:val="24"/>
        </w:rPr>
        <w:lastRenderedPageBreak/>
        <w:t>disponibilidad continua; acompañamiento por la red de apoyo de la persona usuaria; y, vigilancia y atención del parto de bajo riesgo centrado en la persona usuaria. No obstante, su eficacia depende de la implementación efectiva y de su articulación con una normativa administrativa armonizada que garantice servicios accesibles, oportunos y culturalmente adecuados en todos los niveles de atención y elimine las brechas existentes en calidad, cobertura y accesibilidad.</w:t>
      </w:r>
    </w:p>
    <w:p w14:paraId="1B799022" w14:textId="77777777" w:rsidR="00805DD3" w:rsidRDefault="00000000">
      <w:pPr>
        <w:widowControl w:val="0"/>
        <w:numPr>
          <w:ilvl w:val="0"/>
          <w:numId w:val="1"/>
        </w:numPr>
        <w:pBdr>
          <w:top w:val="nil"/>
          <w:left w:val="nil"/>
          <w:bottom w:val="nil"/>
          <w:right w:val="nil"/>
          <w:between w:val="nil"/>
        </w:pBdr>
        <w:spacing w:before="200" w:line="240" w:lineRule="auto"/>
        <w:rPr>
          <w:rFonts w:ascii="Garamond" w:eastAsia="Garamond" w:hAnsi="Garamond" w:cs="Garamond"/>
          <w:b/>
          <w:sz w:val="24"/>
          <w:szCs w:val="24"/>
        </w:rPr>
      </w:pPr>
      <w:r>
        <w:rPr>
          <w:rFonts w:ascii="Times New Roman" w:eastAsia="Times New Roman" w:hAnsi="Times New Roman" w:cs="Times New Roman"/>
          <w:b/>
          <w:color w:val="000000"/>
        </w:rPr>
        <w:t xml:space="preserve"> </w:t>
      </w:r>
      <w:r>
        <w:rPr>
          <w:rFonts w:ascii="Garamond" w:eastAsia="Garamond" w:hAnsi="Garamond" w:cs="Garamond"/>
          <w:b/>
          <w:sz w:val="24"/>
          <w:szCs w:val="24"/>
        </w:rPr>
        <w:t>Violencia</w:t>
      </w:r>
      <w:r>
        <w:rPr>
          <w:rFonts w:ascii="Garamond" w:eastAsia="Garamond" w:hAnsi="Garamond" w:cs="Garamond"/>
          <w:b/>
          <w:color w:val="000000"/>
        </w:rPr>
        <w:t xml:space="preserve"> obstétrica </w:t>
      </w:r>
    </w:p>
    <w:p w14:paraId="219B1F0D" w14:textId="77777777" w:rsidR="00805DD3" w:rsidRDefault="00000000">
      <w:pPr>
        <w:widowControl w:val="0"/>
        <w:spacing w:before="200" w:line="240" w:lineRule="auto"/>
        <w:ind w:firstLine="2"/>
        <w:jc w:val="both"/>
        <w:rPr>
          <w:rFonts w:ascii="Garamond" w:eastAsia="Garamond" w:hAnsi="Garamond" w:cs="Garamond"/>
          <w:sz w:val="24"/>
          <w:szCs w:val="24"/>
        </w:rPr>
      </w:pPr>
      <w:r>
        <w:rPr>
          <w:rFonts w:ascii="Garamond" w:eastAsia="Garamond" w:hAnsi="Garamond" w:cs="Garamond"/>
          <w:sz w:val="24"/>
          <w:szCs w:val="24"/>
        </w:rPr>
        <w:t xml:space="preserve">Como parte del rediseño de la Encuesta Nacional sobre la Dinámica de las Relaciones en los Hogares (ENDIREH) que se realizó en 2016, se agregó un apartado sobre las experiencias durante la atención del último parto, con el objetivo de conocer las distintas manifestaciones de violencia obstétrica vividas por las mujeres en edad reproductiva. Ello permitió obtener, por primera vez, información sobre este fenómeno a nivel nacional y estatal. La ENDIREH 2021 retomó este módulo en su totalidad, lo que permitió tener datos comparables a lo largo del tiempo. Si bien la encuesta se aplica con una periodicidad larga —de manera quinquenal—, es una herramienta muy valiosa para el estudio y la posterior atención de las violencias contra las mujeres, ya que permite realizar diagnósticos puntuales en dicha materia. </w:t>
      </w:r>
    </w:p>
    <w:p w14:paraId="57030020" w14:textId="77777777" w:rsidR="00805DD3" w:rsidRDefault="00000000">
      <w:pPr>
        <w:widowControl w:val="0"/>
        <w:spacing w:before="200" w:line="240" w:lineRule="auto"/>
        <w:ind w:firstLine="2"/>
        <w:jc w:val="both"/>
        <w:rPr>
          <w:rFonts w:ascii="Garamond" w:eastAsia="Garamond" w:hAnsi="Garamond" w:cs="Garamond"/>
          <w:sz w:val="24"/>
          <w:szCs w:val="24"/>
        </w:rPr>
      </w:pPr>
      <w:r>
        <w:rPr>
          <w:rFonts w:ascii="Garamond" w:eastAsia="Garamond" w:hAnsi="Garamond" w:cs="Garamond"/>
          <w:sz w:val="24"/>
          <w:szCs w:val="24"/>
        </w:rPr>
        <w:t>A partir de esta comparación, puede concluirse que la violencia obstétrica persiste como una forma sistemática y estructural de violencia de género en los servicios de salud reproductiva. De acuerdo con la ENDIREH 2016, una de cada tres mujeres que tuvo al menos un parto entre 2011 y 2016 sufrió maltrato por parte del personal de salud, lo que representa el 33.4 por ciento de las mujeres en edad reproductiva. Las formas más comunes incluyeron gritos y regaños (37.42 %), retrasos en la atención (34.44 %), ser ignoradas (33.11 %) o ser presionadas para aceptar métodos anticonceptivos (30.9 %).</w:t>
      </w:r>
      <w:r>
        <w:rPr>
          <w:rFonts w:ascii="Garamond" w:eastAsia="Garamond" w:hAnsi="Garamond" w:cs="Garamond"/>
          <w:sz w:val="24"/>
          <w:szCs w:val="24"/>
          <w:vertAlign w:val="superscript"/>
        </w:rPr>
        <w:footnoteReference w:id="17"/>
      </w:r>
      <w:r>
        <w:rPr>
          <w:rFonts w:ascii="Garamond" w:eastAsia="Garamond" w:hAnsi="Garamond" w:cs="Garamond"/>
          <w:sz w:val="24"/>
          <w:szCs w:val="24"/>
        </w:rPr>
        <w:t xml:space="preserve"> Con los datos de la ENDIREH 2021, se observa que la violencia obstétrica se mantuvo prácticamente sin cambios: el 30.9 por ciento de las mujeres que tuvieron al menos un parto en los cinco años previos reportaron haber experimentado al menos una manifestación de este tipo de violencia. Es decir, una de cada tres mujeres todavía enfrentaba algún tipo de violencia obstétrica durante su último parto. Este fenómeno es alarmante, ya que demuestra que, a pesar de contar con un marco normativo y políticas públicas orientadas a su prevención, no se ha logrado un avance significativo en la eliminación de estas prácticas.</w:t>
      </w:r>
      <w:r>
        <w:rPr>
          <w:rFonts w:ascii="Garamond" w:eastAsia="Garamond" w:hAnsi="Garamond" w:cs="Garamond"/>
          <w:sz w:val="24"/>
          <w:szCs w:val="24"/>
          <w:vertAlign w:val="superscript"/>
        </w:rPr>
        <w:footnoteReference w:id="18"/>
      </w:r>
    </w:p>
    <w:p w14:paraId="2928B3A1" w14:textId="77777777" w:rsidR="00805DD3" w:rsidRDefault="00000000">
      <w:pPr>
        <w:widowControl w:val="0"/>
        <w:spacing w:before="200" w:line="240" w:lineRule="auto"/>
        <w:ind w:firstLine="2"/>
        <w:jc w:val="both"/>
        <w:rPr>
          <w:rFonts w:ascii="Garamond" w:eastAsia="Garamond" w:hAnsi="Garamond" w:cs="Garamond"/>
          <w:sz w:val="24"/>
          <w:szCs w:val="24"/>
        </w:rPr>
      </w:pPr>
      <w:r>
        <w:rPr>
          <w:rFonts w:ascii="Garamond" w:eastAsia="Garamond" w:hAnsi="Garamond" w:cs="Garamond"/>
          <w:sz w:val="24"/>
          <w:szCs w:val="24"/>
        </w:rPr>
        <w:t xml:space="preserve">Entre los elementos que configuran la violencia obstétrica se encuentra la </w:t>
      </w:r>
      <w:proofErr w:type="spellStart"/>
      <w:r>
        <w:rPr>
          <w:rFonts w:ascii="Garamond" w:eastAsia="Garamond" w:hAnsi="Garamond" w:cs="Garamond"/>
          <w:sz w:val="24"/>
          <w:szCs w:val="24"/>
        </w:rPr>
        <w:t>sobremedicalización</w:t>
      </w:r>
      <w:proofErr w:type="spellEnd"/>
      <w:r>
        <w:rPr>
          <w:rFonts w:ascii="Garamond" w:eastAsia="Garamond" w:hAnsi="Garamond" w:cs="Garamond"/>
          <w:sz w:val="24"/>
          <w:szCs w:val="24"/>
        </w:rPr>
        <w:t xml:space="preserve"> durante el parto, así como el uso de procedimientos de rutina sin consentimiento o en situaciones no justificadas. Un ejemplo de ello es la cesárea, que se practica con mayor frecuencia que la necesaria. Entre 2016 y 2021 se observó un aumento de 4.6 por ciento en los partos por cesáreas, al pasar de 42.8 a 47.4 por ciento. En este punto, es fundamental insistir en que la atención de la salud obstétrica debe centrarse en las necesidades, autonomía reproductiva y el respeto al consentimiento informado de las usuarias. Esto implica distinguir con claridad las situaciones en las que una cesárea está clínicamente indicada y evitar el procedimiento cuando responda a la preferencia o disponibilidad del personal de salud. Para lograrlo, es fundamental priorizar un adecuado seguimiento obstétrico durante todas las etapas del embarazo, con el objetivo de reducir las cesáreas de emergencia prevenibles.</w:t>
      </w:r>
      <w:r>
        <w:rPr>
          <w:rFonts w:ascii="Garamond" w:eastAsia="Garamond" w:hAnsi="Garamond" w:cs="Garamond"/>
          <w:sz w:val="24"/>
          <w:szCs w:val="24"/>
          <w:vertAlign w:val="superscript"/>
        </w:rPr>
        <w:footnoteReference w:id="19"/>
      </w:r>
    </w:p>
    <w:p w14:paraId="197FDF76" w14:textId="77777777" w:rsidR="00805DD3" w:rsidRDefault="00000000">
      <w:pPr>
        <w:widowControl w:val="0"/>
        <w:spacing w:before="200" w:line="240" w:lineRule="auto"/>
        <w:ind w:firstLine="2"/>
        <w:jc w:val="both"/>
        <w:rPr>
          <w:rFonts w:ascii="Garamond" w:eastAsia="Garamond" w:hAnsi="Garamond" w:cs="Garamond"/>
          <w:sz w:val="24"/>
          <w:szCs w:val="24"/>
        </w:rPr>
      </w:pPr>
      <w:r>
        <w:rPr>
          <w:rFonts w:ascii="Garamond" w:eastAsia="Garamond" w:hAnsi="Garamond" w:cs="Garamond"/>
          <w:sz w:val="24"/>
          <w:szCs w:val="24"/>
        </w:rPr>
        <w:t xml:space="preserve">Al abordar el tema de salud y justicia reproductiva, es importante analizar dónde se atienden las mujeres y personas con capacidad de gestar. De acuerdo con la ENDIREH 2021, el sector público concentra más del 70 por ciento de los partos, mientras que el sector privado —compuesto por hospitales, clínicas o consultorios </w:t>
      </w:r>
      <w:r>
        <w:rPr>
          <w:rFonts w:ascii="Garamond" w:eastAsia="Garamond" w:hAnsi="Garamond" w:cs="Garamond"/>
          <w:sz w:val="24"/>
          <w:szCs w:val="24"/>
        </w:rPr>
        <w:lastRenderedPageBreak/>
        <w:t xml:space="preserve">médicos privados— atendió el 25.1 por ciento. En el ejercicio de 2021 se observó un aumento de la atención de partos en el sector privado, posiblemente relacionado con los efectos de la pandemia por covid-19. En cuanto al IMSS, su participación como lugar de atención durante el parto mostró una tendencia a la baja: del 26 por ciento en el periodo 2011-2016 pasó a 25.8 por ciento en 2016-2021. Por otro lado, los hospitales y clínicas privadas registraron un aumento —sobre todo entre 2019 y 2020—, al pasar de 15.2 por ciento en 2011-2016 a 20.2 por ciento en 2016-2021. Un factor que pudo haber influido en este cambio es que, durante la emergencia sanitaria, muchos hospitales materno-infantiles fueron reconvertidos para atender exclusivamente casos de </w:t>
      </w:r>
      <w:proofErr w:type="spellStart"/>
      <w:r>
        <w:rPr>
          <w:rFonts w:ascii="Garamond" w:eastAsia="Garamond" w:hAnsi="Garamond" w:cs="Garamond"/>
          <w:sz w:val="24"/>
          <w:szCs w:val="24"/>
        </w:rPr>
        <w:t>covid</w:t>
      </w:r>
      <w:proofErr w:type="spellEnd"/>
      <w:r>
        <w:rPr>
          <w:rFonts w:ascii="Garamond" w:eastAsia="Garamond" w:hAnsi="Garamond" w:cs="Garamond"/>
          <w:sz w:val="24"/>
          <w:szCs w:val="24"/>
        </w:rPr>
        <w:t>; además, la información pública disponible no era clara, por lo que, a falta de certeza, las usuarias que pudieron pagarla optaron por la atención privada, y quienes no tuvieron los recursos para hacerlo recurrieron a centros de salud —para esta categoría se registra una tendencia al alza entre 2011 y 2016 (10.3 %) y una ligera reducción entre 2016 y 2021 (7.5 %)— .</w:t>
      </w:r>
      <w:r>
        <w:rPr>
          <w:rFonts w:ascii="Garamond" w:eastAsia="Garamond" w:hAnsi="Garamond" w:cs="Garamond"/>
          <w:sz w:val="24"/>
          <w:szCs w:val="24"/>
          <w:vertAlign w:val="superscript"/>
        </w:rPr>
        <w:footnoteReference w:id="20"/>
      </w:r>
    </w:p>
    <w:p w14:paraId="59AC7FA4" w14:textId="77777777" w:rsidR="00805DD3" w:rsidRDefault="00000000">
      <w:pPr>
        <w:widowControl w:val="0"/>
        <w:spacing w:before="200" w:line="240" w:lineRule="auto"/>
        <w:ind w:firstLine="2"/>
        <w:jc w:val="both"/>
        <w:rPr>
          <w:rFonts w:ascii="Garamond" w:eastAsia="Garamond" w:hAnsi="Garamond" w:cs="Garamond"/>
          <w:sz w:val="24"/>
          <w:szCs w:val="24"/>
        </w:rPr>
      </w:pPr>
      <w:r>
        <w:rPr>
          <w:rFonts w:ascii="Garamond" w:eastAsia="Garamond" w:hAnsi="Garamond" w:cs="Garamond"/>
          <w:sz w:val="24"/>
          <w:szCs w:val="24"/>
        </w:rPr>
        <w:t>Otro aspecto importante a considerar son las características sociodemográficas de las mujeres y otras personas gestantes que informan haber vivido violencia obstétrica, ya que esto permite identificar posibles tendencias —por lo general relacionadas con estereotipos y formas de discriminación— en la atención brindada a distintas poblaciones. En primer lugar, aunque la violencia obstétrica mostró una disminución en todos los grupos de edad, las mujeres menores de 30 años siguen siendo las más afectadas: 36 por ciento de las mujeres entre 15 y 19 años y 36.7 por ciento de las mujeres entre 20 y 29 años informaron haber experimentado al menos una manifestación de este tipo de violencia. En segundo lugar, el estado civil también presenta algunas diferencias sutiles. Las mujeres solteras (38.5 %) y separadas (34.74 %) informaron con mayor frecuencia haber vivido algún tipo de violencia obstétrica durante la atención de su último parto.</w:t>
      </w:r>
      <w:r>
        <w:rPr>
          <w:rFonts w:ascii="Garamond" w:eastAsia="Garamond" w:hAnsi="Garamond" w:cs="Garamond"/>
          <w:sz w:val="24"/>
          <w:szCs w:val="24"/>
          <w:vertAlign w:val="superscript"/>
        </w:rPr>
        <w:footnoteReference w:id="21"/>
      </w:r>
      <w:r>
        <w:rPr>
          <w:rFonts w:ascii="Garamond" w:eastAsia="Garamond" w:hAnsi="Garamond" w:cs="Garamond"/>
          <w:sz w:val="24"/>
          <w:szCs w:val="24"/>
        </w:rPr>
        <w:t xml:space="preserve"> Por último, al analizar la incidencia según el lugar de atención, destaca que en hospitales o clínicas del IMSS se registró la mayor proporción de casos, con 39.8 por ciento en 2021. En contraste, en hospitales o clínicas privadas, el porcentaje fue de 15.1 por ciento para el mismo periodo.</w:t>
      </w:r>
    </w:p>
    <w:p w14:paraId="49A9A53F" w14:textId="77777777" w:rsidR="00805DD3" w:rsidRDefault="00000000">
      <w:pPr>
        <w:widowControl w:val="0"/>
        <w:spacing w:before="200" w:line="240" w:lineRule="auto"/>
        <w:ind w:firstLine="2"/>
        <w:jc w:val="both"/>
        <w:rPr>
          <w:rFonts w:ascii="Garamond" w:eastAsia="Garamond" w:hAnsi="Garamond" w:cs="Garamond"/>
          <w:sz w:val="24"/>
          <w:szCs w:val="24"/>
        </w:rPr>
      </w:pPr>
      <w:r>
        <w:rPr>
          <w:rFonts w:ascii="Garamond" w:eastAsia="Garamond" w:hAnsi="Garamond" w:cs="Garamond"/>
          <w:sz w:val="24"/>
          <w:szCs w:val="24"/>
        </w:rPr>
        <w:t>En la edición 2021 de la ENDIREH, el INEGI agregó una sección específica para capturar información sobre discapacidad en mujeres mayores de 15 años, con base en su capacidad para realizar actividades cotidianas. Los datos muestran una mayor tendencia a experimentar todas las formas de violencia obstétrica entre las mujeres con discapacidad y/o limitación. En particular, se observa una diferencia de más de ocho puntos porcentuales entre mujeres con discapacidad (37.7 %) y mujeres sin discapacidad (29.6 %) que informaron que recibieron ofensas, se les negó el suministro de anestesia o fueron presionadas para aceptar procedimientos anticonceptivos o ser esterilizadas. Al desagregar la información por grupos de edad, se advierte una mayor vulnerabilidad entre las mujeres más jóvenes con discapacidad: una de cada dos menores de 20 años informó haber sufrido al menos un tipo de violencia obstétrica durante su último parto.</w:t>
      </w:r>
      <w:r>
        <w:rPr>
          <w:rFonts w:ascii="Garamond" w:eastAsia="Garamond" w:hAnsi="Garamond" w:cs="Garamond"/>
          <w:sz w:val="24"/>
          <w:szCs w:val="24"/>
          <w:vertAlign w:val="superscript"/>
        </w:rPr>
        <w:footnoteReference w:id="22"/>
      </w:r>
    </w:p>
    <w:p w14:paraId="0C354698" w14:textId="77777777" w:rsidR="00805DD3" w:rsidRDefault="00000000">
      <w:pPr>
        <w:widowControl w:val="0"/>
        <w:pBdr>
          <w:top w:val="nil"/>
          <w:left w:val="nil"/>
          <w:bottom w:val="nil"/>
          <w:right w:val="nil"/>
          <w:between w:val="nil"/>
        </w:pBdr>
        <w:spacing w:before="200" w:line="240" w:lineRule="auto"/>
        <w:ind w:left="359"/>
        <w:rPr>
          <w:rFonts w:ascii="Garamond" w:eastAsia="Garamond" w:hAnsi="Garamond" w:cs="Garamond"/>
          <w:b/>
          <w:sz w:val="24"/>
          <w:szCs w:val="24"/>
        </w:rPr>
      </w:pPr>
      <w:r>
        <w:rPr>
          <w:rFonts w:ascii="Garamond" w:eastAsia="Garamond" w:hAnsi="Garamond" w:cs="Garamond"/>
          <w:b/>
          <w:color w:val="000000"/>
          <w:sz w:val="24"/>
          <w:szCs w:val="24"/>
        </w:rPr>
        <w:t>V. Tra</w:t>
      </w:r>
      <w:r>
        <w:rPr>
          <w:rFonts w:ascii="Garamond" w:eastAsia="Garamond" w:hAnsi="Garamond" w:cs="Garamond"/>
          <w:b/>
          <w:sz w:val="24"/>
          <w:szCs w:val="24"/>
        </w:rPr>
        <w:t xml:space="preserve">bajo y cuidados </w:t>
      </w:r>
    </w:p>
    <w:p w14:paraId="72E1ED7D" w14:textId="77777777" w:rsidR="00805DD3" w:rsidRDefault="00000000">
      <w:pPr>
        <w:widowControl w:val="0"/>
        <w:pBdr>
          <w:top w:val="nil"/>
          <w:left w:val="nil"/>
          <w:bottom w:val="nil"/>
          <w:right w:val="nil"/>
          <w:between w:val="nil"/>
        </w:pBdr>
        <w:spacing w:before="200" w:line="240" w:lineRule="auto"/>
        <w:ind w:firstLine="6"/>
        <w:jc w:val="both"/>
        <w:rPr>
          <w:rFonts w:ascii="Garamond" w:eastAsia="Garamond" w:hAnsi="Garamond" w:cs="Garamond"/>
          <w:sz w:val="24"/>
          <w:szCs w:val="24"/>
        </w:rPr>
      </w:pPr>
      <w:r>
        <w:rPr>
          <w:rFonts w:ascii="Garamond" w:eastAsia="Garamond" w:hAnsi="Garamond" w:cs="Garamond"/>
          <w:sz w:val="24"/>
          <w:szCs w:val="24"/>
        </w:rPr>
        <w:t>En la actualidad, en México se impulsan diversas iniciativas orientadas a reconocer los cuidados como una labor fundamental para el desarrollo social. Es decir, las actividades cotidianas que garantizan bienes y servicios indispensables para la reproducción de la vida</w:t>
      </w:r>
      <w:r>
        <w:rPr>
          <w:rFonts w:ascii="Garamond" w:eastAsia="Garamond" w:hAnsi="Garamond" w:cs="Garamond"/>
          <w:sz w:val="24"/>
          <w:szCs w:val="24"/>
          <w:vertAlign w:val="superscript"/>
        </w:rPr>
        <w:footnoteReference w:id="23"/>
      </w:r>
      <w:r>
        <w:rPr>
          <w:rFonts w:ascii="Garamond" w:eastAsia="Garamond" w:hAnsi="Garamond" w:cs="Garamond"/>
          <w:sz w:val="24"/>
          <w:szCs w:val="24"/>
        </w:rPr>
        <w:t xml:space="preserve"> han cobrado una relevancia cada vez mayor en la agenda pública, al ser visibilizadas, nombradas y valoradas como trabajo. Ejemplo de ello son las iniciativas de ley y </w:t>
      </w:r>
      <w:r>
        <w:rPr>
          <w:rFonts w:ascii="Garamond" w:eastAsia="Garamond" w:hAnsi="Garamond" w:cs="Garamond"/>
          <w:sz w:val="24"/>
          <w:szCs w:val="24"/>
        </w:rPr>
        <w:lastRenderedPageBreak/>
        <w:t>las reformas aprobadas a nivel federal y estatal dirigidas a crear un Sistema Integral de Cuidados.</w:t>
      </w:r>
      <w:r>
        <w:rPr>
          <w:rFonts w:ascii="Garamond" w:eastAsia="Garamond" w:hAnsi="Garamond" w:cs="Garamond"/>
          <w:sz w:val="24"/>
          <w:szCs w:val="24"/>
          <w:vertAlign w:val="superscript"/>
        </w:rPr>
        <w:footnoteReference w:id="24"/>
      </w:r>
      <w:r>
        <w:rPr>
          <w:rFonts w:ascii="Garamond" w:eastAsia="Garamond" w:hAnsi="Garamond" w:cs="Garamond"/>
          <w:sz w:val="24"/>
          <w:szCs w:val="24"/>
        </w:rPr>
        <w:t xml:space="preserve"> Estos esfuerzos institucionales parten de resaltar que, en un modelo socioeconómico estructurado sobre la división sexual del trabajo, las mujeres han asumido históricamente las responsabilidades de cuidado sin recibir reconocimiento alguno, mucho menos una remuneración. Ello profundiza las desigualdades en el ejercicio de su autonomía y en la posibilidad de construir un proyecto de vida. </w:t>
      </w:r>
    </w:p>
    <w:p w14:paraId="6060BE0F" w14:textId="77777777" w:rsidR="00805DD3" w:rsidRDefault="00000000">
      <w:pPr>
        <w:widowControl w:val="0"/>
        <w:spacing w:before="200" w:after="240" w:line="240" w:lineRule="auto"/>
        <w:jc w:val="both"/>
        <w:rPr>
          <w:rFonts w:ascii="Garamond" w:eastAsia="Garamond" w:hAnsi="Garamond" w:cs="Garamond"/>
          <w:sz w:val="24"/>
          <w:szCs w:val="24"/>
        </w:rPr>
      </w:pPr>
      <w:r>
        <w:rPr>
          <w:rFonts w:ascii="Garamond" w:eastAsia="Garamond" w:hAnsi="Garamond" w:cs="Garamond"/>
          <w:sz w:val="24"/>
          <w:szCs w:val="24"/>
        </w:rPr>
        <w:t>No obstante, la implementación de estas políticas públicas aún no se ha concretado. Es un hecho que las mujeres continúan asumiendo una carga significativa de cuidados no remunerados, además de cumplir con su jornada laboral. En México, ellas reportan dedicar, en promedio, 20 horas semanales a estas labores, mientras que los hombres invierten poco menos de 12 horas.</w:t>
      </w:r>
      <w:r>
        <w:rPr>
          <w:rFonts w:ascii="Garamond" w:eastAsia="Garamond" w:hAnsi="Garamond" w:cs="Garamond"/>
          <w:sz w:val="24"/>
          <w:szCs w:val="24"/>
          <w:vertAlign w:val="superscript"/>
        </w:rPr>
        <w:footnoteReference w:id="25"/>
      </w:r>
      <w:r>
        <w:rPr>
          <w:rFonts w:ascii="Garamond" w:eastAsia="Garamond" w:hAnsi="Garamond" w:cs="Garamond"/>
          <w:sz w:val="24"/>
          <w:szCs w:val="24"/>
        </w:rPr>
        <w:t xml:space="preserve"> En lo que respecta al trabajo doméstico en particular, las mujeres realizan un promedio de 19.5 horas semanales, frente a apenas 6.6 horas en el caso de los hombres.</w:t>
      </w:r>
      <w:r>
        <w:rPr>
          <w:rFonts w:ascii="Garamond" w:eastAsia="Garamond" w:hAnsi="Garamond" w:cs="Garamond"/>
          <w:sz w:val="24"/>
          <w:szCs w:val="24"/>
          <w:vertAlign w:val="superscript"/>
        </w:rPr>
        <w:footnoteReference w:id="26"/>
      </w:r>
      <w:r>
        <w:rPr>
          <w:rFonts w:ascii="Garamond" w:eastAsia="Garamond" w:hAnsi="Garamond" w:cs="Garamond"/>
          <w:sz w:val="24"/>
          <w:szCs w:val="24"/>
        </w:rPr>
        <w:t xml:space="preserve"> La desigualdad se acentúa al observar la distribución diaria del tiempo: según datos de la Comisión Económica para América Latina y el Caribe (CEPAL), México es uno de los países de la región donde las mujeres destinan el mayor porcentaje de su día a trabajos domésticos y de cuidados, un 24.5 por ciento del tiempo diario frente al 8.8 por ciento registrado por los hombres.</w:t>
      </w:r>
      <w:r>
        <w:rPr>
          <w:rFonts w:ascii="Garamond" w:eastAsia="Garamond" w:hAnsi="Garamond" w:cs="Garamond"/>
          <w:sz w:val="24"/>
          <w:szCs w:val="24"/>
          <w:vertAlign w:val="superscript"/>
        </w:rPr>
        <w:footnoteReference w:id="27"/>
      </w:r>
      <w:r>
        <w:rPr>
          <w:rFonts w:ascii="Garamond" w:eastAsia="Garamond" w:hAnsi="Garamond" w:cs="Garamond"/>
          <w:sz w:val="24"/>
          <w:szCs w:val="24"/>
        </w:rPr>
        <w:t xml:space="preserve"> Estos datos evidencian que, si bien el tiempo que las mujeres dedican a estas tareas ha disminuido de manera notable desde el último reporte —en 2009, la Encuesta Nacional sobre Uso del Tiempo registraba un promedio de 39 horas semanales—,</w:t>
      </w:r>
      <w:r>
        <w:rPr>
          <w:rFonts w:ascii="Garamond" w:eastAsia="Garamond" w:hAnsi="Garamond" w:cs="Garamond"/>
          <w:sz w:val="23"/>
          <w:szCs w:val="23"/>
          <w:vertAlign w:val="superscript"/>
        </w:rPr>
        <w:footnoteReference w:id="28"/>
      </w:r>
      <w:r>
        <w:rPr>
          <w:rFonts w:ascii="Garamond" w:eastAsia="Garamond" w:hAnsi="Garamond" w:cs="Garamond"/>
          <w:sz w:val="24"/>
          <w:szCs w:val="24"/>
        </w:rPr>
        <w:t xml:space="preserve"> la distribución de los trabajos de cuidados y las tareas domésticas entre géneros está lejos de ser equitativa.</w:t>
      </w:r>
    </w:p>
    <w:p w14:paraId="7A6823C8" w14:textId="77777777" w:rsidR="00805DD3" w:rsidRDefault="00000000">
      <w:pPr>
        <w:widowControl w:val="0"/>
        <w:pBdr>
          <w:top w:val="nil"/>
          <w:left w:val="nil"/>
          <w:bottom w:val="nil"/>
          <w:right w:val="nil"/>
          <w:between w:val="nil"/>
        </w:pBdr>
        <w:spacing w:before="200" w:line="240" w:lineRule="auto"/>
        <w:jc w:val="both"/>
        <w:rPr>
          <w:rFonts w:ascii="Garamond" w:eastAsia="Garamond" w:hAnsi="Garamond" w:cs="Garamond"/>
          <w:sz w:val="24"/>
          <w:szCs w:val="24"/>
        </w:rPr>
      </w:pPr>
      <w:r>
        <w:rPr>
          <w:rFonts w:ascii="Garamond" w:eastAsia="Garamond" w:hAnsi="Garamond" w:cs="Garamond"/>
          <w:sz w:val="24"/>
          <w:szCs w:val="24"/>
        </w:rPr>
        <w:t>Lo anterior pone de manifiesto la marcada doble presencia que enfrentan las mujeres y personas gestantes, es decir, la simultaneidad entre el trabajo de cuidados no remunerado y una jornada laboral formal; condición que se intensifica cuando optan por asumir la maternidad. Actualmente, la Ley Federal del Trabajo (LFT) reconoce el derecho a una licencia de maternidad con goce de sueldo por doce semanas, en contraste con las catorce establecidas por el Convenio 183 de la Organización Internacional del Trabajo (OIT).</w:t>
      </w:r>
      <w:r>
        <w:rPr>
          <w:rFonts w:ascii="Garamond" w:eastAsia="Garamond" w:hAnsi="Garamond" w:cs="Garamond"/>
          <w:sz w:val="24"/>
          <w:szCs w:val="24"/>
          <w:vertAlign w:val="superscript"/>
        </w:rPr>
        <w:footnoteReference w:id="29"/>
      </w:r>
      <w:r>
        <w:rPr>
          <w:rFonts w:ascii="Garamond" w:eastAsia="Garamond" w:hAnsi="Garamond" w:cs="Garamond"/>
          <w:sz w:val="24"/>
          <w:szCs w:val="24"/>
        </w:rPr>
        <w:t xml:space="preserve"> De los 185 países y territorios analizados por este organismo, el 64 por ciento (120 países) cumple con este estándar mínimo, y el 28 por ciento (52 países) iguala o supera la propuesta de 18 semanas.</w:t>
      </w:r>
      <w:r>
        <w:rPr>
          <w:rFonts w:ascii="Garamond" w:eastAsia="Garamond" w:hAnsi="Garamond" w:cs="Garamond"/>
          <w:sz w:val="24"/>
          <w:szCs w:val="24"/>
          <w:vertAlign w:val="superscript"/>
        </w:rPr>
        <w:footnoteReference w:id="30"/>
      </w:r>
      <w:r>
        <w:rPr>
          <w:rFonts w:ascii="Garamond" w:eastAsia="Garamond" w:hAnsi="Garamond" w:cs="Garamond"/>
          <w:sz w:val="24"/>
          <w:szCs w:val="24"/>
        </w:rPr>
        <w:t xml:space="preserve"> En México, para que el IMSS cubra el pago de la licencia, la mujer o persona gestante debe haber cotizado al menos 30 semanas previas; de no ser así, el salario completo durante ese periodo queda bajo la responsabilidad del empleador. Esta distinción entre quienes cumplen con el requisito de cotización y quienes no lo hacen fomenta prácticas discriminatorias, como </w:t>
      </w:r>
      <w:r>
        <w:rPr>
          <w:rFonts w:ascii="Garamond" w:eastAsia="Garamond" w:hAnsi="Garamond" w:cs="Garamond"/>
          <w:sz w:val="24"/>
          <w:szCs w:val="24"/>
        </w:rPr>
        <w:lastRenderedPageBreak/>
        <w:t>la exigencia de certificados de no embarazo al momento de la contratación.</w:t>
      </w:r>
    </w:p>
    <w:p w14:paraId="0831A3CD" w14:textId="77777777" w:rsidR="00805DD3" w:rsidRDefault="00000000">
      <w:pPr>
        <w:widowControl w:val="0"/>
        <w:pBdr>
          <w:top w:val="nil"/>
          <w:left w:val="nil"/>
          <w:bottom w:val="nil"/>
          <w:right w:val="nil"/>
          <w:between w:val="nil"/>
        </w:pBdr>
        <w:spacing w:before="200" w:line="240" w:lineRule="auto"/>
        <w:jc w:val="both"/>
        <w:rPr>
          <w:rFonts w:ascii="Garamond" w:eastAsia="Garamond" w:hAnsi="Garamond" w:cs="Garamond"/>
          <w:sz w:val="24"/>
          <w:szCs w:val="24"/>
        </w:rPr>
      </w:pPr>
      <w:r>
        <w:rPr>
          <w:rFonts w:ascii="Garamond" w:eastAsia="Garamond" w:hAnsi="Garamond" w:cs="Garamond"/>
          <w:sz w:val="24"/>
          <w:szCs w:val="24"/>
        </w:rPr>
        <w:t>En cuanto a las licencias de paternidad, la LFT establece únicamente cinco días; cifra mucho menor al promedio de 9.3 semanas que otorgan los países miembros de la Organización para la Cooperación y el Desarrollo Económicos (OCDE).</w:t>
      </w:r>
      <w:r>
        <w:rPr>
          <w:rFonts w:ascii="Garamond" w:eastAsia="Garamond" w:hAnsi="Garamond" w:cs="Garamond"/>
          <w:sz w:val="24"/>
          <w:szCs w:val="24"/>
          <w:vertAlign w:val="superscript"/>
        </w:rPr>
        <w:footnoteReference w:id="31"/>
      </w:r>
      <w:r>
        <w:rPr>
          <w:rFonts w:ascii="Garamond" w:eastAsia="Garamond" w:hAnsi="Garamond" w:cs="Garamond"/>
          <w:sz w:val="24"/>
          <w:szCs w:val="24"/>
        </w:rPr>
        <w:t xml:space="preserve"> El promedio de tiempo otorgado entre estos países es de 51.9 semanas, lo que incluye tanto licencias de maternidad como licencias parentales completamente remuneradas. En este contexto, México se encuentra muy por debajo de los estándares internacionales. Además, la corta duración de la licencia de paternidad refuerza el estereotipo de que las labores de cuidado son responsabilidad principal —o exclusiva— de las mujeres.</w:t>
      </w:r>
    </w:p>
    <w:p w14:paraId="73659190" w14:textId="77777777" w:rsidR="00805DD3" w:rsidRDefault="00000000">
      <w:pPr>
        <w:widowControl w:val="0"/>
        <w:pBdr>
          <w:top w:val="nil"/>
          <w:left w:val="nil"/>
          <w:bottom w:val="nil"/>
          <w:right w:val="nil"/>
          <w:between w:val="nil"/>
        </w:pBdr>
        <w:spacing w:before="200" w:line="240" w:lineRule="auto"/>
        <w:jc w:val="both"/>
        <w:rPr>
          <w:rFonts w:ascii="Garamond" w:eastAsia="Garamond" w:hAnsi="Garamond" w:cs="Garamond"/>
          <w:sz w:val="24"/>
          <w:szCs w:val="24"/>
        </w:rPr>
      </w:pPr>
      <w:r>
        <w:rPr>
          <w:rFonts w:ascii="Garamond" w:eastAsia="Garamond" w:hAnsi="Garamond" w:cs="Garamond"/>
          <w:sz w:val="24"/>
          <w:szCs w:val="24"/>
        </w:rPr>
        <w:t>Ahora bien, en México, la crisis sanitaria provocada por el covid-19 profundizó las brechas de género ya existentes en el trabajo de cuidados no remunerado. El cierre de escuelas, centros laborales y servicios de salud trasladó la mayoría de las responsabilidades al ámbito doméstico. Para las mujeres, esto significó sumar nuevas cargas a sus actividades habituales, como el acompañamiento escolar y la atención médica dentro del hogar, con el fin de prevenir contagios. Al inicio de la pandemia, algunos datos mostraron una mayor participación de los hombres en las tareas domésticas. Sin embargo, una vez que la jornada laboral se trasladó a las plataformas digitales, la distribución de estas tareas regresó a los patrones tradicionales.</w:t>
      </w:r>
      <w:r>
        <w:rPr>
          <w:rFonts w:ascii="Garamond" w:eastAsia="Garamond" w:hAnsi="Garamond" w:cs="Garamond"/>
          <w:sz w:val="24"/>
          <w:szCs w:val="24"/>
          <w:vertAlign w:val="superscript"/>
        </w:rPr>
        <w:footnoteReference w:id="32"/>
      </w:r>
      <w:r>
        <w:rPr>
          <w:rFonts w:ascii="Garamond" w:eastAsia="Garamond" w:hAnsi="Garamond" w:cs="Garamond"/>
          <w:sz w:val="24"/>
          <w:szCs w:val="24"/>
        </w:rPr>
        <w:t xml:space="preserve"> </w:t>
      </w:r>
    </w:p>
    <w:p w14:paraId="1A8E33F5" w14:textId="77777777" w:rsidR="00805DD3" w:rsidRDefault="00000000">
      <w:pPr>
        <w:widowControl w:val="0"/>
        <w:pBdr>
          <w:top w:val="nil"/>
          <w:left w:val="nil"/>
          <w:bottom w:val="nil"/>
          <w:right w:val="nil"/>
          <w:between w:val="nil"/>
        </w:pBdr>
        <w:spacing w:before="200" w:line="240" w:lineRule="auto"/>
        <w:jc w:val="both"/>
        <w:rPr>
          <w:rFonts w:ascii="Garamond" w:eastAsia="Garamond" w:hAnsi="Garamond" w:cs="Garamond"/>
          <w:color w:val="000000"/>
          <w:sz w:val="24"/>
          <w:szCs w:val="24"/>
        </w:rPr>
      </w:pPr>
      <w:r>
        <w:rPr>
          <w:rFonts w:ascii="Garamond" w:eastAsia="Garamond" w:hAnsi="Garamond" w:cs="Garamond"/>
          <w:sz w:val="24"/>
          <w:szCs w:val="24"/>
        </w:rPr>
        <w:t>Por ello, garantizar el derecho al cuidado exige más que su reconocimiento formal: implica obligaciones concretas del Estado en materia de protección y promoción, lo cual requiere asignar recursos públicos de forma clara y suficiente. En México, el avance del Sistema Nacional de Cuidados se ha visto frenado, entre otras razones, por la falta de presupuesto y por una narrativa oficial que presenta esta carencia como inevitable. Además, el marco legislativo actual es insuficiente, y está fragmentado y permeado por un enfoque que sigue asumiendo que el cuidado recae sobre todo en las mujeres. Las leyes y los programas públicos existentes, al regular el trabajo de cuidados, omiten criterios clave, como accesibilidad, calidad y cobertura, y condicionan su aplicación a la disponibilidad presupuestal, sin establecer mecanismos efectivos para asegurarla.</w:t>
      </w:r>
      <w:r>
        <w:rPr>
          <w:rFonts w:ascii="Garamond" w:eastAsia="Garamond" w:hAnsi="Garamond" w:cs="Garamond"/>
          <w:sz w:val="24"/>
          <w:szCs w:val="24"/>
          <w:vertAlign w:val="superscript"/>
        </w:rPr>
        <w:footnoteReference w:id="33"/>
      </w:r>
    </w:p>
    <w:p w14:paraId="5C6BEE2E" w14:textId="77777777" w:rsidR="00805DD3" w:rsidRDefault="00000000">
      <w:pPr>
        <w:widowControl w:val="0"/>
        <w:pBdr>
          <w:top w:val="nil"/>
          <w:left w:val="nil"/>
          <w:bottom w:val="nil"/>
          <w:right w:val="nil"/>
          <w:between w:val="nil"/>
        </w:pBdr>
        <w:spacing w:before="550" w:line="240" w:lineRule="auto"/>
        <w:ind w:left="359"/>
        <w:rPr>
          <w:rFonts w:ascii="Garamond" w:eastAsia="Garamond" w:hAnsi="Garamond" w:cs="Garamond"/>
          <w:b/>
          <w:color w:val="000000"/>
          <w:sz w:val="24"/>
          <w:szCs w:val="24"/>
        </w:rPr>
      </w:pPr>
      <w:r>
        <w:rPr>
          <w:rFonts w:ascii="Garamond" w:eastAsia="Garamond" w:hAnsi="Garamond" w:cs="Garamond"/>
          <w:b/>
          <w:color w:val="000000"/>
          <w:sz w:val="24"/>
          <w:szCs w:val="24"/>
        </w:rPr>
        <w:t xml:space="preserve">VI. Recomendaciones </w:t>
      </w:r>
    </w:p>
    <w:p w14:paraId="339D530C" w14:textId="77777777" w:rsidR="00805DD3" w:rsidRDefault="00000000">
      <w:pPr>
        <w:widowControl w:val="0"/>
        <w:numPr>
          <w:ilvl w:val="0"/>
          <w:numId w:val="2"/>
        </w:numPr>
        <w:pBdr>
          <w:top w:val="nil"/>
          <w:left w:val="nil"/>
          <w:bottom w:val="nil"/>
          <w:right w:val="nil"/>
          <w:between w:val="nil"/>
        </w:pBdr>
        <w:spacing w:before="259" w:line="224" w:lineRule="auto"/>
        <w:ind w:right="3"/>
        <w:jc w:val="both"/>
        <w:rPr>
          <w:rFonts w:ascii="Garamond" w:eastAsia="Garamond" w:hAnsi="Garamond" w:cs="Garamond"/>
          <w:sz w:val="24"/>
          <w:szCs w:val="24"/>
        </w:rPr>
      </w:pPr>
      <w:r>
        <w:rPr>
          <w:rFonts w:ascii="Garamond" w:eastAsia="Garamond" w:hAnsi="Garamond" w:cs="Garamond"/>
          <w:sz w:val="24"/>
          <w:szCs w:val="24"/>
        </w:rPr>
        <w:t>Derogar las disposiciones federales y estatales que criminalizan el aborto, con el fin de garantizar que ningún tipo penal, sanción o exclusión administrativa limite el derecho a interrumpir un embarazo. Esto incluye evitar la criminalización de quienes abortan, auxilian en el acceso al servicio de aborto, lo practican o proporcionan información sobre el mismo.</w:t>
      </w:r>
    </w:p>
    <w:p w14:paraId="3587C243" w14:textId="77777777" w:rsidR="00805DD3" w:rsidRDefault="00000000">
      <w:pPr>
        <w:widowControl w:val="0"/>
        <w:numPr>
          <w:ilvl w:val="0"/>
          <w:numId w:val="2"/>
        </w:numPr>
        <w:pBdr>
          <w:top w:val="nil"/>
          <w:left w:val="nil"/>
          <w:bottom w:val="nil"/>
          <w:right w:val="nil"/>
          <w:between w:val="nil"/>
        </w:pBdr>
        <w:spacing w:line="224" w:lineRule="auto"/>
        <w:ind w:right="3"/>
        <w:jc w:val="both"/>
        <w:rPr>
          <w:rFonts w:ascii="Garamond" w:eastAsia="Garamond" w:hAnsi="Garamond" w:cs="Garamond"/>
          <w:sz w:val="24"/>
          <w:szCs w:val="24"/>
        </w:rPr>
      </w:pPr>
      <w:r>
        <w:rPr>
          <w:rFonts w:ascii="Garamond" w:eastAsia="Garamond" w:hAnsi="Garamond" w:cs="Garamond"/>
          <w:sz w:val="24"/>
          <w:szCs w:val="24"/>
        </w:rPr>
        <w:t>Garantizar el acceso al aborto como parte del continuo de los servicios de salud reproductiva, lo que  implica garantizarlo como un servicio esencial que debe estar disponible en todo momento. Para ello, es fundamental diseñar estrategias específicas que garanticen su accesibilidad para niñas, adolescentes, personas indígenas, con discapacidad, racializadas o víctimas de violencia sexual.</w:t>
      </w:r>
    </w:p>
    <w:p w14:paraId="34344215" w14:textId="77777777" w:rsidR="00805DD3" w:rsidRDefault="00000000">
      <w:pPr>
        <w:widowControl w:val="0"/>
        <w:numPr>
          <w:ilvl w:val="0"/>
          <w:numId w:val="2"/>
        </w:numPr>
        <w:spacing w:line="224" w:lineRule="auto"/>
        <w:ind w:right="3"/>
        <w:jc w:val="both"/>
        <w:rPr>
          <w:rFonts w:ascii="Garamond" w:eastAsia="Garamond" w:hAnsi="Garamond" w:cs="Garamond"/>
          <w:sz w:val="24"/>
          <w:szCs w:val="24"/>
        </w:rPr>
      </w:pPr>
      <w:r>
        <w:rPr>
          <w:rFonts w:ascii="Garamond" w:eastAsia="Garamond" w:hAnsi="Garamond" w:cs="Garamond"/>
          <w:color w:val="000000"/>
          <w:sz w:val="24"/>
          <w:szCs w:val="24"/>
        </w:rPr>
        <w:t xml:space="preserve">Fortalecer el acceso universal a todas las instituciones del Sistema Nacional de Salud a las mujeres y personas gestantes con urgencias obstétricas, para </w:t>
      </w:r>
      <w:r>
        <w:rPr>
          <w:rFonts w:ascii="Garamond" w:eastAsia="Garamond" w:hAnsi="Garamond" w:cs="Garamond"/>
          <w:sz w:val="24"/>
          <w:szCs w:val="24"/>
        </w:rPr>
        <w:t xml:space="preserve">garantizar una atención oportuna y entornos habilitantes según lo establecido en el Lineamiento Técnico, con especial atención a grupos vulnerados </w:t>
      </w:r>
      <w:r>
        <w:rPr>
          <w:rFonts w:ascii="Garamond" w:eastAsia="Garamond" w:hAnsi="Garamond" w:cs="Garamond"/>
          <w:sz w:val="24"/>
          <w:szCs w:val="24"/>
        </w:rPr>
        <w:lastRenderedPageBreak/>
        <w:t>como adolescentes, mujeres indígenas, rurales, sin seguridad social o con discapacidad.</w:t>
      </w:r>
      <w:r>
        <w:rPr>
          <w:rFonts w:ascii="Garamond" w:eastAsia="Garamond" w:hAnsi="Garamond" w:cs="Garamond"/>
          <w:color w:val="000000"/>
          <w:sz w:val="24"/>
          <w:szCs w:val="24"/>
        </w:rPr>
        <w:t xml:space="preserve"> Para ello, es necesario asegurar la disponibilidad de insumos médicos, personal capacitado y asignar presupuesto público suficiente para cubrir de forma accesible de forma accesible las necesidades de atención médica durante el embarazo, sobre todo en el primer nivel de atención</w:t>
      </w:r>
      <w:r>
        <w:rPr>
          <w:rFonts w:ascii="Garamond" w:eastAsia="Garamond" w:hAnsi="Garamond" w:cs="Garamond"/>
          <w:sz w:val="24"/>
          <w:szCs w:val="24"/>
        </w:rPr>
        <w:t>, así como transformaciones normativas, administrativas y operativas que aseguren su sostenibilidad, pues la falta de adecuación refiere un obstáculo para la implementación, contribuyendo a los contextos de desigualdad estructural en la atención obstétrica</w:t>
      </w:r>
    </w:p>
    <w:p w14:paraId="53D7ECE1" w14:textId="77777777" w:rsidR="00805DD3" w:rsidRDefault="00000000">
      <w:pPr>
        <w:widowControl w:val="0"/>
        <w:numPr>
          <w:ilvl w:val="0"/>
          <w:numId w:val="2"/>
        </w:numPr>
        <w:spacing w:line="224" w:lineRule="auto"/>
        <w:ind w:right="3"/>
        <w:jc w:val="both"/>
        <w:rPr>
          <w:rFonts w:ascii="Garamond" w:eastAsia="Garamond" w:hAnsi="Garamond" w:cs="Garamond"/>
          <w:sz w:val="24"/>
          <w:szCs w:val="24"/>
        </w:rPr>
      </w:pPr>
      <w:r>
        <w:rPr>
          <w:rFonts w:ascii="Garamond" w:eastAsia="Garamond" w:hAnsi="Garamond" w:cs="Garamond"/>
          <w:sz w:val="24"/>
          <w:szCs w:val="24"/>
        </w:rPr>
        <w:t>C</w:t>
      </w:r>
      <w:r>
        <w:rPr>
          <w:rFonts w:ascii="Garamond" w:eastAsia="Garamond" w:hAnsi="Garamond" w:cs="Garamond"/>
          <w:color w:val="000000"/>
          <w:sz w:val="24"/>
          <w:szCs w:val="24"/>
        </w:rPr>
        <w:t xml:space="preserve">rear mecanismos para identificar y erradicar la violencia obstétrica como una forma específica de </w:t>
      </w:r>
      <w:r>
        <w:rPr>
          <w:rFonts w:ascii="Garamond" w:eastAsia="Garamond" w:hAnsi="Garamond" w:cs="Garamond"/>
          <w:sz w:val="24"/>
          <w:szCs w:val="24"/>
        </w:rPr>
        <w:t>vulneración de los</w:t>
      </w:r>
      <w:r>
        <w:rPr>
          <w:rFonts w:ascii="Garamond" w:eastAsia="Garamond" w:hAnsi="Garamond" w:cs="Garamond"/>
          <w:color w:val="000000"/>
          <w:sz w:val="24"/>
          <w:szCs w:val="24"/>
        </w:rPr>
        <w:t xml:space="preserve"> derechos humanos por parte del personal que</w:t>
      </w:r>
      <w:r>
        <w:rPr>
          <w:rFonts w:ascii="Garamond" w:eastAsia="Garamond" w:hAnsi="Garamond" w:cs="Garamond"/>
          <w:sz w:val="24"/>
          <w:szCs w:val="24"/>
        </w:rPr>
        <w:t xml:space="preserve"> </w:t>
      </w:r>
      <w:r>
        <w:rPr>
          <w:rFonts w:ascii="Garamond" w:eastAsia="Garamond" w:hAnsi="Garamond" w:cs="Garamond"/>
          <w:color w:val="000000"/>
          <w:sz w:val="24"/>
          <w:szCs w:val="24"/>
        </w:rPr>
        <w:t xml:space="preserve">atiende embarazos, partos y puerperios, tanto en el ámbito público como en el privado. Esto debe realizarse a </w:t>
      </w:r>
      <w:r>
        <w:rPr>
          <w:rFonts w:ascii="Garamond" w:eastAsia="Garamond" w:hAnsi="Garamond" w:cs="Garamond"/>
          <w:sz w:val="24"/>
          <w:szCs w:val="24"/>
        </w:rPr>
        <w:t>través</w:t>
      </w:r>
      <w:r>
        <w:rPr>
          <w:rFonts w:ascii="Garamond" w:eastAsia="Garamond" w:hAnsi="Garamond" w:cs="Garamond"/>
          <w:color w:val="000000"/>
          <w:sz w:val="24"/>
          <w:szCs w:val="24"/>
        </w:rPr>
        <w:t xml:space="preserve"> del </w:t>
      </w:r>
      <w:r>
        <w:rPr>
          <w:rFonts w:ascii="Garamond" w:eastAsia="Garamond" w:hAnsi="Garamond" w:cs="Garamond"/>
          <w:sz w:val="24"/>
          <w:szCs w:val="24"/>
        </w:rPr>
        <w:t>fortalecimiento de la formación inicial y continua del personal de salud en una atención respetuosa y libre de violencia, con información sobre temas como género, discapacidad, interculturalidad y consentimiento. Asimismo, se debe promover un modelo de atención obstétrica centrado en el parto humanizado, que incluya alternativas al parto medicalizado, opciones de acompañamiento y personal capacitado en atención comunitaria.</w:t>
      </w:r>
    </w:p>
    <w:p w14:paraId="1DA757FF" w14:textId="77777777" w:rsidR="00805DD3" w:rsidRDefault="00000000">
      <w:pPr>
        <w:widowControl w:val="0"/>
        <w:numPr>
          <w:ilvl w:val="0"/>
          <w:numId w:val="2"/>
        </w:numPr>
        <w:spacing w:line="224" w:lineRule="auto"/>
        <w:ind w:right="3"/>
        <w:jc w:val="both"/>
        <w:rPr>
          <w:rFonts w:ascii="Garamond" w:eastAsia="Garamond" w:hAnsi="Garamond" w:cs="Garamond"/>
          <w:sz w:val="24"/>
          <w:szCs w:val="24"/>
        </w:rPr>
      </w:pPr>
      <w:r>
        <w:rPr>
          <w:rFonts w:ascii="Garamond" w:eastAsia="Garamond" w:hAnsi="Garamond" w:cs="Garamond"/>
          <w:sz w:val="24"/>
          <w:szCs w:val="24"/>
        </w:rPr>
        <w:t xml:space="preserve">Establecer un marco legal integral que haga operativo el derecho al cuidado al incorporar criterios de accesibilidad, calidad y cobertura en los servicios mediante la articulación de políticas, programas y acciones entre el Estado, los hogares, las comunidades y el sector privado. Para ello, es necesario reformar los marcos normativos que aún reproducen un enfoque </w:t>
      </w:r>
      <w:proofErr w:type="spellStart"/>
      <w:r>
        <w:rPr>
          <w:rFonts w:ascii="Garamond" w:eastAsia="Garamond" w:hAnsi="Garamond" w:cs="Garamond"/>
          <w:sz w:val="24"/>
          <w:szCs w:val="24"/>
        </w:rPr>
        <w:t>familista</w:t>
      </w:r>
      <w:proofErr w:type="spellEnd"/>
      <w:r>
        <w:rPr>
          <w:rFonts w:ascii="Garamond" w:eastAsia="Garamond" w:hAnsi="Garamond" w:cs="Garamond"/>
          <w:sz w:val="24"/>
          <w:szCs w:val="24"/>
        </w:rPr>
        <w:t xml:space="preserve"> del cuidado, y sustituirlo por uno centrado en el derecho a cuidar y ser cuidado, con financiamiento público garantizado.</w:t>
      </w:r>
    </w:p>
    <w:p w14:paraId="37E78676" w14:textId="77777777" w:rsidR="00805DD3" w:rsidRDefault="00000000">
      <w:pPr>
        <w:widowControl w:val="0"/>
        <w:numPr>
          <w:ilvl w:val="0"/>
          <w:numId w:val="2"/>
        </w:numPr>
        <w:spacing w:line="224" w:lineRule="auto"/>
        <w:ind w:right="3"/>
        <w:jc w:val="both"/>
        <w:rPr>
          <w:rFonts w:ascii="Garamond" w:eastAsia="Garamond" w:hAnsi="Garamond" w:cs="Garamond"/>
          <w:sz w:val="24"/>
          <w:szCs w:val="24"/>
        </w:rPr>
      </w:pPr>
      <w:r>
        <w:rPr>
          <w:rFonts w:ascii="Garamond" w:eastAsia="Garamond" w:hAnsi="Garamond" w:cs="Garamond"/>
          <w:sz w:val="24"/>
          <w:szCs w:val="24"/>
        </w:rPr>
        <w:t>Acelerar la aprobación e implementación del Sistema Nacional de Cuidados como una política pública integral y transversal, con enfoque de derechos humanos e interseccional, que cuente con suficiente asignación presupuestaria, progresiva y no sujeta a disponibilidad discrecional.</w:t>
      </w:r>
      <w:r>
        <w:rPr>
          <w:rFonts w:ascii="Garamond" w:eastAsia="Garamond" w:hAnsi="Garamond" w:cs="Garamond"/>
          <w:color w:val="000000"/>
          <w:sz w:val="24"/>
          <w:szCs w:val="24"/>
        </w:rPr>
        <w:t xml:space="preserve"> Asimismo, </w:t>
      </w:r>
      <w:r>
        <w:rPr>
          <w:rFonts w:ascii="Garamond" w:eastAsia="Garamond" w:hAnsi="Garamond" w:cs="Garamond"/>
          <w:sz w:val="24"/>
          <w:szCs w:val="24"/>
        </w:rPr>
        <w:t>promover la corresponsabilidad en las tareas de cuidado mediante políticas laborales que faciliten conciliar la vida laboral con la familiar para hombres y mujeres, como horarios flexibles, trabajo remoto, jornadas comprimidas y licencias parentales compartidas, tanto en el sector público como en el privado.</w:t>
      </w:r>
    </w:p>
    <w:sectPr w:rsidR="00805DD3">
      <w:headerReference w:type="default" r:id="rId8"/>
      <w:footerReference w:type="default" r:id="rId9"/>
      <w:pgSz w:w="12240" w:h="15840"/>
      <w:pgMar w:top="1408" w:right="1017" w:bottom="458" w:left="1078"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CDC3E" w14:textId="77777777" w:rsidR="00E92538" w:rsidRDefault="00E92538">
      <w:pPr>
        <w:spacing w:line="240" w:lineRule="auto"/>
      </w:pPr>
      <w:r>
        <w:separator/>
      </w:r>
    </w:p>
  </w:endnote>
  <w:endnote w:type="continuationSeparator" w:id="0">
    <w:p w14:paraId="59D48F46" w14:textId="77777777" w:rsidR="00E92538" w:rsidRDefault="00E925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C1924C15-F310-4AA1-9AB3-40BE2AEA8A39}"/>
    <w:embedItalic r:id="rId2" w:fontKey="{A0C63E65-5C0B-40DD-A242-22AE41B5160A}"/>
  </w:font>
  <w:font w:name="Garamond">
    <w:panose1 w:val="02020404030301010803"/>
    <w:charset w:val="00"/>
    <w:family w:val="roman"/>
    <w:pitch w:val="variable"/>
    <w:sig w:usb0="00000287" w:usb1="00000000" w:usb2="00000000" w:usb3="00000000" w:csb0="0000009F" w:csb1="00000000"/>
    <w:embedRegular r:id="rId3" w:fontKey="{09A7C939-BBA6-414F-A036-40D05335DFED}"/>
    <w:embedBold r:id="rId4" w:fontKey="{B7252C38-80AC-4194-9D0A-B5705572A220}"/>
    <w:embedItalic r:id="rId5" w:fontKey="{DEDE7FAB-55BB-4469-A5AD-3DCD37F7D486}"/>
  </w:font>
  <w:font w:name="Arial Narrow">
    <w:panose1 w:val="020B0606020202030204"/>
    <w:charset w:val="00"/>
    <w:family w:val="swiss"/>
    <w:pitch w:val="variable"/>
    <w:sig w:usb0="00000287" w:usb1="00000800" w:usb2="00000000" w:usb3="00000000" w:csb0="0000009F" w:csb1="00000000"/>
    <w:embedRegular r:id="rId6" w:fontKey="{A9B2097F-AB70-4710-8468-6A798D41CAB3}"/>
  </w:font>
  <w:font w:name="Calibri">
    <w:panose1 w:val="020F0502020204030204"/>
    <w:charset w:val="00"/>
    <w:family w:val="swiss"/>
    <w:pitch w:val="variable"/>
    <w:sig w:usb0="E4002EFF" w:usb1="C000247B" w:usb2="00000009" w:usb3="00000000" w:csb0="000001FF" w:csb1="00000000"/>
    <w:embedRegular r:id="rId7" w:fontKey="{84F39EE6-73C4-4675-A7E0-21486A492A28}"/>
  </w:font>
  <w:font w:name="Cambria">
    <w:panose1 w:val="02040503050406030204"/>
    <w:charset w:val="00"/>
    <w:family w:val="roman"/>
    <w:pitch w:val="variable"/>
    <w:sig w:usb0="E00006FF" w:usb1="420024FF" w:usb2="02000000" w:usb3="00000000" w:csb0="0000019F" w:csb1="00000000"/>
    <w:embedRegular r:id="rId8" w:fontKey="{F2CA3614-F70C-4E96-972E-0277C568D84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57088" w14:textId="77777777" w:rsidR="00805DD3" w:rsidRDefault="00805DD3"/>
  <w:p w14:paraId="5B8AC2A2" w14:textId="77777777" w:rsidR="00805DD3" w:rsidRDefault="00805DD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8ACA5" w14:textId="77777777" w:rsidR="00E92538" w:rsidRDefault="00E92538">
      <w:pPr>
        <w:spacing w:line="240" w:lineRule="auto"/>
      </w:pPr>
      <w:r>
        <w:separator/>
      </w:r>
    </w:p>
  </w:footnote>
  <w:footnote w:type="continuationSeparator" w:id="0">
    <w:p w14:paraId="39E8AF40" w14:textId="77777777" w:rsidR="00E92538" w:rsidRDefault="00E92538">
      <w:pPr>
        <w:spacing w:line="240" w:lineRule="auto"/>
      </w:pPr>
      <w:r>
        <w:continuationSeparator/>
      </w:r>
    </w:p>
  </w:footnote>
  <w:footnote w:id="1">
    <w:p w14:paraId="0CDEA5A0" w14:textId="10D6EDE7" w:rsidR="00805DD3" w:rsidRDefault="00000000">
      <w:pPr>
        <w:spacing w:line="240" w:lineRule="auto"/>
        <w:rPr>
          <w:rFonts w:ascii="Garamond" w:eastAsia="Garamond" w:hAnsi="Garamond" w:cs="Garamond"/>
          <w:sz w:val="19"/>
          <w:szCs w:val="19"/>
        </w:rPr>
      </w:pPr>
      <w:r>
        <w:rPr>
          <w:vertAlign w:val="superscript"/>
        </w:rPr>
        <w:footnoteRef/>
      </w:r>
      <w:r>
        <w:rPr>
          <w:rFonts w:ascii="Garamond" w:eastAsia="Garamond" w:hAnsi="Garamond" w:cs="Garamond"/>
          <w:sz w:val="19"/>
          <w:szCs w:val="19"/>
        </w:rPr>
        <w:t xml:space="preserve"> </w:t>
      </w:r>
      <w:r w:rsidR="00AB404E">
        <w:rPr>
          <w:rFonts w:ascii="Garamond" w:eastAsia="Garamond" w:hAnsi="Garamond" w:cs="Garamond"/>
          <w:sz w:val="19"/>
          <w:szCs w:val="19"/>
        </w:rPr>
        <w:t xml:space="preserve">Si </w:t>
      </w:r>
      <w:r>
        <w:rPr>
          <w:rFonts w:ascii="Garamond" w:eastAsia="Garamond" w:hAnsi="Garamond" w:cs="Garamond"/>
          <w:sz w:val="19"/>
          <w:szCs w:val="19"/>
        </w:rPr>
        <w:t>bien las reformas a las leyes de salud locales son un factor positivo para la provisión de los servicios de aborto, no son necesarias para garantizar su acceso, pues el aborto es parte esencial del espectro de atención de la salud reproductiva. La Ciudad de México, Guerrero, Oaxaca, Veracruz, Jalisco y Michoacán son las únicas entidades que cuentan con un programa público local que reglamenta el servicio de aborto inducido por voluntad de la mujer o persona gestante.</w:t>
      </w:r>
    </w:p>
  </w:footnote>
  <w:footnote w:id="2">
    <w:p w14:paraId="54849B87" w14:textId="77777777" w:rsidR="00805DD3" w:rsidRDefault="00000000">
      <w:pPr>
        <w:spacing w:line="240" w:lineRule="auto"/>
        <w:rPr>
          <w:sz w:val="20"/>
          <w:szCs w:val="20"/>
        </w:rPr>
      </w:pPr>
      <w:r>
        <w:rPr>
          <w:vertAlign w:val="superscript"/>
        </w:rPr>
        <w:footnoteRef/>
      </w:r>
      <w:r>
        <w:rPr>
          <w:sz w:val="20"/>
          <w:szCs w:val="20"/>
        </w:rPr>
        <w:t xml:space="preserve"> </w:t>
      </w:r>
      <w:r>
        <w:rPr>
          <w:rFonts w:ascii="Garamond" w:eastAsia="Garamond" w:hAnsi="Garamond" w:cs="Garamond"/>
          <w:sz w:val="20"/>
          <w:szCs w:val="20"/>
        </w:rPr>
        <w:t xml:space="preserve">OMS, “Directrices sobre la atención para el aborto.” (2022), p. 32. </w:t>
      </w:r>
      <w:hyperlink r:id="rId1">
        <w:r w:rsidR="00805DD3">
          <w:rPr>
            <w:rFonts w:ascii="Garamond" w:eastAsia="Garamond" w:hAnsi="Garamond" w:cs="Garamond"/>
            <w:color w:val="1155CC"/>
            <w:sz w:val="20"/>
            <w:szCs w:val="20"/>
            <w:u w:val="single"/>
          </w:rPr>
          <w:t>https://iris.who.int/bitstream/handle/10665/362897/9789240057920-spa.pdf?sequence=1</w:t>
        </w:r>
      </w:hyperlink>
      <w:r>
        <w:rPr>
          <w:rFonts w:ascii="Garamond" w:eastAsia="Garamond" w:hAnsi="Garamond" w:cs="Garamond"/>
          <w:sz w:val="20"/>
          <w:szCs w:val="20"/>
        </w:rPr>
        <w:t xml:space="preserve"> </w:t>
      </w:r>
    </w:p>
  </w:footnote>
  <w:footnote w:id="3">
    <w:p w14:paraId="7E4F70EB" w14:textId="16F2CBF9" w:rsidR="00805DD3" w:rsidRDefault="00000000">
      <w:pPr>
        <w:spacing w:line="240" w:lineRule="auto"/>
        <w:rPr>
          <w:sz w:val="20"/>
          <w:szCs w:val="20"/>
          <w:vertAlign w:val="superscript"/>
        </w:rPr>
      </w:pPr>
      <w:r>
        <w:rPr>
          <w:vertAlign w:val="superscript"/>
        </w:rPr>
        <w:footnoteRef/>
      </w:r>
      <w:r>
        <w:rPr>
          <w:rFonts w:ascii="Garamond" w:eastAsia="Garamond" w:hAnsi="Garamond" w:cs="Garamond"/>
          <w:sz w:val="20"/>
          <w:szCs w:val="20"/>
        </w:rPr>
        <w:t xml:space="preserve"> </w:t>
      </w:r>
      <w:r w:rsidR="00AB404E">
        <w:rPr>
          <w:rFonts w:ascii="Garamond" w:eastAsia="Garamond" w:hAnsi="Garamond" w:cs="Garamond"/>
          <w:sz w:val="20"/>
          <w:szCs w:val="20"/>
        </w:rPr>
        <w:t>L</w:t>
      </w:r>
      <w:r>
        <w:rPr>
          <w:rFonts w:ascii="Garamond" w:eastAsia="Garamond" w:hAnsi="Garamond" w:cs="Garamond"/>
          <w:sz w:val="20"/>
          <w:szCs w:val="20"/>
        </w:rPr>
        <w:t>as excluyentes de responsabilidad penal son casos en los que el aborto no se considera como un delito. En cambio, cuando a esas conductas se les denomina causas de no punibilidad, significa que sí son consideradas como delitos, pero no se sancionan.</w:t>
      </w:r>
    </w:p>
  </w:footnote>
  <w:footnote w:id="4">
    <w:p w14:paraId="48ABD045" w14:textId="77777777" w:rsidR="00805DD3" w:rsidRDefault="00000000">
      <w:pPr>
        <w:spacing w:line="240" w:lineRule="auto"/>
        <w:rPr>
          <w:rFonts w:ascii="Garamond" w:eastAsia="Garamond" w:hAnsi="Garamond" w:cs="Garamond"/>
          <w:sz w:val="20"/>
          <w:szCs w:val="20"/>
        </w:rPr>
      </w:pPr>
      <w:r>
        <w:rPr>
          <w:vertAlign w:val="superscript"/>
        </w:rPr>
        <w:footnoteRef/>
      </w:r>
      <w:r>
        <w:rPr>
          <w:rFonts w:ascii="Garamond" w:eastAsia="Garamond" w:hAnsi="Garamond" w:cs="Garamond"/>
          <w:sz w:val="20"/>
          <w:szCs w:val="20"/>
        </w:rPr>
        <w:t xml:space="preserve"> Ley General de Víctimas, 9 de enero de 2013, </w:t>
      </w:r>
      <w:hyperlink r:id="rId2">
        <w:r w:rsidR="00805DD3">
          <w:rPr>
            <w:rFonts w:ascii="Garamond" w:eastAsia="Garamond" w:hAnsi="Garamond" w:cs="Garamond"/>
            <w:color w:val="1155CC"/>
            <w:sz w:val="20"/>
            <w:szCs w:val="20"/>
            <w:u w:val="single"/>
          </w:rPr>
          <w:t>https://www.diputados.gob.mx/LeyesBiblio/pdf/LGV.pdf</w:t>
        </w:r>
      </w:hyperlink>
      <w:r>
        <w:rPr>
          <w:rFonts w:ascii="Garamond" w:eastAsia="Garamond" w:hAnsi="Garamond" w:cs="Garamond"/>
          <w:sz w:val="20"/>
          <w:szCs w:val="20"/>
        </w:rPr>
        <w:t xml:space="preserve">. </w:t>
      </w:r>
    </w:p>
  </w:footnote>
  <w:footnote w:id="5">
    <w:p w14:paraId="0261CC4C" w14:textId="77777777" w:rsidR="00805DD3" w:rsidRDefault="00000000">
      <w:pPr>
        <w:pBdr>
          <w:top w:val="nil"/>
          <w:left w:val="nil"/>
          <w:bottom w:val="nil"/>
          <w:right w:val="nil"/>
          <w:between w:val="nil"/>
        </w:pBdr>
        <w:spacing w:line="240" w:lineRule="auto"/>
        <w:rPr>
          <w:rFonts w:ascii="Garamond" w:eastAsia="Garamond" w:hAnsi="Garamond" w:cs="Garamond"/>
          <w:sz w:val="20"/>
          <w:szCs w:val="20"/>
        </w:rPr>
      </w:pPr>
      <w:r>
        <w:rPr>
          <w:vertAlign w:val="superscript"/>
        </w:rPr>
        <w:footnoteRef/>
      </w:r>
      <w:r>
        <w:rPr>
          <w:rFonts w:ascii="Garamond" w:eastAsia="Garamond" w:hAnsi="Garamond" w:cs="Garamond"/>
          <w:sz w:val="20"/>
          <w:szCs w:val="20"/>
        </w:rPr>
        <w:t xml:space="preserve"> NOM-046-SSA2-2005, Violencia familiar, sexual y contra las mujeres. Criterios para la prevención y atención y en el Reglamento de la Ley General de Salud en Materia de Prestación de Servicios de Atención Médica, Diario Oficial de la Federación, 24 de marzo de 2016, </w:t>
      </w:r>
      <w:hyperlink r:id="rId3" w:anchor="gsc.tab=0">
        <w:r w:rsidR="00805DD3">
          <w:rPr>
            <w:rFonts w:ascii="Garamond" w:eastAsia="Garamond" w:hAnsi="Garamond" w:cs="Garamond"/>
            <w:sz w:val="20"/>
            <w:szCs w:val="20"/>
          </w:rPr>
          <w:t>https://www.dof.gob.mx/nota_detalle.php?codigo=5430957&amp;fecha=24/03/2016#gsc.tab=0</w:t>
        </w:r>
      </w:hyperlink>
      <w:r>
        <w:rPr>
          <w:rFonts w:ascii="Garamond" w:eastAsia="Garamond" w:hAnsi="Garamond" w:cs="Garamond"/>
          <w:sz w:val="20"/>
          <w:szCs w:val="20"/>
        </w:rPr>
        <w:t xml:space="preserve"> </w:t>
      </w:r>
    </w:p>
  </w:footnote>
  <w:footnote w:id="6">
    <w:p w14:paraId="7CE7424B" w14:textId="77777777" w:rsidR="00805DD3" w:rsidRDefault="00000000">
      <w:pPr>
        <w:spacing w:line="240" w:lineRule="auto"/>
        <w:rPr>
          <w:sz w:val="20"/>
          <w:szCs w:val="20"/>
        </w:rPr>
      </w:pPr>
      <w:r>
        <w:rPr>
          <w:vertAlign w:val="superscript"/>
        </w:rPr>
        <w:footnoteRef/>
      </w:r>
      <w:r>
        <w:rPr>
          <w:rFonts w:ascii="Garamond" w:eastAsia="Garamond" w:hAnsi="Garamond" w:cs="Garamond"/>
          <w:i/>
          <w:sz w:val="19"/>
          <w:szCs w:val="19"/>
        </w:rPr>
        <w:t xml:space="preserve"> </w:t>
      </w:r>
      <w:r>
        <w:rPr>
          <w:rFonts w:ascii="Garamond" w:eastAsia="Garamond" w:hAnsi="Garamond" w:cs="Garamond"/>
          <w:sz w:val="19"/>
          <w:szCs w:val="19"/>
        </w:rPr>
        <w:t xml:space="preserve">GIRE, </w:t>
      </w:r>
      <w:r>
        <w:rPr>
          <w:rFonts w:ascii="Garamond" w:eastAsia="Garamond" w:hAnsi="Garamond" w:cs="Garamond"/>
          <w:i/>
          <w:strike/>
          <w:sz w:val="19"/>
          <w:szCs w:val="19"/>
        </w:rPr>
        <w:t>Maternidad o castigo.</w:t>
      </w:r>
      <w:r>
        <w:rPr>
          <w:rFonts w:ascii="Garamond" w:eastAsia="Garamond" w:hAnsi="Garamond" w:cs="Garamond"/>
          <w:i/>
          <w:sz w:val="19"/>
          <w:szCs w:val="19"/>
        </w:rPr>
        <w:t xml:space="preserve"> Hacia la despenalización del aborto en México</w:t>
      </w:r>
      <w:r>
        <w:rPr>
          <w:rFonts w:ascii="Garamond" w:eastAsia="Garamond" w:hAnsi="Garamond" w:cs="Garamond"/>
          <w:sz w:val="19"/>
          <w:szCs w:val="19"/>
        </w:rPr>
        <w:t xml:space="preserve"> (2025),</w:t>
      </w:r>
      <w:r>
        <w:rPr>
          <w:rFonts w:ascii="Garamond" w:eastAsia="Garamond" w:hAnsi="Garamond" w:cs="Garamond"/>
          <w:i/>
          <w:sz w:val="19"/>
          <w:szCs w:val="19"/>
        </w:rPr>
        <w:t xml:space="preserve"> </w:t>
      </w:r>
      <w:r>
        <w:rPr>
          <w:rFonts w:ascii="Garamond" w:eastAsia="Garamond" w:hAnsi="Garamond" w:cs="Garamond"/>
          <w:sz w:val="19"/>
          <w:szCs w:val="19"/>
        </w:rPr>
        <w:t xml:space="preserve">p. 70, </w:t>
      </w:r>
      <w:hyperlink r:id="rId4">
        <w:r w:rsidR="00805DD3">
          <w:rPr>
            <w:rFonts w:ascii="Garamond" w:eastAsia="Garamond" w:hAnsi="Garamond" w:cs="Garamond"/>
            <w:color w:val="0000FF"/>
            <w:sz w:val="19"/>
            <w:szCs w:val="19"/>
            <w:u w:val="single"/>
          </w:rPr>
          <w:t>https://gire.org.mx/publicaciones/maternidad-o-castigo-hacia-la-despenalizacion-del-aborto-en-mexico/</w:t>
        </w:r>
      </w:hyperlink>
      <w:r>
        <w:rPr>
          <w:rFonts w:ascii="Garamond" w:eastAsia="Garamond" w:hAnsi="Garamond" w:cs="Garamond"/>
          <w:sz w:val="19"/>
          <w:szCs w:val="19"/>
        </w:rPr>
        <w:t xml:space="preserve"> </w:t>
      </w:r>
    </w:p>
  </w:footnote>
  <w:footnote w:id="7">
    <w:p w14:paraId="4EE72A6A" w14:textId="77777777" w:rsidR="00805DD3" w:rsidRDefault="00000000">
      <w:pPr>
        <w:spacing w:line="240" w:lineRule="auto"/>
        <w:rPr>
          <w:sz w:val="20"/>
          <w:szCs w:val="20"/>
          <w:vertAlign w:val="superscript"/>
        </w:rPr>
      </w:pPr>
      <w:r>
        <w:rPr>
          <w:vertAlign w:val="superscript"/>
        </w:rPr>
        <w:footnoteRef/>
      </w:r>
      <w:r>
        <w:rPr>
          <w:rFonts w:ascii="Garamond" w:eastAsia="Garamond" w:hAnsi="Garamond" w:cs="Garamond"/>
          <w:sz w:val="19"/>
          <w:szCs w:val="19"/>
        </w:rPr>
        <w:t xml:space="preserve"> GIRE, </w:t>
      </w:r>
      <w:r>
        <w:rPr>
          <w:rFonts w:ascii="Garamond" w:eastAsia="Garamond" w:hAnsi="Garamond" w:cs="Garamond"/>
          <w:i/>
          <w:strike/>
          <w:sz w:val="19"/>
          <w:szCs w:val="19"/>
        </w:rPr>
        <w:t>Maternidad o castigo.</w:t>
      </w:r>
      <w:r>
        <w:rPr>
          <w:rFonts w:ascii="Garamond" w:eastAsia="Garamond" w:hAnsi="Garamond" w:cs="Garamond"/>
          <w:i/>
          <w:sz w:val="19"/>
          <w:szCs w:val="19"/>
        </w:rPr>
        <w:t xml:space="preserve"> Hacia la despenalización</w:t>
      </w:r>
      <w:r>
        <w:rPr>
          <w:rFonts w:ascii="Garamond" w:eastAsia="Garamond" w:hAnsi="Garamond" w:cs="Garamond"/>
          <w:sz w:val="19"/>
          <w:szCs w:val="19"/>
        </w:rPr>
        <w:t xml:space="preserve">…, pp. 97-101. </w:t>
      </w:r>
    </w:p>
  </w:footnote>
  <w:footnote w:id="8">
    <w:p w14:paraId="1552F5F5" w14:textId="5BF372BB" w:rsidR="00805DD3" w:rsidRDefault="00000000">
      <w:pPr>
        <w:spacing w:line="240" w:lineRule="auto"/>
        <w:rPr>
          <w:rFonts w:ascii="Garamond" w:eastAsia="Garamond" w:hAnsi="Garamond" w:cs="Garamond"/>
          <w:sz w:val="19"/>
          <w:szCs w:val="19"/>
        </w:rPr>
      </w:pPr>
      <w:r>
        <w:rPr>
          <w:vertAlign w:val="superscript"/>
        </w:rPr>
        <w:footnoteRef/>
      </w:r>
      <w:r>
        <w:rPr>
          <w:rFonts w:ascii="Garamond" w:eastAsia="Garamond" w:hAnsi="Garamond" w:cs="Garamond"/>
          <w:sz w:val="19"/>
          <w:szCs w:val="19"/>
        </w:rPr>
        <w:t xml:space="preserve"> La incidencia delictiva </w:t>
      </w:r>
      <w:r w:rsidR="00AB404E">
        <w:rPr>
          <w:rFonts w:ascii="Garamond" w:eastAsia="Garamond" w:hAnsi="Garamond" w:cs="Garamond"/>
          <w:sz w:val="19"/>
          <w:szCs w:val="19"/>
        </w:rPr>
        <w:t xml:space="preserve">es el </w:t>
      </w:r>
      <w:r>
        <w:rPr>
          <w:rFonts w:ascii="Garamond" w:eastAsia="Garamond" w:hAnsi="Garamond" w:cs="Garamond"/>
          <w:sz w:val="19"/>
          <w:szCs w:val="19"/>
        </w:rPr>
        <w:t>número de delitos presuntamente cometidos, registrados a través de averiguaciones previas o carpetas de investigación iniciadas por las fiscalías o procuradurías de justicia de cada entidad y del ámbito federal.</w:t>
      </w:r>
    </w:p>
  </w:footnote>
  <w:footnote w:id="9">
    <w:p w14:paraId="2AB27C7D" w14:textId="77777777" w:rsidR="00805DD3" w:rsidRDefault="00000000">
      <w:pPr>
        <w:spacing w:line="240" w:lineRule="auto"/>
        <w:rPr>
          <w:sz w:val="20"/>
          <w:szCs w:val="20"/>
          <w:vertAlign w:val="superscript"/>
        </w:rPr>
      </w:pPr>
      <w:r>
        <w:rPr>
          <w:vertAlign w:val="superscript"/>
        </w:rPr>
        <w:footnoteRef/>
      </w:r>
      <w:r>
        <w:rPr>
          <w:rFonts w:ascii="Garamond" w:eastAsia="Garamond" w:hAnsi="Garamond" w:cs="Garamond"/>
          <w:sz w:val="19"/>
          <w:szCs w:val="19"/>
        </w:rPr>
        <w:t xml:space="preserve"> GIRE, </w:t>
      </w:r>
      <w:r>
        <w:rPr>
          <w:rFonts w:ascii="Garamond" w:eastAsia="Garamond" w:hAnsi="Garamond" w:cs="Garamond"/>
          <w:i/>
          <w:strike/>
          <w:sz w:val="19"/>
          <w:szCs w:val="19"/>
        </w:rPr>
        <w:t>Maternidad o castigo.</w:t>
      </w:r>
      <w:r>
        <w:rPr>
          <w:rFonts w:ascii="Garamond" w:eastAsia="Garamond" w:hAnsi="Garamond" w:cs="Garamond"/>
          <w:i/>
          <w:sz w:val="19"/>
          <w:szCs w:val="19"/>
        </w:rPr>
        <w:t xml:space="preserve"> Hacia la despenalización</w:t>
      </w:r>
      <w:r>
        <w:rPr>
          <w:rFonts w:ascii="Garamond" w:eastAsia="Garamond" w:hAnsi="Garamond" w:cs="Garamond"/>
          <w:sz w:val="19"/>
          <w:szCs w:val="19"/>
        </w:rPr>
        <w:t xml:space="preserve">…, pp. 102-107. </w:t>
      </w:r>
    </w:p>
  </w:footnote>
  <w:footnote w:id="10">
    <w:p w14:paraId="1C5EA200" w14:textId="77777777" w:rsidR="00805DD3" w:rsidRDefault="00000000">
      <w:pPr>
        <w:spacing w:line="240" w:lineRule="auto"/>
        <w:rPr>
          <w:rFonts w:ascii="Garamond" w:eastAsia="Garamond" w:hAnsi="Garamond" w:cs="Garamond"/>
          <w:sz w:val="20"/>
          <w:szCs w:val="20"/>
        </w:rPr>
      </w:pPr>
      <w:r>
        <w:rPr>
          <w:vertAlign w:val="superscript"/>
        </w:rPr>
        <w:footnoteRef/>
      </w:r>
      <w:r>
        <w:rPr>
          <w:rFonts w:ascii="Garamond" w:eastAsia="Garamond" w:hAnsi="Garamond" w:cs="Garamond"/>
          <w:sz w:val="20"/>
          <w:szCs w:val="20"/>
        </w:rPr>
        <w:t xml:space="preserve"> </w:t>
      </w:r>
      <w:r>
        <w:rPr>
          <w:rFonts w:ascii="Garamond" w:eastAsia="Garamond" w:hAnsi="Garamond" w:cs="Garamond"/>
          <w:sz w:val="19"/>
          <w:szCs w:val="19"/>
        </w:rPr>
        <w:t xml:space="preserve">GIRE, </w:t>
      </w:r>
      <w:r>
        <w:rPr>
          <w:rFonts w:ascii="Garamond" w:eastAsia="Garamond" w:hAnsi="Garamond" w:cs="Garamond"/>
          <w:i/>
          <w:strike/>
          <w:sz w:val="19"/>
          <w:szCs w:val="19"/>
        </w:rPr>
        <w:t>Maternidad o castigo.</w:t>
      </w:r>
      <w:r>
        <w:rPr>
          <w:rFonts w:ascii="Garamond" w:eastAsia="Garamond" w:hAnsi="Garamond" w:cs="Garamond"/>
          <w:i/>
          <w:sz w:val="19"/>
          <w:szCs w:val="19"/>
        </w:rPr>
        <w:t xml:space="preserve"> Hacia la despenalización</w:t>
      </w:r>
      <w:r>
        <w:rPr>
          <w:rFonts w:ascii="Garamond" w:eastAsia="Garamond" w:hAnsi="Garamond" w:cs="Garamond"/>
          <w:sz w:val="19"/>
          <w:szCs w:val="19"/>
        </w:rPr>
        <w:t>…, pp. 109-112 y 119-124.</w:t>
      </w:r>
    </w:p>
  </w:footnote>
  <w:footnote w:id="11">
    <w:p w14:paraId="7579A4A0" w14:textId="77777777" w:rsidR="00805DD3" w:rsidRDefault="00000000">
      <w:pPr>
        <w:spacing w:line="240" w:lineRule="auto"/>
        <w:rPr>
          <w:rFonts w:ascii="Garamond" w:eastAsia="Garamond" w:hAnsi="Garamond" w:cs="Garamond"/>
          <w:sz w:val="20"/>
          <w:szCs w:val="20"/>
        </w:rPr>
      </w:pPr>
      <w:r>
        <w:rPr>
          <w:vertAlign w:val="superscript"/>
        </w:rPr>
        <w:footnoteRef/>
      </w:r>
      <w:r>
        <w:rPr>
          <w:rFonts w:ascii="Garamond" w:eastAsia="Garamond" w:hAnsi="Garamond" w:cs="Garamond"/>
          <w:sz w:val="20"/>
          <w:szCs w:val="20"/>
        </w:rPr>
        <w:t xml:space="preserve"> </w:t>
      </w:r>
      <w:r>
        <w:rPr>
          <w:sz w:val="20"/>
          <w:szCs w:val="20"/>
        </w:rPr>
        <w:t xml:space="preserve"> </w:t>
      </w:r>
      <w:r>
        <w:rPr>
          <w:rFonts w:ascii="Garamond" w:eastAsia="Garamond" w:hAnsi="Garamond" w:cs="Garamond"/>
          <w:sz w:val="20"/>
          <w:szCs w:val="20"/>
        </w:rPr>
        <w:t xml:space="preserve">OMS, “Directrices sobre la atención para el aborto.” (2022), pp. 67-69. </w:t>
      </w:r>
    </w:p>
  </w:footnote>
  <w:footnote w:id="12">
    <w:p w14:paraId="56AD8B08" w14:textId="77777777" w:rsidR="00805DD3" w:rsidRDefault="00000000">
      <w:pPr>
        <w:spacing w:line="240" w:lineRule="auto"/>
        <w:rPr>
          <w:sz w:val="20"/>
          <w:szCs w:val="20"/>
        </w:rPr>
      </w:pPr>
      <w:r>
        <w:rPr>
          <w:vertAlign w:val="superscript"/>
        </w:rPr>
        <w:footnoteRef/>
      </w:r>
      <w:r>
        <w:rPr>
          <w:rFonts w:ascii="Garamond" w:eastAsia="Garamond" w:hAnsi="Garamond" w:cs="Garamond"/>
          <w:sz w:val="19"/>
          <w:szCs w:val="19"/>
        </w:rPr>
        <w:t xml:space="preserve"> Los apartados 5.a y 5.b buscaban disminuir la razón de muerte materna a 22.3 por ciento de defunciones por cada cien mil nacidos vivos.</w:t>
      </w:r>
    </w:p>
  </w:footnote>
  <w:footnote w:id="13">
    <w:p w14:paraId="5ABB83F4" w14:textId="77777777" w:rsidR="00805DD3" w:rsidRDefault="00000000">
      <w:pPr>
        <w:spacing w:line="240" w:lineRule="auto"/>
        <w:rPr>
          <w:sz w:val="20"/>
          <w:szCs w:val="20"/>
        </w:rPr>
      </w:pPr>
      <w:r>
        <w:rPr>
          <w:vertAlign w:val="superscript"/>
        </w:rPr>
        <w:footnoteRef/>
      </w:r>
      <w:r>
        <w:rPr>
          <w:rFonts w:ascii="Garamond" w:eastAsia="Garamond" w:hAnsi="Garamond" w:cs="Garamond"/>
          <w:sz w:val="19"/>
          <w:szCs w:val="19"/>
        </w:rPr>
        <w:t xml:space="preserve"> GIRE, “Razón de muerte materna por entidad” (2025), </w:t>
      </w:r>
      <w:hyperlink r:id="rId5" w:anchor=":~:text=De%202016%20a%202021%20en,preocupantes%20para%202020%20y%202021">
        <w:r w:rsidR="00805DD3">
          <w:rPr>
            <w:rFonts w:ascii="Garamond" w:eastAsia="Garamond" w:hAnsi="Garamond" w:cs="Garamond"/>
            <w:color w:val="1155CC"/>
            <w:sz w:val="19"/>
            <w:szCs w:val="19"/>
            <w:u w:val="single"/>
          </w:rPr>
          <w:t>https://gire.org.mx/plataforma/razon-de-muerte-materna-por-entidad/#:~:text=De%202016%20a%202021%20en,preocupantes%20para%202020%20y%202021</w:t>
        </w:r>
      </w:hyperlink>
    </w:p>
  </w:footnote>
  <w:footnote w:id="14">
    <w:p w14:paraId="66C1FD82" w14:textId="77777777" w:rsidR="00805DD3" w:rsidRDefault="00000000">
      <w:pPr>
        <w:pBdr>
          <w:top w:val="nil"/>
          <w:left w:val="nil"/>
          <w:bottom w:val="nil"/>
          <w:right w:val="nil"/>
          <w:between w:val="nil"/>
        </w:pBdr>
        <w:spacing w:line="240" w:lineRule="auto"/>
        <w:rPr>
          <w:color w:val="000000"/>
          <w:sz w:val="20"/>
          <w:szCs w:val="20"/>
        </w:rPr>
      </w:pPr>
      <w:r>
        <w:rPr>
          <w:vertAlign w:val="superscript"/>
        </w:rPr>
        <w:footnoteRef/>
      </w:r>
      <w:r>
        <w:rPr>
          <w:rFonts w:ascii="Garamond" w:eastAsia="Garamond" w:hAnsi="Garamond" w:cs="Garamond"/>
          <w:sz w:val="19"/>
          <w:szCs w:val="19"/>
        </w:rPr>
        <w:t xml:space="preserve"> En 2023 la RMM se estimó en 50.84. </w:t>
      </w:r>
      <w:r>
        <w:rPr>
          <w:rFonts w:ascii="Garamond" w:eastAsia="Garamond" w:hAnsi="Garamond" w:cs="Garamond"/>
          <w:color w:val="000000"/>
          <w:sz w:val="19"/>
          <w:szCs w:val="19"/>
        </w:rPr>
        <w:t>GIRE, “Razón de muerte materna por entidad”…</w:t>
      </w:r>
    </w:p>
  </w:footnote>
  <w:footnote w:id="15">
    <w:p w14:paraId="3B274436" w14:textId="77777777" w:rsidR="00805DD3" w:rsidRDefault="00000000">
      <w:pPr>
        <w:spacing w:line="240" w:lineRule="auto"/>
        <w:rPr>
          <w:sz w:val="20"/>
          <w:szCs w:val="20"/>
        </w:rPr>
      </w:pPr>
      <w:r>
        <w:rPr>
          <w:vertAlign w:val="superscript"/>
        </w:rPr>
        <w:footnoteRef/>
      </w:r>
      <w:r>
        <w:rPr>
          <w:rFonts w:ascii="Garamond" w:eastAsia="Garamond" w:hAnsi="Garamond" w:cs="Garamond"/>
          <w:sz w:val="19"/>
          <w:szCs w:val="19"/>
        </w:rPr>
        <w:t xml:space="preserve"> GIRE,</w:t>
      </w:r>
      <w:r>
        <w:rPr>
          <w:rFonts w:ascii="Garamond" w:eastAsia="Garamond" w:hAnsi="Garamond" w:cs="Garamond"/>
          <w:i/>
          <w:sz w:val="19"/>
          <w:szCs w:val="19"/>
        </w:rPr>
        <w:t xml:space="preserve"> ¿Qué dicen los datos públicos? Radiografía de la violencia obstétrica y la muerte materna</w:t>
      </w:r>
      <w:r>
        <w:rPr>
          <w:rFonts w:ascii="Garamond" w:eastAsia="Garamond" w:hAnsi="Garamond" w:cs="Garamond"/>
          <w:sz w:val="19"/>
          <w:szCs w:val="19"/>
        </w:rPr>
        <w:t xml:space="preserve"> (2023), </w:t>
      </w:r>
      <w:hyperlink r:id="rId6">
        <w:r w:rsidR="00805DD3">
          <w:rPr>
            <w:rFonts w:ascii="Garamond" w:eastAsia="Garamond" w:hAnsi="Garamond" w:cs="Garamond"/>
            <w:color w:val="1155CC"/>
            <w:sz w:val="19"/>
            <w:szCs w:val="19"/>
            <w:u w:val="single"/>
          </w:rPr>
          <w:t>https://violenciaobstetrica.gire.org.mx/muerte-materna/</w:t>
        </w:r>
      </w:hyperlink>
    </w:p>
  </w:footnote>
  <w:footnote w:id="16">
    <w:p w14:paraId="6C70993E" w14:textId="77777777" w:rsidR="00805DD3" w:rsidRDefault="00000000">
      <w:pPr>
        <w:spacing w:line="240" w:lineRule="auto"/>
        <w:rPr>
          <w:rFonts w:ascii="Garamond" w:eastAsia="Garamond" w:hAnsi="Garamond" w:cs="Garamond"/>
          <w:sz w:val="19"/>
          <w:szCs w:val="19"/>
        </w:rPr>
      </w:pPr>
      <w:r>
        <w:rPr>
          <w:vertAlign w:val="superscript"/>
        </w:rPr>
        <w:footnoteRef/>
      </w:r>
      <w:r>
        <w:rPr>
          <w:rFonts w:ascii="Garamond" w:eastAsia="Garamond" w:hAnsi="Garamond" w:cs="Garamond"/>
          <w:sz w:val="19"/>
          <w:szCs w:val="19"/>
        </w:rPr>
        <w:t xml:space="preserve"> GIRE,</w:t>
      </w:r>
      <w:r>
        <w:rPr>
          <w:rFonts w:ascii="Garamond" w:eastAsia="Garamond" w:hAnsi="Garamond" w:cs="Garamond"/>
          <w:i/>
          <w:sz w:val="19"/>
          <w:szCs w:val="19"/>
        </w:rPr>
        <w:t xml:space="preserve"> ¿Qué dicen los datos públicos?...</w:t>
      </w:r>
    </w:p>
  </w:footnote>
  <w:footnote w:id="17">
    <w:p w14:paraId="377EADB5" w14:textId="77777777" w:rsidR="00805DD3" w:rsidRDefault="00000000">
      <w:pPr>
        <w:spacing w:line="240" w:lineRule="auto"/>
        <w:rPr>
          <w:sz w:val="20"/>
          <w:szCs w:val="20"/>
        </w:rPr>
      </w:pPr>
      <w:r>
        <w:rPr>
          <w:vertAlign w:val="superscript"/>
        </w:rPr>
        <w:footnoteRef/>
      </w:r>
      <w:r>
        <w:rPr>
          <w:rFonts w:ascii="Garamond" w:eastAsia="Garamond" w:hAnsi="Garamond" w:cs="Garamond"/>
          <w:sz w:val="19"/>
          <w:szCs w:val="19"/>
        </w:rPr>
        <w:t xml:space="preserve"> GIRE, </w:t>
      </w:r>
      <w:r>
        <w:rPr>
          <w:rFonts w:ascii="Garamond" w:eastAsia="Garamond" w:hAnsi="Garamond" w:cs="Garamond"/>
          <w:i/>
          <w:sz w:val="19"/>
          <w:szCs w:val="19"/>
        </w:rPr>
        <w:t>Justicia Olvidada. Violencia e impunidad en la salud reproductiva</w:t>
      </w:r>
      <w:r>
        <w:rPr>
          <w:rFonts w:ascii="Garamond" w:eastAsia="Garamond" w:hAnsi="Garamond" w:cs="Garamond"/>
          <w:sz w:val="19"/>
          <w:szCs w:val="19"/>
        </w:rPr>
        <w:t xml:space="preserve"> (2022), p. 14-15, </w:t>
      </w:r>
      <w:hyperlink r:id="rId7">
        <w:r w:rsidR="00805DD3">
          <w:rPr>
            <w:rFonts w:ascii="Garamond" w:eastAsia="Garamond" w:hAnsi="Garamond" w:cs="Garamond"/>
            <w:color w:val="1155CC"/>
            <w:sz w:val="19"/>
            <w:szCs w:val="19"/>
            <w:u w:val="single"/>
          </w:rPr>
          <w:t>https://justiciaolvidada.gire.org.mx/</w:t>
        </w:r>
      </w:hyperlink>
    </w:p>
  </w:footnote>
  <w:footnote w:id="18">
    <w:p w14:paraId="11DABEF7" w14:textId="77777777" w:rsidR="00805DD3" w:rsidRDefault="00000000">
      <w:pPr>
        <w:spacing w:line="240" w:lineRule="auto"/>
        <w:rPr>
          <w:sz w:val="20"/>
          <w:szCs w:val="20"/>
        </w:rPr>
      </w:pPr>
      <w:r>
        <w:rPr>
          <w:vertAlign w:val="superscript"/>
        </w:rPr>
        <w:footnoteRef/>
      </w:r>
      <w:r>
        <w:rPr>
          <w:rFonts w:ascii="Garamond" w:eastAsia="Garamond" w:hAnsi="Garamond" w:cs="Garamond"/>
          <w:sz w:val="19"/>
          <w:szCs w:val="19"/>
        </w:rPr>
        <w:t xml:space="preserve"> GIRE, </w:t>
      </w:r>
      <w:r>
        <w:rPr>
          <w:rFonts w:ascii="Garamond" w:eastAsia="Garamond" w:hAnsi="Garamond" w:cs="Garamond"/>
          <w:i/>
          <w:sz w:val="19"/>
          <w:szCs w:val="19"/>
        </w:rPr>
        <w:t xml:space="preserve">¿Qué dicen los datos públicos?... </w:t>
      </w:r>
    </w:p>
  </w:footnote>
  <w:footnote w:id="19">
    <w:p w14:paraId="0FDCC4C7" w14:textId="77777777" w:rsidR="00805DD3" w:rsidRDefault="00000000">
      <w:pPr>
        <w:spacing w:line="240" w:lineRule="auto"/>
        <w:rPr>
          <w:sz w:val="20"/>
          <w:szCs w:val="20"/>
        </w:rPr>
      </w:pPr>
      <w:r>
        <w:rPr>
          <w:vertAlign w:val="superscript"/>
        </w:rPr>
        <w:footnoteRef/>
      </w:r>
      <w:r>
        <w:rPr>
          <w:rFonts w:ascii="Garamond" w:eastAsia="Garamond" w:hAnsi="Garamond" w:cs="Garamond"/>
          <w:i/>
          <w:sz w:val="19"/>
          <w:szCs w:val="19"/>
        </w:rPr>
        <w:t xml:space="preserve"> </w:t>
      </w:r>
      <w:r>
        <w:rPr>
          <w:rFonts w:ascii="Garamond" w:eastAsia="Garamond" w:hAnsi="Garamond" w:cs="Garamond"/>
          <w:sz w:val="19"/>
          <w:szCs w:val="19"/>
        </w:rPr>
        <w:t xml:space="preserve">GIRE, </w:t>
      </w:r>
      <w:r>
        <w:rPr>
          <w:rFonts w:ascii="Garamond" w:eastAsia="Garamond" w:hAnsi="Garamond" w:cs="Garamond"/>
          <w:i/>
          <w:sz w:val="19"/>
          <w:szCs w:val="19"/>
        </w:rPr>
        <w:t xml:space="preserve">¿Qué dicen los datos públicos?... </w:t>
      </w:r>
    </w:p>
  </w:footnote>
  <w:footnote w:id="20">
    <w:p w14:paraId="2375BEDE" w14:textId="77777777" w:rsidR="00805DD3" w:rsidRDefault="00000000">
      <w:pPr>
        <w:spacing w:line="240" w:lineRule="auto"/>
        <w:rPr>
          <w:sz w:val="20"/>
          <w:szCs w:val="20"/>
        </w:rPr>
      </w:pPr>
      <w:r>
        <w:rPr>
          <w:vertAlign w:val="superscript"/>
        </w:rPr>
        <w:footnoteRef/>
      </w:r>
      <w:r>
        <w:rPr>
          <w:rFonts w:ascii="Garamond" w:eastAsia="Garamond" w:hAnsi="Garamond" w:cs="Garamond"/>
          <w:i/>
          <w:sz w:val="19"/>
          <w:szCs w:val="19"/>
        </w:rPr>
        <w:t xml:space="preserve"> </w:t>
      </w:r>
      <w:r>
        <w:rPr>
          <w:rFonts w:ascii="Garamond" w:eastAsia="Garamond" w:hAnsi="Garamond" w:cs="Garamond"/>
          <w:sz w:val="19"/>
          <w:szCs w:val="19"/>
        </w:rPr>
        <w:t xml:space="preserve">GIRE, </w:t>
      </w:r>
      <w:r>
        <w:rPr>
          <w:rFonts w:ascii="Garamond" w:eastAsia="Garamond" w:hAnsi="Garamond" w:cs="Garamond"/>
          <w:i/>
          <w:sz w:val="19"/>
          <w:szCs w:val="19"/>
        </w:rPr>
        <w:t xml:space="preserve">¿Qué dicen los datos públicos?... </w:t>
      </w:r>
    </w:p>
  </w:footnote>
  <w:footnote w:id="21">
    <w:p w14:paraId="77280371" w14:textId="77777777" w:rsidR="00805DD3" w:rsidRDefault="00000000">
      <w:pPr>
        <w:spacing w:line="240" w:lineRule="auto"/>
        <w:rPr>
          <w:sz w:val="20"/>
          <w:szCs w:val="20"/>
        </w:rPr>
      </w:pPr>
      <w:r>
        <w:rPr>
          <w:vertAlign w:val="superscript"/>
        </w:rPr>
        <w:footnoteRef/>
      </w:r>
      <w:r>
        <w:rPr>
          <w:rFonts w:ascii="Garamond" w:eastAsia="Garamond" w:hAnsi="Garamond" w:cs="Garamond"/>
          <w:i/>
          <w:sz w:val="19"/>
          <w:szCs w:val="19"/>
        </w:rPr>
        <w:t xml:space="preserve"> </w:t>
      </w:r>
      <w:r>
        <w:rPr>
          <w:rFonts w:ascii="Garamond" w:eastAsia="Garamond" w:hAnsi="Garamond" w:cs="Garamond"/>
          <w:sz w:val="19"/>
          <w:szCs w:val="19"/>
        </w:rPr>
        <w:t xml:space="preserve">GIRE, </w:t>
      </w:r>
      <w:r>
        <w:rPr>
          <w:rFonts w:ascii="Garamond" w:eastAsia="Garamond" w:hAnsi="Garamond" w:cs="Garamond"/>
          <w:i/>
          <w:sz w:val="19"/>
          <w:szCs w:val="19"/>
        </w:rPr>
        <w:t xml:space="preserve">¿Qué dicen los datos públicos?... </w:t>
      </w:r>
    </w:p>
  </w:footnote>
  <w:footnote w:id="22">
    <w:p w14:paraId="5518FA1D" w14:textId="77777777" w:rsidR="00805DD3" w:rsidRDefault="00000000">
      <w:pPr>
        <w:spacing w:line="240" w:lineRule="auto"/>
        <w:rPr>
          <w:sz w:val="20"/>
          <w:szCs w:val="20"/>
        </w:rPr>
      </w:pPr>
      <w:r>
        <w:rPr>
          <w:vertAlign w:val="superscript"/>
        </w:rPr>
        <w:footnoteRef/>
      </w:r>
      <w:r>
        <w:rPr>
          <w:rFonts w:ascii="Garamond" w:eastAsia="Garamond" w:hAnsi="Garamond" w:cs="Garamond"/>
          <w:i/>
          <w:sz w:val="19"/>
          <w:szCs w:val="19"/>
        </w:rPr>
        <w:t xml:space="preserve"> </w:t>
      </w:r>
      <w:r>
        <w:rPr>
          <w:rFonts w:ascii="Garamond" w:eastAsia="Garamond" w:hAnsi="Garamond" w:cs="Garamond"/>
          <w:sz w:val="19"/>
          <w:szCs w:val="19"/>
        </w:rPr>
        <w:t xml:space="preserve">GIRE, </w:t>
      </w:r>
      <w:r>
        <w:rPr>
          <w:rFonts w:ascii="Garamond" w:eastAsia="Garamond" w:hAnsi="Garamond" w:cs="Garamond"/>
          <w:i/>
          <w:sz w:val="19"/>
          <w:szCs w:val="19"/>
        </w:rPr>
        <w:t xml:space="preserve">¿Qué dicen los datos públicos?... </w:t>
      </w:r>
    </w:p>
  </w:footnote>
  <w:footnote w:id="23">
    <w:p w14:paraId="3A401250" w14:textId="77777777" w:rsidR="00805DD3" w:rsidRDefault="00000000">
      <w:pPr>
        <w:spacing w:line="240" w:lineRule="auto"/>
        <w:rPr>
          <w:rFonts w:ascii="Garamond" w:eastAsia="Garamond" w:hAnsi="Garamond" w:cs="Garamond"/>
          <w:sz w:val="20"/>
          <w:szCs w:val="20"/>
        </w:rPr>
      </w:pPr>
      <w:r>
        <w:rPr>
          <w:vertAlign w:val="superscript"/>
        </w:rPr>
        <w:footnoteRef/>
      </w:r>
      <w:r>
        <w:rPr>
          <w:sz w:val="20"/>
          <w:szCs w:val="20"/>
        </w:rPr>
        <w:t xml:space="preserve"> </w:t>
      </w:r>
      <w:r>
        <w:rPr>
          <w:rFonts w:ascii="Garamond" w:eastAsia="Garamond" w:hAnsi="Garamond" w:cs="Garamond"/>
          <w:sz w:val="20"/>
          <w:szCs w:val="20"/>
        </w:rPr>
        <w:t xml:space="preserve">GENDERS; Fundación Friedrich Ebert en México; </w:t>
      </w:r>
      <w:proofErr w:type="spellStart"/>
      <w:r>
        <w:rPr>
          <w:rFonts w:ascii="Garamond" w:eastAsia="Garamond" w:hAnsi="Garamond" w:cs="Garamond"/>
          <w:sz w:val="20"/>
          <w:szCs w:val="20"/>
        </w:rPr>
        <w:t>Intersecta</w:t>
      </w:r>
      <w:proofErr w:type="spellEnd"/>
      <w:r>
        <w:rPr>
          <w:rFonts w:ascii="Garamond" w:eastAsia="Garamond" w:hAnsi="Garamond" w:cs="Garamond"/>
          <w:sz w:val="20"/>
          <w:szCs w:val="20"/>
        </w:rPr>
        <w:t xml:space="preserve">; </w:t>
      </w:r>
      <w:proofErr w:type="spellStart"/>
      <w:r>
        <w:rPr>
          <w:rFonts w:ascii="Garamond" w:eastAsia="Garamond" w:hAnsi="Garamond" w:cs="Garamond"/>
          <w:sz w:val="20"/>
          <w:szCs w:val="20"/>
        </w:rPr>
        <w:t>Ecofeminita</w:t>
      </w:r>
      <w:proofErr w:type="spellEnd"/>
      <w:r>
        <w:rPr>
          <w:rFonts w:ascii="Garamond" w:eastAsia="Garamond" w:hAnsi="Garamond" w:cs="Garamond"/>
          <w:sz w:val="20"/>
          <w:szCs w:val="20"/>
        </w:rPr>
        <w:t>; Fundar; Equidad de Género: Ciudadanía, Trabajo y Familia; CIEP; GIRE; Oxfam México,</w:t>
      </w:r>
      <w:r>
        <w:rPr>
          <w:sz w:val="20"/>
          <w:szCs w:val="20"/>
        </w:rPr>
        <w:t xml:space="preserve"> </w:t>
      </w:r>
      <w:r>
        <w:rPr>
          <w:rFonts w:ascii="Garamond" w:eastAsia="Garamond" w:hAnsi="Garamond" w:cs="Garamond"/>
          <w:i/>
          <w:sz w:val="20"/>
          <w:szCs w:val="20"/>
        </w:rPr>
        <w:t xml:space="preserve">El derecho al cuidado y la justicia fiscal feminista. </w:t>
      </w:r>
      <w:proofErr w:type="spellStart"/>
      <w:r>
        <w:rPr>
          <w:rFonts w:ascii="Garamond" w:eastAsia="Garamond" w:hAnsi="Garamond" w:cs="Garamond"/>
          <w:i/>
          <w:sz w:val="20"/>
          <w:szCs w:val="20"/>
        </w:rPr>
        <w:t>Amicus</w:t>
      </w:r>
      <w:proofErr w:type="spellEnd"/>
      <w:r>
        <w:rPr>
          <w:rFonts w:ascii="Garamond" w:eastAsia="Garamond" w:hAnsi="Garamond" w:cs="Garamond"/>
          <w:i/>
          <w:sz w:val="20"/>
          <w:szCs w:val="20"/>
        </w:rPr>
        <w:t xml:space="preserve"> </w:t>
      </w:r>
      <w:proofErr w:type="spellStart"/>
      <w:r>
        <w:rPr>
          <w:rFonts w:ascii="Garamond" w:eastAsia="Garamond" w:hAnsi="Garamond" w:cs="Garamond"/>
          <w:i/>
          <w:sz w:val="20"/>
          <w:szCs w:val="20"/>
        </w:rPr>
        <w:t>curiae</w:t>
      </w:r>
      <w:proofErr w:type="spellEnd"/>
      <w:r>
        <w:rPr>
          <w:rFonts w:ascii="Garamond" w:eastAsia="Garamond" w:hAnsi="Garamond" w:cs="Garamond"/>
          <w:i/>
          <w:sz w:val="20"/>
          <w:szCs w:val="20"/>
        </w:rPr>
        <w:t xml:space="preserve"> para la Corte Interamericana de Derechos Humanos</w:t>
      </w:r>
      <w:r>
        <w:rPr>
          <w:rFonts w:ascii="Garamond" w:eastAsia="Garamond" w:hAnsi="Garamond" w:cs="Garamond"/>
          <w:sz w:val="20"/>
          <w:szCs w:val="20"/>
        </w:rPr>
        <w:t xml:space="preserve"> (2023), </w:t>
      </w:r>
      <w:hyperlink r:id="rId8">
        <w:r w:rsidR="00805DD3">
          <w:rPr>
            <w:rFonts w:ascii="Garamond" w:eastAsia="Garamond" w:hAnsi="Garamond" w:cs="Garamond"/>
            <w:color w:val="0000FF"/>
            <w:sz w:val="20"/>
            <w:szCs w:val="20"/>
            <w:u w:val="single"/>
          </w:rPr>
          <w:t>https://fundar.org.mx/wp-content/uploads/2024/03/Amicus_derechoalcuidado.pdf</w:t>
        </w:r>
      </w:hyperlink>
      <w:r>
        <w:rPr>
          <w:rFonts w:ascii="Garamond" w:eastAsia="Garamond" w:hAnsi="Garamond" w:cs="Garamond"/>
          <w:sz w:val="20"/>
          <w:szCs w:val="20"/>
        </w:rPr>
        <w:t xml:space="preserve">  </w:t>
      </w:r>
    </w:p>
  </w:footnote>
  <w:footnote w:id="24">
    <w:p w14:paraId="470B507E" w14:textId="77777777" w:rsidR="00805DD3" w:rsidRDefault="00000000">
      <w:pPr>
        <w:spacing w:line="240" w:lineRule="auto"/>
        <w:rPr>
          <w:rFonts w:ascii="Garamond" w:eastAsia="Garamond" w:hAnsi="Garamond" w:cs="Garamond"/>
          <w:sz w:val="20"/>
          <w:szCs w:val="20"/>
        </w:rPr>
      </w:pPr>
      <w:r>
        <w:rPr>
          <w:vertAlign w:val="superscript"/>
        </w:rPr>
        <w:footnoteRef/>
      </w:r>
      <w:r>
        <w:rPr>
          <w:rFonts w:ascii="Garamond" w:eastAsia="Garamond" w:hAnsi="Garamond" w:cs="Garamond"/>
          <w:sz w:val="20"/>
          <w:szCs w:val="20"/>
        </w:rPr>
        <w:t xml:space="preserve"> Los casos más representativos son los de Jalisco y Ciudad de México. Véase: Ley del Sistema Integral de Cuidados para el Estado de Jalisco, </w:t>
      </w:r>
      <w:r>
        <w:rPr>
          <w:rFonts w:ascii="Garamond" w:eastAsia="Garamond" w:hAnsi="Garamond" w:cs="Garamond"/>
          <w:i/>
          <w:sz w:val="20"/>
          <w:szCs w:val="20"/>
        </w:rPr>
        <w:t>Periódico Oficial del Estado de Jalisco</w:t>
      </w:r>
      <w:r>
        <w:rPr>
          <w:rFonts w:ascii="Garamond" w:eastAsia="Garamond" w:hAnsi="Garamond" w:cs="Garamond"/>
          <w:sz w:val="20"/>
          <w:szCs w:val="20"/>
        </w:rPr>
        <w:t xml:space="preserve">, 24 de febrero de 2024, núm. 42, sección VII, </w:t>
      </w:r>
      <w:hyperlink r:id="rId9">
        <w:r w:rsidR="00805DD3">
          <w:rPr>
            <w:rFonts w:ascii="Garamond" w:eastAsia="Garamond" w:hAnsi="Garamond" w:cs="Garamond"/>
            <w:color w:val="0000FF"/>
            <w:sz w:val="20"/>
            <w:szCs w:val="20"/>
            <w:u w:val="single"/>
          </w:rPr>
          <w:t>https://apiperiodico.jalisco.gob.mx/api/newspaper/getAsset?q=newspaper/21918/1708726570-2024-02-24-VII.pdf</w:t>
        </w:r>
      </w:hyperlink>
      <w:r>
        <w:rPr>
          <w:rFonts w:ascii="Garamond" w:eastAsia="Garamond" w:hAnsi="Garamond" w:cs="Garamond"/>
          <w:sz w:val="20"/>
          <w:szCs w:val="20"/>
        </w:rPr>
        <w:t xml:space="preserve"> Secretaría de las Mujeres, Dirección General de Igualdad y Atención a la Violencia de Género, </w:t>
      </w:r>
      <w:r>
        <w:rPr>
          <w:rFonts w:ascii="Garamond" w:eastAsia="Garamond" w:hAnsi="Garamond" w:cs="Garamond"/>
          <w:i/>
          <w:sz w:val="20"/>
          <w:szCs w:val="20"/>
        </w:rPr>
        <w:t>Sistema de Cuidados para el Bienestar de la Ciudad de México. Marco de Referencia</w:t>
      </w:r>
      <w:r>
        <w:rPr>
          <w:rFonts w:ascii="Garamond" w:eastAsia="Garamond" w:hAnsi="Garamond" w:cs="Garamond"/>
          <w:sz w:val="20"/>
          <w:szCs w:val="20"/>
        </w:rPr>
        <w:t xml:space="preserve"> (2024), </w:t>
      </w:r>
      <w:hyperlink r:id="rId10">
        <w:r w:rsidR="00805DD3">
          <w:rPr>
            <w:rFonts w:ascii="Garamond" w:eastAsia="Garamond" w:hAnsi="Garamond" w:cs="Garamond"/>
            <w:color w:val="0000FF"/>
            <w:sz w:val="20"/>
            <w:szCs w:val="20"/>
            <w:u w:val="single"/>
          </w:rPr>
          <w:t>https://semujeres.cdmx.gob.mx/storage/app/media/Marco_referencia_para_plan_estrategico_Cuidados_CDMX.pdf</w:t>
        </w:r>
      </w:hyperlink>
      <w:r>
        <w:rPr>
          <w:rFonts w:ascii="Garamond" w:eastAsia="Garamond" w:hAnsi="Garamond" w:cs="Garamond"/>
          <w:sz w:val="20"/>
          <w:szCs w:val="20"/>
        </w:rPr>
        <w:t xml:space="preserve"> Dirección General de Inclusión y Bienestar Social, Alcaldía Iztapalapa, </w:t>
      </w:r>
      <w:r>
        <w:rPr>
          <w:rFonts w:ascii="Garamond" w:eastAsia="Garamond" w:hAnsi="Garamond" w:cs="Garamond"/>
          <w:i/>
          <w:sz w:val="20"/>
          <w:szCs w:val="20"/>
        </w:rPr>
        <w:t>Programa Social: Sistema Público de Cuidados (Cuidadoras). Evaluación interna 2022, Gestión 2021</w:t>
      </w:r>
      <w:r>
        <w:rPr>
          <w:rFonts w:ascii="Garamond" w:eastAsia="Garamond" w:hAnsi="Garamond" w:cs="Garamond"/>
          <w:sz w:val="20"/>
          <w:szCs w:val="20"/>
        </w:rPr>
        <w:t xml:space="preserve"> (2022), </w:t>
      </w:r>
      <w:hyperlink r:id="rId11">
        <w:r w:rsidR="00805DD3">
          <w:rPr>
            <w:rFonts w:ascii="Garamond" w:eastAsia="Garamond" w:hAnsi="Garamond" w:cs="Garamond"/>
            <w:color w:val="0000FF"/>
            <w:sz w:val="20"/>
            <w:szCs w:val="20"/>
            <w:u w:val="single"/>
          </w:rPr>
          <w:t>https://www.iztapalapa.cdmx.gob.mx/2alcaldia/evaluaciones2021/Cuidadoras.pdf</w:t>
        </w:r>
      </w:hyperlink>
      <w:r>
        <w:rPr>
          <w:rFonts w:ascii="Garamond" w:eastAsia="Garamond" w:hAnsi="Garamond" w:cs="Garamond"/>
          <w:sz w:val="20"/>
          <w:szCs w:val="20"/>
        </w:rPr>
        <w:t xml:space="preserve"> </w:t>
      </w:r>
    </w:p>
  </w:footnote>
  <w:footnote w:id="25">
    <w:p w14:paraId="181BCBEA" w14:textId="77777777" w:rsidR="00805DD3" w:rsidRDefault="00000000">
      <w:pPr>
        <w:spacing w:line="240" w:lineRule="auto"/>
        <w:rPr>
          <w:rFonts w:ascii="Garamond" w:eastAsia="Garamond" w:hAnsi="Garamond" w:cs="Garamond"/>
          <w:sz w:val="20"/>
          <w:szCs w:val="20"/>
        </w:rPr>
      </w:pPr>
      <w:r>
        <w:rPr>
          <w:vertAlign w:val="superscript"/>
        </w:rPr>
        <w:footnoteRef/>
      </w:r>
      <w:r>
        <w:rPr>
          <w:sz w:val="20"/>
          <w:szCs w:val="20"/>
        </w:rPr>
        <w:t xml:space="preserve"> </w:t>
      </w:r>
      <w:r>
        <w:rPr>
          <w:rFonts w:ascii="Garamond" w:eastAsia="Garamond" w:hAnsi="Garamond" w:cs="Garamond"/>
          <w:sz w:val="20"/>
          <w:szCs w:val="20"/>
        </w:rPr>
        <w:t xml:space="preserve">GIRE, “Horas semanales dedicadas al trabajo no remunerado”, en </w:t>
      </w:r>
      <w:r>
        <w:rPr>
          <w:rFonts w:ascii="Garamond" w:eastAsia="Garamond" w:hAnsi="Garamond" w:cs="Garamond"/>
          <w:i/>
          <w:sz w:val="20"/>
          <w:szCs w:val="20"/>
        </w:rPr>
        <w:t xml:space="preserve">Plataforma de consulta </w:t>
      </w:r>
      <w:r>
        <w:rPr>
          <w:rFonts w:ascii="Garamond" w:eastAsia="Garamond" w:hAnsi="Garamond" w:cs="Garamond"/>
          <w:sz w:val="20"/>
          <w:szCs w:val="20"/>
        </w:rPr>
        <w:t xml:space="preserve">(2025), </w:t>
      </w:r>
      <w:hyperlink r:id="rId12">
        <w:r w:rsidR="00805DD3">
          <w:rPr>
            <w:rFonts w:ascii="Garamond" w:eastAsia="Garamond" w:hAnsi="Garamond" w:cs="Garamond"/>
            <w:color w:val="1155CC"/>
            <w:sz w:val="20"/>
            <w:szCs w:val="20"/>
            <w:u w:val="single"/>
          </w:rPr>
          <w:t>https://gire.org.mx/plataforma/trabajo-no-remunerado-mexico/</w:t>
        </w:r>
      </w:hyperlink>
    </w:p>
  </w:footnote>
  <w:footnote w:id="26">
    <w:p w14:paraId="7D6A9730" w14:textId="77777777" w:rsidR="00805DD3" w:rsidRDefault="00000000">
      <w:pPr>
        <w:spacing w:line="240" w:lineRule="auto"/>
        <w:rPr>
          <w:rFonts w:ascii="Garamond" w:eastAsia="Garamond" w:hAnsi="Garamond" w:cs="Garamond"/>
          <w:sz w:val="20"/>
          <w:szCs w:val="20"/>
        </w:rPr>
      </w:pPr>
      <w:r>
        <w:rPr>
          <w:vertAlign w:val="superscript"/>
        </w:rPr>
        <w:footnoteRef/>
      </w:r>
      <w:r>
        <w:rPr>
          <w:sz w:val="20"/>
          <w:szCs w:val="20"/>
        </w:rPr>
        <w:t xml:space="preserve"> </w:t>
      </w:r>
      <w:r>
        <w:rPr>
          <w:rFonts w:ascii="Garamond" w:eastAsia="Garamond" w:hAnsi="Garamond" w:cs="Garamond"/>
          <w:sz w:val="20"/>
          <w:szCs w:val="20"/>
        </w:rPr>
        <w:t>GIRE, “Horas semanales dedicadas…</w:t>
      </w:r>
    </w:p>
  </w:footnote>
  <w:footnote w:id="27">
    <w:p w14:paraId="7D36FBB4" w14:textId="77777777" w:rsidR="00805DD3" w:rsidRDefault="00000000">
      <w:pPr>
        <w:spacing w:line="240" w:lineRule="auto"/>
        <w:rPr>
          <w:rFonts w:ascii="Garamond" w:eastAsia="Garamond" w:hAnsi="Garamond" w:cs="Garamond"/>
          <w:sz w:val="20"/>
          <w:szCs w:val="20"/>
        </w:rPr>
      </w:pPr>
      <w:r>
        <w:rPr>
          <w:vertAlign w:val="superscript"/>
        </w:rPr>
        <w:footnoteRef/>
      </w:r>
      <w:r>
        <w:rPr>
          <w:sz w:val="20"/>
          <w:szCs w:val="20"/>
        </w:rPr>
        <w:t xml:space="preserve"> </w:t>
      </w:r>
      <w:r>
        <w:rPr>
          <w:rFonts w:ascii="Garamond" w:eastAsia="Garamond" w:hAnsi="Garamond" w:cs="Garamond"/>
          <w:sz w:val="20"/>
          <w:szCs w:val="20"/>
        </w:rPr>
        <w:t xml:space="preserve">GIRE, “Porcentaje del tiempo dedicado al trabajo no remunerado”, en </w:t>
      </w:r>
      <w:r>
        <w:rPr>
          <w:rFonts w:ascii="Garamond" w:eastAsia="Garamond" w:hAnsi="Garamond" w:cs="Garamond"/>
          <w:i/>
          <w:sz w:val="20"/>
          <w:szCs w:val="20"/>
        </w:rPr>
        <w:t xml:space="preserve">Plataforma de consulta </w:t>
      </w:r>
      <w:r>
        <w:rPr>
          <w:rFonts w:ascii="Garamond" w:eastAsia="Garamond" w:hAnsi="Garamond" w:cs="Garamond"/>
          <w:sz w:val="20"/>
          <w:szCs w:val="20"/>
        </w:rPr>
        <w:t xml:space="preserve">(2025), </w:t>
      </w:r>
      <w:hyperlink r:id="rId13">
        <w:r w:rsidR="00805DD3">
          <w:rPr>
            <w:rFonts w:ascii="Garamond" w:eastAsia="Garamond" w:hAnsi="Garamond" w:cs="Garamond"/>
            <w:color w:val="1155CC"/>
            <w:sz w:val="20"/>
            <w:szCs w:val="20"/>
            <w:u w:val="single"/>
          </w:rPr>
          <w:t>https://gire.org.mx/plataforma/porcentaje-del-tiempo-dedicado-al-trabajo-no-remunerado/</w:t>
        </w:r>
      </w:hyperlink>
    </w:p>
  </w:footnote>
  <w:footnote w:id="28">
    <w:p w14:paraId="41631E8E" w14:textId="77777777" w:rsidR="00805DD3" w:rsidRDefault="00000000">
      <w:pPr>
        <w:spacing w:line="240" w:lineRule="auto"/>
        <w:rPr>
          <w:rFonts w:ascii="Garamond" w:eastAsia="Garamond" w:hAnsi="Garamond" w:cs="Garamond"/>
          <w:sz w:val="20"/>
          <w:szCs w:val="20"/>
        </w:rPr>
      </w:pPr>
      <w:r>
        <w:rPr>
          <w:vertAlign w:val="superscript"/>
        </w:rPr>
        <w:footnoteRef/>
      </w:r>
      <w:r>
        <w:rPr>
          <w:sz w:val="20"/>
          <w:szCs w:val="20"/>
          <w:vertAlign w:val="superscript"/>
        </w:rPr>
        <w:t xml:space="preserve"> </w:t>
      </w:r>
      <w:r>
        <w:rPr>
          <w:rFonts w:ascii="Garamond" w:eastAsia="Garamond" w:hAnsi="Garamond" w:cs="Garamond"/>
          <w:sz w:val="20"/>
          <w:szCs w:val="20"/>
        </w:rPr>
        <w:t xml:space="preserve">Instituto Nacional de Estadística y Geografía, </w:t>
      </w:r>
      <w:r>
        <w:rPr>
          <w:rFonts w:ascii="Garamond" w:eastAsia="Garamond" w:hAnsi="Garamond" w:cs="Garamond"/>
          <w:i/>
          <w:sz w:val="20"/>
          <w:szCs w:val="20"/>
        </w:rPr>
        <w:t>Encuesta Nacional sobre Uso del Tiempo (ENUT), 2009</w:t>
      </w:r>
      <w:r>
        <w:rPr>
          <w:rFonts w:ascii="Garamond" w:eastAsia="Garamond" w:hAnsi="Garamond" w:cs="Garamond"/>
          <w:i/>
          <w:sz w:val="19"/>
          <w:szCs w:val="19"/>
        </w:rPr>
        <w:t xml:space="preserve"> </w:t>
      </w:r>
      <w:r>
        <w:rPr>
          <w:rFonts w:ascii="Garamond" w:eastAsia="Garamond" w:hAnsi="Garamond" w:cs="Garamond"/>
          <w:sz w:val="19"/>
          <w:szCs w:val="19"/>
        </w:rPr>
        <w:t>(2010),</w:t>
      </w:r>
      <w:r>
        <w:rPr>
          <w:vertAlign w:val="superscript"/>
        </w:rPr>
        <w:t xml:space="preserve"> </w:t>
      </w:r>
      <w:hyperlink r:id="rId14" w:anchor="publicaciones">
        <w:r w:rsidR="00805DD3">
          <w:rPr>
            <w:rFonts w:ascii="Garamond" w:eastAsia="Garamond" w:hAnsi="Garamond" w:cs="Garamond"/>
            <w:color w:val="0000FF"/>
            <w:sz w:val="20"/>
            <w:szCs w:val="20"/>
            <w:u w:val="single"/>
          </w:rPr>
          <w:t>https://www.inegi.org.mx/programas/enut/2009/#publicaciones</w:t>
        </w:r>
      </w:hyperlink>
      <w:r>
        <w:rPr>
          <w:rFonts w:ascii="Garamond" w:eastAsia="Garamond" w:hAnsi="Garamond" w:cs="Garamond"/>
          <w:sz w:val="20"/>
          <w:szCs w:val="20"/>
        </w:rPr>
        <w:t xml:space="preserve"> </w:t>
      </w:r>
    </w:p>
  </w:footnote>
  <w:footnote w:id="29">
    <w:p w14:paraId="1297F24C" w14:textId="77777777" w:rsidR="00805DD3" w:rsidRDefault="00000000">
      <w:pPr>
        <w:spacing w:line="240" w:lineRule="auto"/>
        <w:rPr>
          <w:rFonts w:ascii="Garamond" w:eastAsia="Garamond" w:hAnsi="Garamond" w:cs="Garamond"/>
          <w:sz w:val="20"/>
          <w:szCs w:val="20"/>
        </w:rPr>
      </w:pPr>
      <w:r>
        <w:rPr>
          <w:vertAlign w:val="superscript"/>
        </w:rPr>
        <w:footnoteRef/>
      </w:r>
      <w:r>
        <w:rPr>
          <w:sz w:val="20"/>
          <w:szCs w:val="20"/>
        </w:rPr>
        <w:t xml:space="preserve"> </w:t>
      </w:r>
      <w:r>
        <w:rPr>
          <w:rFonts w:ascii="Garamond" w:eastAsia="Garamond" w:hAnsi="Garamond" w:cs="Garamond"/>
          <w:sz w:val="20"/>
          <w:szCs w:val="20"/>
        </w:rPr>
        <w:t xml:space="preserve">GIRE, “Comparación semanas de maternidad/paternidad en México vs. estándar internacional”, en </w:t>
      </w:r>
      <w:r>
        <w:rPr>
          <w:rFonts w:ascii="Garamond" w:eastAsia="Garamond" w:hAnsi="Garamond" w:cs="Garamond"/>
          <w:i/>
          <w:sz w:val="20"/>
          <w:szCs w:val="20"/>
        </w:rPr>
        <w:t xml:space="preserve">Plataforma de consulta </w:t>
      </w:r>
      <w:r>
        <w:rPr>
          <w:rFonts w:ascii="Garamond" w:eastAsia="Garamond" w:hAnsi="Garamond" w:cs="Garamond"/>
          <w:sz w:val="20"/>
          <w:szCs w:val="20"/>
        </w:rPr>
        <w:t xml:space="preserve">(2025), </w:t>
      </w:r>
      <w:hyperlink r:id="rId15">
        <w:r w:rsidR="00805DD3">
          <w:rPr>
            <w:rFonts w:ascii="Garamond" w:eastAsia="Garamond" w:hAnsi="Garamond" w:cs="Garamond"/>
            <w:color w:val="1155CC"/>
            <w:sz w:val="20"/>
            <w:szCs w:val="20"/>
            <w:u w:val="single"/>
          </w:rPr>
          <w:t>https://gire.org.mx/plataforma/comparacion-semanas-de-maternidad-paternidad-en-mexico-vs-estandar-internacional/</w:t>
        </w:r>
      </w:hyperlink>
    </w:p>
  </w:footnote>
  <w:footnote w:id="30">
    <w:p w14:paraId="6A3716BD" w14:textId="77777777" w:rsidR="00805DD3" w:rsidRDefault="00000000">
      <w:pPr>
        <w:spacing w:line="240" w:lineRule="auto"/>
        <w:rPr>
          <w:rFonts w:ascii="Garamond" w:eastAsia="Garamond" w:hAnsi="Garamond" w:cs="Garamond"/>
          <w:sz w:val="20"/>
          <w:szCs w:val="20"/>
        </w:rPr>
      </w:pPr>
      <w:r>
        <w:rPr>
          <w:vertAlign w:val="superscript"/>
        </w:rPr>
        <w:footnoteRef/>
      </w:r>
      <w:r>
        <w:rPr>
          <w:sz w:val="20"/>
          <w:szCs w:val="20"/>
        </w:rPr>
        <w:t xml:space="preserve"> </w:t>
      </w:r>
      <w:r>
        <w:rPr>
          <w:rFonts w:ascii="Garamond" w:eastAsia="Garamond" w:hAnsi="Garamond" w:cs="Garamond"/>
          <w:sz w:val="20"/>
          <w:szCs w:val="20"/>
        </w:rPr>
        <w:t>GIRE, “Mapa de duración de licencia de maternidad por país”, en</w:t>
      </w:r>
      <w:r>
        <w:rPr>
          <w:rFonts w:ascii="Garamond" w:eastAsia="Garamond" w:hAnsi="Garamond" w:cs="Garamond"/>
          <w:i/>
          <w:sz w:val="20"/>
          <w:szCs w:val="20"/>
        </w:rPr>
        <w:t xml:space="preserve"> Plataforma de consulta</w:t>
      </w:r>
      <w:r>
        <w:rPr>
          <w:rFonts w:ascii="Garamond" w:eastAsia="Garamond" w:hAnsi="Garamond" w:cs="Garamond"/>
          <w:sz w:val="20"/>
          <w:szCs w:val="20"/>
        </w:rPr>
        <w:t xml:space="preserve"> (2025), </w:t>
      </w:r>
      <w:hyperlink r:id="rId16">
        <w:r w:rsidR="00805DD3">
          <w:rPr>
            <w:rFonts w:ascii="Garamond" w:eastAsia="Garamond" w:hAnsi="Garamond" w:cs="Garamond"/>
            <w:color w:val="1155CC"/>
            <w:sz w:val="20"/>
            <w:szCs w:val="20"/>
            <w:u w:val="single"/>
          </w:rPr>
          <w:t>https://gire.org.mx/plataforma/mapa-de-duracion-de-licencia-de-maternidad-por-pais/</w:t>
        </w:r>
      </w:hyperlink>
    </w:p>
  </w:footnote>
  <w:footnote w:id="31">
    <w:p w14:paraId="5E70354A" w14:textId="77777777" w:rsidR="00805DD3" w:rsidRDefault="00000000">
      <w:pPr>
        <w:spacing w:line="240" w:lineRule="auto"/>
        <w:rPr>
          <w:rFonts w:ascii="Garamond" w:eastAsia="Garamond" w:hAnsi="Garamond" w:cs="Garamond"/>
          <w:sz w:val="20"/>
          <w:szCs w:val="20"/>
        </w:rPr>
      </w:pPr>
      <w:r>
        <w:rPr>
          <w:vertAlign w:val="superscript"/>
        </w:rPr>
        <w:footnoteRef/>
      </w:r>
      <w:r>
        <w:rPr>
          <w:sz w:val="20"/>
          <w:szCs w:val="20"/>
        </w:rPr>
        <w:t xml:space="preserve"> </w:t>
      </w:r>
      <w:r>
        <w:rPr>
          <w:rFonts w:ascii="Garamond" w:eastAsia="Garamond" w:hAnsi="Garamond" w:cs="Garamond"/>
          <w:sz w:val="20"/>
          <w:szCs w:val="20"/>
        </w:rPr>
        <w:t xml:space="preserve">GIRE, “Comparación semanas de maternidad/paternidad…  </w:t>
      </w:r>
    </w:p>
  </w:footnote>
  <w:footnote w:id="32">
    <w:p w14:paraId="11B92F8D" w14:textId="77777777" w:rsidR="00805DD3" w:rsidRDefault="00000000">
      <w:pPr>
        <w:spacing w:line="240" w:lineRule="auto"/>
        <w:rPr>
          <w:rFonts w:ascii="Garamond" w:eastAsia="Garamond" w:hAnsi="Garamond" w:cs="Garamond"/>
          <w:sz w:val="20"/>
          <w:szCs w:val="20"/>
        </w:rPr>
      </w:pPr>
      <w:r>
        <w:rPr>
          <w:vertAlign w:val="superscript"/>
        </w:rPr>
        <w:footnoteRef/>
      </w:r>
      <w:r>
        <w:rPr>
          <w:sz w:val="20"/>
          <w:szCs w:val="20"/>
        </w:rPr>
        <w:t xml:space="preserve"> </w:t>
      </w:r>
      <w:r>
        <w:rPr>
          <w:rFonts w:ascii="Garamond" w:eastAsia="Garamond" w:hAnsi="Garamond" w:cs="Garamond"/>
          <w:sz w:val="20"/>
          <w:szCs w:val="20"/>
        </w:rPr>
        <w:t xml:space="preserve">Oxfam México, “Trabajos de cuidados, desastres y género”, </w:t>
      </w:r>
      <w:r>
        <w:rPr>
          <w:rFonts w:ascii="Garamond" w:eastAsia="Garamond" w:hAnsi="Garamond" w:cs="Garamond"/>
          <w:i/>
          <w:sz w:val="20"/>
          <w:szCs w:val="20"/>
        </w:rPr>
        <w:t>Revista de la Universidad de México</w:t>
      </w:r>
      <w:r>
        <w:rPr>
          <w:rFonts w:ascii="Garamond" w:eastAsia="Garamond" w:hAnsi="Garamond" w:cs="Garamond"/>
          <w:sz w:val="20"/>
          <w:szCs w:val="20"/>
        </w:rPr>
        <w:t xml:space="preserve">, núm. 42, (2021): pp. 81-86. Disponible en: </w:t>
      </w:r>
      <w:hyperlink r:id="rId17" w:anchor=":~:text=%C2%BFQu%C3%A9%20es%20el%20trabajo%20de,o%20con%20discapacidad%2C%20entre%20otras">
        <w:r w:rsidR="00805DD3">
          <w:rPr>
            <w:rFonts w:ascii="Garamond" w:eastAsia="Garamond" w:hAnsi="Garamond" w:cs="Garamond"/>
            <w:color w:val="1155CC"/>
            <w:sz w:val="20"/>
            <w:szCs w:val="20"/>
            <w:u w:val="single"/>
          </w:rPr>
          <w:t>https://www.revistadelauniversidad.mx/articles/fec07c94-53bb-446f-9748-4bd13934b72d/trabajo-de-cuidados-desastres-y-genero#:~:text=%C2%BFQu%C3%A9%20es%20el%20trabajo%20de,o%20con%20discapacidad%2C%20entre%20otras</w:t>
        </w:r>
      </w:hyperlink>
    </w:p>
  </w:footnote>
  <w:footnote w:id="33">
    <w:p w14:paraId="0861FBA2" w14:textId="77777777" w:rsidR="00805DD3" w:rsidRDefault="00000000">
      <w:pPr>
        <w:spacing w:line="240" w:lineRule="auto"/>
        <w:rPr>
          <w:rFonts w:ascii="Garamond" w:eastAsia="Garamond" w:hAnsi="Garamond" w:cs="Garamond"/>
          <w:sz w:val="19"/>
          <w:szCs w:val="19"/>
        </w:rPr>
      </w:pPr>
      <w:r>
        <w:rPr>
          <w:vertAlign w:val="superscript"/>
        </w:rPr>
        <w:footnoteRef/>
      </w:r>
      <w:r>
        <w:rPr>
          <w:sz w:val="20"/>
          <w:szCs w:val="20"/>
        </w:rPr>
        <w:t xml:space="preserve"> </w:t>
      </w:r>
      <w:r>
        <w:rPr>
          <w:rFonts w:ascii="Garamond" w:eastAsia="Garamond" w:hAnsi="Garamond" w:cs="Garamond"/>
          <w:sz w:val="20"/>
          <w:szCs w:val="20"/>
        </w:rPr>
        <w:t xml:space="preserve">GENDERS; Fundación Friedrich Ebert en México; </w:t>
      </w:r>
      <w:proofErr w:type="spellStart"/>
      <w:r>
        <w:rPr>
          <w:rFonts w:ascii="Garamond" w:eastAsia="Garamond" w:hAnsi="Garamond" w:cs="Garamond"/>
          <w:sz w:val="20"/>
          <w:szCs w:val="20"/>
        </w:rPr>
        <w:t>Intersecta</w:t>
      </w:r>
      <w:proofErr w:type="spellEnd"/>
      <w:r>
        <w:rPr>
          <w:rFonts w:ascii="Garamond" w:eastAsia="Garamond" w:hAnsi="Garamond" w:cs="Garamond"/>
          <w:sz w:val="20"/>
          <w:szCs w:val="20"/>
        </w:rPr>
        <w:t xml:space="preserve">; </w:t>
      </w:r>
      <w:proofErr w:type="spellStart"/>
      <w:r>
        <w:rPr>
          <w:rFonts w:ascii="Garamond" w:eastAsia="Garamond" w:hAnsi="Garamond" w:cs="Garamond"/>
          <w:sz w:val="20"/>
          <w:szCs w:val="20"/>
        </w:rPr>
        <w:t>Ecofeminita</w:t>
      </w:r>
      <w:proofErr w:type="spellEnd"/>
      <w:r>
        <w:rPr>
          <w:rFonts w:ascii="Garamond" w:eastAsia="Garamond" w:hAnsi="Garamond" w:cs="Garamond"/>
          <w:sz w:val="20"/>
          <w:szCs w:val="20"/>
        </w:rPr>
        <w:t>; Fundar; Equidad de Género: Ciudadanía, Trabajo y Familia; CIEP; GIRE; Oxfam México,</w:t>
      </w:r>
      <w:r>
        <w:rPr>
          <w:sz w:val="20"/>
          <w:szCs w:val="20"/>
        </w:rPr>
        <w:t xml:space="preserve"> </w:t>
      </w:r>
      <w:r>
        <w:rPr>
          <w:rFonts w:ascii="Garamond" w:eastAsia="Garamond" w:hAnsi="Garamond" w:cs="Garamond"/>
          <w:i/>
          <w:sz w:val="20"/>
          <w:szCs w:val="20"/>
        </w:rPr>
        <w:t xml:space="preserve">El derecho al cuidado y la justicia fiscal feminista…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7ACD8" w14:textId="77777777" w:rsidR="00805DD3" w:rsidRDefault="00805DD3"/>
  <w:p w14:paraId="6E3E9F53" w14:textId="77777777" w:rsidR="00805DD3" w:rsidRDefault="00805DD3"/>
  <w:p w14:paraId="73733094" w14:textId="77777777" w:rsidR="00805DD3" w:rsidRDefault="00000000">
    <w:pPr>
      <w:jc w:val="right"/>
    </w:pPr>
    <w:r>
      <w:rPr>
        <w:noProof/>
      </w:rPr>
      <w:drawing>
        <wp:inline distT="0" distB="0" distL="0" distR="0" wp14:anchorId="05083E03" wp14:editId="283F9C02">
          <wp:extent cx="1485900" cy="54864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85900" cy="548640"/>
                  </a:xfrm>
                  <a:prstGeom prst="rect">
                    <a:avLst/>
                  </a:prstGeom>
                  <a:ln/>
                </pic:spPr>
              </pic:pic>
            </a:graphicData>
          </a:graphic>
        </wp:inline>
      </w:drawing>
    </w:r>
    <w:r>
      <w:t xml:space="preserve">   </w:t>
    </w:r>
    <w:r>
      <w:rPr>
        <w:noProof/>
      </w:rPr>
      <w:drawing>
        <wp:inline distT="0" distB="0" distL="0" distR="0" wp14:anchorId="2B50C4EE" wp14:editId="549FADE2">
          <wp:extent cx="2887980" cy="54102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887980" cy="541020"/>
                  </a:xfrm>
                  <a:prstGeom prst="rect">
                    <a:avLst/>
                  </a:prstGeom>
                  <a:ln/>
                </pic:spPr>
              </pic:pic>
            </a:graphicData>
          </a:graphic>
        </wp:inline>
      </w:drawing>
    </w:r>
    <w:r>
      <w:t xml:space="preserve"> </w:t>
    </w:r>
  </w:p>
  <w:p w14:paraId="251BA0AB" w14:textId="77777777" w:rsidR="00805DD3" w:rsidRDefault="00000000">
    <w:pPr>
      <w:jc w:val="righ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82042"/>
    <w:multiLevelType w:val="multilevel"/>
    <w:tmpl w:val="9C00116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3E80009"/>
    <w:multiLevelType w:val="multilevel"/>
    <w:tmpl w:val="EBD4B96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16cid:durableId="569390854">
    <w:abstractNumId w:val="1"/>
  </w:num>
  <w:num w:numId="2" w16cid:durableId="275068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DD3"/>
    <w:rsid w:val="001159EA"/>
    <w:rsid w:val="00144298"/>
    <w:rsid w:val="004B13FA"/>
    <w:rsid w:val="00805DD3"/>
    <w:rsid w:val="00AB404E"/>
    <w:rsid w:val="00CA62DF"/>
    <w:rsid w:val="00E20500"/>
    <w:rsid w:val="00E9253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EF008"/>
  <w15:docId w15:val="{0A473159-ACC7-4489-B907-C96988FF8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MX"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n">
    <w:name w:val="Revision"/>
    <w:hidden/>
    <w:uiPriority w:val="99"/>
    <w:semiHidden/>
    <w:rsid w:val="00D4535E"/>
  </w:style>
  <w:style w:type="character" w:styleId="Refdecomentario">
    <w:name w:val="annotation reference"/>
    <w:basedOn w:val="Fuentedeprrafopredeter"/>
    <w:uiPriority w:val="99"/>
    <w:semiHidden/>
    <w:unhideWhenUsed/>
    <w:rsid w:val="00B27408"/>
    <w:rPr>
      <w:sz w:val="16"/>
      <w:szCs w:val="16"/>
    </w:rPr>
  </w:style>
  <w:style w:type="paragraph" w:styleId="Textocomentario">
    <w:name w:val="annotation text"/>
    <w:basedOn w:val="Normal"/>
    <w:link w:val="TextocomentarioCar"/>
    <w:uiPriority w:val="99"/>
    <w:unhideWhenUsed/>
    <w:rsid w:val="00B27408"/>
    <w:pPr>
      <w:spacing w:line="240" w:lineRule="auto"/>
    </w:pPr>
    <w:rPr>
      <w:sz w:val="20"/>
      <w:szCs w:val="20"/>
    </w:rPr>
  </w:style>
  <w:style w:type="character" w:customStyle="1" w:styleId="TextocomentarioCar">
    <w:name w:val="Texto comentario Car"/>
    <w:basedOn w:val="Fuentedeprrafopredeter"/>
    <w:link w:val="Textocomentario"/>
    <w:uiPriority w:val="99"/>
    <w:rsid w:val="00B27408"/>
  </w:style>
  <w:style w:type="paragraph" w:styleId="Asuntodelcomentario">
    <w:name w:val="annotation subject"/>
    <w:basedOn w:val="Textocomentario"/>
    <w:next w:val="Textocomentario"/>
    <w:link w:val="AsuntodelcomentarioCar"/>
    <w:uiPriority w:val="99"/>
    <w:semiHidden/>
    <w:unhideWhenUsed/>
    <w:rsid w:val="00B27408"/>
    <w:rPr>
      <w:b/>
      <w:bCs/>
    </w:rPr>
  </w:style>
  <w:style w:type="character" w:customStyle="1" w:styleId="AsuntodelcomentarioCar">
    <w:name w:val="Asunto del comentario Car"/>
    <w:basedOn w:val="TextocomentarioCar"/>
    <w:link w:val="Asuntodelcomentario"/>
    <w:uiPriority w:val="99"/>
    <w:semiHidden/>
    <w:rsid w:val="00B27408"/>
    <w:rPr>
      <w:b/>
      <w:bCs/>
    </w:rPr>
  </w:style>
  <w:style w:type="character" w:styleId="Hipervnculo">
    <w:name w:val="Hyperlink"/>
    <w:basedOn w:val="Fuentedeprrafopredeter"/>
    <w:uiPriority w:val="99"/>
    <w:unhideWhenUsed/>
    <w:rsid w:val="0094309C"/>
    <w:rPr>
      <w:color w:val="0000FF" w:themeColor="hyperlink"/>
      <w:u w:val="single"/>
    </w:rPr>
  </w:style>
  <w:style w:type="character" w:styleId="Mencinsinresolver">
    <w:name w:val="Unresolved Mention"/>
    <w:basedOn w:val="Fuentedeprrafopredeter"/>
    <w:uiPriority w:val="99"/>
    <w:semiHidden/>
    <w:unhideWhenUsed/>
    <w:rsid w:val="0094309C"/>
    <w:rPr>
      <w:color w:val="605E5C"/>
      <w:shd w:val="clear" w:color="auto" w:fill="E1DFDD"/>
    </w:rPr>
  </w:style>
  <w:style w:type="character" w:styleId="Hipervnculovisitado">
    <w:name w:val="FollowedHyperlink"/>
    <w:basedOn w:val="Fuentedeprrafopredeter"/>
    <w:uiPriority w:val="99"/>
    <w:semiHidden/>
    <w:unhideWhenUsed/>
    <w:rsid w:val="0094309C"/>
    <w:rPr>
      <w:color w:val="800080" w:themeColor="followedHyperlink"/>
      <w:u w:val="single"/>
    </w:rPr>
  </w:style>
  <w:style w:type="paragraph" w:styleId="Textonotapie">
    <w:name w:val="footnote text"/>
    <w:basedOn w:val="Normal"/>
    <w:link w:val="TextonotapieCar"/>
    <w:uiPriority w:val="99"/>
    <w:semiHidden/>
    <w:unhideWhenUsed/>
    <w:rsid w:val="00A50FB0"/>
    <w:pPr>
      <w:spacing w:line="240" w:lineRule="auto"/>
    </w:pPr>
    <w:rPr>
      <w:sz w:val="20"/>
      <w:szCs w:val="20"/>
    </w:rPr>
  </w:style>
  <w:style w:type="character" w:customStyle="1" w:styleId="TextonotapieCar">
    <w:name w:val="Texto nota pie Car"/>
    <w:basedOn w:val="Fuentedeprrafopredeter"/>
    <w:link w:val="Textonotapie"/>
    <w:uiPriority w:val="99"/>
    <w:semiHidden/>
    <w:rsid w:val="00A50FB0"/>
  </w:style>
  <w:style w:type="character" w:styleId="Refdenotaalpie">
    <w:name w:val="footnote reference"/>
    <w:basedOn w:val="Fuentedeprrafopredeter"/>
    <w:uiPriority w:val="99"/>
    <w:semiHidden/>
    <w:unhideWhenUsed/>
    <w:rsid w:val="00A50F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fundar.org.mx/wp-content/uploads/2024/03/Amicus_derechoalcuidado.pdf" TargetMode="External"/><Relationship Id="rId13" Type="http://schemas.openxmlformats.org/officeDocument/2006/relationships/hyperlink" Target="https://gire.org.mx/plataforma/porcentaje-del-tiempo-dedicado-al-trabajo-no-remunerado/" TargetMode="External"/><Relationship Id="rId3" Type="http://schemas.openxmlformats.org/officeDocument/2006/relationships/hyperlink" Target="https://www.dof.gob.mx/nota_detalle.php?codigo=5430957&amp;fecha=24/03/2016" TargetMode="External"/><Relationship Id="rId7" Type="http://schemas.openxmlformats.org/officeDocument/2006/relationships/hyperlink" Target="https://justiciaolvidada.gire.org.mx/" TargetMode="External"/><Relationship Id="rId12" Type="http://schemas.openxmlformats.org/officeDocument/2006/relationships/hyperlink" Target="https://gire.org.mx/plataforma/trabajo-no-remunerado-mexico/" TargetMode="External"/><Relationship Id="rId17" Type="http://schemas.openxmlformats.org/officeDocument/2006/relationships/hyperlink" Target="https://www.revistadelauniversidad.mx/articles/fec07c94-53bb-446f-9748-4bd13934b72d/trabajo-de-cuidados-desastres-y-genero" TargetMode="External"/><Relationship Id="rId2" Type="http://schemas.openxmlformats.org/officeDocument/2006/relationships/hyperlink" Target="https://www.diputados.gob.mx/LeyesBiblio/pdf/LGV.pdf" TargetMode="External"/><Relationship Id="rId16" Type="http://schemas.openxmlformats.org/officeDocument/2006/relationships/hyperlink" Target="https://gire.org.mx/plataforma/mapa-de-duracion-de-licencia-de-maternidad-por-pais/" TargetMode="External"/><Relationship Id="rId1" Type="http://schemas.openxmlformats.org/officeDocument/2006/relationships/hyperlink" Target="https://iris.who.int/bitstream/handle/10665/362897/9789240057920-spa.pdf?sequence=1" TargetMode="External"/><Relationship Id="rId6" Type="http://schemas.openxmlformats.org/officeDocument/2006/relationships/hyperlink" Target="https://violenciaobstetrica.gire.org.mx/muerte-materna/" TargetMode="External"/><Relationship Id="rId11" Type="http://schemas.openxmlformats.org/officeDocument/2006/relationships/hyperlink" Target="https://www.iztapalapa.cdmx.gob.mx/2alcaldia/evaluaciones2021/Cuidadoras.pdf" TargetMode="External"/><Relationship Id="rId5" Type="http://schemas.openxmlformats.org/officeDocument/2006/relationships/hyperlink" Target="https://gire.org.mx/plataforma/razon-de-muerte-materna-por-entidad/" TargetMode="External"/><Relationship Id="rId15" Type="http://schemas.openxmlformats.org/officeDocument/2006/relationships/hyperlink" Target="https://gire.org.mx/plataforma/comparacion-semanas-de-maternidad-paternidad-en-mexico-vs-estandar-internacional/" TargetMode="External"/><Relationship Id="rId10" Type="http://schemas.openxmlformats.org/officeDocument/2006/relationships/hyperlink" Target="https://semujeres.cdmx.gob.mx/storage/app/media/Marco_referencia_para_plan_estrategico_Cuidados_CDMX.pdf" TargetMode="External"/><Relationship Id="rId4" Type="http://schemas.openxmlformats.org/officeDocument/2006/relationships/hyperlink" Target="https://gire.org.mx/publicaciones/maternidad-o-castigo-hacia-la-despenalizacion-del-aborto-en-mexico/" TargetMode="External"/><Relationship Id="rId9" Type="http://schemas.openxmlformats.org/officeDocument/2006/relationships/hyperlink" Target="https://apiperiodico.jalisco.gob.mx/api/newspaper/getAsset?q=newspaper/21918/1708726570-2024-02-24-VII.pdf" TargetMode="External"/><Relationship Id="rId14" Type="http://schemas.openxmlformats.org/officeDocument/2006/relationships/hyperlink" Target="https://www.inegi.org.mx/programas/enut/2009/"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vISgO7gpkni/qBRRNfvlVPLVmQ==">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11</Pages>
  <Words>5778</Words>
  <Characters>31783</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Anabel</dc:creator>
  <cp:lastModifiedBy>Francisco Cué M.</cp:lastModifiedBy>
  <cp:revision>2</cp:revision>
  <dcterms:created xsi:type="dcterms:W3CDTF">2025-05-22T17:34:00Z</dcterms:created>
  <dcterms:modified xsi:type="dcterms:W3CDTF">2025-05-22T17:34:00Z</dcterms:modified>
</cp:coreProperties>
</file>