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BD1" w:rsidRPr="003C5BD1" w:rsidRDefault="003C5BD1" w:rsidP="003C5BD1">
      <w:pPr>
        <w:spacing w:line="480" w:lineRule="auto"/>
        <w:jc w:val="center"/>
        <w:rPr>
          <w:rFonts w:ascii="Arial" w:hAnsi="Arial" w:cs="Arial"/>
          <w:b/>
          <w:sz w:val="56"/>
        </w:rPr>
      </w:pPr>
      <w:r w:rsidRPr="003C5BD1">
        <w:rPr>
          <w:rFonts w:ascii="Arial" w:hAnsi="Arial" w:cs="Arial"/>
          <w:b/>
          <w:sz w:val="56"/>
        </w:rPr>
        <w:t>INFORME ALTERNATIVO</w:t>
      </w:r>
    </w:p>
    <w:p w:rsidR="003C5BD1" w:rsidRDefault="003C5BD1" w:rsidP="003C5BD1">
      <w:pPr>
        <w:spacing w:line="480" w:lineRule="auto"/>
        <w:jc w:val="center"/>
        <w:rPr>
          <w:rFonts w:ascii="Arial" w:hAnsi="Arial" w:cs="Arial"/>
          <w:b/>
          <w:sz w:val="28"/>
        </w:rPr>
      </w:pPr>
      <w:r>
        <w:rPr>
          <w:rFonts w:ascii="Arial" w:hAnsi="Arial" w:cs="Arial"/>
          <w:b/>
          <w:sz w:val="28"/>
        </w:rPr>
        <w:t>PARA EL EXAMEN AL ESTADO PLURINACIONAL DE BOLIVIA EN LA 109° SESIÓN DEL COMITÉ DE DERECHOS HUMANOS</w:t>
      </w:r>
    </w:p>
    <w:p w:rsidR="003C5BD1" w:rsidRPr="00B461C0" w:rsidRDefault="003C5BD1" w:rsidP="003C5BD1">
      <w:pPr>
        <w:spacing w:line="480" w:lineRule="auto"/>
        <w:jc w:val="center"/>
        <w:rPr>
          <w:rFonts w:ascii="Arial" w:hAnsi="Arial" w:cs="Arial"/>
          <w:sz w:val="28"/>
        </w:rPr>
      </w:pPr>
      <w:r w:rsidRPr="00B461C0">
        <w:rPr>
          <w:rFonts w:ascii="Arial" w:hAnsi="Arial" w:cs="Arial"/>
          <w:sz w:val="28"/>
        </w:rPr>
        <w:t>(</w:t>
      </w:r>
      <w:proofErr w:type="gramStart"/>
      <w:r w:rsidRPr="00B461C0">
        <w:rPr>
          <w:rFonts w:ascii="Arial" w:hAnsi="Arial" w:cs="Arial"/>
          <w:sz w:val="28"/>
        </w:rPr>
        <w:t>del</w:t>
      </w:r>
      <w:proofErr w:type="gramEnd"/>
      <w:r w:rsidRPr="00B461C0">
        <w:rPr>
          <w:rFonts w:ascii="Arial" w:hAnsi="Arial" w:cs="Arial"/>
          <w:sz w:val="28"/>
        </w:rPr>
        <w:t xml:space="preserve"> 14 al 31 de octubre 2013)</w:t>
      </w:r>
    </w:p>
    <w:p w:rsidR="003C5BD1" w:rsidRDefault="003C5BD1" w:rsidP="003C5BD1">
      <w:pPr>
        <w:spacing w:line="480" w:lineRule="auto"/>
        <w:jc w:val="center"/>
        <w:rPr>
          <w:rFonts w:ascii="Arial" w:hAnsi="Arial" w:cs="Arial"/>
        </w:rPr>
      </w:pPr>
    </w:p>
    <w:p w:rsidR="003C5BD1" w:rsidRPr="00B461C0" w:rsidRDefault="003C5BD1" w:rsidP="003C5BD1">
      <w:pPr>
        <w:spacing w:line="480" w:lineRule="auto"/>
        <w:jc w:val="center"/>
        <w:rPr>
          <w:rFonts w:ascii="Arial" w:hAnsi="Arial" w:cs="Arial"/>
          <w:b/>
          <w:sz w:val="24"/>
        </w:rPr>
      </w:pPr>
      <w:r w:rsidRPr="00B461C0">
        <w:rPr>
          <w:rFonts w:ascii="Arial" w:hAnsi="Arial" w:cs="Arial"/>
          <w:b/>
          <w:sz w:val="24"/>
        </w:rPr>
        <w:t>QUE PRESENTAN:</w:t>
      </w:r>
    </w:p>
    <w:p w:rsidR="00B461C0" w:rsidRPr="00B461C0" w:rsidRDefault="003C5BD1" w:rsidP="003C5BD1">
      <w:pPr>
        <w:spacing w:line="480" w:lineRule="auto"/>
        <w:jc w:val="center"/>
        <w:rPr>
          <w:rFonts w:ascii="Arial" w:hAnsi="Arial" w:cs="Arial"/>
          <w:sz w:val="24"/>
        </w:rPr>
      </w:pPr>
      <w:r w:rsidRPr="00B461C0">
        <w:rPr>
          <w:rFonts w:ascii="Arial" w:hAnsi="Arial" w:cs="Arial"/>
          <w:sz w:val="24"/>
        </w:rPr>
        <w:t xml:space="preserve">Consejo de Amautas de la Nación </w:t>
      </w:r>
      <w:proofErr w:type="spellStart"/>
      <w:r w:rsidRPr="00B461C0">
        <w:rPr>
          <w:rFonts w:ascii="Arial" w:hAnsi="Arial" w:cs="Arial"/>
          <w:sz w:val="24"/>
        </w:rPr>
        <w:t>Jacha</w:t>
      </w:r>
      <w:proofErr w:type="spellEnd"/>
      <w:r w:rsidRPr="00B461C0">
        <w:rPr>
          <w:rFonts w:ascii="Arial" w:hAnsi="Arial" w:cs="Arial"/>
          <w:sz w:val="24"/>
        </w:rPr>
        <w:t xml:space="preserve"> </w:t>
      </w:r>
      <w:proofErr w:type="spellStart"/>
      <w:r w:rsidRPr="00B461C0">
        <w:rPr>
          <w:rFonts w:ascii="Arial" w:hAnsi="Arial" w:cs="Arial"/>
          <w:sz w:val="24"/>
        </w:rPr>
        <w:t>Suyu</w:t>
      </w:r>
      <w:proofErr w:type="spellEnd"/>
      <w:r w:rsidRPr="00B461C0">
        <w:rPr>
          <w:rFonts w:ascii="Arial" w:hAnsi="Arial" w:cs="Arial"/>
          <w:sz w:val="24"/>
        </w:rPr>
        <w:t xml:space="preserve"> </w:t>
      </w:r>
      <w:proofErr w:type="spellStart"/>
      <w:r w:rsidRPr="00B461C0">
        <w:rPr>
          <w:rFonts w:ascii="Arial" w:hAnsi="Arial" w:cs="Arial"/>
          <w:sz w:val="24"/>
        </w:rPr>
        <w:t>Pajakaqi</w:t>
      </w:r>
      <w:proofErr w:type="spellEnd"/>
      <w:r w:rsidRPr="00B461C0">
        <w:rPr>
          <w:rFonts w:ascii="Arial" w:hAnsi="Arial" w:cs="Arial"/>
          <w:sz w:val="24"/>
        </w:rPr>
        <w:t xml:space="preserve"> La Paz, </w:t>
      </w:r>
      <w:r w:rsidR="00BB7EEF">
        <w:rPr>
          <w:rFonts w:ascii="Arial" w:hAnsi="Arial" w:cs="Arial"/>
          <w:sz w:val="24"/>
        </w:rPr>
        <w:t>Consejo Cultural Amautas Chumpi Alto La Paz</w:t>
      </w:r>
      <w:r w:rsidRPr="00B461C0">
        <w:rPr>
          <w:rFonts w:ascii="Arial" w:hAnsi="Arial" w:cs="Arial"/>
          <w:sz w:val="24"/>
        </w:rPr>
        <w:t xml:space="preserve">, </w:t>
      </w:r>
      <w:r w:rsidR="00B461C0" w:rsidRPr="00B461C0">
        <w:rPr>
          <w:rFonts w:ascii="Arial" w:hAnsi="Arial" w:cs="Arial"/>
          <w:sz w:val="24"/>
        </w:rPr>
        <w:t xml:space="preserve">Tribunal Originario </w:t>
      </w:r>
      <w:proofErr w:type="spellStart"/>
      <w:r w:rsidR="00B461C0" w:rsidRPr="00B461C0">
        <w:rPr>
          <w:rFonts w:ascii="Arial" w:hAnsi="Arial" w:cs="Arial"/>
          <w:sz w:val="24"/>
        </w:rPr>
        <w:t>Abya</w:t>
      </w:r>
      <w:proofErr w:type="spellEnd"/>
      <w:r w:rsidR="00B461C0" w:rsidRPr="00B461C0">
        <w:rPr>
          <w:rFonts w:ascii="Arial" w:hAnsi="Arial" w:cs="Arial"/>
          <w:sz w:val="24"/>
        </w:rPr>
        <w:t xml:space="preserve"> </w:t>
      </w:r>
      <w:proofErr w:type="spellStart"/>
      <w:r w:rsidR="00B461C0" w:rsidRPr="00B461C0">
        <w:rPr>
          <w:rFonts w:ascii="Arial" w:hAnsi="Arial" w:cs="Arial"/>
          <w:sz w:val="24"/>
        </w:rPr>
        <w:t>Yala</w:t>
      </w:r>
      <w:proofErr w:type="spellEnd"/>
      <w:r w:rsidR="00B461C0" w:rsidRPr="00B461C0">
        <w:rPr>
          <w:rFonts w:ascii="Arial" w:hAnsi="Arial" w:cs="Arial"/>
          <w:sz w:val="24"/>
        </w:rPr>
        <w:t xml:space="preserve"> de Justicia,  </w:t>
      </w:r>
      <w:r w:rsidR="00BB7EEF">
        <w:rPr>
          <w:rFonts w:ascii="Arial" w:hAnsi="Arial" w:cs="Arial"/>
          <w:sz w:val="24"/>
        </w:rPr>
        <w:t xml:space="preserve">Parlamento del Pueblo </w:t>
      </w:r>
      <w:proofErr w:type="spellStart"/>
      <w:r w:rsidR="00BB7EEF">
        <w:rPr>
          <w:rFonts w:ascii="Arial" w:hAnsi="Arial" w:cs="Arial"/>
          <w:sz w:val="24"/>
        </w:rPr>
        <w:t>Qollana</w:t>
      </w:r>
      <w:proofErr w:type="spellEnd"/>
      <w:r w:rsidR="00BB7EEF">
        <w:rPr>
          <w:rFonts w:ascii="Arial" w:hAnsi="Arial" w:cs="Arial"/>
          <w:sz w:val="24"/>
        </w:rPr>
        <w:t xml:space="preserve"> </w:t>
      </w:r>
      <w:proofErr w:type="spellStart"/>
      <w:r w:rsidR="00BB7EEF">
        <w:rPr>
          <w:rFonts w:ascii="Arial" w:hAnsi="Arial" w:cs="Arial"/>
          <w:sz w:val="24"/>
        </w:rPr>
        <w:t>Aymara</w:t>
      </w:r>
      <w:proofErr w:type="spellEnd"/>
      <w:r w:rsidR="00BB7EEF">
        <w:rPr>
          <w:rFonts w:ascii="Arial" w:hAnsi="Arial" w:cs="Arial"/>
          <w:sz w:val="24"/>
        </w:rPr>
        <w:t xml:space="preserve">; </w:t>
      </w:r>
      <w:r w:rsidR="00B461C0" w:rsidRPr="00B461C0">
        <w:rPr>
          <w:rFonts w:ascii="Arial" w:hAnsi="Arial" w:cs="Arial"/>
          <w:sz w:val="24"/>
        </w:rPr>
        <w:t>bajo la coordinación de la Comisión Jurídica Para el Autodesarrollo de los Pueblos Originarios Andinos</w:t>
      </w:r>
    </w:p>
    <w:p w:rsidR="00B461C0" w:rsidRPr="00B461C0" w:rsidRDefault="00B461C0" w:rsidP="003C5BD1">
      <w:pPr>
        <w:spacing w:line="480" w:lineRule="auto"/>
        <w:jc w:val="center"/>
        <w:rPr>
          <w:rFonts w:ascii="Arial" w:hAnsi="Arial" w:cs="Arial"/>
          <w:b/>
          <w:sz w:val="36"/>
        </w:rPr>
      </w:pPr>
      <w:r w:rsidRPr="00B461C0">
        <w:rPr>
          <w:rFonts w:ascii="Arial" w:hAnsi="Arial" w:cs="Arial"/>
          <w:b/>
          <w:sz w:val="36"/>
        </w:rPr>
        <w:t>“CAPAJ”</w:t>
      </w:r>
    </w:p>
    <w:p w:rsidR="003C5BD1" w:rsidRDefault="00B461C0" w:rsidP="00B461C0">
      <w:pPr>
        <w:spacing w:line="480" w:lineRule="auto"/>
        <w:jc w:val="center"/>
        <w:rPr>
          <w:rFonts w:ascii="Arial" w:hAnsi="Arial" w:cs="Arial"/>
          <w:sz w:val="24"/>
        </w:rPr>
      </w:pPr>
      <w:r>
        <w:rPr>
          <w:rFonts w:ascii="Arial" w:hAnsi="Arial" w:cs="Arial"/>
          <w:sz w:val="24"/>
        </w:rPr>
        <w:t>Enfocado a las cuestiones relacionadas al tercer informe periódico al Estado Plurinacional de Bolivia, aprobadas por el comité en su 107° periodo de sesiones.</w:t>
      </w:r>
    </w:p>
    <w:p w:rsidR="00E148DE" w:rsidRDefault="00E148DE"/>
    <w:p w:rsidR="00E148DE" w:rsidRDefault="00E148DE" w:rsidP="00E148DE"/>
    <w:p w:rsidR="00CF1BFA" w:rsidRDefault="00CF1BFA" w:rsidP="00E148DE">
      <w:pPr>
        <w:jc w:val="right"/>
      </w:pPr>
    </w:p>
    <w:p w:rsidR="009B54ED" w:rsidRPr="00BB7EEF" w:rsidRDefault="009B54ED" w:rsidP="00BB7EEF">
      <w:pPr>
        <w:spacing w:line="360" w:lineRule="auto"/>
        <w:jc w:val="center"/>
        <w:rPr>
          <w:rFonts w:ascii="Arial" w:hAnsi="Arial" w:cs="Arial"/>
          <w:b/>
          <w:sz w:val="24"/>
          <w:szCs w:val="24"/>
        </w:rPr>
      </w:pPr>
      <w:r w:rsidRPr="00BB7EEF">
        <w:rPr>
          <w:rFonts w:ascii="Arial" w:hAnsi="Arial" w:cs="Arial"/>
          <w:b/>
          <w:sz w:val="24"/>
          <w:szCs w:val="24"/>
        </w:rPr>
        <w:lastRenderedPageBreak/>
        <w:t>INFORME ALTERNATIVO PARA EL EXAMEN AL ESTADO PLURINACIONAL DE BOLIVIA EN LA 109° SESIÓN DEL COMITÉ DE DERECHOS HUMANOS</w:t>
      </w:r>
    </w:p>
    <w:p w:rsidR="009B54ED" w:rsidRPr="00BB7EEF" w:rsidRDefault="009B54ED" w:rsidP="00BB7EEF">
      <w:pPr>
        <w:spacing w:line="360" w:lineRule="auto"/>
        <w:rPr>
          <w:rFonts w:ascii="Arial" w:hAnsi="Arial" w:cs="Arial"/>
          <w:b/>
          <w:sz w:val="24"/>
          <w:szCs w:val="24"/>
        </w:rPr>
      </w:pPr>
      <w:r w:rsidRPr="00BB7EEF">
        <w:rPr>
          <w:rFonts w:ascii="Arial" w:hAnsi="Arial" w:cs="Arial"/>
          <w:b/>
          <w:sz w:val="24"/>
          <w:szCs w:val="24"/>
        </w:rPr>
        <w:t>PREAMBULO.-</w:t>
      </w:r>
    </w:p>
    <w:p w:rsidR="00E148DE" w:rsidRPr="00BB7EEF" w:rsidRDefault="009B54ED"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Con fecha 25 de agosto del año 2011 el Estado Plurinacional de Bolivia presentó su tercer informe periódico al Comité de Derechos Humanos de las Naciones Unidas en virtud del Art., 40 del Pacto de Derechos Civiles y Políticos (CCPR/C/BOL/3).</w:t>
      </w:r>
    </w:p>
    <w:p w:rsidR="009B54ED" w:rsidRPr="00BB7EEF" w:rsidRDefault="009B54ED" w:rsidP="00BB7EEF">
      <w:pPr>
        <w:pStyle w:val="Prrafodelista"/>
        <w:spacing w:line="360" w:lineRule="auto"/>
        <w:rPr>
          <w:rFonts w:ascii="Arial" w:hAnsi="Arial" w:cs="Arial"/>
          <w:sz w:val="24"/>
          <w:szCs w:val="24"/>
        </w:rPr>
      </w:pPr>
    </w:p>
    <w:p w:rsidR="009B54ED" w:rsidRPr="00BB7EEF" w:rsidRDefault="009B54ED"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 xml:space="preserve">En el 107° periodo de sesiones del Comité de Derechos Humanos, celebrado del 11 al 28 de Marzo del año 2013, el comité aprobó una lista de cuestiones con relación al tercer informe periódico precitado que se publicó el 29 de abril del año 2013, en el documento CCPR/C/BOL/Q/3; cuyos párrafos 24 y 25 pide al estado parte que explique de </w:t>
      </w:r>
      <w:r w:rsidR="008837DF" w:rsidRPr="00BB7EEF">
        <w:rPr>
          <w:rFonts w:ascii="Arial" w:hAnsi="Arial" w:cs="Arial"/>
          <w:sz w:val="24"/>
          <w:szCs w:val="24"/>
        </w:rPr>
        <w:t>qué</w:t>
      </w:r>
      <w:r w:rsidRPr="00BB7EEF">
        <w:rPr>
          <w:rFonts w:ascii="Arial" w:hAnsi="Arial" w:cs="Arial"/>
          <w:sz w:val="24"/>
          <w:szCs w:val="24"/>
        </w:rPr>
        <w:t xml:space="preserve"> forma ha implementado el cumplimiento del Art. 27 </w:t>
      </w:r>
      <w:r w:rsidR="008837DF" w:rsidRPr="00BB7EEF">
        <w:rPr>
          <w:rFonts w:ascii="Arial" w:hAnsi="Arial" w:cs="Arial"/>
          <w:sz w:val="24"/>
          <w:szCs w:val="24"/>
        </w:rPr>
        <w:t>del Pacto de Derechos Civiles y Políticos.</w:t>
      </w:r>
    </w:p>
    <w:p w:rsidR="008837DF" w:rsidRPr="00BB7EEF" w:rsidRDefault="008837DF" w:rsidP="00BB7EEF">
      <w:pPr>
        <w:pStyle w:val="Prrafodelista"/>
        <w:spacing w:line="360" w:lineRule="auto"/>
        <w:rPr>
          <w:rFonts w:ascii="Arial" w:hAnsi="Arial" w:cs="Arial"/>
          <w:sz w:val="24"/>
          <w:szCs w:val="24"/>
        </w:rPr>
      </w:pPr>
    </w:p>
    <w:p w:rsidR="008837DF" w:rsidRPr="00BB7EEF" w:rsidRDefault="008837DF"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El Comité le pidió al Estado parte indicar que medidas ha tomado para garantizar el consentimiento previo libre e informado de los pueblos indígenas para el otorgamiento de licencias de explotación o de exploración en los territorios indígenas.</w:t>
      </w:r>
    </w:p>
    <w:p w:rsidR="008837DF" w:rsidRPr="00BB7EEF" w:rsidRDefault="008837DF" w:rsidP="00BB7EEF">
      <w:pPr>
        <w:pStyle w:val="Prrafodelista"/>
        <w:spacing w:line="360" w:lineRule="auto"/>
        <w:rPr>
          <w:rFonts w:ascii="Arial" w:hAnsi="Arial" w:cs="Arial"/>
          <w:sz w:val="24"/>
          <w:szCs w:val="24"/>
        </w:rPr>
      </w:pPr>
    </w:p>
    <w:p w:rsidR="008837DF" w:rsidRPr="00BB7EEF" w:rsidRDefault="008837DF"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Le pide que por favor describa el proceso de consulta a las naciones y pueblos indígenas originarios campesinos, llevado por el estado parte, dando ejemplos completos de las consultas llevadas a cabo.</w:t>
      </w:r>
    </w:p>
    <w:p w:rsidR="008837DF" w:rsidRPr="00BB7EEF" w:rsidRDefault="008837DF" w:rsidP="00BB7EEF">
      <w:pPr>
        <w:pStyle w:val="Prrafodelista"/>
        <w:spacing w:line="360" w:lineRule="auto"/>
        <w:rPr>
          <w:rFonts w:ascii="Arial" w:hAnsi="Arial" w:cs="Arial"/>
          <w:sz w:val="24"/>
          <w:szCs w:val="24"/>
        </w:rPr>
      </w:pPr>
    </w:p>
    <w:p w:rsidR="008837DF" w:rsidRPr="00BB7EEF" w:rsidRDefault="008837DF"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Por otro lado le solicita al Estado Plurinacional de Bolivia que describa los avances del proceso de implementación de las Autonomías Departamentales, Regionales, Municipales y Autonomía Indígena Originaria Campesina, en aplicación de la ley marco de autonomías y descentralización administrativa Nro. 031, promulgada el 19 de julio del año 2010.</w:t>
      </w:r>
    </w:p>
    <w:p w:rsidR="00333850" w:rsidRPr="00BB7EEF" w:rsidRDefault="00333850" w:rsidP="00BB7EEF">
      <w:pPr>
        <w:pStyle w:val="Prrafodelista"/>
        <w:spacing w:line="360" w:lineRule="auto"/>
        <w:rPr>
          <w:rFonts w:ascii="Arial" w:hAnsi="Arial" w:cs="Arial"/>
          <w:sz w:val="24"/>
          <w:szCs w:val="24"/>
        </w:rPr>
      </w:pPr>
    </w:p>
    <w:p w:rsidR="00333850" w:rsidRPr="00BB7EEF" w:rsidRDefault="00333850" w:rsidP="00BB7EEF">
      <w:pPr>
        <w:spacing w:line="360" w:lineRule="auto"/>
        <w:jc w:val="both"/>
        <w:rPr>
          <w:rFonts w:ascii="Arial" w:hAnsi="Arial" w:cs="Arial"/>
          <w:b/>
          <w:sz w:val="24"/>
          <w:szCs w:val="24"/>
        </w:rPr>
      </w:pPr>
      <w:r w:rsidRPr="00BB7EEF">
        <w:rPr>
          <w:rFonts w:ascii="Arial" w:hAnsi="Arial" w:cs="Arial"/>
          <w:b/>
          <w:sz w:val="24"/>
          <w:szCs w:val="24"/>
        </w:rPr>
        <w:lastRenderedPageBreak/>
        <w:t>INTERPRETACION DEL ARTÍCULO 27 DEL PACTO POR EL PROPIO COMITÉ</w:t>
      </w:r>
    </w:p>
    <w:p w:rsidR="00333850" w:rsidRPr="00BB7EEF" w:rsidRDefault="00333850"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 xml:space="preserve">El Comité  de Derechos Humanos, al resolver la controversia internacional caso Poma </w:t>
      </w:r>
      <w:proofErr w:type="spellStart"/>
      <w:r w:rsidRPr="00BB7EEF">
        <w:rPr>
          <w:rFonts w:ascii="Arial" w:hAnsi="Arial" w:cs="Arial"/>
          <w:sz w:val="24"/>
          <w:szCs w:val="24"/>
        </w:rPr>
        <w:t>Poma</w:t>
      </w:r>
      <w:proofErr w:type="spellEnd"/>
      <w:r w:rsidRPr="00BB7EEF">
        <w:rPr>
          <w:rFonts w:ascii="Arial" w:hAnsi="Arial" w:cs="Arial"/>
          <w:sz w:val="24"/>
          <w:szCs w:val="24"/>
        </w:rPr>
        <w:t xml:space="preserve"> vs. Perú, emitió el dictamen 1457/2006/CCPR, en su 95 periodo de sesiones Nueva York del 16 de marzo al 03 de abril del año 2009, publicado el 24 de abril del año 2009 en el </w:t>
      </w:r>
      <w:r w:rsidR="007C4A20" w:rsidRPr="00BB7EEF">
        <w:rPr>
          <w:rFonts w:ascii="Arial" w:hAnsi="Arial" w:cs="Arial"/>
          <w:sz w:val="24"/>
          <w:szCs w:val="24"/>
        </w:rPr>
        <w:t>documento CCPR/C/95/D/1457/2006.</w:t>
      </w:r>
    </w:p>
    <w:p w:rsidR="007C4A20" w:rsidRPr="00BB7EEF" w:rsidRDefault="007C4A20" w:rsidP="00BB7EEF">
      <w:pPr>
        <w:pStyle w:val="Prrafodelista"/>
        <w:spacing w:line="360" w:lineRule="auto"/>
        <w:jc w:val="both"/>
        <w:rPr>
          <w:rFonts w:ascii="Arial" w:hAnsi="Arial" w:cs="Arial"/>
          <w:sz w:val="24"/>
          <w:szCs w:val="24"/>
        </w:rPr>
      </w:pPr>
    </w:p>
    <w:p w:rsidR="007C4A20" w:rsidRPr="00BB7EEF" w:rsidRDefault="007C4A20"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El caso fue resuelto en virtud a la decisión del relator especial con arreglo al Art. 97 del reglamento, transmitida al Estado parte el 28 de febrero del 2006, para que ejerza su derecho de defensa, nombrando sus abogados y agentes y formulando sus alegatos de defensa con todos sus privilegios de ser Estado parte.</w:t>
      </w:r>
    </w:p>
    <w:p w:rsidR="007C4A20" w:rsidRPr="00BB7EEF" w:rsidRDefault="007C4A20" w:rsidP="00BB7EEF">
      <w:pPr>
        <w:pStyle w:val="Prrafodelista"/>
        <w:spacing w:line="360" w:lineRule="auto"/>
        <w:rPr>
          <w:rFonts w:ascii="Arial" w:hAnsi="Arial" w:cs="Arial"/>
          <w:sz w:val="24"/>
          <w:szCs w:val="24"/>
        </w:rPr>
      </w:pPr>
    </w:p>
    <w:p w:rsidR="007C4A20" w:rsidRPr="00BB7EEF" w:rsidRDefault="007C4A20"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 xml:space="preserve">La defensa de la parte denunciante fue asumida por el jurista y abogado Tomás Alarcón </w:t>
      </w:r>
      <w:proofErr w:type="spellStart"/>
      <w:r w:rsidRPr="00BB7EEF">
        <w:rPr>
          <w:rFonts w:ascii="Arial" w:hAnsi="Arial" w:cs="Arial"/>
          <w:sz w:val="24"/>
          <w:szCs w:val="24"/>
        </w:rPr>
        <w:t>Eyzaguirre</w:t>
      </w:r>
      <w:proofErr w:type="spellEnd"/>
      <w:r w:rsidRPr="00BB7EEF">
        <w:rPr>
          <w:rFonts w:ascii="Arial" w:hAnsi="Arial" w:cs="Arial"/>
          <w:sz w:val="24"/>
          <w:szCs w:val="24"/>
        </w:rPr>
        <w:t xml:space="preserve"> presidente de “</w:t>
      </w:r>
      <w:proofErr w:type="spellStart"/>
      <w:r w:rsidRPr="00BB7EEF">
        <w:rPr>
          <w:rFonts w:ascii="Arial" w:hAnsi="Arial" w:cs="Arial"/>
          <w:sz w:val="24"/>
          <w:szCs w:val="24"/>
        </w:rPr>
        <w:t>CAPAJ</w:t>
      </w:r>
      <w:proofErr w:type="spellEnd"/>
      <w:r w:rsidRPr="00BB7EEF">
        <w:rPr>
          <w:rFonts w:ascii="Arial" w:hAnsi="Arial" w:cs="Arial"/>
          <w:sz w:val="24"/>
          <w:szCs w:val="24"/>
        </w:rPr>
        <w:t xml:space="preserve">” autorizado por los afectados de la cuenca del tripartito Perú, Chile y Bolivia;  ríos Maure y </w:t>
      </w:r>
      <w:proofErr w:type="spellStart"/>
      <w:r w:rsidRPr="00BB7EEF">
        <w:rPr>
          <w:rFonts w:ascii="Arial" w:hAnsi="Arial" w:cs="Arial"/>
          <w:sz w:val="24"/>
          <w:szCs w:val="24"/>
        </w:rPr>
        <w:t>Uchusuma</w:t>
      </w:r>
      <w:proofErr w:type="spellEnd"/>
      <w:r w:rsidRPr="00BB7EEF">
        <w:rPr>
          <w:rFonts w:ascii="Arial" w:hAnsi="Arial" w:cs="Arial"/>
          <w:sz w:val="24"/>
          <w:szCs w:val="24"/>
        </w:rPr>
        <w:t xml:space="preserve"> que atraviesan territorios de los tres países y comparten un mismo ecosistema acuático </w:t>
      </w:r>
      <w:proofErr w:type="spellStart"/>
      <w:r w:rsidRPr="00BB7EEF">
        <w:rPr>
          <w:rFonts w:ascii="Arial" w:hAnsi="Arial" w:cs="Arial"/>
          <w:sz w:val="24"/>
          <w:szCs w:val="24"/>
        </w:rPr>
        <w:t>altoandino</w:t>
      </w:r>
      <w:proofErr w:type="spellEnd"/>
      <w:r w:rsidRPr="00BB7EEF">
        <w:rPr>
          <w:rFonts w:ascii="Arial" w:hAnsi="Arial" w:cs="Arial"/>
          <w:sz w:val="24"/>
          <w:szCs w:val="24"/>
        </w:rPr>
        <w:t xml:space="preserve"> conocidos como lo </w:t>
      </w:r>
      <w:proofErr w:type="spellStart"/>
      <w:r w:rsidRPr="00BB7EEF">
        <w:rPr>
          <w:rFonts w:ascii="Arial" w:hAnsi="Arial" w:cs="Arial"/>
          <w:sz w:val="24"/>
          <w:szCs w:val="24"/>
        </w:rPr>
        <w:t>bofedales</w:t>
      </w:r>
      <w:proofErr w:type="spellEnd"/>
      <w:r w:rsidRPr="00BB7EEF">
        <w:rPr>
          <w:rFonts w:ascii="Arial" w:hAnsi="Arial" w:cs="Arial"/>
          <w:sz w:val="24"/>
          <w:szCs w:val="24"/>
        </w:rPr>
        <w:t xml:space="preserve"> del altiplano a 4,500 msnm. </w:t>
      </w:r>
    </w:p>
    <w:p w:rsidR="007C4A20" w:rsidRPr="00BB7EEF" w:rsidRDefault="007C4A20" w:rsidP="00BB7EEF">
      <w:pPr>
        <w:pStyle w:val="Prrafodelista"/>
        <w:spacing w:line="360" w:lineRule="auto"/>
        <w:rPr>
          <w:rFonts w:ascii="Arial" w:hAnsi="Arial" w:cs="Arial"/>
          <w:sz w:val="24"/>
          <w:szCs w:val="24"/>
        </w:rPr>
      </w:pPr>
    </w:p>
    <w:p w:rsidR="007C4A20" w:rsidRPr="00BB7EEF" w:rsidRDefault="007C4A20"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Tras cuatro años de litigio internacional, el comité se pronunció emitiendo un razonado dictamen que constituye un hito en la jurisprudencia internacional, interpretando el sentido actual del Art. 27 del Pacto de Derechos Civiles y Políticos, que beneficia, contribuye y amplía sus efectos a los pueblos indígenas, realizando una interpretación auténtica del Art. 27, se pronuncia sobre el verdadero sentido de la consulta previa, libre e informada.</w:t>
      </w:r>
    </w:p>
    <w:p w:rsidR="007C4A20" w:rsidRPr="00BB7EEF" w:rsidRDefault="007C4A20" w:rsidP="00BB7EEF">
      <w:pPr>
        <w:pStyle w:val="Prrafodelista"/>
        <w:spacing w:line="360" w:lineRule="auto"/>
        <w:rPr>
          <w:rFonts w:ascii="Arial" w:hAnsi="Arial" w:cs="Arial"/>
          <w:sz w:val="24"/>
          <w:szCs w:val="24"/>
        </w:rPr>
      </w:pPr>
    </w:p>
    <w:p w:rsidR="007C4A20" w:rsidRPr="00BB7EEF" w:rsidRDefault="007C4A20"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 xml:space="preserve">Este dictamen 1457/2006/CCPR, del Comité de Derechos Humanos, constituye un instrumento internacional que es aplicable al Estado parte que se examina en la 109° sesión del Comité de Derechos Humanos en Ginebra. Sus alcances </w:t>
      </w:r>
      <w:r w:rsidR="00F92C28" w:rsidRPr="00BB7EEF">
        <w:rPr>
          <w:rFonts w:ascii="Arial" w:hAnsi="Arial" w:cs="Arial"/>
          <w:sz w:val="24"/>
          <w:szCs w:val="24"/>
        </w:rPr>
        <w:t xml:space="preserve">han brindado una pauta para que el Estado parte </w:t>
      </w:r>
      <w:r w:rsidR="00F92C28" w:rsidRPr="00BB7EEF">
        <w:rPr>
          <w:rFonts w:ascii="Arial" w:hAnsi="Arial" w:cs="Arial"/>
          <w:sz w:val="24"/>
          <w:szCs w:val="24"/>
        </w:rPr>
        <w:lastRenderedPageBreak/>
        <w:t>absuelva las observaciones que el comité le ha formulado en la 107° sesión celebrada el mes de marzo del presente año.</w:t>
      </w:r>
    </w:p>
    <w:p w:rsidR="00F92C28" w:rsidRPr="00BB7EEF" w:rsidRDefault="00F92C28" w:rsidP="00BB7EEF">
      <w:pPr>
        <w:pStyle w:val="Prrafodelista"/>
        <w:spacing w:line="360" w:lineRule="auto"/>
        <w:rPr>
          <w:rFonts w:ascii="Arial" w:hAnsi="Arial" w:cs="Arial"/>
          <w:sz w:val="24"/>
          <w:szCs w:val="24"/>
        </w:rPr>
      </w:pPr>
    </w:p>
    <w:p w:rsidR="00F92C28" w:rsidRPr="00BB7EEF" w:rsidRDefault="00F92C28"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 xml:space="preserve">Al interpretar el Art. 27 bajo el marco del caso Poma </w:t>
      </w:r>
      <w:proofErr w:type="spellStart"/>
      <w:r w:rsidRPr="00BB7EEF">
        <w:rPr>
          <w:rFonts w:ascii="Arial" w:hAnsi="Arial" w:cs="Arial"/>
          <w:sz w:val="24"/>
          <w:szCs w:val="24"/>
        </w:rPr>
        <w:t>Poma</w:t>
      </w:r>
      <w:proofErr w:type="spellEnd"/>
      <w:r w:rsidRPr="00BB7EEF">
        <w:rPr>
          <w:rFonts w:ascii="Arial" w:hAnsi="Arial" w:cs="Arial"/>
          <w:sz w:val="24"/>
          <w:szCs w:val="24"/>
        </w:rPr>
        <w:t xml:space="preserve"> vs. Perú, el comité estableció que “no basta la simple consulta”, sino que este derecho se complementa con el “consentimiento”, este criterio de la jurisprudencia internacional fue asumido por el Relator Especial de los Pueblos Indígenas James Anaya, quien en la cumbre de </w:t>
      </w:r>
      <w:proofErr w:type="spellStart"/>
      <w:r w:rsidRPr="00BB7EEF">
        <w:rPr>
          <w:rFonts w:ascii="Arial" w:hAnsi="Arial" w:cs="Arial"/>
          <w:sz w:val="24"/>
          <w:szCs w:val="24"/>
        </w:rPr>
        <w:t>Onbusmans</w:t>
      </w:r>
      <w:proofErr w:type="spellEnd"/>
      <w:r w:rsidRPr="00BB7EEF">
        <w:rPr>
          <w:rFonts w:ascii="Arial" w:hAnsi="Arial" w:cs="Arial"/>
          <w:sz w:val="24"/>
          <w:szCs w:val="24"/>
        </w:rPr>
        <w:t xml:space="preserve"> realizado en Lima el presente año estableció que el consentimiento es el elemento complementario al derecho de la consulta previa, libre e informada. Superando el tabú de que los pueblos indígenas no tienen derecho a vetar proyectos que afectan su sobrevivencia en sus territorios ancestrales.</w:t>
      </w:r>
    </w:p>
    <w:p w:rsidR="00F92C28" w:rsidRPr="00BB7EEF" w:rsidRDefault="00F92C28" w:rsidP="00BB7EEF">
      <w:pPr>
        <w:pStyle w:val="Prrafodelista"/>
        <w:spacing w:line="360" w:lineRule="auto"/>
        <w:rPr>
          <w:rFonts w:ascii="Arial" w:hAnsi="Arial" w:cs="Arial"/>
          <w:sz w:val="24"/>
          <w:szCs w:val="24"/>
        </w:rPr>
      </w:pPr>
    </w:p>
    <w:p w:rsidR="00F92C28" w:rsidRPr="00BB7EEF" w:rsidRDefault="00F92C28"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Así mismo el Comité estableció que “el derecho que tienen los Estados a planificar su desarrollo”, tiene su límite en los derechos que tienen los pueblos indígenas a vivir bajo el modelo económico de sus propias culturas este criterio jurisprudencial es parte del moderno derecho internacional público, que actualiza los criterios de soberanía que los Estados deben asumir dejando atrás el viejo criterio de que la soberanía de los Estados alcanza hasta la distancia donde llegue la bala de su cañón más potente.</w:t>
      </w:r>
    </w:p>
    <w:p w:rsidR="00F92C28" w:rsidRPr="00BB7EEF" w:rsidRDefault="00F92C28" w:rsidP="00BB7EEF">
      <w:pPr>
        <w:pStyle w:val="Prrafodelista"/>
        <w:spacing w:line="360" w:lineRule="auto"/>
        <w:rPr>
          <w:rFonts w:ascii="Arial" w:hAnsi="Arial" w:cs="Arial"/>
          <w:sz w:val="24"/>
          <w:szCs w:val="24"/>
        </w:rPr>
      </w:pPr>
    </w:p>
    <w:p w:rsidR="00F92C28" w:rsidRPr="00BB7EEF" w:rsidRDefault="00F92C28"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Esta interpretación tiene su base legal en el Art. 1 primer y segundo párrafo del Pacto de Derechos civiles y Políticos, allí se consagra el d</w:t>
      </w:r>
      <w:r w:rsidR="00BF5A00" w:rsidRPr="00BB7EEF">
        <w:rPr>
          <w:rFonts w:ascii="Arial" w:hAnsi="Arial" w:cs="Arial"/>
          <w:sz w:val="24"/>
          <w:szCs w:val="24"/>
        </w:rPr>
        <w:t>erecho a la libre determinación, concebido a la época de su entrada en vigor el mes de marzo de 1976, es decir hace 36 años y conforme al principio evolutivo de los Derechos Humanos hoy, el derecho a la libre determinación es de pleno ejercicio para los pueblos indígenas conforme a su dictamen interpretativo y a la Declaración de los Derechos de los Pueblos Indígenas de las Naciones Unidas, aprobado por la Asamblea General el año 2007.</w:t>
      </w:r>
    </w:p>
    <w:p w:rsidR="00BF5A00" w:rsidRPr="00BB7EEF" w:rsidRDefault="00BF5A00" w:rsidP="00BB7EEF">
      <w:pPr>
        <w:pStyle w:val="Prrafodelista"/>
        <w:spacing w:line="360" w:lineRule="auto"/>
        <w:rPr>
          <w:rFonts w:ascii="Arial" w:hAnsi="Arial" w:cs="Arial"/>
          <w:sz w:val="24"/>
          <w:szCs w:val="24"/>
        </w:rPr>
      </w:pPr>
    </w:p>
    <w:p w:rsidR="00BF5A00" w:rsidRPr="00BB7EEF" w:rsidRDefault="00B161B8"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lastRenderedPageBreak/>
        <w:t>En consecuencia, por el principio de la jerarquía de leyes el Estado parte debe asumir que no basta una ley interna sobre autonomías indígenas, sino que el derecho que les corresponde a las naciones indígenas del Estado parte es el derecho pleno a la libre determinación, entendiéndose el término pueblos debe ser aplicado a plenitud, sin al asterisco que le pone el Convenio 169-OIT, sino conforme al espíritu y la letra de los Arts. 1 a 3 del Pacto de Derechos Civiles y Políticos.</w:t>
      </w:r>
    </w:p>
    <w:p w:rsidR="00B161B8" w:rsidRPr="00BB7EEF" w:rsidRDefault="00B161B8" w:rsidP="00BB7EEF">
      <w:pPr>
        <w:pStyle w:val="Prrafodelista"/>
        <w:spacing w:line="360" w:lineRule="auto"/>
        <w:rPr>
          <w:rFonts w:ascii="Arial" w:hAnsi="Arial" w:cs="Arial"/>
          <w:sz w:val="24"/>
          <w:szCs w:val="24"/>
        </w:rPr>
      </w:pPr>
    </w:p>
    <w:p w:rsidR="00B161B8" w:rsidRPr="00BB7EEF" w:rsidRDefault="00B161B8" w:rsidP="00BB7EEF">
      <w:pPr>
        <w:pStyle w:val="Prrafodelista"/>
        <w:numPr>
          <w:ilvl w:val="0"/>
          <w:numId w:val="1"/>
        </w:numPr>
        <w:spacing w:line="360" w:lineRule="auto"/>
        <w:jc w:val="both"/>
        <w:rPr>
          <w:rFonts w:ascii="Arial" w:hAnsi="Arial" w:cs="Arial"/>
          <w:i/>
          <w:sz w:val="24"/>
          <w:szCs w:val="24"/>
        </w:rPr>
      </w:pPr>
      <w:r w:rsidRPr="00BB7EEF">
        <w:rPr>
          <w:rFonts w:ascii="Arial" w:hAnsi="Arial" w:cs="Arial"/>
          <w:sz w:val="24"/>
          <w:szCs w:val="24"/>
        </w:rPr>
        <w:t xml:space="preserve">El Estado examinado, frente a las observaciones que se le impuso en el 107° periodo de sesiones, cumplirá con el párrafo segundo del Art. 2 del Pacto que reza: </w:t>
      </w:r>
      <w:r w:rsidRPr="00BB7EEF">
        <w:rPr>
          <w:rFonts w:ascii="Arial" w:hAnsi="Arial" w:cs="Arial"/>
          <w:i/>
          <w:sz w:val="24"/>
          <w:szCs w:val="24"/>
        </w:rPr>
        <w:t>“Cada Estado Parte se compromete a adoptar, con arreglo a sus procedimientos constitucionales y a las disposiciones del presente Pacto, las medidas oportunas para dictar las disposiciones legislativas o de otro carácter que fueren necesarias para hacer efectivos los derechos reconocidos en el presente Pacto</w:t>
      </w:r>
      <w:r w:rsidR="00446773" w:rsidRPr="00BB7EEF">
        <w:rPr>
          <w:rFonts w:ascii="Arial" w:hAnsi="Arial" w:cs="Arial"/>
          <w:i/>
          <w:sz w:val="24"/>
          <w:szCs w:val="24"/>
        </w:rPr>
        <w:t>”.</w:t>
      </w:r>
    </w:p>
    <w:p w:rsidR="00446773" w:rsidRPr="00BB7EEF" w:rsidRDefault="00446773" w:rsidP="00BB7EEF">
      <w:pPr>
        <w:pStyle w:val="Prrafodelista"/>
        <w:spacing w:line="360" w:lineRule="auto"/>
        <w:rPr>
          <w:rFonts w:ascii="Arial" w:hAnsi="Arial" w:cs="Arial"/>
          <w:i/>
          <w:sz w:val="24"/>
          <w:szCs w:val="24"/>
        </w:rPr>
      </w:pPr>
    </w:p>
    <w:p w:rsidR="00446773" w:rsidRPr="00BB7EEF" w:rsidRDefault="00446773" w:rsidP="00BB7EEF">
      <w:pPr>
        <w:pStyle w:val="Prrafodelista"/>
        <w:numPr>
          <w:ilvl w:val="0"/>
          <w:numId w:val="1"/>
        </w:numPr>
        <w:spacing w:line="360" w:lineRule="auto"/>
        <w:jc w:val="both"/>
        <w:rPr>
          <w:rFonts w:ascii="Arial" w:hAnsi="Arial" w:cs="Arial"/>
          <w:i/>
          <w:sz w:val="24"/>
          <w:szCs w:val="24"/>
        </w:rPr>
      </w:pPr>
      <w:r w:rsidRPr="00BB7EEF">
        <w:rPr>
          <w:rFonts w:ascii="Arial" w:hAnsi="Arial" w:cs="Arial"/>
          <w:sz w:val="24"/>
          <w:szCs w:val="24"/>
        </w:rPr>
        <w:t xml:space="preserve">Tiene que explicar porque hasta el día de la fecha su Congreso Legislativo no ha incorporado representantes de las 36 naciones indígenas que enumera en la actual Constitución de Estado, elegidos por cada una de las naciones, </w:t>
      </w:r>
      <w:r w:rsidR="00664017" w:rsidRPr="00BB7EEF">
        <w:rPr>
          <w:rFonts w:ascii="Arial" w:hAnsi="Arial" w:cs="Arial"/>
          <w:sz w:val="24"/>
          <w:szCs w:val="24"/>
        </w:rPr>
        <w:t xml:space="preserve">tal como lo exige el Prof. Lic. </w:t>
      </w:r>
      <w:proofErr w:type="spellStart"/>
      <w:r w:rsidR="00664017" w:rsidRPr="00BB7EEF">
        <w:rPr>
          <w:rFonts w:ascii="Arial" w:hAnsi="Arial" w:cs="Arial"/>
          <w:sz w:val="24"/>
          <w:szCs w:val="24"/>
        </w:rPr>
        <w:t>Dionicio</w:t>
      </w:r>
      <w:proofErr w:type="spellEnd"/>
      <w:r w:rsidR="00664017" w:rsidRPr="00BB7EEF">
        <w:rPr>
          <w:rFonts w:ascii="Arial" w:hAnsi="Arial" w:cs="Arial"/>
          <w:sz w:val="24"/>
          <w:szCs w:val="24"/>
        </w:rPr>
        <w:t xml:space="preserve"> </w:t>
      </w:r>
      <w:proofErr w:type="spellStart"/>
      <w:r w:rsidR="00664017" w:rsidRPr="00BB7EEF">
        <w:rPr>
          <w:rFonts w:ascii="Arial" w:hAnsi="Arial" w:cs="Arial"/>
          <w:sz w:val="24"/>
          <w:szCs w:val="24"/>
        </w:rPr>
        <w:t>Siñani</w:t>
      </w:r>
      <w:proofErr w:type="spellEnd"/>
      <w:r w:rsidR="00664017" w:rsidRPr="00BB7EEF">
        <w:rPr>
          <w:rFonts w:ascii="Arial" w:hAnsi="Arial" w:cs="Arial"/>
          <w:sz w:val="24"/>
          <w:szCs w:val="24"/>
        </w:rPr>
        <w:t xml:space="preserve"> </w:t>
      </w:r>
      <w:proofErr w:type="spellStart"/>
      <w:r w:rsidR="00664017" w:rsidRPr="00BB7EEF">
        <w:rPr>
          <w:rFonts w:ascii="Arial" w:hAnsi="Arial" w:cs="Arial"/>
          <w:sz w:val="24"/>
          <w:szCs w:val="24"/>
        </w:rPr>
        <w:t>Atto</w:t>
      </w:r>
      <w:proofErr w:type="spellEnd"/>
      <w:r w:rsidR="00664017" w:rsidRPr="00BB7EEF">
        <w:rPr>
          <w:rFonts w:ascii="Arial" w:hAnsi="Arial" w:cs="Arial"/>
          <w:sz w:val="24"/>
          <w:szCs w:val="24"/>
        </w:rPr>
        <w:t xml:space="preserve"> representante de la Asociación Andina de Educación y de la Comunidad Ancestral de la Herencia Milenaria con sede en Alto Sopocachi. </w:t>
      </w:r>
    </w:p>
    <w:p w:rsidR="00664017" w:rsidRPr="00BB7EEF" w:rsidRDefault="00664017" w:rsidP="00BB7EEF">
      <w:pPr>
        <w:pStyle w:val="Prrafodelista"/>
        <w:spacing w:line="360" w:lineRule="auto"/>
        <w:rPr>
          <w:rFonts w:ascii="Arial" w:hAnsi="Arial" w:cs="Arial"/>
          <w:i/>
          <w:sz w:val="24"/>
          <w:szCs w:val="24"/>
        </w:rPr>
      </w:pPr>
    </w:p>
    <w:p w:rsidR="00664017" w:rsidRPr="00BB7EEF" w:rsidRDefault="00664017" w:rsidP="00BB7EEF">
      <w:pPr>
        <w:pStyle w:val="Prrafodelista"/>
        <w:numPr>
          <w:ilvl w:val="0"/>
          <w:numId w:val="1"/>
        </w:numPr>
        <w:spacing w:line="360" w:lineRule="auto"/>
        <w:jc w:val="both"/>
        <w:rPr>
          <w:rFonts w:ascii="Arial" w:hAnsi="Arial" w:cs="Arial"/>
          <w:i/>
          <w:sz w:val="24"/>
          <w:szCs w:val="24"/>
        </w:rPr>
      </w:pPr>
      <w:r w:rsidRPr="00BB7EEF">
        <w:rPr>
          <w:rFonts w:ascii="Arial" w:hAnsi="Arial" w:cs="Arial"/>
          <w:sz w:val="24"/>
          <w:szCs w:val="24"/>
        </w:rPr>
        <w:t>A pesar que existe en el Estado Parte el Órgano Electoral Plurinacional, funcionando dentro del Tribunal Supremo Electoral, dicho órgano estatal, hasta la fecha no hace efectivo el derecho que tiene cada nación reconocida en la Constitución del Estado Parte, a ser representada dentro del Parlamento Legislativo del Estado Parte, bajo un mecanismo que permita a las naciones ancestrales elegir bajo sus propias normas a sus legisladores.</w:t>
      </w:r>
    </w:p>
    <w:p w:rsidR="00664017" w:rsidRPr="00BB7EEF" w:rsidRDefault="00664017" w:rsidP="00BB7EEF">
      <w:pPr>
        <w:pStyle w:val="Prrafodelista"/>
        <w:spacing w:line="360" w:lineRule="auto"/>
        <w:rPr>
          <w:rFonts w:ascii="Arial" w:hAnsi="Arial" w:cs="Arial"/>
          <w:i/>
          <w:sz w:val="24"/>
          <w:szCs w:val="24"/>
        </w:rPr>
      </w:pPr>
    </w:p>
    <w:p w:rsidR="00664017" w:rsidRPr="00BB7EEF" w:rsidRDefault="00643E50" w:rsidP="00BB7EEF">
      <w:pPr>
        <w:pStyle w:val="Prrafodelista"/>
        <w:numPr>
          <w:ilvl w:val="0"/>
          <w:numId w:val="1"/>
        </w:numPr>
        <w:spacing w:line="360" w:lineRule="auto"/>
        <w:jc w:val="both"/>
        <w:rPr>
          <w:rFonts w:ascii="Arial" w:hAnsi="Arial" w:cs="Arial"/>
          <w:i/>
          <w:sz w:val="24"/>
          <w:szCs w:val="24"/>
        </w:rPr>
      </w:pPr>
      <w:r w:rsidRPr="00BB7EEF">
        <w:rPr>
          <w:rFonts w:ascii="Arial" w:hAnsi="Arial" w:cs="Arial"/>
          <w:sz w:val="24"/>
          <w:szCs w:val="24"/>
        </w:rPr>
        <w:t xml:space="preserve">Respecto a la vida económica que según sus valores culturales, el pueblo </w:t>
      </w:r>
      <w:proofErr w:type="spellStart"/>
      <w:r w:rsidRPr="00BB7EEF">
        <w:rPr>
          <w:rFonts w:ascii="Arial" w:hAnsi="Arial" w:cs="Arial"/>
          <w:sz w:val="24"/>
          <w:szCs w:val="24"/>
        </w:rPr>
        <w:t>aymara</w:t>
      </w:r>
      <w:proofErr w:type="spellEnd"/>
      <w:r w:rsidRPr="00BB7EEF">
        <w:rPr>
          <w:rFonts w:ascii="Arial" w:hAnsi="Arial" w:cs="Arial"/>
          <w:sz w:val="24"/>
          <w:szCs w:val="24"/>
        </w:rPr>
        <w:t xml:space="preserve"> de la cuenca del tripartito Perú, Chile, Bolivia; el </w:t>
      </w:r>
      <w:r w:rsidR="00FA40B7" w:rsidRPr="00BB7EEF">
        <w:rPr>
          <w:rFonts w:ascii="Arial" w:hAnsi="Arial" w:cs="Arial"/>
          <w:sz w:val="24"/>
          <w:szCs w:val="24"/>
        </w:rPr>
        <w:lastRenderedPageBreak/>
        <w:t xml:space="preserve">Movimiento </w:t>
      </w:r>
      <w:proofErr w:type="spellStart"/>
      <w:r w:rsidR="00FA40B7" w:rsidRPr="00BB7EEF">
        <w:rPr>
          <w:rFonts w:ascii="Arial" w:hAnsi="Arial" w:cs="Arial"/>
          <w:sz w:val="24"/>
          <w:szCs w:val="24"/>
        </w:rPr>
        <w:t>Apiwayqui</w:t>
      </w:r>
      <w:proofErr w:type="spellEnd"/>
      <w:r w:rsidR="00FA40B7" w:rsidRPr="00BB7EEF">
        <w:rPr>
          <w:rFonts w:ascii="Arial" w:hAnsi="Arial" w:cs="Arial"/>
          <w:sz w:val="24"/>
          <w:szCs w:val="24"/>
        </w:rPr>
        <w:t xml:space="preserve"> </w:t>
      </w:r>
      <w:proofErr w:type="spellStart"/>
      <w:r w:rsidR="00FA40B7" w:rsidRPr="00BB7EEF">
        <w:rPr>
          <w:rFonts w:ascii="Arial" w:hAnsi="Arial" w:cs="Arial"/>
          <w:sz w:val="24"/>
          <w:szCs w:val="24"/>
        </w:rPr>
        <w:t>Tumpa</w:t>
      </w:r>
      <w:proofErr w:type="spellEnd"/>
      <w:r w:rsidR="00FA40B7" w:rsidRPr="00BB7EEF">
        <w:rPr>
          <w:rFonts w:ascii="Arial" w:hAnsi="Arial" w:cs="Arial"/>
          <w:sz w:val="24"/>
          <w:szCs w:val="24"/>
        </w:rPr>
        <w:t xml:space="preserve"> Katari – Sisa, </w:t>
      </w:r>
      <w:r w:rsidRPr="00BB7EEF">
        <w:rPr>
          <w:rFonts w:ascii="Arial" w:hAnsi="Arial" w:cs="Arial"/>
          <w:sz w:val="24"/>
          <w:szCs w:val="24"/>
        </w:rPr>
        <w:t xml:space="preserve">reproduce el concepto del experto Román Morales Centeno que dice </w:t>
      </w:r>
      <w:r w:rsidRPr="00BB7EEF">
        <w:rPr>
          <w:rFonts w:ascii="Arial" w:hAnsi="Arial" w:cs="Arial"/>
          <w:i/>
          <w:sz w:val="24"/>
          <w:szCs w:val="24"/>
        </w:rPr>
        <w:t xml:space="preserve">“La economía de reciprocidad que practica el </w:t>
      </w:r>
      <w:proofErr w:type="spellStart"/>
      <w:r w:rsidRPr="00BB7EEF">
        <w:rPr>
          <w:rFonts w:ascii="Arial" w:hAnsi="Arial" w:cs="Arial"/>
          <w:i/>
          <w:sz w:val="24"/>
          <w:szCs w:val="24"/>
        </w:rPr>
        <w:t>Qollana</w:t>
      </w:r>
      <w:proofErr w:type="spellEnd"/>
      <w:r w:rsidRPr="00BB7EEF">
        <w:rPr>
          <w:rFonts w:ascii="Arial" w:hAnsi="Arial" w:cs="Arial"/>
          <w:i/>
          <w:sz w:val="24"/>
          <w:szCs w:val="24"/>
        </w:rPr>
        <w:t xml:space="preserve"> </w:t>
      </w:r>
      <w:proofErr w:type="spellStart"/>
      <w:r w:rsidRPr="00BB7EEF">
        <w:rPr>
          <w:rFonts w:ascii="Arial" w:hAnsi="Arial" w:cs="Arial"/>
          <w:i/>
          <w:sz w:val="24"/>
          <w:szCs w:val="24"/>
        </w:rPr>
        <w:t>Suyu</w:t>
      </w:r>
      <w:proofErr w:type="spellEnd"/>
      <w:r w:rsidRPr="00BB7EEF">
        <w:rPr>
          <w:rFonts w:ascii="Arial" w:hAnsi="Arial" w:cs="Arial"/>
          <w:i/>
          <w:sz w:val="24"/>
          <w:szCs w:val="24"/>
        </w:rPr>
        <w:t xml:space="preserve"> es a partir de la necesidad del otro, buscando el bien común recíproco, es complementario de ambas partes, es decir está fundamentada en un valor ético y no en una situación puramente material, competitivo, personalista e individualista”; </w:t>
      </w:r>
      <w:r w:rsidRPr="00BB7EEF">
        <w:rPr>
          <w:rFonts w:ascii="Arial" w:hAnsi="Arial" w:cs="Arial"/>
          <w:sz w:val="24"/>
          <w:szCs w:val="24"/>
        </w:rPr>
        <w:t xml:space="preserve">en el caso Poma </w:t>
      </w:r>
      <w:proofErr w:type="spellStart"/>
      <w:r w:rsidRPr="00BB7EEF">
        <w:rPr>
          <w:rFonts w:ascii="Arial" w:hAnsi="Arial" w:cs="Arial"/>
          <w:sz w:val="24"/>
          <w:szCs w:val="24"/>
        </w:rPr>
        <w:t>Poma</w:t>
      </w:r>
      <w:proofErr w:type="spellEnd"/>
      <w:r w:rsidRPr="00BB7EEF">
        <w:rPr>
          <w:rFonts w:ascii="Arial" w:hAnsi="Arial" w:cs="Arial"/>
          <w:sz w:val="24"/>
          <w:szCs w:val="24"/>
        </w:rPr>
        <w:t xml:space="preserve"> vs. Perú a este concepto de economía se debe respetar y el Estado no tiene derecho a expedir concesiones sobre territorios indígenas que violan su forma de vida económica.</w:t>
      </w:r>
    </w:p>
    <w:p w:rsidR="00643E50" w:rsidRPr="00BB7EEF" w:rsidRDefault="00643E50" w:rsidP="00BB7EEF">
      <w:pPr>
        <w:pStyle w:val="Prrafodelista"/>
        <w:spacing w:line="360" w:lineRule="auto"/>
        <w:rPr>
          <w:rFonts w:ascii="Arial" w:hAnsi="Arial" w:cs="Arial"/>
          <w:i/>
          <w:sz w:val="24"/>
          <w:szCs w:val="24"/>
        </w:rPr>
      </w:pPr>
    </w:p>
    <w:p w:rsidR="00643E50" w:rsidRPr="00BB7EEF" w:rsidRDefault="00643E50"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 xml:space="preserve">La economía del </w:t>
      </w:r>
      <w:proofErr w:type="spellStart"/>
      <w:r w:rsidRPr="00BB7EEF">
        <w:rPr>
          <w:rFonts w:ascii="Arial" w:hAnsi="Arial" w:cs="Arial"/>
          <w:sz w:val="24"/>
          <w:szCs w:val="24"/>
        </w:rPr>
        <w:t>Qollana</w:t>
      </w:r>
      <w:proofErr w:type="spellEnd"/>
      <w:r w:rsidRPr="00BB7EEF">
        <w:rPr>
          <w:rFonts w:ascii="Arial" w:hAnsi="Arial" w:cs="Arial"/>
          <w:sz w:val="24"/>
          <w:szCs w:val="24"/>
        </w:rPr>
        <w:t xml:space="preserve"> es complementaria y recíproca, se basa en el sistema </w:t>
      </w:r>
      <w:r w:rsidR="00BB0117" w:rsidRPr="00BB7EEF">
        <w:rPr>
          <w:rFonts w:ascii="Arial" w:hAnsi="Arial" w:cs="Arial"/>
          <w:sz w:val="24"/>
          <w:szCs w:val="24"/>
        </w:rPr>
        <w:t>A</w:t>
      </w:r>
      <w:r w:rsidRPr="00BB7EEF">
        <w:rPr>
          <w:rFonts w:ascii="Arial" w:hAnsi="Arial" w:cs="Arial"/>
          <w:sz w:val="24"/>
          <w:szCs w:val="24"/>
        </w:rPr>
        <w:t xml:space="preserve">yllu de los </w:t>
      </w:r>
      <w:proofErr w:type="spellStart"/>
      <w:r w:rsidRPr="00BB7EEF">
        <w:rPr>
          <w:rFonts w:ascii="Arial" w:hAnsi="Arial" w:cs="Arial"/>
          <w:sz w:val="24"/>
          <w:szCs w:val="24"/>
        </w:rPr>
        <w:t>Tampus</w:t>
      </w:r>
      <w:proofErr w:type="spellEnd"/>
      <w:r w:rsidRPr="00BB7EEF">
        <w:rPr>
          <w:rFonts w:ascii="Arial" w:hAnsi="Arial" w:cs="Arial"/>
          <w:sz w:val="24"/>
          <w:szCs w:val="24"/>
        </w:rPr>
        <w:t xml:space="preserve"> </w:t>
      </w:r>
      <w:r w:rsidR="00BB0117" w:rsidRPr="00BB7EEF">
        <w:rPr>
          <w:rFonts w:ascii="Arial" w:hAnsi="Arial" w:cs="Arial"/>
          <w:sz w:val="24"/>
          <w:szCs w:val="24"/>
        </w:rPr>
        <w:t xml:space="preserve">que es la macroeconomía que sobrevive como una red económica o tejido que interrelaciona la convivencia social, natural cósmica. Microeconomía de las pucaras y </w:t>
      </w:r>
      <w:proofErr w:type="spellStart"/>
      <w:r w:rsidR="00BB0117" w:rsidRPr="00BB7EEF">
        <w:rPr>
          <w:rFonts w:ascii="Arial" w:hAnsi="Arial" w:cs="Arial"/>
          <w:sz w:val="24"/>
          <w:szCs w:val="24"/>
        </w:rPr>
        <w:t>katana</w:t>
      </w:r>
      <w:proofErr w:type="spellEnd"/>
      <w:r w:rsidR="00BB0117" w:rsidRPr="00BB7EEF">
        <w:rPr>
          <w:rFonts w:ascii="Arial" w:hAnsi="Arial" w:cs="Arial"/>
          <w:sz w:val="24"/>
          <w:szCs w:val="24"/>
        </w:rPr>
        <w:t xml:space="preserve">, en el sistema Ayllu es la economía de las </w:t>
      </w:r>
      <w:proofErr w:type="spellStart"/>
      <w:r w:rsidR="00BB0117" w:rsidRPr="00BB7EEF">
        <w:rPr>
          <w:rFonts w:ascii="Arial" w:hAnsi="Arial" w:cs="Arial"/>
          <w:sz w:val="24"/>
          <w:szCs w:val="24"/>
        </w:rPr>
        <w:t>markas</w:t>
      </w:r>
      <w:proofErr w:type="spellEnd"/>
      <w:r w:rsidR="00BB0117" w:rsidRPr="00BB7EEF">
        <w:rPr>
          <w:rFonts w:ascii="Arial" w:hAnsi="Arial" w:cs="Arial"/>
          <w:sz w:val="24"/>
          <w:szCs w:val="24"/>
        </w:rPr>
        <w:t xml:space="preserve"> como eje articulador de contribución y la retribución económica. </w:t>
      </w:r>
      <w:proofErr w:type="spellStart"/>
      <w:r w:rsidR="00BB0117" w:rsidRPr="00BB7EEF">
        <w:rPr>
          <w:rFonts w:ascii="Arial" w:hAnsi="Arial" w:cs="Arial"/>
          <w:sz w:val="24"/>
          <w:szCs w:val="24"/>
        </w:rPr>
        <w:t>Minieconomía</w:t>
      </w:r>
      <w:proofErr w:type="spellEnd"/>
      <w:r w:rsidR="00BB0117" w:rsidRPr="00BB7EEF">
        <w:rPr>
          <w:rFonts w:ascii="Arial" w:hAnsi="Arial" w:cs="Arial"/>
          <w:sz w:val="24"/>
          <w:szCs w:val="24"/>
        </w:rPr>
        <w:t xml:space="preserve"> de pirgua </w:t>
      </w:r>
      <w:proofErr w:type="spellStart"/>
      <w:r w:rsidR="00BB0117" w:rsidRPr="00BB7EEF">
        <w:rPr>
          <w:rFonts w:ascii="Arial" w:hAnsi="Arial" w:cs="Arial"/>
          <w:sz w:val="24"/>
          <w:szCs w:val="24"/>
        </w:rPr>
        <w:t>kullpa</w:t>
      </w:r>
      <w:proofErr w:type="spellEnd"/>
      <w:r w:rsidR="00BB0117" w:rsidRPr="00BB7EEF">
        <w:rPr>
          <w:rFonts w:ascii="Arial" w:hAnsi="Arial" w:cs="Arial"/>
          <w:sz w:val="24"/>
          <w:szCs w:val="24"/>
        </w:rPr>
        <w:t xml:space="preserve"> que teje entre las familias en forma de trojas o almacenes </w:t>
      </w:r>
      <w:proofErr w:type="spellStart"/>
      <w:r w:rsidR="00BB0117" w:rsidRPr="00BB7EEF">
        <w:rPr>
          <w:rFonts w:ascii="Arial" w:hAnsi="Arial" w:cs="Arial"/>
          <w:sz w:val="24"/>
          <w:szCs w:val="24"/>
        </w:rPr>
        <w:t>tama</w:t>
      </w:r>
      <w:proofErr w:type="spellEnd"/>
      <w:r w:rsidR="00BB0117" w:rsidRPr="00BB7EEF">
        <w:rPr>
          <w:rFonts w:ascii="Arial" w:hAnsi="Arial" w:cs="Arial"/>
          <w:sz w:val="24"/>
          <w:szCs w:val="24"/>
        </w:rPr>
        <w:t xml:space="preserve"> y cada familia conserva en su hogar.</w:t>
      </w:r>
    </w:p>
    <w:p w:rsidR="00ED0C81" w:rsidRPr="00BB7EEF" w:rsidRDefault="00ED0C81" w:rsidP="00BB7EEF">
      <w:pPr>
        <w:pStyle w:val="Prrafodelista"/>
        <w:spacing w:line="360" w:lineRule="auto"/>
        <w:rPr>
          <w:rFonts w:ascii="Arial" w:hAnsi="Arial" w:cs="Arial"/>
          <w:sz w:val="24"/>
          <w:szCs w:val="24"/>
        </w:rPr>
      </w:pPr>
    </w:p>
    <w:p w:rsidR="00ED0C81" w:rsidRPr="00BB7EEF" w:rsidRDefault="00ED0C81"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 xml:space="preserve">Las universidades del mundo vienen estudiando el dictamen 1457/2006/CCPR, en sus facultades de derecho y se viene formando la doctrina del moderno derecho internacional </w:t>
      </w:r>
      <w:r w:rsidR="009D4EE4" w:rsidRPr="00BB7EEF">
        <w:rPr>
          <w:rFonts w:ascii="Arial" w:hAnsi="Arial" w:cs="Arial"/>
          <w:sz w:val="24"/>
          <w:szCs w:val="24"/>
        </w:rPr>
        <w:t>público</w:t>
      </w:r>
      <w:r w:rsidRPr="00BB7EEF">
        <w:rPr>
          <w:rFonts w:ascii="Arial" w:hAnsi="Arial" w:cs="Arial"/>
          <w:sz w:val="24"/>
          <w:szCs w:val="24"/>
        </w:rPr>
        <w:t>.</w:t>
      </w:r>
    </w:p>
    <w:p w:rsidR="008837DF" w:rsidRPr="00BB7EEF" w:rsidRDefault="008837DF" w:rsidP="00BB7EEF">
      <w:pPr>
        <w:pStyle w:val="Prrafodelista"/>
        <w:spacing w:line="360" w:lineRule="auto"/>
        <w:rPr>
          <w:rFonts w:ascii="Arial" w:hAnsi="Arial" w:cs="Arial"/>
          <w:sz w:val="24"/>
          <w:szCs w:val="24"/>
        </w:rPr>
      </w:pPr>
    </w:p>
    <w:p w:rsidR="008837DF" w:rsidRPr="00BB7EEF" w:rsidRDefault="00231C67" w:rsidP="00BB7EEF">
      <w:pPr>
        <w:spacing w:line="360" w:lineRule="auto"/>
        <w:jc w:val="both"/>
        <w:rPr>
          <w:rFonts w:ascii="Arial" w:hAnsi="Arial" w:cs="Arial"/>
          <w:b/>
          <w:sz w:val="24"/>
          <w:szCs w:val="24"/>
        </w:rPr>
      </w:pPr>
      <w:r w:rsidRPr="00BB7EEF">
        <w:rPr>
          <w:rFonts w:ascii="Arial" w:hAnsi="Arial" w:cs="Arial"/>
          <w:b/>
          <w:sz w:val="24"/>
          <w:szCs w:val="24"/>
        </w:rPr>
        <w:t xml:space="preserve">LOS ACUERDOS DE LA </w:t>
      </w:r>
      <w:r w:rsidR="008837DF" w:rsidRPr="00BB7EEF">
        <w:rPr>
          <w:rFonts w:ascii="Arial" w:hAnsi="Arial" w:cs="Arial"/>
          <w:b/>
          <w:sz w:val="24"/>
          <w:szCs w:val="24"/>
        </w:rPr>
        <w:t>NACIÓN JACHA SUYU PAKA JAQI</w:t>
      </w:r>
    </w:p>
    <w:p w:rsidR="006B0588" w:rsidRPr="00BB7EEF" w:rsidRDefault="006B0588"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 xml:space="preserve">El 03 de octubre del año 2012, CAPAJ brindó una conferencia jurídica en el auditórium de la </w:t>
      </w:r>
      <w:r w:rsidR="009D4EE4" w:rsidRPr="00BB7EEF">
        <w:rPr>
          <w:rFonts w:ascii="Arial" w:hAnsi="Arial" w:cs="Arial"/>
          <w:sz w:val="24"/>
          <w:szCs w:val="24"/>
        </w:rPr>
        <w:t>F</w:t>
      </w:r>
      <w:r w:rsidRPr="00BB7EEF">
        <w:rPr>
          <w:rFonts w:ascii="Arial" w:hAnsi="Arial" w:cs="Arial"/>
          <w:sz w:val="24"/>
          <w:szCs w:val="24"/>
        </w:rPr>
        <w:t xml:space="preserve">acultad de </w:t>
      </w:r>
      <w:r w:rsidR="009D4EE4" w:rsidRPr="00BB7EEF">
        <w:rPr>
          <w:rFonts w:ascii="Arial" w:hAnsi="Arial" w:cs="Arial"/>
          <w:sz w:val="24"/>
          <w:szCs w:val="24"/>
        </w:rPr>
        <w:t>D</w:t>
      </w:r>
      <w:r w:rsidRPr="00BB7EEF">
        <w:rPr>
          <w:rFonts w:ascii="Arial" w:hAnsi="Arial" w:cs="Arial"/>
          <w:sz w:val="24"/>
          <w:szCs w:val="24"/>
        </w:rPr>
        <w:t xml:space="preserve">erecho de la </w:t>
      </w:r>
      <w:r w:rsidR="009D4EE4" w:rsidRPr="00BB7EEF">
        <w:rPr>
          <w:rFonts w:ascii="Arial" w:hAnsi="Arial" w:cs="Arial"/>
          <w:sz w:val="24"/>
          <w:szCs w:val="24"/>
        </w:rPr>
        <w:t>U</w:t>
      </w:r>
      <w:r w:rsidRPr="00BB7EEF">
        <w:rPr>
          <w:rFonts w:ascii="Arial" w:hAnsi="Arial" w:cs="Arial"/>
          <w:sz w:val="24"/>
          <w:szCs w:val="24"/>
        </w:rPr>
        <w:t xml:space="preserve">niversidad Nacional de San Andrés </w:t>
      </w:r>
      <w:r w:rsidR="009D4EE4" w:rsidRPr="00BB7EEF">
        <w:rPr>
          <w:rFonts w:ascii="Arial" w:hAnsi="Arial" w:cs="Arial"/>
          <w:sz w:val="24"/>
          <w:szCs w:val="24"/>
        </w:rPr>
        <w:t xml:space="preserve">Bolivia, donde asistieron los </w:t>
      </w:r>
      <w:proofErr w:type="spellStart"/>
      <w:r w:rsidR="009D4EE4" w:rsidRPr="00BB7EEF">
        <w:rPr>
          <w:rFonts w:ascii="Arial" w:hAnsi="Arial" w:cs="Arial"/>
          <w:sz w:val="24"/>
          <w:szCs w:val="24"/>
        </w:rPr>
        <w:t>Mallkus</w:t>
      </w:r>
      <w:proofErr w:type="spellEnd"/>
      <w:r w:rsidR="009D4EE4" w:rsidRPr="00BB7EEF">
        <w:rPr>
          <w:rFonts w:ascii="Arial" w:hAnsi="Arial" w:cs="Arial"/>
          <w:sz w:val="24"/>
          <w:szCs w:val="24"/>
        </w:rPr>
        <w:t xml:space="preserve"> </w:t>
      </w:r>
      <w:proofErr w:type="spellStart"/>
      <w:r w:rsidR="009D4EE4" w:rsidRPr="00BB7EEF">
        <w:rPr>
          <w:rFonts w:ascii="Arial" w:hAnsi="Arial" w:cs="Arial"/>
          <w:sz w:val="24"/>
          <w:szCs w:val="24"/>
        </w:rPr>
        <w:t>Jilakatas</w:t>
      </w:r>
      <w:proofErr w:type="spellEnd"/>
      <w:r w:rsidR="009D4EE4" w:rsidRPr="00BB7EEF">
        <w:rPr>
          <w:rFonts w:ascii="Arial" w:hAnsi="Arial" w:cs="Arial"/>
          <w:sz w:val="24"/>
          <w:szCs w:val="24"/>
        </w:rPr>
        <w:t xml:space="preserve">, Mama </w:t>
      </w:r>
      <w:proofErr w:type="spellStart"/>
      <w:r w:rsidR="009D4EE4" w:rsidRPr="00BB7EEF">
        <w:rPr>
          <w:rFonts w:ascii="Arial" w:hAnsi="Arial" w:cs="Arial"/>
          <w:sz w:val="24"/>
          <w:szCs w:val="24"/>
        </w:rPr>
        <w:t>thallas</w:t>
      </w:r>
      <w:proofErr w:type="spellEnd"/>
      <w:r w:rsidR="009D4EE4" w:rsidRPr="00BB7EEF">
        <w:rPr>
          <w:rFonts w:ascii="Arial" w:hAnsi="Arial" w:cs="Arial"/>
          <w:sz w:val="24"/>
          <w:szCs w:val="24"/>
        </w:rPr>
        <w:t xml:space="preserve">, que son las autoridades del </w:t>
      </w:r>
      <w:proofErr w:type="spellStart"/>
      <w:r w:rsidR="009D4EE4" w:rsidRPr="00BB7EEF">
        <w:rPr>
          <w:rFonts w:ascii="Arial" w:hAnsi="Arial" w:cs="Arial"/>
          <w:sz w:val="24"/>
          <w:szCs w:val="24"/>
        </w:rPr>
        <w:t>Jacha</w:t>
      </w:r>
      <w:proofErr w:type="spellEnd"/>
      <w:r w:rsidR="009D4EE4" w:rsidRPr="00BB7EEF">
        <w:rPr>
          <w:rFonts w:ascii="Arial" w:hAnsi="Arial" w:cs="Arial"/>
          <w:sz w:val="24"/>
          <w:szCs w:val="24"/>
        </w:rPr>
        <w:t xml:space="preserve"> </w:t>
      </w:r>
      <w:proofErr w:type="spellStart"/>
      <w:r w:rsidR="009D4EE4" w:rsidRPr="00BB7EEF">
        <w:rPr>
          <w:rFonts w:ascii="Arial" w:hAnsi="Arial" w:cs="Arial"/>
          <w:sz w:val="24"/>
          <w:szCs w:val="24"/>
        </w:rPr>
        <w:t>Suyu</w:t>
      </w:r>
      <w:proofErr w:type="spellEnd"/>
      <w:r w:rsidR="009D4EE4" w:rsidRPr="00BB7EEF">
        <w:rPr>
          <w:rFonts w:ascii="Arial" w:hAnsi="Arial" w:cs="Arial"/>
          <w:sz w:val="24"/>
          <w:szCs w:val="24"/>
        </w:rPr>
        <w:t xml:space="preserve"> </w:t>
      </w:r>
      <w:proofErr w:type="spellStart"/>
      <w:r w:rsidR="009D4EE4" w:rsidRPr="00BB7EEF">
        <w:rPr>
          <w:rFonts w:ascii="Arial" w:hAnsi="Arial" w:cs="Arial"/>
          <w:sz w:val="24"/>
          <w:szCs w:val="24"/>
        </w:rPr>
        <w:t>Pakajaqi</w:t>
      </w:r>
      <w:proofErr w:type="spellEnd"/>
      <w:r w:rsidR="009D4EE4" w:rsidRPr="00BB7EEF">
        <w:rPr>
          <w:rFonts w:ascii="Arial" w:hAnsi="Arial" w:cs="Arial"/>
          <w:sz w:val="24"/>
          <w:szCs w:val="24"/>
        </w:rPr>
        <w:t xml:space="preserve">, estudiantes de derecho y catedráticos universitarios y representantes de los diferente movimientos descolonizadores, la conferencia fue sobre pluralismo jurídico y se distribuyó el dictamen 1457/2006/CCPR, para su estudio así como la resolución del Foro Permanente que declaró nula la doctrina del </w:t>
      </w:r>
      <w:r w:rsidR="009D4EE4" w:rsidRPr="00BB7EEF">
        <w:rPr>
          <w:rFonts w:ascii="Arial" w:hAnsi="Arial" w:cs="Arial"/>
          <w:sz w:val="24"/>
          <w:szCs w:val="24"/>
        </w:rPr>
        <w:lastRenderedPageBreak/>
        <w:t>descubrimiento y otros documentos internacionales, que nunca antes habían sido distribuido.</w:t>
      </w:r>
    </w:p>
    <w:p w:rsidR="006B0588" w:rsidRPr="00BB7EEF" w:rsidRDefault="006B0588" w:rsidP="00BB7EEF">
      <w:pPr>
        <w:pStyle w:val="Prrafodelista"/>
        <w:spacing w:line="360" w:lineRule="auto"/>
        <w:jc w:val="both"/>
        <w:rPr>
          <w:rFonts w:ascii="Arial" w:hAnsi="Arial" w:cs="Arial"/>
          <w:sz w:val="24"/>
          <w:szCs w:val="24"/>
        </w:rPr>
      </w:pPr>
    </w:p>
    <w:p w:rsidR="008837DF" w:rsidRPr="00BB7EEF" w:rsidRDefault="006B0588"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 xml:space="preserve">El </w:t>
      </w:r>
      <w:r w:rsidR="008837DF" w:rsidRPr="00BB7EEF">
        <w:rPr>
          <w:rFonts w:ascii="Arial" w:hAnsi="Arial" w:cs="Arial"/>
          <w:sz w:val="24"/>
          <w:szCs w:val="24"/>
        </w:rPr>
        <w:t xml:space="preserve">04 de octubre del año 2012, la nación </w:t>
      </w:r>
      <w:proofErr w:type="spellStart"/>
      <w:r w:rsidR="008837DF" w:rsidRPr="00BB7EEF">
        <w:rPr>
          <w:rFonts w:ascii="Arial" w:hAnsi="Arial" w:cs="Arial"/>
          <w:sz w:val="24"/>
          <w:szCs w:val="24"/>
        </w:rPr>
        <w:t>Jacha</w:t>
      </w:r>
      <w:proofErr w:type="spellEnd"/>
      <w:r w:rsidR="008837DF" w:rsidRPr="00BB7EEF">
        <w:rPr>
          <w:rFonts w:ascii="Arial" w:hAnsi="Arial" w:cs="Arial"/>
          <w:sz w:val="24"/>
          <w:szCs w:val="24"/>
        </w:rPr>
        <w:t xml:space="preserve"> </w:t>
      </w:r>
      <w:proofErr w:type="spellStart"/>
      <w:r w:rsidR="008837DF" w:rsidRPr="00BB7EEF">
        <w:rPr>
          <w:rFonts w:ascii="Arial" w:hAnsi="Arial" w:cs="Arial"/>
          <w:sz w:val="24"/>
          <w:szCs w:val="24"/>
        </w:rPr>
        <w:t>Suyu</w:t>
      </w:r>
      <w:proofErr w:type="spellEnd"/>
      <w:r w:rsidR="008837DF" w:rsidRPr="00BB7EEF">
        <w:rPr>
          <w:rFonts w:ascii="Arial" w:hAnsi="Arial" w:cs="Arial"/>
          <w:sz w:val="24"/>
          <w:szCs w:val="24"/>
        </w:rPr>
        <w:t xml:space="preserve"> </w:t>
      </w:r>
      <w:proofErr w:type="spellStart"/>
      <w:r w:rsidR="008837DF" w:rsidRPr="00BB7EEF">
        <w:rPr>
          <w:rFonts w:ascii="Arial" w:hAnsi="Arial" w:cs="Arial"/>
          <w:sz w:val="24"/>
          <w:szCs w:val="24"/>
        </w:rPr>
        <w:t>Pakajaqui</w:t>
      </w:r>
      <w:proofErr w:type="spellEnd"/>
      <w:r w:rsidR="008837DF" w:rsidRPr="00BB7EEF">
        <w:rPr>
          <w:rFonts w:ascii="Arial" w:hAnsi="Arial" w:cs="Arial"/>
          <w:sz w:val="24"/>
          <w:szCs w:val="24"/>
        </w:rPr>
        <w:t xml:space="preserve"> hoy rebajada a una mera provincia en Bolivia, realizó su “</w:t>
      </w:r>
      <w:proofErr w:type="spellStart"/>
      <w:r w:rsidR="008837DF" w:rsidRPr="00BB7EEF">
        <w:rPr>
          <w:rFonts w:ascii="Arial" w:hAnsi="Arial" w:cs="Arial"/>
          <w:sz w:val="24"/>
          <w:szCs w:val="24"/>
        </w:rPr>
        <w:t>Nairir</w:t>
      </w:r>
      <w:proofErr w:type="spellEnd"/>
      <w:r w:rsidR="008837DF" w:rsidRPr="00BB7EEF">
        <w:rPr>
          <w:rFonts w:ascii="Arial" w:hAnsi="Arial" w:cs="Arial"/>
          <w:sz w:val="24"/>
          <w:szCs w:val="24"/>
        </w:rPr>
        <w:t xml:space="preserve"> </w:t>
      </w:r>
      <w:proofErr w:type="spellStart"/>
      <w:r w:rsidR="008837DF" w:rsidRPr="00BB7EEF">
        <w:rPr>
          <w:rFonts w:ascii="Arial" w:hAnsi="Arial" w:cs="Arial"/>
          <w:sz w:val="24"/>
          <w:szCs w:val="24"/>
        </w:rPr>
        <w:t>Jacha</w:t>
      </w:r>
      <w:proofErr w:type="spellEnd"/>
      <w:r w:rsidR="008837DF" w:rsidRPr="00BB7EEF">
        <w:rPr>
          <w:rFonts w:ascii="Arial" w:hAnsi="Arial" w:cs="Arial"/>
          <w:sz w:val="24"/>
          <w:szCs w:val="24"/>
        </w:rPr>
        <w:t xml:space="preserve"> </w:t>
      </w:r>
      <w:proofErr w:type="spellStart"/>
      <w:r w:rsidR="008837DF" w:rsidRPr="00BB7EEF">
        <w:rPr>
          <w:rFonts w:ascii="Arial" w:hAnsi="Arial" w:cs="Arial"/>
          <w:sz w:val="24"/>
          <w:szCs w:val="24"/>
        </w:rPr>
        <w:t>Ulaka</w:t>
      </w:r>
      <w:proofErr w:type="spellEnd"/>
      <w:r w:rsidR="008837DF" w:rsidRPr="00BB7EEF">
        <w:rPr>
          <w:rFonts w:ascii="Arial" w:hAnsi="Arial" w:cs="Arial"/>
          <w:sz w:val="24"/>
          <w:szCs w:val="24"/>
        </w:rPr>
        <w:t xml:space="preserve"> </w:t>
      </w:r>
      <w:proofErr w:type="spellStart"/>
      <w:r w:rsidR="008837DF" w:rsidRPr="00BB7EEF">
        <w:rPr>
          <w:rFonts w:ascii="Arial" w:hAnsi="Arial" w:cs="Arial"/>
          <w:sz w:val="24"/>
          <w:szCs w:val="24"/>
        </w:rPr>
        <w:t>Paka</w:t>
      </w:r>
      <w:proofErr w:type="spellEnd"/>
      <w:r w:rsidR="008837DF" w:rsidRPr="00BB7EEF">
        <w:rPr>
          <w:rFonts w:ascii="Arial" w:hAnsi="Arial" w:cs="Arial"/>
          <w:sz w:val="24"/>
          <w:szCs w:val="24"/>
        </w:rPr>
        <w:t xml:space="preserve"> </w:t>
      </w:r>
      <w:proofErr w:type="spellStart"/>
      <w:r w:rsidR="008837DF" w:rsidRPr="00BB7EEF">
        <w:rPr>
          <w:rFonts w:ascii="Arial" w:hAnsi="Arial" w:cs="Arial"/>
          <w:sz w:val="24"/>
          <w:szCs w:val="24"/>
        </w:rPr>
        <w:t>Jaqi</w:t>
      </w:r>
      <w:proofErr w:type="spellEnd"/>
      <w:r w:rsidR="008837DF" w:rsidRPr="00BB7EEF">
        <w:rPr>
          <w:rFonts w:ascii="Arial" w:hAnsi="Arial" w:cs="Arial"/>
          <w:sz w:val="24"/>
          <w:szCs w:val="24"/>
        </w:rPr>
        <w:t xml:space="preserve"> </w:t>
      </w:r>
      <w:proofErr w:type="spellStart"/>
      <w:r w:rsidR="008837DF" w:rsidRPr="00BB7EEF">
        <w:rPr>
          <w:rFonts w:ascii="Arial" w:hAnsi="Arial" w:cs="Arial"/>
          <w:sz w:val="24"/>
          <w:szCs w:val="24"/>
        </w:rPr>
        <w:t>Uraqipjata</w:t>
      </w:r>
      <w:proofErr w:type="spellEnd"/>
      <w:r w:rsidR="008837DF" w:rsidRPr="00BB7EEF">
        <w:rPr>
          <w:rFonts w:ascii="Arial" w:hAnsi="Arial" w:cs="Arial"/>
          <w:sz w:val="24"/>
          <w:szCs w:val="24"/>
        </w:rPr>
        <w:t xml:space="preserve">”, es decir el primer congreso de reconstitución de la Nación </w:t>
      </w:r>
      <w:proofErr w:type="spellStart"/>
      <w:r w:rsidR="008837DF" w:rsidRPr="00BB7EEF">
        <w:rPr>
          <w:rFonts w:ascii="Arial" w:hAnsi="Arial" w:cs="Arial"/>
          <w:sz w:val="24"/>
          <w:szCs w:val="24"/>
        </w:rPr>
        <w:t>Jacha</w:t>
      </w:r>
      <w:proofErr w:type="spellEnd"/>
      <w:r w:rsidR="008837DF" w:rsidRPr="00BB7EEF">
        <w:rPr>
          <w:rFonts w:ascii="Arial" w:hAnsi="Arial" w:cs="Arial"/>
          <w:sz w:val="24"/>
          <w:szCs w:val="24"/>
        </w:rPr>
        <w:t xml:space="preserve"> </w:t>
      </w:r>
      <w:proofErr w:type="spellStart"/>
      <w:r w:rsidR="008837DF" w:rsidRPr="00BB7EEF">
        <w:rPr>
          <w:rFonts w:ascii="Arial" w:hAnsi="Arial" w:cs="Arial"/>
          <w:sz w:val="24"/>
          <w:szCs w:val="24"/>
        </w:rPr>
        <w:t>Suyu</w:t>
      </w:r>
      <w:proofErr w:type="spellEnd"/>
      <w:r w:rsidR="008837DF" w:rsidRPr="00BB7EEF">
        <w:rPr>
          <w:rFonts w:ascii="Arial" w:hAnsi="Arial" w:cs="Arial"/>
          <w:sz w:val="24"/>
          <w:szCs w:val="24"/>
        </w:rPr>
        <w:t xml:space="preserve"> </w:t>
      </w:r>
      <w:proofErr w:type="spellStart"/>
      <w:r w:rsidR="008837DF" w:rsidRPr="00BB7EEF">
        <w:rPr>
          <w:rFonts w:ascii="Arial" w:hAnsi="Arial" w:cs="Arial"/>
          <w:sz w:val="24"/>
          <w:szCs w:val="24"/>
        </w:rPr>
        <w:t>Paka</w:t>
      </w:r>
      <w:proofErr w:type="spellEnd"/>
      <w:r w:rsidR="008837DF" w:rsidRPr="00BB7EEF">
        <w:rPr>
          <w:rFonts w:ascii="Arial" w:hAnsi="Arial" w:cs="Arial"/>
          <w:sz w:val="24"/>
          <w:szCs w:val="24"/>
        </w:rPr>
        <w:t xml:space="preserve"> </w:t>
      </w:r>
      <w:proofErr w:type="spellStart"/>
      <w:r w:rsidR="008837DF" w:rsidRPr="00BB7EEF">
        <w:rPr>
          <w:rFonts w:ascii="Arial" w:hAnsi="Arial" w:cs="Arial"/>
          <w:sz w:val="24"/>
          <w:szCs w:val="24"/>
        </w:rPr>
        <w:t>Jaqi</w:t>
      </w:r>
      <w:proofErr w:type="spellEnd"/>
      <w:r w:rsidR="008837DF" w:rsidRPr="00BB7EEF">
        <w:rPr>
          <w:rFonts w:ascii="Arial" w:hAnsi="Arial" w:cs="Arial"/>
          <w:sz w:val="24"/>
          <w:szCs w:val="24"/>
        </w:rPr>
        <w:t xml:space="preserve"> a nivel internacional.</w:t>
      </w:r>
    </w:p>
    <w:p w:rsidR="008837DF" w:rsidRPr="00BB7EEF" w:rsidRDefault="008837DF" w:rsidP="00BB7EEF">
      <w:pPr>
        <w:pStyle w:val="Prrafodelista"/>
        <w:spacing w:line="360" w:lineRule="auto"/>
        <w:jc w:val="both"/>
        <w:rPr>
          <w:rFonts w:ascii="Arial" w:hAnsi="Arial" w:cs="Arial"/>
          <w:sz w:val="24"/>
          <w:szCs w:val="24"/>
        </w:rPr>
      </w:pPr>
    </w:p>
    <w:p w:rsidR="008837DF" w:rsidRPr="00BB7EEF" w:rsidRDefault="008837DF"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 xml:space="preserve">La Nación </w:t>
      </w:r>
      <w:proofErr w:type="spellStart"/>
      <w:r w:rsidRPr="00BB7EEF">
        <w:rPr>
          <w:rFonts w:ascii="Arial" w:hAnsi="Arial" w:cs="Arial"/>
          <w:sz w:val="24"/>
          <w:szCs w:val="24"/>
        </w:rPr>
        <w:t>Jacha</w:t>
      </w:r>
      <w:proofErr w:type="spellEnd"/>
      <w:r w:rsidRPr="00BB7EEF">
        <w:rPr>
          <w:rFonts w:ascii="Arial" w:hAnsi="Arial" w:cs="Arial"/>
          <w:sz w:val="24"/>
          <w:szCs w:val="24"/>
        </w:rPr>
        <w:t xml:space="preserve"> </w:t>
      </w:r>
      <w:proofErr w:type="spellStart"/>
      <w:r w:rsidRPr="00BB7EEF">
        <w:rPr>
          <w:rFonts w:ascii="Arial" w:hAnsi="Arial" w:cs="Arial"/>
          <w:sz w:val="24"/>
          <w:szCs w:val="24"/>
        </w:rPr>
        <w:t>Suyu</w:t>
      </w:r>
      <w:proofErr w:type="spellEnd"/>
      <w:r w:rsidRPr="00BB7EEF">
        <w:rPr>
          <w:rFonts w:ascii="Arial" w:hAnsi="Arial" w:cs="Arial"/>
          <w:sz w:val="24"/>
          <w:szCs w:val="24"/>
        </w:rPr>
        <w:t xml:space="preserve"> </w:t>
      </w:r>
      <w:proofErr w:type="spellStart"/>
      <w:r w:rsidRPr="00BB7EEF">
        <w:rPr>
          <w:rFonts w:ascii="Arial" w:hAnsi="Arial" w:cs="Arial"/>
          <w:sz w:val="24"/>
          <w:szCs w:val="24"/>
        </w:rPr>
        <w:t>Pakajaqi</w:t>
      </w:r>
      <w:proofErr w:type="spellEnd"/>
      <w:r w:rsidRPr="00BB7EEF">
        <w:rPr>
          <w:rFonts w:ascii="Arial" w:hAnsi="Arial" w:cs="Arial"/>
          <w:sz w:val="24"/>
          <w:szCs w:val="24"/>
        </w:rPr>
        <w:t xml:space="preserve"> acordó pedir ante la Organización de Naciones Unidas la acreditación de sus representantes como reconocidos como </w:t>
      </w:r>
      <w:r w:rsidR="006B0588" w:rsidRPr="00BB7EEF">
        <w:rPr>
          <w:rFonts w:ascii="Arial" w:hAnsi="Arial" w:cs="Arial"/>
          <w:sz w:val="24"/>
          <w:szCs w:val="24"/>
        </w:rPr>
        <w:t>Nación</w:t>
      </w:r>
      <w:r w:rsidRPr="00BB7EEF">
        <w:rPr>
          <w:rFonts w:ascii="Arial" w:hAnsi="Arial" w:cs="Arial"/>
          <w:sz w:val="24"/>
          <w:szCs w:val="24"/>
        </w:rPr>
        <w:t xml:space="preserve"> </w:t>
      </w:r>
      <w:proofErr w:type="spellStart"/>
      <w:r w:rsidRPr="00BB7EEF">
        <w:rPr>
          <w:rFonts w:ascii="Arial" w:hAnsi="Arial" w:cs="Arial"/>
          <w:sz w:val="24"/>
          <w:szCs w:val="24"/>
        </w:rPr>
        <w:t>Jacha</w:t>
      </w:r>
      <w:proofErr w:type="spellEnd"/>
      <w:r w:rsidRPr="00BB7EEF">
        <w:rPr>
          <w:rFonts w:ascii="Arial" w:hAnsi="Arial" w:cs="Arial"/>
          <w:sz w:val="24"/>
          <w:szCs w:val="24"/>
        </w:rPr>
        <w:t xml:space="preserve"> </w:t>
      </w:r>
      <w:proofErr w:type="spellStart"/>
      <w:r w:rsidRPr="00BB7EEF">
        <w:rPr>
          <w:rFonts w:ascii="Arial" w:hAnsi="Arial" w:cs="Arial"/>
          <w:sz w:val="24"/>
          <w:szCs w:val="24"/>
        </w:rPr>
        <w:t>Suyu</w:t>
      </w:r>
      <w:proofErr w:type="spellEnd"/>
      <w:r w:rsidRPr="00BB7EEF">
        <w:rPr>
          <w:rFonts w:ascii="Arial" w:hAnsi="Arial" w:cs="Arial"/>
          <w:sz w:val="24"/>
          <w:szCs w:val="24"/>
        </w:rPr>
        <w:t xml:space="preserve"> </w:t>
      </w:r>
      <w:proofErr w:type="spellStart"/>
      <w:r w:rsidRPr="00BB7EEF">
        <w:rPr>
          <w:rFonts w:ascii="Arial" w:hAnsi="Arial" w:cs="Arial"/>
          <w:sz w:val="24"/>
          <w:szCs w:val="24"/>
        </w:rPr>
        <w:t>Pakajaqi</w:t>
      </w:r>
      <w:proofErr w:type="spellEnd"/>
      <w:r w:rsidRPr="00BB7EEF">
        <w:rPr>
          <w:rFonts w:ascii="Arial" w:hAnsi="Arial" w:cs="Arial"/>
          <w:sz w:val="24"/>
          <w:szCs w:val="24"/>
        </w:rPr>
        <w:t xml:space="preserve"> en las delegaciones diplomáticas, foros o cumbres convocadas por organizaciones internacionales.</w:t>
      </w:r>
    </w:p>
    <w:p w:rsidR="008837DF" w:rsidRPr="00BB7EEF" w:rsidRDefault="008837DF" w:rsidP="00BB7EEF">
      <w:pPr>
        <w:pStyle w:val="Prrafodelista"/>
        <w:spacing w:line="360" w:lineRule="auto"/>
        <w:rPr>
          <w:rFonts w:ascii="Arial" w:hAnsi="Arial" w:cs="Arial"/>
          <w:sz w:val="24"/>
          <w:szCs w:val="24"/>
        </w:rPr>
      </w:pPr>
    </w:p>
    <w:p w:rsidR="008837DF" w:rsidRPr="00BB7EEF" w:rsidRDefault="008837DF"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 xml:space="preserve">Refiriéndose al tema de las autonomías, la Nación </w:t>
      </w:r>
      <w:proofErr w:type="spellStart"/>
      <w:r w:rsidRPr="00BB7EEF">
        <w:rPr>
          <w:rFonts w:ascii="Arial" w:hAnsi="Arial" w:cs="Arial"/>
          <w:sz w:val="24"/>
          <w:szCs w:val="24"/>
        </w:rPr>
        <w:t>Jacha</w:t>
      </w:r>
      <w:proofErr w:type="spellEnd"/>
      <w:r w:rsidRPr="00BB7EEF">
        <w:rPr>
          <w:rFonts w:ascii="Arial" w:hAnsi="Arial" w:cs="Arial"/>
          <w:sz w:val="24"/>
          <w:szCs w:val="24"/>
        </w:rPr>
        <w:t xml:space="preserve"> </w:t>
      </w:r>
      <w:proofErr w:type="spellStart"/>
      <w:r w:rsidRPr="00BB7EEF">
        <w:rPr>
          <w:rFonts w:ascii="Arial" w:hAnsi="Arial" w:cs="Arial"/>
          <w:sz w:val="24"/>
          <w:szCs w:val="24"/>
        </w:rPr>
        <w:t>Suyu</w:t>
      </w:r>
      <w:proofErr w:type="spellEnd"/>
      <w:r w:rsidRPr="00BB7EEF">
        <w:rPr>
          <w:rFonts w:ascii="Arial" w:hAnsi="Arial" w:cs="Arial"/>
          <w:sz w:val="24"/>
          <w:szCs w:val="24"/>
        </w:rPr>
        <w:t xml:space="preserve"> </w:t>
      </w:r>
      <w:proofErr w:type="spellStart"/>
      <w:r w:rsidRPr="00BB7EEF">
        <w:rPr>
          <w:rFonts w:ascii="Arial" w:hAnsi="Arial" w:cs="Arial"/>
          <w:sz w:val="24"/>
          <w:szCs w:val="24"/>
        </w:rPr>
        <w:t>Pakajaqi</w:t>
      </w:r>
      <w:proofErr w:type="spellEnd"/>
      <w:r w:rsidRPr="00BB7EEF">
        <w:rPr>
          <w:rFonts w:ascii="Arial" w:hAnsi="Arial" w:cs="Arial"/>
          <w:sz w:val="24"/>
          <w:szCs w:val="24"/>
        </w:rPr>
        <w:t xml:space="preserve"> exigió que el Estado Plurinacional de Bolivia suspenda el trámite de saneamiento simple o TOS, u otro medio de legalización que ejercita sobre las tierras originarias, en razón de que está causando enfrentamiento entre familias y comunidades departamentales.</w:t>
      </w:r>
    </w:p>
    <w:p w:rsidR="008837DF" w:rsidRPr="00BB7EEF" w:rsidRDefault="008837DF" w:rsidP="00BB7EEF">
      <w:pPr>
        <w:pStyle w:val="Prrafodelista"/>
        <w:spacing w:line="360" w:lineRule="auto"/>
        <w:rPr>
          <w:rFonts w:ascii="Arial" w:hAnsi="Arial" w:cs="Arial"/>
          <w:sz w:val="24"/>
          <w:szCs w:val="24"/>
        </w:rPr>
      </w:pPr>
    </w:p>
    <w:p w:rsidR="008837DF" w:rsidRPr="00BB7EEF" w:rsidRDefault="008837DF"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 xml:space="preserve">El Gran Congreso de la </w:t>
      </w:r>
      <w:proofErr w:type="spellStart"/>
      <w:r w:rsidRPr="00BB7EEF">
        <w:rPr>
          <w:rFonts w:ascii="Arial" w:hAnsi="Arial" w:cs="Arial"/>
          <w:sz w:val="24"/>
          <w:szCs w:val="24"/>
        </w:rPr>
        <w:t>NAcióin</w:t>
      </w:r>
      <w:proofErr w:type="spellEnd"/>
      <w:r w:rsidRPr="00BB7EEF">
        <w:rPr>
          <w:rFonts w:ascii="Arial" w:hAnsi="Arial" w:cs="Arial"/>
          <w:sz w:val="24"/>
          <w:szCs w:val="24"/>
        </w:rPr>
        <w:t xml:space="preserve"> </w:t>
      </w:r>
      <w:proofErr w:type="spellStart"/>
      <w:r w:rsidRPr="00BB7EEF">
        <w:rPr>
          <w:rFonts w:ascii="Arial" w:hAnsi="Arial" w:cs="Arial"/>
          <w:sz w:val="24"/>
          <w:szCs w:val="24"/>
        </w:rPr>
        <w:t>Jacha</w:t>
      </w:r>
      <w:proofErr w:type="spellEnd"/>
      <w:r w:rsidRPr="00BB7EEF">
        <w:rPr>
          <w:rFonts w:ascii="Arial" w:hAnsi="Arial" w:cs="Arial"/>
          <w:sz w:val="24"/>
          <w:szCs w:val="24"/>
        </w:rPr>
        <w:t xml:space="preserve"> </w:t>
      </w:r>
      <w:proofErr w:type="spellStart"/>
      <w:r w:rsidRPr="00BB7EEF">
        <w:rPr>
          <w:rFonts w:ascii="Arial" w:hAnsi="Arial" w:cs="Arial"/>
          <w:sz w:val="24"/>
          <w:szCs w:val="24"/>
        </w:rPr>
        <w:t>Suyu</w:t>
      </w:r>
      <w:proofErr w:type="spellEnd"/>
      <w:r w:rsidRPr="00BB7EEF">
        <w:rPr>
          <w:rFonts w:ascii="Arial" w:hAnsi="Arial" w:cs="Arial"/>
          <w:sz w:val="24"/>
          <w:szCs w:val="24"/>
        </w:rPr>
        <w:t xml:space="preserve"> </w:t>
      </w:r>
      <w:proofErr w:type="spellStart"/>
      <w:r w:rsidRPr="00BB7EEF">
        <w:rPr>
          <w:rFonts w:ascii="Arial" w:hAnsi="Arial" w:cs="Arial"/>
          <w:sz w:val="24"/>
          <w:szCs w:val="24"/>
        </w:rPr>
        <w:t>Pakajaqi</w:t>
      </w:r>
      <w:proofErr w:type="spellEnd"/>
      <w:r w:rsidRPr="00BB7EEF">
        <w:rPr>
          <w:rFonts w:ascii="Arial" w:hAnsi="Arial" w:cs="Arial"/>
          <w:sz w:val="24"/>
          <w:szCs w:val="24"/>
        </w:rPr>
        <w:t xml:space="preserve"> condenó la aplicación de la ley Marco de Autonomías </w:t>
      </w:r>
      <w:r w:rsidR="00C71E3F" w:rsidRPr="00BB7EEF">
        <w:rPr>
          <w:rFonts w:ascii="Arial" w:hAnsi="Arial" w:cs="Arial"/>
          <w:sz w:val="24"/>
          <w:szCs w:val="24"/>
        </w:rPr>
        <w:t xml:space="preserve">por atentatoria contra la autonomía ancestral o soberanía de la Nación </w:t>
      </w:r>
      <w:proofErr w:type="spellStart"/>
      <w:r w:rsidR="00C71E3F" w:rsidRPr="00BB7EEF">
        <w:rPr>
          <w:rFonts w:ascii="Arial" w:hAnsi="Arial" w:cs="Arial"/>
          <w:sz w:val="24"/>
          <w:szCs w:val="24"/>
        </w:rPr>
        <w:t>Jacha</w:t>
      </w:r>
      <w:proofErr w:type="spellEnd"/>
      <w:r w:rsidR="00C71E3F" w:rsidRPr="00BB7EEF">
        <w:rPr>
          <w:rFonts w:ascii="Arial" w:hAnsi="Arial" w:cs="Arial"/>
          <w:sz w:val="24"/>
          <w:szCs w:val="24"/>
        </w:rPr>
        <w:t xml:space="preserve"> </w:t>
      </w:r>
      <w:proofErr w:type="spellStart"/>
      <w:r w:rsidR="00C71E3F" w:rsidRPr="00BB7EEF">
        <w:rPr>
          <w:rFonts w:ascii="Arial" w:hAnsi="Arial" w:cs="Arial"/>
          <w:sz w:val="24"/>
          <w:szCs w:val="24"/>
        </w:rPr>
        <w:t>Suyu</w:t>
      </w:r>
      <w:proofErr w:type="spellEnd"/>
      <w:r w:rsidR="00C71E3F" w:rsidRPr="00BB7EEF">
        <w:rPr>
          <w:rFonts w:ascii="Arial" w:hAnsi="Arial" w:cs="Arial"/>
          <w:sz w:val="24"/>
          <w:szCs w:val="24"/>
        </w:rPr>
        <w:t xml:space="preserve"> </w:t>
      </w:r>
      <w:proofErr w:type="spellStart"/>
      <w:r w:rsidR="00C71E3F" w:rsidRPr="00BB7EEF">
        <w:rPr>
          <w:rFonts w:ascii="Arial" w:hAnsi="Arial" w:cs="Arial"/>
          <w:sz w:val="24"/>
          <w:szCs w:val="24"/>
        </w:rPr>
        <w:t>Pakajaqi</w:t>
      </w:r>
      <w:proofErr w:type="spellEnd"/>
      <w:r w:rsidR="00C71E3F" w:rsidRPr="00BB7EEF">
        <w:rPr>
          <w:rFonts w:ascii="Arial" w:hAnsi="Arial" w:cs="Arial"/>
          <w:sz w:val="24"/>
          <w:szCs w:val="24"/>
        </w:rPr>
        <w:t xml:space="preserve"> tiene sobre sus territorios interrumpido por la Colonia, y que bajo su soberanía permite la plena convivencia pacífica.</w:t>
      </w:r>
    </w:p>
    <w:p w:rsidR="00C71E3F" w:rsidRPr="00BB7EEF" w:rsidRDefault="00C71E3F" w:rsidP="00BB7EEF">
      <w:pPr>
        <w:pStyle w:val="Prrafodelista"/>
        <w:spacing w:line="360" w:lineRule="auto"/>
        <w:rPr>
          <w:rFonts w:ascii="Arial" w:hAnsi="Arial" w:cs="Arial"/>
          <w:sz w:val="24"/>
          <w:szCs w:val="24"/>
        </w:rPr>
      </w:pPr>
    </w:p>
    <w:p w:rsidR="00C71E3F" w:rsidRPr="00BB7EEF" w:rsidRDefault="00C71E3F"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 xml:space="preserve">La Nación </w:t>
      </w:r>
      <w:proofErr w:type="spellStart"/>
      <w:r w:rsidRPr="00BB7EEF">
        <w:rPr>
          <w:rFonts w:ascii="Arial" w:hAnsi="Arial" w:cs="Arial"/>
          <w:sz w:val="24"/>
          <w:szCs w:val="24"/>
        </w:rPr>
        <w:t>Jacha</w:t>
      </w:r>
      <w:proofErr w:type="spellEnd"/>
      <w:r w:rsidRPr="00BB7EEF">
        <w:rPr>
          <w:rFonts w:ascii="Arial" w:hAnsi="Arial" w:cs="Arial"/>
          <w:sz w:val="24"/>
          <w:szCs w:val="24"/>
        </w:rPr>
        <w:t xml:space="preserve"> </w:t>
      </w:r>
      <w:proofErr w:type="spellStart"/>
      <w:r w:rsidRPr="00BB7EEF">
        <w:rPr>
          <w:rFonts w:ascii="Arial" w:hAnsi="Arial" w:cs="Arial"/>
          <w:sz w:val="24"/>
          <w:szCs w:val="24"/>
        </w:rPr>
        <w:t>Suyu</w:t>
      </w:r>
      <w:proofErr w:type="spellEnd"/>
      <w:r w:rsidRPr="00BB7EEF">
        <w:rPr>
          <w:rFonts w:ascii="Arial" w:hAnsi="Arial" w:cs="Arial"/>
          <w:sz w:val="24"/>
          <w:szCs w:val="24"/>
        </w:rPr>
        <w:t xml:space="preserve"> </w:t>
      </w:r>
      <w:proofErr w:type="spellStart"/>
      <w:r w:rsidRPr="00BB7EEF">
        <w:rPr>
          <w:rFonts w:ascii="Arial" w:hAnsi="Arial" w:cs="Arial"/>
          <w:sz w:val="24"/>
          <w:szCs w:val="24"/>
        </w:rPr>
        <w:t>Pakajaqi</w:t>
      </w:r>
      <w:proofErr w:type="spellEnd"/>
      <w:r w:rsidRPr="00BB7EEF">
        <w:rPr>
          <w:rFonts w:ascii="Arial" w:hAnsi="Arial" w:cs="Arial"/>
          <w:sz w:val="24"/>
          <w:szCs w:val="24"/>
        </w:rPr>
        <w:t xml:space="preserve"> considera que la Ley de Autonomías ha permitido que en forma injusta se dicten decretos de concesión o arrendamiento de minas en todos los territorios ancestrales y piden su derogatoria y a la vez que exigen la reversión estos recursos a favor de los pueblos naciones originarias, específicamente las minas de </w:t>
      </w:r>
      <w:proofErr w:type="spellStart"/>
      <w:r w:rsidRPr="00BB7EEF">
        <w:rPr>
          <w:rFonts w:ascii="Arial" w:hAnsi="Arial" w:cs="Arial"/>
          <w:sz w:val="24"/>
          <w:szCs w:val="24"/>
        </w:rPr>
        <w:t>Corocoro</w:t>
      </w:r>
      <w:proofErr w:type="spellEnd"/>
      <w:r w:rsidRPr="00BB7EEF">
        <w:rPr>
          <w:rFonts w:ascii="Arial" w:hAnsi="Arial" w:cs="Arial"/>
          <w:sz w:val="24"/>
          <w:szCs w:val="24"/>
        </w:rPr>
        <w:t xml:space="preserve">, </w:t>
      </w:r>
      <w:proofErr w:type="spellStart"/>
      <w:r w:rsidRPr="00BB7EEF">
        <w:rPr>
          <w:rFonts w:ascii="Arial" w:hAnsi="Arial" w:cs="Arial"/>
          <w:sz w:val="24"/>
          <w:szCs w:val="24"/>
        </w:rPr>
        <w:t>Colquiri</w:t>
      </w:r>
      <w:proofErr w:type="spellEnd"/>
      <w:r w:rsidRPr="00BB7EEF">
        <w:rPr>
          <w:rFonts w:ascii="Arial" w:hAnsi="Arial" w:cs="Arial"/>
          <w:sz w:val="24"/>
          <w:szCs w:val="24"/>
        </w:rPr>
        <w:t xml:space="preserve"> y otros proyectos extractivos por ser altamente contaminantes al medio ambiente.</w:t>
      </w:r>
    </w:p>
    <w:p w:rsidR="00C71E3F" w:rsidRPr="00BB7EEF" w:rsidRDefault="00C71E3F" w:rsidP="00BB7EEF">
      <w:pPr>
        <w:pStyle w:val="Prrafodelista"/>
        <w:spacing w:line="360" w:lineRule="auto"/>
        <w:rPr>
          <w:rFonts w:ascii="Arial" w:hAnsi="Arial" w:cs="Arial"/>
          <w:sz w:val="24"/>
          <w:szCs w:val="24"/>
        </w:rPr>
      </w:pPr>
    </w:p>
    <w:p w:rsidR="00C71E3F" w:rsidRPr="00BB7EEF" w:rsidRDefault="00C71E3F"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lastRenderedPageBreak/>
        <w:t xml:space="preserve">Exigen al gobierno el cumplimiento del compromiso suscrito de la asignación de tierras de 110 mil hectáreas ubicado en </w:t>
      </w:r>
      <w:proofErr w:type="spellStart"/>
      <w:r w:rsidRPr="00BB7EEF">
        <w:rPr>
          <w:rFonts w:ascii="Arial" w:hAnsi="Arial" w:cs="Arial"/>
          <w:sz w:val="24"/>
          <w:szCs w:val="24"/>
        </w:rPr>
        <w:t>Amarumayu</w:t>
      </w:r>
      <w:proofErr w:type="spellEnd"/>
      <w:r w:rsidRPr="00BB7EEF">
        <w:rPr>
          <w:rFonts w:ascii="Arial" w:hAnsi="Arial" w:cs="Arial"/>
          <w:sz w:val="24"/>
          <w:szCs w:val="24"/>
        </w:rPr>
        <w:t xml:space="preserve"> de la provincia Abel Iturralde del departamento de La Paz.</w:t>
      </w:r>
    </w:p>
    <w:p w:rsidR="00C71E3F" w:rsidRPr="00BB7EEF" w:rsidRDefault="00C71E3F" w:rsidP="00BB7EEF">
      <w:pPr>
        <w:pStyle w:val="Prrafodelista"/>
        <w:spacing w:line="360" w:lineRule="auto"/>
        <w:rPr>
          <w:rFonts w:ascii="Arial" w:hAnsi="Arial" w:cs="Arial"/>
          <w:sz w:val="24"/>
          <w:szCs w:val="24"/>
        </w:rPr>
      </w:pPr>
    </w:p>
    <w:p w:rsidR="00C71E3F" w:rsidRPr="00BB7EEF" w:rsidRDefault="00795D6F"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Estos acuerdos fueron adoptados en la sala de sesiones de la Radio San Gabriel en el Alto La Paz, el 04 de octubre del 2012 en la magna asamblea que bajo la estruc</w:t>
      </w:r>
      <w:r w:rsidR="0089533A" w:rsidRPr="00BB7EEF">
        <w:rPr>
          <w:rFonts w:ascii="Arial" w:hAnsi="Arial" w:cs="Arial"/>
          <w:sz w:val="24"/>
          <w:szCs w:val="24"/>
        </w:rPr>
        <w:t>tura</w:t>
      </w:r>
      <w:r w:rsidRPr="00BB7EEF">
        <w:rPr>
          <w:rFonts w:ascii="Arial" w:hAnsi="Arial" w:cs="Arial"/>
          <w:sz w:val="24"/>
          <w:szCs w:val="24"/>
        </w:rPr>
        <w:t xml:space="preserve"> del </w:t>
      </w:r>
      <w:proofErr w:type="spellStart"/>
      <w:r w:rsidRPr="00BB7EEF">
        <w:rPr>
          <w:rFonts w:ascii="Arial" w:hAnsi="Arial" w:cs="Arial"/>
          <w:sz w:val="24"/>
          <w:szCs w:val="24"/>
        </w:rPr>
        <w:t>Qollana</w:t>
      </w:r>
      <w:proofErr w:type="spellEnd"/>
      <w:r w:rsidRPr="00BB7EEF">
        <w:rPr>
          <w:rFonts w:ascii="Arial" w:hAnsi="Arial" w:cs="Arial"/>
          <w:sz w:val="24"/>
          <w:szCs w:val="24"/>
        </w:rPr>
        <w:t xml:space="preserve"> </w:t>
      </w:r>
      <w:proofErr w:type="spellStart"/>
      <w:r w:rsidR="0089533A" w:rsidRPr="00BB7EEF">
        <w:rPr>
          <w:rFonts w:ascii="Arial" w:hAnsi="Arial" w:cs="Arial"/>
          <w:sz w:val="24"/>
          <w:szCs w:val="24"/>
        </w:rPr>
        <w:t>S</w:t>
      </w:r>
      <w:r w:rsidRPr="00BB7EEF">
        <w:rPr>
          <w:rFonts w:ascii="Arial" w:hAnsi="Arial" w:cs="Arial"/>
          <w:sz w:val="24"/>
          <w:szCs w:val="24"/>
        </w:rPr>
        <w:t>uyu</w:t>
      </w:r>
      <w:proofErr w:type="spellEnd"/>
      <w:r w:rsidRPr="00BB7EEF">
        <w:rPr>
          <w:rFonts w:ascii="Arial" w:hAnsi="Arial" w:cs="Arial"/>
          <w:sz w:val="24"/>
          <w:szCs w:val="24"/>
        </w:rPr>
        <w:t xml:space="preserve"> </w:t>
      </w:r>
      <w:proofErr w:type="spellStart"/>
      <w:r w:rsidRPr="00BB7EEF">
        <w:rPr>
          <w:rFonts w:ascii="Arial" w:hAnsi="Arial" w:cs="Arial"/>
          <w:sz w:val="24"/>
          <w:szCs w:val="24"/>
        </w:rPr>
        <w:t>Aymara</w:t>
      </w:r>
      <w:proofErr w:type="spellEnd"/>
      <w:r w:rsidR="0089533A" w:rsidRPr="00BB7EEF">
        <w:rPr>
          <w:rFonts w:ascii="Arial" w:hAnsi="Arial" w:cs="Arial"/>
          <w:sz w:val="24"/>
          <w:szCs w:val="24"/>
        </w:rPr>
        <w:t xml:space="preserve"> su nombre originario es “</w:t>
      </w:r>
      <w:proofErr w:type="spellStart"/>
      <w:r w:rsidR="0089533A" w:rsidRPr="00BB7EEF">
        <w:rPr>
          <w:rFonts w:ascii="Arial" w:hAnsi="Arial" w:cs="Arial"/>
          <w:sz w:val="24"/>
          <w:szCs w:val="24"/>
        </w:rPr>
        <w:t>Nairir</w:t>
      </w:r>
      <w:proofErr w:type="spellEnd"/>
      <w:r w:rsidR="0089533A" w:rsidRPr="00BB7EEF">
        <w:rPr>
          <w:rFonts w:ascii="Arial" w:hAnsi="Arial" w:cs="Arial"/>
          <w:sz w:val="24"/>
          <w:szCs w:val="24"/>
        </w:rPr>
        <w:t xml:space="preserve"> </w:t>
      </w:r>
      <w:proofErr w:type="spellStart"/>
      <w:r w:rsidR="0089533A" w:rsidRPr="00BB7EEF">
        <w:rPr>
          <w:rFonts w:ascii="Arial" w:hAnsi="Arial" w:cs="Arial"/>
          <w:sz w:val="24"/>
          <w:szCs w:val="24"/>
        </w:rPr>
        <w:t>Jacha</w:t>
      </w:r>
      <w:proofErr w:type="spellEnd"/>
      <w:r w:rsidR="0089533A" w:rsidRPr="00BB7EEF">
        <w:rPr>
          <w:rFonts w:ascii="Arial" w:hAnsi="Arial" w:cs="Arial"/>
          <w:sz w:val="24"/>
          <w:szCs w:val="24"/>
        </w:rPr>
        <w:t xml:space="preserve"> </w:t>
      </w:r>
      <w:proofErr w:type="spellStart"/>
      <w:r w:rsidR="0089533A" w:rsidRPr="00BB7EEF">
        <w:rPr>
          <w:rFonts w:ascii="Arial" w:hAnsi="Arial" w:cs="Arial"/>
          <w:sz w:val="24"/>
          <w:szCs w:val="24"/>
        </w:rPr>
        <w:t>Ulaka</w:t>
      </w:r>
      <w:proofErr w:type="spellEnd"/>
      <w:r w:rsidR="0089533A" w:rsidRPr="00BB7EEF">
        <w:rPr>
          <w:rFonts w:ascii="Arial" w:hAnsi="Arial" w:cs="Arial"/>
          <w:sz w:val="24"/>
          <w:szCs w:val="24"/>
        </w:rPr>
        <w:t xml:space="preserve"> </w:t>
      </w:r>
      <w:proofErr w:type="spellStart"/>
      <w:r w:rsidR="0089533A" w:rsidRPr="00BB7EEF">
        <w:rPr>
          <w:rFonts w:ascii="Arial" w:hAnsi="Arial" w:cs="Arial"/>
          <w:sz w:val="24"/>
          <w:szCs w:val="24"/>
        </w:rPr>
        <w:t>Paka</w:t>
      </w:r>
      <w:proofErr w:type="spellEnd"/>
      <w:r w:rsidR="0089533A" w:rsidRPr="00BB7EEF">
        <w:rPr>
          <w:rFonts w:ascii="Arial" w:hAnsi="Arial" w:cs="Arial"/>
          <w:sz w:val="24"/>
          <w:szCs w:val="24"/>
        </w:rPr>
        <w:t xml:space="preserve"> </w:t>
      </w:r>
      <w:proofErr w:type="spellStart"/>
      <w:r w:rsidR="0089533A" w:rsidRPr="00BB7EEF">
        <w:rPr>
          <w:rFonts w:ascii="Arial" w:hAnsi="Arial" w:cs="Arial"/>
          <w:sz w:val="24"/>
          <w:szCs w:val="24"/>
        </w:rPr>
        <w:t>Jaqi</w:t>
      </w:r>
      <w:proofErr w:type="spellEnd"/>
      <w:r w:rsidR="0089533A" w:rsidRPr="00BB7EEF">
        <w:rPr>
          <w:rFonts w:ascii="Arial" w:hAnsi="Arial" w:cs="Arial"/>
          <w:sz w:val="24"/>
          <w:szCs w:val="24"/>
        </w:rPr>
        <w:t xml:space="preserve"> </w:t>
      </w:r>
      <w:proofErr w:type="spellStart"/>
      <w:r w:rsidR="0089533A" w:rsidRPr="00BB7EEF">
        <w:rPr>
          <w:rFonts w:ascii="Arial" w:hAnsi="Arial" w:cs="Arial"/>
          <w:sz w:val="24"/>
          <w:szCs w:val="24"/>
        </w:rPr>
        <w:t>Uraqipjata</w:t>
      </w:r>
      <w:proofErr w:type="spellEnd"/>
      <w:r w:rsidR="0089533A" w:rsidRPr="00BB7EEF">
        <w:rPr>
          <w:rFonts w:ascii="Arial" w:hAnsi="Arial" w:cs="Arial"/>
          <w:sz w:val="24"/>
          <w:szCs w:val="24"/>
        </w:rPr>
        <w:t>”.</w:t>
      </w:r>
    </w:p>
    <w:p w:rsidR="0089533A" w:rsidRPr="00BB7EEF" w:rsidRDefault="0089533A" w:rsidP="00BB7EEF">
      <w:pPr>
        <w:pStyle w:val="Prrafodelista"/>
        <w:spacing w:line="360" w:lineRule="auto"/>
        <w:rPr>
          <w:rFonts w:ascii="Arial" w:hAnsi="Arial" w:cs="Arial"/>
          <w:sz w:val="24"/>
          <w:szCs w:val="24"/>
        </w:rPr>
      </w:pPr>
    </w:p>
    <w:p w:rsidR="0089533A" w:rsidRPr="00BB7EEF" w:rsidRDefault="0089533A"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 xml:space="preserve">Con fecha 11 de noviembre al 09 de diciembre del año 2012 La Nación </w:t>
      </w:r>
      <w:proofErr w:type="spellStart"/>
      <w:r w:rsidRPr="00BB7EEF">
        <w:rPr>
          <w:rFonts w:ascii="Arial" w:hAnsi="Arial" w:cs="Arial"/>
          <w:sz w:val="24"/>
          <w:szCs w:val="24"/>
        </w:rPr>
        <w:t>Jacha</w:t>
      </w:r>
      <w:proofErr w:type="spellEnd"/>
      <w:r w:rsidRPr="00BB7EEF">
        <w:rPr>
          <w:rFonts w:ascii="Arial" w:hAnsi="Arial" w:cs="Arial"/>
          <w:sz w:val="24"/>
          <w:szCs w:val="24"/>
        </w:rPr>
        <w:t xml:space="preserve"> </w:t>
      </w:r>
      <w:proofErr w:type="spellStart"/>
      <w:r w:rsidRPr="00BB7EEF">
        <w:rPr>
          <w:rFonts w:ascii="Arial" w:hAnsi="Arial" w:cs="Arial"/>
          <w:sz w:val="24"/>
          <w:szCs w:val="24"/>
        </w:rPr>
        <w:t>Suyu</w:t>
      </w:r>
      <w:proofErr w:type="spellEnd"/>
      <w:r w:rsidRPr="00BB7EEF">
        <w:rPr>
          <w:rFonts w:ascii="Arial" w:hAnsi="Arial" w:cs="Arial"/>
          <w:sz w:val="24"/>
          <w:szCs w:val="24"/>
        </w:rPr>
        <w:t xml:space="preserve"> </w:t>
      </w:r>
      <w:proofErr w:type="spellStart"/>
      <w:r w:rsidRPr="00BB7EEF">
        <w:rPr>
          <w:rFonts w:ascii="Arial" w:hAnsi="Arial" w:cs="Arial"/>
          <w:sz w:val="24"/>
          <w:szCs w:val="24"/>
        </w:rPr>
        <w:t>Pakajaqi</w:t>
      </w:r>
      <w:proofErr w:type="spellEnd"/>
      <w:r w:rsidRPr="00BB7EEF">
        <w:rPr>
          <w:rFonts w:ascii="Arial" w:hAnsi="Arial" w:cs="Arial"/>
          <w:sz w:val="24"/>
          <w:szCs w:val="24"/>
        </w:rPr>
        <w:t>, levantó un acta de constatación de su posesión territorial permanente y su relación son sus tierras, recursos naturales y aguas, reafirmándose en su posesión milenaria de sus territorios anteriores a la Colonia y la República.</w:t>
      </w:r>
    </w:p>
    <w:p w:rsidR="0089533A" w:rsidRPr="00BB7EEF" w:rsidRDefault="0089533A" w:rsidP="00BB7EEF">
      <w:pPr>
        <w:pStyle w:val="Prrafodelista"/>
        <w:spacing w:line="360" w:lineRule="auto"/>
        <w:rPr>
          <w:rFonts w:ascii="Arial" w:hAnsi="Arial" w:cs="Arial"/>
          <w:sz w:val="24"/>
          <w:szCs w:val="24"/>
        </w:rPr>
      </w:pPr>
    </w:p>
    <w:p w:rsidR="002B3B3E" w:rsidRPr="00BB7EEF" w:rsidRDefault="0089533A"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Con estos actos cuestionan la ley marco de autonomías y descentralización administrativa 031 promulgada el 01 de julio del año 2010, mediante la cual se pretende implementar un sistema de autonomías que viola el Art. 27 del Pacto de Derechos Civiles y Políticos.</w:t>
      </w:r>
    </w:p>
    <w:p w:rsidR="002B3B3E" w:rsidRPr="00BB7EEF" w:rsidRDefault="002B3B3E" w:rsidP="00BB7EEF">
      <w:pPr>
        <w:spacing w:line="360" w:lineRule="auto"/>
        <w:jc w:val="both"/>
        <w:rPr>
          <w:rFonts w:ascii="Arial" w:hAnsi="Arial" w:cs="Arial"/>
          <w:b/>
          <w:sz w:val="24"/>
          <w:szCs w:val="24"/>
        </w:rPr>
      </w:pPr>
      <w:r w:rsidRPr="00BB7EEF">
        <w:rPr>
          <w:rFonts w:ascii="Arial" w:hAnsi="Arial" w:cs="Arial"/>
          <w:b/>
          <w:sz w:val="24"/>
          <w:szCs w:val="24"/>
        </w:rPr>
        <w:t>SOBRE EL NUEVO RÉGIMEN TERRITORIAL PARA LOS PUEBLOS Y NACIONES INDÍGENAS</w:t>
      </w:r>
    </w:p>
    <w:p w:rsidR="002B3B3E" w:rsidRPr="00BB7EEF" w:rsidRDefault="002B3B3E"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El Estado Plurinacional de Bolivia, conformado sobre los pueblos y naciones originarias, y en concordancia con el dictamen del Comité de Derechos Humanos N°1457/2006/</w:t>
      </w:r>
      <w:proofErr w:type="spellStart"/>
      <w:r w:rsidRPr="00BB7EEF">
        <w:rPr>
          <w:rFonts w:ascii="Arial" w:hAnsi="Arial" w:cs="Arial"/>
          <w:sz w:val="24"/>
          <w:szCs w:val="24"/>
        </w:rPr>
        <w:t>CCPR</w:t>
      </w:r>
      <w:proofErr w:type="spellEnd"/>
      <w:r w:rsidRPr="00BB7EEF">
        <w:rPr>
          <w:rFonts w:ascii="Arial" w:hAnsi="Arial" w:cs="Arial"/>
          <w:sz w:val="24"/>
          <w:szCs w:val="24"/>
        </w:rPr>
        <w:t>, para hacer honor a su auto calificación de Estado Plurinacional, requiere que los territorios ancestrales de los pueblos y naciones indígenas, sean devueltos para que estén bajo la soberanía plena de los pueblos indígenas porque el derecho que tiene el Estado de planificar su propio desarrollo, termina donde comienza el derecho de los pueblos indígenas a vivir y desarrollar su economía conforme a sus patrones culturales.</w:t>
      </w:r>
    </w:p>
    <w:p w:rsidR="002B3B3E" w:rsidRPr="00BB7EEF" w:rsidRDefault="002B3B3E" w:rsidP="00BB7EEF">
      <w:pPr>
        <w:pStyle w:val="Prrafodelista"/>
        <w:spacing w:line="360" w:lineRule="auto"/>
        <w:jc w:val="both"/>
        <w:rPr>
          <w:rFonts w:ascii="Arial" w:hAnsi="Arial" w:cs="Arial"/>
          <w:sz w:val="24"/>
          <w:szCs w:val="24"/>
        </w:rPr>
      </w:pPr>
    </w:p>
    <w:p w:rsidR="002B3B3E" w:rsidRPr="00BB7EEF" w:rsidRDefault="002B3B3E"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lastRenderedPageBreak/>
        <w:t xml:space="preserve">La Ley interna actual sobre esta materia debe ser superada y reemplazada por las normas pertinentes establecidas en el convenio N°169 de la OIT, declaración de los Derechos de los Pueblos Indígenas, y el dictamen </w:t>
      </w:r>
      <w:proofErr w:type="spellStart"/>
      <w:r w:rsidRPr="00BB7EEF">
        <w:rPr>
          <w:rFonts w:ascii="Arial" w:hAnsi="Arial" w:cs="Arial"/>
          <w:sz w:val="24"/>
          <w:szCs w:val="24"/>
        </w:rPr>
        <w:t>CCPR</w:t>
      </w:r>
      <w:proofErr w:type="spellEnd"/>
      <w:r w:rsidRPr="00BB7EEF">
        <w:rPr>
          <w:rFonts w:ascii="Arial" w:hAnsi="Arial" w:cs="Arial"/>
          <w:sz w:val="24"/>
          <w:szCs w:val="24"/>
        </w:rPr>
        <w:t xml:space="preserve"> precitado; toda vez que el modelo de trámite sobre tierras y territorios que ha sido observado por el comité de Derechos Humanos es engorroso e imposible de transitar por los pueblos indígenas y mucho menos arribar a la plena libre determinación sobre sus territorios ancestrales.</w:t>
      </w:r>
    </w:p>
    <w:p w:rsidR="002B3B3E" w:rsidRPr="00BB7EEF" w:rsidRDefault="002B3B3E" w:rsidP="00BB7EEF">
      <w:pPr>
        <w:pStyle w:val="Prrafodelista"/>
        <w:spacing w:line="360" w:lineRule="auto"/>
        <w:rPr>
          <w:rFonts w:ascii="Arial" w:hAnsi="Arial" w:cs="Arial"/>
          <w:sz w:val="24"/>
          <w:szCs w:val="24"/>
        </w:rPr>
      </w:pPr>
    </w:p>
    <w:p w:rsidR="002B3B3E" w:rsidRPr="00BB7EEF" w:rsidRDefault="002B3B3E"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 xml:space="preserve">Son los pueblos indígenas enumerados en su constitución los que son titulares de este derecho a sus tierras y territorios sin restricciones ni impedimentos ni trámites engorrosos para reivindicar sus territorios, que en todo caso al haberse declarado falsa, la doctrina del descubrimiento por resolución aprobada por el </w:t>
      </w:r>
      <w:proofErr w:type="spellStart"/>
      <w:r w:rsidRPr="00BB7EEF">
        <w:rPr>
          <w:rFonts w:ascii="Arial" w:hAnsi="Arial" w:cs="Arial"/>
          <w:sz w:val="24"/>
          <w:szCs w:val="24"/>
        </w:rPr>
        <w:t>ECOSOC</w:t>
      </w:r>
      <w:proofErr w:type="spellEnd"/>
      <w:r w:rsidRPr="00BB7EEF">
        <w:rPr>
          <w:rFonts w:ascii="Arial" w:hAnsi="Arial" w:cs="Arial"/>
          <w:sz w:val="24"/>
          <w:szCs w:val="24"/>
        </w:rPr>
        <w:t xml:space="preserve">, dentro de un estado plurinacional, las naciones deben tener la garantía de restablecer en sus territorios ancestrales sus formas de vida cultural, social y económica; proceso que a decir que la Nación </w:t>
      </w:r>
      <w:proofErr w:type="spellStart"/>
      <w:r w:rsidRPr="00BB7EEF">
        <w:rPr>
          <w:rFonts w:ascii="Arial" w:hAnsi="Arial" w:cs="Arial"/>
          <w:sz w:val="24"/>
          <w:szCs w:val="24"/>
        </w:rPr>
        <w:t>Jacha</w:t>
      </w:r>
      <w:proofErr w:type="spellEnd"/>
      <w:r w:rsidRPr="00BB7EEF">
        <w:rPr>
          <w:rFonts w:ascii="Arial" w:hAnsi="Arial" w:cs="Arial"/>
          <w:sz w:val="24"/>
          <w:szCs w:val="24"/>
        </w:rPr>
        <w:t xml:space="preserve"> </w:t>
      </w:r>
      <w:proofErr w:type="spellStart"/>
      <w:r w:rsidRPr="00BB7EEF">
        <w:rPr>
          <w:rFonts w:ascii="Arial" w:hAnsi="Arial" w:cs="Arial"/>
          <w:sz w:val="24"/>
          <w:szCs w:val="24"/>
        </w:rPr>
        <w:t>Suyu</w:t>
      </w:r>
      <w:proofErr w:type="spellEnd"/>
      <w:r w:rsidRPr="00BB7EEF">
        <w:rPr>
          <w:rFonts w:ascii="Arial" w:hAnsi="Arial" w:cs="Arial"/>
          <w:sz w:val="24"/>
          <w:szCs w:val="24"/>
        </w:rPr>
        <w:t xml:space="preserve"> </w:t>
      </w:r>
      <w:proofErr w:type="spellStart"/>
      <w:r w:rsidRPr="00BB7EEF">
        <w:rPr>
          <w:rFonts w:ascii="Arial" w:hAnsi="Arial" w:cs="Arial"/>
          <w:sz w:val="24"/>
          <w:szCs w:val="24"/>
        </w:rPr>
        <w:t>Pakajaqi</w:t>
      </w:r>
      <w:proofErr w:type="spellEnd"/>
      <w:r w:rsidRPr="00BB7EEF">
        <w:rPr>
          <w:rFonts w:ascii="Arial" w:hAnsi="Arial" w:cs="Arial"/>
          <w:sz w:val="24"/>
          <w:szCs w:val="24"/>
        </w:rPr>
        <w:t xml:space="preserve"> y su consejo de Amautas y el Parlamento del Pueblo </w:t>
      </w:r>
      <w:proofErr w:type="spellStart"/>
      <w:r w:rsidRPr="00BB7EEF">
        <w:rPr>
          <w:rFonts w:ascii="Arial" w:hAnsi="Arial" w:cs="Arial"/>
          <w:sz w:val="24"/>
          <w:szCs w:val="24"/>
        </w:rPr>
        <w:t>Qollana</w:t>
      </w:r>
      <w:proofErr w:type="spellEnd"/>
      <w:r w:rsidRPr="00BB7EEF">
        <w:rPr>
          <w:rFonts w:ascii="Arial" w:hAnsi="Arial" w:cs="Arial"/>
          <w:sz w:val="24"/>
          <w:szCs w:val="24"/>
        </w:rPr>
        <w:t xml:space="preserve"> </w:t>
      </w:r>
      <w:proofErr w:type="spellStart"/>
      <w:r w:rsidRPr="00BB7EEF">
        <w:rPr>
          <w:rFonts w:ascii="Arial" w:hAnsi="Arial" w:cs="Arial"/>
          <w:sz w:val="24"/>
          <w:szCs w:val="24"/>
        </w:rPr>
        <w:t>Aymara</w:t>
      </w:r>
      <w:proofErr w:type="spellEnd"/>
      <w:r w:rsidRPr="00BB7EEF">
        <w:rPr>
          <w:rFonts w:ascii="Arial" w:hAnsi="Arial" w:cs="Arial"/>
          <w:sz w:val="24"/>
          <w:szCs w:val="24"/>
        </w:rPr>
        <w:t xml:space="preserve"> </w:t>
      </w:r>
      <w:proofErr w:type="spellStart"/>
      <w:r w:rsidRPr="00BB7EEF">
        <w:rPr>
          <w:rFonts w:ascii="Arial" w:hAnsi="Arial" w:cs="Arial"/>
          <w:sz w:val="24"/>
          <w:szCs w:val="24"/>
        </w:rPr>
        <w:t>PPQA</w:t>
      </w:r>
      <w:proofErr w:type="spellEnd"/>
      <w:r w:rsidRPr="00BB7EEF">
        <w:rPr>
          <w:rFonts w:ascii="Arial" w:hAnsi="Arial" w:cs="Arial"/>
          <w:sz w:val="24"/>
          <w:szCs w:val="24"/>
        </w:rPr>
        <w:t>, no existe la voluntad política de cumplir con este cometido; mientras tanto los territorios ancestrales siguen siendo víctimas de despojos y de usurpación de sus recursos naturales, tierras, guas y recursos biológicos.</w:t>
      </w:r>
    </w:p>
    <w:p w:rsidR="00BB7EEF" w:rsidRPr="00BB7EEF" w:rsidRDefault="00BB7EEF" w:rsidP="00BB7EEF">
      <w:pPr>
        <w:spacing w:line="360" w:lineRule="auto"/>
        <w:ind w:left="360"/>
        <w:rPr>
          <w:rFonts w:ascii="Arial" w:hAnsi="Arial" w:cs="Arial"/>
          <w:b/>
          <w:sz w:val="24"/>
          <w:szCs w:val="24"/>
        </w:rPr>
      </w:pPr>
      <w:r w:rsidRPr="00BB7EEF">
        <w:rPr>
          <w:rFonts w:ascii="Arial" w:hAnsi="Arial" w:cs="Arial"/>
          <w:b/>
          <w:sz w:val="24"/>
          <w:szCs w:val="24"/>
        </w:rPr>
        <w:t>SOBRE EL DERECHO A LA CONSULTA PREVIA</w:t>
      </w:r>
    </w:p>
    <w:p w:rsidR="00BB7EEF" w:rsidRDefault="00BB7EEF" w:rsidP="00BB7EEF">
      <w:pPr>
        <w:pStyle w:val="Prrafodelista"/>
        <w:numPr>
          <w:ilvl w:val="0"/>
          <w:numId w:val="1"/>
        </w:numPr>
        <w:spacing w:line="360" w:lineRule="auto"/>
        <w:jc w:val="both"/>
        <w:rPr>
          <w:rFonts w:ascii="Arial" w:hAnsi="Arial" w:cs="Arial"/>
          <w:sz w:val="24"/>
          <w:szCs w:val="24"/>
        </w:rPr>
      </w:pPr>
      <w:r w:rsidRPr="00BB7EEF">
        <w:rPr>
          <w:rFonts w:ascii="Arial" w:hAnsi="Arial" w:cs="Arial"/>
          <w:sz w:val="24"/>
          <w:szCs w:val="24"/>
        </w:rPr>
        <w:t>El dictamen del Comité de Derechos Humanos 1457/2006/</w:t>
      </w:r>
      <w:proofErr w:type="spellStart"/>
      <w:r w:rsidRPr="00BB7EEF">
        <w:rPr>
          <w:rFonts w:ascii="Arial" w:hAnsi="Arial" w:cs="Arial"/>
          <w:sz w:val="24"/>
          <w:szCs w:val="24"/>
        </w:rPr>
        <w:t>CCPR</w:t>
      </w:r>
      <w:proofErr w:type="spellEnd"/>
      <w:r w:rsidRPr="00BB7EEF">
        <w:rPr>
          <w:rFonts w:ascii="Arial" w:hAnsi="Arial" w:cs="Arial"/>
          <w:sz w:val="24"/>
          <w:szCs w:val="24"/>
        </w:rPr>
        <w:t xml:space="preserve">, estableció que no basta la mera consulta sino que el requisito es el de obtener consentimiento de los pueblos indígenas afectados por algún proyecto de desarrollo o extractivo, incluido el derecho a oponerse. En esta materia el Comité de </w:t>
      </w:r>
      <w:proofErr w:type="spellStart"/>
      <w:r w:rsidRPr="00BB7EEF">
        <w:rPr>
          <w:rFonts w:ascii="Arial" w:hAnsi="Arial" w:cs="Arial"/>
          <w:sz w:val="24"/>
          <w:szCs w:val="24"/>
        </w:rPr>
        <w:t>Dderechos</w:t>
      </w:r>
      <w:proofErr w:type="spellEnd"/>
      <w:r w:rsidRPr="00BB7EEF">
        <w:rPr>
          <w:rFonts w:ascii="Arial" w:hAnsi="Arial" w:cs="Arial"/>
          <w:sz w:val="24"/>
          <w:szCs w:val="24"/>
        </w:rPr>
        <w:t xml:space="preserve"> Humanos le ha pedido al Estado parte que informe; pero la verificación en terreno y las vivencias de los pueblos y naciones originarias, arroja un resultado negativo que el Estado está en la obligación de superar.</w:t>
      </w:r>
    </w:p>
    <w:p w:rsidR="00BB7EEF" w:rsidRPr="00BB7EEF" w:rsidRDefault="00BB7EEF" w:rsidP="00BB7EEF">
      <w:pPr>
        <w:spacing w:line="360" w:lineRule="auto"/>
        <w:ind w:left="360"/>
        <w:jc w:val="right"/>
        <w:rPr>
          <w:rFonts w:ascii="Arial" w:hAnsi="Arial" w:cs="Arial"/>
          <w:sz w:val="24"/>
          <w:szCs w:val="24"/>
        </w:rPr>
      </w:pPr>
      <w:r>
        <w:rPr>
          <w:rFonts w:ascii="Arial" w:hAnsi="Arial" w:cs="Arial"/>
          <w:sz w:val="24"/>
          <w:szCs w:val="24"/>
        </w:rPr>
        <w:t>Tripartito, 09 de setiembre 2013</w:t>
      </w:r>
      <w:bookmarkStart w:id="0" w:name="_GoBack"/>
      <w:bookmarkEnd w:id="0"/>
    </w:p>
    <w:sectPr w:rsidR="00BB7EEF" w:rsidRPr="00BB7EEF" w:rsidSect="009B54ED">
      <w:headerReference w:type="default" r:id="rId9"/>
      <w:headerReference w:type="first" r:id="rId10"/>
      <w:pgSz w:w="11907" w:h="16839" w:code="9"/>
      <w:pgMar w:top="1417" w:right="1701"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6AA" w:rsidRDefault="009A16AA" w:rsidP="003C5BD1">
      <w:pPr>
        <w:spacing w:after="0" w:line="240" w:lineRule="auto"/>
      </w:pPr>
      <w:r>
        <w:separator/>
      </w:r>
    </w:p>
  </w:endnote>
  <w:endnote w:type="continuationSeparator" w:id="0">
    <w:p w:rsidR="009A16AA" w:rsidRDefault="009A16AA" w:rsidP="003C5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6AA" w:rsidRDefault="009A16AA" w:rsidP="003C5BD1">
      <w:pPr>
        <w:spacing w:after="0" w:line="240" w:lineRule="auto"/>
      </w:pPr>
      <w:r>
        <w:separator/>
      </w:r>
    </w:p>
  </w:footnote>
  <w:footnote w:type="continuationSeparator" w:id="0">
    <w:p w:rsidR="009A16AA" w:rsidRDefault="009A16AA" w:rsidP="003C5B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BD1" w:rsidRDefault="003C5BD1" w:rsidP="003C5BD1">
    <w:pPr>
      <w:pStyle w:val="Encabezado"/>
      <w:rPr>
        <w:lang w:val="en-US"/>
      </w:rPr>
    </w:pPr>
  </w:p>
  <w:p w:rsidR="003C5BD1" w:rsidRPr="003C5BD1" w:rsidRDefault="003C5BD1">
    <w:pPr>
      <w:pStyle w:val="Encabezad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850" w:rsidRPr="00176D6B" w:rsidRDefault="00333850" w:rsidP="00333850">
    <w:pPr>
      <w:spacing w:after="0" w:line="240" w:lineRule="auto"/>
      <w:jc w:val="center"/>
      <w:rPr>
        <w:rFonts w:ascii="Times New Roman" w:eastAsia="Times New Roman" w:hAnsi="Times New Roman" w:cs="Times New Roman"/>
        <w:b/>
        <w:bCs/>
        <w:noProof/>
        <w:color w:val="000000"/>
        <w:sz w:val="56"/>
        <w:szCs w:val="36"/>
        <w:lang w:val="es-ES" w:eastAsia="es-ES"/>
      </w:rPr>
    </w:pPr>
    <w:r w:rsidRPr="00176D6B">
      <w:rPr>
        <w:rFonts w:ascii="Times New Roman" w:eastAsia="Times New Roman" w:hAnsi="Times New Roman" w:cs="Times New Roman"/>
        <w:b/>
        <w:bCs/>
        <w:noProof/>
        <w:color w:val="000000"/>
        <w:sz w:val="56"/>
        <w:szCs w:val="36"/>
        <w:lang w:val="es-ES" w:eastAsia="es-ES"/>
      </w:rPr>
      <w:t>“CAPAJ”</w:t>
    </w:r>
  </w:p>
  <w:p w:rsidR="00333850" w:rsidRPr="002D2EAA" w:rsidRDefault="00333850" w:rsidP="00333850">
    <w:pPr>
      <w:spacing w:after="0" w:line="240" w:lineRule="auto"/>
      <w:jc w:val="center"/>
      <w:rPr>
        <w:rFonts w:ascii="Times New Roman" w:eastAsia="Times New Roman" w:hAnsi="Times New Roman" w:cs="Times New Roman"/>
        <w:b/>
        <w:bCs/>
        <w:noProof/>
        <w:color w:val="000000"/>
        <w:sz w:val="24"/>
        <w:szCs w:val="24"/>
        <w:lang w:val="es-ES" w:eastAsia="es-ES"/>
      </w:rPr>
    </w:pPr>
    <w:r w:rsidRPr="002D2EAA">
      <w:rPr>
        <w:rFonts w:ascii="Times New Roman" w:eastAsia="Times New Roman" w:hAnsi="Times New Roman" w:cs="Times New Roman"/>
        <w:b/>
        <w:bCs/>
        <w:noProof/>
        <w:color w:val="000000"/>
        <w:sz w:val="24"/>
        <w:szCs w:val="24"/>
        <w:lang w:val="es-ES" w:eastAsia="es-ES"/>
      </w:rPr>
      <w:t>COMISION JURIDICA PARA EL AUTODESARROLLO DE LOS PUEBLOS ORIGINARIOS ANDINOS</w:t>
    </w:r>
  </w:p>
  <w:p w:rsidR="00333850" w:rsidRPr="002D2EAA" w:rsidRDefault="00333850" w:rsidP="00333850">
    <w:pPr>
      <w:pBdr>
        <w:bottom w:val="single" w:sz="6" w:space="1" w:color="auto"/>
      </w:pBdr>
      <w:spacing w:after="0" w:line="240" w:lineRule="auto"/>
      <w:jc w:val="center"/>
      <w:rPr>
        <w:rFonts w:ascii="Times New Roman" w:eastAsia="Times New Roman" w:hAnsi="Times New Roman" w:cs="Times New Roman"/>
        <w:b/>
        <w:bCs/>
        <w:noProof/>
        <w:color w:val="000000"/>
        <w:sz w:val="24"/>
        <w:szCs w:val="24"/>
        <w:lang w:val="es-ES" w:eastAsia="es-ES"/>
      </w:rPr>
    </w:pPr>
    <w:r w:rsidRPr="002D2EAA">
      <w:rPr>
        <w:rFonts w:ascii="Times New Roman" w:eastAsia="Times New Roman" w:hAnsi="Times New Roman" w:cs="Times New Roman"/>
        <w:b/>
        <w:bCs/>
        <w:noProof/>
        <w:color w:val="000000"/>
        <w:sz w:val="24"/>
        <w:szCs w:val="24"/>
        <w:lang w:val="es-ES" w:eastAsia="es-ES"/>
      </w:rPr>
      <w:t>Entidad Consultiva Especial del Consejo Económico y Social de Naciones Unidas</w:t>
    </w:r>
  </w:p>
  <w:p w:rsidR="00333850" w:rsidRPr="002D2EAA" w:rsidRDefault="00333850" w:rsidP="00333850">
    <w:pPr>
      <w:spacing w:after="0" w:line="240" w:lineRule="auto"/>
      <w:jc w:val="center"/>
      <w:rPr>
        <w:rFonts w:ascii="Times New Roman" w:eastAsia="Times New Roman" w:hAnsi="Times New Roman" w:cs="Times New Roman"/>
        <w:b/>
        <w:bCs/>
        <w:noProof/>
        <w:color w:val="000000"/>
        <w:sz w:val="20"/>
        <w:szCs w:val="20"/>
        <w:lang w:val="fr-FR" w:eastAsia="es-ES"/>
      </w:rPr>
    </w:pPr>
    <w:r w:rsidRPr="002D2EAA">
      <w:rPr>
        <w:rFonts w:ascii="Times New Roman" w:eastAsia="Times New Roman" w:hAnsi="Times New Roman" w:cs="Times New Roman"/>
        <w:b/>
        <w:bCs/>
        <w:noProof/>
        <w:color w:val="000000"/>
        <w:sz w:val="20"/>
        <w:szCs w:val="20"/>
        <w:lang w:val="es-ES" w:eastAsia="es-ES"/>
      </w:rPr>
      <w:t xml:space="preserve">Av. 2 de Mayo 644 Tacna,  PERU     Telf.  </w:t>
    </w:r>
    <w:r w:rsidRPr="002D2EAA">
      <w:rPr>
        <w:rFonts w:ascii="Times New Roman" w:eastAsia="Times New Roman" w:hAnsi="Times New Roman" w:cs="Times New Roman"/>
        <w:b/>
        <w:bCs/>
        <w:noProof/>
        <w:color w:val="000000"/>
        <w:sz w:val="20"/>
        <w:szCs w:val="20"/>
        <w:lang w:val="fr-FR" w:eastAsia="es-ES"/>
      </w:rPr>
      <w:t xml:space="preserve">51 52-242601 </w:t>
    </w:r>
    <w:r w:rsidRPr="002D2EAA">
      <w:rPr>
        <w:rFonts w:ascii="Times New Roman" w:eastAsia="Times New Roman" w:hAnsi="Times New Roman" w:cs="Times New Roman"/>
        <w:b/>
        <w:bCs/>
        <w:noProof/>
        <w:sz w:val="20"/>
        <w:szCs w:val="20"/>
        <w:lang w:val="fr-FR" w:eastAsia="es-ES"/>
      </w:rPr>
      <w:t xml:space="preserve"> Web: www.capaj.org</w:t>
    </w:r>
  </w:p>
  <w:p w:rsidR="00333850" w:rsidRPr="002D2EAA" w:rsidRDefault="00333850" w:rsidP="00333850">
    <w:pPr>
      <w:spacing w:after="0" w:line="240" w:lineRule="auto"/>
      <w:jc w:val="center"/>
      <w:rPr>
        <w:rFonts w:ascii="Times New Roman" w:eastAsia="Times New Roman" w:hAnsi="Times New Roman" w:cs="Times New Roman"/>
        <w:b/>
        <w:bCs/>
        <w:noProof/>
        <w:color w:val="000000"/>
        <w:sz w:val="20"/>
        <w:szCs w:val="20"/>
        <w:lang w:val="en-US" w:eastAsia="es-ES"/>
      </w:rPr>
    </w:pPr>
    <w:r w:rsidRPr="002D2EAA">
      <w:rPr>
        <w:rFonts w:ascii="Times New Roman" w:eastAsia="Times New Roman" w:hAnsi="Times New Roman" w:cs="Times New Roman"/>
        <w:b/>
        <w:bCs/>
        <w:noProof/>
        <w:color w:val="000000"/>
        <w:sz w:val="20"/>
        <w:szCs w:val="20"/>
        <w:lang w:val="fr-FR" w:eastAsia="es-ES"/>
      </w:rPr>
      <w:t xml:space="preserve">E-mail: </w:t>
    </w:r>
    <w:r w:rsidRPr="002D2EAA">
      <w:rPr>
        <w:rFonts w:ascii="Times New Roman" w:eastAsia="Times New Roman" w:hAnsi="Times New Roman" w:cs="Times New Roman"/>
        <w:b/>
        <w:bCs/>
        <w:noProof/>
        <w:sz w:val="20"/>
        <w:szCs w:val="20"/>
        <w:lang w:val="fr-FR" w:eastAsia="es-ES"/>
      </w:rPr>
      <w:t xml:space="preserve">capaj_internacional@yahoo.com </w:t>
    </w:r>
  </w:p>
  <w:p w:rsidR="00333850" w:rsidRPr="00333850" w:rsidRDefault="00333850">
    <w:pPr>
      <w:pStyle w:val="Encabezad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4977F3"/>
    <w:multiLevelType w:val="hybridMultilevel"/>
    <w:tmpl w:val="F0D0E1D4"/>
    <w:lvl w:ilvl="0" w:tplc="03841D04">
      <w:start w:val="1"/>
      <w:numFmt w:val="decimal"/>
      <w:lvlText w:val="%1."/>
      <w:lvlJc w:val="left"/>
      <w:pPr>
        <w:ind w:left="720" w:hanging="360"/>
      </w:pPr>
      <w:rPr>
        <w:rFonts w:ascii="Arial" w:eastAsia="Times New Roman" w:hAnsi="Arial" w:cs="Arial" w:hint="default"/>
        <w:b/>
        <w:i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BD1"/>
    <w:rsid w:val="00092654"/>
    <w:rsid w:val="000B38EF"/>
    <w:rsid w:val="00231C67"/>
    <w:rsid w:val="002B3B3E"/>
    <w:rsid w:val="00333850"/>
    <w:rsid w:val="003C5BD1"/>
    <w:rsid w:val="00446773"/>
    <w:rsid w:val="00643E50"/>
    <w:rsid w:val="00664017"/>
    <w:rsid w:val="006A21DE"/>
    <w:rsid w:val="006B0588"/>
    <w:rsid w:val="00782794"/>
    <w:rsid w:val="00795D6F"/>
    <w:rsid w:val="007C4A20"/>
    <w:rsid w:val="008837DF"/>
    <w:rsid w:val="0089533A"/>
    <w:rsid w:val="009A16AA"/>
    <w:rsid w:val="009B54ED"/>
    <w:rsid w:val="009D4EE4"/>
    <w:rsid w:val="00B161B8"/>
    <w:rsid w:val="00B461C0"/>
    <w:rsid w:val="00BB0117"/>
    <w:rsid w:val="00BB7EEF"/>
    <w:rsid w:val="00BF5A00"/>
    <w:rsid w:val="00C71E3F"/>
    <w:rsid w:val="00CF1BFA"/>
    <w:rsid w:val="00E148DE"/>
    <w:rsid w:val="00ED0C81"/>
    <w:rsid w:val="00EF39FC"/>
    <w:rsid w:val="00F24D4A"/>
    <w:rsid w:val="00F92C28"/>
    <w:rsid w:val="00FA40B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D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5B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5BD1"/>
  </w:style>
  <w:style w:type="paragraph" w:styleId="Piedepgina">
    <w:name w:val="footer"/>
    <w:basedOn w:val="Normal"/>
    <w:link w:val="PiedepginaCar"/>
    <w:uiPriority w:val="99"/>
    <w:unhideWhenUsed/>
    <w:rsid w:val="003C5B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5BD1"/>
  </w:style>
  <w:style w:type="paragraph" w:styleId="Prrafodelista">
    <w:name w:val="List Paragraph"/>
    <w:basedOn w:val="Normal"/>
    <w:uiPriority w:val="34"/>
    <w:qFormat/>
    <w:rsid w:val="009B54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D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5B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5BD1"/>
  </w:style>
  <w:style w:type="paragraph" w:styleId="Piedepgina">
    <w:name w:val="footer"/>
    <w:basedOn w:val="Normal"/>
    <w:link w:val="PiedepginaCar"/>
    <w:uiPriority w:val="99"/>
    <w:unhideWhenUsed/>
    <w:rsid w:val="003C5B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5BD1"/>
  </w:style>
  <w:style w:type="paragraph" w:styleId="Prrafodelista">
    <w:name w:val="List Paragraph"/>
    <w:basedOn w:val="Normal"/>
    <w:uiPriority w:val="34"/>
    <w:qFormat/>
    <w:rsid w:val="009B54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303094">
      <w:bodyDiv w:val="1"/>
      <w:marLeft w:val="0"/>
      <w:marRight w:val="0"/>
      <w:marTop w:val="0"/>
      <w:marBottom w:val="0"/>
      <w:divBdr>
        <w:top w:val="none" w:sz="0" w:space="0" w:color="auto"/>
        <w:left w:val="none" w:sz="0" w:space="0" w:color="auto"/>
        <w:bottom w:val="none" w:sz="0" w:space="0" w:color="auto"/>
        <w:right w:val="none" w:sz="0" w:space="0" w:color="auto"/>
      </w:divBdr>
    </w:div>
    <w:div w:id="135084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F58690-C7F5-4BDD-B196-FF826DA63850}"/>
</file>

<file path=customXml/itemProps2.xml><?xml version="1.0" encoding="utf-8"?>
<ds:datastoreItem xmlns:ds="http://schemas.openxmlformats.org/officeDocument/2006/customXml" ds:itemID="{9B2335AE-8F55-473A-BB0A-D5AE3A69B625}"/>
</file>

<file path=customXml/itemProps3.xml><?xml version="1.0" encoding="utf-8"?>
<ds:datastoreItem xmlns:ds="http://schemas.openxmlformats.org/officeDocument/2006/customXml" ds:itemID="{682CC837-5C90-4734-AAFB-16CD6A00C2F0}"/>
</file>

<file path=customXml/itemProps4.xml><?xml version="1.0" encoding="utf-8"?>
<ds:datastoreItem xmlns:ds="http://schemas.openxmlformats.org/officeDocument/2006/customXml" ds:itemID="{51021494-CA9A-4103-9A54-D4CF64619EBF}"/>
</file>

<file path=docProps/app.xml><?xml version="1.0" encoding="utf-8"?>
<Properties xmlns="http://schemas.openxmlformats.org/officeDocument/2006/extended-properties" xmlns:vt="http://schemas.openxmlformats.org/officeDocument/2006/docPropsVTypes">
  <Template>Normal</Template>
  <TotalTime>1</TotalTime>
  <Pages>9</Pages>
  <Words>2314</Words>
  <Characters>12732</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Desatendido</Company>
  <LinksUpToDate>false</LinksUpToDate>
  <CharactersWithSpaces>15016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Desatendido</dc:creator>
  <cp:lastModifiedBy>Desatendido</cp:lastModifiedBy>
  <cp:revision>2</cp:revision>
  <dcterms:created xsi:type="dcterms:W3CDTF">2013-09-11T18:52:00Z</dcterms:created>
  <dcterms:modified xsi:type="dcterms:W3CDTF">2013-09-11T18:52:00Z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