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9C41E2" w14:paraId="5032840A" w14:textId="77777777" w:rsidTr="00627DD1">
        <w:trPr>
          <w:cantSplit/>
          <w:trHeight w:hRule="exact" w:val="851"/>
        </w:trPr>
        <w:tc>
          <w:tcPr>
            <w:tcW w:w="1276" w:type="dxa"/>
            <w:tcBorders>
              <w:bottom w:val="single" w:sz="4" w:space="0" w:color="auto"/>
            </w:tcBorders>
            <w:shd w:val="clear" w:color="auto" w:fill="auto"/>
            <w:vAlign w:val="bottom"/>
          </w:tcPr>
          <w:p w14:paraId="7243B346" w14:textId="196BF12B" w:rsidR="001E498C" w:rsidRPr="009C41E2" w:rsidRDefault="001E498C" w:rsidP="00627DD1">
            <w:pPr>
              <w:spacing w:after="80"/>
            </w:pPr>
            <w:bookmarkStart w:id="0" w:name="_GoBack"/>
            <w:bookmarkEnd w:id="0"/>
          </w:p>
        </w:tc>
        <w:tc>
          <w:tcPr>
            <w:tcW w:w="2268" w:type="dxa"/>
            <w:tcBorders>
              <w:bottom w:val="single" w:sz="4" w:space="0" w:color="auto"/>
            </w:tcBorders>
            <w:shd w:val="clear" w:color="auto" w:fill="auto"/>
            <w:vAlign w:val="bottom"/>
          </w:tcPr>
          <w:p w14:paraId="2A4176C6" w14:textId="77777777" w:rsidR="001E498C" w:rsidRPr="00627DD1" w:rsidRDefault="001E498C" w:rsidP="00627DD1">
            <w:pPr>
              <w:spacing w:after="80" w:line="300" w:lineRule="exact"/>
              <w:rPr>
                <w:sz w:val="24"/>
                <w:szCs w:val="24"/>
              </w:rPr>
            </w:pPr>
            <w:r w:rsidRPr="00627DD1">
              <w:rPr>
                <w:sz w:val="28"/>
                <w:szCs w:val="28"/>
              </w:rPr>
              <w:t>United Nations</w:t>
            </w:r>
          </w:p>
        </w:tc>
        <w:tc>
          <w:tcPr>
            <w:tcW w:w="6095" w:type="dxa"/>
            <w:gridSpan w:val="2"/>
            <w:tcBorders>
              <w:bottom w:val="single" w:sz="4" w:space="0" w:color="auto"/>
            </w:tcBorders>
            <w:shd w:val="clear" w:color="auto" w:fill="auto"/>
            <w:vAlign w:val="bottom"/>
          </w:tcPr>
          <w:p w14:paraId="2C76449A" w14:textId="410C1DA0" w:rsidR="001E498C" w:rsidRPr="009C41E2" w:rsidRDefault="003D3938" w:rsidP="00627DD1">
            <w:pPr>
              <w:suppressAutoHyphens w:val="0"/>
              <w:spacing w:after="20"/>
              <w:jc w:val="right"/>
            </w:pPr>
            <w:r w:rsidRPr="00627DD1">
              <w:rPr>
                <w:sz w:val="40"/>
              </w:rPr>
              <w:t>C</w:t>
            </w:r>
            <w:r w:rsidR="0053631F" w:rsidRPr="00627DD1">
              <w:rPr>
                <w:sz w:val="40"/>
              </w:rPr>
              <w:t>AT</w:t>
            </w:r>
            <w:r w:rsidR="001E498C" w:rsidRPr="009C41E2">
              <w:t>/</w:t>
            </w:r>
            <w:r w:rsidR="003B0B0F" w:rsidRPr="009C41E2">
              <w:t>C/SR.</w:t>
            </w:r>
            <w:r w:rsidR="00257838" w:rsidRPr="009C41E2">
              <w:t>1665</w:t>
            </w:r>
          </w:p>
        </w:tc>
      </w:tr>
      <w:tr w:rsidR="001E498C" w:rsidRPr="00B65FCA" w14:paraId="3C354F6C" w14:textId="77777777" w:rsidTr="00627DD1">
        <w:trPr>
          <w:cantSplit/>
          <w:trHeight w:hRule="exact" w:val="2835"/>
        </w:trPr>
        <w:tc>
          <w:tcPr>
            <w:tcW w:w="1276" w:type="dxa"/>
            <w:tcBorders>
              <w:top w:val="single" w:sz="4" w:space="0" w:color="auto"/>
              <w:bottom w:val="single" w:sz="12" w:space="0" w:color="auto"/>
            </w:tcBorders>
            <w:shd w:val="clear" w:color="auto" w:fill="auto"/>
          </w:tcPr>
          <w:p w14:paraId="3D004109" w14:textId="31D0A397" w:rsidR="001E498C" w:rsidRPr="009C41E2" w:rsidRDefault="00627DD1" w:rsidP="00627DD1">
            <w:pPr>
              <w:spacing w:before="120"/>
              <w:jc w:val="center"/>
            </w:pPr>
            <w:r w:rsidRPr="00052128">
              <w:rPr>
                <w:noProof/>
                <w:lang w:eastAsia="en-GB"/>
              </w:rPr>
              <w:pict w14:anchorId="1F91A7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4pt;height:46.8pt;visibility:visible;mso-wrap-style:square">
                  <v:imagedata r:id="rId7" o:title="_unlogo"/>
                </v:shape>
              </w:pict>
            </w:r>
          </w:p>
        </w:tc>
        <w:tc>
          <w:tcPr>
            <w:tcW w:w="5528" w:type="dxa"/>
            <w:gridSpan w:val="2"/>
            <w:tcBorders>
              <w:top w:val="single" w:sz="4" w:space="0" w:color="auto"/>
              <w:bottom w:val="single" w:sz="12" w:space="0" w:color="auto"/>
            </w:tcBorders>
            <w:shd w:val="clear" w:color="auto" w:fill="auto"/>
          </w:tcPr>
          <w:p w14:paraId="4DCBC219" w14:textId="77777777" w:rsidR="001E498C" w:rsidRPr="00627DD1" w:rsidRDefault="005B75E3" w:rsidP="00627DD1">
            <w:pPr>
              <w:spacing w:before="120" w:line="380" w:lineRule="exact"/>
              <w:rPr>
                <w:b/>
                <w:bCs/>
                <w:sz w:val="34"/>
                <w:szCs w:val="40"/>
              </w:rPr>
            </w:pPr>
            <w:r w:rsidRPr="00627DD1">
              <w:rPr>
                <w:b/>
                <w:sz w:val="34"/>
                <w:szCs w:val="40"/>
              </w:rPr>
              <w:t>Convention against Torture</w:t>
            </w:r>
            <w:r w:rsidRPr="00627DD1">
              <w:rPr>
                <w:b/>
                <w:sz w:val="34"/>
                <w:szCs w:val="40"/>
              </w:rPr>
              <w:br/>
              <w:t>and Other Cruel, Inhuman</w:t>
            </w:r>
            <w:r w:rsidRPr="00627DD1">
              <w:rPr>
                <w:b/>
                <w:sz w:val="34"/>
                <w:szCs w:val="40"/>
              </w:rPr>
              <w:br/>
              <w:t>or Degrading Treatment</w:t>
            </w:r>
            <w:r w:rsidRPr="00627DD1">
              <w:rPr>
                <w:b/>
                <w:sz w:val="34"/>
                <w:szCs w:val="40"/>
              </w:rPr>
              <w:br/>
              <w:t>or Punishment</w:t>
            </w:r>
          </w:p>
        </w:tc>
        <w:tc>
          <w:tcPr>
            <w:tcW w:w="2835" w:type="dxa"/>
            <w:tcBorders>
              <w:top w:val="single" w:sz="4" w:space="0" w:color="auto"/>
              <w:bottom w:val="single" w:sz="12" w:space="0" w:color="auto"/>
            </w:tcBorders>
            <w:shd w:val="clear" w:color="auto" w:fill="auto"/>
          </w:tcPr>
          <w:p w14:paraId="1CE20C08" w14:textId="5A09D00D" w:rsidR="001E498C" w:rsidRPr="00627DD1" w:rsidRDefault="006748CF" w:rsidP="00627DD1">
            <w:pPr>
              <w:suppressAutoHyphens w:val="0"/>
              <w:spacing w:before="240" w:line="240" w:lineRule="exact"/>
              <w:rPr>
                <w:lang w:val="fr-CH"/>
              </w:rPr>
            </w:pPr>
            <w:r w:rsidRPr="00627DD1">
              <w:rPr>
                <w:lang w:val="fr-CH"/>
              </w:rPr>
              <w:t>Distr.</w:t>
            </w:r>
            <w:r w:rsidR="0046257D" w:rsidRPr="00627DD1">
              <w:rPr>
                <w:lang w:val="fr-CH"/>
              </w:rPr>
              <w:t>:</w:t>
            </w:r>
            <w:r w:rsidR="001E498C" w:rsidRPr="00627DD1">
              <w:rPr>
                <w:lang w:val="fr-CH"/>
              </w:rPr>
              <w:t xml:space="preserve"> </w:t>
            </w:r>
            <w:r w:rsidR="00257838" w:rsidRPr="00627DD1">
              <w:rPr>
                <w:lang w:val="fr-CH"/>
              </w:rPr>
              <w:t>General</w:t>
            </w:r>
          </w:p>
          <w:p w14:paraId="26F4454E" w14:textId="0290E3E3" w:rsidR="001E498C" w:rsidRPr="00627DD1" w:rsidRDefault="00C544F5" w:rsidP="00627DD1">
            <w:pPr>
              <w:suppressAutoHyphens w:val="0"/>
              <w:rPr>
                <w:lang w:val="fr-CH"/>
              </w:rPr>
            </w:pPr>
            <w:r>
              <w:t>10</w:t>
            </w:r>
            <w:r w:rsidR="003F09B9">
              <w:t xml:space="preserve"> August 2018</w:t>
            </w:r>
          </w:p>
          <w:p w14:paraId="0413963C" w14:textId="77777777" w:rsidR="003B0B0F" w:rsidRPr="00627DD1" w:rsidRDefault="003B0B0F" w:rsidP="00627DD1">
            <w:pPr>
              <w:suppressAutoHyphens w:val="0"/>
              <w:rPr>
                <w:lang w:val="fr-CH"/>
              </w:rPr>
            </w:pPr>
          </w:p>
          <w:p w14:paraId="7E77278D" w14:textId="33A682C2" w:rsidR="006056E0" w:rsidRPr="00627DD1" w:rsidRDefault="00CB43B4" w:rsidP="00627DD1">
            <w:pPr>
              <w:suppressAutoHyphens w:val="0"/>
              <w:rPr>
                <w:lang w:val="fr-CH"/>
              </w:rPr>
            </w:pPr>
            <w:r w:rsidRPr="00627DD1">
              <w:rPr>
                <w:lang w:val="fr-CH"/>
              </w:rPr>
              <w:t>Original: English</w:t>
            </w:r>
          </w:p>
        </w:tc>
      </w:tr>
    </w:tbl>
    <w:p w14:paraId="6434BE2B" w14:textId="77777777" w:rsidR="00CB43B4" w:rsidRDefault="005B75E3" w:rsidP="00CB43B4">
      <w:pPr>
        <w:spacing w:before="120"/>
        <w:rPr>
          <w:b/>
          <w:bCs/>
          <w:sz w:val="24"/>
          <w:szCs w:val="24"/>
        </w:rPr>
      </w:pPr>
      <w:r>
        <w:rPr>
          <w:b/>
          <w:sz w:val="24"/>
        </w:rPr>
        <w:t>Committee against Torture</w:t>
      </w:r>
    </w:p>
    <w:p w14:paraId="567072F4" w14:textId="0F32656A" w:rsidR="003B0B0F" w:rsidRPr="009C41E2" w:rsidRDefault="00257838" w:rsidP="00CB43B4">
      <w:pPr>
        <w:spacing w:after="120"/>
        <w:rPr>
          <w:b/>
          <w:bCs/>
        </w:rPr>
      </w:pPr>
      <w:r w:rsidRPr="009C41E2">
        <w:rPr>
          <w:b/>
          <w:bCs/>
        </w:rPr>
        <w:t>Sixty-fourth</w:t>
      </w:r>
      <w:r w:rsidR="003B0B0F" w:rsidRPr="009C41E2">
        <w:rPr>
          <w:b/>
          <w:bCs/>
        </w:rPr>
        <w:t xml:space="preserve"> session</w:t>
      </w:r>
    </w:p>
    <w:p w14:paraId="32F6D3BB" w14:textId="4BC5FE45" w:rsidR="003B0B0F" w:rsidRPr="00F24D6D" w:rsidRDefault="003B0B0F" w:rsidP="002E6AF8">
      <w:pPr>
        <w:rPr>
          <w:b/>
          <w:bCs/>
        </w:rPr>
      </w:pPr>
      <w:r w:rsidRPr="00F24D6D">
        <w:rPr>
          <w:b/>
          <w:bCs/>
        </w:rPr>
        <w:t xml:space="preserve">Summary record of the </w:t>
      </w:r>
      <w:r w:rsidR="002E6AF8" w:rsidRPr="00F24D6D">
        <w:rPr>
          <w:b/>
          <w:bCs/>
        </w:rPr>
        <w:t xml:space="preserve">1665th </w:t>
      </w:r>
      <w:r w:rsidRPr="00F24D6D">
        <w:rPr>
          <w:b/>
          <w:bCs/>
        </w:rPr>
        <w:t>meeting</w:t>
      </w:r>
    </w:p>
    <w:p w14:paraId="422585A6" w14:textId="034E1D30"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Monday, 30 July 2018, at 3 p.m.</w:t>
      </w:r>
      <w:r w:rsidRPr="009C41E2">
        <w:rPr>
          <w:color w:val="FF0000"/>
        </w:rPr>
        <w:t xml:space="preserve"> </w:t>
      </w:r>
    </w:p>
    <w:p w14:paraId="34850D8B" w14:textId="65ECD1BD"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Modvig</w:t>
      </w:r>
    </w:p>
    <w:p w14:paraId="6F6557F9"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1DECDA6E" w14:textId="77777777" w:rsidR="002D0F56" w:rsidRDefault="00F229C8" w:rsidP="0093155E">
      <w:pPr>
        <w:pStyle w:val="SingleTxtG"/>
        <w:jc w:val="left"/>
      </w:pPr>
      <w:r w:rsidRPr="00F229C8">
        <w:t>Consideration of reports submitted by States parties und</w:t>
      </w:r>
      <w:r>
        <w:t>er article 19 of the Convention (</w:t>
      </w:r>
      <w:r w:rsidRPr="00F229C8">
        <w:rPr>
          <w:i/>
          <w:iCs/>
        </w:rPr>
        <w:t>continued</w:t>
      </w:r>
      <w:r>
        <w:t>)</w:t>
      </w:r>
    </w:p>
    <w:p w14:paraId="228461E3" w14:textId="2C5E602B" w:rsidR="003F09B9" w:rsidRDefault="002D0F56" w:rsidP="0093155E">
      <w:pPr>
        <w:pStyle w:val="SingleTxtG"/>
        <w:jc w:val="left"/>
        <w:rPr>
          <w:i/>
          <w:iCs/>
        </w:rPr>
      </w:pPr>
      <w:r>
        <w:tab/>
      </w:r>
      <w:r w:rsidR="00A3026D" w:rsidRPr="00A3026D">
        <w:rPr>
          <w:i/>
          <w:iCs/>
        </w:rPr>
        <w:t>Sixth periodic report of Chile</w:t>
      </w:r>
    </w:p>
    <w:p w14:paraId="3B9C15F5" w14:textId="77777777" w:rsidR="003F09B9" w:rsidRPr="00627DD1" w:rsidRDefault="003F09B9">
      <w:pPr>
        <w:suppressAutoHyphens w:val="0"/>
        <w:spacing w:after="200" w:line="276" w:lineRule="auto"/>
        <w:rPr>
          <w:rFonts w:eastAsia="Calibri"/>
          <w:i/>
          <w:iCs/>
        </w:rPr>
      </w:pPr>
      <w:r>
        <w:rPr>
          <w:i/>
          <w:iCs/>
        </w:rPr>
        <w:br w:type="page"/>
      </w:r>
    </w:p>
    <w:p w14:paraId="6BF50469" w14:textId="77777777" w:rsidR="0093155E" w:rsidRPr="00E52314" w:rsidRDefault="0093155E" w:rsidP="00E52314">
      <w:pPr>
        <w:pStyle w:val="SingleTxtG"/>
        <w:jc w:val="left"/>
        <w:rPr>
          <w:i/>
          <w:iCs/>
        </w:rPr>
      </w:pPr>
      <w:r w:rsidRPr="00E52314">
        <w:rPr>
          <w:i/>
          <w:iCs/>
        </w:rPr>
        <w:lastRenderedPageBreak/>
        <w:t>The meeting was called to order at 3 p.m.</w:t>
      </w:r>
    </w:p>
    <w:p w14:paraId="31B70F14" w14:textId="6F142718" w:rsidR="0093155E" w:rsidRPr="00B260F7" w:rsidRDefault="00E52314" w:rsidP="00E52314">
      <w:pPr>
        <w:pStyle w:val="H23G"/>
      </w:pPr>
      <w:r>
        <w:tab/>
      </w:r>
      <w:r>
        <w:tab/>
      </w:r>
      <w:r w:rsidR="0093155E" w:rsidRPr="00B260F7">
        <w:t xml:space="preserve">Consideration of reports submitted by States parties under article 19 of the Convention </w:t>
      </w:r>
      <w:r w:rsidR="0093155E" w:rsidRPr="00E52314">
        <w:rPr>
          <w:b w:val="0"/>
          <w:bCs/>
        </w:rPr>
        <w:t>(</w:t>
      </w:r>
      <w:r w:rsidR="0093155E" w:rsidRPr="00E52314">
        <w:rPr>
          <w:b w:val="0"/>
          <w:bCs/>
          <w:i/>
          <w:iCs/>
        </w:rPr>
        <w:t>continued</w:t>
      </w:r>
      <w:r w:rsidR="0093155E" w:rsidRPr="00E52314">
        <w:rPr>
          <w:b w:val="0"/>
          <w:bCs/>
        </w:rPr>
        <w:t>)</w:t>
      </w:r>
    </w:p>
    <w:p w14:paraId="56CA5180" w14:textId="561BBB73" w:rsidR="0093155E" w:rsidRPr="00B260F7" w:rsidRDefault="0093155E" w:rsidP="00E52314">
      <w:pPr>
        <w:pStyle w:val="SingleTxtG"/>
        <w:jc w:val="left"/>
      </w:pPr>
      <w:r w:rsidRPr="00B260F7">
        <w:tab/>
      </w:r>
      <w:r w:rsidRPr="00E52314">
        <w:rPr>
          <w:i/>
          <w:iCs/>
        </w:rPr>
        <w:t>Sixth periodic report of Chile</w:t>
      </w:r>
      <w:r w:rsidRPr="00B260F7">
        <w:t xml:space="preserve"> (</w:t>
      </w:r>
      <w:hyperlink r:id="rId8" w:history="1">
        <w:r w:rsidRPr="002A6B83">
          <w:rPr>
            <w:rStyle w:val="Hyperlink"/>
          </w:rPr>
          <w:t>CAT/C/CHL/6</w:t>
        </w:r>
      </w:hyperlink>
      <w:r w:rsidRPr="00B260F7">
        <w:t xml:space="preserve">; </w:t>
      </w:r>
      <w:hyperlink r:id="rId9" w:history="1">
        <w:r w:rsidRPr="002A6B83">
          <w:rPr>
            <w:rStyle w:val="Hyperlink"/>
          </w:rPr>
          <w:t>CAT/C/CHL/Q/6</w:t>
        </w:r>
      </w:hyperlink>
      <w:r w:rsidRPr="00B260F7">
        <w:t>)</w:t>
      </w:r>
    </w:p>
    <w:p w14:paraId="2AA5702C" w14:textId="16FDF3F5" w:rsidR="0093155E" w:rsidRPr="00A16BDC" w:rsidRDefault="0093155E" w:rsidP="006430CC">
      <w:pPr>
        <w:pStyle w:val="ParNoG"/>
        <w:rPr>
          <w:i/>
          <w:iCs/>
        </w:rPr>
      </w:pPr>
      <w:r w:rsidRPr="00A16BDC">
        <w:rPr>
          <w:i/>
          <w:iCs/>
        </w:rPr>
        <w:t>At the invitation of the Chair, the delegation of Chile took places at the Committee table.</w:t>
      </w:r>
    </w:p>
    <w:p w14:paraId="27CD0534" w14:textId="228A9351" w:rsidR="0093155E" w:rsidRPr="00B260F7" w:rsidRDefault="0093155E" w:rsidP="00E434CB">
      <w:pPr>
        <w:pStyle w:val="ParNoG"/>
        <w:tabs>
          <w:tab w:val="clear" w:pos="1701"/>
        </w:tabs>
      </w:pPr>
      <w:r w:rsidRPr="00A16BDC">
        <w:rPr>
          <w:b/>
          <w:bCs/>
        </w:rPr>
        <w:t>Ms. Recabarren</w:t>
      </w:r>
      <w:r w:rsidRPr="00B260F7">
        <w:t xml:space="preserve"> (Chile) said that her country had ratified the Convention under the dictatorship 30 years previously. With the transition to democracy, the prevention and punishment of torture and other cruel and inhuman treatment had gradually become a key government priority. Act No. 20.968, which had entered into force in 2016, defined the offences relating to torture and cruel, inhuman and degrading treatment in line with international human rights standards. The Act exceeded the requirements of article 1 of the Convention since it also covered the use of methods intended to obliterate the personality of victims, as provided for in the Inter-American Convention to Prevent and Punish Torture, and included provisions expressly prohibiting sexual torture and ill-treatment. Pursuant to the Act, a minimum sentence of 7 years and 6 months </w:t>
      </w:r>
      <w:r w:rsidR="005A7081" w:rsidRPr="00B260F7">
        <w:t>was imposed</w:t>
      </w:r>
      <w:r w:rsidRPr="00B260F7">
        <w:t xml:space="preserve"> on public officials who tortured persons deprived of their liberty, and higher penalties were applied when the victims of the offence were from vulnerable groups. Persons who perpetrated torture in conjunction with other serious crimes received the highest penalties allowed under Chilean law. Moreover, the Act completely barred military courts from hearing cases of torture involving civilians.</w:t>
      </w:r>
    </w:p>
    <w:p w14:paraId="7F4D5EB9" w14:textId="2C2E841A" w:rsidR="0093155E" w:rsidRPr="00B260F7" w:rsidRDefault="0093155E" w:rsidP="00E434CB">
      <w:pPr>
        <w:pStyle w:val="ParNoG"/>
        <w:tabs>
          <w:tab w:val="clear" w:pos="1701"/>
        </w:tabs>
      </w:pPr>
      <w:r w:rsidRPr="00B260F7">
        <w:t xml:space="preserve">Act No. 21.013 defined the physical ill-treatment of children, adolescents, older persons and persons with disabilities as a separate offence under the Criminal Code, even where no injuries were caused, thereby filling a gap in the law which had often resulted in impunity for offenders. </w:t>
      </w:r>
    </w:p>
    <w:p w14:paraId="5637E04F" w14:textId="0F8EA893" w:rsidR="0093155E" w:rsidRPr="00B260F7" w:rsidRDefault="0093155E" w:rsidP="00E434CB">
      <w:pPr>
        <w:pStyle w:val="ParNoG"/>
        <w:tabs>
          <w:tab w:val="clear" w:pos="1701"/>
        </w:tabs>
      </w:pPr>
      <w:r w:rsidRPr="00B260F7">
        <w:t>A bill designating the National Human Rights Institute as the national mechanism for the prevention of torture had been under consideration since 2017 and a series of amendments had been tabled by the Office of the Undersecretary for Human Rights in July 2018. The mechanism was to be functionally and financially independent of the Government, in accordance with the principles relating to the status of national institutions for the promotion and protection of human rights (Paris Principles), and would be granted the authority and resources necessary to conduct regular visits to places of deprivation of liberty. Although it was long overdue given that Chile had ratified the Optional Protocol in 2008, the bill had received widespread support and had passed relatively quickly through the legislative process. It was currently under consideration by the Senate Commission on Human Rights, Nationality and Citizenship.</w:t>
      </w:r>
    </w:p>
    <w:p w14:paraId="38A50F57" w14:textId="6EE5BBAF" w:rsidR="0093155E" w:rsidRPr="00B260F7" w:rsidRDefault="0093155E" w:rsidP="00E434CB">
      <w:pPr>
        <w:pStyle w:val="ParNoG"/>
        <w:tabs>
          <w:tab w:val="clear" w:pos="1701"/>
        </w:tabs>
      </w:pPr>
      <w:r w:rsidRPr="00B260F7">
        <w:t>The Office of the Undersecretary for Human Rights had been established under Act No. 20.885 to fulfil the need for a government body with the authority to design a coherent human rights policy that would form the basis for all other public policies, to coordinate the human rights activities of the State at the international level and to assume control of the human rights programme that had previously been the responsibility of the Ministry of the Interior and Public Security.</w:t>
      </w:r>
    </w:p>
    <w:p w14:paraId="2F4A51E0" w14:textId="7E5E0FD2" w:rsidR="0093155E" w:rsidRPr="00B260F7" w:rsidRDefault="0093155E" w:rsidP="00E434CB">
      <w:pPr>
        <w:pStyle w:val="ParNoG"/>
        <w:tabs>
          <w:tab w:val="clear" w:pos="1701"/>
        </w:tabs>
      </w:pPr>
      <w:r w:rsidRPr="00B260F7">
        <w:t>The Government remained committed to implementing the national human rights plan for the period 2018–2021, which had been approved by the previous Administration in December 2017. However, the presidential decree that would give the plan full legal effect was currently under review by the Office of the Comptroller-General. The plan determined the sectoral and intersectoral priorities of the government ministries and included a section on the prevention of torture.</w:t>
      </w:r>
    </w:p>
    <w:p w14:paraId="5133CCF9" w14:textId="7991F72D" w:rsidR="0093155E" w:rsidRPr="00B260F7" w:rsidRDefault="0093155E" w:rsidP="00E434CB">
      <w:pPr>
        <w:pStyle w:val="ParNoG"/>
        <w:tabs>
          <w:tab w:val="clear" w:pos="1701"/>
        </w:tabs>
      </w:pPr>
      <w:r w:rsidRPr="00B260F7">
        <w:t xml:space="preserve">The Government had adopted a number of measures to ensure full respect for the rights of women, including the implementation of constitutional reforms recognizing the State’s duty to promote and guarantee the full equality of rights, responsibilities and dignity between men and women; the proposal of a series of bills aimed at ending discriminatory provisions against women in the country’s legislation; the approval of the bill put forward by the previous Administration on the right of women to live a life free from violence; and </w:t>
      </w:r>
      <w:r w:rsidRPr="00B260F7">
        <w:lastRenderedPageBreak/>
        <w:t>the development of a human rights plan with the principal aim of preventing arbitrary discrimination against women in the armed forces and law enforcement agencies. Human rights units had also been set up within various government institutions, including the police forces and the judiciary.</w:t>
      </w:r>
    </w:p>
    <w:p w14:paraId="4B4B5B0D" w14:textId="6FC47E58" w:rsidR="0093155E" w:rsidRPr="00B260F7" w:rsidRDefault="0093155E" w:rsidP="00E434CB">
      <w:pPr>
        <w:pStyle w:val="ParNoG"/>
        <w:tabs>
          <w:tab w:val="clear" w:pos="1701"/>
        </w:tabs>
      </w:pPr>
      <w:r w:rsidRPr="00B260F7">
        <w:t>Chile had made significant progress in the prevention and punishment of trafficking in persons, with particular emphasis on providing due care to victims. The Chamber of Deputies was currently debating a migration bill aimed at ensuring safe, organized and legal migration. The bill established the State’s obligation to prevent, combat and punish trafficking in human beings and the smuggling of migrants.</w:t>
      </w:r>
    </w:p>
    <w:p w14:paraId="24F0DF76" w14:textId="3CDB4B32" w:rsidR="0093155E" w:rsidRPr="00B260F7" w:rsidRDefault="0093155E" w:rsidP="00E434CB">
      <w:pPr>
        <w:pStyle w:val="ParNoG"/>
        <w:tabs>
          <w:tab w:val="clear" w:pos="1701"/>
        </w:tabs>
      </w:pPr>
      <w:r w:rsidRPr="00B260F7">
        <w:t xml:space="preserve">The Government understood the importance of continuing to investigate, punish and provide compensation for the serious human rights violations that had occurred under the dictatorship between 1973 and 1990. Of the 1,287 criminal cases currently before the </w:t>
      </w:r>
      <w:r w:rsidR="005A7081" w:rsidRPr="00B260F7">
        <w:t>courts, 536</w:t>
      </w:r>
      <w:r w:rsidRPr="00B260F7">
        <w:t xml:space="preserve"> concerned political executions, 212 were related to enforced disappearances and 539 to torture and unlawful coercion. Since the fall of the dictatorship in 1990, US$ 6.2 billion in reparations had been paid to victims and a further $2 billion would be disbursed over the coming five years. International organizations, including the Inter-American Court of Human Rights and the Committee on Enforced Disappearances, had praised the Chilean reparations system. The Ministry of Justice and Human Rights had increased the budget of the Special Forensic Identification Unit for its work </w:t>
      </w:r>
      <w:r w:rsidR="005A7081" w:rsidRPr="00B260F7">
        <w:t>of identifying</w:t>
      </w:r>
      <w:r w:rsidRPr="00B260F7">
        <w:t xml:space="preserve"> the remains of victims of enforced disappearance.</w:t>
      </w:r>
    </w:p>
    <w:p w14:paraId="47B96E42" w14:textId="27A56E88" w:rsidR="0093155E" w:rsidRPr="00B260F7" w:rsidRDefault="0093155E" w:rsidP="00E434CB">
      <w:pPr>
        <w:pStyle w:val="ParNoG"/>
        <w:tabs>
          <w:tab w:val="clear" w:pos="1701"/>
        </w:tabs>
      </w:pPr>
      <w:r w:rsidRPr="00B260F7">
        <w:t>The Governments of Chile, Denmark, Ghana, Indonesia and Morocco had launched the Convention against Torture Initiative that sought to achieve universal ratification of the Convention by 2024. A seminar had been organized by the members of the Initiative together with the Association for the Prevention of Torture in Santiago, Chile, in April 2017, where government representatives had shared the country’s experience in the prevention of torture under the last 30 years of democratic rule.</w:t>
      </w:r>
    </w:p>
    <w:p w14:paraId="2FC7C341" w14:textId="108E1A18" w:rsidR="0093155E" w:rsidRPr="00B260F7" w:rsidRDefault="0093155E" w:rsidP="00E434CB">
      <w:pPr>
        <w:pStyle w:val="ParNoG"/>
        <w:tabs>
          <w:tab w:val="clear" w:pos="1701"/>
        </w:tabs>
      </w:pPr>
      <w:r w:rsidRPr="00B260F7">
        <w:t>The situation of vulnerable children and adolescents was an area of particular concern for the Government, which had published a report in 2013 on the status of children under direct or indirect State protection. Immediately upon taking office, the President had convened a working group comprising representatives of all political sectors and civil society in order to work towards a national agreement for children. The report of the working group, which had been submitted to the President in May 2018, outlined a series of measures aimed at providing adequate protection for children who were at risk of or had been subject to rights violations. Further steps taken by the Government to promote and protect the rights of children included the creation of the Office of the Undersecretary for Children, the proposal of bills to establish services for the protection of children and adolescents and plans to increase State funding for civil society organizations responsible for providing care. A bill had also been put forward to abolish the statute of limitations for child sex offences.</w:t>
      </w:r>
    </w:p>
    <w:p w14:paraId="1D9A4FF5" w14:textId="368BD785" w:rsidR="0093155E" w:rsidRPr="00B260F7" w:rsidRDefault="0093155E" w:rsidP="00E434CB">
      <w:pPr>
        <w:pStyle w:val="ParNoG"/>
        <w:tabs>
          <w:tab w:val="clear" w:pos="1701"/>
        </w:tabs>
      </w:pPr>
      <w:r w:rsidRPr="00B260F7">
        <w:t>The Government acknowledged the poor state of prisons in the country, which in itself might constitute ill-treatment. The Advising Attorney (</w:t>
      </w:r>
      <w:r w:rsidRPr="00A82579">
        <w:rPr>
          <w:i/>
          <w:iCs/>
        </w:rPr>
        <w:t>Fiscal Judicial</w:t>
      </w:r>
      <w:r w:rsidRPr="00B260F7">
        <w:t xml:space="preserve">) of the Supreme Court had released a report on the conditions in Chilean prisons in February 2018 and the National Human Rights Institute had repeatedly raised the issue. The Ministry of Justice and Human Rights was in the process of reviewing the prison regulations in order to incorporate a human rights perspective and bring them into line with the recommendations of international bodies. </w:t>
      </w:r>
    </w:p>
    <w:p w14:paraId="43FA3E73" w14:textId="19D175C1" w:rsidR="0093155E" w:rsidRPr="00B260F7" w:rsidRDefault="0093155E" w:rsidP="00E434CB">
      <w:pPr>
        <w:pStyle w:val="ParNoG"/>
        <w:tabs>
          <w:tab w:val="clear" w:pos="1701"/>
        </w:tabs>
      </w:pPr>
      <w:r w:rsidRPr="00A16BDC">
        <w:rPr>
          <w:b/>
          <w:bCs/>
        </w:rPr>
        <w:t>Ms. Racu</w:t>
      </w:r>
      <w:r w:rsidRPr="00B260F7">
        <w:t xml:space="preserve"> (Country Rapporteur) said that she would appreciate clarification of the sanctions provided for in article 3 of Act No. 20.968, which seemed to state that torture through the application of methods to obliterate the personality of the victim or to diminish his physical or mental capacities was punishable as a misdemeanour rather than a serious offence. Punishments for misdemeanours were </w:t>
      </w:r>
      <w:r w:rsidR="005A7081" w:rsidRPr="00B260F7">
        <w:t>not consistent</w:t>
      </w:r>
      <w:r w:rsidRPr="00B260F7">
        <w:t xml:space="preserve"> with the seriousness of the crime of torture and the limitation period for misdemeanours was shorter. While noting that article 150 A of the Criminal Code did not cover acts of torture committed for the purpose of intimidating or coercing a third person, she acknowledged that article 150 C did apply aggravating circumstances to cases where the victims had not formally been deprived of their liberty.</w:t>
      </w:r>
    </w:p>
    <w:p w14:paraId="723A9073" w14:textId="38426739" w:rsidR="0093155E" w:rsidRPr="00B260F7" w:rsidRDefault="0093155E" w:rsidP="00514DF0">
      <w:pPr>
        <w:pStyle w:val="ParNoG"/>
        <w:tabs>
          <w:tab w:val="clear" w:pos="1701"/>
        </w:tabs>
      </w:pPr>
      <w:r w:rsidRPr="00B260F7">
        <w:t xml:space="preserve">Clarification was therefore needed as to whether the statute of limitations applied to torture and all torture-related crimes. It was her understanding that acts of torture were imprescriptible only when they constituted crimes against humanity. As a party to the Convention, Chile should ensure that the absolute prohibition of torture was non-derogable and that there was universal jurisdiction for acts amounting to torture. </w:t>
      </w:r>
    </w:p>
    <w:p w14:paraId="4BC48157" w14:textId="0976E71E" w:rsidR="0093155E" w:rsidRPr="00B260F7" w:rsidRDefault="0093155E" w:rsidP="00E434CB">
      <w:pPr>
        <w:pStyle w:val="ParNoG"/>
        <w:tabs>
          <w:tab w:val="clear" w:pos="1701"/>
        </w:tabs>
      </w:pPr>
      <w:r w:rsidRPr="00B260F7">
        <w:t>She wished to know whether Act No. 20.968 abolished pardons and amnesties, which would prevent impunity for crimes committed under the dictatorship. Did the State party intend to amend the Criminal Code to bring it fully into line with articles 1 to 4 of the Convention? In that connection, she would be interested in learning about the status of a bill to prohibit amnesties, pardons and statutes of limitations for crimes against humanity and war crimes, in the light of reports that the bill had made no progress since it had been introduced in 2009. The Committee encouraged the State party to repeal Amnesty Decree-Law No. 2191 and other obstacles that prevented the prosecution and punishment of perpetrators of torture and crimes against humanity. It would be helpful to have an update on the status of the amendment to Act No. 19.992 that would allow courts access to the information and testimonies gathered by the National Commission on Political Prisoners and Torture (Valech Commission), which had been kept secret for 50 years.</w:t>
      </w:r>
    </w:p>
    <w:p w14:paraId="4CA2C04B" w14:textId="318D0E3D" w:rsidR="0093155E" w:rsidRPr="00B260F7" w:rsidRDefault="0093155E" w:rsidP="00E434CB">
      <w:pPr>
        <w:pStyle w:val="ParNoG"/>
        <w:tabs>
          <w:tab w:val="clear" w:pos="1701"/>
        </w:tabs>
      </w:pPr>
      <w:r w:rsidRPr="00B260F7">
        <w:t>Although responsibility for the Carabineros (police) had been transferred from the Ministry of Defence to the Ministry of the Interior and Public Security, the force retained some military functions and operated with little civilian oversight. Furthermore, its protocols for dealing with public demonstrations had been disclosed to the National Human Rights Institute only after civil society organizations had lodged complaints following student protests in 2011 and 2012. She would like to receive additional information on the status of the police forces, their functional competence and their protocols and regulations, including those concerning police action during demonstrations, crowd control and the use of physical force, weapons and special measures. Did those regulations comply with international standards? Noting that the National Human Rights Institute had filed 17 complaints concerning acts of torture or coercion by police officers against demonstrators between 2011 and 2017, she asked how many complaints had been received concerning the excessive use of force by the police during protests, how many investigations had been conducted and what the outcome of those investigations had been.</w:t>
      </w:r>
    </w:p>
    <w:p w14:paraId="1AB7E759" w14:textId="4FFD3E23" w:rsidR="0093155E" w:rsidRPr="00B260F7" w:rsidRDefault="0093155E" w:rsidP="00E434CB">
      <w:pPr>
        <w:pStyle w:val="ParNoG"/>
        <w:tabs>
          <w:tab w:val="clear" w:pos="1701"/>
        </w:tabs>
      </w:pPr>
      <w:r w:rsidRPr="00B260F7">
        <w:t xml:space="preserve">The Subcommittee on Prevention of Torture had been informed of cases where persons deprived of their liberty had not been able to meet with their legal counsel before entering the courtroom. The Subcommittee had also received reports of public defenders failing to ask their clients whether they had been victims of torture or ill-treatment; ignoring complaints of torture or ill-treatment from their clients; and encouraging their clients to refrain from filing complaints. In the light of that information, she wished to know what measures the State party took to ensure that persons held in police detention had access to a lawyer shortly after their arrest and, more generally, what safeguards against torture were in place to protect persons deprived of their liberty. Was there a written register confirming that detained persons had access </w:t>
      </w:r>
      <w:r w:rsidR="005A7081" w:rsidRPr="00B260F7">
        <w:t>to legal</w:t>
      </w:r>
      <w:r w:rsidRPr="00B260F7">
        <w:t xml:space="preserve"> counsel? It would also be interesting to hear whether any police officers had been disciplined for failing to provide a detainee with access to a lawyer.</w:t>
      </w:r>
      <w:r w:rsidR="00514DF0">
        <w:t xml:space="preserve"> </w:t>
      </w:r>
      <w:r w:rsidRPr="00B260F7">
        <w:t xml:space="preserve">Referring to a survey conducted in 2016 by the Public Criminal Defender Service to assess detainees’ opinions of the work </w:t>
      </w:r>
      <w:r w:rsidR="005A7081" w:rsidRPr="00B260F7">
        <w:t>of public</w:t>
      </w:r>
      <w:r w:rsidRPr="00B260F7">
        <w:t xml:space="preserve"> defenders at the first hearing, she said that she would welcome an update on the findings of the survey and wished to know what action had been taken by the Government to improve the quality of public legal services.</w:t>
      </w:r>
    </w:p>
    <w:p w14:paraId="169F9B08" w14:textId="0A555F76" w:rsidR="0093155E" w:rsidRPr="00B260F7" w:rsidRDefault="0093155E" w:rsidP="00E434CB">
      <w:pPr>
        <w:pStyle w:val="ParNoG"/>
        <w:tabs>
          <w:tab w:val="clear" w:pos="1701"/>
        </w:tabs>
      </w:pPr>
      <w:r w:rsidRPr="00B260F7">
        <w:t xml:space="preserve">An update would be appreciated on the implementation of other fundamental legal safeguards, such as the right to inform a relative and notification to detainees of their rights, including how that notification was given and whether the suspect had to provide a signature. Were lawyers and family members allowed full access to the information contained in detention registers? In cases of failure to record </w:t>
      </w:r>
      <w:r w:rsidR="005A7081" w:rsidRPr="00B260F7">
        <w:t>information, were</w:t>
      </w:r>
      <w:r w:rsidRPr="00B260F7">
        <w:t xml:space="preserve"> the officers concerned held accountable and what penalties did they face?</w:t>
      </w:r>
      <w:r w:rsidR="00514DF0">
        <w:t xml:space="preserve"> </w:t>
      </w:r>
      <w:r w:rsidRPr="00B260F7">
        <w:t xml:space="preserve">Was the delegation aware of any cases where police and investigators had been held criminally accountable for incommunicado detention? Had any legislative amendments been introduced in recent years to make audio-video recordings mandatory during interrogations. </w:t>
      </w:r>
    </w:p>
    <w:p w14:paraId="040B50CF" w14:textId="05E95FCB" w:rsidR="0093155E" w:rsidRPr="00B260F7" w:rsidRDefault="0093155E" w:rsidP="00E434CB">
      <w:pPr>
        <w:pStyle w:val="ParNoG"/>
        <w:tabs>
          <w:tab w:val="clear" w:pos="1701"/>
        </w:tabs>
      </w:pPr>
      <w:r w:rsidRPr="00B260F7">
        <w:t>Recalling the concerns expressed by the Subcommittee on Prevention of Torture, in the report on its visit to Chile in April 2016 (</w:t>
      </w:r>
      <w:hyperlink r:id="rId10" w:history="1">
        <w:r w:rsidRPr="002A6B83">
          <w:rPr>
            <w:rStyle w:val="Hyperlink"/>
          </w:rPr>
          <w:t>CAT/OP/CHL/1</w:t>
        </w:r>
      </w:hyperlink>
      <w:r w:rsidRPr="00B260F7">
        <w:t xml:space="preserve">), regarding inadequate medical care for detainees and breaches of their right to a confidential medical examination, she invited the delegation to provide an update on steps taken to improve detainees’ access to doctors, and to enable detainees who alleged that they had been subjected to torture to request an examination by an independent doctor. She would like to receive information on any improvements relating to medical care in police stations and </w:t>
      </w:r>
      <w:r w:rsidR="005A7081" w:rsidRPr="00B260F7">
        <w:t>prisons, including</w:t>
      </w:r>
      <w:r w:rsidRPr="00B260F7">
        <w:t xml:space="preserve"> medical examinations to identify and document injuries upon admission and prior to release, staffing, medication and equipment. She asked whether detainees were provided with a copy of the results of medical examinations; whether prison staff other than doctors could be present </w:t>
      </w:r>
      <w:r w:rsidR="005A7081" w:rsidRPr="00B260F7">
        <w:t>during examinations</w:t>
      </w:r>
      <w:r w:rsidRPr="00B260F7">
        <w:t xml:space="preserve">; whether there were enough staff to perform examinations; and whether doctors received training on identification and documentation of signs of torture. Updated information on the activities of the Forensic Medical Service would also be welcome. </w:t>
      </w:r>
    </w:p>
    <w:p w14:paraId="4127D2F1" w14:textId="7C70F988" w:rsidR="0093155E" w:rsidRPr="00B260F7" w:rsidRDefault="0093155E" w:rsidP="00E434CB">
      <w:pPr>
        <w:pStyle w:val="ParNoG"/>
        <w:tabs>
          <w:tab w:val="clear" w:pos="1701"/>
        </w:tabs>
      </w:pPr>
      <w:r w:rsidRPr="00B260F7">
        <w:t xml:space="preserve">With regard to the National Human Rights Institute, alternative reports indicated that its visits to places of detention were ineffective, and that officials were delayed at the entrance of police stations and prevented from entering police vehicles during demonstrations. With that in mind, she asked whether the Institute had the capacity and resources to conduct regular monitoring visits to all places of detention, including migrant detention centres, psychiatric establishments and social care homes. She wondered whether special units had been established within the National Human Rights Institute to protect the rights of women, indigenous persons and migrants. Additionally, she would like to receive information on the number of staff involved in monitoring visits and the number appointed to the Office of the Children’s Ombudsman. </w:t>
      </w:r>
    </w:p>
    <w:p w14:paraId="2FD434CE" w14:textId="1521DBC8" w:rsidR="0093155E" w:rsidRPr="00B260F7" w:rsidRDefault="0093155E" w:rsidP="00E434CB">
      <w:pPr>
        <w:pStyle w:val="ParNoG"/>
        <w:tabs>
          <w:tab w:val="clear" w:pos="1701"/>
        </w:tabs>
      </w:pPr>
      <w:r w:rsidRPr="00B260F7">
        <w:t>It would be useful to learn about the status of the bill to establish a national preventive mechanism in compliance with the Optional Protocol, including whether the proposed amendments to the bill would strengthen the effectiveness of the law, and whether the bill contained provisions consistent with the Optional Protocol, especially regarding the selection of the members of the mechanism and its independence.</w:t>
      </w:r>
    </w:p>
    <w:p w14:paraId="7AFA80B9" w14:textId="45C78D3C" w:rsidR="0093155E" w:rsidRPr="00B260F7" w:rsidRDefault="0093155E" w:rsidP="00E434CB">
      <w:pPr>
        <w:pStyle w:val="ParNoG"/>
        <w:tabs>
          <w:tab w:val="clear" w:pos="1701"/>
        </w:tabs>
      </w:pPr>
      <w:r w:rsidRPr="00B260F7">
        <w:t xml:space="preserve">The jurisdiction of military courts over offences committed by uniformed personnel was a matter of concern and the parallel existence of a </w:t>
      </w:r>
      <w:r w:rsidR="005A7081" w:rsidRPr="00B260F7">
        <w:t>civilian and</w:t>
      </w:r>
      <w:r w:rsidRPr="00B260F7">
        <w:t xml:space="preserve"> a military justice system increased the likelihood of impunity for acts of torture. She therefore asked to what extent the military courts dealt with complaints relating to torture and ill-treatment and whether action was envisaged to change that state of affairs. </w:t>
      </w:r>
    </w:p>
    <w:p w14:paraId="77293AC1" w14:textId="4C35C3D0" w:rsidR="0093155E" w:rsidRPr="00B260F7" w:rsidRDefault="0093155E" w:rsidP="00E434CB">
      <w:pPr>
        <w:pStyle w:val="ParNoG"/>
        <w:tabs>
          <w:tab w:val="clear" w:pos="1701"/>
        </w:tabs>
      </w:pPr>
      <w:r w:rsidRPr="00B260F7">
        <w:t xml:space="preserve">In the light of alternative reports of an increase in the number of persons held in pretrial detention and a lack of specific appeals mechanisms for persons subjected to inadmissible detention, she would like to receive updated information on the number of persons placed in pretrial detention between 2015 and 2018; the proportion of such detainees who had received prison sentences; the numbers of minors and women on remand; and the use of alternatives to detention and non-custodial measures between 2015 and 2018. </w:t>
      </w:r>
    </w:p>
    <w:p w14:paraId="03C00091" w14:textId="2A3837DF" w:rsidR="0093155E" w:rsidRPr="00B260F7" w:rsidRDefault="0093155E" w:rsidP="00E434CB">
      <w:pPr>
        <w:pStyle w:val="ParNoG"/>
        <w:tabs>
          <w:tab w:val="clear" w:pos="1701"/>
        </w:tabs>
      </w:pPr>
      <w:r w:rsidRPr="00B260F7">
        <w:t xml:space="preserve">The high rates of overcrowding and the extremely poor living conditions in Chilean prisons gave cause for concern, as did the persistent lack of a judicial oversight mechanism for the execution of prison sentences, the functions of which currently fell to the prison service. The latter had a militarized hierarchical structure, which was not in keeping with its affiliation to the Ministry of Justice. </w:t>
      </w:r>
    </w:p>
    <w:p w14:paraId="77E2774A" w14:textId="17A56944" w:rsidR="0093155E" w:rsidRPr="00B260F7" w:rsidRDefault="0093155E" w:rsidP="00E8589E">
      <w:pPr>
        <w:pStyle w:val="ParNoG"/>
        <w:tabs>
          <w:tab w:val="clear" w:pos="1701"/>
        </w:tabs>
      </w:pPr>
      <w:r w:rsidRPr="00B260F7">
        <w:t xml:space="preserve">The Subcommittee’s report also raised concerns regarding the maximum security regime, whereby people were held for prolonged periods of time in isolation cells, and problems with prison infrastructure and basic facilities, such </w:t>
      </w:r>
      <w:r w:rsidR="00E47461" w:rsidRPr="00B260F7">
        <w:t>as access</w:t>
      </w:r>
      <w:r w:rsidRPr="00B260F7">
        <w:t xml:space="preserve"> to water. What was the average </w:t>
      </w:r>
      <w:r w:rsidR="00E47461" w:rsidRPr="00B260F7">
        <w:t>duration of</w:t>
      </w:r>
      <w:r w:rsidRPr="00B260F7">
        <w:t xml:space="preserve"> solitary confinement? Was it applied to all categories of prisoners, and could appeals be lodged against decisions on solitary confinement? She would appreciate further details on reports of particularly deplorable conditions in Valparaíso and Santiago </w:t>
      </w:r>
      <w:r w:rsidR="00E8589E">
        <w:t xml:space="preserve">Sur </w:t>
      </w:r>
      <w:r w:rsidRPr="00B260F7">
        <w:t xml:space="preserve">prisons. She would also like more information on improvements made to the material conditions in prisons, provision of treatment for inmates with drug or alcohol addictions, and mental health programmes. </w:t>
      </w:r>
    </w:p>
    <w:p w14:paraId="46075010" w14:textId="1B5F27C4" w:rsidR="0093155E" w:rsidRPr="00B260F7" w:rsidRDefault="0093155E" w:rsidP="00E434CB">
      <w:pPr>
        <w:pStyle w:val="ParNoG"/>
        <w:tabs>
          <w:tab w:val="clear" w:pos="1701"/>
        </w:tabs>
      </w:pPr>
      <w:r w:rsidRPr="00B260F7">
        <w:t xml:space="preserve">In view of the very low numbers of inmates who had access to vocational training, she wished to receive updated information on efforts made to improve prisoners’ social reintegration, which required priority attention given the high numbers of prisoners and rates of recidivism. She wished to learn more about the </w:t>
      </w:r>
      <w:r w:rsidR="00E47461" w:rsidRPr="00B260F7">
        <w:t>causes of</w:t>
      </w:r>
      <w:r w:rsidRPr="00B260F7">
        <w:t xml:space="preserve"> deaths in custody, in addition to the figures provided in the annex to the periodic report, and requested data on violent incidents in prisons, as entered in prison registers. In addition, information would be welcome regarding investigations into deaths in custody; analyses, if </w:t>
      </w:r>
      <w:r w:rsidR="00E47461" w:rsidRPr="00B260F7">
        <w:t>any, of</w:t>
      </w:r>
      <w:r w:rsidRPr="00B260F7">
        <w:t xml:space="preserve"> the main factors contributing to deaths in custody; measures taken to prevent violent incidents among prisoners, including self-mutilation and suicides; and measures introduced to prevent deaths in custody, such as fire precautions. Updates would also be useful on staffing levels in detention facilities, including in respect of medical personnel. Was there a shortage of prison officers in prisons, and what steps had been taken to improve prison management? </w:t>
      </w:r>
    </w:p>
    <w:p w14:paraId="21974B28" w14:textId="2DE27BE6" w:rsidR="0093155E" w:rsidRPr="00B260F7" w:rsidRDefault="0093155E" w:rsidP="00E434CB">
      <w:pPr>
        <w:pStyle w:val="ParNoG"/>
        <w:tabs>
          <w:tab w:val="clear" w:pos="1701"/>
        </w:tabs>
      </w:pPr>
      <w:r w:rsidRPr="00B260F7">
        <w:t>On the issue of women in detention, her concerns related to insufficient access to sanitary facilities and products, the disproportionate effect on women of pretrial detention and of restricted visits as a disciplinary measure, and invasive body searches of female detainees and visitors. In that connection, she sought information on the status of the new women’s correctional facility at the Alto Hospicio complex and on whether the recommendations made by human rights bodies had been taken into consideration in that regard. She would like details on other measures taken at the legislative and institutional levels to improve the status and conditions of women in prisons; and data on the number of female prisoners, including those on remand.</w:t>
      </w:r>
    </w:p>
    <w:p w14:paraId="442B1319" w14:textId="64B7FB5F" w:rsidR="0093155E" w:rsidRPr="00B260F7" w:rsidRDefault="0093155E" w:rsidP="00E434CB">
      <w:pPr>
        <w:pStyle w:val="ParNoG"/>
        <w:tabs>
          <w:tab w:val="clear" w:pos="1701"/>
        </w:tabs>
      </w:pPr>
      <w:r w:rsidRPr="00B260F7">
        <w:t xml:space="preserve">Regarding juveniles in detention, the delegation should respond to concerns raised by the Subcommittee on violent incidents and suicide attempts among juveniles due to severe overcrowding, pretrial detention of minors for over a year, and violent raids on cells as a form of collective punishment in the San Joaquín temporary detention centre. Further concerns related to the lack of training and labour reintegration programmes, lack of a clear complaints procedure inside the detention facilities, and the high number of young people in pretrial detention. She asked whether national legislation provided for any alternatives to detention; whether the number of juveniles had increased during the reporting period; whether minors were offered any social and educational programmes while in detention; and whether minors had access to activities or rehabilitation programmes aimed at reducing juvenile recidivism and encouraging behaviour that would facilitate their reintegration into society. She asked what role the interministerial committee on juvenile criminal responsibility played. </w:t>
      </w:r>
    </w:p>
    <w:p w14:paraId="4388908E" w14:textId="01335D08" w:rsidR="0093155E" w:rsidRPr="00B260F7" w:rsidRDefault="0093155E" w:rsidP="00E434CB">
      <w:pPr>
        <w:pStyle w:val="ParNoG"/>
        <w:tabs>
          <w:tab w:val="clear" w:pos="1701"/>
        </w:tabs>
      </w:pPr>
      <w:r w:rsidRPr="00B260F7">
        <w:t xml:space="preserve">Regarding gender-based violence, she expressed concern at the failure of legislative proposals to address violence against women committed by agents of the State or institutional violence, and at the particularly vulnerable situation of the Mapuche and Pewenche communities. It would be helpful to have details on the bill on the right of women to a life free of violence, as the procedure for its adoption appeared to have stalled. Information would also be appreciated on allegations that police officers had committed acts of sexual violence against girls, adolescents and women during peaceful demonstrations, as well as on the outcomes to investigations into allegations of sexual violence during demonstrations between 2011 and 2014. </w:t>
      </w:r>
    </w:p>
    <w:p w14:paraId="2779A83A" w14:textId="2A84B680" w:rsidR="0093155E" w:rsidRPr="00B260F7" w:rsidRDefault="0093155E" w:rsidP="00E434CB">
      <w:pPr>
        <w:pStyle w:val="ParNoG"/>
        <w:tabs>
          <w:tab w:val="clear" w:pos="1701"/>
        </w:tabs>
      </w:pPr>
      <w:r w:rsidRPr="00B260F7">
        <w:t xml:space="preserve">Noting that the amendments to the 2013 bill on migration introduced by the Government in April 2018 were currently being discussed by a standing committee of the Chamber of Deputies, she requested an update on the status of the bill. </w:t>
      </w:r>
    </w:p>
    <w:p w14:paraId="0137764A" w14:textId="405A27FD" w:rsidR="0093155E" w:rsidRPr="00B260F7" w:rsidRDefault="0093155E" w:rsidP="00E434CB">
      <w:pPr>
        <w:pStyle w:val="ParNoG"/>
        <w:tabs>
          <w:tab w:val="clear" w:pos="1701"/>
        </w:tabs>
      </w:pPr>
      <w:r w:rsidRPr="00B260F7">
        <w:t xml:space="preserve">She asked whether the Office of the United Nations High Commissioner for Refugees (UNHCR) was permitted to determine the refugee status of all individuals subject to deportation from Chile. Did professionals working in border areas, such as border or migration police officers, receive training on prevention of torture, identification of victims among migrants, and other relevant standards applicable to interaction with foreigners crossing the borders, including children? She asked whether the authorities had investigated allegations that refugees had been subjected to ill-treatment by border migration police during the deportation procedure and, if so, whether the investigations had given rise to prosecutions or disciplinary measures. Noting that there had been a sharp increase in 2017 in the number of asylum applications at the State party’s northern borders, she requested statistics on such applications for recent years. </w:t>
      </w:r>
    </w:p>
    <w:p w14:paraId="47C1B7B8" w14:textId="5DBCF1EF" w:rsidR="0093155E" w:rsidRPr="00B260F7" w:rsidRDefault="0093155E" w:rsidP="00E434CB">
      <w:pPr>
        <w:pStyle w:val="ParNoG"/>
        <w:tabs>
          <w:tab w:val="clear" w:pos="1701"/>
        </w:tabs>
      </w:pPr>
      <w:r w:rsidRPr="00B260F7">
        <w:t xml:space="preserve">Decree-Law 1.094 of 1975, the Aliens Act, allegedly lacked progressive provisions for appeal against an expulsion order, which must be filed within 24 hours of notification of the order. Furthermore, no appeal could be filed against expulsions ordered by regional authorities. She asked whether the appeal procedure would be modified to guarantee migrants’ right to a fair, reasonable and less hasty procedure. She also enquired about measures to ensure access to legal counsel for migrant workers. How many detention centres for migrants existed in the State party, what was their occupancy level and how many days could a migrant be detained pursuant to national legislation? </w:t>
      </w:r>
    </w:p>
    <w:p w14:paraId="6DB1E895" w14:textId="349A37E4" w:rsidR="0093155E" w:rsidRPr="00B260F7" w:rsidRDefault="0093155E" w:rsidP="00E434CB">
      <w:pPr>
        <w:pStyle w:val="ParNoG"/>
        <w:tabs>
          <w:tab w:val="clear" w:pos="1701"/>
        </w:tabs>
      </w:pPr>
      <w:r w:rsidRPr="00B260F7">
        <w:t xml:space="preserve">She would appreciate additional information on the activity of the National Refugee Commission. </w:t>
      </w:r>
    </w:p>
    <w:p w14:paraId="5D348028" w14:textId="1B5EE60B" w:rsidR="0093155E" w:rsidRPr="00B260F7" w:rsidRDefault="0093155E" w:rsidP="00E434CB">
      <w:pPr>
        <w:pStyle w:val="ParNoG"/>
        <w:tabs>
          <w:tab w:val="clear" w:pos="1701"/>
        </w:tabs>
      </w:pPr>
      <w:r w:rsidRPr="00B260F7">
        <w:t>The Committee had been informed of a lack of official data on the stateless population in the State party and that no mechanism was in place to identify stateless persons. She invited the delegation to comment on that report.</w:t>
      </w:r>
    </w:p>
    <w:p w14:paraId="42256B41" w14:textId="4169EAC7" w:rsidR="0093155E" w:rsidRPr="00B260F7" w:rsidRDefault="0093155E" w:rsidP="00E434CB">
      <w:pPr>
        <w:pStyle w:val="ParNoG"/>
        <w:tabs>
          <w:tab w:val="clear" w:pos="1701"/>
        </w:tabs>
      </w:pPr>
      <w:r w:rsidRPr="00B260F7">
        <w:t>The migration detention centre at Santiago International Airport</w:t>
      </w:r>
      <w:r w:rsidR="00514DF0">
        <w:t xml:space="preserve"> </w:t>
      </w:r>
      <w:r w:rsidRPr="00B260F7">
        <w:t>reportedly failed to meet basic long-term accommodation requirements. She asked what measures were taken to ensure that all persons seeking asylum enjoyed decent conditions of detention.</w:t>
      </w:r>
    </w:p>
    <w:p w14:paraId="30906598" w14:textId="3BB01288" w:rsidR="0093155E" w:rsidRPr="00B260F7" w:rsidRDefault="0093155E" w:rsidP="00E434CB">
      <w:pPr>
        <w:pStyle w:val="ParNoG"/>
        <w:tabs>
          <w:tab w:val="clear" w:pos="1701"/>
        </w:tabs>
      </w:pPr>
      <w:r w:rsidRPr="00B260F7">
        <w:t>The Committee remained concerned about the limited budget allocated for the implementation of Act No. 20.507 on trafficking in persons, including migrants, the low rates of prosecution and conviction, reports that some women and girls were criminalized rather than receiving victim support, and the inadequacy of measures for the assistance, rehabilitation, reintegration and compensation of victims. She asked how many shelters existed for adult and child victims and what other measures had been taken to improve the rehabilitation of victims of trafficking and sexual exploitation during the reporting period.</w:t>
      </w:r>
    </w:p>
    <w:p w14:paraId="2E964EEA" w14:textId="6CC3AC97" w:rsidR="0093155E" w:rsidRPr="00B260F7" w:rsidRDefault="0093155E" w:rsidP="00E434CB">
      <w:pPr>
        <w:pStyle w:val="ParNoG"/>
        <w:tabs>
          <w:tab w:val="clear" w:pos="1701"/>
        </w:tabs>
      </w:pPr>
      <w:r w:rsidRPr="00B260F7">
        <w:t>She asked why the reference to “labour exploitation”, which had special relevance in the area of children’s rights, had been omitted from the definition of the criminal offence of trafficking in persons in article 411 of the Criminal Code.</w:t>
      </w:r>
    </w:p>
    <w:p w14:paraId="575E208D" w14:textId="29C11E1C" w:rsidR="0093155E" w:rsidRPr="00B260F7" w:rsidRDefault="0093155E" w:rsidP="00E434CB">
      <w:pPr>
        <w:pStyle w:val="ParNoG"/>
        <w:tabs>
          <w:tab w:val="clear" w:pos="1701"/>
        </w:tabs>
      </w:pPr>
      <w:r w:rsidRPr="00B260F7">
        <w:t>She requested additional information on the competence of the Office of the Children’s Ombudsman, including its authority to visit juvenile places of detention and residential centres for children. The Committee had been informed that 256 deaths had been recorded in recent years in residential centres for children run by the State or non-governmental organizations (NGOs) due to neglect, torture and ill-treatment. She asked what measures had been taken by the State party to monitor the situation of children placed in the centres, to investigate the deaths and to prosecute the perpetrators. What steps had been taken to improve staff qualifications and training?</w:t>
      </w:r>
    </w:p>
    <w:p w14:paraId="5113AE3E" w14:textId="70ACD862" w:rsidR="0093155E" w:rsidRPr="00B260F7" w:rsidRDefault="0093155E" w:rsidP="00E434CB">
      <w:pPr>
        <w:pStyle w:val="ParNoG"/>
        <w:tabs>
          <w:tab w:val="clear" w:pos="1701"/>
        </w:tabs>
      </w:pPr>
      <w:r w:rsidRPr="00B260F7">
        <w:t xml:space="preserve">She enquired about the status of the bill concerning children that had been tabled in the National Congress and asked how many children were currently in residential care. She drew attention to weaknesses in the national child protection and care system, such as the inadequate capacity and skills of some of the workforce, especially those working in government agencies, the lack of investment in service development and delivery, gaps in legislation and policy, and the lack of effective case management tools. The low level of participation of children and families in decision-making processes was a further concern. </w:t>
      </w:r>
    </w:p>
    <w:p w14:paraId="7B106560" w14:textId="2AF18175" w:rsidR="0093155E" w:rsidRPr="00B260F7" w:rsidRDefault="0093155E" w:rsidP="00E434CB">
      <w:pPr>
        <w:pStyle w:val="ParNoG"/>
        <w:tabs>
          <w:tab w:val="clear" w:pos="1701"/>
        </w:tabs>
      </w:pPr>
      <w:r w:rsidRPr="00B260F7">
        <w:t xml:space="preserve">The Committee had been informed that the police and the justice sector failed to gather data systematically on hate crimes committed on the grounds of gender, sexual orientation, gender identity and sex characteristics. She requested statistics on violent incidents against lesbian, gay, bisexual, transgender and intersex (LGBTI) persons. Were such persons in a particularly vulnerable situation in some correctional facilities? She requested information regarding complaints lodged with the authorities in recent years involving allegations of torture and ill-treatment. </w:t>
      </w:r>
    </w:p>
    <w:p w14:paraId="3F0E0072" w14:textId="0E001D8E" w:rsidR="0093155E" w:rsidRPr="00B260F7" w:rsidRDefault="0093155E" w:rsidP="00E434CB">
      <w:pPr>
        <w:pStyle w:val="ParNoG"/>
        <w:tabs>
          <w:tab w:val="clear" w:pos="1701"/>
        </w:tabs>
      </w:pPr>
      <w:r w:rsidRPr="00B260F7">
        <w:t>She enquired about the implementation of the circular issued by the Ministry of Health in 2015 aimed at preventing irreversible genital surgery on intersex children. What other measures had been taken by the State party to guarantee respect for the physical integrity and autonomy of intersex persons and to ensure that no one was subjected during infancy or childhood to non-urgent medical or surgical procedures intended to decide the sex of the child? She asked how many intersex children had undergone sex assignment surgery during the reporting period.</w:t>
      </w:r>
    </w:p>
    <w:p w14:paraId="1733F6E6" w14:textId="357A7EF8" w:rsidR="0093155E" w:rsidRPr="00B260F7" w:rsidRDefault="0093155E" w:rsidP="00E434CB">
      <w:pPr>
        <w:pStyle w:val="ParNoG"/>
        <w:tabs>
          <w:tab w:val="clear" w:pos="1701"/>
        </w:tabs>
      </w:pPr>
      <w:r w:rsidRPr="00A16BDC">
        <w:rPr>
          <w:b/>
          <w:bCs/>
        </w:rPr>
        <w:t>Mr. Rodríguez-Pinzón</w:t>
      </w:r>
      <w:r w:rsidRPr="00B260F7">
        <w:t xml:space="preserve"> (Country Rapporteur) said that he wished to enquire about the number of Carabineros who had attended the training course on human rights and asked whether such attendance was compulsory. Was the training course monitored to assess its impact in terms of the prevention of torture, ill-treatment and the excessive use of force?</w:t>
      </w:r>
    </w:p>
    <w:p w14:paraId="3F939518" w14:textId="3765B448" w:rsidR="0093155E" w:rsidRPr="00B260F7" w:rsidRDefault="0093155E" w:rsidP="00E434CB">
      <w:pPr>
        <w:pStyle w:val="ParNoG"/>
        <w:tabs>
          <w:tab w:val="clear" w:pos="1701"/>
        </w:tabs>
      </w:pPr>
      <w:r w:rsidRPr="00B260F7">
        <w:t xml:space="preserve">He asked how many Prison Service officials had been trained by the Unit for the Protection and Promotion of Human Rights, and how many allegations and complaints had been handled by the Unit since its establishment. He also enquired about the sources of such allegations and complaints. </w:t>
      </w:r>
    </w:p>
    <w:p w14:paraId="1BCB94C2" w14:textId="53C1ECDF" w:rsidR="0093155E" w:rsidRPr="00B260F7" w:rsidRDefault="0093155E" w:rsidP="00E434CB">
      <w:pPr>
        <w:pStyle w:val="ParNoG"/>
        <w:tabs>
          <w:tab w:val="clear" w:pos="1701"/>
        </w:tabs>
      </w:pPr>
      <w:r w:rsidRPr="00B260F7">
        <w:t>How many public officials had attended training courses organized by the Office of the Undersecretary for Human Rights since its establishment? He also requested information regarding the annual budget allocated to the Office and the size of its staff. How did the Office’s training courses differ from those organized by the Prison Service Unit for the Protection and Promotion of Human Rights?</w:t>
      </w:r>
    </w:p>
    <w:p w14:paraId="6C16A48D" w14:textId="51A90220" w:rsidR="0093155E" w:rsidRPr="00B260F7" w:rsidRDefault="0093155E" w:rsidP="00E434CB">
      <w:pPr>
        <w:pStyle w:val="ParNoG"/>
        <w:tabs>
          <w:tab w:val="clear" w:pos="1701"/>
        </w:tabs>
      </w:pPr>
      <w:r w:rsidRPr="00B260F7">
        <w:t>He asked how many courses were held annually by the Forensic Medical Service on the Istanbul Protocol. How many and what categories of officials attended them?</w:t>
      </w:r>
    </w:p>
    <w:p w14:paraId="3BB39967" w14:textId="5BC35AAB" w:rsidR="0093155E" w:rsidRPr="00B260F7" w:rsidRDefault="0093155E" w:rsidP="00E434CB">
      <w:pPr>
        <w:pStyle w:val="ParNoG"/>
        <w:tabs>
          <w:tab w:val="clear" w:pos="1701"/>
        </w:tabs>
      </w:pPr>
      <w:r w:rsidRPr="00B260F7">
        <w:t xml:space="preserve">Referring to the memorandum of understanding signed by the Human Rights Department of the Carabineros with the International Committee of the Red Cross (ICRC), he pointed out that ICRC expertise focused on the use of force during armed conflicts. He asked whether the training courses addressed international human rights norms rather than international humanitarian law, and enquired about the number of courses held and the number of persons trained each year. </w:t>
      </w:r>
    </w:p>
    <w:p w14:paraId="7410D8B6" w14:textId="707A322D" w:rsidR="0093155E" w:rsidRPr="00B260F7" w:rsidRDefault="0093155E" w:rsidP="00E434CB">
      <w:pPr>
        <w:pStyle w:val="ParNoG"/>
        <w:tabs>
          <w:tab w:val="clear" w:pos="1701"/>
        </w:tabs>
      </w:pPr>
      <w:r w:rsidRPr="00B260F7">
        <w:t>It would be interesting to learn whether training programmes on Convention-related issues were held for members of the armed forces and, if so, which body organized the courses. He also wished to know how many courses were held each year and who delivered them, how many officers attended the courses and the scale of the annual budget allocated for the purpose.</w:t>
      </w:r>
    </w:p>
    <w:p w14:paraId="4556A538" w14:textId="1AE3E34F" w:rsidR="0093155E" w:rsidRPr="00B260F7" w:rsidRDefault="0093155E" w:rsidP="00E434CB">
      <w:pPr>
        <w:pStyle w:val="ParNoG"/>
        <w:tabs>
          <w:tab w:val="clear" w:pos="1701"/>
        </w:tabs>
      </w:pPr>
      <w:r w:rsidRPr="00B260F7">
        <w:t>The Committee had been informed that the National Service for Minors failed to provide adequate training for the staff of State-run residential care centres for minors. He requested the State party to comment on that report and to inform the Committee whether it took steps to ensure that adequate training was also provided for the staff of private residential centres.</w:t>
      </w:r>
    </w:p>
    <w:p w14:paraId="280D2CC9" w14:textId="33940406" w:rsidR="0093155E" w:rsidRPr="00B260F7" w:rsidRDefault="0093155E" w:rsidP="00E434CB">
      <w:pPr>
        <w:pStyle w:val="ParNoG"/>
        <w:tabs>
          <w:tab w:val="clear" w:pos="1701"/>
        </w:tabs>
      </w:pPr>
      <w:r w:rsidRPr="00B260F7">
        <w:t xml:space="preserve">He asked whether the State party had investigated the reasons for the sharp increase in the number of cases of torture and ill-treatment brought before the courts in 2012. Only 11 of the 189 cases had led to convictions, compared with 60 of the 117 cases brought before the courts in 2014. Could the State party explain that discrepancy and were data available for the period since 2014? </w:t>
      </w:r>
    </w:p>
    <w:p w14:paraId="1C7BF3E3" w14:textId="506B281B" w:rsidR="0093155E" w:rsidRPr="00B260F7" w:rsidRDefault="0093155E" w:rsidP="00E434CB">
      <w:pPr>
        <w:pStyle w:val="ParNoG"/>
        <w:tabs>
          <w:tab w:val="clear" w:pos="1701"/>
        </w:tabs>
      </w:pPr>
      <w:r w:rsidRPr="00B260F7">
        <w:t>He expressed concern that the State party had not yet developed a record-keeping system that provided information on crimes of torture, disaggregated by, inter alia, the victim’s sex and age. He wished to know when it hoped to launch such a system.</w:t>
      </w:r>
    </w:p>
    <w:p w14:paraId="5A480F46" w14:textId="39EE6A0D" w:rsidR="0093155E" w:rsidRPr="00B260F7" w:rsidRDefault="0093155E" w:rsidP="00E434CB">
      <w:pPr>
        <w:pStyle w:val="ParNoG"/>
        <w:tabs>
          <w:tab w:val="clear" w:pos="1701"/>
        </w:tabs>
      </w:pPr>
      <w:r w:rsidRPr="00B260F7">
        <w:t xml:space="preserve">He requested updated information on the Government’s plan of visits to correctional facilities, including preliminary results. According to the State party, no complaints had been filed regarding threats by police officers. Yet the Committee had been informed that young people detained during demonstrations had been subjected to torture and ill-treatment and were unwilling to report the violations due to fear of reprisals. Defence counsel for the minors had also reportedly failed to file complaints and to question the lawfulness of the detention. </w:t>
      </w:r>
    </w:p>
    <w:p w14:paraId="197ED908" w14:textId="0A675130" w:rsidR="0093155E" w:rsidRPr="00B260F7" w:rsidRDefault="0093155E" w:rsidP="00E434CB">
      <w:pPr>
        <w:pStyle w:val="ParNoG"/>
        <w:tabs>
          <w:tab w:val="clear" w:pos="1701"/>
        </w:tabs>
      </w:pPr>
      <w:r w:rsidRPr="00B260F7">
        <w:t xml:space="preserve">According to the State party’s report, 392 cases of police violence had been referred to the courts between 2010 and mid-2015 and 137 had led to disciplinary punishments. He enquired about the type of disciplinary sanctions imposed. He also wished to know how many cases had led to convictions and how many had led to acquittals. </w:t>
      </w:r>
    </w:p>
    <w:p w14:paraId="3258D143" w14:textId="7C72809A" w:rsidR="0093155E" w:rsidRPr="00B260F7" w:rsidRDefault="0093155E" w:rsidP="00E434CB">
      <w:pPr>
        <w:pStyle w:val="ParNoG"/>
        <w:tabs>
          <w:tab w:val="clear" w:pos="1701"/>
        </w:tabs>
      </w:pPr>
      <w:r w:rsidRPr="00B260F7">
        <w:t>He enquired about measures to monitor compliance by the Car</w:t>
      </w:r>
      <w:r w:rsidR="003832CC">
        <w:t>a</w:t>
      </w:r>
      <w:r w:rsidRPr="00B260F7">
        <w:t>bineros with the protocols for the maintenance of law and order, since the Subcommittee on Prevention of Torture had found during its visit in 2016 that the Carabineros continued to engage in excessive and disproportionate use of force.</w:t>
      </w:r>
    </w:p>
    <w:p w14:paraId="1460CA83" w14:textId="4702061C" w:rsidR="0093155E" w:rsidRPr="00B260F7" w:rsidRDefault="0093155E" w:rsidP="00E434CB">
      <w:pPr>
        <w:pStyle w:val="ParNoG"/>
        <w:tabs>
          <w:tab w:val="clear" w:pos="1701"/>
        </w:tabs>
      </w:pPr>
      <w:r w:rsidRPr="00B260F7">
        <w:t xml:space="preserve">He requested information on the current status of the case investigated by the Talagante local prosecutor’s office, which had been provisionally shelved in September 2012. </w:t>
      </w:r>
    </w:p>
    <w:p w14:paraId="6045CEE4" w14:textId="33B13B83" w:rsidR="0093155E" w:rsidRPr="00B260F7" w:rsidRDefault="0093155E" w:rsidP="00E434CB">
      <w:pPr>
        <w:pStyle w:val="ParNoG"/>
        <w:tabs>
          <w:tab w:val="clear" w:pos="1701"/>
        </w:tabs>
      </w:pPr>
      <w:r w:rsidRPr="00B260F7">
        <w:t xml:space="preserve">The Committee had been informed about a case of alleged torture and ill-treatment of 17-year-old Vicente Retamal Salgado during his detention by Carabinero units in Valparaíso on 21 June 2018. According to the forensic medical report, he had been subjected to the extremely painful torture technique known as “The Telephone”. The minor’s parents had filed a criminal lawsuit on 27 June 2018. He requested information on the criminal investigation and measures to punish the perpetrators. </w:t>
      </w:r>
    </w:p>
    <w:p w14:paraId="711EEFB8" w14:textId="012278D2" w:rsidR="0093155E" w:rsidRPr="00B260F7" w:rsidRDefault="0093155E" w:rsidP="00E434CB">
      <w:pPr>
        <w:pStyle w:val="ParNoG"/>
        <w:tabs>
          <w:tab w:val="clear" w:pos="1701"/>
        </w:tabs>
      </w:pPr>
      <w:r w:rsidRPr="00B260F7">
        <w:t>The Committee had also been informed that special Carabinero forces had suppressed student demonstrations in Santiago at Manuel Barros Borgoño secondary school on 19 April 2018, at the Barros Arana boarding school on 3 May 2018, at the National Institute on 24 May 2018 and at the Swiss Confederation secondary school on 28 May 2018. Students had been detained in each case and they had all complained of ill-treatment. The Carabineros had also allegedly used weapons and tear gas. He requested information from the State party regarding the investigations into the cases in question.</w:t>
      </w:r>
    </w:p>
    <w:p w14:paraId="4ADF5F74" w14:textId="65575DDC" w:rsidR="0093155E" w:rsidRPr="00B260F7" w:rsidRDefault="0093155E" w:rsidP="00E434CB">
      <w:pPr>
        <w:pStyle w:val="ParNoG"/>
        <w:tabs>
          <w:tab w:val="clear" w:pos="1701"/>
        </w:tabs>
      </w:pPr>
      <w:r w:rsidRPr="00B260F7">
        <w:t xml:space="preserve">It was unclear from the State party’s report why the Advisory Commission that had been established to ensure recognition of the status of political prisoners who had disappeared and had been executed and the victims of political imprisonment and torture had been disbanded within such a short time. The State party had also failed to indicate whether another body had taken over its functions and to respond to other queries. The Committee had been informed that some 22,000 possible victims of torture had not been recognized and were unable to appeal against the decisions taken in their regard. It therefore reiterated its request for information on whether another body could resume the Commission’s work and on whether the recognition criteria covered minors and other possible victims. </w:t>
      </w:r>
    </w:p>
    <w:p w14:paraId="765DB77C" w14:textId="3F3F2825" w:rsidR="0093155E" w:rsidRPr="00B260F7" w:rsidRDefault="0093155E" w:rsidP="00E434CB">
      <w:pPr>
        <w:pStyle w:val="ParNoG"/>
        <w:tabs>
          <w:tab w:val="clear" w:pos="1701"/>
        </w:tabs>
      </w:pPr>
      <w:r w:rsidRPr="00B260F7">
        <w:t xml:space="preserve">With regard to allegations of violence against the Mapuche indigenous communities, he asked whether the draft operating procedures for departures and transfers of young people held in pretrial detention and for their secure escort to and from courts had entered into force. </w:t>
      </w:r>
    </w:p>
    <w:p w14:paraId="4C327208" w14:textId="01A5C88C" w:rsidR="0093155E" w:rsidRPr="00B260F7" w:rsidRDefault="0093155E" w:rsidP="00E434CB">
      <w:pPr>
        <w:pStyle w:val="ParNoG"/>
        <w:tabs>
          <w:tab w:val="clear" w:pos="1701"/>
        </w:tabs>
      </w:pPr>
      <w:r w:rsidRPr="00B260F7">
        <w:t xml:space="preserve">It would be useful if the State party could provide the Committee with the Carabinero protocols on the use of force in various situations, especially when indigenous persons were involved. He welcomed the introduction of human rights training for the Carabineros and </w:t>
      </w:r>
      <w:r w:rsidR="009D1D78" w:rsidRPr="00B260F7">
        <w:t xml:space="preserve">Investigative Police </w:t>
      </w:r>
      <w:r w:rsidRPr="00B260F7">
        <w:t>and the establishment of special indigenous community patrols and wished to know what the functions, budget and territory of the patrols were. He would appreciate updated data on the internal investigations into violence committed by the Carabineros against Mapuche individuals and communities since 2015; the data should be disaggregated, including by geographical location, and should clearly distinguish between indigenous and non-indigenous victims. He would also appreciate the delegation’s comments on why the number of investigations into such cases had dropped so significantly in 2015 compared to all preceding years. While he was grateful for the information provided on the response to the killing of Mapuche youth José Facundo Mendoza Collio, the report lacked information on the reparation, compensation and rehabilitation provided to victims of violence.</w:t>
      </w:r>
    </w:p>
    <w:p w14:paraId="464D79F8" w14:textId="14376D62" w:rsidR="0093155E" w:rsidRPr="00B260F7" w:rsidRDefault="0093155E" w:rsidP="00E434CB">
      <w:pPr>
        <w:pStyle w:val="ParNoG"/>
        <w:tabs>
          <w:tab w:val="clear" w:pos="1701"/>
        </w:tabs>
      </w:pPr>
      <w:r w:rsidRPr="00B260F7">
        <w:t xml:space="preserve">Regarding the alignment of the Criminal Code and the Code of Criminal Procedure with international standards, it would be useful to know the content and status of the proposed amendments as the Committee was concerned about reports that they would make counter-terrorism legislation stricter, for instance by criminalizing the advocacy of terrorism, or promote impunity for undercover State officials who committed an offence. </w:t>
      </w:r>
    </w:p>
    <w:p w14:paraId="254CE980" w14:textId="239E1256" w:rsidR="0093155E" w:rsidRPr="00B260F7" w:rsidRDefault="0093155E" w:rsidP="00E434CB">
      <w:pPr>
        <w:pStyle w:val="ParNoG"/>
        <w:tabs>
          <w:tab w:val="clear" w:pos="1701"/>
        </w:tabs>
      </w:pPr>
      <w:r w:rsidRPr="00B260F7">
        <w:t>Like the Inter-American Court of Human Rights, the Special Rapporteur on the promotion and protection of human rights and fundamental freedoms while countering terrorism, the Inter-American Commission on Human Rights, the Human Rights Committee and the Subcommittee on Prevention of Torture, the Committee was concerned about some provisions of Act No. 18.314 on terrorism. Specifically, he wished to know whether the proposed amendments to the Act would address the following aspects: the power of the judge responsible for procedural safeguards to extend the detention of a suspect for as much as 10 days; the ban on revealing the identity of witnesses; the violation of the presumption of innocence inherent in the subjective definition of the offence in article 1; the lack of a definition of protected legal right; the reference to rights and behaviours already foreseen and protected by ordinary criminal law, including the crime of arson in an uninhabited place; the inclusion under terrorism of acts that caused only property damage; and the discriminatory nature of counter-terrorism operations resulting from the unclear definition of terrorism offences.</w:t>
      </w:r>
    </w:p>
    <w:p w14:paraId="12A69524" w14:textId="3AE7B4C4" w:rsidR="0093155E" w:rsidRPr="00B260F7" w:rsidRDefault="0093155E" w:rsidP="00E434CB">
      <w:pPr>
        <w:pStyle w:val="ParNoG"/>
        <w:tabs>
          <w:tab w:val="clear" w:pos="1701"/>
        </w:tabs>
      </w:pPr>
      <w:r w:rsidRPr="00B260F7">
        <w:t xml:space="preserve">Despite the State party’s assurances that Act No. 18.314 would not be used to prosecute indigenous persons for making social demands, the Committee had received reports that the Act continued to be applied primarily to members of the Mapuche people and that, even though very few were ultimately convicted, its application had an impact on the length of pretrial detention, which ranged between 12 and 18 months. Accordingly, the Committee would appreciate up-to-date statistical information on the number of criminal cases brought under the Act, including those that had subsequently been recategorized as ordinary criminal offences, disaggregated by region, sex, age and ethnicity, as well as information on acquittals, convictions and time spent in pretrial detention. </w:t>
      </w:r>
    </w:p>
    <w:p w14:paraId="1BB43E0D" w14:textId="01C912F8" w:rsidR="0093155E" w:rsidRPr="00B260F7" w:rsidRDefault="0093155E" w:rsidP="00E434CB">
      <w:pPr>
        <w:pStyle w:val="ParNoG"/>
        <w:tabs>
          <w:tab w:val="clear" w:pos="1701"/>
        </w:tabs>
      </w:pPr>
      <w:r w:rsidRPr="00B260F7">
        <w:t xml:space="preserve">Turning to the case known as Operation Hurricane, in which it had been found that Carabineros had planted evidence on the mobile telephones of the Mapuche leaders who had been arrested, he would welcome the delegation’s comments on the finding, which raised serious questions about other cases where members of the Mapuche community had been accused and convicted of terrorism. He would also welcome comments on the actions taken in response to reports that the National Intelligence Agency Act was used to tap telephones, including those of human rights defenders, without a warrant. He was pleased that the authorities had granted an imprisoned Mapuche medicine man temporary leave to attend a traditional community ceremony, known as </w:t>
      </w:r>
      <w:r w:rsidRPr="00F845F0">
        <w:rPr>
          <w:i/>
          <w:iCs/>
        </w:rPr>
        <w:t>Rewe</w:t>
      </w:r>
      <w:r w:rsidRPr="00B260F7">
        <w:t xml:space="preserve">; however, he urged the authorities to take such decisions more quickly in the </w:t>
      </w:r>
      <w:r w:rsidR="009E22FD" w:rsidRPr="00B260F7">
        <w:t>future, so</w:t>
      </w:r>
      <w:r w:rsidRPr="00B260F7">
        <w:t xml:space="preserve"> as to forestall recourse to extreme measures, such </w:t>
      </w:r>
      <w:r w:rsidR="009E22FD" w:rsidRPr="00B260F7">
        <w:t>as hunger</w:t>
      </w:r>
      <w:r w:rsidRPr="00B260F7">
        <w:t xml:space="preserve"> strikes, on the part of the persons concerned. </w:t>
      </w:r>
    </w:p>
    <w:p w14:paraId="6CBD467F" w14:textId="5A85F6D6" w:rsidR="0093155E" w:rsidRPr="00B260F7" w:rsidRDefault="0093155E" w:rsidP="00E434CB">
      <w:pPr>
        <w:pStyle w:val="ParNoG"/>
        <w:tabs>
          <w:tab w:val="clear" w:pos="1701"/>
        </w:tabs>
      </w:pPr>
      <w:r w:rsidRPr="00B260F7">
        <w:t xml:space="preserve">Noting that the Committee had not received any information on the training in counter-terrorism measures provided to law enforcement personnel, he wished to know what human rights training was available, how often and to how many. The Committee had not received the information it had requested on the legal remedies available to persons subjected to counter-terrorism measures, any complaints regarding non-compliance with relevant international norms and the outcome of the complaints. </w:t>
      </w:r>
    </w:p>
    <w:p w14:paraId="344664CF" w14:textId="082C9A52" w:rsidR="0093155E" w:rsidRPr="00B260F7" w:rsidRDefault="0093155E" w:rsidP="00E434CB">
      <w:pPr>
        <w:pStyle w:val="ParNoG"/>
        <w:tabs>
          <w:tab w:val="clear" w:pos="1701"/>
        </w:tabs>
      </w:pPr>
      <w:r w:rsidRPr="00B260F7">
        <w:t xml:space="preserve">He took note of the information provided by the head of delegation regarding article 14 of the Convention. However, the information in annexes 18 and 19 of the report did not answer the Committee’s question about the redress provided to victims of torture and their relatives during the reporting period. As for police brutality, he would appreciate further explanations on the support programme for victims of violent offences run by the Ministry of the Interior and Public Security, including: how many staff were assigned to the programme; what their qualifications were; whether there were teams made up of doctors, psychologists and other professionals; what the annual budget was; how many people benefited from the programme each year, disaggregated by sex, age, region and social group; what sums were awarded; and what services were provided. In addition, it would be useful to know what other avenues for redress and compensation were available to victims of police </w:t>
      </w:r>
      <w:r w:rsidR="009E22FD" w:rsidRPr="00B260F7">
        <w:t>brutality, including</w:t>
      </w:r>
      <w:r w:rsidRPr="00B260F7">
        <w:t xml:space="preserve"> to beneficiaries of the Ministry’s support programme. </w:t>
      </w:r>
    </w:p>
    <w:p w14:paraId="0B96179E" w14:textId="2DDFB43A" w:rsidR="0093155E" w:rsidRPr="00B260F7" w:rsidRDefault="0093155E" w:rsidP="00E434CB">
      <w:pPr>
        <w:pStyle w:val="ParNoG"/>
        <w:tabs>
          <w:tab w:val="clear" w:pos="1701"/>
        </w:tabs>
      </w:pPr>
      <w:r w:rsidRPr="00B260F7">
        <w:t xml:space="preserve">Concerning the Compensation and Comprehensive Health-Care and Human Rights Programme for victims of the dictatorship between 1973 and 1990, it was the Committee’s understanding that the Programme did not constitute medical insurance and that its users complained of a lack of resources and wanted a larger range of services. Furthermore, the Committee had been informed that excessive staff turnover was affecting specialized services, which tended to be used by an ageing population who, as victims of serious abuses, required particular forms of support, and that Programme staff received very little training. In that light, he wished to know what challenges the Programme faced and what steps were being taken to overcome them. Although the Committee was concerned that the Government had withdrawn the bill on redress for victims of political imprisonment and torture for economic reasons, it was heartened by the Government’s determination to provide reparation and would like to know what the prospects were of reviving the bill in the new fiscal year. </w:t>
      </w:r>
    </w:p>
    <w:p w14:paraId="1814C7A4" w14:textId="7A11E1B8" w:rsidR="0093155E" w:rsidRPr="00B260F7" w:rsidRDefault="0093155E" w:rsidP="00E434CB">
      <w:pPr>
        <w:pStyle w:val="ParNoG"/>
        <w:tabs>
          <w:tab w:val="clear" w:pos="1701"/>
        </w:tabs>
      </w:pPr>
      <w:r w:rsidRPr="00B260F7">
        <w:t>Given reports of at least one case where evidence obtained under torture had been used to convict individuals, namely the Luchsinger-Mackay case involving José Miguel Peralino, among several other members of the Mapuche community, it would be interesting to know on what grounds the court had admitted the evidence and in what other cases evidence thus obtained had been rejected or admitted by the courts.</w:t>
      </w:r>
    </w:p>
    <w:p w14:paraId="703B9DBD" w14:textId="1EF871B8" w:rsidR="0093155E" w:rsidRPr="00B260F7" w:rsidRDefault="0093155E" w:rsidP="00E434CB">
      <w:pPr>
        <w:pStyle w:val="ParNoG"/>
        <w:tabs>
          <w:tab w:val="clear" w:pos="1701"/>
        </w:tabs>
      </w:pPr>
      <w:r w:rsidRPr="00B260F7">
        <w:t>He would appreciate the delegation’s comments on the fact that the area with the most complaints of police brutality, namely the region of Biobío, also happened to be home to Mapuche settlements and on the siz</w:t>
      </w:r>
      <w:r w:rsidR="00944033">
        <w:t>e</w:t>
      </w:r>
      <w:r w:rsidRPr="00B260F7">
        <w:t xml:space="preserve">able increase in police presence in the region following the establishment of a Carabinero department for control and public order. Comments would also be appreciated regarding the rise in criminal complaints in Greater Valparaíso and any study of the reasons behind the rise. It would be interesting to know what internal oversight mechanisms the Carabineros had, whether administrative proceedings had been brought against Carabineros for excessive use of force and what types of situation gave rise to the excessive use of force. He welcomed the information provided on the action taken in the shooting death of 16-year-old Manuel Gutierrez, allegedly by the Carabineros, and was interested in knowing what redress had been awarded to his relatives. </w:t>
      </w:r>
    </w:p>
    <w:p w14:paraId="3A1F6095" w14:textId="27B1623F" w:rsidR="0093155E" w:rsidRPr="00B260F7" w:rsidRDefault="0093155E" w:rsidP="00E434CB">
      <w:pPr>
        <w:pStyle w:val="ParNoG"/>
        <w:tabs>
          <w:tab w:val="clear" w:pos="1701"/>
        </w:tabs>
      </w:pPr>
      <w:r w:rsidRPr="00B260F7">
        <w:t>The delegation was requested to provide an update on the adoption of amendments to exclude all physical and psychological ill-treatment from parents’ disciplinary prerogatives and to criminalize ill-treatment and cruelty towards children as well as the ill-treatment of older persons by their carers. He was pleased to learn of the adoption of the bill amending the Criminal Code to stiffen penalties for offences against minors and other vulnerable persons. Lastly, he would be curious to know how the rules on corporal punishment would be enforced.</w:t>
      </w:r>
    </w:p>
    <w:p w14:paraId="60C916F5" w14:textId="76E9E08C" w:rsidR="0093155E" w:rsidRPr="00B260F7" w:rsidRDefault="0093155E" w:rsidP="00AE1926">
      <w:pPr>
        <w:pStyle w:val="ParNoG"/>
        <w:tabs>
          <w:tab w:val="clear" w:pos="1701"/>
        </w:tabs>
      </w:pPr>
      <w:r w:rsidRPr="009E22FD">
        <w:rPr>
          <w:b/>
          <w:bCs/>
        </w:rPr>
        <w:t>Mr. Hani</w:t>
      </w:r>
      <w:r w:rsidRPr="00B260F7">
        <w:t xml:space="preserve"> said that he would appreciate further information on the ill-treatment of </w:t>
      </w:r>
      <w:r w:rsidR="00E33297">
        <w:t>older persons</w:t>
      </w:r>
      <w:r w:rsidRPr="00B260F7">
        <w:t xml:space="preserve"> in long-stay centres and of persons with disabilities in psychiatric centres, referred to by the National Human Rights Institute in paragraph 78 of its alternative report. He pointed out that the State party report contained no information on reparation for victims of torture who lived abroad. He wished to know whether the State party intended to increase its contribution to the United Nations Voluntary Fund for Victims of Torture in order to give back to the international community what it had provided to Chilean victims of torture.</w:t>
      </w:r>
    </w:p>
    <w:p w14:paraId="1D82A540" w14:textId="7CC6DD4B" w:rsidR="0093155E" w:rsidRPr="00B260F7" w:rsidRDefault="0093155E" w:rsidP="00E434CB">
      <w:pPr>
        <w:pStyle w:val="ParNoG"/>
        <w:tabs>
          <w:tab w:val="clear" w:pos="1701"/>
        </w:tabs>
      </w:pPr>
      <w:r w:rsidRPr="009E22FD">
        <w:rPr>
          <w:b/>
          <w:bCs/>
        </w:rPr>
        <w:t>Ms. Gaer</w:t>
      </w:r>
      <w:r w:rsidRPr="00B260F7">
        <w:t xml:space="preserve"> said that she was pleased to hear that the State recognized its negligence in the matter of sexual abuse committed by members of the Catholic Church and that Church officials were henceforth punishable under secular law. In that connection, she wished to know what type of charges had been laid against the 158 individuals, what sentences had been imposed on those who had been found guilty and what action would be taken on the cases that had been referred to a different department because they had occurred prior to the year 2000. Regarding paragraph 108 of the report, on femicide, it would be helpful to know the status of the cases still under investigation and at what stage of proceedings and under what circumstances the perpetrators had committed suicide.</w:t>
      </w:r>
    </w:p>
    <w:p w14:paraId="380A3F79" w14:textId="3EE197BD" w:rsidR="0093155E" w:rsidRPr="00B260F7" w:rsidRDefault="0093155E" w:rsidP="00E434CB">
      <w:pPr>
        <w:pStyle w:val="ParNoG"/>
        <w:tabs>
          <w:tab w:val="clear" w:pos="1701"/>
        </w:tabs>
      </w:pPr>
      <w:r w:rsidRPr="009E22FD">
        <w:rPr>
          <w:b/>
          <w:bCs/>
        </w:rPr>
        <w:t>Mr. Heller Rouassant</w:t>
      </w:r>
      <w:r w:rsidRPr="00B260F7">
        <w:t xml:space="preserve">, pointing out that repression under the dictatorship had extended beyond the borders of the State party, said that he wished to know how many cases relating to Operation Condor had been prosecuted and how many remained pending and whether the State party had any cooperation agreements with the governments of other Latin American countries that had been involved in the </w:t>
      </w:r>
      <w:r w:rsidR="00A10BCB" w:rsidRPr="00B260F7">
        <w:t>operation</w:t>
      </w:r>
      <w:r w:rsidRPr="00B260F7">
        <w:t>.</w:t>
      </w:r>
    </w:p>
    <w:p w14:paraId="7C31D9C6" w14:textId="3818BD98" w:rsidR="0093155E" w:rsidRPr="00B260F7" w:rsidRDefault="0093155E" w:rsidP="00E434CB">
      <w:pPr>
        <w:pStyle w:val="ParNoG"/>
        <w:tabs>
          <w:tab w:val="clear" w:pos="1701"/>
        </w:tabs>
      </w:pPr>
      <w:r w:rsidRPr="009E22FD">
        <w:rPr>
          <w:b/>
          <w:bCs/>
        </w:rPr>
        <w:t>Ms. Belmir</w:t>
      </w:r>
      <w:r w:rsidRPr="00B260F7">
        <w:t xml:space="preserve"> said the fact that the Supreme Court skirted the Amnesty Decree-Law did not change the fact that the law was in force and could be applied. Therefore, she urged the State party to implement the Committee’s prior recommendations regarding the abrogation of the Decree-Law.</w:t>
      </w:r>
    </w:p>
    <w:p w14:paraId="1F7C7273" w14:textId="3CA61837" w:rsidR="0093155E" w:rsidRPr="00B260F7" w:rsidRDefault="0093155E" w:rsidP="007005CB">
      <w:pPr>
        <w:pStyle w:val="ParNoG"/>
        <w:tabs>
          <w:tab w:val="clear" w:pos="1701"/>
        </w:tabs>
      </w:pPr>
      <w:r w:rsidRPr="009E22FD">
        <w:rPr>
          <w:b/>
          <w:bCs/>
        </w:rPr>
        <w:t>The Chair</w:t>
      </w:r>
      <w:r w:rsidRPr="00B260F7">
        <w:t xml:space="preserve"> asked whether the doctors working for the National Service for Older Persons had a duty to report injuries and, if so, whether they discharged that duty.</w:t>
      </w:r>
    </w:p>
    <w:p w14:paraId="043F6073" w14:textId="77777777" w:rsidR="0093155E" w:rsidRPr="00804C5B" w:rsidRDefault="0093155E" w:rsidP="0093155E">
      <w:pPr>
        <w:pStyle w:val="SingleTxtG"/>
        <w:rPr>
          <w:i/>
          <w:iCs/>
        </w:rPr>
      </w:pPr>
      <w:r w:rsidRPr="00804C5B">
        <w:rPr>
          <w:i/>
          <w:iCs/>
        </w:rPr>
        <w:t>The meeting rose at 6 p.m.</w:t>
      </w:r>
    </w:p>
    <w:sectPr w:rsidR="0093155E" w:rsidRPr="00804C5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0F2641" w14:textId="77777777" w:rsidR="00FA5772" w:rsidRDefault="00FA5772" w:rsidP="00F95C08">
      <w:pPr>
        <w:spacing w:line="240" w:lineRule="auto"/>
      </w:pPr>
    </w:p>
  </w:endnote>
  <w:endnote w:type="continuationSeparator" w:id="0">
    <w:p w14:paraId="0E14804A" w14:textId="77777777" w:rsidR="00FA5772" w:rsidRPr="00AC3823" w:rsidRDefault="00FA5772" w:rsidP="00AC3823">
      <w:pPr>
        <w:pStyle w:val="Footer"/>
      </w:pPr>
    </w:p>
  </w:endnote>
  <w:endnote w:type="continuationNotice" w:id="1">
    <w:p w14:paraId="2CA6ADD6" w14:textId="77777777" w:rsidR="00FA5772" w:rsidRDefault="00FA57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C6A8ED" w14:textId="0962E2B8" w:rsidR="006056E0" w:rsidRPr="003F09B9" w:rsidRDefault="003F09B9" w:rsidP="003F09B9">
    <w:pPr>
      <w:pStyle w:val="Footer"/>
      <w:tabs>
        <w:tab w:val="right" w:pos="9638"/>
      </w:tabs>
    </w:pPr>
    <w:r w:rsidRPr="003F09B9">
      <w:rPr>
        <w:b/>
        <w:bCs/>
        <w:sz w:val="18"/>
      </w:rPr>
      <w:fldChar w:fldCharType="begin"/>
    </w:r>
    <w:r w:rsidRPr="003F09B9">
      <w:rPr>
        <w:b/>
        <w:bCs/>
        <w:sz w:val="18"/>
      </w:rPr>
      <w:instrText xml:space="preserve"> PAGE  \* MERGEFORMAT </w:instrText>
    </w:r>
    <w:r w:rsidRPr="003F09B9">
      <w:rPr>
        <w:b/>
        <w:bCs/>
        <w:sz w:val="18"/>
      </w:rPr>
      <w:fldChar w:fldCharType="separate"/>
    </w:r>
    <w:r w:rsidR="00627DD1">
      <w:rPr>
        <w:b/>
        <w:bCs/>
        <w:noProof/>
        <w:sz w:val="18"/>
      </w:rPr>
      <w:t>2</w:t>
    </w:r>
    <w:r w:rsidRPr="003F09B9">
      <w:rPr>
        <w:b/>
        <w:bCs/>
        <w:sz w:val="18"/>
      </w:rPr>
      <w:fldChar w:fldCharType="end"/>
    </w:r>
    <w:r>
      <w:tab/>
      <w:t>GE.18-12722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AB3CC" w14:textId="2B4CF5A0" w:rsidR="001E498C" w:rsidRPr="003F09B9" w:rsidRDefault="003F09B9" w:rsidP="003F09B9">
    <w:pPr>
      <w:pStyle w:val="Footer"/>
      <w:tabs>
        <w:tab w:val="right" w:pos="9638"/>
      </w:tabs>
    </w:pPr>
    <w:r>
      <w:t>GE.18-12722</w:t>
    </w:r>
    <w:r>
      <w:tab/>
    </w:r>
    <w:r w:rsidRPr="003F09B9">
      <w:rPr>
        <w:b/>
        <w:bCs/>
        <w:sz w:val="18"/>
      </w:rPr>
      <w:fldChar w:fldCharType="begin"/>
    </w:r>
    <w:r w:rsidRPr="003F09B9">
      <w:rPr>
        <w:b/>
        <w:bCs/>
        <w:sz w:val="18"/>
      </w:rPr>
      <w:instrText xml:space="preserve"> PAGE  \* MERGEFORMAT </w:instrText>
    </w:r>
    <w:r w:rsidRPr="003F09B9">
      <w:rPr>
        <w:b/>
        <w:bCs/>
        <w:sz w:val="18"/>
      </w:rPr>
      <w:fldChar w:fldCharType="separate"/>
    </w:r>
    <w:r w:rsidR="00627DD1">
      <w:rPr>
        <w:b/>
        <w:bCs/>
        <w:noProof/>
        <w:sz w:val="18"/>
      </w:rPr>
      <w:t>11</w:t>
    </w:r>
    <w:r w:rsidRPr="003F09B9">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8D5E72" w14:textId="77777777" w:rsidR="003B0B0F" w:rsidRDefault="003B0B0F" w:rsidP="003B0B0F">
    <w:pPr>
      <w:pStyle w:val="FootnoteText"/>
      <w:pBdr>
        <w:bottom w:val="single" w:sz="4" w:space="1" w:color="auto"/>
      </w:pBdr>
      <w:tabs>
        <w:tab w:val="clear" w:pos="1021"/>
      </w:tabs>
      <w:ind w:left="0" w:right="0" w:firstLine="0"/>
    </w:pPr>
  </w:p>
  <w:p w14:paraId="4C6D3253"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4307E1C" w14:textId="306F92BA"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627DD1">
      <w:rPr>
        <w:noProof/>
      </w:rPr>
      <w:pict w14:anchorId="090F71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42" type="#_x0000_t75" style="position:absolute;left:0;text-align:left;margin-left:340.2pt;margin-top:720.1pt;width:73.4pt;height:18.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1" o:title=""/>
          <w10:wrap type="tight" anchorx="margin" anchory="margin"/>
          <w10:anchorlock/>
        </v:shape>
      </w:pict>
    </w:r>
  </w:p>
  <w:p w14:paraId="57F56D08" w14:textId="52B9FE11" w:rsidR="003F09B9" w:rsidRDefault="003F09B9" w:rsidP="003F09B9">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GE.18-12722  (E)</w:t>
    </w:r>
    <w:r w:rsidR="00C544F5">
      <w:rPr>
        <w:rFonts w:eastAsia="SimSun"/>
        <w:sz w:val="20"/>
        <w:szCs w:val="18"/>
        <w:lang w:eastAsia="zh-CN"/>
      </w:rPr>
      <w:t xml:space="preserve">    030818    10</w:t>
    </w:r>
    <w:r w:rsidR="00B36EE2">
      <w:rPr>
        <w:rFonts w:eastAsia="SimSun"/>
        <w:sz w:val="20"/>
        <w:szCs w:val="18"/>
        <w:lang w:eastAsia="zh-CN"/>
      </w:rPr>
      <w:t>0818</w:t>
    </w:r>
  </w:p>
  <w:p w14:paraId="47BDEC53" w14:textId="796B6B66" w:rsidR="003F09B9" w:rsidRPr="003F09B9" w:rsidRDefault="003F09B9" w:rsidP="003F09B9">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sidR="00627DD1">
      <w:rPr>
        <w:noProof/>
      </w:rPr>
      <w:pict w14:anchorId="43A3AE88">
        <v:shape id="Picture 1" o:spid="_x0000_s10241" type="#_x0000_t75" alt="https://undocs.org/m2/QRCode.ashx?DS=CAT/C/SR.1665&amp;Size=2 &amp;Lang=E" style="position:absolute;margin-left:431.4pt;margin-top:692.5pt;width:50.25pt;height:5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v:imagedata r:id="rId2" o:title="SR"/>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11B756" w14:textId="77777777" w:rsidR="00FA5772" w:rsidRPr="00AC3823" w:rsidRDefault="00FA5772" w:rsidP="00AC3823">
      <w:pPr>
        <w:pStyle w:val="Footer"/>
        <w:tabs>
          <w:tab w:val="right" w:pos="2155"/>
        </w:tabs>
        <w:spacing w:after="80" w:line="240" w:lineRule="atLeast"/>
        <w:ind w:left="680"/>
        <w:rPr>
          <w:u w:val="single"/>
        </w:rPr>
      </w:pPr>
      <w:r>
        <w:rPr>
          <w:u w:val="single"/>
        </w:rPr>
        <w:tab/>
      </w:r>
    </w:p>
  </w:footnote>
  <w:footnote w:type="continuationSeparator" w:id="0">
    <w:p w14:paraId="50109D11" w14:textId="77777777" w:rsidR="00FA5772" w:rsidRPr="00AC3823" w:rsidRDefault="00FA5772" w:rsidP="00AC3823">
      <w:pPr>
        <w:pStyle w:val="Footer"/>
        <w:tabs>
          <w:tab w:val="right" w:pos="2155"/>
        </w:tabs>
        <w:spacing w:after="80" w:line="240" w:lineRule="atLeast"/>
        <w:ind w:left="680"/>
        <w:rPr>
          <w:u w:val="single"/>
        </w:rPr>
      </w:pPr>
      <w:r>
        <w:rPr>
          <w:u w:val="single"/>
        </w:rPr>
        <w:tab/>
      </w:r>
    </w:p>
  </w:footnote>
  <w:footnote w:type="continuationNotice" w:id="1">
    <w:p w14:paraId="7BD4E899" w14:textId="77777777" w:rsidR="00FA5772" w:rsidRPr="00AC3823" w:rsidRDefault="00FA5772">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B5C61C" w14:textId="1BCCA11C" w:rsidR="006056E0" w:rsidRDefault="00627DD1">
    <w:pPr>
      <w:pStyle w:val="Header"/>
    </w:pPr>
    <w:r>
      <w:fldChar w:fldCharType="begin"/>
    </w:r>
    <w:r>
      <w:instrText xml:space="preserve"> DOCPROPERTY  symh  \* MERGEFORMAT </w:instrText>
    </w:r>
    <w:r>
      <w:fldChar w:fldCharType="separate"/>
    </w:r>
    <w:r w:rsidR="002151D5">
      <w:t>CAT/C/SR.1665</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AC55D2" w14:textId="7AF8E781" w:rsidR="005B6BC9" w:rsidRDefault="00627DD1" w:rsidP="005B6BC9">
    <w:pPr>
      <w:pStyle w:val="Header"/>
      <w:jc w:val="right"/>
    </w:pPr>
    <w:r>
      <w:fldChar w:fldCharType="begin"/>
    </w:r>
    <w:r>
      <w:instrText xml:space="preserve"> DOCPROPERTY  symh  \* MERGEFORMAT </w:instrText>
    </w:r>
    <w:r>
      <w:fldChar w:fldCharType="separate"/>
    </w:r>
    <w:r w:rsidR="002151D5">
      <w:t>CAT/C/SR.1665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doNotTrackMoves/>
  <w:defaultTabStop w:val="567"/>
  <w:hyphenationZone w:val="425"/>
  <w:evenAndOddHeaders/>
  <w:characterSpacingControl w:val="doNotCompress"/>
  <w:hdrShapeDefaults>
    <o:shapedefaults v:ext="edit" spidmax="10243"/>
    <o:shapelayout v:ext="edit">
      <o:idmap v:ext="edit" data="10"/>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4E9D"/>
    <w:rsid w:val="000047B1"/>
    <w:rsid w:val="00017F94"/>
    <w:rsid w:val="00023842"/>
    <w:rsid w:val="000334F9"/>
    <w:rsid w:val="0007796D"/>
    <w:rsid w:val="000B1201"/>
    <w:rsid w:val="000B7790"/>
    <w:rsid w:val="000C2BDC"/>
    <w:rsid w:val="000C390E"/>
    <w:rsid w:val="000C4A15"/>
    <w:rsid w:val="0010472A"/>
    <w:rsid w:val="00111F2F"/>
    <w:rsid w:val="0014365E"/>
    <w:rsid w:val="00150724"/>
    <w:rsid w:val="00150DB2"/>
    <w:rsid w:val="00176178"/>
    <w:rsid w:val="001E498C"/>
    <w:rsid w:val="001F525A"/>
    <w:rsid w:val="00203163"/>
    <w:rsid w:val="002151D5"/>
    <w:rsid w:val="00223272"/>
    <w:rsid w:val="0024779E"/>
    <w:rsid w:val="00251471"/>
    <w:rsid w:val="00257838"/>
    <w:rsid w:val="00291F1D"/>
    <w:rsid w:val="002A6B83"/>
    <w:rsid w:val="002B2585"/>
    <w:rsid w:val="002D0F56"/>
    <w:rsid w:val="002E6AF8"/>
    <w:rsid w:val="002F1C80"/>
    <w:rsid w:val="00353ED5"/>
    <w:rsid w:val="003832CC"/>
    <w:rsid w:val="0039005B"/>
    <w:rsid w:val="003B0B0F"/>
    <w:rsid w:val="003D1AD0"/>
    <w:rsid w:val="003D3938"/>
    <w:rsid w:val="003F09B9"/>
    <w:rsid w:val="00446FE5"/>
    <w:rsid w:val="00452396"/>
    <w:rsid w:val="00457CD7"/>
    <w:rsid w:val="0046257D"/>
    <w:rsid w:val="00482156"/>
    <w:rsid w:val="004D0848"/>
    <w:rsid w:val="00514DF0"/>
    <w:rsid w:val="0053631F"/>
    <w:rsid w:val="005505B7"/>
    <w:rsid w:val="00573BE5"/>
    <w:rsid w:val="00586ED3"/>
    <w:rsid w:val="00596AA9"/>
    <w:rsid w:val="005A14CB"/>
    <w:rsid w:val="005A7081"/>
    <w:rsid w:val="005B43E7"/>
    <w:rsid w:val="005B6BC9"/>
    <w:rsid w:val="005B75E3"/>
    <w:rsid w:val="005C06D4"/>
    <w:rsid w:val="006056E0"/>
    <w:rsid w:val="006210C8"/>
    <w:rsid w:val="00627DD1"/>
    <w:rsid w:val="006430CC"/>
    <w:rsid w:val="00655E07"/>
    <w:rsid w:val="00670DFB"/>
    <w:rsid w:val="006748CF"/>
    <w:rsid w:val="006813D2"/>
    <w:rsid w:val="006861E6"/>
    <w:rsid w:val="00687F05"/>
    <w:rsid w:val="006B627B"/>
    <w:rsid w:val="006D2BC1"/>
    <w:rsid w:val="006E3F0A"/>
    <w:rsid w:val="007005CB"/>
    <w:rsid w:val="00706E82"/>
    <w:rsid w:val="0071601D"/>
    <w:rsid w:val="00730E8B"/>
    <w:rsid w:val="00766CEC"/>
    <w:rsid w:val="007A26B7"/>
    <w:rsid w:val="007A62E6"/>
    <w:rsid w:val="00804C5B"/>
    <w:rsid w:val="0080684C"/>
    <w:rsid w:val="00815502"/>
    <w:rsid w:val="00831242"/>
    <w:rsid w:val="00861053"/>
    <w:rsid w:val="0086379A"/>
    <w:rsid w:val="00871C75"/>
    <w:rsid w:val="008776DC"/>
    <w:rsid w:val="00880106"/>
    <w:rsid w:val="008B0281"/>
    <w:rsid w:val="008B3F8F"/>
    <w:rsid w:val="008C7952"/>
    <w:rsid w:val="008E2BD2"/>
    <w:rsid w:val="008F69EF"/>
    <w:rsid w:val="0093155E"/>
    <w:rsid w:val="00944033"/>
    <w:rsid w:val="00957790"/>
    <w:rsid w:val="009705C8"/>
    <w:rsid w:val="009C41E2"/>
    <w:rsid w:val="009D1D78"/>
    <w:rsid w:val="009E22FD"/>
    <w:rsid w:val="009E7CD2"/>
    <w:rsid w:val="00A03806"/>
    <w:rsid w:val="00A10BCB"/>
    <w:rsid w:val="00A16BDC"/>
    <w:rsid w:val="00A3026D"/>
    <w:rsid w:val="00A319E9"/>
    <w:rsid w:val="00A4437C"/>
    <w:rsid w:val="00A75EB9"/>
    <w:rsid w:val="00A765E4"/>
    <w:rsid w:val="00A815AF"/>
    <w:rsid w:val="00A82579"/>
    <w:rsid w:val="00AB7E73"/>
    <w:rsid w:val="00AC2CCD"/>
    <w:rsid w:val="00AC3823"/>
    <w:rsid w:val="00AE1926"/>
    <w:rsid w:val="00AE323C"/>
    <w:rsid w:val="00AE7729"/>
    <w:rsid w:val="00B00181"/>
    <w:rsid w:val="00B34BE7"/>
    <w:rsid w:val="00B36EE2"/>
    <w:rsid w:val="00B41FDC"/>
    <w:rsid w:val="00B43C66"/>
    <w:rsid w:val="00B65FCA"/>
    <w:rsid w:val="00B765F7"/>
    <w:rsid w:val="00B9024D"/>
    <w:rsid w:val="00BA07AB"/>
    <w:rsid w:val="00BA0CA9"/>
    <w:rsid w:val="00BB4C2F"/>
    <w:rsid w:val="00BC6069"/>
    <w:rsid w:val="00BE4745"/>
    <w:rsid w:val="00BF30B9"/>
    <w:rsid w:val="00BF3C2C"/>
    <w:rsid w:val="00C02897"/>
    <w:rsid w:val="00C12091"/>
    <w:rsid w:val="00C544F5"/>
    <w:rsid w:val="00C638E5"/>
    <w:rsid w:val="00CB43B4"/>
    <w:rsid w:val="00CB56FC"/>
    <w:rsid w:val="00CC2887"/>
    <w:rsid w:val="00D0160E"/>
    <w:rsid w:val="00D3439C"/>
    <w:rsid w:val="00DA22F4"/>
    <w:rsid w:val="00DA40FE"/>
    <w:rsid w:val="00DB1831"/>
    <w:rsid w:val="00DC0AE6"/>
    <w:rsid w:val="00DD3BFD"/>
    <w:rsid w:val="00DF6678"/>
    <w:rsid w:val="00E22CF2"/>
    <w:rsid w:val="00E33297"/>
    <w:rsid w:val="00E434CB"/>
    <w:rsid w:val="00E47461"/>
    <w:rsid w:val="00E52314"/>
    <w:rsid w:val="00E52D9F"/>
    <w:rsid w:val="00E56B4F"/>
    <w:rsid w:val="00E8589E"/>
    <w:rsid w:val="00ED624D"/>
    <w:rsid w:val="00F01808"/>
    <w:rsid w:val="00F11515"/>
    <w:rsid w:val="00F164B0"/>
    <w:rsid w:val="00F229C8"/>
    <w:rsid w:val="00F24D6D"/>
    <w:rsid w:val="00F4130F"/>
    <w:rsid w:val="00F42CFB"/>
    <w:rsid w:val="00F660DF"/>
    <w:rsid w:val="00F80094"/>
    <w:rsid w:val="00F845F0"/>
    <w:rsid w:val="00F95C08"/>
    <w:rsid w:val="00FA577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14:docId w14:val="3C56365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Calibr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Calibr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Calibr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Calibr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Calibr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Calibr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Calibr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Calibr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Calibri"/>
      <w:b/>
      <w:sz w:val="18"/>
    </w:rPr>
  </w:style>
  <w:style w:type="character" w:customStyle="1" w:styleId="HeaderChar">
    <w:name w:val="Header Char"/>
    <w:aliases w:val="6_G Char"/>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Calibri"/>
      <w:sz w:val="16"/>
    </w:rPr>
  </w:style>
  <w:style w:type="character" w:customStyle="1" w:styleId="FooterChar">
    <w:name w:val="Footer Char"/>
    <w:aliases w:val="3_G Char"/>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Calibr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Calibr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Calibr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Calibr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Calibr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Calibr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Calibri"/>
    </w:rPr>
  </w:style>
  <w:style w:type="character" w:styleId="FootnoteReference">
    <w:name w:val="footnote reference"/>
    <w:aliases w:val="4_G"/>
    <w:qFormat/>
    <w:rsid w:val="00482156"/>
    <w:rPr>
      <w:rFonts w:ascii="Times New Roman" w:hAnsi="Times New Roman"/>
      <w:sz w:val="18"/>
      <w:vertAlign w:val="superscript"/>
      <w:lang w:val="en-GB"/>
    </w:rPr>
  </w:style>
  <w:style w:type="character" w:styleId="EndnoteReference">
    <w:name w:val="endnote reference"/>
    <w:aliases w:val="1_G"/>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line="240" w:lineRule="atLeas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82156"/>
    <w:rPr>
      <w:color w:val="0000FF"/>
      <w:u w:val="none"/>
    </w:rPr>
  </w:style>
  <w:style w:type="character" w:styleId="FollowedHyperlink">
    <w:name w:val="FollowedHyperlink"/>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character" w:customStyle="1" w:styleId="FootnoteTextChar">
    <w:name w:val="Footnote Text Char"/>
    <w:aliases w:val="5_G Char"/>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link w:val="EndnoteText"/>
    <w:rsid w:val="00482156"/>
    <w:rPr>
      <w:rFonts w:ascii="Times New Roman" w:hAnsi="Times New Roman" w:cs="Times New Roman"/>
      <w:sz w:val="18"/>
      <w:szCs w:val="20"/>
      <w:lang w:val="en-GB"/>
    </w:rPr>
  </w:style>
  <w:style w:type="character" w:styleId="PageNumber">
    <w:name w:val="page number"/>
    <w:aliases w:val="7_G"/>
    <w:qFormat/>
    <w:rsid w:val="00482156"/>
    <w:rPr>
      <w:rFonts w:ascii="Times New Roman" w:hAnsi="Times New Roman"/>
      <w:b/>
      <w:sz w:val="18"/>
      <w:lang w:val="en-GB"/>
    </w:rPr>
  </w:style>
  <w:style w:type="character" w:customStyle="1" w:styleId="Heading1Char">
    <w:name w:val="Heading 1 Char"/>
    <w:aliases w:val="Table_G Char"/>
    <w:link w:val="Heading1"/>
    <w:rsid w:val="00482156"/>
    <w:rPr>
      <w:rFonts w:ascii="Times New Roman" w:hAnsi="Times New Roman" w:cs="Times New Roman"/>
      <w:sz w:val="20"/>
      <w:szCs w:val="20"/>
      <w:lang w:val="en-GB"/>
    </w:rPr>
  </w:style>
  <w:style w:type="character" w:customStyle="1" w:styleId="Heading2Char">
    <w:name w:val="Heading 2 Char"/>
    <w:link w:val="Heading2"/>
    <w:semiHidden/>
    <w:rsid w:val="00482156"/>
    <w:rPr>
      <w:rFonts w:ascii="Times New Roman" w:hAnsi="Times New Roman" w:cs="Times New Roman"/>
      <w:sz w:val="20"/>
      <w:szCs w:val="20"/>
    </w:rPr>
  </w:style>
  <w:style w:type="character" w:customStyle="1" w:styleId="Heading3Char">
    <w:name w:val="Heading 3 Char"/>
    <w:link w:val="Heading3"/>
    <w:semiHidden/>
    <w:rsid w:val="00482156"/>
    <w:rPr>
      <w:rFonts w:ascii="Times New Roman" w:hAnsi="Times New Roman" w:cs="Times New Roman"/>
      <w:sz w:val="20"/>
      <w:szCs w:val="20"/>
    </w:rPr>
  </w:style>
  <w:style w:type="character" w:customStyle="1" w:styleId="Heading4Char">
    <w:name w:val="Heading 4 Char"/>
    <w:link w:val="Heading4"/>
    <w:semiHidden/>
    <w:rsid w:val="00482156"/>
    <w:rPr>
      <w:rFonts w:ascii="Times New Roman" w:hAnsi="Times New Roman" w:cs="Times New Roman"/>
      <w:sz w:val="20"/>
      <w:szCs w:val="20"/>
    </w:rPr>
  </w:style>
  <w:style w:type="character" w:customStyle="1" w:styleId="Heading5Char">
    <w:name w:val="Heading 5 Char"/>
    <w:link w:val="Heading5"/>
    <w:semiHidden/>
    <w:rsid w:val="00482156"/>
    <w:rPr>
      <w:rFonts w:ascii="Times New Roman" w:hAnsi="Times New Roman" w:cs="Times New Roman"/>
      <w:sz w:val="20"/>
      <w:szCs w:val="20"/>
    </w:rPr>
  </w:style>
  <w:style w:type="character" w:customStyle="1" w:styleId="Heading6Char">
    <w:name w:val="Heading 6 Char"/>
    <w:link w:val="Heading6"/>
    <w:semiHidden/>
    <w:rsid w:val="00482156"/>
    <w:rPr>
      <w:rFonts w:ascii="Times New Roman" w:hAnsi="Times New Roman" w:cs="Times New Roman"/>
      <w:sz w:val="20"/>
      <w:szCs w:val="20"/>
    </w:rPr>
  </w:style>
  <w:style w:type="character" w:customStyle="1" w:styleId="Heading7Char">
    <w:name w:val="Heading 7 Char"/>
    <w:link w:val="Heading7"/>
    <w:semiHidden/>
    <w:rsid w:val="00482156"/>
    <w:rPr>
      <w:rFonts w:ascii="Times New Roman" w:hAnsi="Times New Roman" w:cs="Times New Roman"/>
      <w:sz w:val="20"/>
      <w:szCs w:val="20"/>
    </w:rPr>
  </w:style>
  <w:style w:type="character" w:customStyle="1" w:styleId="Heading8Char">
    <w:name w:val="Heading 8 Char"/>
    <w:link w:val="Heading8"/>
    <w:semiHidden/>
    <w:rsid w:val="00482156"/>
    <w:rPr>
      <w:rFonts w:ascii="Times New Roman" w:hAnsi="Times New Roman" w:cs="Times New Roman"/>
      <w:sz w:val="20"/>
      <w:szCs w:val="20"/>
    </w:rPr>
  </w:style>
  <w:style w:type="character" w:customStyle="1" w:styleId="Heading9Char">
    <w:name w:val="Heading 9 Char"/>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line="240" w:lineRule="atLeast"/>
    </w:pPr>
    <w:rPr>
      <w:rFonts w:ascii="Times New Roman" w:hAnsi="Times New Roman" w:cs="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CommentReference">
    <w:name w:val="annotation reference"/>
    <w:uiPriority w:val="99"/>
    <w:semiHidden/>
    <w:unhideWhenUsed/>
    <w:rsid w:val="00BB4C2F"/>
    <w:rPr>
      <w:sz w:val="16"/>
      <w:szCs w:val="16"/>
    </w:rPr>
  </w:style>
  <w:style w:type="paragraph" w:styleId="CommentText">
    <w:name w:val="annotation text"/>
    <w:basedOn w:val="Normal"/>
    <w:link w:val="CommentTextChar"/>
    <w:uiPriority w:val="99"/>
    <w:semiHidden/>
    <w:unhideWhenUsed/>
    <w:rsid w:val="00BB4C2F"/>
    <w:pPr>
      <w:spacing w:line="240" w:lineRule="auto"/>
    </w:pPr>
  </w:style>
  <w:style w:type="character" w:customStyle="1" w:styleId="CommentTextChar">
    <w:name w:val="Comment Text Char"/>
    <w:link w:val="CommentText"/>
    <w:uiPriority w:val="99"/>
    <w:semiHidden/>
    <w:rsid w:val="00BB4C2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B4C2F"/>
    <w:rPr>
      <w:b/>
      <w:bCs/>
    </w:rPr>
  </w:style>
  <w:style w:type="character" w:customStyle="1" w:styleId="CommentSubjectChar">
    <w:name w:val="Comment Subject Char"/>
    <w:link w:val="CommentSubject"/>
    <w:uiPriority w:val="99"/>
    <w:semiHidden/>
    <w:rsid w:val="00BB4C2F"/>
    <w:rPr>
      <w:rFonts w:ascii="Times New Roman" w:eastAsia="Times New Roman" w:hAnsi="Times New Roman" w:cs="Times New Roman"/>
      <w:b/>
      <w:bCs/>
      <w:sz w:val="20"/>
      <w:szCs w:val="20"/>
      <w:lang w:val="en-GB"/>
    </w:rPr>
  </w:style>
  <w:style w:type="character" w:customStyle="1" w:styleId="UnresolvedMention">
    <w:name w:val="Unresolved Mention"/>
    <w:uiPriority w:val="99"/>
    <w:semiHidden/>
    <w:unhideWhenUsed/>
    <w:rsid w:val="002A6B8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CHL/6" TargetMode="External"/><Relationship Id="rId13" Type="http://schemas.openxmlformats.org/officeDocument/2006/relationships/footer" Target="footer1.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OP/CHL/1"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undocs.org/en/CAT/C/CHL/Q/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531163-8210-498E-9593-0D7930FBD12C}"/>
</file>

<file path=customXml/itemProps2.xml><?xml version="1.0" encoding="utf-8"?>
<ds:datastoreItem xmlns:ds="http://schemas.openxmlformats.org/officeDocument/2006/customXml" ds:itemID="{65CEE53B-EBC7-4735-8D7C-EC4A06B80256}"/>
</file>

<file path=customXml/itemProps3.xml><?xml version="1.0" encoding="utf-8"?>
<ds:datastoreItem xmlns:ds="http://schemas.openxmlformats.org/officeDocument/2006/customXml" ds:itemID="{A31B5AA8-0476-47A5-A8E4-2CA88B8D2C87}"/>
</file>

<file path=docProps/app.xml><?xml version="1.0" encoding="utf-8"?>
<Properties xmlns="http://schemas.openxmlformats.org/officeDocument/2006/extended-properties" xmlns:vt="http://schemas.openxmlformats.org/officeDocument/2006/docPropsVTypes">
  <Template>Normal.dotm</Template>
  <TotalTime>0</TotalTime>
  <Pages>12</Pages>
  <Words>6854</Words>
  <Characters>39074</Characters>
  <Application>Microsoft Office Word</Application>
  <DocSecurity>0</DocSecurity>
  <Lines>325</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CAT/C/SR.1665</vt:lpstr>
      <vt:lpstr/>
      <vt:lpstr/>
    </vt:vector>
  </TitlesOfParts>
  <Company>DCM</Company>
  <LinksUpToDate>false</LinksUpToDate>
  <CharactersWithSpaces>45837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CAT/C/SR.1665</dc:title>
  <dc:subject>1812722</dc:subject>
  <dc:creator>Indra</dc:creator>
  <cp:keywords/>
  <dc:description/>
  <cp:lastModifiedBy>Hélène Orrü</cp:lastModifiedBy>
  <cp:revision>2</cp:revision>
  <cp:lastPrinted>2018-08-10T14:09:00Z</cp:lastPrinted>
  <dcterms:created xsi:type="dcterms:W3CDTF">2018-09-03T10:12:00Z</dcterms:created>
  <dcterms:modified xsi:type="dcterms:W3CDTF">2018-09-03T10:12:00Z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1665</vt:lpwstr>
  </property>
  <property fmtid="{D5CDD505-2E9C-101B-9397-08002B2CF9AE}" pid="15" name="symh">
    <vt:lpwstr>CAT/C/SR.1665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30 July 2018, at 3 p.m.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Sixty-fourth</vt:lpwstr>
  </property>
  <property fmtid="{D5CDD505-2E9C-101B-9397-08002B2CF9AE}" pid="25" name="mnum">
    <vt:lpwstr>1665th</vt:lpwstr>
  </property>
  <property fmtid="{D5CDD505-2E9C-101B-9397-08002B2CF9AE}" pid="26" name="Date-Generated">
    <vt:lpwstr>8/2/2018 9:08:51 AM</vt:lpwstr>
  </property>
  <property fmtid="{D5CDD505-2E9C-101B-9397-08002B2CF9AE}" pid="27" name="ContentTypeId">
    <vt:lpwstr>0x01010022B3C51BB8F9654FB8068485B2E4975B</vt:lpwstr>
  </property>
</Properties>
</file>