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E29" w:rsidRDefault="00321E29" w:rsidP="00EA2051">
      <w:pPr>
        <w:jc w:val="both"/>
        <w:rPr>
          <w:rFonts w:ascii="Times New Roman" w:hAnsi="Times New Roman" w:cs="Times New Roman"/>
          <w:b/>
        </w:rPr>
      </w:pPr>
      <w:bookmarkStart w:id="0" w:name="_GoBack"/>
      <w:bookmarkEnd w:id="0"/>
      <w:r w:rsidRPr="00E51E20">
        <w:rPr>
          <w:noProof/>
          <w:lang w:val="en-US"/>
        </w:rPr>
        <w:drawing>
          <wp:anchor distT="0" distB="0" distL="114300" distR="114300" simplePos="0" relativeHeight="251659264" behindDoc="1" locked="0" layoutInCell="1" allowOverlap="1" wp14:anchorId="78C06B06" wp14:editId="08D6C83C">
            <wp:simplePos x="0" y="0"/>
            <wp:positionH relativeFrom="margin">
              <wp:posOffset>4114946</wp:posOffset>
            </wp:positionH>
            <wp:positionV relativeFrom="paragraph">
              <wp:posOffset>-312859</wp:posOffset>
            </wp:positionV>
            <wp:extent cx="1954867" cy="780889"/>
            <wp:effectExtent l="0" t="0" r="7620" b="635"/>
            <wp:wrapNone/>
            <wp:docPr id="34" name="Picture 34" descr="C:\Users\Charrington\AppData\Local\Microsoft\Windows\Temporary Internet Files\Content.Outlook\EYT99SLX\ISI 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rington\AppData\Local\Microsoft\Windows\Temporary Internet Files\Content.Outlook\EYT99SLX\ISI Logo-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4867" cy="78088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1E29" w:rsidRDefault="00321E29" w:rsidP="00EA2051">
      <w:pPr>
        <w:jc w:val="both"/>
        <w:rPr>
          <w:rFonts w:ascii="Times New Roman" w:hAnsi="Times New Roman" w:cs="Times New Roman"/>
          <w:b/>
        </w:rPr>
      </w:pPr>
    </w:p>
    <w:p w:rsidR="00912DF6" w:rsidRDefault="00912DF6" w:rsidP="00321E29">
      <w:pPr>
        <w:spacing w:after="0" w:line="240" w:lineRule="auto"/>
        <w:jc w:val="center"/>
        <w:rPr>
          <w:b/>
          <w:sz w:val="36"/>
          <w:szCs w:val="36"/>
        </w:rPr>
      </w:pPr>
    </w:p>
    <w:p w:rsidR="00321E29" w:rsidRPr="00187803" w:rsidRDefault="00321E29" w:rsidP="00321E29">
      <w:pPr>
        <w:spacing w:after="0" w:line="240" w:lineRule="auto"/>
        <w:jc w:val="center"/>
        <w:rPr>
          <w:b/>
          <w:sz w:val="36"/>
          <w:szCs w:val="36"/>
        </w:rPr>
      </w:pPr>
      <w:r w:rsidRPr="00187803">
        <w:rPr>
          <w:b/>
          <w:sz w:val="36"/>
          <w:szCs w:val="36"/>
        </w:rPr>
        <w:t>THE COMMITTEE ON THE RIGHTS OF THE CHILD</w:t>
      </w:r>
    </w:p>
    <w:p w:rsidR="00321E29" w:rsidRPr="00187803" w:rsidRDefault="00321E29" w:rsidP="00321E29">
      <w:pPr>
        <w:spacing w:after="0" w:line="240" w:lineRule="auto"/>
        <w:jc w:val="center"/>
        <w:rPr>
          <w:b/>
          <w:sz w:val="28"/>
          <w:szCs w:val="28"/>
        </w:rPr>
      </w:pPr>
      <w:r w:rsidRPr="00187803">
        <w:rPr>
          <w:b/>
          <w:sz w:val="28"/>
          <w:szCs w:val="28"/>
        </w:rPr>
        <w:t>7</w:t>
      </w:r>
      <w:r>
        <w:rPr>
          <w:b/>
          <w:sz w:val="28"/>
          <w:szCs w:val="28"/>
        </w:rPr>
        <w:t>1</w:t>
      </w:r>
      <w:r w:rsidRPr="00321E29">
        <w:rPr>
          <w:b/>
          <w:sz w:val="28"/>
          <w:szCs w:val="28"/>
          <w:vertAlign w:val="superscript"/>
        </w:rPr>
        <w:t>st</w:t>
      </w:r>
      <w:r>
        <w:rPr>
          <w:b/>
          <w:sz w:val="28"/>
          <w:szCs w:val="28"/>
        </w:rPr>
        <w:t xml:space="preserve"> </w:t>
      </w:r>
      <w:r w:rsidRPr="00187803">
        <w:rPr>
          <w:b/>
          <w:sz w:val="28"/>
          <w:szCs w:val="28"/>
        </w:rPr>
        <w:t>Session (</w:t>
      </w:r>
      <w:r w:rsidR="00912DF6">
        <w:rPr>
          <w:b/>
          <w:sz w:val="28"/>
          <w:szCs w:val="28"/>
        </w:rPr>
        <w:t>11 – 29 January</w:t>
      </w:r>
      <w:r w:rsidRPr="00187803">
        <w:rPr>
          <w:b/>
          <w:sz w:val="28"/>
          <w:szCs w:val="28"/>
        </w:rPr>
        <w:t xml:space="preserve"> 2016)</w:t>
      </w:r>
    </w:p>
    <w:p w:rsidR="00321E29" w:rsidRPr="00E51E20" w:rsidRDefault="00321E29" w:rsidP="00321E29">
      <w:pPr>
        <w:spacing w:after="0" w:line="240" w:lineRule="auto"/>
        <w:jc w:val="center"/>
        <w:rPr>
          <w:b/>
        </w:rPr>
      </w:pPr>
    </w:p>
    <w:p w:rsidR="00321E29" w:rsidRPr="00E51E20" w:rsidRDefault="00321E29" w:rsidP="00321E29">
      <w:pPr>
        <w:spacing w:after="0" w:line="240" w:lineRule="auto"/>
        <w:jc w:val="center"/>
        <w:rPr>
          <w:b/>
        </w:rPr>
      </w:pPr>
    </w:p>
    <w:p w:rsidR="00321E29" w:rsidRPr="00187803" w:rsidRDefault="00912DF6" w:rsidP="00321E29">
      <w:pPr>
        <w:spacing w:after="0" w:line="240" w:lineRule="auto"/>
        <w:jc w:val="center"/>
        <w:rPr>
          <w:b/>
          <w:sz w:val="28"/>
          <w:szCs w:val="28"/>
        </w:rPr>
      </w:pPr>
      <w:r>
        <w:rPr>
          <w:b/>
          <w:sz w:val="28"/>
          <w:szCs w:val="28"/>
        </w:rPr>
        <w:t>LATVIA</w:t>
      </w:r>
    </w:p>
    <w:p w:rsidR="00321E29" w:rsidRDefault="00321E29" w:rsidP="00321E29">
      <w:pPr>
        <w:spacing w:after="0" w:line="240" w:lineRule="auto"/>
        <w:jc w:val="center"/>
        <w:rPr>
          <w:b/>
          <w:sz w:val="28"/>
          <w:szCs w:val="28"/>
        </w:rPr>
      </w:pPr>
    </w:p>
    <w:p w:rsidR="00321E29" w:rsidRDefault="00912DF6" w:rsidP="00321E29">
      <w:pPr>
        <w:spacing w:after="0" w:line="240" w:lineRule="auto"/>
        <w:jc w:val="center"/>
        <w:rPr>
          <w:b/>
          <w:sz w:val="28"/>
          <w:szCs w:val="28"/>
        </w:rPr>
      </w:pPr>
      <w:r>
        <w:rPr>
          <w:b/>
          <w:sz w:val="28"/>
          <w:szCs w:val="28"/>
        </w:rPr>
        <w:t xml:space="preserve">Additional Information for the consideration of the Committee in relation to </w:t>
      </w:r>
      <w:r w:rsidR="00321E29" w:rsidRPr="00187803">
        <w:rPr>
          <w:b/>
          <w:sz w:val="28"/>
          <w:szCs w:val="28"/>
        </w:rPr>
        <w:t>the right of every child to acquire a nationality under Article 7 CRC</w:t>
      </w:r>
    </w:p>
    <w:p w:rsidR="00321E29" w:rsidRDefault="00321E29" w:rsidP="00321E29">
      <w:pPr>
        <w:spacing w:after="0" w:line="240" w:lineRule="auto"/>
        <w:jc w:val="center"/>
        <w:rPr>
          <w:b/>
          <w:sz w:val="28"/>
          <w:szCs w:val="28"/>
        </w:rPr>
      </w:pPr>
    </w:p>
    <w:p w:rsidR="00321E29" w:rsidRPr="0099084C" w:rsidRDefault="00912DF6" w:rsidP="00321E29">
      <w:pPr>
        <w:spacing w:after="0" w:line="240" w:lineRule="auto"/>
        <w:jc w:val="center"/>
      </w:pPr>
      <w:r>
        <w:t>15 December</w:t>
      </w:r>
      <w:r w:rsidR="00321E29" w:rsidRPr="0099084C">
        <w:t xml:space="preserve"> 2015</w:t>
      </w:r>
    </w:p>
    <w:p w:rsidR="00321E29" w:rsidRDefault="00321E29" w:rsidP="00EA2051">
      <w:pPr>
        <w:jc w:val="both"/>
        <w:rPr>
          <w:rFonts w:ascii="Times New Roman" w:hAnsi="Times New Roman" w:cs="Times New Roman"/>
          <w:b/>
        </w:rPr>
      </w:pPr>
    </w:p>
    <w:p w:rsidR="00912DF6" w:rsidRPr="00912DF6" w:rsidRDefault="00912DF6" w:rsidP="00550BE1">
      <w:pPr>
        <w:pStyle w:val="ListParagraph"/>
        <w:numPr>
          <w:ilvl w:val="0"/>
          <w:numId w:val="3"/>
        </w:numPr>
        <w:spacing w:after="0" w:line="240" w:lineRule="auto"/>
        <w:jc w:val="both"/>
      </w:pPr>
      <w:r w:rsidRPr="00912DF6">
        <w:t>The Institute on Statelessness and Inclusion (the Institute)</w:t>
      </w:r>
      <w:r w:rsidRPr="00912DF6">
        <w:rPr>
          <w:rStyle w:val="FootnoteReference"/>
        </w:rPr>
        <w:footnoteReference w:id="1"/>
      </w:r>
      <w:r w:rsidRPr="00912DF6">
        <w:t xml:space="preserve"> welcome</w:t>
      </w:r>
      <w:r>
        <w:t>s</w:t>
      </w:r>
      <w:r w:rsidRPr="00912DF6">
        <w:t xml:space="preserve"> the opportunity to </w:t>
      </w:r>
      <w:r>
        <w:t xml:space="preserve">submit additional information for the consideration of </w:t>
      </w:r>
      <w:r w:rsidRPr="00912DF6">
        <w:t xml:space="preserve">the Committee on the Rights of the Child regarding </w:t>
      </w:r>
      <w:r>
        <w:t>Latvi</w:t>
      </w:r>
      <w:r w:rsidRPr="00912DF6">
        <w:t>a’s compliance towards every child’s right to acquire a nationality under Article 7 CRC.</w:t>
      </w:r>
    </w:p>
    <w:p w:rsidR="00B532BD" w:rsidRPr="00912DF6" w:rsidRDefault="00842A90" w:rsidP="00912DF6">
      <w:pPr>
        <w:spacing w:after="0" w:line="240" w:lineRule="auto"/>
        <w:jc w:val="both"/>
        <w:rPr>
          <w:rFonts w:cs="Times New Roman"/>
          <w:b/>
        </w:rPr>
      </w:pPr>
    </w:p>
    <w:p w:rsidR="00EA2051" w:rsidRPr="00550BE1" w:rsidRDefault="00912DF6" w:rsidP="00550BE1">
      <w:pPr>
        <w:pStyle w:val="ListParagraph"/>
        <w:numPr>
          <w:ilvl w:val="0"/>
          <w:numId w:val="3"/>
        </w:numPr>
        <w:spacing w:after="0" w:line="240" w:lineRule="auto"/>
        <w:jc w:val="both"/>
        <w:rPr>
          <w:rFonts w:cs="Times New Roman"/>
        </w:rPr>
      </w:pPr>
      <w:r w:rsidRPr="00550BE1">
        <w:rPr>
          <w:rFonts w:cs="Times New Roman"/>
        </w:rPr>
        <w:t>The Institute would like to draw the Committee’s attention to its</w:t>
      </w:r>
      <w:r w:rsidR="00EA2051" w:rsidRPr="00550BE1">
        <w:rPr>
          <w:rFonts w:cs="Times New Roman"/>
        </w:rPr>
        <w:t xml:space="preserve"> previous state party review for Latvia (CRC/C/LVA/CO/2, 2006),</w:t>
      </w:r>
      <w:r w:rsidRPr="00550BE1">
        <w:rPr>
          <w:rFonts w:cs="Times New Roman"/>
        </w:rPr>
        <w:t xml:space="preserve"> in which</w:t>
      </w:r>
      <w:r w:rsidR="00EA2051" w:rsidRPr="00550BE1">
        <w:rPr>
          <w:rFonts w:cs="Times New Roman"/>
        </w:rPr>
        <w:t xml:space="preserve"> the Committee expressed concern that “a considerable number of children in Latvia still do not yet have Latvian citizenship or are stateless” (para. 26). The Committee recommended that Latvia</w:t>
      </w:r>
      <w:r w:rsidR="00EA2051" w:rsidRPr="00550BE1">
        <w:rPr>
          <w:rFonts w:cs="Times New Roman"/>
          <w:i/>
        </w:rPr>
        <w:t xml:space="preserve"> </w:t>
      </w:r>
      <w:r w:rsidR="00EA2051" w:rsidRPr="00550BE1">
        <w:rPr>
          <w:rFonts w:cs="Times New Roman"/>
        </w:rPr>
        <w:t>“strengthen its efforts to accelerate the naturalisation process for those who wish to gain citizenship, with the aim of eliminating the transitional legal status of non-citizens” and encouraged Latvia “to provide more information and support to the parents of non-citizen and stateless children to ensure that all children in Latvia can easily acquire citizenship” (para. 27).</w:t>
      </w:r>
    </w:p>
    <w:p w:rsidR="00912DF6" w:rsidRPr="00912DF6" w:rsidRDefault="00912DF6" w:rsidP="00912DF6">
      <w:pPr>
        <w:spacing w:after="0" w:line="240" w:lineRule="auto"/>
        <w:jc w:val="both"/>
        <w:rPr>
          <w:rFonts w:cs="Times New Roman"/>
        </w:rPr>
      </w:pPr>
    </w:p>
    <w:p w:rsidR="009A5EA0" w:rsidRPr="00550BE1" w:rsidRDefault="00EA2051" w:rsidP="00550BE1">
      <w:pPr>
        <w:pStyle w:val="ListParagraph"/>
        <w:numPr>
          <w:ilvl w:val="0"/>
          <w:numId w:val="3"/>
        </w:numPr>
        <w:spacing w:after="0" w:line="240" w:lineRule="auto"/>
        <w:jc w:val="both"/>
        <w:rPr>
          <w:rFonts w:cs="Times New Roman"/>
        </w:rPr>
      </w:pPr>
      <w:r w:rsidRPr="00550BE1">
        <w:rPr>
          <w:rFonts w:cs="Times New Roman"/>
        </w:rPr>
        <w:t>Latvia’s combined third and fourth periodic reports to the Committee (CRC/C/LVA/3-5) provide an overview of measures taken since the last review to improve the enjoyment of the right to a nationality, as protected under article 7 CRC</w:t>
      </w:r>
      <w:r w:rsidR="009A5EA0" w:rsidRPr="00550BE1">
        <w:rPr>
          <w:rFonts w:cs="Times New Roman"/>
        </w:rPr>
        <w:t xml:space="preserve"> (paras. 204-242)</w:t>
      </w:r>
      <w:r w:rsidRPr="00550BE1">
        <w:rPr>
          <w:rFonts w:cs="Times New Roman"/>
        </w:rPr>
        <w:t>.</w:t>
      </w:r>
      <w:r w:rsidR="009A5EA0" w:rsidRPr="00550BE1">
        <w:rPr>
          <w:rFonts w:cs="Times New Roman"/>
        </w:rPr>
        <w:t xml:space="preserve"> However, significant concerns remain, as also </w:t>
      </w:r>
      <w:r w:rsidRPr="00550BE1">
        <w:rPr>
          <w:rFonts w:cs="Times New Roman"/>
        </w:rPr>
        <w:t xml:space="preserve">highlighted in the </w:t>
      </w:r>
      <w:r w:rsidR="00550BE1" w:rsidRPr="00550BE1">
        <w:rPr>
          <w:rFonts w:cs="Times New Roman"/>
        </w:rPr>
        <w:t>submission made</w:t>
      </w:r>
      <w:r w:rsidRPr="00550BE1">
        <w:rPr>
          <w:rFonts w:cs="Times New Roman"/>
        </w:rPr>
        <w:t xml:space="preserve"> to the Committee on 22 January 2015 by the Latvian Human Rights Committee</w:t>
      </w:r>
      <w:r w:rsidR="009A5EA0" w:rsidRPr="00550BE1">
        <w:rPr>
          <w:rFonts w:cs="Times New Roman"/>
        </w:rPr>
        <w:t>. As th</w:t>
      </w:r>
      <w:r w:rsidR="00550BE1" w:rsidRPr="00550BE1">
        <w:rPr>
          <w:rFonts w:cs="Times New Roman"/>
        </w:rPr>
        <w:t>is submission</w:t>
      </w:r>
      <w:r w:rsidR="009A5EA0" w:rsidRPr="00550BE1">
        <w:rPr>
          <w:rFonts w:cs="Times New Roman"/>
        </w:rPr>
        <w:t xml:space="preserve"> explained, amendments to the Latvian citizenship law adopted in 2013 “fell short of a default recognition of the </w:t>
      </w:r>
      <w:r w:rsidR="00550BE1" w:rsidRPr="00550BE1">
        <w:rPr>
          <w:rFonts w:cs="Times New Roman"/>
        </w:rPr>
        <w:t>new-born</w:t>
      </w:r>
      <w:r w:rsidR="009A5EA0" w:rsidRPr="00550BE1">
        <w:rPr>
          <w:rFonts w:cs="Times New Roman"/>
        </w:rPr>
        <w:t xml:space="preserve"> children of </w:t>
      </w:r>
      <w:r w:rsidR="00550BE1" w:rsidRPr="00550BE1">
        <w:rPr>
          <w:rFonts w:cs="Times New Roman"/>
        </w:rPr>
        <w:t>‘</w:t>
      </w:r>
      <w:r w:rsidR="009A5EA0" w:rsidRPr="00550BE1">
        <w:rPr>
          <w:rFonts w:cs="Times New Roman"/>
        </w:rPr>
        <w:t>non-citizens</w:t>
      </w:r>
      <w:r w:rsidR="00550BE1" w:rsidRPr="00550BE1">
        <w:rPr>
          <w:rFonts w:cs="Times New Roman"/>
        </w:rPr>
        <w:t>’</w:t>
      </w:r>
      <w:r w:rsidR="009A5EA0" w:rsidRPr="00550BE1">
        <w:rPr>
          <w:rFonts w:cs="Times New Roman"/>
        </w:rPr>
        <w:t xml:space="preserve"> as citizens of Latvia”</w:t>
      </w:r>
      <w:r w:rsidR="00550BE1" w:rsidRPr="00550BE1">
        <w:rPr>
          <w:rFonts w:cs="Times New Roman"/>
        </w:rPr>
        <w:t xml:space="preserve">, as </w:t>
      </w:r>
      <w:r w:rsidR="009A5EA0" w:rsidRPr="00550BE1">
        <w:rPr>
          <w:rFonts w:cs="Times New Roman"/>
        </w:rPr>
        <w:t xml:space="preserve">advocated by various international and regional human rights bodies. The </w:t>
      </w:r>
      <w:r w:rsidR="00550BE1" w:rsidRPr="00550BE1">
        <w:rPr>
          <w:rFonts w:cs="Times New Roman"/>
        </w:rPr>
        <w:t>submission</w:t>
      </w:r>
      <w:r w:rsidR="009A5EA0" w:rsidRPr="00550BE1">
        <w:rPr>
          <w:rFonts w:cs="Times New Roman"/>
        </w:rPr>
        <w:t xml:space="preserve"> points out that, as a result, the right to acquire a nationality remains unfulfilled for over 8,000 children born in Latvia.</w:t>
      </w:r>
    </w:p>
    <w:p w:rsidR="00550BE1" w:rsidRPr="00912DF6" w:rsidRDefault="00550BE1" w:rsidP="00912DF6">
      <w:pPr>
        <w:spacing w:after="0" w:line="240" w:lineRule="auto"/>
        <w:jc w:val="both"/>
        <w:rPr>
          <w:rFonts w:cs="Times New Roman"/>
        </w:rPr>
      </w:pPr>
    </w:p>
    <w:p w:rsidR="006C3BCF" w:rsidRPr="00550BE1" w:rsidRDefault="00550BE1" w:rsidP="00550BE1">
      <w:pPr>
        <w:pStyle w:val="ListParagraph"/>
        <w:numPr>
          <w:ilvl w:val="0"/>
          <w:numId w:val="3"/>
        </w:numPr>
        <w:spacing w:after="0" w:line="240" w:lineRule="auto"/>
        <w:jc w:val="both"/>
        <w:rPr>
          <w:rFonts w:cs="Times New Roman"/>
        </w:rPr>
      </w:pPr>
      <w:r w:rsidRPr="00550BE1">
        <w:rPr>
          <w:rFonts w:cs="Times New Roman"/>
        </w:rPr>
        <w:t>However, in</w:t>
      </w:r>
      <w:r w:rsidR="009A5EA0" w:rsidRPr="00550BE1">
        <w:rPr>
          <w:rFonts w:cs="Times New Roman"/>
        </w:rPr>
        <w:t xml:space="preserve"> the List of Issues adopted by the Committee (CRC/C/LVA/Q/3-5), the issue of the child’s right to a nationality is not raised. </w:t>
      </w:r>
      <w:r w:rsidRPr="00550BE1">
        <w:rPr>
          <w:rFonts w:cs="Times New Roman"/>
        </w:rPr>
        <w:t>Consequently it does not</w:t>
      </w:r>
      <w:r w:rsidR="009A5EA0" w:rsidRPr="00550BE1">
        <w:rPr>
          <w:rFonts w:cs="Times New Roman"/>
        </w:rPr>
        <w:t xml:space="preserve"> feature in the state party’s reply to the List of Issue</w:t>
      </w:r>
      <w:r w:rsidR="006C3BCF" w:rsidRPr="00550BE1">
        <w:rPr>
          <w:rFonts w:cs="Times New Roman"/>
        </w:rPr>
        <w:t>s</w:t>
      </w:r>
      <w:r w:rsidR="009A5EA0" w:rsidRPr="00550BE1">
        <w:rPr>
          <w:rFonts w:cs="Times New Roman"/>
        </w:rPr>
        <w:t xml:space="preserve"> (CRC/C/LVA/Q/3-5/Add.1). </w:t>
      </w:r>
    </w:p>
    <w:p w:rsidR="00550BE1" w:rsidRPr="00912DF6" w:rsidRDefault="00550BE1" w:rsidP="00912DF6">
      <w:pPr>
        <w:spacing w:after="0" w:line="240" w:lineRule="auto"/>
        <w:jc w:val="both"/>
        <w:rPr>
          <w:rFonts w:cs="Times New Roman"/>
        </w:rPr>
      </w:pPr>
    </w:p>
    <w:p w:rsidR="006C3BCF" w:rsidRPr="00550BE1" w:rsidRDefault="006C3BCF" w:rsidP="00550BE1">
      <w:pPr>
        <w:pStyle w:val="ListParagraph"/>
        <w:numPr>
          <w:ilvl w:val="0"/>
          <w:numId w:val="3"/>
        </w:numPr>
        <w:spacing w:after="0" w:line="240" w:lineRule="auto"/>
        <w:jc w:val="both"/>
        <w:rPr>
          <w:rFonts w:cs="Times New Roman"/>
        </w:rPr>
      </w:pPr>
      <w:r w:rsidRPr="00550BE1">
        <w:rPr>
          <w:rFonts w:cs="Times New Roman"/>
        </w:rPr>
        <w:lastRenderedPageBreak/>
        <w:t xml:space="preserve">The Institute on Statelessness and Inclusion would like to take this opportunity to request that the Committee nevertheless address the issue of the child’s right to a nationality in its dialogue with the state party during the forthcoming Committee session. In particular, in line with the </w:t>
      </w:r>
      <w:r w:rsidR="00550BE1" w:rsidRPr="00550BE1">
        <w:rPr>
          <w:rFonts w:cs="Times New Roman"/>
        </w:rPr>
        <w:t xml:space="preserve">submission made </w:t>
      </w:r>
      <w:r w:rsidRPr="00550BE1">
        <w:rPr>
          <w:rFonts w:cs="Times New Roman"/>
        </w:rPr>
        <w:t xml:space="preserve">by the Latvian Human Rights Committee and information provided in the European Network on Statelessness and Latvian Centre for Human Rights’ report </w:t>
      </w:r>
      <w:r w:rsidRPr="00550BE1">
        <w:rPr>
          <w:rFonts w:cs="Times New Roman"/>
          <w:i/>
        </w:rPr>
        <w:t>Ending Childhood Statelessness: A study of Latvia</w:t>
      </w:r>
      <w:r w:rsidR="00550BE1" w:rsidRPr="00550BE1">
        <w:rPr>
          <w:rFonts w:cs="Times New Roman"/>
          <w:i/>
        </w:rPr>
        <w:t>,</w:t>
      </w:r>
      <w:r w:rsidRPr="00912DF6">
        <w:rPr>
          <w:rStyle w:val="FootnoteReference"/>
          <w:rFonts w:cs="Times New Roman"/>
        </w:rPr>
        <w:footnoteReference w:id="2"/>
      </w:r>
      <w:r w:rsidRPr="00550BE1">
        <w:rPr>
          <w:rFonts w:cs="Times New Roman"/>
          <w:i/>
        </w:rPr>
        <w:t xml:space="preserve"> </w:t>
      </w:r>
      <w:r w:rsidRPr="00550BE1">
        <w:rPr>
          <w:rFonts w:cs="Times New Roman"/>
        </w:rPr>
        <w:t xml:space="preserve">the Institute </w:t>
      </w:r>
      <w:r w:rsidR="00550BE1" w:rsidRPr="00550BE1">
        <w:rPr>
          <w:rFonts w:cs="Times New Roman"/>
        </w:rPr>
        <w:t>recommends</w:t>
      </w:r>
      <w:r w:rsidRPr="00550BE1">
        <w:rPr>
          <w:rFonts w:cs="Times New Roman"/>
        </w:rPr>
        <w:t xml:space="preserve"> that the Committee </w:t>
      </w:r>
      <w:r w:rsidR="00550BE1" w:rsidRPr="00550BE1">
        <w:rPr>
          <w:rFonts w:cs="Times New Roman"/>
        </w:rPr>
        <w:t>seek information from</w:t>
      </w:r>
      <w:r w:rsidRPr="00550BE1">
        <w:rPr>
          <w:rFonts w:cs="Times New Roman"/>
        </w:rPr>
        <w:t xml:space="preserve"> Latvia on the following:</w:t>
      </w:r>
    </w:p>
    <w:p w:rsidR="00550BE1" w:rsidRPr="00912DF6" w:rsidRDefault="00550BE1" w:rsidP="00912DF6">
      <w:pPr>
        <w:spacing w:after="0" w:line="240" w:lineRule="auto"/>
        <w:jc w:val="both"/>
        <w:rPr>
          <w:rFonts w:cs="Times New Roman"/>
        </w:rPr>
      </w:pPr>
    </w:p>
    <w:p w:rsidR="00EA2051" w:rsidRDefault="006C3BCF" w:rsidP="00550BE1">
      <w:pPr>
        <w:pStyle w:val="ListParagraph"/>
        <w:numPr>
          <w:ilvl w:val="1"/>
          <w:numId w:val="3"/>
        </w:numPr>
        <w:spacing w:after="0" w:line="240" w:lineRule="auto"/>
        <w:jc w:val="both"/>
        <w:rPr>
          <w:rFonts w:cs="Times New Roman"/>
          <w:b/>
        </w:rPr>
      </w:pPr>
      <w:r w:rsidRPr="00912DF6">
        <w:rPr>
          <w:rFonts w:cs="Times New Roman"/>
          <w:b/>
        </w:rPr>
        <w:t xml:space="preserve">What steps is Latvia taking to bring its Citizenship Law in line with its international obligations under the CRC and the 1961 Convention on the Reduction of Statelessness with respect to access to nationality for all children born on its territory who would otherwise be stateless? </w:t>
      </w:r>
    </w:p>
    <w:p w:rsidR="00550BE1" w:rsidRPr="00912DF6" w:rsidRDefault="00550BE1" w:rsidP="00550BE1">
      <w:pPr>
        <w:pStyle w:val="ListParagraph"/>
        <w:spacing w:after="0" w:line="240" w:lineRule="auto"/>
        <w:jc w:val="both"/>
        <w:rPr>
          <w:rFonts w:cs="Times New Roman"/>
          <w:b/>
        </w:rPr>
      </w:pPr>
    </w:p>
    <w:p w:rsidR="00DA006E" w:rsidRPr="00912DF6" w:rsidRDefault="00550BE1" w:rsidP="00550BE1">
      <w:pPr>
        <w:pStyle w:val="ListParagraph"/>
        <w:spacing w:after="0" w:line="240" w:lineRule="auto"/>
        <w:ind w:left="1440"/>
        <w:jc w:val="both"/>
        <w:rPr>
          <w:rFonts w:cs="Times New Roman"/>
          <w:i/>
        </w:rPr>
      </w:pPr>
      <w:r>
        <w:rPr>
          <w:rFonts w:cs="Times New Roman"/>
          <w:b/>
          <w:i/>
        </w:rPr>
        <w:t xml:space="preserve">Background </w:t>
      </w:r>
      <w:r w:rsidRPr="00550BE1">
        <w:rPr>
          <w:rFonts w:cs="Times New Roman"/>
          <w:b/>
          <w:i/>
        </w:rPr>
        <w:t>Note:</w:t>
      </w:r>
      <w:r>
        <w:rPr>
          <w:rFonts w:cs="Times New Roman"/>
          <w:i/>
        </w:rPr>
        <w:t xml:space="preserve"> </w:t>
      </w:r>
      <w:r w:rsidR="00DA006E" w:rsidRPr="00912DF6">
        <w:rPr>
          <w:rFonts w:cs="Times New Roman"/>
          <w:i/>
        </w:rPr>
        <w:t xml:space="preserve">At present, the Citizenship Law only provides a safeguard against statelessness for children born on the territory if </w:t>
      </w:r>
      <w:r w:rsidR="00DA006E" w:rsidRPr="00912DF6">
        <w:rPr>
          <w:rFonts w:cs="Times New Roman"/>
          <w:i/>
          <w:u w:val="single"/>
        </w:rPr>
        <w:t>both</w:t>
      </w:r>
      <w:r w:rsidR="00DA006E" w:rsidRPr="00912DF6">
        <w:rPr>
          <w:rFonts w:cs="Times New Roman"/>
          <w:i/>
        </w:rPr>
        <w:t xml:space="preserve"> of the child’s parents are “non-citizens” or stateless persons, thereby excluding children who are unable to acquire a nationality at birth for other reasons - for instance where either or both parent(s) holds a nationality but is unable to confer that nationality to the child. Moreover, the Citizenship Law requires the parent to hold permanent residence in order to make an application for Latvian nationality on behalf of his/her stateless child. Neither condition is in accordance with Latvia’s obligations under the 1961 Convention on the Reduction of Statelessness, nor do they allow for the full and effective implementation of </w:t>
      </w:r>
      <w:r>
        <w:rPr>
          <w:rFonts w:cs="Times New Roman"/>
          <w:i/>
        </w:rPr>
        <w:t>A</w:t>
      </w:r>
      <w:r w:rsidR="00DA006E" w:rsidRPr="00912DF6">
        <w:rPr>
          <w:rFonts w:cs="Times New Roman"/>
          <w:i/>
        </w:rPr>
        <w:t>rticle 7 CRC which requires states to ensure that all stateless children born on their territory are able to acquire a nationality, irrespective of the parents’ nationality or legal status.</w:t>
      </w:r>
      <w:r w:rsidR="00DA006E" w:rsidRPr="00912DF6">
        <w:rPr>
          <w:rStyle w:val="FootnoteReference"/>
          <w:rFonts w:cs="Times New Roman"/>
          <w:i/>
        </w:rPr>
        <w:footnoteReference w:id="3"/>
      </w:r>
    </w:p>
    <w:p w:rsidR="00DA006E" w:rsidRPr="00912DF6" w:rsidRDefault="00DA006E" w:rsidP="00912DF6">
      <w:pPr>
        <w:pStyle w:val="ListParagraph"/>
        <w:spacing w:after="0" w:line="240" w:lineRule="auto"/>
        <w:jc w:val="both"/>
        <w:rPr>
          <w:rFonts w:cs="Times New Roman"/>
          <w:i/>
        </w:rPr>
      </w:pPr>
    </w:p>
    <w:p w:rsidR="00DA006E" w:rsidRDefault="00DA006E" w:rsidP="00550BE1">
      <w:pPr>
        <w:pStyle w:val="ListParagraph"/>
        <w:numPr>
          <w:ilvl w:val="1"/>
          <w:numId w:val="3"/>
        </w:numPr>
        <w:spacing w:after="0" w:line="240" w:lineRule="auto"/>
        <w:jc w:val="both"/>
        <w:rPr>
          <w:rFonts w:cs="Times New Roman"/>
          <w:b/>
        </w:rPr>
      </w:pPr>
      <w:r w:rsidRPr="00912DF6">
        <w:rPr>
          <w:rFonts w:cs="Times New Roman"/>
          <w:b/>
        </w:rPr>
        <w:t>What further legislative and administrative measures is Latvia considering in order to realise the right to a nationality for all children born on its territory, in accordance with article 7 CRC?</w:t>
      </w:r>
    </w:p>
    <w:p w:rsidR="00550BE1" w:rsidRPr="00912DF6" w:rsidRDefault="00550BE1" w:rsidP="00550BE1">
      <w:pPr>
        <w:pStyle w:val="ListParagraph"/>
        <w:spacing w:after="0" w:line="240" w:lineRule="auto"/>
        <w:jc w:val="both"/>
        <w:rPr>
          <w:rFonts w:cs="Times New Roman"/>
          <w:b/>
        </w:rPr>
      </w:pPr>
    </w:p>
    <w:p w:rsidR="00DA006E" w:rsidRDefault="00550BE1" w:rsidP="00550BE1">
      <w:pPr>
        <w:pStyle w:val="ListParagraph"/>
        <w:numPr>
          <w:ilvl w:val="1"/>
          <w:numId w:val="3"/>
        </w:numPr>
        <w:spacing w:after="0" w:line="240" w:lineRule="auto"/>
        <w:jc w:val="both"/>
        <w:rPr>
          <w:rFonts w:cs="Times New Roman"/>
          <w:i/>
        </w:rPr>
      </w:pPr>
      <w:r>
        <w:rPr>
          <w:rFonts w:cs="Times New Roman"/>
          <w:b/>
          <w:i/>
        </w:rPr>
        <w:t xml:space="preserve">Background </w:t>
      </w:r>
      <w:r w:rsidRPr="00550BE1">
        <w:rPr>
          <w:rFonts w:cs="Times New Roman"/>
          <w:b/>
          <w:i/>
        </w:rPr>
        <w:t>Note:</w:t>
      </w:r>
      <w:r>
        <w:rPr>
          <w:rFonts w:cs="Times New Roman"/>
          <w:i/>
        </w:rPr>
        <w:t xml:space="preserve"> </w:t>
      </w:r>
      <w:r w:rsidR="00DA006E" w:rsidRPr="00912DF6">
        <w:rPr>
          <w:rFonts w:cs="Times New Roman"/>
          <w:i/>
        </w:rPr>
        <w:t xml:space="preserve">Some 8,000 children who were born in Latvia remain without a nationality. This is not in accordance with article 7 CRC, nor the principle of best interests of the child. Research </w:t>
      </w:r>
      <w:r w:rsidR="004E0268" w:rsidRPr="00912DF6">
        <w:rPr>
          <w:rFonts w:cs="Times New Roman"/>
          <w:i/>
        </w:rPr>
        <w:t xml:space="preserve">by Latvia’s Office of Citizenship and Migration Affairs (OCMA) </w:t>
      </w:r>
      <w:r w:rsidR="00DA006E" w:rsidRPr="00912DF6">
        <w:rPr>
          <w:rFonts w:cs="Times New Roman"/>
          <w:i/>
        </w:rPr>
        <w:t xml:space="preserve">demonstrates that “non-citizen” parents remain, in some cases, hesitant to apply for Latvian nationality on behalf of their children, leaving the child stateless. While children can submit an independent application between the ages of </w:t>
      </w:r>
      <w:r w:rsidR="004E0268" w:rsidRPr="00912DF6">
        <w:rPr>
          <w:rFonts w:cs="Times New Roman"/>
          <w:i/>
        </w:rPr>
        <w:t>15 and 18, this is subject to additional</w:t>
      </w:r>
      <w:r w:rsidR="00DA006E" w:rsidRPr="00912DF6">
        <w:rPr>
          <w:rFonts w:cs="Times New Roman"/>
          <w:i/>
        </w:rPr>
        <w:t xml:space="preserve"> conditions. </w:t>
      </w:r>
      <w:r w:rsidR="004E0268" w:rsidRPr="00912DF6">
        <w:rPr>
          <w:rFonts w:cs="Times New Roman"/>
          <w:i/>
        </w:rPr>
        <w:t xml:space="preserve">It is critical that Latvia take further steps to actively protect and fulfil the right to acquire a nationality for </w:t>
      </w:r>
      <w:r w:rsidR="004E0268" w:rsidRPr="00912DF6">
        <w:rPr>
          <w:rFonts w:cs="Times New Roman"/>
          <w:i/>
          <w:u w:val="single"/>
        </w:rPr>
        <w:t>all</w:t>
      </w:r>
      <w:r w:rsidR="004E0268" w:rsidRPr="00912DF6">
        <w:rPr>
          <w:rFonts w:cs="Times New Roman"/>
          <w:i/>
        </w:rPr>
        <w:t xml:space="preserve"> children born on its territory, regardless of the opinions or actions of the parents.</w:t>
      </w:r>
      <w:r w:rsidR="00DA006E" w:rsidRPr="00912DF6">
        <w:rPr>
          <w:rFonts w:cs="Times New Roman"/>
          <w:i/>
        </w:rPr>
        <w:t xml:space="preserve"> </w:t>
      </w:r>
      <w:r>
        <w:rPr>
          <w:rFonts w:cs="Times New Roman"/>
          <w:i/>
        </w:rPr>
        <w:t xml:space="preserve"> </w:t>
      </w:r>
    </w:p>
    <w:p w:rsidR="00550BE1" w:rsidRPr="00550BE1" w:rsidRDefault="00550BE1" w:rsidP="00550BE1">
      <w:pPr>
        <w:pStyle w:val="ListParagraph"/>
        <w:rPr>
          <w:rFonts w:cs="Times New Roman"/>
          <w:i/>
        </w:rPr>
      </w:pPr>
    </w:p>
    <w:p w:rsidR="00550BE1" w:rsidRPr="003A3227" w:rsidRDefault="00550BE1" w:rsidP="003A3227">
      <w:pPr>
        <w:spacing w:after="0" w:line="240" w:lineRule="auto"/>
        <w:jc w:val="both"/>
        <w:rPr>
          <w:rFonts w:cs="Times New Roman"/>
          <w:i/>
        </w:rPr>
      </w:pPr>
    </w:p>
    <w:p w:rsidR="00DA006E" w:rsidRPr="00912DF6" w:rsidRDefault="00DA006E" w:rsidP="00912DF6">
      <w:pPr>
        <w:pStyle w:val="ListParagraph"/>
        <w:spacing w:after="0" w:line="240" w:lineRule="auto"/>
        <w:jc w:val="both"/>
        <w:rPr>
          <w:rFonts w:cs="Times New Roman"/>
        </w:rPr>
      </w:pPr>
    </w:p>
    <w:sectPr w:rsidR="00DA006E" w:rsidRPr="00912DF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244" w:rsidRDefault="00EB2244" w:rsidP="006C3BCF">
      <w:pPr>
        <w:spacing w:after="0" w:line="240" w:lineRule="auto"/>
      </w:pPr>
      <w:r>
        <w:separator/>
      </w:r>
    </w:p>
  </w:endnote>
  <w:endnote w:type="continuationSeparator" w:id="0">
    <w:p w:rsidR="00EB2244" w:rsidRDefault="00EB2244" w:rsidP="006C3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244" w:rsidRDefault="00EB2244" w:rsidP="006C3BCF">
      <w:pPr>
        <w:spacing w:after="0" w:line="240" w:lineRule="auto"/>
      </w:pPr>
      <w:r>
        <w:separator/>
      </w:r>
    </w:p>
  </w:footnote>
  <w:footnote w:type="continuationSeparator" w:id="0">
    <w:p w:rsidR="00EB2244" w:rsidRDefault="00EB2244" w:rsidP="006C3BCF">
      <w:pPr>
        <w:spacing w:after="0" w:line="240" w:lineRule="auto"/>
      </w:pPr>
      <w:r>
        <w:continuationSeparator/>
      </w:r>
    </w:p>
  </w:footnote>
  <w:footnote w:id="1">
    <w:p w:rsidR="00912DF6" w:rsidRPr="00340072" w:rsidRDefault="00912DF6" w:rsidP="00912DF6">
      <w:pPr>
        <w:pStyle w:val="FootnoteText"/>
        <w:rPr>
          <w:sz w:val="16"/>
          <w:szCs w:val="16"/>
        </w:rPr>
      </w:pPr>
      <w:r w:rsidRPr="00340072">
        <w:rPr>
          <w:rStyle w:val="FootnoteReference"/>
          <w:sz w:val="16"/>
          <w:szCs w:val="16"/>
        </w:rPr>
        <w:footnoteRef/>
      </w:r>
      <w:r w:rsidRPr="00340072">
        <w:rPr>
          <w:sz w:val="16"/>
          <w:szCs w:val="16"/>
        </w:rPr>
        <w:t xml:space="preserve"> The Institute on Statelessness and Inclusion is an independent non-profit organisation committed to addressing statelessness and disenfranchisement in the world through the promotion of human rights, participation and inclusion. (</w:t>
      </w:r>
      <w:hyperlink r:id="rId1" w:history="1">
        <w:r w:rsidRPr="00340072">
          <w:rPr>
            <w:rStyle w:val="Hyperlink"/>
            <w:sz w:val="16"/>
            <w:szCs w:val="16"/>
          </w:rPr>
          <w:t>www.institutesi.org</w:t>
        </w:r>
      </w:hyperlink>
      <w:r w:rsidRPr="00340072">
        <w:rPr>
          <w:sz w:val="16"/>
          <w:szCs w:val="16"/>
        </w:rPr>
        <w:t xml:space="preserve">) </w:t>
      </w:r>
    </w:p>
  </w:footnote>
  <w:footnote w:id="2">
    <w:p w:rsidR="006C3BCF" w:rsidRPr="00DA006E" w:rsidRDefault="006C3BCF">
      <w:pPr>
        <w:pStyle w:val="FootnoteText"/>
        <w:rPr>
          <w:sz w:val="16"/>
          <w:szCs w:val="16"/>
        </w:rPr>
      </w:pPr>
      <w:r w:rsidRPr="00DA006E">
        <w:rPr>
          <w:rStyle w:val="FootnoteReference"/>
          <w:sz w:val="16"/>
          <w:szCs w:val="16"/>
        </w:rPr>
        <w:footnoteRef/>
      </w:r>
      <w:r w:rsidRPr="00DA006E">
        <w:rPr>
          <w:sz w:val="16"/>
          <w:szCs w:val="16"/>
        </w:rPr>
        <w:t xml:space="preserve"> Published June 2015. Available at: </w:t>
      </w:r>
      <w:hyperlink r:id="rId2" w:history="1">
        <w:r w:rsidRPr="00DA006E">
          <w:rPr>
            <w:rStyle w:val="Hyperlink"/>
            <w:sz w:val="16"/>
            <w:szCs w:val="16"/>
          </w:rPr>
          <w:t>http://www.statelessness.eu/sites/www.statelessness.eu/files/Latvia_0.pdf</w:t>
        </w:r>
      </w:hyperlink>
      <w:r w:rsidRPr="00DA006E">
        <w:rPr>
          <w:sz w:val="16"/>
          <w:szCs w:val="16"/>
        </w:rPr>
        <w:t xml:space="preserve"> </w:t>
      </w:r>
    </w:p>
  </w:footnote>
  <w:footnote w:id="3">
    <w:p w:rsidR="00DA006E" w:rsidRPr="00DA006E" w:rsidRDefault="00DA006E">
      <w:pPr>
        <w:pStyle w:val="FootnoteText"/>
        <w:rPr>
          <w:sz w:val="16"/>
          <w:szCs w:val="16"/>
        </w:rPr>
      </w:pPr>
      <w:r w:rsidRPr="00DA006E">
        <w:rPr>
          <w:rStyle w:val="FootnoteReference"/>
          <w:sz w:val="16"/>
          <w:szCs w:val="16"/>
        </w:rPr>
        <w:footnoteRef/>
      </w:r>
      <w:r w:rsidRPr="00DA006E">
        <w:rPr>
          <w:sz w:val="16"/>
          <w:szCs w:val="16"/>
        </w:rPr>
        <w:t xml:space="preserve"> See the Committee’s previous Concluding Observations, for instance in respect of Turkmenistan (CRC/C/TKM/CO/2-4) and Switzerland (CRC/C/CHE/CO/2-4).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926DC"/>
    <w:multiLevelType w:val="hybridMultilevel"/>
    <w:tmpl w:val="4FEC6FB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491A314A"/>
    <w:multiLevelType w:val="hybridMultilevel"/>
    <w:tmpl w:val="C910F488"/>
    <w:lvl w:ilvl="0" w:tplc="8FDA21FA">
      <w:start w:val="1"/>
      <w:numFmt w:val="decimal"/>
      <w:lvlText w:val="%1."/>
      <w:lvlJc w:val="left"/>
      <w:pPr>
        <w:ind w:left="720" w:hanging="360"/>
      </w:pPr>
      <w:rPr>
        <w:rFonts w:asciiTheme="minorHAnsi" w:hAnsiTheme="minorHAnsi" w:hint="default"/>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4CA2F9C"/>
    <w:multiLevelType w:val="hybridMultilevel"/>
    <w:tmpl w:val="007A9FB2"/>
    <w:lvl w:ilvl="0" w:tplc="006A4D20">
      <w:start w:val="1"/>
      <w:numFmt w:val="decimal"/>
      <w:lvlText w:val="%1."/>
      <w:lvlJc w:val="left"/>
      <w:pPr>
        <w:ind w:left="720" w:hanging="360"/>
      </w:pPr>
      <w:rPr>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051"/>
    <w:rsid w:val="00321E29"/>
    <w:rsid w:val="003A3227"/>
    <w:rsid w:val="004E0268"/>
    <w:rsid w:val="00550BE1"/>
    <w:rsid w:val="00605157"/>
    <w:rsid w:val="006C3BCF"/>
    <w:rsid w:val="00842A90"/>
    <w:rsid w:val="00912DF6"/>
    <w:rsid w:val="009156DE"/>
    <w:rsid w:val="009A5EA0"/>
    <w:rsid w:val="00C6290E"/>
    <w:rsid w:val="00C93639"/>
    <w:rsid w:val="00DA006E"/>
    <w:rsid w:val="00E93891"/>
    <w:rsid w:val="00EA2051"/>
    <w:rsid w:val="00EB22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C3BCF"/>
    <w:pPr>
      <w:spacing w:after="0" w:line="240" w:lineRule="auto"/>
    </w:pPr>
    <w:rPr>
      <w:sz w:val="20"/>
      <w:szCs w:val="20"/>
    </w:rPr>
  </w:style>
  <w:style w:type="character" w:customStyle="1" w:styleId="FootnoteTextChar">
    <w:name w:val="Footnote Text Char"/>
    <w:basedOn w:val="DefaultParagraphFont"/>
    <w:link w:val="FootnoteText"/>
    <w:uiPriority w:val="99"/>
    <w:rsid w:val="006C3BCF"/>
    <w:rPr>
      <w:sz w:val="20"/>
      <w:szCs w:val="20"/>
      <w:lang w:val="en-GB"/>
    </w:rPr>
  </w:style>
  <w:style w:type="character" w:styleId="FootnoteReference">
    <w:name w:val="footnote reference"/>
    <w:basedOn w:val="DefaultParagraphFont"/>
    <w:uiPriority w:val="99"/>
    <w:unhideWhenUsed/>
    <w:rsid w:val="006C3BCF"/>
    <w:rPr>
      <w:vertAlign w:val="superscript"/>
    </w:rPr>
  </w:style>
  <w:style w:type="character" w:styleId="Hyperlink">
    <w:name w:val="Hyperlink"/>
    <w:basedOn w:val="DefaultParagraphFont"/>
    <w:uiPriority w:val="99"/>
    <w:unhideWhenUsed/>
    <w:rsid w:val="006C3BCF"/>
    <w:rPr>
      <w:color w:val="0000FF" w:themeColor="hyperlink"/>
      <w:u w:val="single"/>
    </w:rPr>
  </w:style>
  <w:style w:type="paragraph" w:styleId="ListParagraph">
    <w:name w:val="List Paragraph"/>
    <w:basedOn w:val="Normal"/>
    <w:uiPriority w:val="34"/>
    <w:qFormat/>
    <w:rsid w:val="006C3B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C3BCF"/>
    <w:pPr>
      <w:spacing w:after="0" w:line="240" w:lineRule="auto"/>
    </w:pPr>
    <w:rPr>
      <w:sz w:val="20"/>
      <w:szCs w:val="20"/>
    </w:rPr>
  </w:style>
  <w:style w:type="character" w:customStyle="1" w:styleId="FootnoteTextChar">
    <w:name w:val="Footnote Text Char"/>
    <w:basedOn w:val="DefaultParagraphFont"/>
    <w:link w:val="FootnoteText"/>
    <w:uiPriority w:val="99"/>
    <w:rsid w:val="006C3BCF"/>
    <w:rPr>
      <w:sz w:val="20"/>
      <w:szCs w:val="20"/>
      <w:lang w:val="en-GB"/>
    </w:rPr>
  </w:style>
  <w:style w:type="character" w:styleId="FootnoteReference">
    <w:name w:val="footnote reference"/>
    <w:basedOn w:val="DefaultParagraphFont"/>
    <w:uiPriority w:val="99"/>
    <w:unhideWhenUsed/>
    <w:rsid w:val="006C3BCF"/>
    <w:rPr>
      <w:vertAlign w:val="superscript"/>
    </w:rPr>
  </w:style>
  <w:style w:type="character" w:styleId="Hyperlink">
    <w:name w:val="Hyperlink"/>
    <w:basedOn w:val="DefaultParagraphFont"/>
    <w:uiPriority w:val="99"/>
    <w:unhideWhenUsed/>
    <w:rsid w:val="006C3BCF"/>
    <w:rPr>
      <w:color w:val="0000FF" w:themeColor="hyperlink"/>
      <w:u w:val="single"/>
    </w:rPr>
  </w:style>
  <w:style w:type="paragraph" w:styleId="ListParagraph">
    <w:name w:val="List Paragraph"/>
    <w:basedOn w:val="Normal"/>
    <w:uiPriority w:val="34"/>
    <w:qFormat/>
    <w:rsid w:val="006C3B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statelessness.eu/sites/www.statelessness.eu/files/Latvia_0.pdf" TargetMode="External"/><Relationship Id="rId1" Type="http://schemas.openxmlformats.org/officeDocument/2006/relationships/hyperlink" Target="http://www.institutesi.org"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B114A4-EBD6-4218-9640-DEB5008E438C}"/>
</file>

<file path=customXml/itemProps2.xml><?xml version="1.0" encoding="utf-8"?>
<ds:datastoreItem xmlns:ds="http://schemas.openxmlformats.org/officeDocument/2006/customXml" ds:itemID="{B25DC3EA-91A1-4AC9-91EC-1515E4B8E834}"/>
</file>

<file path=customXml/itemProps3.xml><?xml version="1.0" encoding="utf-8"?>
<ds:datastoreItem xmlns:ds="http://schemas.openxmlformats.org/officeDocument/2006/customXml" ds:itemID="{7B3CF1AA-776C-4D07-ABCB-D88F8D9F217C}"/>
</file>

<file path=customXml/itemProps4.xml><?xml version="1.0" encoding="utf-8"?>
<ds:datastoreItem xmlns:ds="http://schemas.openxmlformats.org/officeDocument/2006/customXml" ds:itemID="{AB46F24F-E21B-4A6A-A588-7BFB282C317D}"/>
</file>

<file path=docProps/app.xml><?xml version="1.0" encoding="utf-8"?>
<Properties xmlns="http://schemas.openxmlformats.org/officeDocument/2006/extended-properties" xmlns:vt="http://schemas.openxmlformats.org/officeDocument/2006/docPropsVTypes">
  <Template>Normal</Template>
  <TotalTime>13</TotalTime>
  <Pages>2</Pages>
  <Words>765</Words>
  <Characters>4361</Characters>
  <Application>Microsoft Office Word</Application>
  <DocSecurity>4</DocSecurity>
  <Lines>36</Lines>
  <Paragraphs>10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OHCHR</Company>
  <LinksUpToDate>false</LinksUpToDate>
  <CharactersWithSpaces>5116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van Waas</dc:creator>
  <cp:lastModifiedBy>CRC Intern</cp:lastModifiedBy>
  <cp:revision>2</cp:revision>
  <dcterms:created xsi:type="dcterms:W3CDTF">2015-12-17T11:09:00Z</dcterms:created>
  <dcterms:modified xsi:type="dcterms:W3CDTF">2015-12-17T11:09:00Z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