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1611E" w14:textId="77777777" w:rsidR="00942B27" w:rsidRPr="006F137E" w:rsidRDefault="00942B27" w:rsidP="00917F54">
      <w:pPr>
        <w:spacing w:after="0" w:line="240" w:lineRule="auto"/>
        <w:jc w:val="both"/>
        <w:rPr>
          <w:rFonts w:ascii="Times New Roman" w:hAnsi="Times New Roman" w:cs="Times New Roman"/>
          <w:b/>
          <w:sz w:val="24"/>
          <w:szCs w:val="24"/>
        </w:rPr>
      </w:pPr>
      <w:r w:rsidRPr="006F137E">
        <w:rPr>
          <w:rFonts w:ascii="Times New Roman" w:hAnsi="Times New Roman" w:cs="Times New Roman"/>
          <w:b/>
          <w:sz w:val="24"/>
          <w:szCs w:val="24"/>
        </w:rPr>
        <w:t>Additional information on the implementation of the follow-up to the recommendations</w:t>
      </w:r>
    </w:p>
    <w:p w14:paraId="7A21611F" w14:textId="77777777" w:rsidR="00B47309" w:rsidRPr="006F137E" w:rsidRDefault="00942B27" w:rsidP="00917F54">
      <w:pPr>
        <w:spacing w:after="0" w:line="240" w:lineRule="auto"/>
        <w:jc w:val="both"/>
        <w:rPr>
          <w:rFonts w:ascii="Times New Roman" w:hAnsi="Times New Roman" w:cs="Times New Roman"/>
          <w:b/>
          <w:sz w:val="24"/>
          <w:szCs w:val="24"/>
        </w:rPr>
      </w:pPr>
      <w:r w:rsidRPr="006F137E">
        <w:rPr>
          <w:rFonts w:ascii="Times New Roman" w:hAnsi="Times New Roman" w:cs="Times New Roman"/>
          <w:b/>
          <w:sz w:val="24"/>
          <w:szCs w:val="24"/>
        </w:rPr>
        <w:t xml:space="preserve">contained in paragraphs 16, 40 and 42 of the concluding observations on the report submitted by Armenia (CCPR/C/ARM/CO/3), </w:t>
      </w:r>
    </w:p>
    <w:p w14:paraId="7A216120" w14:textId="77777777" w:rsidR="00AF3900" w:rsidRPr="006F137E" w:rsidRDefault="00942B27" w:rsidP="00917F54">
      <w:pPr>
        <w:spacing w:after="0" w:line="240" w:lineRule="auto"/>
        <w:jc w:val="both"/>
        <w:rPr>
          <w:rFonts w:ascii="Times New Roman" w:hAnsi="Times New Roman" w:cs="Times New Roman"/>
          <w:b/>
          <w:sz w:val="24"/>
          <w:szCs w:val="24"/>
        </w:rPr>
      </w:pPr>
      <w:r w:rsidRPr="006F137E">
        <w:rPr>
          <w:rFonts w:ascii="Times New Roman" w:hAnsi="Times New Roman" w:cs="Times New Roman"/>
          <w:b/>
          <w:sz w:val="24"/>
          <w:szCs w:val="24"/>
        </w:rPr>
        <w:t>adopted by the Committee</w:t>
      </w:r>
      <w:r w:rsidR="00B47309" w:rsidRPr="006F137E">
        <w:rPr>
          <w:rFonts w:ascii="Times New Roman" w:hAnsi="Times New Roman" w:cs="Times New Roman"/>
          <w:b/>
          <w:sz w:val="24"/>
          <w:szCs w:val="24"/>
        </w:rPr>
        <w:t xml:space="preserve"> </w:t>
      </w:r>
      <w:r w:rsidRPr="006F137E">
        <w:rPr>
          <w:rFonts w:ascii="Times New Roman" w:hAnsi="Times New Roman" w:cs="Times New Roman"/>
          <w:b/>
          <w:sz w:val="24"/>
          <w:szCs w:val="24"/>
        </w:rPr>
        <w:t>at its 133rd session in November 2021</w:t>
      </w:r>
    </w:p>
    <w:p w14:paraId="7A216121" w14:textId="77777777" w:rsidR="00942B27" w:rsidRPr="006F137E" w:rsidRDefault="00942B27" w:rsidP="00917F54">
      <w:pPr>
        <w:spacing w:after="0" w:line="240" w:lineRule="auto"/>
        <w:jc w:val="both"/>
        <w:rPr>
          <w:rFonts w:ascii="Times New Roman" w:hAnsi="Times New Roman" w:cs="Times New Roman"/>
          <w:b/>
          <w:sz w:val="24"/>
          <w:szCs w:val="24"/>
        </w:rPr>
      </w:pPr>
    </w:p>
    <w:p w14:paraId="7A216122" w14:textId="77777777" w:rsidR="00942B27" w:rsidRPr="006F137E" w:rsidRDefault="00942B27" w:rsidP="00917F54">
      <w:pPr>
        <w:spacing w:after="0" w:line="240" w:lineRule="auto"/>
        <w:jc w:val="both"/>
        <w:rPr>
          <w:rFonts w:ascii="Times New Roman" w:hAnsi="Times New Roman" w:cs="Times New Roman"/>
          <w:i/>
          <w:sz w:val="24"/>
          <w:szCs w:val="24"/>
        </w:rPr>
      </w:pPr>
    </w:p>
    <w:p w14:paraId="7A216123" w14:textId="77777777" w:rsidR="002E5265" w:rsidRPr="006F137E" w:rsidRDefault="002E5265" w:rsidP="00917F54">
      <w:pPr>
        <w:spacing w:after="0" w:line="240" w:lineRule="auto"/>
        <w:jc w:val="both"/>
        <w:rPr>
          <w:rFonts w:ascii="Times New Roman" w:hAnsi="Times New Roman" w:cs="Times New Roman"/>
          <w:i/>
          <w:sz w:val="24"/>
          <w:szCs w:val="24"/>
        </w:rPr>
      </w:pPr>
      <w:r w:rsidRPr="006F137E">
        <w:rPr>
          <w:rFonts w:ascii="Times New Roman" w:hAnsi="Times New Roman" w:cs="Times New Roman"/>
          <w:i/>
          <w:sz w:val="24"/>
          <w:szCs w:val="24"/>
        </w:rPr>
        <w:t>requested by Note REFERENCE:BH/fup-144, dated 21 July 2025</w:t>
      </w:r>
    </w:p>
    <w:p w14:paraId="7A216124" w14:textId="77777777" w:rsidR="002E5265" w:rsidRPr="006F137E" w:rsidRDefault="002E5265" w:rsidP="00917F54">
      <w:pPr>
        <w:spacing w:after="0" w:line="240" w:lineRule="auto"/>
        <w:jc w:val="both"/>
        <w:rPr>
          <w:rFonts w:ascii="Times New Roman" w:hAnsi="Times New Roman" w:cs="Times New Roman"/>
          <w:sz w:val="24"/>
          <w:szCs w:val="24"/>
        </w:rPr>
      </w:pPr>
    </w:p>
    <w:p w14:paraId="7A216125" w14:textId="77777777" w:rsidR="002E5265" w:rsidRPr="006F137E" w:rsidRDefault="002E5265" w:rsidP="00917F54">
      <w:pPr>
        <w:spacing w:after="0" w:line="240" w:lineRule="auto"/>
        <w:jc w:val="both"/>
        <w:rPr>
          <w:rFonts w:ascii="Times New Roman" w:hAnsi="Times New Roman" w:cs="Times New Roman"/>
          <w:b/>
          <w:sz w:val="24"/>
          <w:szCs w:val="24"/>
        </w:rPr>
      </w:pPr>
      <w:r w:rsidRPr="006F137E">
        <w:rPr>
          <w:rFonts w:ascii="Times New Roman" w:hAnsi="Times New Roman" w:cs="Times New Roman"/>
          <w:b/>
          <w:sz w:val="24"/>
          <w:szCs w:val="24"/>
        </w:rPr>
        <w:t>Paragraph 16: Violence against women</w:t>
      </w:r>
    </w:p>
    <w:p w14:paraId="7A216126" w14:textId="77777777" w:rsidR="002E5265" w:rsidRPr="006F137E" w:rsidRDefault="002E5265" w:rsidP="00917F54">
      <w:pPr>
        <w:spacing w:after="0" w:line="240" w:lineRule="auto"/>
        <w:jc w:val="both"/>
        <w:rPr>
          <w:rFonts w:ascii="Times New Roman" w:hAnsi="Times New Roman" w:cs="Times New Roman"/>
          <w:b/>
          <w:sz w:val="24"/>
          <w:szCs w:val="24"/>
        </w:rPr>
      </w:pPr>
    </w:p>
    <w:p w14:paraId="7A216127" w14:textId="77777777" w:rsidR="002E5265" w:rsidRPr="006F137E" w:rsidRDefault="002E5265" w:rsidP="00917F54">
      <w:pPr>
        <w:pStyle w:val="Default"/>
        <w:jc w:val="both"/>
        <w:rPr>
          <w:b/>
          <w:i/>
        </w:rPr>
      </w:pPr>
      <w:r w:rsidRPr="006F137E">
        <w:rPr>
          <w:b/>
          <w:bCs/>
          <w:i/>
        </w:rPr>
        <w:t xml:space="preserve">Committee’s evaluation </w:t>
      </w:r>
    </w:p>
    <w:p w14:paraId="7A216128" w14:textId="77777777" w:rsidR="002E5265" w:rsidRPr="006F137E" w:rsidRDefault="002E5265" w:rsidP="00917F54">
      <w:pPr>
        <w:pStyle w:val="Default"/>
        <w:jc w:val="both"/>
        <w:rPr>
          <w:b/>
          <w:i/>
        </w:rPr>
      </w:pPr>
      <w:r w:rsidRPr="006F137E">
        <w:rPr>
          <w:b/>
          <w:i/>
        </w:rPr>
        <w:t xml:space="preserve">[B] </w:t>
      </w:r>
    </w:p>
    <w:p w14:paraId="7A216129" w14:textId="77777777" w:rsidR="002E5265" w:rsidRPr="006F137E" w:rsidRDefault="002E5265" w:rsidP="00917F54">
      <w:pPr>
        <w:pStyle w:val="Default"/>
        <w:jc w:val="both"/>
        <w:rPr>
          <w:b/>
          <w:i/>
        </w:rPr>
      </w:pPr>
      <w:r w:rsidRPr="006F137E">
        <w:rPr>
          <w:b/>
          <w:i/>
        </w:rPr>
        <w:t xml:space="preserve">While welcoming the amendments to the law that is now entitled the “Law on the Prevention of Family and Domestic Violence and the Protection of Persons Subjected to Family and Domestic Violence”, including the provisions establishing free and preferential medical care and services for persons subjected to domestic violence, the Committee is concerned about the reports of the discriminatory application of protection orders. It further regrets the lack of concrete information, including statistical data, on the means of redress provided to victims. It reiterates its recommendation in this regard, and requests further information on the new amendments to the legislative framework, their practical application and their impact on ensuring adequate enforcement and monitoring of protection orders. </w:t>
      </w:r>
    </w:p>
    <w:p w14:paraId="7A21612A" w14:textId="77777777" w:rsidR="002E5265" w:rsidRPr="006F137E" w:rsidRDefault="002E5265" w:rsidP="00917F54">
      <w:pPr>
        <w:pStyle w:val="Default"/>
        <w:jc w:val="both"/>
        <w:rPr>
          <w:b/>
          <w:i/>
        </w:rPr>
      </w:pPr>
      <w:r w:rsidRPr="006F137E">
        <w:rPr>
          <w:b/>
          <w:i/>
        </w:rPr>
        <w:t xml:space="preserve">The Committee welcomes the work carried out to launch the “SAFE YOU” mobile application to facilitate immediate support to victims, and the provision of information in police stations to increase public awareness of domestic violence. It regrets, however, the reports indicating that misconceptions and stereotypes regarding women and domestic violence persist, leading to cases of professional misconduct for discriminatory approaches, including among law enforcement authorities. It reiterates its recommendation in this regard, and requests further information on efforts made to increase awareness among the general public of gender stereotypes and domestic violence, tackling also the root causes and negative effects of domestic violence, and to address the social stigmatization of victims. It further requests information on the progress of development of the mobile application and its expected launch date, and information as to whether mechanisms will be put in place to evaluate the impact of the mobile application on the reporting of cases of violence against women. </w:t>
      </w:r>
    </w:p>
    <w:p w14:paraId="7A21612B" w14:textId="77777777" w:rsidR="002E5265" w:rsidRPr="006F137E" w:rsidRDefault="002E5265" w:rsidP="00917F54">
      <w:pPr>
        <w:pStyle w:val="Default"/>
        <w:jc w:val="both"/>
        <w:rPr>
          <w:b/>
          <w:i/>
        </w:rPr>
      </w:pPr>
      <w:r w:rsidRPr="006F137E">
        <w:rPr>
          <w:b/>
          <w:i/>
        </w:rPr>
        <w:t xml:space="preserve">The Committee notes the data provided on relevant criminal proceedings, and requests additional information on the number of eventual convictions and the sanctions imposed, and on the medical, psychosocial, legal and rehabilitative support services received by victims. It regrets the reports indicating that support services for victims remain insufficient, and reiterates its recommendation in this regard. The Committee requests additional information on the steps taken to increase the number of shelters in the State Party and to ensure their adequate funding. </w:t>
      </w:r>
    </w:p>
    <w:p w14:paraId="7A21612C" w14:textId="77777777" w:rsidR="002E5265" w:rsidRPr="006F137E" w:rsidRDefault="002E5265" w:rsidP="00917F54">
      <w:pPr>
        <w:spacing w:after="0" w:line="240" w:lineRule="auto"/>
        <w:jc w:val="both"/>
        <w:rPr>
          <w:rFonts w:ascii="Times New Roman" w:hAnsi="Times New Roman" w:cs="Times New Roman"/>
          <w:b/>
          <w:i/>
          <w:sz w:val="24"/>
          <w:szCs w:val="24"/>
        </w:rPr>
      </w:pPr>
      <w:r w:rsidRPr="006F137E">
        <w:rPr>
          <w:rFonts w:ascii="Times New Roman" w:hAnsi="Times New Roman" w:cs="Times New Roman"/>
          <w:b/>
          <w:i/>
          <w:sz w:val="24"/>
          <w:szCs w:val="24"/>
        </w:rPr>
        <w:t xml:space="preserve">While noting with satisfaction the information that a strategic plan for the implementation of gender policy in Armenia for the period 2024–2028 is being developed, and that action is envisaged under one of the plan’s priorities to ratify the Council of Europe Convention on Preventing and Combating Violence against Women and Domestic Violence, the Committee regrets the reports indicating that the plan has yet to be adopted. It requests further information on the progress of the adoption and implementation of the plan and on the specific action taken </w:t>
      </w:r>
      <w:r w:rsidRPr="006F137E">
        <w:rPr>
          <w:rFonts w:ascii="Times New Roman" w:hAnsi="Times New Roman" w:cs="Times New Roman"/>
          <w:b/>
          <w:i/>
          <w:sz w:val="24"/>
          <w:szCs w:val="24"/>
        </w:rPr>
        <w:lastRenderedPageBreak/>
        <w:t>to ratify the Council of Europe Convention on Preventing and Combating Violence against Women and Domestic Violence.</w:t>
      </w:r>
    </w:p>
    <w:p w14:paraId="7A21612D" w14:textId="77777777" w:rsidR="000D5F7A" w:rsidRPr="006F137E" w:rsidRDefault="000D5F7A" w:rsidP="00917F54">
      <w:pPr>
        <w:spacing w:after="0" w:line="240" w:lineRule="auto"/>
        <w:jc w:val="both"/>
        <w:rPr>
          <w:rFonts w:ascii="Times New Roman" w:hAnsi="Times New Roman" w:cs="Times New Roman"/>
          <w:b/>
          <w:i/>
          <w:sz w:val="24"/>
          <w:szCs w:val="24"/>
        </w:rPr>
      </w:pPr>
    </w:p>
    <w:p w14:paraId="7A21612E"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Armenia welcomes the Committee’s recommendations and appreciates the opportunity to provide further information</w:t>
      </w:r>
      <w:r w:rsidR="00917F54" w:rsidRPr="006F137E">
        <w:rPr>
          <w:rFonts w:ascii="Times New Roman" w:eastAsia="Times New Roman" w:hAnsi="Times New Roman" w:cs="Times New Roman"/>
          <w:color w:val="000000"/>
          <w:sz w:val="24"/>
          <w:szCs w:val="24"/>
        </w:rPr>
        <w:t>, as outlined below:</w:t>
      </w:r>
    </w:p>
    <w:p w14:paraId="7A21612F" w14:textId="77777777" w:rsidR="004303BD" w:rsidRPr="006F137E" w:rsidRDefault="00B6329A" w:rsidP="001960B6">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Recent Legal Measures to Prevent and Combat Domestic and Family Violence</w:t>
      </w:r>
    </w:p>
    <w:p w14:paraId="7A216130"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On 1 July 2024, amendments to the </w:t>
      </w:r>
      <w:r w:rsidRPr="006F137E">
        <w:rPr>
          <w:rFonts w:ascii="Times New Roman" w:eastAsia="Times New Roman" w:hAnsi="Times New Roman" w:cs="Times New Roman"/>
          <w:i/>
          <w:iCs/>
          <w:color w:val="000000"/>
          <w:sz w:val="24"/>
          <w:szCs w:val="24"/>
        </w:rPr>
        <w:t>Law on the Prevention of Family and Domestic Violence and the Protection of Persons Subjected to Family and Domestic Violence</w:t>
      </w:r>
      <w:r w:rsidRPr="006F137E">
        <w:rPr>
          <w:rFonts w:ascii="Times New Roman" w:eastAsia="Times New Roman" w:hAnsi="Times New Roman" w:cs="Times New Roman"/>
          <w:color w:val="000000"/>
          <w:sz w:val="24"/>
          <w:szCs w:val="24"/>
        </w:rPr>
        <w:t> entered into force. Eleven of the twenty-three articles were revised. Key changes include:</w:t>
      </w:r>
    </w:p>
    <w:p w14:paraId="7A216131" w14:textId="77777777" w:rsidR="004303BD" w:rsidRPr="006F137E" w:rsidRDefault="004303BD" w:rsidP="00546F54">
      <w:pPr>
        <w:pStyle w:val="ListParagraph"/>
        <w:numPr>
          <w:ilvl w:val="0"/>
          <w:numId w:val="20"/>
        </w:numPr>
        <w:spacing w:before="100" w:beforeAutospacing="1" w:after="100" w:afterAutospacing="1" w:line="240" w:lineRule="auto"/>
        <w:jc w:val="both"/>
        <w:rPr>
          <w:rFonts w:eastAsia="Times New Roman" w:cs="Times New Roman"/>
          <w:color w:val="000000"/>
          <w:szCs w:val="24"/>
        </w:rPr>
      </w:pPr>
      <w:r w:rsidRPr="006F137E">
        <w:rPr>
          <w:rFonts w:eastAsia="Times New Roman" w:cs="Times New Roman"/>
          <w:color w:val="000000"/>
          <w:szCs w:val="24"/>
        </w:rPr>
        <w:t>clarification of existing definitions and alignment with the Criminal Code, including the introduction of the concept of “partner”;</w:t>
      </w:r>
    </w:p>
    <w:p w14:paraId="7A216132" w14:textId="77777777" w:rsidR="004303BD" w:rsidRPr="006F137E" w:rsidRDefault="004303BD" w:rsidP="00546F54">
      <w:pPr>
        <w:pStyle w:val="ListParagraph"/>
        <w:numPr>
          <w:ilvl w:val="0"/>
          <w:numId w:val="20"/>
        </w:numPr>
        <w:spacing w:before="100" w:beforeAutospacing="1" w:after="100" w:afterAutospacing="1" w:line="240" w:lineRule="auto"/>
        <w:jc w:val="both"/>
        <w:rPr>
          <w:rFonts w:eastAsia="Times New Roman" w:cs="Times New Roman"/>
          <w:color w:val="000000"/>
          <w:szCs w:val="24"/>
        </w:rPr>
      </w:pPr>
      <w:r w:rsidRPr="006F137E">
        <w:rPr>
          <w:rFonts w:eastAsia="Times New Roman" w:cs="Times New Roman"/>
          <w:color w:val="000000"/>
          <w:szCs w:val="24"/>
        </w:rPr>
        <w:t>recognition of children who witness violence as indirect victims;</w:t>
      </w:r>
    </w:p>
    <w:p w14:paraId="7A216133" w14:textId="77777777" w:rsidR="004303BD" w:rsidRPr="006F137E" w:rsidRDefault="004303BD" w:rsidP="00546F54">
      <w:pPr>
        <w:pStyle w:val="ListParagraph"/>
        <w:numPr>
          <w:ilvl w:val="0"/>
          <w:numId w:val="20"/>
        </w:numPr>
        <w:spacing w:before="100" w:beforeAutospacing="1" w:after="100" w:afterAutospacing="1" w:line="240" w:lineRule="auto"/>
        <w:jc w:val="both"/>
        <w:rPr>
          <w:rFonts w:eastAsia="Times New Roman" w:cs="Times New Roman"/>
          <w:color w:val="000000"/>
          <w:szCs w:val="24"/>
        </w:rPr>
      </w:pPr>
      <w:r w:rsidRPr="006F137E">
        <w:rPr>
          <w:rFonts w:eastAsia="Times New Roman" w:cs="Times New Roman"/>
          <w:color w:val="000000"/>
          <w:szCs w:val="24"/>
        </w:rPr>
        <w:t>revision of deadlines and procedures for urgent interventions and protection orders;</w:t>
      </w:r>
    </w:p>
    <w:p w14:paraId="7A216134" w14:textId="77777777" w:rsidR="004303BD" w:rsidRPr="006F137E" w:rsidRDefault="004303BD" w:rsidP="00546F54">
      <w:pPr>
        <w:pStyle w:val="ListParagraph"/>
        <w:numPr>
          <w:ilvl w:val="0"/>
          <w:numId w:val="20"/>
        </w:numPr>
        <w:spacing w:before="100" w:beforeAutospacing="1" w:after="100" w:afterAutospacing="1" w:line="240" w:lineRule="auto"/>
        <w:jc w:val="both"/>
        <w:rPr>
          <w:rFonts w:eastAsia="Times New Roman" w:cs="Times New Roman"/>
          <w:color w:val="000000"/>
          <w:szCs w:val="24"/>
        </w:rPr>
      </w:pPr>
      <w:r w:rsidRPr="006F137E">
        <w:rPr>
          <w:rFonts w:eastAsia="Times New Roman" w:cs="Times New Roman"/>
          <w:color w:val="000000"/>
          <w:szCs w:val="24"/>
        </w:rPr>
        <w:t>repeal of the conciliation procedure;</w:t>
      </w:r>
    </w:p>
    <w:p w14:paraId="7A216135" w14:textId="77777777" w:rsidR="004303BD" w:rsidRPr="006F137E" w:rsidRDefault="004303BD" w:rsidP="00546F54">
      <w:pPr>
        <w:pStyle w:val="ListParagraph"/>
        <w:numPr>
          <w:ilvl w:val="0"/>
          <w:numId w:val="20"/>
        </w:numPr>
        <w:spacing w:before="100" w:beforeAutospacing="1" w:after="100" w:afterAutospacing="1" w:line="240" w:lineRule="auto"/>
        <w:jc w:val="both"/>
        <w:rPr>
          <w:rFonts w:eastAsia="Times New Roman" w:cs="Times New Roman"/>
          <w:color w:val="000000"/>
          <w:szCs w:val="24"/>
        </w:rPr>
      </w:pPr>
      <w:r w:rsidRPr="006F137E">
        <w:rPr>
          <w:rFonts w:eastAsia="Times New Roman" w:cs="Times New Roman"/>
          <w:color w:val="000000"/>
          <w:szCs w:val="24"/>
        </w:rPr>
        <w:t>provision of free and preferential medical care and services to victims;</w:t>
      </w:r>
    </w:p>
    <w:p w14:paraId="7A216136" w14:textId="77777777" w:rsidR="004303BD" w:rsidRPr="006F137E" w:rsidRDefault="004303BD" w:rsidP="00546F54">
      <w:pPr>
        <w:pStyle w:val="ListParagraph"/>
        <w:numPr>
          <w:ilvl w:val="0"/>
          <w:numId w:val="20"/>
        </w:numPr>
        <w:spacing w:before="100" w:beforeAutospacing="1" w:after="100" w:afterAutospacing="1" w:line="240" w:lineRule="auto"/>
        <w:jc w:val="both"/>
        <w:rPr>
          <w:rFonts w:eastAsia="Times New Roman" w:cs="Times New Roman"/>
          <w:color w:val="000000"/>
          <w:szCs w:val="24"/>
        </w:rPr>
      </w:pPr>
      <w:r w:rsidRPr="006F137E">
        <w:rPr>
          <w:rFonts w:eastAsia="Times New Roman" w:cs="Times New Roman"/>
          <w:color w:val="000000"/>
          <w:szCs w:val="24"/>
        </w:rPr>
        <w:t>mandatory accessibility of shelters for persons with disabilities.</w:t>
      </w:r>
    </w:p>
    <w:p w14:paraId="7A216137"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To implement these amendments, the government adopted eleven sub-legislative acts, establishing procedural standards for support centers and shelters, improving access to services, and introducing new mechanisms for detection, referral, and risk assessment.</w:t>
      </w:r>
    </w:p>
    <w:p w14:paraId="7A216138" w14:textId="77777777" w:rsidR="008D4BB7" w:rsidRPr="006F137E" w:rsidRDefault="008D4BB7" w:rsidP="008D4BB7">
      <w:pPr>
        <w:spacing w:after="0" w:line="240" w:lineRule="auto"/>
        <w:jc w:val="both"/>
        <w:rPr>
          <w:rFonts w:ascii="Times New Roman" w:hAnsi="Times New Roman" w:cs="Times New Roman"/>
          <w:bCs/>
          <w:noProof/>
          <w:color w:val="FF0000"/>
          <w:sz w:val="24"/>
          <w:szCs w:val="24"/>
          <w:lang w:val="hy-AM"/>
        </w:rPr>
      </w:pPr>
      <w:r w:rsidRPr="006F137E">
        <w:rPr>
          <w:rFonts w:ascii="Times New Roman" w:hAnsi="Times New Roman" w:cs="Times New Roman"/>
          <w:bCs/>
          <w:noProof/>
          <w:sz w:val="24"/>
          <w:szCs w:val="24"/>
        </w:rPr>
        <w:t xml:space="preserve">The </w:t>
      </w:r>
      <w:r w:rsidRPr="006F137E">
        <w:rPr>
          <w:rFonts w:ascii="Times New Roman" w:hAnsi="Times New Roman" w:cs="Times New Roman"/>
          <w:bCs/>
          <w:noProof/>
          <w:sz w:val="24"/>
          <w:szCs w:val="24"/>
          <w:lang w:val="hy-AM"/>
        </w:rPr>
        <w:t>importance of the following sub-legislative legal acts</w:t>
      </w:r>
      <w:r w:rsidRPr="006F137E">
        <w:rPr>
          <w:rFonts w:ascii="Times New Roman" w:hAnsi="Times New Roman" w:cs="Times New Roman"/>
          <w:bCs/>
          <w:noProof/>
          <w:sz w:val="24"/>
          <w:szCs w:val="24"/>
        </w:rPr>
        <w:t xml:space="preserve"> in this regard should be noted</w:t>
      </w:r>
      <w:r w:rsidRPr="006F137E">
        <w:rPr>
          <w:rFonts w:ascii="Times New Roman" w:hAnsi="Times New Roman" w:cs="Times New Roman"/>
          <w:bCs/>
          <w:noProof/>
          <w:sz w:val="24"/>
          <w:szCs w:val="24"/>
          <w:lang w:val="hy-AM"/>
        </w:rPr>
        <w:t>:</w:t>
      </w:r>
    </w:p>
    <w:p w14:paraId="7A216139"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p>
    <w:p w14:paraId="7A21613A" w14:textId="77777777" w:rsidR="008D4BB7" w:rsidRPr="006F137E" w:rsidRDefault="008D4BB7" w:rsidP="008D4BB7">
      <w:pPr>
        <w:spacing w:after="0" w:line="240" w:lineRule="auto"/>
        <w:jc w:val="both"/>
        <w:rPr>
          <w:rFonts w:ascii="Times New Roman" w:hAnsi="Times New Roman" w:cs="Times New Roman"/>
          <w:b/>
          <w:bCs/>
          <w:noProof/>
          <w:sz w:val="24"/>
          <w:szCs w:val="24"/>
          <w:lang w:val="hy-AM"/>
        </w:rPr>
      </w:pPr>
      <w:r w:rsidRPr="006F137E">
        <w:rPr>
          <w:rFonts w:ascii="Times New Roman" w:hAnsi="Times New Roman" w:cs="Times New Roman"/>
          <w:b/>
          <w:bCs/>
          <w:noProof/>
          <w:sz w:val="24"/>
          <w:szCs w:val="24"/>
          <w:lang w:val="hy-AM"/>
        </w:rPr>
        <w:t>Government</w:t>
      </w:r>
      <w:r w:rsidRPr="006F137E">
        <w:rPr>
          <w:rFonts w:ascii="Times New Roman" w:hAnsi="Times New Roman" w:cs="Times New Roman"/>
          <w:b/>
          <w:bCs/>
          <w:noProof/>
          <w:sz w:val="24"/>
          <w:szCs w:val="24"/>
        </w:rPr>
        <w:t xml:space="preserve"> Decision</w:t>
      </w:r>
      <w:r w:rsidRPr="006F137E">
        <w:rPr>
          <w:rFonts w:ascii="Times New Roman" w:hAnsi="Times New Roman" w:cs="Times New Roman"/>
          <w:b/>
          <w:bCs/>
          <w:noProof/>
          <w:sz w:val="24"/>
          <w:szCs w:val="24"/>
          <w:lang w:val="hy-AM"/>
        </w:rPr>
        <w:t xml:space="preserve"> No. 158-N of </w:t>
      </w:r>
      <w:r w:rsidR="009719A2" w:rsidRPr="006F137E">
        <w:rPr>
          <w:rFonts w:ascii="Times New Roman" w:hAnsi="Times New Roman" w:cs="Times New Roman"/>
          <w:b/>
          <w:bCs/>
          <w:noProof/>
          <w:sz w:val="24"/>
          <w:szCs w:val="24"/>
          <w:lang w:val="hy-AM"/>
        </w:rPr>
        <w:t xml:space="preserve">13 February </w:t>
      </w:r>
      <w:r w:rsidRPr="006F137E">
        <w:rPr>
          <w:rFonts w:ascii="Times New Roman" w:hAnsi="Times New Roman" w:cs="Times New Roman"/>
          <w:b/>
          <w:bCs/>
          <w:noProof/>
          <w:sz w:val="24"/>
          <w:szCs w:val="24"/>
          <w:lang w:val="hy-AM"/>
        </w:rPr>
        <w:t xml:space="preserve">2025 "On approving the requirements for the activities of the support center providing social services to victims of domestic </w:t>
      </w:r>
      <w:r w:rsidRPr="006F137E">
        <w:rPr>
          <w:rFonts w:ascii="Times New Roman" w:hAnsi="Times New Roman" w:cs="Times New Roman"/>
          <w:bCs/>
          <w:noProof/>
          <w:sz w:val="24"/>
          <w:szCs w:val="24"/>
          <w:lang w:val="hy-AM"/>
        </w:rPr>
        <w:t xml:space="preserve">and </w:t>
      </w:r>
      <w:r w:rsidRPr="006F137E">
        <w:rPr>
          <w:rFonts w:ascii="Times New Roman" w:hAnsi="Times New Roman" w:cs="Times New Roman"/>
          <w:bCs/>
          <w:noProof/>
          <w:sz w:val="24"/>
          <w:szCs w:val="24"/>
        </w:rPr>
        <w:t>household</w:t>
      </w:r>
      <w:r w:rsidRPr="006F137E">
        <w:rPr>
          <w:rFonts w:ascii="Times New Roman" w:hAnsi="Times New Roman" w:cs="Times New Roman"/>
          <w:b/>
          <w:bCs/>
          <w:noProof/>
          <w:sz w:val="24"/>
          <w:szCs w:val="24"/>
          <w:lang w:val="hy-AM"/>
        </w:rPr>
        <w:t xml:space="preserve"> violence, the services provided and the staff, and approving the procedure for the provision of services by the support center."</w:t>
      </w:r>
    </w:p>
    <w:p w14:paraId="7A21613B"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r w:rsidRPr="006F137E">
        <w:rPr>
          <w:rFonts w:ascii="Times New Roman" w:hAnsi="Times New Roman" w:cs="Times New Roman"/>
          <w:bCs/>
          <w:noProof/>
          <w:sz w:val="24"/>
          <w:szCs w:val="24"/>
          <w:lang w:val="hy-AM"/>
        </w:rPr>
        <w:t xml:space="preserve">The Decision clearly defines the requirements for the activities of organizations providing social support to individuals and family members who have been subjected to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or who are suspected of being subjected to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the services provided and the staff, and the procedure for the provision of services by the support center to individuals and family members who have been subjected to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or who are suspected of being subjected to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and their family members. The existence of these requirements allows for the monitoring of the work of non-governmental organizations providing services within the framework of the standards and requirements established by the Decision.</w:t>
      </w:r>
    </w:p>
    <w:p w14:paraId="7A21613C"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p>
    <w:p w14:paraId="7A21613D" w14:textId="77777777" w:rsidR="008D4BB7" w:rsidRPr="006F137E" w:rsidRDefault="008D4BB7" w:rsidP="008D4BB7">
      <w:pPr>
        <w:spacing w:after="0" w:line="240" w:lineRule="auto"/>
        <w:jc w:val="both"/>
        <w:rPr>
          <w:rFonts w:ascii="Times New Roman" w:hAnsi="Times New Roman" w:cs="Times New Roman"/>
          <w:b/>
          <w:bCs/>
          <w:noProof/>
          <w:sz w:val="24"/>
          <w:szCs w:val="24"/>
          <w:lang w:val="hy-AM"/>
        </w:rPr>
      </w:pPr>
      <w:r w:rsidRPr="006F137E">
        <w:rPr>
          <w:rFonts w:ascii="Times New Roman" w:hAnsi="Times New Roman" w:cs="Times New Roman"/>
          <w:b/>
          <w:bCs/>
          <w:noProof/>
          <w:sz w:val="24"/>
          <w:szCs w:val="24"/>
          <w:lang w:val="hy-AM"/>
        </w:rPr>
        <w:t xml:space="preserve">"On Amendments to the Decision of the Government of the Republic of Armenia No. 364-N of </w:t>
      </w:r>
      <w:r w:rsidR="009719A2" w:rsidRPr="006F137E">
        <w:rPr>
          <w:rFonts w:ascii="Times New Roman" w:hAnsi="Times New Roman" w:cs="Times New Roman"/>
          <w:b/>
          <w:bCs/>
          <w:noProof/>
          <w:sz w:val="24"/>
          <w:szCs w:val="24"/>
          <w:lang w:val="hy-AM"/>
        </w:rPr>
        <w:t>29 March</w:t>
      </w:r>
      <w:r w:rsidRPr="006F137E">
        <w:rPr>
          <w:rFonts w:ascii="Times New Roman" w:hAnsi="Times New Roman" w:cs="Times New Roman"/>
          <w:b/>
          <w:bCs/>
          <w:noProof/>
          <w:sz w:val="24"/>
          <w:szCs w:val="24"/>
          <w:lang w:val="hy-AM"/>
        </w:rPr>
        <w:t xml:space="preserve"> 2019" Decision of the Government of the Republic of Armenia No. 190-N of </w:t>
      </w:r>
      <w:r w:rsidR="009719A2" w:rsidRPr="006F137E">
        <w:rPr>
          <w:rFonts w:ascii="Times New Roman" w:hAnsi="Times New Roman" w:cs="Times New Roman"/>
          <w:b/>
          <w:bCs/>
          <w:noProof/>
          <w:sz w:val="24"/>
          <w:szCs w:val="24"/>
          <w:lang w:val="hy-AM"/>
        </w:rPr>
        <w:t xml:space="preserve">20 February </w:t>
      </w:r>
      <w:r w:rsidRPr="006F137E">
        <w:rPr>
          <w:rFonts w:ascii="Times New Roman" w:hAnsi="Times New Roman" w:cs="Times New Roman"/>
          <w:b/>
          <w:bCs/>
          <w:noProof/>
          <w:sz w:val="24"/>
          <w:szCs w:val="24"/>
          <w:lang w:val="hy-AM"/>
        </w:rPr>
        <w:t>2025.</w:t>
      </w:r>
    </w:p>
    <w:p w14:paraId="7A21613E"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r w:rsidRPr="006F137E">
        <w:rPr>
          <w:rFonts w:ascii="Times New Roman" w:hAnsi="Times New Roman" w:cs="Times New Roman"/>
          <w:bCs/>
          <w:noProof/>
          <w:sz w:val="24"/>
          <w:szCs w:val="24"/>
          <w:lang w:val="hy-AM"/>
        </w:rPr>
        <w:t xml:space="preserve">The document defines the requirements for the activities of the shelter, the services provided and the staff provided to victims of domestic and family violence and their dependents, as well as the </w:t>
      </w:r>
      <w:r w:rsidRPr="006F137E">
        <w:rPr>
          <w:rFonts w:ascii="Times New Roman" w:hAnsi="Times New Roman" w:cs="Times New Roman"/>
          <w:bCs/>
          <w:noProof/>
          <w:sz w:val="24"/>
          <w:szCs w:val="24"/>
          <w:lang w:val="hy-AM"/>
        </w:rPr>
        <w:lastRenderedPageBreak/>
        <w:t>procedure for providing services by the shelter. The shelter must operate around the clock. The duration of stay in the shelter is determined by the shelter, upon the recommendation of specialists providing appropriate assistance to the beneficiaries, taking into account the presence or absence of threats to their safety, their ability to live independently or together with another person, and other relevant circumstances, considering the consent of the beneficiaries to stay in the shelter as a mandatory condition.</w:t>
      </w:r>
    </w:p>
    <w:p w14:paraId="7A21613F"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p>
    <w:p w14:paraId="7A216140" w14:textId="77777777" w:rsidR="008D4BB7" w:rsidRPr="006F137E" w:rsidRDefault="008D4BB7" w:rsidP="008D4BB7">
      <w:pPr>
        <w:spacing w:after="0" w:line="240" w:lineRule="auto"/>
        <w:jc w:val="both"/>
        <w:rPr>
          <w:rFonts w:ascii="Times New Roman" w:hAnsi="Times New Roman" w:cs="Times New Roman"/>
          <w:b/>
          <w:bCs/>
          <w:noProof/>
          <w:sz w:val="24"/>
          <w:szCs w:val="24"/>
          <w:lang w:val="hy-AM"/>
        </w:rPr>
      </w:pPr>
      <w:r w:rsidRPr="006F137E">
        <w:rPr>
          <w:rFonts w:ascii="Times New Roman" w:hAnsi="Times New Roman" w:cs="Times New Roman"/>
          <w:b/>
          <w:bCs/>
          <w:noProof/>
          <w:sz w:val="24"/>
          <w:szCs w:val="24"/>
          <w:lang w:val="hy-AM"/>
        </w:rPr>
        <w:t xml:space="preserve">Government </w:t>
      </w:r>
      <w:r w:rsidRPr="006F137E">
        <w:rPr>
          <w:rFonts w:ascii="Times New Roman" w:hAnsi="Times New Roman" w:cs="Times New Roman"/>
          <w:b/>
          <w:bCs/>
          <w:noProof/>
          <w:sz w:val="24"/>
          <w:szCs w:val="24"/>
        </w:rPr>
        <w:t>Decision</w:t>
      </w:r>
      <w:r w:rsidRPr="006F137E">
        <w:rPr>
          <w:rFonts w:ascii="Times New Roman" w:hAnsi="Times New Roman" w:cs="Times New Roman"/>
          <w:b/>
          <w:bCs/>
          <w:noProof/>
          <w:sz w:val="24"/>
          <w:szCs w:val="24"/>
          <w:lang w:val="hy-AM"/>
        </w:rPr>
        <w:t xml:space="preserve"> No. 51-N of </w:t>
      </w:r>
      <w:r w:rsidR="009719A2" w:rsidRPr="006F137E">
        <w:rPr>
          <w:rFonts w:ascii="Times New Roman" w:hAnsi="Times New Roman" w:cs="Times New Roman"/>
          <w:b/>
          <w:bCs/>
          <w:noProof/>
          <w:sz w:val="24"/>
          <w:szCs w:val="24"/>
          <w:lang w:val="hy-AM"/>
        </w:rPr>
        <w:t>16 January</w:t>
      </w:r>
      <w:r w:rsidRPr="006F137E">
        <w:rPr>
          <w:rFonts w:ascii="Times New Roman" w:hAnsi="Times New Roman" w:cs="Times New Roman"/>
          <w:b/>
          <w:bCs/>
          <w:noProof/>
          <w:sz w:val="24"/>
          <w:szCs w:val="24"/>
          <w:lang w:val="hy-AM"/>
        </w:rPr>
        <w:t xml:space="preserve"> 2025 "On Establishing the Procedure for Opening and Managing a Temporary Support Account for Victims of Domestic and </w:t>
      </w:r>
      <w:r w:rsidRPr="006F137E">
        <w:rPr>
          <w:rFonts w:ascii="Times New Roman" w:hAnsi="Times New Roman" w:cs="Times New Roman"/>
          <w:b/>
          <w:bCs/>
          <w:noProof/>
          <w:sz w:val="24"/>
          <w:szCs w:val="24"/>
        </w:rPr>
        <w:t>household</w:t>
      </w:r>
      <w:r w:rsidRPr="006F137E">
        <w:rPr>
          <w:rFonts w:ascii="Times New Roman" w:hAnsi="Times New Roman" w:cs="Times New Roman"/>
          <w:b/>
          <w:bCs/>
          <w:noProof/>
          <w:sz w:val="24"/>
          <w:szCs w:val="24"/>
          <w:lang w:val="hy-AM"/>
        </w:rPr>
        <w:t xml:space="preserve"> Violence".</w:t>
      </w:r>
    </w:p>
    <w:p w14:paraId="7A216141"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r w:rsidRPr="006F137E">
        <w:rPr>
          <w:rFonts w:ascii="Times New Roman" w:hAnsi="Times New Roman" w:cs="Times New Roman"/>
          <w:bCs/>
          <w:noProof/>
          <w:sz w:val="24"/>
          <w:szCs w:val="24"/>
          <w:lang w:val="hy-AM"/>
        </w:rPr>
        <w:t>The proposed new model solves the problem of urgent support for a person subjected to domestic and family violence by providing the latter with a lump-sum financial assistance based on a needs assessment defined by criteria. The model is based on the idea of ensuring the minimum living conditions of the beneficiary and the dependents under his care. Taking into account international experience, a model is being introduced in the Republic of Armenia that provides basic level support and is applicable for rapid response in emergency situations. It allows for the application of a general formula and is simple in terms of application.</w:t>
      </w:r>
    </w:p>
    <w:p w14:paraId="7A216142"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p>
    <w:p w14:paraId="7A216143" w14:textId="77777777" w:rsidR="008D4BB7" w:rsidRPr="006F137E" w:rsidRDefault="008D4BB7" w:rsidP="008D4BB7">
      <w:pPr>
        <w:spacing w:after="0" w:line="240" w:lineRule="auto"/>
        <w:jc w:val="both"/>
        <w:rPr>
          <w:rFonts w:ascii="Times New Roman" w:hAnsi="Times New Roman" w:cs="Times New Roman"/>
          <w:b/>
          <w:bCs/>
          <w:noProof/>
          <w:sz w:val="24"/>
          <w:szCs w:val="24"/>
          <w:lang w:val="hy-AM"/>
        </w:rPr>
      </w:pPr>
      <w:r w:rsidRPr="006F137E">
        <w:rPr>
          <w:rFonts w:ascii="Times New Roman" w:hAnsi="Times New Roman" w:cs="Times New Roman"/>
          <w:b/>
          <w:bCs/>
          <w:noProof/>
          <w:sz w:val="24"/>
          <w:szCs w:val="24"/>
          <w:lang w:val="hy-AM"/>
        </w:rPr>
        <w:t xml:space="preserve">Government </w:t>
      </w:r>
      <w:r w:rsidRPr="006F137E">
        <w:rPr>
          <w:rFonts w:ascii="Times New Roman" w:hAnsi="Times New Roman" w:cs="Times New Roman"/>
          <w:b/>
          <w:bCs/>
          <w:noProof/>
          <w:sz w:val="24"/>
          <w:szCs w:val="24"/>
        </w:rPr>
        <w:t>Decision</w:t>
      </w:r>
      <w:r w:rsidRPr="006F137E">
        <w:rPr>
          <w:rFonts w:ascii="Times New Roman" w:hAnsi="Times New Roman" w:cs="Times New Roman"/>
          <w:b/>
          <w:bCs/>
          <w:noProof/>
          <w:sz w:val="24"/>
          <w:szCs w:val="24"/>
          <w:lang w:val="hy-AM"/>
        </w:rPr>
        <w:t xml:space="preserve"> No. 181-N of</w:t>
      </w:r>
      <w:r w:rsidR="0092195C" w:rsidRPr="006F137E">
        <w:rPr>
          <w:rFonts w:ascii="Times New Roman" w:hAnsi="Times New Roman" w:cs="Times New Roman"/>
          <w:b/>
          <w:bCs/>
          <w:noProof/>
          <w:sz w:val="24"/>
          <w:szCs w:val="24"/>
          <w:lang w:val="hy-AM"/>
        </w:rPr>
        <w:t xml:space="preserve"> 20 February </w:t>
      </w:r>
      <w:r w:rsidRPr="006F137E">
        <w:rPr>
          <w:rFonts w:ascii="Times New Roman" w:hAnsi="Times New Roman" w:cs="Times New Roman"/>
          <w:b/>
          <w:bCs/>
          <w:noProof/>
          <w:sz w:val="24"/>
          <w:szCs w:val="24"/>
          <w:lang w:val="hy-AM"/>
        </w:rPr>
        <w:t xml:space="preserve">2025 "On approving the procedure for detecting cases of domestic and </w:t>
      </w:r>
      <w:r w:rsidRPr="006F137E">
        <w:rPr>
          <w:rFonts w:ascii="Times New Roman" w:hAnsi="Times New Roman" w:cs="Times New Roman"/>
          <w:b/>
          <w:bCs/>
          <w:noProof/>
          <w:sz w:val="24"/>
          <w:szCs w:val="24"/>
        </w:rPr>
        <w:t>household</w:t>
      </w:r>
      <w:r w:rsidRPr="006F137E">
        <w:rPr>
          <w:rFonts w:ascii="Times New Roman" w:hAnsi="Times New Roman" w:cs="Times New Roman"/>
          <w:b/>
          <w:bCs/>
          <w:noProof/>
          <w:sz w:val="24"/>
          <w:szCs w:val="24"/>
          <w:lang w:val="hy-AM"/>
        </w:rPr>
        <w:t xml:space="preserve"> violence, referring persons subjected to domestic and </w:t>
      </w:r>
      <w:r w:rsidRPr="006F137E">
        <w:rPr>
          <w:rFonts w:ascii="Times New Roman" w:hAnsi="Times New Roman" w:cs="Times New Roman"/>
          <w:b/>
          <w:bCs/>
          <w:noProof/>
          <w:sz w:val="24"/>
          <w:szCs w:val="24"/>
        </w:rPr>
        <w:t>household</w:t>
      </w:r>
      <w:r w:rsidRPr="006F137E">
        <w:rPr>
          <w:rFonts w:ascii="Times New Roman" w:hAnsi="Times New Roman" w:cs="Times New Roman"/>
          <w:b/>
          <w:bCs/>
          <w:noProof/>
          <w:sz w:val="24"/>
          <w:szCs w:val="24"/>
          <w:lang w:val="hy-AM"/>
        </w:rPr>
        <w:t xml:space="preserve"> violence, and assessing the risk of recurrence of domestic and domestic violence."</w:t>
      </w:r>
    </w:p>
    <w:p w14:paraId="7A216144"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r w:rsidRPr="006F137E">
        <w:rPr>
          <w:rFonts w:ascii="Times New Roman" w:hAnsi="Times New Roman" w:cs="Times New Roman"/>
          <w:bCs/>
          <w:noProof/>
          <w:sz w:val="24"/>
          <w:szCs w:val="24"/>
        </w:rPr>
        <w:t>T</w:t>
      </w:r>
      <w:r w:rsidRPr="006F137E">
        <w:rPr>
          <w:rFonts w:ascii="Times New Roman" w:hAnsi="Times New Roman" w:cs="Times New Roman"/>
          <w:bCs/>
          <w:noProof/>
          <w:sz w:val="24"/>
          <w:szCs w:val="24"/>
          <w:lang w:val="hy-AM"/>
        </w:rPr>
        <w:t xml:space="preserve">he decision defines the interaction of state, local self-government bodies and special structures providing support to victims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(hereinafter referred to as special structures) in the Republic of Armenia in identifying cases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referring victims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and assessing the risk of recurrence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After identifying victims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the body that identified the person carries out the referral process for the victim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which also includes the transmission of information about the case of domestic and </w:t>
      </w:r>
      <w:r w:rsidRPr="006F137E">
        <w:rPr>
          <w:rFonts w:ascii="Times New Roman" w:hAnsi="Times New Roman" w:cs="Times New Roman"/>
          <w:bCs/>
          <w:noProof/>
          <w:sz w:val="24"/>
          <w:szCs w:val="24"/>
        </w:rPr>
        <w:t>household</w:t>
      </w:r>
      <w:r w:rsidRPr="006F137E">
        <w:rPr>
          <w:rFonts w:ascii="Times New Roman" w:hAnsi="Times New Roman" w:cs="Times New Roman"/>
          <w:bCs/>
          <w:noProof/>
          <w:sz w:val="24"/>
          <w:szCs w:val="24"/>
          <w:lang w:val="hy-AM"/>
        </w:rPr>
        <w:t xml:space="preserve"> violence or the victim, in order to carry out the functions assigned to them by law by the relevant bodies.</w:t>
      </w:r>
    </w:p>
    <w:p w14:paraId="7A216145" w14:textId="77777777" w:rsidR="008D4BB7" w:rsidRPr="006F137E" w:rsidRDefault="008D4BB7" w:rsidP="008D4BB7">
      <w:pPr>
        <w:spacing w:after="0" w:line="240" w:lineRule="auto"/>
        <w:jc w:val="both"/>
        <w:rPr>
          <w:rFonts w:ascii="Times New Roman" w:hAnsi="Times New Roman" w:cs="Times New Roman"/>
          <w:bCs/>
          <w:noProof/>
          <w:sz w:val="24"/>
          <w:szCs w:val="24"/>
          <w:lang w:val="hy-AM"/>
        </w:rPr>
      </w:pPr>
    </w:p>
    <w:p w14:paraId="7A216146" w14:textId="77777777" w:rsidR="008D4BB7" w:rsidRPr="006F137E" w:rsidRDefault="008D4BB7" w:rsidP="008D4BB7">
      <w:pPr>
        <w:spacing w:after="0" w:line="240" w:lineRule="auto"/>
        <w:jc w:val="both"/>
        <w:rPr>
          <w:rFonts w:ascii="Times New Roman" w:hAnsi="Times New Roman" w:cs="Times New Roman"/>
          <w:b/>
          <w:bCs/>
          <w:noProof/>
          <w:sz w:val="24"/>
          <w:szCs w:val="24"/>
          <w:lang w:val="hy-AM"/>
        </w:rPr>
      </w:pPr>
      <w:r w:rsidRPr="006F137E">
        <w:rPr>
          <w:rFonts w:ascii="Times New Roman" w:hAnsi="Times New Roman" w:cs="Times New Roman"/>
          <w:b/>
          <w:bCs/>
          <w:noProof/>
          <w:sz w:val="24"/>
          <w:szCs w:val="24"/>
          <w:lang w:val="hy-AM"/>
        </w:rPr>
        <w:t xml:space="preserve">Government </w:t>
      </w:r>
      <w:r w:rsidRPr="006F137E">
        <w:rPr>
          <w:rFonts w:ascii="Times New Roman" w:hAnsi="Times New Roman" w:cs="Times New Roman"/>
          <w:b/>
          <w:bCs/>
          <w:noProof/>
          <w:sz w:val="24"/>
          <w:szCs w:val="24"/>
        </w:rPr>
        <w:t>Decision</w:t>
      </w:r>
      <w:r w:rsidRPr="006F137E">
        <w:rPr>
          <w:rFonts w:ascii="Times New Roman" w:hAnsi="Times New Roman" w:cs="Times New Roman"/>
          <w:b/>
          <w:bCs/>
          <w:noProof/>
          <w:sz w:val="24"/>
          <w:szCs w:val="24"/>
          <w:lang w:val="hy-AM"/>
        </w:rPr>
        <w:t xml:space="preserve"> No. 107-N of </w:t>
      </w:r>
      <w:r w:rsidR="0092195C" w:rsidRPr="006F137E">
        <w:rPr>
          <w:rFonts w:ascii="Times New Roman" w:hAnsi="Times New Roman" w:cs="Times New Roman"/>
          <w:b/>
          <w:bCs/>
          <w:noProof/>
          <w:sz w:val="24"/>
          <w:szCs w:val="24"/>
          <w:lang w:val="hy-AM"/>
        </w:rPr>
        <w:t xml:space="preserve">30 January </w:t>
      </w:r>
      <w:r w:rsidRPr="006F137E">
        <w:rPr>
          <w:rFonts w:ascii="Times New Roman" w:hAnsi="Times New Roman" w:cs="Times New Roman"/>
          <w:b/>
          <w:bCs/>
          <w:noProof/>
          <w:sz w:val="24"/>
          <w:szCs w:val="24"/>
          <w:lang w:val="hy-AM"/>
        </w:rPr>
        <w:t xml:space="preserve">2025 "On Amendments and Supplements to RA Government </w:t>
      </w:r>
      <w:r w:rsidRPr="006F137E">
        <w:rPr>
          <w:rFonts w:ascii="Times New Roman" w:hAnsi="Times New Roman" w:cs="Times New Roman"/>
          <w:b/>
          <w:bCs/>
          <w:noProof/>
          <w:sz w:val="24"/>
          <w:szCs w:val="24"/>
        </w:rPr>
        <w:t>Decision</w:t>
      </w:r>
      <w:r w:rsidRPr="006F137E">
        <w:rPr>
          <w:rFonts w:ascii="Times New Roman" w:hAnsi="Times New Roman" w:cs="Times New Roman"/>
          <w:b/>
          <w:bCs/>
          <w:noProof/>
          <w:sz w:val="24"/>
          <w:szCs w:val="24"/>
          <w:lang w:val="hy-AM"/>
        </w:rPr>
        <w:t xml:space="preserve"> No. 786-N of </w:t>
      </w:r>
      <w:r w:rsidR="0092195C" w:rsidRPr="006F137E">
        <w:rPr>
          <w:rFonts w:ascii="Times New Roman" w:hAnsi="Times New Roman" w:cs="Times New Roman"/>
          <w:b/>
          <w:bCs/>
          <w:noProof/>
          <w:sz w:val="24"/>
          <w:szCs w:val="24"/>
          <w:lang w:val="hy-AM"/>
        </w:rPr>
        <w:t xml:space="preserve">10 July </w:t>
      </w:r>
      <w:r w:rsidRPr="006F137E">
        <w:rPr>
          <w:rFonts w:ascii="Times New Roman" w:hAnsi="Times New Roman" w:cs="Times New Roman"/>
          <w:b/>
          <w:bCs/>
          <w:noProof/>
          <w:sz w:val="24"/>
          <w:szCs w:val="24"/>
          <w:lang w:val="hy-AM"/>
        </w:rPr>
        <w:t>2018".</w:t>
      </w:r>
    </w:p>
    <w:p w14:paraId="7A216147" w14:textId="77777777" w:rsidR="008D4BB7" w:rsidRPr="006F137E" w:rsidRDefault="008D4BB7" w:rsidP="00B2588C">
      <w:pPr>
        <w:spacing w:after="0" w:line="240" w:lineRule="auto"/>
        <w:jc w:val="both"/>
        <w:rPr>
          <w:rFonts w:ascii="Times New Roman" w:hAnsi="Times New Roman" w:cs="Times New Roman"/>
          <w:bCs/>
          <w:noProof/>
          <w:sz w:val="24"/>
          <w:szCs w:val="24"/>
        </w:rPr>
      </w:pPr>
      <w:r w:rsidRPr="006F137E">
        <w:rPr>
          <w:rFonts w:ascii="Times New Roman" w:hAnsi="Times New Roman" w:cs="Times New Roman"/>
          <w:bCs/>
          <w:noProof/>
          <w:sz w:val="24"/>
          <w:szCs w:val="24"/>
          <w:lang w:val="hy-AM"/>
        </w:rPr>
        <w:t>Changes have been made to the procedures and standards of the functioning of the Council for the Prevention of Domestic and Family Violence. The scope of non-governmental organizations that are members of the Council has been significantly expanded, and the composition of the Council has been formed through an open competitive procedure, including representatives of non-governmental organizations not only active in the field of combating domestic and family violence, but also those involved in the protection of the rights of persons with disabilities, children, the elderly and other target groups.</w:t>
      </w:r>
      <w:r w:rsidRPr="006F137E">
        <w:rPr>
          <w:rFonts w:ascii="Times New Roman" w:hAnsi="Times New Roman" w:cs="Times New Roman"/>
          <w:bCs/>
          <w:noProof/>
          <w:sz w:val="24"/>
          <w:szCs w:val="24"/>
        </w:rPr>
        <w:t xml:space="preserve"> </w:t>
      </w:r>
    </w:p>
    <w:p w14:paraId="7A216148"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Protection and Monitoring</w:t>
      </w:r>
    </w:p>
    <w:p w14:paraId="7A216149"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 xml:space="preserve">By Decision No. 1986-N of 17 November 2023, electronic monitoring (bracelets) was introduced as a new protective measure, enabling urgent intervention and monitoring of compliance with </w:t>
      </w:r>
      <w:r w:rsidRPr="006F137E">
        <w:rPr>
          <w:rFonts w:ascii="Times New Roman" w:eastAsia="Times New Roman" w:hAnsi="Times New Roman" w:cs="Times New Roman"/>
          <w:color w:val="000000"/>
          <w:sz w:val="24"/>
          <w:szCs w:val="24"/>
        </w:rPr>
        <w:lastRenderedPageBreak/>
        <w:t>protection orders. Devices are under review for feasibility, and officers are trained in their use. A centralized electronic case registration system has been launched to unify data and improve coordination among relevant institutions.</w:t>
      </w:r>
    </w:p>
    <w:p w14:paraId="7A21614A"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Designated officers now oversee preventive activities in cases involving domestic violence or minors, coordinating daily with territorial police units. Regular community meetings are held to strengthen cooperation with local communities; for example, in early 2025, 450 community members participated in discussions in Gegharkunik Province. Training courses for police officers are conducted on a regular basis to enhance professional capacity.</w:t>
      </w:r>
    </w:p>
    <w:p w14:paraId="7A21614B"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An interagency working group was established on 17 January 2025 to ensure prompt responses to complex cases through interinstitutional coordination.</w:t>
      </w:r>
    </w:p>
    <w:p w14:paraId="7A21614C"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Access to Justice and Professional Training</w:t>
      </w:r>
    </w:p>
    <w:p w14:paraId="7A21614D"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 xml:space="preserve">Through the 2025–2028 Gender </w:t>
      </w:r>
      <w:r w:rsidR="00F64897" w:rsidRPr="006F137E">
        <w:rPr>
          <w:rFonts w:ascii="Times New Roman" w:eastAsia="Times New Roman" w:hAnsi="Times New Roman" w:cs="Times New Roman"/>
          <w:color w:val="000000"/>
          <w:sz w:val="24"/>
          <w:szCs w:val="24"/>
        </w:rPr>
        <w:t xml:space="preserve">Equality </w:t>
      </w:r>
      <w:r w:rsidRPr="006F137E">
        <w:rPr>
          <w:rFonts w:ascii="Times New Roman" w:eastAsia="Times New Roman" w:hAnsi="Times New Roman" w:cs="Times New Roman"/>
          <w:color w:val="000000"/>
          <w:sz w:val="24"/>
          <w:szCs w:val="24"/>
        </w:rPr>
        <w:t>Policy Strategy and Action Plan, extensive capacity-building measures have been introduced. The Academy of Justice has organized mentoring and training courses, involving judges, prosecutors, and investigators. In the first half of 2025 alone, over 200 legal professionals received specialized training on preventing and responding to violence against women and domestic violence.</w:t>
      </w:r>
    </w:p>
    <w:p w14:paraId="7A21614E"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Victim Support Services</w:t>
      </w:r>
    </w:p>
    <w:p w14:paraId="7A21614F"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Armenia continues to provide three state-funded services to victims:</w:t>
      </w:r>
    </w:p>
    <w:p w14:paraId="7A216150" w14:textId="77777777" w:rsidR="004303BD" w:rsidRPr="006F137E" w:rsidRDefault="004303BD" w:rsidP="00917F54">
      <w:pPr>
        <w:numPr>
          <w:ilvl w:val="0"/>
          <w:numId w:val="17"/>
        </w:num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support centers in all regions and in Yerevan, providing legal, psychological, and employment support;</w:t>
      </w:r>
    </w:p>
    <w:p w14:paraId="7A216151" w14:textId="77777777" w:rsidR="004303BD" w:rsidRPr="006F137E" w:rsidRDefault="004303BD" w:rsidP="00917F54">
      <w:pPr>
        <w:numPr>
          <w:ilvl w:val="0"/>
          <w:numId w:val="17"/>
        </w:num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shelters offering safe accommodation, essential goods, and psychosocial and legal support;</w:t>
      </w:r>
    </w:p>
    <w:p w14:paraId="7A216152" w14:textId="77777777" w:rsidR="004303BD" w:rsidRPr="006F137E" w:rsidRDefault="004303BD" w:rsidP="00917F54">
      <w:pPr>
        <w:numPr>
          <w:ilvl w:val="0"/>
          <w:numId w:val="17"/>
        </w:num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one-time financial assistance to cover subsistence needs.</w:t>
      </w:r>
    </w:p>
    <w:p w14:paraId="7A216153"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Government decisions in 2025 introduced additional safeguards, including mandatory 24/7 shelter operation, procedures for rapid financial support, and standardized referral and risk-assessment mechanisms. In 2024, 274 persons used shelters; 68 persons were accommodated in the first half of 2025. A third shelter, operating as a transitional house, is being launched.</w:t>
      </w:r>
    </w:p>
    <w:p w14:paraId="7A216154"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Economic empowerment programs for victims and displaced women are being implemented across several regions. In 2024, 118 beneficiaries participated in retraining and received work tools, with continuation of the program in 2025.</w:t>
      </w:r>
    </w:p>
    <w:p w14:paraId="7A216155"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Awareness-raising campaigns, including the annual 16-Day Campaign Against Gender-Based Violence, target women and girls across the regions, with a focus on rural areas. Activities include regional visits under the “Bridging Opportunities and Skills” initiative, training for social sector professionals, and cooperation with civil society organizations.</w:t>
      </w:r>
    </w:p>
    <w:p w14:paraId="7A216156"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Awareness and Prevention</w:t>
      </w:r>
    </w:p>
    <w:p w14:paraId="7A216157"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lastRenderedPageBreak/>
        <w:t>To tackle persistent stereotypes and stigmatization, awareness efforts include public broadcasts, information points in police stations, and regional resource centers. The “Family Corner” centers and the network of Women’s Resource Centers promote gender equality, positive parenting, and community engagement.</w:t>
      </w:r>
    </w:p>
    <w:p w14:paraId="7A216158"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 xml:space="preserve">The “SAFE YOU” mobile application has been activated and is in the launch phase, with alerts already linked to the police operational center. The multifunctional app enables rapid alerts, location sharing, evidence recording, and access to support services. </w:t>
      </w:r>
      <w:r w:rsidR="00546F54" w:rsidRPr="006F137E">
        <w:rPr>
          <w:rFonts w:ascii="Times New Roman" w:eastAsia="Times New Roman" w:hAnsi="Times New Roman" w:cs="Times New Roman"/>
          <w:color w:val="000000"/>
          <w:sz w:val="24"/>
          <w:szCs w:val="24"/>
        </w:rPr>
        <w:t>It is expected that the app will</w:t>
      </w:r>
      <w:r w:rsidRPr="006F137E">
        <w:rPr>
          <w:rFonts w:ascii="Times New Roman" w:eastAsia="Times New Roman" w:hAnsi="Times New Roman" w:cs="Times New Roman"/>
          <w:color w:val="000000"/>
          <w:sz w:val="24"/>
          <w:szCs w:val="24"/>
        </w:rPr>
        <w:t xml:space="preserve"> contribute to the detection of latent cases and to early prevention.</w:t>
      </w:r>
    </w:p>
    <w:p w14:paraId="7A216159"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Health Services</w:t>
      </w:r>
    </w:p>
    <w:p w14:paraId="7A21615A"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Victims of domestic and family violence are entitled to free and preferential medical care under Government Decree No. 318-N of 4 March 2004. Armenia notes that while such services are provided, separate statistical data on their use are not yet collected.</w:t>
      </w:r>
    </w:p>
    <w:p w14:paraId="7A21615B"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Prosecution and Enforcement</w:t>
      </w:r>
    </w:p>
    <w:p w14:paraId="7A21615C"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The Prosecutor’s Office oversees the legality of pre-trial proceedings, initiates criminal prosecution, and defends cases in court. A working group involving the Prosecutor’s Office, Investigative Committee, and Ministry of Internal Affairs now provides a permanent platform for the coordinated discussion and resolution of domestic violence cases.</w:t>
      </w:r>
    </w:p>
    <w:p w14:paraId="7A21615D" w14:textId="77777777" w:rsidR="004303BD" w:rsidRPr="006F137E" w:rsidRDefault="004303BD" w:rsidP="00917F54">
      <w:pPr>
        <w:spacing w:before="100" w:beforeAutospacing="1" w:after="100" w:afterAutospacing="1" w:line="240" w:lineRule="auto"/>
        <w:jc w:val="both"/>
        <w:outlineLvl w:val="3"/>
        <w:rPr>
          <w:rFonts w:ascii="Times New Roman" w:eastAsia="Times New Roman" w:hAnsi="Times New Roman" w:cs="Times New Roman"/>
          <w:b/>
          <w:bCs/>
          <w:color w:val="000000"/>
          <w:sz w:val="24"/>
          <w:szCs w:val="24"/>
        </w:rPr>
      </w:pPr>
      <w:r w:rsidRPr="006F137E">
        <w:rPr>
          <w:rFonts w:ascii="Times New Roman" w:eastAsia="Times New Roman" w:hAnsi="Times New Roman" w:cs="Times New Roman"/>
          <w:b/>
          <w:bCs/>
          <w:color w:val="000000"/>
          <w:sz w:val="24"/>
          <w:szCs w:val="24"/>
        </w:rPr>
        <w:t>Strategic Framework</w:t>
      </w:r>
    </w:p>
    <w:p w14:paraId="7A21615E"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On 23 April 2025, the </w:t>
      </w:r>
      <w:r w:rsidRPr="006F137E">
        <w:rPr>
          <w:rFonts w:ascii="Times New Roman" w:eastAsia="Times New Roman" w:hAnsi="Times New Roman" w:cs="Times New Roman"/>
          <w:i/>
          <w:iCs/>
          <w:color w:val="000000"/>
          <w:sz w:val="24"/>
          <w:szCs w:val="24"/>
        </w:rPr>
        <w:t>2025–2028 Gender Policy Strategy and Action Plan</w:t>
      </w:r>
      <w:r w:rsidRPr="006F137E">
        <w:rPr>
          <w:rFonts w:ascii="Times New Roman" w:eastAsia="Times New Roman" w:hAnsi="Times New Roman" w:cs="Times New Roman"/>
          <w:color w:val="000000"/>
          <w:sz w:val="24"/>
          <w:szCs w:val="24"/>
        </w:rPr>
        <w:t> was adopted, establishing six priorities, including prevention of gender-based violence and ratification of the Istanbul Convention. The Action Plan comprises 71 activities, currently under implementation, and results will be reviewed by the Council on Women’s Issues. A public awareness campaign on the Convention is also planned.</w:t>
      </w:r>
    </w:p>
    <w:p w14:paraId="7A21615F" w14:textId="77777777" w:rsidR="004303BD" w:rsidRPr="006F137E" w:rsidRDefault="004303BD" w:rsidP="00917F54">
      <w:pPr>
        <w:spacing w:before="100" w:beforeAutospacing="1" w:after="100" w:afterAutospacing="1" w:line="240" w:lineRule="auto"/>
        <w:jc w:val="both"/>
        <w:rPr>
          <w:rFonts w:ascii="Times New Roman" w:eastAsia="Times New Roman" w:hAnsi="Times New Roman" w:cs="Times New Roman"/>
          <w:color w:val="000000"/>
          <w:sz w:val="24"/>
          <w:szCs w:val="24"/>
        </w:rPr>
      </w:pPr>
      <w:r w:rsidRPr="006F137E">
        <w:rPr>
          <w:rFonts w:ascii="Times New Roman" w:eastAsia="Times New Roman" w:hAnsi="Times New Roman" w:cs="Times New Roman"/>
          <w:color w:val="000000"/>
          <w:sz w:val="24"/>
          <w:szCs w:val="24"/>
        </w:rPr>
        <w:t>In addition, the </w:t>
      </w:r>
      <w:r w:rsidRPr="006F137E">
        <w:rPr>
          <w:rFonts w:ascii="Times New Roman" w:eastAsia="Times New Roman" w:hAnsi="Times New Roman" w:cs="Times New Roman"/>
          <w:i/>
          <w:iCs/>
          <w:color w:val="000000"/>
          <w:sz w:val="24"/>
          <w:szCs w:val="24"/>
        </w:rPr>
        <w:t>Employment Strategy for 2025–2031</w:t>
      </w:r>
      <w:r w:rsidRPr="006F137E">
        <w:rPr>
          <w:rFonts w:ascii="Times New Roman" w:eastAsia="Times New Roman" w:hAnsi="Times New Roman" w:cs="Times New Roman"/>
          <w:color w:val="000000"/>
          <w:sz w:val="24"/>
          <w:szCs w:val="24"/>
        </w:rPr>
        <w:t> specifically targets women, including victims of domestic violence, as a priority group for reintegration into the labor market and for entrepreneurship development.</w:t>
      </w:r>
    </w:p>
    <w:p w14:paraId="7A216160" w14:textId="77777777" w:rsidR="007127B3" w:rsidRPr="006F137E" w:rsidRDefault="007127B3" w:rsidP="00917F54">
      <w:pPr>
        <w:spacing w:after="0" w:line="240" w:lineRule="auto"/>
        <w:jc w:val="both"/>
        <w:rPr>
          <w:rFonts w:ascii="Times New Roman" w:hAnsi="Times New Roman" w:cs="Times New Roman"/>
          <w:b/>
          <w:i/>
          <w:sz w:val="24"/>
          <w:szCs w:val="24"/>
          <w:u w:val="single"/>
        </w:rPr>
      </w:pPr>
    </w:p>
    <w:p w14:paraId="7A216161" w14:textId="77777777" w:rsidR="000D5F7A" w:rsidRPr="006F137E" w:rsidRDefault="000D5F7A" w:rsidP="00917F54">
      <w:pPr>
        <w:spacing w:after="0" w:line="240" w:lineRule="auto"/>
        <w:jc w:val="both"/>
        <w:rPr>
          <w:rFonts w:ascii="Times New Roman" w:hAnsi="Times New Roman" w:cs="Times New Roman"/>
          <w:b/>
          <w:bCs/>
          <w:i/>
          <w:sz w:val="24"/>
          <w:szCs w:val="24"/>
        </w:rPr>
      </w:pPr>
      <w:r w:rsidRPr="006F137E">
        <w:rPr>
          <w:rFonts w:ascii="Times New Roman" w:hAnsi="Times New Roman" w:cs="Times New Roman"/>
          <w:b/>
          <w:bCs/>
          <w:i/>
          <w:sz w:val="24"/>
          <w:szCs w:val="24"/>
        </w:rPr>
        <w:t>Paragraph 40: Right of peaceful assembly and excessive use of force</w:t>
      </w:r>
    </w:p>
    <w:p w14:paraId="7A216162" w14:textId="77777777" w:rsidR="009E61BD" w:rsidRPr="006F137E" w:rsidRDefault="009E61BD" w:rsidP="00917F54">
      <w:pPr>
        <w:spacing w:after="0" w:line="240" w:lineRule="auto"/>
        <w:jc w:val="both"/>
        <w:rPr>
          <w:rFonts w:ascii="Times New Roman" w:hAnsi="Times New Roman" w:cs="Times New Roman"/>
          <w:b/>
          <w:bCs/>
          <w:i/>
          <w:sz w:val="24"/>
          <w:szCs w:val="24"/>
        </w:rPr>
      </w:pPr>
    </w:p>
    <w:p w14:paraId="7A216163" w14:textId="77777777" w:rsidR="000D5F7A" w:rsidRPr="006F137E" w:rsidRDefault="000D5F7A" w:rsidP="00917F54">
      <w:pPr>
        <w:pStyle w:val="Default"/>
        <w:jc w:val="both"/>
        <w:rPr>
          <w:b/>
          <w:i/>
        </w:rPr>
      </w:pPr>
      <w:r w:rsidRPr="006F137E">
        <w:rPr>
          <w:b/>
          <w:i/>
        </w:rPr>
        <w:t xml:space="preserve">[C]: (a) </w:t>
      </w:r>
    </w:p>
    <w:p w14:paraId="7A216164" w14:textId="77777777" w:rsidR="000D5F7A" w:rsidRPr="006F137E" w:rsidRDefault="000D5F7A" w:rsidP="00917F54">
      <w:pPr>
        <w:pStyle w:val="Default"/>
        <w:jc w:val="both"/>
        <w:rPr>
          <w:b/>
          <w:i/>
        </w:rPr>
      </w:pPr>
      <w:r w:rsidRPr="006F137E">
        <w:rPr>
          <w:b/>
          <w:i/>
        </w:rPr>
        <w:t xml:space="preserve">While welcoming the information provided by the State Party on the investigations and criminal proceedings regarding allegations of excessive use of force by State agents during protests, including the events in March 2008, June 2015, July 2016 and April 2018, the Committee is concerned about the number of cases or proceedings that are still pending or that have concluded with no consequences or criminal sanctions. It also regrets the lack of information on the compensation and rehabilitation provided to victims, and requests information in this regard. The Committee reiterates its recommendations and requests further information on: (a) </w:t>
      </w:r>
      <w:r w:rsidRPr="006F137E">
        <w:rPr>
          <w:b/>
          <w:i/>
        </w:rPr>
        <w:lastRenderedPageBreak/>
        <w:t xml:space="preserve">the progress of the new criminal proceedings ordered by the prosecutor in January 2024 to separate 10 cases involving torture and abuse of power relating to the events of March 2008; (b) the proceedings related to injuries of more than 20 journalists as a result of the use of special measures by the police during the events of July 2015, and the reason for their suspension; and (c) the cases related to the events of March 2008, June 2015, July 2016 and April 2018 that remain pending or for which no further action was taken. </w:t>
      </w:r>
    </w:p>
    <w:p w14:paraId="7A216165" w14:textId="77777777" w:rsidR="0091516A" w:rsidRPr="006F137E" w:rsidRDefault="0091516A" w:rsidP="00917F54">
      <w:pPr>
        <w:spacing w:after="0" w:line="240" w:lineRule="auto"/>
        <w:jc w:val="both"/>
        <w:rPr>
          <w:rFonts w:ascii="Times New Roman" w:hAnsi="Times New Roman" w:cs="Times New Roman"/>
          <w:b/>
          <w:i/>
          <w:sz w:val="24"/>
          <w:szCs w:val="24"/>
        </w:rPr>
      </w:pPr>
    </w:p>
    <w:p w14:paraId="7A216166" w14:textId="77777777" w:rsidR="000F6B4D" w:rsidRPr="006F137E" w:rsidRDefault="005A7455" w:rsidP="00917F54">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 xml:space="preserve">With regards to the incidents involving abuse (exceeding) of powers accompanied by violence during the events of March 2008, </w:t>
      </w:r>
      <w:r w:rsidR="00917F54" w:rsidRPr="006F137E">
        <w:rPr>
          <w:rFonts w:ascii="Times New Roman" w:hAnsi="Times New Roman" w:cs="Times New Roman"/>
          <w:sz w:val="24"/>
          <w:szCs w:val="24"/>
        </w:rPr>
        <w:t>the following needs to be noted:</w:t>
      </w:r>
    </w:p>
    <w:p w14:paraId="7A216167" w14:textId="77777777" w:rsidR="00917F54" w:rsidRPr="006F137E" w:rsidRDefault="00917F54" w:rsidP="00917F54">
      <w:pPr>
        <w:pStyle w:val="NormalWeb"/>
        <w:jc w:val="both"/>
        <w:rPr>
          <w:color w:val="000000"/>
        </w:rPr>
      </w:pPr>
      <w:r w:rsidRPr="006F137E">
        <w:rPr>
          <w:color w:val="000000"/>
        </w:rPr>
        <w:t>On 2 March 2008, criminal case No. 62202608 was initiated under the then Criminal Code provisions concerning mass disorders accompanied by firearms, explosives, and murders. On 24 March 2009, further proceedings concerning the deaths of ten individuals—Davit Petrosyan, Grigor Gevorgyan, Tigran Khachatryan, Armen Farmanyan, Gor Kloyan, Hovhannes Hovhannisyan, Zakar Hovhannisyan, Samvel Harutyunyan, Hamlet Tadevosyan and Tigran Abgaryan—were joined to this case. Additional proceedings were initiated in July 2009 in relation to violations of the rules for handling special means of weapons by police servicemen, which resulted in further deaths and injuries. In 2018, the case was broadened to include charges of concealing the true circumstances of the murders, falsifying evidence, and the unconstitutional use of firearms by the armed forces, allegedly with the involvement of high-ranking officials.</w:t>
      </w:r>
    </w:p>
    <w:p w14:paraId="7A216168" w14:textId="77777777" w:rsidR="00917F54" w:rsidRPr="006F137E" w:rsidRDefault="00917F54" w:rsidP="00917F54">
      <w:pPr>
        <w:pStyle w:val="NormalWeb"/>
        <w:jc w:val="both"/>
        <w:rPr>
          <w:color w:val="000000"/>
        </w:rPr>
      </w:pPr>
      <w:r w:rsidRPr="006F137E">
        <w:rPr>
          <w:color w:val="000000"/>
        </w:rPr>
        <w:t>Between 2018 and 2020, ten additional criminal cases were initiated and joined to case No. 62202608 concerning allegations of abuse of power, torture, and ill-treatment by officials, including acts against Gurgen Khachikyan, Vardan Ghavalbabunts, Eduard Asatryan, Yasha Melkonyan, Mushegh Saghatelyan, and Karen Tarkhanyan, among others. Owing to legislative reforms and investigative reassignments, these proceedings have been repeatedly transferred between bodies—the Special Investigation Service, the Anti-Corruption Committee, and the Investigative Committee—depending on investigative subordination and the nature of the alleged offences.</w:t>
      </w:r>
    </w:p>
    <w:p w14:paraId="7A216169" w14:textId="77777777" w:rsidR="00917F54" w:rsidRPr="006F137E" w:rsidRDefault="00917F54" w:rsidP="00917F54">
      <w:pPr>
        <w:pStyle w:val="NormalWeb"/>
        <w:jc w:val="both"/>
        <w:rPr>
          <w:color w:val="000000"/>
        </w:rPr>
      </w:pPr>
      <w:r w:rsidRPr="006F137E">
        <w:rPr>
          <w:color w:val="000000"/>
        </w:rPr>
        <w:t>Following instructions of the supervising prosecutor in January 2024, the investigator was directed to separate the proceedings concerning torture and abuse of authority that had been previously joined to case No. 62202608. As a result, four independent criminal proceedings were formed and are currently under preliminary investigation by the General Department for Investigation of Special Important Cases of the Investigative Committee. These include:</w:t>
      </w:r>
    </w:p>
    <w:p w14:paraId="7A21616A" w14:textId="77777777" w:rsidR="00917F54" w:rsidRPr="006F137E" w:rsidRDefault="00917F54" w:rsidP="00917F54">
      <w:pPr>
        <w:pStyle w:val="NormalWeb"/>
        <w:numPr>
          <w:ilvl w:val="0"/>
          <w:numId w:val="18"/>
        </w:numPr>
        <w:jc w:val="both"/>
        <w:rPr>
          <w:color w:val="000000"/>
        </w:rPr>
      </w:pPr>
      <w:r w:rsidRPr="006F137E">
        <w:rPr>
          <w:color w:val="000000"/>
        </w:rPr>
        <w:t>criminal proceeding No. 62213125, concerning alleged violence against Mushegh Saghatelyan, separated in February 2025;</w:t>
      </w:r>
    </w:p>
    <w:p w14:paraId="7A21616B" w14:textId="77777777" w:rsidR="00917F54" w:rsidRPr="006F137E" w:rsidRDefault="00917F54" w:rsidP="00917F54">
      <w:pPr>
        <w:pStyle w:val="NormalWeb"/>
        <w:numPr>
          <w:ilvl w:val="0"/>
          <w:numId w:val="18"/>
        </w:numPr>
        <w:jc w:val="both"/>
        <w:rPr>
          <w:color w:val="000000"/>
        </w:rPr>
      </w:pPr>
      <w:r w:rsidRPr="006F137E">
        <w:rPr>
          <w:color w:val="000000"/>
        </w:rPr>
        <w:t>criminal proceeding No. 62221725, concerning violence against Karen Tarkhanyan, separated in March 2025;</w:t>
      </w:r>
    </w:p>
    <w:p w14:paraId="7A21616C" w14:textId="77777777" w:rsidR="00917F54" w:rsidRPr="006F137E" w:rsidRDefault="00917F54" w:rsidP="00917F54">
      <w:pPr>
        <w:pStyle w:val="NormalWeb"/>
        <w:numPr>
          <w:ilvl w:val="0"/>
          <w:numId w:val="18"/>
        </w:numPr>
        <w:jc w:val="both"/>
        <w:rPr>
          <w:color w:val="000000"/>
        </w:rPr>
      </w:pPr>
      <w:r w:rsidRPr="006F137E">
        <w:rPr>
          <w:color w:val="000000"/>
        </w:rPr>
        <w:t>criminal proceeding No. 62221625, concerning abuse of powers through violence by a group of police officers against Norik Harutyunyan, separated in March 2025; and</w:t>
      </w:r>
    </w:p>
    <w:p w14:paraId="7A21616D" w14:textId="77777777" w:rsidR="00917F54" w:rsidRPr="006F137E" w:rsidRDefault="00917F54" w:rsidP="00917F54">
      <w:pPr>
        <w:pStyle w:val="NormalWeb"/>
        <w:numPr>
          <w:ilvl w:val="0"/>
          <w:numId w:val="18"/>
        </w:numPr>
        <w:jc w:val="both"/>
        <w:rPr>
          <w:color w:val="000000"/>
        </w:rPr>
      </w:pPr>
      <w:r w:rsidRPr="006F137E">
        <w:rPr>
          <w:color w:val="000000"/>
        </w:rPr>
        <w:t>criminal proceeding No. 62307424, concerning abuse of power accompanied by violence against Vardan Ghavalbabunts, separated in February 2025.</w:t>
      </w:r>
    </w:p>
    <w:p w14:paraId="7A21616E" w14:textId="77777777" w:rsidR="00917F54" w:rsidRPr="006F137E" w:rsidRDefault="00917F54" w:rsidP="00917F54">
      <w:pPr>
        <w:pStyle w:val="NormalWeb"/>
        <w:jc w:val="both"/>
        <w:rPr>
          <w:color w:val="000000"/>
        </w:rPr>
      </w:pPr>
      <w:r w:rsidRPr="006F137E">
        <w:rPr>
          <w:color w:val="000000"/>
        </w:rPr>
        <w:t>It was further revealed in the course of these investigations that Vahagn Harutyunyan, previously charged under criminal proceeding No. 62202608, has been declared wanted since July 2018, when he left Armenia and has not returned.</w:t>
      </w:r>
    </w:p>
    <w:p w14:paraId="7A21616F" w14:textId="77777777" w:rsidR="00917F54" w:rsidRPr="006F137E" w:rsidRDefault="00917F54" w:rsidP="00917F54">
      <w:pPr>
        <w:pStyle w:val="NormalWeb"/>
        <w:jc w:val="both"/>
        <w:rPr>
          <w:color w:val="000000"/>
        </w:rPr>
      </w:pPr>
      <w:r w:rsidRPr="006F137E">
        <w:rPr>
          <w:color w:val="000000"/>
        </w:rPr>
        <w:t>In parallel, proceedings have been separated against other accused persons under the revised provisions of the new Criminal Code, and in June 2025 an indictment was transmitted to the Criminal Court of First Instance of Yerevan against one defendant. Public criminal prosecution continues in respect of several other accused persons who remain wanted.</w:t>
      </w:r>
    </w:p>
    <w:p w14:paraId="7A216170" w14:textId="77777777" w:rsidR="00845475" w:rsidRPr="006F137E" w:rsidRDefault="00917F54" w:rsidP="003E41C1">
      <w:pPr>
        <w:pStyle w:val="NormalWeb"/>
        <w:jc w:val="both"/>
        <w:rPr>
          <w:color w:val="000000"/>
        </w:rPr>
      </w:pPr>
      <w:r w:rsidRPr="006F137E">
        <w:rPr>
          <w:color w:val="000000"/>
        </w:rPr>
        <w:t xml:space="preserve">The complexity and duration of these investigations </w:t>
      </w:r>
      <w:r w:rsidR="00845475" w:rsidRPr="006F137E">
        <w:rPr>
          <w:color w:val="000000"/>
        </w:rPr>
        <w:t>are due to several factors: the adoption of new Criminal and Criminal Procedure Codes in 2021 and subsequent institutional reforms, which required repeated transfers of jurisdiction; the exceptional size of the case file, consisting of 596 volumes with multiple later-joined proceedings; and the need to identify, separate, and reassign torture-related cases to the specialized Department for the Investigation of Torture and Abuse of Authority within the Investigative Committee.</w:t>
      </w:r>
    </w:p>
    <w:p w14:paraId="7A216171" w14:textId="77777777" w:rsidR="000F6B4D" w:rsidRPr="006F137E" w:rsidRDefault="002131BB" w:rsidP="003E41C1">
      <w:pPr>
        <w:pStyle w:val="NormalWeb"/>
        <w:jc w:val="both"/>
        <w:rPr>
          <w:color w:val="000000"/>
        </w:rPr>
      </w:pPr>
      <w:r w:rsidRPr="006F137E">
        <w:rPr>
          <w:color w:val="000000"/>
        </w:rPr>
        <w:t xml:space="preserve">The </w:t>
      </w:r>
      <w:r w:rsidR="00845475" w:rsidRPr="006F137E">
        <w:rPr>
          <w:color w:val="000000"/>
        </w:rPr>
        <w:t>i</w:t>
      </w:r>
      <w:r w:rsidRPr="006F137E">
        <w:rPr>
          <w:color w:val="000000"/>
        </w:rPr>
        <w:t>nvestigations remain ongoing</w:t>
      </w:r>
      <w:r w:rsidR="003E41C1" w:rsidRPr="006F137E">
        <w:rPr>
          <w:color w:val="000000"/>
        </w:rPr>
        <w:t>, as</w:t>
      </w:r>
      <w:r w:rsidR="00917F54" w:rsidRPr="006F137E">
        <w:rPr>
          <w:color w:val="000000"/>
        </w:rPr>
        <w:t xml:space="preserve"> </w:t>
      </w:r>
      <w:r w:rsidRPr="006F137E">
        <w:rPr>
          <w:color w:val="000000"/>
        </w:rPr>
        <w:t>m</w:t>
      </w:r>
      <w:r w:rsidR="000F6B4D" w:rsidRPr="006F137E">
        <w:rPr>
          <w:color w:val="000000"/>
        </w:rPr>
        <w:t xml:space="preserve">easures are being taken to clarify the circumstances of the deaths of the people who died as a result of the events that took place in Yerevan on </w:t>
      </w:r>
      <w:r w:rsidR="00386166" w:rsidRPr="006F137E">
        <w:rPr>
          <w:color w:val="000000"/>
        </w:rPr>
        <w:t xml:space="preserve">1-2 </w:t>
      </w:r>
      <w:r w:rsidR="000F6B4D" w:rsidRPr="006F137E">
        <w:rPr>
          <w:color w:val="000000"/>
        </w:rPr>
        <w:t>March 2008</w:t>
      </w:r>
      <w:r w:rsidRPr="006F137E">
        <w:rPr>
          <w:color w:val="000000"/>
        </w:rPr>
        <w:t xml:space="preserve"> and</w:t>
      </w:r>
      <w:r w:rsidR="000F6B4D" w:rsidRPr="006F137E">
        <w:rPr>
          <w:color w:val="000000"/>
        </w:rPr>
        <w:t xml:space="preserve"> to </w:t>
      </w:r>
      <w:r w:rsidRPr="006F137E">
        <w:rPr>
          <w:color w:val="000000"/>
        </w:rPr>
        <w:t xml:space="preserve">ensure a full and comprehensive inquiry. </w:t>
      </w:r>
    </w:p>
    <w:p w14:paraId="7A216172" w14:textId="77777777" w:rsidR="000F6B4D" w:rsidRPr="006F137E" w:rsidRDefault="000F6B4D" w:rsidP="00917F54">
      <w:pPr>
        <w:spacing w:after="0" w:line="240" w:lineRule="auto"/>
        <w:ind w:firstLine="720"/>
        <w:jc w:val="both"/>
        <w:rPr>
          <w:rFonts w:ascii="Times New Roman" w:hAnsi="Times New Roman" w:cs="Times New Roman"/>
          <w:sz w:val="24"/>
          <w:szCs w:val="24"/>
        </w:rPr>
      </w:pPr>
    </w:p>
    <w:p w14:paraId="7A216173" w14:textId="77777777" w:rsidR="005A7455" w:rsidRPr="006F137E" w:rsidRDefault="005A7455" w:rsidP="00917F54">
      <w:pPr>
        <w:spacing w:after="0" w:line="240" w:lineRule="auto"/>
        <w:ind w:firstLine="720"/>
        <w:jc w:val="both"/>
        <w:rPr>
          <w:rFonts w:ascii="Times New Roman" w:hAnsi="Times New Roman" w:cs="Times New Roman"/>
          <w:sz w:val="24"/>
          <w:szCs w:val="24"/>
        </w:rPr>
      </w:pPr>
    </w:p>
    <w:p w14:paraId="7A216174" w14:textId="77777777" w:rsidR="00426709" w:rsidRPr="006F137E" w:rsidRDefault="00426709" w:rsidP="00917F54">
      <w:pPr>
        <w:spacing w:after="0" w:line="240" w:lineRule="auto"/>
        <w:jc w:val="both"/>
        <w:rPr>
          <w:rFonts w:ascii="Times New Roman" w:hAnsi="Times New Roman" w:cs="Times New Roman"/>
          <w:b/>
          <w:bCs/>
          <w:i/>
          <w:sz w:val="24"/>
          <w:szCs w:val="24"/>
        </w:rPr>
      </w:pPr>
      <w:r w:rsidRPr="006F137E">
        <w:rPr>
          <w:rFonts w:ascii="Times New Roman" w:hAnsi="Times New Roman" w:cs="Times New Roman"/>
          <w:b/>
          <w:bCs/>
          <w:i/>
          <w:sz w:val="24"/>
          <w:szCs w:val="24"/>
        </w:rPr>
        <w:t>Paragraph 40: Right of peaceful assembly and excessive use of force</w:t>
      </w:r>
    </w:p>
    <w:p w14:paraId="7A216175" w14:textId="77777777" w:rsidR="00426709" w:rsidRPr="006F137E" w:rsidRDefault="00426709" w:rsidP="00917F54">
      <w:pPr>
        <w:spacing w:after="0" w:line="240" w:lineRule="auto"/>
        <w:jc w:val="both"/>
        <w:rPr>
          <w:rFonts w:ascii="Times New Roman" w:hAnsi="Times New Roman" w:cs="Times New Roman"/>
          <w:b/>
          <w:bCs/>
          <w:i/>
          <w:sz w:val="24"/>
          <w:szCs w:val="24"/>
        </w:rPr>
      </w:pPr>
    </w:p>
    <w:p w14:paraId="7A216176" w14:textId="77777777" w:rsidR="00426709" w:rsidRPr="006F137E" w:rsidRDefault="00426709" w:rsidP="00917F54">
      <w:pPr>
        <w:pStyle w:val="Default"/>
        <w:jc w:val="both"/>
        <w:rPr>
          <w:b/>
          <w:i/>
        </w:rPr>
      </w:pPr>
      <w:r w:rsidRPr="006F137E">
        <w:rPr>
          <w:b/>
          <w:i/>
        </w:rPr>
        <w:t xml:space="preserve">[B]: (b)–(e) </w:t>
      </w:r>
    </w:p>
    <w:p w14:paraId="7A216177" w14:textId="77777777" w:rsidR="00426709" w:rsidRPr="006F137E" w:rsidRDefault="00426709" w:rsidP="00917F54">
      <w:pPr>
        <w:pStyle w:val="Default"/>
        <w:jc w:val="both"/>
        <w:rPr>
          <w:b/>
          <w:i/>
        </w:rPr>
      </w:pPr>
    </w:p>
    <w:p w14:paraId="7A216178" w14:textId="77777777" w:rsidR="00426709" w:rsidRPr="006F137E" w:rsidRDefault="00426709" w:rsidP="00917F54">
      <w:pPr>
        <w:spacing w:after="0" w:line="240" w:lineRule="auto"/>
        <w:jc w:val="both"/>
        <w:rPr>
          <w:rFonts w:ascii="Times New Roman" w:hAnsi="Times New Roman" w:cs="Times New Roman"/>
          <w:b/>
          <w:i/>
          <w:sz w:val="24"/>
          <w:szCs w:val="24"/>
        </w:rPr>
      </w:pPr>
      <w:r w:rsidRPr="006F137E">
        <w:rPr>
          <w:rFonts w:ascii="Times New Roman" w:hAnsi="Times New Roman" w:cs="Times New Roman"/>
          <w:b/>
          <w:i/>
          <w:sz w:val="24"/>
          <w:szCs w:val="24"/>
        </w:rPr>
        <w:t xml:space="preserve">While welcoming the legislative reforms, including the adoption of the legislation on the Police Guard and amendments to the Law on Freedom of Assembly, and the efforts taken to provide training to law enforcement officers on the use of force, the Committee regrets the reports of the continued disproportionate use of force by police and obstruction of and violence against journalists during protests. The Committee reiterates its recommendations in this regard and requests further information on the new legislation, including its impact on the use of force by the police during demonstrations, and information on whether law enforcement officers receive systematic and compulsory training on the prohibition of excessive and unjustified use of force, especially in the context of demonstrations, and the promotion of the employment of non-violent means and crowd control. If further requests information, including statistical data, on any investigations, and the results thereof, into allegations of arbitrary arrest and detention by State agents at protests during the reporting period. </w:t>
      </w:r>
    </w:p>
    <w:p w14:paraId="7A216179" w14:textId="77777777" w:rsidR="00426709" w:rsidRPr="006F137E" w:rsidRDefault="00426709" w:rsidP="00917F54">
      <w:pPr>
        <w:spacing w:after="0" w:line="240" w:lineRule="auto"/>
        <w:jc w:val="both"/>
        <w:rPr>
          <w:rFonts w:ascii="Times New Roman" w:hAnsi="Times New Roman" w:cs="Times New Roman"/>
          <w:b/>
          <w:sz w:val="24"/>
          <w:szCs w:val="24"/>
          <w:u w:val="single"/>
        </w:rPr>
      </w:pPr>
    </w:p>
    <w:p w14:paraId="7A21617A" w14:textId="77777777" w:rsidR="005A7455" w:rsidRPr="006F137E" w:rsidRDefault="005A7455" w:rsidP="00917F54">
      <w:pPr>
        <w:spacing w:after="0" w:line="240" w:lineRule="auto"/>
        <w:jc w:val="both"/>
        <w:rPr>
          <w:rFonts w:ascii="Times New Roman" w:hAnsi="Times New Roman" w:cs="Times New Roman"/>
          <w:sz w:val="24"/>
          <w:szCs w:val="24"/>
        </w:rPr>
      </w:pPr>
    </w:p>
    <w:p w14:paraId="7A21617B" w14:textId="77777777" w:rsidR="005A7455" w:rsidRPr="006F137E" w:rsidRDefault="005A7455" w:rsidP="00917F54">
      <w:pPr>
        <w:tabs>
          <w:tab w:val="left" w:pos="900"/>
        </w:tabs>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 xml:space="preserve">During the preliminary investigation of the criminal proceeding initiated on </w:t>
      </w:r>
      <w:r w:rsidR="00B10D98" w:rsidRPr="006F137E">
        <w:rPr>
          <w:rFonts w:ascii="Times New Roman" w:hAnsi="Times New Roman" w:cs="Times New Roman"/>
          <w:sz w:val="24"/>
          <w:szCs w:val="24"/>
        </w:rPr>
        <w:t xml:space="preserve">2 </w:t>
      </w:r>
      <w:r w:rsidRPr="006F137E">
        <w:rPr>
          <w:rFonts w:ascii="Times New Roman" w:hAnsi="Times New Roman" w:cs="Times New Roman"/>
          <w:sz w:val="24"/>
          <w:szCs w:val="24"/>
        </w:rPr>
        <w:t>July 2015 with regards to the incidents of apparent unlawful use of violence</w:t>
      </w:r>
      <w:r w:rsidRPr="006F137E">
        <w:rPr>
          <w:rFonts w:ascii="Times New Roman" w:hAnsi="Times New Roman" w:cs="Times New Roman"/>
          <w:b/>
          <w:bCs/>
          <w:sz w:val="24"/>
          <w:szCs w:val="24"/>
        </w:rPr>
        <w:t xml:space="preserve"> by individuals performing official duties in state special services, clearly acting beyond the scope of their official powers</w:t>
      </w:r>
      <w:r w:rsidRPr="006F137E">
        <w:rPr>
          <w:rFonts w:ascii="Times New Roman" w:hAnsi="Times New Roman" w:cs="Times New Roman"/>
          <w:sz w:val="24"/>
          <w:szCs w:val="24"/>
        </w:rPr>
        <w:t xml:space="preserve">, deliberate infliction of bodily harm, and intentional damage or destruction of recording devices of rally participants and several journalists covering the events that took place during the special operations carried out on </w:t>
      </w:r>
      <w:r w:rsidR="00B10D98" w:rsidRPr="006F137E">
        <w:rPr>
          <w:rFonts w:ascii="Times New Roman" w:hAnsi="Times New Roman" w:cs="Times New Roman"/>
          <w:sz w:val="24"/>
          <w:szCs w:val="24"/>
        </w:rPr>
        <w:t xml:space="preserve">23 </w:t>
      </w:r>
      <w:r w:rsidRPr="006F137E">
        <w:rPr>
          <w:rFonts w:ascii="Times New Roman" w:hAnsi="Times New Roman" w:cs="Times New Roman"/>
          <w:sz w:val="24"/>
          <w:szCs w:val="24"/>
        </w:rPr>
        <w:t>June 2015, as well as in the following days on Baghramyan Avenue, in Freedom Square, in adjacent areas and in various police subdivisions, over 200 police officers were questioned, including the Deputy Chiefs of the Police, the Chief of Yerevan City Department of the Police, heads of all district police divisions of Yerevan, and individuals in civilian clothing performing duty on Baghramyan Avenue. Additionally, victim Taguhi Torosyan and witnesses Gagik Tomasyan, Davit Movsisyan, and Saribek Rustamyan were questioned.</w:t>
      </w:r>
    </w:p>
    <w:p w14:paraId="7A21617C" w14:textId="77777777" w:rsidR="005A7455" w:rsidRPr="006F137E" w:rsidRDefault="005A7455" w:rsidP="006F137E">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No public criminal prosecution was initiated against police officers Saribek Rustamyan, Davit Movsisyan, and Gagik Tomasyan on the grounds that they did not commit the act incriminated to them.</w:t>
      </w:r>
    </w:p>
    <w:p w14:paraId="7A21617D" w14:textId="77777777" w:rsidR="005A7455" w:rsidRPr="006F137E" w:rsidRDefault="005A7455" w:rsidP="006F137E">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Preliminary investigation is underway.</w:t>
      </w:r>
    </w:p>
    <w:p w14:paraId="7A21617E" w14:textId="77777777" w:rsidR="008D7804" w:rsidRPr="006F137E" w:rsidRDefault="008D7804" w:rsidP="00917F54">
      <w:pPr>
        <w:spacing w:after="0" w:line="240" w:lineRule="auto"/>
        <w:ind w:firstLine="720"/>
        <w:jc w:val="both"/>
        <w:rPr>
          <w:rFonts w:ascii="Times New Roman" w:hAnsi="Times New Roman" w:cs="Times New Roman"/>
          <w:sz w:val="24"/>
          <w:szCs w:val="24"/>
        </w:rPr>
      </w:pPr>
    </w:p>
    <w:p w14:paraId="7A21617F" w14:textId="77777777" w:rsidR="005A7455" w:rsidRPr="006F137E" w:rsidRDefault="005A7455" w:rsidP="006F137E">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 xml:space="preserve">In the framework of criminal proceeding No. 58212116 initiated with regards to the incident of entering the territory of the Patrol-Guard Service Regiment of Yerevan City of the Police, seizing and holding the administrative building and adjacent area of the mentioned unit on </w:t>
      </w:r>
      <w:r w:rsidR="00903363" w:rsidRPr="006F137E">
        <w:rPr>
          <w:rFonts w:ascii="Times New Roman" w:hAnsi="Times New Roman" w:cs="Times New Roman"/>
          <w:sz w:val="24"/>
          <w:szCs w:val="24"/>
        </w:rPr>
        <w:t xml:space="preserve">17 </w:t>
      </w:r>
      <w:r w:rsidRPr="006F137E">
        <w:rPr>
          <w:rFonts w:ascii="Times New Roman" w:hAnsi="Times New Roman" w:cs="Times New Roman"/>
          <w:sz w:val="24"/>
          <w:szCs w:val="24"/>
        </w:rPr>
        <w:t xml:space="preserve">July 2016 by a group of persons using weapons, and acting in an organized group with the aim of coercing the state into taking specific actions, a decision was issued on </w:t>
      </w:r>
      <w:r w:rsidR="00903363" w:rsidRPr="006F137E">
        <w:rPr>
          <w:rFonts w:ascii="Times New Roman" w:hAnsi="Times New Roman" w:cs="Times New Roman"/>
          <w:sz w:val="24"/>
          <w:szCs w:val="24"/>
        </w:rPr>
        <w:t xml:space="preserve">21 </w:t>
      </w:r>
      <w:r w:rsidRPr="006F137E">
        <w:rPr>
          <w:rFonts w:ascii="Times New Roman" w:hAnsi="Times New Roman" w:cs="Times New Roman"/>
          <w:sz w:val="24"/>
          <w:szCs w:val="24"/>
        </w:rPr>
        <w:t>June 2022 by the General Department for Investigation of Special Important Cases of the</w:t>
      </w:r>
      <w:r w:rsidR="00903363" w:rsidRPr="006F137E">
        <w:rPr>
          <w:rFonts w:ascii="Times New Roman" w:hAnsi="Times New Roman" w:cs="Times New Roman"/>
          <w:sz w:val="24"/>
          <w:szCs w:val="24"/>
        </w:rPr>
        <w:t xml:space="preserve"> </w:t>
      </w:r>
      <w:r w:rsidRPr="006F137E">
        <w:rPr>
          <w:rFonts w:ascii="Times New Roman" w:hAnsi="Times New Roman" w:cs="Times New Roman"/>
          <w:sz w:val="24"/>
          <w:szCs w:val="24"/>
        </w:rPr>
        <w:t>Investigative Committee not to initiate criminal prosecution on the grounds that the acts of the</w:t>
      </w:r>
      <w:r w:rsidR="00903363" w:rsidRPr="006F137E">
        <w:rPr>
          <w:rFonts w:ascii="Times New Roman" w:hAnsi="Times New Roman" w:cs="Times New Roman"/>
          <w:sz w:val="24"/>
          <w:szCs w:val="24"/>
        </w:rPr>
        <w:t xml:space="preserve"> </w:t>
      </w:r>
      <w:r w:rsidRPr="006F137E">
        <w:rPr>
          <w:rFonts w:ascii="Times New Roman" w:hAnsi="Times New Roman" w:cs="Times New Roman"/>
          <w:sz w:val="24"/>
          <w:szCs w:val="24"/>
        </w:rPr>
        <w:t xml:space="preserve">National Security Service and Police personnel, who caused bodily injuries to members of the organized group during their neutralization, were considered lawful under the Criminal Code. </w:t>
      </w:r>
    </w:p>
    <w:p w14:paraId="7A216180" w14:textId="77777777" w:rsidR="00903363" w:rsidRPr="006F137E" w:rsidRDefault="00903363" w:rsidP="00771734">
      <w:pPr>
        <w:spacing w:after="0" w:line="240" w:lineRule="auto"/>
        <w:jc w:val="both"/>
        <w:rPr>
          <w:rFonts w:ascii="Times New Roman" w:hAnsi="Times New Roman" w:cs="Times New Roman"/>
          <w:sz w:val="24"/>
          <w:szCs w:val="24"/>
        </w:rPr>
      </w:pPr>
    </w:p>
    <w:p w14:paraId="7A216181" w14:textId="77777777" w:rsidR="005A7455" w:rsidRPr="006F137E" w:rsidRDefault="005A7455" w:rsidP="00771734">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 xml:space="preserve">A complaint against the mentioned decision was submitted by Hovhannes Harutyunyan’s defense lawyer on </w:t>
      </w:r>
      <w:r w:rsidR="00903363" w:rsidRPr="006F137E">
        <w:rPr>
          <w:rFonts w:ascii="Times New Roman" w:hAnsi="Times New Roman" w:cs="Times New Roman"/>
          <w:sz w:val="24"/>
          <w:szCs w:val="24"/>
        </w:rPr>
        <w:t xml:space="preserve">15 </w:t>
      </w:r>
      <w:r w:rsidR="006F137E" w:rsidRPr="006F137E">
        <w:rPr>
          <w:rFonts w:ascii="Times New Roman" w:hAnsi="Times New Roman" w:cs="Times New Roman"/>
          <w:sz w:val="24"/>
          <w:szCs w:val="24"/>
        </w:rPr>
        <w:t xml:space="preserve">July </w:t>
      </w:r>
      <w:r w:rsidRPr="006F137E">
        <w:rPr>
          <w:rFonts w:ascii="Times New Roman" w:hAnsi="Times New Roman" w:cs="Times New Roman"/>
          <w:sz w:val="24"/>
          <w:szCs w:val="24"/>
        </w:rPr>
        <w:t>2024, which was rejected by the superior prosecutor. The decision was appealed in court, and by the decision of 27 September 2024, the attorney’s complaint was rejected.</w:t>
      </w:r>
    </w:p>
    <w:p w14:paraId="7A216182" w14:textId="77777777" w:rsidR="005A7455" w:rsidRPr="006F137E" w:rsidRDefault="005A7455" w:rsidP="00771734">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The preliminary investigation is ongoing.</w:t>
      </w:r>
    </w:p>
    <w:p w14:paraId="7A216183" w14:textId="77777777" w:rsidR="008C0287" w:rsidRPr="006F137E" w:rsidRDefault="008C0287" w:rsidP="001955BD">
      <w:pPr>
        <w:spacing w:after="0" w:line="240" w:lineRule="auto"/>
        <w:ind w:right="27"/>
        <w:jc w:val="both"/>
        <w:rPr>
          <w:rFonts w:ascii="Times New Roman" w:hAnsi="Times New Roman" w:cs="Times New Roman"/>
          <w:sz w:val="24"/>
          <w:szCs w:val="24"/>
        </w:rPr>
      </w:pPr>
    </w:p>
    <w:p w14:paraId="7A216184" w14:textId="77777777" w:rsidR="0091516A" w:rsidRPr="006F137E" w:rsidRDefault="0091516A" w:rsidP="00917F54">
      <w:pPr>
        <w:spacing w:after="0" w:line="240" w:lineRule="auto"/>
        <w:ind w:right="27" w:firstLine="567"/>
        <w:jc w:val="both"/>
        <w:rPr>
          <w:rFonts w:ascii="Times New Roman" w:hAnsi="Times New Roman" w:cs="Times New Roman"/>
          <w:b/>
          <w:sz w:val="24"/>
          <w:szCs w:val="24"/>
        </w:rPr>
      </w:pPr>
      <w:r w:rsidRPr="006F137E">
        <w:rPr>
          <w:rFonts w:ascii="Times New Roman" w:hAnsi="Times New Roman" w:cs="Times New Roman"/>
          <w:b/>
          <w:sz w:val="24"/>
          <w:szCs w:val="24"/>
        </w:rPr>
        <w:t>Regarding the events of June 2015</w:t>
      </w:r>
    </w:p>
    <w:p w14:paraId="7A216185" w14:textId="77777777" w:rsidR="0091516A" w:rsidRPr="006F137E" w:rsidRDefault="0091516A" w:rsidP="006F137E">
      <w:pPr>
        <w:spacing w:after="0" w:line="240" w:lineRule="auto"/>
        <w:ind w:right="27"/>
        <w:jc w:val="both"/>
        <w:rPr>
          <w:rFonts w:ascii="Times New Roman" w:hAnsi="Times New Roman" w:cs="Times New Roman"/>
          <w:sz w:val="24"/>
          <w:szCs w:val="24"/>
        </w:rPr>
      </w:pPr>
    </w:p>
    <w:p w14:paraId="7A216186"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In connection with the events of June 2015, on </w:t>
      </w:r>
      <w:r w:rsidR="00903363" w:rsidRPr="006F137E">
        <w:rPr>
          <w:rFonts w:ascii="Times New Roman" w:hAnsi="Times New Roman" w:cs="Times New Roman"/>
          <w:sz w:val="24"/>
          <w:szCs w:val="24"/>
        </w:rPr>
        <w:t xml:space="preserve">2 </w:t>
      </w:r>
      <w:r w:rsidRPr="006F137E">
        <w:rPr>
          <w:rFonts w:ascii="Times New Roman" w:hAnsi="Times New Roman" w:cs="Times New Roman"/>
          <w:sz w:val="24"/>
          <w:szCs w:val="24"/>
        </w:rPr>
        <w:t>July 2015, the Special Investigation Service initiated criminal case No. 62217915 under Article 309, Part 2, Article 164, Part 2 and Article 185, Part 1 of the Criminal Code and conducted a preliminary investigation.</w:t>
      </w:r>
    </w:p>
    <w:p w14:paraId="7A216187" w14:textId="77777777" w:rsidR="006F137E" w:rsidRPr="006F137E" w:rsidRDefault="006F137E" w:rsidP="006F137E">
      <w:pPr>
        <w:spacing w:after="0" w:line="240" w:lineRule="auto"/>
        <w:ind w:right="27"/>
        <w:jc w:val="both"/>
        <w:rPr>
          <w:rFonts w:ascii="Times New Roman" w:hAnsi="Times New Roman" w:cs="Times New Roman"/>
          <w:sz w:val="24"/>
          <w:szCs w:val="24"/>
        </w:rPr>
      </w:pPr>
    </w:p>
    <w:p w14:paraId="7A216188"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Factual circumstances established during the preliminary investigation:</w:t>
      </w:r>
    </w:p>
    <w:p w14:paraId="7A216189"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On </w:t>
      </w:r>
      <w:r w:rsidR="00903363" w:rsidRPr="006F137E">
        <w:rPr>
          <w:rFonts w:ascii="Times New Roman" w:hAnsi="Times New Roman" w:cs="Times New Roman"/>
          <w:sz w:val="24"/>
          <w:szCs w:val="24"/>
        </w:rPr>
        <w:t xml:space="preserve">8 </w:t>
      </w:r>
      <w:r w:rsidRPr="006F137E">
        <w:rPr>
          <w:rFonts w:ascii="Times New Roman" w:hAnsi="Times New Roman" w:cs="Times New Roman"/>
          <w:sz w:val="24"/>
          <w:szCs w:val="24"/>
        </w:rPr>
        <w:t xml:space="preserve">May 2015, "Electric Networks of Armenia" CJSC applied to the Public Services Regulatory Commission (PSRC) proposing to increase the electricity tariff for the population by 17 drams. On </w:t>
      </w:r>
      <w:r w:rsidR="00903363" w:rsidRPr="006F137E">
        <w:rPr>
          <w:rFonts w:ascii="Times New Roman" w:hAnsi="Times New Roman" w:cs="Times New Roman"/>
          <w:sz w:val="24"/>
          <w:szCs w:val="24"/>
        </w:rPr>
        <w:t xml:space="preserve">17 </w:t>
      </w:r>
      <w:r w:rsidRPr="006F137E">
        <w:rPr>
          <w:rFonts w:ascii="Times New Roman" w:hAnsi="Times New Roman" w:cs="Times New Roman"/>
          <w:sz w:val="24"/>
          <w:szCs w:val="24"/>
        </w:rPr>
        <w:t xml:space="preserve">June 2015, the PSRC adopted a decision to increase the electricity tariff by 6.93 drams, which received a wide public response. Exercising their constitutional right to freedom of assembly, the “No to Looting” civic initiative organized a peaceful protest against the increase in electricity prices in Yerevan’s Freedom Square on </w:t>
      </w:r>
      <w:r w:rsidR="00903363" w:rsidRPr="006F137E">
        <w:rPr>
          <w:rFonts w:ascii="Times New Roman" w:hAnsi="Times New Roman" w:cs="Times New Roman"/>
          <w:sz w:val="24"/>
          <w:szCs w:val="24"/>
        </w:rPr>
        <w:t>19 June 2015</w:t>
      </w:r>
      <w:r w:rsidRPr="006F137E">
        <w:rPr>
          <w:rFonts w:ascii="Times New Roman" w:hAnsi="Times New Roman" w:cs="Times New Roman"/>
          <w:sz w:val="24"/>
          <w:szCs w:val="24"/>
        </w:rPr>
        <w:t>, which was joined by various individuals. The protesting participants demanded the cancellation of the PSRC’s June 17 decision.</w:t>
      </w:r>
    </w:p>
    <w:p w14:paraId="7A21618A"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The rally (demonstration) in Freedom Square continued until </w:t>
      </w:r>
      <w:r w:rsidR="00903363" w:rsidRPr="006F137E">
        <w:rPr>
          <w:rFonts w:ascii="Times New Roman" w:hAnsi="Times New Roman" w:cs="Times New Roman"/>
          <w:sz w:val="24"/>
          <w:szCs w:val="24"/>
        </w:rPr>
        <w:t xml:space="preserve">22 </w:t>
      </w:r>
      <w:r w:rsidRPr="006F137E">
        <w:rPr>
          <w:rFonts w:ascii="Times New Roman" w:hAnsi="Times New Roman" w:cs="Times New Roman"/>
          <w:sz w:val="24"/>
          <w:szCs w:val="24"/>
        </w:rPr>
        <w:t>June 2015. On the mentioned day, at around 6:30 PM, about 1,000 participants of the rally marched from Freedom Square to Yerevan’s Baghramyan Avenue, announcing that they wanted to express their protest in front of the President’s residence. In the section not reaching the Constitutional Court building, in the direction of the 1st alley of Baghramyan Avenue, the Police units prohibited the further movement of the participants of the rally, suggesting that they return to Freedom Square again. The participants of the rally, as a sign of dissatisfaction, began an indefinite sit-in on the roadway of Baghramyan Avenue, declaring that they will not vacate it until the decision to increase the price of electricity is canceled. The rally did not have a de facto leader, its participants declared that they would make all decisions about their further actions together. In connection with the rally, various police units were involved in the service aimed at maintaining public order, during which the police officers wore the prescribed uniform. The exhortations of the police representatives and the negotiations held with the participants of the rally aimed at vacating the roadway of the avenue did not yield any results.</w:t>
      </w:r>
    </w:p>
    <w:p w14:paraId="7A21618B"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The protesters insisted that until the</w:t>
      </w:r>
      <w:r w:rsidR="009822FE" w:rsidRPr="006F137E">
        <w:rPr>
          <w:rFonts w:ascii="Times New Roman" w:hAnsi="Times New Roman" w:cs="Times New Roman"/>
          <w:sz w:val="24"/>
          <w:szCs w:val="24"/>
        </w:rPr>
        <w:t xml:space="preserve"> </w:t>
      </w:r>
      <w:r w:rsidRPr="006F137E">
        <w:rPr>
          <w:rFonts w:ascii="Times New Roman" w:hAnsi="Times New Roman" w:cs="Times New Roman"/>
          <w:sz w:val="24"/>
          <w:szCs w:val="24"/>
        </w:rPr>
        <w:t xml:space="preserve">Public Services Regulatory Commission makes a decision on canceling the electricity price increase, they will not vacate the avenue. They spent the night of </w:t>
      </w:r>
      <w:r w:rsidR="00C84CAE" w:rsidRPr="006F137E">
        <w:rPr>
          <w:rFonts w:ascii="Times New Roman" w:hAnsi="Times New Roman" w:cs="Times New Roman"/>
          <w:sz w:val="24"/>
          <w:szCs w:val="24"/>
        </w:rPr>
        <w:t xml:space="preserve">22-23 </w:t>
      </w:r>
      <w:r w:rsidRPr="006F137E">
        <w:rPr>
          <w:rFonts w:ascii="Times New Roman" w:hAnsi="Times New Roman" w:cs="Times New Roman"/>
          <w:sz w:val="24"/>
          <w:szCs w:val="24"/>
        </w:rPr>
        <w:t xml:space="preserve">June 2015 on Baghramyan Avenue. They sang, danced, and played music. For disrupting public transport traffic on Baghramyan Avenue in Yerevan, disturbing the peace, and thereby grossly violating public order, on </w:t>
      </w:r>
      <w:r w:rsidR="00C84CAE" w:rsidRPr="006F137E">
        <w:rPr>
          <w:rFonts w:ascii="Times New Roman" w:hAnsi="Times New Roman" w:cs="Times New Roman"/>
          <w:sz w:val="24"/>
          <w:szCs w:val="24"/>
        </w:rPr>
        <w:t xml:space="preserve">22 </w:t>
      </w:r>
      <w:r w:rsidRPr="006F137E">
        <w:rPr>
          <w:rFonts w:ascii="Times New Roman" w:hAnsi="Times New Roman" w:cs="Times New Roman"/>
          <w:sz w:val="24"/>
          <w:szCs w:val="24"/>
        </w:rPr>
        <w:t xml:space="preserve">June 2015, the Prosecutor's Office of Arabkir and Kanaker-Zeytun administrative districts of Yerevan initiated criminal case No. 14203515 under Part 1 of Article 258 of the Criminal Code on the incident of hooliganism, and the preliminary investigation of which was assigned to the investigative group on </w:t>
      </w:r>
      <w:r w:rsidR="00C84CAE" w:rsidRPr="006F137E">
        <w:rPr>
          <w:rFonts w:ascii="Times New Roman" w:hAnsi="Times New Roman" w:cs="Times New Roman"/>
          <w:sz w:val="24"/>
          <w:szCs w:val="24"/>
        </w:rPr>
        <w:t xml:space="preserve">23 </w:t>
      </w:r>
      <w:r w:rsidRPr="006F137E">
        <w:rPr>
          <w:rFonts w:ascii="Times New Roman" w:hAnsi="Times New Roman" w:cs="Times New Roman"/>
          <w:sz w:val="24"/>
          <w:szCs w:val="24"/>
        </w:rPr>
        <w:t>June 2015.</w:t>
      </w:r>
    </w:p>
    <w:p w14:paraId="7A21618C"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Early in the morning of </w:t>
      </w:r>
      <w:r w:rsidR="00C84CAE" w:rsidRPr="006F137E">
        <w:rPr>
          <w:rFonts w:ascii="Times New Roman" w:hAnsi="Times New Roman" w:cs="Times New Roman"/>
          <w:sz w:val="24"/>
          <w:szCs w:val="24"/>
        </w:rPr>
        <w:t xml:space="preserve">23 </w:t>
      </w:r>
      <w:r w:rsidRPr="006F137E">
        <w:rPr>
          <w:rFonts w:ascii="Times New Roman" w:hAnsi="Times New Roman" w:cs="Times New Roman"/>
          <w:sz w:val="24"/>
          <w:szCs w:val="24"/>
        </w:rPr>
        <w:t>June 2015, at around 5:00 a.m., police officers addressed the approximately 500 participants of the rally over a loudspeaker, demanding that they clear the roadway, not violate the constitutional rights of others, and move to Freedom Square. They were warned that otherwise the police would use physical force and special measures within the limits of the law. About 5 minutes later, they made the same statement over a loudspeaker again, giving the participants of the rally 10 minutes to clear the avenue. The participants of the gathering responded to these statements with noise, shouting and whistles of discontent, did not vacate the carriageway of the avenue, sitting on the carriageway, and many of them hugged each other. The mentioned events were followed on the spot by a large number of representatives of the mass media, some of whom visibly wore journalistic insignia and had video recording devices with them. When, after the exhortation sounded over a loudspeaker, the representatives of the mass media present on the carriageway of the avenue did not leave the carriageway, the police officers took them away with outstretched arms and pushed them out of the carriageway. About 10 minutes later, the police, using a police water cannon brought to the carriageway of Baghramyan Avenue, began to disperse the participants of the gathering, who responded to it with whistles and shouts.</w:t>
      </w:r>
    </w:p>
    <w:p w14:paraId="7A21618D"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The water cannons fired at the participants of the rally sitting on the avenue, hitting different parts of their bodies, and some were thrown aside by the water cannon. In parallel with the use of water cannons, officers from various police departments began to drag the participants of the rally away from Baghramyan Avenue, and some were detained. During this time, a scuffle and chaos arose. As a result of the above actions, the police dispersed the rally, the participants of which gathered at Freedom Square, from where some of them were also detained. More than 200 participants of the rally detained from Baghramyan Avenue, Freedom Square and adjacent areas were taken to various departments of the Yerevan City Police, as well as the Ashtarak and Masis police departments. </w:t>
      </w:r>
    </w:p>
    <w:p w14:paraId="7A21618E"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There, detention protocols were drawn up regarding them, according to which the latter were detained on suspicion of committing hooliganism. Those detained were searched, some were fingerprinted, their sobriety was checked, they were taken to appropriate institutions, where hair and urine samples were taken. Then they were presented to the investigators of the Investigative Committee, who interrogated the detained as witnesses in the framework of the above-mentioned criminal case initiated on the hooliganism incident.</w:t>
      </w:r>
    </w:p>
    <w:p w14:paraId="7A21618F"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During the preliminary investigation, more than 200 police officers were questioned, including the deputy heads of the Police, the head of the Yerevan City Police Department of the Police, the heads of all departments of the Yerevan City Police, and civilian personnel who performed their duties on Baghramyan Avenue. The police officers testified that they did not intend to keep the detainees in the police stations for more than 3 hours, and due to the large number of detainees, it sometimes took a long time to prepare the necessary documents for them due to the workload. In addition, the latter were informed that they would be summoned for questioning by investigators, under which circumstances the detainees preferred to wait for their turn to be questioned. During that time, they met with lawyers who visited the police stations, as well as members of the National Assembly and representatives of the Human Rights Defender's staff.</w:t>
      </w:r>
    </w:p>
    <w:p w14:paraId="7A216190"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Copies of the materials of the official investigation conducted by the Internal Security Department of the Police to clarify the legality of the actions of police officers during the events that took place on Baghramyan Avenue and Freedom Square in Yerevan on </w:t>
      </w:r>
      <w:r w:rsidR="00C84CAE" w:rsidRPr="006F137E">
        <w:rPr>
          <w:rFonts w:ascii="Times New Roman" w:hAnsi="Times New Roman" w:cs="Times New Roman"/>
          <w:sz w:val="24"/>
          <w:szCs w:val="24"/>
        </w:rPr>
        <w:t xml:space="preserve">23 </w:t>
      </w:r>
      <w:r w:rsidRPr="006F137E">
        <w:rPr>
          <w:rFonts w:ascii="Times New Roman" w:hAnsi="Times New Roman" w:cs="Times New Roman"/>
          <w:sz w:val="24"/>
          <w:szCs w:val="24"/>
        </w:rPr>
        <w:t>June 2015, were also attached to the criminal case. Based on these materials, interrogations were conducted, video recordings attached to the materials were examined, and other procedural actions were performed. At the same time, it was found that as a result of the official investigation, 12 police officers were subjected to various disciplinary penalties.</w:t>
      </w:r>
    </w:p>
    <w:p w14:paraId="7A216191"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During the preliminary investigation, dozens of video recordings attached to the criminal case, related to the events that occurred on</w:t>
      </w:r>
      <w:r w:rsidR="00C84CAE" w:rsidRPr="006F137E">
        <w:rPr>
          <w:rFonts w:ascii="Times New Roman" w:hAnsi="Times New Roman" w:cs="Times New Roman"/>
          <w:sz w:val="24"/>
          <w:szCs w:val="24"/>
        </w:rPr>
        <w:t xml:space="preserve"> 23</w:t>
      </w:r>
      <w:r w:rsidRPr="006F137E">
        <w:rPr>
          <w:rFonts w:ascii="Times New Roman" w:hAnsi="Times New Roman" w:cs="Times New Roman"/>
          <w:sz w:val="24"/>
          <w:szCs w:val="24"/>
        </w:rPr>
        <w:t xml:space="preserve"> June 2015, were examined, from which instructions were given to the investigative body and interrogations were conducted on the video recordings.</w:t>
      </w:r>
    </w:p>
    <w:p w14:paraId="7A216192"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38 people from the participants of the gathering were recognized as victims in the criminal case.</w:t>
      </w:r>
    </w:p>
    <w:p w14:paraId="7A216193"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The preliminary investigation in the criminal case has not been completed, as the investigation is continuing to clarify all the circumstances of the incident.</w:t>
      </w:r>
    </w:p>
    <w:p w14:paraId="7A216194" w14:textId="77777777" w:rsidR="0091516A" w:rsidRPr="006F137E" w:rsidRDefault="0091516A" w:rsidP="00917F54">
      <w:pPr>
        <w:pStyle w:val="ListParagraph"/>
        <w:spacing w:after="0" w:line="240" w:lineRule="auto"/>
        <w:ind w:left="0" w:right="27"/>
        <w:jc w:val="both"/>
        <w:rPr>
          <w:rFonts w:cs="Times New Roman"/>
          <w:szCs w:val="24"/>
        </w:rPr>
      </w:pPr>
    </w:p>
    <w:p w14:paraId="7A216195" w14:textId="77777777" w:rsidR="0091516A" w:rsidRPr="006F137E" w:rsidRDefault="0091516A" w:rsidP="00917F54">
      <w:pPr>
        <w:spacing w:after="0" w:line="240" w:lineRule="auto"/>
        <w:ind w:right="27"/>
        <w:jc w:val="both"/>
        <w:rPr>
          <w:rFonts w:ascii="Times New Roman" w:hAnsi="Times New Roman" w:cs="Times New Roman"/>
          <w:b/>
          <w:sz w:val="24"/>
          <w:szCs w:val="24"/>
        </w:rPr>
      </w:pPr>
      <w:r w:rsidRPr="006F137E">
        <w:rPr>
          <w:rFonts w:ascii="Times New Roman" w:hAnsi="Times New Roman" w:cs="Times New Roman"/>
          <w:b/>
          <w:sz w:val="24"/>
          <w:szCs w:val="24"/>
        </w:rPr>
        <w:t>Regarding the events of July 2016</w:t>
      </w:r>
    </w:p>
    <w:p w14:paraId="7A216196" w14:textId="77777777" w:rsidR="006F137E" w:rsidRPr="006F137E" w:rsidRDefault="006F137E" w:rsidP="006F137E">
      <w:pPr>
        <w:spacing w:after="0" w:line="240" w:lineRule="auto"/>
        <w:ind w:right="27"/>
        <w:jc w:val="both"/>
        <w:rPr>
          <w:rFonts w:ascii="Times New Roman" w:hAnsi="Times New Roman" w:cs="Times New Roman"/>
          <w:sz w:val="24"/>
          <w:szCs w:val="24"/>
        </w:rPr>
      </w:pPr>
      <w:bookmarkStart w:id="0" w:name="_Hlk205385380"/>
    </w:p>
    <w:p w14:paraId="7A216197"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After the seizure of the administrative buildings of the Special Police Service of the Yerevan City Department of the</w:t>
      </w:r>
      <w:r w:rsidR="00C84CAE" w:rsidRPr="006F137E">
        <w:rPr>
          <w:rFonts w:ascii="Times New Roman" w:hAnsi="Times New Roman" w:cs="Times New Roman"/>
          <w:sz w:val="24"/>
          <w:szCs w:val="24"/>
        </w:rPr>
        <w:t xml:space="preserve"> </w:t>
      </w:r>
      <w:r w:rsidRPr="006F137E">
        <w:rPr>
          <w:rFonts w:ascii="Times New Roman" w:hAnsi="Times New Roman" w:cs="Times New Roman"/>
          <w:sz w:val="24"/>
          <w:szCs w:val="24"/>
        </w:rPr>
        <w:t xml:space="preserve">Police on M. Khorenatsi Street in Yerevan on </w:t>
      </w:r>
      <w:r w:rsidR="00C84CAE" w:rsidRPr="006F137E">
        <w:rPr>
          <w:rFonts w:ascii="Times New Roman" w:hAnsi="Times New Roman" w:cs="Times New Roman"/>
          <w:sz w:val="24"/>
          <w:szCs w:val="24"/>
        </w:rPr>
        <w:t xml:space="preserve">17 </w:t>
      </w:r>
      <w:r w:rsidRPr="006F137E">
        <w:rPr>
          <w:rFonts w:ascii="Times New Roman" w:hAnsi="Times New Roman" w:cs="Times New Roman"/>
          <w:sz w:val="24"/>
          <w:szCs w:val="24"/>
        </w:rPr>
        <w:t>July 2016, during the period fro</w:t>
      </w:r>
      <w:r w:rsidR="00C84CAE" w:rsidRPr="006F137E">
        <w:rPr>
          <w:rFonts w:ascii="Times New Roman" w:hAnsi="Times New Roman" w:cs="Times New Roman"/>
          <w:sz w:val="24"/>
          <w:szCs w:val="24"/>
        </w:rPr>
        <w:t xml:space="preserve">m 29 to 30 </w:t>
      </w:r>
      <w:r w:rsidRPr="006F137E">
        <w:rPr>
          <w:rFonts w:ascii="Times New Roman" w:hAnsi="Times New Roman" w:cs="Times New Roman"/>
          <w:sz w:val="24"/>
          <w:szCs w:val="24"/>
        </w:rPr>
        <w:t>July 2016, 188 persons were interrogated under criminal proceedings No. 61205016 on the alleged obvious violation of the powers of the Police officers, the use of special measures on M. Khorenatsi Street and in Sari Tagh in Yerevan, the use of violence against persons during their detention and subsequent infliction of bodily injuries by the Police units in Yerevan, 109 of whom were witnesses (37 of whom were citizens, 3 of whom were journalists, 69 of whom were police officers), and 79 of whom were victims (21 of whom were journalists). As a result of the investigative actions carried out and the operational-intelligence measures taken, Panasonic and Sony model cameras belonging to various media outlets were discovered (as well as broken camera parts), and cases against 9 individuals were sent to court, including:</w:t>
      </w:r>
    </w:p>
    <w:p w14:paraId="7A216198" w14:textId="77777777" w:rsidR="0091516A" w:rsidRPr="006F137E" w:rsidRDefault="0091516A" w:rsidP="00917F54">
      <w:pPr>
        <w:spacing w:after="0" w:line="240" w:lineRule="auto"/>
        <w:ind w:right="27" w:firstLine="567"/>
        <w:jc w:val="both"/>
        <w:rPr>
          <w:rFonts w:ascii="Times New Roman" w:hAnsi="Times New Roman" w:cs="Times New Roman"/>
          <w:sz w:val="24"/>
          <w:szCs w:val="24"/>
        </w:rPr>
      </w:pPr>
      <w:r w:rsidRPr="006F137E">
        <w:rPr>
          <w:rFonts w:ascii="Times New Roman" w:hAnsi="Times New Roman" w:cs="Times New Roman"/>
          <w:sz w:val="24"/>
          <w:szCs w:val="24"/>
        </w:rPr>
        <w:t xml:space="preserve">1. Seyran Karapetyan, Vladimir Mkhitaryan, Karen Grigoryan and Davit Sargsyan were charged under Part 1 of Article 164 and Part 3, Point 1 of Article 258 of the Criminal Code for committing hooliganism as part of a group in Sari Tagh and obstructing the legal professional activities of Albert Galstyan, a journalist of the Armenia TV company. Arrest was applied as a preventive measure against the four defendants, and on </w:t>
      </w:r>
      <w:r w:rsidR="00C84CAE" w:rsidRPr="006F137E">
        <w:rPr>
          <w:rFonts w:ascii="Times New Roman" w:hAnsi="Times New Roman" w:cs="Times New Roman"/>
          <w:sz w:val="24"/>
          <w:szCs w:val="24"/>
        </w:rPr>
        <w:t xml:space="preserve">7 </w:t>
      </w:r>
      <w:r w:rsidRPr="006F137E">
        <w:rPr>
          <w:rFonts w:ascii="Times New Roman" w:hAnsi="Times New Roman" w:cs="Times New Roman"/>
          <w:sz w:val="24"/>
          <w:szCs w:val="24"/>
        </w:rPr>
        <w:t>September 2016, the case in their case was sent to court for examination on the merits. The guilty verdict passed by the court entered into legal force.</w:t>
      </w:r>
    </w:p>
    <w:p w14:paraId="7A216199" w14:textId="77777777" w:rsidR="0091516A" w:rsidRPr="006F137E" w:rsidRDefault="0091516A" w:rsidP="00917F54">
      <w:pPr>
        <w:spacing w:after="0" w:line="240" w:lineRule="auto"/>
        <w:ind w:right="27" w:firstLine="567"/>
        <w:jc w:val="both"/>
        <w:rPr>
          <w:rFonts w:ascii="Times New Roman" w:hAnsi="Times New Roman" w:cs="Times New Roman"/>
          <w:sz w:val="24"/>
          <w:szCs w:val="24"/>
        </w:rPr>
      </w:pPr>
      <w:r w:rsidRPr="006F137E">
        <w:rPr>
          <w:rFonts w:ascii="Times New Roman" w:hAnsi="Times New Roman" w:cs="Times New Roman"/>
          <w:sz w:val="24"/>
          <w:szCs w:val="24"/>
        </w:rPr>
        <w:t>2. Tigran Aharonyan was charged under Part 1 of Article 164 of the Criminal Code for obstructing the legal professional activities of Radio Liberty journalist Hovhannes Movsisyan. A restraining order was imposed on Tigran Aharonyan, and on October 5 2016, the case was sent to court for consideration on the merits. The court rendered a guilty verdict, which entered into legal force.</w:t>
      </w:r>
    </w:p>
    <w:p w14:paraId="7A21619A" w14:textId="77777777" w:rsidR="0091516A" w:rsidRPr="006F137E" w:rsidRDefault="0091516A" w:rsidP="00917F54">
      <w:pPr>
        <w:spacing w:after="0" w:line="240" w:lineRule="auto"/>
        <w:ind w:right="27" w:firstLine="567"/>
        <w:jc w:val="both"/>
        <w:rPr>
          <w:rFonts w:ascii="Times New Roman" w:hAnsi="Times New Roman" w:cs="Times New Roman"/>
          <w:sz w:val="24"/>
          <w:szCs w:val="24"/>
        </w:rPr>
      </w:pPr>
      <w:r w:rsidRPr="006F137E">
        <w:rPr>
          <w:rFonts w:ascii="Times New Roman" w:hAnsi="Times New Roman" w:cs="Times New Roman"/>
          <w:sz w:val="24"/>
          <w:szCs w:val="24"/>
        </w:rPr>
        <w:t xml:space="preserve">3. Gor Khachatryan and Garegin Hovsepyan were charged under Part 1 of Article 164 and Part 1 of Article 185 of the Criminal Code for obstructing the legal professional activities of Khoren Grigoryan, a journalist of the website </w:t>
      </w:r>
      <w:r w:rsidR="008C0287" w:rsidRPr="006F137E">
        <w:rPr>
          <w:rFonts w:ascii="Times New Roman" w:hAnsi="Times New Roman" w:cs="Times New Roman"/>
          <w:sz w:val="24"/>
          <w:szCs w:val="24"/>
        </w:rPr>
        <w:t>“</w:t>
      </w:r>
      <w:r w:rsidRPr="006F137E">
        <w:rPr>
          <w:rFonts w:ascii="Times New Roman" w:hAnsi="Times New Roman" w:cs="Times New Roman"/>
          <w:sz w:val="24"/>
          <w:szCs w:val="24"/>
        </w:rPr>
        <w:t>news.am</w:t>
      </w:r>
      <w:r w:rsidR="008C0287" w:rsidRPr="006F137E">
        <w:rPr>
          <w:rFonts w:ascii="Times New Roman" w:hAnsi="Times New Roman" w:cs="Times New Roman"/>
          <w:sz w:val="24"/>
          <w:szCs w:val="24"/>
        </w:rPr>
        <w:t>”</w:t>
      </w:r>
      <w:r w:rsidRPr="006F137E">
        <w:rPr>
          <w:rFonts w:ascii="Times New Roman" w:hAnsi="Times New Roman" w:cs="Times New Roman"/>
          <w:sz w:val="24"/>
          <w:szCs w:val="24"/>
        </w:rPr>
        <w:t xml:space="preserve">. A restraining order was imposed on the aforementioned defendants, and on </w:t>
      </w:r>
      <w:r w:rsidR="00B30CDD" w:rsidRPr="006F137E">
        <w:rPr>
          <w:rFonts w:ascii="Times New Roman" w:hAnsi="Times New Roman" w:cs="Times New Roman"/>
          <w:sz w:val="24"/>
          <w:szCs w:val="24"/>
        </w:rPr>
        <w:t xml:space="preserve">31 </w:t>
      </w:r>
      <w:r w:rsidRPr="006F137E">
        <w:rPr>
          <w:rFonts w:ascii="Times New Roman" w:hAnsi="Times New Roman" w:cs="Times New Roman"/>
          <w:sz w:val="24"/>
          <w:szCs w:val="24"/>
        </w:rPr>
        <w:t>October 2016, the case was sent to the court for consideration on the merits. The court of first instance of general jurisdiction found G. Khacharyan and G. Hovsepyan guilty and issued a guilty verdict, which entered into legal force.</w:t>
      </w:r>
    </w:p>
    <w:p w14:paraId="7A21619B" w14:textId="77777777" w:rsidR="0091516A" w:rsidRPr="006F137E" w:rsidRDefault="0091516A" w:rsidP="00917F54">
      <w:pPr>
        <w:spacing w:after="0" w:line="240" w:lineRule="auto"/>
        <w:ind w:right="27" w:firstLine="567"/>
        <w:jc w:val="both"/>
        <w:rPr>
          <w:rFonts w:ascii="Times New Roman" w:hAnsi="Times New Roman" w:cs="Times New Roman"/>
          <w:sz w:val="24"/>
          <w:szCs w:val="24"/>
        </w:rPr>
      </w:pPr>
      <w:r w:rsidRPr="006F137E">
        <w:rPr>
          <w:rFonts w:ascii="Times New Roman" w:hAnsi="Times New Roman" w:cs="Times New Roman"/>
          <w:sz w:val="24"/>
          <w:szCs w:val="24"/>
        </w:rPr>
        <w:t xml:space="preserve">4. Sargis Sahakyan was charged under Part 1 of Article 164 and Part 2 of Article 185 of the Criminal Code for obstructing the legal professional activities of Davit Harutyunyan, a journalist of the website “1.am” and damaging journalistic equipment. A restraining order was imposed on the accused, and on </w:t>
      </w:r>
      <w:r w:rsidR="00B30CDD" w:rsidRPr="006F137E">
        <w:rPr>
          <w:rFonts w:ascii="Times New Roman" w:hAnsi="Times New Roman" w:cs="Times New Roman"/>
          <w:sz w:val="24"/>
          <w:szCs w:val="24"/>
        </w:rPr>
        <w:t xml:space="preserve">22 </w:t>
      </w:r>
      <w:r w:rsidRPr="006F137E">
        <w:rPr>
          <w:rFonts w:ascii="Times New Roman" w:hAnsi="Times New Roman" w:cs="Times New Roman"/>
          <w:sz w:val="24"/>
          <w:szCs w:val="24"/>
        </w:rPr>
        <w:t>June 2017, the criminal case against him was sent to court for consideration on the merits. The guilty verdict entered into force.</w:t>
      </w:r>
    </w:p>
    <w:p w14:paraId="7A21619C" w14:textId="77777777" w:rsidR="0091516A" w:rsidRPr="006F137E" w:rsidRDefault="0091516A" w:rsidP="00917F54">
      <w:pPr>
        <w:spacing w:after="0" w:line="240" w:lineRule="auto"/>
        <w:ind w:right="27" w:firstLine="567"/>
        <w:jc w:val="both"/>
        <w:rPr>
          <w:rFonts w:ascii="Times New Roman" w:hAnsi="Times New Roman" w:cs="Times New Roman"/>
          <w:sz w:val="24"/>
          <w:szCs w:val="24"/>
        </w:rPr>
      </w:pPr>
      <w:r w:rsidRPr="006F137E">
        <w:rPr>
          <w:rFonts w:ascii="Times New Roman" w:hAnsi="Times New Roman" w:cs="Times New Roman"/>
          <w:sz w:val="24"/>
          <w:szCs w:val="24"/>
        </w:rPr>
        <w:t xml:space="preserve">5. Senior Sergeant of the Police Special Service Regiment Artashes Samvel Kostanyan was charged under Part 2 of Article 309 of the Criminal Code for the fact that on 29.07.2016 on M. Khorenatsi Street in Yerevan he used violence against citizen Marat Yavrumyan, namely, he hit him in the face with a stick, causing moderate bodily injury. On </w:t>
      </w:r>
      <w:r w:rsidR="00B30CDD" w:rsidRPr="006F137E">
        <w:rPr>
          <w:rFonts w:ascii="Times New Roman" w:hAnsi="Times New Roman" w:cs="Times New Roman"/>
          <w:sz w:val="24"/>
          <w:szCs w:val="24"/>
        </w:rPr>
        <w:t xml:space="preserve">17 </w:t>
      </w:r>
      <w:r w:rsidRPr="006F137E">
        <w:rPr>
          <w:rFonts w:ascii="Times New Roman" w:hAnsi="Times New Roman" w:cs="Times New Roman"/>
          <w:sz w:val="24"/>
          <w:szCs w:val="24"/>
        </w:rPr>
        <w:t>July 2018, the criminal case against Artashes Kostanyan was separated and sent to court, the trial of which is ongoing.</w:t>
      </w:r>
    </w:p>
    <w:p w14:paraId="7A21619D" w14:textId="77777777" w:rsidR="006F137E" w:rsidRPr="006F137E" w:rsidRDefault="006F137E" w:rsidP="006F137E">
      <w:pPr>
        <w:spacing w:after="0" w:line="240" w:lineRule="auto"/>
        <w:ind w:right="27"/>
        <w:jc w:val="both"/>
        <w:rPr>
          <w:rFonts w:ascii="Times New Roman" w:hAnsi="Times New Roman" w:cs="Times New Roman"/>
          <w:sz w:val="24"/>
          <w:szCs w:val="24"/>
        </w:rPr>
      </w:pPr>
    </w:p>
    <w:p w14:paraId="7A21619E"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During the preliminary investigation of the criminal case, the substantiated and reasoned motions of the victims of the case, as well as their representatives, were granted.</w:t>
      </w:r>
    </w:p>
    <w:p w14:paraId="7A21619F"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On</w:t>
      </w:r>
      <w:r w:rsidR="00407F7F" w:rsidRPr="006F137E">
        <w:rPr>
          <w:rFonts w:ascii="Times New Roman" w:hAnsi="Times New Roman" w:cs="Times New Roman"/>
          <w:sz w:val="24"/>
          <w:szCs w:val="24"/>
        </w:rPr>
        <w:t xml:space="preserve"> 13</w:t>
      </w:r>
      <w:r w:rsidRPr="006F137E">
        <w:rPr>
          <w:rFonts w:ascii="Times New Roman" w:hAnsi="Times New Roman" w:cs="Times New Roman"/>
          <w:sz w:val="24"/>
          <w:szCs w:val="24"/>
        </w:rPr>
        <w:t xml:space="preserve"> November 2024, the Senior Prosecutor of the Department for Crimes Against State Authority of the Prosecutor General's Office made a decision to initiate public criminal prosecution against Edgar Levoni Mkhitaryan for the commission of acts prohibited under the threat of punishment, because he, as of </w:t>
      </w:r>
      <w:r w:rsidR="00407F7F" w:rsidRPr="006F137E">
        <w:rPr>
          <w:rFonts w:ascii="Times New Roman" w:hAnsi="Times New Roman" w:cs="Times New Roman"/>
          <w:sz w:val="24"/>
          <w:szCs w:val="24"/>
        </w:rPr>
        <w:t xml:space="preserve">19 </w:t>
      </w:r>
      <w:r w:rsidRPr="006F137E">
        <w:rPr>
          <w:rFonts w:ascii="Times New Roman" w:hAnsi="Times New Roman" w:cs="Times New Roman"/>
          <w:sz w:val="24"/>
          <w:szCs w:val="24"/>
        </w:rPr>
        <w:t>July 2016, held the position of police officer of the 2nd platoon of the 2nd company of the 3rd (special) battalion of the Police Regiment of the Special Police Service of the Yerevan City Department Police, held the rank of police sergeant, and was an official permanently performing the functions of a representative of the authorities, exceeded his official powers by using violence, namely, intentionally committed actions that clearly went beyond the scope of his powers, as well as, using his official position, obstructed the professional legal activities of journalist Hayk Grigoryan.</w:t>
      </w:r>
    </w:p>
    <w:p w14:paraId="7A2161A0"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Thus, due to the fact that a group of armed individuals seized the administrative buildings of the Special Police Service of the Yerevan City Department of the Police on Movses Khorenatsi Street in Yerevan on</w:t>
      </w:r>
      <w:r w:rsidR="00407F7F" w:rsidRPr="006F137E">
        <w:rPr>
          <w:rFonts w:ascii="Times New Roman" w:hAnsi="Times New Roman" w:cs="Times New Roman"/>
          <w:sz w:val="24"/>
          <w:szCs w:val="24"/>
        </w:rPr>
        <w:t xml:space="preserve"> 17</w:t>
      </w:r>
      <w:r w:rsidRPr="006F137E">
        <w:rPr>
          <w:rFonts w:ascii="Times New Roman" w:hAnsi="Times New Roman" w:cs="Times New Roman"/>
          <w:sz w:val="24"/>
          <w:szCs w:val="24"/>
        </w:rPr>
        <w:t xml:space="preserve"> July 2016, and committed other crimes, the</w:t>
      </w:r>
      <w:r w:rsidR="00407F7F" w:rsidRPr="006F137E">
        <w:rPr>
          <w:rFonts w:ascii="Times New Roman" w:hAnsi="Times New Roman" w:cs="Times New Roman"/>
          <w:sz w:val="24"/>
          <w:szCs w:val="24"/>
        </w:rPr>
        <w:t xml:space="preserve"> </w:t>
      </w:r>
      <w:r w:rsidRPr="006F137E">
        <w:rPr>
          <w:rFonts w:ascii="Times New Roman" w:hAnsi="Times New Roman" w:cs="Times New Roman"/>
          <w:sz w:val="24"/>
          <w:szCs w:val="24"/>
        </w:rPr>
        <w:t>Police officers carried out round-the-clock service on M. Khorenatsi Street and adjacent sections of Yerevan, including the section leading from the Sari Tagh district to the Special Police Service.</w:t>
      </w:r>
    </w:p>
    <w:p w14:paraId="7A2161A1"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On </w:t>
      </w:r>
      <w:r w:rsidR="00407F7F" w:rsidRPr="006F137E">
        <w:rPr>
          <w:rFonts w:ascii="Times New Roman" w:hAnsi="Times New Roman" w:cs="Times New Roman"/>
          <w:sz w:val="24"/>
          <w:szCs w:val="24"/>
        </w:rPr>
        <w:t xml:space="preserve">19 </w:t>
      </w:r>
      <w:r w:rsidRPr="006F137E">
        <w:rPr>
          <w:rFonts w:ascii="Times New Roman" w:hAnsi="Times New Roman" w:cs="Times New Roman"/>
          <w:sz w:val="24"/>
          <w:szCs w:val="24"/>
        </w:rPr>
        <w:t>July 2016, at around 8:50 p.m., journalist Hayk Grigoryan, while filming and covering the events taking place in Sari Tagh with his camera, including the actions of a group of police officers serving there, approached them, due to which circumstances, the latter surrounded Hayk Grigoryan and, without making any demands, ignoring the information he provided about being a journalist, unnecessarily dragged him around. During that time, police officer Edgar Mkhitaryan, of the 2nd platoon of the 2nd company of the 3rd (special) battalion of the police regiment of the Special Police Service of the Yerevan City Police Department, displaying behavior unbecoming a police officer, not having the need to use physical force in exceptional cases as defined in Article 29 of the Law “On Police”, committed an act that did not stem from and was outside the scope of his powers, arbitrarily, without any legally pursued goal and legitimate necessity, which is violence. committed against journalist Hayk Grigoryan, hitting him several times with his hands and feet on different parts of his body, causing minor injuries and physical pain in the form of single slash wounds in the area of the mucous membrane of the lip, as well as using his official position to intentionally hinder the journalist's legal professional activities by the aforementioned actions, forcing Hayk Grigoryan to refuse the opportunity to cover the events taking place in the specified place, to collect, prepare and disseminate information about the course of the incident.</w:t>
      </w:r>
    </w:p>
    <w:p w14:paraId="7A2161A2"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Thus, with the above-mentioned actions, Edgar Mkhitaryan caused significant damage to the rights, freedoms, and legitimate interests of journalist Hayk Grigoryan, as well as the legitimate interests of the state: the victim's right to physical immunity was violated, the Police, which is a body of the state administration system, was discredited, leading to a violation of the tasks and principles of the police's activities, and the discrediting of the activities of a specific link in the state apparatus. That is, Edgar Mkhitaryan was charged with committing publicly dangerous acts, as provided for in Part 2 of Article 164 and Part 2 of Article 309 of the Criminal Code adopted on April 18, 2003, which correspond to Part 3 of Article 237 and Point 1 of Part 2 of Article 441 of the Criminal Code. The criminal proceedings regarding Edgar Mkhitaryan have been transferred to court.</w:t>
      </w:r>
    </w:p>
    <w:p w14:paraId="7A2161A3"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Investigative, operational-intelligence operations aimed at identifying the other perpetrators and providing criminal assessments of their actions are continuing. </w:t>
      </w:r>
    </w:p>
    <w:p w14:paraId="7A2161A4" w14:textId="77777777" w:rsidR="006F137E" w:rsidRPr="006F137E" w:rsidRDefault="006F137E" w:rsidP="006F137E">
      <w:pPr>
        <w:spacing w:after="0" w:line="240" w:lineRule="auto"/>
        <w:ind w:right="27"/>
        <w:jc w:val="both"/>
        <w:rPr>
          <w:rFonts w:ascii="Times New Roman" w:hAnsi="Times New Roman" w:cs="Times New Roman"/>
          <w:sz w:val="24"/>
          <w:szCs w:val="24"/>
        </w:rPr>
      </w:pPr>
    </w:p>
    <w:p w14:paraId="7A2161A5"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On</w:t>
      </w:r>
      <w:r w:rsidR="00407F7F" w:rsidRPr="006F137E">
        <w:rPr>
          <w:rFonts w:ascii="Times New Roman" w:hAnsi="Times New Roman" w:cs="Times New Roman"/>
          <w:sz w:val="24"/>
          <w:szCs w:val="24"/>
        </w:rPr>
        <w:t xml:space="preserve"> 17</w:t>
      </w:r>
      <w:r w:rsidR="006F137E" w:rsidRPr="006F137E">
        <w:rPr>
          <w:rFonts w:ascii="Times New Roman" w:hAnsi="Times New Roman" w:cs="Times New Roman"/>
          <w:sz w:val="24"/>
          <w:szCs w:val="24"/>
        </w:rPr>
        <w:t xml:space="preserve"> July </w:t>
      </w:r>
      <w:r w:rsidRPr="006F137E">
        <w:rPr>
          <w:rFonts w:ascii="Times New Roman" w:hAnsi="Times New Roman" w:cs="Times New Roman"/>
          <w:sz w:val="24"/>
          <w:szCs w:val="24"/>
        </w:rPr>
        <w:t xml:space="preserve">2016, in order to assess the legality of the actions of the police officers involved in maintaining public order during the subsequent events related to the seizure of the </w:t>
      </w:r>
      <w:r w:rsidR="0081260D" w:rsidRPr="006F137E">
        <w:rPr>
          <w:rFonts w:ascii="Times New Roman" w:hAnsi="Times New Roman" w:cs="Times New Roman"/>
          <w:sz w:val="24"/>
          <w:szCs w:val="24"/>
        </w:rPr>
        <w:t>Police r</w:t>
      </w:r>
      <w:r w:rsidRPr="006F137E">
        <w:rPr>
          <w:rFonts w:ascii="Times New Roman" w:hAnsi="Times New Roman" w:cs="Times New Roman"/>
          <w:sz w:val="24"/>
          <w:szCs w:val="24"/>
        </w:rPr>
        <w:t>egime by a group of armed individuals, an internal investigation was appointed on</w:t>
      </w:r>
      <w:r w:rsidR="00407F7F" w:rsidRPr="006F137E">
        <w:rPr>
          <w:rFonts w:ascii="Times New Roman" w:hAnsi="Times New Roman" w:cs="Times New Roman"/>
          <w:sz w:val="24"/>
          <w:szCs w:val="24"/>
        </w:rPr>
        <w:t xml:space="preserve"> 19</w:t>
      </w:r>
      <w:r w:rsidRPr="006F137E">
        <w:rPr>
          <w:rFonts w:ascii="Times New Roman" w:hAnsi="Times New Roman" w:cs="Times New Roman"/>
          <w:sz w:val="24"/>
          <w:szCs w:val="24"/>
        </w:rPr>
        <w:t xml:space="preserve"> July 2016 by order of the Chief of the Police. In connection with the publications in the press about the use of special measures by police officers in the “Sari Tagh” district of Yerevan on </w:t>
      </w:r>
      <w:r w:rsidR="00407F7F" w:rsidRPr="006F137E">
        <w:rPr>
          <w:rFonts w:ascii="Times New Roman" w:hAnsi="Times New Roman" w:cs="Times New Roman"/>
          <w:sz w:val="24"/>
          <w:szCs w:val="24"/>
        </w:rPr>
        <w:t xml:space="preserve">29 </w:t>
      </w:r>
      <w:r w:rsidRPr="006F137E">
        <w:rPr>
          <w:rFonts w:ascii="Times New Roman" w:hAnsi="Times New Roman" w:cs="Times New Roman"/>
          <w:sz w:val="24"/>
          <w:szCs w:val="24"/>
        </w:rPr>
        <w:t>July and the night of</w:t>
      </w:r>
      <w:r w:rsidR="00407F7F" w:rsidRPr="006F137E">
        <w:rPr>
          <w:rFonts w:ascii="Times New Roman" w:hAnsi="Times New Roman" w:cs="Times New Roman"/>
          <w:sz w:val="24"/>
          <w:szCs w:val="24"/>
        </w:rPr>
        <w:t xml:space="preserve"> 30</w:t>
      </w:r>
      <w:r w:rsidRPr="006F137E">
        <w:rPr>
          <w:rFonts w:ascii="Times New Roman" w:hAnsi="Times New Roman" w:cs="Times New Roman"/>
          <w:sz w:val="24"/>
          <w:szCs w:val="24"/>
        </w:rPr>
        <w:t xml:space="preserve"> July 2016, another internal investigation was initiated on </w:t>
      </w:r>
      <w:r w:rsidR="00407F7F" w:rsidRPr="006F137E">
        <w:rPr>
          <w:rFonts w:ascii="Times New Roman" w:hAnsi="Times New Roman" w:cs="Times New Roman"/>
          <w:sz w:val="24"/>
          <w:szCs w:val="24"/>
        </w:rPr>
        <w:t xml:space="preserve">30 </w:t>
      </w:r>
      <w:r w:rsidRPr="006F137E">
        <w:rPr>
          <w:rFonts w:ascii="Times New Roman" w:hAnsi="Times New Roman" w:cs="Times New Roman"/>
          <w:sz w:val="24"/>
          <w:szCs w:val="24"/>
        </w:rPr>
        <w:t>July 2016 by order of the Chief of the Police in the Internal Security Department of the Police.</w:t>
      </w:r>
    </w:p>
    <w:p w14:paraId="7A2161A6" w14:textId="77777777" w:rsidR="0091516A" w:rsidRPr="006F137E" w:rsidRDefault="0091516A"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The materials of the aforementioned official investigations have been merged. By order of the Chief of the Police, 13 officers were subject to disciplinary liability not for causing bodily harm, but for improper performance of official duties. In connection with the aforementioned events, criminal proceedings are being investigated by the preliminary investigation body, the preliminary investigations of which are in progress.</w:t>
      </w:r>
    </w:p>
    <w:bookmarkEnd w:id="0"/>
    <w:p w14:paraId="7A2161A7" w14:textId="77777777" w:rsidR="00B2129A" w:rsidRPr="006F137E" w:rsidRDefault="00B2129A" w:rsidP="00917F54">
      <w:pPr>
        <w:spacing w:after="0" w:line="240" w:lineRule="auto"/>
        <w:jc w:val="both"/>
        <w:rPr>
          <w:rFonts w:ascii="Times New Roman" w:hAnsi="Times New Roman" w:cs="Times New Roman"/>
          <w:b/>
          <w:sz w:val="24"/>
          <w:szCs w:val="24"/>
          <w:u w:val="single"/>
        </w:rPr>
      </w:pPr>
    </w:p>
    <w:p w14:paraId="7A2161A8" w14:textId="77777777" w:rsidR="00426709" w:rsidRPr="006F137E" w:rsidRDefault="00426709" w:rsidP="00917F54">
      <w:pPr>
        <w:spacing w:after="0" w:line="240" w:lineRule="auto"/>
        <w:jc w:val="both"/>
        <w:rPr>
          <w:rFonts w:ascii="Times New Roman" w:hAnsi="Times New Roman" w:cs="Times New Roman"/>
          <w:b/>
          <w:sz w:val="24"/>
          <w:szCs w:val="24"/>
        </w:rPr>
      </w:pPr>
      <w:r w:rsidRPr="006F137E">
        <w:rPr>
          <w:rFonts w:ascii="Times New Roman" w:hAnsi="Times New Roman" w:cs="Times New Roman"/>
          <w:b/>
          <w:sz w:val="24"/>
          <w:szCs w:val="24"/>
        </w:rPr>
        <w:t>Regarding the events of April 2018</w:t>
      </w:r>
    </w:p>
    <w:p w14:paraId="7A2161A9" w14:textId="77777777" w:rsidR="006F137E" w:rsidRPr="006F137E" w:rsidRDefault="006F137E" w:rsidP="006F137E">
      <w:pPr>
        <w:spacing w:after="0" w:line="240" w:lineRule="auto"/>
        <w:ind w:right="27"/>
        <w:jc w:val="both"/>
        <w:rPr>
          <w:rFonts w:ascii="Times New Roman" w:hAnsi="Times New Roman" w:cs="Times New Roman"/>
          <w:sz w:val="24"/>
          <w:szCs w:val="24"/>
        </w:rPr>
      </w:pPr>
    </w:p>
    <w:p w14:paraId="7A2161AA" w14:textId="77777777" w:rsidR="006F137E" w:rsidRPr="006F137E" w:rsidRDefault="00426709"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 xml:space="preserve">On </w:t>
      </w:r>
      <w:r w:rsidR="00B2129A" w:rsidRPr="006F137E">
        <w:rPr>
          <w:rFonts w:ascii="Times New Roman" w:hAnsi="Times New Roman" w:cs="Times New Roman"/>
          <w:sz w:val="24"/>
          <w:szCs w:val="24"/>
        </w:rPr>
        <w:t xml:space="preserve">22 </w:t>
      </w:r>
      <w:r w:rsidRPr="006F137E">
        <w:rPr>
          <w:rFonts w:ascii="Times New Roman" w:hAnsi="Times New Roman" w:cs="Times New Roman"/>
          <w:sz w:val="24"/>
          <w:szCs w:val="24"/>
        </w:rPr>
        <w:t>April 2018, the</w:t>
      </w:r>
      <w:r w:rsidR="00D41CB7" w:rsidRPr="006F137E">
        <w:rPr>
          <w:rFonts w:ascii="Times New Roman" w:hAnsi="Times New Roman" w:cs="Times New Roman"/>
          <w:sz w:val="24"/>
          <w:szCs w:val="24"/>
        </w:rPr>
        <w:t xml:space="preserve"> </w:t>
      </w:r>
      <w:r w:rsidRPr="006F137E">
        <w:rPr>
          <w:rFonts w:ascii="Times New Roman" w:hAnsi="Times New Roman" w:cs="Times New Roman"/>
          <w:sz w:val="24"/>
          <w:szCs w:val="24"/>
        </w:rPr>
        <w:t xml:space="preserve">Special Investigation Service, which previously operated on the basis of reports submitted by citizens during the mass gatherings of citizens that took place on the streets and squares of Yerevan from </w:t>
      </w:r>
      <w:r w:rsidR="00B66DFB" w:rsidRPr="006F137E">
        <w:rPr>
          <w:rFonts w:ascii="Times New Roman" w:hAnsi="Times New Roman" w:cs="Times New Roman"/>
          <w:sz w:val="24"/>
          <w:szCs w:val="24"/>
        </w:rPr>
        <w:t xml:space="preserve">13 </w:t>
      </w:r>
      <w:r w:rsidRPr="006F137E">
        <w:rPr>
          <w:rFonts w:ascii="Times New Roman" w:hAnsi="Times New Roman" w:cs="Times New Roman"/>
          <w:sz w:val="24"/>
          <w:szCs w:val="24"/>
        </w:rPr>
        <w:t xml:space="preserve">April 2018, as well as materials prepared in connection with media publications, initiated criminal case No. 62212818 (proceedings) under Part 3 of Article 164, Part 1 of Article 308, Part 2 of Article 309 of the Criminal Code adopted on </w:t>
      </w:r>
      <w:r w:rsidR="00794C70" w:rsidRPr="006F137E">
        <w:rPr>
          <w:rFonts w:ascii="Times New Roman" w:hAnsi="Times New Roman" w:cs="Times New Roman"/>
          <w:sz w:val="24"/>
          <w:szCs w:val="24"/>
        </w:rPr>
        <w:t xml:space="preserve">18 </w:t>
      </w:r>
      <w:r w:rsidRPr="006F137E">
        <w:rPr>
          <w:rFonts w:ascii="Times New Roman" w:hAnsi="Times New Roman" w:cs="Times New Roman"/>
          <w:sz w:val="24"/>
          <w:szCs w:val="24"/>
        </w:rPr>
        <w:t>April 2003 and repealed on</w:t>
      </w:r>
      <w:r w:rsidR="00794C70" w:rsidRPr="006F137E">
        <w:rPr>
          <w:rFonts w:ascii="Times New Roman" w:hAnsi="Times New Roman" w:cs="Times New Roman"/>
          <w:sz w:val="24"/>
          <w:szCs w:val="24"/>
        </w:rPr>
        <w:t xml:space="preserve"> 1</w:t>
      </w:r>
      <w:r w:rsidRPr="006F137E">
        <w:rPr>
          <w:rFonts w:ascii="Times New Roman" w:hAnsi="Times New Roman" w:cs="Times New Roman"/>
          <w:sz w:val="24"/>
          <w:szCs w:val="24"/>
        </w:rPr>
        <w:t xml:space="preserve"> July 2022 (hereinafter referred</w:t>
      </w:r>
      <w:r w:rsidR="00F50DB0" w:rsidRPr="006F137E">
        <w:rPr>
          <w:rFonts w:ascii="Times New Roman" w:hAnsi="Times New Roman" w:cs="Times New Roman"/>
          <w:sz w:val="24"/>
          <w:szCs w:val="24"/>
        </w:rPr>
        <w:t xml:space="preserve"> to as the former Criminal Code</w:t>
      </w:r>
      <w:r w:rsidRPr="006F137E">
        <w:rPr>
          <w:rFonts w:ascii="Times New Roman" w:hAnsi="Times New Roman" w:cs="Times New Roman"/>
          <w:sz w:val="24"/>
          <w:szCs w:val="24"/>
        </w:rPr>
        <w:t>).</w:t>
      </w:r>
    </w:p>
    <w:p w14:paraId="7A2161AB" w14:textId="77777777" w:rsidR="006F137E" w:rsidRPr="006F137E" w:rsidRDefault="006F137E" w:rsidP="006F137E">
      <w:pPr>
        <w:spacing w:after="0" w:line="240" w:lineRule="auto"/>
        <w:ind w:right="27"/>
        <w:jc w:val="both"/>
        <w:rPr>
          <w:rFonts w:ascii="Times New Roman" w:hAnsi="Times New Roman" w:cs="Times New Roman"/>
          <w:sz w:val="24"/>
          <w:szCs w:val="24"/>
        </w:rPr>
      </w:pPr>
    </w:p>
    <w:p w14:paraId="7A2161AC" w14:textId="77777777" w:rsidR="00426709" w:rsidRPr="006F137E" w:rsidRDefault="00426709"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Criminal case No. 62212818 was initiated based on statements and applications regarding mistreatment and violence by law enforcement officials against 104 citizens, including cases of violations of the rights of two minors and damage to cars.</w:t>
      </w:r>
    </w:p>
    <w:p w14:paraId="7A2161AD" w14:textId="77777777" w:rsidR="00426709" w:rsidRPr="006F137E" w:rsidRDefault="00426709"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During the preliminary investigation, five</w:t>
      </w:r>
      <w:r w:rsidR="00DB4B81" w:rsidRPr="006F137E">
        <w:rPr>
          <w:rFonts w:ascii="Times New Roman" w:hAnsi="Times New Roman" w:cs="Times New Roman"/>
          <w:sz w:val="24"/>
          <w:szCs w:val="24"/>
        </w:rPr>
        <w:t xml:space="preserve"> </w:t>
      </w:r>
      <w:r w:rsidRPr="006F137E">
        <w:rPr>
          <w:rFonts w:ascii="Times New Roman" w:hAnsi="Times New Roman" w:cs="Times New Roman"/>
          <w:sz w:val="24"/>
          <w:szCs w:val="24"/>
        </w:rPr>
        <w:t>Police officers performing state service were involved as defendants, and criminal cases against them were sent to court. In particular:</w:t>
      </w:r>
    </w:p>
    <w:p w14:paraId="7A2161AE" w14:textId="77777777" w:rsidR="00426709" w:rsidRPr="006F137E" w:rsidRDefault="00426709" w:rsidP="006F137E">
      <w:pPr>
        <w:pStyle w:val="ListParagraph"/>
        <w:numPr>
          <w:ilvl w:val="0"/>
          <w:numId w:val="21"/>
        </w:numPr>
        <w:spacing w:after="0" w:line="240" w:lineRule="auto"/>
        <w:ind w:right="27"/>
        <w:jc w:val="both"/>
        <w:rPr>
          <w:rFonts w:cs="Times New Roman"/>
          <w:szCs w:val="24"/>
        </w:rPr>
      </w:pPr>
      <w:r w:rsidRPr="006F137E">
        <w:rPr>
          <w:rFonts w:cs="Times New Roman"/>
          <w:szCs w:val="24"/>
        </w:rPr>
        <w:t>Arsen Bakhshi Arzumanyan, who held the position of Head of the Kotayk Department of the Kotayk Regional Department of th</w:t>
      </w:r>
      <w:r w:rsidR="00760790" w:rsidRPr="006F137E">
        <w:rPr>
          <w:rFonts w:cs="Times New Roman"/>
          <w:szCs w:val="24"/>
        </w:rPr>
        <w:t>e</w:t>
      </w:r>
      <w:r w:rsidRPr="006F137E">
        <w:rPr>
          <w:rFonts w:cs="Times New Roman"/>
          <w:szCs w:val="24"/>
        </w:rPr>
        <w:t xml:space="preserve"> Police, was charged under Part 2 of Article 164 of the former Criminal Code for the fact that, using his official position, he obstructed the professional legal activities of journalist Tirayr Murad Muradyan, a representative of the "Union of Informed Citizens" public organization, which is a mass media outlet, covering the process of the gathering held by citizens at the intersection leading to the "Arinj Mall" fair on the Yerevan-Sevan highway. The case regarding the accused was separated and sent to the court for examination on the merits. Based on the results of the examination of the case in the court, a guilty verdict was rendered. Arsen Arzumanyan was sentenced to a fine of five hundred times the minimum wage, i.e. 500,000 (five hundred thousand) AMD, without deprivation of the right to hold certain positions or engage in certain activities.</w:t>
      </w:r>
    </w:p>
    <w:p w14:paraId="7A2161AF" w14:textId="77777777" w:rsidR="00426709" w:rsidRPr="006F137E" w:rsidRDefault="00426709" w:rsidP="006F137E">
      <w:pPr>
        <w:pStyle w:val="ListParagraph"/>
        <w:numPr>
          <w:ilvl w:val="0"/>
          <w:numId w:val="21"/>
        </w:numPr>
        <w:spacing w:after="0" w:line="240" w:lineRule="auto"/>
        <w:ind w:right="27"/>
        <w:jc w:val="both"/>
        <w:rPr>
          <w:rFonts w:cs="Times New Roman"/>
          <w:szCs w:val="24"/>
        </w:rPr>
      </w:pPr>
      <w:r w:rsidRPr="006F137E">
        <w:rPr>
          <w:rFonts w:cs="Times New Roman"/>
          <w:szCs w:val="24"/>
        </w:rPr>
        <w:t>Police officers Suren Alberti Torosyan and Areg Artur Torosyan were charged under Part 1 of Article 164 of the former Criminal Code for obstructing the professional and lawful activities of a representative of a mass media outlet by using violence that was not dangerous to the health of a journalist. The case against the accused was separated and sent to court for consideration on the merits. Based on the results of the examination of the case in court, a guilty verdict was rendered.A fine of three hundred times the minimum wage, i.e. 300,000 /three hundred thousand/ AMD, was imposed as punishment on Suren Albert Torosyan, and a fine of three hundred times the minimum wage, i.e. 300,000 /three hundred thousand/ AMD, was imposed as punishment on Areg Arthur Torosyan.</w:t>
      </w:r>
    </w:p>
    <w:p w14:paraId="7A2161B0" w14:textId="77777777" w:rsidR="00426709" w:rsidRPr="006F137E" w:rsidRDefault="00426709" w:rsidP="006F137E">
      <w:pPr>
        <w:pStyle w:val="ListParagraph"/>
        <w:numPr>
          <w:ilvl w:val="0"/>
          <w:numId w:val="21"/>
        </w:numPr>
        <w:spacing w:after="0" w:line="240" w:lineRule="auto"/>
        <w:ind w:right="27"/>
        <w:jc w:val="both"/>
        <w:rPr>
          <w:rFonts w:cs="Times New Roman"/>
          <w:szCs w:val="24"/>
        </w:rPr>
      </w:pPr>
      <w:r w:rsidRPr="006F137E">
        <w:rPr>
          <w:rFonts w:cs="Times New Roman"/>
          <w:szCs w:val="24"/>
        </w:rPr>
        <w:t>Police officer Hayk Arayi Tovmasyan has been charged under Part 2 of Article 309 of the former Criminal Code for intentionally committing acts that clearly went beyond the scope of his powers, were accompanied by violence and caused significant harm to the rights and legitimate interests of the person, and the legitimate interests of the state. The case against the accused has been separated and sent to court. Currently, the criminal case is in the stage of judicial investigation.</w:t>
      </w:r>
    </w:p>
    <w:p w14:paraId="7A2161B1" w14:textId="77777777" w:rsidR="00426709" w:rsidRPr="006F137E" w:rsidRDefault="00426709" w:rsidP="006F137E">
      <w:pPr>
        <w:pStyle w:val="ListParagraph"/>
        <w:numPr>
          <w:ilvl w:val="0"/>
          <w:numId w:val="21"/>
        </w:numPr>
        <w:spacing w:after="0" w:line="240" w:lineRule="auto"/>
        <w:ind w:right="27"/>
        <w:jc w:val="both"/>
        <w:rPr>
          <w:rFonts w:cs="Times New Roman"/>
          <w:szCs w:val="24"/>
        </w:rPr>
      </w:pPr>
      <w:r w:rsidRPr="006F137E">
        <w:rPr>
          <w:rFonts w:cs="Times New Roman"/>
          <w:szCs w:val="24"/>
        </w:rPr>
        <w:t>Ruben Harutyunyan, an operative of the Charentsavan CSD (Charentsavan division of the General department for community policing) of the Kotayk Regional Department of the Police, has been charged with committing a socially dangerous act under Part 2 of Article 309 of the former Criminal Code. The case against the accused has been separated and sent to court. The criminal case is currently under judicial investigation.</w:t>
      </w:r>
    </w:p>
    <w:p w14:paraId="7A2161B2" w14:textId="77777777" w:rsidR="00426709" w:rsidRPr="006F137E" w:rsidRDefault="00426709" w:rsidP="006F137E">
      <w:pPr>
        <w:pStyle w:val="ListParagraph"/>
        <w:numPr>
          <w:ilvl w:val="0"/>
          <w:numId w:val="21"/>
        </w:numPr>
        <w:spacing w:after="0" w:line="240" w:lineRule="auto"/>
        <w:ind w:right="27"/>
        <w:jc w:val="both"/>
        <w:rPr>
          <w:rFonts w:cs="Times New Roman"/>
          <w:szCs w:val="24"/>
        </w:rPr>
      </w:pPr>
      <w:r w:rsidRPr="006F137E">
        <w:rPr>
          <w:rFonts w:cs="Times New Roman"/>
          <w:szCs w:val="24"/>
        </w:rPr>
        <w:t>Levon Yeranosyan, former commander of the Police Forces, has been charged under Article 309, Part 2 and Article 309, Part 3 of the Criminal Code for the fact that during the mentioned events, he intentionally committed actions using special means that clearly went beyond the scope of his powers and caused significant harm to the rights and legitimate interests of citizens, as well as caused serious consequences through negligence. The mentioned criminal case was sent to the court with an indictment. Based on the results of the examination of the case in the court, a guilty verdict was rendered.</w:t>
      </w:r>
    </w:p>
    <w:p w14:paraId="7A2161B3" w14:textId="77777777" w:rsidR="00426709" w:rsidRPr="006F137E" w:rsidRDefault="00426709" w:rsidP="006F137E">
      <w:pPr>
        <w:spacing w:after="0" w:line="240" w:lineRule="auto"/>
        <w:ind w:right="27"/>
        <w:jc w:val="both"/>
        <w:rPr>
          <w:rFonts w:ascii="Times New Roman" w:hAnsi="Times New Roman" w:cs="Times New Roman"/>
          <w:sz w:val="24"/>
          <w:szCs w:val="24"/>
        </w:rPr>
      </w:pPr>
      <w:r w:rsidRPr="006F137E">
        <w:rPr>
          <w:rFonts w:ascii="Times New Roman" w:hAnsi="Times New Roman" w:cs="Times New Roman"/>
          <w:sz w:val="24"/>
          <w:szCs w:val="24"/>
        </w:rPr>
        <w:t>In addition, large-scale investigative and other procedural actions were carried out, numerous persons were questioned, 55 of whom were recognized as victims, a number of expert examinations were ordered, the places of the incidents were examined, all possible video recordings containing information about the incidents were obtained and examined, a number of petitions submitted by the victims and their representatives were granted, and numerous instructions were given to the investigative body.</w:t>
      </w:r>
    </w:p>
    <w:p w14:paraId="7A2161B4" w14:textId="77777777" w:rsidR="000D5F7A" w:rsidRPr="006F137E" w:rsidRDefault="000D5F7A" w:rsidP="00917F54">
      <w:pPr>
        <w:spacing w:after="0" w:line="240" w:lineRule="auto"/>
        <w:jc w:val="both"/>
        <w:rPr>
          <w:rFonts w:ascii="Times New Roman" w:hAnsi="Times New Roman" w:cs="Times New Roman"/>
          <w:b/>
          <w:i/>
          <w:sz w:val="24"/>
          <w:szCs w:val="24"/>
        </w:rPr>
      </w:pPr>
    </w:p>
    <w:p w14:paraId="7A2161B5" w14:textId="77777777" w:rsidR="000D5F7A" w:rsidRPr="006F137E" w:rsidRDefault="000D5F7A" w:rsidP="00917F54">
      <w:pPr>
        <w:spacing w:after="0" w:line="240" w:lineRule="auto"/>
        <w:jc w:val="both"/>
        <w:rPr>
          <w:rFonts w:ascii="Times New Roman" w:hAnsi="Times New Roman" w:cs="Times New Roman"/>
          <w:b/>
          <w:bCs/>
          <w:sz w:val="24"/>
          <w:szCs w:val="24"/>
        </w:rPr>
      </w:pPr>
      <w:r w:rsidRPr="006F137E">
        <w:rPr>
          <w:rFonts w:ascii="Times New Roman" w:hAnsi="Times New Roman" w:cs="Times New Roman"/>
          <w:b/>
          <w:bCs/>
          <w:sz w:val="24"/>
          <w:szCs w:val="24"/>
        </w:rPr>
        <w:t>Paragraph 42: Participation in public affairs</w:t>
      </w:r>
    </w:p>
    <w:p w14:paraId="7A2161B6" w14:textId="77777777" w:rsidR="000D5F7A" w:rsidRPr="006F137E" w:rsidRDefault="000D5F7A" w:rsidP="00917F54">
      <w:pPr>
        <w:spacing w:after="0" w:line="240" w:lineRule="auto"/>
        <w:jc w:val="both"/>
        <w:rPr>
          <w:rFonts w:ascii="Times New Roman" w:hAnsi="Times New Roman" w:cs="Times New Roman"/>
          <w:b/>
          <w:bCs/>
          <w:sz w:val="24"/>
          <w:szCs w:val="24"/>
        </w:rPr>
      </w:pPr>
    </w:p>
    <w:p w14:paraId="7A2161B7" w14:textId="77777777" w:rsidR="000D5F7A" w:rsidRPr="006F137E" w:rsidRDefault="000D5F7A" w:rsidP="00917F54">
      <w:pPr>
        <w:pStyle w:val="Default"/>
        <w:jc w:val="both"/>
      </w:pPr>
      <w:r w:rsidRPr="006F137E">
        <w:rPr>
          <w:b/>
          <w:bCs/>
        </w:rPr>
        <w:t xml:space="preserve">Committee’s evaluation </w:t>
      </w:r>
    </w:p>
    <w:p w14:paraId="7A2161B8" w14:textId="77777777" w:rsidR="000D5F7A" w:rsidRPr="006F137E" w:rsidRDefault="000D5F7A" w:rsidP="00917F54">
      <w:pPr>
        <w:pStyle w:val="Default"/>
        <w:jc w:val="both"/>
        <w:rPr>
          <w:b/>
          <w:i/>
        </w:rPr>
      </w:pPr>
      <w:r w:rsidRPr="006F137E">
        <w:rPr>
          <w:b/>
          <w:i/>
        </w:rPr>
        <w:t xml:space="preserve">[B] </w:t>
      </w:r>
    </w:p>
    <w:p w14:paraId="7A2161B9" w14:textId="77777777" w:rsidR="00E70785" w:rsidRPr="006F137E" w:rsidRDefault="000D5F7A" w:rsidP="00917F54">
      <w:pPr>
        <w:spacing w:after="0" w:line="240" w:lineRule="auto"/>
        <w:jc w:val="both"/>
        <w:rPr>
          <w:rFonts w:ascii="Times New Roman" w:hAnsi="Times New Roman" w:cs="Times New Roman"/>
          <w:b/>
          <w:i/>
          <w:sz w:val="24"/>
          <w:szCs w:val="24"/>
        </w:rPr>
      </w:pPr>
      <w:r w:rsidRPr="006F137E">
        <w:rPr>
          <w:rFonts w:ascii="Times New Roman" w:hAnsi="Times New Roman" w:cs="Times New Roman"/>
          <w:b/>
          <w:i/>
          <w:sz w:val="24"/>
          <w:szCs w:val="24"/>
        </w:rPr>
        <w:t xml:space="preserve">The Committee welcomes the reforms included in the legislative package submitted to the National Assembly in September 2024 proposing amendments and supplements to the Electoral Code, in particular regarding the implementation of new tools for financial oversight and the measures established to increase the accessibility of polling stations to persons with disabilities. It is, however, concerned about the information indicating that institutional barriers to the political participation of persons with disabilities remain. It regrets that legal restrictions under article 48 (4) of the Constitution remain, denying persons recognized by a court as “incapacitated” the right to elect and to be elected and the right to participate in referendums. The Committee reiterates its recommendations in this regard and requests further information: </w:t>
      </w:r>
    </w:p>
    <w:p w14:paraId="7A2161BA" w14:textId="77777777" w:rsidR="00E70785" w:rsidRPr="006F137E" w:rsidRDefault="000D5F7A" w:rsidP="00917F54">
      <w:pPr>
        <w:spacing w:after="0" w:line="240" w:lineRule="auto"/>
        <w:jc w:val="both"/>
        <w:rPr>
          <w:rFonts w:ascii="Times New Roman" w:hAnsi="Times New Roman" w:cs="Times New Roman"/>
          <w:b/>
          <w:i/>
          <w:sz w:val="24"/>
          <w:szCs w:val="24"/>
        </w:rPr>
      </w:pPr>
      <w:r w:rsidRPr="006F137E">
        <w:rPr>
          <w:rFonts w:ascii="Times New Roman" w:hAnsi="Times New Roman" w:cs="Times New Roman"/>
          <w:b/>
          <w:i/>
          <w:sz w:val="24"/>
          <w:szCs w:val="24"/>
        </w:rPr>
        <w:t xml:space="preserve">(a) on whether any administrative proceedings were initiated by the Central Electoral Commission during the reporting period and, if so, whether any violations were found to be substantiated; </w:t>
      </w:r>
    </w:p>
    <w:p w14:paraId="7A2161BB" w14:textId="77777777" w:rsidR="00E70785" w:rsidRPr="006F137E" w:rsidRDefault="000D5F7A" w:rsidP="00917F54">
      <w:pPr>
        <w:spacing w:after="0" w:line="240" w:lineRule="auto"/>
        <w:jc w:val="both"/>
        <w:rPr>
          <w:rFonts w:ascii="Times New Roman" w:hAnsi="Times New Roman" w:cs="Times New Roman"/>
          <w:b/>
          <w:i/>
          <w:sz w:val="24"/>
          <w:szCs w:val="24"/>
        </w:rPr>
      </w:pPr>
      <w:r w:rsidRPr="006F137E">
        <w:rPr>
          <w:rFonts w:ascii="Times New Roman" w:hAnsi="Times New Roman" w:cs="Times New Roman"/>
          <w:b/>
          <w:i/>
          <w:sz w:val="24"/>
          <w:szCs w:val="24"/>
        </w:rPr>
        <w:t xml:space="preserve">(b) on any further steps taken to revise eligibility requirements to ensure there are no undue limitations on the right to stand for presidential and legislative elections; </w:t>
      </w:r>
    </w:p>
    <w:p w14:paraId="7A2161BC" w14:textId="77777777" w:rsidR="000D5F7A" w:rsidRPr="006F137E" w:rsidRDefault="000D5F7A" w:rsidP="00917F54">
      <w:pPr>
        <w:spacing w:after="0" w:line="240" w:lineRule="auto"/>
        <w:jc w:val="both"/>
        <w:rPr>
          <w:rFonts w:ascii="Times New Roman" w:hAnsi="Times New Roman" w:cs="Times New Roman"/>
          <w:b/>
          <w:i/>
          <w:sz w:val="24"/>
          <w:szCs w:val="24"/>
        </w:rPr>
      </w:pPr>
      <w:r w:rsidRPr="006F137E">
        <w:rPr>
          <w:rFonts w:ascii="Times New Roman" w:hAnsi="Times New Roman" w:cs="Times New Roman"/>
          <w:b/>
          <w:i/>
          <w:sz w:val="24"/>
          <w:szCs w:val="24"/>
        </w:rPr>
        <w:t>(c) on the progress of the adoption of the legislative package and on the new tools to be implemented.</w:t>
      </w:r>
    </w:p>
    <w:p w14:paraId="7A2161BD" w14:textId="77777777" w:rsidR="00E70785" w:rsidRPr="006F137E" w:rsidRDefault="00E70785" w:rsidP="00917F54">
      <w:pPr>
        <w:spacing w:after="0" w:line="240" w:lineRule="auto"/>
        <w:jc w:val="both"/>
        <w:rPr>
          <w:rFonts w:ascii="Times New Roman" w:hAnsi="Times New Roman" w:cs="Times New Roman"/>
          <w:b/>
          <w:i/>
          <w:sz w:val="24"/>
          <w:szCs w:val="24"/>
        </w:rPr>
      </w:pPr>
    </w:p>
    <w:p w14:paraId="7A2161BE" w14:textId="77777777" w:rsidR="00177756" w:rsidRPr="006F137E" w:rsidRDefault="00177756" w:rsidP="00917F54">
      <w:pPr>
        <w:spacing w:after="0" w:line="240" w:lineRule="auto"/>
        <w:jc w:val="both"/>
        <w:rPr>
          <w:rFonts w:ascii="Times New Roman" w:hAnsi="Times New Roman" w:cs="Times New Roman"/>
          <w:b/>
          <w:sz w:val="24"/>
          <w:szCs w:val="24"/>
          <w:u w:val="single"/>
        </w:rPr>
      </w:pPr>
    </w:p>
    <w:p w14:paraId="7A2161BF" w14:textId="77777777" w:rsidR="00177756" w:rsidRPr="006F137E" w:rsidRDefault="00177756" w:rsidP="00917F54">
      <w:pPr>
        <w:spacing w:after="0" w:line="240" w:lineRule="auto"/>
        <w:jc w:val="both"/>
        <w:rPr>
          <w:rFonts w:ascii="Times New Roman" w:hAnsi="Times New Roman" w:cs="Times New Roman"/>
          <w:sz w:val="24"/>
          <w:szCs w:val="24"/>
          <w:lang w:bidi="hy-AM"/>
        </w:rPr>
      </w:pPr>
      <w:r w:rsidRPr="006F137E">
        <w:rPr>
          <w:rFonts w:ascii="Times New Roman" w:hAnsi="Times New Roman" w:cs="Times New Roman"/>
          <w:sz w:val="24"/>
          <w:szCs w:val="24"/>
          <w:lang w:bidi="hy-AM"/>
        </w:rPr>
        <w:t>The legislative package proposing amendments and supplements to the Electoral Code and related laws, developed through discussions held in collaboration with the International Foundation for Electoral Systems (IFES) and the United States Agency for International Development (USAID), has undergone a multi-stage review process. The final package was developed by the Ministry of Justice, taking into account the comments from the Central Electoral Commission, the Venice Commission, and other organizations. The Venice Commission's subsequent opinions played a crucial role in the finalization of the package.</w:t>
      </w:r>
    </w:p>
    <w:p w14:paraId="7A2161C0" w14:textId="77777777" w:rsidR="00177756" w:rsidRPr="006F137E" w:rsidRDefault="00177756" w:rsidP="00917F54">
      <w:pPr>
        <w:spacing w:after="0" w:line="240" w:lineRule="auto"/>
        <w:jc w:val="both"/>
        <w:rPr>
          <w:rFonts w:ascii="Times New Roman" w:hAnsi="Times New Roman" w:cs="Times New Roman"/>
          <w:sz w:val="24"/>
          <w:szCs w:val="24"/>
          <w:lang w:bidi="hy-AM"/>
        </w:rPr>
      </w:pPr>
      <w:r w:rsidRPr="006F137E">
        <w:rPr>
          <w:rFonts w:ascii="Times New Roman" w:hAnsi="Times New Roman" w:cs="Times New Roman"/>
          <w:sz w:val="24"/>
          <w:szCs w:val="24"/>
          <w:lang w:bidi="hy-AM"/>
        </w:rPr>
        <w:t xml:space="preserve">In September 2024, the revised legislative package was submitted to the National Assembly for consideration. The legislative package envisions the implementation of several important reforms aimed at improving the transparency, fairness, and efficiency of the electoral processes. </w:t>
      </w:r>
    </w:p>
    <w:p w14:paraId="7A2161C1" w14:textId="77777777" w:rsidR="00177756" w:rsidRPr="006F137E" w:rsidRDefault="00177756" w:rsidP="00917F54">
      <w:pPr>
        <w:spacing w:after="0" w:line="240" w:lineRule="auto"/>
        <w:jc w:val="both"/>
        <w:rPr>
          <w:rFonts w:ascii="Times New Roman" w:hAnsi="Times New Roman" w:cs="Times New Roman"/>
          <w:sz w:val="24"/>
          <w:szCs w:val="24"/>
          <w:lang w:bidi="hy-AM"/>
        </w:rPr>
      </w:pPr>
      <w:r w:rsidRPr="006F137E">
        <w:rPr>
          <w:rFonts w:ascii="Times New Roman" w:hAnsi="Times New Roman" w:cs="Times New Roman"/>
          <w:sz w:val="24"/>
          <w:szCs w:val="24"/>
          <w:lang w:bidi="hy-AM"/>
        </w:rPr>
        <w:t xml:space="preserve">On </w:t>
      </w:r>
      <w:r w:rsidR="00711058" w:rsidRPr="006F137E">
        <w:rPr>
          <w:rFonts w:ascii="Times New Roman" w:hAnsi="Times New Roman" w:cs="Times New Roman"/>
          <w:sz w:val="24"/>
          <w:szCs w:val="24"/>
          <w:lang w:bidi="hy-AM"/>
        </w:rPr>
        <w:t xml:space="preserve">5 </w:t>
      </w:r>
      <w:r w:rsidRPr="006F137E">
        <w:rPr>
          <w:rFonts w:ascii="Times New Roman" w:hAnsi="Times New Roman" w:cs="Times New Roman"/>
          <w:sz w:val="24"/>
          <w:szCs w:val="24"/>
          <w:lang w:bidi="hy-AM"/>
        </w:rPr>
        <w:t xml:space="preserve">December 2024, the National Assembly adopted in the second reading and in full the Constitutional Law “On Making Amendments and Supplements to the Electoral Code,” the Constitutional Law “On Making Amendments and Supplements to the Constitutional Law on Political Parties,” the Law “On Making Amendments to the Law on Local Government,” as well as a number of other laws included in the electoral reform package, all of which entered into force on </w:t>
      </w:r>
      <w:r w:rsidR="00711058" w:rsidRPr="006F137E">
        <w:rPr>
          <w:rFonts w:ascii="Times New Roman" w:hAnsi="Times New Roman" w:cs="Times New Roman"/>
          <w:sz w:val="24"/>
          <w:szCs w:val="24"/>
          <w:lang w:bidi="hy-AM"/>
        </w:rPr>
        <w:t xml:space="preserve">1 </w:t>
      </w:r>
      <w:r w:rsidRPr="006F137E">
        <w:rPr>
          <w:rFonts w:ascii="Times New Roman" w:hAnsi="Times New Roman" w:cs="Times New Roman"/>
          <w:sz w:val="24"/>
          <w:szCs w:val="24"/>
          <w:lang w:bidi="hy-AM"/>
        </w:rPr>
        <w:t>April 2025.</w:t>
      </w:r>
      <w:r w:rsidRPr="006F137E">
        <w:rPr>
          <w:rFonts w:ascii="Times New Roman" w:hAnsi="Times New Roman" w:cs="Times New Roman"/>
          <w:sz w:val="24"/>
          <w:szCs w:val="24"/>
        </w:rPr>
        <w:t xml:space="preserve"> </w:t>
      </w:r>
      <w:r w:rsidRPr="006F137E">
        <w:rPr>
          <w:rFonts w:ascii="Times New Roman" w:hAnsi="Times New Roman" w:cs="Times New Roman"/>
          <w:sz w:val="24"/>
          <w:szCs w:val="24"/>
          <w:lang w:bidi="hy-AM"/>
        </w:rPr>
        <w:t xml:space="preserve">The legislative package envisions the implementation of several important reforms aimed at improving the transparency, fairness, and efficiency of the electoral processes. </w:t>
      </w:r>
    </w:p>
    <w:p w14:paraId="7A2161C2" w14:textId="77777777" w:rsidR="00177756" w:rsidRPr="006F137E" w:rsidRDefault="00177756" w:rsidP="00917F54">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lang w:bidi="hy-AM"/>
        </w:rPr>
        <w:t>It should be emphasized that Armenia is also taking steps toward constitutional reforms. In particular, a Constitutional Reform Council has been established and is currently working on the draft text of a new Constitution. It is worth noting that substantive discussions are ongoing, within the framework of which proposals related to electoral rights will also be considered.</w:t>
      </w:r>
    </w:p>
    <w:p w14:paraId="7A2161C3" w14:textId="77777777" w:rsidR="00177756" w:rsidRPr="006F137E" w:rsidRDefault="00177756" w:rsidP="00917F54">
      <w:pPr>
        <w:spacing w:after="0" w:line="240" w:lineRule="auto"/>
        <w:jc w:val="both"/>
        <w:rPr>
          <w:rFonts w:ascii="Times New Roman" w:hAnsi="Times New Roman" w:cs="Times New Roman"/>
          <w:b/>
          <w:sz w:val="24"/>
          <w:szCs w:val="24"/>
          <w:u w:val="single"/>
        </w:rPr>
      </w:pPr>
    </w:p>
    <w:p w14:paraId="7A2161C4" w14:textId="77777777" w:rsidR="00E70785" w:rsidRPr="006F137E" w:rsidRDefault="00E70785" w:rsidP="00917F54">
      <w:pPr>
        <w:spacing w:after="0" w:line="240" w:lineRule="auto"/>
        <w:jc w:val="both"/>
        <w:rPr>
          <w:rFonts w:ascii="Times New Roman" w:hAnsi="Times New Roman" w:cs="Times New Roman"/>
          <w:b/>
          <w:sz w:val="24"/>
          <w:szCs w:val="24"/>
          <w:u w:val="single"/>
        </w:rPr>
      </w:pPr>
      <w:r w:rsidRPr="006F137E">
        <w:rPr>
          <w:rFonts w:ascii="Times New Roman" w:hAnsi="Times New Roman" w:cs="Times New Roman"/>
          <w:b/>
          <w:sz w:val="24"/>
          <w:szCs w:val="24"/>
          <w:u w:val="single"/>
        </w:rPr>
        <w:t>Central Electoral Commission</w:t>
      </w:r>
    </w:p>
    <w:p w14:paraId="7A2161C5" w14:textId="77777777" w:rsidR="00453018" w:rsidRPr="006F137E" w:rsidRDefault="00453018" w:rsidP="00917F54">
      <w:pPr>
        <w:spacing w:after="0" w:line="240" w:lineRule="auto"/>
        <w:jc w:val="both"/>
        <w:rPr>
          <w:rFonts w:ascii="Times New Roman" w:hAnsi="Times New Roman" w:cs="Times New Roman"/>
          <w:b/>
          <w:sz w:val="24"/>
          <w:szCs w:val="24"/>
          <w:u w:val="single"/>
        </w:rPr>
      </w:pPr>
    </w:p>
    <w:p w14:paraId="7A2161C6"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
          <w:bCs/>
          <w:iCs/>
          <w:sz w:val="24"/>
          <w:szCs w:val="24"/>
        </w:rPr>
        <w:t>(a)</w:t>
      </w:r>
      <w:r w:rsidRPr="006F137E">
        <w:rPr>
          <w:rFonts w:ascii="Times New Roman" w:hAnsi="Times New Roman" w:cs="Times New Roman"/>
          <w:bCs/>
          <w:iCs/>
          <w:sz w:val="24"/>
          <w:szCs w:val="24"/>
        </w:rPr>
        <w:t xml:space="preserve"> Articles 47–49 of </w:t>
      </w:r>
      <w:r w:rsidRPr="006F137E">
        <w:rPr>
          <w:rFonts w:ascii="Times New Roman" w:hAnsi="Times New Roman" w:cs="Times New Roman"/>
          <w:sz w:val="24"/>
          <w:szCs w:val="24"/>
        </w:rPr>
        <w:t>t</w:t>
      </w:r>
      <w:r w:rsidRPr="006F137E">
        <w:rPr>
          <w:rFonts w:ascii="Times New Roman" w:hAnsi="Times New Roman" w:cs="Times New Roman"/>
          <w:sz w:val="24"/>
          <w:szCs w:val="24"/>
          <w:lang w:val="hy-AM"/>
        </w:rPr>
        <w:t>he Constitutional Law "Electoral Code of Armenia"</w:t>
      </w:r>
      <w:r w:rsidRPr="006F137E">
        <w:rPr>
          <w:rFonts w:ascii="Times New Roman" w:hAnsi="Times New Roman" w:cs="Times New Roman"/>
          <w:bCs/>
          <w:iCs/>
          <w:sz w:val="24"/>
          <w:szCs w:val="24"/>
        </w:rPr>
        <w:t xml:space="preserve"> (hereinafter referred to as the Electoral Code), in accordance with the principles of the Law "On the Basics of Administration and Administrative Proceedings" and taking into account the specifics of electoral relations, provide detailed regulations on the procedures and conditions for conducting administrative proceedings in the Central Electoral Commission, as well as for appealing decisions, actions (inaction) of electoral commissions.</w:t>
      </w:r>
    </w:p>
    <w:p w14:paraId="7A2161C7"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 xml:space="preserve">During the organization and conduct of the elections for the Yerevan Council of Elders on </w:t>
      </w:r>
      <w:r w:rsidR="00881371" w:rsidRPr="006F137E">
        <w:rPr>
          <w:rFonts w:ascii="Times New Roman" w:hAnsi="Times New Roman" w:cs="Times New Roman"/>
          <w:bCs/>
          <w:iCs/>
          <w:sz w:val="24"/>
          <w:szCs w:val="24"/>
        </w:rPr>
        <w:t xml:space="preserve">17 </w:t>
      </w:r>
      <w:r w:rsidRPr="006F137E">
        <w:rPr>
          <w:rFonts w:ascii="Times New Roman" w:hAnsi="Times New Roman" w:cs="Times New Roman"/>
          <w:bCs/>
          <w:iCs/>
          <w:sz w:val="24"/>
          <w:szCs w:val="24"/>
        </w:rPr>
        <w:t>September 2023, the Central Electoral Commission received four applications regarding alleged violations of the established procedure for pre-election campaigning. One was forwarded to the Television and Radio Commission, another was sent to the Prosecutor General's Office, and in response to a second, the Central Electoral Commission conducted an internal inquiry. Explanations were received, and as a result, no violations were recorded.</w:t>
      </w:r>
    </w:p>
    <w:p w14:paraId="7A2161C8"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One application requested a justification for a decision made by the Central Electoral Commission, to which a written response was provided.</w:t>
      </w:r>
    </w:p>
    <w:p w14:paraId="7A2161C9"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 xml:space="preserve">One application was submitted requesting clarification on the voting procedures for persons without </w:t>
      </w:r>
      <w:r w:rsidR="003C09D8" w:rsidRPr="006F137E">
        <w:rPr>
          <w:rFonts w:ascii="Times New Roman" w:hAnsi="Times New Roman" w:cs="Times New Roman"/>
          <w:bCs/>
          <w:iCs/>
          <w:sz w:val="24"/>
          <w:szCs w:val="24"/>
        </w:rPr>
        <w:t>Armenian</w:t>
      </w:r>
      <w:r w:rsidRPr="006F137E">
        <w:rPr>
          <w:rFonts w:ascii="Times New Roman" w:hAnsi="Times New Roman" w:cs="Times New Roman"/>
          <w:bCs/>
          <w:iCs/>
          <w:sz w:val="24"/>
          <w:szCs w:val="24"/>
        </w:rPr>
        <w:t xml:space="preserve"> citizenship, to which a written response was given, and 3 applications were submitted requesting to ensure equal conditions for participation in the election campaign for a candidate under detention. Recognizing this as an issue requiring an operational solution, the Central Electoral Commission took appropriate measures and ensured compliance with the requirements of Article 19, Part 9 of the Electoral Code.</w:t>
      </w:r>
    </w:p>
    <w:p w14:paraId="7A2161CA"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Six applications were submitted by non-governmental organizations that were part of the joint observation mission. Of these:</w:t>
      </w:r>
    </w:p>
    <w:p w14:paraId="7A2161CB" w14:textId="77777777" w:rsidR="00E70785" w:rsidRPr="006F137E" w:rsidRDefault="00E70785" w:rsidP="00917F54">
      <w:pPr>
        <w:numPr>
          <w:ilvl w:val="0"/>
          <w:numId w:val="10"/>
        </w:num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One application reported incidents involving the removal, tearing down, and marking of campaign posters placed in designated areas. This application was forwarded to the Ministry of Internal Affairs.</w:t>
      </w:r>
    </w:p>
    <w:p w14:paraId="7A2161CC" w14:textId="77777777" w:rsidR="00E70785" w:rsidRPr="006F137E" w:rsidRDefault="00E70785" w:rsidP="00917F54">
      <w:pPr>
        <w:numPr>
          <w:ilvl w:val="0"/>
          <w:numId w:val="10"/>
        </w:num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One application described possible violations of the established procedure for pre-election campaigning. It was forwarded to the Prosecutor General's Office.</w:t>
      </w:r>
    </w:p>
    <w:p w14:paraId="7A2161CD" w14:textId="77777777" w:rsidR="00E70785" w:rsidRPr="006F137E" w:rsidRDefault="00E70785" w:rsidP="00917F54">
      <w:pPr>
        <w:numPr>
          <w:ilvl w:val="0"/>
          <w:numId w:val="10"/>
        </w:num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 xml:space="preserve">Two applications also concerned possible violations of the established procedure for pre-election campaigning. Following a review, the Central Electoral Commission did not identify any violations. </w:t>
      </w:r>
      <w:r w:rsidRPr="006F137E">
        <w:rPr>
          <w:rFonts w:ascii="Times New Roman" w:hAnsi="Times New Roman" w:cs="Times New Roman"/>
          <w:sz w:val="24"/>
          <w:szCs w:val="24"/>
        </w:rPr>
        <w:t>Two applications presented circumstances regarding possible violations of the established procedure for pre-election campaigning. Upon examination, the Central Electoral Commission found that the issues raised in the applications concerned the printed campaign materials of five parties and one alliance of parties. No violations were found in relation to the campaign materials of three parties. In the other cases, the Central Electoral Commission determined that, although there had been campaign materials printed in violation of the established procedure, the violations had already been eliminated before the Commission took measures to clarify the circumstances. The political parties and the alliance of political parties involved submitted explanatory notes regarding these cases.</w:t>
      </w:r>
    </w:p>
    <w:p w14:paraId="7A2161CE"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Pursuant to an order by the Chairman of the Central Electoral Commission, a Situational Analysis Center was established within the Commission, which also operated a hotline.</w:t>
      </w:r>
    </w:p>
    <w:p w14:paraId="7A2161CF" w14:textId="77777777" w:rsidR="00E70785" w:rsidRPr="006F137E" w:rsidRDefault="00E70785" w:rsidP="00917F54">
      <w:pPr>
        <w:spacing w:after="0" w:line="240" w:lineRule="auto"/>
        <w:jc w:val="both"/>
        <w:rPr>
          <w:rFonts w:ascii="Times New Roman" w:hAnsi="Times New Roman" w:cs="Times New Roman"/>
          <w:bCs/>
          <w:iCs/>
          <w:sz w:val="24"/>
          <w:szCs w:val="24"/>
        </w:rPr>
      </w:pPr>
    </w:p>
    <w:p w14:paraId="7A2161D0"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According to Article 49, Part 8 of the Electoral Code:</w:t>
      </w:r>
    </w:p>
    <w:p w14:paraId="7A2161D1"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br/>
      </w:r>
      <w:r w:rsidRPr="006F137E">
        <w:rPr>
          <w:rFonts w:ascii="Times New Roman" w:hAnsi="Times New Roman" w:cs="Times New Roman"/>
          <w:bCs/>
          <w:i/>
          <w:iCs/>
          <w:sz w:val="24"/>
          <w:szCs w:val="24"/>
        </w:rPr>
        <w:t>“Electoral commissions shall take appropriate measures on issues requiring an operational solution. In such cases, the adoption of decisions in the form of a separate act is not mandatory.”</w:t>
      </w:r>
      <w:r w:rsidRPr="006F137E">
        <w:rPr>
          <w:rFonts w:ascii="Times New Roman" w:hAnsi="Times New Roman" w:cs="Times New Roman"/>
          <w:bCs/>
          <w:iCs/>
          <w:sz w:val="24"/>
          <w:szCs w:val="24"/>
        </w:rPr>
        <w:t xml:space="preserve"> Taking this legal provision into account, the Central Electoral Commission and the Situational Analysis Center promptly responded to approximately three dozen reports published on more than a dozen websites on election day. The Situational Analysis Center promptly reviewed the information, verified the reported circumstances, and issued relevant instructions, assignments, or comments.</w:t>
      </w:r>
    </w:p>
    <w:p w14:paraId="7A2161D2" w14:textId="77777777" w:rsidR="003C09D8"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 xml:space="preserve">On election day, </w:t>
      </w:r>
      <w:r w:rsidR="00710170" w:rsidRPr="006F137E">
        <w:rPr>
          <w:rFonts w:ascii="Times New Roman" w:hAnsi="Times New Roman" w:cs="Times New Roman"/>
          <w:bCs/>
          <w:iCs/>
          <w:sz w:val="24"/>
          <w:szCs w:val="24"/>
        </w:rPr>
        <w:t xml:space="preserve">17 </w:t>
      </w:r>
      <w:r w:rsidRPr="006F137E">
        <w:rPr>
          <w:rFonts w:ascii="Times New Roman" w:hAnsi="Times New Roman" w:cs="Times New Roman"/>
          <w:bCs/>
          <w:iCs/>
          <w:sz w:val="24"/>
          <w:szCs w:val="24"/>
        </w:rPr>
        <w:t>September</w:t>
      </w:r>
      <w:r w:rsidR="00710170" w:rsidRPr="006F137E">
        <w:rPr>
          <w:rFonts w:ascii="Times New Roman" w:hAnsi="Times New Roman" w:cs="Times New Roman"/>
          <w:bCs/>
          <w:iCs/>
          <w:sz w:val="24"/>
          <w:szCs w:val="24"/>
        </w:rPr>
        <w:t xml:space="preserve"> </w:t>
      </w:r>
      <w:r w:rsidRPr="006F137E">
        <w:rPr>
          <w:rFonts w:ascii="Times New Roman" w:hAnsi="Times New Roman" w:cs="Times New Roman"/>
          <w:bCs/>
          <w:iCs/>
          <w:sz w:val="24"/>
          <w:szCs w:val="24"/>
        </w:rPr>
        <w:t xml:space="preserve">2023, the Central Electoral Commission received two applications. One application was submitted by a political party, requesting that the Commission apply to the court on the grounds of a violation of the established procedure for pre-election campaigning and seek to invalidate the registration of a party participating in the elections. This application was returned in writing on the basis of Article 49, Part 3 of the Electoral Code. The second application presented circumstances related to the obstruction of observer rights. In response, the Central Electoral Commission took operational measures to eliminate possible obstacles and resolved the issues that had arisen. At the same time, considering that the reported circumstances might contain elements of a criminal nature, the application was forwarded to </w:t>
      </w:r>
      <w:r w:rsidR="003C09D8" w:rsidRPr="006F137E">
        <w:rPr>
          <w:rFonts w:ascii="Times New Roman" w:hAnsi="Times New Roman" w:cs="Times New Roman"/>
          <w:bCs/>
          <w:iCs/>
          <w:sz w:val="24"/>
          <w:szCs w:val="24"/>
        </w:rPr>
        <w:t xml:space="preserve">the Prosecutor General’s Office. </w:t>
      </w:r>
    </w:p>
    <w:p w14:paraId="7A2161D3" w14:textId="77777777" w:rsidR="003C09D8" w:rsidRPr="006F137E" w:rsidRDefault="003C09D8" w:rsidP="00917F54">
      <w:pPr>
        <w:spacing w:after="0" w:line="240" w:lineRule="auto"/>
        <w:jc w:val="both"/>
        <w:rPr>
          <w:rFonts w:ascii="Times New Roman" w:hAnsi="Times New Roman" w:cs="Times New Roman"/>
          <w:bCs/>
          <w:iCs/>
          <w:sz w:val="24"/>
          <w:szCs w:val="24"/>
        </w:rPr>
      </w:pPr>
    </w:p>
    <w:p w14:paraId="7A2161D4"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Article 48, Part 12 of the Electoral Code defines the procedure for invalidating the results of voting at an electoral precinct. Out of the 13 political parties and 1 alliance of political parties participating in the elections for the Yerevan Council of Elders —with a total of 802 candidates on electoral lists, 3,485 proxies, and 3,780 precinct election commission members with the right tosubmit a special opinion—only one application was submitted requesting the invalidation of precinct voting results. However, this application was filed after the deadline established by the Electoral Code.</w:t>
      </w:r>
    </w:p>
    <w:p w14:paraId="7A2161D5" w14:textId="77777777" w:rsidR="00E70785" w:rsidRPr="006F137E" w:rsidRDefault="00E70785" w:rsidP="00917F54">
      <w:p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According to Article 49, Part 3 of the Electoral Code, if a deadline for submitting an application is established by the Code, the application is considered timely if it is received by the relevant electoral commission before the deadline. Applications submitted after the deadline are not considered and are returned to the applicant in writing, with the reason indicated. The application submitted by a proxy requesting the invalidation of the voting results at the precinct was returned in writing, based on Article 49, Part 3 of the Electoral Code.</w:t>
      </w:r>
    </w:p>
    <w:p w14:paraId="7A2161D6" w14:textId="77777777" w:rsidR="00E70785" w:rsidRPr="006F137E" w:rsidRDefault="00E70785" w:rsidP="00917F54">
      <w:pPr>
        <w:spacing w:after="0" w:line="240" w:lineRule="auto"/>
        <w:jc w:val="both"/>
        <w:rPr>
          <w:rFonts w:ascii="Times New Roman" w:hAnsi="Times New Roman" w:cs="Times New Roman"/>
          <w:bCs/>
          <w:iCs/>
          <w:sz w:val="24"/>
          <w:szCs w:val="24"/>
        </w:rPr>
      </w:pPr>
    </w:p>
    <w:p w14:paraId="7A2161D7" w14:textId="77777777" w:rsidR="00E70785" w:rsidRPr="006F137E" w:rsidRDefault="00E70785" w:rsidP="00917F54">
      <w:pPr>
        <w:spacing w:after="0" w:line="240" w:lineRule="auto"/>
        <w:ind w:left="360"/>
        <w:jc w:val="both"/>
        <w:rPr>
          <w:rFonts w:ascii="Times New Roman" w:hAnsi="Times New Roman" w:cs="Times New Roman"/>
          <w:bCs/>
          <w:iCs/>
          <w:sz w:val="24"/>
          <w:szCs w:val="24"/>
        </w:rPr>
      </w:pPr>
      <w:r w:rsidRPr="006F137E">
        <w:rPr>
          <w:rFonts w:ascii="Times New Roman" w:hAnsi="Times New Roman" w:cs="Times New Roman"/>
          <w:bCs/>
          <w:iCs/>
          <w:sz w:val="24"/>
          <w:szCs w:val="24"/>
        </w:rPr>
        <w:t>After election day, the Central Electoral Commission received eight applications, of which:</w:t>
      </w:r>
    </w:p>
    <w:p w14:paraId="7A2161D8" w14:textId="77777777" w:rsidR="00E70785" w:rsidRPr="006F137E" w:rsidRDefault="00E70785" w:rsidP="00917F54">
      <w:pPr>
        <w:numPr>
          <w:ilvl w:val="0"/>
          <w:numId w:val="11"/>
        </w:num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Three were inquiries or applications containing questions, all of which were addressed with written responses;</w:t>
      </w:r>
    </w:p>
    <w:p w14:paraId="7A2161D9" w14:textId="77777777" w:rsidR="00E70785" w:rsidRPr="006F137E" w:rsidRDefault="00E70785" w:rsidP="00917F54">
      <w:pPr>
        <w:numPr>
          <w:ilvl w:val="0"/>
          <w:numId w:val="11"/>
        </w:num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One application was submitted by a non-governmental organization implementing a joint observation mission, requesting the termination of a specific observer’s mandate. A written response was provided;</w:t>
      </w:r>
    </w:p>
    <w:p w14:paraId="7A2161DA" w14:textId="77777777" w:rsidR="00E70785" w:rsidRPr="006F137E" w:rsidRDefault="00E70785" w:rsidP="00917F54">
      <w:pPr>
        <w:numPr>
          <w:ilvl w:val="0"/>
          <w:numId w:val="11"/>
        </w:numPr>
        <w:spacing w:after="0" w:line="240" w:lineRule="auto"/>
        <w:jc w:val="both"/>
        <w:rPr>
          <w:rFonts w:ascii="Times New Roman" w:hAnsi="Times New Roman" w:cs="Times New Roman"/>
          <w:bCs/>
          <w:iCs/>
          <w:sz w:val="24"/>
          <w:szCs w:val="24"/>
        </w:rPr>
      </w:pPr>
      <w:r w:rsidRPr="006F137E">
        <w:rPr>
          <w:rFonts w:ascii="Times New Roman" w:hAnsi="Times New Roman" w:cs="Times New Roman"/>
          <w:bCs/>
          <w:iCs/>
          <w:sz w:val="24"/>
          <w:szCs w:val="24"/>
        </w:rPr>
        <w:t>One application concerned an incorrect entry in the polling station’s vote count protocol, requesting that the error be corrected. The application was upheld, and the error was corrected.</w:t>
      </w:r>
    </w:p>
    <w:p w14:paraId="7A2161DB" w14:textId="77777777" w:rsidR="00E70785" w:rsidRPr="006F137E" w:rsidRDefault="00E70785" w:rsidP="00917F54">
      <w:pPr>
        <w:pStyle w:val="NormalWeb"/>
        <w:numPr>
          <w:ilvl w:val="0"/>
          <w:numId w:val="11"/>
        </w:numPr>
        <w:spacing w:before="0" w:beforeAutospacing="0" w:after="0" w:afterAutospacing="0"/>
        <w:jc w:val="both"/>
      </w:pPr>
      <w:r w:rsidRPr="006F137E">
        <w:t>One application was submitted by a party proxy regarding a procedural violation committed by the chairman of the precinct election commission. In response, the precinct election commission recalculated the voting results for the precinct and certified them with a protocol. A written response was also provided to the applicant.</w:t>
      </w:r>
    </w:p>
    <w:p w14:paraId="7A2161DC" w14:textId="77777777" w:rsidR="00E70785" w:rsidRPr="006F137E" w:rsidRDefault="00E70785" w:rsidP="00917F54">
      <w:pPr>
        <w:pStyle w:val="NormalWeb"/>
        <w:numPr>
          <w:ilvl w:val="0"/>
          <w:numId w:val="11"/>
        </w:numPr>
        <w:spacing w:before="0" w:beforeAutospacing="0" w:after="0" w:afterAutospacing="0"/>
        <w:jc w:val="both"/>
      </w:pPr>
      <w:r w:rsidRPr="006F137E">
        <w:t xml:space="preserve">Another application was submitted by the party itself, demanding to appeal the Central Electoral Commission’s letter that returned the party’s previous application. The party requested that the missed deadline be considered excusable, that the matter be taken to court on the grounds of a violation of the established procedure for pre-election campaigning, and that the registration of the party participating in the elections be declared invalid. This application was discussed at the Central Electoral Commission session on </w:t>
      </w:r>
      <w:r w:rsidR="00710170" w:rsidRPr="006F137E">
        <w:t xml:space="preserve">23 </w:t>
      </w:r>
      <w:r w:rsidRPr="006F137E">
        <w:t>September 2023, resulting in Decision No. 62-I.</w:t>
      </w:r>
    </w:p>
    <w:p w14:paraId="7A2161DD" w14:textId="77777777" w:rsidR="00E70785" w:rsidRPr="006F137E" w:rsidRDefault="00E70785" w:rsidP="00917F54">
      <w:pPr>
        <w:pStyle w:val="NormalWeb"/>
        <w:numPr>
          <w:ilvl w:val="0"/>
          <w:numId w:val="11"/>
        </w:numPr>
        <w:spacing w:before="0" w:beforeAutospacing="0" w:after="0" w:afterAutospacing="0"/>
        <w:jc w:val="both"/>
      </w:pPr>
      <w:r w:rsidRPr="006F137E">
        <w:t>One application was submitted by a non-governmental organization concerning observations made at precinct election commissions after 8:00 p.m. on election day.</w:t>
      </w:r>
    </w:p>
    <w:p w14:paraId="7A2161DE" w14:textId="77777777" w:rsidR="00E70785" w:rsidRPr="006F137E" w:rsidRDefault="00E70785" w:rsidP="00917F54">
      <w:pPr>
        <w:pStyle w:val="NormalWeb"/>
        <w:numPr>
          <w:ilvl w:val="0"/>
          <w:numId w:val="11"/>
        </w:numPr>
        <w:spacing w:before="0" w:beforeAutospacing="0" w:after="0" w:afterAutospacing="0"/>
        <w:jc w:val="both"/>
      </w:pPr>
      <w:r w:rsidRPr="006F137E">
        <w:t xml:space="preserve">At its session on </w:t>
      </w:r>
      <w:r w:rsidR="009563BE" w:rsidRPr="006F137E">
        <w:t xml:space="preserve">23 </w:t>
      </w:r>
      <w:r w:rsidRPr="006F137E">
        <w:t>September 2023, the Central Electoral Commission rejected the initiation of administrative proceedings based on the application. However, during the same session, in accordance with Article 49 of the Electoral Code, the Commission initiated administrative proceedings on its own initiative and adopted Decision No. 61-I.</w:t>
      </w:r>
    </w:p>
    <w:p w14:paraId="7A2161DF" w14:textId="77777777" w:rsidR="00E70785" w:rsidRPr="006F137E" w:rsidRDefault="00E70785" w:rsidP="00917F54">
      <w:pPr>
        <w:pStyle w:val="NormalWeb"/>
        <w:spacing w:before="0" w:beforeAutospacing="0" w:after="0" w:afterAutospacing="0"/>
        <w:jc w:val="both"/>
      </w:pPr>
      <w:r w:rsidRPr="006F137E">
        <w:t>All submitted applications were reviewed and addressed by the Central Electoral Commission in accordance with the requirements of Articles 47, 48, and 49 of the Electoral Code. Where applicable, appropriate decisions were adopted.</w:t>
      </w:r>
    </w:p>
    <w:p w14:paraId="7A2161E0" w14:textId="77777777" w:rsidR="00E70785" w:rsidRPr="006F137E" w:rsidRDefault="00E70785" w:rsidP="00917F54">
      <w:pPr>
        <w:spacing w:after="0" w:line="240" w:lineRule="auto"/>
        <w:jc w:val="both"/>
        <w:rPr>
          <w:rFonts w:ascii="Times New Roman" w:hAnsi="Times New Roman" w:cs="Times New Roman"/>
          <w:sz w:val="24"/>
          <w:szCs w:val="24"/>
        </w:rPr>
      </w:pPr>
      <w:r w:rsidRPr="006F137E">
        <w:rPr>
          <w:rFonts w:ascii="Times New Roman" w:hAnsi="Times New Roman" w:cs="Times New Roman"/>
          <w:sz w:val="24"/>
          <w:szCs w:val="24"/>
        </w:rPr>
        <w:t>Applicants were duly notified of the date and time of the application review. The resulting decisions and written responses were sent to the applicants and published on the official website of the Central Electoral Commission. In all cases where applicants appeared for the review of their applications, their right to be heard was ensured.</w:t>
      </w:r>
    </w:p>
    <w:p w14:paraId="7A2161E1" w14:textId="77777777" w:rsidR="00E70785" w:rsidRPr="006F137E" w:rsidRDefault="00E70785" w:rsidP="00917F54">
      <w:pPr>
        <w:spacing w:after="0" w:line="240" w:lineRule="auto"/>
        <w:jc w:val="both"/>
        <w:rPr>
          <w:rFonts w:ascii="Times New Roman" w:hAnsi="Times New Roman" w:cs="Times New Roman"/>
          <w:sz w:val="24"/>
          <w:szCs w:val="24"/>
        </w:rPr>
      </w:pPr>
    </w:p>
    <w:p w14:paraId="7A2161E2" w14:textId="77777777" w:rsidR="00E70785" w:rsidRPr="006F137E" w:rsidRDefault="00E70785" w:rsidP="00917F54">
      <w:pPr>
        <w:tabs>
          <w:tab w:val="left" w:pos="1134"/>
        </w:tabs>
        <w:spacing w:after="0" w:line="240" w:lineRule="auto"/>
        <w:ind w:right="12"/>
        <w:jc w:val="both"/>
        <w:rPr>
          <w:rFonts w:ascii="Times New Roman" w:hAnsi="Times New Roman" w:cs="Times New Roman"/>
          <w:sz w:val="24"/>
          <w:szCs w:val="24"/>
        </w:rPr>
      </w:pPr>
      <w:r w:rsidRPr="006F137E">
        <w:rPr>
          <w:rFonts w:ascii="Times New Roman" w:hAnsi="Times New Roman" w:cs="Times New Roman"/>
          <w:b/>
          <w:sz w:val="24"/>
          <w:szCs w:val="24"/>
          <w:u w:val="single"/>
        </w:rPr>
        <w:t xml:space="preserve">(b) </w:t>
      </w:r>
      <w:r w:rsidRPr="006F137E">
        <w:rPr>
          <w:rFonts w:ascii="Times New Roman" w:hAnsi="Times New Roman" w:cs="Times New Roman"/>
          <w:sz w:val="24"/>
          <w:szCs w:val="24"/>
        </w:rPr>
        <w:t>The Central Electoral Commission reaffirms its previously presented position that the electoral right - right to elect and the right to be elected- can be considered one of the fundamental political rights of a citizen. The general criteria and mechanisms for limiting the electoral right are defined by the Constitution and the mechanisms and procedures for its implementation are defined by the Constitutional Law “Electoral Code” (hereinafter referred to as the Electoral Code). Thus, Part 4 of Article 48 of the Constitution stipulates:</w:t>
      </w:r>
    </w:p>
    <w:p w14:paraId="7A2161E3" w14:textId="77777777" w:rsidR="00E70785" w:rsidRPr="006F137E" w:rsidRDefault="00E70785" w:rsidP="00917F54">
      <w:pPr>
        <w:tabs>
          <w:tab w:val="left" w:pos="1134"/>
        </w:tabs>
        <w:spacing w:after="0" w:line="240" w:lineRule="auto"/>
        <w:ind w:right="12"/>
        <w:jc w:val="both"/>
        <w:rPr>
          <w:rFonts w:ascii="Times New Roman" w:hAnsi="Times New Roman" w:cs="Times New Roman"/>
          <w:sz w:val="24"/>
          <w:szCs w:val="24"/>
        </w:rPr>
      </w:pPr>
    </w:p>
    <w:p w14:paraId="7A2161E4" w14:textId="77777777" w:rsidR="00E70785" w:rsidRPr="006F137E" w:rsidRDefault="00E70785" w:rsidP="00917F54">
      <w:pPr>
        <w:tabs>
          <w:tab w:val="left" w:pos="1134"/>
        </w:tabs>
        <w:spacing w:after="0" w:line="240" w:lineRule="auto"/>
        <w:ind w:right="12"/>
        <w:jc w:val="both"/>
        <w:rPr>
          <w:rFonts w:ascii="Times New Roman" w:eastAsia="Trebuchet MS" w:hAnsi="Times New Roman" w:cs="Times New Roman"/>
          <w:sz w:val="24"/>
          <w:szCs w:val="24"/>
          <w:lang w:val="hy-AM"/>
        </w:rPr>
      </w:pPr>
      <w:r w:rsidRPr="006F137E">
        <w:rPr>
          <w:rFonts w:ascii="Times New Roman" w:hAnsi="Times New Roman" w:cs="Times New Roman"/>
          <w:sz w:val="24"/>
          <w:szCs w:val="24"/>
        </w:rPr>
        <w:t xml:space="preserve">"4. </w:t>
      </w:r>
      <w:r w:rsidRPr="006F137E">
        <w:rPr>
          <w:rFonts w:ascii="Times New Roman" w:eastAsia="Trebuchet MS" w:hAnsi="Times New Roman" w:cs="Times New Roman"/>
          <w:sz w:val="24"/>
          <w:szCs w:val="24"/>
          <w:lang w:val="hy-AM"/>
        </w:rPr>
        <w:t>Persons declared, upon civil judgment of the court having entered into legal force, as having no active legal capacity, as well as persons sentenced and those serving the sentence, upon criminal judgment having entered into legal force, for a grave criminal offence committed intentionally shall not be entitled to elect or be elected or participate in a referendum. Persons sentenced and those serving the sentence, upon criminal judgment having entered into legal force, for other criminal offences shall not be entitled to elect as well.</w:t>
      </w:r>
      <w:r w:rsidRPr="006F137E">
        <w:rPr>
          <w:rFonts w:ascii="Times New Roman" w:hAnsi="Times New Roman" w:cs="Times New Roman"/>
          <w:sz w:val="24"/>
          <w:szCs w:val="24"/>
        </w:rPr>
        <w:t xml:space="preserve"> </w:t>
      </w:r>
      <w:r w:rsidRPr="006F137E">
        <w:rPr>
          <w:rFonts w:ascii="Times New Roman" w:eastAsia="Trebuchet MS" w:hAnsi="Times New Roman" w:cs="Times New Roman"/>
          <w:sz w:val="24"/>
          <w:szCs w:val="24"/>
          <w:lang w:val="hy-AM"/>
        </w:rPr>
        <w:t>"</w:t>
      </w:r>
    </w:p>
    <w:p w14:paraId="7A2161E5" w14:textId="77777777" w:rsidR="00E70785" w:rsidRPr="006F137E" w:rsidRDefault="00E70785" w:rsidP="00917F54">
      <w:pPr>
        <w:tabs>
          <w:tab w:val="left" w:pos="1134"/>
        </w:tabs>
        <w:spacing w:after="0" w:line="240" w:lineRule="auto"/>
        <w:ind w:right="12" w:firstLine="567"/>
        <w:jc w:val="both"/>
        <w:rPr>
          <w:rFonts w:ascii="Times New Roman" w:eastAsia="Trebuchet MS" w:hAnsi="Times New Roman" w:cs="Times New Roman"/>
          <w:sz w:val="24"/>
          <w:szCs w:val="24"/>
        </w:rPr>
      </w:pPr>
    </w:p>
    <w:p w14:paraId="7A2161E6" w14:textId="77777777" w:rsidR="00E70785" w:rsidRPr="006F137E" w:rsidRDefault="00E70785" w:rsidP="00917F54">
      <w:pPr>
        <w:spacing w:after="0" w:line="240" w:lineRule="auto"/>
        <w:ind w:firstLine="624"/>
        <w:jc w:val="both"/>
        <w:rPr>
          <w:rFonts w:ascii="Times New Roman" w:eastAsia="Trebuchet MS" w:hAnsi="Times New Roman" w:cs="Times New Roman"/>
          <w:sz w:val="24"/>
          <w:szCs w:val="24"/>
          <w:shd w:val="clear" w:color="auto" w:fill="FFFFFF"/>
          <w:lang w:val="hy-AM"/>
        </w:rPr>
      </w:pPr>
      <w:r w:rsidRPr="006F137E">
        <w:rPr>
          <w:rFonts w:ascii="Times New Roman" w:eastAsia="Trebuchet MS" w:hAnsi="Times New Roman" w:cs="Times New Roman"/>
          <w:sz w:val="24"/>
          <w:szCs w:val="24"/>
          <w:lang w:val="hy-AM"/>
        </w:rPr>
        <w:t>Taking into account the above-mentioned legal norm, it should be noted that Article 48 of the Constitution establishes one general limitation for active and passive electoral rights</w:t>
      </w:r>
      <w:r w:rsidRPr="006F137E">
        <w:rPr>
          <w:rFonts w:ascii="Times New Roman" w:eastAsia="Trebuchet MS" w:hAnsi="Times New Roman" w:cs="Times New Roman"/>
          <w:i/>
          <w:sz w:val="24"/>
          <w:szCs w:val="24"/>
          <w:u w:val="single"/>
          <w:lang w:val="hy-AM"/>
        </w:rPr>
        <w:t>: persons declared</w:t>
      </w:r>
      <w:r w:rsidRPr="006F137E">
        <w:rPr>
          <w:rFonts w:ascii="Times New Roman" w:hAnsi="Times New Roman" w:cs="Times New Roman"/>
          <w:i/>
          <w:sz w:val="24"/>
          <w:szCs w:val="24"/>
          <w:u w:val="single"/>
        </w:rPr>
        <w:t xml:space="preserve"> </w:t>
      </w:r>
      <w:r w:rsidRPr="006F137E">
        <w:rPr>
          <w:rFonts w:ascii="Times New Roman" w:eastAsia="Trebuchet MS" w:hAnsi="Times New Roman" w:cs="Times New Roman"/>
          <w:i/>
          <w:sz w:val="24"/>
          <w:szCs w:val="24"/>
          <w:u w:val="single"/>
          <w:lang w:val="hy-AM"/>
        </w:rPr>
        <w:t>as having no active legal capacity, by a court decision that has entered into legal force, as well as persons convicted and serving a sentence for serious crimes committed intentionally by a court decision that has entered into legal force,</w:t>
      </w:r>
      <w:r w:rsidRPr="006F137E">
        <w:rPr>
          <w:rFonts w:ascii="Times New Roman" w:eastAsia="Trebuchet MS" w:hAnsi="Times New Roman" w:cs="Times New Roman"/>
          <w:sz w:val="24"/>
          <w:szCs w:val="24"/>
          <w:lang w:val="hy-AM"/>
        </w:rPr>
        <w:t xml:space="preserve"> do not have the right to vote and be elected, and the following restriction is established for the exercise of the right to be elected:</w:t>
      </w:r>
      <w:r w:rsidRPr="006F137E">
        <w:rPr>
          <w:rFonts w:ascii="Times New Roman" w:eastAsia="Trebuchet MS" w:hAnsi="Times New Roman" w:cs="Times New Roman"/>
          <w:sz w:val="24"/>
          <w:szCs w:val="24"/>
          <w:shd w:val="clear" w:color="auto" w:fill="FFFFFF"/>
          <w:lang w:val="hy-AM"/>
        </w:rPr>
        <w:t xml:space="preserve"> "</w:t>
      </w:r>
      <w:r w:rsidRPr="006F137E">
        <w:rPr>
          <w:rFonts w:ascii="Times New Roman" w:eastAsia="Trebuchet MS" w:hAnsi="Times New Roman" w:cs="Times New Roman"/>
          <w:i/>
          <w:sz w:val="24"/>
          <w:szCs w:val="24"/>
          <w:u w:val="single"/>
          <w:lang w:val="hy-AM"/>
        </w:rPr>
        <w:t>Persons sentenced and those serving the sentence, upon criminal judgment having entered into legal force, for other criminal offences shall not be entitled to elect as we</w:t>
      </w:r>
      <w:r w:rsidRPr="006F137E">
        <w:rPr>
          <w:rFonts w:ascii="Times New Roman" w:eastAsia="Trebuchet MS" w:hAnsi="Times New Roman" w:cs="Times New Roman"/>
          <w:sz w:val="24"/>
          <w:szCs w:val="24"/>
          <w:shd w:val="clear" w:color="auto" w:fill="FFFFFF"/>
          <w:lang w:val="hy-AM"/>
        </w:rPr>
        <w:t xml:space="preserve">ll."  </w:t>
      </w:r>
    </w:p>
    <w:p w14:paraId="7A2161E7" w14:textId="77777777" w:rsidR="00E70785" w:rsidRPr="006F137E" w:rsidRDefault="00E70785" w:rsidP="00917F54">
      <w:pPr>
        <w:spacing w:after="0" w:line="240" w:lineRule="auto"/>
        <w:ind w:firstLine="624"/>
        <w:jc w:val="both"/>
        <w:rPr>
          <w:rFonts w:ascii="Times New Roman" w:hAnsi="Times New Roman" w:cs="Times New Roman"/>
          <w:sz w:val="24"/>
          <w:szCs w:val="24"/>
          <w:lang w:val="hy-AM"/>
        </w:rPr>
      </w:pPr>
      <w:r w:rsidRPr="006F137E">
        <w:rPr>
          <w:rFonts w:ascii="Times New Roman" w:hAnsi="Times New Roman" w:cs="Times New Roman"/>
          <w:sz w:val="24"/>
          <w:szCs w:val="24"/>
          <w:lang w:val="hy-AM"/>
        </w:rPr>
        <w:t xml:space="preserve">According to the position expressed by the European Court of Human Rights, </w:t>
      </w:r>
      <w:r w:rsidR="00177756" w:rsidRPr="006F137E">
        <w:rPr>
          <w:rFonts w:ascii="Times New Roman" w:hAnsi="Times New Roman" w:cs="Times New Roman"/>
          <w:sz w:val="24"/>
          <w:szCs w:val="24"/>
          <w:lang w:val="hy-AM"/>
        </w:rPr>
        <w:t xml:space="preserve">partial - and a fortiori complete - </w:t>
      </w:r>
      <w:r w:rsidRPr="006F137E">
        <w:rPr>
          <w:rFonts w:ascii="Times New Roman" w:hAnsi="Times New Roman" w:cs="Times New Roman"/>
          <w:sz w:val="24"/>
          <w:szCs w:val="24"/>
          <w:lang w:val="hy-AM"/>
        </w:rPr>
        <w:t>restriction of a citizen’s legal capacity is permissible only if it pursues the legitimate aim of protecting his or her rights or interests, and may be applied solely where, as a result of a mental disability (mental disorder</w:t>
      </w:r>
      <w:r w:rsidRPr="006F137E">
        <w:rPr>
          <w:rFonts w:ascii="Times New Roman" w:hAnsi="Times New Roman" w:cs="Times New Roman"/>
          <w:sz w:val="24"/>
          <w:szCs w:val="24"/>
        </w:rPr>
        <w:t>)</w:t>
      </w:r>
      <w:r w:rsidRPr="006F137E">
        <w:rPr>
          <w:rFonts w:ascii="Times New Roman" w:hAnsi="Times New Roman" w:cs="Times New Roman"/>
          <w:sz w:val="24"/>
          <w:szCs w:val="24"/>
          <w:lang w:val="hy-AM"/>
        </w:rPr>
        <w:t xml:space="preserve">, there is a risk of harm to the person arising from the inability to fully understand the meaning of their actions or to </w:t>
      </w:r>
      <w:r w:rsidRPr="006F137E">
        <w:rPr>
          <w:rFonts w:ascii="Times New Roman" w:hAnsi="Times New Roman" w:cs="Times New Roman"/>
          <w:sz w:val="24"/>
          <w:szCs w:val="24"/>
        </w:rPr>
        <w:t xml:space="preserve">direct </w:t>
      </w:r>
      <w:r w:rsidRPr="006F137E">
        <w:rPr>
          <w:rFonts w:ascii="Times New Roman" w:hAnsi="Times New Roman" w:cs="Times New Roman"/>
          <w:sz w:val="24"/>
          <w:szCs w:val="24"/>
          <w:lang w:val="hy-AM"/>
        </w:rPr>
        <w:t>them.</w:t>
      </w:r>
    </w:p>
    <w:p w14:paraId="7A2161E8" w14:textId="77777777" w:rsidR="00E70785" w:rsidRDefault="00E70785" w:rsidP="00380C08">
      <w:pPr>
        <w:spacing w:after="0" w:line="240" w:lineRule="auto"/>
        <w:jc w:val="both"/>
        <w:rPr>
          <w:rFonts w:ascii="Times New Roman" w:hAnsi="Times New Roman" w:cs="Times New Roman"/>
          <w:sz w:val="24"/>
          <w:szCs w:val="24"/>
          <w:lang w:val="hy-AM"/>
        </w:rPr>
      </w:pPr>
      <w:r w:rsidRPr="006F137E">
        <w:rPr>
          <w:rFonts w:ascii="Times New Roman" w:hAnsi="Times New Roman" w:cs="Times New Roman"/>
          <w:sz w:val="24"/>
          <w:szCs w:val="24"/>
          <w:lang w:val="hy-AM"/>
        </w:rPr>
        <w:t>Moreover, in almost all European countries that have ratified the UN Convention on the Rights of Persons with Disabilities, domestic legislation contains provisions that restrict the legal capacity of persons with mental disorders in certain spheres of legal relations.</w:t>
      </w:r>
    </w:p>
    <w:p w14:paraId="7A2161E9" w14:textId="77777777" w:rsidR="00380C08" w:rsidRPr="006F137E" w:rsidRDefault="00380C08" w:rsidP="00380C08">
      <w:pPr>
        <w:spacing w:after="0" w:line="240" w:lineRule="auto"/>
        <w:jc w:val="both"/>
        <w:rPr>
          <w:rFonts w:ascii="Times New Roman" w:hAnsi="Times New Roman" w:cs="Times New Roman"/>
          <w:sz w:val="24"/>
          <w:szCs w:val="24"/>
          <w:lang w:val="hy-AM"/>
        </w:rPr>
      </w:pPr>
    </w:p>
    <w:p w14:paraId="7A2161EA" w14:textId="77777777" w:rsidR="00E70785" w:rsidRDefault="00E70785" w:rsidP="00380C08">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hAnsi="Times New Roman" w:cs="Times New Roman"/>
          <w:sz w:val="24"/>
          <w:szCs w:val="24"/>
          <w:lang w:val="hy-AM"/>
        </w:rPr>
        <w:t>Article 31 of the Civil Code clearly defines the characteristics of incapacity: "A citizen who, as a result of a mental disorder, cannot understand the meaning of his actions or direct them may be recognized by a court as incompetent in accordance with the procedure established by the Civil Procedure Code." Thus, the primary ground for declaring a person “incapable” is the existence of a mental disorder, while the legislation of Armenia clearly establishes the causal link: as a result of such a disorder, the person is unable to understand the meaning of their actions or to control them. The matter of declaring a person “incapable” falls within the jurisdiction of the courts and is confirmed exclusively by a judicial act that has entered into legal force.</w:t>
      </w:r>
      <w:r w:rsidRPr="006F137E">
        <w:rPr>
          <w:rFonts w:ascii="Times New Roman" w:hAnsi="Times New Roman" w:cs="Times New Roman"/>
          <w:sz w:val="24"/>
          <w:szCs w:val="24"/>
        </w:rPr>
        <w:t xml:space="preserve"> </w:t>
      </w:r>
      <w:r w:rsidRPr="006F137E">
        <w:rPr>
          <w:rFonts w:ascii="Times New Roman" w:eastAsia="Trebuchet MS" w:hAnsi="Times New Roman" w:cs="Times New Roman"/>
          <w:color w:val="000000"/>
          <w:sz w:val="24"/>
          <w:szCs w:val="24"/>
          <w:shd w:val="clear" w:color="auto" w:fill="FFFFFF"/>
          <w:lang w:val="hy-AM"/>
        </w:rPr>
        <w:t>As a rule, the restriction of a person’s legal capacity inevitably entails the potential limitation of that person’s rights and freedoms in certain spheres of legal relations, which is why</w:t>
      </w:r>
      <w:r w:rsidRPr="006F137E">
        <w:rPr>
          <w:rFonts w:ascii="Times New Roman" w:eastAsia="Trebuchet MS" w:hAnsi="Times New Roman" w:cs="Times New Roman"/>
          <w:color w:val="000000"/>
          <w:sz w:val="24"/>
          <w:szCs w:val="24"/>
          <w:shd w:val="clear" w:color="auto" w:fill="FFFFFF"/>
        </w:rPr>
        <w:t>, we assume,</w:t>
      </w:r>
      <w:r w:rsidRPr="006F137E">
        <w:rPr>
          <w:rFonts w:ascii="Times New Roman" w:eastAsia="Trebuchet MS" w:hAnsi="Times New Roman" w:cs="Times New Roman"/>
          <w:color w:val="000000"/>
          <w:sz w:val="24"/>
          <w:szCs w:val="24"/>
          <w:shd w:val="clear" w:color="auto" w:fill="FFFFFF"/>
          <w:lang w:val="hy-AM"/>
        </w:rPr>
        <w:t xml:space="preserve"> the approach enshrined in the Constitution and the Electoral Code is both justified and legitimate.</w:t>
      </w:r>
    </w:p>
    <w:p w14:paraId="7A2161EB" w14:textId="77777777" w:rsidR="00380C08" w:rsidRPr="006F137E" w:rsidRDefault="00380C08" w:rsidP="00380C08">
      <w:pPr>
        <w:spacing w:after="0" w:line="240" w:lineRule="auto"/>
        <w:jc w:val="both"/>
        <w:rPr>
          <w:rFonts w:ascii="Times New Roman" w:eastAsia="Trebuchet MS" w:hAnsi="Times New Roman" w:cs="Times New Roman"/>
          <w:color w:val="000000"/>
          <w:sz w:val="24"/>
          <w:szCs w:val="24"/>
          <w:shd w:val="clear" w:color="auto" w:fill="FFFFFF"/>
          <w:lang w:val="hy-AM"/>
        </w:rPr>
      </w:pPr>
    </w:p>
    <w:p w14:paraId="7A2161EC" w14:textId="77777777" w:rsidR="00E70785" w:rsidRPr="006F137E" w:rsidRDefault="00E70785" w:rsidP="00380C08">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eastAsia="Trebuchet MS" w:hAnsi="Times New Roman" w:cs="Times New Roman"/>
          <w:color w:val="000000"/>
          <w:sz w:val="24"/>
          <w:szCs w:val="24"/>
          <w:shd w:val="clear" w:color="auto" w:fill="FFFFFF"/>
          <w:lang w:val="hy-AM"/>
        </w:rPr>
        <w:t>Another basis for deprivation of the right to be elected is being convicted and serving a sentence for any crimes by a legally binding verdict. From a constitutional and legal perspective, not standing as a candidate in elections for persons in a place of imprisonment is not a deprivation of</w:t>
      </w:r>
      <w:r w:rsidRPr="006F137E">
        <w:rPr>
          <w:rFonts w:ascii="Times New Roman" w:eastAsia="Trebuchet MS" w:hAnsi="Times New Roman" w:cs="Times New Roman"/>
          <w:color w:val="000000"/>
          <w:sz w:val="24"/>
          <w:szCs w:val="24"/>
          <w:shd w:val="clear" w:color="auto" w:fill="FFFFFF"/>
        </w:rPr>
        <w:t xml:space="preserve"> the electoral right</w:t>
      </w:r>
      <w:r w:rsidRPr="006F137E">
        <w:rPr>
          <w:rFonts w:ascii="Times New Roman" w:eastAsia="Trebuchet MS" w:hAnsi="Times New Roman" w:cs="Times New Roman"/>
          <w:color w:val="000000"/>
          <w:sz w:val="24"/>
          <w:szCs w:val="24"/>
          <w:shd w:val="clear" w:color="auto" w:fill="FFFFFF"/>
          <w:lang w:val="hy-AM"/>
        </w:rPr>
        <w:t>, but a temporary suspension. When a convict is released, he or she acquires the right to be elected. Therefore, it should be noted that the constitutionally enshrined restrictions on the right to be elected are justified, stem from the interests of society and comply with the principle of proportionality of fundamental rights and freedoms.</w:t>
      </w:r>
    </w:p>
    <w:p w14:paraId="7A2161ED" w14:textId="77777777" w:rsidR="00E70785" w:rsidRPr="006F137E" w:rsidRDefault="00E70785" w:rsidP="00917F54">
      <w:pPr>
        <w:spacing w:after="0" w:line="240" w:lineRule="auto"/>
        <w:ind w:firstLine="624"/>
        <w:jc w:val="both"/>
        <w:rPr>
          <w:rFonts w:ascii="Times New Roman" w:eastAsia="Trebuchet MS" w:hAnsi="Times New Roman" w:cs="Times New Roman"/>
          <w:color w:val="000000"/>
          <w:sz w:val="24"/>
          <w:szCs w:val="24"/>
          <w:shd w:val="clear" w:color="auto" w:fill="FFFFFF"/>
          <w:lang w:val="hy-AM"/>
        </w:rPr>
      </w:pPr>
    </w:p>
    <w:p w14:paraId="7A2161EE" w14:textId="77777777" w:rsidR="00E70785" w:rsidRPr="006F137E" w:rsidRDefault="00E70785" w:rsidP="00917F54">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eastAsia="Trebuchet MS" w:hAnsi="Times New Roman" w:cs="Times New Roman"/>
          <w:b/>
          <w:color w:val="000000"/>
          <w:sz w:val="24"/>
          <w:szCs w:val="24"/>
          <w:shd w:val="clear" w:color="auto" w:fill="FFFFFF"/>
        </w:rPr>
        <w:t xml:space="preserve">(c) </w:t>
      </w:r>
      <w:r w:rsidRPr="006F137E">
        <w:rPr>
          <w:rFonts w:ascii="Times New Roman" w:eastAsia="Trebuchet MS" w:hAnsi="Times New Roman" w:cs="Times New Roman"/>
          <w:color w:val="000000"/>
          <w:sz w:val="24"/>
          <w:szCs w:val="24"/>
          <w:shd w:val="clear" w:color="auto" w:fill="FFFFFF"/>
        </w:rPr>
        <w:t xml:space="preserve"> </w:t>
      </w:r>
      <w:r w:rsidRPr="006F137E">
        <w:rPr>
          <w:rFonts w:ascii="Times New Roman" w:eastAsia="Trebuchet MS" w:hAnsi="Times New Roman" w:cs="Times New Roman"/>
          <w:color w:val="000000"/>
          <w:sz w:val="24"/>
          <w:szCs w:val="24"/>
          <w:shd w:val="clear" w:color="auto" w:fill="FFFFFF"/>
          <w:lang w:val="hy-AM"/>
        </w:rPr>
        <w:t xml:space="preserve">The legislative package of reforms to the Electoral Code, the Constitutional Law "On Amendments and Supplements to the Electoral Code", was adopted by the National Assembly on </w:t>
      </w:r>
      <w:r w:rsidR="00EA157B" w:rsidRPr="006F137E">
        <w:rPr>
          <w:rFonts w:ascii="Times New Roman" w:eastAsia="Trebuchet MS" w:hAnsi="Times New Roman" w:cs="Times New Roman"/>
          <w:color w:val="000000"/>
          <w:sz w:val="24"/>
          <w:szCs w:val="24"/>
          <w:shd w:val="clear" w:color="auto" w:fill="FFFFFF"/>
        </w:rPr>
        <w:t xml:space="preserve">5 </w:t>
      </w:r>
      <w:r w:rsidRPr="006F137E">
        <w:rPr>
          <w:rFonts w:ascii="Times New Roman" w:eastAsia="Trebuchet MS" w:hAnsi="Times New Roman" w:cs="Times New Roman"/>
          <w:color w:val="000000"/>
          <w:sz w:val="24"/>
          <w:szCs w:val="24"/>
          <w:shd w:val="clear" w:color="auto" w:fill="FFFFFF"/>
          <w:lang w:val="hy-AM"/>
        </w:rPr>
        <w:t xml:space="preserve">December 2024 and entered into force on </w:t>
      </w:r>
      <w:r w:rsidR="009563BE" w:rsidRPr="006F137E">
        <w:rPr>
          <w:rFonts w:ascii="Times New Roman" w:eastAsia="Trebuchet MS" w:hAnsi="Times New Roman" w:cs="Times New Roman"/>
          <w:color w:val="000000"/>
          <w:sz w:val="24"/>
          <w:szCs w:val="24"/>
          <w:shd w:val="clear" w:color="auto" w:fill="FFFFFF"/>
        </w:rPr>
        <w:t xml:space="preserve">1 </w:t>
      </w:r>
      <w:r w:rsidRPr="006F137E">
        <w:rPr>
          <w:rFonts w:ascii="Times New Roman" w:eastAsia="Trebuchet MS" w:hAnsi="Times New Roman" w:cs="Times New Roman"/>
          <w:color w:val="000000"/>
          <w:sz w:val="24"/>
          <w:szCs w:val="24"/>
          <w:shd w:val="clear" w:color="auto" w:fill="FFFFFF"/>
          <w:lang w:val="hy-AM"/>
        </w:rPr>
        <w:t>April 2025. In accordance with the adoption of the aforementioned amendments and supplements, the Central Electoral Commission adopted relevant sub-legislative acts, which more thoroughly regulated individual electoral legal relations.</w:t>
      </w:r>
    </w:p>
    <w:p w14:paraId="7A2161EF" w14:textId="77777777" w:rsidR="00E70785" w:rsidRPr="006F137E" w:rsidRDefault="00E70785" w:rsidP="00917F54">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eastAsia="Trebuchet MS" w:hAnsi="Times New Roman" w:cs="Times New Roman"/>
          <w:color w:val="000000"/>
          <w:sz w:val="24"/>
          <w:szCs w:val="24"/>
          <w:shd w:val="clear" w:color="auto" w:fill="FFFFFF"/>
          <w:lang w:val="hy-AM"/>
        </w:rPr>
        <w:t>With the adoption of the aforementioned legislative package, a number of legal relations have been subject to new regulations, which ensure full transparency and publicity, as well as accountability for all stages of the electoral processes.</w:t>
      </w:r>
    </w:p>
    <w:p w14:paraId="7A2161F0" w14:textId="77777777" w:rsidR="00E70785" w:rsidRPr="006F137E" w:rsidRDefault="00E70785" w:rsidP="00917F54">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eastAsia="Trebuchet MS" w:hAnsi="Times New Roman" w:cs="Times New Roman"/>
          <w:color w:val="000000"/>
          <w:sz w:val="24"/>
          <w:szCs w:val="24"/>
          <w:shd w:val="clear" w:color="auto" w:fill="FFFFFF"/>
          <w:lang w:val="hy-AM"/>
        </w:rPr>
        <w:t>As a result of the mentioned reforms, the possibility of submitting an application for inclusion in the voter lists electronically was also envisaged, which is especially important for the exercise of the electoral right of voters with mobility problems.</w:t>
      </w:r>
    </w:p>
    <w:p w14:paraId="7A2161F1" w14:textId="77777777" w:rsidR="00E70785" w:rsidRPr="006F137E" w:rsidRDefault="00E70785" w:rsidP="00917F54">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eastAsia="Trebuchet MS" w:hAnsi="Times New Roman" w:cs="Times New Roman"/>
          <w:color w:val="000000"/>
          <w:sz w:val="24"/>
          <w:szCs w:val="24"/>
          <w:shd w:val="clear" w:color="auto" w:fill="FFFFFF"/>
          <w:lang w:val="hy-AM"/>
        </w:rPr>
        <w:t>A new tool has also been introduced in the relations related to the registration of parties and alliances of parties participating in the elections and the electronic formation of the electoral list of the party or alliance of parties. In particular, in order to participate in the elections, the Central Electoral Commission provides a user account to the party or alliance of parties in accordance with the procedure for submitting applications electronically, established by the CEC.</w:t>
      </w:r>
      <w:r w:rsidRPr="006F137E">
        <w:rPr>
          <w:rFonts w:ascii="Times New Roman" w:hAnsi="Times New Roman" w:cs="Times New Roman"/>
          <w:sz w:val="24"/>
          <w:szCs w:val="24"/>
        </w:rPr>
        <w:t xml:space="preserve"> </w:t>
      </w:r>
      <w:r w:rsidRPr="006F137E">
        <w:rPr>
          <w:rFonts w:ascii="Times New Roman" w:eastAsia="Trebuchet MS" w:hAnsi="Times New Roman" w:cs="Times New Roman"/>
          <w:color w:val="000000"/>
          <w:sz w:val="24"/>
          <w:szCs w:val="24"/>
          <w:shd w:val="clear" w:color="auto" w:fill="FFFFFF"/>
          <w:lang w:val="hy-AM"/>
        </w:rPr>
        <w:t>The specified User Account allows the party or alliance of parties to carry out the following registrations:</w:t>
      </w:r>
    </w:p>
    <w:p w14:paraId="7A2161F2" w14:textId="77777777" w:rsidR="00E70785" w:rsidRPr="006F137E" w:rsidRDefault="00E70785" w:rsidP="00917F54">
      <w:pPr>
        <w:pStyle w:val="ListParagraph"/>
        <w:spacing w:after="0" w:line="240" w:lineRule="auto"/>
        <w:ind w:left="709" w:hanging="142"/>
        <w:jc w:val="both"/>
        <w:rPr>
          <w:rFonts w:eastAsia="Trebuchet MS" w:cs="Times New Roman"/>
          <w:color w:val="000000"/>
          <w:szCs w:val="24"/>
          <w:shd w:val="clear" w:color="auto" w:fill="FFFFFF"/>
          <w:lang w:val="hy-AM"/>
        </w:rPr>
      </w:pPr>
      <w:r w:rsidRPr="006F137E">
        <w:rPr>
          <w:rFonts w:eastAsia="Trebuchet MS" w:cs="Times New Roman"/>
          <w:color w:val="000000"/>
          <w:szCs w:val="24"/>
          <w:shd w:val="clear" w:color="auto" w:fill="FFFFFF"/>
          <w:lang w:val="hy-AM"/>
        </w:rPr>
        <w:t>- to electronically form the electoral list of a party, alliance of parties, and in the case of an alliance of parties, also the electoral lists of the parties included in the alliance of parties,</w:t>
      </w:r>
    </w:p>
    <w:p w14:paraId="7A2161F3" w14:textId="77777777" w:rsidR="00E70785" w:rsidRPr="006F137E" w:rsidRDefault="00E70785" w:rsidP="00917F54">
      <w:pPr>
        <w:pStyle w:val="ListParagraph"/>
        <w:spacing w:after="0" w:line="240" w:lineRule="auto"/>
        <w:ind w:left="709" w:hanging="142"/>
        <w:jc w:val="both"/>
        <w:rPr>
          <w:rFonts w:eastAsia="Trebuchet MS" w:cs="Times New Roman"/>
          <w:color w:val="000000"/>
          <w:szCs w:val="24"/>
          <w:shd w:val="clear" w:color="auto" w:fill="FFFFFF"/>
          <w:lang w:val="hy-AM"/>
        </w:rPr>
      </w:pPr>
      <w:r w:rsidRPr="006F137E">
        <w:rPr>
          <w:rFonts w:eastAsia="Trebuchet MS" w:cs="Times New Roman"/>
          <w:color w:val="000000"/>
          <w:szCs w:val="24"/>
          <w:shd w:val="clear" w:color="auto" w:fill="FFFFFF"/>
          <w:lang w:val="hy-AM"/>
        </w:rPr>
        <w:t>-</w:t>
      </w:r>
      <w:r w:rsidRPr="006F137E">
        <w:rPr>
          <w:rFonts w:eastAsia="Trebuchet MS" w:cs="Times New Roman"/>
          <w:color w:val="000000"/>
          <w:szCs w:val="24"/>
          <w:shd w:val="clear" w:color="auto" w:fill="FFFFFF"/>
        </w:rPr>
        <w:t xml:space="preserve">  </w:t>
      </w:r>
      <w:r w:rsidRPr="006F137E">
        <w:rPr>
          <w:rFonts w:eastAsia="Trebuchet MS" w:cs="Times New Roman"/>
          <w:color w:val="000000"/>
          <w:szCs w:val="24"/>
          <w:shd w:val="clear" w:color="auto" w:fill="FFFFFF"/>
          <w:lang w:val="hy-AM"/>
        </w:rPr>
        <w:t>to make changes to the electoral lists of a party, alliance of parties,</w:t>
      </w:r>
    </w:p>
    <w:p w14:paraId="7A2161F4" w14:textId="77777777" w:rsidR="00E70785" w:rsidRPr="006F137E" w:rsidRDefault="00E70785" w:rsidP="00917F54">
      <w:pPr>
        <w:pStyle w:val="ListParagraph"/>
        <w:spacing w:after="0" w:line="240" w:lineRule="auto"/>
        <w:ind w:left="709" w:hanging="142"/>
        <w:jc w:val="both"/>
        <w:rPr>
          <w:rFonts w:eastAsia="Trebuchet MS" w:cs="Times New Roman"/>
          <w:color w:val="000000"/>
          <w:szCs w:val="24"/>
          <w:shd w:val="clear" w:color="auto" w:fill="FFFFFF"/>
          <w:lang w:val="hy-AM"/>
        </w:rPr>
      </w:pPr>
      <w:r w:rsidRPr="006F137E">
        <w:rPr>
          <w:rFonts w:eastAsia="Trebuchet MS" w:cs="Times New Roman"/>
          <w:color w:val="000000"/>
          <w:szCs w:val="24"/>
          <w:shd w:val="clear" w:color="auto" w:fill="FFFFFF"/>
          <w:lang w:val="hy-AM"/>
        </w:rPr>
        <w:t>-</w:t>
      </w:r>
      <w:r w:rsidRPr="006F137E">
        <w:rPr>
          <w:rFonts w:eastAsia="Trebuchet MS" w:cs="Times New Roman"/>
          <w:color w:val="000000"/>
          <w:szCs w:val="24"/>
          <w:shd w:val="clear" w:color="auto" w:fill="FFFFFF"/>
        </w:rPr>
        <w:t xml:space="preserve">  t</w:t>
      </w:r>
      <w:r w:rsidRPr="006F137E">
        <w:rPr>
          <w:rFonts w:eastAsia="Trebuchet MS" w:cs="Times New Roman"/>
          <w:color w:val="000000"/>
          <w:szCs w:val="24"/>
          <w:shd w:val="clear" w:color="auto" w:fill="FFFFFF"/>
          <w:lang w:val="hy-AM"/>
        </w:rPr>
        <w:t xml:space="preserve">o automatically download and print the electoral lists of a party, alliance of parties, and parties </w:t>
      </w:r>
      <w:r w:rsidRPr="006F137E">
        <w:rPr>
          <w:rFonts w:eastAsia="Trebuchet MS" w:cs="Times New Roman"/>
          <w:color w:val="000000"/>
          <w:szCs w:val="24"/>
          <w:shd w:val="clear" w:color="auto" w:fill="FFFFFF"/>
        </w:rPr>
        <w:t xml:space="preserve">   </w:t>
      </w:r>
      <w:r w:rsidRPr="006F137E">
        <w:rPr>
          <w:rFonts w:eastAsia="Trebuchet MS" w:cs="Times New Roman"/>
          <w:color w:val="000000"/>
          <w:szCs w:val="24"/>
          <w:shd w:val="clear" w:color="auto" w:fill="FFFFFF"/>
          <w:lang w:val="hy-AM"/>
        </w:rPr>
        <w:t>included in the alliance of parties.</w:t>
      </w:r>
    </w:p>
    <w:p w14:paraId="7A2161F5" w14:textId="77777777" w:rsidR="00E70785" w:rsidRPr="006F137E" w:rsidRDefault="00E70785" w:rsidP="00917F54">
      <w:pPr>
        <w:spacing w:after="0" w:line="240" w:lineRule="auto"/>
        <w:jc w:val="both"/>
        <w:rPr>
          <w:rFonts w:ascii="Times New Roman" w:eastAsia="Trebuchet MS" w:hAnsi="Times New Roman" w:cs="Times New Roman"/>
          <w:color w:val="000000"/>
          <w:sz w:val="24"/>
          <w:szCs w:val="24"/>
          <w:shd w:val="clear" w:color="auto" w:fill="FFFFFF"/>
          <w:lang w:val="hy-AM"/>
        </w:rPr>
      </w:pPr>
    </w:p>
    <w:p w14:paraId="7A2161F6" w14:textId="77777777" w:rsidR="00E70785" w:rsidRPr="006F137E" w:rsidRDefault="00E70785" w:rsidP="00917F54">
      <w:pPr>
        <w:spacing w:after="0" w:line="240" w:lineRule="auto"/>
        <w:jc w:val="both"/>
        <w:rPr>
          <w:rFonts w:ascii="Times New Roman" w:eastAsia="Trebuchet MS" w:hAnsi="Times New Roman" w:cs="Times New Roman"/>
          <w:color w:val="000000"/>
          <w:sz w:val="24"/>
          <w:szCs w:val="24"/>
          <w:shd w:val="clear" w:color="auto" w:fill="FFFFFF"/>
          <w:lang w:val="hy-AM"/>
        </w:rPr>
      </w:pPr>
      <w:r w:rsidRPr="006F137E">
        <w:rPr>
          <w:rFonts w:ascii="Times New Roman" w:eastAsia="Trebuchet MS" w:hAnsi="Times New Roman" w:cs="Times New Roman"/>
          <w:color w:val="000000"/>
          <w:sz w:val="24"/>
          <w:szCs w:val="24"/>
          <w:shd w:val="clear" w:color="auto" w:fill="FFFFFF"/>
          <w:lang w:val="hy-AM"/>
        </w:rPr>
        <w:t>In the context of the above, a new tool (electronic system) will be introduced on the website of the Central Electoral Commission, which will automatically compare the data entered on the website of the Commission for the accreditation of observers, mass media representatives, as well as for the nomination of electoral lists of a party or alliance of parties, with each other and with other data available on the website of the Commission, in order to exclude the registration of a person with an incompatible status.</w:t>
      </w:r>
    </w:p>
    <w:p w14:paraId="7A2161F7" w14:textId="77777777" w:rsidR="00150877" w:rsidRPr="006F137E" w:rsidRDefault="00E70785" w:rsidP="00917F54">
      <w:pPr>
        <w:spacing w:after="0" w:line="240" w:lineRule="auto"/>
        <w:jc w:val="both"/>
        <w:rPr>
          <w:rFonts w:ascii="Times New Roman" w:hAnsi="Times New Roman" w:cs="Times New Roman"/>
          <w:b/>
          <w:sz w:val="24"/>
          <w:szCs w:val="24"/>
          <w:u w:val="single"/>
        </w:rPr>
      </w:pPr>
      <w:r w:rsidRPr="006F137E">
        <w:rPr>
          <w:rFonts w:ascii="Times New Roman" w:hAnsi="Times New Roman" w:cs="Times New Roman"/>
          <w:sz w:val="24"/>
          <w:szCs w:val="24"/>
          <w:lang w:val="hy-AM"/>
        </w:rPr>
        <w:t xml:space="preserve">An annual mandatory certification will be conducted to improve and verify the professional knowledge and working skills of the members of the </w:t>
      </w:r>
      <w:r w:rsidRPr="006F137E">
        <w:rPr>
          <w:rFonts w:ascii="Times New Roman" w:hAnsi="Times New Roman" w:cs="Times New Roman"/>
          <w:sz w:val="24"/>
          <w:szCs w:val="24"/>
        </w:rPr>
        <w:t xml:space="preserve">territorial </w:t>
      </w:r>
      <w:r w:rsidRPr="006F137E">
        <w:rPr>
          <w:rFonts w:ascii="Times New Roman" w:hAnsi="Times New Roman" w:cs="Times New Roman"/>
          <w:sz w:val="24"/>
          <w:szCs w:val="24"/>
          <w:lang w:val="hy-AM"/>
        </w:rPr>
        <w:t xml:space="preserve">electoral commissions. </w:t>
      </w:r>
    </w:p>
    <w:sectPr w:rsidR="00150877" w:rsidRPr="006F137E">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161FA" w14:textId="77777777" w:rsidR="001A665F" w:rsidRDefault="001A665F" w:rsidP="00BB5772">
      <w:pPr>
        <w:spacing w:after="0" w:line="240" w:lineRule="auto"/>
      </w:pPr>
      <w:r>
        <w:separator/>
      </w:r>
    </w:p>
  </w:endnote>
  <w:endnote w:type="continuationSeparator" w:id="0">
    <w:p w14:paraId="7A2161FB" w14:textId="77777777" w:rsidR="001A665F" w:rsidRDefault="001A665F" w:rsidP="00BB5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550832"/>
      <w:docPartObj>
        <w:docPartGallery w:val="Page Numbers (Bottom of Page)"/>
        <w:docPartUnique/>
      </w:docPartObj>
    </w:sdtPr>
    <w:sdtEndPr>
      <w:rPr>
        <w:noProof/>
      </w:rPr>
    </w:sdtEndPr>
    <w:sdtContent>
      <w:p w14:paraId="7A2161FC" w14:textId="77777777" w:rsidR="00BB5772" w:rsidRDefault="00BB5772">
        <w:pPr>
          <w:pStyle w:val="Footer"/>
          <w:jc w:val="right"/>
        </w:pPr>
        <w:r>
          <w:fldChar w:fldCharType="begin"/>
        </w:r>
        <w:r>
          <w:instrText xml:space="preserve"> PAGE   \* MERGEFORMAT </w:instrText>
        </w:r>
        <w:r>
          <w:fldChar w:fldCharType="separate"/>
        </w:r>
        <w:r w:rsidR="008A3A66">
          <w:rPr>
            <w:noProof/>
          </w:rPr>
          <w:t>2</w:t>
        </w:r>
        <w:r>
          <w:rPr>
            <w:noProof/>
          </w:rPr>
          <w:fldChar w:fldCharType="end"/>
        </w:r>
      </w:p>
    </w:sdtContent>
  </w:sdt>
  <w:p w14:paraId="7A2161FD" w14:textId="77777777" w:rsidR="00BB5772" w:rsidRDefault="00BB5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161F8" w14:textId="77777777" w:rsidR="001A665F" w:rsidRDefault="001A665F" w:rsidP="00BB5772">
      <w:pPr>
        <w:spacing w:after="0" w:line="240" w:lineRule="auto"/>
      </w:pPr>
      <w:r>
        <w:separator/>
      </w:r>
    </w:p>
  </w:footnote>
  <w:footnote w:type="continuationSeparator" w:id="0">
    <w:p w14:paraId="7A2161F9" w14:textId="77777777" w:rsidR="001A665F" w:rsidRDefault="001A665F" w:rsidP="00BB5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6669"/>
    <w:multiLevelType w:val="hybridMultilevel"/>
    <w:tmpl w:val="75524952"/>
    <w:lvl w:ilvl="0" w:tplc="1BF289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623CC"/>
    <w:multiLevelType w:val="multilevel"/>
    <w:tmpl w:val="126AC7D0"/>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1C104D34"/>
    <w:multiLevelType w:val="multilevel"/>
    <w:tmpl w:val="0138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81D5A"/>
    <w:multiLevelType w:val="hybridMultilevel"/>
    <w:tmpl w:val="61FC9B68"/>
    <w:lvl w:ilvl="0" w:tplc="6E34214A">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A7678"/>
    <w:multiLevelType w:val="hybridMultilevel"/>
    <w:tmpl w:val="B1D012BE"/>
    <w:lvl w:ilvl="0" w:tplc="72C2EA2E">
      <w:start w:val="1"/>
      <w:numFmt w:val="decimal"/>
      <w:lvlText w:val="%1."/>
      <w:lvlJc w:val="left"/>
      <w:pPr>
        <w:ind w:left="928" w:hanging="360"/>
      </w:pPr>
      <w:rPr>
        <w:rFonts w:asciiTheme="minorHAnsi" w:eastAsiaTheme="minorHAnsi" w:hAnsiTheme="minorHAnsi"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6B16E3"/>
    <w:multiLevelType w:val="hybridMultilevel"/>
    <w:tmpl w:val="4C584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BB386A"/>
    <w:multiLevelType w:val="hybridMultilevel"/>
    <w:tmpl w:val="8092CD2A"/>
    <w:lvl w:ilvl="0" w:tplc="0409000D">
      <w:start w:val="1"/>
      <w:numFmt w:val="bullet"/>
      <w:lvlText w:val=""/>
      <w:lvlJc w:val="left"/>
      <w:pPr>
        <w:ind w:left="720" w:hanging="360"/>
      </w:pPr>
      <w:rPr>
        <w:rFonts w:ascii="Wingdings" w:hAnsi="Wingdings" w:hint="default"/>
      </w:rPr>
    </w:lvl>
    <w:lvl w:ilvl="1" w:tplc="4DB226F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1B2A24"/>
    <w:multiLevelType w:val="hybridMultilevel"/>
    <w:tmpl w:val="BF7A3A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1803E2"/>
    <w:multiLevelType w:val="hybridMultilevel"/>
    <w:tmpl w:val="6970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7F11FA"/>
    <w:multiLevelType w:val="multilevel"/>
    <w:tmpl w:val="B512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7E228A"/>
    <w:multiLevelType w:val="multilevel"/>
    <w:tmpl w:val="7716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8540D"/>
    <w:multiLevelType w:val="multilevel"/>
    <w:tmpl w:val="629C8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BE2BE0"/>
    <w:multiLevelType w:val="hybridMultilevel"/>
    <w:tmpl w:val="E28A7FA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C351D4"/>
    <w:multiLevelType w:val="hybridMultilevel"/>
    <w:tmpl w:val="D0F879BA"/>
    <w:lvl w:ilvl="0" w:tplc="72C2EA2E">
      <w:start w:val="1"/>
      <w:numFmt w:val="decimal"/>
      <w:lvlText w:val="%1."/>
      <w:lvlJc w:val="left"/>
      <w:pPr>
        <w:ind w:left="928" w:hanging="360"/>
      </w:pPr>
      <w:rPr>
        <w:rFonts w:asciiTheme="minorHAnsi" w:eastAsiaTheme="minorHAnsi" w:hAnsiTheme="minorHAnsi" w:cs="Times New Roman"/>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5A2C012F"/>
    <w:multiLevelType w:val="multilevel"/>
    <w:tmpl w:val="0138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595510"/>
    <w:multiLevelType w:val="hybridMultilevel"/>
    <w:tmpl w:val="36606958"/>
    <w:lvl w:ilvl="0" w:tplc="4A4239F8">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5232AF6"/>
    <w:multiLevelType w:val="hybridMultilevel"/>
    <w:tmpl w:val="C5AA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E11F0C"/>
    <w:multiLevelType w:val="hybridMultilevel"/>
    <w:tmpl w:val="7BF04184"/>
    <w:lvl w:ilvl="0" w:tplc="1BF2890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C204593"/>
    <w:multiLevelType w:val="hybridMultilevel"/>
    <w:tmpl w:val="7A9E7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DE3870"/>
    <w:multiLevelType w:val="hybridMultilevel"/>
    <w:tmpl w:val="48181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7579C9"/>
    <w:multiLevelType w:val="hybridMultilevel"/>
    <w:tmpl w:val="628AAC38"/>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num w:numId="1" w16cid:durableId="427120840">
    <w:abstractNumId w:val="1"/>
  </w:num>
  <w:num w:numId="2" w16cid:durableId="647975587">
    <w:abstractNumId w:val="3"/>
  </w:num>
  <w:num w:numId="3" w16cid:durableId="2012639870">
    <w:abstractNumId w:val="13"/>
  </w:num>
  <w:num w:numId="4" w16cid:durableId="1333681964">
    <w:abstractNumId w:val="20"/>
  </w:num>
  <w:num w:numId="5" w16cid:durableId="132261750">
    <w:abstractNumId w:val="18"/>
  </w:num>
  <w:num w:numId="6" w16cid:durableId="1920822023">
    <w:abstractNumId w:val="5"/>
  </w:num>
  <w:num w:numId="7" w16cid:durableId="1997029768">
    <w:abstractNumId w:val="7"/>
  </w:num>
  <w:num w:numId="8" w16cid:durableId="674575253">
    <w:abstractNumId w:val="16"/>
  </w:num>
  <w:num w:numId="9" w16cid:durableId="1669097715">
    <w:abstractNumId w:val="15"/>
  </w:num>
  <w:num w:numId="10" w16cid:durableId="1021589504">
    <w:abstractNumId w:val="9"/>
  </w:num>
  <w:num w:numId="11" w16cid:durableId="1301610516">
    <w:abstractNumId w:val="10"/>
  </w:num>
  <w:num w:numId="12" w16cid:durableId="648096171">
    <w:abstractNumId w:val="8"/>
  </w:num>
  <w:num w:numId="13" w16cid:durableId="1962877894">
    <w:abstractNumId w:val="6"/>
  </w:num>
  <w:num w:numId="14" w16cid:durableId="846292436">
    <w:abstractNumId w:val="12"/>
  </w:num>
  <w:num w:numId="15" w16cid:durableId="1285620572">
    <w:abstractNumId w:val="19"/>
  </w:num>
  <w:num w:numId="16" w16cid:durableId="1458992847">
    <w:abstractNumId w:val="2"/>
  </w:num>
  <w:num w:numId="17" w16cid:durableId="1793136978">
    <w:abstractNumId w:val="11"/>
  </w:num>
  <w:num w:numId="18" w16cid:durableId="653727147">
    <w:abstractNumId w:val="14"/>
  </w:num>
  <w:num w:numId="19" w16cid:durableId="419715360">
    <w:abstractNumId w:val="0"/>
  </w:num>
  <w:num w:numId="20" w16cid:durableId="273289232">
    <w:abstractNumId w:val="17"/>
  </w:num>
  <w:num w:numId="21" w16cid:durableId="1347748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B27"/>
    <w:rsid w:val="00047FED"/>
    <w:rsid w:val="000D5F7A"/>
    <w:rsid w:val="000F6B4D"/>
    <w:rsid w:val="00136E4E"/>
    <w:rsid w:val="00150877"/>
    <w:rsid w:val="00177756"/>
    <w:rsid w:val="001955BD"/>
    <w:rsid w:val="001960B6"/>
    <w:rsid w:val="001A665F"/>
    <w:rsid w:val="002131BB"/>
    <w:rsid w:val="00221CD5"/>
    <w:rsid w:val="0027630B"/>
    <w:rsid w:val="002C0C36"/>
    <w:rsid w:val="002E5265"/>
    <w:rsid w:val="003729DE"/>
    <w:rsid w:val="00380C08"/>
    <w:rsid w:val="00386166"/>
    <w:rsid w:val="003B76A8"/>
    <w:rsid w:val="003C09D8"/>
    <w:rsid w:val="003C4B15"/>
    <w:rsid w:val="003E41C1"/>
    <w:rsid w:val="00407F7F"/>
    <w:rsid w:val="00426709"/>
    <w:rsid w:val="004303BD"/>
    <w:rsid w:val="00453018"/>
    <w:rsid w:val="00475429"/>
    <w:rsid w:val="004A547C"/>
    <w:rsid w:val="004E4F7B"/>
    <w:rsid w:val="0052438C"/>
    <w:rsid w:val="00540076"/>
    <w:rsid w:val="00546F54"/>
    <w:rsid w:val="0058605C"/>
    <w:rsid w:val="00596571"/>
    <w:rsid w:val="005A7455"/>
    <w:rsid w:val="006A485A"/>
    <w:rsid w:val="006B437B"/>
    <w:rsid w:val="006F137E"/>
    <w:rsid w:val="006F1C43"/>
    <w:rsid w:val="00710170"/>
    <w:rsid w:val="00711058"/>
    <w:rsid w:val="007127B3"/>
    <w:rsid w:val="00735182"/>
    <w:rsid w:val="00760790"/>
    <w:rsid w:val="00771734"/>
    <w:rsid w:val="00794C70"/>
    <w:rsid w:val="007C4326"/>
    <w:rsid w:val="0081260D"/>
    <w:rsid w:val="00814796"/>
    <w:rsid w:val="00822608"/>
    <w:rsid w:val="00822F6E"/>
    <w:rsid w:val="00845475"/>
    <w:rsid w:val="008765D3"/>
    <w:rsid w:val="008805D9"/>
    <w:rsid w:val="00881371"/>
    <w:rsid w:val="008A3A66"/>
    <w:rsid w:val="008B11B6"/>
    <w:rsid w:val="008C0287"/>
    <w:rsid w:val="008D1AD2"/>
    <w:rsid w:val="008D4BB7"/>
    <w:rsid w:val="008D7804"/>
    <w:rsid w:val="008E28F9"/>
    <w:rsid w:val="00903363"/>
    <w:rsid w:val="00912C6F"/>
    <w:rsid w:val="0091516A"/>
    <w:rsid w:val="00917F54"/>
    <w:rsid w:val="0092195C"/>
    <w:rsid w:val="009332AE"/>
    <w:rsid w:val="00942B27"/>
    <w:rsid w:val="009563BE"/>
    <w:rsid w:val="009719A2"/>
    <w:rsid w:val="009822FE"/>
    <w:rsid w:val="009E61BD"/>
    <w:rsid w:val="00AF3900"/>
    <w:rsid w:val="00B10D98"/>
    <w:rsid w:val="00B2129A"/>
    <w:rsid w:val="00B2588C"/>
    <w:rsid w:val="00B30CDD"/>
    <w:rsid w:val="00B47309"/>
    <w:rsid w:val="00B57B3B"/>
    <w:rsid w:val="00B6329A"/>
    <w:rsid w:val="00B66DFB"/>
    <w:rsid w:val="00BB5772"/>
    <w:rsid w:val="00BB6A9B"/>
    <w:rsid w:val="00BF1AF3"/>
    <w:rsid w:val="00BF32EE"/>
    <w:rsid w:val="00C2337F"/>
    <w:rsid w:val="00C61452"/>
    <w:rsid w:val="00C710CE"/>
    <w:rsid w:val="00C830A1"/>
    <w:rsid w:val="00C84CAE"/>
    <w:rsid w:val="00CA7A87"/>
    <w:rsid w:val="00CB7C02"/>
    <w:rsid w:val="00CD0C1A"/>
    <w:rsid w:val="00CF0A9D"/>
    <w:rsid w:val="00D20ECC"/>
    <w:rsid w:val="00D41CB7"/>
    <w:rsid w:val="00D718B4"/>
    <w:rsid w:val="00D7279D"/>
    <w:rsid w:val="00D915DF"/>
    <w:rsid w:val="00DA1568"/>
    <w:rsid w:val="00DB4B81"/>
    <w:rsid w:val="00E70785"/>
    <w:rsid w:val="00EA157B"/>
    <w:rsid w:val="00EA19D8"/>
    <w:rsid w:val="00EC47C0"/>
    <w:rsid w:val="00F330C2"/>
    <w:rsid w:val="00F50DB0"/>
    <w:rsid w:val="00F64897"/>
    <w:rsid w:val="00FB6287"/>
    <w:rsid w:val="00FC2F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1611E"/>
  <w15:chartTrackingRefBased/>
  <w15:docId w15:val="{B79BC069-DDD9-42FC-AA33-64D6266C7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4303B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5265"/>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91516A"/>
    <w:pPr>
      <w:suppressAutoHyphens/>
      <w:spacing w:line="256" w:lineRule="auto"/>
      <w:ind w:left="720"/>
      <w:contextualSpacing/>
    </w:pPr>
    <w:rPr>
      <w:rFonts w:ascii="Times New Roman" w:hAnsi="Times New Roman"/>
      <w:sz w:val="24"/>
    </w:rPr>
  </w:style>
  <w:style w:type="paragraph" w:styleId="PlainText">
    <w:name w:val="Plain Text"/>
    <w:basedOn w:val="Normal"/>
    <w:link w:val="PlainTextChar"/>
    <w:uiPriority w:val="99"/>
    <w:unhideWhenUsed/>
    <w:rsid w:val="00BF32EE"/>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BF32EE"/>
    <w:rPr>
      <w:rFonts w:ascii="Calibri" w:hAnsi="Calibri"/>
      <w:szCs w:val="21"/>
    </w:rPr>
  </w:style>
  <w:style w:type="character" w:customStyle="1" w:styleId="rynqvb">
    <w:name w:val="rynqvb"/>
    <w:basedOn w:val="DefaultParagraphFont"/>
    <w:rsid w:val="00BF32EE"/>
  </w:style>
  <w:style w:type="paragraph" w:styleId="NormalWeb">
    <w:name w:val="Normal (Web)"/>
    <w:basedOn w:val="Normal"/>
    <w:uiPriority w:val="99"/>
    <w:unhideWhenUsed/>
    <w:rsid w:val="00BF32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qFormat/>
    <w:locked/>
    <w:rsid w:val="00BF32EE"/>
    <w:rPr>
      <w:rFonts w:ascii="Times New Roman" w:hAnsi="Times New Roman"/>
      <w:sz w:val="24"/>
    </w:rPr>
  </w:style>
  <w:style w:type="paragraph" w:customStyle="1" w:styleId="m-1626127644104990054m-3080892813318102283gmail-msolistparagraph">
    <w:name w:val="m_-1626127644104990054m_-3080892813318102283gmail-msolistparagraph"/>
    <w:basedOn w:val="Normal"/>
    <w:rsid w:val="00BF32E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0287"/>
    <w:rPr>
      <w:i/>
      <w:iCs/>
    </w:rPr>
  </w:style>
  <w:style w:type="character" w:customStyle="1" w:styleId="Heading4Char">
    <w:name w:val="Heading 4 Char"/>
    <w:basedOn w:val="DefaultParagraphFont"/>
    <w:link w:val="Heading4"/>
    <w:uiPriority w:val="9"/>
    <w:rsid w:val="004303BD"/>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4303BD"/>
  </w:style>
  <w:style w:type="paragraph" w:styleId="Header">
    <w:name w:val="header"/>
    <w:basedOn w:val="Normal"/>
    <w:link w:val="HeaderChar"/>
    <w:uiPriority w:val="99"/>
    <w:unhideWhenUsed/>
    <w:rsid w:val="00BB5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5772"/>
  </w:style>
  <w:style w:type="paragraph" w:styleId="Footer">
    <w:name w:val="footer"/>
    <w:basedOn w:val="Normal"/>
    <w:link w:val="FooterChar"/>
    <w:uiPriority w:val="99"/>
    <w:unhideWhenUsed/>
    <w:rsid w:val="00BB57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2217">
      <w:bodyDiv w:val="1"/>
      <w:marLeft w:val="0"/>
      <w:marRight w:val="0"/>
      <w:marTop w:val="0"/>
      <w:marBottom w:val="0"/>
      <w:divBdr>
        <w:top w:val="none" w:sz="0" w:space="0" w:color="auto"/>
        <w:left w:val="none" w:sz="0" w:space="0" w:color="auto"/>
        <w:bottom w:val="none" w:sz="0" w:space="0" w:color="auto"/>
        <w:right w:val="none" w:sz="0" w:space="0" w:color="auto"/>
      </w:divBdr>
    </w:div>
    <w:div w:id="271516068">
      <w:bodyDiv w:val="1"/>
      <w:marLeft w:val="0"/>
      <w:marRight w:val="0"/>
      <w:marTop w:val="0"/>
      <w:marBottom w:val="0"/>
      <w:divBdr>
        <w:top w:val="none" w:sz="0" w:space="0" w:color="auto"/>
        <w:left w:val="none" w:sz="0" w:space="0" w:color="auto"/>
        <w:bottom w:val="none" w:sz="0" w:space="0" w:color="auto"/>
        <w:right w:val="none" w:sz="0" w:space="0" w:color="auto"/>
      </w:divBdr>
    </w:div>
    <w:div w:id="1005670048">
      <w:bodyDiv w:val="1"/>
      <w:marLeft w:val="0"/>
      <w:marRight w:val="0"/>
      <w:marTop w:val="0"/>
      <w:marBottom w:val="0"/>
      <w:divBdr>
        <w:top w:val="none" w:sz="0" w:space="0" w:color="auto"/>
        <w:left w:val="none" w:sz="0" w:space="0" w:color="auto"/>
        <w:bottom w:val="none" w:sz="0" w:space="0" w:color="auto"/>
        <w:right w:val="none" w:sz="0" w:space="0" w:color="auto"/>
      </w:divBdr>
    </w:div>
    <w:div w:id="1036124711">
      <w:bodyDiv w:val="1"/>
      <w:marLeft w:val="0"/>
      <w:marRight w:val="0"/>
      <w:marTop w:val="0"/>
      <w:marBottom w:val="0"/>
      <w:divBdr>
        <w:top w:val="none" w:sz="0" w:space="0" w:color="auto"/>
        <w:left w:val="none" w:sz="0" w:space="0" w:color="auto"/>
        <w:bottom w:val="none" w:sz="0" w:space="0" w:color="auto"/>
        <w:right w:val="none" w:sz="0" w:space="0" w:color="auto"/>
      </w:divBdr>
    </w:div>
    <w:div w:id="1414276585">
      <w:bodyDiv w:val="1"/>
      <w:marLeft w:val="0"/>
      <w:marRight w:val="0"/>
      <w:marTop w:val="0"/>
      <w:marBottom w:val="0"/>
      <w:divBdr>
        <w:top w:val="none" w:sz="0" w:space="0" w:color="auto"/>
        <w:left w:val="none" w:sz="0" w:space="0" w:color="auto"/>
        <w:bottom w:val="none" w:sz="0" w:space="0" w:color="auto"/>
        <w:right w:val="none" w:sz="0" w:space="0" w:color="auto"/>
      </w:divBdr>
    </w:div>
    <w:div w:id="19086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2025-10-10T09:51:19+00:00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101485e72c919333322e20e0cdda9064">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571e014322c47401fc95325ef83d273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CCA581-DB5D-4882-9922-2D94470C6723}">
  <ds:schemaRef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BABF5EF2-C424-4FFF-AB72-F08BA98F4412}">
  <ds:schemaRefs>
    <ds:schemaRef ds:uri="http://schemas.microsoft.com/sharepoint/v3/contenttype/forms"/>
  </ds:schemaRefs>
</ds:datastoreItem>
</file>

<file path=customXml/itemProps3.xml><?xml version="1.0" encoding="utf-8"?>
<ds:datastoreItem xmlns:ds="http://schemas.openxmlformats.org/officeDocument/2006/customXml" ds:itemID="{5A68B879-151A-47FE-A899-CD910401505F}"/>
</file>

<file path=docProps/app.xml><?xml version="1.0" encoding="utf-8"?>
<Properties xmlns="http://schemas.openxmlformats.org/officeDocument/2006/extended-properties" xmlns:vt="http://schemas.openxmlformats.org/officeDocument/2006/docPropsVTypes">
  <Template>Normal</Template>
  <TotalTime>2</TotalTime>
  <Pages>19</Pages>
  <Words>9474</Words>
  <Characters>54002</Characters>
  <Application>Microsoft Office Word</Application>
  <DocSecurity>4</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Cherry Balmaceda</cp:lastModifiedBy>
  <cp:revision>2</cp:revision>
  <dcterms:created xsi:type="dcterms:W3CDTF">2025-10-10T09:51:00Z</dcterms:created>
  <dcterms:modified xsi:type="dcterms:W3CDTF">2025-10-10T09:51:00Z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