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246602">
        <w:rPr>
          <w:b/>
          <w:sz w:val="28"/>
          <w:szCs w:val="28"/>
          <w:u w:val="single"/>
        </w:rPr>
        <w:t>CZECH REPUBLIC</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963AB9"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246602">
                    <w:rPr>
                      <w:b/>
                      <w:sz w:val="28"/>
                      <w:szCs w:val="28"/>
                    </w:rPr>
                    <w:t>the Czech Republic</w:t>
                  </w:r>
                  <w:r w:rsidRPr="002F72D5">
                    <w:rPr>
                      <w:b/>
                      <w:sz w:val="28"/>
                      <w:szCs w:val="28"/>
                    </w:rPr>
                    <w:t xml:space="preserve">. In light of the obligation under international human rights law to prohibit all corporal punishment of children, the recommendations of the UN Secretary-General’s Study on Violence against Children, the </w:t>
                  </w:r>
                  <w:r w:rsidR="001B2EF0" w:rsidRPr="002F72D5">
                    <w:rPr>
                      <w:b/>
                      <w:sz w:val="28"/>
                      <w:szCs w:val="28"/>
                    </w:rPr>
                    <w:t xml:space="preserve">repeated </w:t>
                  </w:r>
                  <w:r w:rsidRPr="002F72D5">
                    <w:rPr>
                      <w:b/>
                      <w:sz w:val="28"/>
                      <w:szCs w:val="28"/>
                    </w:rPr>
                    <w:t xml:space="preserve">recommendations </w:t>
                  </w:r>
                  <w:r w:rsidR="00DD0BFF" w:rsidRPr="002F72D5">
                    <w:rPr>
                      <w:b/>
                      <w:sz w:val="28"/>
                      <w:szCs w:val="28"/>
                    </w:rPr>
                    <w:t xml:space="preserve">made to </w:t>
                  </w:r>
                  <w:r w:rsidR="00A31025">
                    <w:rPr>
                      <w:b/>
                      <w:sz w:val="28"/>
                      <w:szCs w:val="28"/>
                    </w:rPr>
                    <w:t>the Czech Republic</w:t>
                  </w:r>
                  <w:r w:rsidR="001B2EF0" w:rsidRPr="002F72D5">
                    <w:rPr>
                      <w:b/>
                      <w:sz w:val="28"/>
                      <w:szCs w:val="28"/>
                    </w:rPr>
                    <w:t xml:space="preserve"> </w:t>
                  </w:r>
                  <w:r w:rsidR="00DD0BFF" w:rsidRPr="002F72D5">
                    <w:rPr>
                      <w:b/>
                      <w:sz w:val="28"/>
                      <w:szCs w:val="28"/>
                    </w:rPr>
                    <w:t xml:space="preserve">by </w:t>
                  </w:r>
                  <w:r w:rsidR="001B2EF0" w:rsidRPr="002F72D5">
                    <w:rPr>
                      <w:b/>
                      <w:sz w:val="28"/>
                      <w:szCs w:val="28"/>
                    </w:rPr>
                    <w:t xml:space="preserve">the Committee on the Rights of the Child </w:t>
                  </w:r>
                  <w:r w:rsidR="00DD0BFF" w:rsidRPr="002F72D5">
                    <w:rPr>
                      <w:b/>
                      <w:sz w:val="28"/>
                      <w:szCs w:val="28"/>
                    </w:rPr>
                    <w:t xml:space="preserve">and </w:t>
                  </w:r>
                  <w:r w:rsidR="00A31025">
                    <w:rPr>
                      <w:b/>
                      <w:sz w:val="28"/>
                      <w:szCs w:val="28"/>
                    </w:rPr>
                    <w:t xml:space="preserve">other treaty bodies and </w:t>
                  </w:r>
                  <w:r w:rsidR="00DD0BFF" w:rsidRPr="002F72D5">
                    <w:rPr>
                      <w:b/>
                      <w:sz w:val="28"/>
                      <w:szCs w:val="28"/>
                    </w:rPr>
                    <w:t>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A31025">
                    <w:rPr>
                      <w:b/>
                      <w:sz w:val="28"/>
                      <w:szCs w:val="28"/>
                    </w:rPr>
                    <w:t>the Czech Republic</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bookmarkStart w:id="0" w:name="_GoBack"/>
                  <w:bookmarkEnd w:id="0"/>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A31025">
                    <w:rPr>
                      <w:b/>
                      <w:sz w:val="28"/>
                      <w:szCs w:val="28"/>
                    </w:rPr>
                    <w:t>the Czech Republic</w:t>
                  </w:r>
                  <w:r w:rsidRPr="002F72D5">
                    <w:rPr>
                      <w:b/>
                      <w:sz w:val="28"/>
                      <w:szCs w:val="28"/>
                    </w:rPr>
                    <w:t xml:space="preserve">, in the concluding observations on the </w:t>
                  </w:r>
                  <w:r w:rsidR="00CF1ADA">
                    <w:rPr>
                      <w:b/>
                      <w:sz w:val="28"/>
                      <w:szCs w:val="28"/>
                    </w:rPr>
                    <w:t>second</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A31025">
        <w:rPr>
          <w:b/>
          <w:sz w:val="28"/>
          <w:szCs w:val="28"/>
        </w:rPr>
        <w:t>The Czech Republic</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A31025">
        <w:rPr>
          <w:sz w:val="26"/>
          <w:szCs w:val="26"/>
        </w:rPr>
        <w:t>second</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A31025">
        <w:rPr>
          <w:sz w:val="26"/>
          <w:szCs w:val="26"/>
        </w:rPr>
        <w:t>describes legislative and other measures to address domestic violence 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The legality of c</w:t>
      </w:r>
      <w:r w:rsidR="008467B3" w:rsidRPr="001B2EF0">
        <w:rPr>
          <w:b/>
          <w:sz w:val="28"/>
          <w:szCs w:val="28"/>
        </w:rPr>
        <w:t xml:space="preserve">orporal punishment of children in </w:t>
      </w:r>
      <w:r w:rsidR="00A31025">
        <w:rPr>
          <w:b/>
          <w:sz w:val="28"/>
          <w:szCs w:val="28"/>
        </w:rPr>
        <w:t>the Czech Republic</w:t>
      </w:r>
    </w:p>
    <w:p w:rsidR="003F0720" w:rsidRPr="00AE01C0" w:rsidRDefault="001B2EF0" w:rsidP="00AE01C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52"/>
      <w:bookmarkStart w:id="2" w:name="OLE_LINK53"/>
      <w:r w:rsidRPr="00AE01C0">
        <w:rPr>
          <w:sz w:val="26"/>
          <w:szCs w:val="26"/>
        </w:rPr>
        <w:t>2</w:t>
      </w:r>
      <w:r w:rsidR="003F0720" w:rsidRPr="00AE01C0">
        <w:rPr>
          <w:sz w:val="26"/>
          <w:szCs w:val="26"/>
        </w:rPr>
        <w:t>.1</w:t>
      </w:r>
      <w:r w:rsidR="002F72D5" w:rsidRPr="00AE01C0">
        <w:rPr>
          <w:sz w:val="26"/>
          <w:szCs w:val="26"/>
        </w:rPr>
        <w:t xml:space="preserve"> </w:t>
      </w:r>
      <w:r w:rsidR="002F72D5" w:rsidRPr="00AE01C0">
        <w:rPr>
          <w:i/>
          <w:sz w:val="26"/>
          <w:szCs w:val="26"/>
        </w:rPr>
        <w:t>Summary:</w:t>
      </w:r>
      <w:r w:rsidR="003F0720" w:rsidRPr="00AE01C0">
        <w:rPr>
          <w:sz w:val="26"/>
          <w:szCs w:val="26"/>
        </w:rPr>
        <w:t xml:space="preserve"> </w:t>
      </w:r>
      <w:r w:rsidR="0041585F" w:rsidRPr="00AE01C0">
        <w:rPr>
          <w:sz w:val="26"/>
          <w:szCs w:val="26"/>
        </w:rPr>
        <w:t xml:space="preserve">In </w:t>
      </w:r>
      <w:r w:rsidR="00A31025" w:rsidRPr="00AE01C0">
        <w:rPr>
          <w:sz w:val="26"/>
          <w:szCs w:val="26"/>
        </w:rPr>
        <w:t>the Czech Republic</w:t>
      </w:r>
      <w:r w:rsidR="0041585F" w:rsidRPr="00AE01C0">
        <w:rPr>
          <w:sz w:val="26"/>
          <w:szCs w:val="26"/>
        </w:rPr>
        <w:t xml:space="preserve">, corporal punishment is unlawful </w:t>
      </w:r>
      <w:r w:rsidR="00A31025" w:rsidRPr="00AE01C0">
        <w:rPr>
          <w:sz w:val="26"/>
          <w:szCs w:val="26"/>
        </w:rPr>
        <w:t>in schools</w:t>
      </w:r>
      <w:r w:rsidR="00AE01C0">
        <w:rPr>
          <w:sz w:val="26"/>
          <w:szCs w:val="26"/>
        </w:rPr>
        <w:t xml:space="preserve"> and in</w:t>
      </w:r>
      <w:r w:rsidR="00A31025" w:rsidRPr="00AE01C0">
        <w:rPr>
          <w:sz w:val="26"/>
          <w:szCs w:val="26"/>
        </w:rPr>
        <w:t xml:space="preserve"> some alternative care and day care settings, but it is lawful in other care settings and in the home</w:t>
      </w:r>
      <w:r w:rsidR="00AE01C0">
        <w:rPr>
          <w:sz w:val="26"/>
          <w:szCs w:val="26"/>
        </w:rPr>
        <w:t>. It is considered unlawful in penal institutions but is not explicitly prohibited.</w:t>
      </w:r>
    </w:p>
    <w:p w:rsidR="00A31025" w:rsidRPr="00AE01C0" w:rsidRDefault="001B2EF0" w:rsidP="00AE01C0">
      <w:pPr>
        <w:spacing w:after="120"/>
        <w:ind w:left="482" w:hanging="482"/>
        <w:rPr>
          <w:sz w:val="26"/>
          <w:szCs w:val="26"/>
          <w:lang w:eastAsia="en-GB"/>
        </w:rPr>
      </w:pPr>
      <w:r w:rsidRPr="00AE01C0">
        <w:rPr>
          <w:sz w:val="26"/>
          <w:szCs w:val="26"/>
        </w:rPr>
        <w:t>2</w:t>
      </w:r>
      <w:r w:rsidR="003F0720" w:rsidRPr="00AE01C0">
        <w:rPr>
          <w:sz w:val="26"/>
          <w:szCs w:val="26"/>
        </w:rPr>
        <w:t xml:space="preserve">.2 </w:t>
      </w:r>
      <w:r w:rsidR="003F0720" w:rsidRPr="00AE01C0">
        <w:rPr>
          <w:i/>
          <w:sz w:val="26"/>
          <w:szCs w:val="26"/>
        </w:rPr>
        <w:t>Home (</w:t>
      </w:r>
      <w:r w:rsidR="003F0720" w:rsidRPr="00AE01C0">
        <w:rPr>
          <w:i/>
          <w:sz w:val="26"/>
          <w:szCs w:val="26"/>
          <w:u w:val="single"/>
        </w:rPr>
        <w:t>lawful</w:t>
      </w:r>
      <w:r w:rsidR="003F0720" w:rsidRPr="00AE01C0">
        <w:rPr>
          <w:i/>
          <w:sz w:val="26"/>
          <w:szCs w:val="26"/>
        </w:rPr>
        <w:t xml:space="preserve">): </w:t>
      </w:r>
      <w:bookmarkStart w:id="3" w:name="OLE_LINK11"/>
      <w:bookmarkStart w:id="4" w:name="OLE_LINK12"/>
      <w:r w:rsidR="00A31025" w:rsidRPr="00AE01C0">
        <w:rPr>
          <w:sz w:val="26"/>
          <w:szCs w:val="26"/>
        </w:rPr>
        <w:t xml:space="preserve">Article 31(2) of the Family Act 1963 states that in caring for children, parents “may use adequate upbringing measures so that the child’s dignity is not violated and his or her health, emotional, intellectual and moral development are not endangered”, but neither this nor provisions against violence and abuse in the Act on Social and Legal Protection of Children (amended 2002), the Charter on Fundamental Rights and Freedoms 1992, the Act on Misdemeanours 1990, the Criminal Code 2009, the Constitution 1992 and the Domestic Violence Law 2006 are interpreted as prohibiting all corporal punishment in childrearing. A draft </w:t>
      </w:r>
      <w:r w:rsidR="00A31025" w:rsidRPr="00AE01C0">
        <w:rPr>
          <w:sz w:val="26"/>
          <w:szCs w:val="26"/>
          <w:lang w:eastAsia="en-GB"/>
        </w:rPr>
        <w:t>Bill on Social and Legal Protection of Children is under discussion (2013); to our knowledge it would not prohibit corporal punishment.</w:t>
      </w:r>
    </w:p>
    <w:p w:rsidR="00A31025" w:rsidRPr="00AE01C0" w:rsidRDefault="00AE01C0" w:rsidP="00AE01C0">
      <w:pPr>
        <w:autoSpaceDE w:val="0"/>
        <w:autoSpaceDN w:val="0"/>
        <w:adjustRightInd w:val="0"/>
        <w:spacing w:after="120"/>
        <w:ind w:left="482" w:hanging="482"/>
        <w:rPr>
          <w:sz w:val="26"/>
          <w:szCs w:val="26"/>
        </w:rPr>
      </w:pPr>
      <w:r>
        <w:rPr>
          <w:sz w:val="26"/>
          <w:szCs w:val="26"/>
        </w:rPr>
        <w:t xml:space="preserve">2.3 </w:t>
      </w:r>
      <w:r w:rsidR="00A31025" w:rsidRPr="00AE01C0">
        <w:rPr>
          <w:sz w:val="26"/>
          <w:szCs w:val="26"/>
        </w:rPr>
        <w:t xml:space="preserve">The Government confirmed its commitment to enacting prohibition in a letter from Prime Minister </w:t>
      </w:r>
      <w:proofErr w:type="spellStart"/>
      <w:r w:rsidR="00A31025" w:rsidRPr="00AE01C0">
        <w:rPr>
          <w:sz w:val="26"/>
          <w:szCs w:val="26"/>
        </w:rPr>
        <w:t>Mirek</w:t>
      </w:r>
      <w:proofErr w:type="spellEnd"/>
      <w:r w:rsidR="00A31025" w:rsidRPr="00AE01C0">
        <w:rPr>
          <w:sz w:val="26"/>
          <w:szCs w:val="26"/>
        </w:rPr>
        <w:t xml:space="preserve"> </w:t>
      </w:r>
      <w:proofErr w:type="spellStart"/>
      <w:r w:rsidR="00A31025" w:rsidRPr="00AE01C0">
        <w:rPr>
          <w:sz w:val="26"/>
          <w:szCs w:val="26"/>
        </w:rPr>
        <w:t>Topolánek</w:t>
      </w:r>
      <w:proofErr w:type="spellEnd"/>
      <w:r w:rsidR="00A31025" w:rsidRPr="00AE01C0">
        <w:rPr>
          <w:sz w:val="26"/>
          <w:szCs w:val="26"/>
        </w:rPr>
        <w:t xml:space="preserve"> to the Council of Europe Commissioner for Human Rights, Mr Thomas </w:t>
      </w:r>
      <w:proofErr w:type="spellStart"/>
      <w:r w:rsidR="00A31025" w:rsidRPr="00AE01C0">
        <w:rPr>
          <w:sz w:val="26"/>
          <w:szCs w:val="26"/>
        </w:rPr>
        <w:t>Hammarberg</w:t>
      </w:r>
      <w:proofErr w:type="spellEnd"/>
      <w:r w:rsidR="00A31025" w:rsidRPr="00AE01C0">
        <w:rPr>
          <w:sz w:val="26"/>
          <w:szCs w:val="26"/>
        </w:rPr>
        <w:t>,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explicit prohibition.</w:t>
      </w:r>
      <w:r>
        <w:rPr>
          <w:rStyle w:val="FootnoteReference"/>
          <w:sz w:val="26"/>
          <w:szCs w:val="26"/>
        </w:rPr>
        <w:footnoteReference w:id="2"/>
      </w:r>
      <w:r w:rsidR="00A31025" w:rsidRPr="00AE01C0">
        <w:rPr>
          <w:sz w:val="26"/>
          <w:szCs w:val="26"/>
        </w:rPr>
        <w:t xml:space="preserve"> A new Civil Code is expected to come into force in January 2014 which would protect the dignity of the child</w:t>
      </w:r>
      <w:r>
        <w:rPr>
          <w:sz w:val="26"/>
          <w:szCs w:val="26"/>
        </w:rPr>
        <w:t xml:space="preserve"> – but it does</w:t>
      </w:r>
      <w:r w:rsidR="00A31025" w:rsidRPr="00AE01C0">
        <w:rPr>
          <w:sz w:val="26"/>
          <w:szCs w:val="26"/>
        </w:rPr>
        <w:t xml:space="preserve"> not explicitly prohibit corporal punishment. While acknowledging the lack of explicit prohibition of corporal punishment in national legislation, the Government confirmed that the Ministry of Justice, coordinator of the new Civil Code, “is not taking any new steps in the prohibition of corporal punishment”.</w:t>
      </w:r>
      <w:r>
        <w:rPr>
          <w:rStyle w:val="FootnoteReference"/>
          <w:sz w:val="26"/>
          <w:szCs w:val="26"/>
        </w:rPr>
        <w:footnoteReference w:id="3"/>
      </w:r>
      <w:r w:rsidR="00A31025" w:rsidRPr="00AE01C0">
        <w:rPr>
          <w:sz w:val="26"/>
          <w:szCs w:val="26"/>
        </w:rPr>
        <w:t xml:space="preserve"> The Government has indicated that it considers existing legislation offers adequate prote</w:t>
      </w:r>
      <w:r>
        <w:rPr>
          <w:sz w:val="26"/>
          <w:szCs w:val="26"/>
        </w:rPr>
        <w:t>ction from corporal punishment</w:t>
      </w:r>
      <w:r>
        <w:rPr>
          <w:rStyle w:val="FootnoteReference"/>
          <w:sz w:val="26"/>
          <w:szCs w:val="26"/>
        </w:rPr>
        <w:footnoteReference w:id="4"/>
      </w:r>
      <w:r w:rsidR="00A31025" w:rsidRPr="00AE01C0">
        <w:rPr>
          <w:sz w:val="26"/>
          <w:szCs w:val="26"/>
        </w:rPr>
        <w:t xml:space="preserve"> – but also confirmed that the law protects children only against “</w:t>
      </w:r>
      <w:proofErr w:type="spellStart"/>
      <w:r w:rsidR="00A31025" w:rsidRPr="00AE01C0">
        <w:rPr>
          <w:sz w:val="26"/>
          <w:szCs w:val="26"/>
        </w:rPr>
        <w:t>unproportionate</w:t>
      </w:r>
      <w:proofErr w:type="spellEnd"/>
      <w:r w:rsidR="00A31025" w:rsidRPr="00AE01C0">
        <w:rPr>
          <w:sz w:val="26"/>
          <w:szCs w:val="26"/>
        </w:rPr>
        <w:t xml:space="preserve"> corporal punishment”, implying that some corporal punishment could be considered “propo</w:t>
      </w:r>
      <w:r>
        <w:rPr>
          <w:sz w:val="26"/>
          <w:szCs w:val="26"/>
        </w:rPr>
        <w:t>rtionate” and therefore lawful</w:t>
      </w:r>
      <w:r w:rsidR="00A31025" w:rsidRPr="00AE01C0">
        <w:rPr>
          <w:sz w:val="26"/>
          <w:szCs w:val="26"/>
        </w:rPr>
        <w:t>.</w:t>
      </w:r>
      <w:r>
        <w:rPr>
          <w:rStyle w:val="FootnoteReference"/>
          <w:sz w:val="26"/>
          <w:szCs w:val="26"/>
        </w:rPr>
        <w:footnoteReference w:id="5"/>
      </w:r>
      <w:r w:rsidR="00A31025" w:rsidRPr="00AE01C0">
        <w:rPr>
          <w:sz w:val="26"/>
          <w:szCs w:val="26"/>
        </w:rPr>
        <w:t xml:space="preserve"> Again, under examination by the Committee Against Torture in May 2012, the Government stated that it had no plan to </w:t>
      </w:r>
      <w:r w:rsidR="00A31025" w:rsidRPr="00AE01C0">
        <w:rPr>
          <w:sz w:val="26"/>
          <w:szCs w:val="26"/>
        </w:rPr>
        <w:lastRenderedPageBreak/>
        <w:t>amend legislation t</w:t>
      </w:r>
      <w:r>
        <w:rPr>
          <w:sz w:val="26"/>
          <w:szCs w:val="26"/>
        </w:rPr>
        <w:t>o prohibit corporal punishment</w:t>
      </w:r>
      <w:r w:rsidR="00A31025" w:rsidRPr="00AE01C0">
        <w:rPr>
          <w:sz w:val="26"/>
          <w:szCs w:val="26"/>
        </w:rPr>
        <w:t>.</w:t>
      </w:r>
      <w:r>
        <w:rPr>
          <w:rStyle w:val="FootnoteReference"/>
          <w:sz w:val="26"/>
          <w:szCs w:val="26"/>
        </w:rPr>
        <w:footnoteReference w:id="6"/>
      </w:r>
      <w:r>
        <w:rPr>
          <w:sz w:val="26"/>
          <w:szCs w:val="26"/>
        </w:rPr>
        <w:t xml:space="preserve"> </w:t>
      </w:r>
      <w:r w:rsidR="00A31025" w:rsidRPr="00AE01C0">
        <w:rPr>
          <w:sz w:val="26"/>
          <w:szCs w:val="26"/>
        </w:rPr>
        <w:t>The Government rejected recommendations to explicitly prohibit all corporal punishment in all settings, including the home, made during the Universal Periodic Review of the Czech Republic in 2012</w:t>
      </w:r>
      <w:r>
        <w:rPr>
          <w:sz w:val="26"/>
          <w:szCs w:val="26"/>
        </w:rPr>
        <w:t xml:space="preserve"> (see para. 3.5)</w:t>
      </w:r>
      <w:r w:rsidR="00A31025" w:rsidRPr="00AE01C0">
        <w:rPr>
          <w:sz w:val="26"/>
          <w:szCs w:val="26"/>
          <w:lang w:eastAsia="en-GB"/>
        </w:rPr>
        <w:t>.</w:t>
      </w:r>
      <w:r>
        <w:rPr>
          <w:sz w:val="26"/>
          <w:szCs w:val="26"/>
          <w:lang w:eastAsia="en-GB"/>
        </w:rPr>
        <w:t xml:space="preserve"> </w:t>
      </w:r>
      <w:r w:rsidR="00A31025" w:rsidRPr="00AE01C0">
        <w:rPr>
          <w:sz w:val="26"/>
          <w:szCs w:val="26"/>
        </w:rPr>
        <w:t xml:space="preserve">A complaint </w:t>
      </w:r>
      <w:r>
        <w:rPr>
          <w:sz w:val="26"/>
          <w:szCs w:val="26"/>
        </w:rPr>
        <w:t xml:space="preserve">on the issue </w:t>
      </w:r>
      <w:r w:rsidR="00A31025" w:rsidRPr="00AE01C0">
        <w:rPr>
          <w:sz w:val="26"/>
          <w:szCs w:val="26"/>
        </w:rPr>
        <w:t xml:space="preserve">has been brought against the Czech Republic under the collective complaints procedure of the European Committee of Social Rights </w:t>
      </w:r>
      <w:r>
        <w:rPr>
          <w:sz w:val="26"/>
          <w:szCs w:val="26"/>
        </w:rPr>
        <w:t>(see para. 3.4).</w:t>
      </w:r>
    </w:p>
    <w:p w:rsidR="00A31025" w:rsidRPr="00AE01C0" w:rsidRDefault="001731CC" w:rsidP="00AE01C0">
      <w:pPr>
        <w:spacing w:after="120"/>
        <w:ind w:left="482" w:hanging="482"/>
        <w:rPr>
          <w:sz w:val="26"/>
          <w:szCs w:val="26"/>
          <w:lang w:val="en-US"/>
        </w:rPr>
      </w:pPr>
      <w:r w:rsidRPr="00AE01C0">
        <w:rPr>
          <w:rFonts w:eastAsia="Calibri"/>
          <w:sz w:val="26"/>
          <w:szCs w:val="26"/>
          <w:lang w:eastAsia="en-GB"/>
        </w:rPr>
        <w:t xml:space="preserve">2.4 </w:t>
      </w:r>
      <w:r w:rsidR="00CF1ADA" w:rsidRPr="00AE01C0">
        <w:rPr>
          <w:rFonts w:eastAsia="Calibri"/>
          <w:i/>
          <w:sz w:val="26"/>
          <w:szCs w:val="26"/>
          <w:lang w:eastAsia="en-GB"/>
        </w:rPr>
        <w:t>Alternative care settings (</w:t>
      </w:r>
      <w:r w:rsidR="00AE01C0">
        <w:rPr>
          <w:rFonts w:eastAsia="Calibri"/>
          <w:i/>
          <w:sz w:val="26"/>
          <w:szCs w:val="26"/>
          <w:u w:val="single"/>
          <w:lang w:eastAsia="en-GB"/>
        </w:rPr>
        <w:t xml:space="preserve">partial </w:t>
      </w:r>
      <w:r w:rsidR="00CF1ADA" w:rsidRPr="00AE01C0">
        <w:rPr>
          <w:rFonts w:eastAsia="Calibri"/>
          <w:i/>
          <w:sz w:val="26"/>
          <w:szCs w:val="26"/>
          <w:u w:val="single"/>
          <w:lang w:eastAsia="en-GB"/>
        </w:rPr>
        <w:t>prohibition</w:t>
      </w:r>
      <w:r w:rsidR="00CF1ADA" w:rsidRPr="00AE01C0">
        <w:rPr>
          <w:rFonts w:eastAsia="Calibri"/>
          <w:i/>
          <w:sz w:val="26"/>
          <w:szCs w:val="26"/>
          <w:lang w:eastAsia="en-GB"/>
        </w:rPr>
        <w:t xml:space="preserve">): </w:t>
      </w:r>
      <w:r w:rsidR="00A31025" w:rsidRPr="00AE01C0">
        <w:rPr>
          <w:sz w:val="26"/>
          <w:szCs w:val="26"/>
        </w:rPr>
        <w:t>Corporal punishment is unlawful in institutions under the t</w:t>
      </w:r>
      <w:r w:rsidR="00A31025" w:rsidRPr="00AE01C0">
        <w:rPr>
          <w:sz w:val="26"/>
          <w:szCs w:val="26"/>
          <w:lang w:val="en-US"/>
        </w:rPr>
        <w:t xml:space="preserve">he Act on Institutional Care No.102 2002 (as amended 2005), which specifies the permitted means of correction and does not include corporal punishment, though does not explicitly prohibit it. </w:t>
      </w:r>
      <w:r w:rsidR="00AE01C0">
        <w:rPr>
          <w:sz w:val="26"/>
          <w:szCs w:val="26"/>
          <w:lang w:val="en-US"/>
        </w:rPr>
        <w:t>But corporal punishment</w:t>
      </w:r>
      <w:r w:rsidR="00A31025" w:rsidRPr="00AE01C0">
        <w:rPr>
          <w:sz w:val="26"/>
          <w:szCs w:val="26"/>
          <w:lang w:val="en-US"/>
        </w:rPr>
        <w:t xml:space="preserve"> is lawful in non-institutional forms of care.</w:t>
      </w:r>
    </w:p>
    <w:p w:rsidR="00A31025" w:rsidRPr="00AE01C0" w:rsidRDefault="001731CC" w:rsidP="00AE01C0">
      <w:pPr>
        <w:spacing w:after="120"/>
        <w:ind w:left="482" w:hanging="482"/>
        <w:rPr>
          <w:sz w:val="26"/>
          <w:szCs w:val="26"/>
          <w:lang w:val="en-US"/>
        </w:rPr>
      </w:pPr>
      <w:r w:rsidRPr="00AE01C0">
        <w:rPr>
          <w:rFonts w:eastAsia="Calibri"/>
          <w:sz w:val="26"/>
          <w:szCs w:val="26"/>
          <w:lang w:eastAsia="en-GB"/>
        </w:rPr>
        <w:t xml:space="preserve">2.5 </w:t>
      </w:r>
      <w:r w:rsidR="00CF1ADA" w:rsidRPr="00AE01C0">
        <w:rPr>
          <w:rFonts w:eastAsia="Calibri"/>
          <w:i/>
          <w:sz w:val="26"/>
          <w:szCs w:val="26"/>
          <w:lang w:eastAsia="en-GB"/>
        </w:rPr>
        <w:t>Day care (</w:t>
      </w:r>
      <w:r w:rsidR="00AE01C0">
        <w:rPr>
          <w:rFonts w:eastAsia="Calibri"/>
          <w:i/>
          <w:sz w:val="26"/>
          <w:szCs w:val="26"/>
          <w:u w:val="single"/>
          <w:lang w:eastAsia="en-GB"/>
        </w:rPr>
        <w:t xml:space="preserve">partial </w:t>
      </w:r>
      <w:r w:rsidR="00CF1ADA" w:rsidRPr="00AE01C0">
        <w:rPr>
          <w:rFonts w:eastAsia="Calibri"/>
          <w:i/>
          <w:sz w:val="26"/>
          <w:szCs w:val="26"/>
          <w:u w:val="single"/>
          <w:lang w:eastAsia="en-GB"/>
        </w:rPr>
        <w:t>prohibition</w:t>
      </w:r>
      <w:r w:rsidR="00CF1ADA" w:rsidRPr="00AE01C0">
        <w:rPr>
          <w:rFonts w:eastAsia="Calibri"/>
          <w:i/>
          <w:sz w:val="26"/>
          <w:szCs w:val="26"/>
          <w:lang w:eastAsia="en-GB"/>
        </w:rPr>
        <w:t xml:space="preserve">): </w:t>
      </w:r>
      <w:bookmarkEnd w:id="3"/>
      <w:bookmarkEnd w:id="4"/>
      <w:r w:rsidR="00A31025" w:rsidRPr="00AE01C0">
        <w:rPr>
          <w:sz w:val="26"/>
          <w:szCs w:val="26"/>
          <w:lang w:val="en-US"/>
        </w:rPr>
        <w:t xml:space="preserve">Corporal punishment is prohibited in preschool provision in article 31 of the Education Act (see </w:t>
      </w:r>
      <w:r w:rsidR="00AE01C0">
        <w:rPr>
          <w:sz w:val="26"/>
          <w:szCs w:val="26"/>
          <w:lang w:val="en-US"/>
        </w:rPr>
        <w:t>para. 2.6</w:t>
      </w:r>
      <w:r w:rsidR="00A31025" w:rsidRPr="00AE01C0">
        <w:rPr>
          <w:sz w:val="26"/>
          <w:szCs w:val="26"/>
          <w:lang w:val="en-US"/>
        </w:rPr>
        <w:t>)</w:t>
      </w:r>
      <w:r w:rsidR="00AE01C0">
        <w:rPr>
          <w:sz w:val="26"/>
          <w:szCs w:val="26"/>
          <w:lang w:val="en-US"/>
        </w:rPr>
        <w:t xml:space="preserve">, but it </w:t>
      </w:r>
      <w:r w:rsidR="00A31025" w:rsidRPr="00AE01C0">
        <w:rPr>
          <w:sz w:val="26"/>
          <w:szCs w:val="26"/>
          <w:lang w:val="en-US"/>
        </w:rPr>
        <w:t>is lawful in other early childhood care and in day care for older children.</w:t>
      </w:r>
    </w:p>
    <w:p w:rsidR="00A31025" w:rsidRPr="00AE01C0" w:rsidRDefault="001B2EF0" w:rsidP="00AE01C0">
      <w:pPr>
        <w:spacing w:after="120"/>
        <w:ind w:left="482" w:hanging="482"/>
        <w:rPr>
          <w:sz w:val="26"/>
          <w:szCs w:val="26"/>
        </w:rPr>
      </w:pPr>
      <w:r w:rsidRPr="00AE01C0">
        <w:rPr>
          <w:sz w:val="26"/>
          <w:szCs w:val="26"/>
        </w:rPr>
        <w:t>2.</w:t>
      </w:r>
      <w:r w:rsidR="001731CC" w:rsidRPr="00AE01C0">
        <w:rPr>
          <w:sz w:val="26"/>
          <w:szCs w:val="26"/>
        </w:rPr>
        <w:t>6</w:t>
      </w:r>
      <w:r w:rsidR="003F0720" w:rsidRPr="00AE01C0">
        <w:rPr>
          <w:sz w:val="26"/>
          <w:szCs w:val="26"/>
        </w:rPr>
        <w:t xml:space="preserve"> </w:t>
      </w:r>
      <w:r w:rsidR="003F0720" w:rsidRPr="00AE01C0">
        <w:rPr>
          <w:i/>
          <w:sz w:val="26"/>
          <w:szCs w:val="26"/>
        </w:rPr>
        <w:t>Schools (</w:t>
      </w:r>
      <w:r w:rsidR="00AE01C0">
        <w:rPr>
          <w:i/>
          <w:sz w:val="26"/>
          <w:szCs w:val="26"/>
          <w:u w:val="single"/>
        </w:rPr>
        <w:t>prohibited</w:t>
      </w:r>
      <w:r w:rsidR="003F0720" w:rsidRPr="00AE01C0">
        <w:rPr>
          <w:i/>
          <w:sz w:val="26"/>
          <w:szCs w:val="26"/>
        </w:rPr>
        <w:t>):</w:t>
      </w:r>
      <w:r w:rsidR="0041585F" w:rsidRPr="00AE01C0">
        <w:rPr>
          <w:i/>
          <w:sz w:val="26"/>
          <w:szCs w:val="26"/>
        </w:rPr>
        <w:t xml:space="preserve"> </w:t>
      </w:r>
      <w:r w:rsidR="00A31025" w:rsidRPr="00AE01C0">
        <w:rPr>
          <w:sz w:val="26"/>
          <w:szCs w:val="26"/>
        </w:rPr>
        <w:t>Corporal punishment in schools is unlawful under article 31 of the Education Act, which states that “specially 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rsidR="00A31025" w:rsidRPr="00AE01C0" w:rsidRDefault="001B2EF0" w:rsidP="00AE01C0">
      <w:pPr>
        <w:spacing w:after="120"/>
        <w:ind w:left="482" w:hanging="482"/>
        <w:rPr>
          <w:sz w:val="26"/>
          <w:szCs w:val="26"/>
        </w:rPr>
      </w:pPr>
      <w:r w:rsidRPr="00AE01C0">
        <w:rPr>
          <w:sz w:val="26"/>
          <w:szCs w:val="26"/>
        </w:rPr>
        <w:t>2</w:t>
      </w:r>
      <w:r w:rsidR="001731CC" w:rsidRPr="00AE01C0">
        <w:rPr>
          <w:sz w:val="26"/>
          <w:szCs w:val="26"/>
        </w:rPr>
        <w:t>.7</w:t>
      </w:r>
      <w:r w:rsidR="003F0720" w:rsidRPr="00AE01C0">
        <w:rPr>
          <w:sz w:val="26"/>
          <w:szCs w:val="26"/>
        </w:rPr>
        <w:t xml:space="preserve"> </w:t>
      </w:r>
      <w:r w:rsidR="003F0720" w:rsidRPr="00AE01C0">
        <w:rPr>
          <w:i/>
          <w:sz w:val="26"/>
          <w:szCs w:val="26"/>
        </w:rPr>
        <w:t xml:space="preserve">Penal </w:t>
      </w:r>
      <w:r w:rsidR="00CF1ADA" w:rsidRPr="00AE01C0">
        <w:rPr>
          <w:i/>
          <w:sz w:val="26"/>
          <w:szCs w:val="26"/>
        </w:rPr>
        <w:t xml:space="preserve">institutions </w:t>
      </w:r>
      <w:r w:rsidR="003F0720" w:rsidRPr="00AE01C0">
        <w:rPr>
          <w:i/>
          <w:sz w:val="26"/>
          <w:szCs w:val="26"/>
        </w:rPr>
        <w:t>(</w:t>
      </w:r>
      <w:r w:rsidR="00CF1ADA" w:rsidRPr="00AE01C0">
        <w:rPr>
          <w:i/>
          <w:sz w:val="26"/>
          <w:szCs w:val="26"/>
          <w:u w:val="single"/>
        </w:rPr>
        <w:t>no explicit prohibition</w:t>
      </w:r>
      <w:r w:rsidR="003F0720" w:rsidRPr="00AE01C0">
        <w:rPr>
          <w:i/>
          <w:sz w:val="26"/>
          <w:szCs w:val="26"/>
        </w:rPr>
        <w:t xml:space="preserve">): </w:t>
      </w:r>
      <w:r w:rsidR="00A31025" w:rsidRPr="00AE01C0">
        <w:rPr>
          <w:sz w:val="26"/>
          <w:szCs w:val="26"/>
        </w:rPr>
        <w:t>Corporal punishment is considered unlawful as a disciplinary measure in penal institutions but there is no explicit prohibition. There is no provision for corporal punishment in the Imprisonment Act 1999.</w:t>
      </w:r>
    </w:p>
    <w:p w:rsidR="00A31025" w:rsidRPr="00AE01C0" w:rsidRDefault="001B2EF0" w:rsidP="00AE01C0">
      <w:pPr>
        <w:spacing w:after="120"/>
        <w:ind w:left="482" w:hanging="482"/>
        <w:rPr>
          <w:b/>
          <w:sz w:val="26"/>
          <w:szCs w:val="26"/>
        </w:rPr>
      </w:pPr>
      <w:r w:rsidRPr="00AE01C0">
        <w:rPr>
          <w:sz w:val="26"/>
          <w:szCs w:val="26"/>
        </w:rPr>
        <w:t>2.</w:t>
      </w:r>
      <w:r w:rsidR="001731CC" w:rsidRPr="00AE01C0">
        <w:rPr>
          <w:sz w:val="26"/>
          <w:szCs w:val="26"/>
        </w:rPr>
        <w:t>8</w:t>
      </w:r>
      <w:r w:rsidR="003F0720" w:rsidRPr="00AE01C0">
        <w:rPr>
          <w:sz w:val="26"/>
          <w:szCs w:val="26"/>
        </w:rPr>
        <w:t xml:space="preserve"> </w:t>
      </w:r>
      <w:r w:rsidR="00CF1ADA" w:rsidRPr="00AE01C0">
        <w:rPr>
          <w:i/>
          <w:sz w:val="26"/>
          <w:szCs w:val="26"/>
        </w:rPr>
        <w:t>Sentence for crime</w:t>
      </w:r>
      <w:r w:rsidR="003F0720" w:rsidRPr="00AE01C0">
        <w:rPr>
          <w:i/>
          <w:sz w:val="26"/>
          <w:szCs w:val="26"/>
        </w:rPr>
        <w:t xml:space="preserve"> (</w:t>
      </w:r>
      <w:r w:rsidR="00FF67EA" w:rsidRPr="00AE01C0">
        <w:rPr>
          <w:i/>
          <w:sz w:val="26"/>
          <w:szCs w:val="26"/>
          <w:u w:val="single"/>
        </w:rPr>
        <w:t>unlawful</w:t>
      </w:r>
      <w:r w:rsidR="003F0720" w:rsidRPr="00AE01C0">
        <w:rPr>
          <w:i/>
          <w:sz w:val="26"/>
          <w:szCs w:val="26"/>
        </w:rPr>
        <w:t xml:space="preserve">): </w:t>
      </w:r>
      <w:r w:rsidR="00AE01C0">
        <w:rPr>
          <w:sz w:val="26"/>
          <w:szCs w:val="26"/>
        </w:rPr>
        <w:t>There is no provision for judicial corporal punishment in criminal law.</w:t>
      </w:r>
    </w:p>
    <w:p w:rsidR="00892F1D" w:rsidRPr="00AE01C0" w:rsidRDefault="00892F1D" w:rsidP="00AE01C0">
      <w:pPr>
        <w:adjustRightInd w:val="0"/>
        <w:spacing w:after="120"/>
        <w:ind w:left="482" w:hanging="482"/>
        <w:rPr>
          <w:b/>
          <w:sz w:val="26"/>
          <w:szCs w:val="26"/>
          <w:u w:val="single"/>
        </w:rPr>
      </w:pPr>
    </w:p>
    <w:bookmarkEnd w:id="1"/>
    <w:bookmarkEnd w:id="2"/>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A31025" w:rsidRPr="00AE01C0"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5" w:name="OLE_LINK16"/>
      <w:bookmarkStart w:id="6" w:name="OLE_LINK17"/>
      <w:r w:rsidRPr="00AE01C0">
        <w:rPr>
          <w:sz w:val="26"/>
          <w:szCs w:val="26"/>
        </w:rPr>
        <w:t>3</w:t>
      </w:r>
      <w:r w:rsidR="003F0720" w:rsidRPr="00AE01C0">
        <w:rPr>
          <w:sz w:val="26"/>
          <w:szCs w:val="26"/>
        </w:rPr>
        <w:t xml:space="preserve">.1 </w:t>
      </w:r>
      <w:r w:rsidRPr="00AE01C0">
        <w:rPr>
          <w:i/>
          <w:sz w:val="26"/>
          <w:szCs w:val="26"/>
        </w:rPr>
        <w:t>CRC:</w:t>
      </w:r>
      <w:r w:rsidRPr="00AE01C0">
        <w:rPr>
          <w:sz w:val="26"/>
          <w:szCs w:val="26"/>
        </w:rPr>
        <w:t xml:space="preserve"> </w:t>
      </w:r>
      <w:r w:rsidR="001B2EF0" w:rsidRPr="00AE01C0">
        <w:rPr>
          <w:sz w:val="26"/>
          <w:szCs w:val="26"/>
        </w:rPr>
        <w:t xml:space="preserve">The Committee on the Rights of the Child </w:t>
      </w:r>
      <w:r w:rsidR="00CF1ADA" w:rsidRPr="00AE01C0">
        <w:rPr>
          <w:sz w:val="26"/>
          <w:szCs w:val="26"/>
        </w:rPr>
        <w:t>first</w:t>
      </w:r>
      <w:r w:rsidR="00A31025" w:rsidRPr="00AE01C0">
        <w:rPr>
          <w:sz w:val="26"/>
          <w:szCs w:val="26"/>
        </w:rPr>
        <w:t xml:space="preserve"> expressed concern about corporal punishment of children in the Czech Republic, and made recommendations to eliminate it, in 1997.</w:t>
      </w:r>
      <w:r w:rsidR="00A31025" w:rsidRPr="00AE01C0">
        <w:rPr>
          <w:rStyle w:val="FootnoteReference"/>
          <w:sz w:val="26"/>
          <w:szCs w:val="26"/>
        </w:rPr>
        <w:footnoteReference w:id="7"/>
      </w:r>
      <w:r w:rsidR="00A31025" w:rsidRPr="00AE01C0">
        <w:rPr>
          <w:sz w:val="26"/>
          <w:szCs w:val="26"/>
        </w:rPr>
        <w:t xml:space="preserve"> In 2003 and again in 2011, the Committee recommended that corporal punishment be prohibited in all settings, including the home.</w:t>
      </w:r>
      <w:r w:rsidR="00A31025" w:rsidRPr="00AE01C0">
        <w:rPr>
          <w:rStyle w:val="FootnoteReference"/>
          <w:sz w:val="26"/>
          <w:szCs w:val="26"/>
        </w:rPr>
        <w:footnoteReference w:id="8"/>
      </w:r>
    </w:p>
    <w:p w:rsidR="00A31025" w:rsidRPr="00AE01C0" w:rsidRDefault="00A31025"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AE01C0">
        <w:rPr>
          <w:sz w:val="26"/>
          <w:szCs w:val="26"/>
        </w:rPr>
        <w:t xml:space="preserve">3.2 </w:t>
      </w:r>
      <w:r w:rsidRPr="00AE01C0">
        <w:rPr>
          <w:i/>
          <w:sz w:val="26"/>
          <w:szCs w:val="26"/>
        </w:rPr>
        <w:t>CAT:</w:t>
      </w:r>
      <w:r w:rsidRPr="00AE01C0">
        <w:rPr>
          <w:sz w:val="26"/>
          <w:szCs w:val="26"/>
        </w:rPr>
        <w:t xml:space="preserve"> In 2012, the Committee Against Torture recommended that legislation in the Czech Republic be amended to explicitly prohibit corporal punishment of children in all settings.</w:t>
      </w:r>
      <w:r w:rsidRPr="00AE01C0">
        <w:rPr>
          <w:rStyle w:val="FootnoteReference"/>
          <w:sz w:val="26"/>
          <w:szCs w:val="26"/>
        </w:rPr>
        <w:footnoteReference w:id="9"/>
      </w:r>
    </w:p>
    <w:p w:rsidR="00A31025" w:rsidRPr="00AE01C0" w:rsidRDefault="00A31025"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AE01C0">
        <w:rPr>
          <w:sz w:val="26"/>
          <w:szCs w:val="26"/>
        </w:rPr>
        <w:t xml:space="preserve">3.3 </w:t>
      </w:r>
      <w:r w:rsidRPr="00AE01C0">
        <w:rPr>
          <w:i/>
          <w:sz w:val="26"/>
          <w:szCs w:val="26"/>
        </w:rPr>
        <w:t>HRC:</w:t>
      </w:r>
      <w:r w:rsidRPr="00AE01C0">
        <w:rPr>
          <w:sz w:val="26"/>
          <w:szCs w:val="26"/>
        </w:rPr>
        <w:t xml:space="preserve"> In 2013, the Human Rights Committee expressed concern at the legality of corporal punishment in the home and public institutions in the Czech Republic and recommended that steps be taken to end it in all settings.</w:t>
      </w:r>
      <w:r w:rsidRPr="00AE01C0">
        <w:rPr>
          <w:rStyle w:val="FootnoteReference"/>
          <w:sz w:val="26"/>
          <w:szCs w:val="26"/>
        </w:rPr>
        <w:footnoteReference w:id="10"/>
      </w:r>
    </w:p>
    <w:p w:rsidR="00AE01C0" w:rsidRPr="00AE01C0" w:rsidRDefault="00CF1ADA" w:rsidP="00AE01C0">
      <w:pPr>
        <w:autoSpaceDE w:val="0"/>
        <w:autoSpaceDN w:val="0"/>
        <w:adjustRightInd w:val="0"/>
        <w:spacing w:after="120"/>
        <w:ind w:left="482" w:hanging="482"/>
        <w:rPr>
          <w:sz w:val="26"/>
          <w:szCs w:val="26"/>
        </w:rPr>
      </w:pPr>
      <w:r w:rsidRPr="00AE01C0">
        <w:rPr>
          <w:sz w:val="26"/>
          <w:szCs w:val="26"/>
        </w:rPr>
        <w:lastRenderedPageBreak/>
        <w:t>3.</w:t>
      </w:r>
      <w:r w:rsidR="00AE01C0">
        <w:rPr>
          <w:sz w:val="26"/>
          <w:szCs w:val="26"/>
        </w:rPr>
        <w:t>4</w:t>
      </w:r>
      <w:r w:rsidRPr="00AE01C0">
        <w:rPr>
          <w:sz w:val="26"/>
          <w:szCs w:val="26"/>
        </w:rPr>
        <w:t xml:space="preserve"> </w:t>
      </w:r>
      <w:r w:rsidRPr="00AE01C0">
        <w:rPr>
          <w:i/>
          <w:sz w:val="26"/>
          <w:szCs w:val="26"/>
        </w:rPr>
        <w:t>ECSR:</w:t>
      </w:r>
      <w:r w:rsidR="00A31025" w:rsidRPr="00AE01C0">
        <w:rPr>
          <w:sz w:val="26"/>
          <w:szCs w:val="26"/>
        </w:rPr>
        <w:t xml:space="preserve"> In 2005 and again in 2012</w:t>
      </w:r>
      <w:r w:rsidRPr="00AE01C0">
        <w:rPr>
          <w:sz w:val="26"/>
          <w:szCs w:val="26"/>
        </w:rPr>
        <w:t xml:space="preserve">, the European Committee of Social Rights concluded that the situation in Armenia is not in conformity with the Revised Social Charter because corporal punishment of children in the home </w:t>
      </w:r>
      <w:r w:rsidR="00AE01C0">
        <w:rPr>
          <w:sz w:val="26"/>
          <w:szCs w:val="26"/>
        </w:rPr>
        <w:t xml:space="preserve">and in institutions </w:t>
      </w:r>
      <w:r w:rsidRPr="00AE01C0">
        <w:rPr>
          <w:sz w:val="26"/>
          <w:szCs w:val="26"/>
        </w:rPr>
        <w:t>is not explicitly prohibited.</w:t>
      </w:r>
      <w:r w:rsidR="00A31025" w:rsidRPr="00AE01C0">
        <w:rPr>
          <w:rStyle w:val="FootnoteReference"/>
          <w:sz w:val="26"/>
          <w:szCs w:val="26"/>
        </w:rPr>
        <w:footnoteReference w:id="11"/>
      </w:r>
      <w:r w:rsidRPr="00AE01C0">
        <w:rPr>
          <w:sz w:val="26"/>
          <w:szCs w:val="26"/>
        </w:rPr>
        <w:t xml:space="preserve"> </w:t>
      </w:r>
      <w:r w:rsidR="00AE01C0" w:rsidRPr="00AE01C0">
        <w:rPr>
          <w:sz w:val="26"/>
          <w:szCs w:val="26"/>
        </w:rPr>
        <w:t>A complaint has been brought against the Czech Republic by the Association for the Protection of All Children (APPROACH) Ltd, under the collective complaints procedure of the Europ</w:t>
      </w:r>
      <w:r w:rsidR="00AE01C0">
        <w:rPr>
          <w:sz w:val="26"/>
          <w:szCs w:val="26"/>
        </w:rPr>
        <w:t>ean Committee of Social Rights</w:t>
      </w:r>
      <w:r w:rsidR="00AE01C0" w:rsidRPr="00AE01C0">
        <w:rPr>
          <w:sz w:val="26"/>
          <w:szCs w:val="26"/>
        </w:rPr>
        <w:t>.</w:t>
      </w:r>
      <w:r w:rsidR="00AE01C0">
        <w:rPr>
          <w:rStyle w:val="FootnoteReference"/>
          <w:sz w:val="26"/>
          <w:szCs w:val="26"/>
        </w:rPr>
        <w:footnoteReference w:id="12"/>
      </w:r>
      <w:r w:rsidR="00AE01C0" w:rsidRPr="00AE01C0">
        <w:rPr>
          <w:sz w:val="26"/>
          <w:szCs w:val="26"/>
        </w:rPr>
        <w:t xml:space="preserve"> The complaint alleges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w:t>
      </w:r>
      <w:r w:rsidR="00AE01C0">
        <w:rPr>
          <w:sz w:val="26"/>
          <w:szCs w:val="26"/>
        </w:rPr>
        <w:t xml:space="preserve"> and </w:t>
      </w:r>
      <w:r w:rsidR="00AE01C0" w:rsidRPr="00AE01C0">
        <w:rPr>
          <w:sz w:val="26"/>
          <w:szCs w:val="26"/>
        </w:rPr>
        <w:t>declared admissible on 2 July 2013.</w:t>
      </w:r>
    </w:p>
    <w:p w:rsidR="00CF1ADA" w:rsidRPr="00AE01C0" w:rsidRDefault="00FF67EA" w:rsidP="00AE01C0">
      <w:pPr>
        <w:spacing w:after="120"/>
        <w:ind w:left="482" w:hanging="482"/>
        <w:rPr>
          <w:sz w:val="26"/>
          <w:szCs w:val="26"/>
          <w:lang w:eastAsia="en-GB"/>
        </w:rPr>
      </w:pPr>
      <w:r w:rsidRPr="00AE01C0">
        <w:rPr>
          <w:sz w:val="26"/>
          <w:szCs w:val="26"/>
        </w:rPr>
        <w:t>3</w:t>
      </w:r>
      <w:r w:rsidR="003F0720" w:rsidRPr="00AE01C0">
        <w:rPr>
          <w:sz w:val="26"/>
          <w:szCs w:val="26"/>
        </w:rPr>
        <w:t>.</w:t>
      </w:r>
      <w:r w:rsidR="00AE01C0">
        <w:rPr>
          <w:sz w:val="26"/>
          <w:szCs w:val="26"/>
        </w:rPr>
        <w:t>5</w:t>
      </w:r>
      <w:r w:rsidR="003F0720" w:rsidRPr="00AE01C0">
        <w:rPr>
          <w:sz w:val="26"/>
          <w:szCs w:val="26"/>
        </w:rPr>
        <w:t xml:space="preserve"> </w:t>
      </w:r>
      <w:r w:rsidRPr="00AE01C0">
        <w:rPr>
          <w:i/>
          <w:sz w:val="26"/>
          <w:szCs w:val="26"/>
        </w:rPr>
        <w:t>UPR:</w:t>
      </w:r>
      <w:r w:rsidRPr="00AE01C0">
        <w:rPr>
          <w:sz w:val="26"/>
          <w:szCs w:val="26"/>
        </w:rPr>
        <w:t xml:space="preserve"> </w:t>
      </w:r>
      <w:r w:rsidR="00A31025" w:rsidRPr="00AE01C0">
        <w:rPr>
          <w:sz w:val="26"/>
          <w:szCs w:val="26"/>
          <w:lang w:eastAsia="en-GB"/>
        </w:rPr>
        <w:t>During the UPR of the Czech Republic in 2012, recommendations were made to explicitly prohibit corporal punishment in all settings.</w:t>
      </w:r>
      <w:r w:rsidR="00A31025" w:rsidRPr="00AE01C0">
        <w:rPr>
          <w:rStyle w:val="FootnoteReference"/>
          <w:sz w:val="26"/>
          <w:szCs w:val="26"/>
          <w:lang w:eastAsia="en-GB"/>
        </w:rPr>
        <w:footnoteReference w:id="13"/>
      </w:r>
      <w:r w:rsidR="00AE01C0" w:rsidRPr="00AE01C0">
        <w:rPr>
          <w:sz w:val="26"/>
          <w:szCs w:val="26"/>
          <w:lang w:eastAsia="en-GB"/>
        </w:rPr>
        <w:t xml:space="preserve"> The Government rejected the recommendations, misleadingly asserting that the law already prohibits all corporal punishment.</w:t>
      </w:r>
      <w:r w:rsidR="00AE01C0">
        <w:rPr>
          <w:rStyle w:val="FootnoteReference"/>
          <w:sz w:val="26"/>
          <w:szCs w:val="26"/>
          <w:lang w:eastAsia="en-GB"/>
        </w:rPr>
        <w:footnoteReference w:id="14"/>
      </w:r>
    </w:p>
    <w:p w:rsidR="00DD0BFF" w:rsidRPr="00AE01C0"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963AB9"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5"/>
      <w:bookmarkEnd w:id="6"/>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AB9" w:rsidRDefault="00963AB9">
      <w:r>
        <w:separator/>
      </w:r>
    </w:p>
  </w:endnote>
  <w:endnote w:type="continuationSeparator" w:id="0">
    <w:p w:rsidR="00963AB9" w:rsidRDefault="0096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AB9" w:rsidRDefault="00963AB9">
      <w:r>
        <w:separator/>
      </w:r>
    </w:p>
  </w:footnote>
  <w:footnote w:type="continuationSeparator" w:id="0">
    <w:p w:rsidR="00963AB9" w:rsidRDefault="00963AB9">
      <w:r>
        <w:continuationSeparator/>
      </w:r>
    </w:p>
  </w:footnote>
  <w:footnote w:id="1">
    <w:p w:rsidR="00CF1ADA" w:rsidRPr="00AE01C0" w:rsidRDefault="00CF1ADA">
      <w:pPr>
        <w:pStyle w:val="FootnoteText"/>
        <w:rPr>
          <w:lang w:val="en-GB"/>
        </w:rPr>
      </w:pPr>
      <w:r w:rsidRPr="00AE01C0">
        <w:rPr>
          <w:rStyle w:val="FootnoteReference"/>
        </w:rPr>
        <w:footnoteRef/>
      </w:r>
      <w:r w:rsidRPr="00AE01C0">
        <w:t xml:space="preserve"> </w:t>
      </w:r>
      <w:r w:rsidRPr="00AE01C0">
        <w:rPr>
          <w:lang w:val="en-GB"/>
        </w:rPr>
        <w:t>26 February 2013, E/C.12/ARM/2-3, Second/third state party report</w:t>
      </w:r>
    </w:p>
  </w:footnote>
  <w:footnote w:id="2">
    <w:p w:rsidR="00AE01C0" w:rsidRPr="00AE01C0" w:rsidRDefault="00AE01C0">
      <w:pPr>
        <w:pStyle w:val="FootnoteText"/>
        <w:rPr>
          <w:lang w:val="en-GB"/>
        </w:rPr>
      </w:pPr>
      <w:r w:rsidRPr="00AE01C0">
        <w:rPr>
          <w:rStyle w:val="FootnoteReference"/>
        </w:rPr>
        <w:footnoteRef/>
      </w:r>
      <w:r w:rsidRPr="00AE01C0">
        <w:t xml:space="preserve"> </w:t>
      </w:r>
      <w:r w:rsidRPr="00AE01C0">
        <w:t>20 April 2010, CRC/C/CZE/3-4, para. 133</w:t>
      </w:r>
    </w:p>
  </w:footnote>
  <w:footnote w:id="3">
    <w:p w:rsidR="00AE01C0" w:rsidRPr="00AE01C0" w:rsidRDefault="00AE01C0">
      <w:pPr>
        <w:pStyle w:val="FootnoteText"/>
        <w:rPr>
          <w:lang w:val="en-GB"/>
        </w:rPr>
      </w:pPr>
      <w:r w:rsidRPr="00AE01C0">
        <w:rPr>
          <w:rStyle w:val="FootnoteReference"/>
        </w:rPr>
        <w:footnoteRef/>
      </w:r>
      <w:r w:rsidRPr="00AE01C0">
        <w:t xml:space="preserve"> </w:t>
      </w:r>
      <w:r w:rsidRPr="00AE01C0">
        <w:t xml:space="preserve">10 May 2011, CRC/C/CZE/Q/3-4/Add.1, </w:t>
      </w:r>
      <w:proofErr w:type="spellStart"/>
      <w:r w:rsidRPr="00AE01C0">
        <w:t>Reply</w:t>
      </w:r>
      <w:proofErr w:type="spellEnd"/>
      <w:r w:rsidRPr="00AE01C0">
        <w:t xml:space="preserve"> to </w:t>
      </w:r>
      <w:proofErr w:type="spellStart"/>
      <w:r w:rsidRPr="00AE01C0">
        <w:t>list</w:t>
      </w:r>
      <w:proofErr w:type="spellEnd"/>
      <w:r w:rsidRPr="00AE01C0">
        <w:t xml:space="preserve"> of issues (CRC), Q7</w:t>
      </w:r>
    </w:p>
  </w:footnote>
  <w:footnote w:id="4">
    <w:p w:rsidR="00AE01C0" w:rsidRPr="00AE01C0" w:rsidRDefault="00AE01C0">
      <w:pPr>
        <w:pStyle w:val="FootnoteText"/>
        <w:rPr>
          <w:lang w:val="en-GB"/>
        </w:rPr>
      </w:pPr>
      <w:r w:rsidRPr="00AE01C0">
        <w:rPr>
          <w:rStyle w:val="FootnoteReference"/>
        </w:rPr>
        <w:footnoteRef/>
      </w:r>
      <w:r w:rsidRPr="00AE01C0">
        <w:t xml:space="preserve"> </w:t>
      </w:r>
      <w:r w:rsidRPr="00AE01C0">
        <w:t xml:space="preserve">9 March 2012, CAT/C/CZE/Q/4-5/Add.1, </w:t>
      </w:r>
      <w:proofErr w:type="spellStart"/>
      <w:r w:rsidRPr="00AE01C0">
        <w:t>Reply</w:t>
      </w:r>
      <w:proofErr w:type="spellEnd"/>
      <w:r w:rsidRPr="00AE01C0">
        <w:t xml:space="preserve"> to </w:t>
      </w:r>
      <w:proofErr w:type="spellStart"/>
      <w:r w:rsidRPr="00AE01C0">
        <w:t>list</w:t>
      </w:r>
      <w:proofErr w:type="spellEnd"/>
      <w:r w:rsidRPr="00AE01C0">
        <w:t xml:space="preserve"> of issues (CAT), para. 106; 27 </w:t>
      </w:r>
      <w:proofErr w:type="spellStart"/>
      <w:r w:rsidRPr="00AE01C0">
        <w:t>June</w:t>
      </w:r>
      <w:proofErr w:type="spellEnd"/>
      <w:r w:rsidRPr="00AE01C0">
        <w:t xml:space="preserve"> 2013, CCPR/C/CZE/Q/3/Add.1, </w:t>
      </w:r>
      <w:proofErr w:type="spellStart"/>
      <w:r w:rsidRPr="00AE01C0">
        <w:t>Reply</w:t>
      </w:r>
      <w:proofErr w:type="spellEnd"/>
      <w:r w:rsidRPr="00AE01C0">
        <w:t xml:space="preserve"> to </w:t>
      </w:r>
      <w:proofErr w:type="spellStart"/>
      <w:r w:rsidRPr="00AE01C0">
        <w:t>list</w:t>
      </w:r>
      <w:proofErr w:type="spellEnd"/>
      <w:r w:rsidRPr="00AE01C0">
        <w:t xml:space="preserve"> of issues (HRC), paras.77-80</w:t>
      </w:r>
    </w:p>
  </w:footnote>
  <w:footnote w:id="5">
    <w:p w:rsidR="00AE01C0" w:rsidRPr="00AE01C0" w:rsidRDefault="00AE01C0">
      <w:pPr>
        <w:pStyle w:val="FootnoteText"/>
        <w:rPr>
          <w:lang w:val="en-GB"/>
        </w:rPr>
      </w:pPr>
      <w:r w:rsidRPr="00AE01C0">
        <w:rPr>
          <w:rStyle w:val="FootnoteReference"/>
        </w:rPr>
        <w:footnoteRef/>
      </w:r>
      <w:r w:rsidRPr="00AE01C0">
        <w:t xml:space="preserve"> </w:t>
      </w:r>
      <w:r w:rsidRPr="00AE01C0">
        <w:t xml:space="preserve">27 </w:t>
      </w:r>
      <w:proofErr w:type="spellStart"/>
      <w:r w:rsidRPr="00AE01C0">
        <w:t>June</w:t>
      </w:r>
      <w:proofErr w:type="spellEnd"/>
      <w:r w:rsidRPr="00AE01C0">
        <w:t xml:space="preserve"> 2013, CCPR/C/CZE/Q/3/Add.1, </w:t>
      </w:r>
      <w:proofErr w:type="spellStart"/>
      <w:r w:rsidRPr="00AE01C0">
        <w:t>Reply</w:t>
      </w:r>
      <w:proofErr w:type="spellEnd"/>
      <w:r w:rsidRPr="00AE01C0">
        <w:t xml:space="preserve"> to </w:t>
      </w:r>
      <w:proofErr w:type="spellStart"/>
      <w:r w:rsidRPr="00AE01C0">
        <w:t>list</w:t>
      </w:r>
      <w:proofErr w:type="spellEnd"/>
      <w:r w:rsidRPr="00AE01C0">
        <w:t xml:space="preserve"> of issues (HRC), para. 82</w:t>
      </w:r>
    </w:p>
  </w:footnote>
  <w:footnote w:id="6">
    <w:p w:rsidR="00AE01C0" w:rsidRPr="00AE01C0" w:rsidRDefault="00AE01C0">
      <w:pPr>
        <w:pStyle w:val="FootnoteText"/>
        <w:rPr>
          <w:lang w:val="en-GB"/>
        </w:rPr>
      </w:pPr>
      <w:r w:rsidRPr="00AE01C0">
        <w:rPr>
          <w:rStyle w:val="FootnoteReference"/>
        </w:rPr>
        <w:footnoteRef/>
      </w:r>
      <w:r w:rsidRPr="00AE01C0">
        <w:t xml:space="preserve"> </w:t>
      </w:r>
      <w:r w:rsidRPr="00AE01C0">
        <w:t xml:space="preserve">30 May 2012, CAT/C/SR.1071, </w:t>
      </w:r>
      <w:proofErr w:type="spellStart"/>
      <w:r w:rsidRPr="00AE01C0">
        <w:t>Summary</w:t>
      </w:r>
      <w:proofErr w:type="spellEnd"/>
      <w:r w:rsidRPr="00AE01C0">
        <w:t xml:space="preserve"> record, para. 40</w:t>
      </w:r>
    </w:p>
  </w:footnote>
  <w:footnote w:id="7">
    <w:p w:rsidR="00A31025" w:rsidRPr="00AE01C0" w:rsidRDefault="00A31025">
      <w:pPr>
        <w:pStyle w:val="FootnoteText"/>
        <w:rPr>
          <w:lang w:val="en-GB"/>
        </w:rPr>
      </w:pPr>
      <w:r w:rsidRPr="00AE01C0">
        <w:rPr>
          <w:rStyle w:val="FootnoteReference"/>
        </w:rPr>
        <w:footnoteRef/>
      </w:r>
      <w:r w:rsidRPr="00AE01C0">
        <w:t xml:space="preserve"> </w:t>
      </w:r>
      <w:r w:rsidRPr="00AE01C0">
        <w:rPr>
          <w:iCs/>
        </w:rPr>
        <w:t>27 October 1997, CRC/C/15/Add.81, Concluding observations on initial report, paras. 18 and 35</w:t>
      </w:r>
    </w:p>
  </w:footnote>
  <w:footnote w:id="8">
    <w:p w:rsidR="00A31025" w:rsidRPr="00AE01C0" w:rsidRDefault="00A31025">
      <w:pPr>
        <w:pStyle w:val="FootnoteText"/>
        <w:rPr>
          <w:lang w:val="en-GB"/>
        </w:rPr>
      </w:pPr>
      <w:r w:rsidRPr="00AE01C0">
        <w:rPr>
          <w:rStyle w:val="FootnoteReference"/>
        </w:rPr>
        <w:footnoteRef/>
      </w:r>
      <w:r w:rsidRPr="00AE01C0">
        <w:t xml:space="preserve"> </w:t>
      </w:r>
      <w:r w:rsidRPr="00AE01C0">
        <w:rPr>
          <w:iCs/>
        </w:rPr>
        <w:t>18 March 2003, CRC/C/15/Add.201, Concluding observations on second report, paras. 40 and 41</w:t>
      </w:r>
      <w:r w:rsidRPr="00AE01C0">
        <w:rPr>
          <w:iCs/>
        </w:rPr>
        <w:t xml:space="preserve">; </w:t>
      </w:r>
      <w:r w:rsidRPr="00AE01C0">
        <w:rPr>
          <w:lang w:val="en-US"/>
        </w:rPr>
        <w:t>4 August 2011, CRC/C/CZE/CO/3-4, Concluding observations on third/fourth report, paras. 39, 40 and 41</w:t>
      </w:r>
    </w:p>
  </w:footnote>
  <w:footnote w:id="9">
    <w:p w:rsidR="00A31025" w:rsidRPr="00AE01C0" w:rsidRDefault="00A31025">
      <w:pPr>
        <w:pStyle w:val="FootnoteText"/>
        <w:rPr>
          <w:lang w:val="en-GB"/>
        </w:rPr>
      </w:pPr>
      <w:r w:rsidRPr="00AE01C0">
        <w:rPr>
          <w:rStyle w:val="FootnoteReference"/>
        </w:rPr>
        <w:footnoteRef/>
      </w:r>
      <w:r w:rsidRPr="00AE01C0">
        <w:t xml:space="preserve"> </w:t>
      </w:r>
      <w:r w:rsidRPr="00AE01C0">
        <w:t xml:space="preserve">13 July 2012, CAT/C/CZE/CO/4-5, Concluding observations on </w:t>
      </w:r>
      <w:proofErr w:type="spellStart"/>
      <w:r w:rsidRPr="00AE01C0">
        <w:t>fourth</w:t>
      </w:r>
      <w:proofErr w:type="spellEnd"/>
      <w:r w:rsidRPr="00AE01C0">
        <w:t>/</w:t>
      </w:r>
      <w:proofErr w:type="spellStart"/>
      <w:r w:rsidRPr="00AE01C0">
        <w:t>fifth</w:t>
      </w:r>
      <w:proofErr w:type="spellEnd"/>
      <w:r w:rsidRPr="00AE01C0">
        <w:t xml:space="preserve"> report, para. 22</w:t>
      </w:r>
    </w:p>
  </w:footnote>
  <w:footnote w:id="10">
    <w:p w:rsidR="00A31025" w:rsidRPr="00AE01C0" w:rsidRDefault="00A31025">
      <w:pPr>
        <w:pStyle w:val="FootnoteText"/>
        <w:rPr>
          <w:lang w:val="en-GB"/>
        </w:rPr>
      </w:pPr>
      <w:r w:rsidRPr="00AE01C0">
        <w:rPr>
          <w:rStyle w:val="FootnoteReference"/>
        </w:rPr>
        <w:footnoteRef/>
      </w:r>
      <w:r w:rsidRPr="00AE01C0">
        <w:t xml:space="preserve"> </w:t>
      </w:r>
      <w:r w:rsidRPr="00AE01C0">
        <w:rPr>
          <w:lang w:eastAsia="en-GB"/>
        </w:rPr>
        <w:t xml:space="preserve">[25 July 2013], CCPR/C/CZE/CO/3 </w:t>
      </w:r>
      <w:proofErr w:type="spellStart"/>
      <w:r w:rsidRPr="00AE01C0">
        <w:rPr>
          <w:lang w:eastAsia="en-GB"/>
        </w:rPr>
        <w:t>Advance</w:t>
      </w:r>
      <w:proofErr w:type="spellEnd"/>
      <w:r w:rsidRPr="00AE01C0">
        <w:rPr>
          <w:lang w:eastAsia="en-GB"/>
        </w:rPr>
        <w:t xml:space="preserve"> </w:t>
      </w:r>
      <w:proofErr w:type="spellStart"/>
      <w:r w:rsidRPr="00AE01C0">
        <w:rPr>
          <w:lang w:eastAsia="en-GB"/>
        </w:rPr>
        <w:t>Unedited</w:t>
      </w:r>
      <w:proofErr w:type="spellEnd"/>
      <w:r w:rsidRPr="00AE01C0">
        <w:rPr>
          <w:lang w:eastAsia="en-GB"/>
        </w:rPr>
        <w:t xml:space="preserve"> Version, Concluding observations on </w:t>
      </w:r>
      <w:proofErr w:type="spellStart"/>
      <w:r w:rsidRPr="00AE01C0">
        <w:rPr>
          <w:lang w:eastAsia="en-GB"/>
        </w:rPr>
        <w:t>third</w:t>
      </w:r>
      <w:proofErr w:type="spellEnd"/>
      <w:r w:rsidRPr="00AE01C0">
        <w:rPr>
          <w:lang w:eastAsia="en-GB"/>
        </w:rPr>
        <w:t xml:space="preserve"> report, para. 19</w:t>
      </w:r>
    </w:p>
  </w:footnote>
  <w:footnote w:id="11">
    <w:p w:rsidR="00A31025" w:rsidRPr="00AE01C0" w:rsidRDefault="00A31025">
      <w:pPr>
        <w:pStyle w:val="FootnoteText"/>
        <w:rPr>
          <w:lang w:val="en-GB"/>
        </w:rPr>
      </w:pPr>
      <w:r w:rsidRPr="00AE01C0">
        <w:rPr>
          <w:rStyle w:val="FootnoteReference"/>
        </w:rPr>
        <w:footnoteRef/>
      </w:r>
      <w:r w:rsidRPr="00AE01C0">
        <w:t xml:space="preserve"> </w:t>
      </w:r>
      <w:r w:rsidRPr="00AE01C0">
        <w:t>July 2005, Conclusions XVII-2</w:t>
      </w:r>
      <w:r w:rsidRPr="00AE01C0">
        <w:t xml:space="preserve"> ; </w:t>
      </w:r>
      <w:proofErr w:type="spellStart"/>
      <w:r w:rsidRPr="00AE01C0">
        <w:t>January</w:t>
      </w:r>
      <w:proofErr w:type="spellEnd"/>
      <w:r w:rsidRPr="00AE01C0">
        <w:t xml:space="preserve"> 2012, Conclusions 2011</w:t>
      </w:r>
    </w:p>
  </w:footnote>
  <w:footnote w:id="12">
    <w:p w:rsidR="00AE01C0" w:rsidRPr="00AE01C0" w:rsidRDefault="00AE01C0">
      <w:pPr>
        <w:pStyle w:val="FootnoteText"/>
        <w:rPr>
          <w:lang w:val="en-GB"/>
        </w:rPr>
      </w:pPr>
      <w:r w:rsidRPr="00AE01C0">
        <w:rPr>
          <w:rStyle w:val="FootnoteReference"/>
        </w:rPr>
        <w:footnoteRef/>
      </w:r>
      <w:r w:rsidRPr="00AE01C0">
        <w:t xml:space="preserve"> </w:t>
      </w:r>
      <w:r w:rsidRPr="00AE01C0">
        <w:t xml:space="preserve">Collective complaint No. 96/2013, </w:t>
      </w:r>
      <w:r w:rsidRPr="00AE01C0">
        <w:rPr>
          <w:i/>
        </w:rPr>
        <w:t>Association for the Protection of All Child</w:t>
      </w:r>
      <w:r w:rsidRPr="00AE01C0">
        <w:rPr>
          <w:i/>
        </w:rPr>
        <w:t xml:space="preserve">ren (APPROACH) Ltd v </w:t>
      </w:r>
      <w:proofErr w:type="spellStart"/>
      <w:r w:rsidRPr="00AE01C0">
        <w:rPr>
          <w:i/>
        </w:rPr>
        <w:t>Czech</w:t>
      </w:r>
      <w:proofErr w:type="spellEnd"/>
      <w:r w:rsidRPr="00AE01C0">
        <w:rPr>
          <w:i/>
        </w:rPr>
        <w:t xml:space="preserve"> </w:t>
      </w:r>
      <w:proofErr w:type="spellStart"/>
      <w:r w:rsidRPr="00AE01C0">
        <w:rPr>
          <w:i/>
        </w:rPr>
        <w:t>Repub</w:t>
      </w:r>
      <w:r w:rsidRPr="00AE01C0">
        <w:rPr>
          <w:i/>
        </w:rPr>
        <w:t>lic</w:t>
      </w:r>
      <w:proofErr w:type="spellEnd"/>
    </w:p>
  </w:footnote>
  <w:footnote w:id="13">
    <w:p w:rsidR="00A31025" w:rsidRPr="00AE01C0" w:rsidRDefault="00A31025">
      <w:pPr>
        <w:pStyle w:val="FootnoteText"/>
        <w:rPr>
          <w:lang w:val="en-GB"/>
        </w:rPr>
      </w:pPr>
      <w:r w:rsidRPr="00AE01C0">
        <w:rPr>
          <w:rStyle w:val="FootnoteReference"/>
        </w:rPr>
        <w:footnoteRef/>
      </w:r>
      <w:r w:rsidRPr="00AE01C0">
        <w:t xml:space="preserve"> </w:t>
      </w:r>
      <w:r w:rsidRPr="00AE01C0">
        <w:rPr>
          <w:lang w:eastAsia="en-GB"/>
        </w:rPr>
        <w:t xml:space="preserve">26 </w:t>
      </w:r>
      <w:proofErr w:type="spellStart"/>
      <w:r w:rsidRPr="00AE01C0">
        <w:rPr>
          <w:lang w:eastAsia="en-GB"/>
        </w:rPr>
        <w:t>December</w:t>
      </w:r>
      <w:proofErr w:type="spellEnd"/>
      <w:r w:rsidRPr="00AE01C0">
        <w:rPr>
          <w:lang w:eastAsia="en-GB"/>
        </w:rPr>
        <w:t xml:space="preserve"> 2012, A/HRC/22/3, Report of th</w:t>
      </w:r>
      <w:r w:rsidR="00AE01C0" w:rsidRPr="00AE01C0">
        <w:rPr>
          <w:lang w:eastAsia="en-GB"/>
        </w:rPr>
        <w:t xml:space="preserve">e </w:t>
      </w:r>
      <w:proofErr w:type="spellStart"/>
      <w:r w:rsidR="00AE01C0" w:rsidRPr="00AE01C0">
        <w:rPr>
          <w:lang w:eastAsia="en-GB"/>
        </w:rPr>
        <w:t>working</w:t>
      </w:r>
      <w:proofErr w:type="spellEnd"/>
      <w:r w:rsidR="00AE01C0" w:rsidRPr="00AE01C0">
        <w:rPr>
          <w:lang w:eastAsia="en-GB"/>
        </w:rPr>
        <w:t xml:space="preserve"> group, paras. </w:t>
      </w:r>
      <w:r w:rsidRPr="00AE01C0">
        <w:rPr>
          <w:lang w:eastAsia="en-GB"/>
        </w:rPr>
        <w:t>94(89) and 94(90)</w:t>
      </w:r>
    </w:p>
  </w:footnote>
  <w:footnote w:id="14">
    <w:p w:rsidR="00AE01C0" w:rsidRPr="00AE01C0" w:rsidRDefault="00AE01C0">
      <w:pPr>
        <w:pStyle w:val="FootnoteText"/>
        <w:rPr>
          <w:lang w:val="en-GB"/>
        </w:rPr>
      </w:pPr>
      <w:r w:rsidRPr="00AE01C0">
        <w:rPr>
          <w:rStyle w:val="FootnoteReference"/>
        </w:rPr>
        <w:footnoteRef/>
      </w:r>
      <w:r w:rsidRPr="00AE01C0">
        <w:t xml:space="preserve"> </w:t>
      </w:r>
      <w:r w:rsidRPr="00AE01C0">
        <w:rPr>
          <w:lang w:eastAsia="en-GB"/>
        </w:rPr>
        <w:t xml:space="preserve">1 March 2013, A/HRC/22/3/Add.1, Report of the </w:t>
      </w:r>
      <w:proofErr w:type="spellStart"/>
      <w:r w:rsidRPr="00AE01C0">
        <w:rPr>
          <w:lang w:eastAsia="en-GB"/>
        </w:rPr>
        <w:t>working</w:t>
      </w:r>
      <w:proofErr w:type="spellEnd"/>
      <w:r w:rsidRPr="00AE01C0">
        <w:rPr>
          <w:lang w:eastAsia="en-GB"/>
        </w:rPr>
        <w:t xml:space="preserve"> group: Addendum, para.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682F"/>
    <w:rsid w:val="00107CF6"/>
    <w:rsid w:val="00117F0F"/>
    <w:rsid w:val="00145B7A"/>
    <w:rsid w:val="001731CC"/>
    <w:rsid w:val="001A7CC5"/>
    <w:rsid w:val="001B0E10"/>
    <w:rsid w:val="001B2EF0"/>
    <w:rsid w:val="001D3BCB"/>
    <w:rsid w:val="002049D3"/>
    <w:rsid w:val="002153F5"/>
    <w:rsid w:val="00241FF5"/>
    <w:rsid w:val="00246602"/>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07589"/>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3AB9"/>
    <w:rsid w:val="00964D9F"/>
    <w:rsid w:val="00965F4E"/>
    <w:rsid w:val="009909E6"/>
    <w:rsid w:val="00997763"/>
    <w:rsid w:val="009A26BC"/>
    <w:rsid w:val="009A4DF8"/>
    <w:rsid w:val="009A527C"/>
    <w:rsid w:val="009D778F"/>
    <w:rsid w:val="00A03341"/>
    <w:rsid w:val="00A077F7"/>
    <w:rsid w:val="00A10040"/>
    <w:rsid w:val="00A31025"/>
    <w:rsid w:val="00A36851"/>
    <w:rsid w:val="00A543F1"/>
    <w:rsid w:val="00A562E2"/>
    <w:rsid w:val="00A62797"/>
    <w:rsid w:val="00A629C9"/>
    <w:rsid w:val="00A6491F"/>
    <w:rsid w:val="00A76009"/>
    <w:rsid w:val="00AA09E7"/>
    <w:rsid w:val="00AC502E"/>
    <w:rsid w:val="00AE01C0"/>
    <w:rsid w:val="00AE243C"/>
    <w:rsid w:val="00AE5677"/>
    <w:rsid w:val="00AE737E"/>
    <w:rsid w:val="00B55303"/>
    <w:rsid w:val="00B868FE"/>
    <w:rsid w:val="00B902F0"/>
    <w:rsid w:val="00B958DF"/>
    <w:rsid w:val="00BA3333"/>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8D5CF-B8E8-4571-BA18-1271DEF88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7275</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2013-09-19T06:26:00Z</dcterms:created>
  <dcterms:modified xsi:type="dcterms:W3CDTF">2013-09-19T07:03:00Z</dcterms:modified>
</cp:coreProperties>
</file>