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BAFB9" w14:textId="77777777" w:rsidR="004B4D21" w:rsidRDefault="004B4D21" w:rsidP="004B4D21">
      <w:pPr>
        <w:rPr>
          <w:rFonts w:ascii="Neue Machina Ultrabold" w:hAnsi="Neue Machina Ultrabold" w:cstheme="minorHAnsi"/>
          <w:sz w:val="56"/>
          <w:szCs w:val="56"/>
          <w:lang w:val="en-US"/>
        </w:rPr>
      </w:pPr>
    </w:p>
    <w:p w14:paraId="0ED7CBA7" w14:textId="77777777" w:rsidR="004B4D21" w:rsidRDefault="004B4D21" w:rsidP="004B4D21">
      <w:pPr>
        <w:rPr>
          <w:rFonts w:ascii="Neue Machina Ultrabold" w:hAnsi="Neue Machina Ultrabold" w:cstheme="minorHAnsi"/>
          <w:sz w:val="56"/>
          <w:szCs w:val="56"/>
          <w:lang w:val="en-US"/>
        </w:rPr>
      </w:pPr>
    </w:p>
    <w:p w14:paraId="273B172B" w14:textId="77777777" w:rsidR="004B4D21" w:rsidRDefault="004B4D21" w:rsidP="004B4D21">
      <w:pPr>
        <w:rPr>
          <w:rFonts w:ascii="Neue Machina Ultrabold" w:hAnsi="Neue Machina Ultrabold" w:cstheme="minorHAnsi"/>
          <w:sz w:val="56"/>
          <w:szCs w:val="56"/>
          <w:lang w:val="en-US"/>
        </w:rPr>
      </w:pPr>
    </w:p>
    <w:p w14:paraId="267E3867" w14:textId="738BEB4C" w:rsidR="00CD0076" w:rsidRPr="004B4D21" w:rsidRDefault="004B4D21" w:rsidP="004B4D21">
      <w:pPr>
        <w:rPr>
          <w:rFonts w:ascii="Neue Machina Ultrabold" w:hAnsi="Neue Machina Ultrabold" w:cstheme="minorHAnsi"/>
          <w:sz w:val="56"/>
          <w:szCs w:val="56"/>
          <w:lang w:val="en-US"/>
        </w:rPr>
      </w:pPr>
      <w:r w:rsidRPr="004B4D21">
        <w:rPr>
          <w:rFonts w:ascii="Neue Machina Ultrabold" w:hAnsi="Neue Machina Ultrabold" w:cstheme="minorHAnsi"/>
          <w:sz w:val="56"/>
          <w:szCs w:val="56"/>
          <w:lang w:val="en-US"/>
        </w:rPr>
        <w:t xml:space="preserve">Submission to the </w:t>
      </w:r>
      <w:r w:rsidR="00E21342">
        <w:rPr>
          <w:rFonts w:ascii="Neue Machina Ultrabold" w:hAnsi="Neue Machina Ultrabold" w:cstheme="minorHAnsi"/>
          <w:sz w:val="56"/>
          <w:szCs w:val="56"/>
          <w:lang w:val="en-US"/>
        </w:rPr>
        <w:t>UN</w:t>
      </w:r>
      <w:r w:rsidRPr="004B4D21">
        <w:rPr>
          <w:rFonts w:ascii="Neue Machina Ultrabold" w:hAnsi="Neue Machina Ultrabold" w:cstheme="minorHAnsi"/>
          <w:sz w:val="56"/>
          <w:szCs w:val="56"/>
          <w:lang w:val="en-US"/>
        </w:rPr>
        <w:t xml:space="preserve"> Human Rights Committee in advance of the List of Issues prior to reporting in relation to the Republic of Serbia</w:t>
      </w:r>
    </w:p>
    <w:p w14:paraId="03AAA88A" w14:textId="45107A3E" w:rsidR="004B4D21" w:rsidRDefault="004B4D21" w:rsidP="004B4D21">
      <w:pPr>
        <w:jc w:val="center"/>
        <w:rPr>
          <w:rFonts w:ascii="Acumin Pro" w:hAnsi="Acumin Pro" w:cstheme="minorHAnsi"/>
          <w:sz w:val="24"/>
          <w:szCs w:val="24"/>
          <w:lang w:val="en-US"/>
        </w:rPr>
      </w:pPr>
    </w:p>
    <w:p w14:paraId="38FC3918" w14:textId="59CEBEEA" w:rsidR="004B4D21" w:rsidRDefault="004B4D21" w:rsidP="004B4D21">
      <w:pPr>
        <w:rPr>
          <w:rFonts w:ascii="Acumin Pro" w:hAnsi="Acumin Pro" w:cstheme="minorHAnsi"/>
          <w:sz w:val="24"/>
          <w:szCs w:val="24"/>
          <w:lang w:val="en-US"/>
        </w:rPr>
      </w:pPr>
    </w:p>
    <w:p w14:paraId="6B7EFE08" w14:textId="77777777" w:rsidR="00E21342" w:rsidRDefault="00E21342" w:rsidP="004B4D21">
      <w:pPr>
        <w:rPr>
          <w:rFonts w:ascii="Acumin Pro" w:hAnsi="Acumin Pro" w:cstheme="minorHAnsi"/>
          <w:sz w:val="24"/>
          <w:szCs w:val="24"/>
          <w:lang w:val="en-US"/>
        </w:rPr>
      </w:pPr>
    </w:p>
    <w:p w14:paraId="6EBD8A4E" w14:textId="6112655C" w:rsidR="00FF5739" w:rsidRPr="004B4D21" w:rsidRDefault="004B4D21" w:rsidP="004B4D21">
      <w:pPr>
        <w:rPr>
          <w:rFonts w:ascii="Acumin Pro" w:hAnsi="Acumin Pro" w:cstheme="minorHAnsi"/>
          <w:b/>
          <w:bCs/>
          <w:sz w:val="28"/>
          <w:szCs w:val="28"/>
          <w:lang w:val="en-US"/>
        </w:rPr>
      </w:pPr>
      <w:r>
        <w:rPr>
          <w:rFonts w:ascii="Acumin Pro" w:hAnsi="Acumin Pro" w:cstheme="minorHAnsi"/>
          <w:b/>
          <w:bCs/>
          <w:sz w:val="28"/>
          <w:szCs w:val="28"/>
          <w:lang w:val="en-US"/>
        </w:rPr>
        <w:t xml:space="preserve">For </w:t>
      </w:r>
      <w:r w:rsidR="00CD0076" w:rsidRPr="004B4D21">
        <w:rPr>
          <w:rFonts w:ascii="Acumin Pro" w:hAnsi="Acumin Pro" w:cstheme="minorHAnsi"/>
          <w:b/>
          <w:bCs/>
          <w:sz w:val="28"/>
          <w:szCs w:val="28"/>
          <w:lang w:val="en-US"/>
        </w:rPr>
        <w:t>137 Session (27 February 2023 – 24 March 2023)</w:t>
      </w:r>
    </w:p>
    <w:p w14:paraId="072B7D7F" w14:textId="5349582E" w:rsidR="004B4D21" w:rsidRDefault="004B4D21" w:rsidP="005944E2">
      <w:pPr>
        <w:jc w:val="center"/>
        <w:rPr>
          <w:rFonts w:ascii="Acumin Pro" w:hAnsi="Acumin Pro" w:cstheme="minorHAnsi"/>
          <w:sz w:val="24"/>
          <w:szCs w:val="24"/>
          <w:lang w:val="en-US"/>
        </w:rPr>
      </w:pPr>
    </w:p>
    <w:p w14:paraId="2C81F9B3" w14:textId="34DE51F5" w:rsidR="004B4D21" w:rsidRDefault="004B4D21" w:rsidP="005944E2">
      <w:pPr>
        <w:jc w:val="center"/>
        <w:rPr>
          <w:rFonts w:ascii="Acumin Pro" w:hAnsi="Acumin Pro" w:cstheme="minorHAnsi"/>
          <w:sz w:val="24"/>
          <w:szCs w:val="24"/>
          <w:lang w:val="en-US"/>
        </w:rPr>
      </w:pPr>
    </w:p>
    <w:p w14:paraId="0563A87A" w14:textId="67EDC8C0" w:rsidR="004B4D21" w:rsidRDefault="004B4D21" w:rsidP="005944E2">
      <w:pPr>
        <w:jc w:val="center"/>
        <w:rPr>
          <w:rFonts w:ascii="Acumin Pro" w:hAnsi="Acumin Pro" w:cstheme="minorHAnsi"/>
          <w:sz w:val="24"/>
          <w:szCs w:val="24"/>
          <w:lang w:val="en-US"/>
        </w:rPr>
      </w:pPr>
    </w:p>
    <w:p w14:paraId="6C1E553D" w14:textId="77777777" w:rsidR="004B4D21" w:rsidRDefault="004B4D21" w:rsidP="004B4D21">
      <w:pPr>
        <w:rPr>
          <w:rFonts w:ascii="Acumin Pro" w:hAnsi="Acumin Pro" w:cstheme="minorHAnsi"/>
          <w:sz w:val="24"/>
          <w:szCs w:val="24"/>
          <w:lang w:val="en-US"/>
        </w:rPr>
      </w:pPr>
    </w:p>
    <w:p w14:paraId="6EE75457" w14:textId="4CFEDEA6" w:rsidR="004B4D21" w:rsidRDefault="004B4D21" w:rsidP="005944E2">
      <w:pPr>
        <w:jc w:val="center"/>
        <w:rPr>
          <w:rFonts w:ascii="Acumin Pro" w:hAnsi="Acumin Pro" w:cstheme="minorHAnsi"/>
          <w:sz w:val="24"/>
          <w:szCs w:val="24"/>
          <w:lang w:val="en-US"/>
        </w:rPr>
      </w:pPr>
    </w:p>
    <w:p w14:paraId="57BC0578" w14:textId="05D1F1E9" w:rsidR="004B4D21" w:rsidRDefault="004B4D21" w:rsidP="005944E2">
      <w:pPr>
        <w:jc w:val="center"/>
        <w:rPr>
          <w:rFonts w:ascii="Acumin Pro" w:hAnsi="Acumin Pro" w:cstheme="minorHAnsi"/>
          <w:sz w:val="24"/>
          <w:szCs w:val="24"/>
          <w:lang w:val="en-US"/>
        </w:rPr>
      </w:pPr>
    </w:p>
    <w:p w14:paraId="75D566C7" w14:textId="51EE6F50" w:rsidR="004B4D21" w:rsidRDefault="004B4D21" w:rsidP="005944E2">
      <w:pPr>
        <w:jc w:val="center"/>
        <w:rPr>
          <w:rFonts w:ascii="Acumin Pro" w:hAnsi="Acumin Pro" w:cstheme="minorHAnsi"/>
          <w:sz w:val="24"/>
          <w:szCs w:val="24"/>
          <w:lang w:val="en-US"/>
        </w:rPr>
      </w:pPr>
      <w:r>
        <w:rPr>
          <w:rFonts w:ascii="Acumin Pro" w:hAnsi="Acumin Pro" w:cstheme="minorHAnsi"/>
          <w:noProof/>
          <w:sz w:val="24"/>
          <w:szCs w:val="24"/>
          <w:lang w:val="en-US"/>
        </w:rPr>
        <w:drawing>
          <wp:anchor distT="0" distB="0" distL="114300" distR="114300" simplePos="0" relativeHeight="251658240" behindDoc="0" locked="0" layoutInCell="1" allowOverlap="1" wp14:anchorId="0AFF1AB3" wp14:editId="3F67C666">
            <wp:simplePos x="0" y="0"/>
            <wp:positionH relativeFrom="column">
              <wp:posOffset>1851660</wp:posOffset>
            </wp:positionH>
            <wp:positionV relativeFrom="paragraph">
              <wp:posOffset>214630</wp:posOffset>
            </wp:positionV>
            <wp:extent cx="2185309" cy="915670"/>
            <wp:effectExtent l="0" t="0" r="0" b="0"/>
            <wp:wrapNone/>
            <wp:docPr id="1" name="Picture 1"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rrow&#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5309" cy="915670"/>
                    </a:xfrm>
                    <a:prstGeom prst="rect">
                      <a:avLst/>
                    </a:prstGeom>
                  </pic:spPr>
                </pic:pic>
              </a:graphicData>
            </a:graphic>
          </wp:anchor>
        </w:drawing>
      </w:r>
    </w:p>
    <w:p w14:paraId="6ED7910E" w14:textId="2204EEDB" w:rsidR="004B4D21" w:rsidRDefault="004B4D21" w:rsidP="004B4D21">
      <w:pPr>
        <w:jc w:val="center"/>
        <w:rPr>
          <w:rFonts w:ascii="Acumin Pro" w:hAnsi="Acumin Pro" w:cstheme="minorHAnsi"/>
          <w:sz w:val="24"/>
          <w:szCs w:val="24"/>
          <w:lang w:val="en-US"/>
        </w:rPr>
      </w:pPr>
    </w:p>
    <w:p w14:paraId="45720ECD" w14:textId="77777777" w:rsidR="0061672B" w:rsidRPr="0061672B" w:rsidRDefault="0061672B" w:rsidP="005F0A84">
      <w:pPr>
        <w:jc w:val="both"/>
        <w:rPr>
          <w:rFonts w:ascii="Acumin Pro" w:hAnsi="Acumin Pro" w:cstheme="minorHAnsi"/>
          <w:sz w:val="24"/>
          <w:szCs w:val="24"/>
          <w:lang w:val="en-US"/>
        </w:rPr>
      </w:pPr>
    </w:p>
    <w:p w14:paraId="55DEB7FE" w14:textId="77777777" w:rsidR="00B868EA" w:rsidRDefault="0061672B" w:rsidP="00B868EA">
      <w:pPr>
        <w:pStyle w:val="ListParagraph"/>
        <w:numPr>
          <w:ilvl w:val="0"/>
          <w:numId w:val="6"/>
        </w:numPr>
        <w:spacing w:before="0" w:after="0" w:line="240" w:lineRule="auto"/>
        <w:ind w:left="0" w:hanging="426"/>
        <w:jc w:val="both"/>
        <w:rPr>
          <w:rFonts w:ascii="Acumin Pro" w:eastAsia="Times New Roman" w:hAnsi="Acumin Pro" w:cs="Arial"/>
          <w:color w:val="333333"/>
          <w:sz w:val="24"/>
          <w:szCs w:val="24"/>
          <w:lang w:eastAsia="sr-Latn-RS"/>
        </w:rPr>
      </w:pPr>
      <w:r w:rsidRPr="0061672B">
        <w:rPr>
          <w:rFonts w:ascii="Acumin Pro" w:eastAsia="Times New Roman" w:hAnsi="Acumin Pro" w:cs="Arial"/>
          <w:color w:val="333333"/>
          <w:sz w:val="24"/>
          <w:szCs w:val="24"/>
          <w:lang w:eastAsia="sr-Latn-RS"/>
        </w:rPr>
        <w:t xml:space="preserve">The </w:t>
      </w:r>
      <w:hyperlink r:id="rId9" w:history="1">
        <w:r w:rsidRPr="004B4D21">
          <w:rPr>
            <w:rStyle w:val="Hyperlink"/>
            <w:rFonts w:ascii="Acumin Pro" w:eastAsia="Times New Roman" w:hAnsi="Acumin Pro" w:cs="Arial"/>
            <w:sz w:val="24"/>
            <w:szCs w:val="24"/>
            <w:lang w:eastAsia="sr-Latn-RS"/>
          </w:rPr>
          <w:t>A 11 – Initiative for Economic and Social Rights</w:t>
        </w:r>
      </w:hyperlink>
      <w:r w:rsidRPr="0061672B">
        <w:rPr>
          <w:rFonts w:ascii="Acumin Pro" w:eastAsia="Times New Roman" w:hAnsi="Acumin Pro" w:cs="Arial"/>
          <w:color w:val="333333"/>
          <w:sz w:val="24"/>
          <w:szCs w:val="24"/>
          <w:lang w:eastAsia="sr-Latn-RS"/>
        </w:rPr>
        <w:t xml:space="preserve"> is non-profit, non-partisan and non-governmental</w:t>
      </w:r>
      <w:r w:rsidRPr="0061672B">
        <w:rPr>
          <w:rFonts w:ascii="Acumin Pro" w:eastAsia="Times New Roman" w:hAnsi="Acumin Pro" w:cs="Arial"/>
          <w:color w:val="333333"/>
          <w:sz w:val="24"/>
          <w:szCs w:val="24"/>
          <w:lang w:eastAsia="sr-Latn-RS"/>
        </w:rPr>
        <w:t xml:space="preserve"> </w:t>
      </w:r>
      <w:r w:rsidRPr="0061672B">
        <w:rPr>
          <w:rFonts w:ascii="Acumin Pro" w:eastAsia="Times New Roman" w:hAnsi="Acumin Pro" w:cs="Arial"/>
          <w:color w:val="333333"/>
          <w:sz w:val="24"/>
          <w:szCs w:val="24"/>
          <w:lang w:eastAsia="sr-Latn-RS"/>
        </w:rPr>
        <w:t xml:space="preserve">organization based in </w:t>
      </w:r>
      <w:r w:rsidRPr="0061672B">
        <w:rPr>
          <w:rFonts w:ascii="Acumin Pro" w:eastAsia="Times New Roman" w:hAnsi="Acumin Pro" w:cs="Arial"/>
          <w:color w:val="333333"/>
          <w:sz w:val="24"/>
          <w:szCs w:val="24"/>
          <w:lang w:eastAsia="sr-Latn-RS"/>
        </w:rPr>
        <w:t>Serbia</w:t>
      </w:r>
      <w:r w:rsidRPr="0061672B">
        <w:rPr>
          <w:rFonts w:ascii="Acumin Pro" w:eastAsia="Times New Roman" w:hAnsi="Acumin Pro" w:cs="Arial"/>
          <w:color w:val="333333"/>
          <w:sz w:val="24"/>
          <w:szCs w:val="24"/>
          <w:lang w:eastAsia="sr-Latn-RS"/>
        </w:rPr>
        <w:t>, which promotes and protects the rights of individuals from vulnerable,</w:t>
      </w:r>
      <w:r w:rsidRPr="0061672B">
        <w:rPr>
          <w:rFonts w:ascii="Acumin Pro" w:eastAsia="Times New Roman" w:hAnsi="Acumin Pro" w:cs="Arial"/>
          <w:color w:val="333333"/>
          <w:sz w:val="24"/>
          <w:szCs w:val="24"/>
          <w:lang w:eastAsia="sr-Latn-RS"/>
        </w:rPr>
        <w:t xml:space="preserve"> </w:t>
      </w:r>
      <w:r w:rsidRPr="0061672B">
        <w:rPr>
          <w:rFonts w:ascii="Acumin Pro" w:eastAsia="Times New Roman" w:hAnsi="Acumin Pro" w:cs="Arial"/>
          <w:color w:val="333333"/>
          <w:sz w:val="24"/>
          <w:szCs w:val="24"/>
          <w:lang w:eastAsia="sr-Latn-RS"/>
        </w:rPr>
        <w:t xml:space="preserve">marginalized and discriminated groups, with </w:t>
      </w:r>
      <w:r w:rsidRPr="0061672B">
        <w:rPr>
          <w:rFonts w:ascii="Acumin Pro" w:eastAsia="Times New Roman" w:hAnsi="Acumin Pro" w:cs="Arial"/>
          <w:color w:val="333333"/>
          <w:sz w:val="24"/>
          <w:szCs w:val="24"/>
          <w:lang w:eastAsia="sr-Latn-RS"/>
        </w:rPr>
        <w:t>specific</w:t>
      </w:r>
      <w:r w:rsidRPr="0061672B">
        <w:rPr>
          <w:rFonts w:ascii="Acumin Pro" w:eastAsia="Times New Roman" w:hAnsi="Acumin Pro" w:cs="Arial"/>
          <w:color w:val="333333"/>
          <w:sz w:val="24"/>
          <w:szCs w:val="24"/>
          <w:lang w:eastAsia="sr-Latn-RS"/>
        </w:rPr>
        <w:t xml:space="preserve"> focus on economic and social rights. The A 11 Initiative</w:t>
      </w:r>
      <w:r w:rsidRPr="0061672B">
        <w:rPr>
          <w:rFonts w:ascii="Acumin Pro" w:eastAsia="Times New Roman" w:hAnsi="Acumin Pro" w:cs="Arial"/>
          <w:color w:val="333333"/>
          <w:sz w:val="24"/>
          <w:szCs w:val="24"/>
          <w:lang w:eastAsia="sr-Latn-RS"/>
        </w:rPr>
        <w:t xml:space="preserve"> </w:t>
      </w:r>
      <w:r w:rsidRPr="0061672B">
        <w:rPr>
          <w:rFonts w:ascii="Acumin Pro" w:eastAsia="Times New Roman" w:hAnsi="Acumin Pro" w:cs="Arial"/>
          <w:color w:val="333333"/>
          <w:sz w:val="24"/>
          <w:szCs w:val="24"/>
          <w:lang w:eastAsia="sr-Latn-RS"/>
        </w:rPr>
        <w:t>monitors the implementation of public policies, national and international regulations and</w:t>
      </w:r>
      <w:r w:rsidRPr="0061672B">
        <w:rPr>
          <w:rFonts w:ascii="Acumin Pro" w:eastAsia="Times New Roman" w:hAnsi="Acumin Pro" w:cs="Arial"/>
          <w:color w:val="333333"/>
          <w:sz w:val="24"/>
          <w:szCs w:val="24"/>
          <w:lang w:eastAsia="sr-Latn-RS"/>
        </w:rPr>
        <w:t xml:space="preserve"> </w:t>
      </w:r>
      <w:r w:rsidRPr="0061672B">
        <w:rPr>
          <w:rFonts w:ascii="Acumin Pro" w:eastAsia="Times New Roman" w:hAnsi="Acumin Pro" w:cs="Arial"/>
          <w:color w:val="333333"/>
          <w:sz w:val="24"/>
          <w:szCs w:val="24"/>
          <w:lang w:eastAsia="sr-Latn-RS"/>
        </w:rPr>
        <w:t xml:space="preserve">recommendations of </w:t>
      </w:r>
      <w:r w:rsidRPr="0061672B">
        <w:rPr>
          <w:rFonts w:ascii="Acumin Pro" w:eastAsia="Times New Roman" w:hAnsi="Acumin Pro" w:cs="Arial"/>
          <w:color w:val="333333"/>
          <w:sz w:val="24"/>
          <w:szCs w:val="24"/>
          <w:lang w:eastAsia="sr-Latn-RS"/>
        </w:rPr>
        <w:t xml:space="preserve">the </w:t>
      </w:r>
      <w:r w:rsidRPr="0061672B">
        <w:rPr>
          <w:rFonts w:ascii="Acumin Pro" w:eastAsia="Times New Roman" w:hAnsi="Acumin Pro" w:cs="Arial"/>
          <w:color w:val="333333"/>
          <w:sz w:val="24"/>
          <w:szCs w:val="24"/>
          <w:lang w:eastAsia="sr-Latn-RS"/>
        </w:rPr>
        <w:t>UN Treaty and Charter-based bodies, and documents, reports and litigates case</w:t>
      </w:r>
      <w:r w:rsidRPr="0061672B">
        <w:rPr>
          <w:rFonts w:ascii="Acumin Pro" w:eastAsia="Times New Roman" w:hAnsi="Acumin Pro" w:cs="Arial"/>
          <w:color w:val="333333"/>
          <w:sz w:val="24"/>
          <w:szCs w:val="24"/>
          <w:lang w:eastAsia="sr-Latn-RS"/>
        </w:rPr>
        <w:t xml:space="preserve">s </w:t>
      </w:r>
      <w:r w:rsidRPr="0061672B">
        <w:rPr>
          <w:rFonts w:ascii="Acumin Pro" w:eastAsia="Times New Roman" w:hAnsi="Acumin Pro" w:cs="Arial"/>
          <w:color w:val="333333"/>
          <w:sz w:val="24"/>
          <w:szCs w:val="24"/>
          <w:lang w:eastAsia="sr-Latn-RS"/>
        </w:rPr>
        <w:t>of human rights violation</w:t>
      </w:r>
      <w:r w:rsidR="00B868EA">
        <w:rPr>
          <w:rFonts w:ascii="Acumin Pro" w:eastAsia="Times New Roman" w:hAnsi="Acumin Pro" w:cs="Arial"/>
          <w:color w:val="333333"/>
          <w:sz w:val="24"/>
          <w:szCs w:val="24"/>
          <w:lang w:eastAsia="sr-Latn-RS"/>
        </w:rPr>
        <w:t xml:space="preserve">. </w:t>
      </w:r>
    </w:p>
    <w:p w14:paraId="70B928B6" w14:textId="77777777" w:rsidR="00B868EA" w:rsidRDefault="0061672B" w:rsidP="00B868EA">
      <w:pPr>
        <w:pStyle w:val="ListParagraph"/>
        <w:numPr>
          <w:ilvl w:val="0"/>
          <w:numId w:val="6"/>
        </w:numPr>
        <w:spacing w:before="0" w:after="0" w:line="240" w:lineRule="auto"/>
        <w:ind w:left="0" w:hanging="426"/>
        <w:jc w:val="both"/>
        <w:rPr>
          <w:rFonts w:ascii="Acumin Pro" w:eastAsia="Times New Roman" w:hAnsi="Acumin Pro" w:cs="Arial"/>
          <w:color w:val="333333"/>
          <w:sz w:val="24"/>
          <w:szCs w:val="24"/>
          <w:lang w:eastAsia="sr-Latn-RS"/>
        </w:rPr>
      </w:pPr>
      <w:r w:rsidRPr="00B868EA">
        <w:rPr>
          <w:rFonts w:ascii="Acumin Pro" w:eastAsia="Times New Roman" w:hAnsi="Acumin Pro" w:cs="Arial"/>
          <w:color w:val="333333"/>
          <w:sz w:val="24"/>
          <w:szCs w:val="24"/>
          <w:lang w:eastAsia="sr-Latn-RS"/>
        </w:rPr>
        <w:t xml:space="preserve">The A 11 Initiative is a member organisation of the </w:t>
      </w:r>
      <w:hyperlink r:id="rId10" w:history="1">
        <w:r w:rsidRPr="00B868EA">
          <w:rPr>
            <w:rStyle w:val="Hyperlink"/>
            <w:rFonts w:ascii="Acumin Pro" w:eastAsia="Times New Roman" w:hAnsi="Acumin Pro" w:cs="Arial"/>
            <w:sz w:val="24"/>
            <w:szCs w:val="24"/>
            <w:lang w:eastAsia="sr-Latn-RS"/>
          </w:rPr>
          <w:t xml:space="preserve">Platform of organizations for cooperation with the UN mechanisms for human </w:t>
        </w:r>
        <w:r w:rsidR="004B4D21" w:rsidRPr="00B868EA">
          <w:rPr>
            <w:rStyle w:val="Hyperlink"/>
            <w:rFonts w:ascii="Acumin Pro" w:eastAsia="Times New Roman" w:hAnsi="Acumin Pro" w:cs="Arial"/>
            <w:sz w:val="24"/>
            <w:szCs w:val="24"/>
            <w:lang w:eastAsia="sr-Latn-RS"/>
          </w:rPr>
          <w:t>rights</w:t>
        </w:r>
      </w:hyperlink>
      <w:r w:rsidR="004B4D21" w:rsidRPr="00B868EA">
        <w:rPr>
          <w:rFonts w:ascii="Acumin Pro" w:eastAsia="Times New Roman" w:hAnsi="Acumin Pro" w:cs="Arial"/>
          <w:color w:val="333333"/>
          <w:sz w:val="24"/>
          <w:szCs w:val="24"/>
          <w:lang w:eastAsia="sr-Latn-RS"/>
        </w:rPr>
        <w:t xml:space="preserve"> and</w:t>
      </w:r>
      <w:r w:rsidRPr="00B868EA">
        <w:rPr>
          <w:rFonts w:ascii="Acumin Pro" w:eastAsia="Times New Roman" w:hAnsi="Acumin Pro" w:cs="Arial"/>
          <w:color w:val="333333"/>
          <w:sz w:val="24"/>
          <w:szCs w:val="24"/>
          <w:lang w:eastAsia="sr-Latn-RS"/>
        </w:rPr>
        <w:t xml:space="preserve"> has </w:t>
      </w:r>
      <w:r w:rsidR="004B4D21" w:rsidRPr="00B868EA">
        <w:rPr>
          <w:rFonts w:ascii="Acumin Pro" w:eastAsia="Times New Roman" w:hAnsi="Acumin Pro" w:cs="Arial"/>
          <w:color w:val="333333"/>
          <w:sz w:val="24"/>
          <w:szCs w:val="24"/>
          <w:lang w:eastAsia="sr-Latn-RS"/>
        </w:rPr>
        <w:t xml:space="preserve">been granted with the </w:t>
      </w:r>
      <w:r w:rsidRPr="00B868EA">
        <w:rPr>
          <w:rFonts w:ascii="Acumin Pro" w:eastAsia="Times New Roman" w:hAnsi="Acumin Pro" w:cs="Arial"/>
          <w:color w:val="333333"/>
          <w:sz w:val="24"/>
          <w:szCs w:val="24"/>
          <w:lang w:eastAsia="sr-Latn-RS"/>
        </w:rPr>
        <w:t xml:space="preserve">ECOSOC consultative status. </w:t>
      </w:r>
    </w:p>
    <w:p w14:paraId="78C2F446" w14:textId="30DEDC60" w:rsidR="0061672B" w:rsidRPr="00B868EA" w:rsidRDefault="00174CB9" w:rsidP="00B868EA">
      <w:pPr>
        <w:pStyle w:val="ListParagraph"/>
        <w:numPr>
          <w:ilvl w:val="0"/>
          <w:numId w:val="6"/>
        </w:numPr>
        <w:spacing w:before="0" w:after="0" w:line="240" w:lineRule="auto"/>
        <w:ind w:left="0" w:hanging="426"/>
        <w:jc w:val="both"/>
        <w:rPr>
          <w:rFonts w:ascii="Acumin Pro" w:eastAsia="Times New Roman" w:hAnsi="Acumin Pro" w:cs="Arial"/>
          <w:color w:val="333333"/>
          <w:sz w:val="24"/>
          <w:szCs w:val="24"/>
          <w:lang w:eastAsia="sr-Latn-RS"/>
        </w:rPr>
      </w:pPr>
      <w:r w:rsidRPr="00B868EA">
        <w:rPr>
          <w:rFonts w:ascii="Acumin Pro" w:hAnsi="Acumin Pro" w:cstheme="minorHAnsi"/>
          <w:sz w:val="24"/>
          <w:szCs w:val="24"/>
          <w:lang w:val="en-US"/>
        </w:rPr>
        <w:t>A 11</w:t>
      </w:r>
      <w:r w:rsidR="0061672B" w:rsidRPr="00B868EA">
        <w:rPr>
          <w:rFonts w:ascii="Acumin Pro" w:hAnsi="Acumin Pro" w:cstheme="minorHAnsi"/>
          <w:sz w:val="24"/>
          <w:szCs w:val="24"/>
          <w:lang w:val="en-US"/>
        </w:rPr>
        <w:t xml:space="preserve"> Initiative</w:t>
      </w:r>
      <w:r w:rsidRPr="00B868EA">
        <w:rPr>
          <w:rFonts w:ascii="Acumin Pro" w:hAnsi="Acumin Pro" w:cstheme="minorHAnsi"/>
          <w:sz w:val="24"/>
          <w:szCs w:val="24"/>
          <w:lang w:val="en-US"/>
        </w:rPr>
        <w:t xml:space="preserve"> welcomes the opportunity to provide the Human Rights Committee (hereinafter: the Committee) </w:t>
      </w:r>
      <w:r w:rsidR="00870A72" w:rsidRPr="00B868EA">
        <w:rPr>
          <w:rFonts w:ascii="Acumin Pro" w:hAnsi="Acumin Pro" w:cstheme="minorHAnsi"/>
          <w:sz w:val="24"/>
          <w:szCs w:val="24"/>
          <w:lang w:val="en-US"/>
        </w:rPr>
        <w:t xml:space="preserve">with information </w:t>
      </w:r>
      <w:r w:rsidRPr="00B868EA">
        <w:rPr>
          <w:rFonts w:ascii="Acumin Pro" w:hAnsi="Acumin Pro" w:cstheme="minorHAnsi"/>
          <w:sz w:val="24"/>
          <w:szCs w:val="24"/>
          <w:lang w:val="en-US"/>
        </w:rPr>
        <w:t>in relation to the Republic of Serbia</w:t>
      </w:r>
      <w:r w:rsidR="00E403AB" w:rsidRPr="00B868EA">
        <w:rPr>
          <w:rFonts w:ascii="Acumin Pro" w:hAnsi="Acumin Pro" w:cstheme="minorHAnsi"/>
          <w:sz w:val="24"/>
          <w:szCs w:val="24"/>
          <w:lang w:val="en-US"/>
        </w:rPr>
        <w:t>,</w:t>
      </w:r>
      <w:r w:rsidR="007F60EB" w:rsidRPr="00B868EA">
        <w:rPr>
          <w:rFonts w:ascii="Acumin Pro" w:hAnsi="Acumin Pro" w:cstheme="minorHAnsi"/>
          <w:sz w:val="24"/>
          <w:szCs w:val="24"/>
          <w:lang w:val="en-US"/>
        </w:rPr>
        <w:t xml:space="preserve"> </w:t>
      </w:r>
      <w:r w:rsidR="003F211A" w:rsidRPr="00B868EA">
        <w:rPr>
          <w:rFonts w:ascii="Acumin Pro" w:hAnsi="Acumin Pro" w:cstheme="minorHAnsi"/>
          <w:sz w:val="24"/>
          <w:szCs w:val="24"/>
          <w:lang w:val="en-US"/>
        </w:rPr>
        <w:t xml:space="preserve">for the </w:t>
      </w:r>
      <w:r w:rsidR="00020AD4" w:rsidRPr="00B868EA">
        <w:rPr>
          <w:rFonts w:ascii="Acumin Pro" w:hAnsi="Acumin Pro" w:cstheme="minorHAnsi"/>
          <w:sz w:val="24"/>
          <w:szCs w:val="24"/>
          <w:lang w:val="en-US"/>
        </w:rPr>
        <w:t xml:space="preserve">adoption of </w:t>
      </w:r>
      <w:r w:rsidR="0061672B" w:rsidRPr="00B868EA">
        <w:rPr>
          <w:rFonts w:ascii="Acumin Pro" w:hAnsi="Acumin Pro" w:cstheme="minorHAnsi"/>
          <w:sz w:val="24"/>
          <w:szCs w:val="24"/>
          <w:lang w:val="en-US"/>
        </w:rPr>
        <w:t>the L</w:t>
      </w:r>
      <w:r w:rsidR="00020AD4" w:rsidRPr="00B868EA">
        <w:rPr>
          <w:rFonts w:ascii="Acumin Pro" w:hAnsi="Acumin Pro" w:cstheme="minorHAnsi"/>
          <w:sz w:val="24"/>
          <w:szCs w:val="24"/>
          <w:lang w:val="en-US"/>
        </w:rPr>
        <w:t xml:space="preserve">ist of </w:t>
      </w:r>
      <w:r w:rsidR="0061672B" w:rsidRPr="00B868EA">
        <w:rPr>
          <w:rFonts w:ascii="Acumin Pro" w:hAnsi="Acumin Pro" w:cstheme="minorHAnsi"/>
          <w:sz w:val="24"/>
          <w:szCs w:val="24"/>
          <w:lang w:val="en-US"/>
        </w:rPr>
        <w:t>I</w:t>
      </w:r>
      <w:r w:rsidR="00020AD4" w:rsidRPr="00B868EA">
        <w:rPr>
          <w:rFonts w:ascii="Acumin Pro" w:hAnsi="Acumin Pro" w:cstheme="minorHAnsi"/>
          <w:sz w:val="24"/>
          <w:szCs w:val="24"/>
          <w:lang w:val="en-US"/>
        </w:rPr>
        <w:t>ssues at its</w:t>
      </w:r>
      <w:r w:rsidR="00CD0076" w:rsidRPr="00B868EA">
        <w:rPr>
          <w:rFonts w:ascii="Acumin Pro" w:hAnsi="Acumin Pro" w:cstheme="minorHAnsi"/>
          <w:sz w:val="24"/>
          <w:szCs w:val="24"/>
          <w:lang w:val="en-US"/>
        </w:rPr>
        <w:t xml:space="preserve"> 137</w:t>
      </w:r>
      <w:r w:rsidR="006E7929" w:rsidRPr="00B868EA">
        <w:rPr>
          <w:rFonts w:ascii="Acumin Pro" w:hAnsi="Acumin Pro" w:cstheme="minorHAnsi"/>
          <w:sz w:val="24"/>
          <w:szCs w:val="24"/>
          <w:lang w:val="en-US"/>
        </w:rPr>
        <w:t>th</w:t>
      </w:r>
      <w:r w:rsidR="00CD0076" w:rsidRPr="00B868EA">
        <w:rPr>
          <w:rFonts w:ascii="Acumin Pro" w:hAnsi="Acumin Pro" w:cstheme="minorHAnsi"/>
          <w:sz w:val="24"/>
          <w:szCs w:val="24"/>
          <w:lang w:val="en-US"/>
        </w:rPr>
        <w:t xml:space="preserve"> Session.</w:t>
      </w:r>
      <w:r w:rsidR="004B4D21" w:rsidRPr="00B868EA">
        <w:rPr>
          <w:rFonts w:ascii="Acumin Pro" w:hAnsi="Acumin Pro" w:cstheme="minorHAnsi"/>
          <w:sz w:val="24"/>
          <w:szCs w:val="24"/>
          <w:lang w:val="en-US"/>
        </w:rPr>
        <w:t xml:space="preserve"> </w:t>
      </w:r>
      <w:r w:rsidR="009B2FF0" w:rsidRPr="00B868EA">
        <w:rPr>
          <w:rFonts w:ascii="Acumin Pro" w:hAnsi="Acumin Pro" w:cstheme="minorHAnsi"/>
          <w:sz w:val="24"/>
          <w:szCs w:val="24"/>
          <w:lang w:val="en-US"/>
        </w:rPr>
        <w:t>This submission focuses on</w:t>
      </w:r>
      <w:r w:rsidR="00F562C1" w:rsidRPr="00B868EA">
        <w:rPr>
          <w:rFonts w:ascii="Acumin Pro" w:hAnsi="Acumin Pro" w:cstheme="minorHAnsi"/>
          <w:sz w:val="24"/>
          <w:szCs w:val="24"/>
          <w:lang w:val="en-US"/>
        </w:rPr>
        <w:t xml:space="preserve"> the issue of Roma exclusion, particularly:</w:t>
      </w:r>
    </w:p>
    <w:p w14:paraId="26CB71E9" w14:textId="77777777" w:rsidR="004B4D21" w:rsidRPr="004B4D21" w:rsidRDefault="004B4D21" w:rsidP="004B4D21">
      <w:pPr>
        <w:pStyle w:val="ListParagraph"/>
        <w:spacing w:before="0" w:after="0" w:line="240" w:lineRule="auto"/>
        <w:ind w:left="0"/>
        <w:jc w:val="both"/>
        <w:rPr>
          <w:rFonts w:ascii="Acumin Pro" w:eastAsia="Times New Roman" w:hAnsi="Acumin Pro" w:cs="Arial"/>
          <w:color w:val="333333"/>
          <w:sz w:val="24"/>
          <w:szCs w:val="24"/>
          <w:lang w:eastAsia="sr-Latn-RS"/>
        </w:rPr>
      </w:pPr>
    </w:p>
    <w:p w14:paraId="6EAF4382" w14:textId="41987B85" w:rsidR="0061672B" w:rsidRDefault="00A41ACC" w:rsidP="004B4D21">
      <w:pPr>
        <w:pStyle w:val="ListParagraph"/>
        <w:numPr>
          <w:ilvl w:val="0"/>
          <w:numId w:val="7"/>
        </w:numPr>
        <w:jc w:val="both"/>
        <w:rPr>
          <w:rFonts w:ascii="Acumin Pro" w:hAnsi="Acumin Pro" w:cstheme="minorHAnsi"/>
          <w:sz w:val="24"/>
          <w:szCs w:val="24"/>
          <w:lang w:val="en-US"/>
        </w:rPr>
      </w:pPr>
      <w:r w:rsidRPr="0061672B">
        <w:rPr>
          <w:rFonts w:ascii="Acumin Pro" w:hAnsi="Acumin Pro" w:cstheme="minorHAnsi"/>
          <w:sz w:val="24"/>
          <w:szCs w:val="24"/>
          <w:lang w:val="en-US"/>
        </w:rPr>
        <w:t>Article 2</w:t>
      </w:r>
      <w:r w:rsidR="00C5482B" w:rsidRPr="0061672B">
        <w:rPr>
          <w:rFonts w:ascii="Acumin Pro" w:hAnsi="Acumin Pro" w:cstheme="minorHAnsi"/>
          <w:sz w:val="24"/>
          <w:szCs w:val="24"/>
          <w:lang w:val="en-US"/>
        </w:rPr>
        <w:t>6</w:t>
      </w:r>
      <w:r w:rsidRPr="0061672B">
        <w:rPr>
          <w:rFonts w:ascii="Acumin Pro" w:hAnsi="Acumin Pro" w:cstheme="minorHAnsi"/>
          <w:sz w:val="24"/>
          <w:szCs w:val="24"/>
          <w:lang w:val="en-US"/>
        </w:rPr>
        <w:t xml:space="preserve"> (</w:t>
      </w:r>
      <w:r w:rsidR="00DA4A81" w:rsidRPr="0061672B">
        <w:rPr>
          <w:rFonts w:ascii="Acumin Pro" w:hAnsi="Acumin Pro" w:cstheme="minorHAnsi"/>
          <w:sz w:val="24"/>
          <w:szCs w:val="24"/>
          <w:lang w:val="en-US"/>
        </w:rPr>
        <w:t>D</w:t>
      </w:r>
      <w:r w:rsidR="00264690" w:rsidRPr="0061672B">
        <w:rPr>
          <w:rFonts w:ascii="Acumin Pro" w:hAnsi="Acumin Pro" w:cstheme="minorHAnsi"/>
          <w:sz w:val="24"/>
          <w:szCs w:val="24"/>
          <w:lang w:val="en-US"/>
        </w:rPr>
        <w:t>iscrimination of Roma</w:t>
      </w:r>
      <w:r w:rsidR="00D87B60" w:rsidRPr="0061672B">
        <w:rPr>
          <w:rFonts w:ascii="Acumin Pro" w:hAnsi="Acumin Pro" w:cstheme="minorHAnsi"/>
          <w:sz w:val="24"/>
          <w:szCs w:val="24"/>
          <w:lang w:val="en-US"/>
        </w:rPr>
        <w:t xml:space="preserve"> children</w:t>
      </w:r>
      <w:r w:rsidR="00264690" w:rsidRPr="0061672B">
        <w:rPr>
          <w:rFonts w:ascii="Acumin Pro" w:hAnsi="Acumin Pro" w:cstheme="minorHAnsi"/>
          <w:sz w:val="24"/>
          <w:szCs w:val="24"/>
          <w:lang w:val="en-US"/>
        </w:rPr>
        <w:t xml:space="preserve"> in the access to parental and children allowance and </w:t>
      </w:r>
      <w:r w:rsidR="00DA4A81" w:rsidRPr="0061672B">
        <w:rPr>
          <w:rFonts w:ascii="Acumin Pro" w:hAnsi="Acumin Pro" w:cstheme="minorHAnsi"/>
          <w:sz w:val="24"/>
          <w:szCs w:val="24"/>
          <w:lang w:val="en-US"/>
        </w:rPr>
        <w:t xml:space="preserve">exclusion of undocumented Roma from </w:t>
      </w:r>
      <w:r w:rsidR="00264690" w:rsidRPr="0061672B">
        <w:rPr>
          <w:rFonts w:ascii="Acumin Pro" w:hAnsi="Acumin Pro" w:cstheme="minorHAnsi"/>
          <w:sz w:val="24"/>
          <w:szCs w:val="24"/>
          <w:lang w:val="en-US"/>
        </w:rPr>
        <w:t>pandemic</w:t>
      </w:r>
      <w:r w:rsidR="00DA4A81" w:rsidRPr="0061672B">
        <w:rPr>
          <w:rFonts w:ascii="Acumin Pro" w:hAnsi="Acumin Pro" w:cstheme="minorHAnsi"/>
          <w:sz w:val="24"/>
          <w:szCs w:val="24"/>
          <w:lang w:val="en-US"/>
        </w:rPr>
        <w:t>-</w:t>
      </w:r>
      <w:r w:rsidR="00264690" w:rsidRPr="0061672B">
        <w:rPr>
          <w:rFonts w:ascii="Acumin Pro" w:hAnsi="Acumin Pro" w:cstheme="minorHAnsi"/>
          <w:sz w:val="24"/>
          <w:szCs w:val="24"/>
          <w:lang w:val="en-US"/>
        </w:rPr>
        <w:t>related measures)</w:t>
      </w:r>
      <w:r w:rsidR="00E21342">
        <w:rPr>
          <w:rFonts w:ascii="Acumin Pro" w:hAnsi="Acumin Pro" w:cstheme="minorHAnsi"/>
          <w:sz w:val="24"/>
          <w:szCs w:val="24"/>
          <w:lang w:val="en-US"/>
        </w:rPr>
        <w:t xml:space="preserve">, </w:t>
      </w:r>
    </w:p>
    <w:p w14:paraId="11C77343" w14:textId="4DB59769" w:rsidR="0096459C" w:rsidRPr="0061672B" w:rsidRDefault="0096459C" w:rsidP="004B4D21">
      <w:pPr>
        <w:pStyle w:val="ListParagraph"/>
        <w:numPr>
          <w:ilvl w:val="0"/>
          <w:numId w:val="7"/>
        </w:numPr>
        <w:jc w:val="both"/>
        <w:rPr>
          <w:rFonts w:ascii="Acumin Pro" w:hAnsi="Acumin Pro" w:cstheme="minorHAnsi"/>
          <w:sz w:val="24"/>
          <w:szCs w:val="24"/>
          <w:lang w:val="en-US"/>
        </w:rPr>
      </w:pPr>
      <w:r w:rsidRPr="0096459C">
        <w:rPr>
          <w:rFonts w:ascii="Acumin Pro" w:hAnsi="Acumin Pro" w:cstheme="minorHAnsi"/>
          <w:sz w:val="24"/>
          <w:szCs w:val="24"/>
          <w:lang w:val="en-US"/>
        </w:rPr>
        <w:t>Limiting the number of children eligible for parental and child allowance</w:t>
      </w:r>
      <w:r>
        <w:rPr>
          <w:rFonts w:ascii="Acumin Pro" w:hAnsi="Acumin Pro" w:cstheme="minorHAnsi"/>
          <w:sz w:val="24"/>
          <w:szCs w:val="24"/>
          <w:lang w:val="en-US"/>
        </w:rPr>
        <w:t xml:space="preserve">, </w:t>
      </w:r>
    </w:p>
    <w:p w14:paraId="7CC06CE5" w14:textId="54C31011" w:rsidR="00A41ACC" w:rsidRDefault="00684741" w:rsidP="004B4D21">
      <w:pPr>
        <w:pStyle w:val="ListParagraph"/>
        <w:numPr>
          <w:ilvl w:val="0"/>
          <w:numId w:val="7"/>
        </w:numPr>
        <w:jc w:val="both"/>
        <w:rPr>
          <w:rFonts w:ascii="Acumin Pro" w:hAnsi="Acumin Pro" w:cstheme="minorHAnsi"/>
          <w:sz w:val="24"/>
          <w:szCs w:val="24"/>
          <w:lang w:val="en-US"/>
        </w:rPr>
      </w:pPr>
      <w:r w:rsidRPr="0061672B">
        <w:rPr>
          <w:rFonts w:ascii="Acumin Pro" w:hAnsi="Acumin Pro" w:cstheme="minorHAnsi"/>
          <w:sz w:val="24"/>
          <w:szCs w:val="24"/>
          <w:lang w:val="en-US"/>
        </w:rPr>
        <w:t xml:space="preserve">Right of Roma </w:t>
      </w:r>
      <w:r w:rsidR="00F562C1" w:rsidRPr="0061672B">
        <w:rPr>
          <w:rFonts w:ascii="Acumin Pro" w:hAnsi="Acumin Pro" w:cstheme="minorHAnsi"/>
          <w:sz w:val="24"/>
          <w:szCs w:val="24"/>
          <w:lang w:val="en-US"/>
        </w:rPr>
        <w:t>w</w:t>
      </w:r>
      <w:r w:rsidRPr="0061672B">
        <w:rPr>
          <w:rFonts w:ascii="Acumin Pro" w:hAnsi="Acumin Pro" w:cstheme="minorHAnsi"/>
          <w:sz w:val="24"/>
          <w:szCs w:val="24"/>
          <w:lang w:val="en-US"/>
        </w:rPr>
        <w:t>omen and</w:t>
      </w:r>
      <w:r w:rsidR="00F562C1" w:rsidRPr="0061672B">
        <w:rPr>
          <w:rFonts w:ascii="Acumin Pro" w:hAnsi="Acumin Pro" w:cstheme="minorHAnsi"/>
          <w:sz w:val="24"/>
          <w:szCs w:val="24"/>
          <w:lang w:val="en-US"/>
        </w:rPr>
        <w:t xml:space="preserve"> children and </w:t>
      </w:r>
      <w:r w:rsidR="005308F5" w:rsidRPr="0061672B">
        <w:rPr>
          <w:rFonts w:ascii="Acumin Pro" w:hAnsi="Acumin Pro" w:cstheme="minorHAnsi"/>
          <w:sz w:val="24"/>
          <w:szCs w:val="24"/>
          <w:lang w:val="en-US"/>
        </w:rPr>
        <w:t xml:space="preserve">access to </w:t>
      </w:r>
      <w:r w:rsidRPr="0061672B">
        <w:rPr>
          <w:rFonts w:ascii="Acumin Pro" w:hAnsi="Acumin Pro" w:cstheme="minorHAnsi"/>
          <w:sz w:val="24"/>
          <w:szCs w:val="24"/>
          <w:lang w:val="en-US"/>
        </w:rPr>
        <w:t>healthcare</w:t>
      </w:r>
      <w:r w:rsidR="00E21342">
        <w:rPr>
          <w:rFonts w:ascii="Acumin Pro" w:hAnsi="Acumin Pro" w:cstheme="minorHAnsi"/>
          <w:sz w:val="24"/>
          <w:szCs w:val="24"/>
          <w:lang w:val="en-US"/>
        </w:rPr>
        <w:t xml:space="preserve">, </w:t>
      </w:r>
    </w:p>
    <w:p w14:paraId="5A4C369D" w14:textId="5AFC8E00" w:rsidR="00E21342" w:rsidRPr="0096459C" w:rsidRDefault="0096459C" w:rsidP="0096459C">
      <w:pPr>
        <w:pStyle w:val="ListParagraph"/>
        <w:numPr>
          <w:ilvl w:val="0"/>
          <w:numId w:val="7"/>
        </w:numPr>
        <w:jc w:val="both"/>
        <w:rPr>
          <w:rFonts w:ascii="Acumin Pro" w:hAnsi="Acumin Pro" w:cstheme="minorHAnsi"/>
          <w:sz w:val="24"/>
          <w:szCs w:val="24"/>
          <w:lang w:val="en-US"/>
        </w:rPr>
      </w:pPr>
      <w:r w:rsidRPr="00E21342">
        <w:rPr>
          <w:rFonts w:ascii="Acumin Pro" w:hAnsi="Acumin Pro" w:cstheme="minorHAnsi"/>
          <w:sz w:val="24"/>
          <w:szCs w:val="24"/>
          <w:lang w:val="en-US"/>
        </w:rPr>
        <w:t xml:space="preserve">Labor exploitation and human trafficking at the construction site of </w:t>
      </w:r>
      <w:proofErr w:type="spellStart"/>
      <w:r w:rsidRPr="00E21342">
        <w:rPr>
          <w:rFonts w:ascii="Acumin Pro" w:hAnsi="Acumin Pro" w:cstheme="minorHAnsi"/>
          <w:sz w:val="24"/>
          <w:szCs w:val="24"/>
          <w:lang w:val="en-US"/>
        </w:rPr>
        <w:t>Linglong</w:t>
      </w:r>
      <w:proofErr w:type="spellEnd"/>
      <w:r w:rsidRPr="00E21342">
        <w:rPr>
          <w:rFonts w:ascii="Acumin Pro" w:hAnsi="Acumin Pro" w:cstheme="minorHAnsi"/>
          <w:sz w:val="24"/>
          <w:szCs w:val="24"/>
          <w:lang w:val="en-US"/>
        </w:rPr>
        <w:t xml:space="preserve"> Tire factory in </w:t>
      </w:r>
      <w:proofErr w:type="spellStart"/>
      <w:r w:rsidRPr="00E21342">
        <w:rPr>
          <w:rFonts w:ascii="Acumin Pro" w:hAnsi="Acumin Pro" w:cstheme="minorHAnsi"/>
          <w:sz w:val="24"/>
          <w:szCs w:val="24"/>
          <w:lang w:val="en-US"/>
        </w:rPr>
        <w:t>Zrenjanin</w:t>
      </w:r>
      <w:proofErr w:type="spellEnd"/>
      <w:r>
        <w:rPr>
          <w:rFonts w:ascii="Acumin Pro" w:hAnsi="Acumin Pro" w:cstheme="minorHAnsi"/>
          <w:sz w:val="24"/>
          <w:szCs w:val="24"/>
          <w:lang w:val="en-US"/>
        </w:rPr>
        <w:t xml:space="preserve">. </w:t>
      </w:r>
    </w:p>
    <w:p w14:paraId="406D3995" w14:textId="77777777" w:rsidR="0061672B" w:rsidRDefault="0061672B">
      <w:pPr>
        <w:rPr>
          <w:rFonts w:ascii="Acumin Pro" w:hAnsi="Acumin Pro" w:cstheme="minorHAnsi"/>
          <w:sz w:val="24"/>
          <w:szCs w:val="24"/>
          <w:lang w:val="en-US"/>
        </w:rPr>
      </w:pPr>
      <w:r>
        <w:rPr>
          <w:rFonts w:ascii="Acumin Pro" w:hAnsi="Acumin Pro" w:cstheme="minorHAnsi"/>
          <w:sz w:val="24"/>
          <w:szCs w:val="24"/>
          <w:lang w:val="en-US"/>
        </w:rPr>
        <w:br w:type="page"/>
      </w:r>
    </w:p>
    <w:p w14:paraId="39E371AD" w14:textId="74140E15" w:rsidR="00F562C1" w:rsidRPr="004B4D21" w:rsidRDefault="00F562C1" w:rsidP="005F0A84">
      <w:pPr>
        <w:jc w:val="both"/>
        <w:rPr>
          <w:rFonts w:ascii="Neue Machina Ultrabold" w:hAnsi="Neue Machina Ultrabold" w:cstheme="minorHAnsi"/>
          <w:sz w:val="32"/>
          <w:szCs w:val="32"/>
          <w:lang w:val="en-US"/>
        </w:rPr>
      </w:pPr>
      <w:r w:rsidRPr="004B4D21">
        <w:rPr>
          <w:rFonts w:ascii="Neue Machina Ultrabold" w:hAnsi="Neue Machina Ultrabold" w:cstheme="minorHAnsi"/>
          <w:sz w:val="32"/>
          <w:szCs w:val="32"/>
          <w:lang w:val="en-US"/>
        </w:rPr>
        <w:lastRenderedPageBreak/>
        <w:t>Roma Exclusion</w:t>
      </w:r>
    </w:p>
    <w:p w14:paraId="7900F14A" w14:textId="55EC3FCE" w:rsidR="00B868EA" w:rsidRPr="00B868EA" w:rsidRDefault="0096459C" w:rsidP="005F0A84">
      <w:pPr>
        <w:jc w:val="both"/>
        <w:rPr>
          <w:rFonts w:ascii="Acumin Pro" w:hAnsi="Acumin Pro" w:cstheme="minorHAnsi"/>
          <w:b/>
          <w:bCs/>
          <w:sz w:val="24"/>
          <w:szCs w:val="24"/>
          <w:lang w:val="en-US"/>
        </w:rPr>
      </w:pPr>
      <w:r w:rsidRPr="00B868EA">
        <w:rPr>
          <w:rFonts w:ascii="Acumin Pro" w:hAnsi="Acumin Pro" w:cstheme="minorHAnsi"/>
          <w:b/>
          <w:bCs/>
          <w:sz w:val="24"/>
          <w:szCs w:val="24"/>
          <w:lang w:val="en-US"/>
        </w:rPr>
        <w:t xml:space="preserve">ARTICLE 26 </w:t>
      </w:r>
    </w:p>
    <w:p w14:paraId="6E80A021" w14:textId="5A280435" w:rsidR="00D87B60" w:rsidRPr="00B868EA" w:rsidRDefault="0096459C" w:rsidP="005F0A84">
      <w:pPr>
        <w:jc w:val="both"/>
        <w:rPr>
          <w:rFonts w:ascii="Acumin Pro" w:hAnsi="Acumin Pro" w:cstheme="minorHAnsi"/>
          <w:b/>
          <w:bCs/>
          <w:sz w:val="24"/>
          <w:szCs w:val="24"/>
          <w:lang w:val="en-US"/>
        </w:rPr>
      </w:pPr>
      <w:r w:rsidRPr="00B868EA">
        <w:rPr>
          <w:rFonts w:ascii="Acumin Pro" w:hAnsi="Acumin Pro" w:cstheme="minorHAnsi"/>
          <w:b/>
          <w:bCs/>
          <w:sz w:val="24"/>
          <w:szCs w:val="24"/>
          <w:lang w:val="en-US"/>
        </w:rPr>
        <w:t>DISCRIMINATION OF ROMA CHILDREN IN THE ACCESS TO PARENTAL ALLOWANCE</w:t>
      </w:r>
    </w:p>
    <w:p w14:paraId="7FDAF356" w14:textId="77777777" w:rsidR="00B868EA" w:rsidRPr="00B868EA" w:rsidRDefault="0006169B" w:rsidP="002C4A6E">
      <w:pPr>
        <w:pStyle w:val="ListParagraph"/>
        <w:numPr>
          <w:ilvl w:val="0"/>
          <w:numId w:val="6"/>
        </w:numPr>
        <w:spacing w:before="0" w:after="0" w:line="240" w:lineRule="auto"/>
        <w:ind w:left="0" w:hanging="426"/>
        <w:jc w:val="both"/>
        <w:rPr>
          <w:rFonts w:ascii="Acumin Pro" w:hAnsi="Acumin Pro" w:cstheme="minorHAnsi"/>
          <w:sz w:val="24"/>
          <w:szCs w:val="24"/>
          <w:vertAlign w:val="superscript"/>
          <w:lang w:val="en-US"/>
        </w:rPr>
      </w:pPr>
      <w:r w:rsidRPr="00B868EA">
        <w:rPr>
          <w:rFonts w:ascii="Acumin Pro" w:hAnsi="Acumin Pro" w:cstheme="minorHAnsi"/>
          <w:sz w:val="24"/>
          <w:szCs w:val="24"/>
          <w:lang w:val="en-US"/>
        </w:rPr>
        <w:t xml:space="preserve">In strong contrast to the need to take additional steps to improve the position of </w:t>
      </w:r>
      <w:r w:rsidR="00434509" w:rsidRPr="00B868EA">
        <w:rPr>
          <w:rFonts w:ascii="Acumin Pro" w:hAnsi="Acumin Pro" w:cstheme="minorHAnsi"/>
          <w:sz w:val="24"/>
          <w:szCs w:val="24"/>
          <w:lang w:val="en-US"/>
        </w:rPr>
        <w:t xml:space="preserve">vulnerable </w:t>
      </w:r>
      <w:r w:rsidRPr="00B868EA">
        <w:rPr>
          <w:rFonts w:ascii="Acumin Pro" w:hAnsi="Acumin Pro" w:cstheme="minorHAnsi"/>
          <w:sz w:val="24"/>
          <w:szCs w:val="24"/>
          <w:lang w:val="en-US"/>
        </w:rPr>
        <w:t xml:space="preserve">Roma, </w:t>
      </w:r>
      <w:r w:rsidR="00D00A80" w:rsidRPr="00B868EA">
        <w:rPr>
          <w:rFonts w:ascii="Acumin Pro" w:hAnsi="Acumin Pro" w:cstheme="minorHAnsi"/>
          <w:b/>
          <w:bCs/>
          <w:sz w:val="24"/>
          <w:szCs w:val="24"/>
          <w:lang w:val="en-US"/>
        </w:rPr>
        <w:t>the Law on Financial Support to the Family with Children</w:t>
      </w:r>
      <w:r w:rsidR="00D97281" w:rsidRPr="00B868EA">
        <w:rPr>
          <w:rFonts w:ascii="Acumin Pro" w:hAnsi="Acumin Pro" w:cstheme="minorHAnsi"/>
          <w:sz w:val="24"/>
          <w:szCs w:val="24"/>
          <w:lang w:val="en-US"/>
        </w:rPr>
        <w:t xml:space="preserve"> (hereinafter: </w:t>
      </w:r>
      <w:r w:rsidR="007B0BAE" w:rsidRPr="00B868EA">
        <w:rPr>
          <w:rFonts w:ascii="Acumin Pro" w:hAnsi="Acumin Pro" w:cstheme="minorHAnsi"/>
          <w:sz w:val="24"/>
          <w:szCs w:val="24"/>
          <w:lang w:val="en-US"/>
        </w:rPr>
        <w:t xml:space="preserve">the Law, LFSFC) </w:t>
      </w:r>
      <w:r w:rsidR="00D97281" w:rsidRPr="00B868EA">
        <w:rPr>
          <w:rFonts w:ascii="Acumin Pro" w:hAnsi="Acumin Pro" w:cstheme="minorHAnsi"/>
          <w:b/>
          <w:bCs/>
          <w:sz w:val="24"/>
          <w:szCs w:val="24"/>
          <w:lang w:val="en-US"/>
        </w:rPr>
        <w:t>discriminate against Roma children</w:t>
      </w:r>
      <w:r w:rsidR="00D97281" w:rsidRPr="00B868EA">
        <w:rPr>
          <w:rFonts w:ascii="Acumin Pro" w:hAnsi="Acumin Pro" w:cstheme="minorHAnsi"/>
          <w:sz w:val="24"/>
          <w:szCs w:val="24"/>
          <w:lang w:val="en-US"/>
        </w:rPr>
        <w:t>.</w:t>
      </w:r>
      <w:r w:rsidR="007B0BAE" w:rsidRPr="00B868EA">
        <w:rPr>
          <w:rFonts w:ascii="Acumin Pro" w:hAnsi="Acumin Pro" w:cstheme="minorHAnsi"/>
          <w:sz w:val="24"/>
          <w:szCs w:val="24"/>
          <w:lang w:val="en-US"/>
        </w:rPr>
        <w:t xml:space="preserve"> </w:t>
      </w:r>
      <w:r w:rsidR="000873AC" w:rsidRPr="00B868EA">
        <w:rPr>
          <w:rFonts w:ascii="Acumin Pro" w:hAnsi="Acumin Pro" w:cstheme="minorHAnsi"/>
          <w:sz w:val="24"/>
          <w:szCs w:val="24"/>
          <w:lang w:val="en-US"/>
        </w:rPr>
        <w:t>Article 25 of the Law, as amended in 2018</w:t>
      </w:r>
      <w:r w:rsidR="009F0BF1" w:rsidRPr="0061672B">
        <w:rPr>
          <w:rStyle w:val="FootnoteReference"/>
          <w:rFonts w:ascii="Acumin Pro" w:hAnsi="Acumin Pro" w:cstheme="minorHAnsi"/>
          <w:sz w:val="24"/>
          <w:szCs w:val="24"/>
          <w:lang w:val="en-US"/>
        </w:rPr>
        <w:footnoteReference w:id="1"/>
      </w:r>
      <w:r w:rsidR="000873AC" w:rsidRPr="00B868EA">
        <w:rPr>
          <w:rFonts w:ascii="Acumin Pro" w:hAnsi="Acumin Pro" w:cstheme="minorHAnsi"/>
          <w:sz w:val="24"/>
          <w:szCs w:val="24"/>
          <w:lang w:val="en-US"/>
        </w:rPr>
        <w:t xml:space="preserve">  and 2021,</w:t>
      </w:r>
      <w:r w:rsidR="00FB6503" w:rsidRPr="0061672B">
        <w:rPr>
          <w:rStyle w:val="FootnoteReference"/>
          <w:rFonts w:ascii="Acumin Pro" w:hAnsi="Acumin Pro" w:cstheme="minorHAnsi"/>
          <w:sz w:val="24"/>
          <w:szCs w:val="24"/>
          <w:lang w:val="en-US"/>
        </w:rPr>
        <w:footnoteReference w:id="2"/>
      </w:r>
      <w:r w:rsidR="000873AC" w:rsidRPr="00B868EA">
        <w:rPr>
          <w:rFonts w:ascii="Acumin Pro" w:hAnsi="Acumin Pro" w:cstheme="minorHAnsi"/>
          <w:sz w:val="24"/>
          <w:szCs w:val="24"/>
          <w:lang w:val="en-US"/>
        </w:rPr>
        <w:t xml:space="preserve">  introduced </w:t>
      </w:r>
      <w:r w:rsidR="000873AC" w:rsidRPr="00B868EA">
        <w:rPr>
          <w:rFonts w:ascii="Acumin Pro" w:hAnsi="Acumin Pro" w:cstheme="minorHAnsi"/>
          <w:b/>
          <w:bCs/>
          <w:sz w:val="24"/>
          <w:szCs w:val="24"/>
          <w:lang w:val="en-US"/>
        </w:rPr>
        <w:t>additional conditions for parental allowance,</w:t>
      </w:r>
      <w:r w:rsidR="000873AC" w:rsidRPr="00B868EA">
        <w:rPr>
          <w:rFonts w:ascii="Acumin Pro" w:hAnsi="Acumin Pro" w:cstheme="minorHAnsi"/>
          <w:sz w:val="24"/>
          <w:szCs w:val="24"/>
          <w:lang w:val="en-US"/>
        </w:rPr>
        <w:t xml:space="preserve"> i.e., that children must be fully and timely vaccinated and that they must regularly attend elementary school and obligatory preschool education. Although these conditions, on the face of it, are neutral, their effects disproportionately affect vulnerable Roma children.</w:t>
      </w:r>
    </w:p>
    <w:p w14:paraId="438A8A60" w14:textId="77777777" w:rsidR="002C7EFD" w:rsidRDefault="00897D3E" w:rsidP="0006169B">
      <w:pPr>
        <w:pStyle w:val="ListParagraph"/>
        <w:numPr>
          <w:ilvl w:val="0"/>
          <w:numId w:val="6"/>
        </w:numPr>
        <w:spacing w:before="0" w:after="0" w:line="240" w:lineRule="auto"/>
        <w:ind w:left="0" w:hanging="426"/>
        <w:jc w:val="both"/>
        <w:rPr>
          <w:rFonts w:ascii="Acumin Pro" w:hAnsi="Acumin Pro" w:cstheme="minorHAnsi"/>
          <w:sz w:val="24"/>
          <w:szCs w:val="24"/>
          <w:vertAlign w:val="superscript"/>
          <w:lang w:val="en-US"/>
        </w:rPr>
      </w:pPr>
      <w:r w:rsidRPr="00B868EA">
        <w:rPr>
          <w:rFonts w:ascii="Acumin Pro" w:hAnsi="Acumin Pro" w:cstheme="minorHAnsi"/>
          <w:sz w:val="24"/>
          <w:szCs w:val="24"/>
          <w:lang w:val="en-US"/>
        </w:rPr>
        <w:t xml:space="preserve">All data points to the existence of a </w:t>
      </w:r>
      <w:r w:rsidRPr="00B868EA">
        <w:rPr>
          <w:rFonts w:ascii="Acumin Pro" w:hAnsi="Acumin Pro" w:cstheme="minorHAnsi"/>
          <w:b/>
          <w:bCs/>
          <w:sz w:val="24"/>
          <w:szCs w:val="24"/>
          <w:lang w:val="en-US"/>
        </w:rPr>
        <w:t>gap between Roma and non-Roma children in school and pre-school attendance, as well as in immunization coverage</w:t>
      </w:r>
      <w:r w:rsidRPr="00B868EA">
        <w:rPr>
          <w:rFonts w:ascii="Acumin Pro" w:hAnsi="Acumin Pro" w:cstheme="minorHAnsi"/>
          <w:sz w:val="24"/>
          <w:szCs w:val="24"/>
          <w:lang w:val="en-US"/>
        </w:rPr>
        <w:t>. Thus, a regional UNDP research about Roma shows that about one in six marginalized Roma children of school age is still not participating in the education system.</w:t>
      </w:r>
      <w:r w:rsidRPr="0061672B">
        <w:rPr>
          <w:rFonts w:ascii="Acumin Pro" w:hAnsi="Acumin Pro" w:cstheme="minorHAnsi"/>
          <w:sz w:val="24"/>
          <w:szCs w:val="24"/>
          <w:vertAlign w:val="superscript"/>
          <w:lang w:val="en-US"/>
        </w:rPr>
        <w:footnoteReference w:id="3"/>
      </w:r>
      <w:r w:rsidRPr="00B868EA">
        <w:rPr>
          <w:rFonts w:ascii="Acumin Pro" w:hAnsi="Acumin Pro" w:cstheme="minorHAnsi"/>
          <w:sz w:val="24"/>
          <w:szCs w:val="24"/>
          <w:lang w:val="en-US"/>
        </w:rPr>
        <w:t xml:space="preserve"> The same research shows that the </w:t>
      </w:r>
      <w:r w:rsidRPr="002C7EFD">
        <w:rPr>
          <w:rFonts w:ascii="Acumin Pro" w:hAnsi="Acumin Pro" w:cstheme="minorHAnsi"/>
          <w:b/>
          <w:bCs/>
          <w:sz w:val="24"/>
          <w:szCs w:val="24"/>
          <w:lang w:val="en-US"/>
        </w:rPr>
        <w:t>completion rate of compulsory education among Roma girls is only 57%, compared to 93% among non-Roma girls and 95% non-Roma boys</w:t>
      </w:r>
      <w:r w:rsidRPr="00B868EA">
        <w:rPr>
          <w:rFonts w:ascii="Acumin Pro" w:hAnsi="Acumin Pro" w:cstheme="minorHAnsi"/>
          <w:sz w:val="24"/>
          <w:szCs w:val="24"/>
          <w:lang w:val="en-US"/>
        </w:rPr>
        <w:t>.</w:t>
      </w:r>
      <w:r w:rsidRPr="0061672B">
        <w:rPr>
          <w:rStyle w:val="FootnoteReference"/>
          <w:rFonts w:ascii="Acumin Pro" w:hAnsi="Acumin Pro" w:cstheme="minorHAnsi"/>
          <w:sz w:val="24"/>
          <w:szCs w:val="24"/>
          <w:lang w:val="en-US"/>
        </w:rPr>
        <w:footnoteReference w:id="4"/>
      </w:r>
      <w:r w:rsidRPr="00B868EA">
        <w:rPr>
          <w:rFonts w:ascii="Acumin Pro" w:hAnsi="Acumin Pro" w:cstheme="minorHAnsi"/>
          <w:sz w:val="24"/>
          <w:szCs w:val="24"/>
          <w:lang w:val="en-US"/>
        </w:rPr>
        <w:t xml:space="preserve"> According to 2019 data from UNICEF and the Republic Statistical Office, the percentage of Roma children enrolled in school in early childhood is only 7% compared to 61% for the general population. </w:t>
      </w:r>
      <w:r w:rsidRPr="002C7EFD">
        <w:rPr>
          <w:rFonts w:ascii="Acumin Pro" w:hAnsi="Acumin Pro" w:cstheme="minorHAnsi"/>
          <w:b/>
          <w:bCs/>
          <w:sz w:val="24"/>
          <w:szCs w:val="24"/>
          <w:lang w:val="en-US"/>
        </w:rPr>
        <w:t>The primary school completion rate among children living in Roma settlements is 64%.</w:t>
      </w:r>
      <w:r w:rsidRPr="0061672B">
        <w:rPr>
          <w:rFonts w:ascii="Acumin Pro" w:hAnsi="Acumin Pro" w:cstheme="minorHAnsi"/>
          <w:sz w:val="24"/>
          <w:szCs w:val="24"/>
          <w:vertAlign w:val="superscript"/>
          <w:lang w:val="en-US"/>
        </w:rPr>
        <w:footnoteReference w:id="5"/>
      </w:r>
      <w:r w:rsidRPr="00B868EA">
        <w:rPr>
          <w:rFonts w:ascii="Acumin Pro" w:hAnsi="Acumin Pro" w:cstheme="minorHAnsi"/>
          <w:sz w:val="24"/>
          <w:szCs w:val="24"/>
          <w:lang w:val="en-US"/>
        </w:rPr>
        <w:t xml:space="preserve"> School attendance rates for children from Roma settlements are lower compared to the national average at all three levels, particularly at the level of early childhood education (7%). The completion rates for primary and secondary education in the general population are high, while these rates are significantly lower for children coming from Roma settlements.</w:t>
      </w:r>
      <w:r w:rsidRPr="00B868EA">
        <w:rPr>
          <w:rFonts w:ascii="Acumin Pro" w:hAnsi="Acumin Pro" w:cstheme="minorHAnsi"/>
          <w:sz w:val="24"/>
          <w:szCs w:val="24"/>
          <w:vertAlign w:val="superscript"/>
          <w:lang w:val="en-US"/>
        </w:rPr>
        <w:t xml:space="preserve"> </w:t>
      </w:r>
      <w:r w:rsidRPr="0061672B">
        <w:rPr>
          <w:rFonts w:ascii="Acumin Pro" w:hAnsi="Acumin Pro" w:cstheme="minorHAnsi"/>
          <w:sz w:val="24"/>
          <w:szCs w:val="24"/>
          <w:vertAlign w:val="superscript"/>
          <w:lang w:val="en-US"/>
        </w:rPr>
        <w:footnoteReference w:id="6"/>
      </w:r>
      <w:r w:rsidRPr="00B868EA">
        <w:rPr>
          <w:rFonts w:ascii="Acumin Pro" w:hAnsi="Acumin Pro" w:cstheme="minorHAnsi"/>
          <w:sz w:val="24"/>
          <w:szCs w:val="24"/>
          <w:lang w:val="en-US"/>
        </w:rPr>
        <w:t xml:space="preserve"> Among children in the general population, the attendance rate in the preparatory preschool program remained very high (97%), while being substantially lower in Roma settlements (76%).</w:t>
      </w:r>
      <w:r w:rsidRPr="0061672B">
        <w:rPr>
          <w:rFonts w:ascii="Acumin Pro" w:hAnsi="Acumin Pro" w:cstheme="minorHAnsi"/>
          <w:sz w:val="24"/>
          <w:szCs w:val="24"/>
          <w:vertAlign w:val="superscript"/>
          <w:lang w:val="en-US"/>
        </w:rPr>
        <w:footnoteReference w:id="7"/>
      </w:r>
      <w:r w:rsidRPr="00B868EA">
        <w:rPr>
          <w:rFonts w:ascii="Acumin Pro" w:hAnsi="Acumin Pro" w:cstheme="minorHAnsi"/>
          <w:sz w:val="24"/>
          <w:szCs w:val="24"/>
          <w:lang w:val="en-US"/>
        </w:rPr>
        <w:t xml:space="preserve"> Immunization coverage is also lower among Roma children. According to 2019 data </w:t>
      </w:r>
      <w:r w:rsidRPr="00B868EA">
        <w:rPr>
          <w:rFonts w:ascii="Acumin Pro" w:hAnsi="Acumin Pro" w:cstheme="minorHAnsi"/>
          <w:sz w:val="24"/>
          <w:szCs w:val="24"/>
          <w:lang w:val="en-US"/>
        </w:rPr>
        <w:lastRenderedPageBreak/>
        <w:t xml:space="preserve">from UNICEF and the Republic Statistical Office, only </w:t>
      </w:r>
      <w:r w:rsidRPr="002C7EFD">
        <w:rPr>
          <w:rFonts w:ascii="Acumin Pro" w:hAnsi="Acumin Pro" w:cstheme="minorHAnsi"/>
          <w:b/>
          <w:bCs/>
          <w:sz w:val="24"/>
          <w:szCs w:val="24"/>
          <w:lang w:val="en-US"/>
        </w:rPr>
        <w:t>around one-third (35%) of Roma children have received all vaccines on time</w:t>
      </w:r>
      <w:r w:rsidRPr="00B868EA">
        <w:rPr>
          <w:rFonts w:ascii="Acumin Pro" w:hAnsi="Acumin Pro" w:cstheme="minorHAnsi"/>
          <w:sz w:val="24"/>
          <w:szCs w:val="24"/>
          <w:lang w:val="en-US"/>
        </w:rPr>
        <w:t>, compared to 69% of children in the general population who have received all vaccines on time.</w:t>
      </w:r>
      <w:r w:rsidRPr="00B868EA">
        <w:rPr>
          <w:rFonts w:ascii="Acumin Pro" w:hAnsi="Acumin Pro" w:cstheme="minorHAnsi"/>
          <w:sz w:val="24"/>
          <w:szCs w:val="24"/>
          <w:vertAlign w:val="superscript"/>
          <w:lang w:val="en-US"/>
        </w:rPr>
        <w:t xml:space="preserve"> </w:t>
      </w:r>
      <w:r w:rsidRPr="0061672B">
        <w:rPr>
          <w:rFonts w:ascii="Acumin Pro" w:hAnsi="Acumin Pro" w:cstheme="minorHAnsi"/>
          <w:sz w:val="24"/>
          <w:szCs w:val="24"/>
          <w:vertAlign w:val="superscript"/>
          <w:lang w:val="en-US"/>
        </w:rPr>
        <w:footnoteReference w:id="8"/>
      </w:r>
      <w:r w:rsidRPr="00B868EA">
        <w:rPr>
          <w:rFonts w:ascii="Acumin Pro" w:hAnsi="Acumin Pro" w:cstheme="minorHAnsi"/>
          <w:sz w:val="24"/>
          <w:szCs w:val="24"/>
          <w:vertAlign w:val="superscript"/>
          <w:lang w:val="en-US"/>
        </w:rPr>
        <w:t xml:space="preserve"> </w:t>
      </w:r>
    </w:p>
    <w:p w14:paraId="1E8119B7" w14:textId="77777777" w:rsidR="002C7EFD" w:rsidRPr="002C7EFD" w:rsidRDefault="004A0CD6" w:rsidP="0006169B">
      <w:pPr>
        <w:pStyle w:val="ListParagraph"/>
        <w:numPr>
          <w:ilvl w:val="0"/>
          <w:numId w:val="6"/>
        </w:numPr>
        <w:spacing w:before="0" w:after="0" w:line="240" w:lineRule="auto"/>
        <w:ind w:left="0" w:hanging="426"/>
        <w:jc w:val="both"/>
        <w:rPr>
          <w:rFonts w:ascii="Acumin Pro" w:hAnsi="Acumin Pro" w:cstheme="minorHAnsi"/>
          <w:sz w:val="24"/>
          <w:szCs w:val="24"/>
          <w:vertAlign w:val="superscript"/>
          <w:lang w:val="en-US"/>
        </w:rPr>
      </w:pPr>
      <w:r w:rsidRPr="002C7EFD">
        <w:rPr>
          <w:rFonts w:ascii="Acumin Pro" w:hAnsi="Acumin Pro" w:cstheme="minorHAnsi"/>
          <w:sz w:val="24"/>
          <w:szCs w:val="24"/>
          <w:lang w:val="en-US"/>
        </w:rPr>
        <w:t>Presented data on school and preschool attendance and immunization coverage among Roma and non-Roma children clearly suggest that conditions for parental allowance have a disparate impact on Roma children. Roma children who remain outside the education system and who are not covered by immunization are among the most marginalized in Serbia and conditions for parental allowance are putting them in an even worse situation and increasing the gap between Roma and non-Roma children.</w:t>
      </w:r>
    </w:p>
    <w:p w14:paraId="0D9C8A6D" w14:textId="77777777" w:rsidR="002C7EFD" w:rsidRPr="002C7EFD" w:rsidRDefault="009B2FF0" w:rsidP="00563A1F">
      <w:pPr>
        <w:pStyle w:val="ListParagraph"/>
        <w:numPr>
          <w:ilvl w:val="0"/>
          <w:numId w:val="6"/>
        </w:numPr>
        <w:spacing w:before="0" w:after="0" w:line="240" w:lineRule="auto"/>
        <w:ind w:left="0" w:hanging="426"/>
        <w:jc w:val="both"/>
        <w:rPr>
          <w:rFonts w:ascii="Acumin Pro" w:hAnsi="Acumin Pro" w:cstheme="minorHAnsi"/>
          <w:b/>
          <w:bCs/>
          <w:sz w:val="24"/>
          <w:szCs w:val="24"/>
          <w:vertAlign w:val="superscript"/>
          <w:lang w:val="en-US"/>
        </w:rPr>
      </w:pPr>
      <w:r w:rsidRPr="002C7EFD">
        <w:rPr>
          <w:rFonts w:ascii="Acumin Pro" w:hAnsi="Acumin Pro" w:cstheme="minorHAnsi"/>
          <w:sz w:val="24"/>
          <w:szCs w:val="24"/>
          <w:lang w:val="en-US"/>
        </w:rPr>
        <w:t>At the end of 119th session the UN Human Rights Committee requested Serbia to provide the Committee with follow-up information on implementation of recommendations contained in paragraphs 15 (Roma exclusion)</w:t>
      </w:r>
      <w:r w:rsidR="00BF03CA" w:rsidRPr="002C7EFD">
        <w:rPr>
          <w:rFonts w:ascii="Acumin Pro" w:hAnsi="Acumin Pro" w:cstheme="minorHAnsi"/>
          <w:sz w:val="24"/>
          <w:szCs w:val="24"/>
          <w:lang w:val="en-US"/>
        </w:rPr>
        <w:t xml:space="preserve">. After the State submitted its follow-up report, </w:t>
      </w:r>
      <w:r w:rsidR="00D5605D" w:rsidRPr="002C7EFD">
        <w:rPr>
          <w:rFonts w:ascii="Acumin Pro" w:hAnsi="Acumin Pro" w:cstheme="minorHAnsi"/>
          <w:sz w:val="24"/>
          <w:szCs w:val="24"/>
          <w:lang w:val="en-US"/>
        </w:rPr>
        <w:t xml:space="preserve">the </w:t>
      </w:r>
      <w:r w:rsidR="00661E88" w:rsidRPr="002C7EFD">
        <w:rPr>
          <w:rFonts w:ascii="Acumin Pro" w:hAnsi="Acumin Pro" w:cstheme="minorHAnsi"/>
          <w:sz w:val="24"/>
          <w:szCs w:val="24"/>
          <w:lang w:val="en-US"/>
        </w:rPr>
        <w:t xml:space="preserve">Human Rights </w:t>
      </w:r>
      <w:r w:rsidR="00096FB3" w:rsidRPr="002C7EFD">
        <w:rPr>
          <w:rFonts w:ascii="Acumin Pro" w:hAnsi="Acumin Pro" w:cstheme="minorHAnsi"/>
          <w:sz w:val="24"/>
          <w:szCs w:val="24"/>
          <w:lang w:val="en-US"/>
        </w:rPr>
        <w:t xml:space="preserve">Committee </w:t>
      </w:r>
      <w:r w:rsidR="00322F17" w:rsidRPr="002C7EFD">
        <w:rPr>
          <w:rFonts w:ascii="Acumin Pro" w:hAnsi="Acumin Pro" w:cstheme="minorHAnsi"/>
          <w:sz w:val="24"/>
          <w:szCs w:val="24"/>
          <w:lang w:val="en-US"/>
        </w:rPr>
        <w:t xml:space="preserve">concluded that Serbia failed to act on the recommendations related to the exclusion of Roma and </w:t>
      </w:r>
      <w:r w:rsidR="00322F17" w:rsidRPr="002C7EFD">
        <w:rPr>
          <w:rFonts w:ascii="Acumin Pro" w:hAnsi="Acumin Pro" w:cstheme="minorHAnsi"/>
          <w:b/>
          <w:bCs/>
          <w:sz w:val="24"/>
          <w:szCs w:val="24"/>
          <w:lang w:val="en-US"/>
        </w:rPr>
        <w:t xml:space="preserve">requested that, within the next reporting cycle, Serbia should provide, </w:t>
      </w:r>
      <w:r w:rsidR="00322F17" w:rsidRPr="002C7EFD">
        <w:rPr>
          <w:rFonts w:ascii="Acumin Pro" w:hAnsi="Acumin Pro" w:cstheme="minorHAnsi"/>
          <w:b/>
          <w:bCs/>
          <w:i/>
          <w:iCs/>
          <w:sz w:val="24"/>
          <w:szCs w:val="24"/>
          <w:lang w:val="en-US"/>
        </w:rPr>
        <w:t>inter alia</w:t>
      </w:r>
      <w:r w:rsidR="00322F17" w:rsidRPr="002C7EFD">
        <w:rPr>
          <w:rFonts w:ascii="Acumin Pro" w:hAnsi="Acumin Pro" w:cstheme="minorHAnsi"/>
          <w:b/>
          <w:bCs/>
          <w:sz w:val="24"/>
          <w:szCs w:val="24"/>
          <w:lang w:val="en-US"/>
        </w:rPr>
        <w:t>, specific information on how amendments to the Law on Financial Support for Families with Children, and especially Article 25 of that Law, which regulates the right to parental allowance, affect the Roma community</w:t>
      </w:r>
      <w:r w:rsidR="00322F17" w:rsidRPr="002C7EFD">
        <w:rPr>
          <w:rFonts w:ascii="Acumin Pro" w:hAnsi="Acumin Pro" w:cstheme="minorHAnsi"/>
          <w:sz w:val="24"/>
          <w:szCs w:val="24"/>
          <w:lang w:val="en-US"/>
        </w:rPr>
        <w:t>.</w:t>
      </w:r>
      <w:r w:rsidR="00322F17" w:rsidRPr="002C7EFD">
        <w:rPr>
          <w:rStyle w:val="FootnoteReference"/>
          <w:rFonts w:ascii="Acumin Pro" w:hAnsi="Acumin Pro" w:cstheme="minorHAnsi"/>
          <w:sz w:val="24"/>
          <w:szCs w:val="24"/>
          <w:lang w:val="en-US"/>
        </w:rPr>
        <w:footnoteReference w:id="9"/>
      </w:r>
    </w:p>
    <w:p w14:paraId="01D70DF4" w14:textId="77777777" w:rsidR="002C7EFD" w:rsidRPr="002C7EFD" w:rsidRDefault="00AC5832" w:rsidP="00563A1F">
      <w:pPr>
        <w:pStyle w:val="ListParagraph"/>
        <w:numPr>
          <w:ilvl w:val="0"/>
          <w:numId w:val="6"/>
        </w:numPr>
        <w:spacing w:before="0" w:after="0" w:line="240" w:lineRule="auto"/>
        <w:ind w:left="0" w:hanging="426"/>
        <w:jc w:val="both"/>
        <w:rPr>
          <w:rFonts w:ascii="Acumin Pro" w:hAnsi="Acumin Pro" w:cstheme="minorHAnsi"/>
          <w:b/>
          <w:bCs/>
          <w:sz w:val="24"/>
          <w:szCs w:val="24"/>
          <w:vertAlign w:val="superscript"/>
          <w:lang w:val="en-US"/>
        </w:rPr>
      </w:pPr>
      <w:r w:rsidRPr="002C7EFD">
        <w:rPr>
          <w:rFonts w:ascii="Acumin Pro" w:hAnsi="Acumin Pro" w:cstheme="minorHAnsi"/>
          <w:sz w:val="24"/>
          <w:szCs w:val="24"/>
          <w:lang w:val="en-US"/>
        </w:rPr>
        <w:t xml:space="preserve">In </w:t>
      </w:r>
      <w:r w:rsidR="00C36B35" w:rsidRPr="002C7EFD">
        <w:rPr>
          <w:rFonts w:ascii="Acumin Pro" w:hAnsi="Acumin Pro" w:cstheme="minorHAnsi"/>
          <w:sz w:val="24"/>
          <w:szCs w:val="24"/>
          <w:lang w:val="en-US"/>
        </w:rPr>
        <w:t xml:space="preserve">the </w:t>
      </w:r>
      <w:r w:rsidR="000D3C3F" w:rsidRPr="002C7EFD">
        <w:rPr>
          <w:rFonts w:ascii="Acumin Pro" w:hAnsi="Acumin Pro" w:cstheme="minorHAnsi"/>
          <w:sz w:val="24"/>
          <w:szCs w:val="24"/>
          <w:lang w:val="en-US"/>
        </w:rPr>
        <w:t xml:space="preserve">fourth periodic report submitted by Serbia the </w:t>
      </w:r>
      <w:r w:rsidR="00210AA9" w:rsidRPr="002C7EFD">
        <w:rPr>
          <w:rFonts w:ascii="Acumin Pro" w:hAnsi="Acumin Pro" w:cstheme="minorHAnsi"/>
          <w:sz w:val="24"/>
          <w:szCs w:val="24"/>
          <w:lang w:val="en-US"/>
        </w:rPr>
        <w:t>State did not provide any</w:t>
      </w:r>
      <w:r w:rsidR="00FC5BC0" w:rsidRPr="002C7EFD">
        <w:rPr>
          <w:rFonts w:ascii="Acumin Pro" w:hAnsi="Acumin Pro" w:cstheme="minorHAnsi"/>
          <w:sz w:val="24"/>
          <w:szCs w:val="24"/>
          <w:lang w:val="en-US"/>
        </w:rPr>
        <w:t xml:space="preserve"> </w:t>
      </w:r>
      <w:r w:rsidR="00210AA9" w:rsidRPr="002C7EFD">
        <w:rPr>
          <w:rFonts w:ascii="Acumin Pro" w:hAnsi="Acumin Pro" w:cstheme="minorHAnsi"/>
          <w:sz w:val="24"/>
          <w:szCs w:val="24"/>
          <w:lang w:val="en-US"/>
        </w:rPr>
        <w:t>information about amendments to the Law on Financial Support for Families with Children, nor about its impact on Roma children</w:t>
      </w:r>
      <w:r w:rsidR="00A40F47" w:rsidRPr="002C7EFD">
        <w:rPr>
          <w:rFonts w:ascii="Acumin Pro" w:hAnsi="Acumin Pro" w:cstheme="minorHAnsi"/>
          <w:sz w:val="24"/>
          <w:szCs w:val="24"/>
          <w:lang w:val="en-US"/>
        </w:rPr>
        <w:t xml:space="preserve">, despite the Committee`s questions </w:t>
      </w:r>
      <w:r w:rsidR="00884A0D" w:rsidRPr="002C7EFD">
        <w:rPr>
          <w:rFonts w:ascii="Acumin Pro" w:hAnsi="Acumin Pro" w:cstheme="minorHAnsi"/>
          <w:sz w:val="24"/>
          <w:szCs w:val="24"/>
          <w:lang w:val="en-US"/>
        </w:rPr>
        <w:t xml:space="preserve">about this issue. </w:t>
      </w:r>
    </w:p>
    <w:p w14:paraId="641F54EA" w14:textId="77777777" w:rsidR="002C7EFD" w:rsidRPr="002C7EFD" w:rsidRDefault="00210AA9" w:rsidP="0039050D">
      <w:pPr>
        <w:pStyle w:val="ListParagraph"/>
        <w:numPr>
          <w:ilvl w:val="0"/>
          <w:numId w:val="6"/>
        </w:numPr>
        <w:spacing w:before="0" w:after="0" w:line="240" w:lineRule="auto"/>
        <w:ind w:left="0" w:hanging="426"/>
        <w:jc w:val="both"/>
        <w:rPr>
          <w:rFonts w:ascii="Acumin Pro" w:hAnsi="Acumin Pro" w:cstheme="minorHAnsi"/>
          <w:b/>
          <w:bCs/>
          <w:sz w:val="24"/>
          <w:szCs w:val="24"/>
          <w:vertAlign w:val="superscript"/>
          <w:lang w:val="en-US"/>
        </w:rPr>
      </w:pPr>
      <w:r w:rsidRPr="002C7EFD">
        <w:rPr>
          <w:rFonts w:ascii="Acumin Pro" w:hAnsi="Acumin Pro" w:cstheme="minorHAnsi"/>
          <w:sz w:val="24"/>
          <w:szCs w:val="24"/>
          <w:lang w:val="en-US"/>
        </w:rPr>
        <w:t xml:space="preserve">In the </w:t>
      </w:r>
      <w:r w:rsidR="00F6338D" w:rsidRPr="002C7EFD">
        <w:rPr>
          <w:rFonts w:ascii="Acumin Pro" w:hAnsi="Acumin Pro" w:cstheme="minorHAnsi"/>
          <w:sz w:val="24"/>
          <w:szCs w:val="24"/>
          <w:lang w:val="en-US"/>
        </w:rPr>
        <w:t>meantime,</w:t>
      </w:r>
      <w:r w:rsidRPr="002C7EFD">
        <w:rPr>
          <w:rFonts w:ascii="Acumin Pro" w:hAnsi="Acumin Pro" w:cstheme="minorHAnsi"/>
          <w:sz w:val="24"/>
          <w:szCs w:val="24"/>
          <w:lang w:val="en-US"/>
        </w:rPr>
        <w:t xml:space="preserve"> the Law was amended</w:t>
      </w:r>
      <w:r w:rsidR="002C7EFD" w:rsidRPr="002C7EFD">
        <w:rPr>
          <w:rFonts w:ascii="Acumin Pro" w:hAnsi="Acumin Pro" w:cstheme="minorHAnsi"/>
          <w:sz w:val="24"/>
          <w:szCs w:val="24"/>
          <w:lang w:val="en-US"/>
        </w:rPr>
        <w:t>,</w:t>
      </w:r>
      <w:r w:rsidR="002C7EFD" w:rsidRPr="0061672B">
        <w:rPr>
          <w:rStyle w:val="FootnoteReference"/>
          <w:rFonts w:ascii="Acumin Pro" w:hAnsi="Acumin Pro" w:cstheme="minorHAnsi"/>
          <w:sz w:val="24"/>
          <w:szCs w:val="24"/>
          <w:lang w:val="en-US"/>
        </w:rPr>
        <w:footnoteReference w:id="10"/>
      </w:r>
      <w:r w:rsidRPr="002C7EFD">
        <w:rPr>
          <w:rFonts w:ascii="Acumin Pro" w:hAnsi="Acumin Pro" w:cstheme="minorHAnsi"/>
          <w:sz w:val="24"/>
          <w:szCs w:val="24"/>
          <w:lang w:val="en-US"/>
        </w:rPr>
        <w:t xml:space="preserve"> but </w:t>
      </w:r>
      <w:r w:rsidR="006C7350" w:rsidRPr="002C7EFD">
        <w:rPr>
          <w:rFonts w:ascii="Acumin Pro" w:hAnsi="Acumin Pro" w:cstheme="minorHAnsi"/>
          <w:sz w:val="24"/>
          <w:szCs w:val="24"/>
          <w:lang w:val="en-US"/>
        </w:rPr>
        <w:t>without any effect or substantial changes to the provisions of the LFSFC that make it difficult to access the right to parental allowance for particularly vulnerable Roma children – those who due do marginalization did not timely receive mandatory vaccines and/or are left outside the education system.</w:t>
      </w:r>
    </w:p>
    <w:p w14:paraId="406FC4E2" w14:textId="442EBADC" w:rsidR="002C7EFD" w:rsidRDefault="00937488" w:rsidP="00B63AE7">
      <w:pPr>
        <w:pStyle w:val="ListParagraph"/>
        <w:numPr>
          <w:ilvl w:val="0"/>
          <w:numId w:val="6"/>
        </w:numPr>
        <w:spacing w:before="0" w:after="0" w:line="240" w:lineRule="auto"/>
        <w:ind w:left="0" w:hanging="426"/>
        <w:jc w:val="both"/>
        <w:rPr>
          <w:rFonts w:ascii="Acumin Pro" w:hAnsi="Acumin Pro" w:cstheme="minorHAnsi"/>
          <w:sz w:val="24"/>
          <w:szCs w:val="24"/>
          <w:lang w:val="en-US"/>
        </w:rPr>
      </w:pPr>
      <w:r w:rsidRPr="002C7EFD">
        <w:rPr>
          <w:rFonts w:ascii="Acumin Pro" w:hAnsi="Acumin Pro" w:cstheme="minorHAnsi"/>
          <w:sz w:val="24"/>
          <w:szCs w:val="24"/>
          <w:lang w:val="en-US"/>
        </w:rPr>
        <w:t xml:space="preserve">Just like in the reporting process before the </w:t>
      </w:r>
      <w:r w:rsidR="00C83411" w:rsidRPr="002C7EFD">
        <w:rPr>
          <w:rFonts w:ascii="Acumin Pro" w:hAnsi="Acumin Pro" w:cstheme="minorHAnsi"/>
          <w:sz w:val="24"/>
          <w:szCs w:val="24"/>
          <w:lang w:val="en-US"/>
        </w:rPr>
        <w:t xml:space="preserve">Human Rights </w:t>
      </w:r>
      <w:r w:rsidR="00F6338D" w:rsidRPr="002C7EFD">
        <w:rPr>
          <w:rFonts w:ascii="Acumin Pro" w:hAnsi="Acumin Pro" w:cstheme="minorHAnsi"/>
          <w:sz w:val="24"/>
          <w:szCs w:val="24"/>
          <w:lang w:val="en-US"/>
        </w:rPr>
        <w:t>Committee</w:t>
      </w:r>
      <w:r w:rsidR="00C83411" w:rsidRPr="002C7EFD">
        <w:rPr>
          <w:rFonts w:ascii="Acumin Pro" w:hAnsi="Acumin Pro" w:cstheme="minorHAnsi"/>
          <w:sz w:val="24"/>
          <w:szCs w:val="24"/>
          <w:lang w:val="en-US"/>
        </w:rPr>
        <w:t>, d</w:t>
      </w:r>
      <w:r w:rsidR="007D132B" w:rsidRPr="002C7EFD">
        <w:rPr>
          <w:rFonts w:ascii="Acumin Pro" w:hAnsi="Acumin Pro" w:cstheme="minorHAnsi"/>
          <w:sz w:val="24"/>
          <w:szCs w:val="24"/>
          <w:lang w:val="en-US"/>
        </w:rPr>
        <w:t>uring the consideration of the</w:t>
      </w:r>
      <w:r w:rsidR="00290DEE" w:rsidRPr="002C7EFD">
        <w:rPr>
          <w:rFonts w:ascii="Acumin Pro" w:hAnsi="Acumin Pro" w:cstheme="minorHAnsi"/>
          <w:sz w:val="24"/>
          <w:szCs w:val="24"/>
          <w:lang w:val="en-US"/>
        </w:rPr>
        <w:t xml:space="preserve"> Republic of</w:t>
      </w:r>
      <w:r w:rsidR="007D132B" w:rsidRPr="002C7EFD">
        <w:rPr>
          <w:rFonts w:ascii="Acumin Pro" w:hAnsi="Acumin Pro" w:cstheme="minorHAnsi"/>
          <w:sz w:val="24"/>
          <w:szCs w:val="24"/>
          <w:lang w:val="en-US"/>
        </w:rPr>
        <w:t xml:space="preserve"> </w:t>
      </w:r>
      <w:r w:rsidR="00C7607D" w:rsidRPr="002C7EFD">
        <w:rPr>
          <w:rFonts w:ascii="Acumin Pro" w:hAnsi="Acumin Pro" w:cstheme="minorHAnsi"/>
          <w:sz w:val="24"/>
          <w:szCs w:val="24"/>
          <w:lang w:val="en-US"/>
        </w:rPr>
        <w:t>Serbia under the International Covenant on Economic, Social and Cultural Rights</w:t>
      </w:r>
      <w:r w:rsidR="00ED450A" w:rsidRPr="002C7EFD">
        <w:rPr>
          <w:rFonts w:ascii="Acumin Pro" w:hAnsi="Acumin Pro" w:cstheme="minorHAnsi"/>
          <w:sz w:val="24"/>
          <w:szCs w:val="24"/>
          <w:lang w:val="en-US"/>
        </w:rPr>
        <w:t xml:space="preserve"> and </w:t>
      </w:r>
      <w:r w:rsidR="00F17681" w:rsidRPr="002C7EFD">
        <w:rPr>
          <w:rFonts w:ascii="Acumin Pro" w:hAnsi="Acumin Pro" w:cstheme="minorHAnsi"/>
          <w:sz w:val="24"/>
          <w:szCs w:val="24"/>
          <w:lang w:val="en-US"/>
        </w:rPr>
        <w:t>addressing the list of issues</w:t>
      </w:r>
      <w:r w:rsidR="00290DEE" w:rsidRPr="002C7EFD">
        <w:rPr>
          <w:rFonts w:ascii="Acumin Pro" w:hAnsi="Acumin Pro" w:cstheme="minorHAnsi"/>
          <w:sz w:val="24"/>
          <w:szCs w:val="24"/>
          <w:lang w:val="en-US"/>
        </w:rPr>
        <w:t xml:space="preserve"> supplied by the </w:t>
      </w:r>
      <w:bookmarkStart w:id="1" w:name="_Hlk123658417"/>
      <w:r w:rsidR="00290DEE" w:rsidRPr="002C7EFD">
        <w:rPr>
          <w:rFonts w:ascii="Acumin Pro" w:hAnsi="Acumin Pro" w:cstheme="minorHAnsi"/>
          <w:sz w:val="24"/>
          <w:szCs w:val="24"/>
          <w:lang w:val="en-US"/>
        </w:rPr>
        <w:t>Committee on Economic, Social and Cultural Rights</w:t>
      </w:r>
      <w:bookmarkEnd w:id="1"/>
      <w:r w:rsidR="00F17681" w:rsidRPr="002C7EFD">
        <w:rPr>
          <w:rFonts w:ascii="Acumin Pro" w:hAnsi="Acumin Pro" w:cstheme="minorHAnsi"/>
          <w:sz w:val="24"/>
          <w:szCs w:val="24"/>
          <w:lang w:val="en-US"/>
        </w:rPr>
        <w:t xml:space="preserve">, </w:t>
      </w:r>
      <w:r w:rsidR="00247655" w:rsidRPr="002C7EFD">
        <w:rPr>
          <w:rFonts w:ascii="Acumin Pro" w:hAnsi="Acumin Pro" w:cstheme="minorHAnsi"/>
          <w:sz w:val="24"/>
          <w:szCs w:val="24"/>
          <w:lang w:val="en-US"/>
        </w:rPr>
        <w:t>the state did not</w:t>
      </w:r>
      <w:r w:rsidR="00FA4323" w:rsidRPr="002C7EFD">
        <w:rPr>
          <w:rFonts w:ascii="Acumin Pro" w:hAnsi="Acumin Pro" w:cstheme="minorHAnsi"/>
          <w:sz w:val="24"/>
          <w:szCs w:val="24"/>
          <w:lang w:val="en-US"/>
        </w:rPr>
        <w:t xml:space="preserve"> </w:t>
      </w:r>
      <w:r w:rsidR="00247655" w:rsidRPr="002C7EFD">
        <w:rPr>
          <w:rFonts w:ascii="Acumin Pro" w:hAnsi="Acumin Pro" w:cstheme="minorHAnsi"/>
          <w:sz w:val="24"/>
          <w:szCs w:val="24"/>
          <w:lang w:val="en-US"/>
        </w:rPr>
        <w:t>answer any questions in the field of financial support to families with children</w:t>
      </w:r>
      <w:r w:rsidR="00F17681" w:rsidRPr="002C7EFD">
        <w:rPr>
          <w:rFonts w:ascii="Acumin Pro" w:hAnsi="Acumin Pro" w:cstheme="minorHAnsi"/>
          <w:sz w:val="24"/>
          <w:szCs w:val="24"/>
          <w:lang w:val="en-US"/>
        </w:rPr>
        <w:t xml:space="preserve"> </w:t>
      </w:r>
      <w:r w:rsidR="00247655" w:rsidRPr="002C7EFD">
        <w:rPr>
          <w:rFonts w:ascii="Acumin Pro" w:hAnsi="Acumin Pro" w:cstheme="minorHAnsi"/>
          <w:sz w:val="24"/>
          <w:szCs w:val="24"/>
          <w:lang w:val="en-US"/>
        </w:rPr>
        <w:t>that refer to the Roma community</w:t>
      </w:r>
      <w:r w:rsidR="001B6FA1" w:rsidRPr="002C7EFD">
        <w:rPr>
          <w:rFonts w:ascii="Acumin Pro" w:hAnsi="Acumin Pro" w:cstheme="minorHAnsi"/>
          <w:sz w:val="24"/>
          <w:szCs w:val="24"/>
          <w:lang w:val="en-US"/>
        </w:rPr>
        <w:t>.</w:t>
      </w:r>
      <w:r w:rsidR="00247655" w:rsidRPr="002C7EFD">
        <w:rPr>
          <w:rFonts w:ascii="Acumin Pro" w:hAnsi="Acumin Pro" w:cstheme="minorHAnsi"/>
          <w:sz w:val="24"/>
          <w:szCs w:val="24"/>
          <w:lang w:val="en-US"/>
        </w:rPr>
        <w:t xml:space="preserve"> </w:t>
      </w:r>
    </w:p>
    <w:p w14:paraId="06FEF556" w14:textId="7E169A69" w:rsidR="002C7EFD" w:rsidRDefault="00A16DEC" w:rsidP="0039050D">
      <w:pPr>
        <w:pStyle w:val="ListParagraph"/>
        <w:numPr>
          <w:ilvl w:val="0"/>
          <w:numId w:val="6"/>
        </w:numPr>
        <w:spacing w:before="0" w:after="0" w:line="240" w:lineRule="auto"/>
        <w:ind w:left="0" w:hanging="426"/>
        <w:jc w:val="both"/>
        <w:rPr>
          <w:rFonts w:ascii="Acumin Pro" w:hAnsi="Acumin Pro" w:cstheme="minorHAnsi"/>
          <w:sz w:val="24"/>
          <w:szCs w:val="24"/>
          <w:lang w:val="en-US"/>
        </w:rPr>
      </w:pPr>
      <w:r w:rsidRPr="002C7EFD">
        <w:rPr>
          <w:rFonts w:ascii="Acumin Pro" w:hAnsi="Acumin Pro" w:cstheme="minorHAnsi"/>
          <w:sz w:val="24"/>
          <w:szCs w:val="24"/>
          <w:lang w:val="en-US"/>
        </w:rPr>
        <w:t>Upon examining the report of the R</w:t>
      </w:r>
      <w:r w:rsidR="002C7EFD">
        <w:rPr>
          <w:rFonts w:ascii="Acumin Pro" w:hAnsi="Acumin Pro" w:cstheme="minorHAnsi"/>
          <w:sz w:val="24"/>
          <w:szCs w:val="24"/>
          <w:lang w:val="en-US"/>
        </w:rPr>
        <w:t xml:space="preserve">epublic of </w:t>
      </w:r>
      <w:r w:rsidRPr="002C7EFD">
        <w:rPr>
          <w:rFonts w:ascii="Acumin Pro" w:hAnsi="Acumin Pro" w:cstheme="minorHAnsi"/>
          <w:sz w:val="24"/>
          <w:szCs w:val="24"/>
          <w:lang w:val="en-US"/>
        </w:rPr>
        <w:t>S</w:t>
      </w:r>
      <w:r w:rsidR="002C7EFD">
        <w:rPr>
          <w:rFonts w:ascii="Acumin Pro" w:hAnsi="Acumin Pro" w:cstheme="minorHAnsi"/>
          <w:sz w:val="24"/>
          <w:szCs w:val="24"/>
          <w:lang w:val="en-US"/>
        </w:rPr>
        <w:t>erbia</w:t>
      </w:r>
      <w:r w:rsidRPr="002C7EFD">
        <w:rPr>
          <w:rFonts w:ascii="Acumin Pro" w:hAnsi="Acumin Pro" w:cstheme="minorHAnsi"/>
          <w:sz w:val="24"/>
          <w:szCs w:val="24"/>
          <w:lang w:val="en-US"/>
        </w:rPr>
        <w:t xml:space="preserve"> under the International Covenant on Economic,</w:t>
      </w:r>
      <w:r w:rsidR="00886726" w:rsidRPr="002C7EFD">
        <w:rPr>
          <w:rFonts w:ascii="Acumin Pro" w:hAnsi="Acumin Pro" w:cstheme="minorHAnsi"/>
          <w:sz w:val="24"/>
          <w:szCs w:val="24"/>
          <w:lang w:val="en-US"/>
        </w:rPr>
        <w:t xml:space="preserve"> </w:t>
      </w:r>
      <w:r w:rsidRPr="002C7EFD">
        <w:rPr>
          <w:rFonts w:ascii="Acumin Pro" w:hAnsi="Acumin Pro" w:cstheme="minorHAnsi"/>
          <w:sz w:val="24"/>
          <w:szCs w:val="24"/>
          <w:lang w:val="en-US"/>
        </w:rPr>
        <w:t xml:space="preserve">Social and Cultural </w:t>
      </w:r>
      <w:r w:rsidR="00EF25F9" w:rsidRPr="002C7EFD">
        <w:rPr>
          <w:rFonts w:ascii="Acumin Pro" w:hAnsi="Acumin Pro" w:cstheme="minorHAnsi"/>
          <w:sz w:val="24"/>
          <w:szCs w:val="24"/>
          <w:lang w:val="en-US"/>
        </w:rPr>
        <w:t xml:space="preserve">listed among its ‘principal subjects of concern’ the </w:t>
      </w:r>
      <w:r w:rsidR="00322F17" w:rsidRPr="002C7EFD">
        <w:rPr>
          <w:rFonts w:ascii="Acumin Pro" w:hAnsi="Acumin Pro" w:cstheme="minorHAnsi"/>
          <w:sz w:val="24"/>
          <w:szCs w:val="24"/>
          <w:lang w:val="en-US"/>
        </w:rPr>
        <w:t>concern about conditioning the parental allowance on certain criteria, such as school attendance and vaccination of children, which has a significant discriminatory effect on Roma families.</w:t>
      </w:r>
      <w:r w:rsidR="00322F17" w:rsidRPr="0061672B">
        <w:rPr>
          <w:rStyle w:val="FootnoteReference"/>
          <w:rFonts w:ascii="Acumin Pro" w:hAnsi="Acumin Pro" w:cstheme="minorHAnsi"/>
          <w:sz w:val="24"/>
          <w:szCs w:val="24"/>
          <w:lang w:val="en-US"/>
        </w:rPr>
        <w:footnoteReference w:id="11"/>
      </w:r>
      <w:r w:rsidR="00322F17" w:rsidRPr="002C7EFD">
        <w:rPr>
          <w:rFonts w:ascii="Acumin Pro" w:hAnsi="Acumin Pro" w:cstheme="minorHAnsi"/>
          <w:sz w:val="24"/>
          <w:szCs w:val="24"/>
          <w:lang w:val="en-US"/>
        </w:rPr>
        <w:t xml:space="preserve"> The </w:t>
      </w:r>
      <w:r w:rsidR="002C7EFD" w:rsidRPr="002C7EFD">
        <w:rPr>
          <w:rFonts w:ascii="Acumin Pro" w:hAnsi="Acumin Pro" w:cstheme="minorHAnsi"/>
          <w:b/>
          <w:bCs/>
          <w:sz w:val="24"/>
          <w:szCs w:val="24"/>
          <w:lang w:val="en-US"/>
        </w:rPr>
        <w:t>Committee on Economic, Social and Cultural Rights</w:t>
      </w:r>
      <w:r w:rsidR="002C7EFD" w:rsidRPr="002C7EFD">
        <w:rPr>
          <w:rFonts w:ascii="Acumin Pro" w:hAnsi="Acumin Pro" w:cstheme="minorHAnsi"/>
          <w:b/>
          <w:bCs/>
          <w:sz w:val="24"/>
          <w:szCs w:val="24"/>
          <w:lang w:val="en-US"/>
        </w:rPr>
        <w:t xml:space="preserve"> </w:t>
      </w:r>
      <w:r w:rsidR="00322F17" w:rsidRPr="002C7EFD">
        <w:rPr>
          <w:rFonts w:ascii="Acumin Pro" w:hAnsi="Acumin Pro" w:cstheme="minorHAnsi"/>
          <w:b/>
          <w:bCs/>
          <w:sz w:val="24"/>
          <w:szCs w:val="24"/>
          <w:lang w:val="en-US"/>
        </w:rPr>
        <w:t xml:space="preserve">recommended that Serbia review the conditions attached to the parental </w:t>
      </w:r>
      <w:r w:rsidR="00322F17" w:rsidRPr="002C7EFD">
        <w:rPr>
          <w:rFonts w:ascii="Acumin Pro" w:hAnsi="Acumin Pro" w:cstheme="minorHAnsi"/>
          <w:b/>
          <w:bCs/>
          <w:sz w:val="24"/>
          <w:szCs w:val="24"/>
          <w:lang w:val="en-US"/>
        </w:rPr>
        <w:lastRenderedPageBreak/>
        <w:t>allowance, with a view to removing the conditions that are discriminatory or have a discriminatory effect and contradict human rights norms</w:t>
      </w:r>
      <w:r w:rsidR="00322F17" w:rsidRPr="002C7EFD">
        <w:rPr>
          <w:rFonts w:ascii="Acumin Pro" w:hAnsi="Acumin Pro" w:cstheme="minorHAnsi"/>
          <w:sz w:val="24"/>
          <w:szCs w:val="24"/>
          <w:lang w:val="en-US"/>
        </w:rPr>
        <w:t>.</w:t>
      </w:r>
      <w:r w:rsidR="00322F17" w:rsidRPr="0061672B">
        <w:rPr>
          <w:rStyle w:val="FootnoteReference"/>
          <w:rFonts w:ascii="Acumin Pro" w:hAnsi="Acumin Pro" w:cstheme="minorHAnsi"/>
          <w:sz w:val="24"/>
          <w:szCs w:val="24"/>
          <w:lang w:val="en-US"/>
        </w:rPr>
        <w:footnoteReference w:id="12"/>
      </w:r>
      <w:r w:rsidR="00322F17" w:rsidRPr="002C7EFD">
        <w:rPr>
          <w:rFonts w:ascii="Acumin Pro" w:hAnsi="Acumin Pro" w:cstheme="minorHAnsi"/>
          <w:sz w:val="24"/>
          <w:szCs w:val="24"/>
          <w:lang w:val="en-US"/>
        </w:rPr>
        <w:t xml:space="preserve"> </w:t>
      </w:r>
    </w:p>
    <w:p w14:paraId="577A262C" w14:textId="77777777" w:rsidR="002C7EFD" w:rsidRDefault="00B9142E" w:rsidP="00AA2975">
      <w:pPr>
        <w:pStyle w:val="ListParagraph"/>
        <w:numPr>
          <w:ilvl w:val="0"/>
          <w:numId w:val="6"/>
        </w:numPr>
        <w:spacing w:before="0" w:after="0" w:line="240" w:lineRule="auto"/>
        <w:ind w:left="0" w:hanging="426"/>
        <w:jc w:val="both"/>
        <w:rPr>
          <w:rFonts w:ascii="Acumin Pro" w:hAnsi="Acumin Pro" w:cstheme="minorHAnsi"/>
          <w:sz w:val="24"/>
          <w:szCs w:val="24"/>
          <w:lang w:val="en-US"/>
        </w:rPr>
      </w:pPr>
      <w:r w:rsidRPr="002C7EFD">
        <w:rPr>
          <w:rFonts w:ascii="Acumin Pro" w:hAnsi="Acumin Pro" w:cstheme="minorHAnsi"/>
          <w:sz w:val="24"/>
          <w:szCs w:val="24"/>
          <w:lang w:val="en-US"/>
        </w:rPr>
        <w:t>N</w:t>
      </w:r>
      <w:r w:rsidR="00322F17" w:rsidRPr="002C7EFD">
        <w:rPr>
          <w:rFonts w:ascii="Acumin Pro" w:hAnsi="Acumin Pro" w:cstheme="minorHAnsi"/>
          <w:sz w:val="24"/>
          <w:szCs w:val="24"/>
          <w:lang w:val="en-US"/>
        </w:rPr>
        <w:t>o steps have been taken to act on the recommendations of the Committee</w:t>
      </w:r>
      <w:r w:rsidR="00AA1563" w:rsidRPr="002C7EFD">
        <w:rPr>
          <w:rFonts w:ascii="Acumin Pro" w:hAnsi="Acumin Pro" w:cstheme="minorHAnsi"/>
          <w:sz w:val="24"/>
          <w:szCs w:val="24"/>
          <w:lang w:val="en-US"/>
        </w:rPr>
        <w:t xml:space="preserve"> on Economic, Social and </w:t>
      </w:r>
      <w:r w:rsidR="00F6338D" w:rsidRPr="002C7EFD">
        <w:rPr>
          <w:rFonts w:ascii="Acumin Pro" w:hAnsi="Acumin Pro" w:cstheme="minorHAnsi"/>
          <w:sz w:val="24"/>
          <w:szCs w:val="24"/>
          <w:lang w:val="en-US"/>
        </w:rPr>
        <w:t>Cultural</w:t>
      </w:r>
      <w:r w:rsidR="00AA1563" w:rsidRPr="002C7EFD">
        <w:rPr>
          <w:rFonts w:ascii="Acumin Pro" w:hAnsi="Acumin Pro" w:cstheme="minorHAnsi"/>
          <w:sz w:val="24"/>
          <w:szCs w:val="24"/>
          <w:lang w:val="en-US"/>
        </w:rPr>
        <w:t xml:space="preserve"> Rights</w:t>
      </w:r>
      <w:r w:rsidR="00322F17" w:rsidRPr="002C7EFD">
        <w:rPr>
          <w:rFonts w:ascii="Acumin Pro" w:hAnsi="Acumin Pro" w:cstheme="minorHAnsi"/>
          <w:sz w:val="24"/>
          <w:szCs w:val="24"/>
          <w:lang w:val="en-US"/>
        </w:rPr>
        <w:t xml:space="preserve"> and to change the conditions that prevent the realization of the right to parental allowance for the most vulnerable Roma children. Moreover, the Constitutional Court decided on the initiative to assess the constitutionality of the disputed conditions referred to in Article 25 of the Law on Financial Support for Families with Children, which the Committee pointed out </w:t>
      </w:r>
      <w:r w:rsidR="009B2FF0" w:rsidRPr="002C7EFD">
        <w:rPr>
          <w:rFonts w:ascii="Acumin Pro" w:hAnsi="Acumin Pro" w:cstheme="minorHAnsi"/>
          <w:sz w:val="24"/>
          <w:szCs w:val="24"/>
          <w:lang w:val="en-US"/>
        </w:rPr>
        <w:t>has</w:t>
      </w:r>
      <w:r w:rsidR="00322F17" w:rsidRPr="002C7EFD">
        <w:rPr>
          <w:rFonts w:ascii="Acumin Pro" w:hAnsi="Acumin Pro" w:cstheme="minorHAnsi"/>
          <w:sz w:val="24"/>
          <w:szCs w:val="24"/>
          <w:lang w:val="en-US"/>
        </w:rPr>
        <w:t xml:space="preserve"> a significant discriminatory effect on Roma families. However, the Constitutional Court rejected the initiative for a constitutional review, without considering whether the conditions for parental allowance, which disproportionately affect Roma children, represent indirect discrimination. The Constitutional Court ignored the views of the Committee for Economic, Social and Cultural Rights on the contested provisions of the Law, despite the fact that Serbia is a State Party to the International Covenant on Economic, Social and Cultural Rights, which is why the conclusions and recommendations of the Committee responsible for monitoring the implementation of this international </w:t>
      </w:r>
      <w:r w:rsidR="002C7EFD">
        <w:rPr>
          <w:rFonts w:ascii="Acumin Pro" w:hAnsi="Acumin Pro" w:cstheme="minorHAnsi"/>
          <w:sz w:val="24"/>
          <w:szCs w:val="24"/>
          <w:lang w:val="en-US"/>
        </w:rPr>
        <w:t>treaty</w:t>
      </w:r>
      <w:r w:rsidR="00322F17" w:rsidRPr="002C7EFD">
        <w:rPr>
          <w:rFonts w:ascii="Acumin Pro" w:hAnsi="Acumin Pro" w:cstheme="minorHAnsi"/>
          <w:sz w:val="24"/>
          <w:szCs w:val="24"/>
          <w:lang w:val="en-US"/>
        </w:rPr>
        <w:t xml:space="preserve">, should have been </w:t>
      </w:r>
      <w:r w:rsidR="002C7EFD" w:rsidRPr="002C7EFD">
        <w:rPr>
          <w:rFonts w:ascii="Acumin Pro" w:hAnsi="Acumin Pro" w:cstheme="minorHAnsi"/>
          <w:sz w:val="24"/>
          <w:szCs w:val="24"/>
          <w:lang w:val="en-US"/>
        </w:rPr>
        <w:t>considered</w:t>
      </w:r>
      <w:r w:rsidR="00322F17" w:rsidRPr="002C7EFD">
        <w:rPr>
          <w:rFonts w:ascii="Acumin Pro" w:hAnsi="Acumin Pro" w:cstheme="minorHAnsi"/>
          <w:sz w:val="24"/>
          <w:szCs w:val="24"/>
          <w:lang w:val="en-US"/>
        </w:rPr>
        <w:t xml:space="preserve"> when deciding. Two </w:t>
      </w:r>
      <w:r w:rsidR="007B0E66" w:rsidRPr="002C7EFD">
        <w:rPr>
          <w:rFonts w:ascii="Acumin Pro" w:hAnsi="Acumin Pro" w:cstheme="minorHAnsi"/>
          <w:sz w:val="24"/>
          <w:szCs w:val="24"/>
          <w:lang w:val="en-US"/>
        </w:rPr>
        <w:t>separate</w:t>
      </w:r>
      <w:r w:rsidR="00395918" w:rsidRPr="002C7EFD">
        <w:rPr>
          <w:rFonts w:ascii="Acumin Pro" w:hAnsi="Acumin Pro" w:cstheme="minorHAnsi"/>
          <w:sz w:val="24"/>
          <w:szCs w:val="24"/>
          <w:lang w:val="en-US"/>
        </w:rPr>
        <w:t xml:space="preserve"> dissenting </w:t>
      </w:r>
      <w:r w:rsidR="006F429C" w:rsidRPr="002C7EFD">
        <w:rPr>
          <w:rFonts w:ascii="Acumin Pro" w:hAnsi="Acumin Pro" w:cstheme="minorHAnsi"/>
          <w:sz w:val="24"/>
          <w:szCs w:val="24"/>
          <w:lang w:val="en-US"/>
        </w:rPr>
        <w:t xml:space="preserve">opinions were filed, </w:t>
      </w:r>
      <w:r w:rsidR="007B0E66" w:rsidRPr="002C7EFD">
        <w:rPr>
          <w:rFonts w:ascii="Acumin Pro" w:hAnsi="Acumin Pro" w:cstheme="minorHAnsi"/>
          <w:sz w:val="24"/>
          <w:szCs w:val="24"/>
          <w:lang w:val="en-US"/>
        </w:rPr>
        <w:t xml:space="preserve">stressing </w:t>
      </w:r>
      <w:r w:rsidR="002D58FF" w:rsidRPr="002C7EFD">
        <w:rPr>
          <w:rFonts w:ascii="Acumin Pro" w:hAnsi="Acumin Pro" w:cstheme="minorHAnsi"/>
          <w:sz w:val="24"/>
          <w:szCs w:val="24"/>
          <w:lang w:val="en-US"/>
        </w:rPr>
        <w:t xml:space="preserve">that there was not a reasonable relationship of proportionality between the means employed and the aim sought to be achieved and pointing </w:t>
      </w:r>
      <w:r w:rsidR="00CC7AD8" w:rsidRPr="002C7EFD">
        <w:rPr>
          <w:rFonts w:ascii="Acumin Pro" w:hAnsi="Acumin Pro" w:cstheme="minorHAnsi"/>
          <w:sz w:val="24"/>
          <w:szCs w:val="24"/>
          <w:lang w:val="en-US"/>
        </w:rPr>
        <w:t>that the Court did not consider the question</w:t>
      </w:r>
      <w:r w:rsidR="007B0E66" w:rsidRPr="002C7EFD">
        <w:rPr>
          <w:rFonts w:ascii="Acumin Pro" w:hAnsi="Acumin Pro" w:cstheme="minorHAnsi"/>
          <w:sz w:val="24"/>
          <w:szCs w:val="24"/>
          <w:lang w:val="en-US"/>
        </w:rPr>
        <w:t xml:space="preserve"> of indirect discrimination, </w:t>
      </w:r>
      <w:proofErr w:type="gramStart"/>
      <w:r w:rsidR="007B0E66" w:rsidRPr="002C7EFD">
        <w:rPr>
          <w:rFonts w:ascii="Acumin Pro" w:hAnsi="Acumin Pro" w:cstheme="minorHAnsi"/>
          <w:sz w:val="24"/>
          <w:szCs w:val="24"/>
          <w:lang w:val="en-US"/>
        </w:rPr>
        <w:t>i.e.</w:t>
      </w:r>
      <w:proofErr w:type="gramEnd"/>
      <w:r w:rsidR="007B0E66" w:rsidRPr="002C7EFD">
        <w:rPr>
          <w:rFonts w:ascii="Acumin Pro" w:hAnsi="Acumin Pro" w:cstheme="minorHAnsi"/>
          <w:sz w:val="24"/>
          <w:szCs w:val="24"/>
          <w:lang w:val="en-US"/>
        </w:rPr>
        <w:t xml:space="preserve"> failure of the Court to answer to the claims that Roma children would be disproportionately affected by the conditions for parental allowance when compared to non-Roma children</w:t>
      </w:r>
      <w:r w:rsidR="009B2FF0" w:rsidRPr="002C7EFD">
        <w:rPr>
          <w:rFonts w:ascii="Acumin Pro" w:hAnsi="Acumin Pro" w:cstheme="minorHAnsi"/>
          <w:sz w:val="24"/>
          <w:szCs w:val="24"/>
          <w:lang w:val="en-US"/>
        </w:rPr>
        <w:t>.</w:t>
      </w:r>
      <w:r w:rsidR="00A17804" w:rsidRPr="002C7EFD">
        <w:rPr>
          <w:rFonts w:ascii="Acumin Pro" w:hAnsi="Acumin Pro" w:cstheme="minorHAnsi"/>
          <w:sz w:val="24"/>
          <w:szCs w:val="24"/>
          <w:lang w:val="en-US"/>
        </w:rPr>
        <w:t xml:space="preserve"> </w:t>
      </w:r>
    </w:p>
    <w:p w14:paraId="758AF7CF" w14:textId="74ED1052" w:rsidR="00AA2975" w:rsidRDefault="00012FFA" w:rsidP="00AA2975">
      <w:pPr>
        <w:pStyle w:val="ListParagraph"/>
        <w:numPr>
          <w:ilvl w:val="0"/>
          <w:numId w:val="6"/>
        </w:numPr>
        <w:spacing w:before="0" w:after="0" w:line="240" w:lineRule="auto"/>
        <w:ind w:left="0" w:hanging="426"/>
        <w:jc w:val="both"/>
        <w:rPr>
          <w:rFonts w:ascii="Acumin Pro" w:hAnsi="Acumin Pro" w:cstheme="minorHAnsi"/>
          <w:sz w:val="24"/>
          <w:szCs w:val="24"/>
          <w:lang w:val="en-US"/>
        </w:rPr>
      </w:pPr>
      <w:r w:rsidRPr="002C7EFD">
        <w:rPr>
          <w:rFonts w:ascii="Acumin Pro" w:hAnsi="Acumin Pro" w:cstheme="minorHAnsi"/>
          <w:sz w:val="24"/>
          <w:szCs w:val="24"/>
          <w:lang w:val="en-US"/>
        </w:rPr>
        <w:t xml:space="preserve">Described issue </w:t>
      </w:r>
      <w:r w:rsidR="00AA1563" w:rsidRPr="002C7EFD">
        <w:rPr>
          <w:rFonts w:ascii="Acumin Pro" w:hAnsi="Acumin Pro" w:cstheme="minorHAnsi"/>
          <w:sz w:val="24"/>
          <w:szCs w:val="24"/>
          <w:lang w:val="en-US"/>
        </w:rPr>
        <w:t xml:space="preserve">and conditions for </w:t>
      </w:r>
      <w:r w:rsidR="00F6338D" w:rsidRPr="002C7EFD">
        <w:rPr>
          <w:rFonts w:ascii="Acumin Pro" w:hAnsi="Acumin Pro" w:cstheme="minorHAnsi"/>
          <w:sz w:val="24"/>
          <w:szCs w:val="24"/>
          <w:lang w:val="en-US"/>
        </w:rPr>
        <w:t>parental</w:t>
      </w:r>
      <w:r w:rsidR="00AA1563" w:rsidRPr="002C7EFD">
        <w:rPr>
          <w:rFonts w:ascii="Acumin Pro" w:hAnsi="Acumin Pro" w:cstheme="minorHAnsi"/>
          <w:sz w:val="24"/>
          <w:szCs w:val="24"/>
          <w:lang w:val="en-US"/>
        </w:rPr>
        <w:t xml:space="preserve"> allowance </w:t>
      </w:r>
      <w:r w:rsidRPr="002C7EFD">
        <w:rPr>
          <w:rFonts w:ascii="Acumin Pro" w:hAnsi="Acumin Pro" w:cstheme="minorHAnsi"/>
          <w:sz w:val="24"/>
          <w:szCs w:val="24"/>
          <w:lang w:val="en-US"/>
        </w:rPr>
        <w:t>not only undermine</w:t>
      </w:r>
      <w:r w:rsidR="00AA1563" w:rsidRPr="002C7EFD">
        <w:rPr>
          <w:rFonts w:ascii="Acumin Pro" w:hAnsi="Acumin Pro" w:cstheme="minorHAnsi"/>
          <w:sz w:val="24"/>
          <w:szCs w:val="24"/>
          <w:lang w:val="en-US"/>
        </w:rPr>
        <w:t xml:space="preserve"> the </w:t>
      </w:r>
      <w:r w:rsidRPr="002C7EFD">
        <w:rPr>
          <w:rFonts w:ascii="Acumin Pro" w:hAnsi="Acumin Pro" w:cstheme="minorHAnsi"/>
          <w:sz w:val="24"/>
          <w:szCs w:val="24"/>
          <w:lang w:val="en-US"/>
        </w:rPr>
        <w:t>efforts related to the promotion of non-discriminatory access to opportunities and services in all fields for Roma</w:t>
      </w:r>
      <w:r w:rsidR="003A59BE" w:rsidRPr="002C7EFD">
        <w:rPr>
          <w:rFonts w:ascii="Acumin Pro" w:hAnsi="Acumin Pro" w:cstheme="minorHAnsi"/>
          <w:sz w:val="24"/>
          <w:szCs w:val="24"/>
          <w:lang w:val="en-US"/>
        </w:rPr>
        <w:t xml:space="preserve"> – they</w:t>
      </w:r>
      <w:r w:rsidRPr="002C7EFD">
        <w:rPr>
          <w:rFonts w:ascii="Acumin Pro" w:hAnsi="Acumin Pro" w:cstheme="minorHAnsi"/>
          <w:sz w:val="24"/>
          <w:szCs w:val="24"/>
          <w:lang w:val="en-US"/>
        </w:rPr>
        <w:t xml:space="preserve"> </w:t>
      </w:r>
      <w:r w:rsidR="00F6338D" w:rsidRPr="002C7EFD">
        <w:rPr>
          <w:rFonts w:ascii="Acumin Pro" w:hAnsi="Acumin Pro" w:cstheme="minorHAnsi"/>
          <w:sz w:val="24"/>
          <w:szCs w:val="24"/>
          <w:lang w:val="en-US"/>
        </w:rPr>
        <w:t>contravene</w:t>
      </w:r>
      <w:r w:rsidR="00364974" w:rsidRPr="002C7EFD">
        <w:rPr>
          <w:rFonts w:ascii="Acumin Pro" w:hAnsi="Acumin Pro" w:cstheme="minorHAnsi"/>
          <w:sz w:val="24"/>
          <w:szCs w:val="24"/>
          <w:lang w:val="en-US"/>
        </w:rPr>
        <w:t xml:space="preserve"> the Article</w:t>
      </w:r>
      <w:r w:rsidR="00C5482B" w:rsidRPr="002C7EFD">
        <w:rPr>
          <w:rFonts w:ascii="Acumin Pro" w:hAnsi="Acumin Pro" w:cstheme="minorHAnsi"/>
          <w:sz w:val="24"/>
          <w:szCs w:val="24"/>
          <w:lang w:val="en-US"/>
        </w:rPr>
        <w:t xml:space="preserve"> 26 </w:t>
      </w:r>
      <w:r w:rsidR="00186277" w:rsidRPr="002C7EFD">
        <w:rPr>
          <w:rFonts w:ascii="Acumin Pro" w:hAnsi="Acumin Pro" w:cstheme="minorHAnsi"/>
          <w:sz w:val="24"/>
          <w:szCs w:val="24"/>
          <w:lang w:val="en-US"/>
        </w:rPr>
        <w:t xml:space="preserve">that </w:t>
      </w:r>
      <w:r w:rsidR="00C5482B" w:rsidRPr="002C7EFD">
        <w:rPr>
          <w:rFonts w:ascii="Acumin Pro" w:hAnsi="Acumin Pro" w:cstheme="minorHAnsi"/>
          <w:sz w:val="24"/>
          <w:szCs w:val="24"/>
          <w:lang w:val="en-US"/>
        </w:rPr>
        <w:t>prescribes that principles of equality and non-discrimination are set</w:t>
      </w:r>
      <w:r w:rsidR="00591CCE" w:rsidRPr="002C7EFD">
        <w:rPr>
          <w:rFonts w:ascii="Acumin Pro" w:hAnsi="Acumin Pro" w:cstheme="minorHAnsi"/>
          <w:sz w:val="24"/>
          <w:szCs w:val="24"/>
          <w:lang w:val="en-US"/>
        </w:rPr>
        <w:t xml:space="preserve"> </w:t>
      </w:r>
      <w:r w:rsidR="00C5482B" w:rsidRPr="002C7EFD">
        <w:rPr>
          <w:rFonts w:ascii="Acumin Pro" w:hAnsi="Acumin Pro" w:cstheme="minorHAnsi"/>
          <w:sz w:val="24"/>
          <w:szCs w:val="24"/>
          <w:lang w:val="en-US"/>
        </w:rPr>
        <w:t>as general principles not only in the said Covenant, but in terms of economic and social rights, with</w:t>
      </w:r>
      <w:r w:rsidR="00591CCE" w:rsidRPr="002C7EFD">
        <w:rPr>
          <w:rFonts w:ascii="Acumin Pro" w:hAnsi="Acumin Pro" w:cstheme="minorHAnsi"/>
          <w:sz w:val="24"/>
          <w:szCs w:val="24"/>
          <w:lang w:val="en-US"/>
        </w:rPr>
        <w:t xml:space="preserve"> </w:t>
      </w:r>
      <w:r w:rsidR="00C5482B" w:rsidRPr="002C7EFD">
        <w:rPr>
          <w:rFonts w:ascii="Acumin Pro" w:hAnsi="Acumin Pro" w:cstheme="minorHAnsi"/>
          <w:sz w:val="24"/>
          <w:szCs w:val="24"/>
          <w:lang w:val="en-US"/>
        </w:rPr>
        <w:t>no restrictions</w:t>
      </w:r>
      <w:r w:rsidR="00591CCE" w:rsidRPr="002C7EFD">
        <w:rPr>
          <w:rFonts w:ascii="Acumin Pro" w:hAnsi="Acumin Pro" w:cstheme="minorHAnsi"/>
          <w:sz w:val="24"/>
          <w:szCs w:val="24"/>
          <w:lang w:val="en-US"/>
        </w:rPr>
        <w:t>.</w:t>
      </w:r>
      <w:r w:rsidR="00591CCE" w:rsidRPr="0061672B">
        <w:rPr>
          <w:rStyle w:val="FootnoteReference"/>
          <w:rFonts w:ascii="Acumin Pro" w:hAnsi="Acumin Pro" w:cstheme="minorHAnsi"/>
          <w:sz w:val="24"/>
          <w:szCs w:val="24"/>
          <w:lang w:val="en-US"/>
        </w:rPr>
        <w:footnoteReference w:id="13"/>
      </w:r>
      <w:r w:rsidR="00186277" w:rsidRPr="002C7EFD">
        <w:rPr>
          <w:rFonts w:ascii="Acumin Pro" w:hAnsi="Acumin Pro" w:cstheme="minorHAnsi"/>
          <w:sz w:val="24"/>
          <w:szCs w:val="24"/>
          <w:lang w:val="en-US"/>
        </w:rPr>
        <w:t xml:space="preserve"> </w:t>
      </w:r>
      <w:r w:rsidR="00DB32A6" w:rsidRPr="002C7EFD">
        <w:rPr>
          <w:rFonts w:ascii="Acumin Pro" w:hAnsi="Acumin Pro" w:cstheme="minorHAnsi"/>
          <w:sz w:val="24"/>
          <w:szCs w:val="24"/>
          <w:lang w:val="en-US"/>
        </w:rPr>
        <w:t xml:space="preserve">Therefore, these provisions are applicable to the right </w:t>
      </w:r>
      <w:r w:rsidR="002C7EFD">
        <w:rPr>
          <w:rFonts w:ascii="Acumin Pro" w:hAnsi="Acumin Pro" w:cstheme="minorHAnsi"/>
          <w:sz w:val="24"/>
          <w:szCs w:val="24"/>
          <w:lang w:val="en-US"/>
        </w:rPr>
        <w:t xml:space="preserve">to </w:t>
      </w:r>
      <w:r w:rsidR="00DB32A6" w:rsidRPr="002C7EFD">
        <w:rPr>
          <w:rFonts w:ascii="Acumin Pro" w:hAnsi="Acumin Pro" w:cstheme="minorHAnsi"/>
          <w:sz w:val="24"/>
          <w:szCs w:val="24"/>
          <w:lang w:val="en-US"/>
        </w:rPr>
        <w:t xml:space="preserve">parental allowance, </w:t>
      </w:r>
      <w:r w:rsidR="0060211E" w:rsidRPr="002C7EFD">
        <w:rPr>
          <w:rFonts w:ascii="Acumin Pro" w:hAnsi="Acumin Pro" w:cstheme="minorHAnsi"/>
          <w:sz w:val="24"/>
          <w:szCs w:val="24"/>
          <w:lang w:val="en-US"/>
        </w:rPr>
        <w:t xml:space="preserve">and legislation regulating </w:t>
      </w:r>
      <w:r w:rsidR="00F6338D" w:rsidRPr="002C7EFD">
        <w:rPr>
          <w:rFonts w:ascii="Acumin Pro" w:hAnsi="Acumin Pro" w:cstheme="minorHAnsi"/>
          <w:sz w:val="24"/>
          <w:szCs w:val="24"/>
          <w:lang w:val="en-US"/>
        </w:rPr>
        <w:t>parental</w:t>
      </w:r>
      <w:r w:rsidR="0060211E" w:rsidRPr="002C7EFD">
        <w:rPr>
          <w:rFonts w:ascii="Acumin Pro" w:hAnsi="Acumin Pro" w:cstheme="minorHAnsi"/>
          <w:sz w:val="24"/>
          <w:szCs w:val="24"/>
          <w:lang w:val="en-US"/>
        </w:rPr>
        <w:t xml:space="preserve"> allowance </w:t>
      </w:r>
      <w:r w:rsidR="009F2531" w:rsidRPr="002C7EFD">
        <w:rPr>
          <w:rFonts w:ascii="Acumin Pro" w:hAnsi="Acumin Pro" w:cstheme="minorHAnsi"/>
          <w:sz w:val="24"/>
          <w:szCs w:val="24"/>
          <w:lang w:val="en-US"/>
        </w:rPr>
        <w:t xml:space="preserve">(LFSFC) </w:t>
      </w:r>
      <w:r w:rsidR="0060211E" w:rsidRPr="002C7EFD">
        <w:rPr>
          <w:rFonts w:ascii="Acumin Pro" w:hAnsi="Acumin Pro" w:cstheme="minorHAnsi"/>
          <w:sz w:val="24"/>
          <w:szCs w:val="24"/>
          <w:lang w:val="en-US"/>
        </w:rPr>
        <w:t>must be in line with the principles of equality and non-</w:t>
      </w:r>
      <w:r w:rsidR="00991337" w:rsidRPr="002C7EFD">
        <w:rPr>
          <w:rFonts w:ascii="Acumin Pro" w:hAnsi="Acumin Pro" w:cstheme="minorHAnsi"/>
          <w:sz w:val="24"/>
          <w:szCs w:val="24"/>
          <w:lang w:val="en-US"/>
        </w:rPr>
        <w:t xml:space="preserve">discrimination. </w:t>
      </w:r>
      <w:r w:rsidR="00545B4C" w:rsidRPr="002C7EFD">
        <w:rPr>
          <w:rFonts w:ascii="Acumin Pro" w:hAnsi="Acumin Pro" w:cstheme="minorHAnsi"/>
          <w:sz w:val="24"/>
          <w:szCs w:val="24"/>
          <w:lang w:val="en-US"/>
        </w:rPr>
        <w:t xml:space="preserve">The Covenant does not require </w:t>
      </w:r>
      <w:r w:rsidR="009A5C21" w:rsidRPr="002C7EFD">
        <w:rPr>
          <w:rFonts w:ascii="Acumin Pro" w:hAnsi="Acumin Pro" w:cstheme="minorHAnsi"/>
          <w:sz w:val="24"/>
          <w:szCs w:val="24"/>
          <w:lang w:val="en-US"/>
        </w:rPr>
        <w:t xml:space="preserve">the </w:t>
      </w:r>
      <w:r w:rsidR="00545B4C" w:rsidRPr="002C7EFD">
        <w:rPr>
          <w:rFonts w:ascii="Acumin Pro" w:hAnsi="Acumin Pro" w:cstheme="minorHAnsi"/>
          <w:sz w:val="24"/>
          <w:szCs w:val="24"/>
          <w:lang w:val="en-US"/>
        </w:rPr>
        <w:t>State to enact legislation to provide for paren</w:t>
      </w:r>
      <w:r w:rsidR="00AA2975" w:rsidRPr="002C7EFD">
        <w:rPr>
          <w:rFonts w:ascii="Acumin Pro" w:hAnsi="Acumin Pro" w:cstheme="minorHAnsi"/>
          <w:sz w:val="24"/>
          <w:szCs w:val="24"/>
          <w:lang w:val="en-US"/>
        </w:rPr>
        <w:t>t</w:t>
      </w:r>
      <w:r w:rsidR="00545B4C" w:rsidRPr="002C7EFD">
        <w:rPr>
          <w:rFonts w:ascii="Acumin Pro" w:hAnsi="Acumin Pro" w:cstheme="minorHAnsi"/>
          <w:sz w:val="24"/>
          <w:szCs w:val="24"/>
          <w:lang w:val="en-US"/>
        </w:rPr>
        <w:t xml:space="preserve">al allowance or other specific form of </w:t>
      </w:r>
      <w:r w:rsidR="009A5C21" w:rsidRPr="002C7EFD">
        <w:rPr>
          <w:rFonts w:ascii="Acumin Pro" w:hAnsi="Acumin Pro" w:cstheme="minorHAnsi"/>
          <w:sz w:val="24"/>
          <w:szCs w:val="24"/>
          <w:lang w:val="en-US"/>
        </w:rPr>
        <w:t>financial support to the families with children</w:t>
      </w:r>
      <w:r w:rsidR="00545B4C" w:rsidRPr="002C7EFD">
        <w:rPr>
          <w:rFonts w:ascii="Acumin Pro" w:hAnsi="Acumin Pro" w:cstheme="minorHAnsi"/>
          <w:sz w:val="24"/>
          <w:szCs w:val="24"/>
          <w:lang w:val="en-US"/>
        </w:rPr>
        <w:t>. However, when such legislation is adopted in the exercise of a State’s sovereign</w:t>
      </w:r>
      <w:r w:rsidR="009A5C21" w:rsidRPr="002C7EFD">
        <w:rPr>
          <w:rFonts w:ascii="Acumin Pro" w:hAnsi="Acumin Pro" w:cstheme="minorHAnsi"/>
          <w:sz w:val="24"/>
          <w:szCs w:val="24"/>
          <w:lang w:val="en-US"/>
        </w:rPr>
        <w:t xml:space="preserve"> </w:t>
      </w:r>
      <w:r w:rsidR="00545B4C" w:rsidRPr="002C7EFD">
        <w:rPr>
          <w:rFonts w:ascii="Acumin Pro" w:hAnsi="Acumin Pro" w:cstheme="minorHAnsi"/>
          <w:sz w:val="24"/>
          <w:szCs w:val="24"/>
          <w:lang w:val="en-US"/>
        </w:rPr>
        <w:t>power, then such legislation must comply with article 26 of the Covenant.</w:t>
      </w:r>
      <w:r w:rsidR="009A5C21" w:rsidRPr="0061672B">
        <w:rPr>
          <w:rStyle w:val="FootnoteReference"/>
          <w:rFonts w:ascii="Acumin Pro" w:hAnsi="Acumin Pro" w:cstheme="minorHAnsi"/>
          <w:sz w:val="24"/>
          <w:szCs w:val="24"/>
          <w:lang w:val="en-US"/>
        </w:rPr>
        <w:footnoteReference w:id="14"/>
      </w:r>
      <w:r w:rsidR="009A5C21" w:rsidRPr="002C7EFD">
        <w:rPr>
          <w:rFonts w:ascii="Acumin Pro" w:hAnsi="Acumin Pro" w:cstheme="minorHAnsi"/>
          <w:sz w:val="24"/>
          <w:szCs w:val="24"/>
          <w:lang w:val="en-US"/>
        </w:rPr>
        <w:t xml:space="preserve"> </w:t>
      </w:r>
      <w:r w:rsidR="00991337" w:rsidRPr="002C7EFD">
        <w:rPr>
          <w:rFonts w:ascii="Acumin Pro" w:hAnsi="Acumin Pro" w:cstheme="minorHAnsi"/>
          <w:b/>
          <w:bCs/>
          <w:sz w:val="24"/>
          <w:szCs w:val="24"/>
          <w:lang w:val="en-US"/>
        </w:rPr>
        <w:t xml:space="preserve">Having in mind the </w:t>
      </w:r>
      <w:r w:rsidR="00F6338D" w:rsidRPr="002C7EFD">
        <w:rPr>
          <w:rFonts w:ascii="Acumin Pro" w:hAnsi="Acumin Pro" w:cstheme="minorHAnsi"/>
          <w:b/>
          <w:bCs/>
          <w:sz w:val="24"/>
          <w:szCs w:val="24"/>
          <w:lang w:val="en-US"/>
        </w:rPr>
        <w:t>disproportionately</w:t>
      </w:r>
      <w:r w:rsidR="00991337" w:rsidRPr="002C7EFD">
        <w:rPr>
          <w:rFonts w:ascii="Acumin Pro" w:hAnsi="Acumin Pro" w:cstheme="minorHAnsi"/>
          <w:b/>
          <w:bCs/>
          <w:sz w:val="24"/>
          <w:szCs w:val="24"/>
          <w:lang w:val="en-US"/>
        </w:rPr>
        <w:t xml:space="preserve"> negative </w:t>
      </w:r>
      <w:r w:rsidR="008500BF" w:rsidRPr="002C7EFD">
        <w:rPr>
          <w:rFonts w:ascii="Acumin Pro" w:hAnsi="Acumin Pro" w:cstheme="minorHAnsi"/>
          <w:b/>
          <w:bCs/>
          <w:sz w:val="24"/>
          <w:szCs w:val="24"/>
          <w:lang w:val="en-US"/>
        </w:rPr>
        <w:t xml:space="preserve">impact Roma children and lack of proportionality </w:t>
      </w:r>
      <w:r w:rsidR="00541E31" w:rsidRPr="002C7EFD">
        <w:rPr>
          <w:rFonts w:ascii="Acumin Pro" w:hAnsi="Acumin Pro" w:cstheme="minorHAnsi"/>
          <w:b/>
          <w:bCs/>
          <w:sz w:val="24"/>
          <w:szCs w:val="24"/>
          <w:lang w:val="en-US"/>
        </w:rPr>
        <w:t xml:space="preserve">between the means employed and the aim sought to be achieved, conditions </w:t>
      </w:r>
      <w:r w:rsidR="001A25B6" w:rsidRPr="002C7EFD">
        <w:rPr>
          <w:rFonts w:ascii="Acumin Pro" w:hAnsi="Acumin Pro" w:cstheme="minorHAnsi"/>
          <w:b/>
          <w:bCs/>
          <w:sz w:val="24"/>
          <w:szCs w:val="24"/>
          <w:lang w:val="en-US"/>
        </w:rPr>
        <w:t xml:space="preserve">for parental </w:t>
      </w:r>
      <w:r w:rsidR="002D2DB8" w:rsidRPr="002C7EFD">
        <w:rPr>
          <w:rFonts w:ascii="Acumin Pro" w:hAnsi="Acumin Pro" w:cstheme="minorHAnsi"/>
          <w:b/>
          <w:bCs/>
          <w:sz w:val="24"/>
          <w:szCs w:val="24"/>
          <w:lang w:val="en-US"/>
        </w:rPr>
        <w:t>allowance regarding immunization and school attendance do not comply with the Article 26</w:t>
      </w:r>
      <w:r w:rsidR="002D2DB8" w:rsidRPr="002C7EFD">
        <w:rPr>
          <w:rFonts w:ascii="Acumin Pro" w:hAnsi="Acumin Pro" w:cstheme="minorHAnsi"/>
          <w:sz w:val="24"/>
          <w:szCs w:val="24"/>
          <w:lang w:val="en-US"/>
        </w:rPr>
        <w:t>.</w:t>
      </w:r>
    </w:p>
    <w:p w14:paraId="0734843E" w14:textId="77777777" w:rsidR="002C7EFD" w:rsidRDefault="002C7EFD" w:rsidP="002C7EFD">
      <w:pPr>
        <w:pStyle w:val="ListParagraph"/>
        <w:numPr>
          <w:ilvl w:val="0"/>
          <w:numId w:val="6"/>
        </w:numPr>
        <w:spacing w:after="0" w:line="240" w:lineRule="auto"/>
        <w:ind w:left="0"/>
        <w:jc w:val="both"/>
        <w:rPr>
          <w:rFonts w:ascii="Acumin Pro" w:hAnsi="Acumin Pro" w:cstheme="minorHAnsi"/>
          <w:sz w:val="24"/>
          <w:szCs w:val="24"/>
          <w:lang w:val="en-US"/>
        </w:rPr>
      </w:pPr>
      <w:r>
        <w:rPr>
          <w:rFonts w:ascii="Acumin Pro" w:hAnsi="Acumin Pro" w:cstheme="minorHAnsi"/>
          <w:sz w:val="24"/>
          <w:szCs w:val="24"/>
          <w:lang w:val="en-US"/>
        </w:rPr>
        <w:t xml:space="preserve">Having in mind all the above mentioned, the A 11 Initiative kindly asks the Committee to ask the Republic of Serbia the following: </w:t>
      </w:r>
    </w:p>
    <w:p w14:paraId="4663A59B" w14:textId="77777777" w:rsidR="002C7EFD" w:rsidRDefault="002C7EFD" w:rsidP="002C7EFD">
      <w:pPr>
        <w:pStyle w:val="ListParagraph"/>
        <w:numPr>
          <w:ilvl w:val="1"/>
          <w:numId w:val="6"/>
        </w:numPr>
        <w:spacing w:after="0" w:line="240" w:lineRule="auto"/>
        <w:jc w:val="both"/>
        <w:rPr>
          <w:rFonts w:ascii="Acumin Pro" w:hAnsi="Acumin Pro" w:cstheme="minorHAnsi"/>
          <w:sz w:val="24"/>
          <w:szCs w:val="24"/>
          <w:lang w:val="en-US"/>
        </w:rPr>
      </w:pPr>
      <w:r w:rsidRPr="002C7EFD">
        <w:rPr>
          <w:rFonts w:ascii="Acumin Pro" w:hAnsi="Acumin Pro" w:cstheme="minorHAnsi"/>
          <w:sz w:val="24"/>
          <w:szCs w:val="24"/>
          <w:lang w:val="en-US"/>
        </w:rPr>
        <w:lastRenderedPageBreak/>
        <w:t>Please explain how the State intends to take forward the recommendation of the Committee on Economic, Social and Cultural Rights to review the conditions attached to the parental allowance, with a view to removing the conditions that are discriminatory or have a discriminatory effect and contradict human rights norms.</w:t>
      </w:r>
    </w:p>
    <w:p w14:paraId="459822D5" w14:textId="5F6BD28F" w:rsidR="002C7EFD" w:rsidRDefault="002C7EFD" w:rsidP="002C7EFD">
      <w:pPr>
        <w:pStyle w:val="ListParagraph"/>
        <w:numPr>
          <w:ilvl w:val="1"/>
          <w:numId w:val="6"/>
        </w:numPr>
        <w:spacing w:after="0" w:line="240" w:lineRule="auto"/>
        <w:jc w:val="both"/>
        <w:rPr>
          <w:rFonts w:ascii="Acumin Pro" w:hAnsi="Acumin Pro" w:cstheme="minorHAnsi"/>
          <w:sz w:val="24"/>
          <w:szCs w:val="24"/>
          <w:lang w:val="en-US"/>
        </w:rPr>
      </w:pPr>
      <w:r w:rsidRPr="002C7EFD">
        <w:rPr>
          <w:rFonts w:ascii="Acumin Pro" w:hAnsi="Acumin Pro" w:cstheme="minorHAnsi"/>
          <w:sz w:val="24"/>
          <w:szCs w:val="24"/>
          <w:lang w:val="en-US"/>
        </w:rPr>
        <w:t>Please describe the impact of the Article 25 of the Law on Financial Support to the Family with Children regarding school attendance and immunization on vulnerable Roma children.</w:t>
      </w:r>
    </w:p>
    <w:p w14:paraId="467996BC" w14:textId="77777777" w:rsidR="0096459C" w:rsidRPr="002C7EFD" w:rsidRDefault="0096459C" w:rsidP="0096459C">
      <w:pPr>
        <w:pStyle w:val="ListParagraph"/>
        <w:spacing w:after="0" w:line="240" w:lineRule="auto"/>
        <w:ind w:left="732"/>
        <w:jc w:val="both"/>
        <w:rPr>
          <w:rFonts w:ascii="Acumin Pro" w:hAnsi="Acumin Pro" w:cstheme="minorHAnsi"/>
          <w:sz w:val="24"/>
          <w:szCs w:val="24"/>
          <w:lang w:val="en-US"/>
        </w:rPr>
      </w:pPr>
    </w:p>
    <w:p w14:paraId="2E1E2371" w14:textId="77777777" w:rsidR="00AA2975" w:rsidRPr="0061672B" w:rsidRDefault="00AA2975" w:rsidP="00AA2975">
      <w:pPr>
        <w:spacing w:after="0" w:line="240" w:lineRule="auto"/>
        <w:jc w:val="both"/>
        <w:rPr>
          <w:rFonts w:ascii="Acumin Pro" w:hAnsi="Acumin Pro" w:cstheme="minorHAnsi"/>
          <w:sz w:val="24"/>
          <w:szCs w:val="24"/>
          <w:lang w:val="en-US"/>
        </w:rPr>
      </w:pPr>
    </w:p>
    <w:p w14:paraId="785D7C83" w14:textId="32D5673D" w:rsidR="00E03B84" w:rsidRPr="002C7EFD" w:rsidRDefault="0096459C" w:rsidP="00AA2975">
      <w:pPr>
        <w:spacing w:after="0" w:line="240" w:lineRule="auto"/>
        <w:jc w:val="both"/>
        <w:rPr>
          <w:rFonts w:ascii="Acumin Pro" w:hAnsi="Acumin Pro" w:cstheme="minorHAnsi"/>
          <w:b/>
          <w:bCs/>
          <w:sz w:val="24"/>
          <w:szCs w:val="24"/>
          <w:lang w:val="en-US"/>
        </w:rPr>
      </w:pPr>
      <w:bookmarkStart w:id="4" w:name="_Hlk123668198"/>
      <w:r w:rsidRPr="002C7EFD">
        <w:rPr>
          <w:rFonts w:ascii="Acumin Pro" w:hAnsi="Acumin Pro" w:cstheme="minorHAnsi"/>
          <w:b/>
          <w:bCs/>
          <w:sz w:val="24"/>
          <w:szCs w:val="24"/>
          <w:lang w:val="en-US"/>
        </w:rPr>
        <w:t>LIMITING THE NUMBER OF CHILDREN ELIGIBLE FOR PARENTAL AND CHILD ALLOWANCE</w:t>
      </w:r>
    </w:p>
    <w:bookmarkEnd w:id="4"/>
    <w:p w14:paraId="357E9511" w14:textId="3FE6566B" w:rsidR="00E03B84" w:rsidRDefault="00E03B84" w:rsidP="0039050D">
      <w:pPr>
        <w:pStyle w:val="ListParagraph"/>
        <w:ind w:left="-284" w:right="-426"/>
        <w:jc w:val="both"/>
        <w:rPr>
          <w:rFonts w:ascii="Acumin Pro" w:hAnsi="Acumin Pro" w:cstheme="minorHAnsi"/>
          <w:sz w:val="24"/>
          <w:szCs w:val="24"/>
          <w:lang w:val="en-US"/>
        </w:rPr>
      </w:pPr>
    </w:p>
    <w:p w14:paraId="028E16C0" w14:textId="77777777" w:rsidR="0096459C" w:rsidRPr="0061672B" w:rsidRDefault="0096459C" w:rsidP="0039050D">
      <w:pPr>
        <w:pStyle w:val="ListParagraph"/>
        <w:ind w:left="-284" w:right="-426"/>
        <w:jc w:val="both"/>
        <w:rPr>
          <w:rFonts w:ascii="Acumin Pro" w:hAnsi="Acumin Pro" w:cstheme="minorHAnsi"/>
          <w:sz w:val="24"/>
          <w:szCs w:val="24"/>
          <w:lang w:val="en-US"/>
        </w:rPr>
      </w:pPr>
    </w:p>
    <w:p w14:paraId="0F63A115" w14:textId="77777777" w:rsidR="00D61065" w:rsidRDefault="00E03B84" w:rsidP="000B6050">
      <w:pPr>
        <w:pStyle w:val="ListParagraph"/>
        <w:numPr>
          <w:ilvl w:val="0"/>
          <w:numId w:val="6"/>
        </w:numPr>
        <w:ind w:left="0" w:right="-426"/>
        <w:jc w:val="both"/>
        <w:rPr>
          <w:rFonts w:ascii="Acumin Pro" w:hAnsi="Acumin Pro" w:cstheme="minorHAnsi"/>
          <w:sz w:val="24"/>
          <w:szCs w:val="24"/>
          <w:lang w:val="en-US"/>
        </w:rPr>
      </w:pPr>
      <w:r w:rsidRPr="002C7EFD">
        <w:rPr>
          <w:rFonts w:ascii="Acumin Pro" w:hAnsi="Acumin Pro" w:cstheme="minorHAnsi"/>
          <w:sz w:val="24"/>
          <w:szCs w:val="24"/>
          <w:lang w:val="en-US"/>
        </w:rPr>
        <w:t xml:space="preserve">Limiting the number of children eligible for parental and child allowance is another condition that affects disproportionately most vulnerable Roma children and families. Families are eligible to receive </w:t>
      </w:r>
      <w:r w:rsidRPr="00D61065">
        <w:rPr>
          <w:rFonts w:ascii="Acumin Pro" w:hAnsi="Acumin Pro" w:cstheme="minorHAnsi"/>
          <w:b/>
          <w:bCs/>
          <w:sz w:val="24"/>
          <w:szCs w:val="24"/>
          <w:lang w:val="en-US"/>
        </w:rPr>
        <w:t>parental and child allowance for up to four children, apart from several exceptional cases</w:t>
      </w:r>
      <w:r w:rsidRPr="002C7EFD">
        <w:rPr>
          <w:rFonts w:ascii="Acumin Pro" w:hAnsi="Acumin Pro" w:cstheme="minorHAnsi"/>
          <w:sz w:val="24"/>
          <w:szCs w:val="24"/>
          <w:lang w:val="en-US"/>
        </w:rPr>
        <w:t xml:space="preserve">. This limitation of the number of children who are eligible for parental and child allowance </w:t>
      </w:r>
      <w:r w:rsidRPr="00D61065">
        <w:rPr>
          <w:rFonts w:ascii="Acumin Pro" w:hAnsi="Acumin Pro" w:cstheme="minorHAnsi"/>
          <w:b/>
          <w:bCs/>
          <w:sz w:val="24"/>
          <w:szCs w:val="24"/>
          <w:lang w:val="en-US"/>
        </w:rPr>
        <w:t>disproportionately affects the most vulnerable families with children</w:t>
      </w:r>
      <w:r w:rsidRPr="002C7EFD">
        <w:rPr>
          <w:rFonts w:ascii="Acumin Pro" w:hAnsi="Acumin Pro" w:cstheme="minorHAnsi"/>
          <w:sz w:val="24"/>
          <w:szCs w:val="24"/>
          <w:lang w:val="en-US"/>
        </w:rPr>
        <w:t xml:space="preserve">. </w:t>
      </w:r>
    </w:p>
    <w:p w14:paraId="574D4036" w14:textId="756B0238" w:rsidR="00E03B84" w:rsidRDefault="00E03B84" w:rsidP="000B6050">
      <w:pPr>
        <w:pStyle w:val="ListParagraph"/>
        <w:numPr>
          <w:ilvl w:val="0"/>
          <w:numId w:val="6"/>
        </w:numPr>
        <w:ind w:left="0" w:right="-426"/>
        <w:jc w:val="both"/>
        <w:rPr>
          <w:rFonts w:ascii="Acumin Pro" w:hAnsi="Acumin Pro" w:cstheme="minorHAnsi"/>
          <w:sz w:val="24"/>
          <w:szCs w:val="24"/>
          <w:lang w:val="en-US"/>
        </w:rPr>
      </w:pPr>
      <w:r w:rsidRPr="00D61065">
        <w:rPr>
          <w:rFonts w:ascii="Acumin Pro" w:hAnsi="Acumin Pro" w:cstheme="minorHAnsi"/>
          <w:sz w:val="24"/>
          <w:szCs w:val="24"/>
          <w:lang w:val="en-US"/>
        </w:rPr>
        <w:t xml:space="preserve">The data of the </w:t>
      </w:r>
      <w:r w:rsidRPr="000533FD">
        <w:rPr>
          <w:rFonts w:ascii="Acumin Pro" w:hAnsi="Acumin Pro" w:cstheme="minorHAnsi"/>
          <w:b/>
          <w:bCs/>
          <w:sz w:val="24"/>
          <w:szCs w:val="24"/>
          <w:lang w:val="en-US"/>
        </w:rPr>
        <w:t>Statistical Office of the Republic of Serbia</w:t>
      </w:r>
      <w:r w:rsidRPr="00D61065">
        <w:rPr>
          <w:rFonts w:ascii="Acumin Pro" w:hAnsi="Acumin Pro" w:cstheme="minorHAnsi"/>
          <w:sz w:val="24"/>
          <w:szCs w:val="24"/>
          <w:lang w:val="en-US"/>
        </w:rPr>
        <w:t xml:space="preserve"> from the 2011 Census demonstrates that there are </w:t>
      </w:r>
      <w:r w:rsidRPr="000533FD">
        <w:rPr>
          <w:rFonts w:ascii="Acumin Pro" w:hAnsi="Acumin Pro" w:cstheme="minorHAnsi"/>
          <w:b/>
          <w:bCs/>
          <w:sz w:val="24"/>
          <w:szCs w:val="24"/>
          <w:lang w:val="en-US"/>
        </w:rPr>
        <w:t>only 5,264 families with over five children in Serbia. Out of this number, there are as many as 1,719 families in which one or both parents stated that they are Roma.</w:t>
      </w:r>
      <w:r w:rsidRPr="00D61065">
        <w:rPr>
          <w:rFonts w:ascii="Acumin Pro" w:hAnsi="Acumin Pro" w:cstheme="minorHAnsi"/>
          <w:sz w:val="24"/>
          <w:szCs w:val="24"/>
          <w:lang w:val="en-US"/>
        </w:rPr>
        <w:t xml:space="preserve">  Although Roma </w:t>
      </w:r>
      <w:r w:rsidR="000533FD">
        <w:rPr>
          <w:rFonts w:ascii="Acumin Pro" w:hAnsi="Acumin Pro" w:cstheme="minorHAnsi"/>
          <w:sz w:val="24"/>
          <w:szCs w:val="24"/>
          <w:lang w:val="en-US"/>
        </w:rPr>
        <w:t>made</w:t>
      </w:r>
      <w:r w:rsidRPr="00D61065">
        <w:rPr>
          <w:rFonts w:ascii="Acumin Pro" w:hAnsi="Acumin Pro" w:cstheme="minorHAnsi"/>
          <w:sz w:val="24"/>
          <w:szCs w:val="24"/>
          <w:lang w:val="en-US"/>
        </w:rPr>
        <w:t xml:space="preserve"> up </w:t>
      </w:r>
      <w:r w:rsidR="000533FD">
        <w:rPr>
          <w:rFonts w:ascii="Acumin Pro" w:hAnsi="Acumin Pro" w:cstheme="minorHAnsi"/>
          <w:sz w:val="24"/>
          <w:szCs w:val="24"/>
          <w:lang w:val="en-US"/>
        </w:rPr>
        <w:t xml:space="preserve">to </w:t>
      </w:r>
      <w:r w:rsidRPr="00D61065">
        <w:rPr>
          <w:rFonts w:ascii="Acumin Pro" w:hAnsi="Acumin Pro" w:cstheme="minorHAnsi"/>
          <w:sz w:val="24"/>
          <w:szCs w:val="24"/>
          <w:lang w:val="en-US"/>
        </w:rPr>
        <w:t>2.0</w:t>
      </w:r>
      <w:r w:rsidR="000533FD">
        <w:rPr>
          <w:rFonts w:ascii="Acumin Pro" w:hAnsi="Acumin Pro" w:cstheme="minorHAnsi"/>
          <w:sz w:val="24"/>
          <w:szCs w:val="24"/>
          <w:lang w:val="en-US"/>
        </w:rPr>
        <w:t>5</w:t>
      </w:r>
      <w:r w:rsidRPr="00D61065">
        <w:rPr>
          <w:rFonts w:ascii="Acumin Pro" w:hAnsi="Acumin Pro" w:cstheme="minorHAnsi"/>
          <w:sz w:val="24"/>
          <w:szCs w:val="24"/>
          <w:lang w:val="en-US"/>
        </w:rPr>
        <w:t>% of the population according to the 2011 Census, their share in families with five or more children is 32.66%.</w:t>
      </w:r>
      <w:r w:rsidR="000533FD">
        <w:rPr>
          <w:rStyle w:val="FootnoteReference"/>
          <w:rFonts w:ascii="Acumin Pro" w:hAnsi="Acumin Pro" w:cstheme="minorHAnsi"/>
          <w:sz w:val="24"/>
          <w:szCs w:val="24"/>
          <w:lang w:val="en-US"/>
        </w:rPr>
        <w:footnoteReference w:id="15"/>
      </w:r>
      <w:r w:rsidRPr="00D61065">
        <w:rPr>
          <w:rFonts w:ascii="Acumin Pro" w:hAnsi="Acumin Pro" w:cstheme="minorHAnsi"/>
          <w:sz w:val="24"/>
          <w:szCs w:val="24"/>
          <w:lang w:val="en-US"/>
        </w:rPr>
        <w:t xml:space="preserve"> Furthermore, out of this number, in 782 families one or both parents are illiterate, while there are 1,024 families in which both parents have no education or have completed a maximum of three grades of primary school. These insights into the more detailed characteristics of families with five or more children show that the most vulnerable families are particularly affected by the limitation regarding the number of children who can receive the parental and child allowance. In addition, having in mind the ethnicity of parents with five or more children, the mentioned limitation raises the issue of discrimination</w:t>
      </w:r>
      <w:r w:rsidR="00AA2975" w:rsidRPr="00D61065">
        <w:rPr>
          <w:rFonts w:ascii="Acumin Pro" w:hAnsi="Acumin Pro" w:cstheme="minorHAnsi"/>
          <w:sz w:val="24"/>
          <w:szCs w:val="24"/>
          <w:lang w:val="en-US"/>
        </w:rPr>
        <w:t xml:space="preserve"> and non</w:t>
      </w:r>
      <w:r w:rsidR="005C5184" w:rsidRPr="00D61065">
        <w:rPr>
          <w:rFonts w:ascii="Acumin Pro" w:hAnsi="Acumin Pro" w:cstheme="minorHAnsi"/>
          <w:sz w:val="24"/>
          <w:szCs w:val="24"/>
          <w:lang w:val="en-US"/>
        </w:rPr>
        <w:t>-compliance with the Article 26 of the Covenant</w:t>
      </w:r>
      <w:r w:rsidRPr="00D61065">
        <w:rPr>
          <w:rFonts w:ascii="Acumin Pro" w:hAnsi="Acumin Pro" w:cstheme="minorHAnsi"/>
          <w:sz w:val="24"/>
          <w:szCs w:val="24"/>
          <w:lang w:val="en-US"/>
        </w:rPr>
        <w:t>.</w:t>
      </w:r>
    </w:p>
    <w:p w14:paraId="4AEAD8E3" w14:textId="77777777" w:rsidR="00717133" w:rsidRDefault="00717133" w:rsidP="00717133">
      <w:pPr>
        <w:pStyle w:val="ListParagraph"/>
        <w:numPr>
          <w:ilvl w:val="0"/>
          <w:numId w:val="6"/>
        </w:numPr>
        <w:spacing w:after="0" w:line="240" w:lineRule="auto"/>
        <w:ind w:left="0"/>
        <w:jc w:val="both"/>
        <w:rPr>
          <w:rFonts w:ascii="Acumin Pro" w:hAnsi="Acumin Pro" w:cstheme="minorHAnsi"/>
          <w:sz w:val="24"/>
          <w:szCs w:val="24"/>
          <w:lang w:val="en-US"/>
        </w:rPr>
      </w:pPr>
      <w:r>
        <w:rPr>
          <w:rFonts w:ascii="Acumin Pro" w:hAnsi="Acumin Pro" w:cstheme="minorHAnsi"/>
          <w:sz w:val="24"/>
          <w:szCs w:val="24"/>
          <w:lang w:val="en-US"/>
        </w:rPr>
        <w:t xml:space="preserve">Having in mind all the above mentioned, the A 11 Initiative kindly asks the Committee to ask the Republic of Serbia the following: </w:t>
      </w:r>
    </w:p>
    <w:p w14:paraId="4FCBBE96" w14:textId="7E01F9AE" w:rsidR="00717133" w:rsidRDefault="00717133" w:rsidP="00717133">
      <w:pPr>
        <w:pStyle w:val="ListParagraph"/>
        <w:numPr>
          <w:ilvl w:val="1"/>
          <w:numId w:val="6"/>
        </w:numPr>
        <w:ind w:right="-426"/>
        <w:jc w:val="both"/>
        <w:rPr>
          <w:rFonts w:ascii="Acumin Pro" w:hAnsi="Acumin Pro" w:cstheme="minorHAnsi"/>
          <w:sz w:val="24"/>
          <w:szCs w:val="24"/>
          <w:lang w:val="en-US"/>
        </w:rPr>
      </w:pPr>
      <w:r>
        <w:rPr>
          <w:rFonts w:ascii="Acumin Pro" w:hAnsi="Acumin Pro" w:cstheme="minorHAnsi"/>
          <w:sz w:val="24"/>
          <w:szCs w:val="24"/>
          <w:lang w:val="en-US"/>
        </w:rPr>
        <w:t xml:space="preserve">Please explain if the State </w:t>
      </w:r>
      <w:r w:rsidR="0096459C">
        <w:rPr>
          <w:rFonts w:ascii="Acumin Pro" w:hAnsi="Acumin Pro" w:cstheme="minorHAnsi"/>
          <w:sz w:val="24"/>
          <w:szCs w:val="24"/>
          <w:lang w:val="en-US"/>
        </w:rPr>
        <w:t>assessed</w:t>
      </w:r>
      <w:r>
        <w:rPr>
          <w:rFonts w:ascii="Acumin Pro" w:hAnsi="Acumin Pro" w:cstheme="minorHAnsi"/>
          <w:sz w:val="24"/>
          <w:szCs w:val="24"/>
          <w:lang w:val="en-US"/>
        </w:rPr>
        <w:t xml:space="preserve"> the effects of this legislation on the most vulnerable population groups, such as Roma minority. </w:t>
      </w:r>
    </w:p>
    <w:p w14:paraId="2AE0928C" w14:textId="670BF06D" w:rsidR="00717133" w:rsidRPr="00D61065" w:rsidRDefault="00717133" w:rsidP="00717133">
      <w:pPr>
        <w:pStyle w:val="ListParagraph"/>
        <w:numPr>
          <w:ilvl w:val="1"/>
          <w:numId w:val="6"/>
        </w:numPr>
        <w:ind w:right="-426"/>
        <w:jc w:val="both"/>
        <w:rPr>
          <w:rFonts w:ascii="Acumin Pro" w:hAnsi="Acumin Pro" w:cstheme="minorHAnsi"/>
          <w:sz w:val="24"/>
          <w:szCs w:val="24"/>
          <w:lang w:val="en-US"/>
        </w:rPr>
      </w:pPr>
      <w:r>
        <w:rPr>
          <w:rFonts w:ascii="Acumin Pro" w:hAnsi="Acumin Pro" w:cstheme="minorHAnsi"/>
          <w:sz w:val="24"/>
          <w:szCs w:val="24"/>
          <w:lang w:val="en-US"/>
        </w:rPr>
        <w:lastRenderedPageBreak/>
        <w:t xml:space="preserve">Please explain what </w:t>
      </w:r>
      <w:r w:rsidR="0096459C">
        <w:rPr>
          <w:rFonts w:ascii="Acumin Pro" w:hAnsi="Acumin Pro" w:cstheme="minorHAnsi"/>
          <w:sz w:val="24"/>
          <w:szCs w:val="24"/>
          <w:lang w:val="en-US"/>
        </w:rPr>
        <w:t>the rationale for the introduction of the limitation of the number of children is</w:t>
      </w:r>
      <w:r>
        <w:rPr>
          <w:rFonts w:ascii="Acumin Pro" w:hAnsi="Acumin Pro" w:cstheme="minorHAnsi"/>
          <w:sz w:val="24"/>
          <w:szCs w:val="24"/>
          <w:lang w:val="en-US"/>
        </w:rPr>
        <w:t xml:space="preserve"> eligible for parental and child allowance. </w:t>
      </w:r>
    </w:p>
    <w:p w14:paraId="2541085F" w14:textId="2919A15A" w:rsidR="00717133" w:rsidRDefault="00717133" w:rsidP="00717133">
      <w:pPr>
        <w:pStyle w:val="ListParagraph"/>
        <w:numPr>
          <w:ilvl w:val="1"/>
          <w:numId w:val="6"/>
        </w:numPr>
        <w:ind w:right="-426"/>
        <w:jc w:val="both"/>
        <w:rPr>
          <w:rFonts w:ascii="Acumin Pro" w:hAnsi="Acumin Pro" w:cstheme="minorHAnsi"/>
          <w:sz w:val="24"/>
          <w:szCs w:val="24"/>
          <w:lang w:val="en-US"/>
        </w:rPr>
      </w:pPr>
      <w:r>
        <w:rPr>
          <w:rFonts w:ascii="Acumin Pro" w:hAnsi="Acumin Pro" w:cstheme="minorHAnsi"/>
          <w:sz w:val="24"/>
          <w:szCs w:val="24"/>
          <w:lang w:val="en-US"/>
        </w:rPr>
        <w:t xml:space="preserve">Please explain what measures were taken in order to address the concerns about the limitation of the number of children eligible for parental and child allowance. </w:t>
      </w:r>
    </w:p>
    <w:p w14:paraId="70C79650" w14:textId="77777777" w:rsidR="0096459C" w:rsidRDefault="0096459C" w:rsidP="005C5184">
      <w:pPr>
        <w:ind w:right="-426"/>
        <w:jc w:val="both"/>
        <w:rPr>
          <w:rFonts w:ascii="Acumin Pro" w:hAnsi="Acumin Pro" w:cstheme="minorHAnsi"/>
          <w:b/>
          <w:bCs/>
          <w:sz w:val="24"/>
          <w:szCs w:val="24"/>
          <w:lang w:val="en-US"/>
        </w:rPr>
      </w:pPr>
      <w:bookmarkStart w:id="5" w:name="_Hlk114565343"/>
      <w:bookmarkStart w:id="6" w:name="_Hlk123659945"/>
    </w:p>
    <w:p w14:paraId="3C854D68" w14:textId="200B68FE" w:rsidR="005C5184" w:rsidRDefault="0096459C" w:rsidP="005C5184">
      <w:pPr>
        <w:ind w:right="-426"/>
        <w:jc w:val="both"/>
        <w:rPr>
          <w:rFonts w:ascii="Acumin Pro" w:hAnsi="Acumin Pro" w:cstheme="minorHAnsi"/>
          <w:b/>
          <w:bCs/>
          <w:sz w:val="24"/>
          <w:szCs w:val="24"/>
          <w:lang w:val="en-US"/>
        </w:rPr>
      </w:pPr>
      <w:r w:rsidRPr="000533FD">
        <w:rPr>
          <w:rFonts w:ascii="Acumin Pro" w:hAnsi="Acumin Pro" w:cstheme="minorHAnsi"/>
          <w:b/>
          <w:bCs/>
          <w:sz w:val="24"/>
          <w:szCs w:val="24"/>
          <w:lang w:val="en-US"/>
        </w:rPr>
        <w:t>EXCLUSION OF ROMA WITHOUT ID AND PERMANENT RESIDENCE FROM CASH ASSISTANCE TO MITIGATE CONSEQUENCES OF THE PANDEMIC</w:t>
      </w:r>
      <w:bookmarkEnd w:id="5"/>
    </w:p>
    <w:bookmarkEnd w:id="6"/>
    <w:p w14:paraId="4661A7AC" w14:textId="77777777" w:rsidR="00717133" w:rsidRPr="000533FD" w:rsidRDefault="00717133" w:rsidP="005C5184">
      <w:pPr>
        <w:ind w:right="-426"/>
        <w:jc w:val="both"/>
        <w:rPr>
          <w:rFonts w:ascii="Acumin Pro" w:hAnsi="Acumin Pro" w:cstheme="minorHAnsi"/>
          <w:b/>
          <w:bCs/>
          <w:sz w:val="24"/>
          <w:szCs w:val="24"/>
          <w:lang w:val="en-US"/>
        </w:rPr>
      </w:pPr>
    </w:p>
    <w:p w14:paraId="03C3D160" w14:textId="77777777" w:rsidR="000533FD" w:rsidRDefault="00E03B84" w:rsidP="00C33C45">
      <w:pPr>
        <w:pStyle w:val="ListParagraph"/>
        <w:numPr>
          <w:ilvl w:val="0"/>
          <w:numId w:val="6"/>
        </w:numPr>
        <w:ind w:left="0" w:right="-426"/>
        <w:jc w:val="both"/>
        <w:rPr>
          <w:rFonts w:ascii="Acumin Pro" w:hAnsi="Acumin Pro" w:cstheme="minorHAnsi"/>
          <w:sz w:val="24"/>
          <w:szCs w:val="24"/>
          <w:lang w:val="en-US"/>
        </w:rPr>
      </w:pPr>
      <w:r w:rsidRPr="000533FD">
        <w:rPr>
          <w:rFonts w:ascii="Acumin Pro" w:hAnsi="Acumin Pro" w:cstheme="minorHAnsi"/>
          <w:b/>
          <w:bCs/>
          <w:sz w:val="24"/>
          <w:szCs w:val="24"/>
          <w:lang w:val="en-US"/>
        </w:rPr>
        <w:t xml:space="preserve">Roma without an ID card and permanent residence were excluded from the cash benefit of </w:t>
      </w:r>
      <w:r w:rsidRPr="000533FD">
        <w:rPr>
          <w:rFonts w:ascii="Acumin Pro" w:hAnsi="Acumin Pro" w:cstheme="minorHAnsi"/>
          <w:b/>
          <w:bCs/>
          <w:color w:val="000000"/>
          <w:sz w:val="24"/>
          <w:szCs w:val="24"/>
          <w:lang w:val="en-US"/>
        </w:rPr>
        <w:t>€</w:t>
      </w:r>
      <w:r w:rsidRPr="000533FD">
        <w:rPr>
          <w:rFonts w:ascii="Acumin Pro" w:hAnsi="Acumin Pro" w:cstheme="minorHAnsi"/>
          <w:b/>
          <w:bCs/>
          <w:sz w:val="24"/>
          <w:szCs w:val="24"/>
          <w:lang w:val="en-US"/>
        </w:rPr>
        <w:t xml:space="preserve"> 100</w:t>
      </w:r>
      <w:r w:rsidRPr="0061672B">
        <w:rPr>
          <w:vertAlign w:val="superscript"/>
        </w:rPr>
        <w:footnoteReference w:id="16"/>
      </w:r>
      <w:r w:rsidRPr="000533FD">
        <w:rPr>
          <w:rFonts w:ascii="Acumin Pro" w:hAnsi="Acumin Pro" w:cstheme="minorHAnsi"/>
          <w:sz w:val="24"/>
          <w:szCs w:val="24"/>
          <w:lang w:val="en-US"/>
        </w:rPr>
        <w:t xml:space="preserve"> in 2020 and </w:t>
      </w:r>
      <w:r w:rsidRPr="000533FD">
        <w:rPr>
          <w:rFonts w:ascii="Acumin Pro" w:hAnsi="Acumin Pro" w:cstheme="minorHAnsi"/>
          <w:color w:val="000000"/>
          <w:sz w:val="24"/>
          <w:szCs w:val="24"/>
          <w:lang w:val="en-US"/>
        </w:rPr>
        <w:t>€</w:t>
      </w:r>
      <w:r w:rsidRPr="000533FD">
        <w:rPr>
          <w:rFonts w:ascii="Acumin Pro" w:hAnsi="Acumin Pro" w:cstheme="minorHAnsi"/>
          <w:sz w:val="24"/>
          <w:szCs w:val="24"/>
          <w:lang w:val="en-US"/>
        </w:rPr>
        <w:t xml:space="preserve"> 80</w:t>
      </w:r>
      <w:r w:rsidRPr="0061672B">
        <w:rPr>
          <w:vertAlign w:val="superscript"/>
        </w:rPr>
        <w:footnoteReference w:id="17"/>
      </w:r>
      <w:r w:rsidRPr="000533FD">
        <w:rPr>
          <w:rFonts w:ascii="Acumin Pro" w:hAnsi="Acumin Pro" w:cstheme="minorHAnsi"/>
          <w:sz w:val="24"/>
          <w:szCs w:val="24"/>
          <w:lang w:val="en-US"/>
        </w:rPr>
        <w:t xml:space="preserve"> in 2021 – state measures introduced to mitigate consequences of the </w:t>
      </w:r>
      <w:r w:rsidRPr="000533FD">
        <w:rPr>
          <w:rFonts w:ascii="Acumin Pro" w:hAnsi="Acumin Pro" w:cstheme="minorHAnsi"/>
          <w:b/>
          <w:bCs/>
          <w:sz w:val="24"/>
          <w:szCs w:val="24"/>
          <w:lang w:val="en-US"/>
        </w:rPr>
        <w:t>COVID-19 pandemic</w:t>
      </w:r>
      <w:r w:rsidRPr="000533FD">
        <w:rPr>
          <w:rFonts w:ascii="Acumin Pro" w:hAnsi="Acumin Pro" w:cstheme="minorHAnsi"/>
          <w:sz w:val="24"/>
          <w:szCs w:val="24"/>
          <w:lang w:val="en-US"/>
        </w:rPr>
        <w:t>, which all adult Serbian citizens with an ID and registered permanent residence were eligible for. However, persons who do not have an ID card and registered permanent residence (and these are almost exclusively Roma) were not eligible for this form of assistance. These measures are among the most obvious examples of the exclusion of vulnerable Roma from measures aimed at mitigating the economic consequences of the COVID-19 pandemic.</w:t>
      </w:r>
    </w:p>
    <w:p w14:paraId="1C351450" w14:textId="77777777" w:rsidR="000533FD" w:rsidRDefault="00E03B84" w:rsidP="00C33C45">
      <w:pPr>
        <w:pStyle w:val="ListParagraph"/>
        <w:numPr>
          <w:ilvl w:val="0"/>
          <w:numId w:val="6"/>
        </w:numPr>
        <w:ind w:left="0" w:right="-426"/>
        <w:jc w:val="both"/>
        <w:rPr>
          <w:rFonts w:ascii="Acumin Pro" w:hAnsi="Acumin Pro" w:cstheme="minorHAnsi"/>
          <w:sz w:val="24"/>
          <w:szCs w:val="24"/>
          <w:lang w:val="en-US"/>
        </w:rPr>
      </w:pPr>
      <w:r w:rsidRPr="000533FD">
        <w:rPr>
          <w:rFonts w:ascii="Acumin Pro" w:hAnsi="Acumin Pro" w:cstheme="minorHAnsi"/>
          <w:sz w:val="24"/>
          <w:szCs w:val="24"/>
          <w:lang w:val="en-US" w:eastAsia="sr-Latn-RS"/>
        </w:rPr>
        <w:t>It should be recalled that requiring documents (such as birth certificates, ID cards, or permanent residence) to access certain rights can discriminate against ethnic minorities who are not in possession or have been denied such documents.</w:t>
      </w:r>
      <w:r w:rsidRPr="0061672B">
        <w:rPr>
          <w:vertAlign w:val="superscript"/>
          <w:lang w:eastAsia="sr-Latn-RS"/>
        </w:rPr>
        <w:footnoteReference w:id="18"/>
      </w:r>
      <w:r w:rsidRPr="000533FD">
        <w:rPr>
          <w:rFonts w:ascii="Acumin Pro" w:hAnsi="Acumin Pro" w:cstheme="minorHAnsi"/>
          <w:sz w:val="24"/>
          <w:szCs w:val="24"/>
          <w:lang w:val="en-US" w:eastAsia="sr-Latn-RS"/>
        </w:rPr>
        <w:t xml:space="preserve"> Furthermore, the exclusion of undocumented Roma from the possibility of receiving this cash assistance is fundamentally at odds with recommendations of international organizations and human rights treaty bodies regarding the response to the </w:t>
      </w:r>
      <w:r w:rsidR="000533FD">
        <w:rPr>
          <w:rFonts w:ascii="Acumin Pro" w:hAnsi="Acumin Pro" w:cstheme="minorHAnsi"/>
          <w:sz w:val="24"/>
          <w:szCs w:val="24"/>
          <w:lang w:val="en-US" w:eastAsia="sr-Latn-RS"/>
        </w:rPr>
        <w:t>pandemic</w:t>
      </w:r>
      <w:r w:rsidRPr="000533FD">
        <w:rPr>
          <w:rFonts w:ascii="Acumin Pro" w:hAnsi="Acumin Pro" w:cstheme="minorHAnsi"/>
          <w:sz w:val="24"/>
          <w:szCs w:val="24"/>
          <w:lang w:val="en-US" w:eastAsia="sr-Latn-RS"/>
        </w:rPr>
        <w:t xml:space="preserve">, which indicate that the needs of marginalized groups should be prioritized in the response to the </w:t>
      </w:r>
      <w:r w:rsidR="000533FD">
        <w:rPr>
          <w:rFonts w:ascii="Acumin Pro" w:hAnsi="Acumin Pro" w:cstheme="minorHAnsi"/>
          <w:sz w:val="24"/>
          <w:szCs w:val="24"/>
          <w:lang w:val="en-US" w:eastAsia="sr-Latn-RS"/>
        </w:rPr>
        <w:t>pandemic</w:t>
      </w:r>
      <w:r w:rsidRPr="000533FD">
        <w:rPr>
          <w:rFonts w:ascii="Acumin Pro" w:hAnsi="Acumin Pro" w:cstheme="minorHAnsi"/>
          <w:sz w:val="24"/>
          <w:szCs w:val="24"/>
          <w:lang w:val="en-US" w:eastAsia="sr-Latn-RS"/>
        </w:rPr>
        <w:t xml:space="preserve"> and the allocation of resources.</w:t>
      </w:r>
      <w:r w:rsidRPr="0061672B">
        <w:rPr>
          <w:vertAlign w:val="superscript"/>
          <w:lang w:eastAsia="sr-Latn-RS"/>
        </w:rPr>
        <w:footnoteReference w:id="19"/>
      </w:r>
      <w:r w:rsidRPr="000533FD">
        <w:rPr>
          <w:rFonts w:ascii="Acumin Pro" w:hAnsi="Acumin Pro" w:cstheme="minorHAnsi"/>
          <w:sz w:val="24"/>
          <w:szCs w:val="24"/>
          <w:lang w:val="en-US" w:eastAsia="sr-Latn-RS"/>
        </w:rPr>
        <w:t xml:space="preserve"> On the contrary, Serbia has allocated significant resources for the payment of financial assistance to all adult citizens (with valid ID cards), many of whom are certainly not in a state of vulnerability.</w:t>
      </w:r>
      <w:r w:rsidRPr="0061672B">
        <w:rPr>
          <w:vertAlign w:val="superscript"/>
          <w:lang w:eastAsia="sr-Latn-RS"/>
        </w:rPr>
        <w:footnoteReference w:id="20"/>
      </w:r>
      <w:r w:rsidRPr="000533FD">
        <w:rPr>
          <w:rFonts w:ascii="Acumin Pro" w:hAnsi="Acumin Pro" w:cstheme="minorHAnsi"/>
          <w:sz w:val="24"/>
          <w:szCs w:val="24"/>
          <w:lang w:val="en-US" w:eastAsia="sr-Latn-RS"/>
        </w:rPr>
        <w:t xml:space="preserve"> Contrary to the principle of social justice and prohibition of discrimination, Roma without ID and permanent residence, who are the most </w:t>
      </w:r>
      <w:r w:rsidRPr="000533FD">
        <w:rPr>
          <w:rFonts w:ascii="Acumin Pro" w:hAnsi="Acumin Pro" w:cstheme="minorHAnsi"/>
          <w:sz w:val="24"/>
          <w:szCs w:val="24"/>
          <w:lang w:val="en-US" w:eastAsia="sr-Latn-RS"/>
        </w:rPr>
        <w:lastRenderedPageBreak/>
        <w:t>marginalized and have no access to other types of assistance because they have no personal documents, could not receive this assistance.</w:t>
      </w:r>
    </w:p>
    <w:p w14:paraId="6D4908DD" w14:textId="77777777" w:rsidR="000533FD" w:rsidRDefault="00E03B84" w:rsidP="00C33C45">
      <w:pPr>
        <w:pStyle w:val="ListParagraph"/>
        <w:numPr>
          <w:ilvl w:val="0"/>
          <w:numId w:val="6"/>
        </w:numPr>
        <w:ind w:left="0" w:right="-426"/>
        <w:jc w:val="both"/>
        <w:rPr>
          <w:rFonts w:ascii="Acumin Pro" w:hAnsi="Acumin Pro" w:cstheme="minorHAnsi"/>
          <w:sz w:val="24"/>
          <w:szCs w:val="24"/>
          <w:lang w:val="en-US"/>
        </w:rPr>
      </w:pPr>
      <w:r w:rsidRPr="000533FD">
        <w:rPr>
          <w:rFonts w:ascii="Acumin Pro" w:hAnsi="Acumin Pro" w:cstheme="minorHAnsi"/>
          <w:sz w:val="24"/>
          <w:szCs w:val="24"/>
          <w:lang w:val="en-US"/>
        </w:rPr>
        <w:t xml:space="preserve">The </w:t>
      </w:r>
      <w:r w:rsidRPr="000533FD">
        <w:rPr>
          <w:rFonts w:ascii="Acumin Pro" w:hAnsi="Acumin Pro" w:cstheme="minorHAnsi"/>
          <w:b/>
          <w:bCs/>
          <w:sz w:val="24"/>
          <w:szCs w:val="24"/>
          <w:lang w:val="en-US"/>
        </w:rPr>
        <w:t>Commissioner for the Protection of Equality</w:t>
      </w:r>
      <w:r w:rsidRPr="000533FD">
        <w:rPr>
          <w:rFonts w:ascii="Acumin Pro" w:hAnsi="Acumin Pro" w:cstheme="minorHAnsi"/>
          <w:sz w:val="24"/>
          <w:szCs w:val="24"/>
          <w:lang w:val="en-US"/>
        </w:rPr>
        <w:t xml:space="preserve"> pointed out that the requirement of residence registration and ID card for access to support measures mainly affected Roma individuals, and </w:t>
      </w:r>
      <w:r w:rsidRPr="000533FD">
        <w:rPr>
          <w:rFonts w:ascii="Acumin Pro" w:hAnsi="Acumin Pro" w:cstheme="minorHAnsi"/>
          <w:b/>
          <w:bCs/>
          <w:sz w:val="24"/>
          <w:szCs w:val="24"/>
          <w:lang w:val="en-US"/>
        </w:rPr>
        <w:t>recommended that the competent Ministry of Finance take measures to include these persons in the support measures, either by amending the relevant regulation or by passing a new regulation</w:t>
      </w:r>
      <w:r w:rsidRPr="000533FD">
        <w:rPr>
          <w:rFonts w:ascii="Acumin Pro" w:hAnsi="Acumin Pro" w:cstheme="minorHAnsi"/>
          <w:sz w:val="24"/>
          <w:szCs w:val="24"/>
          <w:lang w:val="en-US"/>
        </w:rPr>
        <w:t>.</w:t>
      </w:r>
      <w:r w:rsidRPr="0061672B">
        <w:rPr>
          <w:vertAlign w:val="superscript"/>
        </w:rPr>
        <w:footnoteReference w:id="21"/>
      </w:r>
      <w:r w:rsidRPr="000533FD">
        <w:rPr>
          <w:rFonts w:ascii="Acumin Pro" w:hAnsi="Acumin Pro" w:cstheme="minorHAnsi"/>
          <w:sz w:val="24"/>
          <w:szCs w:val="24"/>
          <w:lang w:val="en-US"/>
        </w:rPr>
        <w:t xml:space="preserve"> However, the Ministry of Finance ignored the recommendation and took no steps to include Roma without an ID card and residence registration in measures intended to mitigate the consequences of the pandemic. In the meantime, the law regulating this type of assistance was amended and envisaged additional financial assistance </w:t>
      </w:r>
      <w:r w:rsidR="00162850" w:rsidRPr="000533FD">
        <w:rPr>
          <w:rFonts w:ascii="Acumin Pro" w:hAnsi="Acumin Pro" w:cstheme="minorHAnsi"/>
          <w:sz w:val="24"/>
          <w:szCs w:val="24"/>
          <w:lang w:val="en-US"/>
        </w:rPr>
        <w:t xml:space="preserve">in two </w:t>
      </w:r>
      <w:r w:rsidR="003608EA" w:rsidRPr="000533FD">
        <w:rPr>
          <w:rFonts w:ascii="Acumin Pro" w:hAnsi="Acumin Pro" w:cstheme="minorHAnsi"/>
          <w:sz w:val="24"/>
          <w:szCs w:val="24"/>
          <w:lang w:val="en-US"/>
        </w:rPr>
        <w:t>occasions</w:t>
      </w:r>
      <w:r w:rsidRPr="000533FD">
        <w:rPr>
          <w:rFonts w:ascii="Acumin Pro" w:hAnsi="Acumin Pro" w:cstheme="minorHAnsi"/>
          <w:sz w:val="24"/>
          <w:szCs w:val="24"/>
          <w:lang w:val="en-US"/>
        </w:rPr>
        <w:t>, but the same conditions regarding residence registration and ID card were maintained – once again confirming the discriminatory position towards undocumented Roma.</w:t>
      </w:r>
      <w:r w:rsidRPr="0061672B">
        <w:rPr>
          <w:vertAlign w:val="superscript"/>
        </w:rPr>
        <w:footnoteReference w:id="22"/>
      </w:r>
      <w:r w:rsidRPr="000533FD">
        <w:rPr>
          <w:rFonts w:ascii="Acumin Pro" w:hAnsi="Acumin Pro" w:cstheme="minorHAnsi"/>
          <w:sz w:val="24"/>
          <w:szCs w:val="24"/>
          <w:lang w:val="en-US"/>
        </w:rPr>
        <w:t xml:space="preserve"> The same conditions were maintained for payment of financial assistance introduced in January 2022 to youth aged between 16 and 29.</w:t>
      </w:r>
      <w:r w:rsidRPr="0061672B">
        <w:rPr>
          <w:vertAlign w:val="superscript"/>
        </w:rPr>
        <w:footnoteReference w:id="23"/>
      </w:r>
    </w:p>
    <w:p w14:paraId="3303C50B" w14:textId="77777777" w:rsidR="000533FD" w:rsidRDefault="00E03B84" w:rsidP="00C33C45">
      <w:pPr>
        <w:pStyle w:val="ListParagraph"/>
        <w:numPr>
          <w:ilvl w:val="0"/>
          <w:numId w:val="6"/>
        </w:numPr>
        <w:ind w:left="0" w:right="-426"/>
        <w:jc w:val="both"/>
        <w:rPr>
          <w:rFonts w:ascii="Acumin Pro" w:hAnsi="Acumin Pro" w:cstheme="minorHAnsi"/>
          <w:sz w:val="24"/>
          <w:szCs w:val="24"/>
          <w:lang w:val="en-US"/>
        </w:rPr>
      </w:pPr>
      <w:r w:rsidRPr="000533FD">
        <w:rPr>
          <w:rFonts w:ascii="Acumin Pro" w:hAnsi="Acumin Pro" w:cstheme="minorHAnsi"/>
          <w:sz w:val="24"/>
          <w:szCs w:val="24"/>
          <w:lang w:val="en-US"/>
        </w:rPr>
        <w:t>In March 2022, in its Concluding observations on the third periodic report of Serbia, the Committee on Economic, Social and Cultural Rights expressed its concern about the absence of specific COVID-19 response measures to protect disadvantaged and marginalized individuals and groups and the failure to reach out to the most disadvantaged and marginalized individuals and groups.</w:t>
      </w:r>
      <w:r w:rsidRPr="0061672B">
        <w:rPr>
          <w:rStyle w:val="FootnoteReference"/>
          <w:rFonts w:ascii="Acumin Pro" w:hAnsi="Acumin Pro" w:cstheme="minorHAnsi"/>
          <w:sz w:val="24"/>
          <w:szCs w:val="24"/>
          <w:lang w:val="en-US"/>
        </w:rPr>
        <w:footnoteReference w:id="24"/>
      </w:r>
      <w:r w:rsidRPr="000533FD">
        <w:rPr>
          <w:rFonts w:ascii="Acumin Pro" w:hAnsi="Acumin Pro" w:cstheme="minorHAnsi"/>
          <w:sz w:val="24"/>
          <w:szCs w:val="24"/>
          <w:lang w:val="en-US"/>
        </w:rPr>
        <w:t xml:space="preserve"> The </w:t>
      </w:r>
      <w:r w:rsidR="000533FD" w:rsidRPr="000533FD">
        <w:rPr>
          <w:rFonts w:ascii="Acumin Pro" w:hAnsi="Acumin Pro" w:cstheme="minorHAnsi"/>
          <w:b/>
          <w:bCs/>
          <w:sz w:val="24"/>
          <w:szCs w:val="24"/>
          <w:lang w:val="en-US"/>
        </w:rPr>
        <w:t xml:space="preserve">Committee on Economic, Social and Cultural Rights </w:t>
      </w:r>
      <w:r w:rsidRPr="000533FD">
        <w:rPr>
          <w:rFonts w:ascii="Acumin Pro" w:hAnsi="Acumin Pro" w:cstheme="minorHAnsi"/>
          <w:b/>
          <w:bCs/>
          <w:sz w:val="24"/>
          <w:szCs w:val="24"/>
          <w:lang w:val="en-US"/>
        </w:rPr>
        <w:t>also recommended the State</w:t>
      </w:r>
      <w:r w:rsidRPr="000533FD">
        <w:rPr>
          <w:rFonts w:ascii="Acumin Pro" w:hAnsi="Acumin Pro" w:cstheme="minorHAnsi"/>
          <w:sz w:val="24"/>
          <w:szCs w:val="24"/>
          <w:lang w:val="en-US"/>
        </w:rPr>
        <w:t xml:space="preserve"> to immediately rectify the situation by </w:t>
      </w:r>
      <w:r w:rsidRPr="000533FD">
        <w:rPr>
          <w:rFonts w:ascii="Acumin Pro" w:hAnsi="Acumin Pro" w:cstheme="minorHAnsi"/>
          <w:b/>
          <w:bCs/>
          <w:sz w:val="24"/>
          <w:szCs w:val="24"/>
          <w:lang w:val="en-US"/>
        </w:rPr>
        <w:t>providing the COVID-19-related cash benefits to those who were excluded, including due to a lack of permanent residence and identity documents</w:t>
      </w:r>
      <w:r w:rsidRPr="000533FD">
        <w:rPr>
          <w:rFonts w:ascii="Acumin Pro" w:hAnsi="Acumin Pro" w:cstheme="minorHAnsi"/>
          <w:sz w:val="24"/>
          <w:szCs w:val="24"/>
          <w:lang w:val="en-US"/>
        </w:rPr>
        <w:t>.</w:t>
      </w:r>
    </w:p>
    <w:p w14:paraId="776A748C" w14:textId="2B6A3EBD" w:rsidR="000B6050" w:rsidRDefault="000B6050" w:rsidP="00C33C45">
      <w:pPr>
        <w:pStyle w:val="ListParagraph"/>
        <w:numPr>
          <w:ilvl w:val="0"/>
          <w:numId w:val="6"/>
        </w:numPr>
        <w:ind w:left="0" w:right="-426"/>
        <w:jc w:val="both"/>
        <w:rPr>
          <w:rFonts w:ascii="Acumin Pro" w:hAnsi="Acumin Pro" w:cstheme="minorHAnsi"/>
          <w:sz w:val="24"/>
          <w:szCs w:val="24"/>
          <w:lang w:val="en-US"/>
        </w:rPr>
      </w:pPr>
      <w:r w:rsidRPr="000533FD">
        <w:rPr>
          <w:rFonts w:ascii="Acumin Pro" w:hAnsi="Acumin Pro" w:cstheme="minorHAnsi"/>
          <w:sz w:val="24"/>
          <w:szCs w:val="24"/>
          <w:lang w:val="en-US"/>
        </w:rPr>
        <w:t>It is pertinent to remind once again that in the view of the Human Rights Committee, article 26 of the Covenant does not merely duplicate the guarantee already provided for in article 2 but provides in itself an autonomous right.</w:t>
      </w:r>
      <w:r w:rsidR="00EA4DE5" w:rsidRPr="0061672B">
        <w:rPr>
          <w:rStyle w:val="FootnoteReference"/>
          <w:rFonts w:ascii="Acumin Pro" w:hAnsi="Acumin Pro" w:cstheme="minorHAnsi"/>
          <w:sz w:val="24"/>
          <w:szCs w:val="24"/>
          <w:lang w:val="en-US"/>
        </w:rPr>
        <w:footnoteReference w:id="25"/>
      </w:r>
      <w:r w:rsidRPr="000533FD">
        <w:rPr>
          <w:rFonts w:ascii="Acumin Pro" w:hAnsi="Acumin Pro" w:cstheme="minorHAnsi"/>
          <w:sz w:val="24"/>
          <w:szCs w:val="24"/>
          <w:lang w:val="en-US"/>
        </w:rPr>
        <w:t xml:space="preserve"> It prohibits discrimination in law or in fact in any field regulated and protected by public authorities. Article 26 is therefore concerned with the obligations imposed on States parties in regard to their legislation and the application thereof. Thus, when legislation is adopted by a State party, it must comply with the requirement of </w:t>
      </w:r>
      <w:r w:rsidR="00717133">
        <w:rPr>
          <w:rFonts w:ascii="Acumin Pro" w:hAnsi="Acumin Pro" w:cstheme="minorHAnsi"/>
          <w:sz w:val="24"/>
          <w:szCs w:val="24"/>
          <w:lang w:val="en-US"/>
        </w:rPr>
        <w:t xml:space="preserve">Article </w:t>
      </w:r>
      <w:r w:rsidRPr="000533FD">
        <w:rPr>
          <w:rFonts w:ascii="Acumin Pro" w:hAnsi="Acumin Pro" w:cstheme="minorHAnsi"/>
          <w:sz w:val="24"/>
          <w:szCs w:val="24"/>
          <w:lang w:val="en-US"/>
        </w:rPr>
        <w:t xml:space="preserve">26 that its content should not be discriminatory. In other words, </w:t>
      </w:r>
      <w:r w:rsidRPr="000533FD">
        <w:rPr>
          <w:rFonts w:ascii="Acumin Pro" w:hAnsi="Acumin Pro" w:cstheme="minorHAnsi"/>
          <w:sz w:val="24"/>
          <w:szCs w:val="24"/>
          <w:lang w:val="en-US"/>
        </w:rPr>
        <w:lastRenderedPageBreak/>
        <w:t xml:space="preserve">the application of the principle of non-discrimination contained in </w:t>
      </w:r>
      <w:r w:rsidR="00717133">
        <w:rPr>
          <w:rFonts w:ascii="Acumin Pro" w:hAnsi="Acumin Pro" w:cstheme="minorHAnsi"/>
          <w:sz w:val="24"/>
          <w:szCs w:val="24"/>
          <w:lang w:val="en-US"/>
        </w:rPr>
        <w:t>A</w:t>
      </w:r>
      <w:r w:rsidRPr="000533FD">
        <w:rPr>
          <w:rFonts w:ascii="Acumin Pro" w:hAnsi="Acumin Pro" w:cstheme="minorHAnsi"/>
          <w:sz w:val="24"/>
          <w:szCs w:val="24"/>
          <w:lang w:val="en-US"/>
        </w:rPr>
        <w:t xml:space="preserve">rticle 26 is not limited to those rights which are provided for in the Covenant. Therefore, </w:t>
      </w:r>
      <w:r w:rsidR="006B352D" w:rsidRPr="000533FD">
        <w:rPr>
          <w:rFonts w:ascii="Acumin Pro" w:hAnsi="Acumin Pro" w:cstheme="minorHAnsi"/>
          <w:sz w:val="24"/>
          <w:szCs w:val="24"/>
          <w:lang w:val="en-US"/>
        </w:rPr>
        <w:t xml:space="preserve">the </w:t>
      </w:r>
      <w:r w:rsidR="008C7741" w:rsidRPr="00717133">
        <w:rPr>
          <w:rFonts w:ascii="Acumin Pro" w:hAnsi="Acumin Pro" w:cstheme="minorHAnsi"/>
          <w:b/>
          <w:bCs/>
          <w:sz w:val="24"/>
          <w:szCs w:val="24"/>
          <w:lang w:val="en-US"/>
        </w:rPr>
        <w:t>legislation providing for</w:t>
      </w:r>
      <w:r w:rsidR="006B352D" w:rsidRPr="00717133">
        <w:rPr>
          <w:rFonts w:ascii="Acumin Pro" w:hAnsi="Acumin Pro" w:cstheme="minorHAnsi"/>
          <w:b/>
          <w:bCs/>
          <w:sz w:val="24"/>
          <w:szCs w:val="24"/>
          <w:lang w:val="en-US"/>
        </w:rPr>
        <w:t xml:space="preserve"> one-time financial assistance</w:t>
      </w:r>
      <w:r w:rsidR="008C7741" w:rsidRPr="00717133">
        <w:rPr>
          <w:rFonts w:ascii="Acumin Pro" w:hAnsi="Acumin Pro" w:cstheme="minorHAnsi"/>
          <w:b/>
          <w:bCs/>
          <w:sz w:val="24"/>
          <w:szCs w:val="24"/>
          <w:lang w:val="en-US"/>
        </w:rPr>
        <w:t>s</w:t>
      </w:r>
      <w:r w:rsidR="006B352D" w:rsidRPr="00717133">
        <w:rPr>
          <w:rFonts w:ascii="Acumin Pro" w:hAnsi="Acumin Pro" w:cstheme="minorHAnsi"/>
          <w:b/>
          <w:bCs/>
          <w:sz w:val="24"/>
          <w:szCs w:val="24"/>
          <w:lang w:val="en-US"/>
        </w:rPr>
        <w:t xml:space="preserve"> </w:t>
      </w:r>
      <w:r w:rsidR="008C7741" w:rsidRPr="00717133">
        <w:rPr>
          <w:rFonts w:ascii="Acumin Pro" w:hAnsi="Acumin Pro" w:cstheme="minorHAnsi"/>
          <w:b/>
          <w:bCs/>
          <w:sz w:val="24"/>
          <w:szCs w:val="24"/>
          <w:lang w:val="en-US"/>
        </w:rPr>
        <w:t>to mitigate the consequences of the pandemic</w:t>
      </w:r>
      <w:r w:rsidR="006B352D" w:rsidRPr="00717133">
        <w:rPr>
          <w:rFonts w:ascii="Acumin Pro" w:hAnsi="Acumin Pro" w:cstheme="minorHAnsi"/>
          <w:b/>
          <w:bCs/>
          <w:sz w:val="24"/>
          <w:szCs w:val="24"/>
          <w:lang w:val="en-US"/>
        </w:rPr>
        <w:t xml:space="preserve"> must be in accordance with the requirements of Art</w:t>
      </w:r>
      <w:r w:rsidR="00717133" w:rsidRPr="00717133">
        <w:rPr>
          <w:rFonts w:ascii="Acumin Pro" w:hAnsi="Acumin Pro" w:cstheme="minorHAnsi"/>
          <w:b/>
          <w:bCs/>
          <w:sz w:val="24"/>
          <w:szCs w:val="24"/>
          <w:lang w:val="en-US"/>
        </w:rPr>
        <w:t>icle</w:t>
      </w:r>
      <w:r w:rsidR="006B352D" w:rsidRPr="00717133">
        <w:rPr>
          <w:rFonts w:ascii="Acumin Pro" w:hAnsi="Acumin Pro" w:cstheme="minorHAnsi"/>
          <w:b/>
          <w:bCs/>
          <w:sz w:val="24"/>
          <w:szCs w:val="24"/>
          <w:lang w:val="en-US"/>
        </w:rPr>
        <w:t xml:space="preserve"> 26 and must not be discriminatory</w:t>
      </w:r>
      <w:r w:rsidR="008C7741" w:rsidRPr="000533FD">
        <w:rPr>
          <w:rFonts w:ascii="Acumin Pro" w:hAnsi="Acumin Pro" w:cstheme="minorHAnsi"/>
          <w:sz w:val="24"/>
          <w:szCs w:val="24"/>
          <w:lang w:val="en-US"/>
        </w:rPr>
        <w:t>.</w:t>
      </w:r>
      <w:r w:rsidR="007B5D77" w:rsidRPr="000533FD">
        <w:rPr>
          <w:rFonts w:ascii="Acumin Pro" w:hAnsi="Acumin Pro" w:cstheme="minorHAnsi"/>
          <w:sz w:val="24"/>
          <w:szCs w:val="24"/>
          <w:lang w:val="en-US"/>
        </w:rPr>
        <w:t xml:space="preserve"> </w:t>
      </w:r>
      <w:r w:rsidR="00EA4DE5" w:rsidRPr="000533FD">
        <w:rPr>
          <w:rFonts w:ascii="Acumin Pro" w:hAnsi="Acumin Pro" w:cstheme="minorHAnsi"/>
          <w:sz w:val="24"/>
          <w:szCs w:val="24"/>
          <w:lang w:val="en-US"/>
        </w:rPr>
        <w:t xml:space="preserve">The Committee </w:t>
      </w:r>
      <w:r w:rsidR="00690549" w:rsidRPr="000533FD">
        <w:rPr>
          <w:rFonts w:ascii="Acumin Pro" w:hAnsi="Acumin Pro" w:cstheme="minorHAnsi"/>
          <w:sz w:val="24"/>
          <w:szCs w:val="24"/>
          <w:lang w:val="en-US"/>
        </w:rPr>
        <w:t>emphasizes</w:t>
      </w:r>
      <w:r w:rsidR="00EA4DE5" w:rsidRPr="000533FD">
        <w:rPr>
          <w:rFonts w:ascii="Acumin Pro" w:hAnsi="Acumin Pro" w:cstheme="minorHAnsi"/>
          <w:sz w:val="24"/>
          <w:szCs w:val="24"/>
          <w:lang w:val="en-US"/>
        </w:rPr>
        <w:t xml:space="preserve"> that not every differentiation of treatment will constitute discrimination, if the criteria for such differentiation are reasonable and objective and if the aim is to achieve a purpose which is legitimate under the Covenant.</w:t>
      </w:r>
      <w:r w:rsidR="00690549" w:rsidRPr="0061672B">
        <w:rPr>
          <w:rStyle w:val="FootnoteReference"/>
          <w:rFonts w:ascii="Acumin Pro" w:hAnsi="Acumin Pro" w:cstheme="minorHAnsi"/>
          <w:sz w:val="24"/>
          <w:szCs w:val="24"/>
          <w:lang w:val="en-US"/>
        </w:rPr>
        <w:footnoteReference w:id="26"/>
      </w:r>
      <w:r w:rsidR="00474D7D" w:rsidRPr="000533FD">
        <w:rPr>
          <w:rFonts w:ascii="Acumin Pro" w:hAnsi="Acumin Pro" w:cstheme="minorHAnsi"/>
          <w:sz w:val="24"/>
          <w:szCs w:val="24"/>
          <w:lang w:val="en-US"/>
        </w:rPr>
        <w:t xml:space="preserve"> Excluding persons who do not have an ID card from the possibility of receiving a financial assistance is in essential contradiction with the recommendations of the Committee for Economic, Social and Cultural Rights regarding the COVID-19 pandemic.</w:t>
      </w:r>
      <w:r w:rsidR="000D4E33" w:rsidRPr="000533FD">
        <w:rPr>
          <w:rFonts w:ascii="Acumin Pro" w:hAnsi="Acumin Pro" w:cstheme="minorHAnsi"/>
          <w:sz w:val="24"/>
          <w:szCs w:val="24"/>
          <w:lang w:val="en-US"/>
        </w:rPr>
        <w:t xml:space="preserve"> Allocation of resources should prioritize the special needs of marginalized groups.</w:t>
      </w:r>
      <w:r w:rsidR="00EF71D6" w:rsidRPr="0061672B">
        <w:rPr>
          <w:rStyle w:val="FootnoteReference"/>
          <w:rFonts w:ascii="Acumin Pro" w:hAnsi="Acumin Pro" w:cstheme="minorHAnsi"/>
          <w:sz w:val="24"/>
          <w:szCs w:val="24"/>
          <w:lang w:val="en-US"/>
        </w:rPr>
        <w:footnoteReference w:id="27"/>
      </w:r>
      <w:r w:rsidR="000D4E33" w:rsidRPr="000533FD">
        <w:rPr>
          <w:rFonts w:ascii="Acumin Pro" w:hAnsi="Acumin Pro" w:cstheme="minorHAnsi"/>
          <w:sz w:val="24"/>
          <w:szCs w:val="24"/>
          <w:lang w:val="en-US"/>
        </w:rPr>
        <w:t xml:space="preserve"> </w:t>
      </w:r>
      <w:r w:rsidR="00C550C7" w:rsidRPr="000533FD">
        <w:rPr>
          <w:rFonts w:ascii="Acumin Pro" w:hAnsi="Acumin Pro" w:cstheme="minorHAnsi"/>
          <w:sz w:val="24"/>
          <w:szCs w:val="24"/>
          <w:lang w:val="en-US"/>
        </w:rPr>
        <w:t xml:space="preserve">Quite the opposite, </w:t>
      </w:r>
      <w:r w:rsidR="00717133">
        <w:rPr>
          <w:rFonts w:ascii="Acumin Pro" w:hAnsi="Acumin Pro" w:cstheme="minorHAnsi"/>
          <w:sz w:val="24"/>
          <w:szCs w:val="24"/>
          <w:lang w:val="en-US"/>
        </w:rPr>
        <w:t xml:space="preserve">the Republic of </w:t>
      </w:r>
      <w:r w:rsidR="00C550C7" w:rsidRPr="000533FD">
        <w:rPr>
          <w:rFonts w:ascii="Acumin Pro" w:hAnsi="Acumin Pro" w:cstheme="minorHAnsi"/>
          <w:sz w:val="24"/>
          <w:szCs w:val="24"/>
          <w:lang w:val="en-US"/>
        </w:rPr>
        <w:t>Serbia has allocated significant resources for the allocation of one-time financial social assistance</w:t>
      </w:r>
      <w:r w:rsidR="00067C4F" w:rsidRPr="000533FD">
        <w:rPr>
          <w:rFonts w:ascii="Acumin Pro" w:hAnsi="Acumin Pro" w:cstheme="minorHAnsi"/>
          <w:sz w:val="24"/>
          <w:szCs w:val="24"/>
          <w:lang w:val="en-US"/>
        </w:rPr>
        <w:t>s</w:t>
      </w:r>
      <w:r w:rsidR="00C550C7" w:rsidRPr="000533FD">
        <w:rPr>
          <w:rFonts w:ascii="Acumin Pro" w:hAnsi="Acumin Pro" w:cstheme="minorHAnsi"/>
          <w:sz w:val="24"/>
          <w:szCs w:val="24"/>
          <w:lang w:val="en-US"/>
        </w:rPr>
        <w:t xml:space="preserve"> to all adult citizens (with a valid ID card), many of whom </w:t>
      </w:r>
      <w:r w:rsidR="00717133">
        <w:rPr>
          <w:rFonts w:ascii="Acumin Pro" w:hAnsi="Acumin Pro" w:cstheme="minorHAnsi"/>
          <w:sz w:val="24"/>
          <w:szCs w:val="24"/>
          <w:lang w:val="en-US"/>
        </w:rPr>
        <w:t>were</w:t>
      </w:r>
      <w:r w:rsidR="00C550C7" w:rsidRPr="000533FD">
        <w:rPr>
          <w:rFonts w:ascii="Acumin Pro" w:hAnsi="Acumin Pro" w:cstheme="minorHAnsi"/>
          <w:sz w:val="24"/>
          <w:szCs w:val="24"/>
          <w:lang w:val="en-US"/>
        </w:rPr>
        <w:t xml:space="preserve"> certainly not in a state of vulnerability. </w:t>
      </w:r>
      <w:r w:rsidR="00640E02" w:rsidRPr="000533FD">
        <w:rPr>
          <w:rFonts w:ascii="Acumin Pro" w:hAnsi="Acumin Pro" w:cstheme="minorHAnsi"/>
          <w:sz w:val="24"/>
          <w:szCs w:val="24"/>
          <w:lang w:val="en-US"/>
        </w:rPr>
        <w:t>T</w:t>
      </w:r>
      <w:r w:rsidR="00C550C7" w:rsidRPr="000533FD">
        <w:rPr>
          <w:rFonts w:ascii="Acumin Pro" w:hAnsi="Acumin Pro" w:cstheme="minorHAnsi"/>
          <w:sz w:val="24"/>
          <w:szCs w:val="24"/>
          <w:lang w:val="en-US"/>
        </w:rPr>
        <w:t>his assistance could not be received by those who are most marginalized and most vulnerable, who do not have access to all other types of assistance</w:t>
      </w:r>
      <w:r w:rsidR="00A0340F" w:rsidRPr="000533FD">
        <w:rPr>
          <w:rFonts w:ascii="Acumin Pro" w:hAnsi="Acumin Pro" w:cstheme="minorHAnsi"/>
          <w:sz w:val="24"/>
          <w:szCs w:val="24"/>
          <w:lang w:val="en-US"/>
        </w:rPr>
        <w:t xml:space="preserve">. </w:t>
      </w:r>
      <w:r w:rsidR="00917FE6" w:rsidRPr="000533FD">
        <w:rPr>
          <w:rFonts w:ascii="Acumin Pro" w:hAnsi="Acumin Pro" w:cstheme="minorHAnsi"/>
          <w:sz w:val="24"/>
          <w:szCs w:val="24"/>
          <w:lang w:val="en-US"/>
        </w:rPr>
        <w:t xml:space="preserve">This circumstance additionally </w:t>
      </w:r>
      <w:r w:rsidR="00067C4F" w:rsidRPr="000533FD">
        <w:rPr>
          <w:rFonts w:ascii="Acumin Pro" w:hAnsi="Acumin Pro" w:cstheme="minorHAnsi"/>
          <w:sz w:val="24"/>
          <w:szCs w:val="24"/>
          <w:lang w:val="en-US"/>
        </w:rPr>
        <w:t>indicate</w:t>
      </w:r>
      <w:r w:rsidR="00332CE8" w:rsidRPr="000533FD">
        <w:rPr>
          <w:rFonts w:ascii="Acumin Pro" w:hAnsi="Acumin Pro" w:cstheme="minorHAnsi"/>
          <w:sz w:val="24"/>
          <w:szCs w:val="24"/>
          <w:lang w:val="en-US"/>
        </w:rPr>
        <w:t xml:space="preserve">s </w:t>
      </w:r>
      <w:r w:rsidR="00917FE6" w:rsidRPr="000533FD">
        <w:rPr>
          <w:rFonts w:ascii="Acumin Pro" w:hAnsi="Acumin Pro" w:cstheme="minorHAnsi"/>
          <w:sz w:val="24"/>
          <w:szCs w:val="24"/>
          <w:lang w:val="en-US"/>
        </w:rPr>
        <w:t xml:space="preserve">that </w:t>
      </w:r>
      <w:r w:rsidR="00917FE6" w:rsidRPr="00717133">
        <w:rPr>
          <w:rFonts w:ascii="Acumin Pro" w:hAnsi="Acumin Pro" w:cstheme="minorHAnsi"/>
          <w:b/>
          <w:bCs/>
          <w:sz w:val="24"/>
          <w:szCs w:val="24"/>
          <w:lang w:val="en-US"/>
        </w:rPr>
        <w:t>it would be difficult to offer a reasonable and objective justification for the</w:t>
      </w:r>
      <w:r w:rsidR="00332CE8" w:rsidRPr="00717133">
        <w:rPr>
          <w:rFonts w:ascii="Acumin Pro" w:hAnsi="Acumin Pro" w:cstheme="minorHAnsi"/>
          <w:b/>
          <w:bCs/>
          <w:sz w:val="24"/>
          <w:szCs w:val="24"/>
          <w:lang w:val="en-US"/>
        </w:rPr>
        <w:t xml:space="preserve"> </w:t>
      </w:r>
      <w:r w:rsidR="00917FE6" w:rsidRPr="00717133">
        <w:rPr>
          <w:rFonts w:ascii="Acumin Pro" w:hAnsi="Acumin Pro" w:cstheme="minorHAnsi"/>
          <w:b/>
          <w:bCs/>
          <w:sz w:val="24"/>
          <w:szCs w:val="24"/>
          <w:lang w:val="en-US"/>
        </w:rPr>
        <w:t>unfair distribution of resources, which put the members of a particularly vulnerable national minority in a disadvantageous position</w:t>
      </w:r>
      <w:r w:rsidR="00917FE6" w:rsidRPr="000533FD">
        <w:rPr>
          <w:rFonts w:ascii="Acumin Pro" w:hAnsi="Acumin Pro" w:cstheme="minorHAnsi"/>
          <w:sz w:val="24"/>
          <w:szCs w:val="24"/>
          <w:lang w:val="en-US"/>
        </w:rPr>
        <w:t>.</w:t>
      </w:r>
      <w:r w:rsidR="00332CE8" w:rsidRPr="000533FD">
        <w:rPr>
          <w:rFonts w:ascii="Acumin Pro" w:hAnsi="Acumin Pro" w:cstheme="minorHAnsi"/>
          <w:sz w:val="24"/>
          <w:szCs w:val="24"/>
          <w:lang w:val="en-US"/>
        </w:rPr>
        <w:t xml:space="preserve"> Therefore,</w:t>
      </w:r>
      <w:r w:rsidR="00917FE6" w:rsidRPr="000533FD">
        <w:rPr>
          <w:rFonts w:ascii="Acumin Pro" w:hAnsi="Acumin Pro" w:cstheme="minorHAnsi"/>
          <w:sz w:val="24"/>
          <w:szCs w:val="24"/>
          <w:lang w:val="en-US"/>
        </w:rPr>
        <w:t xml:space="preserve"> </w:t>
      </w:r>
      <w:r w:rsidR="00332CE8" w:rsidRPr="000533FD">
        <w:rPr>
          <w:rFonts w:ascii="Acumin Pro" w:hAnsi="Acumin Pro" w:cstheme="minorHAnsi"/>
          <w:sz w:val="24"/>
          <w:szCs w:val="24"/>
          <w:lang w:val="en-US"/>
        </w:rPr>
        <w:t>exclusion of undocumented Roma from financial assistance for mitigating consequences of the pandemic does no</w:t>
      </w:r>
      <w:r w:rsidR="00717133">
        <w:rPr>
          <w:rFonts w:ascii="Acumin Pro" w:hAnsi="Acumin Pro" w:cstheme="minorHAnsi"/>
          <w:sz w:val="24"/>
          <w:szCs w:val="24"/>
          <w:lang w:val="en-US"/>
        </w:rPr>
        <w:t>t</w:t>
      </w:r>
      <w:r w:rsidR="00332CE8" w:rsidRPr="000533FD">
        <w:rPr>
          <w:rFonts w:ascii="Acumin Pro" w:hAnsi="Acumin Pro" w:cstheme="minorHAnsi"/>
          <w:sz w:val="24"/>
          <w:szCs w:val="24"/>
          <w:lang w:val="en-US"/>
        </w:rPr>
        <w:t xml:space="preserve"> comply with the Article 26.</w:t>
      </w:r>
    </w:p>
    <w:p w14:paraId="599D7A69" w14:textId="096DEA29" w:rsidR="00717133" w:rsidRDefault="00717133" w:rsidP="00717133">
      <w:pPr>
        <w:pStyle w:val="ListParagraph"/>
        <w:numPr>
          <w:ilvl w:val="0"/>
          <w:numId w:val="6"/>
        </w:numPr>
        <w:spacing w:after="0" w:line="240" w:lineRule="auto"/>
        <w:ind w:left="0"/>
        <w:jc w:val="both"/>
        <w:rPr>
          <w:rFonts w:ascii="Acumin Pro" w:hAnsi="Acumin Pro" w:cstheme="minorHAnsi"/>
          <w:sz w:val="24"/>
          <w:szCs w:val="24"/>
          <w:lang w:val="en-US"/>
        </w:rPr>
      </w:pPr>
      <w:r>
        <w:rPr>
          <w:rFonts w:ascii="Acumin Pro" w:hAnsi="Acumin Pro" w:cstheme="minorHAnsi"/>
          <w:sz w:val="24"/>
          <w:szCs w:val="24"/>
          <w:lang w:val="en-US"/>
        </w:rPr>
        <w:t xml:space="preserve">Having in mind all the above mentioned, the A 11 Initiative kindly asks the Committee to ask the Republic of Serbia the following: </w:t>
      </w:r>
    </w:p>
    <w:p w14:paraId="36586FBF" w14:textId="144490FD" w:rsidR="00830F1D" w:rsidRDefault="00717133" w:rsidP="00830F1D">
      <w:pPr>
        <w:pStyle w:val="ListParagraph"/>
        <w:numPr>
          <w:ilvl w:val="1"/>
          <w:numId w:val="6"/>
        </w:numPr>
        <w:spacing w:after="0" w:line="240" w:lineRule="auto"/>
        <w:jc w:val="both"/>
        <w:rPr>
          <w:rFonts w:ascii="Acumin Pro" w:hAnsi="Acumin Pro" w:cstheme="minorHAnsi"/>
          <w:sz w:val="24"/>
          <w:szCs w:val="24"/>
          <w:lang w:val="en-US"/>
        </w:rPr>
      </w:pPr>
      <w:r>
        <w:rPr>
          <w:rFonts w:ascii="Acumin Pro" w:hAnsi="Acumin Pro" w:cstheme="minorHAnsi"/>
          <w:sz w:val="24"/>
          <w:szCs w:val="24"/>
          <w:lang w:val="en-US"/>
        </w:rPr>
        <w:t>Please inform the Committee what measures were taken in order to implement the recommendation of the Committee on Economic, Social and Cultural Rights and to rectify the situation caused by e</w:t>
      </w:r>
      <w:r w:rsidRPr="00717133">
        <w:rPr>
          <w:rFonts w:ascii="Acumin Pro" w:hAnsi="Acumin Pro" w:cstheme="minorHAnsi"/>
          <w:sz w:val="24"/>
          <w:szCs w:val="24"/>
          <w:lang w:val="en-US"/>
        </w:rPr>
        <w:t xml:space="preserve">xclusion of Roma without ID and permanent residence from cash assistance </w:t>
      </w:r>
      <w:r>
        <w:rPr>
          <w:rFonts w:ascii="Acumin Pro" w:hAnsi="Acumin Pro" w:cstheme="minorHAnsi"/>
          <w:sz w:val="24"/>
          <w:szCs w:val="24"/>
          <w:lang w:val="en-US"/>
        </w:rPr>
        <w:t>for</w:t>
      </w:r>
      <w:r w:rsidRPr="00717133">
        <w:rPr>
          <w:rFonts w:ascii="Acumin Pro" w:hAnsi="Acumin Pro" w:cstheme="minorHAnsi"/>
          <w:sz w:val="24"/>
          <w:szCs w:val="24"/>
          <w:lang w:val="en-US"/>
        </w:rPr>
        <w:t xml:space="preserve"> </w:t>
      </w:r>
      <w:r>
        <w:rPr>
          <w:rFonts w:ascii="Acumin Pro" w:hAnsi="Acumin Pro" w:cstheme="minorHAnsi"/>
          <w:sz w:val="24"/>
          <w:szCs w:val="24"/>
          <w:lang w:val="en-US"/>
        </w:rPr>
        <w:t>mitigation of the</w:t>
      </w:r>
      <w:r w:rsidRPr="00717133">
        <w:rPr>
          <w:rFonts w:ascii="Acumin Pro" w:hAnsi="Acumin Pro" w:cstheme="minorHAnsi"/>
          <w:sz w:val="24"/>
          <w:szCs w:val="24"/>
          <w:lang w:val="en-US"/>
        </w:rPr>
        <w:t xml:space="preserve"> consequences of the</w:t>
      </w:r>
      <w:r>
        <w:rPr>
          <w:rFonts w:ascii="Acumin Pro" w:hAnsi="Acumin Pro" w:cstheme="minorHAnsi"/>
          <w:sz w:val="24"/>
          <w:szCs w:val="24"/>
          <w:lang w:val="en-US"/>
        </w:rPr>
        <w:t xml:space="preserve"> COVID-19</w:t>
      </w:r>
      <w:r w:rsidRPr="00717133">
        <w:rPr>
          <w:rFonts w:ascii="Acumin Pro" w:hAnsi="Acumin Pro" w:cstheme="minorHAnsi"/>
          <w:sz w:val="24"/>
          <w:szCs w:val="24"/>
          <w:lang w:val="en-US"/>
        </w:rPr>
        <w:t xml:space="preserve"> pandemic</w:t>
      </w:r>
      <w:r>
        <w:rPr>
          <w:rFonts w:ascii="Acumin Pro" w:hAnsi="Acumin Pro" w:cstheme="minorHAnsi"/>
          <w:sz w:val="24"/>
          <w:szCs w:val="24"/>
          <w:lang w:val="en-US"/>
        </w:rPr>
        <w:t xml:space="preserve">. </w:t>
      </w:r>
    </w:p>
    <w:p w14:paraId="257AEAFD" w14:textId="77777777" w:rsidR="00830F1D" w:rsidRDefault="00830F1D" w:rsidP="00830F1D">
      <w:pPr>
        <w:pStyle w:val="ListParagraph"/>
        <w:spacing w:after="0" w:line="240" w:lineRule="auto"/>
        <w:ind w:left="732"/>
        <w:jc w:val="both"/>
        <w:rPr>
          <w:rFonts w:ascii="Acumin Pro" w:hAnsi="Acumin Pro" w:cstheme="minorHAnsi"/>
          <w:sz w:val="24"/>
          <w:szCs w:val="24"/>
          <w:lang w:val="en-US"/>
        </w:rPr>
      </w:pPr>
    </w:p>
    <w:p w14:paraId="722009A1" w14:textId="2370AA80" w:rsidR="0096459C" w:rsidRDefault="005F1001">
      <w:pPr>
        <w:rPr>
          <w:rFonts w:ascii="Acumin Pro" w:hAnsi="Acumin Pro" w:cstheme="minorHAnsi"/>
          <w:b/>
          <w:bCs/>
          <w:sz w:val="24"/>
          <w:szCs w:val="24"/>
          <w:lang w:val="en-US"/>
        </w:rPr>
      </w:pPr>
      <w:r>
        <w:rPr>
          <w:rFonts w:ascii="Acumin Pro" w:hAnsi="Acumin Pro" w:cstheme="minorHAnsi"/>
          <w:b/>
          <w:bCs/>
          <w:sz w:val="24"/>
          <w:szCs w:val="24"/>
          <w:lang w:val="en-US"/>
        </w:rPr>
        <w:br w:type="page"/>
      </w:r>
    </w:p>
    <w:p w14:paraId="556D77E0" w14:textId="6B01FBDA" w:rsidR="002C4777" w:rsidRDefault="0096459C" w:rsidP="00C33C45">
      <w:pPr>
        <w:ind w:right="-426"/>
        <w:jc w:val="both"/>
        <w:rPr>
          <w:rFonts w:ascii="Acumin Pro" w:hAnsi="Acumin Pro" w:cstheme="minorHAnsi"/>
          <w:b/>
          <w:bCs/>
          <w:sz w:val="24"/>
          <w:szCs w:val="24"/>
          <w:lang w:val="en-US"/>
        </w:rPr>
      </w:pPr>
      <w:r w:rsidRPr="00717133">
        <w:rPr>
          <w:rFonts w:ascii="Acumin Pro" w:hAnsi="Acumin Pro" w:cstheme="minorHAnsi"/>
          <w:b/>
          <w:bCs/>
          <w:sz w:val="24"/>
          <w:szCs w:val="24"/>
          <w:lang w:val="en-US"/>
        </w:rPr>
        <w:lastRenderedPageBreak/>
        <w:t>THE RIGHT OF ROMA WOMEN AND CHILDREN AND ACCESS TO HEALTH CARE</w:t>
      </w:r>
    </w:p>
    <w:p w14:paraId="71783CE8" w14:textId="77777777" w:rsidR="0096459C" w:rsidRPr="00717133" w:rsidRDefault="0096459C" w:rsidP="00C33C45">
      <w:pPr>
        <w:ind w:right="-426"/>
        <w:jc w:val="both"/>
        <w:rPr>
          <w:rFonts w:ascii="Acumin Pro" w:hAnsi="Acumin Pro" w:cstheme="minorHAnsi"/>
          <w:b/>
          <w:bCs/>
          <w:sz w:val="24"/>
          <w:szCs w:val="24"/>
          <w:lang w:val="en-US"/>
        </w:rPr>
      </w:pPr>
    </w:p>
    <w:p w14:paraId="3A467FE5" w14:textId="77777777" w:rsidR="004B4C38" w:rsidRDefault="00475197" w:rsidP="006452F8">
      <w:pPr>
        <w:pStyle w:val="ListParagraph"/>
        <w:numPr>
          <w:ilvl w:val="0"/>
          <w:numId w:val="6"/>
        </w:numPr>
        <w:ind w:left="0" w:right="-426"/>
        <w:jc w:val="both"/>
        <w:rPr>
          <w:rFonts w:ascii="Acumin Pro" w:hAnsi="Acumin Pro" w:cstheme="minorHAnsi"/>
          <w:color w:val="000000"/>
          <w:sz w:val="24"/>
          <w:szCs w:val="24"/>
          <w:lang w:val="en-US"/>
        </w:rPr>
      </w:pPr>
      <w:r w:rsidRPr="00717133">
        <w:rPr>
          <w:rFonts w:ascii="Acumin Pro" w:hAnsi="Acumin Pro" w:cstheme="minorHAnsi"/>
          <w:sz w:val="24"/>
          <w:szCs w:val="24"/>
          <w:lang w:val="en-US"/>
        </w:rPr>
        <w:t>In its report, State mentions that</w:t>
      </w:r>
      <w:r w:rsidR="00D760C9" w:rsidRPr="00717133">
        <w:rPr>
          <w:rFonts w:ascii="Acumin Pro" w:hAnsi="Acumin Pro" w:cstheme="minorHAnsi"/>
          <w:sz w:val="24"/>
          <w:szCs w:val="24"/>
          <w:lang w:val="en-US"/>
        </w:rPr>
        <w:t xml:space="preserve"> </w:t>
      </w:r>
      <w:r w:rsidR="00D83E1F" w:rsidRPr="00717133">
        <w:rPr>
          <w:rFonts w:ascii="Acumin Pro" w:hAnsi="Acumin Pro" w:cstheme="minorHAnsi"/>
          <w:sz w:val="24"/>
          <w:szCs w:val="24"/>
          <w:lang w:val="en-US"/>
        </w:rPr>
        <w:t xml:space="preserve">all pregnant women and mothers up to 12 months after the birth of a child have the right to complete health care, including the right to medication and reimbursement of transportation costs, regardless of whether </w:t>
      </w:r>
      <w:r w:rsidR="00D83E1F" w:rsidRPr="00717133">
        <w:rPr>
          <w:rFonts w:ascii="Acumin Pro" w:hAnsi="Acumin Pro" w:cstheme="minorHAnsi"/>
          <w:i/>
          <w:iCs/>
          <w:sz w:val="24"/>
          <w:szCs w:val="24"/>
          <w:lang w:val="en-US"/>
        </w:rPr>
        <w:t>their health insurance documents</w:t>
      </w:r>
      <w:r w:rsidR="00D83E1F" w:rsidRPr="00717133">
        <w:rPr>
          <w:rFonts w:ascii="Acumin Pro" w:hAnsi="Acumin Pro" w:cstheme="minorHAnsi"/>
          <w:sz w:val="24"/>
          <w:szCs w:val="24"/>
          <w:lang w:val="en-US"/>
        </w:rPr>
        <w:t xml:space="preserve"> are certified.</w:t>
      </w:r>
      <w:r w:rsidR="00807A63" w:rsidRPr="0061672B">
        <w:rPr>
          <w:rStyle w:val="FootnoteReference"/>
          <w:rFonts w:ascii="Acumin Pro" w:hAnsi="Acumin Pro" w:cstheme="minorHAnsi"/>
          <w:sz w:val="24"/>
          <w:szCs w:val="24"/>
          <w:lang w:val="en-US"/>
        </w:rPr>
        <w:footnoteReference w:id="28"/>
      </w:r>
      <w:r w:rsidR="00A71087" w:rsidRPr="00717133">
        <w:rPr>
          <w:rFonts w:ascii="Acumin Pro" w:hAnsi="Acumin Pro" w:cstheme="minorHAnsi"/>
          <w:sz w:val="24"/>
          <w:szCs w:val="24"/>
          <w:lang w:val="en-US"/>
        </w:rPr>
        <w:t xml:space="preserve"> However</w:t>
      </w:r>
      <w:r w:rsidRPr="00717133">
        <w:rPr>
          <w:rFonts w:ascii="Acumin Pro" w:hAnsi="Acumin Pro" w:cstheme="minorHAnsi"/>
          <w:sz w:val="24"/>
          <w:szCs w:val="24"/>
          <w:lang w:val="en-US"/>
        </w:rPr>
        <w:t xml:space="preserve">, what </w:t>
      </w:r>
      <w:r w:rsidRPr="00717133">
        <w:rPr>
          <w:rFonts w:ascii="Acumin Pro" w:hAnsi="Acumin Pro" w:cstheme="minorHAnsi"/>
          <w:b/>
          <w:bCs/>
          <w:sz w:val="24"/>
          <w:szCs w:val="24"/>
          <w:lang w:val="en-US"/>
        </w:rPr>
        <w:t xml:space="preserve">the state report does not mention is </w:t>
      </w:r>
      <w:r w:rsidR="00757818" w:rsidRPr="00717133">
        <w:rPr>
          <w:rFonts w:ascii="Acumin Pro" w:hAnsi="Acumin Pro" w:cstheme="minorHAnsi"/>
          <w:b/>
          <w:bCs/>
          <w:sz w:val="24"/>
          <w:szCs w:val="24"/>
          <w:lang w:val="en-US"/>
        </w:rPr>
        <w:t xml:space="preserve">that those </w:t>
      </w:r>
      <w:r w:rsidR="00350D70" w:rsidRPr="00717133">
        <w:rPr>
          <w:rFonts w:ascii="Acumin Pro" w:hAnsi="Acumin Pro" w:cstheme="minorHAnsi"/>
          <w:b/>
          <w:bCs/>
          <w:sz w:val="24"/>
          <w:szCs w:val="24"/>
          <w:lang w:val="en-US"/>
        </w:rPr>
        <w:t xml:space="preserve">pregnant women, new mothers and children </w:t>
      </w:r>
      <w:r w:rsidR="00757818" w:rsidRPr="00717133">
        <w:rPr>
          <w:rFonts w:ascii="Acumin Pro" w:hAnsi="Acumin Pro" w:cstheme="minorHAnsi"/>
          <w:b/>
          <w:bCs/>
          <w:i/>
          <w:iCs/>
          <w:sz w:val="24"/>
          <w:szCs w:val="24"/>
          <w:lang w:val="en-US"/>
        </w:rPr>
        <w:t>who do not have at least uncertified health insurance documents</w:t>
      </w:r>
      <w:r w:rsidR="00757818" w:rsidRPr="00717133">
        <w:rPr>
          <w:rFonts w:ascii="Acumin Pro" w:hAnsi="Acumin Pro" w:cstheme="minorHAnsi"/>
          <w:b/>
          <w:bCs/>
          <w:sz w:val="24"/>
          <w:szCs w:val="24"/>
          <w:lang w:val="en-US"/>
        </w:rPr>
        <w:t>, are left out from abovementioned guarantees to health care</w:t>
      </w:r>
      <w:r w:rsidR="00757818" w:rsidRPr="00717133">
        <w:rPr>
          <w:rFonts w:ascii="Acumin Pro" w:hAnsi="Acumin Pro" w:cstheme="minorHAnsi"/>
          <w:sz w:val="24"/>
          <w:szCs w:val="24"/>
          <w:lang w:val="en-US"/>
        </w:rPr>
        <w:t xml:space="preserve">. </w:t>
      </w:r>
      <w:r w:rsidR="00962AC0" w:rsidRPr="00717133">
        <w:rPr>
          <w:rFonts w:ascii="Acumin Pro" w:hAnsi="Acumin Pro" w:cstheme="minorHAnsi"/>
          <w:color w:val="000000"/>
          <w:sz w:val="24"/>
          <w:szCs w:val="24"/>
          <w:lang w:val="en-US"/>
        </w:rPr>
        <w:t>The Law on the Realization of Health Care for Children, Pregnant Women and New Mothers,</w:t>
      </w:r>
      <w:r w:rsidR="00962AC0" w:rsidRPr="0061672B">
        <w:rPr>
          <w:color w:val="000000"/>
          <w:vertAlign w:val="superscript"/>
        </w:rPr>
        <w:footnoteReference w:id="29"/>
      </w:r>
      <w:r w:rsidR="00962AC0" w:rsidRPr="00717133">
        <w:rPr>
          <w:rFonts w:ascii="Acumin Pro" w:hAnsi="Acumin Pro" w:cstheme="minorHAnsi"/>
          <w:color w:val="000000"/>
          <w:sz w:val="24"/>
          <w:szCs w:val="24"/>
          <w:lang w:val="en-US"/>
        </w:rPr>
        <w:t xml:space="preserve"> adopted back in 2013, regulates the manner of exercising the right to health care for children, </w:t>
      </w:r>
      <w:r w:rsidR="00560562" w:rsidRPr="00717133">
        <w:rPr>
          <w:rFonts w:ascii="Acumin Pro" w:hAnsi="Acumin Pro" w:cstheme="minorHAnsi"/>
          <w:color w:val="000000"/>
          <w:sz w:val="24"/>
          <w:szCs w:val="24"/>
          <w:lang w:val="en-US"/>
        </w:rPr>
        <w:t xml:space="preserve">pregnant </w:t>
      </w:r>
      <w:r w:rsidR="00962AC0" w:rsidRPr="00717133">
        <w:rPr>
          <w:rFonts w:ascii="Acumin Pro" w:hAnsi="Acumin Pro" w:cstheme="minorHAnsi"/>
          <w:color w:val="000000"/>
          <w:sz w:val="24"/>
          <w:szCs w:val="24"/>
          <w:lang w:val="en-US"/>
        </w:rPr>
        <w:t xml:space="preserve">women and new mothers whose health insurance documents (health insurance cards) are not certified. However, </w:t>
      </w:r>
      <w:r w:rsidR="004B4C38">
        <w:rPr>
          <w:rFonts w:ascii="Acumin Pro" w:hAnsi="Acumin Pro" w:cstheme="minorHAnsi"/>
          <w:color w:val="000000"/>
          <w:sz w:val="24"/>
          <w:szCs w:val="24"/>
          <w:lang w:val="en-US"/>
        </w:rPr>
        <w:t>this piece of legislation</w:t>
      </w:r>
      <w:r w:rsidR="00962AC0" w:rsidRPr="00717133">
        <w:rPr>
          <w:rFonts w:ascii="Acumin Pro" w:hAnsi="Acumin Pro" w:cstheme="minorHAnsi"/>
          <w:color w:val="000000"/>
          <w:sz w:val="24"/>
          <w:szCs w:val="24"/>
          <w:lang w:val="en-US"/>
        </w:rPr>
        <w:t xml:space="preserve"> </w:t>
      </w:r>
      <w:r w:rsidR="00962AC0" w:rsidRPr="004B4C38">
        <w:rPr>
          <w:rFonts w:ascii="Acumin Pro" w:hAnsi="Acumin Pro" w:cstheme="minorHAnsi"/>
          <w:b/>
          <w:bCs/>
          <w:color w:val="000000"/>
          <w:sz w:val="24"/>
          <w:szCs w:val="24"/>
          <w:lang w:val="en-US"/>
        </w:rPr>
        <w:t xml:space="preserve">ignores those </w:t>
      </w:r>
      <w:r w:rsidR="00F562C1" w:rsidRPr="004B4C38">
        <w:rPr>
          <w:rFonts w:ascii="Acumin Pro" w:hAnsi="Acumin Pro" w:cstheme="minorHAnsi"/>
          <w:b/>
          <w:bCs/>
          <w:color w:val="000000"/>
          <w:sz w:val="24"/>
          <w:szCs w:val="24"/>
          <w:lang w:val="en-US"/>
        </w:rPr>
        <w:t xml:space="preserve">pregnant </w:t>
      </w:r>
      <w:r w:rsidR="00962AC0" w:rsidRPr="004B4C38">
        <w:rPr>
          <w:rFonts w:ascii="Acumin Pro" w:hAnsi="Acumin Pro" w:cstheme="minorHAnsi"/>
          <w:b/>
          <w:bCs/>
          <w:color w:val="000000"/>
          <w:sz w:val="24"/>
          <w:szCs w:val="24"/>
          <w:lang w:val="en-US"/>
        </w:rPr>
        <w:t>women and children who are not able to obtain health insurance cards at all, such as undocumented Roma</w:t>
      </w:r>
      <w:r w:rsidR="00962AC0" w:rsidRPr="00717133">
        <w:rPr>
          <w:rFonts w:ascii="Acumin Pro" w:hAnsi="Acumin Pro" w:cstheme="minorHAnsi"/>
          <w:color w:val="000000"/>
          <w:sz w:val="24"/>
          <w:szCs w:val="24"/>
          <w:lang w:val="en-US"/>
        </w:rPr>
        <w:t xml:space="preserve">. </w:t>
      </w:r>
      <w:r w:rsidR="004B4C38">
        <w:rPr>
          <w:rFonts w:ascii="Acumin Pro" w:hAnsi="Acumin Pro" w:cstheme="minorHAnsi"/>
          <w:color w:val="000000"/>
          <w:sz w:val="24"/>
          <w:szCs w:val="24"/>
          <w:lang w:val="en-US"/>
        </w:rPr>
        <w:t>For example, the A 11 Initiative</w:t>
      </w:r>
      <w:r w:rsidR="00962AC0" w:rsidRPr="00717133">
        <w:rPr>
          <w:rFonts w:ascii="Acumin Pro" w:hAnsi="Acumin Pro" w:cstheme="minorHAnsi"/>
          <w:color w:val="000000"/>
          <w:sz w:val="24"/>
          <w:szCs w:val="24"/>
          <w:lang w:val="en-US"/>
        </w:rPr>
        <w:t xml:space="preserve"> came across cases of Roma women (including one undocumented 17-year-old Roma) who received hospital bills amounting to more than € 2,000 (for childbirth in a hospital) or even more than € 3,000 (for hospitalization related to pregnancy).</w:t>
      </w:r>
    </w:p>
    <w:p w14:paraId="3741FA53" w14:textId="3263DDB4" w:rsidR="004B4C38" w:rsidRDefault="006452F8" w:rsidP="0077293D">
      <w:pPr>
        <w:pStyle w:val="ListParagraph"/>
        <w:numPr>
          <w:ilvl w:val="0"/>
          <w:numId w:val="6"/>
        </w:numPr>
        <w:ind w:left="0" w:right="-426"/>
        <w:jc w:val="both"/>
        <w:rPr>
          <w:rFonts w:ascii="Acumin Pro" w:hAnsi="Acumin Pro" w:cstheme="minorHAnsi"/>
          <w:sz w:val="24"/>
          <w:szCs w:val="24"/>
          <w:lang w:val="en-US"/>
        </w:rPr>
      </w:pPr>
      <w:r w:rsidRPr="004B4C38">
        <w:rPr>
          <w:rFonts w:ascii="Acumin Pro" w:hAnsi="Acumin Pro" w:cstheme="minorHAnsi"/>
          <w:sz w:val="24"/>
          <w:szCs w:val="24"/>
          <w:lang w:val="en-US"/>
        </w:rPr>
        <w:t>Although the Law on the Exercising of Rights to Health Care of Children, Pregnant Women and New Mothers regulates the access to health care to those people who already have the health insurance card (</w:t>
      </w:r>
      <w:r w:rsidR="004B4C38" w:rsidRPr="004B4C38">
        <w:rPr>
          <w:rFonts w:ascii="Acumin Pro" w:hAnsi="Acumin Pro" w:cstheme="minorHAnsi"/>
          <w:sz w:val="24"/>
          <w:szCs w:val="24"/>
          <w:lang w:val="en-US"/>
        </w:rPr>
        <w:t>regardless of</w:t>
      </w:r>
      <w:r w:rsidRPr="004B4C38">
        <w:rPr>
          <w:rFonts w:ascii="Acumin Pro" w:hAnsi="Acumin Pro" w:cstheme="minorHAnsi"/>
          <w:sz w:val="24"/>
          <w:szCs w:val="24"/>
          <w:lang w:val="en-US"/>
        </w:rPr>
        <w:t xml:space="preserve"> whether it is valid</w:t>
      </w:r>
      <w:r w:rsidR="004B4C38" w:rsidRPr="004B4C38">
        <w:rPr>
          <w:rFonts w:ascii="Acumin Pro" w:hAnsi="Acumin Pro" w:cstheme="minorHAnsi"/>
          <w:sz w:val="24"/>
          <w:szCs w:val="24"/>
          <w:lang w:val="en-US"/>
        </w:rPr>
        <w:t xml:space="preserve"> or not</w:t>
      </w:r>
      <w:r w:rsidRPr="004B4C38">
        <w:rPr>
          <w:rFonts w:ascii="Acumin Pro" w:hAnsi="Acumin Pro" w:cstheme="minorHAnsi"/>
          <w:sz w:val="24"/>
          <w:szCs w:val="24"/>
          <w:lang w:val="en-US"/>
        </w:rPr>
        <w:t xml:space="preserve">), the access to health care should be ensured to other children, pregnant women and new mothers as well, aimed at fulfilling obligations of Serbia under international treaties and recommendations of </w:t>
      </w:r>
      <w:r w:rsidR="004B4C38" w:rsidRPr="004B4C38">
        <w:rPr>
          <w:rFonts w:ascii="Acumin Pro" w:hAnsi="Acumin Pro" w:cstheme="minorHAnsi"/>
          <w:sz w:val="24"/>
          <w:szCs w:val="24"/>
          <w:lang w:val="en-US"/>
        </w:rPr>
        <w:t>human rights treaty-</w:t>
      </w:r>
      <w:r w:rsidRPr="004B4C38">
        <w:rPr>
          <w:rFonts w:ascii="Acumin Pro" w:hAnsi="Acumin Pro" w:cstheme="minorHAnsi"/>
          <w:sz w:val="24"/>
          <w:szCs w:val="24"/>
          <w:lang w:val="en-US"/>
        </w:rPr>
        <w:t>bodies</w:t>
      </w:r>
      <w:r w:rsidR="004B4C38" w:rsidRPr="004B4C38">
        <w:rPr>
          <w:rFonts w:ascii="Acumin Pro" w:hAnsi="Acumin Pro" w:cstheme="minorHAnsi"/>
          <w:sz w:val="24"/>
          <w:szCs w:val="24"/>
          <w:lang w:val="en-US"/>
        </w:rPr>
        <w:t xml:space="preserve">. </w:t>
      </w:r>
    </w:p>
    <w:p w14:paraId="7A998981" w14:textId="1F6999C7" w:rsidR="00CC6962" w:rsidRPr="004B4C38" w:rsidRDefault="006452F8" w:rsidP="0077293D">
      <w:pPr>
        <w:pStyle w:val="ListParagraph"/>
        <w:numPr>
          <w:ilvl w:val="0"/>
          <w:numId w:val="6"/>
        </w:numPr>
        <w:ind w:left="0" w:right="-426"/>
        <w:jc w:val="both"/>
        <w:rPr>
          <w:rFonts w:ascii="Acumin Pro" w:hAnsi="Acumin Pro" w:cstheme="minorHAnsi"/>
          <w:sz w:val="24"/>
          <w:szCs w:val="24"/>
          <w:lang w:val="en-US"/>
        </w:rPr>
      </w:pPr>
      <w:r w:rsidRPr="004B4C38">
        <w:rPr>
          <w:rFonts w:ascii="Acumin Pro" w:hAnsi="Acumin Pro" w:cstheme="minorHAnsi"/>
          <w:color w:val="000000"/>
          <w:sz w:val="24"/>
          <w:szCs w:val="24"/>
          <w:lang w:val="en-US"/>
        </w:rPr>
        <w:t xml:space="preserve">The situation of Roma women and children in the area of health care led the </w:t>
      </w:r>
      <w:r w:rsidRPr="004B4C38">
        <w:rPr>
          <w:rFonts w:ascii="Acumin Pro" w:hAnsi="Acumin Pro" w:cstheme="minorHAnsi"/>
          <w:b/>
          <w:bCs/>
          <w:color w:val="000000"/>
          <w:sz w:val="24"/>
          <w:szCs w:val="24"/>
          <w:lang w:val="en-US"/>
        </w:rPr>
        <w:t xml:space="preserve">Committee on the Rights of the Child to </w:t>
      </w:r>
      <w:r w:rsidRPr="004B4C38">
        <w:rPr>
          <w:rFonts w:ascii="Acumin Pro" w:hAnsi="Acumin Pro" w:cstheme="minorHAnsi"/>
          <w:b/>
          <w:bCs/>
          <w:sz w:val="24"/>
          <w:szCs w:val="24"/>
          <w:lang w:val="en-US"/>
        </w:rPr>
        <w:t>the conclusion</w:t>
      </w:r>
      <w:r w:rsidRPr="004B4C38">
        <w:rPr>
          <w:rFonts w:ascii="Acumin Pro" w:hAnsi="Acumin Pro" w:cstheme="minorHAnsi"/>
          <w:b/>
          <w:bCs/>
          <w:color w:val="000000"/>
          <w:sz w:val="24"/>
          <w:szCs w:val="24"/>
          <w:lang w:val="en-US"/>
        </w:rPr>
        <w:t xml:space="preserve"> that Roma mothers and young children are “particularly vulnerable and continue to have limited access to adequate maternal and general health care, resulting in high mortality rates (…)”</w:t>
      </w:r>
      <w:r w:rsidRPr="004B4C38">
        <w:rPr>
          <w:rFonts w:ascii="Acumin Pro" w:hAnsi="Acumin Pro" w:cstheme="minorHAnsi"/>
          <w:color w:val="000000"/>
          <w:sz w:val="24"/>
          <w:szCs w:val="24"/>
          <w:lang w:val="en-US"/>
        </w:rPr>
        <w:t>.</w:t>
      </w:r>
      <w:r w:rsidRPr="0061672B">
        <w:rPr>
          <w:rFonts w:ascii="Acumin Pro" w:hAnsi="Acumin Pro" w:cstheme="minorHAnsi"/>
          <w:color w:val="000000"/>
          <w:sz w:val="24"/>
          <w:szCs w:val="24"/>
          <w:vertAlign w:val="superscript"/>
          <w:lang w:val="en-US"/>
        </w:rPr>
        <w:footnoteReference w:id="30"/>
      </w:r>
      <w:r w:rsidRPr="004B4C38">
        <w:rPr>
          <w:rFonts w:ascii="Acumin Pro" w:hAnsi="Acumin Pro" w:cstheme="minorHAnsi"/>
          <w:color w:val="000000"/>
          <w:sz w:val="24"/>
          <w:szCs w:val="24"/>
          <w:lang w:val="en-US"/>
        </w:rPr>
        <w:t xml:space="preserve"> This Committee further recommended the State to “strengthen efforts to ensure that access to adequate health care, including prenatal care for pregnant women without health insurance, is extended to families living in the most vulnerable situations, particularly those living in marginalized and remote areas”. Data collected by the Protector of Citizens for the purpose of the Special Report of the Protector of Citizens on Reproductive Health of Roma Women also show that there are still cases of undocumented Roma and cases in which Roma are unable to register </w:t>
      </w:r>
      <w:r w:rsidRPr="004B4C38">
        <w:rPr>
          <w:rFonts w:ascii="Acumin Pro" w:hAnsi="Acumin Pro" w:cstheme="minorHAnsi"/>
          <w:color w:val="000000"/>
          <w:sz w:val="24"/>
          <w:szCs w:val="24"/>
          <w:lang w:val="en-US"/>
        </w:rPr>
        <w:lastRenderedPageBreak/>
        <w:t xml:space="preserve">their permanent residence at the address of the social welfare </w:t>
      </w:r>
      <w:r w:rsidR="004B4C38">
        <w:rPr>
          <w:rFonts w:ascii="Acumin Pro" w:hAnsi="Acumin Pro" w:cstheme="minorHAnsi"/>
          <w:color w:val="000000"/>
          <w:sz w:val="24"/>
          <w:szCs w:val="24"/>
          <w:lang w:val="en-US"/>
        </w:rPr>
        <w:t>centers</w:t>
      </w:r>
      <w:r w:rsidRPr="004B4C38">
        <w:rPr>
          <w:rFonts w:ascii="Acumin Pro" w:hAnsi="Acumin Pro" w:cstheme="minorHAnsi"/>
          <w:color w:val="000000"/>
          <w:sz w:val="24"/>
          <w:szCs w:val="24"/>
          <w:lang w:val="en-US"/>
        </w:rPr>
        <w:t>, which presents an obstacle for them when it comes to accessing health care.</w:t>
      </w:r>
      <w:r w:rsidRPr="0061672B">
        <w:rPr>
          <w:rFonts w:ascii="Acumin Pro" w:hAnsi="Acumin Pro" w:cstheme="minorHAnsi"/>
          <w:color w:val="000000"/>
          <w:sz w:val="24"/>
          <w:szCs w:val="24"/>
          <w:vertAlign w:val="superscript"/>
          <w:lang w:val="en-US"/>
        </w:rPr>
        <w:footnoteReference w:id="31"/>
      </w:r>
    </w:p>
    <w:p w14:paraId="313D3AD7" w14:textId="3F2FB0BE" w:rsidR="004B4C38" w:rsidRPr="004B4C38" w:rsidRDefault="004B4C38" w:rsidP="0077293D">
      <w:pPr>
        <w:pStyle w:val="ListParagraph"/>
        <w:numPr>
          <w:ilvl w:val="0"/>
          <w:numId w:val="6"/>
        </w:numPr>
        <w:ind w:left="0" w:right="-426"/>
        <w:jc w:val="both"/>
        <w:rPr>
          <w:rFonts w:ascii="Acumin Pro" w:hAnsi="Acumin Pro" w:cstheme="minorHAnsi"/>
          <w:sz w:val="24"/>
          <w:szCs w:val="24"/>
          <w:lang w:val="en-US"/>
        </w:rPr>
      </w:pPr>
      <w:r>
        <w:rPr>
          <w:rFonts w:ascii="Acumin Pro" w:hAnsi="Acumin Pro" w:cstheme="minorHAnsi"/>
          <w:color w:val="000000"/>
          <w:sz w:val="24"/>
          <w:szCs w:val="24"/>
          <w:lang w:val="en-US"/>
        </w:rPr>
        <w:t xml:space="preserve">Having all the above mentioned in mind, the A 11 Initiative kindly asks the Committee to ask the Republic of Serbia the following: </w:t>
      </w:r>
    </w:p>
    <w:p w14:paraId="4E0905EA" w14:textId="663DDFD4" w:rsidR="004B4C38" w:rsidRPr="004B4C38" w:rsidRDefault="004B4C38" w:rsidP="004B4C38">
      <w:pPr>
        <w:pStyle w:val="ListParagraph"/>
        <w:numPr>
          <w:ilvl w:val="1"/>
          <w:numId w:val="6"/>
        </w:numPr>
        <w:ind w:right="-426"/>
        <w:jc w:val="both"/>
        <w:rPr>
          <w:rFonts w:ascii="Acumin Pro" w:hAnsi="Acumin Pro" w:cstheme="minorHAnsi"/>
          <w:sz w:val="24"/>
          <w:szCs w:val="24"/>
          <w:lang w:val="en-US"/>
        </w:rPr>
      </w:pPr>
      <w:r w:rsidRPr="004B4C38">
        <w:rPr>
          <w:rFonts w:ascii="Acumin Pro" w:hAnsi="Acumin Pro" w:cstheme="minorHAnsi"/>
          <w:sz w:val="24"/>
          <w:szCs w:val="24"/>
          <w:lang w:val="en-US"/>
        </w:rPr>
        <w:t>Please provide information on how the State plans to ensure access to adequate healthcare, including prenatal healthcare, for uninsured pregnant women, particularly undocumented Roma?</w:t>
      </w:r>
    </w:p>
    <w:p w14:paraId="42817535" w14:textId="29460793" w:rsidR="004B4C38" w:rsidRPr="004B4C38" w:rsidRDefault="004B4C38" w:rsidP="004B4C38">
      <w:pPr>
        <w:pStyle w:val="ListParagraph"/>
        <w:numPr>
          <w:ilvl w:val="1"/>
          <w:numId w:val="6"/>
        </w:numPr>
        <w:ind w:right="-426"/>
        <w:jc w:val="both"/>
        <w:rPr>
          <w:rFonts w:ascii="Acumin Pro" w:hAnsi="Acumin Pro" w:cstheme="minorHAnsi"/>
          <w:sz w:val="24"/>
          <w:szCs w:val="24"/>
          <w:lang w:val="en-US"/>
        </w:rPr>
      </w:pPr>
      <w:r>
        <w:rPr>
          <w:rFonts w:ascii="Acumin Pro" w:hAnsi="Acumin Pro" w:cstheme="minorHAnsi"/>
          <w:sz w:val="24"/>
          <w:szCs w:val="24"/>
          <w:lang w:val="en-US"/>
        </w:rPr>
        <w:t>Please provide information if</w:t>
      </w:r>
      <w:r w:rsidRPr="004B4C38">
        <w:rPr>
          <w:rFonts w:ascii="Acumin Pro" w:hAnsi="Acumin Pro" w:cstheme="minorHAnsi"/>
          <w:sz w:val="24"/>
          <w:szCs w:val="24"/>
          <w:lang w:val="en-US"/>
        </w:rPr>
        <w:t xml:space="preserve"> the State intend</w:t>
      </w:r>
      <w:r>
        <w:rPr>
          <w:rFonts w:ascii="Acumin Pro" w:hAnsi="Acumin Pro" w:cstheme="minorHAnsi"/>
          <w:sz w:val="24"/>
          <w:szCs w:val="24"/>
          <w:lang w:val="en-US"/>
        </w:rPr>
        <w:t>s</w:t>
      </w:r>
      <w:r w:rsidRPr="004B4C38">
        <w:rPr>
          <w:rFonts w:ascii="Acumin Pro" w:hAnsi="Acumin Pro" w:cstheme="minorHAnsi"/>
          <w:sz w:val="24"/>
          <w:szCs w:val="24"/>
          <w:lang w:val="en-US"/>
        </w:rPr>
        <w:t xml:space="preserve"> to take steps to remove charges/ hospital bills for childbirth for undocumented and uninsured pregnant women?</w:t>
      </w:r>
    </w:p>
    <w:p w14:paraId="239C4E67" w14:textId="3449BAE8" w:rsidR="004B4C38" w:rsidRDefault="004B4C38" w:rsidP="004B4C38">
      <w:pPr>
        <w:pStyle w:val="ListParagraph"/>
        <w:numPr>
          <w:ilvl w:val="1"/>
          <w:numId w:val="6"/>
        </w:numPr>
        <w:ind w:right="-426"/>
        <w:jc w:val="both"/>
        <w:rPr>
          <w:rFonts w:ascii="Acumin Pro" w:hAnsi="Acumin Pro" w:cstheme="minorHAnsi"/>
          <w:sz w:val="24"/>
          <w:szCs w:val="24"/>
          <w:lang w:val="en-US"/>
        </w:rPr>
      </w:pPr>
      <w:r w:rsidRPr="004B4C38">
        <w:rPr>
          <w:rFonts w:ascii="Acumin Pro" w:hAnsi="Acumin Pro" w:cstheme="minorHAnsi"/>
          <w:sz w:val="24"/>
          <w:szCs w:val="24"/>
          <w:lang w:val="en-US"/>
        </w:rPr>
        <w:t>Please provide information about the access of undocumented Roma children to preventive health care in legislation and in practice.</w:t>
      </w:r>
    </w:p>
    <w:p w14:paraId="0B9417EC" w14:textId="52648814" w:rsidR="0096459C" w:rsidRDefault="0096459C" w:rsidP="0096459C">
      <w:pPr>
        <w:ind w:right="-426"/>
        <w:jc w:val="both"/>
        <w:rPr>
          <w:rFonts w:ascii="Acumin Pro" w:hAnsi="Acumin Pro" w:cstheme="minorHAnsi"/>
          <w:sz w:val="24"/>
          <w:szCs w:val="24"/>
          <w:lang w:val="en-US"/>
        </w:rPr>
      </w:pPr>
    </w:p>
    <w:p w14:paraId="2CB2AB39" w14:textId="77777777" w:rsidR="0096459C" w:rsidRPr="00830F1D" w:rsidRDefault="0096459C" w:rsidP="0096459C">
      <w:pPr>
        <w:jc w:val="both"/>
        <w:rPr>
          <w:rFonts w:ascii="Acumin Pro" w:hAnsi="Acumin Pro" w:cstheme="minorHAnsi"/>
          <w:b/>
          <w:bCs/>
          <w:sz w:val="24"/>
          <w:szCs w:val="24"/>
          <w:lang w:val="en-US"/>
        </w:rPr>
      </w:pPr>
      <w:bookmarkStart w:id="7" w:name="_Hlk123667875"/>
      <w:r w:rsidRPr="00830F1D">
        <w:rPr>
          <w:rFonts w:ascii="Acumin Pro" w:hAnsi="Acumin Pro" w:cstheme="minorHAnsi"/>
          <w:b/>
          <w:bCs/>
          <w:sz w:val="24"/>
          <w:szCs w:val="24"/>
          <w:lang w:val="en-US"/>
        </w:rPr>
        <w:t xml:space="preserve">LABOR EXPLOITATION AND HUMAN TRAFFICKING AT THE CONSTRUCTION SITE OF LINGLONG </w:t>
      </w:r>
      <w:r>
        <w:rPr>
          <w:rFonts w:ascii="Acumin Pro" w:hAnsi="Acumin Pro" w:cstheme="minorHAnsi"/>
          <w:b/>
          <w:bCs/>
          <w:sz w:val="24"/>
          <w:szCs w:val="24"/>
          <w:lang w:val="en-US"/>
        </w:rPr>
        <w:t>TIRE</w:t>
      </w:r>
      <w:r w:rsidRPr="00830F1D">
        <w:rPr>
          <w:rFonts w:ascii="Acumin Pro" w:hAnsi="Acumin Pro" w:cstheme="minorHAnsi"/>
          <w:b/>
          <w:bCs/>
          <w:sz w:val="24"/>
          <w:szCs w:val="24"/>
          <w:lang w:val="en-US"/>
        </w:rPr>
        <w:t xml:space="preserve"> FACTORY IN ZRENJANIN</w:t>
      </w:r>
    </w:p>
    <w:bookmarkEnd w:id="7"/>
    <w:p w14:paraId="5D5F692B" w14:textId="77777777" w:rsidR="0096459C" w:rsidRPr="00830F1D" w:rsidRDefault="0096459C" w:rsidP="0096459C">
      <w:pPr>
        <w:jc w:val="both"/>
        <w:rPr>
          <w:rFonts w:ascii="Acumin Pro" w:hAnsi="Acumin Pro" w:cstheme="minorHAnsi"/>
          <w:b/>
          <w:bCs/>
          <w:sz w:val="24"/>
          <w:szCs w:val="24"/>
          <w:lang w:val="en-US"/>
        </w:rPr>
      </w:pPr>
    </w:p>
    <w:p w14:paraId="3052910E" w14:textId="77777777" w:rsidR="0096459C" w:rsidRDefault="0096459C" w:rsidP="0096459C">
      <w:pPr>
        <w:pStyle w:val="ListParagraph"/>
        <w:numPr>
          <w:ilvl w:val="0"/>
          <w:numId w:val="6"/>
        </w:numPr>
        <w:tabs>
          <w:tab w:val="left" w:pos="0"/>
        </w:tabs>
        <w:spacing w:after="0" w:line="240" w:lineRule="auto"/>
        <w:ind w:left="0" w:hanging="644"/>
        <w:jc w:val="both"/>
        <w:rPr>
          <w:rFonts w:ascii="Acumin Pro" w:hAnsi="Acumin Pro" w:cstheme="minorHAnsi"/>
          <w:sz w:val="24"/>
          <w:szCs w:val="24"/>
          <w:lang w:val="en-US"/>
        </w:rPr>
      </w:pPr>
      <w:r w:rsidRPr="00830F1D">
        <w:rPr>
          <w:rFonts w:ascii="Acumin Pro" w:hAnsi="Acumin Pro" w:cstheme="minorHAnsi"/>
          <w:sz w:val="24"/>
          <w:szCs w:val="24"/>
          <w:lang w:val="en-US"/>
        </w:rPr>
        <w:t xml:space="preserve">Republic of Serbia demonstrated that </w:t>
      </w:r>
      <w:r>
        <w:rPr>
          <w:rFonts w:ascii="Acumin Pro" w:hAnsi="Acumin Pro" w:cstheme="minorHAnsi"/>
          <w:sz w:val="24"/>
          <w:szCs w:val="24"/>
          <w:lang w:val="en-US"/>
        </w:rPr>
        <w:t xml:space="preserve">there are still </w:t>
      </w:r>
      <w:r w:rsidRPr="005F1001">
        <w:rPr>
          <w:rFonts w:ascii="Acumin Pro" w:hAnsi="Acumin Pro" w:cstheme="minorHAnsi"/>
          <w:b/>
          <w:bCs/>
          <w:sz w:val="24"/>
          <w:szCs w:val="24"/>
          <w:lang w:val="en-US"/>
        </w:rPr>
        <w:t>no effective mechanisms for the protection of the victims of labor exploitation and human trafficking</w:t>
      </w:r>
      <w:r>
        <w:rPr>
          <w:rFonts w:ascii="Acumin Pro" w:hAnsi="Acumin Pro" w:cstheme="minorHAnsi"/>
          <w:sz w:val="24"/>
          <w:szCs w:val="24"/>
          <w:lang w:val="en-US"/>
        </w:rPr>
        <w:t>. In its report to the Committee, the Government of Serbia failed to report on the most significant case of labor exploitation and human trafficking involving at least 400 Vietnamese workers in Serbia. At</w:t>
      </w:r>
      <w:r w:rsidRPr="00830F1D">
        <w:rPr>
          <w:rFonts w:ascii="Acumin Pro" w:hAnsi="Acumin Pro" w:cstheme="minorHAnsi"/>
          <w:sz w:val="24"/>
          <w:szCs w:val="24"/>
          <w:lang w:val="en-US"/>
        </w:rPr>
        <w:t xml:space="preserve"> the end of </w:t>
      </w:r>
      <w:r>
        <w:rPr>
          <w:rFonts w:ascii="Acumin Pro" w:hAnsi="Acumin Pro" w:cstheme="minorHAnsi"/>
          <w:sz w:val="24"/>
          <w:szCs w:val="24"/>
          <w:lang w:val="en-US"/>
        </w:rPr>
        <w:t>2021</w:t>
      </w:r>
      <w:r w:rsidRPr="00830F1D">
        <w:rPr>
          <w:rFonts w:ascii="Acumin Pro" w:hAnsi="Acumin Pro" w:cstheme="minorHAnsi"/>
          <w:sz w:val="24"/>
          <w:szCs w:val="24"/>
          <w:lang w:val="en-US"/>
        </w:rPr>
        <w:t>, journalists</w:t>
      </w:r>
      <w:r>
        <w:rPr>
          <w:rStyle w:val="FootnoteReference"/>
          <w:rFonts w:ascii="Acumin Pro" w:hAnsi="Acumin Pro" w:cstheme="minorHAnsi"/>
          <w:sz w:val="24"/>
          <w:szCs w:val="24"/>
          <w:lang w:val="en-US"/>
        </w:rPr>
        <w:footnoteReference w:id="32"/>
      </w:r>
      <w:r>
        <w:rPr>
          <w:rFonts w:ascii="Acumin Pro" w:hAnsi="Acumin Pro" w:cstheme="minorHAnsi"/>
          <w:sz w:val="24"/>
          <w:szCs w:val="24"/>
          <w:lang w:val="en-US"/>
        </w:rPr>
        <w:t xml:space="preserve"> </w:t>
      </w:r>
      <w:r w:rsidRPr="00830F1D">
        <w:rPr>
          <w:rFonts w:ascii="Acumin Pro" w:hAnsi="Acumin Pro" w:cstheme="minorHAnsi"/>
          <w:sz w:val="24"/>
          <w:szCs w:val="24"/>
          <w:lang w:val="en-US"/>
        </w:rPr>
        <w:t>and human rights activists found out about a case of mass labor exploitation of</w:t>
      </w:r>
      <w:r>
        <w:rPr>
          <w:rFonts w:ascii="Acumin Pro" w:hAnsi="Acumin Pro" w:cstheme="minorHAnsi"/>
          <w:sz w:val="24"/>
          <w:szCs w:val="24"/>
          <w:lang w:val="en-US"/>
        </w:rPr>
        <w:t xml:space="preserve"> </w:t>
      </w:r>
      <w:r w:rsidRPr="00830F1D">
        <w:rPr>
          <w:rFonts w:ascii="Acumin Pro" w:hAnsi="Acumin Pro" w:cstheme="minorHAnsi"/>
          <w:sz w:val="24"/>
          <w:szCs w:val="24"/>
          <w:lang w:val="en-US"/>
        </w:rPr>
        <w:t xml:space="preserve">workers engaged in the construction of the </w:t>
      </w:r>
      <w:proofErr w:type="spellStart"/>
      <w:r w:rsidRPr="00830F1D">
        <w:rPr>
          <w:rFonts w:ascii="Acumin Pro" w:hAnsi="Acumin Pro" w:cstheme="minorHAnsi"/>
          <w:sz w:val="24"/>
          <w:szCs w:val="24"/>
          <w:lang w:val="en-US"/>
        </w:rPr>
        <w:t>Linglong</w:t>
      </w:r>
      <w:proofErr w:type="spellEnd"/>
      <w:r w:rsidRPr="00830F1D">
        <w:rPr>
          <w:rFonts w:ascii="Acumin Pro" w:hAnsi="Acumin Pro" w:cstheme="minorHAnsi"/>
          <w:sz w:val="24"/>
          <w:szCs w:val="24"/>
          <w:lang w:val="en-US"/>
        </w:rPr>
        <w:t xml:space="preserve"> T</w:t>
      </w:r>
      <w:r>
        <w:rPr>
          <w:rFonts w:ascii="Acumin Pro" w:hAnsi="Acumin Pro" w:cstheme="minorHAnsi"/>
          <w:sz w:val="24"/>
          <w:szCs w:val="24"/>
          <w:lang w:val="en-US"/>
        </w:rPr>
        <w:t>i</w:t>
      </w:r>
      <w:r w:rsidRPr="00830F1D">
        <w:rPr>
          <w:rFonts w:ascii="Acumin Pro" w:hAnsi="Acumin Pro" w:cstheme="minorHAnsi"/>
          <w:sz w:val="24"/>
          <w:szCs w:val="24"/>
          <w:lang w:val="en-US"/>
        </w:rPr>
        <w:t xml:space="preserve">re Factory in </w:t>
      </w:r>
      <w:proofErr w:type="spellStart"/>
      <w:r w:rsidRPr="00830F1D">
        <w:rPr>
          <w:rFonts w:ascii="Acumin Pro" w:hAnsi="Acumin Pro" w:cstheme="minorHAnsi"/>
          <w:sz w:val="24"/>
          <w:szCs w:val="24"/>
          <w:lang w:val="en-US"/>
        </w:rPr>
        <w:t>Zrenjanin</w:t>
      </w:r>
      <w:proofErr w:type="spellEnd"/>
      <w:r w:rsidRPr="00830F1D">
        <w:rPr>
          <w:rFonts w:ascii="Acumin Pro" w:hAnsi="Acumin Pro" w:cstheme="minorHAnsi"/>
          <w:sz w:val="24"/>
          <w:szCs w:val="24"/>
          <w:lang w:val="en-US"/>
        </w:rPr>
        <w:t>. After the</w:t>
      </w:r>
      <w:r>
        <w:rPr>
          <w:rFonts w:ascii="Acumin Pro" w:hAnsi="Acumin Pro" w:cstheme="minorHAnsi"/>
          <w:sz w:val="24"/>
          <w:szCs w:val="24"/>
          <w:lang w:val="en-US"/>
        </w:rPr>
        <w:t xml:space="preserve"> </w:t>
      </w:r>
      <w:r w:rsidRPr="00830F1D">
        <w:rPr>
          <w:rFonts w:ascii="Acumin Pro" w:hAnsi="Acumin Pro" w:cstheme="minorHAnsi"/>
          <w:sz w:val="24"/>
          <w:szCs w:val="24"/>
          <w:lang w:val="en-US"/>
        </w:rPr>
        <w:t>information published by the independent media about the poor living and working</w:t>
      </w:r>
      <w:r>
        <w:rPr>
          <w:rFonts w:ascii="Acumin Pro" w:hAnsi="Acumin Pro" w:cstheme="minorHAnsi"/>
          <w:sz w:val="24"/>
          <w:szCs w:val="24"/>
          <w:lang w:val="en-US"/>
        </w:rPr>
        <w:t xml:space="preserve"> </w:t>
      </w:r>
      <w:r w:rsidRPr="00830F1D">
        <w:rPr>
          <w:rFonts w:ascii="Acumin Pro" w:hAnsi="Acumin Pro" w:cstheme="minorHAnsi"/>
          <w:sz w:val="24"/>
          <w:szCs w:val="24"/>
          <w:lang w:val="en-US"/>
        </w:rPr>
        <w:t xml:space="preserve">conditions </w:t>
      </w:r>
      <w:r>
        <w:rPr>
          <w:rFonts w:ascii="Acumin Pro" w:hAnsi="Acumin Pro" w:cstheme="minorHAnsi"/>
          <w:sz w:val="24"/>
          <w:szCs w:val="24"/>
          <w:lang w:val="en-US"/>
        </w:rPr>
        <w:t>at the construction site</w:t>
      </w:r>
      <w:r w:rsidRPr="00830F1D">
        <w:rPr>
          <w:rFonts w:ascii="Acumin Pro" w:hAnsi="Acumin Pro" w:cstheme="minorHAnsi"/>
          <w:sz w:val="24"/>
          <w:szCs w:val="24"/>
          <w:lang w:val="en-US"/>
        </w:rPr>
        <w:t xml:space="preserve">, </w:t>
      </w:r>
      <w:r>
        <w:rPr>
          <w:rFonts w:ascii="Acumin Pro" w:hAnsi="Acumin Pro" w:cstheme="minorHAnsi"/>
          <w:sz w:val="24"/>
          <w:szCs w:val="24"/>
          <w:lang w:val="en-US"/>
        </w:rPr>
        <w:t xml:space="preserve">the </w:t>
      </w:r>
      <w:r w:rsidRPr="00830F1D">
        <w:rPr>
          <w:rFonts w:ascii="Acumin Pro" w:hAnsi="Acumin Pro" w:cstheme="minorHAnsi"/>
          <w:sz w:val="24"/>
          <w:szCs w:val="24"/>
          <w:lang w:val="en-US"/>
        </w:rPr>
        <w:t>representatives of the A11 Initiative and</w:t>
      </w:r>
      <w:r>
        <w:rPr>
          <w:rFonts w:ascii="Acumin Pro" w:hAnsi="Acumin Pro" w:cstheme="minorHAnsi"/>
          <w:sz w:val="24"/>
          <w:szCs w:val="24"/>
          <w:lang w:val="en-US"/>
        </w:rPr>
        <w:t xml:space="preserve"> another organization - </w:t>
      </w:r>
      <w:r w:rsidRPr="00830F1D">
        <w:rPr>
          <w:rFonts w:ascii="Acumin Pro" w:hAnsi="Acumin Pro" w:cstheme="minorHAnsi"/>
          <w:sz w:val="24"/>
          <w:szCs w:val="24"/>
          <w:lang w:val="en-US"/>
        </w:rPr>
        <w:t>ASTRA - Action against Tra</w:t>
      </w:r>
      <w:r>
        <w:rPr>
          <w:rFonts w:ascii="Acumin Pro" w:hAnsi="Acumin Pro" w:cstheme="minorHAnsi"/>
          <w:sz w:val="24"/>
          <w:szCs w:val="24"/>
          <w:lang w:val="en-US"/>
        </w:rPr>
        <w:t>ff</w:t>
      </w:r>
      <w:r w:rsidRPr="00830F1D">
        <w:rPr>
          <w:rFonts w:ascii="Acumin Pro" w:hAnsi="Acumin Pro" w:cstheme="minorHAnsi"/>
          <w:sz w:val="24"/>
          <w:szCs w:val="24"/>
          <w:lang w:val="en-US"/>
        </w:rPr>
        <w:t>icking in Human Beings visited the workers engaged in the</w:t>
      </w:r>
      <w:r>
        <w:rPr>
          <w:rFonts w:ascii="Acumin Pro" w:hAnsi="Acumin Pro" w:cstheme="minorHAnsi"/>
          <w:sz w:val="24"/>
          <w:szCs w:val="24"/>
          <w:lang w:val="en-US"/>
        </w:rPr>
        <w:t xml:space="preserve"> </w:t>
      </w:r>
      <w:r w:rsidRPr="00B36E56">
        <w:rPr>
          <w:rFonts w:ascii="Acumin Pro" w:hAnsi="Acumin Pro" w:cstheme="minorHAnsi"/>
          <w:sz w:val="24"/>
          <w:szCs w:val="24"/>
          <w:lang w:val="en-US"/>
        </w:rPr>
        <w:t xml:space="preserve">construction of </w:t>
      </w:r>
      <w:r>
        <w:rPr>
          <w:rFonts w:ascii="Acumin Pro" w:hAnsi="Acumin Pro" w:cstheme="minorHAnsi"/>
          <w:sz w:val="24"/>
          <w:szCs w:val="24"/>
          <w:lang w:val="en-US"/>
        </w:rPr>
        <w:t>the</w:t>
      </w:r>
      <w:r w:rsidRPr="00B36E56">
        <w:rPr>
          <w:rFonts w:ascii="Acumin Pro" w:hAnsi="Acumin Pro" w:cstheme="minorHAnsi"/>
          <w:sz w:val="24"/>
          <w:szCs w:val="24"/>
          <w:lang w:val="en-US"/>
        </w:rPr>
        <w:t xml:space="preserve"> factory</w:t>
      </w:r>
      <w:r>
        <w:rPr>
          <w:rFonts w:ascii="Acumin Pro" w:hAnsi="Acumin Pro" w:cstheme="minorHAnsi"/>
          <w:sz w:val="24"/>
          <w:szCs w:val="24"/>
          <w:lang w:val="en-US"/>
        </w:rPr>
        <w:t xml:space="preserve"> and documented the situation on site. Afterwards, the report about the living and working conditions at the construction site was made public.</w:t>
      </w:r>
      <w:r>
        <w:rPr>
          <w:rStyle w:val="FootnoteReference"/>
          <w:rFonts w:ascii="Acumin Pro" w:hAnsi="Acumin Pro" w:cstheme="minorHAnsi"/>
          <w:sz w:val="24"/>
          <w:szCs w:val="24"/>
          <w:lang w:val="en-US"/>
        </w:rPr>
        <w:footnoteReference w:id="33"/>
      </w:r>
      <w:r>
        <w:rPr>
          <w:rFonts w:ascii="Acumin Pro" w:hAnsi="Acumin Pro" w:cstheme="minorHAnsi"/>
          <w:sz w:val="24"/>
          <w:szCs w:val="24"/>
          <w:lang w:val="en-US"/>
        </w:rPr>
        <w:t xml:space="preserve"> </w:t>
      </w:r>
    </w:p>
    <w:p w14:paraId="6A939848" w14:textId="77777777" w:rsidR="0096459C" w:rsidRDefault="0096459C" w:rsidP="0096459C">
      <w:pPr>
        <w:pStyle w:val="ListParagraph"/>
        <w:numPr>
          <w:ilvl w:val="0"/>
          <w:numId w:val="6"/>
        </w:numPr>
        <w:tabs>
          <w:tab w:val="left" w:pos="0"/>
        </w:tabs>
        <w:spacing w:before="0" w:after="0" w:line="240" w:lineRule="auto"/>
        <w:ind w:left="0" w:hanging="567"/>
        <w:jc w:val="both"/>
        <w:rPr>
          <w:rFonts w:ascii="Acumin Pro" w:hAnsi="Acumin Pro" w:cstheme="minorHAnsi"/>
          <w:sz w:val="24"/>
          <w:szCs w:val="24"/>
          <w:lang w:val="en-US"/>
        </w:rPr>
      </w:pPr>
      <w:r w:rsidRPr="00B10DD5">
        <w:rPr>
          <w:rFonts w:ascii="Acumin Pro" w:hAnsi="Acumin Pro" w:cstheme="minorHAnsi"/>
          <w:sz w:val="24"/>
          <w:szCs w:val="24"/>
          <w:lang w:val="en-US"/>
        </w:rPr>
        <w:t xml:space="preserve">At the moment of the visit, none of the workers had their passport with them; passports were “kept” in the company that employed them - </w:t>
      </w:r>
      <w:proofErr w:type="spellStart"/>
      <w:r w:rsidRPr="00B10DD5">
        <w:rPr>
          <w:rFonts w:ascii="Acumin Pro" w:hAnsi="Acumin Pro" w:cstheme="minorHAnsi"/>
          <w:sz w:val="24"/>
          <w:szCs w:val="24"/>
          <w:lang w:val="en-US"/>
        </w:rPr>
        <w:t>Linglong</w:t>
      </w:r>
      <w:proofErr w:type="spellEnd"/>
      <w:r w:rsidRPr="00B10DD5">
        <w:rPr>
          <w:rFonts w:ascii="Acumin Pro" w:hAnsi="Acumin Pro" w:cstheme="minorHAnsi"/>
          <w:sz w:val="24"/>
          <w:szCs w:val="24"/>
          <w:lang w:val="en-US"/>
        </w:rPr>
        <w:t xml:space="preserve"> International Europe.</w:t>
      </w:r>
      <w:r>
        <w:rPr>
          <w:rStyle w:val="FootnoteReference"/>
          <w:rFonts w:ascii="Acumin Pro" w:hAnsi="Acumin Pro" w:cstheme="minorHAnsi"/>
          <w:sz w:val="24"/>
          <w:szCs w:val="24"/>
          <w:lang w:val="en-US"/>
        </w:rPr>
        <w:footnoteReference w:id="34"/>
      </w:r>
      <w:r w:rsidRPr="00B10DD5">
        <w:rPr>
          <w:rFonts w:ascii="Acumin Pro" w:hAnsi="Acumin Pro" w:cstheme="minorHAnsi"/>
          <w:sz w:val="24"/>
          <w:szCs w:val="24"/>
          <w:lang w:val="en-US"/>
        </w:rPr>
        <w:t xml:space="preserve"> These workers were hired</w:t>
      </w:r>
      <w:r>
        <w:rPr>
          <w:rFonts w:ascii="Acumin Pro" w:hAnsi="Acumin Pro" w:cstheme="minorHAnsi"/>
          <w:sz w:val="24"/>
          <w:szCs w:val="24"/>
          <w:lang w:val="en-US"/>
        </w:rPr>
        <w:t xml:space="preserve"> </w:t>
      </w:r>
      <w:r w:rsidRPr="00B10DD5">
        <w:rPr>
          <w:rFonts w:ascii="Acumin Pro" w:hAnsi="Acumin Pro" w:cstheme="minorHAnsi"/>
          <w:sz w:val="24"/>
          <w:szCs w:val="24"/>
          <w:lang w:val="en-US"/>
        </w:rPr>
        <w:t xml:space="preserve">through subcontractors of the </w:t>
      </w:r>
      <w:proofErr w:type="spellStart"/>
      <w:r w:rsidRPr="00B10DD5">
        <w:rPr>
          <w:rFonts w:ascii="Acumin Pro" w:hAnsi="Acumin Pro" w:cstheme="minorHAnsi"/>
          <w:sz w:val="24"/>
          <w:szCs w:val="24"/>
          <w:lang w:val="en-US"/>
        </w:rPr>
        <w:t>Linglong</w:t>
      </w:r>
      <w:proofErr w:type="spellEnd"/>
      <w:r w:rsidRPr="00B10DD5">
        <w:rPr>
          <w:rFonts w:ascii="Acumin Pro" w:hAnsi="Acumin Pro" w:cstheme="minorHAnsi"/>
          <w:sz w:val="24"/>
          <w:szCs w:val="24"/>
          <w:lang w:val="en-US"/>
        </w:rPr>
        <w:t xml:space="preserve"> International Europe, </w:t>
      </w:r>
      <w:r w:rsidRPr="00B10DD5">
        <w:rPr>
          <w:rFonts w:ascii="Acumin Pro" w:hAnsi="Acumin Pro" w:cstheme="minorHAnsi"/>
          <w:sz w:val="24"/>
          <w:szCs w:val="24"/>
          <w:lang w:val="en-US"/>
        </w:rPr>
        <w:lastRenderedPageBreak/>
        <w:t xml:space="preserve">to construct the tire factory in </w:t>
      </w:r>
      <w:proofErr w:type="spellStart"/>
      <w:r w:rsidRPr="00B10DD5">
        <w:rPr>
          <w:rFonts w:ascii="Acumin Pro" w:hAnsi="Acumin Pro" w:cstheme="minorHAnsi"/>
          <w:sz w:val="24"/>
          <w:szCs w:val="24"/>
          <w:lang w:val="en-US"/>
        </w:rPr>
        <w:t>Zrenjanin</w:t>
      </w:r>
      <w:proofErr w:type="spellEnd"/>
      <w:r w:rsidRPr="00B10DD5">
        <w:rPr>
          <w:rFonts w:ascii="Acumin Pro" w:hAnsi="Acumin Pro" w:cstheme="minorHAnsi"/>
          <w:sz w:val="24"/>
          <w:szCs w:val="24"/>
          <w:lang w:val="en-US"/>
        </w:rPr>
        <w:t>, Serbia, and they had to pay between $ 2000 and 4000 to recruitment agencies in their home country. They were working in shifts lasting 9 hours, with one lunch break lasting one hour, 26 days a month, which was against the minimum protection requirements set up in the Labor Law in Serbia. Their contracts stipulate</w:t>
      </w:r>
      <w:r>
        <w:rPr>
          <w:rFonts w:ascii="Acumin Pro" w:hAnsi="Acumin Pro" w:cstheme="minorHAnsi"/>
          <w:sz w:val="24"/>
          <w:szCs w:val="24"/>
          <w:lang w:val="en-US"/>
        </w:rPr>
        <w:t>d</w:t>
      </w:r>
      <w:r w:rsidRPr="00B10DD5">
        <w:rPr>
          <w:rFonts w:ascii="Acumin Pro" w:hAnsi="Acumin Pro" w:cstheme="minorHAnsi"/>
          <w:sz w:val="24"/>
          <w:szCs w:val="24"/>
          <w:lang w:val="en-US"/>
        </w:rPr>
        <w:t xml:space="preserve"> that they are not allowed to engage in trade union activities, and that in case of contract cancellation due to their liability, they have to pay the tickets back home on their own</w:t>
      </w:r>
      <w:r w:rsidRPr="005B3848">
        <w:rPr>
          <w:rFonts w:ascii="Acumin Pro" w:hAnsi="Acumin Pro" w:cstheme="minorHAnsi"/>
          <w:sz w:val="24"/>
          <w:szCs w:val="24"/>
          <w:lang w:val="en-US"/>
        </w:rPr>
        <w:t>.</w:t>
      </w:r>
      <w:r>
        <w:rPr>
          <w:rStyle w:val="FootnoteReference"/>
          <w:rFonts w:ascii="Acumin Pro" w:hAnsi="Acumin Pro" w:cstheme="minorHAnsi"/>
          <w:sz w:val="24"/>
          <w:szCs w:val="24"/>
          <w:lang w:val="en-US"/>
        </w:rPr>
        <w:footnoteReference w:id="35"/>
      </w:r>
      <w:r w:rsidRPr="005B3848">
        <w:rPr>
          <w:rFonts w:ascii="Acumin Pro" w:hAnsi="Acumin Pro" w:cstheme="minorHAnsi"/>
          <w:sz w:val="24"/>
          <w:szCs w:val="24"/>
          <w:lang w:val="en-US"/>
        </w:rPr>
        <w:t xml:space="preserve"> Also, in cases they leave the employer, their relatives and/or friends were obliged to pay if they “escape”.</w:t>
      </w:r>
      <w:r>
        <w:rPr>
          <w:rStyle w:val="FootnoteReference"/>
          <w:rFonts w:ascii="Acumin Pro" w:hAnsi="Acumin Pro" w:cstheme="minorHAnsi"/>
          <w:sz w:val="24"/>
          <w:szCs w:val="24"/>
          <w:lang w:val="en-US"/>
        </w:rPr>
        <w:footnoteReference w:id="36"/>
      </w:r>
    </w:p>
    <w:p w14:paraId="3B45E5F6"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B10DD5">
        <w:rPr>
          <w:rFonts w:ascii="Acumin Pro" w:hAnsi="Acumin Pro" w:cstheme="minorHAnsi"/>
          <w:sz w:val="24"/>
          <w:szCs w:val="24"/>
          <w:lang w:val="en-US"/>
        </w:rPr>
        <w:t xml:space="preserve">The camp where they were accommodated was not </w:t>
      </w:r>
      <w:r>
        <w:rPr>
          <w:rFonts w:ascii="Acumin Pro" w:hAnsi="Acumin Pro" w:cstheme="minorHAnsi"/>
          <w:sz w:val="24"/>
          <w:szCs w:val="24"/>
          <w:lang w:val="en-US"/>
        </w:rPr>
        <w:t>heated</w:t>
      </w:r>
      <w:r w:rsidRPr="00B10DD5">
        <w:rPr>
          <w:rFonts w:ascii="Acumin Pro" w:hAnsi="Acumin Pro" w:cstheme="minorHAnsi"/>
          <w:sz w:val="24"/>
          <w:szCs w:val="24"/>
          <w:lang w:val="en-US"/>
        </w:rPr>
        <w:t xml:space="preserve">, it had bunk beds in the overcrowded rooms, without sufficient </w:t>
      </w:r>
      <w:r>
        <w:rPr>
          <w:rFonts w:ascii="Acumin Pro" w:hAnsi="Acumin Pro" w:cstheme="minorHAnsi"/>
          <w:sz w:val="24"/>
          <w:szCs w:val="24"/>
          <w:lang w:val="en-US"/>
        </w:rPr>
        <w:t>air circulation</w:t>
      </w:r>
      <w:r w:rsidRPr="00B10DD5">
        <w:rPr>
          <w:rFonts w:ascii="Acumin Pro" w:hAnsi="Acumin Pro" w:cstheme="minorHAnsi"/>
          <w:sz w:val="24"/>
          <w:szCs w:val="24"/>
          <w:lang w:val="en-US"/>
        </w:rPr>
        <w:t xml:space="preserve"> and natural light. Workers also had only two toilets, with no safe and steady electricity plug and with no safe drinking water. </w:t>
      </w:r>
      <w:r>
        <w:rPr>
          <w:rFonts w:ascii="Acumin Pro" w:hAnsi="Acumin Pro" w:cstheme="minorHAnsi"/>
          <w:sz w:val="24"/>
          <w:szCs w:val="24"/>
          <w:lang w:val="en-US"/>
        </w:rPr>
        <w:t>T</w:t>
      </w:r>
      <w:r w:rsidRPr="00B10DD5">
        <w:rPr>
          <w:rFonts w:ascii="Acumin Pro" w:hAnsi="Acumin Pro" w:cstheme="minorHAnsi"/>
          <w:sz w:val="24"/>
          <w:szCs w:val="24"/>
          <w:lang w:val="en-US"/>
        </w:rPr>
        <w:t xml:space="preserve">here were only </w:t>
      </w:r>
      <w:r>
        <w:rPr>
          <w:rFonts w:ascii="Acumin Pro" w:hAnsi="Acumin Pro" w:cstheme="minorHAnsi"/>
          <w:sz w:val="24"/>
          <w:szCs w:val="24"/>
          <w:lang w:val="en-US"/>
        </w:rPr>
        <w:t>two</w:t>
      </w:r>
      <w:r w:rsidRPr="00B10DD5">
        <w:rPr>
          <w:rFonts w:ascii="Acumin Pro" w:hAnsi="Acumin Pro" w:cstheme="minorHAnsi"/>
          <w:sz w:val="24"/>
          <w:szCs w:val="24"/>
          <w:lang w:val="en-US"/>
        </w:rPr>
        <w:t xml:space="preserve"> water heaters (120</w:t>
      </w:r>
      <w:r>
        <w:rPr>
          <w:rFonts w:ascii="Acumin Pro" w:hAnsi="Acumin Pro" w:cstheme="minorHAnsi"/>
          <w:sz w:val="24"/>
          <w:szCs w:val="24"/>
          <w:lang w:val="en-US"/>
        </w:rPr>
        <w:t>l</w:t>
      </w:r>
      <w:r w:rsidRPr="00B10DD5">
        <w:rPr>
          <w:rFonts w:ascii="Acumin Pro" w:hAnsi="Acumin Pro" w:cstheme="minorHAnsi"/>
          <w:sz w:val="24"/>
          <w:szCs w:val="24"/>
          <w:lang w:val="en-US"/>
        </w:rPr>
        <w:t xml:space="preserve"> each), for more than 400 workers. Also, their accommodation </w:t>
      </w:r>
      <w:r>
        <w:rPr>
          <w:rFonts w:ascii="Acumin Pro" w:hAnsi="Acumin Pro" w:cstheme="minorHAnsi"/>
          <w:sz w:val="24"/>
          <w:szCs w:val="24"/>
          <w:lang w:val="en-US"/>
        </w:rPr>
        <w:t>was not equipped with the dining</w:t>
      </w:r>
      <w:r w:rsidRPr="00B10DD5">
        <w:rPr>
          <w:rFonts w:ascii="Acumin Pro" w:hAnsi="Acumin Pro" w:cstheme="minorHAnsi"/>
          <w:sz w:val="24"/>
          <w:szCs w:val="24"/>
          <w:lang w:val="en-US"/>
        </w:rPr>
        <w:t xml:space="preserve"> room or any other facility for </w:t>
      </w:r>
      <w:r>
        <w:rPr>
          <w:rFonts w:ascii="Acumin Pro" w:hAnsi="Acumin Pro" w:cstheme="minorHAnsi"/>
          <w:sz w:val="24"/>
          <w:szCs w:val="24"/>
          <w:lang w:val="en-US"/>
        </w:rPr>
        <w:t>recreation and</w:t>
      </w:r>
      <w:r w:rsidRPr="00B10DD5">
        <w:rPr>
          <w:rFonts w:ascii="Acumin Pro" w:hAnsi="Acumin Pro" w:cstheme="minorHAnsi"/>
          <w:sz w:val="24"/>
          <w:szCs w:val="24"/>
          <w:lang w:val="en-US"/>
        </w:rPr>
        <w:t xml:space="preserve"> time. The workers had to wash their clothes by hand, since </w:t>
      </w:r>
      <w:r>
        <w:rPr>
          <w:rFonts w:ascii="Acumin Pro" w:hAnsi="Acumin Pro" w:cstheme="minorHAnsi"/>
          <w:sz w:val="24"/>
          <w:szCs w:val="24"/>
          <w:lang w:val="en-US"/>
        </w:rPr>
        <w:t>they were not provided with a single</w:t>
      </w:r>
      <w:r w:rsidRPr="00B10DD5">
        <w:rPr>
          <w:rFonts w:ascii="Acumin Pro" w:hAnsi="Acumin Pro" w:cstheme="minorHAnsi"/>
          <w:sz w:val="24"/>
          <w:szCs w:val="24"/>
          <w:lang w:val="en-US"/>
        </w:rPr>
        <w:t xml:space="preserve"> washing machine. </w:t>
      </w:r>
      <w:r>
        <w:rPr>
          <w:rFonts w:ascii="Acumin Pro" w:hAnsi="Acumin Pro" w:cstheme="minorHAnsi"/>
          <w:sz w:val="24"/>
          <w:szCs w:val="24"/>
          <w:lang w:val="en-US"/>
        </w:rPr>
        <w:t>At the moment of the visit</w:t>
      </w:r>
      <w:r w:rsidRPr="00B10DD5">
        <w:rPr>
          <w:rFonts w:ascii="Acumin Pro" w:hAnsi="Acumin Pro" w:cstheme="minorHAnsi"/>
          <w:sz w:val="24"/>
          <w:szCs w:val="24"/>
          <w:lang w:val="en-US"/>
        </w:rPr>
        <w:t xml:space="preserve">, they </w:t>
      </w:r>
      <w:r>
        <w:rPr>
          <w:rFonts w:ascii="Acumin Pro" w:hAnsi="Acumin Pro" w:cstheme="minorHAnsi"/>
          <w:sz w:val="24"/>
          <w:szCs w:val="24"/>
          <w:lang w:val="en-US"/>
        </w:rPr>
        <w:t xml:space="preserve">reported that they </w:t>
      </w:r>
      <w:r w:rsidRPr="00B10DD5">
        <w:rPr>
          <w:rFonts w:ascii="Acumin Pro" w:hAnsi="Acumin Pro" w:cstheme="minorHAnsi"/>
          <w:sz w:val="24"/>
          <w:szCs w:val="24"/>
          <w:lang w:val="en-US"/>
        </w:rPr>
        <w:t>were not getting their salaries regularly, and there was no access to healthcare or COVID-19 prevention measures.</w:t>
      </w:r>
    </w:p>
    <w:p w14:paraId="0393E61D"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B10DD5">
        <w:rPr>
          <w:rFonts w:ascii="Acumin Pro" w:hAnsi="Acumin Pro" w:cstheme="minorHAnsi"/>
          <w:sz w:val="24"/>
          <w:szCs w:val="24"/>
          <w:lang w:val="en-US"/>
        </w:rPr>
        <w:t>After the report was published and the official letter</w:t>
      </w:r>
      <w:r>
        <w:rPr>
          <w:rFonts w:ascii="Acumin Pro" w:hAnsi="Acumin Pro" w:cstheme="minorHAnsi"/>
          <w:sz w:val="24"/>
          <w:szCs w:val="24"/>
          <w:lang w:val="en-US"/>
        </w:rPr>
        <w:t>s</w:t>
      </w:r>
      <w:r>
        <w:rPr>
          <w:rStyle w:val="FootnoteReference"/>
          <w:rFonts w:ascii="Acumin Pro" w:hAnsi="Acumin Pro" w:cstheme="minorHAnsi"/>
          <w:sz w:val="24"/>
          <w:szCs w:val="24"/>
          <w:lang w:val="en-US"/>
        </w:rPr>
        <w:footnoteReference w:id="37"/>
      </w:r>
      <w:r w:rsidRPr="00B10DD5">
        <w:rPr>
          <w:rFonts w:ascii="Acumin Pro" w:hAnsi="Acumin Pro" w:cstheme="minorHAnsi"/>
          <w:sz w:val="24"/>
          <w:szCs w:val="24"/>
          <w:lang w:val="en-US"/>
        </w:rPr>
        <w:t xml:space="preserve"> about the situation of Vietnamese workers submitted to competent authorities, the Emergency Management Sector of the Ministry of Interior issued an order declaring the workers' barracks as dangerous and not suitable for accommodation, due to gas leaks. Because of that, majority of the workers were relocated to several other locations, while part of them remained living at the original facilities that had been declared dangerous.</w:t>
      </w:r>
    </w:p>
    <w:p w14:paraId="5BEF8E8C"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B10DD5">
        <w:rPr>
          <w:rFonts w:ascii="Acumin Pro" w:hAnsi="Acumin Pro" w:cstheme="minorHAnsi"/>
          <w:sz w:val="24"/>
          <w:szCs w:val="24"/>
          <w:lang w:val="en-US"/>
        </w:rPr>
        <w:t>However, in th</w:t>
      </w:r>
      <w:r>
        <w:rPr>
          <w:rFonts w:ascii="Acumin Pro" w:hAnsi="Acumin Pro" w:cstheme="minorHAnsi"/>
          <w:sz w:val="24"/>
          <w:szCs w:val="24"/>
          <w:lang w:val="en-US"/>
        </w:rPr>
        <w:t>is new accommodation, the workers</w:t>
      </w:r>
      <w:r w:rsidRPr="00B10DD5">
        <w:rPr>
          <w:rFonts w:ascii="Acumin Pro" w:hAnsi="Acumin Pro" w:cstheme="minorHAnsi"/>
          <w:sz w:val="24"/>
          <w:szCs w:val="24"/>
          <w:lang w:val="en-US"/>
        </w:rPr>
        <w:t xml:space="preserve"> </w:t>
      </w:r>
      <w:r>
        <w:rPr>
          <w:rFonts w:ascii="Acumin Pro" w:hAnsi="Acumin Pro" w:cstheme="minorHAnsi"/>
          <w:sz w:val="24"/>
          <w:szCs w:val="24"/>
          <w:lang w:val="en-US"/>
        </w:rPr>
        <w:t>were</w:t>
      </w:r>
      <w:r w:rsidRPr="00B10DD5">
        <w:rPr>
          <w:rFonts w:ascii="Acumin Pro" w:hAnsi="Acumin Pro" w:cstheme="minorHAnsi"/>
          <w:sz w:val="24"/>
          <w:szCs w:val="24"/>
          <w:lang w:val="en-US"/>
        </w:rPr>
        <w:t xml:space="preserve"> under constant surveillance by private security, threatened by their</w:t>
      </w:r>
      <w:r>
        <w:rPr>
          <w:rFonts w:ascii="Acumin Pro" w:hAnsi="Acumin Pro" w:cstheme="minorHAnsi"/>
          <w:sz w:val="24"/>
          <w:szCs w:val="24"/>
          <w:lang w:val="en-US"/>
        </w:rPr>
        <w:t xml:space="preserve"> </w:t>
      </w:r>
      <w:r w:rsidRPr="00B10DD5">
        <w:rPr>
          <w:rFonts w:ascii="Acumin Pro" w:hAnsi="Acumin Pro" w:cstheme="minorHAnsi"/>
          <w:sz w:val="24"/>
          <w:szCs w:val="24"/>
          <w:lang w:val="en-US"/>
        </w:rPr>
        <w:t>employers</w:t>
      </w:r>
      <w:r>
        <w:rPr>
          <w:rFonts w:ascii="Acumin Pro" w:hAnsi="Acumin Pro" w:cstheme="minorHAnsi"/>
          <w:sz w:val="24"/>
          <w:szCs w:val="24"/>
          <w:lang w:val="en-US"/>
        </w:rPr>
        <w:t>, and prevented from getting in touch with media and human rights organizations.</w:t>
      </w:r>
      <w:r>
        <w:rPr>
          <w:rStyle w:val="FootnoteReference"/>
          <w:rFonts w:ascii="Acumin Pro" w:hAnsi="Acumin Pro" w:cstheme="minorHAnsi"/>
          <w:sz w:val="24"/>
          <w:szCs w:val="24"/>
          <w:lang w:val="en-US"/>
        </w:rPr>
        <w:footnoteReference w:id="38"/>
      </w:r>
      <w:r>
        <w:rPr>
          <w:rFonts w:ascii="Acumin Pro" w:hAnsi="Acumin Pro" w:cstheme="minorHAnsi"/>
          <w:sz w:val="24"/>
          <w:szCs w:val="24"/>
          <w:lang w:val="en-US"/>
        </w:rPr>
        <w:t xml:space="preserve"> </w:t>
      </w:r>
    </w:p>
    <w:p w14:paraId="103C6A8D"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B10DD5">
        <w:rPr>
          <w:rFonts w:ascii="Acumin Pro" w:hAnsi="Acumin Pro" w:cstheme="minorHAnsi"/>
          <w:sz w:val="24"/>
          <w:szCs w:val="24"/>
          <w:lang w:val="en-US"/>
        </w:rPr>
        <w:t xml:space="preserve">It is important to note that </w:t>
      </w:r>
      <w:r>
        <w:rPr>
          <w:rFonts w:ascii="Acumin Pro" w:hAnsi="Acumin Pro" w:cstheme="minorHAnsi"/>
          <w:sz w:val="24"/>
          <w:szCs w:val="24"/>
          <w:lang w:val="en-US"/>
        </w:rPr>
        <w:t xml:space="preserve">so far </w:t>
      </w:r>
      <w:r w:rsidRPr="00B10DD5">
        <w:rPr>
          <w:rFonts w:ascii="Acumin Pro" w:hAnsi="Acumin Pro" w:cstheme="minorHAnsi"/>
          <w:sz w:val="24"/>
          <w:szCs w:val="24"/>
          <w:lang w:val="en-US"/>
        </w:rPr>
        <w:t xml:space="preserve">there was no official investigation, and </w:t>
      </w:r>
      <w:r>
        <w:rPr>
          <w:rFonts w:ascii="Acumin Pro" w:hAnsi="Acumin Pro" w:cstheme="minorHAnsi"/>
          <w:sz w:val="24"/>
          <w:szCs w:val="24"/>
          <w:lang w:val="en-US"/>
        </w:rPr>
        <w:t xml:space="preserve">the Centre for </w:t>
      </w:r>
      <w:r w:rsidRPr="00D16CD6">
        <w:rPr>
          <w:rFonts w:ascii="Acumin Pro" w:hAnsi="Acumin Pro" w:cstheme="minorHAnsi"/>
          <w:sz w:val="24"/>
          <w:szCs w:val="24"/>
          <w:lang w:val="en-US"/>
        </w:rPr>
        <w:t xml:space="preserve">the </w:t>
      </w:r>
      <w:r>
        <w:rPr>
          <w:rFonts w:ascii="Acumin Pro" w:hAnsi="Acumin Pro" w:cs="Calibri"/>
          <w:sz w:val="24"/>
          <w:szCs w:val="24"/>
          <w:lang w:val="en-US"/>
        </w:rPr>
        <w:t>Pr</w:t>
      </w:r>
      <w:r w:rsidRPr="00D16CD6">
        <w:rPr>
          <w:rFonts w:ascii="Acumin Pro" w:hAnsi="Acumin Pro" w:cstheme="minorHAnsi"/>
          <w:sz w:val="24"/>
          <w:szCs w:val="24"/>
          <w:lang w:val="en-US"/>
        </w:rPr>
        <w:t xml:space="preserve">otection of </w:t>
      </w:r>
      <w:r>
        <w:rPr>
          <w:rFonts w:ascii="Acumin Pro" w:hAnsi="Acumin Pro" w:cstheme="minorHAnsi"/>
          <w:sz w:val="24"/>
          <w:szCs w:val="24"/>
          <w:lang w:val="en-US"/>
        </w:rPr>
        <w:t>Vi</w:t>
      </w:r>
      <w:r w:rsidRPr="00D16CD6">
        <w:rPr>
          <w:rFonts w:ascii="Acumin Pro" w:hAnsi="Acumin Pro" w:cstheme="minorHAnsi"/>
          <w:sz w:val="24"/>
          <w:szCs w:val="24"/>
          <w:lang w:val="en-US"/>
        </w:rPr>
        <w:t xml:space="preserve">ctims of </w:t>
      </w:r>
      <w:r>
        <w:rPr>
          <w:rFonts w:ascii="Acumin Pro" w:hAnsi="Acumin Pro" w:cstheme="minorHAnsi"/>
          <w:sz w:val="24"/>
          <w:szCs w:val="24"/>
          <w:lang w:val="en-US"/>
        </w:rPr>
        <w:t>T</w:t>
      </w:r>
      <w:r w:rsidRPr="00D16CD6">
        <w:rPr>
          <w:rFonts w:ascii="Acumin Pro" w:hAnsi="Acumin Pro" w:cstheme="minorHAnsi"/>
          <w:sz w:val="24"/>
          <w:szCs w:val="24"/>
          <w:lang w:val="en-US"/>
        </w:rPr>
        <w:t>rafficking</w:t>
      </w:r>
      <w:r>
        <w:rPr>
          <w:rFonts w:ascii="Acumin Pro" w:hAnsi="Acumin Pro" w:cstheme="minorHAnsi"/>
          <w:sz w:val="24"/>
          <w:szCs w:val="24"/>
          <w:lang w:val="en-US"/>
        </w:rPr>
        <w:t xml:space="preserve"> never informed the public on the number of workers this institution interviewed and the measures for their protection it implemented. Also, high-level Government </w:t>
      </w:r>
      <w:r w:rsidRPr="00B10DD5">
        <w:rPr>
          <w:rFonts w:ascii="Acumin Pro" w:hAnsi="Acumin Pro" w:cstheme="minorHAnsi"/>
          <w:sz w:val="24"/>
          <w:szCs w:val="24"/>
          <w:lang w:val="en-US"/>
        </w:rPr>
        <w:t>off</w:t>
      </w:r>
      <w:r w:rsidRPr="00B10DD5">
        <w:rPr>
          <w:rFonts w:ascii="Acumin Pro" w:hAnsi="Acumin Pro" w:cstheme="minorHAnsi"/>
          <w:sz w:val="24"/>
          <w:szCs w:val="24"/>
          <w:lang w:val="en-US"/>
        </w:rPr>
        <w:softHyphen/>
        <w:t xml:space="preserve">icials cited that the </w:t>
      </w:r>
      <w:proofErr w:type="spellStart"/>
      <w:r w:rsidRPr="00B10DD5">
        <w:rPr>
          <w:rFonts w:ascii="Acumin Pro" w:hAnsi="Acumin Pro" w:cstheme="minorHAnsi"/>
          <w:sz w:val="24"/>
          <w:szCs w:val="24"/>
          <w:lang w:val="en-US"/>
        </w:rPr>
        <w:t>Linglong</w:t>
      </w:r>
      <w:proofErr w:type="spellEnd"/>
      <w:r w:rsidRPr="00B10DD5">
        <w:rPr>
          <w:rFonts w:ascii="Acumin Pro" w:hAnsi="Acumin Pro" w:cstheme="minorHAnsi"/>
          <w:sz w:val="24"/>
          <w:szCs w:val="24"/>
          <w:lang w:val="en-US"/>
        </w:rPr>
        <w:t xml:space="preserve"> International Europe is one of the largest investors in the country, and even though the evidence of labor exploitation has been made public, there was strong pressure to portray them as irrelevant.</w:t>
      </w:r>
      <w:r>
        <w:rPr>
          <w:rStyle w:val="FootnoteReference"/>
          <w:rFonts w:ascii="Acumin Pro" w:hAnsi="Acumin Pro" w:cstheme="minorHAnsi"/>
          <w:sz w:val="24"/>
          <w:szCs w:val="24"/>
          <w:lang w:val="en-US"/>
        </w:rPr>
        <w:footnoteReference w:id="39"/>
      </w:r>
      <w:r w:rsidRPr="00B10DD5">
        <w:rPr>
          <w:rFonts w:ascii="Acumin Pro" w:hAnsi="Acumin Pro" w:cstheme="minorHAnsi"/>
          <w:sz w:val="24"/>
          <w:szCs w:val="24"/>
          <w:lang w:val="en-US"/>
        </w:rPr>
        <w:t xml:space="preserve"> Finally, it was stated that since</w:t>
      </w:r>
      <w:r>
        <w:rPr>
          <w:rFonts w:ascii="Acumin Pro" w:hAnsi="Acumin Pro" w:cstheme="minorHAnsi"/>
          <w:sz w:val="24"/>
          <w:szCs w:val="24"/>
          <w:lang w:val="en-US"/>
        </w:rPr>
        <w:t xml:space="preserve"> </w:t>
      </w:r>
      <w:r w:rsidRPr="00B10DD5">
        <w:rPr>
          <w:rFonts w:ascii="Acumin Pro" w:hAnsi="Acumin Pro" w:cstheme="minorHAnsi"/>
          <w:sz w:val="24"/>
          <w:szCs w:val="24"/>
          <w:lang w:val="en-US"/>
        </w:rPr>
        <w:t xml:space="preserve">the start of the construction, </w:t>
      </w:r>
      <w:r w:rsidRPr="00B10DD5">
        <w:rPr>
          <w:rFonts w:ascii="Acumin Pro" w:hAnsi="Acumin Pro" w:cstheme="minorHAnsi"/>
          <w:sz w:val="24"/>
          <w:szCs w:val="24"/>
          <w:lang w:val="en-US"/>
        </w:rPr>
        <w:lastRenderedPageBreak/>
        <w:t>the company was inspected 18 times by the inspections working under the jurisdiction of the Ministry of Labor, Employment, Veteran and Social A</w:t>
      </w:r>
      <w:r>
        <w:rPr>
          <w:rFonts w:ascii="Acumin Pro" w:hAnsi="Acumin Pro" w:cstheme="minorHAnsi"/>
          <w:sz w:val="24"/>
          <w:szCs w:val="24"/>
          <w:lang w:val="en-US"/>
        </w:rPr>
        <w:t>ff</w:t>
      </w:r>
      <w:r w:rsidRPr="00B10DD5">
        <w:rPr>
          <w:rFonts w:ascii="Acumin Pro" w:hAnsi="Acumin Pro" w:cstheme="minorHAnsi"/>
          <w:sz w:val="24"/>
          <w:szCs w:val="24"/>
          <w:lang w:val="en-US"/>
        </w:rPr>
        <w:softHyphen/>
        <w:t>airs</w:t>
      </w:r>
      <w:r>
        <w:rPr>
          <w:rStyle w:val="FootnoteReference"/>
          <w:rFonts w:ascii="Acumin Pro" w:hAnsi="Acumin Pro" w:cstheme="minorHAnsi"/>
          <w:sz w:val="24"/>
          <w:szCs w:val="24"/>
          <w:lang w:val="en-US"/>
        </w:rPr>
        <w:footnoteReference w:id="40"/>
      </w:r>
      <w:r w:rsidRPr="00B10DD5">
        <w:rPr>
          <w:rFonts w:ascii="Acumin Pro" w:hAnsi="Acumin Pro" w:cstheme="minorHAnsi"/>
          <w:sz w:val="24"/>
          <w:szCs w:val="24"/>
          <w:lang w:val="en-US"/>
        </w:rPr>
        <w:t xml:space="preserve"> and “more than 50 times” by inspections working under the</w:t>
      </w:r>
      <w:r>
        <w:rPr>
          <w:rFonts w:ascii="Acumin Pro" w:hAnsi="Acumin Pro" w:cstheme="minorHAnsi"/>
          <w:sz w:val="24"/>
          <w:szCs w:val="24"/>
          <w:lang w:val="en-US"/>
        </w:rPr>
        <w:t xml:space="preserve"> </w:t>
      </w:r>
      <w:r w:rsidRPr="00D16CD6">
        <w:rPr>
          <w:rFonts w:ascii="Acumin Pro" w:hAnsi="Acumin Pro" w:cstheme="minorHAnsi"/>
          <w:sz w:val="24"/>
          <w:szCs w:val="24"/>
          <w:lang w:val="en-US"/>
        </w:rPr>
        <w:t>jurisdiction of the Ministry of Construction, Transportation and Infrastructure.</w:t>
      </w:r>
      <w:r>
        <w:rPr>
          <w:rStyle w:val="FootnoteReference"/>
          <w:rFonts w:ascii="Acumin Pro" w:hAnsi="Acumin Pro" w:cstheme="minorHAnsi"/>
          <w:sz w:val="24"/>
          <w:szCs w:val="24"/>
          <w:lang w:val="en-US"/>
        </w:rPr>
        <w:footnoteReference w:id="41"/>
      </w:r>
      <w:r w:rsidRPr="00D16CD6">
        <w:rPr>
          <w:rFonts w:ascii="Acumin Pro" w:hAnsi="Acumin Pro" w:cstheme="minorHAnsi"/>
          <w:sz w:val="24"/>
          <w:szCs w:val="24"/>
          <w:lang w:val="en-US"/>
        </w:rPr>
        <w:t xml:space="preserve"> However, </w:t>
      </w:r>
      <w:r>
        <w:rPr>
          <w:rFonts w:ascii="Acumin Pro" w:hAnsi="Acumin Pro" w:cstheme="minorHAnsi"/>
          <w:sz w:val="24"/>
          <w:szCs w:val="24"/>
          <w:lang w:val="en-US"/>
        </w:rPr>
        <w:t>not all</w:t>
      </w:r>
      <w:r w:rsidRPr="00D16CD6">
        <w:rPr>
          <w:rFonts w:ascii="Acumin Pro" w:hAnsi="Acumin Pro" w:cstheme="minorHAnsi"/>
          <w:sz w:val="24"/>
          <w:szCs w:val="24"/>
          <w:lang w:val="en-US"/>
        </w:rPr>
        <w:t xml:space="preserve"> the reports from these inspections were made public, even after the access to information of public importance were submitted to </w:t>
      </w:r>
      <w:r>
        <w:rPr>
          <w:rFonts w:ascii="Acumin Pro" w:hAnsi="Acumin Pro" w:cstheme="minorHAnsi"/>
          <w:sz w:val="24"/>
          <w:szCs w:val="24"/>
          <w:lang w:val="en-US"/>
        </w:rPr>
        <w:t>these ministries.</w:t>
      </w:r>
      <w:r>
        <w:rPr>
          <w:rStyle w:val="FootnoteReference"/>
          <w:rFonts w:ascii="Acumin Pro" w:hAnsi="Acumin Pro" w:cstheme="minorHAnsi"/>
          <w:sz w:val="24"/>
          <w:szCs w:val="24"/>
          <w:lang w:val="en-US"/>
        </w:rPr>
        <w:footnoteReference w:id="42"/>
      </w:r>
      <w:r>
        <w:rPr>
          <w:rFonts w:ascii="Acumin Pro" w:hAnsi="Acumin Pro" w:cstheme="minorHAnsi"/>
          <w:sz w:val="24"/>
          <w:szCs w:val="24"/>
          <w:lang w:val="en-US"/>
        </w:rPr>
        <w:t xml:space="preserve"> </w:t>
      </w:r>
    </w:p>
    <w:p w14:paraId="78D066F4"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376BE6">
        <w:rPr>
          <w:rFonts w:ascii="Acumin Pro" w:hAnsi="Acumin Pro" w:cstheme="minorHAnsi"/>
          <w:sz w:val="24"/>
          <w:szCs w:val="24"/>
          <w:lang w:val="en-US"/>
        </w:rPr>
        <w:t>In December 2021, the A 11 Initiative filed criminal charges against the responsible persons at legal entities related to the engagement and work of 400 Vietnamese workers, based on the collected evidence of human trafficking and labor exploitation</w:t>
      </w:r>
      <w:r>
        <w:rPr>
          <w:rFonts w:ascii="Acumin Pro" w:hAnsi="Acumin Pro" w:cstheme="minorHAnsi"/>
          <w:sz w:val="24"/>
          <w:szCs w:val="24"/>
          <w:lang w:val="en-US"/>
        </w:rPr>
        <w:t xml:space="preserve">, but there was no investigation or follow-up on these communications. Also, </w:t>
      </w:r>
      <w:r w:rsidRPr="00376BE6">
        <w:rPr>
          <w:rFonts w:ascii="Acumin Pro" w:hAnsi="Acumin Pro" w:cstheme="minorHAnsi"/>
          <w:b/>
          <w:bCs/>
          <w:sz w:val="24"/>
          <w:szCs w:val="24"/>
          <w:lang w:val="en-US"/>
        </w:rPr>
        <w:t>even though the Protector of Citizens announced it will publish the report once their investigation is over, this never happened</w:t>
      </w:r>
      <w:r>
        <w:rPr>
          <w:rFonts w:ascii="Acumin Pro" w:hAnsi="Acumin Pro" w:cstheme="minorHAnsi"/>
          <w:sz w:val="24"/>
          <w:szCs w:val="24"/>
          <w:lang w:val="en-US"/>
        </w:rPr>
        <w:t xml:space="preserve">. </w:t>
      </w:r>
    </w:p>
    <w:p w14:paraId="6E0AA6A2"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sidRPr="00376BE6">
        <w:rPr>
          <w:rFonts w:ascii="Acumin Pro" w:hAnsi="Acumin Pro" w:cstheme="minorHAnsi"/>
          <w:sz w:val="24"/>
          <w:szCs w:val="24"/>
          <w:lang w:val="en-US"/>
        </w:rPr>
        <w:t xml:space="preserve">In January 2022, the Mandates of the </w:t>
      </w:r>
      <w:bookmarkStart w:id="8" w:name="_Hlk123665697"/>
      <w:bookmarkStart w:id="9" w:name="_Hlk123667707"/>
      <w:r w:rsidRPr="00376BE6">
        <w:rPr>
          <w:rFonts w:ascii="Acumin Pro" w:hAnsi="Acumin Pro" w:cstheme="minorHAnsi"/>
          <w:b/>
          <w:bCs/>
          <w:sz w:val="24"/>
          <w:szCs w:val="24"/>
          <w:lang w:val="en-US"/>
        </w:rPr>
        <w:t xml:space="preserve">Special Rapporteur on trafficking in persons, especially women and children; the Working Group on the issue of human rights and transnational corporations and other business enterprises; the Special Rapporteur on the human rights of migrants; and the Special Rapporteur on contemporary forms of slavery, including its causes and consequences addressed </w:t>
      </w:r>
      <w:bookmarkEnd w:id="9"/>
      <w:r w:rsidRPr="00376BE6">
        <w:rPr>
          <w:rFonts w:ascii="Acumin Pro" w:hAnsi="Acumin Pro" w:cstheme="minorHAnsi"/>
          <w:b/>
          <w:bCs/>
          <w:sz w:val="24"/>
          <w:szCs w:val="24"/>
          <w:lang w:val="en-US"/>
        </w:rPr>
        <w:t>the Government of Serbia</w:t>
      </w:r>
      <w:bookmarkEnd w:id="8"/>
      <w:r>
        <w:rPr>
          <w:rStyle w:val="FootnoteReference"/>
          <w:rFonts w:ascii="Acumin Pro" w:hAnsi="Acumin Pro" w:cstheme="minorHAnsi"/>
          <w:b/>
          <w:bCs/>
          <w:sz w:val="24"/>
          <w:szCs w:val="24"/>
          <w:lang w:val="en-US"/>
        </w:rPr>
        <w:footnoteReference w:id="43"/>
      </w:r>
      <w:r w:rsidRPr="00376BE6">
        <w:rPr>
          <w:rFonts w:ascii="Acumin Pro" w:hAnsi="Acumin Pro" w:cstheme="minorHAnsi"/>
          <w:sz w:val="24"/>
          <w:szCs w:val="24"/>
          <w:lang w:val="en-US"/>
        </w:rPr>
        <w:t xml:space="preserve">, together with the Government of the People's Republic of China, the Government of Socialist Republic of Vietnam, and the companies involved in this case, </w:t>
      </w:r>
      <w:r w:rsidRPr="00376BE6">
        <w:rPr>
          <w:rFonts w:ascii="Acumin Pro" w:hAnsi="Acumin Pro" w:cstheme="minorHAnsi"/>
          <w:b/>
          <w:bCs/>
          <w:sz w:val="24"/>
          <w:szCs w:val="24"/>
          <w:lang w:val="en-US"/>
        </w:rPr>
        <w:t>but the Government of Serbia failed to reply to this communication</w:t>
      </w:r>
      <w:r w:rsidRPr="00376BE6">
        <w:rPr>
          <w:rFonts w:ascii="Acumin Pro" w:hAnsi="Acumin Pro" w:cstheme="minorHAnsi"/>
          <w:sz w:val="24"/>
          <w:szCs w:val="24"/>
          <w:lang w:val="en-US"/>
        </w:rPr>
        <w:t xml:space="preserve">. Also, </w:t>
      </w:r>
      <w:r w:rsidRPr="00376BE6">
        <w:rPr>
          <w:rFonts w:ascii="Acumin Pro" w:hAnsi="Acumin Pro" w:cstheme="minorHAnsi"/>
          <w:b/>
          <w:bCs/>
          <w:sz w:val="24"/>
          <w:szCs w:val="24"/>
          <w:lang w:val="en-US"/>
        </w:rPr>
        <w:t xml:space="preserve">Committee on Economic, Social and Cultural Rights expressed its concern with the narrow scope of labor inspections carried out by the Labor Inspectorate, which has led to situations such as the case of workers at the </w:t>
      </w:r>
      <w:proofErr w:type="spellStart"/>
      <w:r w:rsidRPr="00376BE6">
        <w:rPr>
          <w:rFonts w:ascii="Acumin Pro" w:hAnsi="Acumin Pro" w:cstheme="minorHAnsi"/>
          <w:b/>
          <w:bCs/>
          <w:sz w:val="24"/>
          <w:szCs w:val="24"/>
          <w:lang w:val="en-US"/>
        </w:rPr>
        <w:t>Linglong</w:t>
      </w:r>
      <w:proofErr w:type="spellEnd"/>
      <w:r w:rsidRPr="00376BE6">
        <w:rPr>
          <w:rFonts w:ascii="Acumin Pro" w:hAnsi="Acumin Pro" w:cstheme="minorHAnsi"/>
          <w:b/>
          <w:bCs/>
          <w:sz w:val="24"/>
          <w:szCs w:val="24"/>
          <w:lang w:val="en-US"/>
        </w:rPr>
        <w:t xml:space="preserve"> T</w:t>
      </w:r>
      <w:r>
        <w:rPr>
          <w:rFonts w:ascii="Acumin Pro" w:hAnsi="Acumin Pro" w:cstheme="minorHAnsi"/>
          <w:b/>
          <w:bCs/>
          <w:sz w:val="24"/>
          <w:szCs w:val="24"/>
          <w:lang w:val="en-US"/>
        </w:rPr>
        <w:t>i</w:t>
      </w:r>
      <w:r w:rsidRPr="00376BE6">
        <w:rPr>
          <w:rFonts w:ascii="Acumin Pro" w:hAnsi="Acumin Pro" w:cstheme="minorHAnsi"/>
          <w:b/>
          <w:bCs/>
          <w:sz w:val="24"/>
          <w:szCs w:val="24"/>
          <w:lang w:val="en-US"/>
        </w:rPr>
        <w:t>re factory</w:t>
      </w:r>
      <w:r w:rsidRPr="00376BE6">
        <w:rPr>
          <w:rFonts w:ascii="Acumin Pro" w:hAnsi="Acumin Pro" w:cstheme="minorHAnsi"/>
          <w:sz w:val="24"/>
          <w:szCs w:val="24"/>
          <w:lang w:val="en-US"/>
        </w:rPr>
        <w:t xml:space="preserve"> and recommended the State to expand the scope of labor inspections, strengthen the capacity and powers of the Labor Inspectorate and improve the quality of labor inspections. </w:t>
      </w:r>
      <w:r>
        <w:rPr>
          <w:rFonts w:ascii="Acumin Pro" w:hAnsi="Acumin Pro" w:cstheme="minorHAnsi"/>
          <w:sz w:val="24"/>
          <w:szCs w:val="24"/>
          <w:lang w:val="en-US"/>
        </w:rPr>
        <w:t>The Committee</w:t>
      </w:r>
      <w:r w:rsidRPr="00376BE6">
        <w:rPr>
          <w:rFonts w:ascii="Acumin Pro" w:hAnsi="Acumin Pro" w:cstheme="minorHAnsi"/>
          <w:sz w:val="24"/>
          <w:szCs w:val="24"/>
          <w:lang w:val="en-US"/>
        </w:rPr>
        <w:t xml:space="preserve"> also recommend</w:t>
      </w:r>
      <w:r>
        <w:rPr>
          <w:rFonts w:ascii="Acumin Pro" w:hAnsi="Acumin Pro" w:cstheme="minorHAnsi"/>
          <w:sz w:val="24"/>
          <w:szCs w:val="24"/>
          <w:lang w:val="en-US"/>
        </w:rPr>
        <w:t>ed</w:t>
      </w:r>
      <w:r w:rsidRPr="00376BE6">
        <w:rPr>
          <w:rFonts w:ascii="Acumin Pro" w:hAnsi="Acumin Pro" w:cstheme="minorHAnsi"/>
          <w:sz w:val="24"/>
          <w:szCs w:val="24"/>
          <w:lang w:val="en-US"/>
        </w:rPr>
        <w:t xml:space="preserve"> the State party </w:t>
      </w:r>
      <w:r>
        <w:rPr>
          <w:rFonts w:ascii="Acumin Pro" w:hAnsi="Acumin Pro" w:cstheme="minorHAnsi"/>
          <w:sz w:val="24"/>
          <w:szCs w:val="24"/>
          <w:lang w:val="en-US"/>
        </w:rPr>
        <w:t xml:space="preserve">to </w:t>
      </w:r>
      <w:r w:rsidRPr="00376BE6">
        <w:rPr>
          <w:rFonts w:ascii="Acumin Pro" w:hAnsi="Acumin Pro" w:cstheme="minorHAnsi"/>
          <w:sz w:val="24"/>
          <w:szCs w:val="24"/>
          <w:lang w:val="en-US"/>
        </w:rPr>
        <w:t>provide sufficient financial and human resources to the Labor Inspectorate and specialized training for labor inspectors.</w:t>
      </w:r>
      <w:r>
        <w:rPr>
          <w:rStyle w:val="FootnoteReference"/>
          <w:rFonts w:ascii="Acumin Pro" w:hAnsi="Acumin Pro" w:cstheme="minorHAnsi"/>
          <w:sz w:val="24"/>
          <w:szCs w:val="24"/>
          <w:lang w:val="en-US"/>
        </w:rPr>
        <w:footnoteReference w:id="44"/>
      </w:r>
    </w:p>
    <w:p w14:paraId="29A788C4" w14:textId="77777777" w:rsidR="0096459C" w:rsidRDefault="0096459C" w:rsidP="0096459C">
      <w:pPr>
        <w:pStyle w:val="ListParagraph"/>
        <w:numPr>
          <w:ilvl w:val="0"/>
          <w:numId w:val="6"/>
        </w:numPr>
        <w:tabs>
          <w:tab w:val="left" w:pos="0"/>
        </w:tabs>
        <w:spacing w:before="0" w:after="0" w:line="240" w:lineRule="auto"/>
        <w:ind w:left="0" w:hanging="426"/>
        <w:jc w:val="both"/>
        <w:rPr>
          <w:rFonts w:ascii="Acumin Pro" w:hAnsi="Acumin Pro" w:cstheme="minorHAnsi"/>
          <w:sz w:val="24"/>
          <w:szCs w:val="24"/>
          <w:lang w:val="en-US"/>
        </w:rPr>
      </w:pPr>
      <w:r>
        <w:rPr>
          <w:rFonts w:ascii="Acumin Pro" w:hAnsi="Acumin Pro" w:cstheme="minorHAnsi"/>
          <w:sz w:val="24"/>
          <w:szCs w:val="24"/>
          <w:lang w:val="en-US"/>
        </w:rPr>
        <w:t xml:space="preserve">Having all this in mind, the A 11 – Initiative for Economic and Social Rights kindly asks the Committee to ask the Republic of Serbia the following: </w:t>
      </w:r>
    </w:p>
    <w:p w14:paraId="1B36A10B" w14:textId="77777777" w:rsidR="0096459C" w:rsidRDefault="0096459C" w:rsidP="0096459C">
      <w:pPr>
        <w:pStyle w:val="ListParagraph"/>
        <w:numPr>
          <w:ilvl w:val="1"/>
          <w:numId w:val="6"/>
        </w:numPr>
        <w:tabs>
          <w:tab w:val="left" w:pos="0"/>
        </w:tabs>
        <w:spacing w:before="0" w:after="0" w:line="240" w:lineRule="auto"/>
        <w:jc w:val="both"/>
        <w:rPr>
          <w:rFonts w:ascii="Acumin Pro" w:hAnsi="Acumin Pro" w:cstheme="minorHAnsi"/>
          <w:sz w:val="24"/>
          <w:szCs w:val="24"/>
          <w:lang w:val="en-US"/>
        </w:rPr>
      </w:pPr>
      <w:r>
        <w:rPr>
          <w:rFonts w:ascii="Acumin Pro" w:hAnsi="Acumin Pro" w:cstheme="minorHAnsi"/>
          <w:sz w:val="24"/>
          <w:szCs w:val="24"/>
          <w:lang w:val="en-US"/>
        </w:rPr>
        <w:t xml:space="preserve">What measures were taken in order to investigate the situation happening at the </w:t>
      </w:r>
      <w:proofErr w:type="spellStart"/>
      <w:r>
        <w:rPr>
          <w:rFonts w:ascii="Acumin Pro" w:hAnsi="Acumin Pro" w:cstheme="minorHAnsi"/>
          <w:sz w:val="24"/>
          <w:szCs w:val="24"/>
          <w:lang w:val="en-US"/>
        </w:rPr>
        <w:t>Linglong</w:t>
      </w:r>
      <w:proofErr w:type="spellEnd"/>
      <w:r>
        <w:rPr>
          <w:rFonts w:ascii="Acumin Pro" w:hAnsi="Acumin Pro" w:cstheme="minorHAnsi"/>
          <w:sz w:val="24"/>
          <w:szCs w:val="24"/>
          <w:lang w:val="en-US"/>
        </w:rPr>
        <w:t xml:space="preserve"> Tire factory in </w:t>
      </w:r>
      <w:proofErr w:type="spellStart"/>
      <w:r>
        <w:rPr>
          <w:rFonts w:ascii="Acumin Pro" w:hAnsi="Acumin Pro" w:cstheme="minorHAnsi"/>
          <w:sz w:val="24"/>
          <w:szCs w:val="24"/>
          <w:lang w:val="en-US"/>
        </w:rPr>
        <w:t>Zrenjanin</w:t>
      </w:r>
      <w:proofErr w:type="spellEnd"/>
      <w:r>
        <w:rPr>
          <w:rFonts w:ascii="Acumin Pro" w:hAnsi="Acumin Pro" w:cstheme="minorHAnsi"/>
          <w:sz w:val="24"/>
          <w:szCs w:val="24"/>
          <w:lang w:val="en-US"/>
        </w:rPr>
        <w:t xml:space="preserve">, Serbia involving concerns about the labor </w:t>
      </w:r>
      <w:r>
        <w:rPr>
          <w:rFonts w:ascii="Acumin Pro" w:hAnsi="Acumin Pro" w:cstheme="minorHAnsi"/>
          <w:sz w:val="24"/>
          <w:szCs w:val="24"/>
          <w:lang w:val="en-US"/>
        </w:rPr>
        <w:lastRenderedPageBreak/>
        <w:t xml:space="preserve">exploitation and human trafficking of more than 400 Vietnamese workers hired at the construction site of this factory. </w:t>
      </w:r>
    </w:p>
    <w:p w14:paraId="19CCF4AC" w14:textId="77777777" w:rsidR="0096459C" w:rsidRDefault="0096459C" w:rsidP="0096459C">
      <w:pPr>
        <w:pStyle w:val="ListParagraph"/>
        <w:numPr>
          <w:ilvl w:val="1"/>
          <w:numId w:val="6"/>
        </w:numPr>
        <w:tabs>
          <w:tab w:val="left" w:pos="0"/>
        </w:tabs>
        <w:spacing w:before="0" w:after="0" w:line="240" w:lineRule="auto"/>
        <w:jc w:val="both"/>
        <w:rPr>
          <w:rFonts w:ascii="Acumin Pro" w:hAnsi="Acumin Pro" w:cstheme="minorHAnsi"/>
          <w:sz w:val="24"/>
          <w:szCs w:val="24"/>
          <w:lang w:val="en-US"/>
        </w:rPr>
      </w:pPr>
      <w:r>
        <w:rPr>
          <w:rFonts w:ascii="Acumin Pro" w:hAnsi="Acumin Pro" w:cstheme="minorHAnsi"/>
          <w:sz w:val="24"/>
          <w:szCs w:val="24"/>
          <w:lang w:val="en-US"/>
        </w:rPr>
        <w:t xml:space="preserve">When does the State party intends to respond to the communication from the letter of the mandates of the </w:t>
      </w:r>
      <w:r w:rsidRPr="00E21342">
        <w:rPr>
          <w:rFonts w:ascii="Acumin Pro" w:hAnsi="Acumin Pro" w:cstheme="minorHAnsi"/>
          <w:sz w:val="24"/>
          <w:szCs w:val="24"/>
          <w:lang w:val="en-US"/>
        </w:rPr>
        <w:t>Special Rapporteur on trafficking in persons, especially women and children; the Working Group on the issue of human rights and transnational corporations and other business enterprises; the Special Rapporteur on the human rights of migrants; and the Special Rapporteur on contemporary forms of slavery, including its causes and consequences addressed</w:t>
      </w:r>
      <w:r>
        <w:rPr>
          <w:rFonts w:ascii="Acumin Pro" w:hAnsi="Acumin Pro" w:cstheme="minorHAnsi"/>
          <w:sz w:val="24"/>
          <w:szCs w:val="24"/>
          <w:lang w:val="en-US"/>
        </w:rPr>
        <w:t xml:space="preserve"> form January 2022. </w:t>
      </w:r>
    </w:p>
    <w:p w14:paraId="66D31D82" w14:textId="77777777" w:rsidR="0096459C" w:rsidRDefault="0096459C" w:rsidP="0096459C">
      <w:pPr>
        <w:pStyle w:val="ListParagraph"/>
        <w:numPr>
          <w:ilvl w:val="1"/>
          <w:numId w:val="6"/>
        </w:numPr>
        <w:tabs>
          <w:tab w:val="left" w:pos="0"/>
        </w:tabs>
        <w:spacing w:before="0" w:after="0" w:line="240" w:lineRule="auto"/>
        <w:jc w:val="both"/>
        <w:rPr>
          <w:rFonts w:ascii="Acumin Pro" w:hAnsi="Acumin Pro" w:cstheme="minorHAnsi"/>
          <w:sz w:val="24"/>
          <w:szCs w:val="24"/>
          <w:lang w:val="en-US"/>
        </w:rPr>
      </w:pPr>
      <w:r>
        <w:rPr>
          <w:rFonts w:ascii="Acumin Pro" w:hAnsi="Acumin Pro" w:cstheme="minorHAnsi"/>
          <w:sz w:val="24"/>
          <w:szCs w:val="24"/>
          <w:lang w:val="en-US"/>
        </w:rPr>
        <w:t xml:space="preserve">What measures were introduced in order to prevent such situation from happening in future. </w:t>
      </w:r>
    </w:p>
    <w:p w14:paraId="75C549F1" w14:textId="77777777" w:rsidR="0096459C" w:rsidRPr="0096459C" w:rsidRDefault="0096459C" w:rsidP="0096459C">
      <w:pPr>
        <w:ind w:right="-426"/>
        <w:jc w:val="both"/>
        <w:rPr>
          <w:rFonts w:ascii="Acumin Pro" w:hAnsi="Acumin Pro" w:cstheme="minorHAnsi"/>
          <w:sz w:val="24"/>
          <w:szCs w:val="24"/>
          <w:lang w:val="en-US"/>
        </w:rPr>
      </w:pPr>
    </w:p>
    <w:p w14:paraId="17A4BE56" w14:textId="77777777" w:rsidR="00CC6962" w:rsidRPr="0061672B" w:rsidRDefault="00CC6962" w:rsidP="00C33C45">
      <w:pPr>
        <w:ind w:right="-426"/>
        <w:jc w:val="both"/>
        <w:rPr>
          <w:rFonts w:ascii="Acumin Pro" w:hAnsi="Acumin Pro" w:cstheme="minorHAnsi"/>
          <w:sz w:val="24"/>
          <w:szCs w:val="24"/>
          <w:lang w:val="en-US"/>
        </w:rPr>
      </w:pPr>
    </w:p>
    <w:sectPr w:rsidR="00CC6962" w:rsidRPr="0061672B" w:rsidSect="004B4D21">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67035" w14:textId="77777777" w:rsidR="00A548B7" w:rsidRDefault="00A548B7" w:rsidP="00322F17">
      <w:pPr>
        <w:spacing w:after="0" w:line="240" w:lineRule="auto"/>
      </w:pPr>
      <w:r>
        <w:separator/>
      </w:r>
    </w:p>
  </w:endnote>
  <w:endnote w:type="continuationSeparator" w:id="0">
    <w:p w14:paraId="7D756D9F" w14:textId="77777777" w:rsidR="00A548B7" w:rsidRDefault="00A548B7" w:rsidP="00322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eue Machina Ultrabold">
    <w:panose1 w:val="00000900000000000000"/>
    <w:charset w:val="00"/>
    <w:family w:val="modern"/>
    <w:notTrueType/>
    <w:pitch w:val="variable"/>
    <w:sig w:usb0="00000207" w:usb1="00000000" w:usb2="00000000" w:usb3="00000000" w:csb0="00000097" w:csb1="00000000"/>
  </w:font>
  <w:font w:name="Acumin Pro">
    <w:panose1 w:val="020B0504020202020204"/>
    <w:charset w:val="00"/>
    <w:family w:val="swiss"/>
    <w:notTrueType/>
    <w:pitch w:val="variable"/>
    <w:sig w:usb0="20000007" w:usb1="00000001" w:usb2="00000000" w:usb3="00000000" w:csb0="00000193" w:csb1="00000000"/>
  </w:font>
  <w:font w:name="Arial">
    <w:panose1 w:val="020B0604020202020204"/>
    <w:charset w:val="CC"/>
    <w:family w:val="swiss"/>
    <w:pitch w:val="variable"/>
    <w:sig w:usb0="E0002EFF" w:usb1="0000785B" w:usb2="00000001" w:usb3="00000000" w:csb0="000001FF" w:csb1="00000000"/>
  </w:font>
  <w:font w:name="Acumin Pro Light">
    <w:altName w:val="Calibri"/>
    <w:panose1 w:val="020B0404020202020204"/>
    <w:charset w:val="00"/>
    <w:family w:val="swiss"/>
    <w:notTrueType/>
    <w:pitch w:val="variable"/>
    <w:sig w:usb0="20000007" w:usb1="00000001"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64736"/>
      <w:docPartObj>
        <w:docPartGallery w:val="Page Numbers (Bottom of Page)"/>
        <w:docPartUnique/>
      </w:docPartObj>
    </w:sdtPr>
    <w:sdtEndPr>
      <w:rPr>
        <w:noProof/>
      </w:rPr>
    </w:sdtEndPr>
    <w:sdtContent>
      <w:p w14:paraId="530192D7" w14:textId="69B4EBD3" w:rsidR="004B4D21" w:rsidRDefault="004B4D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BC5FA" w14:textId="77777777" w:rsidR="004B4D21" w:rsidRDefault="004B4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F8C4D" w14:textId="77777777" w:rsidR="00A548B7" w:rsidRDefault="00A548B7" w:rsidP="00322F17">
      <w:pPr>
        <w:spacing w:after="0" w:line="240" w:lineRule="auto"/>
      </w:pPr>
      <w:r>
        <w:separator/>
      </w:r>
    </w:p>
  </w:footnote>
  <w:footnote w:type="continuationSeparator" w:id="0">
    <w:p w14:paraId="04B4D3E1" w14:textId="77777777" w:rsidR="00A548B7" w:rsidRDefault="00A548B7" w:rsidP="00322F17">
      <w:pPr>
        <w:spacing w:after="0" w:line="240" w:lineRule="auto"/>
      </w:pPr>
      <w:r>
        <w:continuationSeparator/>
      </w:r>
    </w:p>
  </w:footnote>
  <w:footnote w:id="1">
    <w:p w14:paraId="6DB3747D" w14:textId="6DFD9366" w:rsidR="009F0BF1" w:rsidRPr="00E21342" w:rsidRDefault="009F0BF1">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r w:rsidR="00B01C45" w:rsidRPr="00E21342">
        <w:rPr>
          <w:rStyle w:val="FootnoteReference"/>
          <w:rFonts w:ascii="Acumin Pro Light" w:hAnsi="Acumin Pro Light"/>
          <w:sz w:val="18"/>
          <w:szCs w:val="18"/>
          <w:vertAlign w:val="baseline"/>
        </w:rPr>
        <w:t xml:space="preserve">Law on Amendments to the LFSFC, Official Gazette of the RS, No. </w:t>
      </w:r>
      <w:r w:rsidR="003C62FB" w:rsidRPr="00E21342">
        <w:rPr>
          <w:rStyle w:val="FootnoteReference"/>
          <w:rFonts w:ascii="Acumin Pro Light" w:hAnsi="Acumin Pro Light"/>
          <w:sz w:val="18"/>
          <w:szCs w:val="18"/>
          <w:vertAlign w:val="baseline"/>
        </w:rPr>
        <w:t xml:space="preserve">50/2018 </w:t>
      </w:r>
      <w:r w:rsidR="00F424EA" w:rsidRPr="00E21342">
        <w:rPr>
          <w:rStyle w:val="FootnoteReference"/>
          <w:rFonts w:ascii="Acumin Pro Light" w:hAnsi="Acumin Pro Light"/>
          <w:sz w:val="18"/>
          <w:szCs w:val="18"/>
          <w:vertAlign w:val="baseline"/>
        </w:rPr>
        <w:t>of 29 August 2018.</w:t>
      </w:r>
    </w:p>
  </w:footnote>
  <w:footnote w:id="2">
    <w:p w14:paraId="06EAD708" w14:textId="1DBAD892" w:rsidR="00FB6503" w:rsidRPr="00E21342" w:rsidRDefault="00FB6503">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r w:rsidR="00B01C45" w:rsidRPr="00E21342">
        <w:rPr>
          <w:rStyle w:val="FootnoteReference"/>
          <w:rFonts w:ascii="Acumin Pro Light" w:hAnsi="Acumin Pro Light"/>
          <w:sz w:val="18"/>
          <w:szCs w:val="18"/>
          <w:vertAlign w:val="baseline"/>
        </w:rPr>
        <w:t>Law on Amendments to the LFSFC, Official Gazette of the RS, No. 66/2021 of 30 June 2021 and 130/2021 of 29 December 2021.</w:t>
      </w:r>
    </w:p>
  </w:footnote>
  <w:footnote w:id="3">
    <w:p w14:paraId="0955E843" w14:textId="3A421A08" w:rsidR="00897D3E" w:rsidRPr="00E21342" w:rsidRDefault="00897D3E" w:rsidP="00897D3E">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UNDP, Roma at glance, Serbia, available at:</w:t>
      </w:r>
      <w:r w:rsidR="0096459C">
        <w:rPr>
          <w:rStyle w:val="FootnoteReference"/>
          <w:rFonts w:ascii="Acumin Pro Light" w:hAnsi="Acumin Pro Light"/>
          <w:sz w:val="18"/>
          <w:szCs w:val="18"/>
          <w:vertAlign w:val="baseline"/>
        </w:rPr>
        <w:t xml:space="preserve"> </w:t>
      </w:r>
      <w:hyperlink r:id="rId1" w:history="1">
        <w:r w:rsidR="0096459C" w:rsidRPr="001C70EB">
          <w:rPr>
            <w:rStyle w:val="Hyperlink"/>
            <w:rFonts w:ascii="Acumin Pro Light" w:hAnsi="Acumin Pro Light"/>
            <w:sz w:val="18"/>
            <w:szCs w:val="18"/>
          </w:rPr>
          <w:t>https://www.eurasia.undp.org/content/dam/rbec/docs/Factsheet_SERBIA_Roma.pdf</w:t>
        </w:r>
      </w:hyperlink>
      <w:r w:rsidRPr="00E21342">
        <w:rPr>
          <w:rStyle w:val="FootnoteReference"/>
          <w:rFonts w:ascii="Acumin Pro Light" w:hAnsi="Acumin Pro Light"/>
          <w:sz w:val="18"/>
          <w:szCs w:val="18"/>
          <w:vertAlign w:val="baseline"/>
        </w:rPr>
        <w:t>, page 2.</w:t>
      </w:r>
    </w:p>
  </w:footnote>
  <w:footnote w:id="4">
    <w:p w14:paraId="3FBC00B9" w14:textId="77777777" w:rsidR="00897D3E" w:rsidRPr="00E21342" w:rsidRDefault="00897D3E" w:rsidP="00897D3E">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Ibid.</w:t>
      </w:r>
    </w:p>
  </w:footnote>
  <w:footnote w:id="5">
    <w:p w14:paraId="2A747D65" w14:textId="2B5134D2" w:rsidR="00897D3E" w:rsidRPr="00E21342" w:rsidRDefault="00897D3E" w:rsidP="00897D3E">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UNICEF and Statistical Office of the Republic of Serbia, Serbia, Multiply Indicator Cluster Survey 2019 and Serbia Roma Settlements Multiple Indicator Cluster Survey 2019, Survey findings report, Belgrade, October 2020, xvii; hereinafter: MICS 2019, available at: </w:t>
      </w:r>
      <w:hyperlink r:id="rId2" w:history="1">
        <w:r w:rsidR="0096459C" w:rsidRPr="001C70EB">
          <w:rPr>
            <w:rStyle w:val="Hyperlink"/>
            <w:rFonts w:ascii="Acumin Pro Light" w:hAnsi="Acumin Pro Light"/>
            <w:sz w:val="18"/>
            <w:szCs w:val="18"/>
          </w:rPr>
          <w:t>https://www.unicef.org/serbia/media/16726/file/MICS%206%20Multiple%20Indicator%20Cluster%20Survey%20for%202019.pdf</w:t>
        </w:r>
      </w:hyperlink>
      <w:r w:rsidR="0096459C">
        <w:rPr>
          <w:rFonts w:ascii="Acumin Pro Light" w:hAnsi="Acumin Pro Light"/>
          <w:sz w:val="18"/>
          <w:szCs w:val="18"/>
        </w:rPr>
        <w:t xml:space="preserve"> </w:t>
      </w:r>
    </w:p>
  </w:footnote>
  <w:footnote w:id="6">
    <w:p w14:paraId="51FB4A68" w14:textId="14AB801E" w:rsidR="00897D3E" w:rsidRPr="00E21342" w:rsidRDefault="00897D3E" w:rsidP="00897D3E">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bookmarkStart w:id="0" w:name="_Hlk101255104"/>
      <w:r w:rsidRPr="00E21342">
        <w:rPr>
          <w:rStyle w:val="FootnoteReference"/>
          <w:rFonts w:ascii="Acumin Pro Light" w:hAnsi="Acumin Pro Light"/>
          <w:sz w:val="18"/>
          <w:szCs w:val="18"/>
          <w:vertAlign w:val="baseline"/>
        </w:rPr>
        <w:t>Serbia Multiple Indicator Cluster Survey 2019 and Serbia Roma Settlements Multiple Indicator Cluster Survey 2019, Statistical Snapshoot</w:t>
      </w:r>
      <w:bookmarkEnd w:id="0"/>
      <w:r w:rsidRPr="00E21342">
        <w:rPr>
          <w:rStyle w:val="FootnoteReference"/>
          <w:rFonts w:ascii="Acumin Pro Light" w:hAnsi="Acumin Pro Light"/>
          <w:sz w:val="18"/>
          <w:szCs w:val="18"/>
          <w:vertAlign w:val="baseline"/>
        </w:rPr>
        <w:t xml:space="preserve">, page 37, available at: </w:t>
      </w:r>
      <w:hyperlink r:id="rId3" w:history="1">
        <w:r w:rsidR="0096459C" w:rsidRPr="001C70EB">
          <w:rPr>
            <w:rStyle w:val="Hyperlink"/>
            <w:rFonts w:ascii="Acumin Pro Light" w:hAnsi="Acumin Pro Light"/>
            <w:sz w:val="18"/>
            <w:szCs w:val="18"/>
          </w:rPr>
          <w:t>https://www.unicef.org/serbia/media/16301/file/Serbia%20(National%20and%20Roma%20Settlements)%202019%20MICS%20Statistical%20Snapshots_English.pdf</w:t>
        </w:r>
      </w:hyperlink>
      <w:r w:rsidR="0096459C">
        <w:rPr>
          <w:rFonts w:ascii="Acumin Pro Light" w:hAnsi="Acumin Pro Light"/>
          <w:sz w:val="18"/>
          <w:szCs w:val="18"/>
        </w:rPr>
        <w:t xml:space="preserve"> </w:t>
      </w:r>
    </w:p>
  </w:footnote>
  <w:footnote w:id="7">
    <w:p w14:paraId="306252E5" w14:textId="77777777" w:rsidR="00897D3E" w:rsidRPr="00E21342" w:rsidRDefault="00897D3E" w:rsidP="00897D3E">
      <w:pPr>
        <w:pStyle w:val="FootnoteReferenceAltR"/>
        <w:spacing w:after="0"/>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rPr>
        <w:t>Ibid, 35.</w:t>
      </w:r>
    </w:p>
  </w:footnote>
  <w:footnote w:id="8">
    <w:p w14:paraId="4712F03C" w14:textId="77777777" w:rsidR="00897D3E" w:rsidRPr="00E21342" w:rsidRDefault="00897D3E" w:rsidP="00897D3E">
      <w:pPr>
        <w:pStyle w:val="FootnoteReferenceAltR"/>
        <w:spacing w:after="0"/>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MICS 2019, xv.</w:t>
      </w:r>
    </w:p>
  </w:footnote>
  <w:footnote w:id="9">
    <w:p w14:paraId="079E78B0" w14:textId="77777777" w:rsidR="00322F17" w:rsidRPr="00E21342" w:rsidRDefault="00322F17" w:rsidP="00322F17">
      <w:pPr>
        <w:pStyle w:val="FootnoteText"/>
        <w:jc w:val="both"/>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Report on follow-up to the concluding observations of the Human Rights Committee, page 4.</w:t>
      </w:r>
    </w:p>
  </w:footnote>
  <w:footnote w:id="10">
    <w:p w14:paraId="180D4FFC" w14:textId="77777777" w:rsidR="002C7EFD" w:rsidRPr="00E21342" w:rsidRDefault="002C7EFD" w:rsidP="002C7EFD">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Law on Amendments to the LFSFC, Official Gazette of the RS, No. 66/2021 of 30 June 2021 and 130/2021 of 29 December 2021.</w:t>
      </w:r>
    </w:p>
  </w:footnote>
  <w:footnote w:id="11">
    <w:p w14:paraId="58E78D53" w14:textId="39055FB6" w:rsidR="00322F17" w:rsidRPr="00E21342" w:rsidRDefault="00322F17" w:rsidP="00322F17">
      <w:pPr>
        <w:pStyle w:val="FootnoteText"/>
        <w:jc w:val="both"/>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bookmarkStart w:id="2" w:name="_Hlk115426260"/>
      <w:r w:rsidRPr="00E21342">
        <w:rPr>
          <w:rStyle w:val="FootnoteReference"/>
          <w:rFonts w:ascii="Acumin Pro Light" w:hAnsi="Acumin Pro Light"/>
          <w:sz w:val="18"/>
          <w:szCs w:val="18"/>
          <w:vertAlign w:val="baseline"/>
        </w:rPr>
        <w:t>CESCR, Concluding observations on the third periodic report of Serbia, 6 April2022, E/C.12/SRB/CO/3, para. 50.</w:t>
      </w:r>
      <w:bookmarkEnd w:id="2"/>
    </w:p>
  </w:footnote>
  <w:footnote w:id="12">
    <w:p w14:paraId="46258F34" w14:textId="77777777" w:rsidR="00322F17" w:rsidRPr="00E21342" w:rsidRDefault="00322F17" w:rsidP="00322F17">
      <w:pPr>
        <w:pStyle w:val="FootnoteText"/>
        <w:jc w:val="both"/>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Ibid, para. 51 (b).</w:t>
      </w:r>
    </w:p>
  </w:footnote>
  <w:footnote w:id="13">
    <w:p w14:paraId="3D250442" w14:textId="2F9EF2B8" w:rsidR="00591CCE" w:rsidRPr="00E21342" w:rsidRDefault="00591CCE" w:rsidP="00591CCE">
      <w:pPr>
        <w:pStyle w:val="FootnoteText"/>
        <w:rPr>
          <w:rStyle w:val="FootnoteReference"/>
          <w:rFonts w:ascii="Acumin Pro Light" w:hAnsi="Acumin Pro Light"/>
          <w:sz w:val="18"/>
          <w:szCs w:val="18"/>
          <w:vertAlign w:val="baseline"/>
          <w:lang w:val="sr-Latn-RS"/>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bookmarkStart w:id="3" w:name="_Hlk123324900"/>
      <w:r w:rsidR="00C71F8E" w:rsidRPr="00E21342">
        <w:rPr>
          <w:rStyle w:val="FootnoteReference"/>
          <w:rFonts w:ascii="Acumin Pro Light" w:hAnsi="Acumin Pro Light"/>
          <w:sz w:val="18"/>
          <w:szCs w:val="18"/>
          <w:vertAlign w:val="baseline"/>
        </w:rPr>
        <w:t>Human Rights Committee, General Comment No. 18, Non-discrimination (1989)</w:t>
      </w:r>
      <w:bookmarkEnd w:id="3"/>
      <w:r w:rsidR="00FA39F7"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lang w:val="sr-Latn-RS"/>
        </w:rPr>
        <w:t>F.H. Zwaan-de Vries vs. the Netherland, appeal no. 182/1984, para</w:t>
      </w:r>
      <w:r w:rsidR="00C71F8E" w:rsidRPr="00E21342">
        <w:rPr>
          <w:rStyle w:val="FootnoteReference"/>
          <w:rFonts w:ascii="Acumin Pro Light" w:hAnsi="Acumin Pro Light"/>
          <w:sz w:val="18"/>
          <w:szCs w:val="18"/>
          <w:vertAlign w:val="baseline"/>
        </w:rPr>
        <w:t>.</w:t>
      </w:r>
      <w:r w:rsidRPr="00E21342">
        <w:rPr>
          <w:rStyle w:val="FootnoteReference"/>
          <w:rFonts w:ascii="Acumin Pro Light" w:hAnsi="Acumin Pro Light"/>
          <w:sz w:val="18"/>
          <w:szCs w:val="18"/>
          <w:vertAlign w:val="baseline"/>
          <w:lang w:val="sr-Latn-RS"/>
        </w:rPr>
        <w:t xml:space="preserve"> 12.1</w:t>
      </w:r>
      <w:r w:rsidRPr="00E21342">
        <w:rPr>
          <w:rStyle w:val="FootnoteReference"/>
          <w:rFonts w:ascii="Acumin Pro Light" w:hAnsi="Acumin Pro Light"/>
          <w:sz w:val="18"/>
          <w:szCs w:val="18"/>
          <w:vertAlign w:val="baseline"/>
        </w:rPr>
        <w:t xml:space="preserve">). </w:t>
      </w:r>
    </w:p>
  </w:footnote>
  <w:footnote w:id="14">
    <w:p w14:paraId="0CCFA7FC" w14:textId="6D3BBF8F" w:rsidR="009A5C21" w:rsidRPr="00E21342" w:rsidRDefault="009A5C21">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Ibid.</w:t>
      </w:r>
    </w:p>
  </w:footnote>
  <w:footnote w:id="15">
    <w:p w14:paraId="42ACDA79" w14:textId="53713C1F" w:rsidR="000533FD" w:rsidRPr="00E21342" w:rsidRDefault="000533FD">
      <w:pPr>
        <w:pStyle w:val="FootnoteText"/>
        <w:rPr>
          <w:rFonts w:ascii="Acumin Pro Light" w:hAnsi="Acumin Pro Light"/>
          <w:sz w:val="18"/>
          <w:szCs w:val="18"/>
          <w:lang w:val="sr-Latn-RS"/>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w:t>
      </w:r>
      <w:r w:rsidRPr="00E21342">
        <w:rPr>
          <w:rFonts w:ascii="Acumin Pro Light" w:hAnsi="Acumin Pro Light"/>
          <w:sz w:val="18"/>
          <w:szCs w:val="18"/>
          <w:lang w:val="sr-Latn-RS"/>
        </w:rPr>
        <w:t xml:space="preserve">Please note that the data from 2022 Census is still not fully available. </w:t>
      </w:r>
    </w:p>
  </w:footnote>
  <w:footnote w:id="16">
    <w:p w14:paraId="593BCCBB" w14:textId="5502776D" w:rsidR="00E03B84" w:rsidRPr="00E21342" w:rsidRDefault="00E03B84" w:rsidP="00E03B84">
      <w:pPr>
        <w:keepLines/>
        <w:spacing w:after="0" w:line="240" w:lineRule="auto"/>
        <w:jc w:val="both"/>
        <w:outlineLvl w:val="0"/>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rPr>
        <w:t xml:space="preserve">Article 15 of the Decree on Fiscal Benefits and Direct Benefits to Private Sector Companies and Financial Assistance to Citizens to Mitigate the Economic Consequences of COVID-19 stipulates that all adult citizens of the Republic of Serbia be paid one-time financial assistance in the amount of </w:t>
      </w:r>
      <w:r w:rsidR="0096459C"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rPr>
        <w:t>100 in dinars equivalent.</w:t>
      </w:r>
    </w:p>
  </w:footnote>
  <w:footnote w:id="17">
    <w:p w14:paraId="662A153F" w14:textId="77777777" w:rsidR="00E03B84" w:rsidRPr="00E21342" w:rsidRDefault="00E03B84" w:rsidP="00E03B84">
      <w:pPr>
        <w:spacing w:after="0" w:line="240" w:lineRule="auto"/>
        <w:jc w:val="both"/>
        <w:outlineLvl w:val="0"/>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Law on the Temporary Registry of Adult Citizens of the Republic of Serbia Eligible for Financial Assistance for Mitigating of the Consequences of the Covid-19 Pandemic Caused by the SARS-COV-2 Virus, Official Gazette of the RS, No. 40/2021 and 96/2021) stipulates that all adult citizens of the Republic of Serbia will receive financial assistance in the amount of 60 €, paid in two installments. Later amendments of this Law (Official Gazette of the RS, No. 96/2021) introduced additional financial assistance in the amount of 20 which was also available only to adult Serbian citizens with registered permanent residence and valid ID card.</w:t>
      </w:r>
    </w:p>
  </w:footnote>
  <w:footnote w:id="18">
    <w:p w14:paraId="777E00A1" w14:textId="77777777" w:rsidR="00E03B84" w:rsidRPr="00E21342" w:rsidRDefault="00E03B84" w:rsidP="00E03B84">
      <w:pPr>
        <w:spacing w:after="0" w:line="240" w:lineRule="auto"/>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For a similar conclusion see CESCR, General comment no. 20 (Non-discrimination), para. 10(b).</w:t>
      </w:r>
    </w:p>
  </w:footnote>
  <w:footnote w:id="19">
    <w:p w14:paraId="37EB0C29" w14:textId="77777777" w:rsidR="00E03B84" w:rsidRPr="00E21342" w:rsidRDefault="00E03B84" w:rsidP="00E03B84">
      <w:pPr>
        <w:spacing w:after="0" w:line="240" w:lineRule="auto"/>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CESCR, Statement on the coronavirus disease (COVID-19) pandemic and economic, social and cultural rights, 17 April 2020, para. 14.</w:t>
      </w:r>
    </w:p>
  </w:footnote>
  <w:footnote w:id="20">
    <w:p w14:paraId="4F3E5B7B" w14:textId="77777777" w:rsidR="00E03B84" w:rsidRPr="00E21342" w:rsidRDefault="00E03B84" w:rsidP="00E03B84">
      <w:pPr>
        <w:spacing w:after="0" w:line="240" w:lineRule="auto"/>
        <w:rPr>
          <w:rStyle w:val="FootnoteReference"/>
          <w:rFonts w:ascii="Acumin Pro Light" w:hAnsi="Acumin Pro Light" w:cs="Calibri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A 11 – Initiative for Economic and Social Rights, </w:t>
      </w:r>
      <w:hyperlink r:id="rId4" w:history="1">
        <w:r w:rsidRPr="00E21342">
          <w:rPr>
            <w:rStyle w:val="FootnoteReference"/>
            <w:rFonts w:ascii="Acumin Pro Light" w:hAnsi="Acumin Pro Light"/>
            <w:sz w:val="18"/>
            <w:szCs w:val="18"/>
            <w:vertAlign w:val="baseline"/>
          </w:rPr>
          <w:t>Human Rights in Serbia during the First Wave of Coronavirus: from denial of danger to state of emergency</w:t>
        </w:r>
      </w:hyperlink>
      <w:r w:rsidRPr="00E21342">
        <w:rPr>
          <w:rStyle w:val="FootnoteReference"/>
          <w:rFonts w:ascii="Acumin Pro Light" w:hAnsi="Acumin Pro Light"/>
          <w:sz w:val="18"/>
          <w:szCs w:val="18"/>
          <w:vertAlign w:val="baseline"/>
        </w:rPr>
        <w:t>, August 2020, pp. 20-21.</w:t>
      </w:r>
    </w:p>
  </w:footnote>
  <w:footnote w:id="21">
    <w:p w14:paraId="26486EAD" w14:textId="7B01D209" w:rsidR="00E03B84" w:rsidRPr="00E21342" w:rsidRDefault="00E03B84" w:rsidP="00E03B84">
      <w:pPr>
        <w:spacing w:after="0" w:line="240" w:lineRule="auto"/>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The Commissioner for the Protection of Equality, Recommendations of measures to the Ministry of Finance, No. 07-00-00353/2021, from 26 August 2021, available (in Serbian only) at:</w:t>
      </w:r>
      <w:hyperlink r:id="rId5" w:history="1">
        <w:r w:rsidRPr="00E21342">
          <w:rPr>
            <w:rStyle w:val="FootnoteReference"/>
            <w:rFonts w:ascii="Acumin Pro Light" w:hAnsi="Acumin Pro Light"/>
            <w:sz w:val="18"/>
            <w:szCs w:val="18"/>
            <w:vertAlign w:val="baseline"/>
          </w:rPr>
          <w:t xml:space="preserve"> </w:t>
        </w:r>
      </w:hyperlink>
      <w:hyperlink r:id="rId6" w:history="1">
        <w:r w:rsidR="0096459C" w:rsidRPr="001C70EB">
          <w:rPr>
            <w:rStyle w:val="Hyperlink"/>
            <w:rFonts w:ascii="Acumin Pro Light" w:hAnsi="Acumin Pro Light"/>
            <w:sz w:val="18"/>
            <w:szCs w:val="18"/>
          </w:rPr>
          <w:t>http://ravnopravnost.gov.rs/rs/preporuka-mera-ministarstvu-finansija-2/</w:t>
        </w:r>
      </w:hyperlink>
      <w:r w:rsidR="0096459C">
        <w:rPr>
          <w:rStyle w:val="FootnoteReference"/>
          <w:rFonts w:ascii="Acumin Pro Light" w:hAnsi="Acumin Pro Light"/>
          <w:sz w:val="18"/>
          <w:szCs w:val="18"/>
          <w:vertAlign w:val="baseline"/>
        </w:rPr>
        <w:t>.</w:t>
      </w:r>
      <w:r w:rsidR="0096459C">
        <w:rPr>
          <w:rFonts w:ascii="Acumin Pro Light" w:hAnsi="Acumin Pro Light"/>
          <w:sz w:val="18"/>
          <w:szCs w:val="18"/>
        </w:rPr>
        <w:t xml:space="preserve"> </w:t>
      </w:r>
    </w:p>
  </w:footnote>
  <w:footnote w:id="22">
    <w:p w14:paraId="43CAB964" w14:textId="77777777" w:rsidR="00E03B84" w:rsidRPr="00E21342" w:rsidRDefault="00E03B84" w:rsidP="00E03B84">
      <w:pPr>
        <w:spacing w:after="0" w:line="240" w:lineRule="auto"/>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w:t>
      </w:r>
      <w:r w:rsidRPr="00E21342">
        <w:rPr>
          <w:rStyle w:val="FootnoteReference"/>
          <w:rFonts w:ascii="Acumin Pro Light" w:hAnsi="Acumin Pro Light"/>
          <w:sz w:val="18"/>
          <w:szCs w:val="18"/>
          <w:vertAlign w:val="baseline"/>
        </w:rPr>
        <w:t>Law on Amendments to the Law on the Temporary Registry of Adult Citizens of the Republic of Serbia Eligible for Financial Assistance for Mitigating the Consequences of the Covid-19 Pandemic Caused by the SARS-COV-2 Virus (Official Gazette of the RS, No. 96/2021).</w:t>
      </w:r>
    </w:p>
  </w:footnote>
  <w:footnote w:id="23">
    <w:p w14:paraId="5337034D" w14:textId="77777777" w:rsidR="00E03B84" w:rsidRPr="00E21342" w:rsidRDefault="00E03B84" w:rsidP="00E03B84">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Law on the Temporary Registry of Citizens of the Republic of Serbia aged 16 to 29 Eligible for Financial Assistance for Mitigating the Consequences of the COVID-19 Pandemic caused by the SARS-CoV-2 virus (Official Gazette of the Rs, No. 3/2022 and 20/2022.</w:t>
      </w:r>
    </w:p>
  </w:footnote>
  <w:footnote w:id="24">
    <w:p w14:paraId="00866FE0" w14:textId="77777777" w:rsidR="00E03B84" w:rsidRPr="00E21342" w:rsidRDefault="00E03B84" w:rsidP="00E03B84">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CESCR, Concluding observations on the third periodic report of Serbia, E/C.12/SRB/CO/3, paras 20(b) and (c).</w:t>
      </w:r>
    </w:p>
  </w:footnote>
  <w:footnote w:id="25">
    <w:p w14:paraId="284949CB" w14:textId="039DD029" w:rsidR="00EA4DE5" w:rsidRPr="00E21342" w:rsidRDefault="00EA4DE5">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Human Rights Committee, General Comment No. 18, Non-discrimination (1989).</w:t>
      </w:r>
    </w:p>
  </w:footnote>
  <w:footnote w:id="26">
    <w:p w14:paraId="3975223B" w14:textId="45C8962A" w:rsidR="00690549" w:rsidRPr="00E21342" w:rsidRDefault="00690549">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Ibid, para. 13.</w:t>
      </w:r>
    </w:p>
  </w:footnote>
  <w:footnote w:id="27">
    <w:p w14:paraId="7CA1BD3D" w14:textId="7A2EA7D6" w:rsidR="00EF71D6" w:rsidRPr="00E21342" w:rsidRDefault="00EF71D6">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CESCR, Statement on the coronavirus disease (COVID-19) pandemic and economic, social and cultural rights, 6 April 2020, para. 14</w:t>
      </w:r>
    </w:p>
  </w:footnote>
  <w:footnote w:id="28">
    <w:p w14:paraId="0193F3E7" w14:textId="007EF0CF" w:rsidR="00807A63" w:rsidRPr="00E21342" w:rsidRDefault="00807A63">
      <w:pPr>
        <w:pStyle w:val="FootnoteText"/>
        <w:rPr>
          <w:rStyle w:val="FootnoteReference"/>
          <w:rFonts w:ascii="Acumin Pro Light" w:hAnsi="Acumin Pro Light"/>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State report, para. 56. </w:t>
      </w:r>
    </w:p>
  </w:footnote>
  <w:footnote w:id="29">
    <w:p w14:paraId="26598E84" w14:textId="77777777" w:rsidR="00962AC0" w:rsidRPr="00E21342" w:rsidRDefault="00962AC0" w:rsidP="00962AC0">
      <w:pPr>
        <w:spacing w:after="0" w:line="240" w:lineRule="auto"/>
        <w:rPr>
          <w:rStyle w:val="FootnoteReference"/>
          <w:rFonts w:ascii="Acumin Pro Light" w:hAnsi="Acumin Pro Light"/>
          <w:sz w:val="18"/>
          <w:szCs w:val="18"/>
          <w:vertAlign w:val="baseline"/>
          <w:lang w:val="en-US"/>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Official Gazette of Republic of Serbia, No. 104/2013.</w:t>
      </w:r>
    </w:p>
  </w:footnote>
  <w:footnote w:id="30">
    <w:p w14:paraId="2BF4F8E2" w14:textId="77777777" w:rsidR="006452F8" w:rsidRPr="00E21342" w:rsidRDefault="006452F8" w:rsidP="006452F8">
      <w:pPr>
        <w:spacing w:after="0" w:line="240" w:lineRule="auto"/>
        <w:rPr>
          <w:rStyle w:val="FootnoteReference"/>
          <w:rFonts w:ascii="Acumin Pro Light" w:hAnsi="Acumin Pro Light"/>
          <w:sz w:val="18"/>
          <w:szCs w:val="18"/>
          <w:vertAlign w:val="baseline"/>
          <w:lang w:val="en-US"/>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Committee on the Rights of the Child, </w:t>
      </w:r>
      <w:hyperlink r:id="rId7" w:history="1">
        <w:r w:rsidRPr="00E21342">
          <w:rPr>
            <w:rStyle w:val="FootnoteReference"/>
            <w:rFonts w:ascii="Acumin Pro Light" w:hAnsi="Acumin Pro Light"/>
            <w:sz w:val="18"/>
            <w:szCs w:val="18"/>
            <w:vertAlign w:val="baseline"/>
          </w:rPr>
          <w:t>Concluding observations on the combined second and third periodic reports of Serbia</w:t>
        </w:r>
      </w:hyperlink>
      <w:r w:rsidRPr="00E21342">
        <w:rPr>
          <w:rStyle w:val="FootnoteReference"/>
          <w:rFonts w:ascii="Acumin Pro Light" w:hAnsi="Acumin Pro Light"/>
          <w:sz w:val="18"/>
          <w:szCs w:val="18"/>
          <w:vertAlign w:val="baseline"/>
        </w:rPr>
        <w:t>, 7 March 2017, para. 45 (b).</w:t>
      </w:r>
    </w:p>
  </w:footnote>
  <w:footnote w:id="31">
    <w:p w14:paraId="6FFCC992" w14:textId="3ED084E1" w:rsidR="006452F8" w:rsidRPr="00E21342" w:rsidRDefault="006452F8" w:rsidP="006452F8">
      <w:pPr>
        <w:spacing w:after="0" w:line="240" w:lineRule="auto"/>
        <w:rPr>
          <w:rStyle w:val="FootnoteReference"/>
          <w:rFonts w:ascii="Acumin Pro Light" w:hAnsi="Acumin Pro Light" w:cstheme="majorHAnsi"/>
          <w:sz w:val="18"/>
          <w:szCs w:val="18"/>
          <w:vertAlign w:val="baseline"/>
        </w:rPr>
      </w:pPr>
      <w:r w:rsidRPr="00E21342">
        <w:rPr>
          <w:rStyle w:val="FootnoteReference"/>
          <w:rFonts w:ascii="Acumin Pro Light" w:hAnsi="Acumin Pro Light"/>
          <w:sz w:val="18"/>
          <w:szCs w:val="18"/>
          <w:vertAlign w:val="baseline"/>
        </w:rPr>
        <w:footnoteRef/>
      </w:r>
      <w:r w:rsidRPr="00E21342">
        <w:rPr>
          <w:rStyle w:val="FootnoteReference"/>
          <w:rFonts w:ascii="Acumin Pro Light" w:hAnsi="Acumin Pro Light"/>
          <w:sz w:val="18"/>
          <w:szCs w:val="18"/>
          <w:vertAlign w:val="baseline"/>
        </w:rPr>
        <w:t xml:space="preserve"> The Protector of Citizens, Special Report of Reproductive Health of Roma Women with Recommendations, 2017, available </w:t>
      </w:r>
      <w:r w:rsidRPr="00E21342">
        <w:rPr>
          <w:rStyle w:val="FootnoteReference"/>
          <w:rFonts w:ascii="Acumin Pro Light" w:hAnsi="Acumin Pro Light"/>
          <w:sz w:val="18"/>
          <w:szCs w:val="18"/>
          <w:vertAlign w:val="baseline"/>
        </w:rPr>
        <w:t>at:</w:t>
      </w:r>
      <w:r w:rsidR="0096459C">
        <w:rPr>
          <w:rStyle w:val="FootnoteReference"/>
          <w:rFonts w:ascii="Acumin Pro Light" w:hAnsi="Acumin Pro Light"/>
          <w:sz w:val="18"/>
          <w:szCs w:val="18"/>
          <w:vertAlign w:val="baseline"/>
        </w:rPr>
        <w:t xml:space="preserve"> </w:t>
      </w:r>
      <w:hyperlink r:id="rId8" w:history="1">
        <w:r w:rsidR="0096459C" w:rsidRPr="001C70EB">
          <w:rPr>
            <w:rStyle w:val="Hyperlink"/>
            <w:rFonts w:ascii="Acumin Pro Light" w:hAnsi="Acumin Pro Light"/>
            <w:sz w:val="18"/>
            <w:szCs w:val="18"/>
          </w:rPr>
          <w:t>https://www.ombudsman.rs/attachments/article/5536/Poseban%20izvestaj%20ZG%20Rep%20zdravlje%20Romkinja%2011.pdf</w:t>
        </w:r>
      </w:hyperlink>
      <w:r w:rsidRPr="00E21342">
        <w:rPr>
          <w:rStyle w:val="FootnoteReference"/>
          <w:rFonts w:ascii="Acumin Pro Light" w:hAnsi="Acumin Pro Light"/>
          <w:sz w:val="18"/>
          <w:szCs w:val="18"/>
          <w:vertAlign w:val="baseline"/>
        </w:rPr>
        <w:t>, pages 3 and 11.</w:t>
      </w:r>
    </w:p>
  </w:footnote>
  <w:footnote w:id="32">
    <w:p w14:paraId="4C1FF8D1"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VOICE, VIŠE OD 750 VIJETNAMACA I KINEZA U INDUSTRIJSKOJ ZONI ZRENJANIN: BEZNAĐE NEVIDLJIVIH, online, available at: </w:t>
      </w:r>
      <w:hyperlink r:id="rId9" w:history="1">
        <w:r w:rsidRPr="00E21342">
          <w:rPr>
            <w:rStyle w:val="Hyperlink"/>
            <w:rFonts w:ascii="Acumin Pro Light" w:hAnsi="Acumin Pro Light"/>
            <w:sz w:val="18"/>
            <w:szCs w:val="18"/>
          </w:rPr>
          <w:t xml:space="preserve">https://voice.org.rs/vise-od-750-vijetnamaca-i-kineza-u-indus </w:t>
        </w:r>
        <w:proofErr w:type="spellStart"/>
        <w:r w:rsidRPr="00E21342">
          <w:rPr>
            <w:rStyle w:val="Hyperlink"/>
            <w:rFonts w:ascii="Acumin Pro Light" w:hAnsi="Acumin Pro Light"/>
            <w:sz w:val="18"/>
            <w:szCs w:val="18"/>
          </w:rPr>
          <w:t>trijskoj-zoni-zrenjanin-beznade-nevidljivih</w:t>
        </w:r>
        <w:proofErr w:type="spellEnd"/>
        <w:r w:rsidRPr="00E21342">
          <w:rPr>
            <w:rStyle w:val="Hyperlink"/>
            <w:rFonts w:ascii="Acumin Pro Light" w:hAnsi="Acumin Pro Light"/>
            <w:sz w:val="18"/>
            <w:szCs w:val="18"/>
          </w:rPr>
          <w:t>/</w:t>
        </w:r>
      </w:hyperlink>
      <w:r w:rsidRPr="00E21342">
        <w:rPr>
          <w:rFonts w:ascii="Acumin Pro Light" w:hAnsi="Acumin Pro Light"/>
          <w:sz w:val="18"/>
          <w:szCs w:val="18"/>
        </w:rPr>
        <w:t xml:space="preserve">. </w:t>
      </w:r>
    </w:p>
  </w:footnote>
  <w:footnote w:id="33">
    <w:p w14:paraId="019935AF" w14:textId="77777777" w:rsidR="0096459C" w:rsidRPr="00E21342" w:rsidRDefault="0096459C" w:rsidP="0096459C">
      <w:pPr>
        <w:pStyle w:val="FootnoteText"/>
        <w:rPr>
          <w:rFonts w:ascii="Acumin Pro Light" w:hAnsi="Acumin Pro Light"/>
          <w:sz w:val="18"/>
          <w:szCs w:val="18"/>
          <w:lang w:val="sr-Latn-RS"/>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w:t>
      </w:r>
      <w:r w:rsidRPr="00E21342">
        <w:rPr>
          <w:rFonts w:ascii="Acumin Pro Light" w:hAnsi="Acumin Pro Light"/>
          <w:sz w:val="18"/>
          <w:szCs w:val="18"/>
          <w:lang w:val="sr-Latn-RS"/>
        </w:rPr>
        <w:t xml:space="preserve">For more information, please see: A 11 Initiative and NVO Astra, Living and labour conditions of the Linglong factory construction workers from Vietnam, November 2021, available at: </w:t>
      </w:r>
      <w:r w:rsidRPr="00E21342">
        <w:rPr>
          <w:rFonts w:ascii="Acumin Pro Light" w:hAnsi="Acumin Pro Light"/>
          <w:sz w:val="18"/>
          <w:szCs w:val="18"/>
          <w:lang w:val="sr-Latn-RS"/>
        </w:rPr>
        <w:fldChar w:fldCharType="begin"/>
      </w:r>
      <w:r w:rsidRPr="00E21342">
        <w:rPr>
          <w:rFonts w:ascii="Acumin Pro Light" w:hAnsi="Acumin Pro Light"/>
          <w:sz w:val="18"/>
          <w:szCs w:val="18"/>
          <w:lang w:val="sr-Latn-RS"/>
        </w:rPr>
        <w:instrText xml:space="preserve"> HYPERLINK "https://www.a11initiative.org/wp-content/uploads/2021/12/Report_Ling-Long_ENG.pdf" </w:instrText>
      </w:r>
      <w:r w:rsidRPr="00E21342">
        <w:rPr>
          <w:rFonts w:ascii="Acumin Pro Light" w:hAnsi="Acumin Pro Light"/>
          <w:sz w:val="18"/>
          <w:szCs w:val="18"/>
          <w:lang w:val="sr-Latn-RS"/>
        </w:rPr>
        <w:fldChar w:fldCharType="separate"/>
      </w:r>
      <w:r w:rsidRPr="00E21342">
        <w:rPr>
          <w:rStyle w:val="Hyperlink"/>
          <w:rFonts w:ascii="Acumin Pro Light" w:hAnsi="Acumin Pro Light"/>
          <w:sz w:val="18"/>
          <w:szCs w:val="18"/>
          <w:lang w:val="sr-Latn-RS"/>
        </w:rPr>
        <w:t>https://www.a11initiative.org/wp-content/uploads/2021/12/Report_Ling-Long_ENG.pdf</w:t>
      </w:r>
      <w:r w:rsidRPr="00E21342">
        <w:rPr>
          <w:rFonts w:ascii="Acumin Pro Light" w:hAnsi="Acumin Pro Light"/>
          <w:sz w:val="18"/>
          <w:szCs w:val="18"/>
          <w:lang w:val="sr-Latn-RS"/>
        </w:rPr>
        <w:fldChar w:fldCharType="end"/>
      </w:r>
      <w:r w:rsidRPr="00E21342">
        <w:rPr>
          <w:rFonts w:ascii="Acumin Pro Light" w:hAnsi="Acumin Pro Light"/>
          <w:sz w:val="18"/>
          <w:szCs w:val="18"/>
          <w:lang w:val="sr-Latn-RS"/>
        </w:rPr>
        <w:t xml:space="preserve">. </w:t>
      </w:r>
    </w:p>
  </w:footnote>
  <w:footnote w:id="34">
    <w:p w14:paraId="6DAD2030"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Interviews with the workers, 14 November 2021, information on file with the A 11 – Initiative for</w:t>
      </w:r>
    </w:p>
    <w:p w14:paraId="25B8B253" w14:textId="77777777" w:rsidR="0096459C" w:rsidRPr="00E21342" w:rsidRDefault="0096459C" w:rsidP="0096459C">
      <w:pPr>
        <w:pStyle w:val="FootnoteText"/>
        <w:rPr>
          <w:rFonts w:ascii="Acumin Pro Light" w:hAnsi="Acumin Pro Light"/>
          <w:sz w:val="18"/>
          <w:szCs w:val="18"/>
        </w:rPr>
      </w:pPr>
      <w:r w:rsidRPr="00E21342">
        <w:rPr>
          <w:rFonts w:ascii="Acumin Pro Light" w:hAnsi="Acumin Pro Light"/>
          <w:sz w:val="18"/>
          <w:szCs w:val="18"/>
        </w:rPr>
        <w:t>Economic and Social Rights.</w:t>
      </w:r>
    </w:p>
  </w:footnote>
  <w:footnote w:id="35">
    <w:p w14:paraId="399DD3EC"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Employment Contract with Vietnamese workers, online, available at: </w:t>
      </w:r>
      <w:hyperlink r:id="rId10" w:history="1">
        <w:r w:rsidRPr="00E21342">
          <w:rPr>
            <w:rStyle w:val="Hyperlink"/>
            <w:rFonts w:ascii="Acumin Pro Light" w:hAnsi="Acumin Pro Light"/>
            <w:sz w:val="18"/>
            <w:szCs w:val="18"/>
          </w:rPr>
          <w:t>https://pescanik.net/wp-content/uploads/2021/12/ugovor-o-radu.pdf</w:t>
        </w:r>
      </w:hyperlink>
      <w:r w:rsidRPr="00E21342">
        <w:rPr>
          <w:rFonts w:ascii="Acumin Pro Light" w:hAnsi="Acumin Pro Light"/>
          <w:sz w:val="18"/>
          <w:szCs w:val="18"/>
        </w:rPr>
        <w:t xml:space="preserve">. </w:t>
      </w:r>
    </w:p>
  </w:footnote>
  <w:footnote w:id="36">
    <w:p w14:paraId="76D7E04B" w14:textId="035D4EE3"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Commitment “Not to Escape”, signed by the workers, online, available at: </w:t>
      </w:r>
      <w:hyperlink r:id="rId11" w:history="1">
        <w:r w:rsidRPr="001C70EB">
          <w:rPr>
            <w:rStyle w:val="Hyperlink"/>
            <w:rFonts w:ascii="Acumin Pro Light" w:hAnsi="Acumin Pro Light"/>
            <w:sz w:val="18"/>
            <w:szCs w:val="18"/>
          </w:rPr>
          <w:t>https://pescanik.net/wp-content/uploads/2021/12/izjava-da-nece-pobeci.pdf</w:t>
        </w:r>
      </w:hyperlink>
      <w:r>
        <w:rPr>
          <w:rFonts w:ascii="Acumin Pro Light" w:hAnsi="Acumin Pro Light"/>
          <w:sz w:val="18"/>
          <w:szCs w:val="18"/>
        </w:rPr>
        <w:t xml:space="preserve">. </w:t>
      </w:r>
    </w:p>
  </w:footnote>
  <w:footnote w:id="37">
    <w:p w14:paraId="52C49C19"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The letters were sent to the following institutions: Republic Public Prosecutor’s </w:t>
      </w:r>
      <w:proofErr w:type="spellStart"/>
      <w:r w:rsidRPr="00E21342">
        <w:rPr>
          <w:rFonts w:ascii="Acumin Pro Light" w:hAnsi="Acumin Pro Light"/>
          <w:sz w:val="18"/>
          <w:szCs w:val="18"/>
        </w:rPr>
        <w:t>O</w:t>
      </w:r>
      <w:r w:rsidRPr="00E21342">
        <w:rPr>
          <w:rFonts w:ascii="Acumin Pro Light" w:hAnsi="Acumin Pro Light"/>
          <w:sz w:val="18"/>
          <w:szCs w:val="18"/>
        </w:rPr>
        <w:softHyphen/>
        <w:t>ice</w:t>
      </w:r>
      <w:proofErr w:type="spellEnd"/>
      <w:r w:rsidRPr="00E21342">
        <w:rPr>
          <w:rFonts w:ascii="Acumin Pro Light" w:hAnsi="Acumin Pro Light"/>
          <w:sz w:val="18"/>
          <w:szCs w:val="18"/>
        </w:rPr>
        <w:t>, Higher Public Prosecutor’s Off</w:t>
      </w:r>
      <w:r w:rsidRPr="00E21342">
        <w:rPr>
          <w:rFonts w:ascii="Acumin Pro Light" w:hAnsi="Acumin Pro Light"/>
          <w:sz w:val="18"/>
          <w:szCs w:val="18"/>
        </w:rPr>
        <w:softHyphen/>
        <w:t xml:space="preserve">ice in </w:t>
      </w:r>
      <w:proofErr w:type="spellStart"/>
      <w:r w:rsidRPr="00E21342">
        <w:rPr>
          <w:rFonts w:ascii="Acumin Pro Light" w:hAnsi="Acumin Pro Light"/>
          <w:sz w:val="18"/>
          <w:szCs w:val="18"/>
        </w:rPr>
        <w:t>Zrenjanin</w:t>
      </w:r>
      <w:proofErr w:type="spellEnd"/>
      <w:r w:rsidRPr="00E21342">
        <w:rPr>
          <w:rFonts w:ascii="Acumin Pro Light" w:hAnsi="Acumin Pro Light"/>
          <w:sz w:val="18"/>
          <w:szCs w:val="18"/>
        </w:rPr>
        <w:t>, Off</w:t>
      </w:r>
      <w:r w:rsidRPr="00E21342">
        <w:rPr>
          <w:rFonts w:ascii="Acumin Pro Light" w:hAnsi="Acumin Pro Light"/>
          <w:sz w:val="18"/>
          <w:szCs w:val="18"/>
        </w:rPr>
        <w:softHyphen/>
        <w:t>ice for Coordination of Activities in Combating Human Tra</w:t>
      </w:r>
      <w:r w:rsidRPr="00E21342">
        <w:rPr>
          <w:rFonts w:ascii="Acumin Pro Light" w:hAnsi="Acumin Pro Light"/>
          <w:sz w:val="18"/>
          <w:szCs w:val="18"/>
        </w:rPr>
        <w:softHyphen/>
        <w:t xml:space="preserve">fficking, Police Department in </w:t>
      </w:r>
      <w:proofErr w:type="spellStart"/>
      <w:r w:rsidRPr="00E21342">
        <w:rPr>
          <w:rFonts w:ascii="Acumin Pro Light" w:hAnsi="Acumin Pro Light"/>
          <w:sz w:val="18"/>
          <w:szCs w:val="18"/>
        </w:rPr>
        <w:t>Zrenjanin</w:t>
      </w:r>
      <w:proofErr w:type="spellEnd"/>
      <w:r w:rsidRPr="00E21342">
        <w:rPr>
          <w:rFonts w:ascii="Acumin Pro Light" w:hAnsi="Acumin Pro Light"/>
          <w:sz w:val="18"/>
          <w:szCs w:val="18"/>
        </w:rPr>
        <w:t>, Ministry of Labor, Employment, Veterans and Social A</w:t>
      </w:r>
      <w:r w:rsidRPr="00E21342">
        <w:rPr>
          <w:rFonts w:ascii="Acumin Pro Light" w:hAnsi="Acumin Pro Light"/>
          <w:sz w:val="18"/>
          <w:szCs w:val="18"/>
        </w:rPr>
        <w:softHyphen/>
        <w:t>ffairs / Sector for Social Protection / Center for Protection of Victims of Human Tra</w:t>
      </w:r>
      <w:r w:rsidRPr="00E21342">
        <w:rPr>
          <w:rFonts w:ascii="Acumin Pro Light" w:hAnsi="Acumin Pro Light"/>
          <w:sz w:val="18"/>
          <w:szCs w:val="18"/>
        </w:rPr>
        <w:softHyphen/>
        <w:t xml:space="preserve">fficking, Labor Inspectorate, Labor Inspectorate in </w:t>
      </w:r>
      <w:proofErr w:type="spellStart"/>
      <w:r w:rsidRPr="00E21342">
        <w:rPr>
          <w:rFonts w:ascii="Acumin Pro Light" w:hAnsi="Acumin Pro Light"/>
          <w:sz w:val="18"/>
          <w:szCs w:val="18"/>
        </w:rPr>
        <w:t>Zrenjanin</w:t>
      </w:r>
      <w:proofErr w:type="spellEnd"/>
      <w:r w:rsidRPr="00E21342">
        <w:rPr>
          <w:rFonts w:ascii="Acumin Pro Light" w:hAnsi="Acumin Pro Light"/>
          <w:sz w:val="18"/>
          <w:szCs w:val="18"/>
        </w:rPr>
        <w:t>, Ministry of Health – Department of Sanitary Inspection and the Protector of Citizens.</w:t>
      </w:r>
    </w:p>
  </w:footnote>
  <w:footnote w:id="38">
    <w:p w14:paraId="5BA558DA"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Audio recording of the attempted visit to the workers, A 11 – Initiative for Economic and Social</w:t>
      </w:r>
    </w:p>
    <w:p w14:paraId="714E8101" w14:textId="77777777" w:rsidR="0096459C" w:rsidRPr="00E21342" w:rsidRDefault="0096459C" w:rsidP="0096459C">
      <w:pPr>
        <w:pStyle w:val="FootnoteText"/>
        <w:rPr>
          <w:rFonts w:ascii="Acumin Pro Light" w:hAnsi="Acumin Pro Light"/>
          <w:sz w:val="18"/>
          <w:szCs w:val="18"/>
        </w:rPr>
      </w:pPr>
      <w:r w:rsidRPr="00E21342">
        <w:rPr>
          <w:rFonts w:ascii="Acumin Pro Light" w:hAnsi="Acumin Pro Light"/>
          <w:sz w:val="18"/>
          <w:szCs w:val="18"/>
        </w:rPr>
        <w:t>Rights, 21 November 2021.</w:t>
      </w:r>
    </w:p>
  </w:footnote>
  <w:footnote w:id="39">
    <w:p w14:paraId="6BB7ED16"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Balkan Insight, Documents Reveal Extent of Exploitation at Chinese Tire Site in Serbia,</w:t>
      </w:r>
    </w:p>
    <w:p w14:paraId="0A0F4A39" w14:textId="77777777" w:rsidR="0096459C" w:rsidRPr="00E21342" w:rsidRDefault="0096459C" w:rsidP="0096459C">
      <w:pPr>
        <w:pStyle w:val="FootnoteText"/>
        <w:rPr>
          <w:rFonts w:ascii="Acumin Pro Light" w:hAnsi="Acumin Pro Light"/>
          <w:sz w:val="18"/>
          <w:szCs w:val="18"/>
        </w:rPr>
      </w:pPr>
      <w:r w:rsidRPr="00E21342">
        <w:rPr>
          <w:rFonts w:ascii="Acumin Pro Light" w:hAnsi="Acumin Pro Light"/>
          <w:sz w:val="18"/>
          <w:szCs w:val="18"/>
        </w:rPr>
        <w:t xml:space="preserve">29 November 2021, available at: </w:t>
      </w:r>
      <w:hyperlink r:id="rId12" w:history="1">
        <w:r w:rsidRPr="00E21342">
          <w:rPr>
            <w:rStyle w:val="Hyperlink"/>
            <w:rFonts w:ascii="Acumin Pro Light" w:hAnsi="Acumin Pro Light"/>
            <w:sz w:val="18"/>
            <w:szCs w:val="18"/>
          </w:rPr>
          <w:t>https://balkaninsight.com/2021/11/29/documents-reveal-extent-of-exploitation-at-chinese-tire-site-in-serbia</w:t>
        </w:r>
      </w:hyperlink>
      <w:r w:rsidRPr="00E21342">
        <w:rPr>
          <w:rFonts w:ascii="Acumin Pro Light" w:hAnsi="Acumin Pro Light"/>
          <w:sz w:val="18"/>
          <w:szCs w:val="18"/>
        </w:rPr>
        <w:t xml:space="preserve">. </w:t>
      </w:r>
    </w:p>
  </w:footnote>
  <w:footnote w:id="40">
    <w:p w14:paraId="079F2F79"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w:t>
      </w:r>
      <w:proofErr w:type="spellStart"/>
      <w:r w:rsidRPr="00E21342">
        <w:rPr>
          <w:rFonts w:ascii="Acumin Pro Light" w:hAnsi="Acumin Pro Light"/>
          <w:sz w:val="18"/>
          <w:szCs w:val="18"/>
        </w:rPr>
        <w:t>Euronews</w:t>
      </w:r>
      <w:proofErr w:type="spellEnd"/>
      <w:r w:rsidRPr="00E21342">
        <w:rPr>
          <w:rFonts w:ascii="Acumin Pro Light" w:hAnsi="Acumin Pro Light"/>
          <w:sz w:val="18"/>
          <w:szCs w:val="18"/>
        </w:rPr>
        <w:t xml:space="preserve">, 17 November 2021, available at: </w:t>
      </w:r>
      <w:hyperlink r:id="rId13" w:history="1">
        <w:r w:rsidRPr="00E21342">
          <w:rPr>
            <w:rStyle w:val="Hyperlink"/>
            <w:rFonts w:ascii="Acumin Pro Light" w:hAnsi="Acumin Pro Light"/>
            <w:sz w:val="18"/>
            <w:szCs w:val="18"/>
          </w:rPr>
          <w:t>https://www.euronews.rs/srbija/politika/25578/ministarstvo-radnici-iz-vijetnama-koji-su-angazovani-na-gradnji-fabrike-linglong-premesteni-na-drugu-lokaciju/vest</w:t>
        </w:r>
      </w:hyperlink>
      <w:r w:rsidRPr="00E21342">
        <w:rPr>
          <w:rFonts w:ascii="Acumin Pro Light" w:hAnsi="Acumin Pro Light"/>
          <w:sz w:val="18"/>
          <w:szCs w:val="18"/>
        </w:rPr>
        <w:t xml:space="preserve"> </w:t>
      </w:r>
    </w:p>
  </w:footnote>
  <w:footnote w:id="41">
    <w:p w14:paraId="00ECE25E"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Ministry of Construction, Transportation and infrastructure, </w:t>
      </w:r>
      <w:proofErr w:type="spellStart"/>
      <w:r w:rsidRPr="00E21342">
        <w:rPr>
          <w:rFonts w:ascii="Acumin Pro Light" w:hAnsi="Acumin Pro Light"/>
          <w:sz w:val="18"/>
          <w:szCs w:val="18"/>
        </w:rPr>
        <w:t>Momirović</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Fabrika</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Linglong</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najkontrolisanije</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gradilište</w:t>
      </w:r>
      <w:proofErr w:type="spellEnd"/>
      <w:r w:rsidRPr="00E21342">
        <w:rPr>
          <w:rFonts w:ascii="Acumin Pro Light" w:hAnsi="Acumin Pro Light"/>
          <w:sz w:val="18"/>
          <w:szCs w:val="18"/>
        </w:rPr>
        <w:t xml:space="preserve"> u </w:t>
      </w:r>
      <w:proofErr w:type="spellStart"/>
      <w:r w:rsidRPr="00E21342">
        <w:rPr>
          <w:rFonts w:ascii="Acumin Pro Light" w:hAnsi="Acumin Pro Light"/>
          <w:sz w:val="18"/>
          <w:szCs w:val="18"/>
        </w:rPr>
        <w:t>Srbiji</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izvršeno</w:t>
      </w:r>
      <w:proofErr w:type="spellEnd"/>
      <w:r w:rsidRPr="00E21342">
        <w:rPr>
          <w:rFonts w:ascii="Acumin Pro Light" w:hAnsi="Acumin Pro Light"/>
          <w:sz w:val="18"/>
          <w:szCs w:val="18"/>
        </w:rPr>
        <w:t xml:space="preserve"> do </w:t>
      </w:r>
      <w:proofErr w:type="spellStart"/>
      <w:r w:rsidRPr="00E21342">
        <w:rPr>
          <w:rFonts w:ascii="Acumin Pro Light" w:hAnsi="Acumin Pro Light"/>
          <w:sz w:val="18"/>
          <w:szCs w:val="18"/>
        </w:rPr>
        <w:t>sada</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pedeset</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inspekcijskih</w:t>
      </w:r>
      <w:proofErr w:type="spellEnd"/>
      <w:r w:rsidRPr="00E21342">
        <w:rPr>
          <w:rFonts w:ascii="Acumin Pro Light" w:hAnsi="Acumin Pro Light"/>
          <w:sz w:val="18"/>
          <w:szCs w:val="18"/>
        </w:rPr>
        <w:t xml:space="preserve"> </w:t>
      </w:r>
      <w:proofErr w:type="spellStart"/>
      <w:r w:rsidRPr="00E21342">
        <w:rPr>
          <w:rFonts w:ascii="Acumin Pro Light" w:hAnsi="Acumin Pro Light"/>
          <w:sz w:val="18"/>
          <w:szCs w:val="18"/>
        </w:rPr>
        <w:t>nadzora</w:t>
      </w:r>
      <w:proofErr w:type="spellEnd"/>
      <w:r w:rsidRPr="00E21342">
        <w:rPr>
          <w:rFonts w:ascii="Acumin Pro Light" w:hAnsi="Acumin Pro Light"/>
          <w:sz w:val="18"/>
          <w:szCs w:val="18"/>
        </w:rPr>
        <w:t>, online, available at:</w:t>
      </w:r>
    </w:p>
    <w:p w14:paraId="1AB4E679" w14:textId="77777777" w:rsidR="0096459C" w:rsidRPr="00E21342" w:rsidRDefault="0096459C" w:rsidP="0096459C">
      <w:pPr>
        <w:pStyle w:val="FootnoteText"/>
        <w:rPr>
          <w:rFonts w:ascii="Acumin Pro Light" w:hAnsi="Acumin Pro Light"/>
          <w:sz w:val="18"/>
          <w:szCs w:val="18"/>
        </w:rPr>
      </w:pPr>
      <w:hyperlink r:id="rId14" w:history="1">
        <w:r w:rsidRPr="00E21342">
          <w:rPr>
            <w:rStyle w:val="Hyperlink"/>
            <w:rFonts w:ascii="Acumin Pro Light" w:hAnsi="Acumin Pro Light"/>
            <w:sz w:val="18"/>
            <w:szCs w:val="18"/>
          </w:rPr>
          <w:t>https://www.mgsi.gov.rs/cir/aktuelnosti/momirovitsh-fabrika-linglong-najkontrolisanije-gradilishte-u-srbiji-izvrsheno-do-sada</w:t>
        </w:r>
      </w:hyperlink>
      <w:r w:rsidRPr="00E21342">
        <w:rPr>
          <w:rFonts w:ascii="Acumin Pro Light" w:hAnsi="Acumin Pro Light"/>
          <w:sz w:val="18"/>
          <w:szCs w:val="18"/>
        </w:rPr>
        <w:t xml:space="preserve"> </w:t>
      </w:r>
    </w:p>
  </w:footnote>
  <w:footnote w:id="42">
    <w:p w14:paraId="28FA7DE3"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A 11 – Initiative for Economic and Social Rights, freedom of information requests submitted to the</w:t>
      </w:r>
    </w:p>
    <w:p w14:paraId="2CBC28D9" w14:textId="77777777" w:rsidR="0096459C" w:rsidRPr="00E21342" w:rsidRDefault="0096459C" w:rsidP="0096459C">
      <w:pPr>
        <w:pStyle w:val="FootnoteText"/>
        <w:rPr>
          <w:rFonts w:ascii="Acumin Pro Light" w:hAnsi="Acumin Pro Light"/>
          <w:sz w:val="18"/>
          <w:szCs w:val="18"/>
        </w:rPr>
      </w:pPr>
      <w:r w:rsidRPr="00E21342">
        <w:rPr>
          <w:rFonts w:ascii="Acumin Pro Light" w:hAnsi="Acumin Pro Light"/>
          <w:sz w:val="18"/>
          <w:szCs w:val="18"/>
        </w:rPr>
        <w:t>Ministry of Interior, Ministry of Labor, Employment, Veteran and Social A</w:t>
      </w:r>
      <w:r w:rsidRPr="00E21342">
        <w:rPr>
          <w:rFonts w:ascii="Acumin Pro Light" w:hAnsi="Acumin Pro Light"/>
          <w:sz w:val="18"/>
          <w:szCs w:val="18"/>
        </w:rPr>
        <w:softHyphen/>
        <w:t xml:space="preserve">ffairs and Ministry of Construction, Transportation and Infrastructure submitted on 25 November 2021 and 10 January 2022. </w:t>
      </w:r>
    </w:p>
  </w:footnote>
  <w:footnote w:id="43">
    <w:p w14:paraId="4977D194" w14:textId="77777777" w:rsidR="0096459C" w:rsidRPr="00E21342" w:rsidRDefault="0096459C" w:rsidP="0096459C">
      <w:pPr>
        <w:pStyle w:val="FootnoteText"/>
        <w:jc w:val="both"/>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Special Rapporteur on trafficking in persons, especially women and children, the Working Group on the issue of human rights and transnational corporations and other business enterprises, the Special Rapporteur on the human rights of migrants and the Special Rapporteur on contemporary forms of slavery, including its causes and consequences. Letter to the Government of Serbia, 18 January 2022, Ref.: UA SRB 1/2022. </w:t>
      </w:r>
    </w:p>
  </w:footnote>
  <w:footnote w:id="44">
    <w:p w14:paraId="14AFFA90" w14:textId="77777777" w:rsidR="0096459C" w:rsidRPr="00E21342" w:rsidRDefault="0096459C" w:rsidP="0096459C">
      <w:pPr>
        <w:pStyle w:val="FootnoteText"/>
        <w:rPr>
          <w:rFonts w:ascii="Acumin Pro Light" w:hAnsi="Acumin Pro Light"/>
          <w:sz w:val="18"/>
          <w:szCs w:val="18"/>
        </w:rPr>
      </w:pPr>
      <w:r w:rsidRPr="00E21342">
        <w:rPr>
          <w:rStyle w:val="FootnoteReference"/>
          <w:rFonts w:ascii="Acumin Pro Light" w:hAnsi="Acumin Pro Light"/>
          <w:sz w:val="18"/>
          <w:szCs w:val="18"/>
          <w:vertAlign w:val="baseline"/>
        </w:rPr>
        <w:footnoteRef/>
      </w:r>
      <w:r w:rsidRPr="00E21342">
        <w:rPr>
          <w:rFonts w:ascii="Acumin Pro Light" w:hAnsi="Acumin Pro Light"/>
          <w:sz w:val="18"/>
          <w:szCs w:val="18"/>
        </w:rPr>
        <w:t xml:space="preserve"> Committee on Economic, Social and Cultural Rights, Concluding observations on the third periodic report of Serbia, 6 April 2022, UN Doc no. E/C.12/SRB/CO/3.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2FDD"/>
    <w:multiLevelType w:val="hybridMultilevel"/>
    <w:tmpl w:val="E0A83C7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 w15:restartNumberingAfterBreak="0">
    <w:nsid w:val="4FA53397"/>
    <w:multiLevelType w:val="hybridMultilevel"/>
    <w:tmpl w:val="2E1E80EA"/>
    <w:lvl w:ilvl="0" w:tplc="B8AAEC20">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2" w15:restartNumberingAfterBreak="0">
    <w:nsid w:val="68096B20"/>
    <w:multiLevelType w:val="hybridMultilevel"/>
    <w:tmpl w:val="B7CC9176"/>
    <w:lvl w:ilvl="0" w:tplc="241A0015">
      <w:start w:val="1"/>
      <w:numFmt w:val="upp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6AFE503A"/>
    <w:multiLevelType w:val="hybridMultilevel"/>
    <w:tmpl w:val="56A6A478"/>
    <w:lvl w:ilvl="0" w:tplc="201C34B0">
      <w:start w:val="1"/>
      <w:numFmt w:val="decimal"/>
      <w:lvlText w:val="%1."/>
      <w:lvlJc w:val="left"/>
      <w:pPr>
        <w:ind w:left="360" w:hanging="360"/>
      </w:pPr>
      <w:rPr>
        <w:vertAlign w:val="baseline"/>
      </w:rPr>
    </w:lvl>
    <w:lvl w:ilvl="1" w:tplc="241A0019">
      <w:start w:val="1"/>
      <w:numFmt w:val="lowerLetter"/>
      <w:lvlText w:val="%2."/>
      <w:lvlJc w:val="left"/>
      <w:pPr>
        <w:ind w:left="1080" w:hanging="360"/>
      </w:pPr>
    </w:lvl>
    <w:lvl w:ilvl="2" w:tplc="241A001B">
      <w:start w:val="1"/>
      <w:numFmt w:val="lowerRoman"/>
      <w:lvlText w:val="%3."/>
      <w:lvlJc w:val="right"/>
      <w:pPr>
        <w:ind w:left="1800" w:hanging="180"/>
      </w:pPr>
    </w:lvl>
    <w:lvl w:ilvl="3" w:tplc="241A000F">
      <w:start w:val="1"/>
      <w:numFmt w:val="decimal"/>
      <w:lvlText w:val="%4."/>
      <w:lvlJc w:val="left"/>
      <w:pPr>
        <w:ind w:left="2520" w:hanging="360"/>
      </w:pPr>
    </w:lvl>
    <w:lvl w:ilvl="4" w:tplc="241A0019">
      <w:start w:val="1"/>
      <w:numFmt w:val="lowerLetter"/>
      <w:lvlText w:val="%5."/>
      <w:lvlJc w:val="left"/>
      <w:pPr>
        <w:ind w:left="3240" w:hanging="360"/>
      </w:pPr>
    </w:lvl>
    <w:lvl w:ilvl="5" w:tplc="241A001B">
      <w:start w:val="1"/>
      <w:numFmt w:val="lowerRoman"/>
      <w:lvlText w:val="%6."/>
      <w:lvlJc w:val="right"/>
      <w:pPr>
        <w:ind w:left="3960" w:hanging="180"/>
      </w:pPr>
    </w:lvl>
    <w:lvl w:ilvl="6" w:tplc="241A000F">
      <w:start w:val="1"/>
      <w:numFmt w:val="decimal"/>
      <w:lvlText w:val="%7."/>
      <w:lvlJc w:val="left"/>
      <w:pPr>
        <w:ind w:left="4680" w:hanging="360"/>
      </w:pPr>
    </w:lvl>
    <w:lvl w:ilvl="7" w:tplc="241A0019">
      <w:start w:val="1"/>
      <w:numFmt w:val="lowerLetter"/>
      <w:lvlText w:val="%8."/>
      <w:lvlJc w:val="left"/>
      <w:pPr>
        <w:ind w:left="5400" w:hanging="360"/>
      </w:pPr>
    </w:lvl>
    <w:lvl w:ilvl="8" w:tplc="241A001B">
      <w:start w:val="1"/>
      <w:numFmt w:val="lowerRoman"/>
      <w:lvlText w:val="%9."/>
      <w:lvlJc w:val="right"/>
      <w:pPr>
        <w:ind w:left="6120" w:hanging="180"/>
      </w:pPr>
    </w:lvl>
  </w:abstractNum>
  <w:abstractNum w:abstractNumId="4" w15:restartNumberingAfterBreak="0">
    <w:nsid w:val="6B363B28"/>
    <w:multiLevelType w:val="hybridMultilevel"/>
    <w:tmpl w:val="40963C72"/>
    <w:lvl w:ilvl="0" w:tplc="46CE9E98">
      <w:start w:val="1"/>
      <w:numFmt w:val="decimal"/>
      <w:lvlText w:val="%1."/>
      <w:lvlJc w:val="left"/>
      <w:pPr>
        <w:ind w:left="360" w:hanging="360"/>
      </w:pPr>
      <w:rPr>
        <w:rFonts w:hint="default"/>
        <w:b w:val="0"/>
        <w:bCs w:val="0"/>
        <w:vertAlign w:val="baseline"/>
      </w:rPr>
    </w:lvl>
    <w:lvl w:ilvl="1" w:tplc="241A0019">
      <w:start w:val="1"/>
      <w:numFmt w:val="lowerLetter"/>
      <w:lvlText w:val="%2."/>
      <w:lvlJc w:val="left"/>
      <w:pPr>
        <w:ind w:left="732" w:hanging="360"/>
      </w:pPr>
    </w:lvl>
    <w:lvl w:ilvl="2" w:tplc="241A001B" w:tentative="1">
      <w:start w:val="1"/>
      <w:numFmt w:val="lowerRoman"/>
      <w:lvlText w:val="%3."/>
      <w:lvlJc w:val="right"/>
      <w:pPr>
        <w:ind w:left="1452" w:hanging="180"/>
      </w:pPr>
    </w:lvl>
    <w:lvl w:ilvl="3" w:tplc="241A000F" w:tentative="1">
      <w:start w:val="1"/>
      <w:numFmt w:val="decimal"/>
      <w:lvlText w:val="%4."/>
      <w:lvlJc w:val="left"/>
      <w:pPr>
        <w:ind w:left="2172" w:hanging="360"/>
      </w:pPr>
    </w:lvl>
    <w:lvl w:ilvl="4" w:tplc="241A0019" w:tentative="1">
      <w:start w:val="1"/>
      <w:numFmt w:val="lowerLetter"/>
      <w:lvlText w:val="%5."/>
      <w:lvlJc w:val="left"/>
      <w:pPr>
        <w:ind w:left="2892" w:hanging="360"/>
      </w:pPr>
    </w:lvl>
    <w:lvl w:ilvl="5" w:tplc="241A001B" w:tentative="1">
      <w:start w:val="1"/>
      <w:numFmt w:val="lowerRoman"/>
      <w:lvlText w:val="%6."/>
      <w:lvlJc w:val="right"/>
      <w:pPr>
        <w:ind w:left="3612" w:hanging="180"/>
      </w:pPr>
    </w:lvl>
    <w:lvl w:ilvl="6" w:tplc="241A000F" w:tentative="1">
      <w:start w:val="1"/>
      <w:numFmt w:val="decimal"/>
      <w:lvlText w:val="%7."/>
      <w:lvlJc w:val="left"/>
      <w:pPr>
        <w:ind w:left="4332" w:hanging="360"/>
      </w:pPr>
    </w:lvl>
    <w:lvl w:ilvl="7" w:tplc="241A0019" w:tentative="1">
      <w:start w:val="1"/>
      <w:numFmt w:val="lowerLetter"/>
      <w:lvlText w:val="%8."/>
      <w:lvlJc w:val="left"/>
      <w:pPr>
        <w:ind w:left="5052" w:hanging="360"/>
      </w:pPr>
    </w:lvl>
    <w:lvl w:ilvl="8" w:tplc="241A001B" w:tentative="1">
      <w:start w:val="1"/>
      <w:numFmt w:val="lowerRoman"/>
      <w:lvlText w:val="%9."/>
      <w:lvlJc w:val="right"/>
      <w:pPr>
        <w:ind w:left="5772" w:hanging="180"/>
      </w:pPr>
    </w:lvl>
  </w:abstractNum>
  <w:abstractNum w:abstractNumId="5" w15:restartNumberingAfterBreak="0">
    <w:nsid w:val="6E4D5D58"/>
    <w:multiLevelType w:val="multilevel"/>
    <w:tmpl w:val="9DE8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04A0A"/>
    <w:multiLevelType w:val="hybridMultilevel"/>
    <w:tmpl w:val="FFB2181E"/>
    <w:lvl w:ilvl="0" w:tplc="241A0005">
      <w:start w:val="1"/>
      <w:numFmt w:val="bullet"/>
      <w:lvlText w:val=""/>
      <w:lvlJc w:val="left"/>
      <w:pPr>
        <w:ind w:left="1068" w:hanging="360"/>
      </w:pPr>
      <w:rPr>
        <w:rFonts w:ascii="Wingdings" w:hAnsi="Wingding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178225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53202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9461944">
    <w:abstractNumId w:val="5"/>
  </w:num>
  <w:num w:numId="4" w16cid:durableId="1514688405">
    <w:abstractNumId w:val="1"/>
  </w:num>
  <w:num w:numId="5" w16cid:durableId="960917873">
    <w:abstractNumId w:val="0"/>
  </w:num>
  <w:num w:numId="6" w16cid:durableId="92746367">
    <w:abstractNumId w:val="4"/>
  </w:num>
  <w:num w:numId="7" w16cid:durableId="586306842">
    <w:abstractNumId w:val="6"/>
  </w:num>
  <w:num w:numId="8" w16cid:durableId="281569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503"/>
    <w:rsid w:val="00012FFA"/>
    <w:rsid w:val="00020AD4"/>
    <w:rsid w:val="000533FD"/>
    <w:rsid w:val="0006169B"/>
    <w:rsid w:val="00067C4F"/>
    <w:rsid w:val="000873AC"/>
    <w:rsid w:val="00096FB3"/>
    <w:rsid w:val="000A3FB5"/>
    <w:rsid w:val="000B6050"/>
    <w:rsid w:val="000D3C3F"/>
    <w:rsid w:val="000D4E33"/>
    <w:rsid w:val="000F6AFF"/>
    <w:rsid w:val="00153DA4"/>
    <w:rsid w:val="00162850"/>
    <w:rsid w:val="00174CB9"/>
    <w:rsid w:val="00180C3F"/>
    <w:rsid w:val="00182662"/>
    <w:rsid w:val="00186277"/>
    <w:rsid w:val="001A25B6"/>
    <w:rsid w:val="001A4346"/>
    <w:rsid w:val="001B6FA1"/>
    <w:rsid w:val="001D33AD"/>
    <w:rsid w:val="001F1C83"/>
    <w:rsid w:val="00206216"/>
    <w:rsid w:val="00210AA9"/>
    <w:rsid w:val="00247655"/>
    <w:rsid w:val="00264230"/>
    <w:rsid w:val="00264690"/>
    <w:rsid w:val="00266EB7"/>
    <w:rsid w:val="00290DEE"/>
    <w:rsid w:val="002C4777"/>
    <w:rsid w:val="002C7EFD"/>
    <w:rsid w:val="002D2584"/>
    <w:rsid w:val="002D2DB8"/>
    <w:rsid w:val="002D58FF"/>
    <w:rsid w:val="00322F17"/>
    <w:rsid w:val="00332CE8"/>
    <w:rsid w:val="00350D70"/>
    <w:rsid w:val="003608EA"/>
    <w:rsid w:val="00364974"/>
    <w:rsid w:val="00376BE6"/>
    <w:rsid w:val="0039050D"/>
    <w:rsid w:val="00395918"/>
    <w:rsid w:val="003A59BE"/>
    <w:rsid w:val="003C62FB"/>
    <w:rsid w:val="003F211A"/>
    <w:rsid w:val="00434509"/>
    <w:rsid w:val="00474D7D"/>
    <w:rsid w:val="00475197"/>
    <w:rsid w:val="004758D2"/>
    <w:rsid w:val="004A0CD6"/>
    <w:rsid w:val="004B4C38"/>
    <w:rsid w:val="004B4D21"/>
    <w:rsid w:val="004D31D0"/>
    <w:rsid w:val="005111AB"/>
    <w:rsid w:val="0051544B"/>
    <w:rsid w:val="00525F75"/>
    <w:rsid w:val="005308F5"/>
    <w:rsid w:val="00532700"/>
    <w:rsid w:val="00541E31"/>
    <w:rsid w:val="00545B4C"/>
    <w:rsid w:val="00553647"/>
    <w:rsid w:val="00560562"/>
    <w:rsid w:val="00563A1F"/>
    <w:rsid w:val="00591CCE"/>
    <w:rsid w:val="005944E2"/>
    <w:rsid w:val="005B3848"/>
    <w:rsid w:val="005C5184"/>
    <w:rsid w:val="005E2A11"/>
    <w:rsid w:val="005F0A84"/>
    <w:rsid w:val="005F1001"/>
    <w:rsid w:val="0060211E"/>
    <w:rsid w:val="0061672B"/>
    <w:rsid w:val="0062070E"/>
    <w:rsid w:val="00640E02"/>
    <w:rsid w:val="00642ECC"/>
    <w:rsid w:val="006452F8"/>
    <w:rsid w:val="00661E88"/>
    <w:rsid w:val="00664D75"/>
    <w:rsid w:val="00684741"/>
    <w:rsid w:val="00690549"/>
    <w:rsid w:val="006B352D"/>
    <w:rsid w:val="006C7350"/>
    <w:rsid w:val="006E7929"/>
    <w:rsid w:val="006F429C"/>
    <w:rsid w:val="00717133"/>
    <w:rsid w:val="00757818"/>
    <w:rsid w:val="00763273"/>
    <w:rsid w:val="00790E15"/>
    <w:rsid w:val="007A728D"/>
    <w:rsid w:val="007B0BAE"/>
    <w:rsid w:val="007B0E66"/>
    <w:rsid w:val="007B5D77"/>
    <w:rsid w:val="007D132B"/>
    <w:rsid w:val="007F60EB"/>
    <w:rsid w:val="00807A63"/>
    <w:rsid w:val="0081309B"/>
    <w:rsid w:val="00830F1D"/>
    <w:rsid w:val="008500BF"/>
    <w:rsid w:val="00870A72"/>
    <w:rsid w:val="0087156C"/>
    <w:rsid w:val="00873E8D"/>
    <w:rsid w:val="00884A0D"/>
    <w:rsid w:val="00886726"/>
    <w:rsid w:val="00897D3E"/>
    <w:rsid w:val="008B3B5C"/>
    <w:rsid w:val="008C0B7C"/>
    <w:rsid w:val="008C7741"/>
    <w:rsid w:val="008F21F4"/>
    <w:rsid w:val="00910FCA"/>
    <w:rsid w:val="00917FE6"/>
    <w:rsid w:val="00937488"/>
    <w:rsid w:val="00962AC0"/>
    <w:rsid w:val="0096459C"/>
    <w:rsid w:val="00991337"/>
    <w:rsid w:val="009A5C21"/>
    <w:rsid w:val="009B2FF0"/>
    <w:rsid w:val="009F0BF1"/>
    <w:rsid w:val="009F2531"/>
    <w:rsid w:val="00A0340F"/>
    <w:rsid w:val="00A16DEC"/>
    <w:rsid w:val="00A17804"/>
    <w:rsid w:val="00A40D24"/>
    <w:rsid w:val="00A40F47"/>
    <w:rsid w:val="00A41ACC"/>
    <w:rsid w:val="00A548B7"/>
    <w:rsid w:val="00A71087"/>
    <w:rsid w:val="00AA1563"/>
    <w:rsid w:val="00AA2975"/>
    <w:rsid w:val="00AB5AF3"/>
    <w:rsid w:val="00AC5832"/>
    <w:rsid w:val="00B000F1"/>
    <w:rsid w:val="00B01C45"/>
    <w:rsid w:val="00B10DD5"/>
    <w:rsid w:val="00B36E56"/>
    <w:rsid w:val="00B73E66"/>
    <w:rsid w:val="00B868EA"/>
    <w:rsid w:val="00B9142E"/>
    <w:rsid w:val="00B9380B"/>
    <w:rsid w:val="00BC3596"/>
    <w:rsid w:val="00BF03CA"/>
    <w:rsid w:val="00C33C45"/>
    <w:rsid w:val="00C36B35"/>
    <w:rsid w:val="00C451DF"/>
    <w:rsid w:val="00C4679E"/>
    <w:rsid w:val="00C5482B"/>
    <w:rsid w:val="00C550C7"/>
    <w:rsid w:val="00C6233B"/>
    <w:rsid w:val="00C63664"/>
    <w:rsid w:val="00C71F8E"/>
    <w:rsid w:val="00C7607D"/>
    <w:rsid w:val="00C83411"/>
    <w:rsid w:val="00C940E4"/>
    <w:rsid w:val="00CC1575"/>
    <w:rsid w:val="00CC6962"/>
    <w:rsid w:val="00CC7AD8"/>
    <w:rsid w:val="00CD0076"/>
    <w:rsid w:val="00CD0966"/>
    <w:rsid w:val="00D00A80"/>
    <w:rsid w:val="00D16CD6"/>
    <w:rsid w:val="00D5605D"/>
    <w:rsid w:val="00D61065"/>
    <w:rsid w:val="00D760C9"/>
    <w:rsid w:val="00D83E1F"/>
    <w:rsid w:val="00D87B60"/>
    <w:rsid w:val="00D97281"/>
    <w:rsid w:val="00DA3FDA"/>
    <w:rsid w:val="00DA4A81"/>
    <w:rsid w:val="00DB32A6"/>
    <w:rsid w:val="00DC2BB8"/>
    <w:rsid w:val="00DE4D5F"/>
    <w:rsid w:val="00E03B84"/>
    <w:rsid w:val="00E07C77"/>
    <w:rsid w:val="00E21342"/>
    <w:rsid w:val="00E403AB"/>
    <w:rsid w:val="00E52CF9"/>
    <w:rsid w:val="00E52DB9"/>
    <w:rsid w:val="00EA38A2"/>
    <w:rsid w:val="00EA4DE5"/>
    <w:rsid w:val="00EB2503"/>
    <w:rsid w:val="00EB4B38"/>
    <w:rsid w:val="00EC3051"/>
    <w:rsid w:val="00ED450A"/>
    <w:rsid w:val="00EF25F9"/>
    <w:rsid w:val="00EF71D6"/>
    <w:rsid w:val="00F07069"/>
    <w:rsid w:val="00F17681"/>
    <w:rsid w:val="00F424EA"/>
    <w:rsid w:val="00F562C1"/>
    <w:rsid w:val="00F6338D"/>
    <w:rsid w:val="00FA39F7"/>
    <w:rsid w:val="00FA4323"/>
    <w:rsid w:val="00FB6503"/>
    <w:rsid w:val="00FC5BC0"/>
    <w:rsid w:val="00FD3D5F"/>
    <w:rsid w:val="00FF5739"/>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D8F04"/>
  <w15:chartTrackingRefBased/>
  <w15:docId w15:val="{5F427A19-9DC7-46CB-8221-18784FF3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1672B"/>
    <w:pPr>
      <w:spacing w:before="100" w:beforeAutospacing="1" w:after="100" w:afterAutospacing="1" w:line="240" w:lineRule="auto"/>
      <w:outlineLvl w:val="2"/>
    </w:pPr>
    <w:rPr>
      <w:rFonts w:ascii="Times New Roman" w:eastAsia="Times New Roman" w:hAnsi="Times New Roman" w:cs="Times New Roman"/>
      <w:b/>
      <w:bCs/>
      <w:sz w:val="27"/>
      <w:szCs w:val="27"/>
      <w:lang w:eastAsia="sr-Latn-RS"/>
    </w:rPr>
  </w:style>
  <w:style w:type="paragraph" w:styleId="Heading4">
    <w:name w:val="heading 4"/>
    <w:basedOn w:val="Normal"/>
    <w:link w:val="Heading4Char"/>
    <w:uiPriority w:val="9"/>
    <w:qFormat/>
    <w:rsid w:val="0061672B"/>
    <w:pPr>
      <w:spacing w:before="100" w:beforeAutospacing="1" w:after="100" w:afterAutospacing="1" w:line="240" w:lineRule="auto"/>
      <w:outlineLvl w:val="3"/>
    </w:pPr>
    <w:rPr>
      <w:rFonts w:ascii="Times New Roman" w:eastAsia="Times New Roman" w:hAnsi="Times New Roman" w:cs="Times New Roman"/>
      <w:b/>
      <w:bCs/>
      <w:sz w:val="24"/>
      <w:szCs w:val="24"/>
      <w:lang w:eastAsia="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 ?????? ???? Char,FOOTNOTES Char"/>
    <w:basedOn w:val="DefaultParagraphFont"/>
    <w:link w:val="FootnoteText"/>
    <w:uiPriority w:val="99"/>
    <w:semiHidden/>
    <w:locked/>
    <w:rsid w:val="00322F17"/>
    <w:rPr>
      <w:sz w:val="20"/>
      <w:szCs w:val="20"/>
      <w:lang w:val="en-US"/>
    </w:rPr>
  </w:style>
  <w:style w:type="paragraph" w:styleId="FootnoteText">
    <w:name w:val="footnote text"/>
    <w:aliases w:val="5_G,Footnote Text Char Char,Char,Char Char Char,Char Char Char Char,single space,Footnote Text Char Char Char Char Char Char Char,Note de bas de page2,????? ?????? ????,FOOTNOTES,fn"/>
    <w:basedOn w:val="Normal"/>
    <w:link w:val="FootnoteTextChar"/>
    <w:uiPriority w:val="99"/>
    <w:semiHidden/>
    <w:unhideWhenUsed/>
    <w:rsid w:val="00322F17"/>
    <w:pPr>
      <w:spacing w:after="0" w:line="240" w:lineRule="auto"/>
    </w:pPr>
    <w:rPr>
      <w:sz w:val="20"/>
      <w:szCs w:val="20"/>
      <w:lang w:val="en-US"/>
    </w:rPr>
  </w:style>
  <w:style w:type="character" w:customStyle="1" w:styleId="FootnoteTextChar1">
    <w:name w:val="Footnote Text Char1"/>
    <w:basedOn w:val="DefaultParagraphFont"/>
    <w:uiPriority w:val="99"/>
    <w:semiHidden/>
    <w:rsid w:val="00322F17"/>
    <w:rPr>
      <w:sz w:val="20"/>
      <w:szCs w:val="20"/>
    </w:rPr>
  </w:style>
  <w:style w:type="character" w:styleId="FootnoteReference">
    <w:name w:val="footnote reference"/>
    <w:aliases w:val="4_G,callout,Fago Fußnotenzeichen,Footnote Refernece,Footnote Reference Number,Fußnotenzeichen_Raxen,BVI fnr,4_G Char,callout Char,Fago Fußnotenzeichen Char,Footnote Refernece Char,Footnote Reference Number Char1,BVI fnr Char1"/>
    <w:basedOn w:val="DefaultParagraphFont"/>
    <w:link w:val="FootnoteReferenceAltR"/>
    <w:uiPriority w:val="99"/>
    <w:unhideWhenUsed/>
    <w:qFormat/>
    <w:rsid w:val="00322F17"/>
    <w:rPr>
      <w:vertAlign w:val="superscript"/>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897D3E"/>
    <w:rPr>
      <w:rFonts w:ascii="Times New Roman" w:eastAsia="Calibri" w:hAnsi="Times New Roman" w:cs="Times New Roman"/>
      <w:lang w:val="en-GB"/>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897D3E"/>
    <w:pPr>
      <w:spacing w:before="120" w:after="120" w:line="276" w:lineRule="auto"/>
      <w:ind w:left="720"/>
      <w:contextualSpacing/>
    </w:pPr>
    <w:rPr>
      <w:rFonts w:ascii="Times New Roman" w:eastAsia="Calibri" w:hAnsi="Times New Roman" w:cs="Times New Roman"/>
      <w:lang w:val="en-GB"/>
    </w:rPr>
  </w:style>
  <w:style w:type="paragraph" w:customStyle="1" w:styleId="FootnoteReferenceAltR">
    <w:name w:val="Footnote Reference (Alt+R)"/>
    <w:aliases w:val="Fn Ref,Footnotes refss,ftref,16 Point,Superscript 6 Point,nota pié di pagina,Times 10 Point,Ref"/>
    <w:basedOn w:val="Normal"/>
    <w:link w:val="FootnoteReference"/>
    <w:uiPriority w:val="99"/>
    <w:rsid w:val="00897D3E"/>
    <w:pPr>
      <w:spacing w:line="240" w:lineRule="exact"/>
    </w:pPr>
    <w:rPr>
      <w:vertAlign w:val="superscript"/>
    </w:rPr>
  </w:style>
  <w:style w:type="character" w:styleId="Hyperlink">
    <w:name w:val="Hyperlink"/>
    <w:basedOn w:val="DefaultParagraphFont"/>
    <w:uiPriority w:val="99"/>
    <w:unhideWhenUsed/>
    <w:rsid w:val="00CC6962"/>
    <w:rPr>
      <w:color w:val="0000FF"/>
      <w:u w:val="single"/>
    </w:rPr>
  </w:style>
  <w:style w:type="paragraph" w:styleId="NoSpacing">
    <w:name w:val="No Spacing"/>
    <w:uiPriority w:val="1"/>
    <w:qFormat/>
    <w:rsid w:val="00962AC0"/>
    <w:pPr>
      <w:spacing w:after="0" w:line="240" w:lineRule="auto"/>
    </w:pPr>
    <w:rPr>
      <w:rFonts w:ascii="Calibri" w:eastAsia="Calibri" w:hAnsi="Calibri" w:cs="Calibri"/>
      <w:lang w:val="en-US" w:eastAsia="sr-Latn-RS"/>
    </w:rPr>
  </w:style>
  <w:style w:type="character" w:customStyle="1" w:styleId="Heading3Char">
    <w:name w:val="Heading 3 Char"/>
    <w:basedOn w:val="DefaultParagraphFont"/>
    <w:link w:val="Heading3"/>
    <w:uiPriority w:val="9"/>
    <w:rsid w:val="0061672B"/>
    <w:rPr>
      <w:rFonts w:ascii="Times New Roman" w:eastAsia="Times New Roman" w:hAnsi="Times New Roman" w:cs="Times New Roman"/>
      <w:b/>
      <w:bCs/>
      <w:sz w:val="27"/>
      <w:szCs w:val="27"/>
      <w:lang w:eastAsia="sr-Latn-RS"/>
    </w:rPr>
  </w:style>
  <w:style w:type="character" w:customStyle="1" w:styleId="Heading4Char">
    <w:name w:val="Heading 4 Char"/>
    <w:basedOn w:val="DefaultParagraphFont"/>
    <w:link w:val="Heading4"/>
    <w:uiPriority w:val="9"/>
    <w:rsid w:val="0061672B"/>
    <w:rPr>
      <w:rFonts w:ascii="Times New Roman" w:eastAsia="Times New Roman" w:hAnsi="Times New Roman" w:cs="Times New Roman"/>
      <w:b/>
      <w:bCs/>
      <w:sz w:val="24"/>
      <w:szCs w:val="24"/>
      <w:lang w:eastAsia="sr-Latn-RS"/>
    </w:rPr>
  </w:style>
  <w:style w:type="paragraph" w:styleId="NormalWeb">
    <w:name w:val="Normal (Web)"/>
    <w:basedOn w:val="Normal"/>
    <w:uiPriority w:val="99"/>
    <w:semiHidden/>
    <w:unhideWhenUsed/>
    <w:rsid w:val="0061672B"/>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styleId="Strong">
    <w:name w:val="Strong"/>
    <w:basedOn w:val="DefaultParagraphFont"/>
    <w:uiPriority w:val="22"/>
    <w:qFormat/>
    <w:rsid w:val="0061672B"/>
    <w:rPr>
      <w:b/>
      <w:bCs/>
    </w:rPr>
  </w:style>
  <w:style w:type="paragraph" w:styleId="Header">
    <w:name w:val="header"/>
    <w:basedOn w:val="Normal"/>
    <w:link w:val="HeaderChar"/>
    <w:uiPriority w:val="99"/>
    <w:unhideWhenUsed/>
    <w:rsid w:val="004B4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D21"/>
  </w:style>
  <w:style w:type="paragraph" w:styleId="Footer">
    <w:name w:val="footer"/>
    <w:basedOn w:val="Normal"/>
    <w:link w:val="FooterChar"/>
    <w:uiPriority w:val="99"/>
    <w:unhideWhenUsed/>
    <w:rsid w:val="004B4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D21"/>
  </w:style>
  <w:style w:type="character" w:styleId="UnresolvedMention">
    <w:name w:val="Unresolved Mention"/>
    <w:basedOn w:val="DefaultParagraphFont"/>
    <w:uiPriority w:val="99"/>
    <w:semiHidden/>
    <w:unhideWhenUsed/>
    <w:rsid w:val="004B4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86038">
      <w:bodyDiv w:val="1"/>
      <w:marLeft w:val="0"/>
      <w:marRight w:val="0"/>
      <w:marTop w:val="0"/>
      <w:marBottom w:val="0"/>
      <w:divBdr>
        <w:top w:val="none" w:sz="0" w:space="0" w:color="auto"/>
        <w:left w:val="none" w:sz="0" w:space="0" w:color="auto"/>
        <w:bottom w:val="none" w:sz="0" w:space="0" w:color="auto"/>
        <w:right w:val="none" w:sz="0" w:space="0" w:color="auto"/>
      </w:divBdr>
    </w:div>
    <w:div w:id="240872629">
      <w:bodyDiv w:val="1"/>
      <w:marLeft w:val="0"/>
      <w:marRight w:val="0"/>
      <w:marTop w:val="0"/>
      <w:marBottom w:val="0"/>
      <w:divBdr>
        <w:top w:val="none" w:sz="0" w:space="0" w:color="auto"/>
        <w:left w:val="none" w:sz="0" w:space="0" w:color="auto"/>
        <w:bottom w:val="none" w:sz="0" w:space="0" w:color="auto"/>
        <w:right w:val="none" w:sz="0" w:space="0" w:color="auto"/>
      </w:divBdr>
    </w:div>
    <w:div w:id="312610179">
      <w:bodyDiv w:val="1"/>
      <w:marLeft w:val="0"/>
      <w:marRight w:val="0"/>
      <w:marTop w:val="0"/>
      <w:marBottom w:val="0"/>
      <w:divBdr>
        <w:top w:val="none" w:sz="0" w:space="0" w:color="auto"/>
        <w:left w:val="none" w:sz="0" w:space="0" w:color="auto"/>
        <w:bottom w:val="none" w:sz="0" w:space="0" w:color="auto"/>
        <w:right w:val="none" w:sz="0" w:space="0" w:color="auto"/>
      </w:divBdr>
    </w:div>
    <w:div w:id="542401614">
      <w:bodyDiv w:val="1"/>
      <w:marLeft w:val="0"/>
      <w:marRight w:val="0"/>
      <w:marTop w:val="0"/>
      <w:marBottom w:val="0"/>
      <w:divBdr>
        <w:top w:val="none" w:sz="0" w:space="0" w:color="auto"/>
        <w:left w:val="none" w:sz="0" w:space="0" w:color="auto"/>
        <w:bottom w:val="none" w:sz="0" w:space="0" w:color="auto"/>
        <w:right w:val="none" w:sz="0" w:space="0" w:color="auto"/>
      </w:divBdr>
    </w:div>
    <w:div w:id="1205676832">
      <w:bodyDiv w:val="1"/>
      <w:marLeft w:val="0"/>
      <w:marRight w:val="0"/>
      <w:marTop w:val="0"/>
      <w:marBottom w:val="0"/>
      <w:divBdr>
        <w:top w:val="none" w:sz="0" w:space="0" w:color="auto"/>
        <w:left w:val="none" w:sz="0" w:space="0" w:color="auto"/>
        <w:bottom w:val="none" w:sz="0" w:space="0" w:color="auto"/>
        <w:right w:val="none" w:sz="0" w:space="0" w:color="auto"/>
      </w:divBdr>
    </w:div>
    <w:div w:id="1473019579">
      <w:bodyDiv w:val="1"/>
      <w:marLeft w:val="0"/>
      <w:marRight w:val="0"/>
      <w:marTop w:val="0"/>
      <w:marBottom w:val="0"/>
      <w:divBdr>
        <w:top w:val="none" w:sz="0" w:space="0" w:color="auto"/>
        <w:left w:val="none" w:sz="0" w:space="0" w:color="auto"/>
        <w:bottom w:val="none" w:sz="0" w:space="0" w:color="auto"/>
        <w:right w:val="none" w:sz="0" w:space="0" w:color="auto"/>
      </w:divBdr>
      <w:divsChild>
        <w:div w:id="1282685986">
          <w:marLeft w:val="0"/>
          <w:marRight w:val="0"/>
          <w:marTop w:val="0"/>
          <w:marBottom w:val="0"/>
          <w:divBdr>
            <w:top w:val="none" w:sz="0" w:space="0" w:color="auto"/>
            <w:left w:val="none" w:sz="0" w:space="0" w:color="auto"/>
            <w:bottom w:val="none" w:sz="0" w:space="0" w:color="auto"/>
            <w:right w:val="none" w:sz="0" w:space="0" w:color="auto"/>
          </w:divBdr>
          <w:divsChild>
            <w:div w:id="1832528657">
              <w:marLeft w:val="0"/>
              <w:marRight w:val="0"/>
              <w:marTop w:val="0"/>
              <w:marBottom w:val="0"/>
              <w:divBdr>
                <w:top w:val="none" w:sz="0" w:space="0" w:color="auto"/>
                <w:left w:val="none" w:sz="0" w:space="0" w:color="auto"/>
                <w:bottom w:val="none" w:sz="0" w:space="0" w:color="auto"/>
                <w:right w:val="none" w:sz="0" w:space="0" w:color="auto"/>
              </w:divBdr>
              <w:divsChild>
                <w:div w:id="492456548">
                  <w:marLeft w:val="0"/>
                  <w:marRight w:val="0"/>
                  <w:marTop w:val="0"/>
                  <w:marBottom w:val="525"/>
                  <w:divBdr>
                    <w:top w:val="none" w:sz="0" w:space="0" w:color="auto"/>
                    <w:left w:val="none" w:sz="0" w:space="0" w:color="auto"/>
                    <w:bottom w:val="none" w:sz="0" w:space="0" w:color="auto"/>
                    <w:right w:val="none" w:sz="0" w:space="0" w:color="auto"/>
                  </w:divBdr>
                  <w:divsChild>
                    <w:div w:id="10573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14617">
          <w:marLeft w:val="0"/>
          <w:marRight w:val="0"/>
          <w:marTop w:val="0"/>
          <w:marBottom w:val="0"/>
          <w:divBdr>
            <w:top w:val="none" w:sz="0" w:space="0" w:color="auto"/>
            <w:left w:val="none" w:sz="0" w:space="0" w:color="auto"/>
            <w:bottom w:val="none" w:sz="0" w:space="0" w:color="auto"/>
            <w:right w:val="none" w:sz="0" w:space="0" w:color="auto"/>
          </w:divBdr>
          <w:divsChild>
            <w:div w:id="1993827117">
              <w:marLeft w:val="0"/>
              <w:marRight w:val="0"/>
              <w:marTop w:val="0"/>
              <w:marBottom w:val="0"/>
              <w:divBdr>
                <w:top w:val="none" w:sz="0" w:space="0" w:color="auto"/>
                <w:left w:val="none" w:sz="0" w:space="0" w:color="auto"/>
                <w:bottom w:val="none" w:sz="0" w:space="0" w:color="auto"/>
                <w:right w:val="none" w:sz="0" w:space="0" w:color="auto"/>
              </w:divBdr>
              <w:divsChild>
                <w:div w:id="1764103996">
                  <w:marLeft w:val="0"/>
                  <w:marRight w:val="0"/>
                  <w:marTop w:val="0"/>
                  <w:marBottom w:val="525"/>
                  <w:divBdr>
                    <w:top w:val="none" w:sz="0" w:space="0" w:color="auto"/>
                    <w:left w:val="none" w:sz="0" w:space="0" w:color="auto"/>
                    <w:bottom w:val="none" w:sz="0" w:space="0" w:color="auto"/>
                    <w:right w:val="none" w:sz="0" w:space="0" w:color="auto"/>
                  </w:divBdr>
                  <w:divsChild>
                    <w:div w:id="15881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028917">
      <w:bodyDiv w:val="1"/>
      <w:marLeft w:val="0"/>
      <w:marRight w:val="0"/>
      <w:marTop w:val="0"/>
      <w:marBottom w:val="0"/>
      <w:divBdr>
        <w:top w:val="none" w:sz="0" w:space="0" w:color="auto"/>
        <w:left w:val="none" w:sz="0" w:space="0" w:color="auto"/>
        <w:bottom w:val="none" w:sz="0" w:space="0" w:color="auto"/>
        <w:right w:val="none" w:sz="0" w:space="0" w:color="auto"/>
      </w:divBdr>
    </w:div>
    <w:div w:id="1921867547">
      <w:bodyDiv w:val="1"/>
      <w:marLeft w:val="0"/>
      <w:marRight w:val="0"/>
      <w:marTop w:val="0"/>
      <w:marBottom w:val="0"/>
      <w:divBdr>
        <w:top w:val="none" w:sz="0" w:space="0" w:color="auto"/>
        <w:left w:val="none" w:sz="0" w:space="0" w:color="auto"/>
        <w:bottom w:val="none" w:sz="0" w:space="0" w:color="auto"/>
        <w:right w:val="none" w:sz="0" w:space="0" w:color="auto"/>
      </w:divBdr>
    </w:div>
    <w:div w:id="193948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latforma.org.rs/" TargetMode="External"/><Relationship Id="rId4" Type="http://schemas.openxmlformats.org/officeDocument/2006/relationships/settings" Target="settings.xml"/><Relationship Id="rId9" Type="http://schemas.openxmlformats.org/officeDocument/2006/relationships/hyperlink" Target="https://www.a11initiative.org/en/hom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rs/attachments/article/5536/Poseban%20izvestaj%20ZG%20Rep%20zdravlje%20Romkinja%2011.pdf" TargetMode="External"/><Relationship Id="rId13" Type="http://schemas.openxmlformats.org/officeDocument/2006/relationships/hyperlink" Target="https://www.euronews.rs/srbija/politika/25578/ministarstvo-radnici-iz-vijetnama-koji-su-angazovani-na-gradnji-fabrike-linglong-premesteni-na-drugu-lokaciju/vest" TargetMode="External"/><Relationship Id="rId3" Type="http://schemas.openxmlformats.org/officeDocument/2006/relationships/hyperlink" Target="https://www.unicef.org/serbia/media/16301/file/Serbia%20(National%20and%20Roma%20Settlements)%202019%20MICS%20Statistical%20Snapshots_English.pdf" TargetMode="External"/><Relationship Id="rId7" Type="http://schemas.openxmlformats.org/officeDocument/2006/relationships/hyperlink" Target="http://tbinternet.ohchr.org/_layouts/treatybodyexternal/Download.aspx?symbolno=CRC%2fC%2fSRB%2fCO%2f2-3&amp;Lang=en" TargetMode="External"/><Relationship Id="rId12" Type="http://schemas.openxmlformats.org/officeDocument/2006/relationships/hyperlink" Target="https://balkaninsight.com/2021/11/29/documents-reveal-extent-of-exploitation-at-chinese-tire-site-in-serbia" TargetMode="External"/><Relationship Id="rId2" Type="http://schemas.openxmlformats.org/officeDocument/2006/relationships/hyperlink" Target="https://www.unicef.org/serbia/media/16726/file/MICS%206%20Multiple%20Indicator%20Cluster%20Survey%20for%202019.pdf" TargetMode="External"/><Relationship Id="rId1" Type="http://schemas.openxmlformats.org/officeDocument/2006/relationships/hyperlink" Target="https://www.eurasia.undp.org/content/dam/rbec/docs/Factsheet_SERBIA_Roma.pdf" TargetMode="External"/><Relationship Id="rId6" Type="http://schemas.openxmlformats.org/officeDocument/2006/relationships/hyperlink" Target="http://ravnopravnost.gov.rs/rs/preporuka-mera-ministarstvu-finansija-2/" TargetMode="External"/><Relationship Id="rId11" Type="http://schemas.openxmlformats.org/officeDocument/2006/relationships/hyperlink" Target="https://pescanik.net/wp-content/uploads/2021/12/izjava-da-nece-pobeci.pdf" TargetMode="External"/><Relationship Id="rId5" Type="http://schemas.openxmlformats.org/officeDocument/2006/relationships/hyperlink" Target="http://ravnopravnost.gov.rs/rs/preporuka-mera-ministarstvu-finansija-2/" TargetMode="External"/><Relationship Id="rId10" Type="http://schemas.openxmlformats.org/officeDocument/2006/relationships/hyperlink" Target="https://pescanik.net/wp-content/uploads/2021/12/ugovor-o-radu.pdf" TargetMode="External"/><Relationship Id="rId4" Type="http://schemas.openxmlformats.org/officeDocument/2006/relationships/hyperlink" Target="https://www.a11initiative.org/wp-content/uploads/2020/10/Human-Rights-in-Serbia-during-the-First-Wave-of-Coronavirus-1.pdf" TargetMode="External"/><Relationship Id="rId9" Type="http://schemas.openxmlformats.org/officeDocument/2006/relationships/hyperlink" Target="https://voice.org.rs/vise-od-750-vijetnamaca-i-kineza-u-indus%20trijskoj-zoni-zrenjanin-beznade-nevidljivih/" TargetMode="External"/><Relationship Id="rId14" Type="http://schemas.openxmlformats.org/officeDocument/2006/relationships/hyperlink" Target="https://www.mgsi.gov.rs/cir/aktuelnosti/momirovitsh-fabrika-linglong-najkontrolisanije-gradilishte-u-srbiji-izvrsheno-do-s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9A64F-5B7F-497B-BC5F-04D58560C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4417</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Milijana Trifković</dc:creator>
  <cp:keywords/>
  <dc:description/>
  <cp:lastModifiedBy>Danilo Ćurčić</cp:lastModifiedBy>
  <cp:revision>2</cp:revision>
  <dcterms:created xsi:type="dcterms:W3CDTF">2023-01-03T19:01:00Z</dcterms:created>
  <dcterms:modified xsi:type="dcterms:W3CDTF">2023-01-03T19:01:00Z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a8baf67b-5bd0-4427-b71f-c12a78e14986</vt:lpwstr>
  </property>
</Properties>
</file>