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F52E0" w14:textId="3A83976C" w:rsidR="00056B54" w:rsidRDefault="00056B54" w:rsidP="00075C0D">
      <w:pPr>
        <w:rPr>
          <w:b/>
          <w:bCs/>
          <w:sz w:val="36"/>
          <w:szCs w:val="36"/>
        </w:rPr>
      </w:pPr>
      <w:r>
        <w:rPr>
          <w:b/>
          <w:bCs/>
          <w:noProof/>
          <w:sz w:val="36"/>
          <w:szCs w:val="36"/>
        </w:rPr>
        <w:drawing>
          <wp:inline distT="0" distB="0" distL="0" distR="0" wp14:anchorId="6554D2FD" wp14:editId="14F0A788">
            <wp:extent cx="3999470" cy="666151"/>
            <wp:effectExtent l="0" t="0" r="127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 Mezan logo HD1.png"/>
                    <pic:cNvPicPr/>
                  </pic:nvPicPr>
                  <pic:blipFill>
                    <a:blip r:embed="rId7">
                      <a:extLst>
                        <a:ext uri="{28A0092B-C50C-407E-A947-70E740481C1C}">
                          <a14:useLocalDpi xmlns:a14="http://schemas.microsoft.com/office/drawing/2010/main" val="0"/>
                        </a:ext>
                      </a:extLst>
                    </a:blip>
                    <a:stretch>
                      <a:fillRect/>
                    </a:stretch>
                  </pic:blipFill>
                  <pic:spPr>
                    <a:xfrm>
                      <a:off x="0" y="0"/>
                      <a:ext cx="4036130" cy="672257"/>
                    </a:xfrm>
                    <a:prstGeom prst="rect">
                      <a:avLst/>
                    </a:prstGeom>
                  </pic:spPr>
                </pic:pic>
              </a:graphicData>
            </a:graphic>
          </wp:inline>
        </w:drawing>
      </w:r>
    </w:p>
    <w:p w14:paraId="6BCD3309" w14:textId="77777777" w:rsidR="00056B54" w:rsidRDefault="00056B54" w:rsidP="00075C0D">
      <w:pPr>
        <w:rPr>
          <w:b/>
          <w:bCs/>
          <w:sz w:val="36"/>
          <w:szCs w:val="36"/>
        </w:rPr>
      </w:pPr>
    </w:p>
    <w:p w14:paraId="3E63C9BE" w14:textId="6F57D3BC" w:rsidR="00056B54" w:rsidRDefault="00056B54" w:rsidP="00DA153D">
      <w:pPr>
        <w:pStyle w:val="Title"/>
      </w:pPr>
      <w:r w:rsidRPr="00056B54">
        <w:t xml:space="preserve">Al Mezan Centre for Human Rights: </w:t>
      </w:r>
    </w:p>
    <w:p w14:paraId="3A14709E" w14:textId="59B36E23" w:rsidR="00056B54" w:rsidRDefault="00056B54" w:rsidP="00DA153D">
      <w:pPr>
        <w:pStyle w:val="Title"/>
        <w:rPr>
          <w:color w:val="000000"/>
        </w:rPr>
      </w:pPr>
      <w:r w:rsidRPr="00056B54">
        <w:t xml:space="preserve">Shadow </w:t>
      </w:r>
      <w:r w:rsidR="00075C0D">
        <w:t>r</w:t>
      </w:r>
      <w:r w:rsidRPr="00056B54">
        <w:t xml:space="preserve">eport to the </w:t>
      </w:r>
      <w:r w:rsidRPr="00056B54">
        <w:rPr>
          <w:color w:val="000000"/>
        </w:rPr>
        <w:t>Committee on Economic, Social and Cultural Rights</w:t>
      </w:r>
    </w:p>
    <w:p w14:paraId="359F79FA" w14:textId="23D94C5B" w:rsidR="00056B54" w:rsidRPr="00056B54" w:rsidRDefault="00056B54" w:rsidP="00DA153D">
      <w:pPr>
        <w:pStyle w:val="Title"/>
        <w:rPr>
          <w:color w:val="000000"/>
        </w:rPr>
      </w:pPr>
      <w:r w:rsidRPr="00056B54">
        <w:rPr>
          <w:color w:val="000000"/>
        </w:rPr>
        <w:t>RE: List of issues in relation to the fourth periodic report of Israel</w:t>
      </w:r>
    </w:p>
    <w:p w14:paraId="254623A5" w14:textId="77777777" w:rsidR="00056B54" w:rsidRDefault="00056B54" w:rsidP="00075C0D">
      <w:pPr>
        <w:rPr>
          <w:u w:val="single"/>
        </w:rPr>
      </w:pPr>
    </w:p>
    <w:p w14:paraId="096A08E3" w14:textId="77777777" w:rsidR="00056B54" w:rsidRPr="00056B54" w:rsidRDefault="00056B54" w:rsidP="00DA153D">
      <w:pPr>
        <w:pStyle w:val="Heading1"/>
      </w:pPr>
      <w:r w:rsidRPr="00056B54">
        <w:t>September 2019</w:t>
      </w:r>
    </w:p>
    <w:p w14:paraId="2D5CE8C9" w14:textId="605B449A" w:rsidR="00056B54" w:rsidRDefault="00056B54">
      <w:pPr>
        <w:rPr>
          <w:u w:val="single"/>
        </w:rPr>
      </w:pPr>
    </w:p>
    <w:p w14:paraId="2863C321" w14:textId="16419425" w:rsidR="00056B54" w:rsidRDefault="00056B54">
      <w:pPr>
        <w:rPr>
          <w:u w:val="single"/>
        </w:rPr>
      </w:pPr>
    </w:p>
    <w:p w14:paraId="6CDD0A08" w14:textId="234082AB" w:rsidR="00056B54" w:rsidRDefault="00056B54">
      <w:pPr>
        <w:rPr>
          <w:u w:val="single"/>
        </w:rPr>
      </w:pPr>
    </w:p>
    <w:p w14:paraId="7CE19AC8" w14:textId="75FBE17D" w:rsidR="00056B54" w:rsidRDefault="00056B54">
      <w:pPr>
        <w:rPr>
          <w:u w:val="single"/>
        </w:rPr>
      </w:pPr>
    </w:p>
    <w:p w14:paraId="5B067BE8" w14:textId="22CC6B18" w:rsidR="00056B54" w:rsidRDefault="00056B54">
      <w:pPr>
        <w:rPr>
          <w:u w:val="single"/>
        </w:rPr>
      </w:pPr>
    </w:p>
    <w:p w14:paraId="17353C35" w14:textId="11A92DA0" w:rsidR="00056B54" w:rsidRDefault="00056B54">
      <w:pPr>
        <w:rPr>
          <w:u w:val="single"/>
        </w:rPr>
      </w:pPr>
    </w:p>
    <w:p w14:paraId="22481D28" w14:textId="43934CB1" w:rsidR="00056B54" w:rsidRDefault="00056B54">
      <w:pPr>
        <w:rPr>
          <w:u w:val="single"/>
        </w:rPr>
      </w:pPr>
    </w:p>
    <w:p w14:paraId="04F1EEE2" w14:textId="5065F9A4" w:rsidR="00056B54" w:rsidRDefault="00056B54">
      <w:pPr>
        <w:rPr>
          <w:u w:val="single"/>
        </w:rPr>
      </w:pPr>
    </w:p>
    <w:p w14:paraId="7326E27D" w14:textId="35CBD46A" w:rsidR="00056B54" w:rsidRDefault="00056B54">
      <w:pPr>
        <w:rPr>
          <w:u w:val="single"/>
        </w:rPr>
      </w:pPr>
    </w:p>
    <w:p w14:paraId="67A0BBD9" w14:textId="1C536FC4" w:rsidR="00056B54" w:rsidRDefault="00056B54">
      <w:pPr>
        <w:rPr>
          <w:u w:val="single"/>
        </w:rPr>
      </w:pPr>
    </w:p>
    <w:p w14:paraId="47F37650" w14:textId="620EB92C" w:rsidR="00056B54" w:rsidRDefault="00056B54">
      <w:pPr>
        <w:rPr>
          <w:u w:val="single"/>
        </w:rPr>
      </w:pPr>
    </w:p>
    <w:p w14:paraId="69E2AC37" w14:textId="37F5B503" w:rsidR="00056B54" w:rsidRDefault="00056B54">
      <w:pPr>
        <w:rPr>
          <w:u w:val="single"/>
        </w:rPr>
      </w:pPr>
    </w:p>
    <w:p w14:paraId="682E17AB" w14:textId="4B4EE452" w:rsidR="00056B54" w:rsidRDefault="00056B54">
      <w:pPr>
        <w:rPr>
          <w:u w:val="single"/>
        </w:rPr>
      </w:pPr>
    </w:p>
    <w:p w14:paraId="2C99F887" w14:textId="29E02B9C" w:rsidR="00056B54" w:rsidRDefault="00056B54">
      <w:pPr>
        <w:rPr>
          <w:u w:val="single"/>
        </w:rPr>
      </w:pPr>
    </w:p>
    <w:p w14:paraId="17F5CDFA" w14:textId="4BEB9C2D" w:rsidR="00056B54" w:rsidRDefault="00056B54">
      <w:pPr>
        <w:rPr>
          <w:u w:val="single"/>
        </w:rPr>
      </w:pPr>
    </w:p>
    <w:p w14:paraId="28D35892" w14:textId="4EF993EF" w:rsidR="00056B54" w:rsidRDefault="00056B54">
      <w:pPr>
        <w:rPr>
          <w:u w:val="single"/>
        </w:rPr>
      </w:pPr>
    </w:p>
    <w:p w14:paraId="57AD08D2" w14:textId="243847B1" w:rsidR="00056B54" w:rsidRDefault="00056B54">
      <w:pPr>
        <w:rPr>
          <w:u w:val="single"/>
        </w:rPr>
      </w:pPr>
    </w:p>
    <w:p w14:paraId="1E231E41" w14:textId="444C6BFE" w:rsidR="00056B54" w:rsidRDefault="00056B54">
      <w:pPr>
        <w:rPr>
          <w:u w:val="single"/>
        </w:rPr>
      </w:pPr>
    </w:p>
    <w:p w14:paraId="7B9071B9" w14:textId="6F67CA27" w:rsidR="00075C0D" w:rsidRDefault="00075C0D">
      <w:pPr>
        <w:rPr>
          <w:u w:val="single"/>
        </w:rPr>
      </w:pPr>
    </w:p>
    <w:p w14:paraId="7BC3356C" w14:textId="0AE568CC" w:rsidR="00075C0D" w:rsidRDefault="00075C0D">
      <w:pPr>
        <w:rPr>
          <w:u w:val="single"/>
        </w:rPr>
      </w:pPr>
    </w:p>
    <w:p w14:paraId="56AE62FF" w14:textId="77777777" w:rsidR="00075C0D" w:rsidRDefault="00075C0D">
      <w:pPr>
        <w:rPr>
          <w:u w:val="single"/>
        </w:rPr>
      </w:pPr>
    </w:p>
    <w:p w14:paraId="2AF9A213" w14:textId="77777777" w:rsidR="00056B54" w:rsidRPr="009351BD" w:rsidRDefault="00056B54">
      <w:pPr>
        <w:rPr>
          <w:u w:val="single"/>
        </w:rPr>
      </w:pPr>
    </w:p>
    <w:p w14:paraId="5F7CF3AA" w14:textId="7BE75C81" w:rsidR="00075C0D" w:rsidRPr="00DA153D" w:rsidRDefault="00DA153D" w:rsidP="00DA153D">
      <w:pPr>
        <w:pStyle w:val="Heading2"/>
        <w:rPr>
          <w:u w:val="single"/>
        </w:rPr>
      </w:pPr>
      <w:r>
        <w:t>N</w:t>
      </w:r>
      <w:r w:rsidR="00075C0D">
        <w:t>ote: c</w:t>
      </w:r>
      <w:r w:rsidR="0001759C" w:rsidRPr="00056B54">
        <w:t xml:space="preserve">ontributions were made to this report by </w:t>
      </w:r>
      <w:r w:rsidR="00056B54" w:rsidRPr="00056B54">
        <w:rPr>
          <w:shd w:val="clear" w:color="auto" w:fill="FFFFFF"/>
        </w:rPr>
        <w:t>Adalah – The Legal Center for Arab Minority Rights in Israel and Gisha</w:t>
      </w:r>
      <w:r w:rsidR="00056B54" w:rsidRPr="00056B54">
        <w:rPr>
          <w:rFonts w:hint="cs"/>
          <w:shd w:val="clear" w:color="auto" w:fill="FFFFFF"/>
          <w:rtl/>
          <w:lang w:bidi="he-IL"/>
        </w:rPr>
        <w:t xml:space="preserve"> </w:t>
      </w:r>
      <w:r w:rsidR="00056B54" w:rsidRPr="00056B54">
        <w:rPr>
          <w:shd w:val="clear" w:color="auto" w:fill="FFFFFF"/>
          <w:rtl/>
          <w:lang w:bidi="he-IL"/>
        </w:rPr>
        <w:t>–</w:t>
      </w:r>
      <w:r w:rsidR="00056B54" w:rsidRPr="00056B54">
        <w:rPr>
          <w:rFonts w:hint="cs"/>
          <w:shd w:val="clear" w:color="auto" w:fill="FFFFFF"/>
          <w:rtl/>
          <w:lang w:bidi="he-IL"/>
        </w:rPr>
        <w:t xml:space="preserve"> </w:t>
      </w:r>
      <w:r w:rsidR="00056B54" w:rsidRPr="00056B54">
        <w:rPr>
          <w:rFonts w:hint="cs"/>
          <w:shd w:val="clear" w:color="auto" w:fill="FFFFFF"/>
          <w:lang w:bidi="he-IL"/>
        </w:rPr>
        <w:t>L</w:t>
      </w:r>
      <w:r w:rsidR="00056B54" w:rsidRPr="00056B54">
        <w:rPr>
          <w:shd w:val="clear" w:color="auto" w:fill="FFFFFF"/>
          <w:lang w:bidi="he-IL"/>
        </w:rPr>
        <w:t>egal Center for Freedom of Movement</w:t>
      </w:r>
    </w:p>
    <w:p w14:paraId="0CA6AB5F" w14:textId="77777777" w:rsidR="00DA153D" w:rsidRDefault="00DA153D">
      <w:pPr>
        <w:rPr>
          <w:b/>
          <w:bCs/>
          <w:u w:val="single"/>
        </w:rPr>
      </w:pPr>
      <w:r>
        <w:rPr>
          <w:b/>
          <w:bCs/>
          <w:u w:val="single"/>
        </w:rPr>
        <w:br w:type="page"/>
      </w:r>
    </w:p>
    <w:p w14:paraId="24DD4D47" w14:textId="7B371ED4" w:rsidR="00AD5A55" w:rsidRPr="00921A5D" w:rsidRDefault="00AD5A55" w:rsidP="00DA153D">
      <w:pPr>
        <w:pStyle w:val="Heading1"/>
      </w:pPr>
      <w:r w:rsidRPr="00921A5D">
        <w:lastRenderedPageBreak/>
        <w:t>Question 2</w:t>
      </w:r>
    </w:p>
    <w:p w14:paraId="58EA61CD" w14:textId="77777777" w:rsidR="00AD5A55" w:rsidRPr="009351BD" w:rsidRDefault="00AD5A55" w:rsidP="00AD5A55">
      <w:pPr>
        <w:rPr>
          <w:u w:val="single"/>
        </w:rPr>
      </w:pPr>
    </w:p>
    <w:p w14:paraId="32B6DA7A" w14:textId="77777777" w:rsidR="00AD5A55" w:rsidRPr="004A7947" w:rsidRDefault="00AD5A55" w:rsidP="00AD5A55">
      <w:pPr>
        <w:pStyle w:val="ListParagraph"/>
        <w:numPr>
          <w:ilvl w:val="0"/>
          <w:numId w:val="4"/>
        </w:numPr>
        <w:jc w:val="both"/>
      </w:pPr>
      <w:r w:rsidRPr="004A7947">
        <w:t>The international community has widely rejected</w:t>
      </w:r>
      <w:r w:rsidRPr="004A7947">
        <w:rPr>
          <w:rStyle w:val="FootnoteReference"/>
          <w:sz w:val="24"/>
        </w:rPr>
        <w:footnoteReference w:id="1"/>
      </w:r>
      <w:r w:rsidRPr="004A7947">
        <w:t xml:space="preserve"> the Israeli government’s non-recognition of the Palestinian territory as being occupied and non-applicability of the Fourth Geneva Convention.</w:t>
      </w:r>
      <w:r w:rsidRPr="004A7947">
        <w:rPr>
          <w:rStyle w:val="FootnoteReference"/>
          <w:sz w:val="24"/>
        </w:rPr>
        <w:footnoteReference w:id="2"/>
      </w:r>
      <w:r w:rsidRPr="004A7947">
        <w:t xml:space="preserve"> </w:t>
      </w:r>
      <w:r>
        <w:t xml:space="preserve">As Special Rapporteur </w:t>
      </w:r>
      <w:r w:rsidRPr="004A7947">
        <w:t xml:space="preserve">on the situation of human rights in the </w:t>
      </w:r>
      <w:r>
        <w:t xml:space="preserve">occupied </w:t>
      </w:r>
      <w:r w:rsidRPr="004A7947">
        <w:t xml:space="preserve">Palestinian </w:t>
      </w:r>
      <w:r>
        <w:t>t</w:t>
      </w:r>
      <w:r w:rsidRPr="004A7947">
        <w:t>erritory</w:t>
      </w:r>
      <w:r>
        <w:t xml:space="preserve">, Professor Michael </w:t>
      </w:r>
      <w:proofErr w:type="spellStart"/>
      <w:r>
        <w:t>Lynk</w:t>
      </w:r>
      <w:proofErr w:type="spellEnd"/>
      <w:r>
        <w:t>, wrote</w:t>
      </w:r>
      <w:r>
        <w:rPr>
          <w:rStyle w:val="FootnoteReference"/>
        </w:rPr>
        <w:footnoteReference w:id="3"/>
      </w:r>
      <w:r>
        <w:t xml:space="preserve">: </w:t>
      </w:r>
    </w:p>
    <w:p w14:paraId="2BE84E77" w14:textId="77777777" w:rsidR="00AD5A55" w:rsidRPr="004A7947" w:rsidRDefault="00AD5A55" w:rsidP="00AD5A55">
      <w:pPr>
        <w:pStyle w:val="ListParagraph"/>
        <w:ind w:left="360"/>
        <w:jc w:val="both"/>
      </w:pPr>
    </w:p>
    <w:p w14:paraId="30107660" w14:textId="591CA81B" w:rsidR="00AD5A55" w:rsidRDefault="00AD5A55" w:rsidP="0001759C">
      <w:pPr>
        <w:pStyle w:val="ListParagraph"/>
        <w:ind w:left="900" w:right="900"/>
        <w:jc w:val="both"/>
      </w:pPr>
      <w:r w:rsidRPr="004A7947">
        <w:t>Israel has occupied the Palestinian territory (the West Bank, including East Jerusalem, and Gaza) since June 1967. As such, the Fourth Geneva Convention applies in full. This legal determination has been affirmed by the Security Council on a consistent and regular basis, starting at the very beginning of the occupation in June 1967</w:t>
      </w:r>
      <w:r>
        <w:rPr>
          <w:rStyle w:val="FootnoteReference"/>
        </w:rPr>
        <w:footnoteReference w:id="4"/>
      </w:r>
      <w:r w:rsidRPr="004A7947">
        <w:t xml:space="preserve"> and restated most recently in December 2016.</w:t>
      </w:r>
      <w:r>
        <w:rPr>
          <w:rStyle w:val="FootnoteReference"/>
        </w:rPr>
        <w:footnoteReference w:id="5"/>
      </w:r>
      <w:r w:rsidRPr="004A7947">
        <w:t xml:space="preserve"> This is also the position stated at a 2014 Conference of High Contracting Parties to the Fourth Geneva Convention (A/69/711-S/2015/1, annex, para. 4). As such, the Palestinians in the occupied territory are “protected persons” under international humanitarian </w:t>
      </w:r>
      <w:proofErr w:type="gramStart"/>
      <w:r w:rsidRPr="004A7947">
        <w:t>law, and</w:t>
      </w:r>
      <w:proofErr w:type="gramEnd"/>
      <w:r w:rsidRPr="004A7947">
        <w:t xml:space="preserve"> are entitled to all of the protections of the Fourth Geneva Convention.</w:t>
      </w:r>
      <w:r>
        <w:rPr>
          <w:rStyle w:val="FootnoteReference"/>
        </w:rPr>
        <w:footnoteReference w:id="6"/>
      </w:r>
      <w:r w:rsidRPr="004A7947">
        <w:t xml:space="preserve"> </w:t>
      </w:r>
    </w:p>
    <w:p w14:paraId="11B03763" w14:textId="77777777" w:rsidR="00B97F19" w:rsidRDefault="00B97F19" w:rsidP="00AD5A55">
      <w:pPr>
        <w:ind w:right="900"/>
        <w:jc w:val="both"/>
      </w:pPr>
    </w:p>
    <w:p w14:paraId="029A18FF" w14:textId="77777777" w:rsidR="00AD5A55" w:rsidRDefault="00AD5A55" w:rsidP="00AD5A55">
      <w:pPr>
        <w:pStyle w:val="ListParagraph"/>
        <w:numPr>
          <w:ilvl w:val="0"/>
          <w:numId w:val="4"/>
        </w:numPr>
        <w:jc w:val="both"/>
      </w:pPr>
      <w:r>
        <w:t xml:space="preserve">The government of Israel also claims that </w:t>
      </w:r>
      <w:r w:rsidRPr="00364FAD">
        <w:t>any occupation of the Gaza Strip would have ended when the government unilaterally withdrew its ground forces and settlers from Gaza in 2005.</w:t>
      </w:r>
      <w:r>
        <w:rPr>
          <w:rStyle w:val="FootnoteReference"/>
        </w:rPr>
        <w:footnoteReference w:id="7"/>
      </w:r>
      <w:r w:rsidRPr="00364FAD">
        <w:t xml:space="preserve"> </w:t>
      </w:r>
      <w:r>
        <w:t xml:space="preserve">As noted by </w:t>
      </w:r>
      <w:r w:rsidRPr="00364FAD">
        <w:t xml:space="preserve">Special Rapporteur </w:t>
      </w:r>
      <w:proofErr w:type="spellStart"/>
      <w:r w:rsidRPr="00364FAD">
        <w:t>Lynk</w:t>
      </w:r>
      <w:proofErr w:type="spellEnd"/>
      <w:r w:rsidRPr="00364FAD">
        <w:t>, “In Gaza, Israel vacated its formal presence in 2005, but its effective control over the Strip—through its dominance over Gaza’s land and sea frontiers and its air space—means that it retains its responsibilities as an occupier.”</w:t>
      </w:r>
      <w:r w:rsidRPr="00364FAD">
        <w:rPr>
          <w:rStyle w:val="FootnoteReference"/>
          <w:sz w:val="24"/>
        </w:rPr>
        <w:footnoteReference w:id="8"/>
      </w:r>
      <w:r>
        <w:t xml:space="preserve"> </w:t>
      </w:r>
    </w:p>
    <w:p w14:paraId="6CBD9320" w14:textId="77777777" w:rsidR="00AD5A55" w:rsidRDefault="00AD5A55" w:rsidP="00AD5A55">
      <w:pPr>
        <w:pStyle w:val="ListParagraph"/>
        <w:ind w:left="360"/>
        <w:jc w:val="both"/>
      </w:pPr>
    </w:p>
    <w:p w14:paraId="3FC21E13" w14:textId="77777777" w:rsidR="00AD5A55" w:rsidRPr="00DD3672" w:rsidRDefault="00AD5A55" w:rsidP="00AD5A55">
      <w:pPr>
        <w:pStyle w:val="ListParagraph"/>
        <w:numPr>
          <w:ilvl w:val="0"/>
          <w:numId w:val="4"/>
        </w:numPr>
        <w:jc w:val="both"/>
      </w:pPr>
      <w:r w:rsidRPr="001130CF">
        <w:t xml:space="preserve">Al Mezan </w:t>
      </w:r>
      <w:r>
        <w:t xml:space="preserve">also </w:t>
      </w:r>
      <w:r w:rsidRPr="001130CF">
        <w:t>recalls the Committee’s 2011 Concluding Observations</w:t>
      </w:r>
      <w:r>
        <w:t>, whereby “</w:t>
      </w:r>
      <w:r w:rsidRPr="00364FAD">
        <w:rPr>
          <w:rFonts w:eastAsia="SimSun"/>
          <w:lang w:eastAsia="zh-CN"/>
        </w:rPr>
        <w:t>The Committee, reminds the State party, while noting its serious security concerns, of its obligation to report and to fully guarantee and implement the Covenant rights for all persons in all territories under its effective control.</w:t>
      </w:r>
      <w:r>
        <w:rPr>
          <w:rFonts w:eastAsia="SimSun"/>
          <w:lang w:eastAsia="zh-CN"/>
        </w:rPr>
        <w:t>”</w:t>
      </w:r>
      <w:r>
        <w:rPr>
          <w:rStyle w:val="FootnoteReference"/>
          <w:rFonts w:eastAsia="SimSun"/>
          <w:lang w:eastAsia="zh-CN"/>
        </w:rPr>
        <w:footnoteReference w:id="9"/>
      </w:r>
      <w:r>
        <w:rPr>
          <w:rFonts w:eastAsia="SimSun"/>
          <w:lang w:eastAsia="zh-CN"/>
        </w:rPr>
        <w:t xml:space="preserve"> </w:t>
      </w:r>
    </w:p>
    <w:p w14:paraId="15089B97" w14:textId="77777777" w:rsidR="00AD5A55" w:rsidRDefault="00AD5A55" w:rsidP="00AD5A55">
      <w:pPr>
        <w:pStyle w:val="ListParagraph"/>
      </w:pPr>
    </w:p>
    <w:p w14:paraId="409A8F04" w14:textId="08AA5752" w:rsidR="00AD5A55" w:rsidRPr="00DA153D" w:rsidRDefault="00AD5A55" w:rsidP="00DA153D">
      <w:pPr>
        <w:pStyle w:val="ListParagraph"/>
        <w:numPr>
          <w:ilvl w:val="0"/>
          <w:numId w:val="4"/>
        </w:numPr>
        <w:jc w:val="both"/>
      </w:pPr>
      <w:r>
        <w:lastRenderedPageBreak/>
        <w:t xml:space="preserve">Al Mezan will use the term ‘closure’ in addition to blockade in this report to denote the comprehensive list of practices and policies that collectively amount to ‘effective control’ of the Gaza Strip by the Israeli government and therefore occupation. These restrictions and enforcements include the administrative control over the population registry, telecommunications, water, sanitation, and fuel. </w:t>
      </w:r>
      <w:r w:rsidR="00DA153D">
        <w:t>Al Mezan</w:t>
      </w:r>
      <w:r>
        <w:t xml:space="preserve"> also note</w:t>
      </w:r>
      <w:r w:rsidR="00DA153D">
        <w:t>s</w:t>
      </w:r>
      <w:r>
        <w:t xml:space="preserve"> the frequent presence of Israeli forces inside Gaza, conducting incursions and military operations. This presence attests to the Israeli forces’ ability to enter the territory at will.</w:t>
      </w:r>
      <w:r>
        <w:rPr>
          <w:rStyle w:val="FootnoteReference"/>
        </w:rPr>
        <w:footnoteReference w:id="10"/>
      </w:r>
      <w:r w:rsidRPr="008E5C87">
        <w:t xml:space="preserve"> </w:t>
      </w:r>
    </w:p>
    <w:p w14:paraId="7488E7E3" w14:textId="4270C4B5" w:rsidR="0001759C" w:rsidRPr="00921A5D" w:rsidRDefault="0001759C" w:rsidP="00DA153D">
      <w:pPr>
        <w:pStyle w:val="Heading1"/>
        <w:rPr>
          <w:rFonts w:eastAsia="SimSun"/>
          <w:lang w:eastAsia="zh-CN"/>
        </w:rPr>
      </w:pPr>
      <w:r w:rsidRPr="00921A5D">
        <w:rPr>
          <w:rFonts w:eastAsia="SimSun"/>
          <w:lang w:eastAsia="zh-CN"/>
        </w:rPr>
        <w:t xml:space="preserve">Question </w:t>
      </w:r>
      <w:r w:rsidR="00DA153D">
        <w:rPr>
          <w:rFonts w:eastAsia="SimSun"/>
          <w:lang w:eastAsia="zh-CN"/>
        </w:rPr>
        <w:t>3</w:t>
      </w:r>
    </w:p>
    <w:p w14:paraId="4334DFB6" w14:textId="77777777" w:rsidR="0001759C" w:rsidRPr="009351BD" w:rsidRDefault="0001759C" w:rsidP="0001759C">
      <w:pPr>
        <w:rPr>
          <w:color w:val="000000" w:themeColor="text1"/>
        </w:rPr>
      </w:pPr>
    </w:p>
    <w:p w14:paraId="5E77176A" w14:textId="37DCE328" w:rsidR="0001759C" w:rsidRPr="001130CF" w:rsidRDefault="0001759C" w:rsidP="0001759C">
      <w:pPr>
        <w:pStyle w:val="ListParagraph"/>
        <w:numPr>
          <w:ilvl w:val="0"/>
          <w:numId w:val="4"/>
        </w:numPr>
        <w:jc w:val="both"/>
        <w:rPr>
          <w:color w:val="000000" w:themeColor="text1"/>
        </w:rPr>
      </w:pPr>
      <w:r>
        <w:rPr>
          <w:color w:val="000000" w:themeColor="text1"/>
        </w:rPr>
        <w:t>A</w:t>
      </w:r>
      <w:r w:rsidRPr="001130CF">
        <w:rPr>
          <w:color w:val="000000" w:themeColor="text1"/>
        </w:rPr>
        <w:t xml:space="preserve">t the </w:t>
      </w:r>
      <w:r>
        <w:rPr>
          <w:color w:val="000000" w:themeColor="text1"/>
        </w:rPr>
        <w:t xml:space="preserve">beginning </w:t>
      </w:r>
      <w:r w:rsidRPr="001130CF">
        <w:rPr>
          <w:color w:val="000000" w:themeColor="text1"/>
        </w:rPr>
        <w:t>of the second Intifada in 2000, the Israeli legislature, military, and courts began setting procedural requirements and legislative obstacles in front of Palestinians pursuing civil claims in Israeli courts. The</w:t>
      </w:r>
      <w:r w:rsidR="00AF61EB">
        <w:rPr>
          <w:color w:val="000000" w:themeColor="text1"/>
        </w:rPr>
        <w:t>se</w:t>
      </w:r>
      <w:r w:rsidRPr="001130CF">
        <w:rPr>
          <w:color w:val="000000" w:themeColor="text1"/>
        </w:rPr>
        <w:t xml:space="preserve"> barriers</w:t>
      </w:r>
      <w:r>
        <w:rPr>
          <w:color w:val="000000" w:themeColor="text1"/>
        </w:rPr>
        <w:t xml:space="preserve"> continue to</w:t>
      </w:r>
      <w:r w:rsidRPr="001130CF">
        <w:rPr>
          <w:color w:val="000000" w:themeColor="text1"/>
        </w:rPr>
        <w:t xml:space="preserve"> block Palestinian claimants from accessing effective remedies, including reparation, resulting from Israeli military conduct that may amount to serious breaches of international law. This conduct includes killing, injury and destruction of civil</w:t>
      </w:r>
      <w:r>
        <w:rPr>
          <w:color w:val="000000" w:themeColor="text1"/>
        </w:rPr>
        <w:t>ian</w:t>
      </w:r>
      <w:r w:rsidRPr="001130CF">
        <w:rPr>
          <w:color w:val="000000" w:themeColor="text1"/>
        </w:rPr>
        <w:t xml:space="preserve"> property.  </w:t>
      </w:r>
    </w:p>
    <w:p w14:paraId="19CA3698" w14:textId="77777777" w:rsidR="0001759C" w:rsidRPr="009351BD" w:rsidRDefault="0001759C" w:rsidP="0001759C">
      <w:pPr>
        <w:jc w:val="both"/>
        <w:rPr>
          <w:color w:val="000000" w:themeColor="text1"/>
        </w:rPr>
      </w:pPr>
    </w:p>
    <w:p w14:paraId="7D9D2D12" w14:textId="77777777" w:rsidR="0001759C" w:rsidRDefault="0001759C" w:rsidP="0001759C">
      <w:pPr>
        <w:pStyle w:val="ListParagraph"/>
        <w:numPr>
          <w:ilvl w:val="0"/>
          <w:numId w:val="4"/>
        </w:numPr>
        <w:jc w:val="both"/>
        <w:rPr>
          <w:color w:val="000000" w:themeColor="text1"/>
        </w:rPr>
      </w:pPr>
      <w:r w:rsidRPr="001130CF">
        <w:t>International human rights law requires States to ensure that effective remedies, including</w:t>
      </w:r>
      <w:r w:rsidRPr="001130CF">
        <w:rPr>
          <w:rFonts w:eastAsia="Calibri"/>
        </w:rPr>
        <w:t xml:space="preserve"> reparation,</w:t>
      </w:r>
      <w:r w:rsidRPr="001130CF">
        <w:t xml:space="preserve"> are available to victims of violations</w:t>
      </w:r>
      <w:r w:rsidRPr="009351BD">
        <w:rPr>
          <w:rStyle w:val="FootnoteAnchor"/>
          <w:rFonts w:eastAsiaTheme="majorEastAsia"/>
          <w:sz w:val="24"/>
        </w:rPr>
        <w:footnoteReference w:id="11"/>
      </w:r>
      <w:r w:rsidRPr="001130CF">
        <w:t xml:space="preserve">—an obligation that does not depend on where the victim resides. </w:t>
      </w:r>
      <w:r w:rsidRPr="001130CF">
        <w:rPr>
          <w:color w:val="000000" w:themeColor="text1"/>
        </w:rPr>
        <w:t>However, as a result of Israel’s legal and policy framework, civil claims from Palestinian petitioners in Gaza are routinely dismissed.</w:t>
      </w:r>
    </w:p>
    <w:p w14:paraId="11D7132A" w14:textId="77777777" w:rsidR="0001759C" w:rsidRPr="001022D8" w:rsidRDefault="0001759C" w:rsidP="0001759C">
      <w:pPr>
        <w:pStyle w:val="ListParagraph"/>
        <w:rPr>
          <w:color w:val="000000" w:themeColor="text1"/>
        </w:rPr>
      </w:pPr>
    </w:p>
    <w:p w14:paraId="0986F63C" w14:textId="56ADE49E" w:rsidR="0028649D" w:rsidRPr="0028649D" w:rsidRDefault="0001759C" w:rsidP="0028649D">
      <w:pPr>
        <w:pStyle w:val="ListParagraph"/>
        <w:numPr>
          <w:ilvl w:val="0"/>
          <w:numId w:val="4"/>
        </w:numPr>
        <w:jc w:val="both"/>
        <w:rPr>
          <w:color w:val="000000" w:themeColor="text1"/>
        </w:rPr>
      </w:pPr>
      <w:r>
        <w:rPr>
          <w:color w:val="000000" w:themeColor="text1"/>
        </w:rPr>
        <w:t xml:space="preserve">In July 2005, the Knesset amended Israel’s Civil Wrongs (State Liability) Law (1952) with the intention of releasing </w:t>
      </w:r>
      <w:r w:rsidRPr="00EE5926">
        <w:rPr>
          <w:color w:val="000000" w:themeColor="text1"/>
        </w:rPr>
        <w:t xml:space="preserve">the state from all liability for compensation for damages caused to Palestinians by the Israeli military or other security forces in areas designated as </w:t>
      </w:r>
      <w:r w:rsidR="00B92A9B">
        <w:rPr>
          <w:color w:val="000000" w:themeColor="text1"/>
        </w:rPr>
        <w:t>‘</w:t>
      </w:r>
      <w:r w:rsidRPr="00EE5926">
        <w:rPr>
          <w:color w:val="000000" w:themeColor="text1"/>
        </w:rPr>
        <w:t>conflict zones</w:t>
      </w:r>
      <w:r w:rsidR="00B92A9B">
        <w:rPr>
          <w:color w:val="000000" w:themeColor="text1"/>
        </w:rPr>
        <w:t>’</w:t>
      </w:r>
      <w:r w:rsidRPr="00EE5926">
        <w:rPr>
          <w:color w:val="000000" w:themeColor="text1"/>
        </w:rPr>
        <w:t xml:space="preserve"> (nearly all of the West Bank and Gaza)</w:t>
      </w:r>
      <w:r>
        <w:rPr>
          <w:color w:val="000000" w:themeColor="text1"/>
        </w:rPr>
        <w:t xml:space="preserve">. Adalah </w:t>
      </w:r>
      <w:r w:rsidR="00056B54">
        <w:rPr>
          <w:color w:val="000000" w:themeColor="text1"/>
        </w:rPr>
        <w:t xml:space="preserve">– The Legal Center for Arab Minority Rights in Israel </w:t>
      </w:r>
      <w:r>
        <w:rPr>
          <w:color w:val="000000" w:themeColor="text1"/>
        </w:rPr>
        <w:t>and other human rights organizations challenged the law and in 2006 the Israeli High Court of Justice invalidated the provision, ruling that it was unconstitutional as it granted absolute and unjustified immunity to the state.</w:t>
      </w:r>
      <w:r>
        <w:rPr>
          <w:rStyle w:val="FootnoteReference"/>
          <w:color w:val="000000" w:themeColor="text1"/>
        </w:rPr>
        <w:footnoteReference w:id="12"/>
      </w:r>
      <w:r w:rsidRPr="001022D8">
        <w:rPr>
          <w:color w:val="000000" w:themeColor="text1"/>
        </w:rPr>
        <w:t xml:space="preserve"> </w:t>
      </w:r>
      <w:r w:rsidRPr="00D55D99">
        <w:rPr>
          <w:lang w:bidi="he-IL"/>
        </w:rPr>
        <w:t xml:space="preserve">The </w:t>
      </w:r>
      <w:r>
        <w:rPr>
          <w:lang w:bidi="he-IL"/>
        </w:rPr>
        <w:t>C</w:t>
      </w:r>
      <w:r w:rsidRPr="00D55D99">
        <w:rPr>
          <w:lang w:bidi="he-IL"/>
        </w:rPr>
        <w:t xml:space="preserve">ourt also recognized Palestinian victims’ right to submit tort lawsuits against </w:t>
      </w:r>
      <w:r>
        <w:rPr>
          <w:lang w:bidi="he-IL"/>
        </w:rPr>
        <w:t xml:space="preserve">the state </w:t>
      </w:r>
      <w:r w:rsidRPr="00D55D99">
        <w:rPr>
          <w:lang w:bidi="he-IL"/>
        </w:rPr>
        <w:t>in Israeli courts in cases where harm was caused to their lives, physical integrity and property.</w:t>
      </w:r>
    </w:p>
    <w:p w14:paraId="19A124A1" w14:textId="77777777" w:rsidR="0028649D" w:rsidRPr="0028649D" w:rsidRDefault="0028649D" w:rsidP="0028649D">
      <w:pPr>
        <w:pStyle w:val="ListParagraph"/>
        <w:rPr>
          <w:color w:val="000000" w:themeColor="text1"/>
        </w:rPr>
      </w:pPr>
    </w:p>
    <w:p w14:paraId="6936BE2B" w14:textId="41B8E7F0" w:rsidR="0001759C" w:rsidRPr="0028649D" w:rsidRDefault="0028649D" w:rsidP="0028649D">
      <w:pPr>
        <w:pStyle w:val="ListParagraph"/>
        <w:numPr>
          <w:ilvl w:val="0"/>
          <w:numId w:val="4"/>
        </w:numPr>
        <w:jc w:val="both"/>
        <w:rPr>
          <w:color w:val="000000" w:themeColor="text1"/>
        </w:rPr>
      </w:pPr>
      <w:r>
        <w:rPr>
          <w:color w:val="000000" w:themeColor="text1"/>
        </w:rPr>
        <w:t>F</w:t>
      </w:r>
      <w:r w:rsidR="0001759C" w:rsidRPr="0028649D">
        <w:rPr>
          <w:color w:val="000000" w:themeColor="text1"/>
        </w:rPr>
        <w:t>ollowing this decision, Palestinian</w:t>
      </w:r>
      <w:r w:rsidR="00B92A9B">
        <w:rPr>
          <w:color w:val="000000" w:themeColor="text1"/>
        </w:rPr>
        <w:t xml:space="preserve"> petitioners</w:t>
      </w:r>
      <w:r w:rsidR="0001759C" w:rsidRPr="0028649D">
        <w:rPr>
          <w:color w:val="000000" w:themeColor="text1"/>
        </w:rPr>
        <w:t xml:space="preserve"> </w:t>
      </w:r>
      <w:r w:rsidR="00B92A9B" w:rsidRPr="0028649D">
        <w:rPr>
          <w:color w:val="000000" w:themeColor="text1"/>
        </w:rPr>
        <w:t xml:space="preserve">could again submit tort cases for compensation in Israeli courts against the military and security forces </w:t>
      </w:r>
      <w:r w:rsidR="00B92A9B">
        <w:rPr>
          <w:color w:val="000000" w:themeColor="text1"/>
        </w:rPr>
        <w:t>for</w:t>
      </w:r>
      <w:r w:rsidR="0001759C" w:rsidRPr="0028649D">
        <w:rPr>
          <w:color w:val="000000" w:themeColor="text1"/>
        </w:rPr>
        <w:t xml:space="preserve"> </w:t>
      </w:r>
      <w:r w:rsidR="00B92A9B">
        <w:rPr>
          <w:color w:val="000000" w:themeColor="text1"/>
        </w:rPr>
        <w:t>killing</w:t>
      </w:r>
      <w:r w:rsidR="0001759C" w:rsidRPr="0028649D">
        <w:rPr>
          <w:color w:val="000000" w:themeColor="text1"/>
        </w:rPr>
        <w:t xml:space="preserve">, </w:t>
      </w:r>
      <w:r w:rsidR="00B92A9B">
        <w:rPr>
          <w:color w:val="000000" w:themeColor="text1"/>
        </w:rPr>
        <w:t>injury</w:t>
      </w:r>
      <w:r w:rsidR="0001759C" w:rsidRPr="0028649D">
        <w:rPr>
          <w:color w:val="000000" w:themeColor="text1"/>
        </w:rPr>
        <w:t xml:space="preserve"> </w:t>
      </w:r>
      <w:r w:rsidR="00B92A9B">
        <w:rPr>
          <w:color w:val="000000" w:themeColor="text1"/>
        </w:rPr>
        <w:t>or</w:t>
      </w:r>
      <w:r w:rsidR="0001759C" w:rsidRPr="0028649D">
        <w:rPr>
          <w:color w:val="000000" w:themeColor="text1"/>
        </w:rPr>
        <w:t xml:space="preserve"> property damage </w:t>
      </w:r>
      <w:r w:rsidR="00B92A9B">
        <w:rPr>
          <w:color w:val="000000" w:themeColor="text1"/>
        </w:rPr>
        <w:t xml:space="preserve">committed </w:t>
      </w:r>
      <w:r w:rsidR="0001759C" w:rsidRPr="0028649D">
        <w:rPr>
          <w:color w:val="000000" w:themeColor="text1"/>
        </w:rPr>
        <w:t xml:space="preserve">outside the context of a </w:t>
      </w:r>
      <w:r w:rsidR="00B92A9B">
        <w:rPr>
          <w:color w:val="000000" w:themeColor="text1"/>
        </w:rPr>
        <w:t>‘</w:t>
      </w:r>
      <w:r w:rsidR="0001759C" w:rsidRPr="0028649D">
        <w:rPr>
          <w:color w:val="000000" w:themeColor="text1"/>
        </w:rPr>
        <w:t>combat situation</w:t>
      </w:r>
      <w:r w:rsidR="00B92A9B">
        <w:rPr>
          <w:color w:val="000000" w:themeColor="text1"/>
        </w:rPr>
        <w:t>’</w:t>
      </w:r>
      <w:r w:rsidR="0001759C" w:rsidRPr="0028649D">
        <w:rPr>
          <w:color w:val="000000" w:themeColor="text1"/>
        </w:rPr>
        <w:t xml:space="preserve">. However, the scope of what constituted a </w:t>
      </w:r>
      <w:r w:rsidR="00B92A9B">
        <w:rPr>
          <w:color w:val="000000" w:themeColor="text1"/>
        </w:rPr>
        <w:t>‘</w:t>
      </w:r>
      <w:r w:rsidR="0001759C" w:rsidRPr="0028649D">
        <w:rPr>
          <w:color w:val="000000" w:themeColor="text1"/>
        </w:rPr>
        <w:t>combat situation</w:t>
      </w:r>
      <w:r w:rsidR="00B92A9B">
        <w:rPr>
          <w:color w:val="000000" w:themeColor="text1"/>
        </w:rPr>
        <w:t>’</w:t>
      </w:r>
      <w:r w:rsidR="0001759C" w:rsidRPr="0028649D">
        <w:rPr>
          <w:color w:val="000000" w:themeColor="text1"/>
        </w:rPr>
        <w:t xml:space="preserve"> was not determined and the door was left open for further restrictions on compensation claims. </w:t>
      </w:r>
    </w:p>
    <w:p w14:paraId="742A57C0" w14:textId="77777777" w:rsidR="0001759C" w:rsidRPr="005153E5" w:rsidRDefault="0001759C" w:rsidP="0001759C">
      <w:pPr>
        <w:pStyle w:val="ListParagraph"/>
        <w:rPr>
          <w:color w:val="000000" w:themeColor="text1"/>
          <w:highlight w:val="green"/>
        </w:rPr>
      </w:pPr>
    </w:p>
    <w:p w14:paraId="177562AE" w14:textId="06D5B19F" w:rsidR="0001759C" w:rsidRPr="005153E5" w:rsidRDefault="0001759C" w:rsidP="0001759C">
      <w:pPr>
        <w:pStyle w:val="ListParagraph"/>
        <w:numPr>
          <w:ilvl w:val="0"/>
          <w:numId w:val="4"/>
        </w:numPr>
        <w:jc w:val="both"/>
      </w:pPr>
      <w:r>
        <w:lastRenderedPageBreak/>
        <w:t xml:space="preserve">Following the 2006 case, the State looked for ways to </w:t>
      </w:r>
      <w:r w:rsidR="00594236">
        <w:t>bypass the Court’s decision and again to</w:t>
      </w:r>
      <w:r>
        <w:t xml:space="preserve"> exempt itself from civil liability. </w:t>
      </w:r>
    </w:p>
    <w:p w14:paraId="0D575F7E" w14:textId="77777777" w:rsidR="0001759C" w:rsidRPr="009351BD" w:rsidRDefault="0001759C" w:rsidP="0001759C">
      <w:pPr>
        <w:jc w:val="both"/>
        <w:rPr>
          <w:color w:val="000000" w:themeColor="text1"/>
        </w:rPr>
      </w:pPr>
    </w:p>
    <w:p w14:paraId="6BF713AD" w14:textId="5DAAF46D" w:rsidR="0001759C" w:rsidRDefault="0001759C" w:rsidP="0001759C">
      <w:pPr>
        <w:pStyle w:val="ListParagraph"/>
        <w:numPr>
          <w:ilvl w:val="0"/>
          <w:numId w:val="4"/>
        </w:numPr>
        <w:jc w:val="both"/>
      </w:pPr>
      <w:r w:rsidRPr="001130CF">
        <w:t>Amendment No. 8 to the Israeli Civil Wrongs (State Liability) Law of 1952</w:t>
      </w:r>
      <w:r>
        <w:t xml:space="preserve"> was</w:t>
      </w:r>
      <w:r w:rsidRPr="001130CF">
        <w:t xml:space="preserve"> enacted in 2012</w:t>
      </w:r>
      <w:r>
        <w:t xml:space="preserve"> and became</w:t>
      </w:r>
      <w:r w:rsidRPr="001130CF">
        <w:t xml:space="preserve"> the primary legal obstacle </w:t>
      </w:r>
      <w:r w:rsidR="00AF61EB">
        <w:t>facing</w:t>
      </w:r>
      <w:r w:rsidRPr="001130CF">
        <w:t xml:space="preserve"> Palestinian victims in the Gaza Strip bringing civil claims before Israeli courts. Amendment No. 8 was passed into law by the Israeli Knesset on 16 July 2012 with retroactive application to 12 September 2005 and gives the courts the power to dismiss civil cases at the preliminary stage, without hearing witnesses or considering evidence, if the damage occurred </w:t>
      </w:r>
      <w:r>
        <w:t xml:space="preserve">in </w:t>
      </w:r>
      <w:r w:rsidR="00B92A9B">
        <w:t>‘</w:t>
      </w:r>
      <w:r>
        <w:t>combat situations</w:t>
      </w:r>
      <w:r w:rsidR="00B92A9B">
        <w:t>’</w:t>
      </w:r>
      <w:r>
        <w:t xml:space="preserve">—legislated under the term </w:t>
      </w:r>
      <w:r w:rsidR="00B92A9B">
        <w:t>‘</w:t>
      </w:r>
      <w:r w:rsidRPr="001130CF">
        <w:t>combat action</w:t>
      </w:r>
      <w:r w:rsidR="00B92A9B">
        <w:t>’</w:t>
      </w:r>
      <w:r w:rsidRPr="001130CF">
        <w:t>.</w:t>
      </w:r>
      <w:r>
        <w:rPr>
          <w:rStyle w:val="FootnoteReference"/>
        </w:rPr>
        <w:footnoteReference w:id="13"/>
      </w:r>
      <w:r w:rsidRPr="001130CF">
        <w:t xml:space="preserve"> </w:t>
      </w:r>
    </w:p>
    <w:p w14:paraId="00BAC8D1" w14:textId="77777777" w:rsidR="0001759C" w:rsidRDefault="0001759C" w:rsidP="0001759C">
      <w:pPr>
        <w:pStyle w:val="ListParagraph"/>
      </w:pPr>
    </w:p>
    <w:p w14:paraId="18B69BDF" w14:textId="4DAFDE2C" w:rsidR="0001759C" w:rsidRPr="001130CF" w:rsidRDefault="0001759C" w:rsidP="0001759C">
      <w:pPr>
        <w:pStyle w:val="ListParagraph"/>
        <w:numPr>
          <w:ilvl w:val="0"/>
          <w:numId w:val="4"/>
        </w:numPr>
        <w:jc w:val="both"/>
      </w:pPr>
      <w:r w:rsidRPr="001130CF">
        <w:t xml:space="preserve">The definition of </w:t>
      </w:r>
      <w:r w:rsidR="00B92A9B">
        <w:t>‘</w:t>
      </w:r>
      <w:r w:rsidRPr="001130CF">
        <w:t>combat action</w:t>
      </w:r>
      <w:r w:rsidR="00B92A9B">
        <w:t>’</w:t>
      </w:r>
      <w:r w:rsidRPr="001130CF">
        <w:t xml:space="preserve"> includes any </w:t>
      </w:r>
      <w:r>
        <w:t>military</w:t>
      </w:r>
      <w:r w:rsidRPr="001130CF">
        <w:t xml:space="preserve"> operation, “including any action against terrorism, hostilities, or uprising, and any preventative action against terrorism, hostilities, or uprising that is combatant in nature, considering all circumstances, including the action’s purpose, geographic location, or the threat to the operation forces.”</w:t>
      </w:r>
      <w:r>
        <w:rPr>
          <w:rStyle w:val="FootnoteReference"/>
        </w:rPr>
        <w:footnoteReference w:id="14"/>
      </w:r>
      <w:r w:rsidRPr="001130CF">
        <w:t xml:space="preserve"> </w:t>
      </w:r>
      <w:r w:rsidRPr="001130CF">
        <w:rPr>
          <w:color w:val="333333"/>
          <w:shd w:val="clear" w:color="auto" w:fill="FFFFFF"/>
        </w:rPr>
        <w:t xml:space="preserve">The definition </w:t>
      </w:r>
      <w:r>
        <w:rPr>
          <w:color w:val="333333"/>
          <w:shd w:val="clear" w:color="auto" w:fill="FFFFFF"/>
        </w:rPr>
        <w:t>does not take into account the compatibility of the</w:t>
      </w:r>
      <w:r w:rsidRPr="001130CF">
        <w:rPr>
          <w:color w:val="333333"/>
          <w:shd w:val="clear" w:color="auto" w:fill="FFFFFF"/>
        </w:rPr>
        <w:t xml:space="preserve"> military c</w:t>
      </w:r>
      <w:r>
        <w:rPr>
          <w:color w:val="333333"/>
          <w:shd w:val="clear" w:color="auto" w:fill="FFFFFF"/>
        </w:rPr>
        <w:t xml:space="preserve">onduct </w:t>
      </w:r>
      <w:r w:rsidRPr="001130CF">
        <w:rPr>
          <w:color w:val="333333"/>
          <w:shd w:val="clear" w:color="auto" w:fill="FFFFFF"/>
        </w:rPr>
        <w:t>with Israeli and/or international law.</w:t>
      </w:r>
    </w:p>
    <w:p w14:paraId="3086785B" w14:textId="77777777" w:rsidR="0001759C" w:rsidRPr="009351BD" w:rsidRDefault="0001759C" w:rsidP="0001759C">
      <w:pPr>
        <w:jc w:val="both"/>
      </w:pPr>
    </w:p>
    <w:p w14:paraId="31C3FED5" w14:textId="6331D916" w:rsidR="0001759C" w:rsidRPr="005153E5" w:rsidRDefault="0001759C" w:rsidP="0001759C">
      <w:pPr>
        <w:pStyle w:val="ListParagraph"/>
        <w:numPr>
          <w:ilvl w:val="0"/>
          <w:numId w:val="4"/>
        </w:numPr>
        <w:jc w:val="both"/>
      </w:pPr>
      <w:r w:rsidRPr="00366FDC">
        <w:rPr>
          <w:color w:val="333333"/>
          <w:shd w:val="clear" w:color="auto" w:fill="FFFFFF"/>
        </w:rPr>
        <w:t xml:space="preserve">The law further stipulates in article 5b(a)(1) </w:t>
      </w:r>
      <w:r w:rsidRPr="00366FDC">
        <w:t xml:space="preserve">that Israel will not be liable for damages caused to a non-Israeli resident residing in a territory located outside Israel that was declared as </w:t>
      </w:r>
      <w:r w:rsidR="00B92A9B">
        <w:t>‘</w:t>
      </w:r>
      <w:r w:rsidRPr="00366FDC">
        <w:t>enemy territory</w:t>
      </w:r>
      <w:r w:rsidR="00B92A9B">
        <w:t>’</w:t>
      </w:r>
      <w:r w:rsidRPr="00366FDC">
        <w:t>.</w:t>
      </w:r>
      <w:r w:rsidRPr="009351BD">
        <w:rPr>
          <w:rStyle w:val="FootnoteAnchor"/>
          <w:rFonts w:eastAsiaTheme="majorEastAsia"/>
          <w:sz w:val="24"/>
        </w:rPr>
        <w:footnoteReference w:id="15"/>
      </w:r>
      <w:r w:rsidRPr="00366FDC">
        <w:t xml:space="preserve"> R</w:t>
      </w:r>
      <w:r w:rsidRPr="00366FDC">
        <w:rPr>
          <w:color w:val="333333"/>
          <w:shd w:val="clear" w:color="auto" w:fill="FFFFFF"/>
        </w:rPr>
        <w:t xml:space="preserve">esidents of an </w:t>
      </w:r>
      <w:r w:rsidR="00B92A9B">
        <w:rPr>
          <w:color w:val="333333"/>
          <w:shd w:val="clear" w:color="auto" w:fill="FFFFFF"/>
        </w:rPr>
        <w:t>‘</w:t>
      </w:r>
      <w:r w:rsidRPr="00366FDC">
        <w:rPr>
          <w:color w:val="333333"/>
          <w:shd w:val="clear" w:color="auto" w:fill="FFFFFF"/>
        </w:rPr>
        <w:t>enemy territory</w:t>
      </w:r>
      <w:r w:rsidR="00B92A9B">
        <w:rPr>
          <w:color w:val="333333"/>
          <w:shd w:val="clear" w:color="auto" w:fill="FFFFFF"/>
        </w:rPr>
        <w:t xml:space="preserve">’ </w:t>
      </w:r>
      <w:r w:rsidRPr="00366FDC">
        <w:rPr>
          <w:color w:val="333333"/>
          <w:shd w:val="clear" w:color="auto" w:fill="FFFFFF"/>
        </w:rPr>
        <w:t>are therefore not eligible for compensation from Israel for any reason.</w:t>
      </w:r>
      <w:r w:rsidRPr="00366FDC">
        <w:t xml:space="preserve"> W</w:t>
      </w:r>
      <w:r w:rsidRPr="00366FDC">
        <w:rPr>
          <w:color w:val="000000" w:themeColor="text1"/>
        </w:rPr>
        <w:t xml:space="preserve">hen the Hamas movement took over the Gaza Strip in June 2007, the Israeli Security Cabinet declared the Gaza Strip an </w:t>
      </w:r>
      <w:r w:rsidR="00B92A9B">
        <w:rPr>
          <w:color w:val="000000" w:themeColor="text1"/>
        </w:rPr>
        <w:t>‘</w:t>
      </w:r>
      <w:r w:rsidRPr="00366FDC">
        <w:rPr>
          <w:color w:val="000000" w:themeColor="text1"/>
        </w:rPr>
        <w:t>enemy territory</w:t>
      </w:r>
      <w:r w:rsidR="00B92A9B">
        <w:rPr>
          <w:color w:val="000000" w:themeColor="text1"/>
        </w:rPr>
        <w:t>’</w:t>
      </w:r>
      <w:r w:rsidRPr="00366FDC">
        <w:rPr>
          <w:color w:val="000000" w:themeColor="text1"/>
        </w:rPr>
        <w:t>.</w:t>
      </w:r>
      <w:r w:rsidRPr="009351BD">
        <w:rPr>
          <w:rStyle w:val="FootnoteReference"/>
          <w:color w:val="000000" w:themeColor="text1"/>
          <w:sz w:val="24"/>
        </w:rPr>
        <w:footnoteReference w:id="16"/>
      </w:r>
      <w:r w:rsidRPr="00366FDC">
        <w:rPr>
          <w:color w:val="000000" w:themeColor="text1"/>
        </w:rPr>
        <w:t xml:space="preserve"> </w:t>
      </w:r>
    </w:p>
    <w:p w14:paraId="47140350" w14:textId="77777777" w:rsidR="0001759C" w:rsidRDefault="0001759C" w:rsidP="0001759C">
      <w:pPr>
        <w:pStyle w:val="ListParagraph"/>
      </w:pPr>
    </w:p>
    <w:p w14:paraId="703A27A3" w14:textId="77F02212" w:rsidR="0028649D" w:rsidRDefault="0001759C" w:rsidP="0028649D">
      <w:pPr>
        <w:pStyle w:val="ListParagraph"/>
        <w:numPr>
          <w:ilvl w:val="0"/>
          <w:numId w:val="4"/>
        </w:numPr>
        <w:jc w:val="both"/>
      </w:pPr>
      <w:r w:rsidRPr="005153E5">
        <w:t>While there is a long list of barriers for Palestinian petitioners from Gaza bringing civil claims before Israeli courts</w:t>
      </w:r>
      <w:r w:rsidRPr="005153E5">
        <w:rPr>
          <w:rStyle w:val="FootnoteReference"/>
        </w:rPr>
        <w:footnoteReference w:id="17"/>
      </w:r>
      <w:r w:rsidRPr="005153E5">
        <w:t xml:space="preserve">, the exemptions to State liability relating to </w:t>
      </w:r>
      <w:r w:rsidR="00B92A9B">
        <w:t>‘</w:t>
      </w:r>
      <w:r w:rsidR="00B92A9B" w:rsidRPr="001130CF">
        <w:t>combat action</w:t>
      </w:r>
      <w:r w:rsidR="00B92A9B">
        <w:t>’</w:t>
      </w:r>
      <w:r w:rsidR="00B92A9B" w:rsidRPr="001130CF">
        <w:t xml:space="preserve"> </w:t>
      </w:r>
      <w:r w:rsidRPr="005153E5">
        <w:t xml:space="preserve">and </w:t>
      </w:r>
      <w:r w:rsidR="00B92A9B">
        <w:t>‘</w:t>
      </w:r>
      <w:r w:rsidRPr="005153E5">
        <w:t xml:space="preserve">enemy </w:t>
      </w:r>
      <w:r>
        <w:t>territory</w:t>
      </w:r>
      <w:r w:rsidR="00B92A9B">
        <w:t>’</w:t>
      </w:r>
      <w:r>
        <w:t xml:space="preserve"> </w:t>
      </w:r>
      <w:r w:rsidRPr="005153E5">
        <w:t>are now the two primary legal obstacles.</w:t>
      </w:r>
      <w:r w:rsidRPr="005153E5">
        <w:rPr>
          <w:rStyle w:val="FootnoteReference"/>
        </w:rPr>
        <w:footnoteReference w:id="18"/>
      </w:r>
    </w:p>
    <w:p w14:paraId="020F7FD8" w14:textId="77777777" w:rsidR="0028649D" w:rsidRPr="0028649D" w:rsidRDefault="0028649D" w:rsidP="0028649D">
      <w:pPr>
        <w:pStyle w:val="ListParagraph"/>
        <w:rPr>
          <w:color w:val="000000" w:themeColor="text1"/>
        </w:rPr>
      </w:pPr>
    </w:p>
    <w:p w14:paraId="258B963D" w14:textId="35B0EC60" w:rsidR="0001759C" w:rsidRPr="0028649D" w:rsidRDefault="0028649D" w:rsidP="0028649D">
      <w:pPr>
        <w:pStyle w:val="ListParagraph"/>
        <w:numPr>
          <w:ilvl w:val="0"/>
          <w:numId w:val="4"/>
        </w:numPr>
        <w:jc w:val="both"/>
      </w:pPr>
      <w:r>
        <w:rPr>
          <w:color w:val="000000" w:themeColor="text1"/>
        </w:rPr>
        <w:t>I</w:t>
      </w:r>
      <w:r w:rsidR="0001759C" w:rsidRPr="0028649D">
        <w:rPr>
          <w:color w:val="000000" w:themeColor="text1"/>
        </w:rPr>
        <w:t xml:space="preserve">n the case </w:t>
      </w:r>
      <w:r w:rsidR="00C775D1">
        <w:rPr>
          <w:color w:val="000000" w:themeColor="text1"/>
        </w:rPr>
        <w:t xml:space="preserve">brought by Al Mezan </w:t>
      </w:r>
      <w:r w:rsidR="0001759C" w:rsidRPr="0028649D">
        <w:rPr>
          <w:color w:val="000000" w:themeColor="text1"/>
        </w:rPr>
        <w:t xml:space="preserve">concerning a Palestinian resident of Gaza, </w:t>
      </w:r>
      <w:proofErr w:type="spellStart"/>
      <w:r w:rsidR="0001759C" w:rsidRPr="0028649D">
        <w:rPr>
          <w:color w:val="000000" w:themeColor="text1"/>
        </w:rPr>
        <w:t>Attiya</w:t>
      </w:r>
      <w:proofErr w:type="spellEnd"/>
      <w:r w:rsidR="0001759C" w:rsidRPr="0028649D">
        <w:rPr>
          <w:color w:val="000000" w:themeColor="text1"/>
        </w:rPr>
        <w:t xml:space="preserve"> Al-</w:t>
      </w:r>
      <w:proofErr w:type="spellStart"/>
      <w:r w:rsidR="0001759C" w:rsidRPr="0028649D">
        <w:rPr>
          <w:color w:val="000000" w:themeColor="text1"/>
        </w:rPr>
        <w:t>Nabaheen</w:t>
      </w:r>
      <w:proofErr w:type="spellEnd"/>
      <w:r w:rsidR="0001759C" w:rsidRPr="0028649D">
        <w:rPr>
          <w:color w:val="000000" w:themeColor="text1"/>
        </w:rPr>
        <w:t xml:space="preserve">, who was shot by Israeli soldiers on his fifteenth birthday in November 2014, an Israeli court dismissed the case in November 2018 on the basis that the petitioners, being residents of Gaza, were not eligible for compensation under the </w:t>
      </w:r>
      <w:r w:rsidR="00B92A9B">
        <w:rPr>
          <w:color w:val="000000" w:themeColor="text1"/>
        </w:rPr>
        <w:t>‘</w:t>
      </w:r>
      <w:r w:rsidR="0001759C" w:rsidRPr="0028649D">
        <w:rPr>
          <w:color w:val="000000" w:themeColor="text1"/>
        </w:rPr>
        <w:t>enemy territory</w:t>
      </w:r>
      <w:r w:rsidR="00B92A9B">
        <w:rPr>
          <w:color w:val="000000" w:themeColor="text1"/>
        </w:rPr>
        <w:t>’</w:t>
      </w:r>
      <w:r w:rsidR="0001759C" w:rsidRPr="0028649D">
        <w:rPr>
          <w:color w:val="000000" w:themeColor="text1"/>
        </w:rPr>
        <w:t xml:space="preserve"> exception. Al-</w:t>
      </w:r>
      <w:proofErr w:type="spellStart"/>
      <w:r w:rsidR="0001759C" w:rsidRPr="0028649D">
        <w:rPr>
          <w:color w:val="000000" w:themeColor="text1"/>
        </w:rPr>
        <w:t>Nabaheen</w:t>
      </w:r>
      <w:proofErr w:type="spellEnd"/>
      <w:r w:rsidR="0001759C" w:rsidRPr="0028649D">
        <w:rPr>
          <w:color w:val="000000" w:themeColor="text1"/>
        </w:rPr>
        <w:t xml:space="preserve"> was shot returning from school in the front yard of his family home, about 500 meters from Gaza’s parameter fence. He was not armed or involved in any violence</w:t>
      </w:r>
      <w:r w:rsidR="00C775D1">
        <w:rPr>
          <w:color w:val="000000" w:themeColor="text1"/>
        </w:rPr>
        <w:t xml:space="preserve"> and evidence provides that the shooting occurred without there being any violence </w:t>
      </w:r>
      <w:r w:rsidR="004071A3">
        <w:rPr>
          <w:color w:val="000000" w:themeColor="text1"/>
        </w:rPr>
        <w:t xml:space="preserve">in the area, a </w:t>
      </w:r>
      <w:r w:rsidR="00C775D1">
        <w:rPr>
          <w:color w:val="000000" w:themeColor="text1"/>
        </w:rPr>
        <w:lastRenderedPageBreak/>
        <w:t>fact not challenged by the State.</w:t>
      </w:r>
      <w:r w:rsidR="0001759C" w:rsidRPr="0028649D">
        <w:rPr>
          <w:color w:val="000000" w:themeColor="text1"/>
        </w:rPr>
        <w:t xml:space="preserve"> </w:t>
      </w:r>
      <w:r w:rsidR="00C775D1">
        <w:rPr>
          <w:color w:val="000000" w:themeColor="text1"/>
        </w:rPr>
        <w:t>A</w:t>
      </w:r>
      <w:r w:rsidR="0001759C" w:rsidRPr="0028649D">
        <w:rPr>
          <w:color w:val="000000" w:themeColor="text1"/>
        </w:rPr>
        <w:t>s a result of the shooting</w:t>
      </w:r>
      <w:r w:rsidR="00C775D1">
        <w:rPr>
          <w:color w:val="000000" w:themeColor="text1"/>
        </w:rPr>
        <w:t>, the child</w:t>
      </w:r>
      <w:r w:rsidR="0001759C" w:rsidRPr="0028649D">
        <w:rPr>
          <w:color w:val="000000" w:themeColor="text1"/>
        </w:rPr>
        <w:t xml:space="preserve"> is a quadriplegic.</w:t>
      </w:r>
      <w:r w:rsidR="0001759C" w:rsidRPr="009351BD">
        <w:rPr>
          <w:rStyle w:val="FootnoteReference"/>
          <w:color w:val="000000" w:themeColor="text1"/>
          <w:sz w:val="24"/>
        </w:rPr>
        <w:footnoteReference w:id="19"/>
      </w:r>
      <w:r w:rsidR="0001759C" w:rsidRPr="0028649D">
        <w:rPr>
          <w:color w:val="000000" w:themeColor="text1"/>
        </w:rPr>
        <w:t xml:space="preserve"> </w:t>
      </w:r>
      <w:r w:rsidR="00B92A9B">
        <w:rPr>
          <w:color w:val="000000" w:themeColor="text1"/>
        </w:rPr>
        <w:t xml:space="preserve">Al Mezan, joined by </w:t>
      </w:r>
      <w:r w:rsidR="0001759C" w:rsidRPr="0028649D">
        <w:rPr>
          <w:color w:val="000000" w:themeColor="text1"/>
        </w:rPr>
        <w:t>Adalah</w:t>
      </w:r>
      <w:r w:rsidR="00B92A9B">
        <w:rPr>
          <w:color w:val="000000" w:themeColor="text1"/>
        </w:rPr>
        <w:t xml:space="preserve"> – The Legal Center for Arab Minority Rights in Israel, </w:t>
      </w:r>
      <w:r w:rsidR="0001759C" w:rsidRPr="0028649D">
        <w:rPr>
          <w:color w:val="000000" w:themeColor="text1"/>
        </w:rPr>
        <w:t>appealed this ruling to the Israeli Supreme Court.</w:t>
      </w:r>
      <w:r w:rsidR="0001759C">
        <w:rPr>
          <w:rStyle w:val="FootnoteReference"/>
          <w:color w:val="000000" w:themeColor="text1"/>
        </w:rPr>
        <w:footnoteReference w:id="20"/>
      </w:r>
      <w:r w:rsidR="0001759C" w:rsidRPr="0028649D">
        <w:rPr>
          <w:color w:val="000000" w:themeColor="text1"/>
        </w:rPr>
        <w:t xml:space="preserve"> The case is </w:t>
      </w:r>
      <w:proofErr w:type="gramStart"/>
      <w:r w:rsidR="0001759C" w:rsidRPr="0028649D">
        <w:rPr>
          <w:color w:val="000000" w:themeColor="text1"/>
        </w:rPr>
        <w:t>pending</w:t>
      </w:r>
      <w:proofErr w:type="gramEnd"/>
      <w:r w:rsidR="0001759C" w:rsidRPr="0028649D">
        <w:rPr>
          <w:color w:val="000000" w:themeColor="text1"/>
        </w:rPr>
        <w:t xml:space="preserve"> and a hearing is scheduled for December 2019. </w:t>
      </w:r>
    </w:p>
    <w:p w14:paraId="770F7301" w14:textId="77777777" w:rsidR="0001759C" w:rsidRPr="009351BD" w:rsidRDefault="0001759C" w:rsidP="0001759C">
      <w:pPr>
        <w:jc w:val="both"/>
        <w:rPr>
          <w:b/>
          <w:bCs/>
        </w:rPr>
      </w:pPr>
    </w:p>
    <w:p w14:paraId="26BBED31" w14:textId="77777777" w:rsidR="0001759C" w:rsidRPr="00366FDC" w:rsidRDefault="0001759C" w:rsidP="0001759C">
      <w:pPr>
        <w:pStyle w:val="ListParagraph"/>
        <w:numPr>
          <w:ilvl w:val="0"/>
          <w:numId w:val="4"/>
        </w:numPr>
        <w:jc w:val="both"/>
      </w:pPr>
      <w:r w:rsidRPr="00366FDC">
        <w:t>Of the November 201</w:t>
      </w:r>
      <w:r>
        <w:t>8</w:t>
      </w:r>
      <w:r w:rsidRPr="00366FDC">
        <w:t xml:space="preserve"> ruling, the United Nations Commission of Inquiry on the 2018 </w:t>
      </w:r>
      <w:r>
        <w:t>P</w:t>
      </w:r>
      <w:r w:rsidRPr="00366FDC">
        <w:t xml:space="preserve">rotests in the Occupied Palestinian Territory, wrote: </w:t>
      </w:r>
    </w:p>
    <w:p w14:paraId="12874626" w14:textId="77777777" w:rsidR="0001759C" w:rsidRPr="009351BD" w:rsidRDefault="0001759C" w:rsidP="0001759C">
      <w:pPr>
        <w:jc w:val="both"/>
      </w:pPr>
    </w:p>
    <w:p w14:paraId="6A9ACF02" w14:textId="77777777" w:rsidR="0001759C" w:rsidRPr="005153E5" w:rsidRDefault="0001759C" w:rsidP="0001759C">
      <w:pPr>
        <w:ind w:left="900" w:right="900"/>
        <w:jc w:val="both"/>
        <w:rPr>
          <w:rFonts w:eastAsia="Calibri"/>
        </w:rPr>
      </w:pPr>
      <w:r w:rsidRPr="009351BD">
        <w:t>The</w:t>
      </w:r>
      <w:r w:rsidRPr="009351BD">
        <w:rPr>
          <w:rFonts w:eastAsia="Calibri"/>
        </w:rPr>
        <w:t xml:space="preserve"> </w:t>
      </w:r>
      <w:r>
        <w:rPr>
          <w:rFonts w:eastAsia="Calibri"/>
        </w:rPr>
        <w:t>[Al-</w:t>
      </w:r>
      <w:proofErr w:type="spellStart"/>
      <w:r>
        <w:rPr>
          <w:rFonts w:eastAsia="Calibri"/>
        </w:rPr>
        <w:t>Nabaheen</w:t>
      </w:r>
      <w:proofErr w:type="spellEnd"/>
      <w:r>
        <w:rPr>
          <w:rFonts w:eastAsia="Calibri"/>
        </w:rPr>
        <w:t xml:space="preserve">] </w:t>
      </w:r>
      <w:r w:rsidRPr="009351BD">
        <w:rPr>
          <w:rFonts w:eastAsia="Calibri"/>
        </w:rPr>
        <w:t xml:space="preserve">ruling, and the law on which it is based, excludes Gazan residents from eligibility for compensation under the law, without examining the harm itself. In doing so, Gazan victims of violations are denied the main avenue to fulfil their right to ‘effective legal remedy’ from Israel that is guaranteed to them under international law. </w:t>
      </w:r>
      <w:r w:rsidRPr="009351BD">
        <w:t xml:space="preserve">The Commission is unaware of any alternative mechanism employed by Israel to compensate Palestinian victims for damage caused unlawfully by the security forces. </w:t>
      </w:r>
      <w:r w:rsidRPr="009351BD">
        <w:rPr>
          <w:rFonts w:eastAsia="Calibri"/>
        </w:rPr>
        <w:t>The importance of this ruling is thus difficult to overstate.” (para. 756)</w:t>
      </w:r>
      <w:r>
        <w:rPr>
          <w:rFonts w:eastAsia="Calibri"/>
        </w:rPr>
        <w:t xml:space="preserve"> </w:t>
      </w:r>
    </w:p>
    <w:p w14:paraId="50046A33" w14:textId="77777777" w:rsidR="0001759C" w:rsidRPr="009351BD" w:rsidRDefault="0001759C" w:rsidP="0001759C">
      <w:pPr>
        <w:ind w:left="900" w:right="900"/>
        <w:jc w:val="both"/>
        <w:rPr>
          <w:color w:val="000000" w:themeColor="text1"/>
        </w:rPr>
      </w:pPr>
    </w:p>
    <w:p w14:paraId="546B04A3" w14:textId="77777777" w:rsidR="0001759C" w:rsidRDefault="0001759C" w:rsidP="0001759C">
      <w:pPr>
        <w:pStyle w:val="ListParagraph"/>
        <w:numPr>
          <w:ilvl w:val="0"/>
          <w:numId w:val="4"/>
        </w:numPr>
        <w:ind w:right="900"/>
        <w:jc w:val="both"/>
        <w:rPr>
          <w:rFonts w:eastAsia="Calibri"/>
        </w:rPr>
      </w:pPr>
      <w:r>
        <w:rPr>
          <w:rFonts w:eastAsia="Calibri"/>
        </w:rPr>
        <w:t xml:space="preserve">The Commission of Inquiry recommended that the Government of Israel: </w:t>
      </w:r>
    </w:p>
    <w:p w14:paraId="289DC073" w14:textId="77777777" w:rsidR="0001759C" w:rsidRPr="00896465" w:rsidRDefault="0001759C" w:rsidP="0001759C">
      <w:pPr>
        <w:pStyle w:val="ListParagraph"/>
        <w:ind w:left="360" w:right="900"/>
        <w:jc w:val="both"/>
        <w:rPr>
          <w:rFonts w:eastAsia="Calibri"/>
        </w:rPr>
      </w:pPr>
    </w:p>
    <w:p w14:paraId="46ECD072" w14:textId="77777777" w:rsidR="0001759C" w:rsidRPr="00896465" w:rsidRDefault="0001759C" w:rsidP="0001759C">
      <w:pPr>
        <w:pStyle w:val="ListParagraph"/>
        <w:ind w:left="900" w:right="900"/>
        <w:jc w:val="both"/>
        <w:rPr>
          <w:rFonts w:eastAsia="Calibri"/>
        </w:rPr>
      </w:pPr>
      <w:r w:rsidRPr="00896465">
        <w:rPr>
          <w:lang w:bidi="he-IL"/>
        </w:rPr>
        <w:t xml:space="preserve">(a) Investigate promptly, impartially and independently every protest-related killing and injury in accordance with international standards, to determine whether war crimes or crimes against humanity have been committed with a view to holding those found to be responsible accountable; </w:t>
      </w:r>
    </w:p>
    <w:p w14:paraId="060588FF" w14:textId="77777777" w:rsidR="0001759C" w:rsidRPr="00896465" w:rsidRDefault="0001759C" w:rsidP="0001759C">
      <w:pPr>
        <w:spacing w:before="100" w:beforeAutospacing="1" w:after="100" w:afterAutospacing="1"/>
        <w:ind w:left="900" w:right="900"/>
        <w:jc w:val="both"/>
        <w:rPr>
          <w:lang w:bidi="he-IL"/>
        </w:rPr>
      </w:pPr>
      <w:r w:rsidRPr="00896465">
        <w:rPr>
          <w:lang w:bidi="he-IL"/>
        </w:rPr>
        <w:t xml:space="preserve">(b) In accordance with General Assembly resolution 60/147, ensure prompt, adequate and effective remedies for those killed or injured unlawfully, including timely rehabilitation, compensation, satisfaction and guarantees of non- repetition; </w:t>
      </w:r>
    </w:p>
    <w:p w14:paraId="3D027A05" w14:textId="55B84C64" w:rsidR="0001759C" w:rsidRPr="00594236" w:rsidRDefault="0001759C" w:rsidP="00594236">
      <w:pPr>
        <w:spacing w:before="100" w:beforeAutospacing="1" w:after="100" w:afterAutospacing="1"/>
        <w:ind w:left="900" w:right="900"/>
        <w:jc w:val="both"/>
        <w:rPr>
          <w:lang w:bidi="he-IL"/>
        </w:rPr>
      </w:pPr>
      <w:r w:rsidRPr="00896465">
        <w:rPr>
          <w:lang w:bidi="he-IL"/>
        </w:rPr>
        <w:t xml:space="preserve">(c) </w:t>
      </w:r>
      <w:r w:rsidRPr="00896465">
        <w:rPr>
          <w:b/>
          <w:bCs/>
          <w:lang w:bidi="he-IL"/>
        </w:rPr>
        <w:t xml:space="preserve">Amend the law on civil liability to provide a remedy to Gazans through Israeli courts for breaches of international human rights law or international humanitarian law by the Israeli security forces. </w:t>
      </w:r>
      <w:r>
        <w:rPr>
          <w:rFonts w:eastAsia="Calibri"/>
        </w:rPr>
        <w:t>(para. 800)</w:t>
      </w:r>
    </w:p>
    <w:p w14:paraId="436690AE" w14:textId="416D33D0" w:rsidR="00BC0342" w:rsidRDefault="00594236" w:rsidP="0001759C">
      <w:pPr>
        <w:pStyle w:val="ListParagraph"/>
        <w:numPr>
          <w:ilvl w:val="0"/>
          <w:numId w:val="4"/>
        </w:numPr>
        <w:jc w:val="both"/>
        <w:rPr>
          <w:color w:val="000000" w:themeColor="text1"/>
          <w:shd w:val="clear" w:color="auto" w:fill="FFFFFF"/>
        </w:rPr>
      </w:pPr>
      <w:r>
        <w:rPr>
          <w:color w:val="000000" w:themeColor="text1"/>
          <w:shd w:val="clear" w:color="auto" w:fill="FFFFFF"/>
        </w:rPr>
        <w:t xml:space="preserve">Another notable, related case is that of the Abu </w:t>
      </w:r>
      <w:proofErr w:type="spellStart"/>
      <w:r>
        <w:rPr>
          <w:color w:val="000000" w:themeColor="text1"/>
          <w:shd w:val="clear" w:color="auto" w:fill="FFFFFF"/>
        </w:rPr>
        <w:t>Is’ayid</w:t>
      </w:r>
      <w:proofErr w:type="spellEnd"/>
      <w:r>
        <w:rPr>
          <w:color w:val="000000" w:themeColor="text1"/>
          <w:shd w:val="clear" w:color="auto" w:fill="FFFFFF"/>
        </w:rPr>
        <w:t xml:space="preserve"> family. </w:t>
      </w:r>
      <w:r w:rsidR="00A654F4">
        <w:rPr>
          <w:color w:val="000000" w:themeColor="text1"/>
          <w:shd w:val="clear" w:color="auto" w:fill="FFFFFF"/>
        </w:rPr>
        <w:t xml:space="preserve">The case arises from two military attacks on the family home near the perimeter fence in </w:t>
      </w:r>
      <w:proofErr w:type="spellStart"/>
      <w:r w:rsidR="00A654F4">
        <w:rPr>
          <w:color w:val="000000" w:themeColor="text1"/>
          <w:shd w:val="clear" w:color="auto" w:fill="FFFFFF"/>
        </w:rPr>
        <w:t>Johr</w:t>
      </w:r>
      <w:proofErr w:type="spellEnd"/>
      <w:r w:rsidR="00A654F4">
        <w:rPr>
          <w:color w:val="000000" w:themeColor="text1"/>
          <w:shd w:val="clear" w:color="auto" w:fill="FFFFFF"/>
        </w:rPr>
        <w:t xml:space="preserve"> Al </w:t>
      </w:r>
      <w:proofErr w:type="spellStart"/>
      <w:r w:rsidR="00A654F4">
        <w:rPr>
          <w:color w:val="000000" w:themeColor="text1"/>
          <w:shd w:val="clear" w:color="auto" w:fill="FFFFFF"/>
        </w:rPr>
        <w:t>Deek</w:t>
      </w:r>
      <w:proofErr w:type="spellEnd"/>
      <w:r w:rsidR="00A654F4">
        <w:rPr>
          <w:color w:val="000000" w:themeColor="text1"/>
          <w:shd w:val="clear" w:color="auto" w:fill="FFFFFF"/>
        </w:rPr>
        <w:t>, Gaza Strip. In the first attack, o</w:t>
      </w:r>
      <w:r w:rsidR="0001759C" w:rsidRPr="00366FDC">
        <w:rPr>
          <w:color w:val="000000" w:themeColor="text1"/>
          <w:shd w:val="clear" w:color="auto" w:fill="FFFFFF"/>
        </w:rPr>
        <w:t xml:space="preserve">n 13 July 2010, members of Israel’s artillery forces shelled Naser Abu </w:t>
      </w:r>
      <w:proofErr w:type="spellStart"/>
      <w:r w:rsidR="0001759C" w:rsidRPr="00366FDC">
        <w:rPr>
          <w:color w:val="000000" w:themeColor="text1"/>
          <w:shd w:val="clear" w:color="auto" w:fill="FFFFFF"/>
        </w:rPr>
        <w:t>Is’ayid</w:t>
      </w:r>
      <w:r w:rsidR="00A654F4">
        <w:rPr>
          <w:color w:val="000000" w:themeColor="text1"/>
          <w:shd w:val="clear" w:color="auto" w:fill="FFFFFF"/>
        </w:rPr>
        <w:t>’s</w:t>
      </w:r>
      <w:proofErr w:type="spellEnd"/>
      <w:r w:rsidR="00A654F4">
        <w:rPr>
          <w:color w:val="000000" w:themeColor="text1"/>
          <w:shd w:val="clear" w:color="auto" w:fill="FFFFFF"/>
        </w:rPr>
        <w:t xml:space="preserve"> house, killing his </w:t>
      </w:r>
      <w:r w:rsidR="0001759C">
        <w:rPr>
          <w:color w:val="000000" w:themeColor="text1"/>
          <w:shd w:val="clear" w:color="auto" w:fill="FFFFFF"/>
        </w:rPr>
        <w:t>w</w:t>
      </w:r>
      <w:r w:rsidR="0001759C" w:rsidRPr="00366FDC">
        <w:rPr>
          <w:color w:val="000000" w:themeColor="text1"/>
          <w:shd w:val="clear" w:color="auto" w:fill="FFFFFF"/>
        </w:rPr>
        <w:t xml:space="preserve">ife </w:t>
      </w:r>
      <w:proofErr w:type="spellStart"/>
      <w:r w:rsidR="0001759C" w:rsidRPr="00366FDC">
        <w:rPr>
          <w:color w:val="000000" w:themeColor="text1"/>
          <w:shd w:val="clear" w:color="auto" w:fill="FFFFFF"/>
        </w:rPr>
        <w:t>Ne’ma</w:t>
      </w:r>
      <w:proofErr w:type="spellEnd"/>
      <w:r w:rsidR="0001759C" w:rsidRPr="00366FDC">
        <w:rPr>
          <w:color w:val="000000" w:themeColor="text1"/>
          <w:shd w:val="clear" w:color="auto" w:fill="FFFFFF"/>
        </w:rPr>
        <w:t xml:space="preserve"> and </w:t>
      </w:r>
      <w:r w:rsidR="00A654F4">
        <w:rPr>
          <w:color w:val="000000" w:themeColor="text1"/>
          <w:shd w:val="clear" w:color="auto" w:fill="FFFFFF"/>
        </w:rPr>
        <w:t xml:space="preserve">wounding </w:t>
      </w:r>
      <w:r w:rsidR="0001759C" w:rsidRPr="00366FDC">
        <w:rPr>
          <w:color w:val="000000" w:themeColor="text1"/>
          <w:shd w:val="clear" w:color="auto" w:fill="FFFFFF"/>
        </w:rPr>
        <w:t xml:space="preserve">four family members. The house was attacked again on 28 April 2011, causing the injury of three of Naser’s sons and the total destruction of the house. </w:t>
      </w:r>
    </w:p>
    <w:p w14:paraId="50C94EE2" w14:textId="77777777" w:rsidR="00BC0342" w:rsidRPr="00BC0342" w:rsidRDefault="00BC0342" w:rsidP="00BC0342">
      <w:pPr>
        <w:pStyle w:val="ListParagraph"/>
        <w:rPr>
          <w:color w:val="000000" w:themeColor="text1"/>
          <w:shd w:val="clear" w:color="auto" w:fill="FFFFFF"/>
        </w:rPr>
      </w:pPr>
    </w:p>
    <w:p w14:paraId="230FD9AD" w14:textId="442C6B8E" w:rsidR="0001759C" w:rsidRPr="00123A73" w:rsidRDefault="00123A73" w:rsidP="00123A73">
      <w:pPr>
        <w:pStyle w:val="ListParagraph"/>
        <w:numPr>
          <w:ilvl w:val="0"/>
          <w:numId w:val="4"/>
        </w:numPr>
        <w:jc w:val="both"/>
        <w:rPr>
          <w:color w:val="000000" w:themeColor="text1"/>
        </w:rPr>
      </w:pPr>
      <w:r w:rsidRPr="00123A73">
        <w:rPr>
          <w:color w:val="000000" w:themeColor="text1"/>
          <w:shd w:val="clear" w:color="auto" w:fill="FFFFFF"/>
        </w:rPr>
        <w:t xml:space="preserve">In 2012, Al Mezan filed a compensation claim on behalf of the Abu Is’ayid family in the Beer Sheva </w:t>
      </w:r>
      <w:r w:rsidR="00B92A9B">
        <w:rPr>
          <w:color w:val="000000" w:themeColor="text1"/>
          <w:shd w:val="clear" w:color="auto" w:fill="FFFFFF"/>
        </w:rPr>
        <w:t>D</w:t>
      </w:r>
      <w:r w:rsidRPr="00123A73">
        <w:rPr>
          <w:color w:val="000000" w:themeColor="text1"/>
          <w:shd w:val="clear" w:color="auto" w:fill="FFFFFF"/>
        </w:rPr>
        <w:t xml:space="preserve">istrict </w:t>
      </w:r>
      <w:r w:rsidR="00B92A9B">
        <w:rPr>
          <w:color w:val="000000" w:themeColor="text1"/>
          <w:shd w:val="clear" w:color="auto" w:fill="FFFFFF"/>
        </w:rPr>
        <w:t>C</w:t>
      </w:r>
      <w:r w:rsidRPr="00123A73">
        <w:rPr>
          <w:color w:val="000000" w:themeColor="text1"/>
          <w:shd w:val="clear" w:color="auto" w:fill="FFFFFF"/>
        </w:rPr>
        <w:t>ourt. In November 2017, and d</w:t>
      </w:r>
      <w:r w:rsidR="0001759C" w:rsidRPr="00123A73">
        <w:rPr>
          <w:color w:val="000000" w:themeColor="text1"/>
          <w:shd w:val="clear" w:color="auto" w:fill="FFFFFF"/>
        </w:rPr>
        <w:t>espite evidence of serious wrongdoing on the part of the military, the Beer Sheva</w:t>
      </w:r>
      <w:r w:rsidR="00A654F4" w:rsidRPr="00123A73">
        <w:rPr>
          <w:color w:val="000000" w:themeColor="text1"/>
          <w:shd w:val="clear" w:color="auto" w:fill="FFFFFF"/>
        </w:rPr>
        <w:t xml:space="preserve"> </w:t>
      </w:r>
      <w:r w:rsidR="00B92A9B">
        <w:rPr>
          <w:color w:val="000000" w:themeColor="text1"/>
          <w:shd w:val="clear" w:color="auto" w:fill="FFFFFF"/>
        </w:rPr>
        <w:t>D</w:t>
      </w:r>
      <w:r w:rsidR="00A654F4" w:rsidRPr="00123A73">
        <w:rPr>
          <w:color w:val="000000" w:themeColor="text1"/>
          <w:shd w:val="clear" w:color="auto" w:fill="FFFFFF"/>
        </w:rPr>
        <w:t>istrict</w:t>
      </w:r>
      <w:r w:rsidR="0001759C" w:rsidRPr="00123A73">
        <w:rPr>
          <w:color w:val="000000" w:themeColor="text1"/>
          <w:shd w:val="clear" w:color="auto" w:fill="FFFFFF"/>
        </w:rPr>
        <w:t xml:space="preserve"> </w:t>
      </w:r>
      <w:r w:rsidR="00B92A9B">
        <w:rPr>
          <w:color w:val="000000" w:themeColor="text1"/>
          <w:shd w:val="clear" w:color="auto" w:fill="FFFFFF"/>
        </w:rPr>
        <w:t>C</w:t>
      </w:r>
      <w:r w:rsidR="0001759C" w:rsidRPr="00123A73">
        <w:rPr>
          <w:color w:val="000000" w:themeColor="text1"/>
          <w:shd w:val="clear" w:color="auto" w:fill="FFFFFF"/>
        </w:rPr>
        <w:t xml:space="preserve">ourt rejected the liability of the </w:t>
      </w:r>
      <w:r w:rsidR="00B92A9B">
        <w:rPr>
          <w:color w:val="000000" w:themeColor="text1"/>
          <w:shd w:val="clear" w:color="auto" w:fill="FFFFFF"/>
        </w:rPr>
        <w:t>S</w:t>
      </w:r>
      <w:r w:rsidR="0001759C" w:rsidRPr="00123A73">
        <w:rPr>
          <w:color w:val="000000" w:themeColor="text1"/>
          <w:shd w:val="clear" w:color="auto" w:fill="FFFFFF"/>
        </w:rPr>
        <w:t>tate</w:t>
      </w:r>
      <w:r w:rsidRPr="00123A73">
        <w:rPr>
          <w:color w:val="000000" w:themeColor="text1"/>
          <w:shd w:val="clear" w:color="auto" w:fill="FFFFFF"/>
        </w:rPr>
        <w:t xml:space="preserve">, citing </w:t>
      </w:r>
      <w:r w:rsidR="0001759C" w:rsidRPr="00123A73">
        <w:rPr>
          <w:color w:val="000000" w:themeColor="text1"/>
          <w:shd w:val="clear" w:color="auto" w:fill="FFFFFF"/>
        </w:rPr>
        <w:lastRenderedPageBreak/>
        <w:t>Amendment No. 8.</w:t>
      </w:r>
      <w:r w:rsidR="0001759C" w:rsidRPr="00123A73">
        <w:rPr>
          <w:rStyle w:val="FootnoteReference"/>
          <w:color w:val="000000" w:themeColor="text1"/>
          <w:sz w:val="24"/>
          <w:shd w:val="clear" w:color="auto" w:fill="FFFFFF"/>
        </w:rPr>
        <w:footnoteReference w:id="21"/>
      </w:r>
      <w:r w:rsidR="0001759C" w:rsidRPr="00123A73">
        <w:rPr>
          <w:rStyle w:val="FootnoteReference"/>
          <w:color w:val="000000" w:themeColor="text1"/>
          <w:sz w:val="24"/>
        </w:rPr>
        <w:t xml:space="preserve"> </w:t>
      </w:r>
      <w:r w:rsidR="0001759C" w:rsidRPr="00123A73">
        <w:rPr>
          <w:color w:val="000000" w:themeColor="text1"/>
          <w:shd w:val="clear" w:color="auto" w:fill="FFFFFF"/>
        </w:rPr>
        <w:t xml:space="preserve">The </w:t>
      </w:r>
      <w:r w:rsidR="00594236">
        <w:rPr>
          <w:color w:val="000000" w:themeColor="text1"/>
          <w:shd w:val="clear" w:color="auto" w:fill="FFFFFF"/>
        </w:rPr>
        <w:t>c</w:t>
      </w:r>
      <w:r w:rsidR="0001759C" w:rsidRPr="00123A73">
        <w:rPr>
          <w:color w:val="000000" w:themeColor="text1"/>
          <w:shd w:val="clear" w:color="auto" w:fill="FFFFFF"/>
        </w:rPr>
        <w:t xml:space="preserve">ourt ruled that the killing of </w:t>
      </w:r>
      <w:proofErr w:type="spellStart"/>
      <w:r w:rsidR="0001759C" w:rsidRPr="00123A73">
        <w:rPr>
          <w:color w:val="000000" w:themeColor="text1"/>
          <w:shd w:val="clear" w:color="auto" w:fill="FFFFFF"/>
        </w:rPr>
        <w:t>Ne’ma</w:t>
      </w:r>
      <w:proofErr w:type="spellEnd"/>
      <w:r w:rsidR="0001759C" w:rsidRPr="00123A73">
        <w:rPr>
          <w:color w:val="000000" w:themeColor="text1"/>
          <w:shd w:val="clear" w:color="auto" w:fill="FFFFFF"/>
        </w:rPr>
        <w:t xml:space="preserve">, the injury of family members, and the destruction of the family home </w:t>
      </w:r>
      <w:r w:rsidR="00B92A9B">
        <w:rPr>
          <w:color w:val="000000" w:themeColor="text1"/>
          <w:shd w:val="clear" w:color="auto" w:fill="FFFFFF"/>
        </w:rPr>
        <w:t>“</w:t>
      </w:r>
      <w:r w:rsidR="0001759C" w:rsidRPr="00123A73">
        <w:rPr>
          <w:color w:val="000000" w:themeColor="text1"/>
          <w:shd w:val="clear" w:color="auto" w:fill="FFFFFF"/>
        </w:rPr>
        <w:t>occurred during combat action”</w:t>
      </w:r>
      <w:r w:rsidR="005533BB" w:rsidRPr="00123A73">
        <w:rPr>
          <w:rStyle w:val="FootnoteReference"/>
          <w:color w:val="000000" w:themeColor="text1"/>
          <w:sz w:val="24"/>
        </w:rPr>
        <w:footnoteReference w:id="22"/>
      </w:r>
      <w:r w:rsidR="005533BB" w:rsidRPr="00123A73">
        <w:rPr>
          <w:rStyle w:val="FootnoteReference"/>
          <w:color w:val="000000" w:themeColor="text1"/>
          <w:sz w:val="24"/>
          <w:shd w:val="clear" w:color="auto" w:fill="FFFFFF"/>
        </w:rPr>
        <w:t xml:space="preserve"> </w:t>
      </w:r>
      <w:r w:rsidR="0001759C" w:rsidRPr="00123A73">
        <w:rPr>
          <w:color w:val="000000" w:themeColor="text1"/>
          <w:shd w:val="clear" w:color="auto" w:fill="FFFFFF"/>
        </w:rPr>
        <w:t xml:space="preserve">—even though the soldiers who conducted the attack had not faced any threat to life or injury, an initial </w:t>
      </w:r>
      <w:r w:rsidR="00B92A9B">
        <w:rPr>
          <w:color w:val="000000" w:themeColor="text1"/>
          <w:shd w:val="clear" w:color="auto" w:fill="FFFFFF"/>
        </w:rPr>
        <w:t>requirement</w:t>
      </w:r>
      <w:r w:rsidR="0001759C" w:rsidRPr="00123A73">
        <w:rPr>
          <w:color w:val="000000" w:themeColor="text1"/>
          <w:shd w:val="clear" w:color="auto" w:fill="FFFFFF"/>
        </w:rPr>
        <w:t xml:space="preserve"> of the law. The </w:t>
      </w:r>
      <w:r w:rsidR="00594236">
        <w:rPr>
          <w:color w:val="000000" w:themeColor="text1"/>
          <w:shd w:val="clear" w:color="auto" w:fill="FFFFFF"/>
        </w:rPr>
        <w:t>D</w:t>
      </w:r>
      <w:r w:rsidR="00561A40" w:rsidRPr="00123A73">
        <w:rPr>
          <w:color w:val="000000" w:themeColor="text1"/>
          <w:shd w:val="clear" w:color="auto" w:fill="FFFFFF"/>
        </w:rPr>
        <w:t xml:space="preserve">istrict </w:t>
      </w:r>
      <w:r w:rsidR="00594236">
        <w:rPr>
          <w:color w:val="000000" w:themeColor="text1"/>
          <w:shd w:val="clear" w:color="auto" w:fill="FFFFFF"/>
        </w:rPr>
        <w:t>C</w:t>
      </w:r>
      <w:r w:rsidR="00561A40" w:rsidRPr="00123A73">
        <w:rPr>
          <w:color w:val="000000" w:themeColor="text1"/>
          <w:shd w:val="clear" w:color="auto" w:fill="FFFFFF"/>
        </w:rPr>
        <w:t>ourt’s</w:t>
      </w:r>
      <w:r w:rsidR="0001759C" w:rsidRPr="00123A73">
        <w:rPr>
          <w:color w:val="000000" w:themeColor="text1"/>
          <w:shd w:val="clear" w:color="auto" w:fill="FFFFFF"/>
        </w:rPr>
        <w:t xml:space="preserve"> ruling therefore removed even this broad parameter and in effect the Israeli government became exempt from liability for all military activity occurring in and around Gaza vis-à-vis its residents. </w:t>
      </w:r>
    </w:p>
    <w:p w14:paraId="321E7CBE" w14:textId="77777777" w:rsidR="0001759C" w:rsidRPr="009351BD" w:rsidRDefault="0001759C" w:rsidP="0001759C">
      <w:pPr>
        <w:jc w:val="both"/>
        <w:rPr>
          <w:color w:val="000000" w:themeColor="text1"/>
          <w:shd w:val="clear" w:color="auto" w:fill="FFFFFF"/>
        </w:rPr>
      </w:pPr>
    </w:p>
    <w:p w14:paraId="56A45605" w14:textId="32F90EF3" w:rsidR="0001759C" w:rsidRPr="00561A40" w:rsidRDefault="00A654F4" w:rsidP="00561A40">
      <w:pPr>
        <w:pStyle w:val="ListParagraph"/>
        <w:numPr>
          <w:ilvl w:val="0"/>
          <w:numId w:val="4"/>
        </w:numPr>
        <w:jc w:val="both"/>
        <w:rPr>
          <w:color w:val="000000" w:themeColor="text1"/>
          <w:shd w:val="clear" w:color="auto" w:fill="FFFFFF"/>
        </w:rPr>
      </w:pPr>
      <w:r>
        <w:rPr>
          <w:color w:val="000000" w:themeColor="text1"/>
        </w:rPr>
        <w:t xml:space="preserve">Al Mezan appealed this ruling to the Israeli Supreme Court. </w:t>
      </w:r>
      <w:r w:rsidR="0001759C" w:rsidRPr="00366FDC">
        <w:rPr>
          <w:color w:val="000000" w:themeColor="text1"/>
          <w:shd w:val="clear" w:color="auto" w:fill="FFFFFF"/>
        </w:rPr>
        <w:t xml:space="preserve">The </w:t>
      </w:r>
      <w:r>
        <w:rPr>
          <w:color w:val="000000" w:themeColor="text1"/>
          <w:shd w:val="clear" w:color="auto" w:fill="FFFFFF"/>
        </w:rPr>
        <w:t xml:space="preserve">Supreme Court’s July 2019 ruling </w:t>
      </w:r>
      <w:r w:rsidR="00BC0342">
        <w:rPr>
          <w:color w:val="000000" w:themeColor="text1"/>
          <w:shd w:val="clear" w:color="auto" w:fill="FFFFFF"/>
        </w:rPr>
        <w:t xml:space="preserve">on the appeal </w:t>
      </w:r>
      <w:r w:rsidR="0001759C" w:rsidRPr="00366FDC">
        <w:rPr>
          <w:color w:val="000000" w:themeColor="text1"/>
          <w:shd w:val="clear" w:color="auto" w:fill="FFFFFF"/>
        </w:rPr>
        <w:t xml:space="preserve">supported the lower court’s application of </w:t>
      </w:r>
      <w:r w:rsidR="00123A73">
        <w:rPr>
          <w:color w:val="000000" w:themeColor="text1"/>
          <w:shd w:val="clear" w:color="auto" w:fill="FFFFFF"/>
        </w:rPr>
        <w:t xml:space="preserve">Amendment No. 8 </w:t>
      </w:r>
      <w:r w:rsidR="0001759C" w:rsidRPr="00366FDC">
        <w:rPr>
          <w:color w:val="000000" w:themeColor="text1"/>
          <w:shd w:val="clear" w:color="auto" w:fill="FFFFFF"/>
        </w:rPr>
        <w:t>and clarified that while the military force used in the second incident might have resulted from negligence, the Court did not consider this</w:t>
      </w:r>
      <w:r w:rsidR="0001759C">
        <w:rPr>
          <w:color w:val="000000" w:themeColor="text1"/>
          <w:shd w:val="clear" w:color="auto" w:fill="FFFFFF"/>
        </w:rPr>
        <w:t xml:space="preserve"> second</w:t>
      </w:r>
      <w:r w:rsidR="0001759C" w:rsidRPr="00366FDC">
        <w:rPr>
          <w:color w:val="000000" w:themeColor="text1"/>
          <w:shd w:val="clear" w:color="auto" w:fill="FFFFFF"/>
        </w:rPr>
        <w:t xml:space="preserve"> matter under its purview.</w:t>
      </w:r>
      <w:r w:rsidR="00561A40" w:rsidRPr="00561A40">
        <w:rPr>
          <w:rStyle w:val="FootnoteReference"/>
          <w:color w:val="000000" w:themeColor="text1"/>
        </w:rPr>
        <w:t xml:space="preserve"> </w:t>
      </w:r>
      <w:r w:rsidR="00561A40" w:rsidRPr="00843A4C">
        <w:rPr>
          <w:rStyle w:val="FootnoteReference"/>
          <w:color w:val="000000" w:themeColor="text1"/>
        </w:rPr>
        <w:footnoteReference w:id="23"/>
      </w:r>
    </w:p>
    <w:p w14:paraId="7984E537" w14:textId="77777777" w:rsidR="0001759C" w:rsidRPr="009351BD" w:rsidRDefault="0001759C" w:rsidP="0001759C">
      <w:pPr>
        <w:jc w:val="both"/>
        <w:rPr>
          <w:color w:val="000000" w:themeColor="text1"/>
          <w:shd w:val="clear" w:color="auto" w:fill="FFFFFF"/>
        </w:rPr>
      </w:pPr>
    </w:p>
    <w:p w14:paraId="7A5A624B" w14:textId="77777777" w:rsidR="0001759C" w:rsidRPr="00366FDC" w:rsidRDefault="0001759C" w:rsidP="0001759C">
      <w:pPr>
        <w:pStyle w:val="ListParagraph"/>
        <w:numPr>
          <w:ilvl w:val="0"/>
          <w:numId w:val="4"/>
        </w:numPr>
        <w:jc w:val="both"/>
        <w:rPr>
          <w:color w:val="000000" w:themeColor="text1"/>
          <w:shd w:val="clear" w:color="auto" w:fill="FFFFFF"/>
        </w:rPr>
      </w:pPr>
      <w:r>
        <w:rPr>
          <w:color w:val="000000" w:themeColor="text1"/>
          <w:shd w:val="clear" w:color="auto" w:fill="FFFFFF"/>
        </w:rPr>
        <w:t xml:space="preserve">According to </w:t>
      </w:r>
      <w:r w:rsidRPr="00366FDC">
        <w:rPr>
          <w:color w:val="000000" w:themeColor="text1"/>
          <w:shd w:val="clear" w:color="auto" w:fill="FFFFFF"/>
        </w:rPr>
        <w:t xml:space="preserve">the </w:t>
      </w:r>
      <w:r>
        <w:rPr>
          <w:color w:val="000000" w:themeColor="text1"/>
          <w:shd w:val="clear" w:color="auto" w:fill="FFFFFF"/>
        </w:rPr>
        <w:t>Supreme</w:t>
      </w:r>
      <w:r w:rsidRPr="00366FDC">
        <w:rPr>
          <w:color w:val="000000" w:themeColor="text1"/>
          <w:shd w:val="clear" w:color="auto" w:fill="FFFFFF"/>
        </w:rPr>
        <w:t xml:space="preserve"> Court</w:t>
      </w:r>
      <w:r>
        <w:rPr>
          <w:color w:val="000000" w:themeColor="text1"/>
          <w:shd w:val="clear" w:color="auto" w:fill="FFFFFF"/>
        </w:rPr>
        <w:t>’s ruling</w:t>
      </w:r>
      <w:r w:rsidRPr="00366FDC">
        <w:rPr>
          <w:color w:val="000000" w:themeColor="text1"/>
          <w:shd w:val="clear" w:color="auto" w:fill="FFFFFF"/>
        </w:rPr>
        <w:t xml:space="preserve">: </w:t>
      </w:r>
    </w:p>
    <w:p w14:paraId="7879C610" w14:textId="77777777" w:rsidR="0001759C" w:rsidRPr="009351BD" w:rsidRDefault="0001759C" w:rsidP="0001759C">
      <w:pPr>
        <w:rPr>
          <w:color w:val="000000" w:themeColor="text1"/>
        </w:rPr>
      </w:pPr>
    </w:p>
    <w:p w14:paraId="72B04686" w14:textId="77777777" w:rsidR="0001759C" w:rsidRPr="009351BD" w:rsidRDefault="0001759C" w:rsidP="0001759C">
      <w:pPr>
        <w:ind w:left="720" w:right="720"/>
        <w:jc w:val="both"/>
        <w:rPr>
          <w:color w:val="000000" w:themeColor="text1"/>
          <w:shd w:val="clear" w:color="auto" w:fill="FFFFFF"/>
        </w:rPr>
      </w:pPr>
      <w:r>
        <w:rPr>
          <w:color w:val="000000" w:themeColor="text1"/>
          <w:shd w:val="clear" w:color="auto" w:fill="FFFFFF"/>
        </w:rPr>
        <w:t>“</w:t>
      </w:r>
      <w:r w:rsidRPr="009351BD">
        <w:rPr>
          <w:color w:val="000000" w:themeColor="text1"/>
          <w:shd w:val="clear" w:color="auto" w:fill="FFFFFF"/>
        </w:rPr>
        <w:t>The Court has investigated the incident meticulously and assessed that the second attack [the subject of the appeal] was perpetrated with dereliction, which the court does not deal with. This dereliction is part of individual acts by the soldiers rather than being part of the incident itself. As such, the attack was launched per the standards of self-defense and according to the provisions of the law. We regret the results of the attack. At the legal level, however, the appeal is rejected.</w:t>
      </w:r>
      <w:r>
        <w:rPr>
          <w:color w:val="000000" w:themeColor="text1"/>
          <w:shd w:val="clear" w:color="auto" w:fill="FFFFFF"/>
        </w:rPr>
        <w:t>”</w:t>
      </w:r>
      <w:r>
        <w:rPr>
          <w:rStyle w:val="FootnoteReference"/>
          <w:color w:val="000000" w:themeColor="text1"/>
          <w:shd w:val="clear" w:color="auto" w:fill="FFFFFF"/>
        </w:rPr>
        <w:footnoteReference w:id="24"/>
      </w:r>
    </w:p>
    <w:p w14:paraId="6F8E867A" w14:textId="77777777" w:rsidR="0001759C" w:rsidRPr="009351BD" w:rsidRDefault="0001759C" w:rsidP="0001759C">
      <w:pPr>
        <w:rPr>
          <w:b/>
          <w:bCs/>
        </w:rPr>
      </w:pPr>
    </w:p>
    <w:p w14:paraId="3500F574" w14:textId="7F6CD62B" w:rsidR="00AD5A55" w:rsidRPr="0061214A" w:rsidRDefault="0001759C" w:rsidP="0061214A">
      <w:pPr>
        <w:pStyle w:val="ListParagraph"/>
        <w:numPr>
          <w:ilvl w:val="0"/>
          <w:numId w:val="4"/>
        </w:numPr>
        <w:jc w:val="both"/>
        <w:rPr>
          <w:color w:val="000000" w:themeColor="text1"/>
        </w:rPr>
      </w:pPr>
      <w:r>
        <w:rPr>
          <w:color w:val="000000" w:themeColor="text1"/>
        </w:rPr>
        <w:t>A</w:t>
      </w:r>
      <w:r w:rsidRPr="00366FDC">
        <w:rPr>
          <w:color w:val="000000" w:themeColor="text1"/>
        </w:rPr>
        <w:t xml:space="preserve">s the </w:t>
      </w:r>
      <w:r>
        <w:rPr>
          <w:color w:val="000000" w:themeColor="text1"/>
        </w:rPr>
        <w:t xml:space="preserve">highest </w:t>
      </w:r>
      <w:r w:rsidRPr="00366FDC">
        <w:rPr>
          <w:color w:val="000000" w:themeColor="text1"/>
        </w:rPr>
        <w:t xml:space="preserve">court of appeals in the country, the </w:t>
      </w:r>
      <w:r w:rsidR="00594236">
        <w:rPr>
          <w:color w:val="000000" w:themeColor="text1"/>
        </w:rPr>
        <w:t>Supreme C</w:t>
      </w:r>
      <w:r>
        <w:rPr>
          <w:color w:val="000000" w:themeColor="text1"/>
        </w:rPr>
        <w:t xml:space="preserve">ourt’s </w:t>
      </w:r>
      <w:r w:rsidRPr="00366FDC">
        <w:rPr>
          <w:color w:val="000000" w:themeColor="text1"/>
        </w:rPr>
        <w:t xml:space="preserve">decision effectively deprives Palestinian </w:t>
      </w:r>
      <w:r>
        <w:rPr>
          <w:color w:val="000000" w:themeColor="text1"/>
        </w:rPr>
        <w:t>petitioners</w:t>
      </w:r>
      <w:r w:rsidRPr="00366FDC">
        <w:rPr>
          <w:color w:val="000000" w:themeColor="text1"/>
        </w:rPr>
        <w:t xml:space="preserve"> in the Gaza Strip of </w:t>
      </w:r>
      <w:r>
        <w:rPr>
          <w:color w:val="000000" w:themeColor="text1"/>
        </w:rPr>
        <w:t xml:space="preserve">all </w:t>
      </w:r>
      <w:r w:rsidRPr="00366FDC">
        <w:rPr>
          <w:color w:val="000000" w:themeColor="text1"/>
        </w:rPr>
        <w:t>redress from within the entire Israeli judicial system</w:t>
      </w:r>
      <w:r w:rsidR="004071A3">
        <w:rPr>
          <w:color w:val="000000" w:themeColor="text1"/>
        </w:rPr>
        <w:t>,</w:t>
      </w:r>
      <w:r w:rsidR="00A035EE">
        <w:rPr>
          <w:color w:val="000000" w:themeColor="text1"/>
        </w:rPr>
        <w:t xml:space="preserve"> regardless of the severity of </w:t>
      </w:r>
      <w:r w:rsidR="004071A3">
        <w:rPr>
          <w:color w:val="000000" w:themeColor="text1"/>
        </w:rPr>
        <w:t>the conduct</w:t>
      </w:r>
      <w:r w:rsidR="00A035EE">
        <w:rPr>
          <w:color w:val="000000" w:themeColor="text1"/>
        </w:rPr>
        <w:t xml:space="preserve"> and/or violations committed by Israeli forces or state organs</w:t>
      </w:r>
      <w:r w:rsidR="004071A3">
        <w:rPr>
          <w:color w:val="000000" w:themeColor="text1"/>
        </w:rPr>
        <w:t xml:space="preserve">. The decision also overlooks </w:t>
      </w:r>
      <w:r w:rsidR="00A035EE">
        <w:rPr>
          <w:color w:val="000000" w:themeColor="text1"/>
        </w:rPr>
        <w:t xml:space="preserve">the implications of such </w:t>
      </w:r>
      <w:r w:rsidR="004071A3">
        <w:rPr>
          <w:color w:val="000000" w:themeColor="text1"/>
        </w:rPr>
        <w:t>conduct</w:t>
      </w:r>
      <w:r w:rsidR="00A035EE">
        <w:rPr>
          <w:color w:val="000000" w:themeColor="text1"/>
        </w:rPr>
        <w:t xml:space="preserve"> on </w:t>
      </w:r>
      <w:r w:rsidR="004071A3">
        <w:rPr>
          <w:color w:val="000000" w:themeColor="text1"/>
        </w:rPr>
        <w:t>civilians</w:t>
      </w:r>
      <w:r w:rsidR="00A035EE">
        <w:rPr>
          <w:color w:val="000000" w:themeColor="text1"/>
        </w:rPr>
        <w:t>.</w:t>
      </w:r>
      <w:r w:rsidR="004071A3">
        <w:rPr>
          <w:color w:val="000000" w:themeColor="text1"/>
        </w:rPr>
        <w:t xml:space="preserve"> The </w:t>
      </w:r>
      <w:r w:rsidR="00A035EE">
        <w:rPr>
          <w:color w:val="000000" w:themeColor="text1"/>
        </w:rPr>
        <w:t xml:space="preserve">Palestinian </w:t>
      </w:r>
      <w:r w:rsidR="00A035EE" w:rsidRPr="00366FDC">
        <w:rPr>
          <w:color w:val="000000" w:themeColor="text1"/>
        </w:rPr>
        <w:t xml:space="preserve">survivors and family members </w:t>
      </w:r>
      <w:r w:rsidR="001C2C8F">
        <w:rPr>
          <w:color w:val="000000" w:themeColor="text1"/>
        </w:rPr>
        <w:t>in</w:t>
      </w:r>
      <w:r w:rsidR="00A035EE">
        <w:rPr>
          <w:color w:val="000000" w:themeColor="text1"/>
        </w:rPr>
        <w:t xml:space="preserve"> Gaza are left </w:t>
      </w:r>
      <w:r w:rsidRPr="00366FDC">
        <w:rPr>
          <w:color w:val="000000" w:themeColor="text1"/>
        </w:rPr>
        <w:t xml:space="preserve">to seek </w:t>
      </w:r>
      <w:r>
        <w:rPr>
          <w:color w:val="000000" w:themeColor="text1"/>
        </w:rPr>
        <w:t xml:space="preserve">remedies </w:t>
      </w:r>
      <w:r w:rsidRPr="00366FDC">
        <w:rPr>
          <w:color w:val="000000" w:themeColor="text1"/>
        </w:rPr>
        <w:t>internationally</w:t>
      </w:r>
      <w:r w:rsidR="004071A3">
        <w:rPr>
          <w:color w:val="000000" w:themeColor="text1"/>
        </w:rPr>
        <w:t>,</w:t>
      </w:r>
      <w:r w:rsidR="00A035EE">
        <w:rPr>
          <w:color w:val="000000" w:themeColor="text1"/>
        </w:rPr>
        <w:t xml:space="preserve"> in a situation where </w:t>
      </w:r>
      <w:r w:rsidR="004071A3">
        <w:rPr>
          <w:color w:val="000000" w:themeColor="text1"/>
        </w:rPr>
        <w:t xml:space="preserve">the </w:t>
      </w:r>
      <w:r w:rsidR="00A035EE">
        <w:rPr>
          <w:color w:val="000000" w:themeColor="text1"/>
        </w:rPr>
        <w:t>State is not cooperative with international mechanisms</w:t>
      </w:r>
      <w:r w:rsidRPr="00366FDC">
        <w:rPr>
          <w:color w:val="000000" w:themeColor="text1"/>
        </w:rPr>
        <w:t xml:space="preserve">. </w:t>
      </w:r>
    </w:p>
    <w:p w14:paraId="00D52156" w14:textId="4BC6E15E" w:rsidR="00AD5A55" w:rsidRPr="00921A5D" w:rsidRDefault="00AD5A55" w:rsidP="001C2C8F">
      <w:pPr>
        <w:pStyle w:val="Heading1"/>
      </w:pPr>
      <w:r w:rsidRPr="00921A5D">
        <w:t>Question 27b</w:t>
      </w:r>
    </w:p>
    <w:p w14:paraId="0B6C8A95" w14:textId="77777777" w:rsidR="00AD5A55" w:rsidRDefault="00AD5A55" w:rsidP="00AD5A55"/>
    <w:p w14:paraId="5E0D1B4B" w14:textId="77777777" w:rsidR="00AD5A55" w:rsidRPr="00D04F0E" w:rsidRDefault="00AD5A55" w:rsidP="001C2C8F">
      <w:pPr>
        <w:pStyle w:val="ListParagraph"/>
        <w:numPr>
          <w:ilvl w:val="0"/>
          <w:numId w:val="4"/>
        </w:numPr>
        <w:jc w:val="both"/>
        <w:rPr>
          <w:color w:val="000000" w:themeColor="text1"/>
        </w:rPr>
      </w:pPr>
      <w:r w:rsidRPr="00487A78">
        <w:rPr>
          <w:color w:val="000000" w:themeColor="text1"/>
          <w:shd w:val="clear" w:color="auto" w:fill="FFFFFF"/>
        </w:rPr>
        <w:t>Since 2015, Al Mezan</w:t>
      </w:r>
      <w:r>
        <w:rPr>
          <w:color w:val="000000" w:themeColor="text1"/>
          <w:shd w:val="clear" w:color="auto" w:fill="FFFFFF"/>
        </w:rPr>
        <w:t xml:space="preserve"> and partner organizations </w:t>
      </w:r>
      <w:r w:rsidRPr="00487A78">
        <w:rPr>
          <w:color w:val="000000" w:themeColor="text1"/>
          <w:shd w:val="clear" w:color="auto" w:fill="FFFFFF"/>
        </w:rPr>
        <w:t>Gisha</w:t>
      </w:r>
      <w:r>
        <w:rPr>
          <w:rFonts w:hint="cs"/>
          <w:color w:val="000000" w:themeColor="text1"/>
          <w:shd w:val="clear" w:color="auto" w:fill="FFFFFF"/>
          <w:rtl/>
          <w:lang w:bidi="he-IL"/>
        </w:rPr>
        <w:t xml:space="preserve"> </w:t>
      </w:r>
      <w:r>
        <w:rPr>
          <w:color w:val="000000" w:themeColor="text1"/>
          <w:shd w:val="clear" w:color="auto" w:fill="FFFFFF"/>
          <w:rtl/>
          <w:lang w:bidi="he-IL"/>
        </w:rPr>
        <w:t>–</w:t>
      </w:r>
      <w:r>
        <w:rPr>
          <w:rFonts w:hint="cs"/>
          <w:color w:val="000000" w:themeColor="text1"/>
          <w:shd w:val="clear" w:color="auto" w:fill="FFFFFF"/>
          <w:rtl/>
          <w:lang w:bidi="he-IL"/>
        </w:rPr>
        <w:t xml:space="preserve"> </w:t>
      </w:r>
      <w:r>
        <w:rPr>
          <w:rFonts w:hint="cs"/>
          <w:color w:val="000000" w:themeColor="text1"/>
          <w:shd w:val="clear" w:color="auto" w:fill="FFFFFF"/>
          <w:lang w:bidi="he-IL"/>
        </w:rPr>
        <w:t>L</w:t>
      </w:r>
      <w:r>
        <w:rPr>
          <w:color w:val="000000" w:themeColor="text1"/>
          <w:shd w:val="clear" w:color="auto" w:fill="FFFFFF"/>
          <w:lang w:bidi="he-IL"/>
        </w:rPr>
        <w:t>egal Center for Freedom of Movement</w:t>
      </w:r>
      <w:r>
        <w:rPr>
          <w:color w:val="000000" w:themeColor="text1"/>
          <w:shd w:val="clear" w:color="auto" w:fill="FFFFFF"/>
        </w:rPr>
        <w:t xml:space="preserve"> and</w:t>
      </w:r>
      <w:r w:rsidRPr="00487A78">
        <w:rPr>
          <w:color w:val="000000" w:themeColor="text1"/>
          <w:shd w:val="clear" w:color="auto" w:fill="FFFFFF"/>
        </w:rPr>
        <w:t xml:space="preserve"> Adalah</w:t>
      </w:r>
      <w:r>
        <w:rPr>
          <w:color w:val="000000" w:themeColor="text1"/>
          <w:shd w:val="clear" w:color="auto" w:fill="FFFFFF"/>
        </w:rPr>
        <w:t xml:space="preserve"> – The Legal Center for Arab Minority Rights in Israel</w:t>
      </w:r>
      <w:r w:rsidRPr="00487A78">
        <w:rPr>
          <w:color w:val="000000" w:themeColor="text1"/>
          <w:shd w:val="clear" w:color="auto" w:fill="FFFFFF"/>
        </w:rPr>
        <w:t xml:space="preserve"> have </w:t>
      </w:r>
      <w:r>
        <w:rPr>
          <w:color w:val="000000" w:themeColor="text1"/>
          <w:shd w:val="clear" w:color="auto" w:fill="FFFFFF"/>
        </w:rPr>
        <w:t>been following the Israeli government’s highly destructive and hazardous pra</w:t>
      </w:r>
      <w:r w:rsidRPr="00487A78">
        <w:rPr>
          <w:color w:val="000000" w:themeColor="text1"/>
          <w:shd w:val="clear" w:color="auto" w:fill="FFFFFF"/>
        </w:rPr>
        <w:t>ctice of aerial herbicide spraying</w:t>
      </w:r>
      <w:r>
        <w:rPr>
          <w:color w:val="000000" w:themeColor="text1"/>
          <w:shd w:val="clear" w:color="auto" w:fill="FFFFFF"/>
        </w:rPr>
        <w:t xml:space="preserve"> of crops along Gaza’s parameter fence. </w:t>
      </w:r>
      <w:r w:rsidRPr="00D04F0E">
        <w:rPr>
          <w:color w:val="000000" w:themeColor="text1"/>
        </w:rPr>
        <w:t>The practice affects the livelihood and right to food of the population</w:t>
      </w:r>
      <w:r>
        <w:rPr>
          <w:color w:val="000000" w:themeColor="text1"/>
        </w:rPr>
        <w:t xml:space="preserve"> and </w:t>
      </w:r>
      <w:r w:rsidRPr="00D04F0E">
        <w:rPr>
          <w:color w:val="000000" w:themeColor="text1"/>
        </w:rPr>
        <w:t>pos</w:t>
      </w:r>
      <w:r>
        <w:rPr>
          <w:color w:val="000000" w:themeColor="text1"/>
        </w:rPr>
        <w:t>es</w:t>
      </w:r>
      <w:r w:rsidRPr="00D04F0E">
        <w:rPr>
          <w:color w:val="000000" w:themeColor="text1"/>
        </w:rPr>
        <w:t xml:space="preserve"> a risk to Gaza’s fragile environment and decaying infrastructure. </w:t>
      </w:r>
      <w:r>
        <w:rPr>
          <w:color w:val="000000" w:themeColor="text1"/>
          <w:shd w:val="clear" w:color="auto" w:fill="FFFFFF"/>
        </w:rPr>
        <w:t>The organizations have been</w:t>
      </w:r>
      <w:r w:rsidRPr="00487A78">
        <w:rPr>
          <w:color w:val="000000" w:themeColor="text1"/>
          <w:shd w:val="clear" w:color="auto" w:fill="FFFFFF"/>
        </w:rPr>
        <w:t xml:space="preserve"> </w:t>
      </w:r>
      <w:r>
        <w:rPr>
          <w:color w:val="000000" w:themeColor="text1"/>
          <w:shd w:val="clear" w:color="auto" w:fill="FFFFFF"/>
        </w:rPr>
        <w:t xml:space="preserve">requesting information through the Freedom of Information Act </w:t>
      </w:r>
      <w:r w:rsidRPr="00487A78">
        <w:rPr>
          <w:color w:val="000000" w:themeColor="text1"/>
          <w:shd w:val="clear" w:color="auto" w:fill="FFFFFF"/>
        </w:rPr>
        <w:t xml:space="preserve">about </w:t>
      </w:r>
      <w:r>
        <w:rPr>
          <w:color w:val="000000" w:themeColor="text1"/>
          <w:shd w:val="clear" w:color="auto" w:fill="FFFFFF"/>
        </w:rPr>
        <w:t>the practice</w:t>
      </w:r>
      <w:r w:rsidRPr="00487A78">
        <w:rPr>
          <w:color w:val="000000" w:themeColor="text1"/>
          <w:shd w:val="clear" w:color="auto" w:fill="FFFFFF"/>
        </w:rPr>
        <w:t xml:space="preserve"> and </w:t>
      </w:r>
      <w:r>
        <w:rPr>
          <w:color w:val="000000" w:themeColor="text1"/>
          <w:shd w:val="clear" w:color="auto" w:fill="FFFFFF"/>
        </w:rPr>
        <w:t xml:space="preserve">initiating legal actions to </w:t>
      </w:r>
      <w:r w:rsidRPr="00487A78">
        <w:rPr>
          <w:color w:val="000000" w:themeColor="text1"/>
          <w:shd w:val="clear" w:color="auto" w:fill="FFFFFF"/>
        </w:rPr>
        <w:t xml:space="preserve">demand that Israel put an end to </w:t>
      </w:r>
      <w:r>
        <w:rPr>
          <w:color w:val="000000" w:themeColor="text1"/>
          <w:shd w:val="clear" w:color="auto" w:fill="FFFFFF"/>
        </w:rPr>
        <w:t xml:space="preserve">the </w:t>
      </w:r>
      <w:r w:rsidRPr="00487A78">
        <w:rPr>
          <w:color w:val="000000" w:themeColor="text1"/>
          <w:shd w:val="clear" w:color="auto" w:fill="FFFFFF"/>
        </w:rPr>
        <w:t xml:space="preserve">measure. </w:t>
      </w:r>
    </w:p>
    <w:p w14:paraId="37DCF52F" w14:textId="77777777" w:rsidR="00AD5A55" w:rsidRPr="005C77FF" w:rsidRDefault="00AD5A55" w:rsidP="00AD5A55">
      <w:pPr>
        <w:pStyle w:val="ListParagraph"/>
        <w:ind w:left="360"/>
        <w:jc w:val="both"/>
        <w:rPr>
          <w:color w:val="000000" w:themeColor="text1"/>
        </w:rPr>
      </w:pPr>
    </w:p>
    <w:p w14:paraId="32B6E1A5" w14:textId="64BB005C" w:rsidR="00AD5A55" w:rsidRDefault="00AD5A55" w:rsidP="001C2C8F">
      <w:pPr>
        <w:pStyle w:val="ListParagraph"/>
        <w:numPr>
          <w:ilvl w:val="0"/>
          <w:numId w:val="4"/>
        </w:numPr>
        <w:jc w:val="both"/>
        <w:rPr>
          <w:color w:val="000000" w:themeColor="text1"/>
        </w:rPr>
      </w:pPr>
      <w:r>
        <w:rPr>
          <w:color w:val="000000" w:themeColor="text1"/>
          <w:shd w:val="clear" w:color="auto" w:fill="FFFFFF"/>
        </w:rPr>
        <w:lastRenderedPageBreak/>
        <w:t xml:space="preserve">According to information received in a Freedom of Information Act request and Al Mezan’s monitoring and documentation, Israel sprayed at least six times in 2018 and at least 30 times between 2014 and 2018. At the time of reporting, the Israeli government had not conducted the chemical spraying within 2019. </w:t>
      </w:r>
      <w:r>
        <w:rPr>
          <w:color w:val="000000" w:themeColor="text1"/>
        </w:rPr>
        <w:t>The 2014-2018 incidents impacted in particular</w:t>
      </w:r>
      <w:r w:rsidRPr="00D04F0E">
        <w:rPr>
          <w:color w:val="000000" w:themeColor="text1"/>
        </w:rPr>
        <w:t xml:space="preserve"> </w:t>
      </w:r>
      <w:r>
        <w:rPr>
          <w:color w:val="000000" w:themeColor="text1"/>
        </w:rPr>
        <w:t>the</w:t>
      </w:r>
      <w:r w:rsidRPr="00D04F0E">
        <w:rPr>
          <w:color w:val="000000" w:themeColor="text1"/>
        </w:rPr>
        <w:t xml:space="preserve"> area</w:t>
      </w:r>
      <w:r>
        <w:rPr>
          <w:color w:val="000000" w:themeColor="text1"/>
        </w:rPr>
        <w:t>s</w:t>
      </w:r>
      <w:r w:rsidRPr="00D04F0E">
        <w:rPr>
          <w:color w:val="000000" w:themeColor="text1"/>
        </w:rPr>
        <w:t xml:space="preserve"> where farmers plant wheat, oats, melon, and low-growing leafy vegetable crops, such as spinach, parsley, rocket and chard. The spraying is reported to be creating a lasting change to the chemical composition of entire swaths of arable land reaching up to 700 meters beyond the</w:t>
      </w:r>
      <w:r>
        <w:rPr>
          <w:color w:val="000000" w:themeColor="text1"/>
        </w:rPr>
        <w:t xml:space="preserve"> </w:t>
      </w:r>
      <w:r w:rsidR="001C2C8F">
        <w:rPr>
          <w:color w:val="000000" w:themeColor="text1"/>
        </w:rPr>
        <w:t>perimeter</w:t>
      </w:r>
      <w:r>
        <w:rPr>
          <w:color w:val="000000" w:themeColor="text1"/>
        </w:rPr>
        <w:t xml:space="preserve"> fence and to cause serious financial losses to local farmers</w:t>
      </w:r>
      <w:r w:rsidRPr="00D04F0E">
        <w:rPr>
          <w:color w:val="000000" w:themeColor="text1"/>
        </w:rPr>
        <w:t>.</w:t>
      </w:r>
      <w:r w:rsidRPr="00D04F0E">
        <w:rPr>
          <w:rStyle w:val="FootnoteReference"/>
          <w:color w:val="000000" w:themeColor="text1"/>
        </w:rPr>
        <w:footnoteReference w:id="25"/>
      </w:r>
      <w:r>
        <w:rPr>
          <w:color w:val="000000" w:themeColor="text1"/>
        </w:rPr>
        <w:t xml:space="preserve"> </w:t>
      </w:r>
    </w:p>
    <w:p w14:paraId="2CFB3B0D" w14:textId="77777777" w:rsidR="00AD5A55" w:rsidRPr="005C77FF" w:rsidRDefault="00AD5A55" w:rsidP="00AD5A55">
      <w:pPr>
        <w:jc w:val="both"/>
        <w:rPr>
          <w:color w:val="000000" w:themeColor="text1"/>
        </w:rPr>
      </w:pPr>
    </w:p>
    <w:p w14:paraId="3D153FD5" w14:textId="77777777" w:rsidR="00AD5A55" w:rsidRPr="00487A78" w:rsidRDefault="00AD5A55" w:rsidP="00AD5A55">
      <w:pPr>
        <w:pStyle w:val="ListParagraph"/>
        <w:numPr>
          <w:ilvl w:val="0"/>
          <w:numId w:val="4"/>
        </w:numPr>
        <w:jc w:val="both"/>
        <w:rPr>
          <w:color w:val="000000" w:themeColor="text1"/>
        </w:rPr>
      </w:pPr>
      <w:r w:rsidRPr="00487A78">
        <w:rPr>
          <w:color w:val="000000" w:themeColor="text1"/>
          <w:shd w:val="clear" w:color="auto" w:fill="FFFFFF"/>
        </w:rPr>
        <w:t>In response to a </w:t>
      </w:r>
      <w:r w:rsidRPr="00487A78">
        <w:rPr>
          <w:color w:val="000000" w:themeColor="text1"/>
          <w:bdr w:val="none" w:sz="0" w:space="0" w:color="auto" w:frame="1"/>
          <w:shd w:val="clear" w:color="auto" w:fill="FFFFFF"/>
        </w:rPr>
        <w:t xml:space="preserve">letter by </w:t>
      </w:r>
      <w:r>
        <w:rPr>
          <w:color w:val="000000" w:themeColor="text1"/>
          <w:bdr w:val="none" w:sz="0" w:space="0" w:color="auto" w:frame="1"/>
          <w:shd w:val="clear" w:color="auto" w:fill="FFFFFF"/>
        </w:rPr>
        <w:t xml:space="preserve">the </w:t>
      </w:r>
      <w:r w:rsidRPr="00487A78">
        <w:rPr>
          <w:color w:val="000000" w:themeColor="text1"/>
          <w:bdr w:val="none" w:sz="0" w:space="0" w:color="auto" w:frame="1"/>
          <w:shd w:val="clear" w:color="auto" w:fill="FFFFFF"/>
        </w:rPr>
        <w:t>three organizations</w:t>
      </w:r>
      <w:r w:rsidRPr="00487A78">
        <w:rPr>
          <w:rStyle w:val="FootnoteReference"/>
          <w:color w:val="000000" w:themeColor="text1"/>
        </w:rPr>
        <w:footnoteReference w:id="26"/>
      </w:r>
      <w:r w:rsidRPr="00487A78">
        <w:rPr>
          <w:color w:val="000000" w:themeColor="text1"/>
          <w:shd w:val="clear" w:color="auto" w:fill="FFFFFF"/>
        </w:rPr>
        <w:t> to the Israeli Minister of Defense, the Military Advocate General and the Attorney General, Israel </w:t>
      </w:r>
      <w:r w:rsidRPr="00487A78">
        <w:rPr>
          <w:color w:val="000000" w:themeColor="text1"/>
          <w:bdr w:val="none" w:sz="0" w:space="0" w:color="auto" w:frame="1"/>
          <w:shd w:val="clear" w:color="auto" w:fill="FFFFFF"/>
        </w:rPr>
        <w:t>emphasized</w:t>
      </w:r>
      <w:r w:rsidRPr="00487A78">
        <w:rPr>
          <w:rStyle w:val="FootnoteReference"/>
          <w:color w:val="000000" w:themeColor="text1"/>
        </w:rPr>
        <w:footnoteReference w:id="27"/>
      </w:r>
      <w:r w:rsidRPr="00487A78">
        <w:rPr>
          <w:color w:val="000000" w:themeColor="text1"/>
          <w:shd w:val="clear" w:color="auto" w:fill="FFFFFF"/>
        </w:rPr>
        <w:t xml:space="preserve"> that it only conducts spraying over Israeli territory and above the fence with Gaza, claiming that special precautions are taken in order to minimize the reach of the chemical agents, and that the spraying is supervised and regulated.</w:t>
      </w:r>
      <w:r>
        <w:rPr>
          <w:color w:val="000000" w:themeColor="text1"/>
        </w:rPr>
        <w:t xml:space="preserve"> </w:t>
      </w:r>
    </w:p>
    <w:p w14:paraId="733EAD9C" w14:textId="77777777" w:rsidR="00AD5A55" w:rsidRPr="00487A78" w:rsidRDefault="00AD5A55" w:rsidP="00AD5A55">
      <w:pPr>
        <w:pStyle w:val="ListParagraph"/>
        <w:ind w:left="360"/>
        <w:jc w:val="both"/>
        <w:rPr>
          <w:color w:val="000000" w:themeColor="text1"/>
        </w:rPr>
      </w:pPr>
    </w:p>
    <w:p w14:paraId="469734B4" w14:textId="77777777" w:rsidR="00AD5A55" w:rsidRPr="005C77FF" w:rsidRDefault="00AD5A55" w:rsidP="00AD5A55">
      <w:pPr>
        <w:pStyle w:val="ListParagraph"/>
        <w:numPr>
          <w:ilvl w:val="0"/>
          <w:numId w:val="4"/>
        </w:numPr>
        <w:jc w:val="both"/>
        <w:rPr>
          <w:b/>
          <w:bCs/>
          <w:color w:val="000000" w:themeColor="text1"/>
        </w:rPr>
      </w:pPr>
      <w:r w:rsidRPr="005C77FF">
        <w:rPr>
          <w:b/>
          <w:bCs/>
          <w:color w:val="000000" w:themeColor="text1"/>
          <w:shd w:val="clear" w:color="auto" w:fill="FFFFFF"/>
        </w:rPr>
        <w:t xml:space="preserve">On 19 July 2019, the research </w:t>
      </w:r>
      <w:r>
        <w:rPr>
          <w:b/>
          <w:bCs/>
          <w:color w:val="000000" w:themeColor="text1"/>
          <w:shd w:val="clear" w:color="auto" w:fill="FFFFFF"/>
        </w:rPr>
        <w:t xml:space="preserve">organization </w:t>
      </w:r>
      <w:r w:rsidRPr="005C77FF">
        <w:rPr>
          <w:b/>
          <w:bCs/>
          <w:color w:val="000000" w:themeColor="text1"/>
          <w:shd w:val="clear" w:color="auto" w:fill="FFFFFF"/>
        </w:rPr>
        <w:t>Forensic Architecture released a report</w:t>
      </w:r>
      <w:r w:rsidRPr="005C77FF">
        <w:rPr>
          <w:rStyle w:val="FootnoteReference"/>
          <w:b/>
          <w:bCs/>
          <w:color w:val="000000" w:themeColor="text1"/>
          <w:shd w:val="clear" w:color="auto" w:fill="FFFFFF"/>
        </w:rPr>
        <w:footnoteReference w:id="28"/>
      </w:r>
      <w:r w:rsidRPr="005C77FF">
        <w:rPr>
          <w:b/>
          <w:bCs/>
          <w:color w:val="000000" w:themeColor="text1"/>
          <w:shd w:val="clear" w:color="auto" w:fill="FFFFFF"/>
        </w:rPr>
        <w:t xml:space="preserve"> on Israel</w:t>
      </w:r>
      <w:r>
        <w:rPr>
          <w:b/>
          <w:bCs/>
          <w:color w:val="000000" w:themeColor="text1"/>
          <w:shd w:val="clear" w:color="auto" w:fill="FFFFFF"/>
        </w:rPr>
        <w:t>’</w:t>
      </w:r>
      <w:r w:rsidRPr="005C77FF">
        <w:rPr>
          <w:b/>
          <w:bCs/>
          <w:color w:val="000000" w:themeColor="text1"/>
          <w:shd w:val="clear" w:color="auto" w:fill="FFFFFF"/>
        </w:rPr>
        <w:t>s practice</w:t>
      </w:r>
      <w:r>
        <w:rPr>
          <w:b/>
          <w:bCs/>
          <w:color w:val="000000" w:themeColor="text1"/>
          <w:shd w:val="clear" w:color="auto" w:fill="FFFFFF"/>
        </w:rPr>
        <w:t>s</w:t>
      </w:r>
      <w:r w:rsidRPr="005C77FF">
        <w:rPr>
          <w:b/>
          <w:bCs/>
          <w:color w:val="000000" w:themeColor="text1"/>
          <w:shd w:val="clear" w:color="auto" w:fill="FFFFFF"/>
        </w:rPr>
        <w:t xml:space="preserve"> that strengthened the organizations’ findings that Israel’s aerial spraying of herbicides has damaged lands and crops deep inside Gaza.  </w:t>
      </w:r>
    </w:p>
    <w:p w14:paraId="31CDC11F" w14:textId="77777777" w:rsidR="00AD5A55" w:rsidRPr="0096791C" w:rsidRDefault="00AD5A55" w:rsidP="00AD5A55">
      <w:pPr>
        <w:pStyle w:val="ListParagraph"/>
        <w:ind w:left="360"/>
        <w:jc w:val="both"/>
        <w:rPr>
          <w:color w:val="000000" w:themeColor="text1"/>
        </w:rPr>
      </w:pPr>
    </w:p>
    <w:p w14:paraId="3D769309" w14:textId="77777777" w:rsidR="00AD5A55" w:rsidRPr="00A6215E" w:rsidRDefault="00AD5A55" w:rsidP="00AD5A55">
      <w:pPr>
        <w:pStyle w:val="ListParagraph"/>
        <w:numPr>
          <w:ilvl w:val="0"/>
          <w:numId w:val="4"/>
        </w:numPr>
        <w:jc w:val="both"/>
        <w:rPr>
          <w:color w:val="000000" w:themeColor="text1"/>
        </w:rPr>
      </w:pPr>
      <w:r w:rsidRPr="0096791C">
        <w:rPr>
          <w:color w:val="000000" w:themeColor="text1"/>
          <w:shd w:val="clear" w:color="auto" w:fill="FFFFFF"/>
        </w:rPr>
        <w:t>Forensic Architecture's</w:t>
      </w:r>
      <w:r>
        <w:rPr>
          <w:color w:val="000000" w:themeColor="text1"/>
          <w:shd w:val="clear" w:color="auto" w:fill="FFFFFF"/>
        </w:rPr>
        <w:t xml:space="preserve"> </w:t>
      </w:r>
      <w:r>
        <w:rPr>
          <w:color w:val="000000" w:themeColor="text1"/>
        </w:rPr>
        <w:t>analysis</w:t>
      </w:r>
      <w:r w:rsidRPr="0096791C">
        <w:rPr>
          <w:color w:val="000000" w:themeColor="text1"/>
          <w:shd w:val="clear" w:color="auto" w:fill="FFFFFF"/>
        </w:rPr>
        <w:t xml:space="preserve"> of first-hand videos </w:t>
      </w:r>
      <w:r>
        <w:rPr>
          <w:color w:val="000000" w:themeColor="text1"/>
          <w:shd w:val="clear" w:color="auto" w:fill="FFFFFF"/>
        </w:rPr>
        <w:t>shows</w:t>
      </w:r>
      <w:r w:rsidRPr="0096791C">
        <w:rPr>
          <w:color w:val="000000" w:themeColor="text1"/>
          <w:shd w:val="clear" w:color="auto" w:fill="FFFFFF"/>
        </w:rPr>
        <w:t xml:space="preserve"> that the aerial spraying, which is carried out by commercial crop dusters hired by the Israeli Ministry of Defense operating on the Israeli side of the fence with Gaza, was conducted in conditions where winds carried the chemicals westward into </w:t>
      </w:r>
      <w:r>
        <w:rPr>
          <w:color w:val="000000" w:themeColor="text1"/>
          <w:shd w:val="clear" w:color="auto" w:fill="FFFFFF"/>
        </w:rPr>
        <w:t xml:space="preserve">Gaza </w:t>
      </w:r>
      <w:r w:rsidRPr="0096791C">
        <w:rPr>
          <w:color w:val="000000" w:themeColor="text1"/>
          <w:shd w:val="clear" w:color="auto" w:fill="FFFFFF"/>
        </w:rPr>
        <w:t xml:space="preserve">and at damaging concentrations. </w:t>
      </w:r>
      <w:r>
        <w:rPr>
          <w:color w:val="000000" w:themeColor="text1"/>
          <w:shd w:val="clear" w:color="auto" w:fill="FFFFFF"/>
        </w:rPr>
        <w:t>T</w:t>
      </w:r>
      <w:r w:rsidRPr="0096791C">
        <w:rPr>
          <w:color w:val="000000" w:themeColor="text1"/>
          <w:shd w:val="clear" w:color="auto" w:fill="FFFFFF"/>
        </w:rPr>
        <w:t>he report emphasizes that the Israeli practice of aerial spraying when the wind is blowing into Gaza “causes indiscriminate damage” where “the effects are less readily controllable, and the extent of damage on Palestinian farmland per spray is largely unpredictable.” According to the report, “when effective drift control techniques are not applied, the Israeli army cannot mitigate the reach of the chemicals sprayed along Gazan farmland” and that “this ongoing military practice along the eastern border enacts a heavy price on Gaza’s farming community and the broader civilian population.</w:t>
      </w:r>
      <w:r>
        <w:rPr>
          <w:color w:val="000000" w:themeColor="text1"/>
          <w:shd w:val="clear" w:color="auto" w:fill="FFFFFF"/>
        </w:rPr>
        <w:t>”</w:t>
      </w:r>
    </w:p>
    <w:p w14:paraId="08F392C5" w14:textId="77777777" w:rsidR="00AD5A55" w:rsidRDefault="00AD5A55" w:rsidP="00AD5A55">
      <w:pPr>
        <w:pStyle w:val="ListParagraph"/>
      </w:pPr>
    </w:p>
    <w:p w14:paraId="03524286" w14:textId="0DE8B198" w:rsidR="00AD5A55" w:rsidRPr="00A6215E" w:rsidRDefault="00AD5A55" w:rsidP="00AD5A55">
      <w:pPr>
        <w:pStyle w:val="ListParagraph"/>
        <w:numPr>
          <w:ilvl w:val="0"/>
          <w:numId w:val="4"/>
        </w:numPr>
        <w:jc w:val="both"/>
        <w:rPr>
          <w:color w:val="000000" w:themeColor="text1"/>
        </w:rPr>
      </w:pPr>
      <w:r>
        <w:t>2</w:t>
      </w:r>
      <w:r w:rsidRPr="00A6215E">
        <w:t>019</w:t>
      </w:r>
      <w:r>
        <w:t xml:space="preserve"> marked the first year </w:t>
      </w:r>
      <w:r w:rsidRPr="00D01F54">
        <w:t>since 2014</w:t>
      </w:r>
      <w:r>
        <w:t xml:space="preserve"> that</w:t>
      </w:r>
      <w:r w:rsidRPr="00D01F54">
        <w:t xml:space="preserve"> no herbicide spraying was conducted by </w:t>
      </w:r>
      <w:r>
        <w:t xml:space="preserve">the </w:t>
      </w:r>
      <w:r w:rsidRPr="00D01F54">
        <w:t>Israel</w:t>
      </w:r>
      <w:r>
        <w:t xml:space="preserve">i authorities along the perimeter fence or in Gaza in the </w:t>
      </w:r>
      <w:r w:rsidR="001C2C8F">
        <w:t>S</w:t>
      </w:r>
      <w:r>
        <w:t xml:space="preserve">pring, and Al Mezan documented </w:t>
      </w:r>
      <w:r w:rsidRPr="00D01F54">
        <w:t xml:space="preserve">positive ramifications for </w:t>
      </w:r>
      <w:r>
        <w:t>Gaza’s</w:t>
      </w:r>
      <w:r w:rsidRPr="00D01F54">
        <w:t xml:space="preserve"> farming </w:t>
      </w:r>
      <w:r w:rsidRPr="00A6215E">
        <w:t>sector.</w:t>
      </w:r>
      <w:r w:rsidRPr="00A6215E">
        <w:rPr>
          <w:rStyle w:val="FootnoteReference"/>
        </w:rPr>
        <w:footnoteReference w:id="29"/>
      </w:r>
      <w:r>
        <w:t xml:space="preserve"> </w:t>
      </w:r>
      <w:r w:rsidRPr="00A6215E">
        <w:rPr>
          <w:rStyle w:val="FootnoteReference"/>
        </w:rPr>
        <w:footnoteReference w:id="30"/>
      </w:r>
    </w:p>
    <w:p w14:paraId="05CEAF94" w14:textId="77777777" w:rsidR="00AD5A55" w:rsidRDefault="00AD5A55" w:rsidP="00AD5A55">
      <w:pPr>
        <w:pStyle w:val="ListParagraph"/>
      </w:pPr>
    </w:p>
    <w:p w14:paraId="0B3A7FC2" w14:textId="03B8086F" w:rsidR="00AD5A55" w:rsidRPr="0061214A" w:rsidRDefault="00AD5A55" w:rsidP="0061214A">
      <w:pPr>
        <w:pStyle w:val="ListParagraph"/>
        <w:numPr>
          <w:ilvl w:val="0"/>
          <w:numId w:val="4"/>
        </w:numPr>
        <w:jc w:val="both"/>
        <w:rPr>
          <w:b/>
          <w:bCs/>
        </w:rPr>
      </w:pPr>
      <w:r w:rsidRPr="005B772D">
        <w:rPr>
          <w:b/>
          <w:bCs/>
        </w:rPr>
        <w:t xml:space="preserve">The </w:t>
      </w:r>
      <w:r w:rsidRPr="005B772D">
        <w:rPr>
          <w:b/>
          <w:bCs/>
          <w:color w:val="000000" w:themeColor="text1"/>
        </w:rPr>
        <w:t xml:space="preserve">spraying is a highly destructive measure, infringing on fundamental human rights and violating both Israeli and international law, and must not be resumed. </w:t>
      </w:r>
    </w:p>
    <w:p w14:paraId="5E43E534" w14:textId="7F6D1602" w:rsidR="00AD5A55" w:rsidRPr="0061214A" w:rsidRDefault="00921A5D" w:rsidP="001C2C8F">
      <w:pPr>
        <w:pStyle w:val="Heading1"/>
        <w:rPr>
          <w:sz w:val="24"/>
          <w:szCs w:val="24"/>
        </w:rPr>
      </w:pPr>
      <w:r>
        <w:t xml:space="preserve">Questions </w:t>
      </w:r>
      <w:r w:rsidR="00AD5A55" w:rsidRPr="00921A5D">
        <w:t>27d-e</w:t>
      </w:r>
      <w:r w:rsidR="00AD5A55" w:rsidRPr="00921A5D">
        <w:br/>
      </w:r>
    </w:p>
    <w:p w14:paraId="6DBCF0C7" w14:textId="77777777" w:rsidR="00AD5A55" w:rsidRPr="0047166E" w:rsidRDefault="00AD5A55" w:rsidP="00AD5A55">
      <w:pPr>
        <w:pStyle w:val="ListParagraph"/>
        <w:numPr>
          <w:ilvl w:val="0"/>
          <w:numId w:val="4"/>
        </w:numPr>
        <w:jc w:val="both"/>
        <w:rPr>
          <w:color w:val="000000" w:themeColor="text1"/>
        </w:rPr>
      </w:pPr>
      <w:r w:rsidRPr="0047166E">
        <w:rPr>
          <w:color w:val="000000" w:themeColor="text1"/>
        </w:rPr>
        <w:t>Gaza’s fisher</w:t>
      </w:r>
      <w:r>
        <w:rPr>
          <w:color w:val="000000" w:themeColor="text1"/>
        </w:rPr>
        <w:t>men</w:t>
      </w:r>
      <w:r w:rsidRPr="0047166E">
        <w:rPr>
          <w:color w:val="000000" w:themeColor="text1"/>
        </w:rPr>
        <w:t xml:space="preserve"> endure constant harassment, </w:t>
      </w:r>
      <w:r>
        <w:rPr>
          <w:color w:val="000000" w:themeColor="text1"/>
        </w:rPr>
        <w:t xml:space="preserve">arrest and </w:t>
      </w:r>
      <w:r w:rsidRPr="0047166E">
        <w:rPr>
          <w:color w:val="000000" w:themeColor="text1"/>
        </w:rPr>
        <w:t xml:space="preserve">detention, shooting and confiscation of fishing boats and equipment by the Israeli navy. </w:t>
      </w:r>
      <w:r>
        <w:rPr>
          <w:color w:val="000000" w:themeColor="text1"/>
        </w:rPr>
        <w:t>T</w:t>
      </w:r>
      <w:r w:rsidRPr="0047166E">
        <w:rPr>
          <w:color w:val="000000" w:themeColor="text1"/>
        </w:rPr>
        <w:t>hese attacks</w:t>
      </w:r>
      <w:r>
        <w:rPr>
          <w:color w:val="000000" w:themeColor="text1"/>
        </w:rPr>
        <w:t xml:space="preserve"> </w:t>
      </w:r>
      <w:r w:rsidRPr="0047166E">
        <w:rPr>
          <w:color w:val="000000" w:themeColor="text1"/>
        </w:rPr>
        <w:t xml:space="preserve">are </w:t>
      </w:r>
      <w:r>
        <w:rPr>
          <w:color w:val="000000" w:themeColor="text1"/>
        </w:rPr>
        <w:t xml:space="preserve">completely </w:t>
      </w:r>
      <w:r w:rsidRPr="0047166E">
        <w:rPr>
          <w:color w:val="000000" w:themeColor="text1"/>
        </w:rPr>
        <w:t>unwarranted, violate the fisher</w:t>
      </w:r>
      <w:r>
        <w:rPr>
          <w:color w:val="000000" w:themeColor="text1"/>
        </w:rPr>
        <w:t>men’</w:t>
      </w:r>
      <w:r w:rsidRPr="0047166E">
        <w:rPr>
          <w:color w:val="000000" w:themeColor="text1"/>
        </w:rPr>
        <w:t xml:space="preserve">s rights, and compound the dire conditions of the fishing community in the Gaza Strip, 80 percent of whom live below the poverty line. </w:t>
      </w:r>
    </w:p>
    <w:p w14:paraId="046DE9EC" w14:textId="77777777" w:rsidR="00AD5A55" w:rsidRPr="0047166E" w:rsidRDefault="00AD5A55" w:rsidP="00AD5A55">
      <w:pPr>
        <w:pStyle w:val="ListParagraph"/>
        <w:ind w:left="360"/>
        <w:jc w:val="both"/>
        <w:rPr>
          <w:rStyle w:val="Strong"/>
          <w:b w:val="0"/>
          <w:bCs w:val="0"/>
        </w:rPr>
      </w:pPr>
    </w:p>
    <w:p w14:paraId="07B3BE4E" w14:textId="77777777" w:rsidR="00AD5A55" w:rsidRPr="0047166E" w:rsidRDefault="00AD5A55" w:rsidP="00AD5A55">
      <w:pPr>
        <w:pStyle w:val="ListParagraph"/>
        <w:numPr>
          <w:ilvl w:val="0"/>
          <w:numId w:val="4"/>
        </w:numPr>
        <w:jc w:val="both"/>
        <w:rPr>
          <w:color w:val="000000" w:themeColor="text1"/>
        </w:rPr>
      </w:pPr>
      <w:r w:rsidRPr="0047166E">
        <w:rPr>
          <w:color w:val="000000" w:themeColor="text1"/>
        </w:rPr>
        <w:t>Israel’s navy routinely seizes boats from fisher</w:t>
      </w:r>
      <w:r>
        <w:rPr>
          <w:color w:val="000000" w:themeColor="text1"/>
        </w:rPr>
        <w:t>men</w:t>
      </w:r>
      <w:r w:rsidRPr="0047166E">
        <w:rPr>
          <w:color w:val="000000" w:themeColor="text1"/>
        </w:rPr>
        <w:t xml:space="preserve"> in Gaza and holds them for months or years, without legal authority and in violation of international law. This punitive, violent and illegal measure causes severe harm to the fishing industry and to Gaza’s economy. </w:t>
      </w:r>
    </w:p>
    <w:p w14:paraId="15987953" w14:textId="77777777" w:rsidR="00AD5A55" w:rsidRPr="0047166E" w:rsidRDefault="00AD5A55" w:rsidP="00AD5A55">
      <w:pPr>
        <w:pStyle w:val="ListParagraph"/>
        <w:jc w:val="both"/>
      </w:pPr>
    </w:p>
    <w:p w14:paraId="15732778" w14:textId="77777777" w:rsidR="00AD5A55" w:rsidRDefault="00AD5A55" w:rsidP="00AD5A55">
      <w:pPr>
        <w:pStyle w:val="ListParagraph"/>
        <w:numPr>
          <w:ilvl w:val="0"/>
          <w:numId w:val="4"/>
        </w:numPr>
        <w:jc w:val="both"/>
      </w:pPr>
      <w:r w:rsidRPr="0047166E">
        <w:t xml:space="preserve">Al Mezan’s documentation shows that between 2014 and 2018, </w:t>
      </w:r>
      <w:r>
        <w:t>128</w:t>
      </w:r>
      <w:r w:rsidRPr="0047166E">
        <w:t xml:space="preserve"> fishing boats </w:t>
      </w:r>
      <w:r>
        <w:t>were</w:t>
      </w:r>
      <w:r w:rsidRPr="0047166E">
        <w:t xml:space="preserve"> seized</w:t>
      </w:r>
      <w:r>
        <w:t xml:space="preserve"> by the Israeli military</w:t>
      </w:r>
      <w:r w:rsidRPr="0047166E">
        <w:t xml:space="preserve">. </w:t>
      </w:r>
    </w:p>
    <w:p w14:paraId="7DBDD08D" w14:textId="77777777" w:rsidR="00AD5A55" w:rsidRPr="0047166E" w:rsidRDefault="00AD5A55" w:rsidP="00AD5A55">
      <w:pPr>
        <w:jc w:val="both"/>
      </w:pPr>
    </w:p>
    <w:p w14:paraId="75F6A6A2" w14:textId="5D21505B" w:rsidR="00AD5A55" w:rsidRPr="0047166E" w:rsidRDefault="00AD5A55" w:rsidP="00AD5A55">
      <w:pPr>
        <w:pStyle w:val="NormalWeb"/>
        <w:numPr>
          <w:ilvl w:val="0"/>
          <w:numId w:val="4"/>
        </w:numPr>
        <w:shd w:val="clear" w:color="auto" w:fill="FFFFFF"/>
        <w:spacing w:before="0" w:beforeAutospacing="0" w:after="0" w:afterAutospacing="0"/>
        <w:jc w:val="both"/>
        <w:textAlignment w:val="baseline"/>
        <w:rPr>
          <w:color w:val="333333"/>
        </w:rPr>
      </w:pPr>
      <w:r w:rsidRPr="0047166E">
        <w:rPr>
          <w:color w:val="000000" w:themeColor="text1"/>
          <w:shd w:val="clear" w:color="auto" w:fill="FFFFFF"/>
        </w:rPr>
        <w:t>Al Mezan</w:t>
      </w:r>
      <w:r w:rsidR="001C2C8F">
        <w:rPr>
          <w:color w:val="000000" w:themeColor="text1"/>
          <w:shd w:val="clear" w:color="auto" w:fill="FFFFFF"/>
        </w:rPr>
        <w:t xml:space="preserve">, </w:t>
      </w:r>
      <w:r w:rsidRPr="0047166E">
        <w:rPr>
          <w:color w:val="000000" w:themeColor="text1"/>
          <w:shd w:val="clear" w:color="auto" w:fill="FFFFFF"/>
        </w:rPr>
        <w:t xml:space="preserve">Gisha and Adalah have been pursuing legal </w:t>
      </w:r>
      <w:r>
        <w:rPr>
          <w:color w:val="000000" w:themeColor="text1"/>
          <w:shd w:val="clear" w:color="auto" w:fill="FFFFFF"/>
        </w:rPr>
        <w:t xml:space="preserve">action </w:t>
      </w:r>
      <w:r w:rsidRPr="0047166E">
        <w:rPr>
          <w:color w:val="000000" w:themeColor="text1"/>
          <w:shd w:val="clear" w:color="auto" w:fill="FFFFFF"/>
        </w:rPr>
        <w:t>seeking the return of Gaza’s fisher</w:t>
      </w:r>
      <w:r>
        <w:rPr>
          <w:color w:val="000000" w:themeColor="text1"/>
          <w:shd w:val="clear" w:color="auto" w:fill="FFFFFF"/>
        </w:rPr>
        <w:t>men</w:t>
      </w:r>
      <w:r w:rsidRPr="0047166E">
        <w:rPr>
          <w:color w:val="000000" w:themeColor="text1"/>
          <w:shd w:val="clear" w:color="auto" w:fill="FFFFFF"/>
        </w:rPr>
        <w:t>’s boats.</w:t>
      </w:r>
      <w:r w:rsidRPr="0047166E">
        <w:rPr>
          <w:rStyle w:val="FootnoteReference"/>
          <w:color w:val="333333"/>
          <w:bdr w:val="none" w:sz="0" w:space="0" w:color="auto" w:frame="1"/>
        </w:rPr>
        <w:footnoteReference w:id="31"/>
      </w:r>
    </w:p>
    <w:p w14:paraId="126386F8" w14:textId="77777777" w:rsidR="00AD5A55" w:rsidRDefault="00AD5A55" w:rsidP="00AD5A55">
      <w:pPr>
        <w:pStyle w:val="NormalWeb"/>
        <w:shd w:val="clear" w:color="auto" w:fill="FFFFFF"/>
        <w:spacing w:before="0" w:beforeAutospacing="0" w:after="0" w:afterAutospacing="0"/>
        <w:ind w:left="360"/>
        <w:jc w:val="both"/>
        <w:textAlignment w:val="baseline"/>
        <w:rPr>
          <w:color w:val="333333"/>
        </w:rPr>
      </w:pPr>
    </w:p>
    <w:p w14:paraId="0F3DA426" w14:textId="77777777" w:rsidR="00AD5A55" w:rsidRPr="0047166E" w:rsidRDefault="00AD5A55" w:rsidP="00AD5A55">
      <w:pPr>
        <w:pStyle w:val="NormalWeb"/>
        <w:shd w:val="clear" w:color="auto" w:fill="FFFFFF"/>
        <w:spacing w:before="0" w:beforeAutospacing="0" w:after="0" w:afterAutospacing="0"/>
        <w:ind w:firstLine="360"/>
        <w:jc w:val="both"/>
        <w:textAlignment w:val="baseline"/>
        <w:rPr>
          <w:b/>
          <w:bCs/>
          <w:color w:val="333333"/>
        </w:rPr>
      </w:pPr>
      <w:r>
        <w:rPr>
          <w:b/>
          <w:bCs/>
          <w:color w:val="333333"/>
        </w:rPr>
        <w:t>C</w:t>
      </w:r>
      <w:r w:rsidRPr="0047166E">
        <w:rPr>
          <w:b/>
          <w:bCs/>
          <w:color w:val="333333"/>
        </w:rPr>
        <w:t>ase of Gaza fisher</w:t>
      </w:r>
      <w:r>
        <w:rPr>
          <w:b/>
          <w:bCs/>
          <w:color w:val="333333"/>
        </w:rPr>
        <w:t>man</w:t>
      </w:r>
      <w:r w:rsidRPr="0047166E">
        <w:rPr>
          <w:b/>
          <w:bCs/>
          <w:color w:val="333333"/>
        </w:rPr>
        <w:t xml:space="preserve"> Abdel </w:t>
      </w:r>
      <w:proofErr w:type="spellStart"/>
      <w:r w:rsidRPr="0047166E">
        <w:rPr>
          <w:b/>
          <w:bCs/>
          <w:color w:val="333333"/>
        </w:rPr>
        <w:t>Ma’ati</w:t>
      </w:r>
      <w:proofErr w:type="spellEnd"/>
      <w:r w:rsidRPr="0047166E">
        <w:rPr>
          <w:b/>
          <w:bCs/>
          <w:color w:val="333333"/>
        </w:rPr>
        <w:t xml:space="preserve"> </w:t>
      </w:r>
      <w:proofErr w:type="spellStart"/>
      <w:r w:rsidRPr="0047166E">
        <w:rPr>
          <w:b/>
          <w:bCs/>
          <w:color w:val="333333"/>
        </w:rPr>
        <w:t>Habil</w:t>
      </w:r>
      <w:proofErr w:type="spellEnd"/>
    </w:p>
    <w:p w14:paraId="4ACF074B" w14:textId="77777777" w:rsidR="00AD5A55" w:rsidRPr="0047166E" w:rsidRDefault="00AD5A55" w:rsidP="00AD5A55">
      <w:pPr>
        <w:pStyle w:val="NormalWeb"/>
        <w:shd w:val="clear" w:color="auto" w:fill="FFFFFF"/>
        <w:spacing w:before="0" w:beforeAutospacing="0" w:after="0" w:afterAutospacing="0"/>
        <w:ind w:left="360"/>
        <w:jc w:val="both"/>
        <w:textAlignment w:val="baseline"/>
        <w:rPr>
          <w:color w:val="333333"/>
        </w:rPr>
      </w:pPr>
    </w:p>
    <w:p w14:paraId="035798A6" w14:textId="77777777" w:rsidR="00AD5A55" w:rsidRDefault="00AD5A55" w:rsidP="00AD5A55">
      <w:pPr>
        <w:pStyle w:val="NormalWeb"/>
        <w:numPr>
          <w:ilvl w:val="0"/>
          <w:numId w:val="4"/>
        </w:numPr>
        <w:shd w:val="clear" w:color="auto" w:fill="FFFFFF"/>
        <w:spacing w:before="0" w:beforeAutospacing="0" w:after="0" w:afterAutospacing="0"/>
        <w:jc w:val="both"/>
        <w:textAlignment w:val="baseline"/>
        <w:rPr>
          <w:color w:val="333333"/>
        </w:rPr>
      </w:pPr>
      <w:r>
        <w:rPr>
          <w:color w:val="333333"/>
        </w:rPr>
        <w:t>On 29 January 2019, Al Mezan, Gisha and Adalah petitioned</w:t>
      </w:r>
      <w:r w:rsidRPr="0047166E">
        <w:rPr>
          <w:rStyle w:val="FootnoteReference"/>
          <w:color w:val="333333"/>
        </w:rPr>
        <w:footnoteReference w:id="32"/>
      </w:r>
      <w:r>
        <w:rPr>
          <w:color w:val="333333"/>
        </w:rPr>
        <w:t xml:space="preserve"> the Israeli</w:t>
      </w:r>
      <w:r w:rsidRPr="0047166E">
        <w:rPr>
          <w:color w:val="333333"/>
        </w:rPr>
        <w:t xml:space="preserve"> </w:t>
      </w:r>
      <w:r>
        <w:rPr>
          <w:color w:val="333333"/>
        </w:rPr>
        <w:t xml:space="preserve">Supreme </w:t>
      </w:r>
      <w:r w:rsidRPr="0047166E">
        <w:rPr>
          <w:color w:val="333333"/>
        </w:rPr>
        <w:t>Court</w:t>
      </w:r>
      <w:r>
        <w:rPr>
          <w:color w:val="333333"/>
        </w:rPr>
        <w:t xml:space="preserve"> </w:t>
      </w:r>
      <w:r w:rsidRPr="0047166E">
        <w:rPr>
          <w:color w:val="333333"/>
        </w:rPr>
        <w:t>on behalf of Gaza fisher</w:t>
      </w:r>
      <w:r>
        <w:rPr>
          <w:color w:val="333333"/>
        </w:rPr>
        <w:t>man</w:t>
      </w:r>
      <w:r w:rsidRPr="0047166E">
        <w:rPr>
          <w:color w:val="333333"/>
        </w:rPr>
        <w:t xml:space="preserve"> Abdel </w:t>
      </w:r>
      <w:proofErr w:type="spellStart"/>
      <w:r w:rsidRPr="0047166E">
        <w:rPr>
          <w:color w:val="333333"/>
        </w:rPr>
        <w:t>Ma’ati</w:t>
      </w:r>
      <w:proofErr w:type="spellEnd"/>
      <w:r w:rsidRPr="0047166E">
        <w:rPr>
          <w:color w:val="333333"/>
        </w:rPr>
        <w:t xml:space="preserve"> </w:t>
      </w:r>
      <w:proofErr w:type="spellStart"/>
      <w:r w:rsidRPr="0047166E">
        <w:rPr>
          <w:color w:val="333333"/>
        </w:rPr>
        <w:t>Habil</w:t>
      </w:r>
      <w:proofErr w:type="spellEnd"/>
      <w:r>
        <w:rPr>
          <w:color w:val="333333"/>
        </w:rPr>
        <w:t xml:space="preserve"> for the return of his fishing boat. The </w:t>
      </w:r>
      <w:r w:rsidRPr="0047166E">
        <w:rPr>
          <w:color w:val="333333"/>
        </w:rPr>
        <w:t xml:space="preserve">boat </w:t>
      </w:r>
      <w:r>
        <w:rPr>
          <w:color w:val="333333"/>
        </w:rPr>
        <w:t>had been</w:t>
      </w:r>
      <w:r w:rsidRPr="0047166E">
        <w:rPr>
          <w:color w:val="333333"/>
        </w:rPr>
        <w:t xml:space="preserve"> </w:t>
      </w:r>
      <w:r>
        <w:rPr>
          <w:color w:val="333333"/>
        </w:rPr>
        <w:t xml:space="preserve">illegally </w:t>
      </w:r>
      <w:r w:rsidRPr="0047166E">
        <w:rPr>
          <w:color w:val="333333"/>
        </w:rPr>
        <w:t xml:space="preserve">seized by the Israeli navy </w:t>
      </w:r>
      <w:r>
        <w:rPr>
          <w:color w:val="333333"/>
        </w:rPr>
        <w:t xml:space="preserve">on 8 </w:t>
      </w:r>
      <w:r w:rsidRPr="0047166E">
        <w:rPr>
          <w:color w:val="333333"/>
        </w:rPr>
        <w:t>September 2016</w:t>
      </w:r>
      <w:r>
        <w:rPr>
          <w:color w:val="333333"/>
        </w:rPr>
        <w:t>.</w:t>
      </w:r>
      <w:r>
        <w:rPr>
          <w:rStyle w:val="FootnoteReference"/>
          <w:color w:val="333333"/>
        </w:rPr>
        <w:footnoteReference w:id="33"/>
      </w:r>
      <w:r w:rsidRPr="0047166E">
        <w:rPr>
          <w:color w:val="333333"/>
        </w:rPr>
        <w:t xml:space="preserve"> </w:t>
      </w:r>
    </w:p>
    <w:p w14:paraId="5287C7F5" w14:textId="77777777" w:rsidR="00AD5A55" w:rsidRDefault="00AD5A55" w:rsidP="00AD5A55">
      <w:pPr>
        <w:pStyle w:val="NormalWeb"/>
        <w:shd w:val="clear" w:color="auto" w:fill="FFFFFF"/>
        <w:spacing w:before="0" w:beforeAutospacing="0" w:after="0" w:afterAutospacing="0"/>
        <w:ind w:left="360"/>
        <w:jc w:val="both"/>
        <w:textAlignment w:val="baseline"/>
        <w:rPr>
          <w:color w:val="333333"/>
        </w:rPr>
      </w:pPr>
    </w:p>
    <w:p w14:paraId="3E0EEFED" w14:textId="77777777" w:rsidR="00AD5A55" w:rsidRPr="009A7481" w:rsidRDefault="00AD5A55" w:rsidP="00AD5A55">
      <w:pPr>
        <w:pStyle w:val="NormalWeb"/>
        <w:numPr>
          <w:ilvl w:val="0"/>
          <w:numId w:val="4"/>
        </w:numPr>
        <w:shd w:val="clear" w:color="auto" w:fill="FFFFFF"/>
        <w:spacing w:before="0" w:beforeAutospacing="0" w:after="0" w:afterAutospacing="0"/>
        <w:jc w:val="both"/>
        <w:textAlignment w:val="baseline"/>
        <w:rPr>
          <w:color w:val="333333"/>
        </w:rPr>
      </w:pPr>
      <w:r w:rsidRPr="009A7481">
        <w:rPr>
          <w:color w:val="333333"/>
        </w:rPr>
        <w:t>The organizations also demanded that the Israeli authorities immediately return</w:t>
      </w:r>
      <w:r>
        <w:rPr>
          <w:color w:val="333333"/>
        </w:rPr>
        <w:t xml:space="preserve"> all boats</w:t>
      </w:r>
      <w:r w:rsidRPr="009A7481">
        <w:rPr>
          <w:color w:val="333333"/>
        </w:rPr>
        <w:t xml:space="preserve"> seized from Gaza fisher</w:t>
      </w:r>
      <w:r>
        <w:rPr>
          <w:color w:val="333333"/>
        </w:rPr>
        <w:t>men</w:t>
      </w:r>
      <w:r w:rsidRPr="009A7481">
        <w:rPr>
          <w:color w:val="333333"/>
        </w:rPr>
        <w:t>, along with their equipment. In the past, the Israeli authorities have returned boats to fisher</w:t>
      </w:r>
      <w:r>
        <w:rPr>
          <w:color w:val="333333"/>
        </w:rPr>
        <w:t>men</w:t>
      </w:r>
      <w:r w:rsidRPr="009A7481">
        <w:rPr>
          <w:color w:val="333333"/>
        </w:rPr>
        <w:t xml:space="preserve"> without the equipment that was on board at the time the boats were seized</w:t>
      </w:r>
      <w:r>
        <w:rPr>
          <w:color w:val="333333"/>
        </w:rPr>
        <w:t>, causing enormous financial damage</w:t>
      </w:r>
      <w:r w:rsidRPr="009A7481">
        <w:rPr>
          <w:color w:val="333333"/>
        </w:rPr>
        <w:t xml:space="preserve">. </w:t>
      </w:r>
    </w:p>
    <w:p w14:paraId="5E171C7B" w14:textId="77777777" w:rsidR="00AD5A55" w:rsidRPr="0047166E" w:rsidRDefault="00AD5A55" w:rsidP="00AD5A55">
      <w:pPr>
        <w:pStyle w:val="NormalWeb"/>
        <w:shd w:val="clear" w:color="auto" w:fill="FFFFFF"/>
        <w:spacing w:before="0" w:beforeAutospacing="0" w:after="0" w:afterAutospacing="0"/>
        <w:ind w:left="360"/>
        <w:jc w:val="both"/>
        <w:textAlignment w:val="baseline"/>
        <w:rPr>
          <w:color w:val="333333"/>
        </w:rPr>
      </w:pPr>
    </w:p>
    <w:p w14:paraId="37AC7C2B" w14:textId="77777777" w:rsidR="00AD5A55" w:rsidRDefault="00AD5A55" w:rsidP="00AD5A55">
      <w:pPr>
        <w:pStyle w:val="NormalWeb"/>
        <w:numPr>
          <w:ilvl w:val="0"/>
          <w:numId w:val="4"/>
        </w:numPr>
        <w:shd w:val="clear" w:color="auto" w:fill="FFFFFF"/>
        <w:spacing w:before="0" w:beforeAutospacing="0" w:after="0" w:afterAutospacing="0"/>
        <w:jc w:val="both"/>
        <w:textAlignment w:val="baseline"/>
        <w:rPr>
          <w:color w:val="333333"/>
        </w:rPr>
      </w:pPr>
      <w:r>
        <w:rPr>
          <w:color w:val="333333"/>
        </w:rPr>
        <w:t>On</w:t>
      </w:r>
      <w:r w:rsidRPr="0047166E">
        <w:rPr>
          <w:color w:val="333333"/>
        </w:rPr>
        <w:t xml:space="preserve"> 13 June 2019, </w:t>
      </w:r>
      <w:r>
        <w:rPr>
          <w:color w:val="333333"/>
        </w:rPr>
        <w:t xml:space="preserve">the State </w:t>
      </w:r>
      <w:r w:rsidRPr="0047166E">
        <w:rPr>
          <w:color w:val="333333"/>
        </w:rPr>
        <w:t xml:space="preserve">notified the court that it would return </w:t>
      </w:r>
      <w:proofErr w:type="spellStart"/>
      <w:r w:rsidRPr="0047166E">
        <w:rPr>
          <w:color w:val="333333"/>
        </w:rPr>
        <w:t>Habil’s</w:t>
      </w:r>
      <w:proofErr w:type="spellEnd"/>
      <w:r w:rsidRPr="0047166E">
        <w:rPr>
          <w:color w:val="333333"/>
        </w:rPr>
        <w:t xml:space="preserve"> boat “within two weeks” and that the process of returning the rest of the boats—another 65 boats and fishing vessels—to Gaza, by sea, would be completed “in about four months.”</w:t>
      </w:r>
      <w:r w:rsidRPr="0047166E">
        <w:rPr>
          <w:rStyle w:val="FootnoteReference"/>
          <w:color w:val="333333"/>
        </w:rPr>
        <w:footnoteReference w:id="34"/>
      </w:r>
      <w:r w:rsidRPr="0047166E">
        <w:rPr>
          <w:color w:val="333333"/>
        </w:rPr>
        <w:t xml:space="preserve"> </w:t>
      </w:r>
    </w:p>
    <w:p w14:paraId="6F243D28" w14:textId="77777777" w:rsidR="00AD5A55" w:rsidRPr="0047166E" w:rsidRDefault="00AD5A55" w:rsidP="00AD5A55">
      <w:pPr>
        <w:pStyle w:val="NormalWeb"/>
        <w:shd w:val="clear" w:color="auto" w:fill="FFFFFF"/>
        <w:spacing w:before="0" w:beforeAutospacing="0" w:after="0" w:afterAutospacing="0"/>
        <w:jc w:val="both"/>
        <w:textAlignment w:val="baseline"/>
        <w:rPr>
          <w:color w:val="333333"/>
        </w:rPr>
      </w:pPr>
    </w:p>
    <w:p w14:paraId="5C4B28EE" w14:textId="44D9C86C" w:rsidR="00AD5A55" w:rsidRPr="00D31951" w:rsidRDefault="00AD5A55" w:rsidP="00AD5A55">
      <w:pPr>
        <w:pStyle w:val="NormalWeb"/>
        <w:numPr>
          <w:ilvl w:val="0"/>
          <w:numId w:val="4"/>
        </w:numPr>
        <w:shd w:val="clear" w:color="auto" w:fill="FFFFFF"/>
        <w:spacing w:before="0" w:beforeAutospacing="0" w:after="0" w:afterAutospacing="0"/>
        <w:jc w:val="both"/>
        <w:textAlignment w:val="baseline"/>
        <w:rPr>
          <w:color w:val="333333"/>
        </w:rPr>
      </w:pPr>
      <w:r w:rsidRPr="0047166E">
        <w:rPr>
          <w:color w:val="333333"/>
          <w:bdr w:val="none" w:sz="0" w:space="0" w:color="auto" w:frame="1"/>
        </w:rPr>
        <w:t>On 1 July 2019, the</w:t>
      </w:r>
      <w:r w:rsidRPr="0047166E">
        <w:rPr>
          <w:color w:val="333333"/>
        </w:rPr>
        <w:t xml:space="preserve"> Israeli government returned the boat of Abdel </w:t>
      </w:r>
      <w:proofErr w:type="spellStart"/>
      <w:r w:rsidRPr="0047166E">
        <w:rPr>
          <w:color w:val="333333"/>
        </w:rPr>
        <w:t>Ma’ati</w:t>
      </w:r>
      <w:proofErr w:type="spellEnd"/>
      <w:r w:rsidRPr="0047166E">
        <w:rPr>
          <w:color w:val="333333"/>
        </w:rPr>
        <w:t xml:space="preserve"> </w:t>
      </w:r>
      <w:proofErr w:type="spellStart"/>
      <w:r w:rsidRPr="0047166E">
        <w:rPr>
          <w:color w:val="333333"/>
        </w:rPr>
        <w:t>Habil</w:t>
      </w:r>
      <w:proofErr w:type="spellEnd"/>
      <w:r w:rsidRPr="0047166E">
        <w:rPr>
          <w:color w:val="333333"/>
        </w:rPr>
        <w:t xml:space="preserve">. </w:t>
      </w:r>
      <w:proofErr w:type="spellStart"/>
      <w:r w:rsidRPr="00D31951">
        <w:rPr>
          <w:color w:val="333333"/>
        </w:rPr>
        <w:t>Habil’s</w:t>
      </w:r>
      <w:proofErr w:type="spellEnd"/>
      <w:r w:rsidRPr="00D31951">
        <w:rPr>
          <w:color w:val="333333"/>
        </w:rPr>
        <w:t xml:space="preserve"> boat </w:t>
      </w:r>
      <w:r>
        <w:rPr>
          <w:color w:val="333333"/>
        </w:rPr>
        <w:t xml:space="preserve">had </w:t>
      </w:r>
      <w:r w:rsidRPr="00D31951">
        <w:rPr>
          <w:color w:val="333333"/>
        </w:rPr>
        <w:t xml:space="preserve">sustained considerable damage from live fire during its seizure by the Israeli navy, and during the three years </w:t>
      </w:r>
      <w:r w:rsidR="00937682">
        <w:rPr>
          <w:color w:val="333333"/>
        </w:rPr>
        <w:t xml:space="preserve">that </w:t>
      </w:r>
      <w:r w:rsidRPr="00D31951">
        <w:rPr>
          <w:color w:val="333333"/>
        </w:rPr>
        <w:t xml:space="preserve">it was held without maintenance, to the point that it could not be </w:t>
      </w:r>
      <w:r w:rsidRPr="00D31951">
        <w:rPr>
          <w:color w:val="333333"/>
        </w:rPr>
        <w:lastRenderedPageBreak/>
        <w:t>returned to Gaza by sea</w:t>
      </w:r>
      <w:r>
        <w:rPr>
          <w:color w:val="333333"/>
        </w:rPr>
        <w:t>. T</w:t>
      </w:r>
      <w:r w:rsidRPr="00D31951">
        <w:rPr>
          <w:color w:val="333333"/>
        </w:rPr>
        <w:t>he Israeli authorities</w:t>
      </w:r>
      <w:r>
        <w:rPr>
          <w:color w:val="333333"/>
        </w:rPr>
        <w:t xml:space="preserve"> therefore</w:t>
      </w:r>
      <w:r w:rsidRPr="00D31951">
        <w:rPr>
          <w:color w:val="333333"/>
        </w:rPr>
        <w:t xml:space="preserve"> transported the boat by land to </w:t>
      </w:r>
      <w:proofErr w:type="spellStart"/>
      <w:r w:rsidRPr="00D31951">
        <w:rPr>
          <w:color w:val="333333"/>
        </w:rPr>
        <w:t>Kerem</w:t>
      </w:r>
      <w:proofErr w:type="spellEnd"/>
      <w:r w:rsidRPr="00D31951">
        <w:rPr>
          <w:color w:val="333333"/>
        </w:rPr>
        <w:t xml:space="preserve"> Shalom </w:t>
      </w:r>
      <w:r>
        <w:rPr>
          <w:color w:val="333333"/>
        </w:rPr>
        <w:t>C</w:t>
      </w:r>
      <w:r w:rsidRPr="00D31951">
        <w:rPr>
          <w:color w:val="333333"/>
        </w:rPr>
        <w:t xml:space="preserve">rossing. The boat’s </w:t>
      </w:r>
      <w:r>
        <w:rPr>
          <w:color w:val="333333"/>
        </w:rPr>
        <w:t>passage</w:t>
      </w:r>
      <w:r w:rsidRPr="00D31951">
        <w:rPr>
          <w:color w:val="333333"/>
        </w:rPr>
        <w:t xml:space="preserve"> from the crossing to Gaza</w:t>
      </w:r>
      <w:r>
        <w:rPr>
          <w:color w:val="333333"/>
        </w:rPr>
        <w:t xml:space="preserve"> City’s</w:t>
      </w:r>
      <w:r w:rsidRPr="00D31951">
        <w:rPr>
          <w:color w:val="333333"/>
        </w:rPr>
        <w:t xml:space="preserve"> </w:t>
      </w:r>
      <w:r>
        <w:rPr>
          <w:color w:val="333333"/>
        </w:rPr>
        <w:t>p</w:t>
      </w:r>
      <w:r w:rsidRPr="00D31951">
        <w:rPr>
          <w:color w:val="333333"/>
        </w:rPr>
        <w:t xml:space="preserve">ort took another seven hours due to logistical challenges. </w:t>
      </w:r>
    </w:p>
    <w:p w14:paraId="4A6E26F9" w14:textId="77777777" w:rsidR="00AD5A55" w:rsidRPr="0047166E" w:rsidRDefault="00AD5A55" w:rsidP="00AD5A55">
      <w:pPr>
        <w:pStyle w:val="NormalWeb"/>
        <w:shd w:val="clear" w:color="auto" w:fill="FFFFFF"/>
        <w:spacing w:before="0" w:beforeAutospacing="0" w:after="0" w:afterAutospacing="0"/>
        <w:ind w:left="360"/>
        <w:jc w:val="both"/>
        <w:textAlignment w:val="baseline"/>
        <w:rPr>
          <w:color w:val="333333"/>
        </w:rPr>
      </w:pPr>
    </w:p>
    <w:p w14:paraId="7EDA099A" w14:textId="77777777" w:rsidR="00AD5A55" w:rsidRDefault="00AD5A55" w:rsidP="00AD5A55">
      <w:pPr>
        <w:pStyle w:val="NormalWeb"/>
        <w:numPr>
          <w:ilvl w:val="0"/>
          <w:numId w:val="4"/>
        </w:numPr>
        <w:shd w:val="clear" w:color="auto" w:fill="FFFFFF"/>
        <w:spacing w:before="0" w:beforeAutospacing="0" w:after="0" w:afterAutospacing="0"/>
        <w:jc w:val="both"/>
        <w:textAlignment w:val="baseline"/>
        <w:rPr>
          <w:color w:val="333333"/>
        </w:rPr>
      </w:pPr>
      <w:r w:rsidRPr="0047166E">
        <w:rPr>
          <w:color w:val="333333"/>
        </w:rPr>
        <w:t>Israel restricts, and even prohibits, the entrance of materials and equipment that it considers to be “</w:t>
      </w:r>
      <w:r w:rsidRPr="00D31951">
        <w:rPr>
          <w:color w:val="333333"/>
          <w:bdr w:val="none" w:sz="0" w:space="0" w:color="auto" w:frame="1"/>
        </w:rPr>
        <w:t>dual-use</w:t>
      </w:r>
      <w:r w:rsidRPr="0047166E">
        <w:rPr>
          <w:color w:val="333333"/>
        </w:rPr>
        <w:t>,”</w:t>
      </w:r>
      <w:r>
        <w:rPr>
          <w:rStyle w:val="FootnoteReference"/>
          <w:color w:val="333333"/>
        </w:rPr>
        <w:footnoteReference w:id="35"/>
      </w:r>
      <w:r w:rsidRPr="0047166E">
        <w:rPr>
          <w:color w:val="333333"/>
        </w:rPr>
        <w:t xml:space="preserve"> including spare parts for boat engines and fiberglass, making it difficult to repair boats, including those damaged by the navy. </w:t>
      </w:r>
      <w:proofErr w:type="spellStart"/>
      <w:r w:rsidRPr="0047166E">
        <w:rPr>
          <w:color w:val="333333"/>
        </w:rPr>
        <w:t>Habil</w:t>
      </w:r>
      <w:proofErr w:type="spellEnd"/>
      <w:r w:rsidRPr="0047166E">
        <w:rPr>
          <w:color w:val="333333"/>
        </w:rPr>
        <w:t xml:space="preserve"> estimates that repairing the damage to his boat will cost over </w:t>
      </w:r>
      <w:r>
        <w:rPr>
          <w:color w:val="333333"/>
        </w:rPr>
        <w:t xml:space="preserve">US </w:t>
      </w:r>
      <w:r w:rsidRPr="0047166E">
        <w:rPr>
          <w:color w:val="333333"/>
        </w:rPr>
        <w:t>$45,000.</w:t>
      </w:r>
    </w:p>
    <w:p w14:paraId="0DAF4F69" w14:textId="77777777" w:rsidR="00AD5A55" w:rsidRDefault="00AD5A55" w:rsidP="00AD5A55">
      <w:pPr>
        <w:pStyle w:val="ListParagraph"/>
        <w:rPr>
          <w:color w:val="333333"/>
        </w:rPr>
      </w:pPr>
    </w:p>
    <w:p w14:paraId="1986295E" w14:textId="77777777" w:rsidR="00AD5A55" w:rsidRDefault="00AD5A55" w:rsidP="00AD5A55">
      <w:pPr>
        <w:pStyle w:val="NormalWeb"/>
        <w:numPr>
          <w:ilvl w:val="0"/>
          <w:numId w:val="4"/>
        </w:numPr>
        <w:shd w:val="clear" w:color="auto" w:fill="FFFFFF"/>
        <w:spacing w:before="0" w:beforeAutospacing="0" w:after="0" w:afterAutospacing="0"/>
        <w:jc w:val="both"/>
        <w:textAlignment w:val="baseline"/>
        <w:rPr>
          <w:color w:val="333333"/>
        </w:rPr>
      </w:pPr>
      <w:r>
        <w:t xml:space="preserve">The Israeli authorities do not compensate fishermen for damages that may occur at the time of seizure or while the boat is being held. As a pre-condition to the release of their boats, the fishermen must sign a guarantee that forfeits their rights to compensation and releases the Israeli military from responsibility for the damages. </w:t>
      </w:r>
    </w:p>
    <w:p w14:paraId="4AEDB3CB" w14:textId="77777777" w:rsidR="00AD5A55" w:rsidRDefault="00AD5A55" w:rsidP="00AD5A55">
      <w:pPr>
        <w:pStyle w:val="ListParagraph"/>
        <w:rPr>
          <w:color w:val="333333"/>
        </w:rPr>
      </w:pPr>
    </w:p>
    <w:p w14:paraId="1C1758E0" w14:textId="77777777" w:rsidR="00AD5A55" w:rsidRPr="0047166E" w:rsidRDefault="00AD5A55" w:rsidP="00AD5A55">
      <w:pPr>
        <w:pStyle w:val="NormalWeb"/>
        <w:numPr>
          <w:ilvl w:val="0"/>
          <w:numId w:val="4"/>
        </w:numPr>
        <w:shd w:val="clear" w:color="auto" w:fill="FFFFFF"/>
        <w:spacing w:before="0" w:beforeAutospacing="0" w:after="0" w:afterAutospacing="0"/>
        <w:jc w:val="both"/>
        <w:textAlignment w:val="baseline"/>
        <w:rPr>
          <w:color w:val="333333"/>
        </w:rPr>
      </w:pPr>
      <w:r>
        <w:rPr>
          <w:color w:val="333333"/>
        </w:rPr>
        <w:t xml:space="preserve">Between 1 July and 1 August 2019, the authorities returned 66 fishing boats and vessels to their owners. In previous years, the Israeli authorities released 44 boats back into Gaza. </w:t>
      </w:r>
      <w:r>
        <w:t>The Fishermen’s Union has indicated that Israel is still holding an additional 26 boats.</w:t>
      </w:r>
      <w:r>
        <w:rPr>
          <w:rStyle w:val="FootnoteReference"/>
        </w:rPr>
        <w:footnoteReference w:id="36"/>
      </w:r>
      <w:r>
        <w:t xml:space="preserve"> </w:t>
      </w:r>
    </w:p>
    <w:p w14:paraId="46B952F4" w14:textId="77777777" w:rsidR="00AD5A55" w:rsidRPr="0047166E" w:rsidRDefault="00AD5A55" w:rsidP="00AD5A55">
      <w:pPr>
        <w:pStyle w:val="NormalWeb"/>
        <w:shd w:val="clear" w:color="auto" w:fill="FFFFFF"/>
        <w:spacing w:before="0" w:beforeAutospacing="0" w:after="0" w:afterAutospacing="0"/>
        <w:ind w:left="360"/>
        <w:jc w:val="both"/>
        <w:textAlignment w:val="baseline"/>
        <w:rPr>
          <w:color w:val="333333"/>
        </w:rPr>
      </w:pPr>
    </w:p>
    <w:p w14:paraId="4EB042B7" w14:textId="71C07F9F" w:rsidR="00AD5A55" w:rsidRPr="00646990" w:rsidRDefault="00AD5A55" w:rsidP="00AD5A55">
      <w:pPr>
        <w:pStyle w:val="ListParagraph"/>
        <w:numPr>
          <w:ilvl w:val="0"/>
          <w:numId w:val="4"/>
        </w:numPr>
        <w:jc w:val="both"/>
        <w:rPr>
          <w:color w:val="333333"/>
          <w:shd w:val="clear" w:color="auto" w:fill="FFFFFF"/>
        </w:rPr>
      </w:pPr>
      <w:r>
        <w:t>The Israeli authorities continue to seize Palestinian fishing boats and equipment without legal authority or guarantee of return. In the most recent case, noted below, the authorities fired at</w:t>
      </w:r>
      <w:r w:rsidR="00937682">
        <w:t xml:space="preserve"> and</w:t>
      </w:r>
      <w:r>
        <w:t xml:space="preserve"> detained </w:t>
      </w:r>
      <w:r w:rsidR="00937682">
        <w:t xml:space="preserve">a Gaza fisherman, </w:t>
      </w:r>
      <w:r>
        <w:t xml:space="preserve">and confiscated </w:t>
      </w:r>
      <w:r w:rsidR="00937682">
        <w:t>his</w:t>
      </w:r>
      <w:r>
        <w:t xml:space="preserve"> boat and equipment. </w:t>
      </w:r>
    </w:p>
    <w:p w14:paraId="5AFC4BC8" w14:textId="77777777" w:rsidR="00AD5A55" w:rsidRPr="00646990" w:rsidRDefault="00AD5A55" w:rsidP="00AD5A55">
      <w:pPr>
        <w:pStyle w:val="ListParagraph"/>
        <w:rPr>
          <w:color w:val="333333"/>
          <w:shd w:val="clear" w:color="auto" w:fill="FFFFFF"/>
        </w:rPr>
      </w:pPr>
    </w:p>
    <w:p w14:paraId="1BF427AD" w14:textId="1B5077CF" w:rsidR="00AD5A55" w:rsidRPr="00646990" w:rsidRDefault="00AD5A55" w:rsidP="00AD5A55">
      <w:pPr>
        <w:pStyle w:val="ListParagraph"/>
        <w:ind w:left="360"/>
        <w:jc w:val="both"/>
        <w:rPr>
          <w:b/>
          <w:bCs/>
          <w:color w:val="333333"/>
          <w:shd w:val="clear" w:color="auto" w:fill="FFFFFF"/>
        </w:rPr>
      </w:pPr>
      <w:r w:rsidRPr="00646990">
        <w:rPr>
          <w:b/>
          <w:bCs/>
          <w:color w:val="333333"/>
          <w:shd w:val="clear" w:color="auto" w:fill="FFFFFF"/>
        </w:rPr>
        <w:t xml:space="preserve">Case of </w:t>
      </w:r>
      <w:r>
        <w:rPr>
          <w:b/>
          <w:bCs/>
          <w:color w:val="333333"/>
          <w:shd w:val="clear" w:color="auto" w:fill="FFFFFF"/>
        </w:rPr>
        <w:t>Gaza fisher</w:t>
      </w:r>
      <w:r w:rsidR="00937682">
        <w:rPr>
          <w:b/>
          <w:bCs/>
          <w:color w:val="333333"/>
          <w:shd w:val="clear" w:color="auto" w:fill="FFFFFF"/>
        </w:rPr>
        <w:t>man</w:t>
      </w:r>
      <w:r>
        <w:rPr>
          <w:b/>
          <w:bCs/>
          <w:color w:val="333333"/>
          <w:shd w:val="clear" w:color="auto" w:fill="FFFFFF"/>
        </w:rPr>
        <w:t xml:space="preserve"> </w:t>
      </w:r>
      <w:proofErr w:type="spellStart"/>
      <w:r w:rsidRPr="00646990">
        <w:rPr>
          <w:b/>
          <w:bCs/>
          <w:color w:val="333333"/>
          <w:shd w:val="clear" w:color="auto" w:fill="FFFFFF"/>
        </w:rPr>
        <w:t>Awad</w:t>
      </w:r>
      <w:proofErr w:type="spellEnd"/>
      <w:r w:rsidRPr="00646990">
        <w:rPr>
          <w:b/>
          <w:bCs/>
          <w:color w:val="333333"/>
          <w:shd w:val="clear" w:color="auto" w:fill="FFFFFF"/>
        </w:rPr>
        <w:t xml:space="preserve"> Bakr </w:t>
      </w:r>
    </w:p>
    <w:p w14:paraId="00A2E088" w14:textId="77777777" w:rsidR="00AD5A55" w:rsidRPr="00646990" w:rsidRDefault="00AD5A55" w:rsidP="00AD5A55">
      <w:pPr>
        <w:pStyle w:val="ListParagraph"/>
        <w:rPr>
          <w:color w:val="333333"/>
          <w:shd w:val="clear" w:color="auto" w:fill="FFFFFF"/>
        </w:rPr>
      </w:pPr>
    </w:p>
    <w:p w14:paraId="038C7C3B" w14:textId="77777777" w:rsidR="00AD5A55" w:rsidRPr="00D31951" w:rsidRDefault="00AD5A55" w:rsidP="00AD5A55">
      <w:pPr>
        <w:pStyle w:val="ListParagraph"/>
        <w:numPr>
          <w:ilvl w:val="0"/>
          <w:numId w:val="4"/>
        </w:numPr>
        <w:jc w:val="both"/>
        <w:rPr>
          <w:color w:val="333333"/>
          <w:shd w:val="clear" w:color="auto" w:fill="FFFFFF"/>
        </w:rPr>
      </w:pPr>
      <w:r>
        <w:rPr>
          <w:color w:val="333333"/>
          <w:shd w:val="clear" w:color="auto" w:fill="FFFFFF"/>
        </w:rPr>
        <w:t>According to Al Mezan’s documentation, a</w:t>
      </w:r>
      <w:r w:rsidRPr="00D31951">
        <w:rPr>
          <w:color w:val="333333"/>
          <w:shd w:val="clear" w:color="auto" w:fill="FFFFFF"/>
        </w:rPr>
        <w:t xml:space="preserve">t 11am on Monday, 5 August 2019, Israeli naval forces opened fire at </w:t>
      </w:r>
      <w:proofErr w:type="spellStart"/>
      <w:r>
        <w:rPr>
          <w:color w:val="333333"/>
          <w:shd w:val="clear" w:color="auto" w:fill="FFFFFF"/>
        </w:rPr>
        <w:t>Awad</w:t>
      </w:r>
      <w:proofErr w:type="spellEnd"/>
      <w:r>
        <w:rPr>
          <w:color w:val="333333"/>
          <w:shd w:val="clear" w:color="auto" w:fill="FFFFFF"/>
        </w:rPr>
        <w:t xml:space="preserve"> Bakr, 21, who was </w:t>
      </w:r>
      <w:r w:rsidRPr="00D31951">
        <w:rPr>
          <w:color w:val="333333"/>
          <w:shd w:val="clear" w:color="auto" w:fill="FFFFFF"/>
        </w:rPr>
        <w:t xml:space="preserve">sailing </w:t>
      </w:r>
      <w:r>
        <w:rPr>
          <w:color w:val="333333"/>
          <w:shd w:val="clear" w:color="auto" w:fill="FFFFFF"/>
        </w:rPr>
        <w:t xml:space="preserve">five nautical miles </w:t>
      </w:r>
      <w:r w:rsidRPr="00D31951">
        <w:rPr>
          <w:color w:val="333333"/>
          <w:shd w:val="clear" w:color="auto" w:fill="FFFFFF"/>
        </w:rPr>
        <w:t xml:space="preserve">off the </w:t>
      </w:r>
      <w:r>
        <w:rPr>
          <w:color w:val="333333"/>
          <w:shd w:val="clear" w:color="auto" w:fill="FFFFFF"/>
        </w:rPr>
        <w:t xml:space="preserve">coast of the </w:t>
      </w:r>
      <w:r w:rsidRPr="00D31951">
        <w:rPr>
          <w:color w:val="333333"/>
          <w:shd w:val="clear" w:color="auto" w:fill="FFFFFF"/>
        </w:rPr>
        <w:t xml:space="preserve">Gaza port in </w:t>
      </w:r>
      <w:r>
        <w:rPr>
          <w:color w:val="333333"/>
          <w:shd w:val="clear" w:color="auto" w:fill="FFFFFF"/>
        </w:rPr>
        <w:t xml:space="preserve">the </w:t>
      </w:r>
      <w:r w:rsidRPr="00D31951">
        <w:rPr>
          <w:color w:val="333333"/>
          <w:shd w:val="clear" w:color="auto" w:fill="FFFFFF"/>
        </w:rPr>
        <w:t>Gaza City</w:t>
      </w:r>
      <w:r>
        <w:rPr>
          <w:color w:val="333333"/>
          <w:shd w:val="clear" w:color="auto" w:fill="FFFFFF"/>
        </w:rPr>
        <w:t xml:space="preserve"> district</w:t>
      </w:r>
      <w:r w:rsidRPr="00D31951">
        <w:rPr>
          <w:color w:val="333333"/>
          <w:shd w:val="clear" w:color="auto" w:fill="FFFFFF"/>
        </w:rPr>
        <w:t xml:space="preserve">. </w:t>
      </w:r>
      <w:r>
        <w:rPr>
          <w:color w:val="333333"/>
          <w:shd w:val="clear" w:color="auto" w:fill="FFFFFF"/>
        </w:rPr>
        <w:t xml:space="preserve">He was sailing within the permitted fishing zone, which was set at six nautical miles at that time. </w:t>
      </w:r>
      <w:r w:rsidRPr="00D31951">
        <w:rPr>
          <w:color w:val="333333"/>
          <w:shd w:val="clear" w:color="auto" w:fill="FFFFFF"/>
        </w:rPr>
        <w:t xml:space="preserve">The Israeli forces </w:t>
      </w:r>
      <w:r>
        <w:rPr>
          <w:color w:val="333333"/>
          <w:shd w:val="clear" w:color="auto" w:fill="FFFFFF"/>
        </w:rPr>
        <w:t>sur</w:t>
      </w:r>
      <w:r w:rsidRPr="00D31951">
        <w:rPr>
          <w:color w:val="333333"/>
          <w:shd w:val="clear" w:color="auto" w:fill="FFFFFF"/>
        </w:rPr>
        <w:t>rounded the boat</w:t>
      </w:r>
      <w:r>
        <w:rPr>
          <w:color w:val="333333"/>
          <w:shd w:val="clear" w:color="auto" w:fill="FFFFFF"/>
        </w:rPr>
        <w:t xml:space="preserve">, </w:t>
      </w:r>
      <w:r w:rsidRPr="00D31951">
        <w:rPr>
          <w:color w:val="333333"/>
          <w:shd w:val="clear" w:color="auto" w:fill="FFFFFF"/>
        </w:rPr>
        <w:t xml:space="preserve">detained </w:t>
      </w:r>
      <w:r>
        <w:rPr>
          <w:color w:val="333333"/>
          <w:shd w:val="clear" w:color="auto" w:fill="FFFFFF"/>
        </w:rPr>
        <w:t>Bakr</w:t>
      </w:r>
      <w:r w:rsidRPr="00D31951">
        <w:rPr>
          <w:color w:val="333333"/>
          <w:shd w:val="clear" w:color="auto" w:fill="FFFFFF"/>
        </w:rPr>
        <w:t xml:space="preserve"> and confiscated the boat</w:t>
      </w:r>
      <w:r>
        <w:rPr>
          <w:color w:val="333333"/>
          <w:shd w:val="clear" w:color="auto" w:fill="FFFFFF"/>
        </w:rPr>
        <w:t xml:space="preserve">. The boat is owned by </w:t>
      </w:r>
      <w:proofErr w:type="spellStart"/>
      <w:r>
        <w:rPr>
          <w:color w:val="333333"/>
          <w:shd w:val="clear" w:color="auto" w:fill="FFFFFF"/>
        </w:rPr>
        <w:t>Awad’s</w:t>
      </w:r>
      <w:proofErr w:type="spellEnd"/>
      <w:r>
        <w:rPr>
          <w:color w:val="333333"/>
          <w:shd w:val="clear" w:color="auto" w:fill="FFFFFF"/>
        </w:rPr>
        <w:t xml:space="preserve"> brother</w:t>
      </w:r>
      <w:r w:rsidRPr="00D31951">
        <w:rPr>
          <w:color w:val="333333"/>
          <w:shd w:val="clear" w:color="auto" w:fill="FFFFFF"/>
        </w:rPr>
        <w:t>, Amjad Bakr, 28. </w:t>
      </w:r>
      <w:proofErr w:type="spellStart"/>
      <w:r w:rsidRPr="00D31951">
        <w:rPr>
          <w:color w:val="333333"/>
          <w:shd w:val="clear" w:color="auto" w:fill="FFFFFF"/>
        </w:rPr>
        <w:t>Awad</w:t>
      </w:r>
      <w:proofErr w:type="spellEnd"/>
      <w:r w:rsidRPr="00D31951">
        <w:rPr>
          <w:color w:val="333333"/>
          <w:shd w:val="clear" w:color="auto" w:fill="FFFFFF"/>
        </w:rPr>
        <w:t xml:space="preserve"> was released the evening </w:t>
      </w:r>
      <w:r>
        <w:rPr>
          <w:color w:val="333333"/>
          <w:shd w:val="clear" w:color="auto" w:fill="FFFFFF"/>
        </w:rPr>
        <w:t>of</w:t>
      </w:r>
      <w:r w:rsidRPr="00D31951">
        <w:rPr>
          <w:color w:val="333333"/>
          <w:shd w:val="clear" w:color="auto" w:fill="FFFFFF"/>
        </w:rPr>
        <w:t xml:space="preserve"> the same day, but the boat and fishing equipment remain in Israeli custody.</w:t>
      </w:r>
      <w:r>
        <w:rPr>
          <w:color w:val="333333"/>
          <w:shd w:val="clear" w:color="auto" w:fill="FFFFFF"/>
        </w:rPr>
        <w:t xml:space="preserve"> </w:t>
      </w:r>
      <w:proofErr w:type="spellStart"/>
      <w:r>
        <w:rPr>
          <w:color w:val="333333"/>
          <w:shd w:val="clear" w:color="auto" w:fill="FFFFFF"/>
        </w:rPr>
        <w:t>Awad</w:t>
      </w:r>
      <w:proofErr w:type="spellEnd"/>
      <w:r>
        <w:rPr>
          <w:color w:val="333333"/>
          <w:shd w:val="clear" w:color="auto" w:fill="FFFFFF"/>
        </w:rPr>
        <w:t xml:space="preserve"> is </w:t>
      </w:r>
      <w:r w:rsidRPr="00D31951">
        <w:rPr>
          <w:color w:val="333333"/>
          <w:shd w:val="clear" w:color="auto" w:fill="FFFFFF"/>
        </w:rPr>
        <w:t>a resident of Al-</w:t>
      </w:r>
      <w:proofErr w:type="spellStart"/>
      <w:r w:rsidRPr="00D31951">
        <w:rPr>
          <w:color w:val="333333"/>
          <w:shd w:val="clear" w:color="auto" w:fill="FFFFFF"/>
        </w:rPr>
        <w:t>Shati</w:t>
      </w:r>
      <w:proofErr w:type="spellEnd"/>
      <w:r w:rsidRPr="00D31951">
        <w:rPr>
          <w:color w:val="333333"/>
          <w:shd w:val="clear" w:color="auto" w:fill="FFFFFF"/>
        </w:rPr>
        <w:t xml:space="preserve"> refugee camp in Gaza City</w:t>
      </w:r>
      <w:r>
        <w:rPr>
          <w:color w:val="333333"/>
          <w:shd w:val="clear" w:color="auto" w:fill="FFFFFF"/>
        </w:rPr>
        <w:t>.</w:t>
      </w:r>
      <w:r w:rsidRPr="0047166E">
        <w:rPr>
          <w:rStyle w:val="FootnoteReference"/>
        </w:rPr>
        <w:footnoteReference w:id="37"/>
      </w:r>
      <w:r>
        <w:rPr>
          <w:color w:val="333333"/>
          <w:shd w:val="clear" w:color="auto" w:fill="FFFFFF"/>
        </w:rPr>
        <w:t xml:space="preserve"> </w:t>
      </w:r>
    </w:p>
    <w:p w14:paraId="3F86871A" w14:textId="77777777" w:rsidR="00AD5A55" w:rsidRPr="0047166E" w:rsidRDefault="00AD5A55" w:rsidP="00AD5A55">
      <w:pPr>
        <w:pStyle w:val="ListParagraph"/>
        <w:ind w:left="360"/>
        <w:jc w:val="both"/>
        <w:rPr>
          <w:color w:val="000000" w:themeColor="text1"/>
        </w:rPr>
      </w:pPr>
    </w:p>
    <w:p w14:paraId="26F9C11A" w14:textId="6E8E46D1" w:rsidR="00AD5A55" w:rsidRPr="00C5743B" w:rsidRDefault="00AD5A55" w:rsidP="00AD5A55">
      <w:pPr>
        <w:pStyle w:val="ListParagraph"/>
        <w:numPr>
          <w:ilvl w:val="0"/>
          <w:numId w:val="4"/>
        </w:numPr>
        <w:jc w:val="both"/>
      </w:pPr>
      <w:r>
        <w:rPr>
          <w:color w:val="333333"/>
          <w:shd w:val="clear" w:color="auto" w:fill="FFFFFF"/>
        </w:rPr>
        <w:t xml:space="preserve">Access to Palestinian territorial waters remains unsafe for Gaza’s fishermen. </w:t>
      </w:r>
      <w:r w:rsidR="00EF4B08" w:rsidRPr="00EF4B08">
        <w:rPr>
          <w:color w:val="333333"/>
          <w:shd w:val="clear" w:color="auto" w:fill="FFFFFF"/>
        </w:rPr>
        <w:t>Documentation by Al Mezan shows that since the start of 2019 Israeli forces have carried out 257 attacks on fisher</w:t>
      </w:r>
      <w:r w:rsidR="001C2C8F">
        <w:rPr>
          <w:color w:val="333333"/>
          <w:shd w:val="clear" w:color="auto" w:fill="FFFFFF"/>
        </w:rPr>
        <w:t xml:space="preserve">men; </w:t>
      </w:r>
      <w:r w:rsidR="00EF4B08" w:rsidRPr="00EF4B08">
        <w:rPr>
          <w:color w:val="333333"/>
          <w:shd w:val="clear" w:color="auto" w:fill="FFFFFF"/>
        </w:rPr>
        <w:t xml:space="preserve">254 of them involved the use of live fire. The navy injured 16 fishermen and detained 33 others. </w:t>
      </w:r>
      <w:r w:rsidRPr="0047166E">
        <w:rPr>
          <w:color w:val="333333"/>
          <w:shd w:val="clear" w:color="auto" w:fill="FFFFFF"/>
        </w:rPr>
        <w:t xml:space="preserve">Thirteen fishing boats </w:t>
      </w:r>
      <w:r>
        <w:rPr>
          <w:color w:val="333333"/>
          <w:shd w:val="clear" w:color="auto" w:fill="FFFFFF"/>
        </w:rPr>
        <w:t>have been</w:t>
      </w:r>
      <w:r w:rsidRPr="0047166E">
        <w:rPr>
          <w:color w:val="333333"/>
          <w:shd w:val="clear" w:color="auto" w:fill="FFFFFF"/>
        </w:rPr>
        <w:t xml:space="preserve"> confiscated.</w:t>
      </w:r>
      <w:r w:rsidRPr="0047166E">
        <w:rPr>
          <w:color w:val="000000" w:themeColor="text1"/>
        </w:rPr>
        <w:t xml:space="preserve"> The </w:t>
      </w:r>
      <w:r>
        <w:rPr>
          <w:color w:val="000000" w:themeColor="text1"/>
        </w:rPr>
        <w:t xml:space="preserve">Israeli </w:t>
      </w:r>
      <w:r w:rsidRPr="0047166E">
        <w:rPr>
          <w:color w:val="000000" w:themeColor="text1"/>
        </w:rPr>
        <w:t>navy targets Palestinian fisher</w:t>
      </w:r>
      <w:r>
        <w:rPr>
          <w:color w:val="000000" w:themeColor="text1"/>
        </w:rPr>
        <w:t>men</w:t>
      </w:r>
      <w:r w:rsidRPr="0047166E">
        <w:rPr>
          <w:color w:val="000000" w:themeColor="text1"/>
        </w:rPr>
        <w:t xml:space="preserve"> both within and outside the permitted fishing zone.</w:t>
      </w:r>
      <w:r w:rsidRPr="00C5743B">
        <w:rPr>
          <w:color w:val="000000"/>
          <w:sz w:val="20"/>
          <w:szCs w:val="20"/>
          <w:rtl/>
        </w:rPr>
        <w:t> </w:t>
      </w:r>
    </w:p>
    <w:p w14:paraId="5671D610" w14:textId="77777777" w:rsidR="00AD5A55" w:rsidRPr="0047166E" w:rsidRDefault="00AD5A55" w:rsidP="00AD5A55">
      <w:pPr>
        <w:jc w:val="both"/>
      </w:pPr>
    </w:p>
    <w:p w14:paraId="682E18EC" w14:textId="77777777" w:rsidR="00AD5A55" w:rsidRPr="0047166E" w:rsidRDefault="00AD5A55" w:rsidP="00AD5A55">
      <w:pPr>
        <w:pStyle w:val="ListParagraph"/>
        <w:numPr>
          <w:ilvl w:val="0"/>
          <w:numId w:val="4"/>
        </w:numPr>
        <w:jc w:val="both"/>
      </w:pPr>
      <w:r>
        <w:t xml:space="preserve">Between 2014 and 2018, Al Mezan documented 917 incidents of harassment, with </w:t>
      </w:r>
      <w:r>
        <w:rPr>
          <w:color w:val="000000" w:themeColor="text1"/>
        </w:rPr>
        <w:t>908</w:t>
      </w:r>
      <w:r w:rsidRPr="0047166E">
        <w:rPr>
          <w:color w:val="000000" w:themeColor="text1"/>
        </w:rPr>
        <w:t xml:space="preserve"> </w:t>
      </w:r>
      <w:r>
        <w:rPr>
          <w:color w:val="000000" w:themeColor="text1"/>
        </w:rPr>
        <w:t>of them involving</w:t>
      </w:r>
      <w:r w:rsidRPr="0047166E">
        <w:rPr>
          <w:color w:val="000000" w:themeColor="text1"/>
        </w:rPr>
        <w:t xml:space="preserve"> the use of live fire. The navy arrested </w:t>
      </w:r>
      <w:r>
        <w:rPr>
          <w:color w:val="000000" w:themeColor="text1"/>
        </w:rPr>
        <w:t>405</w:t>
      </w:r>
      <w:r w:rsidRPr="0047166E">
        <w:rPr>
          <w:color w:val="000000" w:themeColor="text1"/>
        </w:rPr>
        <w:t xml:space="preserve"> fisher</w:t>
      </w:r>
      <w:r>
        <w:rPr>
          <w:color w:val="000000" w:themeColor="text1"/>
        </w:rPr>
        <w:t>men</w:t>
      </w:r>
      <w:r w:rsidRPr="0047166E">
        <w:rPr>
          <w:color w:val="000000" w:themeColor="text1"/>
        </w:rPr>
        <w:t xml:space="preserve">, killed </w:t>
      </w:r>
      <w:r>
        <w:rPr>
          <w:color w:val="000000" w:themeColor="text1"/>
        </w:rPr>
        <w:t>five</w:t>
      </w:r>
      <w:r w:rsidRPr="0047166E">
        <w:rPr>
          <w:color w:val="000000" w:themeColor="text1"/>
        </w:rPr>
        <w:t xml:space="preserve"> fisher</w:t>
      </w:r>
      <w:r>
        <w:rPr>
          <w:color w:val="000000" w:themeColor="text1"/>
        </w:rPr>
        <w:t>men</w:t>
      </w:r>
      <w:r w:rsidRPr="0047166E">
        <w:rPr>
          <w:color w:val="000000" w:themeColor="text1"/>
        </w:rPr>
        <w:t xml:space="preserve">, </w:t>
      </w:r>
      <w:r>
        <w:rPr>
          <w:color w:val="000000" w:themeColor="text1"/>
        </w:rPr>
        <w:t xml:space="preserve">and </w:t>
      </w:r>
      <w:r w:rsidRPr="0047166E">
        <w:rPr>
          <w:color w:val="000000" w:themeColor="text1"/>
        </w:rPr>
        <w:lastRenderedPageBreak/>
        <w:t xml:space="preserve">injured </w:t>
      </w:r>
      <w:r>
        <w:rPr>
          <w:color w:val="000000" w:themeColor="text1"/>
        </w:rPr>
        <w:t>104</w:t>
      </w:r>
      <w:r w:rsidRPr="0047166E">
        <w:rPr>
          <w:color w:val="000000" w:themeColor="text1"/>
        </w:rPr>
        <w:t xml:space="preserve"> fisher</w:t>
      </w:r>
      <w:r>
        <w:rPr>
          <w:color w:val="000000" w:themeColor="text1"/>
        </w:rPr>
        <w:t>men within that period</w:t>
      </w:r>
      <w:r w:rsidRPr="0047166E">
        <w:rPr>
          <w:color w:val="000000" w:themeColor="text1"/>
        </w:rPr>
        <w:t xml:space="preserve">. The navy destroyed boats and equipment in </w:t>
      </w:r>
      <w:r>
        <w:rPr>
          <w:color w:val="000000" w:themeColor="text1"/>
        </w:rPr>
        <w:t>57</w:t>
      </w:r>
      <w:r w:rsidRPr="0047166E">
        <w:rPr>
          <w:color w:val="000000" w:themeColor="text1"/>
        </w:rPr>
        <w:t xml:space="preserve"> incidents. </w:t>
      </w:r>
    </w:p>
    <w:p w14:paraId="4B7F1244" w14:textId="77777777" w:rsidR="00AD5A55" w:rsidRPr="0047166E" w:rsidRDefault="00AD5A55" w:rsidP="00AD5A55">
      <w:pPr>
        <w:jc w:val="both"/>
      </w:pPr>
    </w:p>
    <w:p w14:paraId="64EC9032" w14:textId="154C1B83" w:rsidR="00AD5A55" w:rsidRPr="00646990" w:rsidRDefault="00AD5A55" w:rsidP="00AD5A55">
      <w:pPr>
        <w:pStyle w:val="ListParagraph"/>
        <w:numPr>
          <w:ilvl w:val="0"/>
          <w:numId w:val="4"/>
        </w:numPr>
        <w:jc w:val="both"/>
        <w:rPr>
          <w:color w:val="000000" w:themeColor="text1"/>
        </w:rPr>
      </w:pPr>
      <w:r w:rsidRPr="0047166E">
        <w:rPr>
          <w:color w:val="000000" w:themeColor="text1"/>
        </w:rPr>
        <w:t>Despite the Oslo Accords affording Palestinian fisher</w:t>
      </w:r>
      <w:r>
        <w:rPr>
          <w:color w:val="000000" w:themeColor="text1"/>
        </w:rPr>
        <w:t>men</w:t>
      </w:r>
      <w:r w:rsidRPr="0047166E">
        <w:rPr>
          <w:color w:val="000000" w:themeColor="text1"/>
        </w:rPr>
        <w:t xml:space="preserve"> 20 nautical miles of fishing grounds, the Israeli authorities </w:t>
      </w:r>
      <w:r>
        <w:rPr>
          <w:color w:val="000000" w:themeColor="text1"/>
        </w:rPr>
        <w:t xml:space="preserve">use live fire to </w:t>
      </w:r>
      <w:r w:rsidRPr="0047166E">
        <w:rPr>
          <w:color w:val="000000" w:themeColor="text1"/>
        </w:rPr>
        <w:t>enforce</w:t>
      </w:r>
      <w:r>
        <w:rPr>
          <w:color w:val="000000" w:themeColor="text1"/>
        </w:rPr>
        <w:t xml:space="preserve"> restrictions on </w:t>
      </w:r>
      <w:r w:rsidR="001C2C8F">
        <w:rPr>
          <w:color w:val="000000" w:themeColor="text1"/>
        </w:rPr>
        <w:t>a fluctuating</w:t>
      </w:r>
      <w:r>
        <w:rPr>
          <w:color w:val="000000" w:themeColor="text1"/>
        </w:rPr>
        <w:t xml:space="preserve"> </w:t>
      </w:r>
      <w:r w:rsidR="001C2C8F">
        <w:rPr>
          <w:color w:val="000000" w:themeColor="text1"/>
        </w:rPr>
        <w:t>‘</w:t>
      </w:r>
      <w:r>
        <w:rPr>
          <w:color w:val="000000" w:themeColor="text1"/>
        </w:rPr>
        <w:t>permitted</w:t>
      </w:r>
      <w:r w:rsidRPr="0047166E">
        <w:rPr>
          <w:color w:val="000000" w:themeColor="text1"/>
        </w:rPr>
        <w:t xml:space="preserve"> fishing zone</w:t>
      </w:r>
      <w:r w:rsidR="001C2C8F">
        <w:rPr>
          <w:color w:val="000000" w:themeColor="text1"/>
        </w:rPr>
        <w:t>’</w:t>
      </w:r>
      <w:r>
        <w:rPr>
          <w:color w:val="000000" w:themeColor="text1"/>
        </w:rPr>
        <w:t xml:space="preserve"> and sometimes prohibit fishing entirely. By mid-2019, the Israeli authorities had imposed a full maritime closure three times since the start of the year and changed the demarcation of the fishing zone 15 times.</w:t>
      </w:r>
      <w:r>
        <w:rPr>
          <w:rStyle w:val="FootnoteReference"/>
          <w:color w:val="000000" w:themeColor="text1"/>
        </w:rPr>
        <w:footnoteReference w:id="38"/>
      </w:r>
      <w:r>
        <w:rPr>
          <w:color w:val="000000" w:themeColor="text1"/>
        </w:rPr>
        <w:t xml:space="preserve"> </w:t>
      </w:r>
      <w:r>
        <w:rPr>
          <w:rStyle w:val="FootnoteReference"/>
          <w:color w:val="000000" w:themeColor="text1"/>
        </w:rPr>
        <w:footnoteReference w:id="39"/>
      </w:r>
      <w:r w:rsidRPr="0047166E">
        <w:rPr>
          <w:color w:val="000000" w:themeColor="text1"/>
        </w:rPr>
        <w:t xml:space="preserve"> As of </w:t>
      </w:r>
      <w:r>
        <w:rPr>
          <w:color w:val="000000" w:themeColor="text1"/>
        </w:rPr>
        <w:t xml:space="preserve">28 June </w:t>
      </w:r>
      <w:r w:rsidRPr="0047166E">
        <w:rPr>
          <w:color w:val="000000" w:themeColor="text1"/>
        </w:rPr>
        <w:t xml:space="preserve">2019, the Israeli authorities </w:t>
      </w:r>
      <w:r>
        <w:rPr>
          <w:color w:val="000000" w:themeColor="text1"/>
        </w:rPr>
        <w:t>have expanded the fishing zone from ten to 15</w:t>
      </w:r>
      <w:r w:rsidRPr="0047166E">
        <w:rPr>
          <w:color w:val="000000" w:themeColor="text1"/>
        </w:rPr>
        <w:t xml:space="preserve"> nautical miles between </w:t>
      </w:r>
      <w:r>
        <w:rPr>
          <w:color w:val="000000" w:themeColor="text1"/>
        </w:rPr>
        <w:t>south of the</w:t>
      </w:r>
      <w:r w:rsidRPr="0047166E">
        <w:rPr>
          <w:color w:val="000000" w:themeColor="text1"/>
        </w:rPr>
        <w:t xml:space="preserve"> Gaza</w:t>
      </w:r>
      <w:r>
        <w:rPr>
          <w:color w:val="000000" w:themeColor="text1"/>
        </w:rPr>
        <w:t xml:space="preserve"> City port</w:t>
      </w:r>
      <w:r w:rsidRPr="0047166E">
        <w:rPr>
          <w:color w:val="000000" w:themeColor="text1"/>
        </w:rPr>
        <w:t xml:space="preserve"> and</w:t>
      </w:r>
      <w:r>
        <w:rPr>
          <w:color w:val="000000" w:themeColor="text1"/>
        </w:rPr>
        <w:t xml:space="preserve"> Rafah and allocated</w:t>
      </w:r>
      <w:r w:rsidRPr="0047166E">
        <w:rPr>
          <w:color w:val="000000" w:themeColor="text1"/>
        </w:rPr>
        <w:t xml:space="preserve"> </w:t>
      </w:r>
      <w:r>
        <w:rPr>
          <w:color w:val="000000" w:themeColor="text1"/>
        </w:rPr>
        <w:t>six</w:t>
      </w:r>
      <w:r w:rsidRPr="0047166E">
        <w:rPr>
          <w:color w:val="000000" w:themeColor="text1"/>
        </w:rPr>
        <w:t xml:space="preserve"> nautical miles </w:t>
      </w:r>
      <w:r>
        <w:rPr>
          <w:color w:val="000000" w:themeColor="text1"/>
        </w:rPr>
        <w:t xml:space="preserve">for fishing </w:t>
      </w:r>
      <w:r w:rsidRPr="0047166E">
        <w:rPr>
          <w:color w:val="000000" w:themeColor="text1"/>
        </w:rPr>
        <w:t>between</w:t>
      </w:r>
      <w:r>
        <w:rPr>
          <w:color w:val="000000" w:themeColor="text1"/>
        </w:rPr>
        <w:t xml:space="preserve"> north of the Gaza City port</w:t>
      </w:r>
      <w:r w:rsidRPr="0047166E">
        <w:rPr>
          <w:color w:val="000000" w:themeColor="text1"/>
        </w:rPr>
        <w:t xml:space="preserve"> and </w:t>
      </w:r>
      <w:r>
        <w:rPr>
          <w:color w:val="000000" w:themeColor="text1"/>
        </w:rPr>
        <w:t xml:space="preserve">Beit Lahiya. Notably, 2019 marks the first year that fishermen have been allowed to access up to 15 nautical miles, with most years seeing a permitted zone of between six and nine nautical miles. </w:t>
      </w:r>
    </w:p>
    <w:p w14:paraId="6264B1AB" w14:textId="77777777" w:rsidR="00AD5A55" w:rsidRPr="0047166E" w:rsidRDefault="00AD5A55" w:rsidP="00AD5A55">
      <w:pPr>
        <w:jc w:val="both"/>
        <w:rPr>
          <w:color w:val="000000" w:themeColor="text1"/>
        </w:rPr>
      </w:pPr>
    </w:p>
    <w:p w14:paraId="4C00CF5A" w14:textId="77777777" w:rsidR="00AD5A55" w:rsidRDefault="00AD5A55" w:rsidP="00AD5A55">
      <w:pPr>
        <w:pStyle w:val="ListParagraph"/>
        <w:numPr>
          <w:ilvl w:val="0"/>
          <w:numId w:val="4"/>
        </w:numPr>
        <w:jc w:val="both"/>
        <w:rPr>
          <w:color w:val="000000" w:themeColor="text1"/>
        </w:rPr>
      </w:pPr>
      <w:r w:rsidRPr="0047166E">
        <w:rPr>
          <w:color w:val="000000" w:themeColor="text1"/>
        </w:rPr>
        <w:t>Israel’s policy to hinder fisher</w:t>
      </w:r>
      <w:r>
        <w:rPr>
          <w:color w:val="000000" w:themeColor="text1"/>
        </w:rPr>
        <w:t>men</w:t>
      </w:r>
      <w:r w:rsidRPr="0047166E">
        <w:rPr>
          <w:color w:val="000000" w:themeColor="text1"/>
        </w:rPr>
        <w:t>’s access to Palestinian territorial waters restricts their enjoyment of Palestine’s natural resources. Preventing the fishing community from working safely and freely</w:t>
      </w:r>
      <w:r>
        <w:rPr>
          <w:color w:val="000000" w:themeColor="text1"/>
        </w:rPr>
        <w:t xml:space="preserve"> </w:t>
      </w:r>
      <w:r w:rsidRPr="0047166E">
        <w:rPr>
          <w:color w:val="000000" w:themeColor="text1"/>
        </w:rPr>
        <w:t>stifles what would otherwise be a viable sector in the Palestinian economy. The fishing community, once prosperous, is now one of the poorest communities in Gaza.</w:t>
      </w:r>
    </w:p>
    <w:p w14:paraId="561F8E8E" w14:textId="77777777" w:rsidR="00AD5A55" w:rsidRPr="00FB2EC0" w:rsidRDefault="00AD5A55" w:rsidP="00AD5A55">
      <w:pPr>
        <w:pStyle w:val="ListParagraph"/>
        <w:rPr>
          <w:color w:val="000000" w:themeColor="text1"/>
        </w:rPr>
      </w:pPr>
    </w:p>
    <w:p w14:paraId="5847BBE1" w14:textId="3D0C0EA2" w:rsidR="00921A5D" w:rsidRPr="0061214A" w:rsidRDefault="00AD5A55" w:rsidP="0061214A">
      <w:pPr>
        <w:pStyle w:val="ListParagraph"/>
        <w:numPr>
          <w:ilvl w:val="0"/>
          <w:numId w:val="4"/>
        </w:numPr>
        <w:jc w:val="both"/>
        <w:rPr>
          <w:color w:val="000000" w:themeColor="text1"/>
        </w:rPr>
      </w:pPr>
      <w:r>
        <w:rPr>
          <w:color w:val="000000" w:themeColor="text1"/>
        </w:rPr>
        <w:t xml:space="preserve">The Israeli policy towards fishermen reflects a continuous pattern of collective punishment. The size of the fishing zone is determined by Israeli authorities and is often reduced or </w:t>
      </w:r>
      <w:r w:rsidR="001C2C8F">
        <w:rPr>
          <w:color w:val="000000" w:themeColor="text1"/>
        </w:rPr>
        <w:t>closed</w:t>
      </w:r>
      <w:r>
        <w:rPr>
          <w:color w:val="000000" w:themeColor="text1"/>
        </w:rPr>
        <w:t xml:space="preserve"> entirely following protests or hostilities.</w:t>
      </w:r>
      <w:r>
        <w:rPr>
          <w:rStyle w:val="FootnoteReference"/>
          <w:color w:val="000000" w:themeColor="text1"/>
        </w:rPr>
        <w:footnoteReference w:id="40"/>
      </w:r>
      <w:r>
        <w:rPr>
          <w:color w:val="000000" w:themeColor="text1"/>
        </w:rPr>
        <w:t xml:space="preserve">  </w:t>
      </w:r>
    </w:p>
    <w:p w14:paraId="28DC15A3" w14:textId="2A5B9A59" w:rsidR="008E5C87" w:rsidRPr="00921A5D" w:rsidRDefault="00921A5D" w:rsidP="001C2C8F">
      <w:pPr>
        <w:pStyle w:val="Heading1"/>
      </w:pPr>
      <w:r w:rsidRPr="00921A5D">
        <w:t xml:space="preserve">Question </w:t>
      </w:r>
      <w:r w:rsidR="008E5C87" w:rsidRPr="00921A5D">
        <w:t>30h</w:t>
      </w:r>
    </w:p>
    <w:p w14:paraId="4CE6025E" w14:textId="77777777" w:rsidR="00FA1E34" w:rsidRDefault="00FA1E34" w:rsidP="008E5C87"/>
    <w:p w14:paraId="1E36CBBC" w14:textId="4FDC29F8" w:rsidR="008E5C87" w:rsidRDefault="00D70260" w:rsidP="00254E41">
      <w:pPr>
        <w:pStyle w:val="ListParagraph"/>
        <w:numPr>
          <w:ilvl w:val="0"/>
          <w:numId w:val="4"/>
        </w:numPr>
        <w:jc w:val="both"/>
      </w:pPr>
      <w:r>
        <w:t xml:space="preserve">Since </w:t>
      </w:r>
      <w:r w:rsidR="00FA1E34">
        <w:t>Al Mezan’s January 2019 report to the Committee</w:t>
      </w:r>
      <w:r>
        <w:t xml:space="preserve">, </w:t>
      </w:r>
      <w:r w:rsidR="00BE68C7" w:rsidRPr="00D70260">
        <w:rPr>
          <w:color w:val="000000" w:themeColor="text1"/>
        </w:rPr>
        <w:t xml:space="preserve">17 </w:t>
      </w:r>
      <w:r w:rsidR="00937551" w:rsidRPr="00D70260">
        <w:rPr>
          <w:color w:val="000000" w:themeColor="text1"/>
        </w:rPr>
        <w:t xml:space="preserve">government-run </w:t>
      </w:r>
      <w:r w:rsidR="00BE68C7" w:rsidRPr="00D70260">
        <w:rPr>
          <w:color w:val="000000" w:themeColor="text1"/>
        </w:rPr>
        <w:t xml:space="preserve">schools in Gaza </w:t>
      </w:r>
      <w:r w:rsidR="00937551" w:rsidRPr="00D70260">
        <w:rPr>
          <w:color w:val="000000" w:themeColor="text1"/>
        </w:rPr>
        <w:t>have been</w:t>
      </w:r>
      <w:r w:rsidR="00BE68C7" w:rsidRPr="00D70260">
        <w:rPr>
          <w:color w:val="000000" w:themeColor="text1"/>
        </w:rPr>
        <w:t xml:space="preserve"> affected by Israeli military attacks</w:t>
      </w:r>
      <w:r w:rsidR="00937551" w:rsidRPr="00D70260">
        <w:rPr>
          <w:color w:val="000000" w:themeColor="text1"/>
        </w:rPr>
        <w:t>:</w:t>
      </w:r>
      <w:r w:rsidR="00BE68C7" w:rsidRPr="00D70260">
        <w:rPr>
          <w:color w:val="000000" w:themeColor="text1"/>
        </w:rPr>
        <w:t xml:space="preserve"> </w:t>
      </w:r>
      <w:r w:rsidR="008E5C87" w:rsidRPr="00AE7A8D">
        <w:t xml:space="preserve">16 </w:t>
      </w:r>
      <w:r w:rsidR="00BE68C7">
        <w:t xml:space="preserve">schools were </w:t>
      </w:r>
      <w:r w:rsidR="00D75B54">
        <w:t>damaged</w:t>
      </w:r>
      <w:r w:rsidR="00BE68C7">
        <w:t xml:space="preserve"> </w:t>
      </w:r>
      <w:r w:rsidR="008E5C87" w:rsidRPr="00AE7A8D">
        <w:t xml:space="preserve">during the </w:t>
      </w:r>
      <w:r w:rsidR="00BE68C7">
        <w:t>Israeli military escalation in</w:t>
      </w:r>
      <w:r w:rsidR="008E5C87" w:rsidRPr="00AE7A8D">
        <w:t xml:space="preserve"> May 2019 and one </w:t>
      </w:r>
      <w:r w:rsidR="00BE68C7">
        <w:t xml:space="preserve">school was </w:t>
      </w:r>
      <w:r w:rsidR="00D75B54">
        <w:t>partially damaged in</w:t>
      </w:r>
      <w:r w:rsidR="00BE68C7">
        <w:t xml:space="preserve"> a</w:t>
      </w:r>
      <w:r w:rsidR="00D75B54">
        <w:t>n Israeli military</w:t>
      </w:r>
      <w:r w:rsidR="00BE68C7">
        <w:t xml:space="preserve"> </w:t>
      </w:r>
      <w:r w:rsidR="008E5C87" w:rsidRPr="00AE7A8D">
        <w:t xml:space="preserve">shooting incident </w:t>
      </w:r>
      <w:r w:rsidR="00D75B54">
        <w:t xml:space="preserve">in </w:t>
      </w:r>
      <w:r w:rsidR="008E5C87" w:rsidRPr="00AE7A8D">
        <w:t xml:space="preserve">Beit </w:t>
      </w:r>
      <w:proofErr w:type="spellStart"/>
      <w:r w:rsidR="008E5C87" w:rsidRPr="00AE7A8D">
        <w:t>Hanoun</w:t>
      </w:r>
      <w:proofErr w:type="spellEnd"/>
      <w:r w:rsidR="008E5C87" w:rsidRPr="00AE7A8D">
        <w:t xml:space="preserve">. </w:t>
      </w:r>
    </w:p>
    <w:p w14:paraId="2A54CB11" w14:textId="11FF229F" w:rsidR="00BB3D58" w:rsidRDefault="00BB3D58" w:rsidP="00BE68C7"/>
    <w:p w14:paraId="69ECDA97" w14:textId="20C565B9" w:rsidR="005A7C08" w:rsidRDefault="00BB3D58" w:rsidP="00E5609D">
      <w:pPr>
        <w:pStyle w:val="ListParagraph"/>
        <w:numPr>
          <w:ilvl w:val="0"/>
          <w:numId w:val="4"/>
        </w:numPr>
      </w:pPr>
      <w:r>
        <w:t xml:space="preserve">The </w:t>
      </w:r>
      <w:r w:rsidR="00D75B54">
        <w:t xml:space="preserve">location of </w:t>
      </w:r>
      <w:r>
        <w:t>schools</w:t>
      </w:r>
      <w:r w:rsidR="00D75B54">
        <w:t xml:space="preserve"> damaged by the Israeli military</w:t>
      </w:r>
      <w:r>
        <w:t xml:space="preserve">: </w:t>
      </w:r>
    </w:p>
    <w:p w14:paraId="1E96288E" w14:textId="77777777" w:rsidR="00E5609D" w:rsidRDefault="00E5609D" w:rsidP="00D70260"/>
    <w:p w14:paraId="747DB636" w14:textId="3A0CF816" w:rsidR="00E5609D" w:rsidRPr="00BB3D58" w:rsidRDefault="00E5609D" w:rsidP="00E5609D">
      <w:pPr>
        <w:pStyle w:val="ListParagraph"/>
        <w:ind w:left="360"/>
      </w:pPr>
      <w:r w:rsidRPr="00BB3D58">
        <w:t xml:space="preserve">8 in North Gaza </w:t>
      </w:r>
    </w:p>
    <w:p w14:paraId="15C42B55" w14:textId="77777777" w:rsidR="00E5609D" w:rsidRPr="00BB3D58" w:rsidRDefault="00E5609D" w:rsidP="00E5609D">
      <w:pPr>
        <w:pStyle w:val="ListParagraph"/>
        <w:ind w:left="360"/>
      </w:pPr>
      <w:r w:rsidRPr="00BB3D58">
        <w:t xml:space="preserve">2 in Gaza </w:t>
      </w:r>
      <w:r>
        <w:t>C</w:t>
      </w:r>
      <w:r w:rsidRPr="00BB3D58">
        <w:t>ity</w:t>
      </w:r>
    </w:p>
    <w:p w14:paraId="21BF1D25" w14:textId="23B10A3C" w:rsidR="00E5609D" w:rsidRDefault="00E5609D" w:rsidP="00E5609D">
      <w:pPr>
        <w:pStyle w:val="ListParagraph"/>
        <w:ind w:left="360"/>
      </w:pPr>
      <w:r w:rsidRPr="00BB3D58">
        <w:t xml:space="preserve">2 in Deir Al </w:t>
      </w:r>
      <w:proofErr w:type="spellStart"/>
      <w:r w:rsidRPr="00BB3D58">
        <w:t>Balah</w:t>
      </w:r>
      <w:proofErr w:type="spellEnd"/>
    </w:p>
    <w:p w14:paraId="4D2C182A" w14:textId="3D5235C2" w:rsidR="00A826F6" w:rsidRDefault="00E5609D" w:rsidP="0061214A">
      <w:pPr>
        <w:pStyle w:val="ListParagraph"/>
        <w:ind w:left="360"/>
      </w:pPr>
      <w:r>
        <w:t>5 in Khan Younis</w:t>
      </w:r>
    </w:p>
    <w:p w14:paraId="6FCE7936" w14:textId="4286540F" w:rsidR="00D70260" w:rsidRDefault="00D70260" w:rsidP="0061214A">
      <w:pPr>
        <w:pStyle w:val="ListParagraph"/>
        <w:ind w:left="360"/>
      </w:pPr>
    </w:p>
    <w:p w14:paraId="4BA75E1D" w14:textId="2A016389" w:rsidR="00D70260" w:rsidRPr="00D70260" w:rsidRDefault="00D70260" w:rsidP="001A36FB">
      <w:pPr>
        <w:pStyle w:val="FootnoteText"/>
        <w:numPr>
          <w:ilvl w:val="0"/>
          <w:numId w:val="4"/>
        </w:numPr>
        <w:spacing w:line="240" w:lineRule="auto"/>
        <w:ind w:right="0"/>
        <w:jc w:val="both"/>
        <w:rPr>
          <w:sz w:val="20"/>
          <w:lang w:val="en-US"/>
        </w:rPr>
      </w:pPr>
      <w:r>
        <w:rPr>
          <w:color w:val="000000" w:themeColor="text1"/>
          <w:sz w:val="24"/>
          <w:szCs w:val="24"/>
          <w:lang w:val="en-US"/>
        </w:rPr>
        <w:t>According to Al Mezan’s monitoring and documentation, f</w:t>
      </w:r>
      <w:r w:rsidRPr="00D70260">
        <w:rPr>
          <w:color w:val="000000" w:themeColor="text1"/>
          <w:sz w:val="24"/>
          <w:szCs w:val="24"/>
          <w:lang w:val="en-US"/>
        </w:rPr>
        <w:t>rom 2014 until time of submission, </w:t>
      </w:r>
      <w:r w:rsidR="00895ED3">
        <w:rPr>
          <w:color w:val="000000" w:themeColor="text1"/>
          <w:sz w:val="24"/>
          <w:szCs w:val="24"/>
          <w:lang w:val="en-US"/>
        </w:rPr>
        <w:t xml:space="preserve">at least </w:t>
      </w:r>
      <w:r w:rsidRPr="00D70260">
        <w:rPr>
          <w:color w:val="000000" w:themeColor="text1"/>
          <w:sz w:val="24"/>
          <w:szCs w:val="24"/>
          <w:lang w:val="en-US"/>
        </w:rPr>
        <w:t xml:space="preserve">94 </w:t>
      </w:r>
      <w:r>
        <w:rPr>
          <w:color w:val="000000" w:themeColor="text1"/>
          <w:sz w:val="24"/>
          <w:szCs w:val="24"/>
          <w:lang w:val="en-US"/>
        </w:rPr>
        <w:t xml:space="preserve">schools </w:t>
      </w:r>
      <w:r w:rsidRPr="00D70260">
        <w:rPr>
          <w:color w:val="000000" w:themeColor="text1"/>
          <w:sz w:val="24"/>
          <w:szCs w:val="24"/>
          <w:lang w:val="en-US"/>
        </w:rPr>
        <w:t xml:space="preserve">were damaged, including UNRWA schools. </w:t>
      </w:r>
    </w:p>
    <w:p w14:paraId="3653ACA6" w14:textId="7D0D4709" w:rsidR="00D70260" w:rsidRPr="00D70260" w:rsidRDefault="00D70260" w:rsidP="001A36FB">
      <w:pPr>
        <w:pStyle w:val="FootnoteText"/>
        <w:numPr>
          <w:ilvl w:val="0"/>
          <w:numId w:val="4"/>
        </w:numPr>
        <w:spacing w:line="240" w:lineRule="auto"/>
        <w:ind w:right="0"/>
        <w:jc w:val="both"/>
        <w:rPr>
          <w:sz w:val="20"/>
          <w:lang w:val="en-US"/>
        </w:rPr>
      </w:pPr>
      <w:r>
        <w:rPr>
          <w:color w:val="000000" w:themeColor="text1"/>
          <w:sz w:val="24"/>
          <w:szCs w:val="24"/>
          <w:lang w:val="en-US"/>
        </w:rPr>
        <w:lastRenderedPageBreak/>
        <w:t xml:space="preserve">In </w:t>
      </w:r>
      <w:r w:rsidRPr="00D70260">
        <w:rPr>
          <w:color w:val="000000" w:themeColor="text1"/>
          <w:sz w:val="24"/>
          <w:szCs w:val="24"/>
          <w:lang w:val="en-US"/>
        </w:rPr>
        <w:t>a serious escalation in attacks on schools, during Israel’s 2014 bombardment on Gaza dubbed ‘Operation Protective Edge’ the Israeli military either partially or fully damaged 66 schools, including UNRWA schools, 52 kindergartens and six colleges and universities</w:t>
      </w:r>
      <w:r w:rsidRPr="0034408F">
        <w:rPr>
          <w:sz w:val="20"/>
        </w:rPr>
        <w:t>.</w:t>
      </w:r>
      <w:r>
        <w:rPr>
          <w:rStyle w:val="FootnoteReference"/>
        </w:rPr>
        <w:footnoteReference w:id="41"/>
      </w:r>
      <w:r w:rsidRPr="0034408F">
        <w:rPr>
          <w:sz w:val="20"/>
        </w:rPr>
        <w:t xml:space="preserve"> </w:t>
      </w:r>
      <w:r w:rsidR="00F10559">
        <w:rPr>
          <w:rStyle w:val="FootnoteReference"/>
        </w:rPr>
        <w:footnoteReference w:id="42"/>
      </w:r>
    </w:p>
    <w:p w14:paraId="268A796A" w14:textId="7FA1ED5A" w:rsidR="00171AB0" w:rsidRPr="005C3297" w:rsidRDefault="00921A5D" w:rsidP="00A826F6">
      <w:pPr>
        <w:pStyle w:val="Heading1"/>
      </w:pPr>
      <w:r w:rsidRPr="005C3297">
        <w:t>Questions</w:t>
      </w:r>
      <w:r w:rsidR="005C3297" w:rsidRPr="005C3297">
        <w:t xml:space="preserve"> </w:t>
      </w:r>
      <w:r w:rsidR="005B52F1" w:rsidRPr="005C3297">
        <w:t>24a</w:t>
      </w:r>
    </w:p>
    <w:p w14:paraId="5A82FAB6" w14:textId="77777777" w:rsidR="00D75B54" w:rsidRDefault="00D75B54" w:rsidP="00C115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p>
    <w:p w14:paraId="29F66282" w14:textId="39DC941D" w:rsidR="00ED488D" w:rsidRDefault="00171AB0" w:rsidP="00ED488D">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 xml:space="preserve">The Israeli closure/blockade regime, which has been imposed on the Gaza Strip for 12 consecutive years, is considered to be a </w:t>
      </w:r>
      <w:r w:rsidR="00ED488D">
        <w:t xml:space="preserve">prohibited </w:t>
      </w:r>
      <w:r>
        <w:t>form of collective punishment,</w:t>
      </w:r>
      <w:r w:rsidR="00ED488D" w:rsidRPr="009351BD">
        <w:rPr>
          <w:rStyle w:val="FootnoteReference"/>
          <w:sz w:val="24"/>
        </w:rPr>
        <w:footnoteReference w:id="43"/>
      </w:r>
      <w:r>
        <w:t xml:space="preserve"> including by former </w:t>
      </w:r>
      <w:r w:rsidRPr="009351BD">
        <w:t>UN Secretary General Ban Ki Moon</w:t>
      </w:r>
      <w:r w:rsidRPr="009351BD">
        <w:rPr>
          <w:rStyle w:val="FootnoteReference"/>
          <w:sz w:val="24"/>
        </w:rPr>
        <w:footnoteReference w:id="44"/>
      </w:r>
      <w:r>
        <w:t xml:space="preserve"> </w:t>
      </w:r>
      <w:r w:rsidR="00ED488D">
        <w:t>and t</w:t>
      </w:r>
      <w:r w:rsidR="00ED488D" w:rsidRPr="009351BD">
        <w:t>he </w:t>
      </w:r>
      <w:hyperlink w:history="1">
        <w:r w:rsidR="00ED488D" w:rsidRPr="009351BD">
          <w:t>International Committee of the Red Cross</w:t>
        </w:r>
      </w:hyperlink>
      <w:r w:rsidR="00ED488D" w:rsidRPr="009351BD">
        <w:t>.</w:t>
      </w:r>
      <w:r w:rsidR="00ED488D" w:rsidRPr="009351BD">
        <w:rPr>
          <w:rStyle w:val="FootnoteReference"/>
          <w:sz w:val="24"/>
        </w:rPr>
        <w:footnoteReference w:id="45"/>
      </w:r>
      <w:r w:rsidR="00ED488D">
        <w:t xml:space="preserve"> </w:t>
      </w:r>
    </w:p>
    <w:p w14:paraId="3F29BD7F" w14:textId="77777777" w:rsidR="00ED488D" w:rsidRDefault="00ED488D" w:rsidP="00ED488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jc w:val="both"/>
      </w:pPr>
    </w:p>
    <w:p w14:paraId="56C630CF" w14:textId="0A7F2FC3" w:rsidR="00ED488D" w:rsidRPr="00ED488D" w:rsidRDefault="00171AB0" w:rsidP="00ED488D">
      <w:pPr>
        <w:pStyle w:val="ListParagraph"/>
        <w:numPr>
          <w:ilvl w:val="0"/>
          <w:numId w:val="4"/>
        </w:numPr>
        <w:jc w:val="both"/>
        <w:rPr>
          <w:color w:val="000000" w:themeColor="text1"/>
        </w:rPr>
      </w:pPr>
      <w:r>
        <w:t xml:space="preserve">The closure/blockade </w:t>
      </w:r>
      <w:r w:rsidR="00FD1D85">
        <w:t xml:space="preserve">restrictions </w:t>
      </w:r>
      <w:r>
        <w:t xml:space="preserve">deeply affect the lives of the two million protected persons in Gaza </w:t>
      </w:r>
      <w:r w:rsidR="00ED488D">
        <w:t xml:space="preserve">and </w:t>
      </w:r>
      <w:r w:rsidR="00ED488D" w:rsidRPr="00384E87">
        <w:rPr>
          <w:color w:val="000000" w:themeColor="text1"/>
        </w:rPr>
        <w:t xml:space="preserve">lies at the root cause of </w:t>
      </w:r>
      <w:r w:rsidR="00120CD3">
        <w:rPr>
          <w:color w:val="000000" w:themeColor="text1"/>
        </w:rPr>
        <w:t>their</w:t>
      </w:r>
      <w:r w:rsidR="00ED488D" w:rsidRPr="00384E87">
        <w:rPr>
          <w:color w:val="000000" w:themeColor="text1"/>
        </w:rPr>
        <w:t xml:space="preserve"> inability to freely pursue their economic, social and cultural rights</w:t>
      </w:r>
      <w:r w:rsidR="00ED488D">
        <w:rPr>
          <w:color w:val="000000" w:themeColor="text1"/>
        </w:rPr>
        <w:t>.</w:t>
      </w:r>
      <w:r w:rsidR="00ED488D" w:rsidRPr="00384E87">
        <w:rPr>
          <w:color w:val="000000" w:themeColor="text1"/>
        </w:rPr>
        <w:t xml:space="preserve"> The closure</w:t>
      </w:r>
      <w:r w:rsidR="00ED488D">
        <w:rPr>
          <w:color w:val="000000" w:themeColor="text1"/>
        </w:rPr>
        <w:t>/</w:t>
      </w:r>
      <w:r w:rsidR="00ED488D" w:rsidRPr="00384E87">
        <w:rPr>
          <w:color w:val="000000" w:themeColor="text1"/>
        </w:rPr>
        <w:t>blockade policy forms part of the Israeli government’s occupation of Palestinian territory and campaign to fragment, isolate, annex land and deny Palestinians their right to self-determination by preventing the creation of a viable Palestinian state. The policy is not a security measure, but rather a political measure to serve Israeli strategic aims.</w:t>
      </w:r>
      <w:r w:rsidR="00ED488D">
        <w:rPr>
          <w:color w:val="000000" w:themeColor="text1"/>
        </w:rPr>
        <w:t xml:space="preserve"> </w:t>
      </w:r>
    </w:p>
    <w:p w14:paraId="7D138CEB" w14:textId="77777777" w:rsidR="00ED488D" w:rsidRDefault="00ED488D" w:rsidP="00ED488D">
      <w:pPr>
        <w:pStyle w:val="ListParagraph"/>
        <w:ind w:left="360"/>
        <w:jc w:val="both"/>
      </w:pPr>
    </w:p>
    <w:p w14:paraId="258FC371" w14:textId="7DE6324C" w:rsidR="00BB3D58" w:rsidRDefault="00ED488D" w:rsidP="00BB3D58">
      <w:pPr>
        <w:pStyle w:val="ListParagraph"/>
        <w:numPr>
          <w:ilvl w:val="0"/>
          <w:numId w:val="4"/>
        </w:numPr>
        <w:jc w:val="both"/>
      </w:pPr>
      <w:r>
        <w:t xml:space="preserve">The closure/blockade </w:t>
      </w:r>
      <w:r w:rsidR="00171AB0">
        <w:t xml:space="preserve">impedes </w:t>
      </w:r>
      <w:r>
        <w:t>residents’</w:t>
      </w:r>
      <w:r w:rsidR="00171AB0">
        <w:t xml:space="preserve"> ability to access safe drinking water</w:t>
      </w:r>
      <w:r w:rsidR="00AA31CD">
        <w:t xml:space="preserve">, with </w:t>
      </w:r>
      <w:r w:rsidR="0060462C">
        <w:t xml:space="preserve">95% </w:t>
      </w:r>
      <w:r w:rsidR="00AA31CD">
        <w:t>of residents not</w:t>
      </w:r>
      <w:r w:rsidR="0060462C">
        <w:t xml:space="preserve"> having access to clean water</w:t>
      </w:r>
      <w:r w:rsidR="00A826F6">
        <w:t>, as of early 2018</w:t>
      </w:r>
      <w:r w:rsidR="00AA31CD">
        <w:t>.</w:t>
      </w:r>
      <w:r w:rsidR="0060462C">
        <w:rPr>
          <w:rStyle w:val="FootnoteReference"/>
        </w:rPr>
        <w:footnoteReference w:id="46"/>
      </w:r>
      <w:r w:rsidR="00AA31CD">
        <w:t xml:space="preserve"> </w:t>
      </w:r>
      <w:r w:rsidR="00E71561" w:rsidRPr="00E71561">
        <w:t xml:space="preserve">According to the Palestinian Water Authority, </w:t>
      </w:r>
      <w:r w:rsidR="00BB3D58">
        <w:t xml:space="preserve">in 2017 </w:t>
      </w:r>
      <w:r w:rsidR="00E71561" w:rsidRPr="00E71561">
        <w:t xml:space="preserve">only 3.9% </w:t>
      </w:r>
      <w:r w:rsidR="00BB3D58">
        <w:t xml:space="preserve">of Gaza’s wells </w:t>
      </w:r>
      <w:r w:rsidR="00E71561" w:rsidRPr="00E71561">
        <w:t xml:space="preserve">(11 of 282) </w:t>
      </w:r>
      <w:r w:rsidR="00BB3D58">
        <w:t>met the standards of the World Health Organization, while the others are qualified as polluted. At the same time, 96.1% of the water pumped from the coastal aquifer also did not meet the water quality standards of the World Health Organization.</w:t>
      </w:r>
      <w:r w:rsidR="00BB3D58">
        <w:rPr>
          <w:rStyle w:val="FootnoteReference"/>
        </w:rPr>
        <w:footnoteReference w:id="47"/>
      </w:r>
      <w:r w:rsidR="00A826F6">
        <w:t xml:space="preserve"> Without massive remedial actions taken, including lifting the closure/blockade, these figures will have only worsened. </w:t>
      </w:r>
    </w:p>
    <w:p w14:paraId="70FA3D6C" w14:textId="77777777" w:rsidR="00BB3D58" w:rsidRDefault="00BB3D58" w:rsidP="00BB3D58">
      <w:pPr>
        <w:jc w:val="both"/>
      </w:pPr>
    </w:p>
    <w:p w14:paraId="551D47BE" w14:textId="55B41B8D" w:rsidR="00AA31CD" w:rsidRDefault="00AA31CD" w:rsidP="00AA31CD">
      <w:pPr>
        <w:pStyle w:val="ListParagraph"/>
        <w:numPr>
          <w:ilvl w:val="0"/>
          <w:numId w:val="4"/>
        </w:numPr>
        <w:jc w:val="both"/>
      </w:pPr>
      <w:r>
        <w:t xml:space="preserve">In his report on natural resources, UN Special Rapporteur </w:t>
      </w:r>
      <w:proofErr w:type="spellStart"/>
      <w:r>
        <w:t>Lynk</w:t>
      </w:r>
      <w:proofErr w:type="spellEnd"/>
      <w:r>
        <w:t xml:space="preserve"> said, “[t]</w:t>
      </w:r>
      <w:r w:rsidRPr="00106D44">
        <w:t>he collapse of natural sources of drinking water in Gaza </w:t>
      </w:r>
      <w:r>
        <w:t xml:space="preserve">[…] </w:t>
      </w:r>
      <w:r w:rsidRPr="00106D44">
        <w:t>has become a potent symbol of th</w:t>
      </w:r>
      <w:bookmarkStart w:id="0" w:name="_GoBack"/>
      <w:bookmarkEnd w:id="0"/>
      <w:r w:rsidRPr="00106D44">
        <w:t>e systematic violation of human rights in the Occupied Palestinian Territory</w:t>
      </w:r>
      <w:r>
        <w:t>.</w:t>
      </w:r>
      <w:r w:rsidRPr="00106D44">
        <w:t>”</w:t>
      </w:r>
      <w:r>
        <w:rPr>
          <w:rStyle w:val="FootnoteReference"/>
        </w:rPr>
        <w:footnoteReference w:id="48"/>
      </w:r>
      <w:r w:rsidRPr="0072331F">
        <w:rPr>
          <w:rStyle w:val="FootnoteReference"/>
          <w:sz w:val="24"/>
        </w:rPr>
        <w:t xml:space="preserve"> </w:t>
      </w:r>
      <w:r>
        <w:t>The report, which</w:t>
      </w:r>
      <w:r w:rsidRPr="00106D44">
        <w:t xml:space="preserve"> focus</w:t>
      </w:r>
      <w:r>
        <w:t>es</w:t>
      </w:r>
      <w:r w:rsidRPr="00106D44">
        <w:t xml:space="preserve"> on the impact of the occupation on the environment and natural resources, </w:t>
      </w:r>
      <w:r>
        <w:t>states of water, that:</w:t>
      </w:r>
      <w:r w:rsidRPr="00D969CA">
        <w:rPr>
          <w:rStyle w:val="FootnoteReference"/>
          <w:sz w:val="24"/>
        </w:rPr>
        <w:footnoteReference w:id="49"/>
      </w:r>
      <w:r>
        <w:t xml:space="preserve"> </w:t>
      </w:r>
      <w:r w:rsidRPr="00106D44">
        <w:t xml:space="preserve"> </w:t>
      </w:r>
    </w:p>
    <w:p w14:paraId="5390D1E4" w14:textId="77777777" w:rsidR="00AA31CD" w:rsidRDefault="00AA31CD" w:rsidP="00AA31CD">
      <w:pPr>
        <w:pStyle w:val="ListParagraph"/>
      </w:pPr>
    </w:p>
    <w:p w14:paraId="32326D1D" w14:textId="1D280EA1" w:rsidR="00AA31CD" w:rsidRDefault="00AA31CD" w:rsidP="00AA31CD">
      <w:pPr>
        <w:pStyle w:val="SingleTxtG"/>
        <w:tabs>
          <w:tab w:val="left" w:pos="1701"/>
        </w:tabs>
        <w:kinsoku w:val="0"/>
        <w:overflowPunct w:val="0"/>
        <w:autoSpaceDE w:val="0"/>
        <w:autoSpaceDN w:val="0"/>
        <w:adjustRightInd w:val="0"/>
        <w:snapToGrid w:val="0"/>
        <w:spacing w:after="0" w:line="240" w:lineRule="auto"/>
        <w:ind w:left="720" w:right="720"/>
        <w:rPr>
          <w:sz w:val="22"/>
          <w:szCs w:val="22"/>
          <w:lang w:val="en-US"/>
        </w:rPr>
      </w:pPr>
      <w:r w:rsidRPr="00AA31CD">
        <w:rPr>
          <w:sz w:val="22"/>
          <w:szCs w:val="22"/>
          <w:lang w:val="en-US"/>
        </w:rPr>
        <w:t>Gaza’s water situation is a crisis verging on a humanitarian catastrophe. The United Nations estimated in 2017 that more than 96% of the Coastal Aquifer groundwater – Gaza’s sole source of natural water – had become unfit for human consumption, and the Aquifer would be irreversibly damaged as a drinking source by 2020 without a radical intervention.</w:t>
      </w:r>
      <w:r w:rsidRPr="00AA31CD">
        <w:rPr>
          <w:rStyle w:val="FootnoteReference"/>
          <w:sz w:val="22"/>
          <w:szCs w:val="22"/>
          <w:lang w:val="en-US"/>
        </w:rPr>
        <w:footnoteReference w:id="50"/>
      </w:r>
      <w:r w:rsidRPr="00AA31CD">
        <w:rPr>
          <w:sz w:val="22"/>
          <w:szCs w:val="22"/>
          <w:lang w:val="en-US"/>
        </w:rPr>
        <w:t xml:space="preserve"> Gaza has been brought to the brink by multiple factors, including: its increasing population; the resulting over-extraction of the source aquifer; the substantial contamination of the Aquifer by sewage and seawater; a feeble and steeply shrinking economy coupled with extreme poverty; the repeated destruction afflicted on its water, sanitation and energy supply systems by Israel through its various military campaigns since 2006; Israel’s suffocating blockade, including the restrictions it imposes on the import of dual-use items (including water pumps, spare parts, pipes and purification chemicals); and a serious intra-Palestinian political split; declining funding from international donors.</w:t>
      </w:r>
      <w:r w:rsidRPr="00AA31CD">
        <w:rPr>
          <w:rStyle w:val="FootnoteReference"/>
          <w:sz w:val="22"/>
          <w:szCs w:val="22"/>
          <w:lang w:val="en-US"/>
        </w:rPr>
        <w:footnoteReference w:id="51"/>
      </w:r>
      <w:r w:rsidRPr="00AA31CD">
        <w:rPr>
          <w:sz w:val="22"/>
          <w:szCs w:val="22"/>
          <w:lang w:val="en-US"/>
        </w:rPr>
        <w:t xml:space="preserve"> About 86% of  Gaza’s water supplies are pumped from the Aquifer. In 2000, the public water network provided over 98% of Gazans with safe drinking water; by 2014, that figure had plunged to 10.5%. Most Gazans – over 60% of whom are food insecure, and more than 55% of whom are unemployed – now rely on low and medium quality trucked water that is 10-30 times more expensive. While the average cost in the West is 0.7% of monthly wages, a third of the monthly wages of Gazans goes towards the purchase of water, for those who can afford it. Given the high levels of poverty, many residents of Gaza must rely on tainted water from the public taps that are operational only a few times a week.</w:t>
      </w:r>
      <w:r w:rsidRPr="00AA31CD">
        <w:rPr>
          <w:rStyle w:val="FootnoteReference"/>
          <w:sz w:val="22"/>
          <w:szCs w:val="22"/>
          <w:lang w:val="en-US"/>
        </w:rPr>
        <w:footnoteReference w:id="52"/>
      </w:r>
      <w:r w:rsidRPr="00AA31CD">
        <w:rPr>
          <w:sz w:val="22"/>
          <w:szCs w:val="22"/>
          <w:lang w:val="en-US"/>
        </w:rPr>
        <w:t xml:space="preserve"> </w:t>
      </w:r>
    </w:p>
    <w:p w14:paraId="24C5FFB2" w14:textId="041948EC" w:rsidR="002133E8" w:rsidRDefault="002133E8" w:rsidP="005C3297">
      <w:pPr>
        <w:pStyle w:val="SingleTxtG"/>
        <w:tabs>
          <w:tab w:val="left" w:pos="1701"/>
        </w:tabs>
        <w:kinsoku w:val="0"/>
        <w:overflowPunct w:val="0"/>
        <w:autoSpaceDE w:val="0"/>
        <w:autoSpaceDN w:val="0"/>
        <w:adjustRightInd w:val="0"/>
        <w:snapToGrid w:val="0"/>
        <w:spacing w:after="0" w:line="240" w:lineRule="auto"/>
        <w:ind w:left="0" w:right="720"/>
        <w:rPr>
          <w:sz w:val="22"/>
          <w:szCs w:val="22"/>
          <w:lang w:val="en-US"/>
        </w:rPr>
      </w:pPr>
    </w:p>
    <w:p w14:paraId="6A49644F" w14:textId="6E795307" w:rsidR="008653C2" w:rsidRDefault="008653C2" w:rsidP="00AA39AD">
      <w:pPr>
        <w:pStyle w:val="ListParagraph"/>
        <w:numPr>
          <w:ilvl w:val="0"/>
          <w:numId w:val="4"/>
        </w:numPr>
        <w:jc w:val="both"/>
      </w:pPr>
      <w:r>
        <w:t>The population in Gaza endures routine power outages,</w:t>
      </w:r>
      <w:r>
        <w:rPr>
          <w:rStyle w:val="FootnoteReference"/>
        </w:rPr>
        <w:footnoteReference w:id="53"/>
      </w:r>
      <w:r>
        <w:t xml:space="preserve"> which serve to </w:t>
      </w:r>
      <w:r w:rsidR="005C3297" w:rsidRPr="005C3297">
        <w:t>exacerbate the effects of the water and sanitation crisis in Gaza. The lack of potable water, reduced ability to filter water, and water pollution-spread diseases, worsen existing illnesses, and prevent effective address of medical conditions. Of particular concern is the lack of equipment and resources to properly treat sewage, wastewater and solid waste. The result is increased air and sea pollution that puts Gaza’s population of two million at risk of water</w:t>
      </w:r>
      <w:r w:rsidR="00AA39AD">
        <w:t xml:space="preserve"> </w:t>
      </w:r>
      <w:r w:rsidR="005C3297" w:rsidRPr="005C3297">
        <w:t xml:space="preserve">and air-borne disease, and further weighs down the collapsing health sector. </w:t>
      </w:r>
    </w:p>
    <w:p w14:paraId="3F731D91" w14:textId="06C15B17" w:rsidR="00AA39AD" w:rsidRDefault="00AA39AD" w:rsidP="00AA39AD">
      <w:pPr>
        <w:pStyle w:val="ListParagraph"/>
        <w:ind w:left="360"/>
        <w:jc w:val="both"/>
      </w:pPr>
    </w:p>
    <w:p w14:paraId="4C512434" w14:textId="6C6A056C" w:rsidR="00AA39AD" w:rsidRPr="00AA39AD" w:rsidRDefault="00AA39AD" w:rsidP="00AA39AD">
      <w:pPr>
        <w:pStyle w:val="ListParagraph"/>
        <w:numPr>
          <w:ilvl w:val="0"/>
          <w:numId w:val="4"/>
        </w:numPr>
        <w:jc w:val="both"/>
      </w:pPr>
      <w:r>
        <w:t xml:space="preserve">Gaza’s lack of sanitation services lead to an increased amount of </w:t>
      </w:r>
      <w:r w:rsidRPr="00AA39AD">
        <w:t>untreated waste</w:t>
      </w:r>
      <w:r>
        <w:t xml:space="preserve">, thereby heightening the risk of the spread of waterborne diseases. See </w:t>
      </w:r>
      <w:r w:rsidRPr="00AA39AD">
        <w:t xml:space="preserve">Special Rapporteur </w:t>
      </w:r>
      <w:proofErr w:type="spellStart"/>
      <w:r w:rsidRPr="00AA39AD">
        <w:t>Lynk’s</w:t>
      </w:r>
      <w:proofErr w:type="spellEnd"/>
      <w:r w:rsidRPr="00AA39AD">
        <w:t xml:space="preserve"> report</w:t>
      </w:r>
      <w:r>
        <w:t>:</w:t>
      </w:r>
      <w:r w:rsidR="002B3B42" w:rsidRPr="00D969CA">
        <w:rPr>
          <w:rStyle w:val="FootnoteReference"/>
          <w:sz w:val="24"/>
        </w:rPr>
        <w:footnoteReference w:id="54"/>
      </w:r>
      <w:r w:rsidR="002B3B42">
        <w:t xml:space="preserve"> </w:t>
      </w:r>
      <w:r w:rsidR="002B3B42" w:rsidRPr="00106D44">
        <w:t xml:space="preserve"> </w:t>
      </w:r>
      <w:r>
        <w:t xml:space="preserve"> </w:t>
      </w:r>
    </w:p>
    <w:p w14:paraId="1DA9F22F" w14:textId="77777777" w:rsidR="005C3297" w:rsidRPr="00AA39AD" w:rsidRDefault="005C3297" w:rsidP="005C3297">
      <w:pPr>
        <w:pStyle w:val="SingleTxtG"/>
        <w:tabs>
          <w:tab w:val="left" w:pos="1701"/>
        </w:tabs>
        <w:kinsoku w:val="0"/>
        <w:overflowPunct w:val="0"/>
        <w:autoSpaceDE w:val="0"/>
        <w:autoSpaceDN w:val="0"/>
        <w:adjustRightInd w:val="0"/>
        <w:snapToGrid w:val="0"/>
        <w:spacing w:after="0" w:line="240" w:lineRule="auto"/>
        <w:ind w:left="0" w:right="720"/>
        <w:rPr>
          <w:sz w:val="22"/>
          <w:szCs w:val="22"/>
          <w:lang w:val="en-US"/>
        </w:rPr>
      </w:pPr>
    </w:p>
    <w:p w14:paraId="5F563264" w14:textId="532B36F2" w:rsidR="00AA31CD" w:rsidRPr="0061214A" w:rsidRDefault="002133E8" w:rsidP="0061214A">
      <w:pPr>
        <w:pStyle w:val="SingleTxtG"/>
        <w:tabs>
          <w:tab w:val="left" w:pos="1701"/>
        </w:tabs>
        <w:kinsoku w:val="0"/>
        <w:overflowPunct w:val="0"/>
        <w:autoSpaceDE w:val="0"/>
        <w:autoSpaceDN w:val="0"/>
        <w:adjustRightInd w:val="0"/>
        <w:snapToGrid w:val="0"/>
        <w:spacing w:after="0" w:line="240" w:lineRule="auto"/>
        <w:ind w:left="720" w:right="720"/>
        <w:rPr>
          <w:sz w:val="22"/>
          <w:szCs w:val="22"/>
          <w:lang w:val="en-US"/>
        </w:rPr>
      </w:pPr>
      <w:r w:rsidRPr="002133E8">
        <w:rPr>
          <w:sz w:val="22"/>
          <w:szCs w:val="22"/>
          <w:lang w:val="en-US"/>
        </w:rPr>
        <w:t xml:space="preserve">Gaza’s water crisis is creating a serious public health danger for its inhabitants. The lack of a secure power supply – because of a war-damaged power-plant, a chronic lack of fuel to operate what remains of the plant, and insecure external sources – has meant that Gaza’s </w:t>
      </w:r>
      <w:r w:rsidRPr="002133E8">
        <w:rPr>
          <w:sz w:val="22"/>
          <w:szCs w:val="22"/>
          <w:lang w:val="en-US"/>
        </w:rPr>
        <w:lastRenderedPageBreak/>
        <w:t>waste treatment system functions poorly, when it functions at all. This results in the discharge of 110,000 cubic meters of partially or entirely untreated waste daily into the Mediterranean Sea. More raw sewage is collected in unstable lagoons and waste pools, which often leeches into the subsoil and the Aquifer. All of this has resulted in very high levels of nitrates, chemicals and chlorine in Gaza’s waters, which contributes to the threat of waterborne diseases. According to a 2018 Rand Corporation report, more than a quarter of all reported diseases in Gaza are the result of poor water quality and remote water supply access. It also noted that water-related diseases are the primary cause of child morbidity.</w:t>
      </w:r>
      <w:r w:rsidRPr="002133E8">
        <w:rPr>
          <w:rStyle w:val="FootnoteReference"/>
          <w:sz w:val="22"/>
          <w:szCs w:val="22"/>
          <w:lang w:val="en-US"/>
        </w:rPr>
        <w:footnoteReference w:id="55"/>
      </w:r>
      <w:r w:rsidRPr="002133E8">
        <w:rPr>
          <w:sz w:val="22"/>
          <w:szCs w:val="22"/>
          <w:lang w:val="en-US"/>
        </w:rPr>
        <w:t xml:space="preserve"> A 2011 UNICEF study cited by Rand found that 12% of deaths among young children and infants in Gaza were caused by diarrhea, an entirely preventable illness.</w:t>
      </w:r>
      <w:r w:rsidRPr="002133E8">
        <w:rPr>
          <w:rStyle w:val="FootnoteReference"/>
          <w:sz w:val="22"/>
          <w:szCs w:val="22"/>
          <w:lang w:val="en-US"/>
        </w:rPr>
        <w:footnoteReference w:id="56"/>
      </w:r>
      <w:r w:rsidRPr="002133E8">
        <w:rPr>
          <w:sz w:val="22"/>
          <w:szCs w:val="22"/>
          <w:lang w:val="en-US"/>
        </w:rPr>
        <w:t xml:space="preserve"> At hospitals in Gaza, the lack of safe water has meant serious problems for the sterilization of equipment and the hands of health workers, elevating the risk of infections.</w:t>
      </w:r>
      <w:r w:rsidRPr="002133E8">
        <w:rPr>
          <w:rStyle w:val="FootnoteReference"/>
          <w:sz w:val="22"/>
          <w:szCs w:val="22"/>
          <w:lang w:val="en-US"/>
        </w:rPr>
        <w:footnoteReference w:id="57"/>
      </w:r>
      <w:r w:rsidRPr="002133E8">
        <w:rPr>
          <w:sz w:val="22"/>
          <w:szCs w:val="22"/>
          <w:lang w:val="en-US"/>
        </w:rPr>
        <w:t xml:space="preserve"> The Rand report raised the epidemiological fear that, with the growing water emergency and the recent loss of international funding for immunization programs, it will only be a matter of time before a serious epidemic occurs.  </w:t>
      </w:r>
    </w:p>
    <w:p w14:paraId="6383E77F" w14:textId="28EBDE25" w:rsidR="002133E8" w:rsidRPr="002133E8" w:rsidRDefault="002133E8" w:rsidP="00A826F6">
      <w:pPr>
        <w:pStyle w:val="Heading1"/>
      </w:pPr>
      <w:r w:rsidRPr="002133E8">
        <w:t>Question 29</w:t>
      </w:r>
    </w:p>
    <w:p w14:paraId="4600A467" w14:textId="77777777" w:rsidR="00AA39AD" w:rsidRDefault="00AA39AD" w:rsidP="00AA39AD"/>
    <w:p w14:paraId="4D34D139" w14:textId="3F559379" w:rsidR="002133E8" w:rsidRDefault="00AA39AD" w:rsidP="002B3B42">
      <w:pPr>
        <w:pStyle w:val="ListParagraph"/>
        <w:numPr>
          <w:ilvl w:val="0"/>
          <w:numId w:val="4"/>
        </w:numPr>
        <w:jc w:val="both"/>
      </w:pPr>
      <w:r>
        <w:t xml:space="preserve">The closure/blockade policy has </w:t>
      </w:r>
      <w:r w:rsidR="00A826F6">
        <w:t>simultaneously</w:t>
      </w:r>
      <w:r>
        <w:t xml:space="preserve"> strained the ability of Palestinian authorities to respond to the increasing health needs of Gaza’s residents. When access to specialist and/or lifesaving medical care is unavailable inside Gaza, doctors must refer their patients to hospitals in the West Bank and Israel, or elsewhere abroad</w:t>
      </w:r>
      <w:r w:rsidR="002B3B42">
        <w:t>. However, t</w:t>
      </w:r>
      <w:r w:rsidR="002133E8" w:rsidRPr="0011147F">
        <w:t xml:space="preserve">he movement restrictions forming the basis of the closure/blockade regime ban all of Gaza’s residents from leaving, except </w:t>
      </w:r>
      <w:r w:rsidR="002133E8">
        <w:t>for</w:t>
      </w:r>
      <w:r w:rsidR="002133E8" w:rsidRPr="0011147F">
        <w:t xml:space="preserve"> patients </w:t>
      </w:r>
      <w:r w:rsidR="002133E8">
        <w:t>that meet</w:t>
      </w:r>
      <w:r w:rsidR="002133E8" w:rsidRPr="0011147F">
        <w:t xml:space="preserve"> the exceptional </w:t>
      </w:r>
      <w:r w:rsidR="002B3B42">
        <w:t>‘</w:t>
      </w:r>
      <w:r w:rsidR="002133E8" w:rsidRPr="0011147F">
        <w:t>humanitarian criteria</w:t>
      </w:r>
      <w:r w:rsidR="002B3B42">
        <w:t>’</w:t>
      </w:r>
      <w:r w:rsidR="002133E8">
        <w:t xml:space="preserve"> put in place by the Israeli authorities</w:t>
      </w:r>
      <w:r w:rsidR="002133E8" w:rsidRPr="0011147F">
        <w:t xml:space="preserve">. </w:t>
      </w:r>
      <w:r w:rsidR="002133E8">
        <w:t xml:space="preserve">Patients </w:t>
      </w:r>
      <w:r w:rsidR="002B3B42">
        <w:t>needing lifesaving</w:t>
      </w:r>
      <w:r w:rsidR="00A826F6">
        <w:t xml:space="preserve"> care</w:t>
      </w:r>
      <w:r w:rsidR="002B3B42">
        <w:t xml:space="preserve"> can apply through an onerous, opaque and complex process for a permit on ‘humanitarian’ grounds. Many are rejected or do not receive a response to their application</w:t>
      </w:r>
      <w:r w:rsidR="00A826F6">
        <w:t>s</w:t>
      </w:r>
      <w:r w:rsidR="002B3B42">
        <w:t>.</w:t>
      </w:r>
      <w:r w:rsidR="002B3B42">
        <w:rPr>
          <w:rStyle w:val="FootnoteReference"/>
        </w:rPr>
        <w:footnoteReference w:id="58"/>
      </w:r>
      <w:r w:rsidR="002B3B42">
        <w:t xml:space="preserve"> </w:t>
      </w:r>
    </w:p>
    <w:p w14:paraId="7E4B4BD9" w14:textId="77777777" w:rsidR="002133E8" w:rsidRDefault="002133E8" w:rsidP="002133E8">
      <w:pPr>
        <w:pStyle w:val="SingleTxtG"/>
        <w:tabs>
          <w:tab w:val="left" w:pos="1701"/>
        </w:tabs>
        <w:kinsoku w:val="0"/>
        <w:overflowPunct w:val="0"/>
        <w:autoSpaceDE w:val="0"/>
        <w:autoSpaceDN w:val="0"/>
        <w:adjustRightInd w:val="0"/>
        <w:snapToGrid w:val="0"/>
        <w:spacing w:after="0" w:line="240" w:lineRule="auto"/>
        <w:ind w:left="360" w:right="0"/>
        <w:rPr>
          <w:sz w:val="24"/>
          <w:szCs w:val="24"/>
          <w:lang w:val="en-US"/>
        </w:rPr>
      </w:pPr>
    </w:p>
    <w:p w14:paraId="29A9C35D" w14:textId="2426FF3C" w:rsidR="002133E8" w:rsidRDefault="002133E8" w:rsidP="002133E8">
      <w:pPr>
        <w:pStyle w:val="SingleTxtG"/>
        <w:numPr>
          <w:ilvl w:val="0"/>
          <w:numId w:val="4"/>
        </w:numPr>
        <w:tabs>
          <w:tab w:val="left" w:pos="1701"/>
        </w:tabs>
        <w:kinsoku w:val="0"/>
        <w:overflowPunct w:val="0"/>
        <w:autoSpaceDE w:val="0"/>
        <w:autoSpaceDN w:val="0"/>
        <w:adjustRightInd w:val="0"/>
        <w:snapToGrid w:val="0"/>
        <w:spacing w:after="0" w:line="240" w:lineRule="auto"/>
        <w:ind w:right="0"/>
        <w:rPr>
          <w:sz w:val="24"/>
          <w:szCs w:val="24"/>
          <w:lang w:val="en-US"/>
        </w:rPr>
      </w:pPr>
      <w:r w:rsidRPr="0011147F">
        <w:rPr>
          <w:sz w:val="24"/>
          <w:szCs w:val="24"/>
          <w:lang w:val="en-US"/>
        </w:rPr>
        <w:t xml:space="preserve">According to the Palestinian General Authority of Civil Affairs, Israeli authorities </w:t>
      </w:r>
      <w:r>
        <w:rPr>
          <w:sz w:val="24"/>
          <w:szCs w:val="24"/>
          <w:lang w:val="en-US"/>
        </w:rPr>
        <w:t>rejected</w:t>
      </w:r>
      <w:r w:rsidRPr="0011147F">
        <w:rPr>
          <w:sz w:val="24"/>
          <w:szCs w:val="24"/>
          <w:lang w:val="en-US"/>
        </w:rPr>
        <w:t xml:space="preserve"> 937 patient requests </w:t>
      </w:r>
      <w:r>
        <w:rPr>
          <w:sz w:val="24"/>
          <w:szCs w:val="24"/>
          <w:lang w:val="en-US"/>
        </w:rPr>
        <w:t xml:space="preserve">to travel for medical care </w:t>
      </w:r>
      <w:r w:rsidRPr="0011147F">
        <w:rPr>
          <w:sz w:val="24"/>
          <w:szCs w:val="24"/>
          <w:lang w:val="en-US"/>
        </w:rPr>
        <w:t xml:space="preserve">in the first half of 2019, delayed 3,230 </w:t>
      </w:r>
      <w:r>
        <w:rPr>
          <w:sz w:val="24"/>
          <w:szCs w:val="24"/>
          <w:lang w:val="en-US"/>
        </w:rPr>
        <w:t xml:space="preserve">requests </w:t>
      </w:r>
      <w:r w:rsidRPr="0011147F">
        <w:rPr>
          <w:sz w:val="24"/>
          <w:szCs w:val="24"/>
          <w:lang w:val="en-US"/>
        </w:rPr>
        <w:t>and approved 8,190</w:t>
      </w:r>
      <w:r>
        <w:rPr>
          <w:sz w:val="24"/>
          <w:szCs w:val="24"/>
          <w:lang w:val="en-US"/>
        </w:rPr>
        <w:t xml:space="preserve"> requests in the same period</w:t>
      </w:r>
      <w:r w:rsidRPr="0011147F">
        <w:rPr>
          <w:sz w:val="24"/>
          <w:szCs w:val="24"/>
          <w:lang w:val="en-US"/>
        </w:rPr>
        <w:t>.</w:t>
      </w:r>
      <w:r>
        <w:rPr>
          <w:rStyle w:val="FootnoteReference"/>
          <w:szCs w:val="24"/>
          <w:lang w:val="en-US"/>
        </w:rPr>
        <w:footnoteReference w:id="59"/>
      </w:r>
      <w:r w:rsidR="00A826F6">
        <w:rPr>
          <w:sz w:val="24"/>
          <w:szCs w:val="24"/>
          <w:lang w:val="en-US"/>
        </w:rPr>
        <w:t xml:space="preserve"> Without a timely response, </w:t>
      </w:r>
      <w:r w:rsidR="001D64E3">
        <w:rPr>
          <w:sz w:val="24"/>
          <w:szCs w:val="24"/>
          <w:lang w:val="en-US"/>
        </w:rPr>
        <w:t xml:space="preserve">the patient is unable to attend their medical appointment and therefore the result has the same impact as a rejected application.  </w:t>
      </w:r>
    </w:p>
    <w:p w14:paraId="70B88041" w14:textId="77777777" w:rsidR="002133E8" w:rsidRDefault="002133E8" w:rsidP="002133E8">
      <w:pPr>
        <w:pStyle w:val="SingleTxtG"/>
        <w:tabs>
          <w:tab w:val="left" w:pos="1701"/>
        </w:tabs>
        <w:kinsoku w:val="0"/>
        <w:overflowPunct w:val="0"/>
        <w:autoSpaceDE w:val="0"/>
        <w:autoSpaceDN w:val="0"/>
        <w:adjustRightInd w:val="0"/>
        <w:snapToGrid w:val="0"/>
        <w:spacing w:after="0" w:line="240" w:lineRule="auto"/>
        <w:ind w:left="360" w:right="720"/>
        <w:rPr>
          <w:sz w:val="24"/>
          <w:szCs w:val="24"/>
          <w:lang w:val="en-US"/>
        </w:rPr>
      </w:pPr>
    </w:p>
    <w:p w14:paraId="0686B708" w14:textId="0BAD17D6" w:rsidR="002133E8" w:rsidRPr="0061214A" w:rsidRDefault="002133E8" w:rsidP="0061214A">
      <w:pPr>
        <w:pStyle w:val="SingleTxtG"/>
        <w:numPr>
          <w:ilvl w:val="0"/>
          <w:numId w:val="4"/>
        </w:numPr>
        <w:tabs>
          <w:tab w:val="left" w:pos="1701"/>
        </w:tabs>
        <w:kinsoku w:val="0"/>
        <w:overflowPunct w:val="0"/>
        <w:autoSpaceDE w:val="0"/>
        <w:autoSpaceDN w:val="0"/>
        <w:adjustRightInd w:val="0"/>
        <w:snapToGrid w:val="0"/>
        <w:spacing w:after="0" w:line="240" w:lineRule="auto"/>
        <w:ind w:right="0"/>
        <w:rPr>
          <w:sz w:val="24"/>
          <w:szCs w:val="24"/>
          <w:lang w:val="en-US"/>
        </w:rPr>
      </w:pPr>
      <w:r w:rsidRPr="0011147F">
        <w:rPr>
          <w:sz w:val="24"/>
          <w:szCs w:val="24"/>
          <w:lang w:val="en-US"/>
        </w:rPr>
        <w:t xml:space="preserve">Al Mezan </w:t>
      </w:r>
      <w:r>
        <w:rPr>
          <w:sz w:val="24"/>
          <w:szCs w:val="24"/>
          <w:lang w:val="en-US"/>
        </w:rPr>
        <w:t>intervened on behalf patients</w:t>
      </w:r>
      <w:r w:rsidR="002B3B42">
        <w:rPr>
          <w:sz w:val="24"/>
          <w:szCs w:val="24"/>
          <w:lang w:val="en-US"/>
        </w:rPr>
        <w:t xml:space="preserve"> who had either been rejected through the permit process, or more commonly, had not received a response in time to attend their medical appointments outside Gaza. Al Mezan received </w:t>
      </w:r>
      <w:r w:rsidRPr="0011147F">
        <w:rPr>
          <w:sz w:val="24"/>
          <w:szCs w:val="24"/>
          <w:lang w:val="en-US"/>
        </w:rPr>
        <w:t>575 complaints from patients in 2018</w:t>
      </w:r>
      <w:r>
        <w:rPr>
          <w:sz w:val="24"/>
          <w:szCs w:val="24"/>
          <w:lang w:val="en-US"/>
        </w:rPr>
        <w:t>:</w:t>
      </w:r>
      <w:r w:rsidRPr="0011147F">
        <w:rPr>
          <w:sz w:val="24"/>
          <w:szCs w:val="24"/>
          <w:lang w:val="en-US"/>
        </w:rPr>
        <w:t xml:space="preserve"> 241 of </w:t>
      </w:r>
      <w:r>
        <w:rPr>
          <w:sz w:val="24"/>
          <w:szCs w:val="24"/>
          <w:lang w:val="en-US"/>
        </w:rPr>
        <w:t>the complaints</w:t>
      </w:r>
      <w:r w:rsidRPr="0011147F">
        <w:rPr>
          <w:sz w:val="24"/>
          <w:szCs w:val="24"/>
          <w:lang w:val="en-US"/>
        </w:rPr>
        <w:t xml:space="preserve"> were successful</w:t>
      </w:r>
      <w:r>
        <w:rPr>
          <w:sz w:val="24"/>
          <w:szCs w:val="24"/>
          <w:lang w:val="en-US"/>
        </w:rPr>
        <w:t>, meaning the patient was able to secure an exit permit from Gaza for medical care</w:t>
      </w:r>
      <w:r w:rsidRPr="0011147F">
        <w:rPr>
          <w:sz w:val="24"/>
          <w:szCs w:val="24"/>
          <w:lang w:val="en-US"/>
        </w:rPr>
        <w:t xml:space="preserve">. </w:t>
      </w:r>
      <w:r>
        <w:rPr>
          <w:sz w:val="24"/>
          <w:szCs w:val="24"/>
          <w:lang w:val="en-US"/>
        </w:rPr>
        <w:t>Since the start of</w:t>
      </w:r>
      <w:r w:rsidRPr="0011147F">
        <w:rPr>
          <w:sz w:val="24"/>
          <w:szCs w:val="24"/>
          <w:lang w:val="en-US"/>
        </w:rPr>
        <w:t xml:space="preserve"> 2019, Al Mezan has received 393 complaints from patients</w:t>
      </w:r>
      <w:r>
        <w:rPr>
          <w:sz w:val="24"/>
          <w:szCs w:val="24"/>
          <w:lang w:val="en-US"/>
        </w:rPr>
        <w:t xml:space="preserve"> and </w:t>
      </w:r>
      <w:r w:rsidRPr="0011147F">
        <w:rPr>
          <w:sz w:val="24"/>
          <w:szCs w:val="24"/>
          <w:lang w:val="en-US"/>
        </w:rPr>
        <w:t xml:space="preserve">136 </w:t>
      </w:r>
      <w:r>
        <w:rPr>
          <w:sz w:val="24"/>
          <w:szCs w:val="24"/>
          <w:lang w:val="en-US"/>
        </w:rPr>
        <w:t>have been</w:t>
      </w:r>
      <w:r w:rsidRPr="0011147F">
        <w:rPr>
          <w:sz w:val="24"/>
          <w:szCs w:val="24"/>
          <w:lang w:val="en-US"/>
        </w:rPr>
        <w:t xml:space="preserve"> successful.</w:t>
      </w:r>
      <w:r>
        <w:rPr>
          <w:sz w:val="24"/>
          <w:szCs w:val="24"/>
          <w:lang w:val="en-US"/>
        </w:rPr>
        <w:t xml:space="preserve"> </w:t>
      </w:r>
    </w:p>
    <w:p w14:paraId="2F70695C" w14:textId="180AA483" w:rsidR="002133E8" w:rsidRPr="002133E8" w:rsidRDefault="002133E8" w:rsidP="001D64E3">
      <w:pPr>
        <w:pStyle w:val="Heading1"/>
      </w:pPr>
      <w:r>
        <w:lastRenderedPageBreak/>
        <w:t xml:space="preserve">Question </w:t>
      </w:r>
      <w:r w:rsidR="001D64E3">
        <w:t>31a</w:t>
      </w:r>
      <w:r w:rsidRPr="002133E8">
        <w:t xml:space="preserve">  </w:t>
      </w:r>
    </w:p>
    <w:p w14:paraId="6FA05465" w14:textId="77777777" w:rsidR="002133E8" w:rsidRDefault="002133E8" w:rsidP="002133E8">
      <w:pPr>
        <w:pStyle w:val="ListParagraph"/>
      </w:pPr>
    </w:p>
    <w:p w14:paraId="3C596998" w14:textId="38BDA653" w:rsidR="002133E8" w:rsidRPr="0061214A" w:rsidRDefault="002133E8" w:rsidP="0061214A">
      <w:pPr>
        <w:pStyle w:val="ListParagraph"/>
        <w:numPr>
          <w:ilvl w:val="0"/>
          <w:numId w:val="4"/>
        </w:numPr>
        <w:jc w:val="both"/>
        <w:rPr>
          <w:rFonts w:asciiTheme="majorBidi" w:hAnsiTheme="majorBidi" w:cstheme="majorBidi"/>
        </w:rPr>
      </w:pPr>
      <w:r>
        <w:rPr>
          <w:rFonts w:asciiTheme="majorBidi" w:hAnsiTheme="majorBidi" w:cstheme="majorBidi"/>
        </w:rPr>
        <w:t xml:space="preserve">Residents of Gaza </w:t>
      </w:r>
      <w:r w:rsidRPr="00C11578">
        <w:rPr>
          <w:rFonts w:asciiTheme="majorBidi" w:hAnsiTheme="majorBidi" w:cstheme="majorBidi"/>
        </w:rPr>
        <w:t xml:space="preserve">who seek to travel to </w:t>
      </w:r>
      <w:r>
        <w:rPr>
          <w:rFonts w:asciiTheme="majorBidi" w:hAnsiTheme="majorBidi" w:cstheme="majorBidi"/>
        </w:rPr>
        <w:t>holy</w:t>
      </w:r>
      <w:r w:rsidRPr="00C11578">
        <w:rPr>
          <w:rFonts w:asciiTheme="majorBidi" w:hAnsiTheme="majorBidi" w:cstheme="majorBidi"/>
        </w:rPr>
        <w:t xml:space="preserve"> </w:t>
      </w:r>
      <w:r>
        <w:rPr>
          <w:rFonts w:asciiTheme="majorBidi" w:hAnsiTheme="majorBidi" w:cstheme="majorBidi"/>
        </w:rPr>
        <w:t>sites</w:t>
      </w:r>
      <w:r w:rsidRPr="00C11578">
        <w:rPr>
          <w:rFonts w:asciiTheme="majorBidi" w:hAnsiTheme="majorBidi" w:cstheme="majorBidi"/>
        </w:rPr>
        <w:t xml:space="preserve"> in the West Bank</w:t>
      </w:r>
      <w:r>
        <w:rPr>
          <w:rFonts w:asciiTheme="majorBidi" w:hAnsiTheme="majorBidi" w:cstheme="majorBidi"/>
        </w:rPr>
        <w:t>, including East Jerusalem, remain banned from doing so under Israel’s current closure policy</w:t>
      </w:r>
      <w:r w:rsidRPr="00C11578">
        <w:rPr>
          <w:rFonts w:asciiTheme="majorBidi" w:hAnsiTheme="majorBidi" w:cstheme="majorBidi"/>
        </w:rPr>
        <w:t xml:space="preserve">. According to the Palestinian General Authority of Civil Affairs, in the first half of 2019, </w:t>
      </w:r>
      <w:r>
        <w:rPr>
          <w:rFonts w:asciiTheme="majorBidi" w:hAnsiTheme="majorBidi" w:cstheme="majorBidi"/>
        </w:rPr>
        <w:t xml:space="preserve">the </w:t>
      </w:r>
      <w:r w:rsidRPr="00C11578">
        <w:rPr>
          <w:rFonts w:asciiTheme="majorBidi" w:hAnsiTheme="majorBidi" w:cstheme="majorBidi"/>
        </w:rPr>
        <w:t>Israel</w:t>
      </w:r>
      <w:r>
        <w:rPr>
          <w:rFonts w:asciiTheme="majorBidi" w:hAnsiTheme="majorBidi" w:cstheme="majorBidi"/>
        </w:rPr>
        <w:t>i authorities</w:t>
      </w:r>
      <w:r w:rsidRPr="00C11578">
        <w:rPr>
          <w:rFonts w:asciiTheme="majorBidi" w:hAnsiTheme="majorBidi" w:cstheme="majorBidi"/>
        </w:rPr>
        <w:t xml:space="preserve"> </w:t>
      </w:r>
      <w:r>
        <w:rPr>
          <w:rFonts w:asciiTheme="majorBidi" w:hAnsiTheme="majorBidi" w:cstheme="majorBidi"/>
        </w:rPr>
        <w:t>rejected</w:t>
      </w:r>
      <w:r w:rsidRPr="00C11578">
        <w:rPr>
          <w:rFonts w:asciiTheme="majorBidi" w:hAnsiTheme="majorBidi" w:cstheme="majorBidi"/>
        </w:rPr>
        <w:t xml:space="preserve"> 330 travel requests </w:t>
      </w:r>
      <w:r>
        <w:rPr>
          <w:rFonts w:asciiTheme="majorBidi" w:hAnsiTheme="majorBidi" w:cstheme="majorBidi"/>
        </w:rPr>
        <w:t>of</w:t>
      </w:r>
      <w:r w:rsidRPr="00C11578">
        <w:rPr>
          <w:rFonts w:asciiTheme="majorBidi" w:hAnsiTheme="majorBidi" w:cstheme="majorBidi"/>
        </w:rPr>
        <w:t xml:space="preserve"> </w:t>
      </w:r>
      <w:r>
        <w:rPr>
          <w:rFonts w:asciiTheme="majorBidi" w:hAnsiTheme="majorBidi" w:cstheme="majorBidi"/>
        </w:rPr>
        <w:t>Gaza residents</w:t>
      </w:r>
      <w:r w:rsidRPr="00C11578">
        <w:rPr>
          <w:rFonts w:asciiTheme="majorBidi" w:hAnsiTheme="majorBidi" w:cstheme="majorBidi"/>
        </w:rPr>
        <w:t xml:space="preserve"> seeking </w:t>
      </w:r>
      <w:r>
        <w:rPr>
          <w:rFonts w:asciiTheme="majorBidi" w:hAnsiTheme="majorBidi" w:cstheme="majorBidi"/>
        </w:rPr>
        <w:t xml:space="preserve">exit permits in order to </w:t>
      </w:r>
      <w:r w:rsidRPr="00C11578">
        <w:rPr>
          <w:rFonts w:asciiTheme="majorBidi" w:hAnsiTheme="majorBidi" w:cstheme="majorBidi"/>
        </w:rPr>
        <w:t>visit</w:t>
      </w:r>
      <w:r>
        <w:rPr>
          <w:rFonts w:asciiTheme="majorBidi" w:hAnsiTheme="majorBidi" w:cstheme="majorBidi"/>
        </w:rPr>
        <w:t xml:space="preserve"> holy sites—with most requests filed to attend </w:t>
      </w:r>
      <w:r w:rsidRPr="00C11578">
        <w:rPr>
          <w:rFonts w:asciiTheme="majorBidi" w:hAnsiTheme="majorBidi" w:cstheme="majorBidi"/>
        </w:rPr>
        <w:t xml:space="preserve">Christian </w:t>
      </w:r>
      <w:r>
        <w:rPr>
          <w:rFonts w:asciiTheme="majorBidi" w:hAnsiTheme="majorBidi" w:cstheme="majorBidi"/>
        </w:rPr>
        <w:t>festivities—</w:t>
      </w:r>
      <w:r w:rsidRPr="00C11578">
        <w:rPr>
          <w:rFonts w:asciiTheme="majorBidi" w:hAnsiTheme="majorBidi" w:cstheme="majorBidi"/>
        </w:rPr>
        <w:t>and approved 11 requests.</w:t>
      </w:r>
      <w:r w:rsidR="001D64E3">
        <w:rPr>
          <w:rStyle w:val="FootnoteReference"/>
          <w:rFonts w:cstheme="majorBidi"/>
        </w:rPr>
        <w:footnoteReference w:id="60"/>
      </w:r>
      <w:r w:rsidRPr="00C11578">
        <w:rPr>
          <w:rFonts w:asciiTheme="majorBidi" w:hAnsiTheme="majorBidi" w:cstheme="majorBidi"/>
        </w:rPr>
        <w:t xml:space="preserve"> </w:t>
      </w:r>
    </w:p>
    <w:p w14:paraId="7A0EAA17" w14:textId="68750F0B" w:rsidR="002133E8" w:rsidRPr="005C3297" w:rsidRDefault="002133E8" w:rsidP="001D64E3">
      <w:pPr>
        <w:pStyle w:val="Heading1"/>
      </w:pPr>
      <w:r w:rsidRPr="005C3297">
        <w:t>Questions 23a</w:t>
      </w:r>
      <w:r w:rsidR="001D64E3">
        <w:t xml:space="preserve">, </w:t>
      </w:r>
      <w:r w:rsidRPr="005C3297">
        <w:t xml:space="preserve">23b </w:t>
      </w:r>
      <w:r w:rsidR="001D64E3">
        <w:t xml:space="preserve">&amp; </w:t>
      </w:r>
      <w:r w:rsidR="005C3297" w:rsidRPr="005C3297">
        <w:t xml:space="preserve">27a </w:t>
      </w:r>
    </w:p>
    <w:p w14:paraId="2BDE9814" w14:textId="77777777" w:rsidR="002133E8" w:rsidRDefault="002133E8" w:rsidP="002133E8">
      <w:pPr>
        <w:jc w:val="both"/>
      </w:pPr>
    </w:p>
    <w:p w14:paraId="73AA4F7F" w14:textId="42AB20EE" w:rsidR="00CB6B73" w:rsidRPr="00F05D5C" w:rsidRDefault="00FD1D85" w:rsidP="00F05D5C">
      <w:pPr>
        <w:pStyle w:val="ListParagraph"/>
        <w:numPr>
          <w:ilvl w:val="0"/>
          <w:numId w:val="4"/>
        </w:numPr>
        <w:jc w:val="both"/>
      </w:pPr>
      <w:r>
        <w:t>The</w:t>
      </w:r>
      <w:r w:rsidR="00AA31CD">
        <w:t xml:space="preserve"> closure/blockade</w:t>
      </w:r>
      <w:r>
        <w:t xml:space="preserve"> regime and its associated restrictions enforce a state of deep poverty</w:t>
      </w:r>
      <w:r w:rsidR="0060462C">
        <w:rPr>
          <w:rStyle w:val="FootnoteReference"/>
        </w:rPr>
        <w:footnoteReference w:id="61"/>
      </w:r>
      <w:r>
        <w:t xml:space="preserve"> </w:t>
      </w:r>
      <w:r w:rsidR="00E71561">
        <w:rPr>
          <w:rFonts w:asciiTheme="majorBidi" w:hAnsiTheme="majorBidi" w:cstheme="majorBidi"/>
        </w:rPr>
        <w:t xml:space="preserve">reaching </w:t>
      </w:r>
      <w:r w:rsidR="00E71561" w:rsidRPr="00AA31CD">
        <w:rPr>
          <w:rFonts w:asciiTheme="majorBidi" w:hAnsiTheme="majorBidi" w:cstheme="majorBidi"/>
        </w:rPr>
        <w:t>53%</w:t>
      </w:r>
      <w:r w:rsidR="00E71561">
        <w:rPr>
          <w:rStyle w:val="FootnoteReference"/>
          <w:rFonts w:asciiTheme="majorBidi" w:hAnsiTheme="majorBidi" w:cstheme="majorBidi"/>
          <w:sz w:val="24"/>
        </w:rPr>
        <w:footnoteReference w:id="62"/>
      </w:r>
      <w:r w:rsidR="00E71561">
        <w:rPr>
          <w:rFonts w:asciiTheme="majorBidi" w:hAnsiTheme="majorBidi" w:cstheme="majorBidi"/>
        </w:rPr>
        <w:t xml:space="preserve"> of the population. </w:t>
      </w:r>
      <w:r w:rsidR="00F05D5C">
        <w:rPr>
          <w:rFonts w:asciiTheme="majorBidi" w:hAnsiTheme="majorBidi" w:cstheme="majorBidi"/>
        </w:rPr>
        <w:t>The</w:t>
      </w:r>
      <w:r w:rsidR="00F05D5C" w:rsidRPr="00AA31CD">
        <w:rPr>
          <w:rFonts w:asciiTheme="majorBidi" w:hAnsiTheme="majorBidi" w:cstheme="majorBidi"/>
        </w:rPr>
        <w:t xml:space="preserve"> unemployment rate </w:t>
      </w:r>
      <w:r w:rsidR="00F05D5C">
        <w:rPr>
          <w:rFonts w:asciiTheme="majorBidi" w:hAnsiTheme="majorBidi" w:cstheme="majorBidi"/>
        </w:rPr>
        <w:t xml:space="preserve">in 2018 </w:t>
      </w:r>
      <w:r w:rsidR="00056B54">
        <w:rPr>
          <w:rFonts w:asciiTheme="majorBidi" w:hAnsiTheme="majorBidi" w:cstheme="majorBidi"/>
        </w:rPr>
        <w:t>reached</w:t>
      </w:r>
      <w:r w:rsidR="00F05D5C" w:rsidRPr="00AA31CD">
        <w:rPr>
          <w:rFonts w:asciiTheme="majorBidi" w:hAnsiTheme="majorBidi" w:cstheme="majorBidi"/>
        </w:rPr>
        <w:t xml:space="preserve"> 52%</w:t>
      </w:r>
      <w:r w:rsidR="00F05D5C">
        <w:rPr>
          <w:rStyle w:val="FootnoteReference"/>
          <w:rFonts w:asciiTheme="majorBidi" w:hAnsiTheme="majorBidi" w:cstheme="majorBidi"/>
          <w:sz w:val="24"/>
        </w:rPr>
        <w:footnoteReference w:id="63"/>
      </w:r>
      <w:r w:rsidR="00F05D5C" w:rsidRPr="00AA31CD">
        <w:rPr>
          <w:rFonts w:asciiTheme="majorBidi" w:hAnsiTheme="majorBidi" w:cstheme="majorBidi"/>
        </w:rPr>
        <w:t xml:space="preserve"> among </w:t>
      </w:r>
      <w:r w:rsidR="00F05D5C">
        <w:rPr>
          <w:rFonts w:asciiTheme="majorBidi" w:hAnsiTheme="majorBidi" w:cstheme="majorBidi"/>
        </w:rPr>
        <w:t xml:space="preserve">the </w:t>
      </w:r>
      <w:r w:rsidR="00F05D5C" w:rsidRPr="00AA31CD">
        <w:rPr>
          <w:rFonts w:asciiTheme="majorBidi" w:hAnsiTheme="majorBidi" w:cstheme="majorBidi"/>
        </w:rPr>
        <w:t xml:space="preserve">labor force and </w:t>
      </w:r>
      <w:r w:rsidR="00F05D5C">
        <w:rPr>
          <w:rFonts w:asciiTheme="majorBidi" w:hAnsiTheme="majorBidi" w:cstheme="majorBidi"/>
        </w:rPr>
        <w:t>in 2019</w:t>
      </w:r>
      <w:r w:rsidR="00056B54">
        <w:rPr>
          <w:rFonts w:asciiTheme="majorBidi" w:hAnsiTheme="majorBidi" w:cstheme="majorBidi"/>
        </w:rPr>
        <w:t xml:space="preserve">, </w:t>
      </w:r>
      <w:r w:rsidR="00056B54" w:rsidRPr="00AA31CD">
        <w:rPr>
          <w:rFonts w:asciiTheme="majorBidi" w:hAnsiTheme="majorBidi" w:cstheme="majorBidi"/>
        </w:rPr>
        <w:t>among youth age</w:t>
      </w:r>
      <w:r w:rsidR="00056B54">
        <w:rPr>
          <w:rFonts w:asciiTheme="majorBidi" w:hAnsiTheme="majorBidi" w:cstheme="majorBidi"/>
        </w:rPr>
        <w:t>d</w:t>
      </w:r>
      <w:r w:rsidR="00056B54" w:rsidRPr="00AA31CD">
        <w:rPr>
          <w:rFonts w:asciiTheme="majorBidi" w:hAnsiTheme="majorBidi" w:cstheme="majorBidi"/>
        </w:rPr>
        <w:t xml:space="preserve"> 18-29</w:t>
      </w:r>
      <w:r w:rsidR="00056B54">
        <w:rPr>
          <w:rFonts w:asciiTheme="majorBidi" w:hAnsiTheme="majorBidi" w:cstheme="majorBidi"/>
        </w:rPr>
        <w:t xml:space="preserve">, </w:t>
      </w:r>
      <w:r w:rsidR="00F05D5C">
        <w:rPr>
          <w:rFonts w:asciiTheme="majorBidi" w:hAnsiTheme="majorBidi" w:cstheme="majorBidi"/>
        </w:rPr>
        <w:t xml:space="preserve">has reached </w:t>
      </w:r>
      <w:r w:rsidR="00F05D5C" w:rsidRPr="00AA31CD">
        <w:rPr>
          <w:rFonts w:asciiTheme="majorBidi" w:hAnsiTheme="majorBidi" w:cstheme="majorBidi"/>
        </w:rPr>
        <w:t>69%</w:t>
      </w:r>
      <w:r w:rsidR="00F05D5C">
        <w:rPr>
          <w:rStyle w:val="FootnoteReference"/>
          <w:rFonts w:asciiTheme="majorBidi" w:hAnsiTheme="majorBidi" w:cstheme="majorBidi"/>
          <w:sz w:val="24"/>
        </w:rPr>
        <w:footnoteReference w:id="64"/>
      </w:r>
      <w:r w:rsidR="00F05D5C">
        <w:rPr>
          <w:rFonts w:asciiTheme="majorBidi" w:hAnsiTheme="majorBidi" w:cstheme="majorBidi"/>
        </w:rPr>
        <w:t xml:space="preserve">. </w:t>
      </w:r>
      <w:r w:rsidR="00D75B54" w:rsidRPr="00F05D5C">
        <w:rPr>
          <w:rFonts w:asciiTheme="majorBidi" w:hAnsiTheme="majorBidi" w:cstheme="majorBidi"/>
        </w:rPr>
        <w:t xml:space="preserve">Gaza’s </w:t>
      </w:r>
      <w:r w:rsidR="00E71561" w:rsidRPr="00F05D5C">
        <w:rPr>
          <w:rFonts w:asciiTheme="majorBidi" w:hAnsiTheme="majorBidi" w:cstheme="majorBidi"/>
        </w:rPr>
        <w:t>econom</w:t>
      </w:r>
      <w:r w:rsidR="00D75B54" w:rsidRPr="00F05D5C">
        <w:rPr>
          <w:rFonts w:asciiTheme="majorBidi" w:hAnsiTheme="majorBidi" w:cstheme="majorBidi"/>
        </w:rPr>
        <w:t>y is</w:t>
      </w:r>
      <w:r w:rsidR="00E71561" w:rsidRPr="00F05D5C">
        <w:rPr>
          <w:rFonts w:asciiTheme="majorBidi" w:hAnsiTheme="majorBidi" w:cstheme="majorBidi"/>
        </w:rPr>
        <w:t xml:space="preserve"> stagnant, and production and operation rates </w:t>
      </w:r>
      <w:r w:rsidR="00CB6B73" w:rsidRPr="00F05D5C">
        <w:rPr>
          <w:rFonts w:asciiTheme="majorBidi" w:hAnsiTheme="majorBidi" w:cstheme="majorBidi"/>
        </w:rPr>
        <w:t>are at</w:t>
      </w:r>
      <w:r w:rsidR="00E71561" w:rsidRPr="00F05D5C">
        <w:rPr>
          <w:rFonts w:asciiTheme="majorBidi" w:hAnsiTheme="majorBidi" w:cstheme="majorBidi"/>
        </w:rPr>
        <w:t xml:space="preserve"> their lowest</w:t>
      </w:r>
      <w:r w:rsidR="00CB6B73" w:rsidRPr="00F05D5C">
        <w:rPr>
          <w:rFonts w:asciiTheme="majorBidi" w:hAnsiTheme="majorBidi" w:cstheme="majorBidi"/>
        </w:rPr>
        <w:t>.</w:t>
      </w:r>
      <w:r w:rsidR="00E71561" w:rsidRPr="00F05D5C">
        <w:rPr>
          <w:rFonts w:asciiTheme="majorBidi" w:hAnsiTheme="majorBidi" w:cstheme="majorBidi"/>
        </w:rPr>
        <w:t xml:space="preserve"> </w:t>
      </w:r>
      <w:r w:rsidR="00CB6B73" w:rsidRPr="00F05D5C">
        <w:rPr>
          <w:rFonts w:asciiTheme="majorBidi" w:hAnsiTheme="majorBidi" w:cstheme="majorBidi"/>
        </w:rPr>
        <w:t xml:space="preserve">In addition to imposing severe restrictions on imports and exports, Israeli authorities ban the entry of goods and commodities </w:t>
      </w:r>
      <w:r w:rsidR="00F05D5C" w:rsidRPr="00F05D5C">
        <w:rPr>
          <w:rFonts w:asciiTheme="majorBidi" w:hAnsiTheme="majorBidi" w:cstheme="majorBidi"/>
        </w:rPr>
        <w:t>that they</w:t>
      </w:r>
      <w:r w:rsidR="00CB6B73" w:rsidRPr="00F05D5C">
        <w:rPr>
          <w:rFonts w:asciiTheme="majorBidi" w:hAnsiTheme="majorBidi" w:cstheme="majorBidi"/>
        </w:rPr>
        <w:t xml:space="preserve"> classify as </w:t>
      </w:r>
      <w:r w:rsidR="00F05D5C">
        <w:rPr>
          <w:rFonts w:asciiTheme="majorBidi" w:hAnsiTheme="majorBidi" w:cstheme="majorBidi"/>
        </w:rPr>
        <w:t>‘</w:t>
      </w:r>
      <w:r w:rsidR="00CB6B73" w:rsidRPr="00F05D5C">
        <w:rPr>
          <w:rFonts w:asciiTheme="majorBidi" w:hAnsiTheme="majorBidi" w:cstheme="majorBidi"/>
        </w:rPr>
        <w:t>dual use</w:t>
      </w:r>
      <w:r w:rsidR="00F05D5C">
        <w:rPr>
          <w:rFonts w:asciiTheme="majorBidi" w:hAnsiTheme="majorBidi" w:cstheme="majorBidi"/>
        </w:rPr>
        <w:t>’</w:t>
      </w:r>
      <w:r w:rsidR="00CB6B73" w:rsidRPr="00F05D5C">
        <w:rPr>
          <w:rFonts w:asciiTheme="majorBidi" w:hAnsiTheme="majorBidi" w:cstheme="majorBidi"/>
        </w:rPr>
        <w:t xml:space="preserve"> items.</w:t>
      </w:r>
      <w:r w:rsidR="00CB6B73">
        <w:rPr>
          <w:rStyle w:val="FootnoteReference"/>
          <w:rFonts w:asciiTheme="majorBidi" w:hAnsiTheme="majorBidi" w:cstheme="majorBidi"/>
          <w:sz w:val="24"/>
        </w:rPr>
        <w:footnoteReference w:id="65"/>
      </w:r>
      <w:r w:rsidR="00CB6B73" w:rsidRPr="00F05D5C">
        <w:rPr>
          <w:rFonts w:asciiTheme="majorBidi" w:hAnsiTheme="majorBidi" w:cstheme="majorBidi"/>
        </w:rPr>
        <w:t xml:space="preserve"> </w:t>
      </w:r>
      <w:r w:rsidR="00F05D5C">
        <w:rPr>
          <w:rFonts w:asciiTheme="majorBidi" w:hAnsiTheme="majorBidi" w:cstheme="majorBidi"/>
        </w:rPr>
        <w:t>The banned items</w:t>
      </w:r>
      <w:r w:rsidR="00F05D5C" w:rsidRPr="00D77307">
        <w:rPr>
          <w:rFonts w:asciiTheme="majorBidi" w:hAnsiTheme="majorBidi" w:cstheme="majorBidi"/>
        </w:rPr>
        <w:t xml:space="preserve"> include medi</w:t>
      </w:r>
      <w:r w:rsidR="00F05D5C">
        <w:rPr>
          <w:rFonts w:asciiTheme="majorBidi" w:hAnsiTheme="majorBidi" w:cstheme="majorBidi"/>
        </w:rPr>
        <w:t>c</w:t>
      </w:r>
      <w:r w:rsidR="00F05D5C" w:rsidRPr="00D77307">
        <w:rPr>
          <w:rFonts w:asciiTheme="majorBidi" w:hAnsiTheme="majorBidi" w:cstheme="majorBidi"/>
        </w:rPr>
        <w:t>a</w:t>
      </w:r>
      <w:r w:rsidR="00F05D5C">
        <w:rPr>
          <w:rFonts w:asciiTheme="majorBidi" w:hAnsiTheme="majorBidi" w:cstheme="majorBidi"/>
        </w:rPr>
        <w:t>l and</w:t>
      </w:r>
      <w:r w:rsidR="00F05D5C" w:rsidRPr="00D77307">
        <w:rPr>
          <w:rFonts w:asciiTheme="majorBidi" w:hAnsiTheme="majorBidi" w:cstheme="majorBidi"/>
        </w:rPr>
        <w:t xml:space="preserve"> communication</w:t>
      </w:r>
      <w:r w:rsidR="00F05D5C">
        <w:rPr>
          <w:rFonts w:asciiTheme="majorBidi" w:hAnsiTheme="majorBidi" w:cstheme="majorBidi"/>
        </w:rPr>
        <w:t>s</w:t>
      </w:r>
      <w:r w:rsidR="00F05D5C" w:rsidRPr="00D77307">
        <w:rPr>
          <w:rFonts w:asciiTheme="majorBidi" w:hAnsiTheme="majorBidi" w:cstheme="majorBidi"/>
        </w:rPr>
        <w:t xml:space="preserve"> equipment, wooden planks, </w:t>
      </w:r>
      <w:r w:rsidR="001D64E3">
        <w:rPr>
          <w:rFonts w:asciiTheme="majorBidi" w:hAnsiTheme="majorBidi" w:cstheme="majorBidi"/>
        </w:rPr>
        <w:t xml:space="preserve">fiber glass, </w:t>
      </w:r>
      <w:r w:rsidR="00F05D5C" w:rsidRPr="00D77307">
        <w:rPr>
          <w:rFonts w:asciiTheme="majorBidi" w:hAnsiTheme="majorBidi" w:cstheme="majorBidi"/>
        </w:rPr>
        <w:t>steel</w:t>
      </w:r>
      <w:r w:rsidR="00F05D5C">
        <w:rPr>
          <w:rFonts w:asciiTheme="majorBidi" w:hAnsiTheme="majorBidi" w:cstheme="majorBidi"/>
        </w:rPr>
        <w:t xml:space="preserve"> </w:t>
      </w:r>
      <w:r w:rsidR="00F05D5C" w:rsidRPr="00D77307">
        <w:rPr>
          <w:rFonts w:asciiTheme="majorBidi" w:hAnsiTheme="majorBidi" w:cstheme="majorBidi"/>
        </w:rPr>
        <w:t xml:space="preserve">and construction </w:t>
      </w:r>
      <w:r w:rsidR="00F05D5C">
        <w:rPr>
          <w:rFonts w:asciiTheme="majorBidi" w:hAnsiTheme="majorBidi" w:cstheme="majorBidi"/>
        </w:rPr>
        <w:t>materials necessary for productive industrial and agricultural sectors</w:t>
      </w:r>
      <w:r w:rsidR="00F05D5C" w:rsidRPr="00D77307">
        <w:rPr>
          <w:rFonts w:asciiTheme="majorBidi" w:hAnsiTheme="majorBidi" w:cstheme="majorBidi"/>
        </w:rPr>
        <w:t>.</w:t>
      </w:r>
    </w:p>
    <w:p w14:paraId="0598FDBC" w14:textId="77777777" w:rsidR="00CB6B73" w:rsidRDefault="00CB6B73" w:rsidP="00CB6B73">
      <w:pPr>
        <w:pStyle w:val="ListParagraph"/>
        <w:ind w:left="360"/>
        <w:jc w:val="both"/>
        <w:rPr>
          <w:rFonts w:asciiTheme="majorBidi" w:hAnsiTheme="majorBidi" w:cstheme="majorBidi"/>
        </w:rPr>
      </w:pPr>
    </w:p>
    <w:p w14:paraId="4084D0C8" w14:textId="3A1B18A5" w:rsidR="00CB6B73" w:rsidRPr="00CB6B73" w:rsidRDefault="00CB6B73" w:rsidP="00CB6B73">
      <w:pPr>
        <w:pStyle w:val="ListParagraph"/>
        <w:numPr>
          <w:ilvl w:val="0"/>
          <w:numId w:val="4"/>
        </w:numPr>
        <w:jc w:val="both"/>
      </w:pPr>
      <w:r>
        <w:rPr>
          <w:color w:val="17191D"/>
        </w:rPr>
        <w:t>T</w:t>
      </w:r>
      <w:r w:rsidRPr="00CB6B73">
        <w:rPr>
          <w:color w:val="17191D"/>
        </w:rPr>
        <w:t xml:space="preserve">he </w:t>
      </w:r>
      <w:r>
        <w:rPr>
          <w:color w:val="17191D"/>
        </w:rPr>
        <w:t>‘</w:t>
      </w:r>
      <w:r w:rsidRPr="00CB6B73">
        <w:rPr>
          <w:color w:val="17191D"/>
        </w:rPr>
        <w:t>temporary</w:t>
      </w:r>
      <w:r>
        <w:rPr>
          <w:color w:val="17191D"/>
        </w:rPr>
        <w:t>’</w:t>
      </w:r>
      <w:r w:rsidRPr="00CB6B73">
        <w:rPr>
          <w:color w:val="17191D"/>
        </w:rPr>
        <w:t xml:space="preserve"> Gaza Reconstruction Mechanism that came into effect in September 2014, and is still in operation today</w:t>
      </w:r>
      <w:r>
        <w:rPr>
          <w:color w:val="17191D"/>
        </w:rPr>
        <w:t xml:space="preserve">, </w:t>
      </w:r>
      <w:r w:rsidRPr="00CB6B73">
        <w:rPr>
          <w:color w:val="17191D"/>
        </w:rPr>
        <w:t>has had the effect of consolidating and legitimi</w:t>
      </w:r>
      <w:r>
        <w:rPr>
          <w:color w:val="17191D"/>
        </w:rPr>
        <w:t>z</w:t>
      </w:r>
      <w:r w:rsidRPr="00CB6B73">
        <w:rPr>
          <w:color w:val="17191D"/>
        </w:rPr>
        <w:t xml:space="preserve">ing the existence of the deeply </w:t>
      </w:r>
      <w:r>
        <w:rPr>
          <w:color w:val="17191D"/>
        </w:rPr>
        <w:t>problematic</w:t>
      </w:r>
      <w:r w:rsidRPr="00CB6B73">
        <w:rPr>
          <w:color w:val="17191D"/>
        </w:rPr>
        <w:t xml:space="preserve"> </w:t>
      </w:r>
      <w:r>
        <w:rPr>
          <w:color w:val="17191D"/>
        </w:rPr>
        <w:t>‘</w:t>
      </w:r>
      <w:r w:rsidRPr="00CB6B73">
        <w:rPr>
          <w:color w:val="17191D"/>
        </w:rPr>
        <w:t>dual</w:t>
      </w:r>
      <w:r>
        <w:rPr>
          <w:color w:val="17191D"/>
        </w:rPr>
        <w:t>-use’ list.</w:t>
      </w:r>
      <w:r w:rsidR="001D64E3">
        <w:rPr>
          <w:rStyle w:val="FootnoteReference"/>
          <w:color w:val="17191D"/>
        </w:rPr>
        <w:footnoteReference w:id="66"/>
      </w:r>
      <w:r>
        <w:rPr>
          <w:color w:val="17191D"/>
        </w:rPr>
        <w:t xml:space="preserve"> T</w:t>
      </w:r>
      <w:r w:rsidRPr="00CB6B73">
        <w:rPr>
          <w:color w:val="17191D"/>
        </w:rPr>
        <w:t>he Gaza Reconstruction Mechanism Agreement between Israel, the Palestinian Authority and the United Nations has prevented, or substantially constricted, the entry into Gaza of many vital goods, materials and equipment that are required to meet the humanitarians needs of the population.</w:t>
      </w:r>
      <w:r>
        <w:rPr>
          <w:color w:val="17191D"/>
        </w:rPr>
        <w:t xml:space="preserve"> </w:t>
      </w:r>
    </w:p>
    <w:p w14:paraId="78CE725E" w14:textId="77777777" w:rsidR="00E71561" w:rsidRPr="00F05D5C" w:rsidRDefault="00E71561" w:rsidP="00F05D5C">
      <w:pPr>
        <w:jc w:val="both"/>
        <w:rPr>
          <w:rFonts w:asciiTheme="majorBidi" w:hAnsiTheme="majorBidi" w:cstheme="majorBidi"/>
        </w:rPr>
      </w:pPr>
    </w:p>
    <w:p w14:paraId="774355FA" w14:textId="1530CDEC" w:rsidR="00D969CA" w:rsidRDefault="00E71561" w:rsidP="0011147F">
      <w:pPr>
        <w:pStyle w:val="ListParagraph"/>
        <w:numPr>
          <w:ilvl w:val="0"/>
          <w:numId w:val="4"/>
        </w:numPr>
        <w:jc w:val="both"/>
        <w:rPr>
          <w:rFonts w:asciiTheme="majorBidi" w:hAnsiTheme="majorBidi" w:cstheme="majorBidi"/>
        </w:rPr>
      </w:pPr>
      <w:r>
        <w:t xml:space="preserve"> I</w:t>
      </w:r>
      <w:r w:rsidR="00FD1D85">
        <w:t xml:space="preserve">n an unpredictable environment where access to humanitarian supplies </w:t>
      </w:r>
      <w:r w:rsidR="002133E8">
        <w:t>is</w:t>
      </w:r>
      <w:r w:rsidR="00FD1D85">
        <w:t xml:space="preserve"> precarious and at the will of the occupying power</w:t>
      </w:r>
      <w:r w:rsidR="00AA31CD">
        <w:t>, food insecurity remains a facet of life</w:t>
      </w:r>
      <w:r>
        <w:t xml:space="preserve">: </w:t>
      </w:r>
      <w:r w:rsidR="00AA31CD" w:rsidRPr="00AA31CD">
        <w:rPr>
          <w:rFonts w:asciiTheme="majorBidi" w:hAnsiTheme="majorBidi" w:cstheme="majorBidi"/>
        </w:rPr>
        <w:t>68.5% of household</w:t>
      </w:r>
      <w:r w:rsidR="00C5730F">
        <w:rPr>
          <w:rFonts w:asciiTheme="majorBidi" w:hAnsiTheme="majorBidi" w:cstheme="majorBidi"/>
        </w:rPr>
        <w:t>s in 2018</w:t>
      </w:r>
      <w:r w:rsidR="00AA31CD" w:rsidRPr="00AA31CD">
        <w:rPr>
          <w:rFonts w:asciiTheme="majorBidi" w:hAnsiTheme="majorBidi" w:cstheme="majorBidi"/>
        </w:rPr>
        <w:t xml:space="preserve"> </w:t>
      </w:r>
      <w:r w:rsidR="00C5730F">
        <w:rPr>
          <w:rFonts w:asciiTheme="majorBidi" w:hAnsiTheme="majorBidi" w:cstheme="majorBidi"/>
        </w:rPr>
        <w:t>were considered</w:t>
      </w:r>
      <w:r w:rsidR="00AA31CD" w:rsidRPr="00AA31CD">
        <w:rPr>
          <w:rFonts w:asciiTheme="majorBidi" w:hAnsiTheme="majorBidi" w:cstheme="majorBidi"/>
        </w:rPr>
        <w:t xml:space="preserve"> food </w:t>
      </w:r>
      <w:r w:rsidR="00C5730F">
        <w:rPr>
          <w:rFonts w:asciiTheme="majorBidi" w:hAnsiTheme="majorBidi" w:cstheme="majorBidi"/>
        </w:rPr>
        <w:t>insecure</w:t>
      </w:r>
      <w:r w:rsidR="00AA31CD" w:rsidRPr="00AA31CD">
        <w:rPr>
          <w:rFonts w:asciiTheme="majorBidi" w:hAnsiTheme="majorBidi" w:cstheme="majorBidi"/>
        </w:rPr>
        <w:t>.</w:t>
      </w:r>
      <w:r w:rsidR="00056B54">
        <w:rPr>
          <w:rStyle w:val="FootnoteReference"/>
          <w:rFonts w:asciiTheme="majorBidi" w:hAnsiTheme="majorBidi" w:cstheme="majorBidi"/>
          <w:sz w:val="24"/>
        </w:rPr>
        <w:footnoteReference w:id="67"/>
      </w:r>
    </w:p>
    <w:p w14:paraId="434CCF57" w14:textId="77777777" w:rsidR="00C11578" w:rsidRPr="00C70C8D" w:rsidRDefault="00C11578" w:rsidP="00C70C8D">
      <w:pPr>
        <w:pStyle w:val="SingleTxtG"/>
        <w:tabs>
          <w:tab w:val="left" w:pos="1701"/>
        </w:tabs>
        <w:kinsoku w:val="0"/>
        <w:overflowPunct w:val="0"/>
        <w:autoSpaceDE w:val="0"/>
        <w:autoSpaceDN w:val="0"/>
        <w:adjustRightInd w:val="0"/>
        <w:snapToGrid w:val="0"/>
        <w:spacing w:after="0" w:line="240" w:lineRule="auto"/>
        <w:ind w:left="0" w:right="0"/>
        <w:rPr>
          <w:color w:val="000000" w:themeColor="text1"/>
          <w:sz w:val="24"/>
          <w:szCs w:val="24"/>
          <w:lang w:val="en-US"/>
        </w:rPr>
      </w:pPr>
    </w:p>
    <w:p w14:paraId="71000DE9" w14:textId="105597F1" w:rsidR="00C11578" w:rsidRPr="002133E8" w:rsidRDefault="00C11578" w:rsidP="002133E8">
      <w:pPr>
        <w:pStyle w:val="ListParagraph"/>
        <w:numPr>
          <w:ilvl w:val="0"/>
          <w:numId w:val="4"/>
        </w:numPr>
        <w:jc w:val="both"/>
        <w:rPr>
          <w:rFonts w:asciiTheme="majorBidi" w:hAnsiTheme="majorBidi" w:cstheme="majorBidi"/>
        </w:rPr>
      </w:pPr>
      <w:r w:rsidRPr="00C11578">
        <w:rPr>
          <w:rFonts w:asciiTheme="majorBidi" w:hAnsiTheme="majorBidi" w:cstheme="majorBidi"/>
        </w:rPr>
        <w:t xml:space="preserve">Due to the significant </w:t>
      </w:r>
      <w:r>
        <w:rPr>
          <w:rFonts w:asciiTheme="majorBidi" w:hAnsiTheme="majorBidi" w:cstheme="majorBidi"/>
        </w:rPr>
        <w:t>impact of the closure/</w:t>
      </w:r>
      <w:r w:rsidRPr="00C11578">
        <w:rPr>
          <w:rFonts w:asciiTheme="majorBidi" w:hAnsiTheme="majorBidi" w:cstheme="majorBidi"/>
        </w:rPr>
        <w:t>blockade imposed for more than 12 years</w:t>
      </w:r>
      <w:r>
        <w:rPr>
          <w:rFonts w:asciiTheme="majorBidi" w:hAnsiTheme="majorBidi" w:cstheme="majorBidi"/>
        </w:rPr>
        <w:t xml:space="preserve"> on the Gaza Strip</w:t>
      </w:r>
      <w:r w:rsidRPr="00C11578">
        <w:rPr>
          <w:rFonts w:asciiTheme="majorBidi" w:hAnsiTheme="majorBidi" w:cstheme="majorBidi"/>
        </w:rPr>
        <w:t xml:space="preserve">, </w:t>
      </w:r>
      <w:r>
        <w:rPr>
          <w:rFonts w:asciiTheme="majorBidi" w:hAnsiTheme="majorBidi" w:cstheme="majorBidi"/>
        </w:rPr>
        <w:t>access to</w:t>
      </w:r>
      <w:r w:rsidRPr="00C11578">
        <w:rPr>
          <w:rFonts w:asciiTheme="majorBidi" w:hAnsiTheme="majorBidi" w:cstheme="majorBidi"/>
        </w:rPr>
        <w:t xml:space="preserve"> economic, social and cultural </w:t>
      </w:r>
      <w:r>
        <w:rPr>
          <w:rFonts w:asciiTheme="majorBidi" w:hAnsiTheme="majorBidi" w:cstheme="majorBidi"/>
        </w:rPr>
        <w:t xml:space="preserve">rights continues to worsen in the Gaza Strip. </w:t>
      </w:r>
      <w:r w:rsidRPr="00C11578">
        <w:rPr>
          <w:rFonts w:asciiTheme="majorBidi" w:hAnsiTheme="majorBidi" w:cstheme="majorBidi"/>
        </w:rPr>
        <w:t xml:space="preserve"> </w:t>
      </w:r>
    </w:p>
    <w:sectPr w:rsidR="00C11578" w:rsidRPr="002133E8" w:rsidSect="00F144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3C9524" w14:textId="77777777" w:rsidR="00FB1064" w:rsidRDefault="00FB1064" w:rsidP="00107B9C">
      <w:r>
        <w:separator/>
      </w:r>
    </w:p>
  </w:endnote>
  <w:endnote w:type="continuationSeparator" w:id="0">
    <w:p w14:paraId="560DEE54" w14:textId="77777777" w:rsidR="00FB1064" w:rsidRDefault="00FB1064" w:rsidP="00107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8BE9D3" w14:textId="77777777" w:rsidR="00FB1064" w:rsidRDefault="00FB1064" w:rsidP="00107B9C">
      <w:r>
        <w:separator/>
      </w:r>
    </w:p>
  </w:footnote>
  <w:footnote w:type="continuationSeparator" w:id="0">
    <w:p w14:paraId="666D47B6" w14:textId="77777777" w:rsidR="00FB1064" w:rsidRDefault="00FB1064" w:rsidP="00107B9C">
      <w:r>
        <w:continuationSeparator/>
      </w:r>
    </w:p>
  </w:footnote>
  <w:footnote w:id="1">
    <w:p w14:paraId="0B4210FA" w14:textId="77777777" w:rsidR="00AD5A55" w:rsidRPr="0034408F" w:rsidRDefault="00AD5A55" w:rsidP="002B3B42">
      <w:pPr>
        <w:pStyle w:val="FootnoteText"/>
        <w:ind w:left="0" w:right="0" w:firstLine="0"/>
        <w:rPr>
          <w:sz w:val="20"/>
          <w:lang w:val="en-US"/>
        </w:rPr>
      </w:pPr>
      <w:r w:rsidRPr="0034408F">
        <w:rPr>
          <w:rStyle w:val="FootnoteReference"/>
          <w:sz w:val="20"/>
        </w:rPr>
        <w:footnoteRef/>
      </w:r>
      <w:r w:rsidRPr="0034408F">
        <w:rPr>
          <w:sz w:val="20"/>
        </w:rPr>
        <w:t xml:space="preserve"> </w:t>
      </w:r>
      <w:r w:rsidRPr="0034408F">
        <w:rPr>
          <w:sz w:val="20"/>
          <w:lang w:val="en-US"/>
        </w:rPr>
        <w:t xml:space="preserve">See resolution 71/96, affirming the applicability of the Fourth Geneva Convention to the Occupied Palestinian Territory, adopted by a vote of 168 to 6 with 6 abstentions. See also </w:t>
      </w:r>
      <w:proofErr w:type="spellStart"/>
      <w:r w:rsidRPr="0034408F">
        <w:rPr>
          <w:sz w:val="20"/>
          <w:lang w:val="en-US"/>
        </w:rPr>
        <w:t>Aeyal</w:t>
      </w:r>
      <w:proofErr w:type="spellEnd"/>
      <w:r w:rsidRPr="0034408F">
        <w:rPr>
          <w:sz w:val="20"/>
          <w:lang w:val="en-US"/>
        </w:rPr>
        <w:t xml:space="preserve"> Gross, The Writing on the Wall: Rethinking the International Law of Occupation (Cambridge, Cambridge University Press, 2017). </w:t>
      </w:r>
    </w:p>
  </w:footnote>
  <w:footnote w:id="2">
    <w:p w14:paraId="0091FE7F" w14:textId="1C976F7C" w:rsidR="00AD5A55" w:rsidRPr="0034408F" w:rsidRDefault="00AD5A55" w:rsidP="002B3B42">
      <w:pPr>
        <w:rPr>
          <w:sz w:val="20"/>
          <w:szCs w:val="20"/>
        </w:rPr>
      </w:pPr>
      <w:r w:rsidRPr="0034408F">
        <w:rPr>
          <w:rStyle w:val="FootnoteReference"/>
          <w:sz w:val="20"/>
          <w:szCs w:val="20"/>
        </w:rPr>
        <w:footnoteRef/>
      </w:r>
      <w:r w:rsidRPr="0034408F">
        <w:rPr>
          <w:sz w:val="20"/>
          <w:szCs w:val="20"/>
        </w:rPr>
        <w:t xml:space="preserve"> Israel’s Second Periodic Report, pages 3-4. See also, Israel, Ministry of Foreign Affairs, “Israel settlements and international law”, 30 November 2015. Link: http://www.mfa.gov.il/mfa/foreignpolicy/peace/guide/pages/israeli%20settlements%20and%20int ernational%20law.aspx.</w:t>
      </w:r>
      <w:r w:rsidR="0034408F">
        <w:rPr>
          <w:sz w:val="20"/>
          <w:szCs w:val="20"/>
        </w:rPr>
        <w:t xml:space="preserve"> </w:t>
      </w:r>
      <w:r w:rsidRPr="0034408F">
        <w:rPr>
          <w:sz w:val="20"/>
          <w:szCs w:val="20"/>
        </w:rPr>
        <w:t xml:space="preserve">     </w:t>
      </w:r>
    </w:p>
  </w:footnote>
  <w:footnote w:id="3">
    <w:p w14:paraId="7BDD0009" w14:textId="77777777" w:rsidR="00AD5A55" w:rsidRPr="0034408F" w:rsidRDefault="00AD5A55" w:rsidP="002B3B42">
      <w:pPr>
        <w:rPr>
          <w:sz w:val="20"/>
          <w:szCs w:val="20"/>
        </w:rPr>
      </w:pPr>
      <w:r w:rsidRPr="0034408F">
        <w:rPr>
          <w:rStyle w:val="FootnoteReference"/>
          <w:sz w:val="20"/>
          <w:szCs w:val="20"/>
        </w:rPr>
        <w:footnoteRef/>
      </w:r>
      <w:r w:rsidRPr="0034408F">
        <w:rPr>
          <w:sz w:val="20"/>
          <w:szCs w:val="20"/>
        </w:rPr>
        <w:t xml:space="preserve"> Report of the Special Rapporteur on the situation of human rights in the Palestinian territories occupied since 1967 (A/72/556) 23 October 2017. Para. 25. </w:t>
      </w:r>
    </w:p>
  </w:footnote>
  <w:footnote w:id="4">
    <w:p w14:paraId="6857586C" w14:textId="77777777" w:rsidR="00AD5A55" w:rsidRPr="0034408F" w:rsidRDefault="00AD5A55" w:rsidP="002B3B42">
      <w:pPr>
        <w:pStyle w:val="FootnoteText"/>
        <w:ind w:left="0" w:right="0" w:firstLine="0"/>
        <w:rPr>
          <w:sz w:val="20"/>
          <w:lang w:val="en-US"/>
        </w:rPr>
      </w:pPr>
      <w:r w:rsidRPr="0034408F">
        <w:rPr>
          <w:rStyle w:val="FootnoteReference"/>
          <w:sz w:val="20"/>
        </w:rPr>
        <w:footnoteRef/>
      </w:r>
      <w:r w:rsidRPr="0034408F">
        <w:rPr>
          <w:sz w:val="20"/>
        </w:rPr>
        <w:t xml:space="preserve"> See Security Council resolution 237 (1967).</w:t>
      </w:r>
    </w:p>
  </w:footnote>
  <w:footnote w:id="5">
    <w:p w14:paraId="79E8160D" w14:textId="77777777" w:rsidR="00AD5A55" w:rsidRPr="0034408F" w:rsidRDefault="00AD5A55" w:rsidP="002B3B42">
      <w:pPr>
        <w:pStyle w:val="FootnoteText"/>
        <w:ind w:left="0" w:right="0" w:firstLine="0"/>
        <w:rPr>
          <w:sz w:val="20"/>
        </w:rPr>
      </w:pPr>
      <w:r w:rsidRPr="0034408F">
        <w:rPr>
          <w:rStyle w:val="FootnoteReference"/>
          <w:sz w:val="20"/>
        </w:rPr>
        <w:footnoteRef/>
      </w:r>
      <w:r w:rsidRPr="0034408F">
        <w:rPr>
          <w:sz w:val="20"/>
        </w:rPr>
        <w:t xml:space="preserve"> See Security Council resolution 2334 (2016). </w:t>
      </w:r>
    </w:p>
  </w:footnote>
  <w:footnote w:id="6">
    <w:p w14:paraId="57A2E35D" w14:textId="77777777" w:rsidR="00AD5A55" w:rsidRPr="0034408F" w:rsidRDefault="00AD5A55" w:rsidP="002B3B42">
      <w:pPr>
        <w:pStyle w:val="FootnoteText"/>
        <w:ind w:left="0" w:right="0" w:firstLine="0"/>
        <w:rPr>
          <w:sz w:val="20"/>
          <w:lang w:val="en-US"/>
        </w:rPr>
      </w:pPr>
      <w:r w:rsidRPr="0034408F">
        <w:rPr>
          <w:rStyle w:val="FootnoteReference"/>
          <w:sz w:val="20"/>
        </w:rPr>
        <w:footnoteRef/>
      </w:r>
      <w:r w:rsidRPr="0034408F">
        <w:rPr>
          <w:sz w:val="20"/>
        </w:rPr>
        <w:t xml:space="preserve"> Fourth Geneva Convention, art. 4. </w:t>
      </w:r>
    </w:p>
  </w:footnote>
  <w:footnote w:id="7">
    <w:p w14:paraId="1EF93D54" w14:textId="77777777" w:rsidR="00AD5A55" w:rsidRPr="0034408F" w:rsidRDefault="00AD5A55" w:rsidP="002B3B42">
      <w:pPr>
        <w:pStyle w:val="FootnoteText"/>
        <w:ind w:left="0" w:right="0" w:firstLine="0"/>
        <w:rPr>
          <w:sz w:val="20"/>
          <w:lang w:val="en-US"/>
        </w:rPr>
      </w:pPr>
      <w:r w:rsidRPr="0034408F">
        <w:rPr>
          <w:rStyle w:val="FootnoteReference"/>
          <w:sz w:val="20"/>
        </w:rPr>
        <w:footnoteRef/>
      </w:r>
      <w:r w:rsidRPr="0034408F">
        <w:rPr>
          <w:sz w:val="20"/>
        </w:rPr>
        <w:t xml:space="preserve"> </w:t>
      </w:r>
      <w:r w:rsidRPr="0034408F">
        <w:rPr>
          <w:sz w:val="20"/>
          <w:lang w:val="en-US"/>
        </w:rPr>
        <w:t xml:space="preserve">Cabinet Resolution Regarding the Disengagement Plan, Government of Israel, as published by the Prime Minister’s office, 6 June 2004, art 6. </w:t>
      </w:r>
    </w:p>
  </w:footnote>
  <w:footnote w:id="8">
    <w:p w14:paraId="5AB2917C" w14:textId="77777777" w:rsidR="00AD5A55" w:rsidRPr="0034408F" w:rsidRDefault="00AD5A55" w:rsidP="002B3B42">
      <w:pPr>
        <w:pStyle w:val="FootnoteText"/>
        <w:ind w:left="0" w:right="0" w:firstLine="0"/>
        <w:rPr>
          <w:sz w:val="20"/>
        </w:rPr>
      </w:pPr>
      <w:r w:rsidRPr="0034408F">
        <w:rPr>
          <w:rStyle w:val="FootnoteReference"/>
          <w:sz w:val="20"/>
        </w:rPr>
        <w:footnoteRef/>
      </w:r>
      <w:r w:rsidRPr="0034408F">
        <w:rPr>
          <w:sz w:val="20"/>
        </w:rPr>
        <w:t xml:space="preserve"> Report of the Special Rapporteur on the situation of human rights in the Palestinian territories occupied since 1967 (A/72/556) 23 October 2017. Para. 56 </w:t>
      </w:r>
    </w:p>
  </w:footnote>
  <w:footnote w:id="9">
    <w:p w14:paraId="0F843750" w14:textId="77777777" w:rsidR="00AD5A55" w:rsidRPr="0034408F" w:rsidRDefault="00AD5A55" w:rsidP="002B3B42">
      <w:pPr>
        <w:pStyle w:val="NormalWeb"/>
        <w:spacing w:before="0" w:beforeAutospacing="0" w:after="0" w:afterAutospacing="0"/>
        <w:rPr>
          <w:sz w:val="20"/>
          <w:szCs w:val="20"/>
        </w:rPr>
      </w:pPr>
      <w:r w:rsidRPr="0034408F">
        <w:rPr>
          <w:rStyle w:val="FootnoteReference"/>
          <w:sz w:val="20"/>
          <w:szCs w:val="20"/>
        </w:rPr>
        <w:footnoteRef/>
      </w:r>
      <w:r w:rsidRPr="0034408F">
        <w:rPr>
          <w:sz w:val="20"/>
          <w:szCs w:val="20"/>
        </w:rPr>
        <w:t xml:space="preserve"> </w:t>
      </w:r>
      <w:r w:rsidRPr="0034408F">
        <w:rPr>
          <w:rFonts w:eastAsia="Cambria"/>
          <w:sz w:val="20"/>
          <w:szCs w:val="20"/>
          <w:lang w:bidi="he-IL"/>
        </w:rPr>
        <w:t>Concluding observations of the Committee on Economic, Social and Cultural Rights – Israel (E/C.12/ISR/CO/3). 16 December 2011</w:t>
      </w:r>
      <w:r w:rsidRPr="0034408F">
        <w:rPr>
          <w:sz w:val="20"/>
          <w:szCs w:val="20"/>
        </w:rPr>
        <w:t xml:space="preserve">. Para. 3. </w:t>
      </w:r>
    </w:p>
  </w:footnote>
  <w:footnote w:id="10">
    <w:p w14:paraId="5E4AB5CD" w14:textId="02CE8380" w:rsidR="00AD5A55" w:rsidRPr="0034408F" w:rsidRDefault="00AD5A55" w:rsidP="002B3B42">
      <w:pPr>
        <w:pStyle w:val="FootnoteText"/>
        <w:ind w:left="0" w:right="0" w:firstLine="0"/>
        <w:rPr>
          <w:sz w:val="20"/>
        </w:rPr>
      </w:pPr>
      <w:r w:rsidRPr="0034408F">
        <w:rPr>
          <w:rStyle w:val="FootnoteReference"/>
          <w:sz w:val="20"/>
        </w:rPr>
        <w:footnoteRef/>
      </w:r>
      <w:r w:rsidRPr="0034408F">
        <w:rPr>
          <w:sz w:val="20"/>
        </w:rPr>
        <w:t xml:space="preserve"> According to Al Mezan’s monitoring and documentation, from 2014 until </w:t>
      </w:r>
      <w:r w:rsidR="000A3587" w:rsidRPr="0034408F">
        <w:rPr>
          <w:sz w:val="20"/>
        </w:rPr>
        <w:t>5</w:t>
      </w:r>
      <w:r w:rsidRPr="0034408F">
        <w:rPr>
          <w:sz w:val="20"/>
        </w:rPr>
        <w:t xml:space="preserve"> </w:t>
      </w:r>
      <w:r w:rsidR="000A3587" w:rsidRPr="0034408F">
        <w:rPr>
          <w:sz w:val="20"/>
        </w:rPr>
        <w:t>September</w:t>
      </w:r>
      <w:r w:rsidRPr="0034408F">
        <w:rPr>
          <w:sz w:val="20"/>
        </w:rPr>
        <w:t xml:space="preserve"> 2019, the Israeli military entered Gaza 28</w:t>
      </w:r>
      <w:r w:rsidR="00EF4B08" w:rsidRPr="0034408F">
        <w:rPr>
          <w:sz w:val="20"/>
        </w:rPr>
        <w:t>7</w:t>
      </w:r>
      <w:r w:rsidRPr="0034408F">
        <w:rPr>
          <w:sz w:val="20"/>
        </w:rPr>
        <w:t xml:space="preserve"> times.</w:t>
      </w:r>
    </w:p>
  </w:footnote>
  <w:footnote w:id="11">
    <w:p w14:paraId="5F14AD82" w14:textId="77777777" w:rsidR="0001759C" w:rsidRPr="0034408F" w:rsidRDefault="0001759C" w:rsidP="002B3B42">
      <w:pPr>
        <w:pStyle w:val="FootnoteTextFollowing"/>
        <w:ind w:left="0" w:right="0"/>
        <w:rPr>
          <w:sz w:val="20"/>
          <w:szCs w:val="20"/>
        </w:rPr>
      </w:pPr>
      <w:r w:rsidRPr="0034408F">
        <w:rPr>
          <w:rStyle w:val="FootnoteCharacters"/>
          <w:sz w:val="20"/>
          <w:szCs w:val="20"/>
        </w:rPr>
        <w:footnoteRef/>
      </w:r>
      <w:r w:rsidRPr="0034408F">
        <w:rPr>
          <w:sz w:val="20"/>
          <w:szCs w:val="20"/>
        </w:rPr>
        <w:t xml:space="preserve"> Human Rights Committee, general comment No. 31, para. 15; Communication No. 821/1998, Chongwe v Zambia, Views adopted by the Human Rights Committee on 25 October 2000, para. 5.3. Communication No. 7/30, Human Rights Committee, General Comment No. 20, para. 14. The right to an effective remedy is contained within ICCPR art. 2(3); CERD art. 6; CAT art. 14; ICRMW art. 83; UDHR art. 8.</w:t>
      </w:r>
    </w:p>
  </w:footnote>
  <w:footnote w:id="12">
    <w:p w14:paraId="37513303" w14:textId="77777777" w:rsidR="0001759C" w:rsidRPr="0034408F" w:rsidRDefault="0001759C" w:rsidP="002B3B42">
      <w:pPr>
        <w:pStyle w:val="NormalWeb"/>
        <w:spacing w:before="0" w:beforeAutospacing="0" w:after="0" w:afterAutospacing="0"/>
        <w:rPr>
          <w:sz w:val="20"/>
          <w:szCs w:val="20"/>
          <w:lang w:bidi="he-IL"/>
        </w:rPr>
      </w:pPr>
      <w:r w:rsidRPr="0034408F">
        <w:rPr>
          <w:rStyle w:val="FootnoteReference"/>
          <w:sz w:val="20"/>
          <w:szCs w:val="20"/>
        </w:rPr>
        <w:footnoteRef/>
      </w:r>
      <w:r w:rsidRPr="0034408F">
        <w:rPr>
          <w:sz w:val="20"/>
          <w:szCs w:val="20"/>
        </w:rPr>
        <w:t xml:space="preserve"> </w:t>
      </w:r>
      <w:r w:rsidRPr="0034408F">
        <w:rPr>
          <w:sz w:val="20"/>
          <w:szCs w:val="20"/>
          <w:lang w:bidi="he-IL"/>
        </w:rPr>
        <w:t xml:space="preserve">HCJ 8276/05, Adalah v. The Minister of Defense (decision delivered 12 December 2006). </w:t>
      </w:r>
    </w:p>
  </w:footnote>
  <w:footnote w:id="13">
    <w:p w14:paraId="411ECB50" w14:textId="2A9B22EC" w:rsidR="0001759C" w:rsidRPr="0034408F" w:rsidRDefault="0001759C" w:rsidP="002B3B42">
      <w:pPr>
        <w:pStyle w:val="FootnoteText"/>
        <w:ind w:left="0" w:right="0" w:firstLine="0"/>
        <w:rPr>
          <w:sz w:val="20"/>
          <w:lang w:val="en-US"/>
        </w:rPr>
      </w:pPr>
      <w:r w:rsidRPr="0034408F">
        <w:rPr>
          <w:rStyle w:val="FootnoteReference"/>
          <w:sz w:val="20"/>
        </w:rPr>
        <w:footnoteRef/>
      </w:r>
      <w:r w:rsidRPr="0034408F">
        <w:rPr>
          <w:sz w:val="20"/>
        </w:rPr>
        <w:t xml:space="preserve"> </w:t>
      </w:r>
      <w:r w:rsidRPr="0034408F">
        <w:rPr>
          <w:rFonts w:eastAsia="Cambria"/>
          <w:sz w:val="20"/>
          <w:lang w:val="en-US" w:bidi="he-IL"/>
        </w:rPr>
        <w:t>Article 5 of The Civil Wrongs (State Liability) Law, 5712-1952, as amended in 2012. For more details see Adalah and others position pape</w:t>
      </w:r>
      <w:r w:rsidR="0034408F">
        <w:rPr>
          <w:rFonts w:eastAsia="Cambria"/>
          <w:sz w:val="20"/>
          <w:lang w:val="en-US" w:bidi="he-IL"/>
        </w:rPr>
        <w:t>r. Link</w:t>
      </w:r>
      <w:r w:rsidRPr="0034408F">
        <w:rPr>
          <w:rFonts w:eastAsia="Cambria"/>
          <w:sz w:val="20"/>
          <w:lang w:val="en-US" w:bidi="he-IL"/>
        </w:rPr>
        <w:t xml:space="preserve">: </w:t>
      </w:r>
      <w:hyperlink r:id="rId1" w:history="1">
        <w:r w:rsidRPr="0034408F">
          <w:rPr>
            <w:rStyle w:val="Hyperlink"/>
            <w:rFonts w:eastAsia="Cambria"/>
            <w:sz w:val="20"/>
            <w:lang w:val="en-US" w:bidi="he-IL"/>
          </w:rPr>
          <w:t>http://adalah.org/features/compensation/positionpaper-e.pdf</w:t>
        </w:r>
      </w:hyperlink>
      <w:r w:rsidRPr="0034408F">
        <w:rPr>
          <w:rFonts w:eastAsia="Cambria"/>
          <w:sz w:val="20"/>
          <w:lang w:val="en-US" w:bidi="he-IL"/>
        </w:rPr>
        <w:t xml:space="preserve"> </w:t>
      </w:r>
    </w:p>
  </w:footnote>
  <w:footnote w:id="14">
    <w:p w14:paraId="556A9201" w14:textId="77777777" w:rsidR="0001759C" w:rsidRPr="0034408F" w:rsidRDefault="0001759C" w:rsidP="002B3B42">
      <w:pPr>
        <w:pStyle w:val="FootnoteText"/>
        <w:ind w:left="0" w:right="0" w:firstLine="0"/>
        <w:rPr>
          <w:sz w:val="20"/>
        </w:rPr>
      </w:pPr>
      <w:r w:rsidRPr="0034408F">
        <w:rPr>
          <w:rStyle w:val="FootnoteReference"/>
          <w:sz w:val="20"/>
        </w:rPr>
        <w:footnoteRef/>
      </w:r>
      <w:r w:rsidRPr="0034408F">
        <w:rPr>
          <w:sz w:val="20"/>
        </w:rPr>
        <w:t xml:space="preserve"> Article 1 of The Civil Wrongs (State Liability) Law, 5712-1952, as amended in 2012. Unofficial translation. </w:t>
      </w:r>
    </w:p>
  </w:footnote>
  <w:footnote w:id="15">
    <w:p w14:paraId="74701750" w14:textId="77777777" w:rsidR="0001759C" w:rsidRPr="0034408F" w:rsidRDefault="0001759C" w:rsidP="002B3B42">
      <w:pPr>
        <w:pStyle w:val="FootnoteTextFollowing"/>
        <w:ind w:left="0" w:right="0"/>
        <w:rPr>
          <w:sz w:val="20"/>
          <w:szCs w:val="20"/>
        </w:rPr>
      </w:pPr>
      <w:r w:rsidRPr="0034408F">
        <w:rPr>
          <w:rStyle w:val="FootnoteCharacters"/>
          <w:sz w:val="20"/>
          <w:szCs w:val="20"/>
        </w:rPr>
        <w:footnoteRef/>
      </w:r>
      <w:r w:rsidRPr="0034408F">
        <w:rPr>
          <w:sz w:val="20"/>
          <w:szCs w:val="20"/>
        </w:rPr>
        <w:t xml:space="preserve"> Section 5B(a)(1), The Civil Wrongs (State Liability) Law, 5712-1952.</w:t>
      </w:r>
    </w:p>
  </w:footnote>
  <w:footnote w:id="16">
    <w:p w14:paraId="0B3B47EF" w14:textId="77777777" w:rsidR="0001759C" w:rsidRPr="0034408F" w:rsidRDefault="0001759C" w:rsidP="002B3B42">
      <w:pPr>
        <w:rPr>
          <w:sz w:val="20"/>
          <w:szCs w:val="20"/>
        </w:rPr>
      </w:pPr>
      <w:r w:rsidRPr="0034408F">
        <w:rPr>
          <w:rStyle w:val="FootnoteReference"/>
          <w:sz w:val="20"/>
          <w:szCs w:val="20"/>
        </w:rPr>
        <w:footnoteRef/>
      </w:r>
      <w:r w:rsidRPr="0034408F">
        <w:rPr>
          <w:sz w:val="20"/>
          <w:szCs w:val="20"/>
        </w:rPr>
        <w:t xml:space="preserve"> Declaration of the Gaza Strip as "Enemy Territory" according to the Civil Wrongs (State Liability) Law, 5712-1952, link: </w:t>
      </w:r>
      <w:hyperlink r:id="rId2" w:history="1">
        <w:r w:rsidRPr="0034408F">
          <w:rPr>
            <w:rStyle w:val="Hyperlink"/>
            <w:sz w:val="20"/>
            <w:szCs w:val="20"/>
          </w:rPr>
          <w:t>http://www.hamoked.org/files/2015/1159681_eng.pdf</w:t>
        </w:r>
      </w:hyperlink>
    </w:p>
  </w:footnote>
  <w:footnote w:id="17">
    <w:p w14:paraId="3E5FC1F9" w14:textId="4F043EF2" w:rsidR="0001759C" w:rsidRPr="0034408F" w:rsidRDefault="0001759C" w:rsidP="0061214A">
      <w:pPr>
        <w:pStyle w:val="FootnoteText"/>
        <w:spacing w:line="240" w:lineRule="auto"/>
        <w:ind w:left="0" w:right="0" w:firstLine="0"/>
        <w:rPr>
          <w:sz w:val="20"/>
        </w:rPr>
      </w:pPr>
      <w:r w:rsidRPr="0034408F">
        <w:rPr>
          <w:rStyle w:val="FootnoteReference"/>
          <w:sz w:val="20"/>
        </w:rPr>
        <w:footnoteRef/>
      </w:r>
      <w:r w:rsidRPr="0034408F">
        <w:rPr>
          <w:sz w:val="20"/>
        </w:rPr>
        <w:t xml:space="preserve"> Al Mezan</w:t>
      </w:r>
      <w:r w:rsidR="0061214A" w:rsidRPr="0034408F">
        <w:rPr>
          <w:sz w:val="20"/>
        </w:rPr>
        <w:t xml:space="preserve"> position paper</w:t>
      </w:r>
      <w:r w:rsidRPr="0034408F">
        <w:rPr>
          <w:sz w:val="20"/>
        </w:rPr>
        <w:t>, “UPDATE: NO REPARATIONS IN ISRAEL FOR PALESTINIANS - HOW ISRAEL’S AMENDMENT NO. 8 LEAVES NO ROOM FOR RECOURSE GAZA</w:t>
      </w:r>
      <w:r w:rsidR="0061214A" w:rsidRPr="0034408F">
        <w:rPr>
          <w:sz w:val="20"/>
        </w:rPr>
        <w:t>”</w:t>
      </w:r>
      <w:r w:rsidRPr="0034408F">
        <w:rPr>
          <w:sz w:val="20"/>
        </w:rPr>
        <w:t xml:space="preserve">, </w:t>
      </w:r>
      <w:r w:rsidR="0061214A" w:rsidRPr="0034408F">
        <w:rPr>
          <w:sz w:val="20"/>
        </w:rPr>
        <w:t>December</w:t>
      </w:r>
      <w:r w:rsidRPr="0034408F">
        <w:rPr>
          <w:sz w:val="20"/>
        </w:rPr>
        <w:t xml:space="preserve"> 2015</w:t>
      </w:r>
      <w:r w:rsidR="0061214A" w:rsidRPr="0034408F">
        <w:rPr>
          <w:sz w:val="20"/>
        </w:rPr>
        <w:t>.</w:t>
      </w:r>
      <w:r w:rsidRPr="0034408F">
        <w:rPr>
          <w:sz w:val="20"/>
        </w:rPr>
        <w:t xml:space="preserve"> Link: </w:t>
      </w:r>
      <w:hyperlink r:id="rId3" w:history="1">
        <w:r w:rsidRPr="0034408F">
          <w:rPr>
            <w:rStyle w:val="Hyperlink"/>
            <w:sz w:val="20"/>
          </w:rPr>
          <w:t>http://mezan.org/en/post/20954</w:t>
        </w:r>
      </w:hyperlink>
      <w:r w:rsidRPr="0034408F">
        <w:rPr>
          <w:sz w:val="20"/>
        </w:rPr>
        <w:t xml:space="preserve"> </w:t>
      </w:r>
    </w:p>
  </w:footnote>
  <w:footnote w:id="18">
    <w:p w14:paraId="7AA1329D" w14:textId="208079D3" w:rsidR="0001759C" w:rsidRPr="0034408F" w:rsidRDefault="0001759C" w:rsidP="002B3B42">
      <w:pPr>
        <w:pStyle w:val="FootnoteText"/>
        <w:ind w:left="0" w:right="0" w:firstLine="0"/>
        <w:rPr>
          <w:sz w:val="20"/>
          <w:lang w:val="en-US"/>
        </w:rPr>
      </w:pPr>
      <w:r w:rsidRPr="0034408F">
        <w:rPr>
          <w:rStyle w:val="FootnoteReference"/>
          <w:sz w:val="20"/>
        </w:rPr>
        <w:footnoteRef/>
      </w:r>
      <w:r w:rsidRPr="0034408F">
        <w:rPr>
          <w:sz w:val="20"/>
        </w:rPr>
        <w:t xml:space="preserve"> Adalah </w:t>
      </w:r>
      <w:r w:rsidR="0061214A" w:rsidRPr="0034408F">
        <w:rPr>
          <w:sz w:val="20"/>
        </w:rPr>
        <w:t>p</w:t>
      </w:r>
      <w:r w:rsidRPr="0034408F">
        <w:rPr>
          <w:sz w:val="20"/>
        </w:rPr>
        <w:t xml:space="preserve">osition </w:t>
      </w:r>
      <w:r w:rsidR="0061214A" w:rsidRPr="0034408F">
        <w:rPr>
          <w:sz w:val="20"/>
        </w:rPr>
        <w:t>p</w:t>
      </w:r>
      <w:r w:rsidRPr="0034408F">
        <w:rPr>
          <w:sz w:val="20"/>
        </w:rPr>
        <w:t>aper, “Obstacles for Palestinians in Seeking Civil Remedies for Damages before Israeli Courts</w:t>
      </w:r>
      <w:r w:rsidR="0034408F">
        <w:rPr>
          <w:sz w:val="20"/>
        </w:rPr>
        <w:t xml:space="preserve">”, </w:t>
      </w:r>
      <w:r w:rsidRPr="0034408F">
        <w:rPr>
          <w:sz w:val="20"/>
        </w:rPr>
        <w:t>2013</w:t>
      </w:r>
      <w:r w:rsidR="0034408F">
        <w:rPr>
          <w:sz w:val="20"/>
        </w:rPr>
        <w:t>. Link:</w:t>
      </w:r>
      <w:r w:rsidRPr="0034408F">
        <w:rPr>
          <w:sz w:val="20"/>
        </w:rPr>
        <w:t xml:space="preserve"> </w:t>
      </w:r>
      <w:hyperlink r:id="rId4" w:history="1">
        <w:r w:rsidRPr="0034408F">
          <w:rPr>
            <w:rStyle w:val="Hyperlink"/>
            <w:sz w:val="20"/>
          </w:rPr>
          <w:t>https://www.adalah.org/uploads/oldfiles/Public/files/English/Publications/Articles/2013/Obstacles-Palestinians-Court-Fatmeh-ElAjou-05-13.pdf</w:t>
        </w:r>
      </w:hyperlink>
      <w:r w:rsidRPr="0034408F">
        <w:rPr>
          <w:sz w:val="20"/>
        </w:rPr>
        <w:t xml:space="preserve"> </w:t>
      </w:r>
    </w:p>
  </w:footnote>
  <w:footnote w:id="19">
    <w:p w14:paraId="151FA3FA" w14:textId="77777777" w:rsidR="0001759C" w:rsidRPr="0034408F" w:rsidRDefault="0001759C" w:rsidP="002B3B42">
      <w:pPr>
        <w:pStyle w:val="FootnoteText"/>
        <w:ind w:left="0" w:right="0" w:firstLine="0"/>
        <w:rPr>
          <w:sz w:val="20"/>
        </w:rPr>
      </w:pPr>
      <w:r w:rsidRPr="0034408F">
        <w:rPr>
          <w:rStyle w:val="FootnoteReference"/>
          <w:sz w:val="20"/>
        </w:rPr>
        <w:footnoteRef/>
      </w:r>
      <w:r w:rsidRPr="0034408F">
        <w:rPr>
          <w:sz w:val="20"/>
        </w:rPr>
        <w:t xml:space="preserve"> Al Mezan and Adalah, “Israel gives itself immunity from all damage claims filed by Gazans harmed by Israeli troops; Adalah, Al Mezan appeal to Supreme Court”, 10 February 2019. Link: </w:t>
      </w:r>
      <w:hyperlink r:id="rId5" w:history="1">
        <w:r w:rsidRPr="0034408F">
          <w:rPr>
            <w:rStyle w:val="Hyperlink"/>
            <w:sz w:val="20"/>
          </w:rPr>
          <w:t>http://mezan.org/en/post/23370</w:t>
        </w:r>
      </w:hyperlink>
      <w:r w:rsidRPr="0034408F">
        <w:rPr>
          <w:sz w:val="20"/>
        </w:rPr>
        <w:t xml:space="preserve"> </w:t>
      </w:r>
    </w:p>
  </w:footnote>
  <w:footnote w:id="20">
    <w:p w14:paraId="79E279DF" w14:textId="00781F86" w:rsidR="0001759C" w:rsidRPr="0034408F" w:rsidRDefault="0001759C" w:rsidP="002B3B42">
      <w:pPr>
        <w:pStyle w:val="FootnoteText"/>
        <w:ind w:left="0" w:right="0" w:firstLine="0"/>
        <w:rPr>
          <w:sz w:val="20"/>
        </w:rPr>
      </w:pPr>
      <w:r w:rsidRPr="0034408F">
        <w:rPr>
          <w:rStyle w:val="FootnoteReference"/>
          <w:sz w:val="20"/>
        </w:rPr>
        <w:footnoteRef/>
      </w:r>
      <w:r w:rsidRPr="0034408F">
        <w:rPr>
          <w:sz w:val="20"/>
        </w:rPr>
        <w:t xml:space="preserve"> Al Mezan and Adalah, </w:t>
      </w:r>
      <w:r w:rsidR="0061214A" w:rsidRPr="0034408F">
        <w:rPr>
          <w:sz w:val="20"/>
        </w:rPr>
        <w:t>ibid footnote 19</w:t>
      </w:r>
    </w:p>
  </w:footnote>
  <w:footnote w:id="21">
    <w:p w14:paraId="7D88A848" w14:textId="77777777" w:rsidR="0001759C" w:rsidRPr="0034408F" w:rsidRDefault="0001759C" w:rsidP="002B3B42">
      <w:pPr>
        <w:pStyle w:val="FootnoteText"/>
        <w:ind w:left="0" w:right="0" w:firstLine="0"/>
        <w:rPr>
          <w:i/>
          <w:iCs/>
          <w:sz w:val="20"/>
        </w:rPr>
      </w:pPr>
      <w:r w:rsidRPr="0034408F">
        <w:rPr>
          <w:rStyle w:val="FootnoteReference"/>
          <w:sz w:val="20"/>
        </w:rPr>
        <w:footnoteRef/>
      </w:r>
      <w:r w:rsidRPr="0034408F">
        <w:rPr>
          <w:sz w:val="20"/>
        </w:rPr>
        <w:t xml:space="preserve"> Al Mezan, “Israeli Court Dismisses Civil Case for Gaza Family, Further Entrenching Impunity”, 23 November 2017. Link:</w:t>
      </w:r>
      <w:r w:rsidRPr="0034408F">
        <w:rPr>
          <w:sz w:val="20"/>
          <w:rtl/>
        </w:rPr>
        <w:t> </w:t>
      </w:r>
      <w:hyperlink r:id="rId6" w:history="1">
        <w:r w:rsidRPr="0034408F">
          <w:rPr>
            <w:rStyle w:val="Hyperlink"/>
            <w:sz w:val="20"/>
          </w:rPr>
          <w:t>http://mezan.org/en/post/22132</w:t>
        </w:r>
      </w:hyperlink>
    </w:p>
  </w:footnote>
  <w:footnote w:id="22">
    <w:p w14:paraId="12EE7E52" w14:textId="77777777" w:rsidR="005533BB" w:rsidRPr="0034408F" w:rsidRDefault="005533BB" w:rsidP="002B3B42">
      <w:pPr>
        <w:pStyle w:val="FootnoteText"/>
        <w:ind w:left="0" w:right="0" w:firstLine="0"/>
        <w:rPr>
          <w:sz w:val="20"/>
        </w:rPr>
      </w:pPr>
      <w:r w:rsidRPr="0034408F">
        <w:rPr>
          <w:rStyle w:val="FootnoteReference"/>
          <w:sz w:val="20"/>
        </w:rPr>
        <w:footnoteRef/>
      </w:r>
      <w:r w:rsidRPr="0034408F">
        <w:rPr>
          <w:sz w:val="20"/>
        </w:rPr>
        <w:t xml:space="preserve"> </w:t>
      </w:r>
      <w:proofErr w:type="spellStart"/>
      <w:r w:rsidRPr="0034408F">
        <w:rPr>
          <w:sz w:val="20"/>
        </w:rPr>
        <w:t>Bersheva</w:t>
      </w:r>
      <w:proofErr w:type="spellEnd"/>
      <w:r w:rsidRPr="0034408F">
        <w:rPr>
          <w:sz w:val="20"/>
        </w:rPr>
        <w:t xml:space="preserve"> District Court's ruling on 20 Nov. 2017 in case no. 17-07-21677</w:t>
      </w:r>
    </w:p>
  </w:footnote>
  <w:footnote w:id="23">
    <w:p w14:paraId="3D7A30F1" w14:textId="77777777" w:rsidR="00561A40" w:rsidRPr="0034408F" w:rsidRDefault="00561A40" w:rsidP="002B3B42">
      <w:pPr>
        <w:pStyle w:val="FootnoteText"/>
        <w:ind w:left="0" w:right="0" w:firstLine="0"/>
        <w:rPr>
          <w:sz w:val="20"/>
        </w:rPr>
      </w:pPr>
      <w:r w:rsidRPr="0034408F">
        <w:rPr>
          <w:rStyle w:val="FootnoteReference"/>
          <w:sz w:val="20"/>
        </w:rPr>
        <w:footnoteRef/>
      </w:r>
      <w:r w:rsidRPr="0034408F">
        <w:rPr>
          <w:sz w:val="20"/>
        </w:rPr>
        <w:t xml:space="preserve"> Al Mezan, “Israeli Supreme Court Rejects Appeal in Abu Is’ayid Case”, 7 July 2019. Link:</w:t>
      </w:r>
      <w:r w:rsidRPr="0034408F">
        <w:rPr>
          <w:sz w:val="20"/>
          <w:rtl/>
        </w:rPr>
        <w:t> </w:t>
      </w:r>
      <w:hyperlink r:id="rId7" w:history="1">
        <w:r w:rsidRPr="0034408F">
          <w:rPr>
            <w:rStyle w:val="Hyperlink"/>
            <w:sz w:val="20"/>
          </w:rPr>
          <w:t>http://mezan.org/en/post/23552</w:t>
        </w:r>
      </w:hyperlink>
    </w:p>
  </w:footnote>
  <w:footnote w:id="24">
    <w:p w14:paraId="7EACD3DB" w14:textId="77777777" w:rsidR="0001759C" w:rsidRPr="0034408F" w:rsidRDefault="0001759C" w:rsidP="002B3B42">
      <w:pPr>
        <w:pStyle w:val="FootnoteText"/>
        <w:ind w:left="0" w:right="0" w:firstLine="0"/>
        <w:rPr>
          <w:sz w:val="20"/>
        </w:rPr>
      </w:pPr>
      <w:r w:rsidRPr="0034408F">
        <w:rPr>
          <w:rStyle w:val="FootnoteReference"/>
          <w:sz w:val="20"/>
        </w:rPr>
        <w:footnoteRef/>
      </w:r>
      <w:r w:rsidRPr="0034408F">
        <w:rPr>
          <w:sz w:val="20"/>
        </w:rPr>
        <w:t xml:space="preserve"> Appeal no. 5149/18 to the High Court of Justice (sitting as a Court of Appeal) - Jerusalem</w:t>
      </w:r>
    </w:p>
  </w:footnote>
  <w:footnote w:id="25">
    <w:p w14:paraId="101A601F" w14:textId="77777777" w:rsidR="00AD5A55" w:rsidRPr="0034408F" w:rsidRDefault="00AD5A55" w:rsidP="002B3B42">
      <w:pPr>
        <w:pStyle w:val="FootnoteText"/>
        <w:ind w:left="0" w:right="0" w:firstLine="0"/>
        <w:rPr>
          <w:sz w:val="20"/>
        </w:rPr>
      </w:pPr>
      <w:r w:rsidRPr="0034408F">
        <w:rPr>
          <w:rStyle w:val="FootnoteReference"/>
          <w:sz w:val="20"/>
        </w:rPr>
        <w:footnoteRef/>
      </w:r>
      <w:r w:rsidRPr="0034408F">
        <w:rPr>
          <w:sz w:val="20"/>
        </w:rPr>
        <w:t xml:space="preserve"> Al Mezan, “Briefing Paper Effects of Aerial Spraying on farmlands in the Gaza Strip”. Feb 2018, available at: </w:t>
      </w:r>
      <w:hyperlink r:id="rId8" w:history="1">
        <w:r w:rsidRPr="0034408F">
          <w:rPr>
            <w:rStyle w:val="Hyperlink"/>
            <w:sz w:val="20"/>
          </w:rPr>
          <w:t>http://www.mezan.org/en/uploads/files/15186958401955.pdf</w:t>
        </w:r>
      </w:hyperlink>
      <w:r w:rsidRPr="0034408F">
        <w:rPr>
          <w:sz w:val="20"/>
        </w:rPr>
        <w:t xml:space="preserve"> </w:t>
      </w:r>
    </w:p>
  </w:footnote>
  <w:footnote w:id="26">
    <w:p w14:paraId="5EE64B78" w14:textId="77777777" w:rsidR="00AD5A55" w:rsidRPr="0034408F" w:rsidRDefault="00AD5A55" w:rsidP="002B3B42">
      <w:pPr>
        <w:rPr>
          <w:sz w:val="20"/>
          <w:szCs w:val="20"/>
        </w:rPr>
      </w:pPr>
      <w:r w:rsidRPr="0034408F">
        <w:rPr>
          <w:rStyle w:val="FootnoteReference"/>
          <w:sz w:val="20"/>
          <w:szCs w:val="20"/>
        </w:rPr>
        <w:footnoteRef/>
      </w:r>
      <w:r w:rsidRPr="0034408F">
        <w:rPr>
          <w:sz w:val="20"/>
          <w:szCs w:val="20"/>
        </w:rPr>
        <w:t xml:space="preserve"> Al Mezan, Gisha and Adalah in urgent letter to Minister of Defense, Military Advocate General, and Attorney General: Stop spraying dangerous herbicides over the Gaza Strip</w:t>
      </w:r>
    </w:p>
    <w:p w14:paraId="43EA1C00" w14:textId="77777777" w:rsidR="00AD5A55" w:rsidRPr="0034408F" w:rsidRDefault="00AD5A55" w:rsidP="002B3B42">
      <w:pPr>
        <w:rPr>
          <w:sz w:val="20"/>
          <w:szCs w:val="20"/>
        </w:rPr>
      </w:pPr>
      <w:r w:rsidRPr="0034408F">
        <w:rPr>
          <w:sz w:val="20"/>
          <w:szCs w:val="20"/>
        </w:rPr>
        <w:t xml:space="preserve">9 January 2019. Link: </w:t>
      </w:r>
      <w:hyperlink r:id="rId9" w:history="1">
        <w:r w:rsidRPr="0034408F">
          <w:rPr>
            <w:rStyle w:val="Hyperlink"/>
            <w:sz w:val="20"/>
            <w:szCs w:val="20"/>
          </w:rPr>
          <w:t>https://gisha.org/press/9697</w:t>
        </w:r>
      </w:hyperlink>
      <w:r w:rsidRPr="0034408F">
        <w:rPr>
          <w:sz w:val="20"/>
          <w:szCs w:val="20"/>
        </w:rPr>
        <w:t xml:space="preserve"> </w:t>
      </w:r>
    </w:p>
  </w:footnote>
  <w:footnote w:id="27">
    <w:p w14:paraId="07410AF0" w14:textId="10BE8969" w:rsidR="00AD5A55" w:rsidRPr="0034408F" w:rsidRDefault="00AD5A55" w:rsidP="002B3B42">
      <w:pPr>
        <w:rPr>
          <w:sz w:val="20"/>
          <w:szCs w:val="20"/>
        </w:rPr>
      </w:pPr>
      <w:r w:rsidRPr="0034408F">
        <w:rPr>
          <w:rStyle w:val="FootnoteReference"/>
          <w:sz w:val="20"/>
          <w:szCs w:val="20"/>
        </w:rPr>
        <w:footnoteRef/>
      </w:r>
      <w:r w:rsidR="0034408F">
        <w:rPr>
          <w:sz w:val="20"/>
          <w:szCs w:val="20"/>
        </w:rPr>
        <w:t xml:space="preserve"> (Hebrew only) Link: </w:t>
      </w:r>
      <w:hyperlink r:id="rId10" w:history="1">
        <w:r w:rsidR="0034408F" w:rsidRPr="00765FFB">
          <w:rPr>
            <w:rStyle w:val="Hyperlink"/>
            <w:sz w:val="20"/>
            <w:szCs w:val="20"/>
          </w:rPr>
          <w:t>https://gisha.org/UserFiles/File/LegalDocuments/Military_advocate_general_response_spraying_March_2019.pdf</w:t>
        </w:r>
      </w:hyperlink>
      <w:r w:rsidR="0034408F">
        <w:rPr>
          <w:sz w:val="20"/>
          <w:szCs w:val="20"/>
        </w:rPr>
        <w:t xml:space="preserve">  </w:t>
      </w:r>
    </w:p>
  </w:footnote>
  <w:footnote w:id="28">
    <w:p w14:paraId="654D51FB" w14:textId="77777777" w:rsidR="00AD5A55" w:rsidRPr="0034408F" w:rsidRDefault="00AD5A55" w:rsidP="002B3B42">
      <w:pPr>
        <w:rPr>
          <w:sz w:val="20"/>
          <w:szCs w:val="20"/>
        </w:rPr>
      </w:pPr>
      <w:r w:rsidRPr="0034408F">
        <w:rPr>
          <w:rStyle w:val="FootnoteReference"/>
          <w:sz w:val="20"/>
          <w:szCs w:val="20"/>
        </w:rPr>
        <w:footnoteRef/>
      </w:r>
      <w:r w:rsidRPr="0034408F">
        <w:rPr>
          <w:sz w:val="20"/>
          <w:szCs w:val="20"/>
        </w:rPr>
        <w:t xml:space="preserve"> Forensic Architecture, “Herbicidal Warfare in Gaza”, 19 July 2019. Link: </w:t>
      </w:r>
      <w:hyperlink r:id="rId11" w:history="1">
        <w:r w:rsidRPr="0034408F">
          <w:rPr>
            <w:rStyle w:val="Hyperlink"/>
            <w:sz w:val="20"/>
            <w:szCs w:val="20"/>
          </w:rPr>
          <w:t>https://forensic-architecture.org/investigation/herbicidal-warfare-in-gaza/</w:t>
        </w:r>
      </w:hyperlink>
      <w:r w:rsidRPr="0034408F">
        <w:rPr>
          <w:sz w:val="20"/>
          <w:szCs w:val="20"/>
        </w:rPr>
        <w:t xml:space="preserve"> </w:t>
      </w:r>
    </w:p>
  </w:footnote>
  <w:footnote w:id="29">
    <w:p w14:paraId="624EFE3F" w14:textId="77777777" w:rsidR="00AD5A55" w:rsidRPr="0034408F" w:rsidRDefault="00AD5A55" w:rsidP="002B3B42">
      <w:pPr>
        <w:pStyle w:val="FootnoteText"/>
        <w:ind w:left="0" w:right="0" w:firstLine="0"/>
        <w:rPr>
          <w:sz w:val="20"/>
          <w:lang w:val="en-US"/>
        </w:rPr>
      </w:pPr>
      <w:r w:rsidRPr="0034408F">
        <w:rPr>
          <w:rStyle w:val="FootnoteReference"/>
          <w:sz w:val="20"/>
        </w:rPr>
        <w:footnoteRef/>
      </w:r>
      <w:r w:rsidRPr="0034408F">
        <w:rPr>
          <w:sz w:val="20"/>
        </w:rPr>
        <w:t xml:space="preserve"> See a video published by Al Mezan, Gisha and Adalah that attests to the potential of a season without spraying for Gaza’s farmers and herders whose livelihoods depend on the lands closest to the fence with Israel: “Stop the aerial herbicide spraying”, 21 July 2019. Link: </w:t>
      </w:r>
      <w:hyperlink r:id="rId12" w:history="1">
        <w:r w:rsidRPr="0034408F">
          <w:rPr>
            <w:rStyle w:val="Hyperlink"/>
            <w:sz w:val="20"/>
          </w:rPr>
          <w:t>https://www.youtube.com/watch?v=psfa8VvjeyM</w:t>
        </w:r>
      </w:hyperlink>
      <w:r w:rsidRPr="0034408F">
        <w:rPr>
          <w:sz w:val="20"/>
        </w:rPr>
        <w:t xml:space="preserve"> </w:t>
      </w:r>
    </w:p>
  </w:footnote>
  <w:footnote w:id="30">
    <w:p w14:paraId="0B7C9E97" w14:textId="77777777" w:rsidR="00AD5A55" w:rsidRPr="0034408F" w:rsidRDefault="00AD5A55" w:rsidP="002B3B42">
      <w:pPr>
        <w:rPr>
          <w:sz w:val="20"/>
          <w:szCs w:val="20"/>
        </w:rPr>
      </w:pPr>
      <w:r w:rsidRPr="0034408F">
        <w:rPr>
          <w:rStyle w:val="FootnoteReference"/>
          <w:sz w:val="20"/>
          <w:szCs w:val="20"/>
        </w:rPr>
        <w:footnoteRef/>
      </w:r>
      <w:r w:rsidRPr="0034408F">
        <w:rPr>
          <w:sz w:val="20"/>
          <w:szCs w:val="20"/>
        </w:rPr>
        <w:t xml:space="preserve"> For testimonies from farmers and herders in Gaza, see Al Mezan’s video, “Stop the aerial herbicide spraying”, 21 July 2019. Link: </w:t>
      </w:r>
      <w:hyperlink r:id="rId13" w:history="1">
        <w:r w:rsidRPr="0034408F">
          <w:rPr>
            <w:rStyle w:val="Hyperlink"/>
            <w:sz w:val="20"/>
            <w:szCs w:val="20"/>
          </w:rPr>
          <w:t>https://www.youtube.com/watch?v=psfa8VvjeyM</w:t>
        </w:r>
      </w:hyperlink>
      <w:r w:rsidRPr="0034408F">
        <w:rPr>
          <w:sz w:val="20"/>
          <w:szCs w:val="20"/>
        </w:rPr>
        <w:t xml:space="preserve"> </w:t>
      </w:r>
    </w:p>
  </w:footnote>
  <w:footnote w:id="31">
    <w:p w14:paraId="46DCC951" w14:textId="77777777" w:rsidR="00AD5A55" w:rsidRPr="0034408F" w:rsidRDefault="00AD5A55" w:rsidP="002B3B42">
      <w:pPr>
        <w:pStyle w:val="FootnoteText"/>
        <w:ind w:left="0" w:right="0" w:firstLine="0"/>
        <w:rPr>
          <w:sz w:val="20"/>
          <w:lang w:val="en-US"/>
        </w:rPr>
      </w:pPr>
      <w:r w:rsidRPr="0034408F">
        <w:rPr>
          <w:rStyle w:val="FootnoteReference"/>
          <w:sz w:val="20"/>
        </w:rPr>
        <w:footnoteRef/>
      </w:r>
      <w:r w:rsidRPr="0034408F">
        <w:rPr>
          <w:sz w:val="20"/>
        </w:rPr>
        <w:t xml:space="preserve"> Al Mezan, Gisha and Adalah, “</w:t>
      </w:r>
      <w:r w:rsidRPr="0034408F">
        <w:rPr>
          <w:sz w:val="20"/>
          <w:lang w:val="en-US"/>
        </w:rPr>
        <w:t xml:space="preserve">Joint Press Release: Israel to return 65 boats to Gaza fishermen following human rights NGOs’ petition to Israeli High Court”, 21 May 2019. Link: </w:t>
      </w:r>
      <w:r w:rsidRPr="0034408F">
        <w:rPr>
          <w:sz w:val="20"/>
          <w:rtl/>
        </w:rPr>
        <w:t> </w:t>
      </w:r>
      <w:hyperlink r:id="rId14" w:history="1">
        <w:r w:rsidRPr="0034408F">
          <w:rPr>
            <w:rStyle w:val="Hyperlink"/>
            <w:sz w:val="20"/>
            <w:lang w:val="en-US"/>
          </w:rPr>
          <w:t>http://mezan.org/en/post/23541</w:t>
        </w:r>
      </w:hyperlink>
    </w:p>
  </w:footnote>
  <w:footnote w:id="32">
    <w:p w14:paraId="1F2406B0" w14:textId="77777777" w:rsidR="00AD5A55" w:rsidRPr="0034408F" w:rsidRDefault="00AD5A55" w:rsidP="002B3B42">
      <w:pPr>
        <w:pStyle w:val="FootnoteText"/>
        <w:ind w:left="0" w:right="0" w:firstLine="0"/>
        <w:rPr>
          <w:sz w:val="20"/>
          <w:lang w:val="en-US"/>
        </w:rPr>
      </w:pPr>
      <w:r w:rsidRPr="0034408F">
        <w:rPr>
          <w:rStyle w:val="FootnoteReference"/>
          <w:sz w:val="20"/>
        </w:rPr>
        <w:footnoteRef/>
      </w:r>
      <w:r w:rsidRPr="0034408F">
        <w:rPr>
          <w:sz w:val="20"/>
        </w:rPr>
        <w:t xml:space="preserve"> High Court petition (Hebrew), 29 January 2019, Link: </w:t>
      </w:r>
      <w:hyperlink r:id="rId15" w:history="1">
        <w:r w:rsidRPr="0034408F">
          <w:rPr>
            <w:rStyle w:val="Hyperlink"/>
            <w:sz w:val="20"/>
            <w:lang w:val="en-US"/>
          </w:rPr>
          <w:t>https://www.gisha.org/UserFiles/File/Boats2019/Boats_petition.pdf</w:t>
        </w:r>
      </w:hyperlink>
    </w:p>
  </w:footnote>
  <w:footnote w:id="33">
    <w:p w14:paraId="442154BF" w14:textId="77777777" w:rsidR="00AD5A55" w:rsidRPr="0034408F" w:rsidRDefault="00AD5A55" w:rsidP="002B3B42">
      <w:pPr>
        <w:pStyle w:val="FootnoteText"/>
        <w:ind w:left="0" w:right="0" w:firstLine="0"/>
        <w:rPr>
          <w:b/>
          <w:bCs/>
          <w:sz w:val="20"/>
          <w:lang w:val="en-US"/>
        </w:rPr>
      </w:pPr>
      <w:r w:rsidRPr="0034408F">
        <w:rPr>
          <w:rStyle w:val="FootnoteReference"/>
          <w:sz w:val="20"/>
        </w:rPr>
        <w:footnoteRef/>
      </w:r>
      <w:r w:rsidRPr="0034408F">
        <w:rPr>
          <w:sz w:val="20"/>
        </w:rPr>
        <w:t xml:space="preserve"> Al Mezan, “</w:t>
      </w:r>
      <w:r w:rsidRPr="0034408F">
        <w:rPr>
          <w:sz w:val="20"/>
          <w:lang w:val="en-US"/>
        </w:rPr>
        <w:t xml:space="preserve">Israeli Gunboats Open Fire at Palestinian Fishing Boats, Arrest Six Fishermen and Confiscate a Boat Western Deir Al </w:t>
      </w:r>
      <w:proofErr w:type="spellStart"/>
      <w:r w:rsidRPr="0034408F">
        <w:rPr>
          <w:sz w:val="20"/>
          <w:lang w:val="en-US"/>
        </w:rPr>
        <w:t>Balah</w:t>
      </w:r>
      <w:proofErr w:type="spellEnd"/>
      <w:r w:rsidRPr="0034408F">
        <w:rPr>
          <w:sz w:val="20"/>
          <w:lang w:val="en-US"/>
        </w:rPr>
        <w:t xml:space="preserve">”, 9 September 2016. Link: </w:t>
      </w:r>
      <w:hyperlink r:id="rId16" w:history="1">
        <w:r w:rsidRPr="0034408F">
          <w:rPr>
            <w:rStyle w:val="Hyperlink"/>
            <w:sz w:val="20"/>
            <w:lang w:val="en-US"/>
          </w:rPr>
          <w:t>http://mezan.org/en/post/21541</w:t>
        </w:r>
      </w:hyperlink>
    </w:p>
  </w:footnote>
  <w:footnote w:id="34">
    <w:p w14:paraId="4DBCEFD0" w14:textId="77777777" w:rsidR="00AD5A55" w:rsidRPr="0034408F" w:rsidRDefault="00AD5A55" w:rsidP="002B3B42">
      <w:pPr>
        <w:pStyle w:val="FootnoteText"/>
        <w:ind w:left="0" w:right="0" w:firstLine="0"/>
        <w:rPr>
          <w:sz w:val="20"/>
        </w:rPr>
      </w:pPr>
      <w:r w:rsidRPr="0034408F">
        <w:rPr>
          <w:rStyle w:val="FootnoteReference"/>
          <w:sz w:val="20"/>
        </w:rPr>
        <w:footnoteRef/>
      </w:r>
      <w:r w:rsidRPr="0034408F">
        <w:rPr>
          <w:sz w:val="20"/>
        </w:rPr>
        <w:t xml:space="preserve"> </w:t>
      </w:r>
      <w:r w:rsidRPr="0034408F">
        <w:rPr>
          <w:sz w:val="20"/>
          <w:lang w:val="en-US"/>
        </w:rPr>
        <w:t xml:space="preserve">State’s response (Hebrew), 13 June 2019. Link: </w:t>
      </w:r>
      <w:hyperlink r:id="rId17" w:history="1">
        <w:r w:rsidRPr="0034408F">
          <w:rPr>
            <w:rStyle w:val="Hyperlink"/>
            <w:sz w:val="20"/>
          </w:rPr>
          <w:t>https://www.gisha.org/UserFiles/File/LegalDocuments/Boats_response2.pdf</w:t>
        </w:r>
      </w:hyperlink>
    </w:p>
  </w:footnote>
  <w:footnote w:id="35">
    <w:p w14:paraId="6448E2E4" w14:textId="77777777" w:rsidR="00AD5A55" w:rsidRPr="0034408F" w:rsidRDefault="00AD5A55" w:rsidP="002B3B42">
      <w:pPr>
        <w:rPr>
          <w:sz w:val="20"/>
          <w:szCs w:val="20"/>
        </w:rPr>
      </w:pPr>
      <w:r w:rsidRPr="0034408F">
        <w:rPr>
          <w:rStyle w:val="FootnoteReference"/>
          <w:sz w:val="20"/>
          <w:szCs w:val="20"/>
        </w:rPr>
        <w:footnoteRef/>
      </w:r>
      <w:r w:rsidRPr="0034408F">
        <w:rPr>
          <w:sz w:val="20"/>
          <w:szCs w:val="20"/>
        </w:rPr>
        <w:t xml:space="preserve"> Gisha, “Following Gisha’s legal battle and advocacy: COGAT has published the “list of dual-use items”, 2 April 2017. Link: </w:t>
      </w:r>
      <w:hyperlink r:id="rId18" w:history="1">
        <w:r w:rsidRPr="0034408F">
          <w:rPr>
            <w:rStyle w:val="Hyperlink"/>
            <w:sz w:val="20"/>
            <w:szCs w:val="20"/>
          </w:rPr>
          <w:t>https://gisha.org/updates/6066</w:t>
        </w:r>
      </w:hyperlink>
      <w:r w:rsidRPr="0034408F">
        <w:rPr>
          <w:sz w:val="20"/>
          <w:szCs w:val="20"/>
        </w:rPr>
        <w:t xml:space="preserve"> </w:t>
      </w:r>
    </w:p>
  </w:footnote>
  <w:footnote w:id="36">
    <w:p w14:paraId="5B3526FC" w14:textId="77777777" w:rsidR="00AD5A55" w:rsidRPr="0034408F" w:rsidRDefault="00AD5A55" w:rsidP="002B3B42">
      <w:pPr>
        <w:pStyle w:val="FootnoteText"/>
        <w:ind w:left="0" w:right="0" w:firstLine="0"/>
        <w:rPr>
          <w:sz w:val="20"/>
        </w:rPr>
      </w:pPr>
      <w:r w:rsidRPr="0034408F">
        <w:rPr>
          <w:rStyle w:val="FootnoteReference"/>
          <w:sz w:val="20"/>
        </w:rPr>
        <w:footnoteRef/>
      </w:r>
      <w:r w:rsidRPr="0034408F">
        <w:rPr>
          <w:sz w:val="20"/>
        </w:rPr>
        <w:t xml:space="preserve"> Information up-to-date as of 28 August 2019. </w:t>
      </w:r>
    </w:p>
  </w:footnote>
  <w:footnote w:id="37">
    <w:p w14:paraId="21256971" w14:textId="77777777" w:rsidR="00AD5A55" w:rsidRPr="0034408F" w:rsidRDefault="00AD5A55" w:rsidP="002B3B42">
      <w:pPr>
        <w:pStyle w:val="FootnoteText"/>
        <w:ind w:left="0" w:right="0" w:firstLine="0"/>
        <w:rPr>
          <w:sz w:val="20"/>
          <w:lang w:val="en-US"/>
        </w:rPr>
      </w:pPr>
      <w:r w:rsidRPr="0034408F">
        <w:rPr>
          <w:rStyle w:val="FootnoteReference"/>
          <w:sz w:val="20"/>
        </w:rPr>
        <w:footnoteRef/>
      </w:r>
      <w:r w:rsidRPr="0034408F">
        <w:rPr>
          <w:sz w:val="20"/>
        </w:rPr>
        <w:t xml:space="preserve"> Al Mezan, “Israeli Naval Forces Detain Fisherman and Confiscate Boat”, 5 August 2019. Link: </w:t>
      </w:r>
      <w:hyperlink r:id="rId19" w:history="1">
        <w:r w:rsidRPr="0034408F">
          <w:rPr>
            <w:rStyle w:val="Hyperlink"/>
            <w:sz w:val="20"/>
          </w:rPr>
          <w:t>http://mezan.org/en/post/23561</w:t>
        </w:r>
      </w:hyperlink>
      <w:r w:rsidRPr="0034408F">
        <w:rPr>
          <w:sz w:val="20"/>
        </w:rPr>
        <w:t xml:space="preserve"> </w:t>
      </w:r>
    </w:p>
  </w:footnote>
  <w:footnote w:id="38">
    <w:p w14:paraId="334ACA00" w14:textId="77777777" w:rsidR="00AD5A55" w:rsidRPr="0034408F" w:rsidRDefault="00AD5A55" w:rsidP="002B3B42">
      <w:pPr>
        <w:pStyle w:val="FootnoteText"/>
        <w:ind w:left="0" w:right="0" w:firstLine="0"/>
        <w:rPr>
          <w:sz w:val="20"/>
          <w:lang w:val="en-US"/>
        </w:rPr>
      </w:pPr>
      <w:r w:rsidRPr="0034408F">
        <w:rPr>
          <w:rStyle w:val="FootnoteReference"/>
          <w:sz w:val="20"/>
        </w:rPr>
        <w:footnoteRef/>
      </w:r>
      <w:r w:rsidRPr="0034408F">
        <w:rPr>
          <w:sz w:val="20"/>
        </w:rPr>
        <w:t xml:space="preserve"> Gisha, “Israel imposes full maritime closure on Gaza for third time this year”, 13 June 2019. Link: </w:t>
      </w:r>
      <w:hyperlink r:id="rId20" w:history="1">
        <w:r w:rsidRPr="0034408F">
          <w:rPr>
            <w:rStyle w:val="Hyperlink"/>
            <w:sz w:val="20"/>
          </w:rPr>
          <w:t>https://gisha.org/updates/10120</w:t>
        </w:r>
      </w:hyperlink>
      <w:r w:rsidRPr="0034408F">
        <w:rPr>
          <w:sz w:val="20"/>
        </w:rPr>
        <w:t xml:space="preserve"> </w:t>
      </w:r>
    </w:p>
  </w:footnote>
  <w:footnote w:id="39">
    <w:p w14:paraId="57343372" w14:textId="77777777" w:rsidR="00AD5A55" w:rsidRPr="0034408F" w:rsidRDefault="00AD5A55" w:rsidP="002B3B42">
      <w:pPr>
        <w:pStyle w:val="FootnoteText"/>
        <w:ind w:left="0" w:right="0" w:firstLine="0"/>
        <w:rPr>
          <w:sz w:val="20"/>
          <w:lang w:val="en-US"/>
        </w:rPr>
      </w:pPr>
      <w:r w:rsidRPr="0034408F">
        <w:rPr>
          <w:rStyle w:val="FootnoteReference"/>
          <w:sz w:val="20"/>
        </w:rPr>
        <w:footnoteRef/>
      </w:r>
      <w:r w:rsidRPr="0034408F">
        <w:rPr>
          <w:sz w:val="20"/>
        </w:rPr>
        <w:t xml:space="preserve"> For Gisha’s infographic on the 15 changes, see: </w:t>
      </w:r>
      <w:hyperlink r:id="rId21" w:history="1">
        <w:r w:rsidRPr="0034408F">
          <w:rPr>
            <w:rStyle w:val="Hyperlink"/>
            <w:sz w:val="20"/>
          </w:rPr>
          <w:t>https://giphy.com/gifs/dvyVl21jWohdMdsXBg</w:t>
        </w:r>
      </w:hyperlink>
      <w:r w:rsidRPr="0034408F">
        <w:rPr>
          <w:sz w:val="20"/>
        </w:rPr>
        <w:t xml:space="preserve"> </w:t>
      </w:r>
    </w:p>
  </w:footnote>
  <w:footnote w:id="40">
    <w:p w14:paraId="08A68744" w14:textId="77777777" w:rsidR="00AD5A55" w:rsidRPr="0034408F" w:rsidRDefault="00AD5A55" w:rsidP="002B3B42">
      <w:pPr>
        <w:pStyle w:val="FootnoteText"/>
        <w:ind w:left="0" w:right="0" w:firstLine="0"/>
        <w:rPr>
          <w:color w:val="000000" w:themeColor="text1"/>
          <w:sz w:val="20"/>
        </w:rPr>
      </w:pPr>
      <w:r w:rsidRPr="0034408F">
        <w:rPr>
          <w:rStyle w:val="FootnoteReference"/>
          <w:sz w:val="20"/>
        </w:rPr>
        <w:footnoteRef/>
      </w:r>
      <w:r w:rsidRPr="0034408F">
        <w:rPr>
          <w:sz w:val="20"/>
        </w:rPr>
        <w:t xml:space="preserve"> For example, after the Israeli military announced that two soldiers were shot with fire emanating from Gaza, the Israeli authorities </w:t>
      </w:r>
      <w:r w:rsidRPr="0034408F">
        <w:rPr>
          <w:color w:val="000000" w:themeColor="text1"/>
          <w:sz w:val="20"/>
        </w:rPr>
        <w:t xml:space="preserve">prohibited Palestinian fishermen from accessing Palestine’s territorial waters and enforced a general closure of Gaza’s crossing points with Israel </w:t>
      </w:r>
      <w:r w:rsidRPr="0034408F">
        <w:rPr>
          <w:sz w:val="20"/>
        </w:rPr>
        <w:t>b</w:t>
      </w:r>
      <w:r w:rsidRPr="0034408F">
        <w:rPr>
          <w:color w:val="000000" w:themeColor="text1"/>
          <w:sz w:val="20"/>
        </w:rPr>
        <w:t xml:space="preserve">etween 4-9 May 2019. For more information see Gisha’s press release, “Gisha in urgent letter to Israeli </w:t>
      </w:r>
      <w:proofErr w:type="spellStart"/>
      <w:r w:rsidRPr="0034408F">
        <w:rPr>
          <w:color w:val="000000" w:themeColor="text1"/>
          <w:sz w:val="20"/>
        </w:rPr>
        <w:t>Defense</w:t>
      </w:r>
      <w:proofErr w:type="spellEnd"/>
      <w:r w:rsidRPr="0034408F">
        <w:rPr>
          <w:color w:val="000000" w:themeColor="text1"/>
          <w:sz w:val="20"/>
        </w:rPr>
        <w:t xml:space="preserve"> Minister, Attorney General and COGAT: Israel must open the crossings to Gaza and allow access to sea without further delay”, 7 May 2019. Link: </w:t>
      </w:r>
      <w:hyperlink r:id="rId22" w:history="1">
        <w:r w:rsidRPr="0034408F">
          <w:rPr>
            <w:rStyle w:val="Hyperlink"/>
            <w:sz w:val="20"/>
          </w:rPr>
          <w:t>https://gisha.org/press/9995</w:t>
        </w:r>
      </w:hyperlink>
      <w:r w:rsidRPr="0034408F">
        <w:rPr>
          <w:color w:val="000000" w:themeColor="text1"/>
          <w:sz w:val="20"/>
        </w:rPr>
        <w:t xml:space="preserve"> </w:t>
      </w:r>
    </w:p>
  </w:footnote>
  <w:footnote w:id="41">
    <w:p w14:paraId="4F7D459B" w14:textId="5673B946" w:rsidR="00D70260" w:rsidRPr="00D70260" w:rsidRDefault="00D70260" w:rsidP="00D70260">
      <w:pPr>
        <w:pStyle w:val="FootnoteText"/>
        <w:ind w:left="0" w:right="0" w:firstLine="0"/>
      </w:pPr>
      <w:r>
        <w:rPr>
          <w:rStyle w:val="FootnoteReference"/>
        </w:rPr>
        <w:footnoteRef/>
      </w:r>
      <w:r>
        <w:t xml:space="preserve"> </w:t>
      </w:r>
      <w:r w:rsidRPr="0034408F">
        <w:rPr>
          <w:sz w:val="20"/>
        </w:rPr>
        <w:t xml:space="preserve">Al Mezan, “Operative Protective Edge in Numbers”, 2015. Link: </w:t>
      </w:r>
      <w:hyperlink r:id="rId23" w:history="1">
        <w:r w:rsidRPr="0034408F">
          <w:rPr>
            <w:rStyle w:val="Hyperlink"/>
            <w:sz w:val="20"/>
          </w:rPr>
          <w:t>https://www.mezan.org/en/uploads/files/14598458701382.pdf</w:t>
        </w:r>
      </w:hyperlink>
    </w:p>
  </w:footnote>
  <w:footnote w:id="42">
    <w:p w14:paraId="016B1484" w14:textId="7EB02786" w:rsidR="00F10559" w:rsidRPr="00F10559" w:rsidRDefault="00F10559" w:rsidP="001A36FB">
      <w:pPr>
        <w:pStyle w:val="NoSpacing"/>
        <w:rPr>
          <w:lang w:val="en-US"/>
        </w:rPr>
      </w:pPr>
      <w:r>
        <w:rPr>
          <w:rStyle w:val="FootnoteReference"/>
        </w:rPr>
        <w:footnoteRef/>
      </w:r>
      <w:r>
        <w:t xml:space="preserve"> </w:t>
      </w:r>
      <w:r w:rsidRPr="00F10559">
        <w:rPr>
          <w:rFonts w:ascii="Times New Roman" w:hAnsi="Times New Roman" w:cs="Times New Roman"/>
          <w:sz w:val="20"/>
          <w:szCs w:val="20"/>
        </w:rPr>
        <w:t xml:space="preserve">Al Mezan and Adalah submitted criminal complaints to the Israeli Military Advocate General concerning </w:t>
      </w:r>
      <w:r w:rsidR="0044442D">
        <w:rPr>
          <w:rFonts w:ascii="Times New Roman" w:hAnsi="Times New Roman" w:cs="Times New Roman"/>
          <w:sz w:val="20"/>
          <w:szCs w:val="20"/>
        </w:rPr>
        <w:t xml:space="preserve">attacks on </w:t>
      </w:r>
      <w:r w:rsidR="0044442D">
        <w:rPr>
          <w:rFonts w:ascii="Times New Roman" w:hAnsi="Times New Roman" w:cs="Times New Roman"/>
          <w:sz w:val="20"/>
          <w:szCs w:val="20"/>
        </w:rPr>
        <w:t xml:space="preserve">five </w:t>
      </w:r>
      <w:r w:rsidR="0044442D">
        <w:rPr>
          <w:rFonts w:ascii="Times New Roman" w:hAnsi="Times New Roman" w:cs="Times New Roman"/>
          <w:sz w:val="20"/>
          <w:szCs w:val="20"/>
        </w:rPr>
        <w:t>UNRWA s</w:t>
      </w:r>
      <w:r w:rsidRPr="00F10559">
        <w:rPr>
          <w:rFonts w:ascii="Times New Roman" w:hAnsi="Times New Roman" w:cs="Times New Roman"/>
          <w:sz w:val="20"/>
          <w:szCs w:val="20"/>
        </w:rPr>
        <w:t>chool</w:t>
      </w:r>
      <w:r w:rsidR="0044442D">
        <w:rPr>
          <w:rFonts w:ascii="Times New Roman" w:hAnsi="Times New Roman" w:cs="Times New Roman"/>
          <w:sz w:val="20"/>
          <w:szCs w:val="20"/>
        </w:rPr>
        <w:t>s</w:t>
      </w:r>
      <w:r w:rsidRPr="00F10559">
        <w:rPr>
          <w:rFonts w:ascii="Times New Roman" w:hAnsi="Times New Roman" w:cs="Times New Roman"/>
          <w:sz w:val="20"/>
          <w:szCs w:val="20"/>
        </w:rPr>
        <w:t>/shelter</w:t>
      </w:r>
      <w:r w:rsidR="0044442D">
        <w:rPr>
          <w:rFonts w:ascii="Times New Roman" w:hAnsi="Times New Roman" w:cs="Times New Roman"/>
          <w:sz w:val="20"/>
          <w:szCs w:val="20"/>
        </w:rPr>
        <w:t>s</w:t>
      </w:r>
      <w:r w:rsidRPr="00F10559">
        <w:rPr>
          <w:rFonts w:ascii="Times New Roman" w:hAnsi="Times New Roman" w:cs="Times New Roman"/>
          <w:sz w:val="20"/>
          <w:szCs w:val="20"/>
        </w:rPr>
        <w:t xml:space="preserve"> in Beit </w:t>
      </w:r>
      <w:proofErr w:type="spellStart"/>
      <w:r w:rsidRPr="00F10559">
        <w:rPr>
          <w:rFonts w:ascii="Times New Roman" w:hAnsi="Times New Roman" w:cs="Times New Roman"/>
          <w:sz w:val="20"/>
          <w:szCs w:val="20"/>
        </w:rPr>
        <w:t>Hanoun</w:t>
      </w:r>
      <w:proofErr w:type="spellEnd"/>
      <w:r w:rsidR="0044442D">
        <w:rPr>
          <w:rFonts w:ascii="Times New Roman" w:hAnsi="Times New Roman" w:cs="Times New Roman"/>
          <w:sz w:val="20"/>
          <w:szCs w:val="20"/>
        </w:rPr>
        <w:t xml:space="preserve">, </w:t>
      </w:r>
      <w:proofErr w:type="spellStart"/>
      <w:r w:rsidR="0044442D">
        <w:rPr>
          <w:rFonts w:ascii="Times New Roman" w:hAnsi="Times New Roman" w:cs="Times New Roman"/>
          <w:sz w:val="20"/>
          <w:szCs w:val="20"/>
        </w:rPr>
        <w:t>Jabalia</w:t>
      </w:r>
      <w:proofErr w:type="spellEnd"/>
      <w:r w:rsidR="0044442D">
        <w:rPr>
          <w:rFonts w:ascii="Times New Roman" w:hAnsi="Times New Roman" w:cs="Times New Roman"/>
          <w:sz w:val="20"/>
          <w:szCs w:val="20"/>
        </w:rPr>
        <w:t xml:space="preserve">, </w:t>
      </w:r>
      <w:proofErr w:type="spellStart"/>
      <w:r w:rsidR="0044442D">
        <w:rPr>
          <w:rFonts w:ascii="Times New Roman" w:hAnsi="Times New Roman" w:cs="Times New Roman"/>
          <w:sz w:val="20"/>
          <w:szCs w:val="20"/>
        </w:rPr>
        <w:t>Zaitoun</w:t>
      </w:r>
      <w:proofErr w:type="spellEnd"/>
      <w:r w:rsidR="0044442D">
        <w:rPr>
          <w:rFonts w:ascii="Times New Roman" w:hAnsi="Times New Roman" w:cs="Times New Roman"/>
          <w:sz w:val="20"/>
          <w:szCs w:val="20"/>
        </w:rPr>
        <w:t>, Deir al-</w:t>
      </w:r>
      <w:proofErr w:type="spellStart"/>
      <w:r w:rsidR="0044442D">
        <w:rPr>
          <w:rFonts w:ascii="Times New Roman" w:hAnsi="Times New Roman" w:cs="Times New Roman"/>
          <w:sz w:val="20"/>
          <w:szCs w:val="20"/>
        </w:rPr>
        <w:t>Balah</w:t>
      </w:r>
      <w:proofErr w:type="spellEnd"/>
      <w:r w:rsidR="0044442D">
        <w:rPr>
          <w:rFonts w:ascii="Times New Roman" w:hAnsi="Times New Roman" w:cs="Times New Roman"/>
          <w:sz w:val="20"/>
          <w:szCs w:val="20"/>
        </w:rPr>
        <w:t xml:space="preserve"> and Rafah that resulted in the killing of 47 people and injury </w:t>
      </w:r>
      <w:r w:rsidR="00332698">
        <w:rPr>
          <w:rFonts w:ascii="Times New Roman" w:hAnsi="Times New Roman" w:cs="Times New Roman"/>
          <w:sz w:val="20"/>
          <w:szCs w:val="20"/>
        </w:rPr>
        <w:t xml:space="preserve">of over 225. No </w:t>
      </w:r>
      <w:r w:rsidR="00332698" w:rsidRPr="00332698">
        <w:rPr>
          <w:rFonts w:ascii="Times New Roman" w:hAnsi="Times New Roman" w:cs="Times New Roman"/>
          <w:sz w:val="20"/>
          <w:szCs w:val="20"/>
        </w:rPr>
        <w:t>criminal charges, prosecutions or convictions resulted from Israel's military justice system.</w:t>
      </w:r>
      <w:r w:rsidR="00332698">
        <w:rPr>
          <w:rFonts w:ascii="Times New Roman" w:hAnsi="Times New Roman" w:cs="Times New Roman"/>
          <w:sz w:val="20"/>
          <w:szCs w:val="20"/>
        </w:rPr>
        <w:t xml:space="preserve"> </w:t>
      </w:r>
    </w:p>
  </w:footnote>
  <w:footnote w:id="43">
    <w:p w14:paraId="63C4A73A" w14:textId="0A4AAFD4" w:rsidR="00965411" w:rsidRPr="0034408F" w:rsidRDefault="00965411" w:rsidP="002B3B42">
      <w:pPr>
        <w:pStyle w:val="FootnoteText"/>
        <w:ind w:left="0" w:right="0" w:firstLine="0"/>
        <w:rPr>
          <w:sz w:val="20"/>
        </w:rPr>
      </w:pPr>
      <w:r w:rsidRPr="0034408F">
        <w:rPr>
          <w:rStyle w:val="FootnoteReference"/>
          <w:sz w:val="20"/>
        </w:rPr>
        <w:footnoteRef/>
      </w:r>
      <w:r w:rsidR="00A826F6" w:rsidRPr="0034408F">
        <w:rPr>
          <w:sz w:val="20"/>
        </w:rPr>
        <w:t xml:space="preserve"> </w:t>
      </w:r>
      <w:r w:rsidRPr="0034408F">
        <w:rPr>
          <w:sz w:val="20"/>
        </w:rPr>
        <w:t xml:space="preserve">ICRC, Customary IHL, Rule 103: Collective Punishments: </w:t>
      </w:r>
      <w:hyperlink r:id="rId24" w:history="1">
        <w:r w:rsidRPr="0034408F">
          <w:rPr>
            <w:rStyle w:val="Hyperlink"/>
            <w:sz w:val="20"/>
          </w:rPr>
          <w:t>https://www.icrc.org/customary-ihl/eng/docs/v1_rul_rule103</w:t>
        </w:r>
      </w:hyperlink>
      <w:r w:rsidRPr="0034408F">
        <w:rPr>
          <w:sz w:val="20"/>
        </w:rPr>
        <w:t xml:space="preserve"> </w:t>
      </w:r>
    </w:p>
  </w:footnote>
  <w:footnote w:id="44">
    <w:p w14:paraId="62AEDB7F" w14:textId="6E4820FF" w:rsidR="00965411" w:rsidRPr="0034408F" w:rsidRDefault="00965411" w:rsidP="002B3B42">
      <w:pPr>
        <w:pStyle w:val="FootnoteText"/>
        <w:ind w:left="0" w:right="0" w:firstLine="0"/>
        <w:rPr>
          <w:sz w:val="20"/>
        </w:rPr>
      </w:pPr>
      <w:r w:rsidRPr="0034408F">
        <w:rPr>
          <w:rStyle w:val="FootnoteReference"/>
          <w:sz w:val="20"/>
        </w:rPr>
        <w:footnoteRef/>
      </w:r>
      <w:r w:rsidR="00A826F6" w:rsidRPr="0034408F">
        <w:rPr>
          <w:sz w:val="20"/>
        </w:rPr>
        <w:t xml:space="preserve"> </w:t>
      </w:r>
      <w:r w:rsidRPr="0034408F">
        <w:rPr>
          <w:sz w:val="20"/>
        </w:rPr>
        <w:t>UNOCHA OPT, The Humanitarian Impact of the Closure, July 2015: http://www.ochaopt.org/documents/ocha_opt_gaza_blockade_factsheet_july_2015_english.pdf</w:t>
      </w:r>
    </w:p>
  </w:footnote>
  <w:footnote w:id="45">
    <w:p w14:paraId="6C2DEB64" w14:textId="77777777" w:rsidR="00965411" w:rsidRPr="0034408F" w:rsidRDefault="00965411" w:rsidP="002B3B42">
      <w:pPr>
        <w:pStyle w:val="FootnoteText"/>
        <w:ind w:left="0" w:right="0" w:firstLine="0"/>
        <w:rPr>
          <w:sz w:val="20"/>
        </w:rPr>
      </w:pPr>
      <w:r w:rsidRPr="0034408F">
        <w:rPr>
          <w:rStyle w:val="FootnoteReference"/>
          <w:sz w:val="20"/>
        </w:rPr>
        <w:footnoteRef/>
      </w:r>
      <w:r w:rsidRPr="0034408F">
        <w:rPr>
          <w:sz w:val="20"/>
        </w:rPr>
        <w:t xml:space="preserve"> See for example: ICRC News Release 14-06-2010 Geneva/Jerusalem (ICRC) - The hardship faced by Gaza's 1.5 million people cannot be addressed by providing humanitarian aid. The only sustainable solution is to lift the closure: https://www.icrc.org/eng/resources/documents/update/palestine-update-140610.htm. </w:t>
      </w:r>
    </w:p>
  </w:footnote>
  <w:footnote w:id="46">
    <w:p w14:paraId="255AB624" w14:textId="5516C3F5" w:rsidR="00965411" w:rsidRPr="0034408F" w:rsidRDefault="00965411" w:rsidP="002B3B42">
      <w:pPr>
        <w:pStyle w:val="FootnoteText"/>
        <w:ind w:left="0" w:right="0" w:firstLine="0"/>
        <w:rPr>
          <w:sz w:val="20"/>
          <w:lang w:val="en-US"/>
        </w:rPr>
      </w:pPr>
      <w:r w:rsidRPr="0034408F">
        <w:rPr>
          <w:rStyle w:val="FootnoteReference"/>
          <w:sz w:val="20"/>
        </w:rPr>
        <w:footnoteRef/>
      </w:r>
      <w:r w:rsidRPr="0034408F">
        <w:rPr>
          <w:sz w:val="20"/>
        </w:rPr>
        <w:t xml:space="preserve"> </w:t>
      </w:r>
      <w:r w:rsidR="00A826F6" w:rsidRPr="0034408F">
        <w:rPr>
          <w:sz w:val="20"/>
        </w:rPr>
        <w:t xml:space="preserve">UNRWA, “Where We Work”, 1 January 2018. Link: </w:t>
      </w:r>
      <w:hyperlink r:id="rId25" w:history="1">
        <w:r w:rsidR="00A826F6" w:rsidRPr="0034408F">
          <w:rPr>
            <w:rStyle w:val="Hyperlink"/>
            <w:rFonts w:eastAsia="Cambria"/>
            <w:sz w:val="20"/>
            <w:lang w:val="en-US"/>
          </w:rPr>
          <w:t>https://www.unrwa.org/where-we-work/gaza-strip</w:t>
        </w:r>
      </w:hyperlink>
      <w:r w:rsidRPr="0034408F">
        <w:rPr>
          <w:rFonts w:eastAsia="Cambria"/>
          <w:sz w:val="20"/>
          <w:lang w:val="en-US"/>
        </w:rPr>
        <w:t xml:space="preserve"> </w:t>
      </w:r>
    </w:p>
  </w:footnote>
  <w:footnote w:id="47">
    <w:p w14:paraId="68DC4430" w14:textId="3CCE01E6" w:rsidR="00BB3D58" w:rsidRPr="0034408F" w:rsidRDefault="00BB3D58" w:rsidP="002B3B42">
      <w:pPr>
        <w:pStyle w:val="FootnoteText"/>
        <w:ind w:left="0" w:right="0" w:firstLine="0"/>
        <w:rPr>
          <w:sz w:val="20"/>
        </w:rPr>
      </w:pPr>
      <w:r w:rsidRPr="0034408F">
        <w:rPr>
          <w:rStyle w:val="FootnoteReference"/>
          <w:sz w:val="20"/>
        </w:rPr>
        <w:footnoteRef/>
      </w:r>
      <w:r w:rsidRPr="0034408F">
        <w:rPr>
          <w:sz w:val="20"/>
        </w:rPr>
        <w:t xml:space="preserve"> Palestinian </w:t>
      </w:r>
      <w:r w:rsidR="0061214A" w:rsidRPr="0034408F">
        <w:rPr>
          <w:sz w:val="20"/>
        </w:rPr>
        <w:t>W</w:t>
      </w:r>
      <w:r w:rsidRPr="0034408F">
        <w:rPr>
          <w:sz w:val="20"/>
        </w:rPr>
        <w:t xml:space="preserve">ater </w:t>
      </w:r>
      <w:r w:rsidR="0061214A" w:rsidRPr="0034408F">
        <w:rPr>
          <w:sz w:val="20"/>
        </w:rPr>
        <w:t>A</w:t>
      </w:r>
      <w:r w:rsidRPr="0034408F">
        <w:rPr>
          <w:sz w:val="20"/>
        </w:rPr>
        <w:t>uthority</w:t>
      </w:r>
      <w:r w:rsidR="0061214A" w:rsidRPr="0034408F">
        <w:rPr>
          <w:sz w:val="20"/>
        </w:rPr>
        <w:t>,</w:t>
      </w:r>
      <w:r w:rsidRPr="0034408F">
        <w:rPr>
          <w:sz w:val="20"/>
        </w:rPr>
        <w:t xml:space="preserve"> Gaza Status Report 2017, Water Resources Directorate</w:t>
      </w:r>
      <w:r w:rsidR="0061214A" w:rsidRPr="0034408F">
        <w:rPr>
          <w:sz w:val="20"/>
        </w:rPr>
        <w:t>, 2018</w:t>
      </w:r>
    </w:p>
  </w:footnote>
  <w:footnote w:id="48">
    <w:p w14:paraId="2BF982BC" w14:textId="1D6B39EC" w:rsidR="00965411" w:rsidRPr="0034408F" w:rsidRDefault="00965411" w:rsidP="002B3B42">
      <w:pPr>
        <w:pStyle w:val="FootnoteText"/>
        <w:ind w:left="0" w:right="0" w:firstLine="0"/>
        <w:rPr>
          <w:sz w:val="20"/>
        </w:rPr>
      </w:pPr>
      <w:r w:rsidRPr="0034408F">
        <w:rPr>
          <w:rStyle w:val="FootnoteReference"/>
          <w:sz w:val="20"/>
        </w:rPr>
        <w:footnoteRef/>
      </w:r>
      <w:r w:rsidRPr="0034408F">
        <w:rPr>
          <w:sz w:val="20"/>
        </w:rPr>
        <w:t xml:space="preserve"> </w:t>
      </w:r>
      <w:r w:rsidR="0061214A" w:rsidRPr="0034408F">
        <w:rPr>
          <w:sz w:val="20"/>
        </w:rPr>
        <w:t>UN, “</w:t>
      </w:r>
      <w:r w:rsidRPr="0034408F">
        <w:rPr>
          <w:sz w:val="20"/>
        </w:rPr>
        <w:t>Israel’s exploitation of Palestinian resources is human rights violation, says UN expert</w:t>
      </w:r>
      <w:r w:rsidR="0061214A" w:rsidRPr="0034408F">
        <w:rPr>
          <w:sz w:val="20"/>
        </w:rPr>
        <w:t>”</w:t>
      </w:r>
      <w:r w:rsidRPr="0034408F">
        <w:rPr>
          <w:sz w:val="20"/>
        </w:rPr>
        <w:t xml:space="preserve">, 18 March 2019. Link: </w:t>
      </w:r>
      <w:hyperlink r:id="rId26" w:history="1">
        <w:r w:rsidRPr="0034408F">
          <w:rPr>
            <w:rStyle w:val="Hyperlink"/>
            <w:sz w:val="20"/>
            <w:lang w:val="en-US"/>
          </w:rPr>
          <w:t>https://www.ohchr.org/en/NewsEvents/Pages/DisplayNews.aspx?NewsID=24349&amp;LangID=E</w:t>
        </w:r>
      </w:hyperlink>
    </w:p>
  </w:footnote>
  <w:footnote w:id="49">
    <w:p w14:paraId="1E1931E7" w14:textId="77777777" w:rsidR="00965411" w:rsidRPr="0034408F" w:rsidRDefault="00965411" w:rsidP="002B3B42">
      <w:pPr>
        <w:pStyle w:val="FootnoteText"/>
        <w:ind w:left="0" w:right="0" w:firstLine="0"/>
        <w:rPr>
          <w:sz w:val="20"/>
          <w:lang w:val="en-US"/>
        </w:rPr>
      </w:pPr>
      <w:r w:rsidRPr="0034408F">
        <w:rPr>
          <w:rStyle w:val="FootnoteReference"/>
          <w:sz w:val="20"/>
        </w:rPr>
        <w:footnoteRef/>
      </w:r>
      <w:r w:rsidRPr="0034408F">
        <w:rPr>
          <w:sz w:val="20"/>
        </w:rPr>
        <w:t xml:space="preserve"> Report of the Special Rapporteur on the situation of human rights in the Palestinian territories occupied since 1967* (A/HRC/40/73) 15 March 2019 </w:t>
      </w:r>
    </w:p>
  </w:footnote>
  <w:footnote w:id="50">
    <w:p w14:paraId="0323984B" w14:textId="2F4EC622" w:rsidR="00965411" w:rsidRPr="0034408F" w:rsidRDefault="00965411" w:rsidP="002B3B42">
      <w:pPr>
        <w:pStyle w:val="FootnoteText"/>
        <w:suppressAutoHyphens w:val="0"/>
        <w:ind w:left="0" w:right="0" w:firstLine="0"/>
        <w:rPr>
          <w:sz w:val="20"/>
          <w:lang w:val="en-US"/>
        </w:rPr>
      </w:pPr>
      <w:r w:rsidRPr="0034408F">
        <w:rPr>
          <w:rFonts w:eastAsia="Cambria"/>
          <w:sz w:val="20"/>
          <w:vertAlign w:val="superscript"/>
          <w:lang w:val="en-US"/>
        </w:rPr>
        <w:footnoteRef/>
      </w:r>
      <w:r w:rsidRPr="0034408F">
        <w:rPr>
          <w:rFonts w:eastAsia="Cambria"/>
          <w:sz w:val="20"/>
          <w:lang w:val="en-US"/>
        </w:rPr>
        <w:t xml:space="preserve"> </w:t>
      </w:r>
      <w:r w:rsidRPr="0034408F">
        <w:rPr>
          <w:rFonts w:eastAsia="Cambria"/>
          <w:sz w:val="20"/>
          <w:lang w:val="en-US"/>
        </w:rPr>
        <w:tab/>
        <w:t xml:space="preserve">United Nations Country Team, </w:t>
      </w:r>
      <w:r w:rsidR="0061214A" w:rsidRPr="0034408F">
        <w:rPr>
          <w:rFonts w:eastAsia="Cambria"/>
          <w:sz w:val="20"/>
          <w:lang w:val="en-US"/>
        </w:rPr>
        <w:t>“</w:t>
      </w:r>
      <w:r w:rsidRPr="0034408F">
        <w:rPr>
          <w:rFonts w:eastAsia="Cambria"/>
          <w:sz w:val="20"/>
          <w:lang w:val="en-US"/>
        </w:rPr>
        <w:t>Gaza: Ten Years Later</w:t>
      </w:r>
      <w:r w:rsidR="0061214A" w:rsidRPr="0034408F">
        <w:rPr>
          <w:rFonts w:eastAsia="Cambria"/>
          <w:sz w:val="20"/>
          <w:lang w:val="en-US"/>
        </w:rPr>
        <w:t xml:space="preserve">”, </w:t>
      </w:r>
      <w:r w:rsidRPr="0034408F">
        <w:rPr>
          <w:rFonts w:eastAsia="Cambria"/>
          <w:sz w:val="20"/>
          <w:lang w:val="en-US"/>
        </w:rPr>
        <w:t>2017</w:t>
      </w:r>
      <w:r w:rsidR="0061214A" w:rsidRPr="0034408F">
        <w:rPr>
          <w:rFonts w:eastAsia="Cambria"/>
          <w:sz w:val="20"/>
          <w:lang w:val="en-US"/>
        </w:rPr>
        <w:t xml:space="preserve"> </w:t>
      </w:r>
    </w:p>
  </w:footnote>
  <w:footnote w:id="51">
    <w:p w14:paraId="07961AA4" w14:textId="77777777" w:rsidR="00965411" w:rsidRPr="0034408F" w:rsidRDefault="00965411" w:rsidP="002B3B42">
      <w:pPr>
        <w:pStyle w:val="FootnoteText"/>
        <w:suppressAutoHyphens w:val="0"/>
        <w:ind w:left="0" w:right="0" w:firstLine="0"/>
        <w:rPr>
          <w:rFonts w:eastAsia="Cambria"/>
          <w:sz w:val="20"/>
          <w:lang w:val="en-US"/>
        </w:rPr>
      </w:pPr>
      <w:r w:rsidRPr="0034408F">
        <w:rPr>
          <w:rFonts w:eastAsia="Cambria"/>
          <w:sz w:val="20"/>
          <w:vertAlign w:val="superscript"/>
          <w:lang w:val="en-US"/>
        </w:rPr>
        <w:footnoteRef/>
      </w:r>
      <w:r w:rsidRPr="0034408F">
        <w:rPr>
          <w:rFonts w:eastAsia="Cambria"/>
          <w:sz w:val="20"/>
          <w:lang w:val="en-US"/>
        </w:rPr>
        <w:t xml:space="preserve"> </w:t>
      </w:r>
      <w:r w:rsidRPr="0034408F">
        <w:rPr>
          <w:rFonts w:eastAsia="Cambria"/>
          <w:sz w:val="20"/>
          <w:lang w:val="en-US"/>
        </w:rPr>
        <w:tab/>
        <w:t xml:space="preserve">S. </w:t>
      </w:r>
      <w:proofErr w:type="spellStart"/>
      <w:r w:rsidRPr="0034408F">
        <w:rPr>
          <w:rFonts w:eastAsia="Cambria"/>
          <w:sz w:val="20"/>
          <w:lang w:val="en-US"/>
        </w:rPr>
        <w:t>Efron</w:t>
      </w:r>
      <w:proofErr w:type="spellEnd"/>
      <w:r w:rsidRPr="0034408F">
        <w:rPr>
          <w:rFonts w:eastAsia="Cambria"/>
          <w:sz w:val="20"/>
          <w:lang w:val="en-US"/>
        </w:rPr>
        <w:t xml:space="preserve"> et al, The Public Health Impacts of Gaza’s Water Crisis (Rand Foundation, 2018).   </w:t>
      </w:r>
    </w:p>
  </w:footnote>
  <w:footnote w:id="52">
    <w:p w14:paraId="2488AB32" w14:textId="210A944C" w:rsidR="00965411" w:rsidRPr="0034408F" w:rsidRDefault="00965411" w:rsidP="002B3B42">
      <w:pPr>
        <w:pStyle w:val="FootnoteText"/>
        <w:suppressAutoHyphens w:val="0"/>
        <w:ind w:left="0" w:right="0" w:firstLine="0"/>
        <w:rPr>
          <w:rFonts w:eastAsia="Cambria"/>
          <w:sz w:val="20"/>
          <w:lang w:val="en-US"/>
        </w:rPr>
      </w:pPr>
      <w:r w:rsidRPr="0034408F">
        <w:rPr>
          <w:rFonts w:eastAsia="Cambria"/>
          <w:sz w:val="20"/>
          <w:vertAlign w:val="superscript"/>
          <w:lang w:val="en-US"/>
        </w:rPr>
        <w:footnoteRef/>
      </w:r>
      <w:r w:rsidRPr="0034408F">
        <w:rPr>
          <w:rFonts w:eastAsia="Cambria"/>
          <w:sz w:val="20"/>
          <w:lang w:val="en-US"/>
        </w:rPr>
        <w:t xml:space="preserve"> </w:t>
      </w:r>
      <w:r w:rsidRPr="0034408F">
        <w:rPr>
          <w:rFonts w:eastAsia="Cambria"/>
          <w:sz w:val="20"/>
          <w:lang w:val="en-US"/>
        </w:rPr>
        <w:tab/>
        <w:t>UN OCHA, Gaza Energy Crisis (10 November 2017</w:t>
      </w:r>
      <w:r w:rsidR="00056B54" w:rsidRPr="0034408F">
        <w:rPr>
          <w:rFonts w:eastAsia="Cambria"/>
          <w:sz w:val="20"/>
          <w:lang w:val="en-US"/>
        </w:rPr>
        <w:t>)</w:t>
      </w:r>
    </w:p>
  </w:footnote>
  <w:footnote w:id="53">
    <w:p w14:paraId="272C5029" w14:textId="11CB8644" w:rsidR="00AA39AD" w:rsidRPr="0034408F" w:rsidRDefault="008653C2" w:rsidP="002B3B42">
      <w:pPr>
        <w:pStyle w:val="FootnoteText"/>
        <w:ind w:left="0" w:right="0" w:firstLine="0"/>
        <w:rPr>
          <w:color w:val="000000" w:themeColor="text1"/>
          <w:sz w:val="20"/>
          <w:lang w:val="en-US"/>
        </w:rPr>
      </w:pPr>
      <w:r w:rsidRPr="0034408F">
        <w:rPr>
          <w:rStyle w:val="FootnoteReference"/>
          <w:sz w:val="20"/>
        </w:rPr>
        <w:footnoteRef/>
      </w:r>
      <w:r w:rsidRPr="0034408F">
        <w:rPr>
          <w:sz w:val="20"/>
        </w:rPr>
        <w:t xml:space="preserve"> As of 3 September 2019, the electricity company runs a schedule of eight hours of electricity </w:t>
      </w:r>
      <w:r w:rsidR="00AA39AD" w:rsidRPr="0034408F">
        <w:rPr>
          <w:sz w:val="20"/>
        </w:rPr>
        <w:t>followed by</w:t>
      </w:r>
      <w:r w:rsidRPr="0034408F">
        <w:rPr>
          <w:sz w:val="20"/>
        </w:rPr>
        <w:t xml:space="preserve"> eight </w:t>
      </w:r>
      <w:r w:rsidRPr="0034408F">
        <w:rPr>
          <w:color w:val="000000" w:themeColor="text1"/>
          <w:sz w:val="20"/>
        </w:rPr>
        <w:t>hours of black out</w:t>
      </w:r>
      <w:r w:rsidR="00AA39AD" w:rsidRPr="0034408F">
        <w:rPr>
          <w:color w:val="000000" w:themeColor="text1"/>
          <w:sz w:val="20"/>
        </w:rPr>
        <w:t xml:space="preserve">, due to </w:t>
      </w:r>
      <w:r w:rsidRPr="0034408F">
        <w:rPr>
          <w:color w:val="000000" w:themeColor="text1"/>
          <w:sz w:val="20"/>
        </w:rPr>
        <w:t xml:space="preserve">lack of fuel. </w:t>
      </w:r>
      <w:r w:rsidR="00AA39AD" w:rsidRPr="0034408F">
        <w:rPr>
          <w:color w:val="000000" w:themeColor="text1"/>
          <w:sz w:val="20"/>
        </w:rPr>
        <w:t>Gaza requires 650 megawatts of electricity but receives only 200 megawatts—a deficit of 69%, according to the 2019 annual report of the Gaza Electricity Distribution Company.</w:t>
      </w:r>
    </w:p>
    <w:p w14:paraId="62B3CE16" w14:textId="47315F46" w:rsidR="008653C2" w:rsidRPr="0034408F" w:rsidRDefault="00AA39AD" w:rsidP="002B3B42">
      <w:pPr>
        <w:pStyle w:val="FootnoteText"/>
        <w:ind w:left="0" w:right="0" w:firstLine="0"/>
        <w:rPr>
          <w:sz w:val="20"/>
        </w:rPr>
      </w:pPr>
      <w:r w:rsidRPr="0034408F">
        <w:rPr>
          <w:color w:val="000000" w:themeColor="text1"/>
          <w:sz w:val="20"/>
        </w:rPr>
        <w:t>B</w:t>
      </w:r>
      <w:r w:rsidR="008653C2" w:rsidRPr="0034408F">
        <w:rPr>
          <w:color w:val="000000" w:themeColor="text1"/>
          <w:sz w:val="20"/>
        </w:rPr>
        <w:t>etween 26 August</w:t>
      </w:r>
      <w:r w:rsidR="0061214A" w:rsidRPr="0034408F">
        <w:rPr>
          <w:color w:val="000000" w:themeColor="text1"/>
          <w:sz w:val="20"/>
        </w:rPr>
        <w:t>–</w:t>
      </w:r>
      <w:r w:rsidR="008653C2" w:rsidRPr="0034408F">
        <w:rPr>
          <w:color w:val="000000" w:themeColor="text1"/>
          <w:sz w:val="20"/>
        </w:rPr>
        <w:t xml:space="preserve">3 September 2019, </w:t>
      </w:r>
      <w:r w:rsidRPr="0034408F">
        <w:rPr>
          <w:color w:val="000000" w:themeColor="text1"/>
          <w:sz w:val="20"/>
        </w:rPr>
        <w:t xml:space="preserve">after Israeli authorities reduced its fuel transfer to Gaza by half, </w:t>
      </w:r>
      <w:r w:rsidR="008653C2" w:rsidRPr="0034408F">
        <w:rPr>
          <w:color w:val="000000" w:themeColor="text1"/>
          <w:sz w:val="20"/>
        </w:rPr>
        <w:t xml:space="preserve">the schedule was five hours of electricity followed by 12 hours of blackout. The decision was made in response to deliberate or indiscriminate rocket fire from Gaza and can be considered a collective punishment measure. See Gisha’s press release “Israel cuts supply of fuel to Gaza’s power plant by half ‘until further notice’”, 26 August 2019. Link: </w:t>
      </w:r>
      <w:hyperlink r:id="rId27" w:history="1">
        <w:r w:rsidR="008653C2" w:rsidRPr="0034408F">
          <w:rPr>
            <w:rStyle w:val="Hyperlink"/>
            <w:sz w:val="20"/>
          </w:rPr>
          <w:t>https://gisha.org/updates/10337</w:t>
        </w:r>
      </w:hyperlink>
    </w:p>
  </w:footnote>
  <w:footnote w:id="54">
    <w:p w14:paraId="5829366B" w14:textId="77777777" w:rsidR="002B3B42" w:rsidRPr="0034408F" w:rsidRDefault="002B3B42" w:rsidP="002B3B42">
      <w:pPr>
        <w:pStyle w:val="FootnoteText"/>
        <w:ind w:left="0" w:right="0" w:firstLine="0"/>
        <w:rPr>
          <w:sz w:val="20"/>
          <w:lang w:val="en-US"/>
        </w:rPr>
      </w:pPr>
      <w:r w:rsidRPr="0034408F">
        <w:rPr>
          <w:rStyle w:val="FootnoteReference"/>
          <w:sz w:val="20"/>
        </w:rPr>
        <w:footnoteRef/>
      </w:r>
      <w:r w:rsidRPr="0034408F">
        <w:rPr>
          <w:sz w:val="20"/>
        </w:rPr>
        <w:t xml:space="preserve"> Report of the Special Rapporteur on the situation of human rights in the Palestinian territories occupied since 1967* (A/HRC/40/73) 15 March 2019 </w:t>
      </w:r>
    </w:p>
  </w:footnote>
  <w:footnote w:id="55">
    <w:p w14:paraId="2B9EAB5C" w14:textId="77777777" w:rsidR="002133E8" w:rsidRPr="0034408F" w:rsidRDefault="002133E8" w:rsidP="002B3B42">
      <w:pPr>
        <w:pStyle w:val="FootnoteText"/>
        <w:suppressAutoHyphens w:val="0"/>
        <w:ind w:left="0" w:right="0" w:firstLine="0"/>
        <w:rPr>
          <w:rFonts w:eastAsia="Cambria"/>
          <w:sz w:val="20"/>
          <w:lang w:val="en-US"/>
        </w:rPr>
      </w:pPr>
      <w:r w:rsidRPr="0034408F">
        <w:rPr>
          <w:rFonts w:eastAsia="Cambria"/>
          <w:sz w:val="20"/>
          <w:vertAlign w:val="superscript"/>
          <w:lang w:val="en-US"/>
        </w:rPr>
        <w:footnoteRef/>
      </w:r>
      <w:r w:rsidRPr="0034408F">
        <w:rPr>
          <w:rFonts w:eastAsia="Cambria"/>
          <w:sz w:val="20"/>
          <w:lang w:val="en-US"/>
        </w:rPr>
        <w:t xml:space="preserve"> </w:t>
      </w:r>
      <w:r w:rsidRPr="0034408F">
        <w:rPr>
          <w:rFonts w:eastAsia="Cambria"/>
          <w:sz w:val="20"/>
          <w:lang w:val="en-US"/>
        </w:rPr>
        <w:tab/>
        <w:t xml:space="preserve">S. </w:t>
      </w:r>
      <w:proofErr w:type="spellStart"/>
      <w:r w:rsidRPr="0034408F">
        <w:rPr>
          <w:rFonts w:eastAsia="Cambria"/>
          <w:sz w:val="20"/>
          <w:lang w:val="en-US"/>
        </w:rPr>
        <w:t>Efron</w:t>
      </w:r>
      <w:proofErr w:type="spellEnd"/>
      <w:r w:rsidRPr="0034408F">
        <w:rPr>
          <w:rFonts w:eastAsia="Cambria"/>
          <w:sz w:val="20"/>
          <w:lang w:val="en-US"/>
        </w:rPr>
        <w:t xml:space="preserve"> et al, The Public Health Impacts of Gaza’s Water Crisis (Rand Foundation, 2018).  </w:t>
      </w:r>
    </w:p>
  </w:footnote>
  <w:footnote w:id="56">
    <w:p w14:paraId="0120BD8B" w14:textId="77777777" w:rsidR="002133E8" w:rsidRPr="0034408F" w:rsidRDefault="002133E8" w:rsidP="002B3B42">
      <w:pPr>
        <w:pStyle w:val="FootnoteText"/>
        <w:suppressAutoHyphens w:val="0"/>
        <w:ind w:left="0" w:right="0" w:firstLine="0"/>
        <w:rPr>
          <w:rFonts w:eastAsia="Cambria"/>
          <w:sz w:val="20"/>
          <w:lang w:val="en-US"/>
        </w:rPr>
      </w:pPr>
      <w:r w:rsidRPr="0034408F">
        <w:rPr>
          <w:rFonts w:eastAsia="Cambria"/>
          <w:sz w:val="20"/>
          <w:vertAlign w:val="superscript"/>
          <w:lang w:val="en-US"/>
        </w:rPr>
        <w:footnoteRef/>
      </w:r>
      <w:r w:rsidRPr="0034408F">
        <w:rPr>
          <w:rFonts w:eastAsia="Cambria"/>
          <w:sz w:val="20"/>
          <w:lang w:val="en-US"/>
        </w:rPr>
        <w:t xml:space="preserve"> </w:t>
      </w:r>
      <w:r w:rsidRPr="0034408F">
        <w:rPr>
          <w:rFonts w:eastAsia="Cambria"/>
          <w:sz w:val="20"/>
          <w:lang w:val="en-US"/>
        </w:rPr>
        <w:tab/>
        <w:t xml:space="preserve">UNICEF, Protecting Children from Unsafe Water in Gaza (2011). </w:t>
      </w:r>
    </w:p>
  </w:footnote>
  <w:footnote w:id="57">
    <w:p w14:paraId="60143E28" w14:textId="77777777" w:rsidR="002133E8" w:rsidRPr="0034408F" w:rsidRDefault="002133E8" w:rsidP="002B3B42">
      <w:pPr>
        <w:pStyle w:val="FootnoteText"/>
        <w:suppressAutoHyphens w:val="0"/>
        <w:ind w:left="0" w:right="0" w:firstLine="0"/>
        <w:rPr>
          <w:rFonts w:eastAsia="Cambria"/>
          <w:sz w:val="20"/>
          <w:lang w:val="en-US"/>
        </w:rPr>
      </w:pPr>
      <w:r w:rsidRPr="0034408F">
        <w:rPr>
          <w:rFonts w:eastAsia="Cambria"/>
          <w:sz w:val="20"/>
          <w:vertAlign w:val="superscript"/>
          <w:lang w:val="en-US"/>
        </w:rPr>
        <w:footnoteRef/>
      </w:r>
      <w:r w:rsidRPr="0034408F">
        <w:rPr>
          <w:rFonts w:eastAsia="Cambria"/>
          <w:sz w:val="20"/>
          <w:lang w:val="en-US"/>
        </w:rPr>
        <w:t xml:space="preserve"> </w:t>
      </w:r>
      <w:r w:rsidRPr="0034408F">
        <w:rPr>
          <w:rFonts w:eastAsia="Cambria"/>
          <w:sz w:val="20"/>
          <w:lang w:val="en-US"/>
        </w:rPr>
        <w:tab/>
        <w:t xml:space="preserve">UN OCHA, Study Warns Water Sanitation Crisis in Gaza (16 November 2018). </w:t>
      </w:r>
    </w:p>
  </w:footnote>
  <w:footnote w:id="58">
    <w:p w14:paraId="146E1E3E" w14:textId="514B3966" w:rsidR="002B3B42" w:rsidRPr="0034408F" w:rsidRDefault="002B3B42" w:rsidP="002B3B42">
      <w:pPr>
        <w:rPr>
          <w:sz w:val="20"/>
          <w:szCs w:val="20"/>
        </w:rPr>
      </w:pPr>
      <w:r w:rsidRPr="0034408F">
        <w:rPr>
          <w:rStyle w:val="FootnoteReference"/>
          <w:sz w:val="20"/>
          <w:szCs w:val="20"/>
        </w:rPr>
        <w:footnoteRef/>
      </w:r>
      <w:r w:rsidRPr="0034408F">
        <w:rPr>
          <w:sz w:val="20"/>
          <w:szCs w:val="20"/>
        </w:rPr>
        <w:t xml:space="preserve"> Al Mezan position paper, “MEDICAL CARE UNDER SIEGE: Gaza Israel’s Systematic Violation of Gaza’s Patient Rights”, February 2018. Link: </w:t>
      </w:r>
      <w:hyperlink r:id="rId28" w:history="1">
        <w:r w:rsidRPr="0034408F">
          <w:rPr>
            <w:rStyle w:val="Hyperlink"/>
            <w:sz w:val="20"/>
            <w:szCs w:val="20"/>
          </w:rPr>
          <w:t>http://mezan.org/en/uploads/files/15174966411875.pdf</w:t>
        </w:r>
      </w:hyperlink>
      <w:r w:rsidRPr="0034408F">
        <w:rPr>
          <w:sz w:val="20"/>
          <w:szCs w:val="20"/>
        </w:rPr>
        <w:t xml:space="preserve"> </w:t>
      </w:r>
    </w:p>
  </w:footnote>
  <w:footnote w:id="59">
    <w:p w14:paraId="05EE19E3" w14:textId="77777777" w:rsidR="002133E8" w:rsidRPr="0034408F" w:rsidRDefault="002133E8" w:rsidP="002B3B42">
      <w:pPr>
        <w:pStyle w:val="FootnoteText"/>
        <w:ind w:left="0" w:right="0" w:firstLine="0"/>
        <w:rPr>
          <w:sz w:val="20"/>
        </w:rPr>
      </w:pPr>
      <w:r w:rsidRPr="0034408F">
        <w:rPr>
          <w:rStyle w:val="FootnoteReference"/>
          <w:sz w:val="20"/>
        </w:rPr>
        <w:footnoteRef/>
      </w:r>
      <w:r w:rsidRPr="0034408F">
        <w:rPr>
          <w:sz w:val="20"/>
        </w:rPr>
        <w:t xml:space="preserve"> </w:t>
      </w:r>
      <w:r w:rsidRPr="0034408F">
        <w:rPr>
          <w:sz w:val="20"/>
          <w:lang w:val="en-US"/>
        </w:rPr>
        <w:t>Palestinian General Authority of Civil Affairs</w:t>
      </w:r>
    </w:p>
  </w:footnote>
  <w:footnote w:id="60">
    <w:p w14:paraId="355ABD35" w14:textId="54F7E3C7" w:rsidR="001D64E3" w:rsidRPr="0034408F" w:rsidRDefault="001D64E3">
      <w:pPr>
        <w:pStyle w:val="FootnoteText"/>
        <w:rPr>
          <w:sz w:val="20"/>
        </w:rPr>
      </w:pPr>
      <w:r w:rsidRPr="0034408F">
        <w:rPr>
          <w:rStyle w:val="FootnoteReference"/>
          <w:sz w:val="20"/>
        </w:rPr>
        <w:footnoteRef/>
      </w:r>
      <w:r w:rsidRPr="0034408F">
        <w:rPr>
          <w:sz w:val="20"/>
        </w:rPr>
        <w:t xml:space="preserve"> </w:t>
      </w:r>
      <w:r w:rsidRPr="0034408F">
        <w:rPr>
          <w:sz w:val="20"/>
          <w:lang w:val="en-US"/>
        </w:rPr>
        <w:t>Palestinian General Authority of Civil Affairs</w:t>
      </w:r>
    </w:p>
  </w:footnote>
  <w:footnote w:id="61">
    <w:p w14:paraId="1ADAFE25" w14:textId="4FC78A91" w:rsidR="00965411" w:rsidRPr="0034408F" w:rsidRDefault="00965411" w:rsidP="0061214A">
      <w:pPr>
        <w:pStyle w:val="FootnoteText"/>
        <w:ind w:left="0" w:right="0" w:firstLine="0"/>
        <w:rPr>
          <w:sz w:val="20"/>
          <w:lang w:val="en-US"/>
        </w:rPr>
      </w:pPr>
      <w:r w:rsidRPr="0034408F">
        <w:rPr>
          <w:rStyle w:val="FootnoteReference"/>
          <w:sz w:val="20"/>
        </w:rPr>
        <w:footnoteRef/>
      </w:r>
      <w:r w:rsidRPr="0034408F">
        <w:rPr>
          <w:sz w:val="20"/>
        </w:rPr>
        <w:t xml:space="preserve"> </w:t>
      </w:r>
      <w:r w:rsidR="0061214A" w:rsidRPr="0034408F">
        <w:rPr>
          <w:sz w:val="20"/>
        </w:rPr>
        <w:t xml:space="preserve">World Bank, “Cash-Strapped Gaza and an Economy in Collapse Put Palestinian Basic Needs at Risk”, 25 September 2018. Link: </w:t>
      </w:r>
      <w:hyperlink r:id="rId29" w:history="1">
        <w:r w:rsidR="0061214A" w:rsidRPr="0034408F">
          <w:rPr>
            <w:rStyle w:val="Hyperlink"/>
            <w:rFonts w:eastAsia="Cambria"/>
            <w:sz w:val="20"/>
          </w:rPr>
          <w:t>https://www.worldbank.org/en/news/press-release/2018/09/25/cash-strapped-gaza-and-an-economy-in-collapse-put-palestinian-basic-needs-at-risk</w:t>
        </w:r>
      </w:hyperlink>
      <w:r w:rsidRPr="0034408F">
        <w:rPr>
          <w:rFonts w:eastAsia="Cambria"/>
          <w:sz w:val="20"/>
        </w:rPr>
        <w:t xml:space="preserve"> </w:t>
      </w:r>
    </w:p>
  </w:footnote>
  <w:footnote w:id="62">
    <w:p w14:paraId="49EBEB43" w14:textId="1892C00C" w:rsidR="00965411" w:rsidRPr="0034408F" w:rsidRDefault="00965411" w:rsidP="002B3B42">
      <w:pPr>
        <w:pStyle w:val="FootnoteText"/>
        <w:ind w:left="0" w:right="0" w:firstLine="0"/>
        <w:rPr>
          <w:sz w:val="20"/>
        </w:rPr>
      </w:pPr>
      <w:r w:rsidRPr="0034408F">
        <w:rPr>
          <w:rStyle w:val="FootnoteReference"/>
          <w:sz w:val="20"/>
        </w:rPr>
        <w:footnoteRef/>
      </w:r>
      <w:r w:rsidRPr="0034408F">
        <w:rPr>
          <w:sz w:val="20"/>
        </w:rPr>
        <w:t xml:space="preserve"> </w:t>
      </w:r>
      <w:r w:rsidR="0061214A" w:rsidRPr="0034408F">
        <w:rPr>
          <w:sz w:val="20"/>
        </w:rPr>
        <w:t>Palestinian Central Bureau of Statistics</w:t>
      </w:r>
      <w:r w:rsidRPr="0034408F">
        <w:rPr>
          <w:sz w:val="20"/>
        </w:rPr>
        <w:t>, Levels of Living in Palestine, 2017</w:t>
      </w:r>
    </w:p>
  </w:footnote>
  <w:footnote w:id="63">
    <w:p w14:paraId="7282F36E" w14:textId="791008BD" w:rsidR="00F05D5C" w:rsidRPr="0034408F" w:rsidRDefault="00F05D5C" w:rsidP="002B3B42">
      <w:pPr>
        <w:pStyle w:val="FootnoteText"/>
        <w:ind w:left="0" w:right="0" w:firstLine="0"/>
        <w:rPr>
          <w:sz w:val="20"/>
        </w:rPr>
      </w:pPr>
      <w:r w:rsidRPr="0034408F">
        <w:rPr>
          <w:rStyle w:val="FootnoteReference"/>
          <w:sz w:val="20"/>
        </w:rPr>
        <w:footnoteRef/>
      </w:r>
      <w:r w:rsidRPr="0034408F">
        <w:rPr>
          <w:sz w:val="20"/>
        </w:rPr>
        <w:t xml:space="preserve"> Palestinian Central Bureau of Statistics, Labour Force Survey results,</w:t>
      </w:r>
      <w:r w:rsidR="0061214A" w:rsidRPr="0034408F">
        <w:rPr>
          <w:sz w:val="20"/>
        </w:rPr>
        <w:t xml:space="preserve"> </w:t>
      </w:r>
      <w:r w:rsidRPr="0034408F">
        <w:rPr>
          <w:sz w:val="20"/>
        </w:rPr>
        <w:t>2018</w:t>
      </w:r>
    </w:p>
  </w:footnote>
  <w:footnote w:id="64">
    <w:p w14:paraId="24C1A4F8" w14:textId="0FE941B7" w:rsidR="00F05D5C" w:rsidRPr="0034408F" w:rsidRDefault="00F05D5C" w:rsidP="002B3B42">
      <w:pPr>
        <w:pStyle w:val="FootnoteText"/>
        <w:ind w:left="0" w:right="0" w:firstLine="0"/>
        <w:rPr>
          <w:sz w:val="20"/>
        </w:rPr>
      </w:pPr>
      <w:r w:rsidRPr="0034408F">
        <w:rPr>
          <w:rStyle w:val="FootnoteReference"/>
          <w:sz w:val="20"/>
        </w:rPr>
        <w:footnoteRef/>
      </w:r>
      <w:r w:rsidRPr="0034408F">
        <w:rPr>
          <w:sz w:val="20"/>
        </w:rPr>
        <w:t xml:space="preserve"> Palestinian Central Bureau of Statistics, International Youth Day, 12 August 2019</w:t>
      </w:r>
      <w:r w:rsidR="0061214A" w:rsidRPr="0034408F">
        <w:rPr>
          <w:sz w:val="20"/>
        </w:rPr>
        <w:t xml:space="preserve"> </w:t>
      </w:r>
    </w:p>
  </w:footnote>
  <w:footnote w:id="65">
    <w:p w14:paraId="67B8AC34" w14:textId="27AF5946" w:rsidR="00CB6B73" w:rsidRPr="0034408F" w:rsidRDefault="00CB6B73" w:rsidP="002B3B42">
      <w:pPr>
        <w:pStyle w:val="FootnoteText"/>
        <w:ind w:left="0" w:right="0" w:firstLine="0"/>
        <w:rPr>
          <w:sz w:val="20"/>
        </w:rPr>
      </w:pPr>
      <w:r w:rsidRPr="0034408F">
        <w:rPr>
          <w:rStyle w:val="FootnoteReference"/>
          <w:sz w:val="20"/>
        </w:rPr>
        <w:footnoteRef/>
      </w:r>
      <w:r w:rsidRPr="0034408F">
        <w:rPr>
          <w:sz w:val="20"/>
        </w:rPr>
        <w:t xml:space="preserve"> Gisha</w:t>
      </w:r>
      <w:r w:rsidR="0061214A" w:rsidRPr="0034408F">
        <w:rPr>
          <w:sz w:val="20"/>
        </w:rPr>
        <w:t xml:space="preserve"> </w:t>
      </w:r>
      <w:r w:rsidRPr="0034408F">
        <w:rPr>
          <w:sz w:val="20"/>
        </w:rPr>
        <w:t>-</w:t>
      </w:r>
      <w:r w:rsidR="0061214A" w:rsidRPr="0034408F">
        <w:rPr>
          <w:sz w:val="20"/>
        </w:rPr>
        <w:t xml:space="preserve"> </w:t>
      </w:r>
      <w:r w:rsidRPr="0034408F">
        <w:rPr>
          <w:sz w:val="20"/>
        </w:rPr>
        <w:t xml:space="preserve">The legal </w:t>
      </w:r>
      <w:proofErr w:type="spellStart"/>
      <w:r w:rsidRPr="0034408F">
        <w:rPr>
          <w:sz w:val="20"/>
        </w:rPr>
        <w:t>Center</w:t>
      </w:r>
      <w:proofErr w:type="spellEnd"/>
      <w:r w:rsidRPr="0034408F">
        <w:rPr>
          <w:sz w:val="20"/>
        </w:rPr>
        <w:t xml:space="preserve"> for Freedom of Movement</w:t>
      </w:r>
      <w:r w:rsidR="0061214A" w:rsidRPr="0034408F">
        <w:rPr>
          <w:sz w:val="20"/>
        </w:rPr>
        <w:t xml:space="preserve">, </w:t>
      </w:r>
      <w:r w:rsidRPr="0034408F">
        <w:rPr>
          <w:sz w:val="20"/>
        </w:rPr>
        <w:t>list of dual use items</w:t>
      </w:r>
      <w:r w:rsidR="0061214A" w:rsidRPr="0034408F">
        <w:rPr>
          <w:sz w:val="20"/>
        </w:rPr>
        <w:t>, found here</w:t>
      </w:r>
      <w:r w:rsidRPr="0034408F">
        <w:rPr>
          <w:sz w:val="20"/>
        </w:rPr>
        <w:t xml:space="preserve">: </w:t>
      </w:r>
      <w:hyperlink r:id="rId30" w:history="1">
        <w:r w:rsidRPr="0034408F">
          <w:rPr>
            <w:rStyle w:val="Hyperlink"/>
            <w:sz w:val="20"/>
          </w:rPr>
          <w:t>https://gisha.org/en-blog/2017/04/20/the-dual-use-list-finally-gets-published-but-its-the-opposite-of-useful/</w:t>
        </w:r>
      </w:hyperlink>
    </w:p>
  </w:footnote>
  <w:footnote w:id="66">
    <w:p w14:paraId="3C8D45C9" w14:textId="6132E3B0" w:rsidR="001D64E3" w:rsidRPr="0034408F" w:rsidRDefault="001D64E3" w:rsidP="00505667">
      <w:pPr>
        <w:pStyle w:val="FootnoteText"/>
        <w:ind w:left="0" w:right="0" w:firstLine="0"/>
        <w:rPr>
          <w:sz w:val="20"/>
        </w:rPr>
      </w:pPr>
      <w:r w:rsidRPr="0034408F">
        <w:rPr>
          <w:rStyle w:val="FootnoteReference"/>
          <w:sz w:val="20"/>
        </w:rPr>
        <w:footnoteRef/>
      </w:r>
      <w:r w:rsidR="00505667" w:rsidRPr="0034408F">
        <w:rPr>
          <w:sz w:val="20"/>
        </w:rPr>
        <w:t xml:space="preserve"> Please also see Lawyers for Palestinian Human Rights’ briefing on the issue: “LPHR briefing on the Gaza Reconstruction Mechanism: its ineffectiveness, its incompatibility with international humanitarian and human rights law obligations, and its future”, 3 July 2018. Link:</w:t>
      </w:r>
      <w:r w:rsidRPr="0034408F">
        <w:rPr>
          <w:sz w:val="20"/>
        </w:rPr>
        <w:t xml:space="preserve"> </w:t>
      </w:r>
      <w:hyperlink r:id="rId31" w:history="1">
        <w:r w:rsidR="00505667" w:rsidRPr="0034408F">
          <w:rPr>
            <w:rStyle w:val="Hyperlink"/>
            <w:sz w:val="20"/>
          </w:rPr>
          <w:t>https://lphr.org.uk/latest-news/lphr-briefing-on-the-gaza-reconstruction-mechanism-its-ineffectiveness-its-incompatibility-with-international-humanitarian-and-human-rights-law-obligations-and-its-future/</w:t>
        </w:r>
      </w:hyperlink>
      <w:r w:rsidR="00505667" w:rsidRPr="0034408F">
        <w:rPr>
          <w:sz w:val="20"/>
        </w:rPr>
        <w:t xml:space="preserve"> </w:t>
      </w:r>
    </w:p>
  </w:footnote>
  <w:footnote w:id="67">
    <w:p w14:paraId="5F837A33" w14:textId="3FA2AA71" w:rsidR="00056B54" w:rsidRPr="0034408F" w:rsidRDefault="00056B54" w:rsidP="00056B54">
      <w:pPr>
        <w:pStyle w:val="FootnoteText"/>
        <w:ind w:left="0" w:right="0" w:firstLine="0"/>
        <w:rPr>
          <w:sz w:val="20"/>
          <w:vertAlign w:val="superscript"/>
        </w:rPr>
      </w:pPr>
      <w:r w:rsidRPr="0034408F">
        <w:rPr>
          <w:rStyle w:val="FootnoteReference"/>
          <w:sz w:val="20"/>
        </w:rPr>
        <w:footnoteRef/>
      </w:r>
      <w:r w:rsidRPr="0034408F">
        <w:rPr>
          <w:sz w:val="20"/>
        </w:rPr>
        <w:t xml:space="preserve"> Palestinian Central Bureau of Statistics, Socio-Economic Food Security Survey 2018 Preliminary Results, 10 December 2018, Ramallah.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8043F"/>
    <w:multiLevelType w:val="hybridMultilevel"/>
    <w:tmpl w:val="BF3E3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0C3D51"/>
    <w:multiLevelType w:val="hybridMultilevel"/>
    <w:tmpl w:val="88A493F8"/>
    <w:lvl w:ilvl="0" w:tplc="F4DA125A">
      <w:start w:val="1"/>
      <w:numFmt w:val="decimal"/>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20481184"/>
    <w:multiLevelType w:val="hybridMultilevel"/>
    <w:tmpl w:val="9EE086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6303A4E"/>
    <w:multiLevelType w:val="hybridMultilevel"/>
    <w:tmpl w:val="B59A5E0C"/>
    <w:lvl w:ilvl="0" w:tplc="359037FC">
      <w:start w:val="1"/>
      <w:numFmt w:val="decimal"/>
      <w:lvlText w:val="%1."/>
      <w:lvlJc w:val="left"/>
      <w:pPr>
        <w:ind w:left="360" w:hanging="360"/>
      </w:pPr>
      <w:rPr>
        <w:rFonts w:hint="default"/>
        <w:b w:val="0"/>
        <w:bCs w:val="0"/>
        <w:sz w:val="24"/>
        <w:szCs w:val="24"/>
      </w:rPr>
    </w:lvl>
    <w:lvl w:ilvl="1" w:tplc="50CC36AA">
      <w:start w:val="1"/>
      <w:numFmt w:val="lowerRoman"/>
      <w:lvlText w:val="%2."/>
      <w:lvlJc w:val="right"/>
      <w:pPr>
        <w:ind w:left="1080" w:hanging="360"/>
      </w:pPr>
      <w:rPr>
        <w:b w:val="0"/>
        <w:bCs w:val="0"/>
        <w:i w:val="0"/>
        <w:iCs w:val="0"/>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72B476F"/>
    <w:multiLevelType w:val="hybridMultilevel"/>
    <w:tmpl w:val="0CC43F52"/>
    <w:lvl w:ilvl="0" w:tplc="52BEBBB4">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1E232DA"/>
    <w:multiLevelType w:val="hybridMultilevel"/>
    <w:tmpl w:val="1F80DE0C"/>
    <w:lvl w:ilvl="0" w:tplc="6B9A799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04674A"/>
    <w:multiLevelType w:val="hybridMultilevel"/>
    <w:tmpl w:val="E8AA6638"/>
    <w:lvl w:ilvl="0" w:tplc="02E2D18A">
      <w:start w:val="1"/>
      <w:numFmt w:val="decimal"/>
      <w:lvlText w:val="%1."/>
      <w:lvlJc w:val="left"/>
      <w:pPr>
        <w:ind w:left="360" w:hanging="360"/>
      </w:pPr>
      <w:rPr>
        <w:rFonts w:hint="default"/>
        <w:b w:val="0"/>
        <w:bCs w:val="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2"/>
  </w:num>
  <w:num w:numId="3">
    <w:abstractNumId w:val="0"/>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2F1"/>
    <w:rsid w:val="00016FE3"/>
    <w:rsid w:val="0001759C"/>
    <w:rsid w:val="00017FFA"/>
    <w:rsid w:val="00025653"/>
    <w:rsid w:val="00056B54"/>
    <w:rsid w:val="00075C0D"/>
    <w:rsid w:val="000A3587"/>
    <w:rsid w:val="000B0082"/>
    <w:rsid w:val="000B18D7"/>
    <w:rsid w:val="000E3C21"/>
    <w:rsid w:val="00101BB2"/>
    <w:rsid w:val="00106D44"/>
    <w:rsid w:val="00106FFA"/>
    <w:rsid w:val="00107B9C"/>
    <w:rsid w:val="0011147F"/>
    <w:rsid w:val="001130CF"/>
    <w:rsid w:val="00120CD3"/>
    <w:rsid w:val="00123A73"/>
    <w:rsid w:val="001642EC"/>
    <w:rsid w:val="001652FE"/>
    <w:rsid w:val="00171AB0"/>
    <w:rsid w:val="0019667E"/>
    <w:rsid w:val="001A36FB"/>
    <w:rsid w:val="001C2C8F"/>
    <w:rsid w:val="001C646E"/>
    <w:rsid w:val="001C6CAF"/>
    <w:rsid w:val="001D64E3"/>
    <w:rsid w:val="001E4203"/>
    <w:rsid w:val="001F4CAC"/>
    <w:rsid w:val="001F7CF4"/>
    <w:rsid w:val="002133E8"/>
    <w:rsid w:val="00227BFF"/>
    <w:rsid w:val="00231036"/>
    <w:rsid w:val="0023263C"/>
    <w:rsid w:val="00266186"/>
    <w:rsid w:val="002703F6"/>
    <w:rsid w:val="0028649D"/>
    <w:rsid w:val="002A7CC3"/>
    <w:rsid w:val="002B3349"/>
    <w:rsid w:val="002B3B42"/>
    <w:rsid w:val="002C04CC"/>
    <w:rsid w:val="002C19EA"/>
    <w:rsid w:val="002F7586"/>
    <w:rsid w:val="00300C6B"/>
    <w:rsid w:val="0030416C"/>
    <w:rsid w:val="00316FBB"/>
    <w:rsid w:val="00332698"/>
    <w:rsid w:val="0034209C"/>
    <w:rsid w:val="0034408F"/>
    <w:rsid w:val="003547B2"/>
    <w:rsid w:val="00364FAD"/>
    <w:rsid w:val="00366FDC"/>
    <w:rsid w:val="003847C3"/>
    <w:rsid w:val="00384E87"/>
    <w:rsid w:val="003C42B2"/>
    <w:rsid w:val="003F2972"/>
    <w:rsid w:val="004071A3"/>
    <w:rsid w:val="00431551"/>
    <w:rsid w:val="0044442D"/>
    <w:rsid w:val="0047166E"/>
    <w:rsid w:val="004717C0"/>
    <w:rsid w:val="0047241B"/>
    <w:rsid w:val="00487A78"/>
    <w:rsid w:val="004A7947"/>
    <w:rsid w:val="004B26FD"/>
    <w:rsid w:val="004B6747"/>
    <w:rsid w:val="00505667"/>
    <w:rsid w:val="005149D8"/>
    <w:rsid w:val="0052341C"/>
    <w:rsid w:val="00523C85"/>
    <w:rsid w:val="005255A7"/>
    <w:rsid w:val="005533BB"/>
    <w:rsid w:val="00561A40"/>
    <w:rsid w:val="00594236"/>
    <w:rsid w:val="005A7C08"/>
    <w:rsid w:val="005B52F1"/>
    <w:rsid w:val="005B772D"/>
    <w:rsid w:val="005C0555"/>
    <w:rsid w:val="005C3297"/>
    <w:rsid w:val="005C77FF"/>
    <w:rsid w:val="0060462C"/>
    <w:rsid w:val="00610E91"/>
    <w:rsid w:val="0061214A"/>
    <w:rsid w:val="00646990"/>
    <w:rsid w:val="00670DFC"/>
    <w:rsid w:val="006E54BA"/>
    <w:rsid w:val="006F7B09"/>
    <w:rsid w:val="007077FF"/>
    <w:rsid w:val="0072331F"/>
    <w:rsid w:val="00726E6B"/>
    <w:rsid w:val="0077528F"/>
    <w:rsid w:val="007D0FD6"/>
    <w:rsid w:val="008109E5"/>
    <w:rsid w:val="0081401B"/>
    <w:rsid w:val="00815240"/>
    <w:rsid w:val="00815792"/>
    <w:rsid w:val="0082069D"/>
    <w:rsid w:val="0082071D"/>
    <w:rsid w:val="00843A4C"/>
    <w:rsid w:val="00844DE3"/>
    <w:rsid w:val="008653C2"/>
    <w:rsid w:val="0089020F"/>
    <w:rsid w:val="00895ED3"/>
    <w:rsid w:val="00896A2A"/>
    <w:rsid w:val="008B5AEE"/>
    <w:rsid w:val="008C315E"/>
    <w:rsid w:val="008E1C07"/>
    <w:rsid w:val="008E43CC"/>
    <w:rsid w:val="008E5C87"/>
    <w:rsid w:val="00921A5D"/>
    <w:rsid w:val="009351BD"/>
    <w:rsid w:val="00937551"/>
    <w:rsid w:val="00937682"/>
    <w:rsid w:val="00963CAB"/>
    <w:rsid w:val="00965411"/>
    <w:rsid w:val="0096791C"/>
    <w:rsid w:val="00967DBE"/>
    <w:rsid w:val="0098742F"/>
    <w:rsid w:val="00990FB6"/>
    <w:rsid w:val="009963D5"/>
    <w:rsid w:val="009A3BB7"/>
    <w:rsid w:val="009A7481"/>
    <w:rsid w:val="009D00F9"/>
    <w:rsid w:val="00A01963"/>
    <w:rsid w:val="00A03549"/>
    <w:rsid w:val="00A035EE"/>
    <w:rsid w:val="00A278A7"/>
    <w:rsid w:val="00A27D65"/>
    <w:rsid w:val="00A32FC4"/>
    <w:rsid w:val="00A654F4"/>
    <w:rsid w:val="00A77DFF"/>
    <w:rsid w:val="00A80E61"/>
    <w:rsid w:val="00A826F6"/>
    <w:rsid w:val="00AA31CD"/>
    <w:rsid w:val="00AA39AD"/>
    <w:rsid w:val="00AD5A55"/>
    <w:rsid w:val="00AE7A8D"/>
    <w:rsid w:val="00AF61EB"/>
    <w:rsid w:val="00B01AF5"/>
    <w:rsid w:val="00B21F8B"/>
    <w:rsid w:val="00B25498"/>
    <w:rsid w:val="00B4145A"/>
    <w:rsid w:val="00B61304"/>
    <w:rsid w:val="00B83525"/>
    <w:rsid w:val="00B92A9B"/>
    <w:rsid w:val="00B97F19"/>
    <w:rsid w:val="00BB3D58"/>
    <w:rsid w:val="00BC0342"/>
    <w:rsid w:val="00BC1C46"/>
    <w:rsid w:val="00BE68C7"/>
    <w:rsid w:val="00C11578"/>
    <w:rsid w:val="00C33833"/>
    <w:rsid w:val="00C44E81"/>
    <w:rsid w:val="00C5730F"/>
    <w:rsid w:val="00C5743B"/>
    <w:rsid w:val="00C70C8D"/>
    <w:rsid w:val="00C775D1"/>
    <w:rsid w:val="00CB6B73"/>
    <w:rsid w:val="00CC350F"/>
    <w:rsid w:val="00D01F54"/>
    <w:rsid w:val="00D11245"/>
    <w:rsid w:val="00D130F8"/>
    <w:rsid w:val="00D31951"/>
    <w:rsid w:val="00D70260"/>
    <w:rsid w:val="00D70B9C"/>
    <w:rsid w:val="00D75B54"/>
    <w:rsid w:val="00D969CA"/>
    <w:rsid w:val="00DA153D"/>
    <w:rsid w:val="00DD3672"/>
    <w:rsid w:val="00E04E92"/>
    <w:rsid w:val="00E301E7"/>
    <w:rsid w:val="00E5609D"/>
    <w:rsid w:val="00E71561"/>
    <w:rsid w:val="00E71C8F"/>
    <w:rsid w:val="00EC48EF"/>
    <w:rsid w:val="00ED488D"/>
    <w:rsid w:val="00EE0994"/>
    <w:rsid w:val="00EE21AF"/>
    <w:rsid w:val="00EE3356"/>
    <w:rsid w:val="00EF4B08"/>
    <w:rsid w:val="00EF60DB"/>
    <w:rsid w:val="00F05D5C"/>
    <w:rsid w:val="00F10559"/>
    <w:rsid w:val="00F14439"/>
    <w:rsid w:val="00F351C8"/>
    <w:rsid w:val="00F8474C"/>
    <w:rsid w:val="00F862E6"/>
    <w:rsid w:val="00FA1E34"/>
    <w:rsid w:val="00FB1064"/>
    <w:rsid w:val="00FD1D85"/>
    <w:rsid w:val="00FD59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B0A644"/>
  <w14:defaultImageDpi w14:val="32767"/>
  <w15:chartTrackingRefBased/>
  <w15:docId w15:val="{F01B204A-B24D-1447-8ACC-CED7ABAE2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5743B"/>
    <w:rPr>
      <w:rFonts w:ascii="Times New Roman" w:eastAsia="Times New Roman" w:hAnsi="Times New Roman" w:cs="Times New Roman"/>
    </w:rPr>
  </w:style>
  <w:style w:type="paragraph" w:styleId="Heading1">
    <w:name w:val="heading 1"/>
    <w:basedOn w:val="Normal"/>
    <w:next w:val="Normal"/>
    <w:link w:val="Heading1Char"/>
    <w:uiPriority w:val="9"/>
    <w:qFormat/>
    <w:rsid w:val="0096791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42B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4CAC"/>
    <w:rPr>
      <w:color w:val="0000FF"/>
      <w:u w:val="single"/>
    </w:rPr>
  </w:style>
  <w:style w:type="paragraph" w:customStyle="1" w:styleId="SingleTxtG">
    <w:name w:val="_ Single Txt_G"/>
    <w:basedOn w:val="Normal"/>
    <w:link w:val="SingleTxtGChar"/>
    <w:qFormat/>
    <w:rsid w:val="00107B9C"/>
    <w:pPr>
      <w:suppressAutoHyphens/>
      <w:spacing w:after="120" w:line="240" w:lineRule="atLeast"/>
      <w:ind w:left="1134" w:right="1134"/>
      <w:jc w:val="both"/>
    </w:pPr>
    <w:rPr>
      <w:sz w:val="20"/>
      <w:szCs w:val="20"/>
      <w:lang w:val="en-GB"/>
    </w:rPr>
  </w:style>
  <w:style w:type="character" w:customStyle="1" w:styleId="SingleTxtGChar">
    <w:name w:val="_ Single Txt_G Char"/>
    <w:link w:val="SingleTxtG"/>
    <w:locked/>
    <w:rsid w:val="00107B9C"/>
    <w:rPr>
      <w:rFonts w:ascii="Times New Roman" w:eastAsia="Times New Roman" w:hAnsi="Times New Roman" w:cs="Times New Roman"/>
      <w:sz w:val="20"/>
      <w:szCs w:val="20"/>
      <w:lang w:val="en-GB"/>
    </w:rPr>
  </w:style>
  <w:style w:type="character" w:styleId="FootnoteReference">
    <w:name w:val="footnote reference"/>
    <w:aliases w:val="4_G,Footnote number,Footnotes refss,Footnote Ref,16 Point,Superscript 6 Point,ftref,callout,Ref,de nota al pie,Appel note de bas de p.,Footnote,4_G Char Char,a Footnote Reference,FZ,Appel note de bas de page,Footnote Refernece,[,[0]"/>
    <w:link w:val="CharChar1CharCharCharChar1CharCharCharCharCharCharCharCharCharCharCharCharCharCharCharChar"/>
    <w:uiPriority w:val="99"/>
    <w:qFormat/>
    <w:rsid w:val="00107B9C"/>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 Char,Footnote Reference1,Sharp - Footnote Text,Footnote Text - Sharp Char Char,Footnote Text Cha,Ca,C,Char"/>
    <w:basedOn w:val="Normal"/>
    <w:link w:val="FootnoteTextChar"/>
    <w:uiPriority w:val="99"/>
    <w:qFormat/>
    <w:rsid w:val="00107B9C"/>
    <w:pPr>
      <w:tabs>
        <w:tab w:val="right" w:pos="1021"/>
      </w:tabs>
      <w:suppressAutoHyphens/>
      <w:spacing w:line="220" w:lineRule="exact"/>
      <w:ind w:left="1134" w:right="1134" w:hanging="1134"/>
    </w:pPr>
    <w:rPr>
      <w:sz w:val="18"/>
      <w:szCs w:val="20"/>
      <w:lang w:val="en-GB"/>
    </w:rPr>
  </w:style>
  <w:style w:type="character" w:customStyle="1" w:styleId="FootnoteTextChar">
    <w:name w:val="Footnote Text Char"/>
    <w:aliases w:val="5_G Char,Footnote Text Char Char Char Char Char Char,Footnote Text Char Char Char Char Char1,Footnote reference Char,FA Fu Char,Footnote Text Char Char Char Char1, Char Char,Footnote Reference1 Char,Sharp - Footnote Text Char,Ca Char"/>
    <w:basedOn w:val="DefaultParagraphFont"/>
    <w:link w:val="FootnoteText"/>
    <w:uiPriority w:val="99"/>
    <w:rsid w:val="00107B9C"/>
    <w:rPr>
      <w:rFonts w:ascii="Times New Roman" w:eastAsia="Times New Roman" w:hAnsi="Times New Roman" w:cs="Times New Roman"/>
      <w:sz w:val="18"/>
      <w:szCs w:val="20"/>
      <w:lang w:val="en-GB"/>
    </w:rPr>
  </w:style>
  <w:style w:type="paragraph" w:styleId="ListParagraph">
    <w:name w:val="List Paragraph"/>
    <w:basedOn w:val="Normal"/>
    <w:uiPriority w:val="34"/>
    <w:qFormat/>
    <w:rsid w:val="00815240"/>
    <w:pPr>
      <w:ind w:left="720"/>
      <w:contextualSpacing/>
    </w:p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uiPriority w:val="99"/>
    <w:qFormat/>
    <w:rsid w:val="00B4145A"/>
    <w:pPr>
      <w:spacing w:after="160" w:line="240" w:lineRule="exact"/>
    </w:pPr>
    <w:rPr>
      <w:sz w:val="18"/>
      <w:vertAlign w:val="superscript"/>
    </w:rPr>
  </w:style>
  <w:style w:type="paragraph" w:customStyle="1" w:styleId="FootnoteTextFollowing">
    <w:name w:val="Footnote Text Following"/>
    <w:basedOn w:val="FootnoteText"/>
    <w:next w:val="FootnoteText"/>
    <w:link w:val="FootnoteTextFollowingChar"/>
    <w:autoRedefine/>
    <w:qFormat/>
    <w:rsid w:val="000B18D7"/>
    <w:pPr>
      <w:widowControl w:val="0"/>
      <w:tabs>
        <w:tab w:val="clear" w:pos="1021"/>
      </w:tabs>
      <w:suppressAutoHyphens w:val="0"/>
      <w:spacing w:line="240" w:lineRule="auto"/>
      <w:ind w:firstLine="0"/>
    </w:pPr>
    <w:rPr>
      <w:rFonts w:eastAsia="Cambria"/>
      <w:szCs w:val="18"/>
      <w:lang w:val="en-US" w:bidi="he-IL"/>
    </w:rPr>
  </w:style>
  <w:style w:type="character" w:customStyle="1" w:styleId="FootnoteTextFollowingChar">
    <w:name w:val="Footnote Text Following Char"/>
    <w:basedOn w:val="DefaultParagraphFont"/>
    <w:link w:val="FootnoteTextFollowing"/>
    <w:rsid w:val="000B18D7"/>
    <w:rPr>
      <w:rFonts w:ascii="Times New Roman" w:eastAsia="Cambria" w:hAnsi="Times New Roman" w:cs="Times New Roman"/>
      <w:sz w:val="18"/>
      <w:szCs w:val="18"/>
      <w:lang w:bidi="he-IL"/>
    </w:rPr>
  </w:style>
  <w:style w:type="character" w:customStyle="1" w:styleId="FootnoteCharacters">
    <w:name w:val="Footnote Characters"/>
    <w:basedOn w:val="DefaultParagraphFont"/>
    <w:qFormat/>
    <w:rsid w:val="000B18D7"/>
    <w:rPr>
      <w:rFonts w:ascii="Times New Roman" w:hAnsi="Times New Roman"/>
      <w:sz w:val="18"/>
      <w:vertAlign w:val="superscript"/>
      <w:lang w:val="fr-CH"/>
    </w:rPr>
  </w:style>
  <w:style w:type="character" w:customStyle="1" w:styleId="FootnoteAnchor">
    <w:name w:val="Footnote Anchor"/>
    <w:rsid w:val="000B18D7"/>
    <w:rPr>
      <w:rFonts w:ascii="Times New Roman" w:hAnsi="Times New Roman"/>
      <w:sz w:val="18"/>
      <w:vertAlign w:val="superscript"/>
      <w:lang w:val="fr-CH"/>
    </w:rPr>
  </w:style>
  <w:style w:type="character" w:styleId="UnresolvedMention">
    <w:name w:val="Unresolved Mention"/>
    <w:basedOn w:val="DefaultParagraphFont"/>
    <w:uiPriority w:val="99"/>
    <w:rsid w:val="009351BD"/>
    <w:rPr>
      <w:color w:val="605E5C"/>
      <w:shd w:val="clear" w:color="auto" w:fill="E1DFDD"/>
    </w:rPr>
  </w:style>
  <w:style w:type="paragraph" w:styleId="NormalWeb">
    <w:name w:val="Normal (Web)"/>
    <w:basedOn w:val="Normal"/>
    <w:uiPriority w:val="99"/>
    <w:unhideWhenUsed/>
    <w:rsid w:val="00364FAD"/>
    <w:pPr>
      <w:spacing w:before="100" w:beforeAutospacing="1" w:after="100" w:afterAutospacing="1"/>
    </w:pPr>
  </w:style>
  <w:style w:type="character" w:customStyle="1" w:styleId="Heading1Char">
    <w:name w:val="Heading 1 Char"/>
    <w:basedOn w:val="DefaultParagraphFont"/>
    <w:link w:val="Heading1"/>
    <w:uiPriority w:val="9"/>
    <w:rsid w:val="0096791C"/>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96791C"/>
    <w:rPr>
      <w:b/>
      <w:bCs/>
    </w:rPr>
  </w:style>
  <w:style w:type="character" w:styleId="FollowedHyperlink">
    <w:name w:val="FollowedHyperlink"/>
    <w:basedOn w:val="DefaultParagraphFont"/>
    <w:uiPriority w:val="99"/>
    <w:semiHidden/>
    <w:unhideWhenUsed/>
    <w:rsid w:val="00487A78"/>
    <w:rPr>
      <w:color w:val="954F72" w:themeColor="followedHyperlink"/>
      <w:u w:val="single"/>
    </w:rPr>
  </w:style>
  <w:style w:type="character" w:styleId="CommentReference">
    <w:name w:val="annotation reference"/>
    <w:basedOn w:val="DefaultParagraphFont"/>
    <w:uiPriority w:val="99"/>
    <w:semiHidden/>
    <w:unhideWhenUsed/>
    <w:rsid w:val="00487A78"/>
    <w:rPr>
      <w:sz w:val="16"/>
      <w:szCs w:val="16"/>
    </w:rPr>
  </w:style>
  <w:style w:type="paragraph" w:styleId="CommentText">
    <w:name w:val="annotation text"/>
    <w:basedOn w:val="Normal"/>
    <w:link w:val="CommentTextChar"/>
    <w:uiPriority w:val="99"/>
    <w:semiHidden/>
    <w:unhideWhenUsed/>
    <w:rsid w:val="00487A78"/>
    <w:rPr>
      <w:sz w:val="20"/>
      <w:szCs w:val="20"/>
    </w:rPr>
  </w:style>
  <w:style w:type="character" w:customStyle="1" w:styleId="CommentTextChar">
    <w:name w:val="Comment Text Char"/>
    <w:basedOn w:val="DefaultParagraphFont"/>
    <w:link w:val="CommentText"/>
    <w:uiPriority w:val="99"/>
    <w:semiHidden/>
    <w:rsid w:val="00487A7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87A78"/>
    <w:rPr>
      <w:b/>
      <w:bCs/>
    </w:rPr>
  </w:style>
  <w:style w:type="character" w:customStyle="1" w:styleId="CommentSubjectChar">
    <w:name w:val="Comment Subject Char"/>
    <w:basedOn w:val="CommentTextChar"/>
    <w:link w:val="CommentSubject"/>
    <w:uiPriority w:val="99"/>
    <w:semiHidden/>
    <w:rsid w:val="00487A7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487A78"/>
    <w:rPr>
      <w:sz w:val="18"/>
      <w:szCs w:val="18"/>
    </w:rPr>
  </w:style>
  <w:style w:type="character" w:customStyle="1" w:styleId="BalloonTextChar">
    <w:name w:val="Balloon Text Char"/>
    <w:basedOn w:val="DefaultParagraphFont"/>
    <w:link w:val="BalloonText"/>
    <w:uiPriority w:val="99"/>
    <w:semiHidden/>
    <w:rsid w:val="00487A78"/>
    <w:rPr>
      <w:rFonts w:ascii="Times New Roman" w:eastAsia="Times New Roman" w:hAnsi="Times New Roman" w:cs="Times New Roman"/>
      <w:sz w:val="18"/>
      <w:szCs w:val="18"/>
    </w:rPr>
  </w:style>
  <w:style w:type="character" w:customStyle="1" w:styleId="Heading2Char">
    <w:name w:val="Heading 2 Char"/>
    <w:basedOn w:val="DefaultParagraphFont"/>
    <w:link w:val="Heading2"/>
    <w:uiPriority w:val="9"/>
    <w:rsid w:val="003C42B2"/>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C5743B"/>
  </w:style>
  <w:style w:type="paragraph" w:styleId="Title">
    <w:name w:val="Title"/>
    <w:basedOn w:val="Normal"/>
    <w:next w:val="Normal"/>
    <w:link w:val="TitleChar"/>
    <w:uiPriority w:val="10"/>
    <w:qFormat/>
    <w:rsid w:val="00DA153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53D"/>
    <w:rPr>
      <w:rFonts w:asciiTheme="majorHAnsi" w:eastAsiaTheme="majorEastAsia" w:hAnsiTheme="majorHAnsi" w:cstheme="majorBidi"/>
      <w:spacing w:val="-10"/>
      <w:kern w:val="28"/>
      <w:sz w:val="56"/>
      <w:szCs w:val="56"/>
    </w:rPr>
  </w:style>
  <w:style w:type="paragraph" w:styleId="NoSpacing">
    <w:name w:val="No Spacing"/>
    <w:uiPriority w:val="1"/>
    <w:qFormat/>
    <w:rsid w:val="00F10559"/>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58722">
      <w:bodyDiv w:val="1"/>
      <w:marLeft w:val="0"/>
      <w:marRight w:val="0"/>
      <w:marTop w:val="0"/>
      <w:marBottom w:val="0"/>
      <w:divBdr>
        <w:top w:val="none" w:sz="0" w:space="0" w:color="auto"/>
        <w:left w:val="none" w:sz="0" w:space="0" w:color="auto"/>
        <w:bottom w:val="none" w:sz="0" w:space="0" w:color="auto"/>
        <w:right w:val="none" w:sz="0" w:space="0" w:color="auto"/>
      </w:divBdr>
    </w:div>
    <w:div w:id="24838402">
      <w:bodyDiv w:val="1"/>
      <w:marLeft w:val="0"/>
      <w:marRight w:val="0"/>
      <w:marTop w:val="0"/>
      <w:marBottom w:val="0"/>
      <w:divBdr>
        <w:top w:val="none" w:sz="0" w:space="0" w:color="auto"/>
        <w:left w:val="none" w:sz="0" w:space="0" w:color="auto"/>
        <w:bottom w:val="none" w:sz="0" w:space="0" w:color="auto"/>
        <w:right w:val="none" w:sz="0" w:space="0" w:color="auto"/>
      </w:divBdr>
    </w:div>
    <w:div w:id="79303129">
      <w:bodyDiv w:val="1"/>
      <w:marLeft w:val="0"/>
      <w:marRight w:val="0"/>
      <w:marTop w:val="0"/>
      <w:marBottom w:val="0"/>
      <w:divBdr>
        <w:top w:val="none" w:sz="0" w:space="0" w:color="auto"/>
        <w:left w:val="none" w:sz="0" w:space="0" w:color="auto"/>
        <w:bottom w:val="none" w:sz="0" w:space="0" w:color="auto"/>
        <w:right w:val="none" w:sz="0" w:space="0" w:color="auto"/>
      </w:divBdr>
    </w:div>
    <w:div w:id="96215006">
      <w:bodyDiv w:val="1"/>
      <w:marLeft w:val="0"/>
      <w:marRight w:val="0"/>
      <w:marTop w:val="0"/>
      <w:marBottom w:val="0"/>
      <w:divBdr>
        <w:top w:val="none" w:sz="0" w:space="0" w:color="auto"/>
        <w:left w:val="none" w:sz="0" w:space="0" w:color="auto"/>
        <w:bottom w:val="none" w:sz="0" w:space="0" w:color="auto"/>
        <w:right w:val="none" w:sz="0" w:space="0" w:color="auto"/>
      </w:divBdr>
      <w:divsChild>
        <w:div w:id="1325548792">
          <w:marLeft w:val="0"/>
          <w:marRight w:val="0"/>
          <w:marTop w:val="0"/>
          <w:marBottom w:val="75"/>
          <w:divBdr>
            <w:top w:val="none" w:sz="0" w:space="0" w:color="auto"/>
            <w:left w:val="none" w:sz="0" w:space="0" w:color="auto"/>
            <w:bottom w:val="single" w:sz="6" w:space="4" w:color="75AED9"/>
            <w:right w:val="none" w:sz="0" w:space="0" w:color="auto"/>
          </w:divBdr>
        </w:div>
      </w:divsChild>
    </w:div>
    <w:div w:id="96755281">
      <w:bodyDiv w:val="1"/>
      <w:marLeft w:val="0"/>
      <w:marRight w:val="0"/>
      <w:marTop w:val="0"/>
      <w:marBottom w:val="0"/>
      <w:divBdr>
        <w:top w:val="none" w:sz="0" w:space="0" w:color="auto"/>
        <w:left w:val="none" w:sz="0" w:space="0" w:color="auto"/>
        <w:bottom w:val="none" w:sz="0" w:space="0" w:color="auto"/>
        <w:right w:val="none" w:sz="0" w:space="0" w:color="auto"/>
      </w:divBdr>
      <w:divsChild>
        <w:div w:id="1163668977">
          <w:marLeft w:val="0"/>
          <w:marRight w:val="0"/>
          <w:marTop w:val="0"/>
          <w:marBottom w:val="75"/>
          <w:divBdr>
            <w:top w:val="none" w:sz="0" w:space="0" w:color="auto"/>
            <w:left w:val="none" w:sz="0" w:space="0" w:color="auto"/>
            <w:bottom w:val="single" w:sz="6" w:space="4" w:color="75AED9"/>
            <w:right w:val="none" w:sz="0" w:space="0" w:color="auto"/>
          </w:divBdr>
        </w:div>
      </w:divsChild>
    </w:div>
    <w:div w:id="106894361">
      <w:bodyDiv w:val="1"/>
      <w:marLeft w:val="0"/>
      <w:marRight w:val="0"/>
      <w:marTop w:val="0"/>
      <w:marBottom w:val="0"/>
      <w:divBdr>
        <w:top w:val="none" w:sz="0" w:space="0" w:color="auto"/>
        <w:left w:val="none" w:sz="0" w:space="0" w:color="auto"/>
        <w:bottom w:val="none" w:sz="0" w:space="0" w:color="auto"/>
        <w:right w:val="none" w:sz="0" w:space="0" w:color="auto"/>
      </w:divBdr>
    </w:div>
    <w:div w:id="109012845">
      <w:bodyDiv w:val="1"/>
      <w:marLeft w:val="0"/>
      <w:marRight w:val="0"/>
      <w:marTop w:val="0"/>
      <w:marBottom w:val="0"/>
      <w:divBdr>
        <w:top w:val="none" w:sz="0" w:space="0" w:color="auto"/>
        <w:left w:val="none" w:sz="0" w:space="0" w:color="auto"/>
        <w:bottom w:val="none" w:sz="0" w:space="0" w:color="auto"/>
        <w:right w:val="none" w:sz="0" w:space="0" w:color="auto"/>
      </w:divBdr>
    </w:div>
    <w:div w:id="131555458">
      <w:bodyDiv w:val="1"/>
      <w:marLeft w:val="0"/>
      <w:marRight w:val="0"/>
      <w:marTop w:val="0"/>
      <w:marBottom w:val="0"/>
      <w:divBdr>
        <w:top w:val="none" w:sz="0" w:space="0" w:color="auto"/>
        <w:left w:val="none" w:sz="0" w:space="0" w:color="auto"/>
        <w:bottom w:val="none" w:sz="0" w:space="0" w:color="auto"/>
        <w:right w:val="none" w:sz="0" w:space="0" w:color="auto"/>
      </w:divBdr>
    </w:div>
    <w:div w:id="154490478">
      <w:bodyDiv w:val="1"/>
      <w:marLeft w:val="0"/>
      <w:marRight w:val="0"/>
      <w:marTop w:val="0"/>
      <w:marBottom w:val="0"/>
      <w:divBdr>
        <w:top w:val="none" w:sz="0" w:space="0" w:color="auto"/>
        <w:left w:val="none" w:sz="0" w:space="0" w:color="auto"/>
        <w:bottom w:val="none" w:sz="0" w:space="0" w:color="auto"/>
        <w:right w:val="none" w:sz="0" w:space="0" w:color="auto"/>
      </w:divBdr>
    </w:div>
    <w:div w:id="161700554">
      <w:bodyDiv w:val="1"/>
      <w:marLeft w:val="0"/>
      <w:marRight w:val="0"/>
      <w:marTop w:val="0"/>
      <w:marBottom w:val="0"/>
      <w:divBdr>
        <w:top w:val="none" w:sz="0" w:space="0" w:color="auto"/>
        <w:left w:val="none" w:sz="0" w:space="0" w:color="auto"/>
        <w:bottom w:val="none" w:sz="0" w:space="0" w:color="auto"/>
        <w:right w:val="none" w:sz="0" w:space="0" w:color="auto"/>
      </w:divBdr>
    </w:div>
    <w:div w:id="170873700">
      <w:bodyDiv w:val="1"/>
      <w:marLeft w:val="0"/>
      <w:marRight w:val="0"/>
      <w:marTop w:val="0"/>
      <w:marBottom w:val="0"/>
      <w:divBdr>
        <w:top w:val="none" w:sz="0" w:space="0" w:color="auto"/>
        <w:left w:val="none" w:sz="0" w:space="0" w:color="auto"/>
        <w:bottom w:val="none" w:sz="0" w:space="0" w:color="auto"/>
        <w:right w:val="none" w:sz="0" w:space="0" w:color="auto"/>
      </w:divBdr>
    </w:div>
    <w:div w:id="212691340">
      <w:bodyDiv w:val="1"/>
      <w:marLeft w:val="0"/>
      <w:marRight w:val="0"/>
      <w:marTop w:val="0"/>
      <w:marBottom w:val="0"/>
      <w:divBdr>
        <w:top w:val="none" w:sz="0" w:space="0" w:color="auto"/>
        <w:left w:val="none" w:sz="0" w:space="0" w:color="auto"/>
        <w:bottom w:val="none" w:sz="0" w:space="0" w:color="auto"/>
        <w:right w:val="none" w:sz="0" w:space="0" w:color="auto"/>
      </w:divBdr>
    </w:div>
    <w:div w:id="220556324">
      <w:bodyDiv w:val="1"/>
      <w:marLeft w:val="0"/>
      <w:marRight w:val="0"/>
      <w:marTop w:val="0"/>
      <w:marBottom w:val="0"/>
      <w:divBdr>
        <w:top w:val="none" w:sz="0" w:space="0" w:color="auto"/>
        <w:left w:val="none" w:sz="0" w:space="0" w:color="auto"/>
        <w:bottom w:val="none" w:sz="0" w:space="0" w:color="auto"/>
        <w:right w:val="none" w:sz="0" w:space="0" w:color="auto"/>
      </w:divBdr>
    </w:div>
    <w:div w:id="223758708">
      <w:bodyDiv w:val="1"/>
      <w:marLeft w:val="0"/>
      <w:marRight w:val="0"/>
      <w:marTop w:val="0"/>
      <w:marBottom w:val="0"/>
      <w:divBdr>
        <w:top w:val="none" w:sz="0" w:space="0" w:color="auto"/>
        <w:left w:val="none" w:sz="0" w:space="0" w:color="auto"/>
        <w:bottom w:val="none" w:sz="0" w:space="0" w:color="auto"/>
        <w:right w:val="none" w:sz="0" w:space="0" w:color="auto"/>
      </w:divBdr>
    </w:div>
    <w:div w:id="281037484">
      <w:bodyDiv w:val="1"/>
      <w:marLeft w:val="0"/>
      <w:marRight w:val="0"/>
      <w:marTop w:val="0"/>
      <w:marBottom w:val="0"/>
      <w:divBdr>
        <w:top w:val="none" w:sz="0" w:space="0" w:color="auto"/>
        <w:left w:val="none" w:sz="0" w:space="0" w:color="auto"/>
        <w:bottom w:val="none" w:sz="0" w:space="0" w:color="auto"/>
        <w:right w:val="none" w:sz="0" w:space="0" w:color="auto"/>
      </w:divBdr>
    </w:div>
    <w:div w:id="303434815">
      <w:bodyDiv w:val="1"/>
      <w:marLeft w:val="0"/>
      <w:marRight w:val="0"/>
      <w:marTop w:val="0"/>
      <w:marBottom w:val="0"/>
      <w:divBdr>
        <w:top w:val="none" w:sz="0" w:space="0" w:color="auto"/>
        <w:left w:val="none" w:sz="0" w:space="0" w:color="auto"/>
        <w:bottom w:val="none" w:sz="0" w:space="0" w:color="auto"/>
        <w:right w:val="none" w:sz="0" w:space="0" w:color="auto"/>
      </w:divBdr>
    </w:div>
    <w:div w:id="330835524">
      <w:bodyDiv w:val="1"/>
      <w:marLeft w:val="0"/>
      <w:marRight w:val="0"/>
      <w:marTop w:val="0"/>
      <w:marBottom w:val="0"/>
      <w:divBdr>
        <w:top w:val="none" w:sz="0" w:space="0" w:color="auto"/>
        <w:left w:val="none" w:sz="0" w:space="0" w:color="auto"/>
        <w:bottom w:val="none" w:sz="0" w:space="0" w:color="auto"/>
        <w:right w:val="none" w:sz="0" w:space="0" w:color="auto"/>
      </w:divBdr>
    </w:div>
    <w:div w:id="332799003">
      <w:bodyDiv w:val="1"/>
      <w:marLeft w:val="0"/>
      <w:marRight w:val="0"/>
      <w:marTop w:val="0"/>
      <w:marBottom w:val="0"/>
      <w:divBdr>
        <w:top w:val="none" w:sz="0" w:space="0" w:color="auto"/>
        <w:left w:val="none" w:sz="0" w:space="0" w:color="auto"/>
        <w:bottom w:val="none" w:sz="0" w:space="0" w:color="auto"/>
        <w:right w:val="none" w:sz="0" w:space="0" w:color="auto"/>
      </w:divBdr>
    </w:div>
    <w:div w:id="351490271">
      <w:bodyDiv w:val="1"/>
      <w:marLeft w:val="0"/>
      <w:marRight w:val="0"/>
      <w:marTop w:val="0"/>
      <w:marBottom w:val="0"/>
      <w:divBdr>
        <w:top w:val="none" w:sz="0" w:space="0" w:color="auto"/>
        <w:left w:val="none" w:sz="0" w:space="0" w:color="auto"/>
        <w:bottom w:val="none" w:sz="0" w:space="0" w:color="auto"/>
        <w:right w:val="none" w:sz="0" w:space="0" w:color="auto"/>
      </w:divBdr>
      <w:divsChild>
        <w:div w:id="1291592757">
          <w:marLeft w:val="0"/>
          <w:marRight w:val="0"/>
          <w:marTop w:val="0"/>
          <w:marBottom w:val="75"/>
          <w:divBdr>
            <w:top w:val="none" w:sz="0" w:space="0" w:color="auto"/>
            <w:left w:val="none" w:sz="0" w:space="0" w:color="auto"/>
            <w:bottom w:val="single" w:sz="6" w:space="4" w:color="75AED9"/>
            <w:right w:val="none" w:sz="0" w:space="0" w:color="auto"/>
          </w:divBdr>
        </w:div>
      </w:divsChild>
    </w:div>
    <w:div w:id="381834433">
      <w:bodyDiv w:val="1"/>
      <w:marLeft w:val="0"/>
      <w:marRight w:val="0"/>
      <w:marTop w:val="0"/>
      <w:marBottom w:val="0"/>
      <w:divBdr>
        <w:top w:val="none" w:sz="0" w:space="0" w:color="auto"/>
        <w:left w:val="none" w:sz="0" w:space="0" w:color="auto"/>
        <w:bottom w:val="none" w:sz="0" w:space="0" w:color="auto"/>
        <w:right w:val="none" w:sz="0" w:space="0" w:color="auto"/>
      </w:divBdr>
    </w:div>
    <w:div w:id="393239322">
      <w:bodyDiv w:val="1"/>
      <w:marLeft w:val="0"/>
      <w:marRight w:val="0"/>
      <w:marTop w:val="0"/>
      <w:marBottom w:val="0"/>
      <w:divBdr>
        <w:top w:val="none" w:sz="0" w:space="0" w:color="auto"/>
        <w:left w:val="none" w:sz="0" w:space="0" w:color="auto"/>
        <w:bottom w:val="none" w:sz="0" w:space="0" w:color="auto"/>
        <w:right w:val="none" w:sz="0" w:space="0" w:color="auto"/>
      </w:divBdr>
    </w:div>
    <w:div w:id="439490172">
      <w:bodyDiv w:val="1"/>
      <w:marLeft w:val="0"/>
      <w:marRight w:val="0"/>
      <w:marTop w:val="0"/>
      <w:marBottom w:val="0"/>
      <w:divBdr>
        <w:top w:val="none" w:sz="0" w:space="0" w:color="auto"/>
        <w:left w:val="none" w:sz="0" w:space="0" w:color="auto"/>
        <w:bottom w:val="none" w:sz="0" w:space="0" w:color="auto"/>
        <w:right w:val="none" w:sz="0" w:space="0" w:color="auto"/>
      </w:divBdr>
    </w:div>
    <w:div w:id="480118547">
      <w:bodyDiv w:val="1"/>
      <w:marLeft w:val="0"/>
      <w:marRight w:val="0"/>
      <w:marTop w:val="0"/>
      <w:marBottom w:val="0"/>
      <w:divBdr>
        <w:top w:val="none" w:sz="0" w:space="0" w:color="auto"/>
        <w:left w:val="none" w:sz="0" w:space="0" w:color="auto"/>
        <w:bottom w:val="none" w:sz="0" w:space="0" w:color="auto"/>
        <w:right w:val="none" w:sz="0" w:space="0" w:color="auto"/>
      </w:divBdr>
    </w:div>
    <w:div w:id="504789950">
      <w:bodyDiv w:val="1"/>
      <w:marLeft w:val="0"/>
      <w:marRight w:val="0"/>
      <w:marTop w:val="0"/>
      <w:marBottom w:val="0"/>
      <w:divBdr>
        <w:top w:val="none" w:sz="0" w:space="0" w:color="auto"/>
        <w:left w:val="none" w:sz="0" w:space="0" w:color="auto"/>
        <w:bottom w:val="none" w:sz="0" w:space="0" w:color="auto"/>
        <w:right w:val="none" w:sz="0" w:space="0" w:color="auto"/>
      </w:divBdr>
    </w:div>
    <w:div w:id="520703155">
      <w:bodyDiv w:val="1"/>
      <w:marLeft w:val="0"/>
      <w:marRight w:val="0"/>
      <w:marTop w:val="0"/>
      <w:marBottom w:val="0"/>
      <w:divBdr>
        <w:top w:val="none" w:sz="0" w:space="0" w:color="auto"/>
        <w:left w:val="none" w:sz="0" w:space="0" w:color="auto"/>
        <w:bottom w:val="none" w:sz="0" w:space="0" w:color="auto"/>
        <w:right w:val="none" w:sz="0" w:space="0" w:color="auto"/>
      </w:divBdr>
    </w:div>
    <w:div w:id="529804958">
      <w:bodyDiv w:val="1"/>
      <w:marLeft w:val="0"/>
      <w:marRight w:val="0"/>
      <w:marTop w:val="0"/>
      <w:marBottom w:val="0"/>
      <w:divBdr>
        <w:top w:val="none" w:sz="0" w:space="0" w:color="auto"/>
        <w:left w:val="none" w:sz="0" w:space="0" w:color="auto"/>
        <w:bottom w:val="none" w:sz="0" w:space="0" w:color="auto"/>
        <w:right w:val="none" w:sz="0" w:space="0" w:color="auto"/>
      </w:divBdr>
    </w:div>
    <w:div w:id="577634385">
      <w:bodyDiv w:val="1"/>
      <w:marLeft w:val="0"/>
      <w:marRight w:val="0"/>
      <w:marTop w:val="0"/>
      <w:marBottom w:val="0"/>
      <w:divBdr>
        <w:top w:val="none" w:sz="0" w:space="0" w:color="auto"/>
        <w:left w:val="none" w:sz="0" w:space="0" w:color="auto"/>
        <w:bottom w:val="none" w:sz="0" w:space="0" w:color="auto"/>
        <w:right w:val="none" w:sz="0" w:space="0" w:color="auto"/>
      </w:divBdr>
    </w:div>
    <w:div w:id="626425729">
      <w:bodyDiv w:val="1"/>
      <w:marLeft w:val="0"/>
      <w:marRight w:val="0"/>
      <w:marTop w:val="0"/>
      <w:marBottom w:val="0"/>
      <w:divBdr>
        <w:top w:val="none" w:sz="0" w:space="0" w:color="auto"/>
        <w:left w:val="none" w:sz="0" w:space="0" w:color="auto"/>
        <w:bottom w:val="none" w:sz="0" w:space="0" w:color="auto"/>
        <w:right w:val="none" w:sz="0" w:space="0" w:color="auto"/>
      </w:divBdr>
    </w:div>
    <w:div w:id="663780503">
      <w:bodyDiv w:val="1"/>
      <w:marLeft w:val="0"/>
      <w:marRight w:val="0"/>
      <w:marTop w:val="0"/>
      <w:marBottom w:val="0"/>
      <w:divBdr>
        <w:top w:val="none" w:sz="0" w:space="0" w:color="auto"/>
        <w:left w:val="none" w:sz="0" w:space="0" w:color="auto"/>
        <w:bottom w:val="none" w:sz="0" w:space="0" w:color="auto"/>
        <w:right w:val="none" w:sz="0" w:space="0" w:color="auto"/>
      </w:divBdr>
    </w:div>
    <w:div w:id="673607844">
      <w:bodyDiv w:val="1"/>
      <w:marLeft w:val="0"/>
      <w:marRight w:val="0"/>
      <w:marTop w:val="0"/>
      <w:marBottom w:val="0"/>
      <w:divBdr>
        <w:top w:val="none" w:sz="0" w:space="0" w:color="auto"/>
        <w:left w:val="none" w:sz="0" w:space="0" w:color="auto"/>
        <w:bottom w:val="none" w:sz="0" w:space="0" w:color="auto"/>
        <w:right w:val="none" w:sz="0" w:space="0" w:color="auto"/>
      </w:divBdr>
    </w:div>
    <w:div w:id="677585536">
      <w:bodyDiv w:val="1"/>
      <w:marLeft w:val="0"/>
      <w:marRight w:val="0"/>
      <w:marTop w:val="0"/>
      <w:marBottom w:val="0"/>
      <w:divBdr>
        <w:top w:val="none" w:sz="0" w:space="0" w:color="auto"/>
        <w:left w:val="none" w:sz="0" w:space="0" w:color="auto"/>
        <w:bottom w:val="none" w:sz="0" w:space="0" w:color="auto"/>
        <w:right w:val="none" w:sz="0" w:space="0" w:color="auto"/>
      </w:divBdr>
    </w:div>
    <w:div w:id="691689669">
      <w:bodyDiv w:val="1"/>
      <w:marLeft w:val="0"/>
      <w:marRight w:val="0"/>
      <w:marTop w:val="0"/>
      <w:marBottom w:val="0"/>
      <w:divBdr>
        <w:top w:val="none" w:sz="0" w:space="0" w:color="auto"/>
        <w:left w:val="none" w:sz="0" w:space="0" w:color="auto"/>
        <w:bottom w:val="none" w:sz="0" w:space="0" w:color="auto"/>
        <w:right w:val="none" w:sz="0" w:space="0" w:color="auto"/>
      </w:divBdr>
    </w:div>
    <w:div w:id="745808211">
      <w:bodyDiv w:val="1"/>
      <w:marLeft w:val="0"/>
      <w:marRight w:val="0"/>
      <w:marTop w:val="0"/>
      <w:marBottom w:val="0"/>
      <w:divBdr>
        <w:top w:val="none" w:sz="0" w:space="0" w:color="auto"/>
        <w:left w:val="none" w:sz="0" w:space="0" w:color="auto"/>
        <w:bottom w:val="none" w:sz="0" w:space="0" w:color="auto"/>
        <w:right w:val="none" w:sz="0" w:space="0" w:color="auto"/>
      </w:divBdr>
    </w:div>
    <w:div w:id="765005287">
      <w:bodyDiv w:val="1"/>
      <w:marLeft w:val="0"/>
      <w:marRight w:val="0"/>
      <w:marTop w:val="0"/>
      <w:marBottom w:val="0"/>
      <w:divBdr>
        <w:top w:val="none" w:sz="0" w:space="0" w:color="auto"/>
        <w:left w:val="none" w:sz="0" w:space="0" w:color="auto"/>
        <w:bottom w:val="none" w:sz="0" w:space="0" w:color="auto"/>
        <w:right w:val="none" w:sz="0" w:space="0" w:color="auto"/>
      </w:divBdr>
    </w:div>
    <w:div w:id="778262970">
      <w:bodyDiv w:val="1"/>
      <w:marLeft w:val="0"/>
      <w:marRight w:val="0"/>
      <w:marTop w:val="0"/>
      <w:marBottom w:val="0"/>
      <w:divBdr>
        <w:top w:val="none" w:sz="0" w:space="0" w:color="auto"/>
        <w:left w:val="none" w:sz="0" w:space="0" w:color="auto"/>
        <w:bottom w:val="none" w:sz="0" w:space="0" w:color="auto"/>
        <w:right w:val="none" w:sz="0" w:space="0" w:color="auto"/>
      </w:divBdr>
    </w:div>
    <w:div w:id="794178860">
      <w:bodyDiv w:val="1"/>
      <w:marLeft w:val="0"/>
      <w:marRight w:val="0"/>
      <w:marTop w:val="0"/>
      <w:marBottom w:val="0"/>
      <w:divBdr>
        <w:top w:val="none" w:sz="0" w:space="0" w:color="auto"/>
        <w:left w:val="none" w:sz="0" w:space="0" w:color="auto"/>
        <w:bottom w:val="none" w:sz="0" w:space="0" w:color="auto"/>
        <w:right w:val="none" w:sz="0" w:space="0" w:color="auto"/>
      </w:divBdr>
    </w:div>
    <w:div w:id="802577281">
      <w:bodyDiv w:val="1"/>
      <w:marLeft w:val="0"/>
      <w:marRight w:val="0"/>
      <w:marTop w:val="0"/>
      <w:marBottom w:val="0"/>
      <w:divBdr>
        <w:top w:val="none" w:sz="0" w:space="0" w:color="auto"/>
        <w:left w:val="none" w:sz="0" w:space="0" w:color="auto"/>
        <w:bottom w:val="none" w:sz="0" w:space="0" w:color="auto"/>
        <w:right w:val="none" w:sz="0" w:space="0" w:color="auto"/>
      </w:divBdr>
    </w:div>
    <w:div w:id="804086599">
      <w:bodyDiv w:val="1"/>
      <w:marLeft w:val="0"/>
      <w:marRight w:val="0"/>
      <w:marTop w:val="0"/>
      <w:marBottom w:val="0"/>
      <w:divBdr>
        <w:top w:val="none" w:sz="0" w:space="0" w:color="auto"/>
        <w:left w:val="none" w:sz="0" w:space="0" w:color="auto"/>
        <w:bottom w:val="none" w:sz="0" w:space="0" w:color="auto"/>
        <w:right w:val="none" w:sz="0" w:space="0" w:color="auto"/>
      </w:divBdr>
      <w:divsChild>
        <w:div w:id="240255394">
          <w:marLeft w:val="0"/>
          <w:marRight w:val="0"/>
          <w:marTop w:val="0"/>
          <w:marBottom w:val="75"/>
          <w:divBdr>
            <w:top w:val="none" w:sz="0" w:space="0" w:color="auto"/>
            <w:left w:val="none" w:sz="0" w:space="0" w:color="auto"/>
            <w:bottom w:val="single" w:sz="6" w:space="4" w:color="75AED9"/>
            <w:right w:val="none" w:sz="0" w:space="0" w:color="auto"/>
          </w:divBdr>
        </w:div>
      </w:divsChild>
    </w:div>
    <w:div w:id="810052451">
      <w:bodyDiv w:val="1"/>
      <w:marLeft w:val="0"/>
      <w:marRight w:val="0"/>
      <w:marTop w:val="0"/>
      <w:marBottom w:val="0"/>
      <w:divBdr>
        <w:top w:val="none" w:sz="0" w:space="0" w:color="auto"/>
        <w:left w:val="none" w:sz="0" w:space="0" w:color="auto"/>
        <w:bottom w:val="none" w:sz="0" w:space="0" w:color="auto"/>
        <w:right w:val="none" w:sz="0" w:space="0" w:color="auto"/>
      </w:divBdr>
    </w:div>
    <w:div w:id="813177495">
      <w:bodyDiv w:val="1"/>
      <w:marLeft w:val="0"/>
      <w:marRight w:val="0"/>
      <w:marTop w:val="0"/>
      <w:marBottom w:val="0"/>
      <w:divBdr>
        <w:top w:val="none" w:sz="0" w:space="0" w:color="auto"/>
        <w:left w:val="none" w:sz="0" w:space="0" w:color="auto"/>
        <w:bottom w:val="none" w:sz="0" w:space="0" w:color="auto"/>
        <w:right w:val="none" w:sz="0" w:space="0" w:color="auto"/>
      </w:divBdr>
    </w:div>
    <w:div w:id="824004987">
      <w:bodyDiv w:val="1"/>
      <w:marLeft w:val="0"/>
      <w:marRight w:val="0"/>
      <w:marTop w:val="0"/>
      <w:marBottom w:val="0"/>
      <w:divBdr>
        <w:top w:val="none" w:sz="0" w:space="0" w:color="auto"/>
        <w:left w:val="none" w:sz="0" w:space="0" w:color="auto"/>
        <w:bottom w:val="none" w:sz="0" w:space="0" w:color="auto"/>
        <w:right w:val="none" w:sz="0" w:space="0" w:color="auto"/>
      </w:divBdr>
    </w:div>
    <w:div w:id="829561839">
      <w:bodyDiv w:val="1"/>
      <w:marLeft w:val="0"/>
      <w:marRight w:val="0"/>
      <w:marTop w:val="0"/>
      <w:marBottom w:val="0"/>
      <w:divBdr>
        <w:top w:val="none" w:sz="0" w:space="0" w:color="auto"/>
        <w:left w:val="none" w:sz="0" w:space="0" w:color="auto"/>
        <w:bottom w:val="none" w:sz="0" w:space="0" w:color="auto"/>
        <w:right w:val="none" w:sz="0" w:space="0" w:color="auto"/>
      </w:divBdr>
      <w:divsChild>
        <w:div w:id="1573155172">
          <w:marLeft w:val="0"/>
          <w:marRight w:val="0"/>
          <w:marTop w:val="0"/>
          <w:marBottom w:val="75"/>
          <w:divBdr>
            <w:top w:val="none" w:sz="0" w:space="0" w:color="auto"/>
            <w:left w:val="none" w:sz="0" w:space="0" w:color="auto"/>
            <w:bottom w:val="single" w:sz="6" w:space="4" w:color="75AED9"/>
            <w:right w:val="none" w:sz="0" w:space="0" w:color="auto"/>
          </w:divBdr>
        </w:div>
      </w:divsChild>
    </w:div>
    <w:div w:id="862596880">
      <w:bodyDiv w:val="1"/>
      <w:marLeft w:val="0"/>
      <w:marRight w:val="0"/>
      <w:marTop w:val="0"/>
      <w:marBottom w:val="0"/>
      <w:divBdr>
        <w:top w:val="none" w:sz="0" w:space="0" w:color="auto"/>
        <w:left w:val="none" w:sz="0" w:space="0" w:color="auto"/>
        <w:bottom w:val="none" w:sz="0" w:space="0" w:color="auto"/>
        <w:right w:val="none" w:sz="0" w:space="0" w:color="auto"/>
      </w:divBdr>
    </w:div>
    <w:div w:id="914782153">
      <w:bodyDiv w:val="1"/>
      <w:marLeft w:val="0"/>
      <w:marRight w:val="0"/>
      <w:marTop w:val="0"/>
      <w:marBottom w:val="0"/>
      <w:divBdr>
        <w:top w:val="none" w:sz="0" w:space="0" w:color="auto"/>
        <w:left w:val="none" w:sz="0" w:space="0" w:color="auto"/>
        <w:bottom w:val="none" w:sz="0" w:space="0" w:color="auto"/>
        <w:right w:val="none" w:sz="0" w:space="0" w:color="auto"/>
      </w:divBdr>
    </w:div>
    <w:div w:id="918756426">
      <w:bodyDiv w:val="1"/>
      <w:marLeft w:val="0"/>
      <w:marRight w:val="0"/>
      <w:marTop w:val="0"/>
      <w:marBottom w:val="0"/>
      <w:divBdr>
        <w:top w:val="none" w:sz="0" w:space="0" w:color="auto"/>
        <w:left w:val="none" w:sz="0" w:space="0" w:color="auto"/>
        <w:bottom w:val="none" w:sz="0" w:space="0" w:color="auto"/>
        <w:right w:val="none" w:sz="0" w:space="0" w:color="auto"/>
      </w:divBdr>
    </w:div>
    <w:div w:id="940144682">
      <w:bodyDiv w:val="1"/>
      <w:marLeft w:val="0"/>
      <w:marRight w:val="0"/>
      <w:marTop w:val="0"/>
      <w:marBottom w:val="0"/>
      <w:divBdr>
        <w:top w:val="none" w:sz="0" w:space="0" w:color="auto"/>
        <w:left w:val="none" w:sz="0" w:space="0" w:color="auto"/>
        <w:bottom w:val="none" w:sz="0" w:space="0" w:color="auto"/>
        <w:right w:val="none" w:sz="0" w:space="0" w:color="auto"/>
      </w:divBdr>
    </w:div>
    <w:div w:id="964507946">
      <w:bodyDiv w:val="1"/>
      <w:marLeft w:val="0"/>
      <w:marRight w:val="0"/>
      <w:marTop w:val="0"/>
      <w:marBottom w:val="0"/>
      <w:divBdr>
        <w:top w:val="none" w:sz="0" w:space="0" w:color="auto"/>
        <w:left w:val="none" w:sz="0" w:space="0" w:color="auto"/>
        <w:bottom w:val="none" w:sz="0" w:space="0" w:color="auto"/>
        <w:right w:val="none" w:sz="0" w:space="0" w:color="auto"/>
      </w:divBdr>
    </w:div>
    <w:div w:id="1008680839">
      <w:bodyDiv w:val="1"/>
      <w:marLeft w:val="0"/>
      <w:marRight w:val="0"/>
      <w:marTop w:val="0"/>
      <w:marBottom w:val="0"/>
      <w:divBdr>
        <w:top w:val="none" w:sz="0" w:space="0" w:color="auto"/>
        <w:left w:val="none" w:sz="0" w:space="0" w:color="auto"/>
        <w:bottom w:val="none" w:sz="0" w:space="0" w:color="auto"/>
        <w:right w:val="none" w:sz="0" w:space="0" w:color="auto"/>
      </w:divBdr>
    </w:div>
    <w:div w:id="1031876119">
      <w:bodyDiv w:val="1"/>
      <w:marLeft w:val="0"/>
      <w:marRight w:val="0"/>
      <w:marTop w:val="0"/>
      <w:marBottom w:val="0"/>
      <w:divBdr>
        <w:top w:val="none" w:sz="0" w:space="0" w:color="auto"/>
        <w:left w:val="none" w:sz="0" w:space="0" w:color="auto"/>
        <w:bottom w:val="none" w:sz="0" w:space="0" w:color="auto"/>
        <w:right w:val="none" w:sz="0" w:space="0" w:color="auto"/>
      </w:divBdr>
    </w:div>
    <w:div w:id="1044787932">
      <w:bodyDiv w:val="1"/>
      <w:marLeft w:val="0"/>
      <w:marRight w:val="0"/>
      <w:marTop w:val="0"/>
      <w:marBottom w:val="0"/>
      <w:divBdr>
        <w:top w:val="none" w:sz="0" w:space="0" w:color="auto"/>
        <w:left w:val="none" w:sz="0" w:space="0" w:color="auto"/>
        <w:bottom w:val="none" w:sz="0" w:space="0" w:color="auto"/>
        <w:right w:val="none" w:sz="0" w:space="0" w:color="auto"/>
      </w:divBdr>
    </w:div>
    <w:div w:id="1059087080">
      <w:bodyDiv w:val="1"/>
      <w:marLeft w:val="0"/>
      <w:marRight w:val="0"/>
      <w:marTop w:val="0"/>
      <w:marBottom w:val="0"/>
      <w:divBdr>
        <w:top w:val="none" w:sz="0" w:space="0" w:color="auto"/>
        <w:left w:val="none" w:sz="0" w:space="0" w:color="auto"/>
        <w:bottom w:val="none" w:sz="0" w:space="0" w:color="auto"/>
        <w:right w:val="none" w:sz="0" w:space="0" w:color="auto"/>
      </w:divBdr>
    </w:div>
    <w:div w:id="1071536497">
      <w:bodyDiv w:val="1"/>
      <w:marLeft w:val="0"/>
      <w:marRight w:val="0"/>
      <w:marTop w:val="0"/>
      <w:marBottom w:val="0"/>
      <w:divBdr>
        <w:top w:val="none" w:sz="0" w:space="0" w:color="auto"/>
        <w:left w:val="none" w:sz="0" w:space="0" w:color="auto"/>
        <w:bottom w:val="none" w:sz="0" w:space="0" w:color="auto"/>
        <w:right w:val="none" w:sz="0" w:space="0" w:color="auto"/>
      </w:divBdr>
    </w:div>
    <w:div w:id="1099839004">
      <w:bodyDiv w:val="1"/>
      <w:marLeft w:val="0"/>
      <w:marRight w:val="0"/>
      <w:marTop w:val="0"/>
      <w:marBottom w:val="0"/>
      <w:divBdr>
        <w:top w:val="none" w:sz="0" w:space="0" w:color="auto"/>
        <w:left w:val="none" w:sz="0" w:space="0" w:color="auto"/>
        <w:bottom w:val="none" w:sz="0" w:space="0" w:color="auto"/>
        <w:right w:val="none" w:sz="0" w:space="0" w:color="auto"/>
      </w:divBdr>
    </w:div>
    <w:div w:id="1118182546">
      <w:bodyDiv w:val="1"/>
      <w:marLeft w:val="0"/>
      <w:marRight w:val="0"/>
      <w:marTop w:val="0"/>
      <w:marBottom w:val="0"/>
      <w:divBdr>
        <w:top w:val="none" w:sz="0" w:space="0" w:color="auto"/>
        <w:left w:val="none" w:sz="0" w:space="0" w:color="auto"/>
        <w:bottom w:val="none" w:sz="0" w:space="0" w:color="auto"/>
        <w:right w:val="none" w:sz="0" w:space="0" w:color="auto"/>
      </w:divBdr>
    </w:div>
    <w:div w:id="1138375130">
      <w:bodyDiv w:val="1"/>
      <w:marLeft w:val="0"/>
      <w:marRight w:val="0"/>
      <w:marTop w:val="0"/>
      <w:marBottom w:val="0"/>
      <w:divBdr>
        <w:top w:val="none" w:sz="0" w:space="0" w:color="auto"/>
        <w:left w:val="none" w:sz="0" w:space="0" w:color="auto"/>
        <w:bottom w:val="none" w:sz="0" w:space="0" w:color="auto"/>
        <w:right w:val="none" w:sz="0" w:space="0" w:color="auto"/>
      </w:divBdr>
    </w:div>
    <w:div w:id="1140266158">
      <w:bodyDiv w:val="1"/>
      <w:marLeft w:val="0"/>
      <w:marRight w:val="0"/>
      <w:marTop w:val="0"/>
      <w:marBottom w:val="0"/>
      <w:divBdr>
        <w:top w:val="none" w:sz="0" w:space="0" w:color="auto"/>
        <w:left w:val="none" w:sz="0" w:space="0" w:color="auto"/>
        <w:bottom w:val="none" w:sz="0" w:space="0" w:color="auto"/>
        <w:right w:val="none" w:sz="0" w:space="0" w:color="auto"/>
      </w:divBdr>
    </w:div>
    <w:div w:id="1140343226">
      <w:bodyDiv w:val="1"/>
      <w:marLeft w:val="0"/>
      <w:marRight w:val="0"/>
      <w:marTop w:val="0"/>
      <w:marBottom w:val="0"/>
      <w:divBdr>
        <w:top w:val="none" w:sz="0" w:space="0" w:color="auto"/>
        <w:left w:val="none" w:sz="0" w:space="0" w:color="auto"/>
        <w:bottom w:val="none" w:sz="0" w:space="0" w:color="auto"/>
        <w:right w:val="none" w:sz="0" w:space="0" w:color="auto"/>
      </w:divBdr>
    </w:div>
    <w:div w:id="1207910991">
      <w:bodyDiv w:val="1"/>
      <w:marLeft w:val="0"/>
      <w:marRight w:val="0"/>
      <w:marTop w:val="0"/>
      <w:marBottom w:val="0"/>
      <w:divBdr>
        <w:top w:val="none" w:sz="0" w:space="0" w:color="auto"/>
        <w:left w:val="none" w:sz="0" w:space="0" w:color="auto"/>
        <w:bottom w:val="none" w:sz="0" w:space="0" w:color="auto"/>
        <w:right w:val="none" w:sz="0" w:space="0" w:color="auto"/>
      </w:divBdr>
    </w:div>
    <w:div w:id="1222208499">
      <w:bodyDiv w:val="1"/>
      <w:marLeft w:val="0"/>
      <w:marRight w:val="0"/>
      <w:marTop w:val="0"/>
      <w:marBottom w:val="0"/>
      <w:divBdr>
        <w:top w:val="none" w:sz="0" w:space="0" w:color="auto"/>
        <w:left w:val="none" w:sz="0" w:space="0" w:color="auto"/>
        <w:bottom w:val="none" w:sz="0" w:space="0" w:color="auto"/>
        <w:right w:val="none" w:sz="0" w:space="0" w:color="auto"/>
      </w:divBdr>
    </w:div>
    <w:div w:id="1241720455">
      <w:bodyDiv w:val="1"/>
      <w:marLeft w:val="0"/>
      <w:marRight w:val="0"/>
      <w:marTop w:val="0"/>
      <w:marBottom w:val="0"/>
      <w:divBdr>
        <w:top w:val="none" w:sz="0" w:space="0" w:color="auto"/>
        <w:left w:val="none" w:sz="0" w:space="0" w:color="auto"/>
        <w:bottom w:val="none" w:sz="0" w:space="0" w:color="auto"/>
        <w:right w:val="none" w:sz="0" w:space="0" w:color="auto"/>
      </w:divBdr>
      <w:divsChild>
        <w:div w:id="88933872">
          <w:marLeft w:val="0"/>
          <w:marRight w:val="0"/>
          <w:marTop w:val="0"/>
          <w:marBottom w:val="75"/>
          <w:divBdr>
            <w:top w:val="none" w:sz="0" w:space="0" w:color="auto"/>
            <w:left w:val="none" w:sz="0" w:space="0" w:color="auto"/>
            <w:bottom w:val="single" w:sz="6" w:space="4" w:color="75AED9"/>
            <w:right w:val="none" w:sz="0" w:space="0" w:color="auto"/>
          </w:divBdr>
        </w:div>
      </w:divsChild>
    </w:div>
    <w:div w:id="1282688263">
      <w:bodyDiv w:val="1"/>
      <w:marLeft w:val="0"/>
      <w:marRight w:val="0"/>
      <w:marTop w:val="0"/>
      <w:marBottom w:val="0"/>
      <w:divBdr>
        <w:top w:val="none" w:sz="0" w:space="0" w:color="auto"/>
        <w:left w:val="none" w:sz="0" w:space="0" w:color="auto"/>
        <w:bottom w:val="none" w:sz="0" w:space="0" w:color="auto"/>
        <w:right w:val="none" w:sz="0" w:space="0" w:color="auto"/>
      </w:divBdr>
    </w:div>
    <w:div w:id="1285619959">
      <w:bodyDiv w:val="1"/>
      <w:marLeft w:val="0"/>
      <w:marRight w:val="0"/>
      <w:marTop w:val="0"/>
      <w:marBottom w:val="0"/>
      <w:divBdr>
        <w:top w:val="none" w:sz="0" w:space="0" w:color="auto"/>
        <w:left w:val="none" w:sz="0" w:space="0" w:color="auto"/>
        <w:bottom w:val="none" w:sz="0" w:space="0" w:color="auto"/>
        <w:right w:val="none" w:sz="0" w:space="0" w:color="auto"/>
      </w:divBdr>
    </w:div>
    <w:div w:id="1334070439">
      <w:bodyDiv w:val="1"/>
      <w:marLeft w:val="0"/>
      <w:marRight w:val="0"/>
      <w:marTop w:val="0"/>
      <w:marBottom w:val="0"/>
      <w:divBdr>
        <w:top w:val="none" w:sz="0" w:space="0" w:color="auto"/>
        <w:left w:val="none" w:sz="0" w:space="0" w:color="auto"/>
        <w:bottom w:val="none" w:sz="0" w:space="0" w:color="auto"/>
        <w:right w:val="none" w:sz="0" w:space="0" w:color="auto"/>
      </w:divBdr>
    </w:div>
    <w:div w:id="1357076538">
      <w:bodyDiv w:val="1"/>
      <w:marLeft w:val="0"/>
      <w:marRight w:val="0"/>
      <w:marTop w:val="0"/>
      <w:marBottom w:val="0"/>
      <w:divBdr>
        <w:top w:val="none" w:sz="0" w:space="0" w:color="auto"/>
        <w:left w:val="none" w:sz="0" w:space="0" w:color="auto"/>
        <w:bottom w:val="none" w:sz="0" w:space="0" w:color="auto"/>
        <w:right w:val="none" w:sz="0" w:space="0" w:color="auto"/>
      </w:divBdr>
    </w:div>
    <w:div w:id="1389451856">
      <w:bodyDiv w:val="1"/>
      <w:marLeft w:val="0"/>
      <w:marRight w:val="0"/>
      <w:marTop w:val="0"/>
      <w:marBottom w:val="0"/>
      <w:divBdr>
        <w:top w:val="none" w:sz="0" w:space="0" w:color="auto"/>
        <w:left w:val="none" w:sz="0" w:space="0" w:color="auto"/>
        <w:bottom w:val="none" w:sz="0" w:space="0" w:color="auto"/>
        <w:right w:val="none" w:sz="0" w:space="0" w:color="auto"/>
      </w:divBdr>
    </w:div>
    <w:div w:id="1393773738">
      <w:bodyDiv w:val="1"/>
      <w:marLeft w:val="0"/>
      <w:marRight w:val="0"/>
      <w:marTop w:val="0"/>
      <w:marBottom w:val="0"/>
      <w:divBdr>
        <w:top w:val="none" w:sz="0" w:space="0" w:color="auto"/>
        <w:left w:val="none" w:sz="0" w:space="0" w:color="auto"/>
        <w:bottom w:val="none" w:sz="0" w:space="0" w:color="auto"/>
        <w:right w:val="none" w:sz="0" w:space="0" w:color="auto"/>
      </w:divBdr>
    </w:div>
    <w:div w:id="1407069515">
      <w:bodyDiv w:val="1"/>
      <w:marLeft w:val="0"/>
      <w:marRight w:val="0"/>
      <w:marTop w:val="0"/>
      <w:marBottom w:val="0"/>
      <w:divBdr>
        <w:top w:val="none" w:sz="0" w:space="0" w:color="auto"/>
        <w:left w:val="none" w:sz="0" w:space="0" w:color="auto"/>
        <w:bottom w:val="none" w:sz="0" w:space="0" w:color="auto"/>
        <w:right w:val="none" w:sz="0" w:space="0" w:color="auto"/>
      </w:divBdr>
    </w:div>
    <w:div w:id="1415279256">
      <w:bodyDiv w:val="1"/>
      <w:marLeft w:val="0"/>
      <w:marRight w:val="0"/>
      <w:marTop w:val="0"/>
      <w:marBottom w:val="0"/>
      <w:divBdr>
        <w:top w:val="none" w:sz="0" w:space="0" w:color="auto"/>
        <w:left w:val="none" w:sz="0" w:space="0" w:color="auto"/>
        <w:bottom w:val="none" w:sz="0" w:space="0" w:color="auto"/>
        <w:right w:val="none" w:sz="0" w:space="0" w:color="auto"/>
      </w:divBdr>
    </w:div>
    <w:div w:id="1453938096">
      <w:bodyDiv w:val="1"/>
      <w:marLeft w:val="0"/>
      <w:marRight w:val="0"/>
      <w:marTop w:val="0"/>
      <w:marBottom w:val="0"/>
      <w:divBdr>
        <w:top w:val="none" w:sz="0" w:space="0" w:color="auto"/>
        <w:left w:val="none" w:sz="0" w:space="0" w:color="auto"/>
        <w:bottom w:val="none" w:sz="0" w:space="0" w:color="auto"/>
        <w:right w:val="none" w:sz="0" w:space="0" w:color="auto"/>
      </w:divBdr>
    </w:div>
    <w:div w:id="1476684754">
      <w:bodyDiv w:val="1"/>
      <w:marLeft w:val="0"/>
      <w:marRight w:val="0"/>
      <w:marTop w:val="0"/>
      <w:marBottom w:val="0"/>
      <w:divBdr>
        <w:top w:val="none" w:sz="0" w:space="0" w:color="auto"/>
        <w:left w:val="none" w:sz="0" w:space="0" w:color="auto"/>
        <w:bottom w:val="none" w:sz="0" w:space="0" w:color="auto"/>
        <w:right w:val="none" w:sz="0" w:space="0" w:color="auto"/>
      </w:divBdr>
    </w:div>
    <w:div w:id="1497723550">
      <w:bodyDiv w:val="1"/>
      <w:marLeft w:val="0"/>
      <w:marRight w:val="0"/>
      <w:marTop w:val="0"/>
      <w:marBottom w:val="0"/>
      <w:divBdr>
        <w:top w:val="none" w:sz="0" w:space="0" w:color="auto"/>
        <w:left w:val="none" w:sz="0" w:space="0" w:color="auto"/>
        <w:bottom w:val="none" w:sz="0" w:space="0" w:color="auto"/>
        <w:right w:val="none" w:sz="0" w:space="0" w:color="auto"/>
      </w:divBdr>
    </w:div>
    <w:div w:id="1524978913">
      <w:bodyDiv w:val="1"/>
      <w:marLeft w:val="0"/>
      <w:marRight w:val="0"/>
      <w:marTop w:val="0"/>
      <w:marBottom w:val="0"/>
      <w:divBdr>
        <w:top w:val="none" w:sz="0" w:space="0" w:color="auto"/>
        <w:left w:val="none" w:sz="0" w:space="0" w:color="auto"/>
        <w:bottom w:val="none" w:sz="0" w:space="0" w:color="auto"/>
        <w:right w:val="none" w:sz="0" w:space="0" w:color="auto"/>
      </w:divBdr>
    </w:div>
    <w:div w:id="1535196793">
      <w:bodyDiv w:val="1"/>
      <w:marLeft w:val="0"/>
      <w:marRight w:val="0"/>
      <w:marTop w:val="0"/>
      <w:marBottom w:val="0"/>
      <w:divBdr>
        <w:top w:val="none" w:sz="0" w:space="0" w:color="auto"/>
        <w:left w:val="none" w:sz="0" w:space="0" w:color="auto"/>
        <w:bottom w:val="none" w:sz="0" w:space="0" w:color="auto"/>
        <w:right w:val="none" w:sz="0" w:space="0" w:color="auto"/>
      </w:divBdr>
    </w:div>
    <w:div w:id="1548567367">
      <w:bodyDiv w:val="1"/>
      <w:marLeft w:val="0"/>
      <w:marRight w:val="0"/>
      <w:marTop w:val="0"/>
      <w:marBottom w:val="0"/>
      <w:divBdr>
        <w:top w:val="none" w:sz="0" w:space="0" w:color="auto"/>
        <w:left w:val="none" w:sz="0" w:space="0" w:color="auto"/>
        <w:bottom w:val="none" w:sz="0" w:space="0" w:color="auto"/>
        <w:right w:val="none" w:sz="0" w:space="0" w:color="auto"/>
      </w:divBdr>
    </w:div>
    <w:div w:id="1568950500">
      <w:bodyDiv w:val="1"/>
      <w:marLeft w:val="0"/>
      <w:marRight w:val="0"/>
      <w:marTop w:val="0"/>
      <w:marBottom w:val="0"/>
      <w:divBdr>
        <w:top w:val="none" w:sz="0" w:space="0" w:color="auto"/>
        <w:left w:val="none" w:sz="0" w:space="0" w:color="auto"/>
        <w:bottom w:val="none" w:sz="0" w:space="0" w:color="auto"/>
        <w:right w:val="none" w:sz="0" w:space="0" w:color="auto"/>
      </w:divBdr>
    </w:div>
    <w:div w:id="1584141054">
      <w:bodyDiv w:val="1"/>
      <w:marLeft w:val="0"/>
      <w:marRight w:val="0"/>
      <w:marTop w:val="0"/>
      <w:marBottom w:val="0"/>
      <w:divBdr>
        <w:top w:val="none" w:sz="0" w:space="0" w:color="auto"/>
        <w:left w:val="none" w:sz="0" w:space="0" w:color="auto"/>
        <w:bottom w:val="none" w:sz="0" w:space="0" w:color="auto"/>
        <w:right w:val="none" w:sz="0" w:space="0" w:color="auto"/>
      </w:divBdr>
    </w:div>
    <w:div w:id="1586693336">
      <w:bodyDiv w:val="1"/>
      <w:marLeft w:val="0"/>
      <w:marRight w:val="0"/>
      <w:marTop w:val="0"/>
      <w:marBottom w:val="0"/>
      <w:divBdr>
        <w:top w:val="none" w:sz="0" w:space="0" w:color="auto"/>
        <w:left w:val="none" w:sz="0" w:space="0" w:color="auto"/>
        <w:bottom w:val="none" w:sz="0" w:space="0" w:color="auto"/>
        <w:right w:val="none" w:sz="0" w:space="0" w:color="auto"/>
      </w:divBdr>
    </w:div>
    <w:div w:id="1587808271">
      <w:bodyDiv w:val="1"/>
      <w:marLeft w:val="0"/>
      <w:marRight w:val="0"/>
      <w:marTop w:val="0"/>
      <w:marBottom w:val="0"/>
      <w:divBdr>
        <w:top w:val="none" w:sz="0" w:space="0" w:color="auto"/>
        <w:left w:val="none" w:sz="0" w:space="0" w:color="auto"/>
        <w:bottom w:val="none" w:sz="0" w:space="0" w:color="auto"/>
        <w:right w:val="none" w:sz="0" w:space="0" w:color="auto"/>
      </w:divBdr>
    </w:div>
    <w:div w:id="1599870690">
      <w:bodyDiv w:val="1"/>
      <w:marLeft w:val="0"/>
      <w:marRight w:val="0"/>
      <w:marTop w:val="0"/>
      <w:marBottom w:val="0"/>
      <w:divBdr>
        <w:top w:val="none" w:sz="0" w:space="0" w:color="auto"/>
        <w:left w:val="none" w:sz="0" w:space="0" w:color="auto"/>
        <w:bottom w:val="none" w:sz="0" w:space="0" w:color="auto"/>
        <w:right w:val="none" w:sz="0" w:space="0" w:color="auto"/>
      </w:divBdr>
    </w:div>
    <w:div w:id="1617172765">
      <w:bodyDiv w:val="1"/>
      <w:marLeft w:val="0"/>
      <w:marRight w:val="0"/>
      <w:marTop w:val="0"/>
      <w:marBottom w:val="0"/>
      <w:divBdr>
        <w:top w:val="none" w:sz="0" w:space="0" w:color="auto"/>
        <w:left w:val="none" w:sz="0" w:space="0" w:color="auto"/>
        <w:bottom w:val="none" w:sz="0" w:space="0" w:color="auto"/>
        <w:right w:val="none" w:sz="0" w:space="0" w:color="auto"/>
      </w:divBdr>
    </w:div>
    <w:div w:id="1617565904">
      <w:bodyDiv w:val="1"/>
      <w:marLeft w:val="0"/>
      <w:marRight w:val="0"/>
      <w:marTop w:val="0"/>
      <w:marBottom w:val="0"/>
      <w:divBdr>
        <w:top w:val="none" w:sz="0" w:space="0" w:color="auto"/>
        <w:left w:val="none" w:sz="0" w:space="0" w:color="auto"/>
        <w:bottom w:val="none" w:sz="0" w:space="0" w:color="auto"/>
        <w:right w:val="none" w:sz="0" w:space="0" w:color="auto"/>
      </w:divBdr>
    </w:div>
    <w:div w:id="1638222729">
      <w:bodyDiv w:val="1"/>
      <w:marLeft w:val="0"/>
      <w:marRight w:val="0"/>
      <w:marTop w:val="0"/>
      <w:marBottom w:val="0"/>
      <w:divBdr>
        <w:top w:val="none" w:sz="0" w:space="0" w:color="auto"/>
        <w:left w:val="none" w:sz="0" w:space="0" w:color="auto"/>
        <w:bottom w:val="none" w:sz="0" w:space="0" w:color="auto"/>
        <w:right w:val="none" w:sz="0" w:space="0" w:color="auto"/>
      </w:divBdr>
      <w:divsChild>
        <w:div w:id="1585451412">
          <w:marLeft w:val="0"/>
          <w:marRight w:val="0"/>
          <w:marTop w:val="0"/>
          <w:marBottom w:val="120"/>
          <w:divBdr>
            <w:top w:val="none" w:sz="0" w:space="0" w:color="auto"/>
            <w:left w:val="none" w:sz="0" w:space="0" w:color="auto"/>
            <w:bottom w:val="none" w:sz="0" w:space="0" w:color="auto"/>
            <w:right w:val="none" w:sz="0" w:space="0" w:color="auto"/>
          </w:divBdr>
        </w:div>
      </w:divsChild>
    </w:div>
    <w:div w:id="1649432589">
      <w:bodyDiv w:val="1"/>
      <w:marLeft w:val="0"/>
      <w:marRight w:val="0"/>
      <w:marTop w:val="0"/>
      <w:marBottom w:val="0"/>
      <w:divBdr>
        <w:top w:val="none" w:sz="0" w:space="0" w:color="auto"/>
        <w:left w:val="none" w:sz="0" w:space="0" w:color="auto"/>
        <w:bottom w:val="none" w:sz="0" w:space="0" w:color="auto"/>
        <w:right w:val="none" w:sz="0" w:space="0" w:color="auto"/>
      </w:divBdr>
    </w:div>
    <w:div w:id="1649893594">
      <w:bodyDiv w:val="1"/>
      <w:marLeft w:val="0"/>
      <w:marRight w:val="0"/>
      <w:marTop w:val="0"/>
      <w:marBottom w:val="0"/>
      <w:divBdr>
        <w:top w:val="none" w:sz="0" w:space="0" w:color="auto"/>
        <w:left w:val="none" w:sz="0" w:space="0" w:color="auto"/>
        <w:bottom w:val="none" w:sz="0" w:space="0" w:color="auto"/>
        <w:right w:val="none" w:sz="0" w:space="0" w:color="auto"/>
      </w:divBdr>
    </w:div>
    <w:div w:id="1704019795">
      <w:bodyDiv w:val="1"/>
      <w:marLeft w:val="0"/>
      <w:marRight w:val="0"/>
      <w:marTop w:val="0"/>
      <w:marBottom w:val="0"/>
      <w:divBdr>
        <w:top w:val="none" w:sz="0" w:space="0" w:color="auto"/>
        <w:left w:val="none" w:sz="0" w:space="0" w:color="auto"/>
        <w:bottom w:val="none" w:sz="0" w:space="0" w:color="auto"/>
        <w:right w:val="none" w:sz="0" w:space="0" w:color="auto"/>
      </w:divBdr>
    </w:div>
    <w:div w:id="1706907399">
      <w:bodyDiv w:val="1"/>
      <w:marLeft w:val="0"/>
      <w:marRight w:val="0"/>
      <w:marTop w:val="0"/>
      <w:marBottom w:val="0"/>
      <w:divBdr>
        <w:top w:val="none" w:sz="0" w:space="0" w:color="auto"/>
        <w:left w:val="none" w:sz="0" w:space="0" w:color="auto"/>
        <w:bottom w:val="none" w:sz="0" w:space="0" w:color="auto"/>
        <w:right w:val="none" w:sz="0" w:space="0" w:color="auto"/>
      </w:divBdr>
      <w:divsChild>
        <w:div w:id="189683414">
          <w:marLeft w:val="0"/>
          <w:marRight w:val="0"/>
          <w:marTop w:val="0"/>
          <w:marBottom w:val="75"/>
          <w:divBdr>
            <w:top w:val="none" w:sz="0" w:space="0" w:color="auto"/>
            <w:left w:val="none" w:sz="0" w:space="0" w:color="auto"/>
            <w:bottom w:val="single" w:sz="6" w:space="4" w:color="75AED9"/>
            <w:right w:val="none" w:sz="0" w:space="0" w:color="auto"/>
          </w:divBdr>
        </w:div>
      </w:divsChild>
    </w:div>
    <w:div w:id="1779720395">
      <w:bodyDiv w:val="1"/>
      <w:marLeft w:val="0"/>
      <w:marRight w:val="0"/>
      <w:marTop w:val="0"/>
      <w:marBottom w:val="0"/>
      <w:divBdr>
        <w:top w:val="none" w:sz="0" w:space="0" w:color="auto"/>
        <w:left w:val="none" w:sz="0" w:space="0" w:color="auto"/>
        <w:bottom w:val="none" w:sz="0" w:space="0" w:color="auto"/>
        <w:right w:val="none" w:sz="0" w:space="0" w:color="auto"/>
      </w:divBdr>
    </w:div>
    <w:div w:id="1818692026">
      <w:bodyDiv w:val="1"/>
      <w:marLeft w:val="0"/>
      <w:marRight w:val="0"/>
      <w:marTop w:val="0"/>
      <w:marBottom w:val="0"/>
      <w:divBdr>
        <w:top w:val="none" w:sz="0" w:space="0" w:color="auto"/>
        <w:left w:val="none" w:sz="0" w:space="0" w:color="auto"/>
        <w:bottom w:val="none" w:sz="0" w:space="0" w:color="auto"/>
        <w:right w:val="none" w:sz="0" w:space="0" w:color="auto"/>
      </w:divBdr>
    </w:div>
    <w:div w:id="1829058483">
      <w:bodyDiv w:val="1"/>
      <w:marLeft w:val="0"/>
      <w:marRight w:val="0"/>
      <w:marTop w:val="0"/>
      <w:marBottom w:val="0"/>
      <w:divBdr>
        <w:top w:val="none" w:sz="0" w:space="0" w:color="auto"/>
        <w:left w:val="none" w:sz="0" w:space="0" w:color="auto"/>
        <w:bottom w:val="none" w:sz="0" w:space="0" w:color="auto"/>
        <w:right w:val="none" w:sz="0" w:space="0" w:color="auto"/>
      </w:divBdr>
    </w:div>
    <w:div w:id="1840653091">
      <w:bodyDiv w:val="1"/>
      <w:marLeft w:val="0"/>
      <w:marRight w:val="0"/>
      <w:marTop w:val="0"/>
      <w:marBottom w:val="0"/>
      <w:divBdr>
        <w:top w:val="none" w:sz="0" w:space="0" w:color="auto"/>
        <w:left w:val="none" w:sz="0" w:space="0" w:color="auto"/>
        <w:bottom w:val="none" w:sz="0" w:space="0" w:color="auto"/>
        <w:right w:val="none" w:sz="0" w:space="0" w:color="auto"/>
      </w:divBdr>
    </w:div>
    <w:div w:id="1841774713">
      <w:bodyDiv w:val="1"/>
      <w:marLeft w:val="0"/>
      <w:marRight w:val="0"/>
      <w:marTop w:val="0"/>
      <w:marBottom w:val="0"/>
      <w:divBdr>
        <w:top w:val="none" w:sz="0" w:space="0" w:color="auto"/>
        <w:left w:val="none" w:sz="0" w:space="0" w:color="auto"/>
        <w:bottom w:val="none" w:sz="0" w:space="0" w:color="auto"/>
        <w:right w:val="none" w:sz="0" w:space="0" w:color="auto"/>
      </w:divBdr>
    </w:div>
    <w:div w:id="1865287527">
      <w:bodyDiv w:val="1"/>
      <w:marLeft w:val="0"/>
      <w:marRight w:val="0"/>
      <w:marTop w:val="0"/>
      <w:marBottom w:val="0"/>
      <w:divBdr>
        <w:top w:val="none" w:sz="0" w:space="0" w:color="auto"/>
        <w:left w:val="none" w:sz="0" w:space="0" w:color="auto"/>
        <w:bottom w:val="none" w:sz="0" w:space="0" w:color="auto"/>
        <w:right w:val="none" w:sz="0" w:space="0" w:color="auto"/>
      </w:divBdr>
    </w:div>
    <w:div w:id="1925989420">
      <w:bodyDiv w:val="1"/>
      <w:marLeft w:val="0"/>
      <w:marRight w:val="0"/>
      <w:marTop w:val="0"/>
      <w:marBottom w:val="0"/>
      <w:divBdr>
        <w:top w:val="none" w:sz="0" w:space="0" w:color="auto"/>
        <w:left w:val="none" w:sz="0" w:space="0" w:color="auto"/>
        <w:bottom w:val="none" w:sz="0" w:space="0" w:color="auto"/>
        <w:right w:val="none" w:sz="0" w:space="0" w:color="auto"/>
      </w:divBdr>
    </w:div>
    <w:div w:id="1943566510">
      <w:bodyDiv w:val="1"/>
      <w:marLeft w:val="0"/>
      <w:marRight w:val="0"/>
      <w:marTop w:val="0"/>
      <w:marBottom w:val="0"/>
      <w:divBdr>
        <w:top w:val="none" w:sz="0" w:space="0" w:color="auto"/>
        <w:left w:val="none" w:sz="0" w:space="0" w:color="auto"/>
        <w:bottom w:val="none" w:sz="0" w:space="0" w:color="auto"/>
        <w:right w:val="none" w:sz="0" w:space="0" w:color="auto"/>
      </w:divBdr>
    </w:div>
    <w:div w:id="1980501491">
      <w:bodyDiv w:val="1"/>
      <w:marLeft w:val="0"/>
      <w:marRight w:val="0"/>
      <w:marTop w:val="0"/>
      <w:marBottom w:val="0"/>
      <w:divBdr>
        <w:top w:val="none" w:sz="0" w:space="0" w:color="auto"/>
        <w:left w:val="none" w:sz="0" w:space="0" w:color="auto"/>
        <w:bottom w:val="none" w:sz="0" w:space="0" w:color="auto"/>
        <w:right w:val="none" w:sz="0" w:space="0" w:color="auto"/>
      </w:divBdr>
    </w:div>
    <w:div w:id="2007390780">
      <w:bodyDiv w:val="1"/>
      <w:marLeft w:val="0"/>
      <w:marRight w:val="0"/>
      <w:marTop w:val="0"/>
      <w:marBottom w:val="0"/>
      <w:divBdr>
        <w:top w:val="none" w:sz="0" w:space="0" w:color="auto"/>
        <w:left w:val="none" w:sz="0" w:space="0" w:color="auto"/>
        <w:bottom w:val="none" w:sz="0" w:space="0" w:color="auto"/>
        <w:right w:val="none" w:sz="0" w:space="0" w:color="auto"/>
      </w:divBdr>
    </w:div>
    <w:div w:id="2010013571">
      <w:bodyDiv w:val="1"/>
      <w:marLeft w:val="0"/>
      <w:marRight w:val="0"/>
      <w:marTop w:val="0"/>
      <w:marBottom w:val="0"/>
      <w:divBdr>
        <w:top w:val="none" w:sz="0" w:space="0" w:color="auto"/>
        <w:left w:val="none" w:sz="0" w:space="0" w:color="auto"/>
        <w:bottom w:val="none" w:sz="0" w:space="0" w:color="auto"/>
        <w:right w:val="none" w:sz="0" w:space="0" w:color="auto"/>
      </w:divBdr>
    </w:div>
    <w:div w:id="2070692060">
      <w:bodyDiv w:val="1"/>
      <w:marLeft w:val="0"/>
      <w:marRight w:val="0"/>
      <w:marTop w:val="0"/>
      <w:marBottom w:val="0"/>
      <w:divBdr>
        <w:top w:val="none" w:sz="0" w:space="0" w:color="auto"/>
        <w:left w:val="none" w:sz="0" w:space="0" w:color="auto"/>
        <w:bottom w:val="none" w:sz="0" w:space="0" w:color="auto"/>
        <w:right w:val="none" w:sz="0" w:space="0" w:color="auto"/>
      </w:divBdr>
    </w:div>
    <w:div w:id="2108109295">
      <w:bodyDiv w:val="1"/>
      <w:marLeft w:val="0"/>
      <w:marRight w:val="0"/>
      <w:marTop w:val="0"/>
      <w:marBottom w:val="0"/>
      <w:divBdr>
        <w:top w:val="none" w:sz="0" w:space="0" w:color="auto"/>
        <w:left w:val="none" w:sz="0" w:space="0" w:color="auto"/>
        <w:bottom w:val="none" w:sz="0" w:space="0" w:color="auto"/>
        <w:right w:val="none" w:sz="0" w:space="0" w:color="auto"/>
      </w:divBdr>
    </w:div>
    <w:div w:id="2125424050">
      <w:bodyDiv w:val="1"/>
      <w:marLeft w:val="0"/>
      <w:marRight w:val="0"/>
      <w:marTop w:val="0"/>
      <w:marBottom w:val="0"/>
      <w:divBdr>
        <w:top w:val="none" w:sz="0" w:space="0" w:color="auto"/>
        <w:left w:val="none" w:sz="0" w:space="0" w:color="auto"/>
        <w:bottom w:val="none" w:sz="0" w:space="0" w:color="auto"/>
        <w:right w:val="none" w:sz="0" w:space="0" w:color="auto"/>
      </w:divBdr>
    </w:div>
    <w:div w:id="2129615228">
      <w:bodyDiv w:val="1"/>
      <w:marLeft w:val="0"/>
      <w:marRight w:val="0"/>
      <w:marTop w:val="0"/>
      <w:marBottom w:val="0"/>
      <w:divBdr>
        <w:top w:val="none" w:sz="0" w:space="0" w:color="auto"/>
        <w:left w:val="none" w:sz="0" w:space="0" w:color="auto"/>
        <w:bottom w:val="none" w:sz="0" w:space="0" w:color="auto"/>
        <w:right w:val="none" w:sz="0" w:space="0" w:color="auto"/>
      </w:divBdr>
    </w:div>
    <w:div w:id="214369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mezan.org/en/uploads/files/15186958401955.pdf" TargetMode="External"/><Relationship Id="rId13" Type="http://schemas.openxmlformats.org/officeDocument/2006/relationships/hyperlink" Target="https://www.youtube.com/watch?v=psfa8VvjeyM" TargetMode="External"/><Relationship Id="rId18" Type="http://schemas.openxmlformats.org/officeDocument/2006/relationships/hyperlink" Target="https://gisha.org/updates/6066" TargetMode="External"/><Relationship Id="rId26" Type="http://schemas.openxmlformats.org/officeDocument/2006/relationships/hyperlink" Target="https://www.ohchr.org/en/NewsEvents/Pages/DisplayNews.aspx?NewsID=24349&amp;LangID=E" TargetMode="External"/><Relationship Id="rId3" Type="http://schemas.openxmlformats.org/officeDocument/2006/relationships/hyperlink" Target="http://mezan.org/en/post/20954" TargetMode="External"/><Relationship Id="rId21" Type="http://schemas.openxmlformats.org/officeDocument/2006/relationships/hyperlink" Target="https://giphy.com/gifs/dvyVl21jWohdMdsXBg" TargetMode="External"/><Relationship Id="rId7" Type="http://schemas.openxmlformats.org/officeDocument/2006/relationships/hyperlink" Target="http://mezan.org/en/post/23552" TargetMode="External"/><Relationship Id="rId12" Type="http://schemas.openxmlformats.org/officeDocument/2006/relationships/hyperlink" Target="https://www.youtube.com/watch?v=psfa8VvjeyM" TargetMode="External"/><Relationship Id="rId17" Type="http://schemas.openxmlformats.org/officeDocument/2006/relationships/hyperlink" Target="https://www.gisha.org/UserFiles/File/LegalDocuments/Boats_response2.pdf" TargetMode="External"/><Relationship Id="rId25" Type="http://schemas.openxmlformats.org/officeDocument/2006/relationships/hyperlink" Target="https://www.unrwa.org/where-we-work/gaza-strip" TargetMode="External"/><Relationship Id="rId2" Type="http://schemas.openxmlformats.org/officeDocument/2006/relationships/hyperlink" Target="http://www.hamoked.org/files/2015/1159681_eng.pdf" TargetMode="External"/><Relationship Id="rId16" Type="http://schemas.openxmlformats.org/officeDocument/2006/relationships/hyperlink" Target="http://mezan.org/en/post/21541" TargetMode="External"/><Relationship Id="rId20" Type="http://schemas.openxmlformats.org/officeDocument/2006/relationships/hyperlink" Target="https://gisha.org/updates/10120" TargetMode="External"/><Relationship Id="rId29" Type="http://schemas.openxmlformats.org/officeDocument/2006/relationships/hyperlink" Target="https://www.worldbank.org/en/news/press-release/2018/09/25/cash-strapped-gaza-and-an-economy-in-collapse-put-palestinian-basic-needs-at-risk" TargetMode="External"/><Relationship Id="rId1" Type="http://schemas.openxmlformats.org/officeDocument/2006/relationships/hyperlink" Target="http://adalah.org/features/compensation/positionpaper-e.pdf" TargetMode="External"/><Relationship Id="rId6" Type="http://schemas.openxmlformats.org/officeDocument/2006/relationships/hyperlink" Target="http://mezan.org/en/post/22132" TargetMode="External"/><Relationship Id="rId11" Type="http://schemas.openxmlformats.org/officeDocument/2006/relationships/hyperlink" Target="https://forensic-architecture.org/investigation/herbicidal-warfare-in-gaza/" TargetMode="External"/><Relationship Id="rId24" Type="http://schemas.openxmlformats.org/officeDocument/2006/relationships/hyperlink" Target="https://www.icrc.org/customary-ihl/eng/docs/v1_rul_rule103" TargetMode="External"/><Relationship Id="rId5" Type="http://schemas.openxmlformats.org/officeDocument/2006/relationships/hyperlink" Target="http://mezan.org/en/post/23370" TargetMode="External"/><Relationship Id="rId15" Type="http://schemas.openxmlformats.org/officeDocument/2006/relationships/hyperlink" Target="https://www.gisha.org/UserFiles/File/Boats2019/Boats_petition.pdf" TargetMode="External"/><Relationship Id="rId23" Type="http://schemas.openxmlformats.org/officeDocument/2006/relationships/hyperlink" Target="https://www.mezan.org/en/uploads/files/14598458701382.pdf" TargetMode="External"/><Relationship Id="rId28" Type="http://schemas.openxmlformats.org/officeDocument/2006/relationships/hyperlink" Target="http://mezan.org/en/uploads/files/15174966411875.pdf" TargetMode="External"/><Relationship Id="rId10" Type="http://schemas.openxmlformats.org/officeDocument/2006/relationships/hyperlink" Target="https://gisha.org/UserFiles/File/LegalDocuments/Military_advocate_general_response_spraying_March_2019.pdf" TargetMode="External"/><Relationship Id="rId19" Type="http://schemas.openxmlformats.org/officeDocument/2006/relationships/hyperlink" Target="http://mezan.org/en/post/23561" TargetMode="External"/><Relationship Id="rId31" Type="http://schemas.openxmlformats.org/officeDocument/2006/relationships/hyperlink" Target="https://lphr.org.uk/latest-news/lphr-briefing-on-the-gaza-reconstruction-mechanism-its-ineffectiveness-its-incompatibility-with-international-humanitarian-and-human-rights-law-obligations-and-its-future/" TargetMode="External"/><Relationship Id="rId4" Type="http://schemas.openxmlformats.org/officeDocument/2006/relationships/hyperlink" Target="https://www.adalah.org/uploads/oldfiles/Public/files/English/Publications/Articles/2013/Obstacles-Palestinians-Court-Fatmeh-ElAjou-05-13.pdf" TargetMode="External"/><Relationship Id="rId9" Type="http://schemas.openxmlformats.org/officeDocument/2006/relationships/hyperlink" Target="https://gisha.org/press/9697" TargetMode="External"/><Relationship Id="rId14" Type="http://schemas.openxmlformats.org/officeDocument/2006/relationships/hyperlink" Target="http://mezan.org/en/post/23541" TargetMode="External"/><Relationship Id="rId22" Type="http://schemas.openxmlformats.org/officeDocument/2006/relationships/hyperlink" Target="https://gisha.org/press/9995" TargetMode="External"/><Relationship Id="rId27" Type="http://schemas.openxmlformats.org/officeDocument/2006/relationships/hyperlink" Target="https://gisha.org/updates/10337" TargetMode="External"/><Relationship Id="rId30" Type="http://schemas.openxmlformats.org/officeDocument/2006/relationships/hyperlink" Target="https://gisha.org/en-blog/2017/04/20/the-dual-use-list-finally-gets-published-but-its-the-opposite-of-usefu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92FE67-3AC7-439C-B27F-E08DB907D031}"/>
</file>

<file path=customXml/itemProps2.xml><?xml version="1.0" encoding="utf-8"?>
<ds:datastoreItem xmlns:ds="http://schemas.openxmlformats.org/officeDocument/2006/customXml" ds:itemID="{A6FC82D2-F9D8-4AEB-9212-6B995B0FF8E1}"/>
</file>

<file path=customXml/itemProps3.xml><?xml version="1.0" encoding="utf-8"?>
<ds:datastoreItem xmlns:ds="http://schemas.openxmlformats.org/officeDocument/2006/customXml" ds:itemID="{FF257C39-05C2-4813-B77A-278C371C278F}"/>
</file>

<file path=docProps/app.xml><?xml version="1.0" encoding="utf-8"?>
<Properties xmlns="http://schemas.openxmlformats.org/officeDocument/2006/extended-properties" xmlns:vt="http://schemas.openxmlformats.org/officeDocument/2006/docPropsVTypes">
  <Template>Normal.dotm</Template>
  <TotalTime>94</TotalTime>
  <Pages>14</Pages>
  <Words>4817</Words>
  <Characters>27457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c:creator>
  <cp:keywords/>
  <dc:description/>
  <cp:lastModifiedBy>NO</cp:lastModifiedBy>
  <cp:revision>6</cp:revision>
  <dcterms:created xsi:type="dcterms:W3CDTF">2019-09-06T14:38:00Z</dcterms:created>
  <dcterms:modified xsi:type="dcterms:W3CDTF">2019-09-09T15:49:00Z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