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4E1BD" w14:textId="26757B37" w:rsidR="00B33D6B" w:rsidRPr="00743B22" w:rsidRDefault="00D3199A" w:rsidP="00D94E6C">
      <w:pPr>
        <w:jc w:val="both"/>
        <w:rPr>
          <w:lang w:val="en-US"/>
        </w:rPr>
      </w:pPr>
      <w:r w:rsidRPr="00743B22">
        <w:rPr>
          <w:lang w:val="en-US"/>
        </w:rPr>
        <w:t>2025-08-</w:t>
      </w:r>
      <w:r w:rsidR="000230B3" w:rsidRPr="00743B22">
        <w:rPr>
          <w:lang w:val="en-US"/>
        </w:rPr>
        <w:t>14</w:t>
      </w:r>
    </w:p>
    <w:p w14:paraId="60E88301" w14:textId="77777777" w:rsidR="002377D3" w:rsidRPr="000F1C98" w:rsidRDefault="002377D3" w:rsidP="00D94E6C">
      <w:pPr>
        <w:jc w:val="both"/>
        <w:rPr>
          <w:b/>
          <w:bCs/>
        </w:rPr>
      </w:pPr>
      <w:r w:rsidRPr="000F1C98">
        <w:rPr>
          <w:b/>
          <w:bCs/>
        </w:rPr>
        <w:t>Presentation to the Committee on the Rights of Persons with Disabilities</w:t>
      </w:r>
    </w:p>
    <w:p w14:paraId="48F5A509" w14:textId="572680CE" w:rsidR="002246F8" w:rsidRPr="00743B22" w:rsidRDefault="002377D3" w:rsidP="00D94E6C">
      <w:pPr>
        <w:pBdr>
          <w:bottom w:val="single" w:sz="4" w:space="1" w:color="auto"/>
        </w:pBdr>
        <w:jc w:val="both"/>
      </w:pPr>
      <w:r w:rsidRPr="002377D3">
        <w:rPr>
          <w:i/>
          <w:iCs/>
        </w:rPr>
        <w:t xml:space="preserve">Insights from </w:t>
      </w:r>
      <w:r w:rsidR="000230B3" w:rsidRPr="00743B22">
        <w:rPr>
          <w:i/>
          <w:iCs/>
        </w:rPr>
        <w:t xml:space="preserve">the High Commissioner’s 2025 report to the Human Rights Council on “the rights of the child and the human rights violations of children in armed conflict”, </w:t>
      </w:r>
      <w:r w:rsidR="00F76126" w:rsidRPr="00743B22">
        <w:rPr>
          <w:i/>
          <w:iCs/>
        </w:rPr>
        <w:t xml:space="preserve">drawing on </w:t>
      </w:r>
      <w:r w:rsidRPr="002377D3">
        <w:rPr>
          <w:i/>
          <w:iCs/>
        </w:rPr>
        <w:t xml:space="preserve">Article 38 of the Convention on the Rights of the Child </w:t>
      </w:r>
      <w:r w:rsidR="00F76126" w:rsidRPr="00743B22">
        <w:rPr>
          <w:i/>
          <w:iCs/>
        </w:rPr>
        <w:t>and as r</w:t>
      </w:r>
      <w:r w:rsidRPr="002377D3">
        <w:rPr>
          <w:i/>
          <w:iCs/>
        </w:rPr>
        <w:t xml:space="preserve">elevant to the </w:t>
      </w:r>
      <w:r w:rsidR="00F76126" w:rsidRPr="00743B22">
        <w:rPr>
          <w:i/>
          <w:iCs/>
        </w:rPr>
        <w:t>e</w:t>
      </w:r>
      <w:r w:rsidRPr="002377D3">
        <w:rPr>
          <w:i/>
          <w:iCs/>
        </w:rPr>
        <w:t>laboration of</w:t>
      </w:r>
      <w:r w:rsidR="00F76126" w:rsidRPr="00743B22">
        <w:rPr>
          <w:i/>
          <w:iCs/>
        </w:rPr>
        <w:t xml:space="preserve"> the CRPD Committee’s forthcoming</w:t>
      </w:r>
      <w:r w:rsidRPr="002377D3">
        <w:rPr>
          <w:i/>
          <w:iCs/>
        </w:rPr>
        <w:t xml:space="preserve"> General Comment on Article 11 of the CRPD</w:t>
      </w:r>
      <w:r w:rsidRPr="002377D3">
        <w:rPr>
          <w:i/>
          <w:iCs/>
        </w:rPr>
        <w:br/>
      </w:r>
    </w:p>
    <w:p w14:paraId="22997A90" w14:textId="77777777" w:rsidR="00F62557" w:rsidRDefault="00F62557" w:rsidP="00D94E6C">
      <w:pPr>
        <w:jc w:val="both"/>
      </w:pPr>
    </w:p>
    <w:p w14:paraId="7852567F" w14:textId="374059E3" w:rsidR="002246F8" w:rsidRPr="002246F8" w:rsidRDefault="002246F8" w:rsidP="00D94E6C">
      <w:pPr>
        <w:jc w:val="both"/>
      </w:pPr>
      <w:r w:rsidRPr="002246F8">
        <w:t>Chairperson, Distinguished Committee Members</w:t>
      </w:r>
    </w:p>
    <w:p w14:paraId="09CD4AFD" w14:textId="7306B924" w:rsidR="002246F8" w:rsidRPr="002246F8" w:rsidRDefault="002246F8" w:rsidP="00D94E6C">
      <w:pPr>
        <w:jc w:val="both"/>
      </w:pPr>
      <w:r w:rsidRPr="002246F8">
        <w:t xml:space="preserve">It is an honour to address you during the opening </w:t>
      </w:r>
      <w:r w:rsidR="00145BCE" w:rsidRPr="00743B22">
        <w:t xml:space="preserve">of your </w:t>
      </w:r>
      <w:r w:rsidRPr="002246F8">
        <w:t xml:space="preserve">session of your </w:t>
      </w:r>
      <w:r w:rsidR="00145BCE" w:rsidRPr="00743B22">
        <w:t xml:space="preserve">33rd session. </w:t>
      </w:r>
    </w:p>
    <w:p w14:paraId="5E054480" w14:textId="1CEC2A9B" w:rsidR="00507201" w:rsidRPr="00743B22" w:rsidRDefault="00507201" w:rsidP="00D94E6C">
      <w:pPr>
        <w:jc w:val="both"/>
      </w:pPr>
      <w:r w:rsidRPr="00743B22">
        <w:t xml:space="preserve">I speak on behalf of the Office of the United Nations High Commissioner for Human Rights in connection with the High Commissioner’s 2025 thematic </w:t>
      </w:r>
      <w:r w:rsidR="001D41E2">
        <w:t xml:space="preserve">report </w:t>
      </w:r>
      <w:r w:rsidRPr="00743B22">
        <w:t xml:space="preserve">on the rights of the child and violations of </w:t>
      </w:r>
      <w:r w:rsidR="001F0229">
        <w:t xml:space="preserve">the </w:t>
      </w:r>
      <w:r w:rsidRPr="00743B22">
        <w:t>human rights</w:t>
      </w:r>
      <w:r w:rsidR="001F0229">
        <w:t xml:space="preserve"> of children</w:t>
      </w:r>
      <w:r w:rsidRPr="00743B22">
        <w:t xml:space="preserve"> in armed conflict</w:t>
      </w:r>
      <w:r w:rsidR="00D94E6C">
        <w:t>, which will be presented to the Human Rights Council in September at its 60th session.</w:t>
      </w:r>
    </w:p>
    <w:p w14:paraId="2180DCF4" w14:textId="77777777" w:rsidR="00743B22" w:rsidRPr="00743B22" w:rsidRDefault="00743B22" w:rsidP="00D94E6C">
      <w:pPr>
        <w:jc w:val="both"/>
      </w:pPr>
      <w:r w:rsidRPr="00743B22">
        <w:t>I have been invited to share how the Office approached the interpretation of Article 38 of the Convention on the Rights of the Child, and to offer reflections that may be relevant to your elaboration of a general comment on Article 11 of the CRPD.</w:t>
      </w:r>
    </w:p>
    <w:p w14:paraId="67A93596" w14:textId="77777777" w:rsidR="00743B22" w:rsidRPr="00743B22" w:rsidRDefault="00743B22" w:rsidP="00D94E6C">
      <w:pPr>
        <w:jc w:val="both"/>
      </w:pPr>
      <w:r w:rsidRPr="00743B22">
        <w:t>What unites Article 11 of the CRPD and Article 38 of the CRC is their unique position in international human rights treaty law: they are the only provisions that explicitly bind States parties to act in accordance with both international humanitarian law and international human rights law in armed conflict.</w:t>
      </w:r>
    </w:p>
    <w:p w14:paraId="61799721" w14:textId="4EE31D41" w:rsidR="00743B22" w:rsidRPr="00743B22" w:rsidRDefault="00743B22" w:rsidP="00D94E6C">
      <w:pPr>
        <w:jc w:val="both"/>
      </w:pPr>
      <w:r w:rsidRPr="00743B22">
        <w:t xml:space="preserve">Article 38 of the CRC recalls the obligations of States parties under international humanitarian law to provide special protection for children affected by armed conflict. This parallel to </w:t>
      </w:r>
      <w:r w:rsidR="0062391D">
        <w:t xml:space="preserve">CRPD </w:t>
      </w:r>
      <w:r w:rsidRPr="00743B22">
        <w:t>Article 11’s reference to persons with disabilities is significant. These provisions:</w:t>
      </w:r>
    </w:p>
    <w:p w14:paraId="10A7AC73" w14:textId="79E630C9" w:rsidR="00743B22" w:rsidRPr="00743B22" w:rsidRDefault="00743B22" w:rsidP="00D94E6C">
      <w:pPr>
        <w:numPr>
          <w:ilvl w:val="0"/>
          <w:numId w:val="4"/>
        </w:numPr>
        <w:jc w:val="both"/>
      </w:pPr>
      <w:r w:rsidRPr="00743B22">
        <w:t xml:space="preserve">Reinforce that </w:t>
      </w:r>
      <w:r w:rsidR="00FA2C5B" w:rsidRPr="00743B22">
        <w:t xml:space="preserve">international humanitarian law </w:t>
      </w:r>
      <w:r w:rsidRPr="00743B22">
        <w:t xml:space="preserve">and </w:t>
      </w:r>
      <w:r w:rsidR="00FA2C5B" w:rsidRPr="00743B22">
        <w:t>international human</w:t>
      </w:r>
      <w:r w:rsidR="00FA2C5B">
        <w:t xml:space="preserve"> rights</w:t>
      </w:r>
      <w:r w:rsidR="00FA2C5B" w:rsidRPr="00743B22">
        <w:t xml:space="preserve"> law </w:t>
      </w:r>
      <w:r w:rsidRPr="00743B22">
        <w:t xml:space="preserve">are complementary in armed conflict </w:t>
      </w:r>
      <w:proofErr w:type="gramStart"/>
      <w:r w:rsidRPr="00743B22">
        <w:t>situations;</w:t>
      </w:r>
      <w:proofErr w:type="gramEnd"/>
    </w:p>
    <w:p w14:paraId="0B8F7AFE" w14:textId="30025F6A" w:rsidR="00743B22" w:rsidRPr="00743B22" w:rsidRDefault="00743B22" w:rsidP="00D94E6C">
      <w:pPr>
        <w:numPr>
          <w:ilvl w:val="0"/>
          <w:numId w:val="4"/>
        </w:numPr>
        <w:jc w:val="both"/>
      </w:pPr>
      <w:r w:rsidRPr="00743B22">
        <w:t xml:space="preserve">Impose enforceable obligations on States to apply </w:t>
      </w:r>
      <w:r w:rsidR="00B27953" w:rsidRPr="00743B22">
        <w:t xml:space="preserve">humanitarian law </w:t>
      </w:r>
      <w:r w:rsidRPr="00743B22">
        <w:t>rules through a human rights protection lens; and</w:t>
      </w:r>
    </w:p>
    <w:p w14:paraId="1A6E1321" w14:textId="2C13FDA2" w:rsidR="00743B22" w:rsidRPr="00743B22" w:rsidRDefault="00743B22" w:rsidP="00D94E6C">
      <w:pPr>
        <w:numPr>
          <w:ilvl w:val="0"/>
          <w:numId w:val="4"/>
        </w:numPr>
        <w:jc w:val="both"/>
      </w:pPr>
      <w:r w:rsidRPr="00743B22">
        <w:t>Reflect the recognition that certain groups</w:t>
      </w:r>
      <w:r w:rsidR="005A135F">
        <w:t>, including</w:t>
      </w:r>
      <w:r w:rsidRPr="00743B22">
        <w:t xml:space="preserve"> children and persons with disabilitie</w:t>
      </w:r>
      <w:r w:rsidR="000540AE">
        <w:t xml:space="preserve">s, are entitled to a </w:t>
      </w:r>
      <w:r w:rsidRPr="00743B22">
        <w:t xml:space="preserve">specific </w:t>
      </w:r>
      <w:r w:rsidR="000540AE">
        <w:t>duty of care during armed conflict</w:t>
      </w:r>
      <w:r w:rsidRPr="00743B22">
        <w:t>.</w:t>
      </w:r>
    </w:p>
    <w:p w14:paraId="1188F5D1" w14:textId="61E111D0" w:rsidR="0076027F" w:rsidRDefault="00743B22" w:rsidP="00D94E6C">
      <w:pPr>
        <w:jc w:val="both"/>
      </w:pPr>
      <w:r w:rsidRPr="00743B22">
        <w:t>The International Court of Justice has confirmed that</w:t>
      </w:r>
      <w:r w:rsidR="00FA2C5B" w:rsidRPr="00743B22">
        <w:t xml:space="preserve"> international humanitarian law </w:t>
      </w:r>
      <w:r w:rsidRPr="00743B22">
        <w:t xml:space="preserve">and </w:t>
      </w:r>
      <w:r w:rsidR="001C51C8" w:rsidRPr="00743B22">
        <w:t>international human</w:t>
      </w:r>
      <w:r w:rsidR="001C51C8">
        <w:t xml:space="preserve"> rights </w:t>
      </w:r>
      <w:r w:rsidR="001C51C8" w:rsidRPr="00743B22">
        <w:t xml:space="preserve">law </w:t>
      </w:r>
      <w:r w:rsidRPr="00743B22">
        <w:t xml:space="preserve">share foundational principles and must be applied in a complementary and mutually reinforcing manner during armed conflict. </w:t>
      </w:r>
    </w:p>
    <w:p w14:paraId="4C4933EF" w14:textId="73C269A8" w:rsidR="001E2BBB" w:rsidRDefault="001E2BBB" w:rsidP="001E2BBB">
      <w:pPr>
        <w:jc w:val="both"/>
      </w:pPr>
      <w:r>
        <w:lastRenderedPageBreak/>
        <w:t xml:space="preserve">Concerning the protection of children in armed conflict we see </w:t>
      </w:r>
      <w:r w:rsidR="001E6FD2">
        <w:t>in</w:t>
      </w:r>
      <w:r w:rsidR="003A742E">
        <w:t xml:space="preserve"> the Geneva Conventions and Additional Protocols </w:t>
      </w:r>
      <w:r w:rsidR="004310AF">
        <w:t>provisions for s</w:t>
      </w:r>
      <w:r w:rsidR="003A742E">
        <w:t>pecial respect and care for children.</w:t>
      </w:r>
      <w:r w:rsidR="009D5C24">
        <w:t xml:space="preserve"> This mirrors the CRC’s </w:t>
      </w:r>
      <w:r w:rsidR="009D5C24" w:rsidRPr="00743B22">
        <w:t>principle of the best interests of the child</w:t>
      </w:r>
      <w:r w:rsidR="001E6FD2">
        <w:t>,</w:t>
      </w:r>
      <w:r w:rsidR="009D5C24" w:rsidRPr="00743B22">
        <w:t xml:space="preserve"> which must be integrated into all legal and institutional frameworks </w:t>
      </w:r>
      <w:r w:rsidR="009D5C24">
        <w:t xml:space="preserve">affecting children, including </w:t>
      </w:r>
      <w:r w:rsidR="009D5C24" w:rsidRPr="00743B22">
        <w:t>those governing military operations, justice systems</w:t>
      </w:r>
      <w:r w:rsidR="009D5C24">
        <w:t xml:space="preserve"> and</w:t>
      </w:r>
      <w:r w:rsidR="009D5C24" w:rsidRPr="00743B22">
        <w:t xml:space="preserve"> asylum</w:t>
      </w:r>
      <w:r w:rsidR="009D5C24">
        <w:t xml:space="preserve"> processes</w:t>
      </w:r>
      <w:r w:rsidR="009D5C24" w:rsidRPr="00743B22">
        <w:t xml:space="preserve">. </w:t>
      </w:r>
      <w:r w:rsidR="00C237F2">
        <w:t>Ensuring c</w:t>
      </w:r>
      <w:r w:rsidR="009D5C24">
        <w:t>hildren</w:t>
      </w:r>
      <w:r w:rsidR="00C237F2">
        <w:t xml:space="preserve"> are given the opportunity to be heard and have their</w:t>
      </w:r>
      <w:r w:rsidR="009D5C24">
        <w:t xml:space="preserve"> views </w:t>
      </w:r>
      <w:r w:rsidR="00C237F2">
        <w:t>considered</w:t>
      </w:r>
      <w:r w:rsidR="0060760F">
        <w:t xml:space="preserve"> according to</w:t>
      </w:r>
      <w:r w:rsidR="00C237F2">
        <w:t xml:space="preserve"> article 12</w:t>
      </w:r>
      <w:r w:rsidR="0060760F">
        <w:t xml:space="preserve"> of the Convention</w:t>
      </w:r>
      <w:r w:rsidR="00C237F2">
        <w:t xml:space="preserve"> is</w:t>
      </w:r>
      <w:r w:rsidR="009D5C24">
        <w:t xml:space="preserve"> critical to informing </w:t>
      </w:r>
      <w:r w:rsidR="0060760F">
        <w:t xml:space="preserve">these </w:t>
      </w:r>
      <w:r w:rsidR="00C237F2">
        <w:t>best interest</w:t>
      </w:r>
      <w:r w:rsidR="009D5C24">
        <w:t xml:space="preserve"> a</w:t>
      </w:r>
      <w:r w:rsidR="009D5C24" w:rsidRPr="00743B22">
        <w:t>ssessments.</w:t>
      </w:r>
    </w:p>
    <w:p w14:paraId="6CDAB20A" w14:textId="63E664AC" w:rsidR="006C0F93" w:rsidRPr="00743B22" w:rsidRDefault="009A5352" w:rsidP="006C0F93">
      <w:pPr>
        <w:jc w:val="both"/>
        <w:rPr>
          <w:i/>
          <w:iCs/>
        </w:rPr>
      </w:pPr>
      <w:r>
        <w:t xml:space="preserve">This report provided an opportunity to unpack the </w:t>
      </w:r>
      <w:r w:rsidR="00082D66">
        <w:t xml:space="preserve">many parallels between CRC provisions and the safeguards for children in </w:t>
      </w:r>
      <w:r w:rsidR="00FA2C5B" w:rsidRPr="00743B22">
        <w:t>international humanitarian law</w:t>
      </w:r>
      <w:r w:rsidR="006C0F93">
        <w:t>, noting that w</w:t>
      </w:r>
      <w:r w:rsidR="006C0F93" w:rsidRPr="00743B22">
        <w:rPr>
          <w:i/>
          <w:iCs/>
        </w:rPr>
        <w:t>here no conflict between norms exist</w:t>
      </w:r>
      <w:r w:rsidR="006C0F93" w:rsidRPr="006C0F93">
        <w:t>s, the CRC provisions reinforce international humanitarian law protections for children.</w:t>
      </w:r>
    </w:p>
    <w:p w14:paraId="2EF6DE89" w14:textId="3F375992" w:rsidR="00743B22" w:rsidRDefault="00082D66" w:rsidP="001E2BBB">
      <w:pPr>
        <w:jc w:val="both"/>
      </w:pPr>
      <w:r>
        <w:t>This includes, among others,</w:t>
      </w:r>
      <w:r w:rsidR="00890BFA">
        <w:t xml:space="preserve"> shared</w:t>
      </w:r>
      <w:r w:rsidR="00FA2C5B" w:rsidRPr="00743B22">
        <w:t xml:space="preserve"> </w:t>
      </w:r>
      <w:r w:rsidR="00743B22" w:rsidRPr="00743B22">
        <w:t>prohibit</w:t>
      </w:r>
      <w:r w:rsidR="00890BFA">
        <w:t>ions of</w:t>
      </w:r>
      <w:r w:rsidR="00743B22" w:rsidRPr="00743B22">
        <w:t xml:space="preserve"> child recruitment</w:t>
      </w:r>
      <w:r w:rsidR="00890BFA">
        <w:t xml:space="preserve"> by armed groups</w:t>
      </w:r>
      <w:r w:rsidR="00743B22" w:rsidRPr="00743B22">
        <w:t xml:space="preserve">, </w:t>
      </w:r>
      <w:r w:rsidR="00890BFA">
        <w:t>guarantees of continued</w:t>
      </w:r>
      <w:r w:rsidR="00743B22" w:rsidRPr="00743B22">
        <w:t xml:space="preserve"> access to education, healthcare, food, and humanitarian aid, </w:t>
      </w:r>
      <w:r>
        <w:t>preservation of family life and guarantees of</w:t>
      </w:r>
      <w:r w:rsidR="00743B22" w:rsidRPr="00743B22">
        <w:t xml:space="preserve"> family reunification</w:t>
      </w:r>
      <w:r>
        <w:t xml:space="preserve">, protections from violence including </w:t>
      </w:r>
      <w:r w:rsidRPr="00743B22">
        <w:t xml:space="preserve">evacuation from combat zones for safety, </w:t>
      </w:r>
      <w:r w:rsidR="0062354A">
        <w:t>special</w:t>
      </w:r>
      <w:r w:rsidR="0062354A" w:rsidRPr="00743B22">
        <w:t xml:space="preserve"> protections for </w:t>
      </w:r>
      <w:r w:rsidR="0062354A">
        <w:t>displaced populations</w:t>
      </w:r>
      <w:r w:rsidR="00714FA7">
        <w:t>,</w:t>
      </w:r>
      <w:r w:rsidR="0062354A">
        <w:t xml:space="preserve"> </w:t>
      </w:r>
      <w:r>
        <w:t>special consideration for</w:t>
      </w:r>
      <w:r w:rsidR="00743B22" w:rsidRPr="00743B22">
        <w:t xml:space="preserve"> </w:t>
      </w:r>
      <w:r>
        <w:t>detained</w:t>
      </w:r>
      <w:r w:rsidR="00890BFA">
        <w:t xml:space="preserve"> ch</w:t>
      </w:r>
      <w:r w:rsidR="00890BFA" w:rsidRPr="00743B22">
        <w:t>ildren</w:t>
      </w:r>
      <w:r>
        <w:t>,</w:t>
      </w:r>
      <w:r w:rsidR="00890BFA" w:rsidRPr="00743B22">
        <w:t xml:space="preserve"> </w:t>
      </w:r>
      <w:r w:rsidR="00743B22" w:rsidRPr="00743B22">
        <w:t>prohibit</w:t>
      </w:r>
      <w:r>
        <w:t>ions of</w:t>
      </w:r>
      <w:r w:rsidR="00743B22" w:rsidRPr="00743B22">
        <w:t xml:space="preserve"> discrimination, torture, cruel or inhuman treatment, and sexual violence.</w:t>
      </w:r>
    </w:p>
    <w:p w14:paraId="7754EEBC" w14:textId="77777777" w:rsidR="0064761F" w:rsidRDefault="0064761F" w:rsidP="00C02604">
      <w:pPr>
        <w:jc w:val="both"/>
      </w:pPr>
      <w:r w:rsidRPr="0064761F">
        <w:t xml:space="preserve">By obligating States parties to respect and ensure respect for IHL, Article 38 recalls the principles of distinction, proportionality, and precaution. These translate into State obligations to prevent harm to children in hostilities, including by prohibiting indiscriminate attacks, refraining from the use of explosive weapons in populated areas, and investigating unlawful killings. </w:t>
      </w:r>
    </w:p>
    <w:p w14:paraId="75034677" w14:textId="61421CDE" w:rsidR="00C02604" w:rsidRDefault="00C02604" w:rsidP="00C02604">
      <w:pPr>
        <w:jc w:val="both"/>
      </w:pPr>
      <w:r w:rsidRPr="00743B22">
        <w:t xml:space="preserve">Denial of humanitarian access </w:t>
      </w:r>
      <w:r w:rsidR="003A742E">
        <w:t>is</w:t>
      </w:r>
      <w:r w:rsidR="00870E0F">
        <w:t xml:space="preserve"> another </w:t>
      </w:r>
      <w:r w:rsidR="00E244AF">
        <w:t>example</w:t>
      </w:r>
      <w:r w:rsidR="00870E0F">
        <w:t xml:space="preserve"> of </w:t>
      </w:r>
      <w:r w:rsidR="00E244AF">
        <w:t>conduct that</w:t>
      </w:r>
      <w:r w:rsidRPr="00743B22">
        <w:t xml:space="preserve"> violat</w:t>
      </w:r>
      <w:r w:rsidR="00870E0F">
        <w:t>es</w:t>
      </w:r>
      <w:r w:rsidR="00E244AF">
        <w:t xml:space="preserve"> both</w:t>
      </w:r>
      <w:r w:rsidR="00870E0F">
        <w:t xml:space="preserve"> the CRC</w:t>
      </w:r>
      <w:r w:rsidR="0073674A">
        <w:t xml:space="preserve">’s provisions on </w:t>
      </w:r>
      <w:r w:rsidR="00E244AF">
        <w:t xml:space="preserve">the </w:t>
      </w:r>
      <w:r w:rsidRPr="00743B22">
        <w:t>right</w:t>
      </w:r>
      <w:r w:rsidR="00A60C6D">
        <w:t>s</w:t>
      </w:r>
      <w:r w:rsidRPr="00743B22">
        <w:t xml:space="preserve"> to life and health, </w:t>
      </w:r>
      <w:r w:rsidR="0073674A">
        <w:t xml:space="preserve">and </w:t>
      </w:r>
      <w:r w:rsidR="00A60C6D">
        <w:t xml:space="preserve">IHL </w:t>
      </w:r>
      <w:r w:rsidRPr="00743B22">
        <w:t>prohibit</w:t>
      </w:r>
      <w:r w:rsidR="00A60C6D">
        <w:t>ions of</w:t>
      </w:r>
      <w:r w:rsidRPr="00743B22">
        <w:t xml:space="preserve"> </w:t>
      </w:r>
      <w:r w:rsidR="009C5B6C">
        <w:t xml:space="preserve">collective punishment and </w:t>
      </w:r>
      <w:r w:rsidRPr="00743B22">
        <w:t>the starvation of civilians as a method of warfare.</w:t>
      </w:r>
    </w:p>
    <w:p w14:paraId="250306D3" w14:textId="77777777" w:rsidR="00D86F21" w:rsidRDefault="00D86F21" w:rsidP="00C02604">
      <w:pPr>
        <w:jc w:val="both"/>
      </w:pPr>
      <w:r w:rsidRPr="00D86F21">
        <w:t xml:space="preserve">Applying both IHRL and IHL in a complementary manner also requires States to adopt a non-discriminatory, rights-based approach that </w:t>
      </w:r>
      <w:proofErr w:type="gramStart"/>
      <w:r w:rsidRPr="00D86F21">
        <w:t>takes into account</w:t>
      </w:r>
      <w:proofErr w:type="gramEnd"/>
      <w:r w:rsidRPr="00D86F21">
        <w:t xml:space="preserve"> intersecting factors such as age, gender, disability, ethnicity, and migration status. </w:t>
      </w:r>
    </w:p>
    <w:p w14:paraId="19B33EF1" w14:textId="3C2286E5" w:rsidR="00C02604" w:rsidRPr="00743B22" w:rsidRDefault="001C7799" w:rsidP="00C02604">
      <w:pPr>
        <w:jc w:val="both"/>
      </w:pPr>
      <w:r>
        <w:t xml:space="preserve">An illustration here </w:t>
      </w:r>
      <w:r w:rsidR="00D86F21">
        <w:t>is</w:t>
      </w:r>
      <w:r>
        <w:t xml:space="preserve"> </w:t>
      </w:r>
      <w:r w:rsidR="005A7954">
        <w:t xml:space="preserve">found in </w:t>
      </w:r>
      <w:r>
        <w:t xml:space="preserve">Article 23 of </w:t>
      </w:r>
      <w:r w:rsidR="00C02604" w:rsidRPr="00743B22">
        <w:t>the CRC</w:t>
      </w:r>
      <w:r w:rsidR="005A7954">
        <w:t>, which obliges States</w:t>
      </w:r>
      <w:r w:rsidR="00C02604" w:rsidRPr="00743B22">
        <w:t xml:space="preserve"> </w:t>
      </w:r>
      <w:r>
        <w:t xml:space="preserve">to uphold the </w:t>
      </w:r>
      <w:r w:rsidR="00C02604" w:rsidRPr="00743B22">
        <w:t>rights of children with disabilities</w:t>
      </w:r>
      <w:r w:rsidR="005B2F39">
        <w:t>.</w:t>
      </w:r>
      <w:r w:rsidR="00C02604" w:rsidRPr="00743B22">
        <w:t xml:space="preserve"> </w:t>
      </w:r>
      <w:r w:rsidR="007C4D69">
        <w:t xml:space="preserve">States </w:t>
      </w:r>
      <w:r w:rsidR="004517A0">
        <w:t xml:space="preserve">are required </w:t>
      </w:r>
      <w:r w:rsidR="007C4D69">
        <w:t>to apply a</w:t>
      </w:r>
      <w:r w:rsidR="007C4D69" w:rsidRPr="007C4D69">
        <w:t xml:space="preserve"> disability rights framework</w:t>
      </w:r>
      <w:r w:rsidR="007C4D69">
        <w:t xml:space="preserve"> </w:t>
      </w:r>
      <w:r w:rsidR="007C4D69" w:rsidRPr="007C4D69">
        <w:t>to address the heightened risks children with disabilities face</w:t>
      </w:r>
      <w:r w:rsidR="004517A0">
        <w:t xml:space="preserve"> in armed conflict</w:t>
      </w:r>
      <w:r w:rsidR="007C4D69" w:rsidRPr="007C4D69">
        <w:t>, including neglect, injury, abandonment, and violence, as well as their limited access to essential services</w:t>
      </w:r>
      <w:r w:rsidR="00C02604" w:rsidRPr="00743B22">
        <w:t>.</w:t>
      </w:r>
      <w:r w:rsidR="003E76D6">
        <w:t xml:space="preserve"> </w:t>
      </w:r>
      <w:r w:rsidR="003E76D6" w:rsidRPr="003E76D6">
        <w:t>States have a duty to provide specialized, accessible, and urgent support to children with disabilities (Art. 23), supported by adequate resources, inclusive service delivery and targeted protection measures (Art. 4).</w:t>
      </w:r>
    </w:p>
    <w:p w14:paraId="56ACD122" w14:textId="06A94CF6" w:rsidR="004B3931" w:rsidRPr="00743B22" w:rsidRDefault="009D5C24" w:rsidP="0071287C">
      <w:pPr>
        <w:jc w:val="both"/>
      </w:pPr>
      <w:r w:rsidRPr="00743B22">
        <w:t xml:space="preserve">The Committee on the Rights of the Child has affirmed that </w:t>
      </w:r>
      <w:r>
        <w:t xml:space="preserve">the Convention applies to all </w:t>
      </w:r>
      <w:r w:rsidRPr="00743B22">
        <w:t>children</w:t>
      </w:r>
      <w:r>
        <w:t xml:space="preserve">, </w:t>
      </w:r>
      <w:proofErr w:type="gramStart"/>
      <w:r>
        <w:t>at all times</w:t>
      </w:r>
      <w:proofErr w:type="gramEnd"/>
      <w:r>
        <w:t xml:space="preserve">, </w:t>
      </w:r>
      <w:r w:rsidRPr="00743B22">
        <w:t xml:space="preserve">with no derogation permitted during armed conflict. </w:t>
      </w:r>
      <w:r>
        <w:t xml:space="preserve">Furthermore, </w:t>
      </w:r>
      <w:r>
        <w:lastRenderedPageBreak/>
        <w:t>t</w:t>
      </w:r>
      <w:r w:rsidR="004B3931">
        <w:t xml:space="preserve">he obligation to provide protection and care for conflict-affected children </w:t>
      </w:r>
      <w:r w:rsidR="004B3931" w:rsidRPr="00743B22">
        <w:t>extend</w:t>
      </w:r>
      <w:r w:rsidR="00161220">
        <w:t>s</w:t>
      </w:r>
      <w:r w:rsidR="004B3931" w:rsidRPr="00743B22">
        <w:t xml:space="preserve"> beyond States directly engaged in </w:t>
      </w:r>
      <w:r w:rsidR="0071287C" w:rsidRPr="0071287C">
        <w:t xml:space="preserve">hostilities to those whose actions impact conflict-affected children — for example, in asylum processes, </w:t>
      </w:r>
      <w:r w:rsidR="00161220">
        <w:t xml:space="preserve">arms </w:t>
      </w:r>
      <w:r w:rsidR="00ED7389">
        <w:t>export</w:t>
      </w:r>
      <w:r w:rsidR="00161220">
        <w:t>s</w:t>
      </w:r>
      <w:r w:rsidR="0071287C" w:rsidRPr="0071287C">
        <w:t>, and delivery of humanitarian aid.</w:t>
      </w:r>
    </w:p>
    <w:p w14:paraId="35B7C433" w14:textId="717FE5EA" w:rsidR="00410CB3" w:rsidRDefault="00D068B2" w:rsidP="00D94E6C">
      <w:pPr>
        <w:jc w:val="both"/>
      </w:pPr>
      <w:r w:rsidRPr="00D068B2">
        <w:t>IHRL applies during all armed conflicts, whether international or non-international</w:t>
      </w:r>
      <w:r w:rsidR="00917376">
        <w:t>.</w:t>
      </w:r>
      <w:r w:rsidRPr="00D068B2">
        <w:t xml:space="preserve"> </w:t>
      </w:r>
      <w:r w:rsidR="00743B22" w:rsidRPr="00743B22">
        <w:t xml:space="preserve">Article 38 </w:t>
      </w:r>
      <w:r w:rsidR="00CD147F">
        <w:t>requires a</w:t>
      </w:r>
      <w:r w:rsidR="00743B22" w:rsidRPr="00743B22">
        <w:t xml:space="preserve"> dynamic</w:t>
      </w:r>
      <w:r w:rsidR="00CD147F">
        <w:t xml:space="preserve"> interpretation </w:t>
      </w:r>
      <w:r w:rsidR="00015139" w:rsidRPr="00015139">
        <w:t xml:space="preserve">to protect children subjected to serious rights violations by State or non-State armed actors, including organized criminal groups </w:t>
      </w:r>
      <w:r w:rsidR="00015139">
        <w:t xml:space="preserve">and </w:t>
      </w:r>
      <w:proofErr w:type="gramStart"/>
      <w:r w:rsidR="00743B22" w:rsidRPr="00743B22">
        <w:t>tak</w:t>
      </w:r>
      <w:r w:rsidR="00CD147F">
        <w:t>e</w:t>
      </w:r>
      <w:r w:rsidR="00743B22" w:rsidRPr="00743B22">
        <w:t xml:space="preserve"> into account</w:t>
      </w:r>
      <w:proofErr w:type="gramEnd"/>
      <w:r w:rsidR="00743B22" w:rsidRPr="00743B22">
        <w:t xml:space="preserve"> evolving forms of warfare</w:t>
      </w:r>
      <w:r w:rsidR="00443222">
        <w:t xml:space="preserve"> and technologies</w:t>
      </w:r>
      <w:r w:rsidR="00743B22" w:rsidRPr="00743B22">
        <w:t xml:space="preserve"> including the use of </w:t>
      </w:r>
      <w:r w:rsidR="00443222">
        <w:t xml:space="preserve">automated </w:t>
      </w:r>
      <w:r w:rsidR="00015139">
        <w:t>and</w:t>
      </w:r>
      <w:r w:rsidR="00443222">
        <w:t xml:space="preserve"> </w:t>
      </w:r>
      <w:r w:rsidR="00743B22" w:rsidRPr="00743B22">
        <w:t>explosive weapons in populated areas</w:t>
      </w:r>
      <w:r w:rsidR="00343555">
        <w:t>.</w:t>
      </w:r>
    </w:p>
    <w:p w14:paraId="55456575" w14:textId="40B870B5" w:rsidR="0092347F" w:rsidRDefault="004F5D72" w:rsidP="0092347F">
      <w:pPr>
        <w:jc w:val="both"/>
      </w:pPr>
      <w:r w:rsidRPr="00743B22">
        <w:t xml:space="preserve">Our </w:t>
      </w:r>
      <w:r w:rsidR="005E7717">
        <w:t xml:space="preserve">report </w:t>
      </w:r>
      <w:r w:rsidRPr="00743B22">
        <w:t>conclu</w:t>
      </w:r>
      <w:r w:rsidR="005E7717">
        <w:t>des</w:t>
      </w:r>
      <w:r w:rsidRPr="00743B22">
        <w:t xml:space="preserve"> that the rights of the child in situations of armed conflict are comprehensively protected under international </w:t>
      </w:r>
      <w:r>
        <w:t>law</w:t>
      </w:r>
      <w:r w:rsidR="005E7717">
        <w:t>. Both</w:t>
      </w:r>
      <w:r>
        <w:t xml:space="preserve"> </w:t>
      </w:r>
      <w:r w:rsidRPr="00743B22">
        <w:t>human rights</w:t>
      </w:r>
      <w:r>
        <w:t xml:space="preserve"> and</w:t>
      </w:r>
      <w:r w:rsidRPr="00743B22">
        <w:t xml:space="preserve"> humanitarian</w:t>
      </w:r>
      <w:r>
        <w:t xml:space="preserve"> law</w:t>
      </w:r>
      <w:r w:rsidR="005E7717">
        <w:t xml:space="preserve"> </w:t>
      </w:r>
      <w:r w:rsidRPr="00743B22">
        <w:t>frameworks, when applied in a complementary manner, provide a coherent legal basis for preventing violations, ensuring protection, and securing remedies.</w:t>
      </w:r>
      <w:r w:rsidR="0092347F">
        <w:t xml:space="preserve"> </w:t>
      </w:r>
      <w:r w:rsidR="0092347F" w:rsidRPr="00743B22">
        <w:t xml:space="preserve">International law already provides a robust, rights-based framework for action in conflict and emergency settings. The challenge is </w:t>
      </w:r>
      <w:r w:rsidR="0092347F">
        <w:t xml:space="preserve">therefore </w:t>
      </w:r>
      <w:r w:rsidR="0092347F" w:rsidRPr="00743B22">
        <w:t xml:space="preserve">not conceptual — it is one of implementation and accountability. </w:t>
      </w:r>
    </w:p>
    <w:p w14:paraId="6AAD073F" w14:textId="04A0648B" w:rsidR="00743B22" w:rsidRPr="00743B22" w:rsidRDefault="00743B22" w:rsidP="00D94E6C">
      <w:pPr>
        <w:jc w:val="both"/>
      </w:pPr>
      <w:r w:rsidRPr="00743B22">
        <w:t>Despite persistent challenges</w:t>
      </w:r>
      <w:r w:rsidR="0092347F">
        <w:t xml:space="preserve"> in this </w:t>
      </w:r>
      <w:proofErr w:type="gramStart"/>
      <w:r w:rsidR="0092347F">
        <w:t>respect</w:t>
      </w:r>
      <w:proofErr w:type="gramEnd"/>
      <w:r w:rsidRPr="00743B22">
        <w:t xml:space="preserve"> we have also documented promising State practices</w:t>
      </w:r>
      <w:r w:rsidR="0092347F">
        <w:t>.</w:t>
      </w:r>
      <w:r w:rsidRPr="00743B22">
        <w:t xml:space="preserve"> </w:t>
      </w:r>
      <w:r w:rsidR="005A5E41" w:rsidRPr="005A5E41">
        <w:t>These include laws to support child survivors of conflict-related sexual violence, reintegration programmes for displaced children and those detained for association with non-State armed groups, and legal guarantees of access to emergency services, shelter, education, and healthcare</w:t>
      </w:r>
      <w:r w:rsidR="005A5E41">
        <w:t xml:space="preserve"> for all children affected by conflict, </w:t>
      </w:r>
      <w:r w:rsidR="005A5E41">
        <w:rPr>
          <w:lang w:val="en-US"/>
        </w:rPr>
        <w:t>including those</w:t>
      </w:r>
      <w:r w:rsidR="00021405" w:rsidRPr="001E1269">
        <w:rPr>
          <w:lang w:val="en-US"/>
        </w:rPr>
        <w:t xml:space="preserve"> impacted by organized criminal </w:t>
      </w:r>
      <w:r w:rsidR="0028222B">
        <w:rPr>
          <w:lang w:val="en-US"/>
        </w:rPr>
        <w:t>groups</w:t>
      </w:r>
      <w:r w:rsidR="00021405" w:rsidRPr="001E1269">
        <w:rPr>
          <w:lang w:val="en-US"/>
        </w:rPr>
        <w:t xml:space="preserve">. </w:t>
      </w:r>
      <w:r w:rsidR="00575530">
        <w:t xml:space="preserve"> </w:t>
      </w:r>
    </w:p>
    <w:p w14:paraId="006A4B60" w14:textId="08236BAC" w:rsidR="00743B22" w:rsidRPr="00743B22" w:rsidRDefault="00AD0F6B" w:rsidP="00D94E6C">
      <w:pPr>
        <w:jc w:val="both"/>
      </w:pPr>
      <w:r>
        <w:t xml:space="preserve">We hope our analysis of CRC </w:t>
      </w:r>
      <w:r w:rsidR="00743B22" w:rsidRPr="00743B22">
        <w:t xml:space="preserve">Article 38 offers a model of how treaty provisions linking </w:t>
      </w:r>
      <w:r w:rsidR="001B7A0F">
        <w:t xml:space="preserve">the </w:t>
      </w:r>
      <w:r w:rsidR="00FA2C5B" w:rsidRPr="00743B22">
        <w:t xml:space="preserve">international </w:t>
      </w:r>
      <w:r w:rsidR="001B7A0F">
        <w:t xml:space="preserve">human rights and </w:t>
      </w:r>
      <w:r w:rsidR="00FA2C5B" w:rsidRPr="00743B22">
        <w:t xml:space="preserve">humanitarian law </w:t>
      </w:r>
      <w:r w:rsidR="001B7A0F">
        <w:t>frameworks</w:t>
      </w:r>
      <w:r w:rsidR="00FA2C5B" w:rsidRPr="00743B22">
        <w:t xml:space="preserve"> </w:t>
      </w:r>
      <w:r w:rsidR="00743B22" w:rsidRPr="00743B22">
        <w:t xml:space="preserve">can be interpreted to </w:t>
      </w:r>
      <w:r w:rsidR="001F220F">
        <w:t>guide States parties on their obligations to provide heightened protections</w:t>
      </w:r>
      <w:r w:rsidR="000135D2">
        <w:t xml:space="preserve"> in armed conflict</w:t>
      </w:r>
      <w:r w:rsidR="007F5833">
        <w:t xml:space="preserve">, </w:t>
      </w:r>
      <w:r w:rsidR="00A61370">
        <w:t>specifically</w:t>
      </w:r>
      <w:r w:rsidR="007F5833">
        <w:t xml:space="preserve"> </w:t>
      </w:r>
      <w:r w:rsidR="000135D2">
        <w:t xml:space="preserve">for </w:t>
      </w:r>
      <w:r w:rsidR="00040C34">
        <w:t>children and persons with disabilities</w:t>
      </w:r>
      <w:r w:rsidR="00743B22" w:rsidRPr="00743B22">
        <w:t>.</w:t>
      </w:r>
    </w:p>
    <w:p w14:paraId="08DA5A00" w14:textId="77777777" w:rsidR="00743B22" w:rsidRPr="00743B22" w:rsidRDefault="00743B22" w:rsidP="00D94E6C">
      <w:pPr>
        <w:jc w:val="both"/>
      </w:pPr>
      <w:r w:rsidRPr="00743B22">
        <w:t>Thank you.</w:t>
      </w:r>
    </w:p>
    <w:p w14:paraId="0B191D8D" w14:textId="73A2353A" w:rsidR="002246F8" w:rsidRPr="002246F8" w:rsidRDefault="002246F8" w:rsidP="00D94E6C">
      <w:pPr>
        <w:jc w:val="both"/>
      </w:pPr>
    </w:p>
    <w:sectPr w:rsidR="002246F8" w:rsidRPr="002246F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B239F" w14:textId="77777777" w:rsidR="00E54409" w:rsidRDefault="00E54409" w:rsidP="00E54409">
      <w:pPr>
        <w:spacing w:after="0" w:line="240" w:lineRule="auto"/>
      </w:pPr>
      <w:r>
        <w:separator/>
      </w:r>
    </w:p>
  </w:endnote>
  <w:endnote w:type="continuationSeparator" w:id="0">
    <w:p w14:paraId="18A22D81" w14:textId="77777777" w:rsidR="00E54409" w:rsidRDefault="00E54409" w:rsidP="00E54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BA32D" w14:textId="06031283" w:rsidR="00E54409" w:rsidRDefault="00E54409">
    <w:pPr>
      <w:pStyle w:val="Footer"/>
      <w:jc w:val="right"/>
    </w:pPr>
    <w:r>
      <w:t>2025-08-0</w:t>
    </w:r>
    <w:r w:rsidR="00AA543D">
      <w:t>9</w:t>
    </w:r>
    <w:r>
      <w:t xml:space="preserve">/ </w:t>
    </w:r>
    <w:r w:rsidR="009F1E06">
      <w:t>OHCHR-</w:t>
    </w:r>
    <w:r>
      <w:t>CYRU/ S</w:t>
    </w:r>
    <w:r w:rsidR="009F1E06">
      <w:t>ulini</w:t>
    </w:r>
    <w:r>
      <w:tab/>
    </w:r>
    <w:r>
      <w:tab/>
    </w:r>
    <w:sdt>
      <w:sdtPr>
        <w:id w:val="27691587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6224A8C" w14:textId="77777777" w:rsidR="00E54409" w:rsidRDefault="00E54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157C1" w14:textId="77777777" w:rsidR="00E54409" w:rsidRDefault="00E54409" w:rsidP="00E54409">
      <w:pPr>
        <w:spacing w:after="0" w:line="240" w:lineRule="auto"/>
      </w:pPr>
      <w:r>
        <w:separator/>
      </w:r>
    </w:p>
  </w:footnote>
  <w:footnote w:type="continuationSeparator" w:id="0">
    <w:p w14:paraId="6E887F8D" w14:textId="77777777" w:rsidR="00E54409" w:rsidRDefault="00E54409" w:rsidP="00E54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9571D" w14:textId="7C434952" w:rsidR="00E54409" w:rsidRPr="00E54409" w:rsidRDefault="00E54409">
    <w:pPr>
      <w:pStyle w:val="Header"/>
      <w:rPr>
        <w:lang w:val="en-US"/>
      </w:rPr>
    </w:pPr>
    <w:r>
      <w:rPr>
        <w:lang w:val="en-US"/>
      </w:rPr>
      <w:t>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921EE"/>
    <w:multiLevelType w:val="multilevel"/>
    <w:tmpl w:val="C9E0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64046E"/>
    <w:multiLevelType w:val="multilevel"/>
    <w:tmpl w:val="3FE6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B232D4"/>
    <w:multiLevelType w:val="multilevel"/>
    <w:tmpl w:val="559C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7D65E3"/>
    <w:multiLevelType w:val="multilevel"/>
    <w:tmpl w:val="001A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19000">
    <w:abstractNumId w:val="0"/>
  </w:num>
  <w:num w:numId="2" w16cid:durableId="407532318">
    <w:abstractNumId w:val="1"/>
  </w:num>
  <w:num w:numId="3" w16cid:durableId="635451995">
    <w:abstractNumId w:val="3"/>
  </w:num>
  <w:num w:numId="4" w16cid:durableId="1978217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99A"/>
    <w:rsid w:val="000135D2"/>
    <w:rsid w:val="00015139"/>
    <w:rsid w:val="00021405"/>
    <w:rsid w:val="000230B3"/>
    <w:rsid w:val="00040C34"/>
    <w:rsid w:val="000540AE"/>
    <w:rsid w:val="000712FE"/>
    <w:rsid w:val="00074055"/>
    <w:rsid w:val="00080D4F"/>
    <w:rsid w:val="00082D66"/>
    <w:rsid w:val="00095CB8"/>
    <w:rsid w:val="00096DA4"/>
    <w:rsid w:val="000A4D57"/>
    <w:rsid w:val="000A7E44"/>
    <w:rsid w:val="000C1727"/>
    <w:rsid w:val="000C4D53"/>
    <w:rsid w:val="000E0EBC"/>
    <w:rsid w:val="000F1C98"/>
    <w:rsid w:val="000F6150"/>
    <w:rsid w:val="00105917"/>
    <w:rsid w:val="00107B62"/>
    <w:rsid w:val="001163B0"/>
    <w:rsid w:val="0011778B"/>
    <w:rsid w:val="00145BCE"/>
    <w:rsid w:val="00152E17"/>
    <w:rsid w:val="00161220"/>
    <w:rsid w:val="001973A6"/>
    <w:rsid w:val="001B7A0F"/>
    <w:rsid w:val="001C51C8"/>
    <w:rsid w:val="001C7799"/>
    <w:rsid w:val="001D41E2"/>
    <w:rsid w:val="001D747F"/>
    <w:rsid w:val="001E2BBB"/>
    <w:rsid w:val="001E6D04"/>
    <w:rsid w:val="001E6FD2"/>
    <w:rsid w:val="001F0229"/>
    <w:rsid w:val="001F220F"/>
    <w:rsid w:val="001F2D0C"/>
    <w:rsid w:val="002246F8"/>
    <w:rsid w:val="00233522"/>
    <w:rsid w:val="002377D3"/>
    <w:rsid w:val="00240EF2"/>
    <w:rsid w:val="00246685"/>
    <w:rsid w:val="00271AF9"/>
    <w:rsid w:val="0028222B"/>
    <w:rsid w:val="002F1696"/>
    <w:rsid w:val="003126EE"/>
    <w:rsid w:val="00317F28"/>
    <w:rsid w:val="00343555"/>
    <w:rsid w:val="003546ED"/>
    <w:rsid w:val="00363719"/>
    <w:rsid w:val="003834A4"/>
    <w:rsid w:val="003A742E"/>
    <w:rsid w:val="003C4919"/>
    <w:rsid w:val="003E38C6"/>
    <w:rsid w:val="003E73FF"/>
    <w:rsid w:val="003E76D6"/>
    <w:rsid w:val="003F7531"/>
    <w:rsid w:val="00410CB3"/>
    <w:rsid w:val="004200BB"/>
    <w:rsid w:val="004310AF"/>
    <w:rsid w:val="00443222"/>
    <w:rsid w:val="004517A0"/>
    <w:rsid w:val="00456F53"/>
    <w:rsid w:val="00462B41"/>
    <w:rsid w:val="00472DE9"/>
    <w:rsid w:val="00490ECB"/>
    <w:rsid w:val="00494807"/>
    <w:rsid w:val="004B3931"/>
    <w:rsid w:val="004F5D72"/>
    <w:rsid w:val="00506014"/>
    <w:rsid w:val="00507201"/>
    <w:rsid w:val="0051324A"/>
    <w:rsid w:val="0052172E"/>
    <w:rsid w:val="00522A20"/>
    <w:rsid w:val="0052622C"/>
    <w:rsid w:val="00571391"/>
    <w:rsid w:val="00575530"/>
    <w:rsid w:val="00590035"/>
    <w:rsid w:val="005938B3"/>
    <w:rsid w:val="005A135F"/>
    <w:rsid w:val="005A15C1"/>
    <w:rsid w:val="005A5E41"/>
    <w:rsid w:val="005A5EA7"/>
    <w:rsid w:val="005A7954"/>
    <w:rsid w:val="005B2F39"/>
    <w:rsid w:val="005C3B2E"/>
    <w:rsid w:val="005C5DA2"/>
    <w:rsid w:val="005C6684"/>
    <w:rsid w:val="005D0AB3"/>
    <w:rsid w:val="005D369E"/>
    <w:rsid w:val="005D7104"/>
    <w:rsid w:val="005E7717"/>
    <w:rsid w:val="00604EC2"/>
    <w:rsid w:val="0060760F"/>
    <w:rsid w:val="00610756"/>
    <w:rsid w:val="0062354A"/>
    <w:rsid w:val="0062391D"/>
    <w:rsid w:val="00633FD6"/>
    <w:rsid w:val="0064761F"/>
    <w:rsid w:val="006B36B4"/>
    <w:rsid w:val="006C0152"/>
    <w:rsid w:val="006C0F93"/>
    <w:rsid w:val="006C3D78"/>
    <w:rsid w:val="006D726E"/>
    <w:rsid w:val="00711903"/>
    <w:rsid w:val="0071287C"/>
    <w:rsid w:val="0071492F"/>
    <w:rsid w:val="00714FA7"/>
    <w:rsid w:val="0073674A"/>
    <w:rsid w:val="00743B22"/>
    <w:rsid w:val="0076027F"/>
    <w:rsid w:val="007B4633"/>
    <w:rsid w:val="007C4D69"/>
    <w:rsid w:val="007F5833"/>
    <w:rsid w:val="008006F6"/>
    <w:rsid w:val="00810C2E"/>
    <w:rsid w:val="00827905"/>
    <w:rsid w:val="008442FF"/>
    <w:rsid w:val="0085731B"/>
    <w:rsid w:val="00870E0F"/>
    <w:rsid w:val="00886C0D"/>
    <w:rsid w:val="008905E1"/>
    <w:rsid w:val="00890BFA"/>
    <w:rsid w:val="00890EFD"/>
    <w:rsid w:val="008E33C6"/>
    <w:rsid w:val="0090492A"/>
    <w:rsid w:val="00917376"/>
    <w:rsid w:val="0092347F"/>
    <w:rsid w:val="0095499B"/>
    <w:rsid w:val="00957F9D"/>
    <w:rsid w:val="00966E0B"/>
    <w:rsid w:val="009A5352"/>
    <w:rsid w:val="009C37B0"/>
    <w:rsid w:val="009C5B6C"/>
    <w:rsid w:val="009D5C24"/>
    <w:rsid w:val="009E6A28"/>
    <w:rsid w:val="009F1E06"/>
    <w:rsid w:val="00A60C6D"/>
    <w:rsid w:val="00A61370"/>
    <w:rsid w:val="00AA4C6B"/>
    <w:rsid w:val="00AA543D"/>
    <w:rsid w:val="00AD0736"/>
    <w:rsid w:val="00AD0F6B"/>
    <w:rsid w:val="00AD70EE"/>
    <w:rsid w:val="00AF0600"/>
    <w:rsid w:val="00AF2295"/>
    <w:rsid w:val="00B01033"/>
    <w:rsid w:val="00B07A4B"/>
    <w:rsid w:val="00B27953"/>
    <w:rsid w:val="00B33D6B"/>
    <w:rsid w:val="00B604F6"/>
    <w:rsid w:val="00BA5D82"/>
    <w:rsid w:val="00BC17FD"/>
    <w:rsid w:val="00BD1F0D"/>
    <w:rsid w:val="00C02604"/>
    <w:rsid w:val="00C237F2"/>
    <w:rsid w:val="00C3754D"/>
    <w:rsid w:val="00C5623B"/>
    <w:rsid w:val="00C64E08"/>
    <w:rsid w:val="00C67E69"/>
    <w:rsid w:val="00C81EEF"/>
    <w:rsid w:val="00C8515B"/>
    <w:rsid w:val="00CA0D2B"/>
    <w:rsid w:val="00CA15D0"/>
    <w:rsid w:val="00CC3C3C"/>
    <w:rsid w:val="00CD0099"/>
    <w:rsid w:val="00CD147F"/>
    <w:rsid w:val="00CD24FE"/>
    <w:rsid w:val="00CE59DC"/>
    <w:rsid w:val="00CF3402"/>
    <w:rsid w:val="00CF66DC"/>
    <w:rsid w:val="00D043C2"/>
    <w:rsid w:val="00D05354"/>
    <w:rsid w:val="00D068B2"/>
    <w:rsid w:val="00D235D8"/>
    <w:rsid w:val="00D3199A"/>
    <w:rsid w:val="00D42044"/>
    <w:rsid w:val="00D52578"/>
    <w:rsid w:val="00D6437C"/>
    <w:rsid w:val="00D835D1"/>
    <w:rsid w:val="00D85097"/>
    <w:rsid w:val="00D86F21"/>
    <w:rsid w:val="00D926E7"/>
    <w:rsid w:val="00D94E6C"/>
    <w:rsid w:val="00DE7E72"/>
    <w:rsid w:val="00E244AF"/>
    <w:rsid w:val="00E36508"/>
    <w:rsid w:val="00E3722E"/>
    <w:rsid w:val="00E46F5C"/>
    <w:rsid w:val="00E52581"/>
    <w:rsid w:val="00E54409"/>
    <w:rsid w:val="00E5753C"/>
    <w:rsid w:val="00ED18C0"/>
    <w:rsid w:val="00ED6A74"/>
    <w:rsid w:val="00ED7389"/>
    <w:rsid w:val="00EE66C0"/>
    <w:rsid w:val="00F019E7"/>
    <w:rsid w:val="00F13A09"/>
    <w:rsid w:val="00F41D48"/>
    <w:rsid w:val="00F54C87"/>
    <w:rsid w:val="00F62557"/>
    <w:rsid w:val="00F76126"/>
    <w:rsid w:val="00FA2C5B"/>
    <w:rsid w:val="00FD2894"/>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4F1CC6"/>
  <w15:chartTrackingRefBased/>
  <w15:docId w15:val="{59D42EFE-C42D-433F-A67E-FE923F22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C6B"/>
  </w:style>
  <w:style w:type="paragraph" w:styleId="Heading1">
    <w:name w:val="heading 1"/>
    <w:basedOn w:val="Normal"/>
    <w:next w:val="Normal"/>
    <w:link w:val="Heading1Char"/>
    <w:uiPriority w:val="9"/>
    <w:qFormat/>
    <w:rsid w:val="00D31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99A"/>
    <w:rPr>
      <w:rFonts w:eastAsiaTheme="majorEastAsia" w:cstheme="majorBidi"/>
      <w:color w:val="272727" w:themeColor="text1" w:themeTint="D8"/>
    </w:rPr>
  </w:style>
  <w:style w:type="paragraph" w:styleId="Title">
    <w:name w:val="Title"/>
    <w:basedOn w:val="Normal"/>
    <w:next w:val="Normal"/>
    <w:link w:val="TitleChar"/>
    <w:uiPriority w:val="10"/>
    <w:qFormat/>
    <w:rsid w:val="00D31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99A"/>
    <w:pPr>
      <w:spacing w:before="160"/>
      <w:jc w:val="center"/>
    </w:pPr>
    <w:rPr>
      <w:i/>
      <w:iCs/>
      <w:color w:val="404040" w:themeColor="text1" w:themeTint="BF"/>
    </w:rPr>
  </w:style>
  <w:style w:type="character" w:customStyle="1" w:styleId="QuoteChar">
    <w:name w:val="Quote Char"/>
    <w:basedOn w:val="DefaultParagraphFont"/>
    <w:link w:val="Quote"/>
    <w:uiPriority w:val="29"/>
    <w:rsid w:val="00D3199A"/>
    <w:rPr>
      <w:i/>
      <w:iCs/>
      <w:color w:val="404040" w:themeColor="text1" w:themeTint="BF"/>
    </w:rPr>
  </w:style>
  <w:style w:type="paragraph" w:styleId="ListParagraph">
    <w:name w:val="List Paragraph"/>
    <w:basedOn w:val="Normal"/>
    <w:uiPriority w:val="34"/>
    <w:qFormat/>
    <w:rsid w:val="00D3199A"/>
    <w:pPr>
      <w:ind w:left="720"/>
      <w:contextualSpacing/>
    </w:pPr>
  </w:style>
  <w:style w:type="character" w:styleId="IntenseEmphasis">
    <w:name w:val="Intense Emphasis"/>
    <w:basedOn w:val="DefaultParagraphFont"/>
    <w:uiPriority w:val="21"/>
    <w:qFormat/>
    <w:rsid w:val="00D3199A"/>
    <w:rPr>
      <w:i/>
      <w:iCs/>
      <w:color w:val="0F4761" w:themeColor="accent1" w:themeShade="BF"/>
    </w:rPr>
  </w:style>
  <w:style w:type="paragraph" w:styleId="IntenseQuote">
    <w:name w:val="Intense Quote"/>
    <w:basedOn w:val="Normal"/>
    <w:next w:val="Normal"/>
    <w:link w:val="IntenseQuoteChar"/>
    <w:uiPriority w:val="30"/>
    <w:qFormat/>
    <w:rsid w:val="00D31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99A"/>
    <w:rPr>
      <w:i/>
      <w:iCs/>
      <w:color w:val="0F4761" w:themeColor="accent1" w:themeShade="BF"/>
    </w:rPr>
  </w:style>
  <w:style w:type="character" w:styleId="IntenseReference">
    <w:name w:val="Intense Reference"/>
    <w:basedOn w:val="DefaultParagraphFont"/>
    <w:uiPriority w:val="32"/>
    <w:qFormat/>
    <w:rsid w:val="00D3199A"/>
    <w:rPr>
      <w:b/>
      <w:bCs/>
      <w:smallCaps/>
      <w:color w:val="0F4761" w:themeColor="accent1" w:themeShade="BF"/>
      <w:spacing w:val="5"/>
    </w:rPr>
  </w:style>
  <w:style w:type="paragraph" w:styleId="Header">
    <w:name w:val="header"/>
    <w:basedOn w:val="Normal"/>
    <w:link w:val="HeaderChar"/>
    <w:uiPriority w:val="99"/>
    <w:unhideWhenUsed/>
    <w:rsid w:val="00E54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409"/>
  </w:style>
  <w:style w:type="paragraph" w:styleId="Footer">
    <w:name w:val="footer"/>
    <w:basedOn w:val="Normal"/>
    <w:link w:val="FooterChar"/>
    <w:uiPriority w:val="99"/>
    <w:unhideWhenUsed/>
    <w:rsid w:val="00E54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409"/>
  </w:style>
  <w:style w:type="character" w:styleId="FootnoteReference">
    <w:name w:val="footnote reference"/>
    <w:aliases w:val="4_G"/>
    <w:basedOn w:val="DefaultParagraphFont"/>
    <w:uiPriority w:val="99"/>
    <w:qFormat/>
    <w:rsid w:val="00ED6A74"/>
    <w:rPr>
      <w:rFonts w:ascii="Times New Roman" w:hAnsi="Times New Roman"/>
      <w:sz w:val="18"/>
      <w:vertAlign w:val="superscript"/>
    </w:rPr>
  </w:style>
  <w:style w:type="character" w:styleId="Hyperlink">
    <w:name w:val="Hyperlink"/>
    <w:basedOn w:val="DefaultParagraphFont"/>
    <w:uiPriority w:val="99"/>
    <w:unhideWhenUsed/>
    <w:rsid w:val="00ED6A74"/>
    <w:rPr>
      <w:color w:val="0000FF"/>
      <w:u w:val="none"/>
    </w:rPr>
  </w:style>
  <w:style w:type="paragraph" w:styleId="FootnoteText">
    <w:name w:val="footnote text"/>
    <w:aliases w:val="5_G"/>
    <w:basedOn w:val="Normal"/>
    <w:link w:val="FootnoteTextChar"/>
    <w:uiPriority w:val="99"/>
    <w:qFormat/>
    <w:rsid w:val="00ED6A74"/>
    <w:pPr>
      <w:tabs>
        <w:tab w:val="right" w:pos="1021"/>
      </w:tabs>
      <w:suppressAutoHyphens/>
      <w:spacing w:after="0" w:line="220" w:lineRule="exact"/>
      <w:ind w:left="1134" w:right="1134" w:hanging="1134"/>
    </w:pPr>
    <w:rPr>
      <w:rFonts w:ascii="Times New Roman" w:eastAsia="Times New Roman" w:hAnsi="Times New Roman" w:cs="Times New Roman"/>
      <w:kern w:val="0"/>
      <w:sz w:val="18"/>
      <w:szCs w:val="20"/>
      <w:lang w:val="en-GB" w:eastAsia="en-US"/>
      <w14:ligatures w14:val="none"/>
    </w:rPr>
  </w:style>
  <w:style w:type="character" w:customStyle="1" w:styleId="FootnoteTextChar">
    <w:name w:val="Footnote Text Char"/>
    <w:aliases w:val="5_G Char"/>
    <w:basedOn w:val="DefaultParagraphFont"/>
    <w:link w:val="FootnoteText"/>
    <w:uiPriority w:val="99"/>
    <w:rsid w:val="00ED6A74"/>
    <w:rPr>
      <w:rFonts w:ascii="Times New Roman" w:eastAsia="Times New Roman" w:hAnsi="Times New Roman" w:cs="Times New Roman"/>
      <w:kern w:val="0"/>
      <w:sz w:val="18"/>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418648">
      <w:bodyDiv w:val="1"/>
      <w:marLeft w:val="0"/>
      <w:marRight w:val="0"/>
      <w:marTop w:val="0"/>
      <w:marBottom w:val="0"/>
      <w:divBdr>
        <w:top w:val="none" w:sz="0" w:space="0" w:color="auto"/>
        <w:left w:val="none" w:sz="0" w:space="0" w:color="auto"/>
        <w:bottom w:val="none" w:sz="0" w:space="0" w:color="auto"/>
        <w:right w:val="none" w:sz="0" w:space="0" w:color="auto"/>
      </w:divBdr>
    </w:div>
    <w:div w:id="852500966">
      <w:bodyDiv w:val="1"/>
      <w:marLeft w:val="0"/>
      <w:marRight w:val="0"/>
      <w:marTop w:val="0"/>
      <w:marBottom w:val="0"/>
      <w:divBdr>
        <w:top w:val="none" w:sz="0" w:space="0" w:color="auto"/>
        <w:left w:val="none" w:sz="0" w:space="0" w:color="auto"/>
        <w:bottom w:val="none" w:sz="0" w:space="0" w:color="auto"/>
        <w:right w:val="none" w:sz="0" w:space="0" w:color="auto"/>
      </w:divBdr>
    </w:div>
    <w:div w:id="1315063449">
      <w:bodyDiv w:val="1"/>
      <w:marLeft w:val="0"/>
      <w:marRight w:val="0"/>
      <w:marTop w:val="0"/>
      <w:marBottom w:val="0"/>
      <w:divBdr>
        <w:top w:val="none" w:sz="0" w:space="0" w:color="auto"/>
        <w:left w:val="none" w:sz="0" w:space="0" w:color="auto"/>
        <w:bottom w:val="none" w:sz="0" w:space="0" w:color="auto"/>
        <w:right w:val="none" w:sz="0" w:space="0" w:color="auto"/>
      </w:divBdr>
    </w:div>
    <w:div w:id="1489125898">
      <w:bodyDiv w:val="1"/>
      <w:marLeft w:val="0"/>
      <w:marRight w:val="0"/>
      <w:marTop w:val="0"/>
      <w:marBottom w:val="0"/>
      <w:divBdr>
        <w:top w:val="none" w:sz="0" w:space="0" w:color="auto"/>
        <w:left w:val="none" w:sz="0" w:space="0" w:color="auto"/>
        <w:bottom w:val="none" w:sz="0" w:space="0" w:color="auto"/>
        <w:right w:val="none" w:sz="0" w:space="0" w:color="auto"/>
      </w:divBdr>
    </w:div>
    <w:div w:id="1527018362">
      <w:bodyDiv w:val="1"/>
      <w:marLeft w:val="0"/>
      <w:marRight w:val="0"/>
      <w:marTop w:val="0"/>
      <w:marBottom w:val="0"/>
      <w:divBdr>
        <w:top w:val="none" w:sz="0" w:space="0" w:color="auto"/>
        <w:left w:val="none" w:sz="0" w:space="0" w:color="auto"/>
        <w:bottom w:val="none" w:sz="0" w:space="0" w:color="auto"/>
        <w:right w:val="none" w:sz="0" w:space="0" w:color="auto"/>
      </w:divBdr>
    </w:div>
    <w:div w:id="2062942563">
      <w:bodyDiv w:val="1"/>
      <w:marLeft w:val="0"/>
      <w:marRight w:val="0"/>
      <w:marTop w:val="0"/>
      <w:marBottom w:val="0"/>
      <w:divBdr>
        <w:top w:val="none" w:sz="0" w:space="0" w:color="auto"/>
        <w:left w:val="none" w:sz="0" w:space="0" w:color="auto"/>
        <w:bottom w:val="none" w:sz="0" w:space="0" w:color="auto"/>
        <w:right w:val="none" w:sz="0" w:space="0" w:color="auto"/>
      </w:divBdr>
    </w:div>
    <w:div w:id="211543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2025-08-10T12:19:05+00:00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F0B4EA5-1930-4DFA-B851-9530CA4A5274}"/>
</file>

<file path=customXml/itemProps2.xml><?xml version="1.0" encoding="utf-8"?>
<ds:datastoreItem xmlns:ds="http://schemas.openxmlformats.org/officeDocument/2006/customXml" ds:itemID="{B69D61DD-B3F0-463E-89C1-7701A1C49E57}"/>
</file>

<file path=customXml/itemProps3.xml><?xml version="1.0" encoding="utf-8"?>
<ds:datastoreItem xmlns:ds="http://schemas.openxmlformats.org/officeDocument/2006/customXml" ds:itemID="{99CB18D1-C403-4F7C-A7D8-9ABE265C1BAD}"/>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1110</Words>
  <Characters>6328</Characters>
  <Application>Microsoft Office Word</Application>
  <DocSecurity>4</DocSecurity>
  <Lines>52</Lines>
  <Paragraphs>14</Paragraphs>
  <ScaleCrop>false</ScaleCrop>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Sulini Sarugaser</dc:creator>
  <cp:keywords/>
  <dc:description/>
  <cp:lastModifiedBy>Jorge Araya</cp:lastModifiedBy>
  <cp:revision>2</cp:revision>
  <dcterms:created xsi:type="dcterms:W3CDTF">2025-08-10T12:19:00Z</dcterms:created>
  <dcterms:modified xsi:type="dcterms:W3CDTF">2025-08-10T12:19:00Z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