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D980C9E" w14:textId="77777777" w:rsidR="00263F15" w:rsidRDefault="00263F15" w:rsidP="00263F15"/>
    <w:p w14:paraId="1D28CFAF" w14:textId="77777777" w:rsidR="00BD76D6" w:rsidRPr="00907A7A" w:rsidRDefault="00BD76D6" w:rsidP="00263F15">
      <w:pPr>
        <w:rPr>
          <w:b/>
        </w:rPr>
      </w:pPr>
      <w:r w:rsidRPr="00907A7A">
        <w:rPr>
          <w:b/>
        </w:rPr>
        <w:t>02.11.2015</w:t>
      </w:r>
    </w:p>
    <w:p w14:paraId="41B42E96" w14:textId="77777777" w:rsidR="00BD76D6" w:rsidRPr="00907A7A" w:rsidRDefault="00BD76D6" w:rsidP="00907A7A">
      <w:pPr>
        <w:rPr>
          <w:b/>
        </w:rPr>
      </w:pPr>
      <w:r w:rsidRPr="00907A7A">
        <w:rPr>
          <w:b/>
        </w:rPr>
        <w:t xml:space="preserve">RE: Submission in Relation to the Consideration of Turkey’s Report by the </w:t>
      </w:r>
      <w:r w:rsidR="00907A7A" w:rsidRPr="00907A7A">
        <w:rPr>
          <w:b/>
        </w:rPr>
        <w:t>Committ</w:t>
      </w:r>
      <w:r w:rsidR="00907A7A">
        <w:rPr>
          <w:b/>
        </w:rPr>
        <w:t xml:space="preserve">ee on the Elimination of Racial </w:t>
      </w:r>
      <w:r w:rsidR="00907A7A" w:rsidRPr="00907A7A">
        <w:rPr>
          <w:b/>
        </w:rPr>
        <w:t>Discrimination</w:t>
      </w:r>
      <w:bookmarkStart w:id="0" w:name="_GoBack"/>
      <w:bookmarkEnd w:id="0"/>
    </w:p>
    <w:p w14:paraId="23FA8EDF" w14:textId="286374A5" w:rsidR="00907A7A" w:rsidRDefault="00907A7A" w:rsidP="00D36A5E">
      <w:pPr>
        <w:pStyle w:val="Heading1"/>
      </w:pPr>
      <w:r>
        <w:t xml:space="preserve">Intersection of the Right to Freedom of Religion or Belief and the Right to Education and Its Implications for the </w:t>
      </w:r>
      <w:r w:rsidRPr="00907A7A">
        <w:t xml:space="preserve">International Convention on </w:t>
      </w:r>
      <w:r>
        <w:t xml:space="preserve">the Elimination of All Forms of </w:t>
      </w:r>
      <w:r w:rsidRPr="00907A7A">
        <w:t>Racial Discrimination</w:t>
      </w:r>
      <w:r w:rsidR="003502EE">
        <w:t xml:space="preserve"> (ICERD)</w:t>
      </w:r>
      <w:r>
        <w:t xml:space="preserve"> </w:t>
      </w:r>
    </w:p>
    <w:p w14:paraId="5E47CB30" w14:textId="77777777" w:rsidR="003502EE" w:rsidRDefault="003502EE" w:rsidP="00907A7A">
      <w:pPr>
        <w:spacing w:line="240" w:lineRule="auto"/>
      </w:pPr>
      <w:r>
        <w:t xml:space="preserve">1. </w:t>
      </w:r>
      <w:r w:rsidR="00907A7A">
        <w:t>Article 5(d) of the Convention obligates States parties to ensure equality of enjoyment of a number of human rights and fundamental freedoms, including the right to freedom of thought</w:t>
      </w:r>
      <w:r>
        <w:t xml:space="preserve">, conscience, and religion and the right to education. </w:t>
      </w:r>
    </w:p>
    <w:p w14:paraId="034AE9E6" w14:textId="77777777" w:rsidR="003502EE" w:rsidRDefault="003502EE" w:rsidP="003502EE">
      <w:pPr>
        <w:spacing w:line="240" w:lineRule="auto"/>
      </w:pPr>
      <w:r>
        <w:t xml:space="preserve">2. There are a number of issues that give rise to considerations under the ICERD </w:t>
      </w:r>
      <w:r w:rsidR="00263F15" w:rsidRPr="00FA574A">
        <w:t xml:space="preserve">related to freedom of belief continue to persist in the field of education for children and families of a variety of belief communities. </w:t>
      </w:r>
      <w:r>
        <w:t xml:space="preserve">Turkey has implemented a number of changes in the field of religious education in public schools. </w:t>
      </w:r>
      <w:r w:rsidR="00263F15" w:rsidRPr="00FA574A">
        <w:t xml:space="preserve">Although children are the main actors in this issue, their participation in the decision-making process is extremely limited, and problems need to be solved </w:t>
      </w:r>
      <w:r w:rsidR="00263F15">
        <w:t>employing a</w:t>
      </w:r>
      <w:r w:rsidR="00263F15" w:rsidRPr="00FA574A">
        <w:t xml:space="preserve"> transparent, participatory process and guided by human-rights standards.</w:t>
      </w:r>
    </w:p>
    <w:p w14:paraId="6BFBE0E3" w14:textId="77777777" w:rsidR="00263F15" w:rsidRPr="003502EE" w:rsidRDefault="003502EE" w:rsidP="003502EE">
      <w:pPr>
        <w:spacing w:line="240" w:lineRule="auto"/>
      </w:pPr>
      <w:r>
        <w:t xml:space="preserve">3. The right of the child to </w:t>
      </w:r>
      <w:r w:rsidR="00263F15" w:rsidRPr="00FA574A">
        <w:t>freedom of thought, religion, or belief is protected by Article 14 of the UN Convention on the Rights of the Child:</w:t>
      </w:r>
    </w:p>
    <w:p w14:paraId="38EF577C" w14:textId="77777777" w:rsidR="00263F15" w:rsidRPr="00FA574A" w:rsidRDefault="00263F15" w:rsidP="00263F15">
      <w:pPr>
        <w:ind w:left="720" w:right="720"/>
      </w:pPr>
      <w:r w:rsidRPr="00FA574A">
        <w:t>States Parties shall respect the right of the child to freedom of thought, conscience and religion.</w:t>
      </w:r>
    </w:p>
    <w:p w14:paraId="50FBF38E" w14:textId="77777777" w:rsidR="00263F15" w:rsidRPr="00FA574A" w:rsidRDefault="00263F15" w:rsidP="00263F15">
      <w:pPr>
        <w:ind w:left="720" w:right="720"/>
      </w:pPr>
      <w:r w:rsidRPr="00FA574A">
        <w:t>States Parties shall respect the rights and duties of the parents and, when applicable, legal guardians, to provide direction to the child in the exercise of his or her right in a manner consistent with the evolving capacities of the child. […]</w:t>
      </w:r>
    </w:p>
    <w:p w14:paraId="6CBB81AC" w14:textId="77777777" w:rsidR="00263F15" w:rsidRPr="00FA574A" w:rsidRDefault="003502EE" w:rsidP="00263F15">
      <w:r>
        <w:t xml:space="preserve">4. </w:t>
      </w:r>
      <w:r w:rsidR="00263F15">
        <w:t>Under</w:t>
      </w:r>
      <w:r w:rsidR="00263F15" w:rsidRPr="00FA574A">
        <w:t xml:space="preserve"> international law, the right of a child to freedom of thought, religion, or belief is guaranteed. According to its </w:t>
      </w:r>
      <w:r>
        <w:t>evolving capacity</w:t>
      </w:r>
      <w:r w:rsidR="00263F15" w:rsidRPr="00FA574A">
        <w:t>, a child has the right to make decisions about its freedom of belief before</w:t>
      </w:r>
      <w:r>
        <w:t xml:space="preserve"> he/she</w:t>
      </w:r>
      <w:r w:rsidR="00263F15" w:rsidRPr="00FA574A">
        <w:t xml:space="preserve"> reaches adulthood.</w:t>
      </w:r>
    </w:p>
    <w:p w14:paraId="706AA3AF" w14:textId="77777777" w:rsidR="00263F15" w:rsidRDefault="003502EE" w:rsidP="00263F15">
      <w:r>
        <w:t xml:space="preserve">5. </w:t>
      </w:r>
      <w:r w:rsidR="00263F15" w:rsidRPr="00FA574A">
        <w:t>Within this framework, a number of developments in Turkey have raised questions about children’s and parents’ freedom of religion o</w:t>
      </w:r>
      <w:r w:rsidR="001B7CC3">
        <w:t>r belief: mandatory courses in Religious Culture and Ethics (RCE)</w:t>
      </w:r>
      <w:r w:rsidR="00263F15" w:rsidRPr="00FA574A">
        <w:t xml:space="preserve">; new </w:t>
      </w:r>
      <w:r w:rsidR="001B7CC3">
        <w:t>optional</w:t>
      </w:r>
      <w:r w:rsidR="00263F15" w:rsidRPr="00FA574A">
        <w:t xml:space="preserve"> courses on “The Life of the Prophet Muhammad,” “Foundations of Religion” (Islam), and “The Koran,” added to the curriculum during the 2012–2013 school year; the automatic assigning of students to high schools—including the “</w:t>
      </w:r>
      <w:r w:rsidR="00263F15" w:rsidRPr="00FA574A">
        <w:rPr>
          <w:i/>
          <w:iCs/>
        </w:rPr>
        <w:t>imam-</w:t>
      </w:r>
      <w:proofErr w:type="spellStart"/>
      <w:r w:rsidR="00263F15" w:rsidRPr="00FA574A">
        <w:rPr>
          <w:i/>
          <w:iCs/>
        </w:rPr>
        <w:t>hatip</w:t>
      </w:r>
      <w:proofErr w:type="spellEnd"/>
      <w:r w:rsidR="00263F15" w:rsidRPr="00FA574A">
        <w:t>” religious training schools—based on the standardized high-school entrance exam (</w:t>
      </w:r>
      <w:r w:rsidR="00263F15" w:rsidRPr="00FA574A">
        <w:rPr>
          <w:i/>
          <w:iCs/>
        </w:rPr>
        <w:t>TEOG</w:t>
      </w:r>
      <w:r w:rsidR="00263F15" w:rsidRPr="00FA574A">
        <w:t>); and other questions of pluralism in schools.</w:t>
      </w:r>
    </w:p>
    <w:p w14:paraId="461668AF" w14:textId="77777777" w:rsidR="001B7CC3" w:rsidRPr="00FA574A" w:rsidRDefault="001B7CC3" w:rsidP="00263F15"/>
    <w:p w14:paraId="64BAE201" w14:textId="77777777" w:rsidR="00263F15" w:rsidRPr="001B7CC3" w:rsidRDefault="001B7CC3" w:rsidP="00263F15">
      <w:pPr>
        <w:rPr>
          <w:b/>
          <w:bCs/>
        </w:rPr>
      </w:pPr>
      <w:r>
        <w:rPr>
          <w:b/>
          <w:bCs/>
        </w:rPr>
        <w:lastRenderedPageBreak/>
        <w:t>6. Religious Culture and Ethics</w:t>
      </w:r>
      <w:r w:rsidR="00263F15" w:rsidRPr="00FA574A">
        <w:rPr>
          <w:b/>
          <w:bCs/>
        </w:rPr>
        <w:t xml:space="preserve"> </w:t>
      </w:r>
      <w:proofErr w:type="gramStart"/>
      <w:r w:rsidR="00263F15" w:rsidRPr="00FA574A">
        <w:rPr>
          <w:b/>
          <w:bCs/>
        </w:rPr>
        <w:t>Classes</w:t>
      </w:r>
      <w:r>
        <w:rPr>
          <w:b/>
          <w:bCs/>
        </w:rPr>
        <w:t xml:space="preserve">  </w:t>
      </w:r>
      <w:r w:rsidR="00263F15" w:rsidRPr="00FA574A">
        <w:t>Despite</w:t>
      </w:r>
      <w:proofErr w:type="gramEnd"/>
      <w:r w:rsidR="00263F15" w:rsidRPr="00FA574A">
        <w:t xml:space="preserve"> changes made to the conte</w:t>
      </w:r>
      <w:r>
        <w:t>nt of the CR</w:t>
      </w:r>
      <w:r w:rsidR="00263F15" w:rsidRPr="00FA574A">
        <w:t xml:space="preserve">E curriculum and textbooks, both contain “religious </w:t>
      </w:r>
      <w:r>
        <w:t>instruction</w:t>
      </w:r>
      <w:r w:rsidR="00263F15" w:rsidRPr="00FA574A">
        <w:t xml:space="preserve">” and “education about religions.” In order to eliminate the barriers to freedom of thought, conscience, and religion in such courses, the Human-Rights Action Plan, adopted by the Cabinet of Ministers in March 2014, </w:t>
      </w:r>
      <w:r w:rsidR="00263F15">
        <w:t>took on</w:t>
      </w:r>
      <w:r w:rsidR="00263F15" w:rsidRPr="00FA574A">
        <w:t xml:space="preserve"> as one of its goals an impact-analysis study of the r</w:t>
      </w:r>
      <w:r>
        <w:t>esult of changes made to the CR</w:t>
      </w:r>
      <w:r w:rsidR="00263F15" w:rsidRPr="00FA574A">
        <w:t xml:space="preserve">E curriculum aimed at making it compatible with </w:t>
      </w:r>
      <w:proofErr w:type="spellStart"/>
      <w:r w:rsidR="00263F15" w:rsidRPr="00FA574A">
        <w:t>ECtHR</w:t>
      </w:r>
      <w:proofErr w:type="spellEnd"/>
      <w:r w:rsidR="00263F15" w:rsidRPr="00FA574A">
        <w:t xml:space="preserve"> standards.</w:t>
      </w:r>
      <w:r>
        <w:t xml:space="preserve"> However no assessment has been carried out, yet.</w:t>
      </w:r>
    </w:p>
    <w:p w14:paraId="707D37CC" w14:textId="77777777" w:rsidR="00263F15" w:rsidRPr="00FA574A" w:rsidRDefault="001B7CC3" w:rsidP="00263F15">
      <w:r>
        <w:t xml:space="preserve">7. </w:t>
      </w:r>
      <w:r w:rsidR="00263F15" w:rsidRPr="00FA574A">
        <w:t xml:space="preserve">On 16 September 2014, the </w:t>
      </w:r>
      <w:proofErr w:type="spellStart"/>
      <w:r w:rsidR="00263F15" w:rsidRPr="00FA574A">
        <w:t>ECtHR</w:t>
      </w:r>
      <w:proofErr w:type="spellEnd"/>
      <w:r w:rsidR="00263F15" w:rsidRPr="00FA574A">
        <w:t xml:space="preserve">, in the case of Mansur </w:t>
      </w:r>
      <w:proofErr w:type="spellStart"/>
      <w:r w:rsidR="00263F15" w:rsidRPr="00FA574A">
        <w:t>Yalçın</w:t>
      </w:r>
      <w:proofErr w:type="spellEnd"/>
      <w:r w:rsidR="00263F15" w:rsidRPr="00FA574A">
        <w:t xml:space="preserve"> </w:t>
      </w:r>
      <w:r>
        <w:t>and Others</w:t>
      </w:r>
      <w:r w:rsidR="00263F15" w:rsidRPr="00FA574A">
        <w:t xml:space="preserve"> v. Turkey, found that Turkey had violated the right to education enshrined in Article 2 of ECHR Protocol 1. The facts of the case, brought to the court by </w:t>
      </w:r>
      <w:proofErr w:type="spellStart"/>
      <w:r w:rsidR="00263F15" w:rsidRPr="00FA574A">
        <w:t>Alevi</w:t>
      </w:r>
      <w:proofErr w:type="spellEnd"/>
      <w:r w:rsidR="00263F15" w:rsidRPr="00FA574A">
        <w:t xml:space="preserve"> parents, convinced the </w:t>
      </w:r>
      <w:proofErr w:type="spellStart"/>
      <w:r w:rsidR="00263F15" w:rsidRPr="00FA574A">
        <w:t>ECtHR</w:t>
      </w:r>
      <w:proofErr w:type="spellEnd"/>
      <w:r w:rsidR="00263F15" w:rsidRPr="00FA574A">
        <w:t xml:space="preserve"> that the Turkish state continued to insufficiently respect the parents’ beliefs when it came to religious education the country’s education system.</w:t>
      </w:r>
      <w:r w:rsidR="00263F15" w:rsidRPr="00FA574A">
        <w:rPr>
          <w:rStyle w:val="FootnoteReference"/>
        </w:rPr>
        <w:footnoteReference w:id="1"/>
      </w:r>
      <w:r w:rsidR="00263F15" w:rsidRPr="00FA574A">
        <w:t xml:space="preserve"> Judges stated that the structural problems exposed by the 2007 decision in Hasan and </w:t>
      </w:r>
      <w:proofErr w:type="spellStart"/>
      <w:r w:rsidR="00263F15" w:rsidRPr="00FA574A">
        <w:t>Eylem</w:t>
      </w:r>
      <w:proofErr w:type="spellEnd"/>
      <w:r w:rsidR="00263F15" w:rsidRPr="00FA574A">
        <w:t xml:space="preserve"> </w:t>
      </w:r>
      <w:proofErr w:type="spellStart"/>
      <w:r w:rsidR="00263F15" w:rsidRPr="00FA574A">
        <w:t>Zengin</w:t>
      </w:r>
      <w:proofErr w:type="spellEnd"/>
      <w:r w:rsidR="00263F15" w:rsidRPr="00FA574A">
        <w:t xml:space="preserve"> v. Turkey continued to persist.</w:t>
      </w:r>
      <w:r w:rsidR="00263F15" w:rsidRPr="00FA574A">
        <w:rPr>
          <w:rStyle w:val="FootnoteReference"/>
        </w:rPr>
        <w:footnoteReference w:id="2"/>
      </w:r>
      <w:r w:rsidR="00263F15" w:rsidRPr="00FA574A">
        <w:t xml:space="preserve"> Turkey’s referral of the Mansur </w:t>
      </w:r>
      <w:proofErr w:type="spellStart"/>
      <w:r w:rsidR="00263F15" w:rsidRPr="00FA574A">
        <w:t>Yalçın</w:t>
      </w:r>
      <w:proofErr w:type="spellEnd"/>
      <w:r w:rsidR="00263F15" w:rsidRPr="00FA574A">
        <w:t xml:space="preserve"> </w:t>
      </w:r>
      <w:r>
        <w:t>and Others</w:t>
      </w:r>
      <w:r w:rsidR="00263F15" w:rsidRPr="00FA574A">
        <w:t xml:space="preserve"> v. Turkey verdict was rejected by the Grand Chamber on 18 February 2015. Consequently, Turkey is now obligated to urgently pass reforms that will make religious education in schools compatible with human-rights standards.</w:t>
      </w:r>
      <w:r>
        <w:t xml:space="preserve"> However, steps have yet to be taken by the Government.</w:t>
      </w:r>
    </w:p>
    <w:p w14:paraId="0ED27B7B" w14:textId="77777777" w:rsidR="00263F15" w:rsidRPr="00FA574A" w:rsidRDefault="001B7CC3" w:rsidP="00263F15">
      <w:r>
        <w:t xml:space="preserve">8. </w:t>
      </w:r>
      <w:r w:rsidR="00263F15" w:rsidRPr="00FA574A">
        <w:t>In ad</w:t>
      </w:r>
      <w:r>
        <w:t>dition to the curriculum of CR</w:t>
      </w:r>
      <w:r w:rsidR="00263F15" w:rsidRPr="00FA574A">
        <w:t xml:space="preserve">E classes, the way they are taught in practice can be problematic </w:t>
      </w:r>
      <w:r w:rsidR="00263F15">
        <w:t xml:space="preserve">in </w:t>
      </w:r>
      <w:r w:rsidR="00263F15" w:rsidRPr="00FA574A">
        <w:t xml:space="preserve">other </w:t>
      </w:r>
      <w:r w:rsidR="00263F15">
        <w:t>areas</w:t>
      </w:r>
      <w:r w:rsidR="00263F15" w:rsidRPr="00FA574A">
        <w:t xml:space="preserve">. In one incident at </w:t>
      </w:r>
      <w:proofErr w:type="spellStart"/>
      <w:r w:rsidR="00263F15" w:rsidRPr="00FA574A">
        <w:t>Cemil</w:t>
      </w:r>
      <w:proofErr w:type="spellEnd"/>
      <w:r w:rsidR="00263F15" w:rsidRPr="00FA574A">
        <w:t xml:space="preserve"> Atlas middle school in the </w:t>
      </w:r>
      <w:proofErr w:type="spellStart"/>
      <w:r w:rsidR="00263F15" w:rsidRPr="00FA574A">
        <w:t>Bayraklı</w:t>
      </w:r>
      <w:proofErr w:type="spellEnd"/>
      <w:r w:rsidR="00263F15" w:rsidRPr="00FA574A">
        <w:t xml:space="preserve"> district of İzmir province, th</w:t>
      </w:r>
      <w:r w:rsidR="009D7802">
        <w:t>e teacher of the fifth-grade CR</w:t>
      </w:r>
      <w:r w:rsidR="00263F15" w:rsidRPr="00FA574A">
        <w:t xml:space="preserve">E class asked </w:t>
      </w:r>
      <w:proofErr w:type="spellStart"/>
      <w:r w:rsidR="00263F15" w:rsidRPr="00FA574A">
        <w:t>Alevi</w:t>
      </w:r>
      <w:proofErr w:type="spellEnd"/>
      <w:r w:rsidR="00263F15" w:rsidRPr="00FA574A">
        <w:t xml:space="preserve"> students to stand up and recite the ritual affirmation of Sunni faith (</w:t>
      </w:r>
      <w:proofErr w:type="spellStart"/>
      <w:r w:rsidR="00263F15" w:rsidRPr="00FA574A">
        <w:rPr>
          <w:i/>
          <w:iCs/>
        </w:rPr>
        <w:t>kelime-i</w:t>
      </w:r>
      <w:proofErr w:type="spellEnd"/>
      <w:r w:rsidR="00263F15" w:rsidRPr="00FA574A">
        <w:rPr>
          <w:i/>
          <w:iCs/>
        </w:rPr>
        <w:t xml:space="preserve"> </w:t>
      </w:r>
      <w:proofErr w:type="spellStart"/>
      <w:r w:rsidR="00263F15" w:rsidRPr="00FA574A">
        <w:rPr>
          <w:i/>
          <w:iCs/>
        </w:rPr>
        <w:t>şahadet</w:t>
      </w:r>
      <w:proofErr w:type="spellEnd"/>
      <w:r w:rsidR="00263F15" w:rsidRPr="00FA574A">
        <w:t>).</w:t>
      </w:r>
      <w:r w:rsidR="00263F15" w:rsidRPr="00FA574A">
        <w:rPr>
          <w:rStyle w:val="FootnoteReference"/>
        </w:rPr>
        <w:footnoteReference w:id="3"/>
      </w:r>
      <w:r w:rsidR="00263F15" w:rsidRPr="00FA574A">
        <w:t xml:space="preserve"> The teacher was removed from the job after families filed complaints. Teachers’ qualifications and approach to other religions, beliefs, or non-belief are critical.</w:t>
      </w:r>
      <w:r w:rsidR="00263F15" w:rsidRPr="00FA574A">
        <w:rPr>
          <w:rStyle w:val="FootnoteReference"/>
        </w:rPr>
        <w:footnoteReference w:id="4"/>
      </w:r>
    </w:p>
    <w:p w14:paraId="3BD7E697" w14:textId="77777777" w:rsidR="001B7CC3" w:rsidRDefault="001B7CC3" w:rsidP="00263F15">
      <w:r>
        <w:t xml:space="preserve">9. </w:t>
      </w:r>
      <w:r w:rsidR="00263F15" w:rsidRPr="00FA574A">
        <w:t>In terms of the character of “religious educati</w:t>
      </w:r>
      <w:r>
        <w:t>on and instruction” found in CR</w:t>
      </w:r>
      <w:r w:rsidR="00263F15" w:rsidRPr="00FA574A">
        <w:t xml:space="preserve">E classes, the fact that all children—other than Jewish and Christian students—must take the class  represents interference in children’s right to freedom of belief. The children of </w:t>
      </w:r>
      <w:proofErr w:type="spellStart"/>
      <w:r w:rsidR="00263F15" w:rsidRPr="00FA574A">
        <w:t>Alevi</w:t>
      </w:r>
      <w:proofErr w:type="spellEnd"/>
      <w:r w:rsidR="00263F15" w:rsidRPr="00FA574A">
        <w:t xml:space="preserve">, Baha’i, atheist, or agnostic families, or </w:t>
      </w:r>
      <w:proofErr w:type="gramStart"/>
      <w:r w:rsidR="00263F15" w:rsidRPr="00FA574A">
        <w:t>students</w:t>
      </w:r>
      <w:proofErr w:type="gramEnd"/>
      <w:r w:rsidR="00263F15" w:rsidRPr="00FA574A">
        <w:t xml:space="preserve"> who have these beliefs of their ow</w:t>
      </w:r>
      <w:r>
        <w:t>n accord, are forced to take CR</w:t>
      </w:r>
      <w:r w:rsidR="00263F15" w:rsidRPr="00FA574A">
        <w:t>E classes.</w:t>
      </w:r>
      <w:r>
        <w:t xml:space="preserve"> They have to take tests and most pass them in order to graduate.</w:t>
      </w:r>
      <w:r w:rsidR="00263F15" w:rsidRPr="00FA574A">
        <w:t xml:space="preserve"> </w:t>
      </w:r>
    </w:p>
    <w:p w14:paraId="64B5FE94" w14:textId="77777777" w:rsidR="001B7CC3" w:rsidRDefault="001B7CC3" w:rsidP="00263F15">
      <w:r>
        <w:t>10. A</w:t>
      </w:r>
      <w:r w:rsidR="00263F15" w:rsidRPr="00FA574A">
        <w:t xml:space="preserve"> new regulation was passed making it more difficult for students to be granted exemptions from the class. The National Education Ministry’s (NEM) Department General of Religious Education wrote a memorandum to provincial governors on 3 February 2015 </w:t>
      </w:r>
    </w:p>
    <w:p w14:paraId="34F457CC" w14:textId="77777777" w:rsidR="001B7CC3" w:rsidRDefault="001B7CC3" w:rsidP="00263F15"/>
    <w:p w14:paraId="1CD8F365" w14:textId="77777777" w:rsidR="00263F15" w:rsidRPr="00FA574A" w:rsidRDefault="00263F15" w:rsidP="00263F15">
      <w:proofErr w:type="gramStart"/>
      <w:r w:rsidRPr="00FA574A">
        <w:t>ordering</w:t>
      </w:r>
      <w:proofErr w:type="gramEnd"/>
      <w:r w:rsidRPr="00FA574A">
        <w:t xml:space="preserve"> that children with empty religion slots or children of any religion other than Christianity or Judai</w:t>
      </w:r>
      <w:r w:rsidR="009D7802">
        <w:t>sm would be required to take CR</w:t>
      </w:r>
      <w:r w:rsidRPr="00FA574A">
        <w:t>E classes.</w:t>
      </w:r>
      <w:r w:rsidRPr="00FA574A">
        <w:rPr>
          <w:rStyle w:val="FootnoteReference"/>
        </w:rPr>
        <w:footnoteReference w:id="5"/>
      </w:r>
      <w:r w:rsidRPr="00FA574A">
        <w:t xml:space="preserve"> In this way, religion has to be publicly declared on a child’s ID card for that child to exercise the right to be exempt from such classes, while </w:t>
      </w:r>
      <w:r>
        <w:t xml:space="preserve">exempt </w:t>
      </w:r>
      <w:r w:rsidRPr="00FA574A">
        <w:t>students are not able to enjoy the right to leave the religion slot on their ID cards empty.</w:t>
      </w:r>
      <w:r w:rsidR="001B7CC3">
        <w:t xml:space="preserve"> This creates a risk of discrimination. Also, this practice violates the right not to be compelled to declare one’s religion or belief.</w:t>
      </w:r>
    </w:p>
    <w:p w14:paraId="49FE2BB4" w14:textId="77777777" w:rsidR="00263F15" w:rsidRPr="00FA574A" w:rsidRDefault="001B7CC3" w:rsidP="00263F15">
      <w:r>
        <w:t xml:space="preserve">11. </w:t>
      </w:r>
      <w:r w:rsidR="00263F15" w:rsidRPr="00FA574A">
        <w:t>The fact that individuals must publicly declare their religions or beliefs while applying for exemption from religious education in schools is a violation of the ECHR. Christian and Jehovah’s Witness families exercising their right to exemption say that their children are ostraci</w:t>
      </w:r>
      <w:r>
        <w:t>zed for their exemption from CR</w:t>
      </w:r>
      <w:r w:rsidR="00263F15" w:rsidRPr="00FA574A">
        <w:t>E classes, particularly in public schools. These families, however, are reluctant to file official complaints at the risk of drawing further attention to their children. Impressions from focus groups conducted with children by the “Children on the Agenda” Association (</w:t>
      </w:r>
      <w:proofErr w:type="spellStart"/>
      <w:r w:rsidR="00263F15" w:rsidRPr="00FA574A">
        <w:rPr>
          <w:i/>
          <w:iCs/>
        </w:rPr>
        <w:t>Gündem</w:t>
      </w:r>
      <w:proofErr w:type="spellEnd"/>
      <w:r w:rsidR="00263F15" w:rsidRPr="00FA574A">
        <w:rPr>
          <w:i/>
          <w:iCs/>
        </w:rPr>
        <w:t xml:space="preserve"> </w:t>
      </w:r>
      <w:proofErr w:type="spellStart"/>
      <w:r w:rsidR="00263F15" w:rsidRPr="00FA574A">
        <w:rPr>
          <w:i/>
          <w:iCs/>
        </w:rPr>
        <w:t>Çocuk</w:t>
      </w:r>
      <w:proofErr w:type="spellEnd"/>
      <w:r w:rsidR="00263F15" w:rsidRPr="00FA574A">
        <w:rPr>
          <w:i/>
          <w:iCs/>
        </w:rPr>
        <w:t xml:space="preserve"> </w:t>
      </w:r>
      <w:proofErr w:type="spellStart"/>
      <w:r w:rsidR="00263F15" w:rsidRPr="00FA574A">
        <w:rPr>
          <w:i/>
          <w:iCs/>
        </w:rPr>
        <w:t>Derneği</w:t>
      </w:r>
      <w:proofErr w:type="spellEnd"/>
      <w:r w:rsidR="00263F15" w:rsidRPr="00FA574A">
        <w:t xml:space="preserve">) show that a great many children who would otherwise qualify </w:t>
      </w:r>
      <w:r>
        <w:t>for exemption prefer to take CR</w:t>
      </w:r>
      <w:r w:rsidR="00263F15" w:rsidRPr="00FA574A">
        <w:t>E classes to avoid being ostracized and that some children were made uncomfortable for having to come out with their religious identities, while others developed a much greater attachment to their religious identities.</w:t>
      </w:r>
      <w:r w:rsidR="00263F15" w:rsidRPr="00FA574A">
        <w:rPr>
          <w:rStyle w:val="FootnoteReference"/>
        </w:rPr>
        <w:footnoteReference w:id="6"/>
      </w:r>
    </w:p>
    <w:p w14:paraId="36DF7334" w14:textId="77777777" w:rsidR="00263F15" w:rsidRPr="00FA574A" w:rsidRDefault="001B7CC3" w:rsidP="00263F15">
      <w:r>
        <w:t xml:space="preserve">12. </w:t>
      </w:r>
      <w:r w:rsidR="00263F15" w:rsidRPr="00FA574A">
        <w:t xml:space="preserve">Furthermore, there are no alternative courses for </w:t>
      </w:r>
      <w:r>
        <w:t>students who are exempt from CR</w:t>
      </w:r>
      <w:r w:rsidR="00263F15" w:rsidRPr="00FA574A">
        <w:t xml:space="preserve">E classes. Since they cannot take a substitute class, their report cards state “exempt” under </w:t>
      </w:r>
      <w:r w:rsidR="009D7802">
        <w:t>the slot for CR</w:t>
      </w:r>
      <w:r w:rsidR="00263F15" w:rsidRPr="00FA574A">
        <w:t>E, risking discrimination against these students later in their education.</w:t>
      </w:r>
    </w:p>
    <w:p w14:paraId="3553716D" w14:textId="77777777" w:rsidR="00263F15" w:rsidRPr="00FA574A" w:rsidRDefault="001B7CC3" w:rsidP="00263F15">
      <w:pPr>
        <w:ind w:left="720"/>
        <w:rPr>
          <w:b/>
          <w:bCs/>
          <w:color w:val="808080" w:themeColor="background1" w:themeShade="80"/>
        </w:rPr>
      </w:pPr>
      <w:r>
        <w:rPr>
          <w:b/>
          <w:bCs/>
          <w:color w:val="808080" w:themeColor="background1" w:themeShade="80"/>
        </w:rPr>
        <w:t xml:space="preserve">Recommendation: </w:t>
      </w:r>
      <w:r w:rsidR="00263F15" w:rsidRPr="00FA574A">
        <w:rPr>
          <w:b/>
          <w:bCs/>
          <w:color w:val="808080" w:themeColor="background1" w:themeShade="80"/>
        </w:rPr>
        <w:t>The constitutional requirement</w:t>
      </w:r>
      <w:r>
        <w:rPr>
          <w:b/>
          <w:bCs/>
          <w:color w:val="808080" w:themeColor="background1" w:themeShade="80"/>
        </w:rPr>
        <w:t xml:space="preserve"> for students to take CR</w:t>
      </w:r>
      <w:r w:rsidR="00263F15" w:rsidRPr="00FA574A">
        <w:rPr>
          <w:b/>
          <w:bCs/>
          <w:color w:val="808080" w:themeColor="background1" w:themeShade="80"/>
        </w:rPr>
        <w:t>E classes should be repealed. It should either become a course that is objective and impartial on religions, or there should be an exemption procedure put in place that is in line with human-rights standards.</w:t>
      </w:r>
    </w:p>
    <w:p w14:paraId="5D332CC6" w14:textId="77777777" w:rsidR="00263F15" w:rsidRPr="001B7CC3" w:rsidRDefault="001B7CC3" w:rsidP="00263F15">
      <w:pPr>
        <w:rPr>
          <w:b/>
          <w:bCs/>
        </w:rPr>
      </w:pPr>
      <w:r>
        <w:rPr>
          <w:b/>
          <w:bCs/>
        </w:rPr>
        <w:t>13. Optional</w:t>
      </w:r>
      <w:r w:rsidR="00263F15" w:rsidRPr="00FA574A">
        <w:rPr>
          <w:b/>
          <w:bCs/>
        </w:rPr>
        <w:t xml:space="preserve"> Religion Courses</w:t>
      </w:r>
      <w:r>
        <w:rPr>
          <w:b/>
          <w:bCs/>
        </w:rPr>
        <w:t xml:space="preserve"> </w:t>
      </w:r>
      <w:r>
        <w:t>Optional</w:t>
      </w:r>
      <w:r w:rsidR="00263F15" w:rsidRPr="00FA574A">
        <w:t xml:space="preserve"> courses on “The Life of the Prophet Muhammad,” “Foundations of Re</w:t>
      </w:r>
      <w:r w:rsidR="00263F15">
        <w:t>ligion” (Islam), and “The Koran</w:t>
      </w:r>
      <w:r w:rsidR="00263F15" w:rsidRPr="00FA574A">
        <w:t>”</w:t>
      </w:r>
      <w:r w:rsidR="00263F15">
        <w:t xml:space="preserve"> were</w:t>
      </w:r>
      <w:r w:rsidR="00263F15" w:rsidRPr="00FA574A">
        <w:t xml:space="preserve"> added to the curriculum during the 2012–2013 school year. Outside minority schools, there are no elective courses dealing with other religions or beliefs.</w:t>
      </w:r>
    </w:p>
    <w:p w14:paraId="0F49A164" w14:textId="68317F88" w:rsidR="00263F15" w:rsidRPr="00FA574A" w:rsidRDefault="00C946FA" w:rsidP="00263F15">
      <w:r>
        <w:t xml:space="preserve">14. </w:t>
      </w:r>
      <w:r w:rsidR="00263F15" w:rsidRPr="00FA574A">
        <w:t xml:space="preserve">From the first year these courses were offered, officials received many complaints that taking these elective courses was not really a choice for students. The issue was also put on trial at court. In the case brought to court by a parent whose child was </w:t>
      </w:r>
      <w:r w:rsidR="00263F15" w:rsidRPr="00FA574A">
        <w:rPr>
          <w:i/>
          <w:iCs/>
        </w:rPr>
        <w:t xml:space="preserve">de facto </w:t>
      </w:r>
      <w:r w:rsidR="00263F15" w:rsidRPr="00FA574A">
        <w:t xml:space="preserve">made to take a “mandatory elective” class, the </w:t>
      </w:r>
      <w:proofErr w:type="spellStart"/>
      <w:r w:rsidR="00263F15" w:rsidRPr="00FA574A">
        <w:t>Sakarya</w:t>
      </w:r>
      <w:proofErr w:type="spellEnd"/>
      <w:r w:rsidR="00263F15" w:rsidRPr="00FA574A">
        <w:t xml:space="preserve"> Regional </w:t>
      </w:r>
      <w:proofErr w:type="gramStart"/>
      <w:r w:rsidR="00263F15" w:rsidRPr="00FA574A">
        <w:t>Administrative  Court</w:t>
      </w:r>
      <w:proofErr w:type="gramEnd"/>
      <w:r w:rsidR="00263F15" w:rsidRPr="00FA574A">
        <w:t xml:space="preserve"> found that “students may not be forced to take a course against their will.”</w:t>
      </w:r>
      <w:r w:rsidR="00263F15" w:rsidRPr="00FA574A">
        <w:rPr>
          <w:rStyle w:val="FootnoteReference"/>
        </w:rPr>
        <w:footnoteReference w:id="7"/>
      </w:r>
      <w:r w:rsidR="00C23454">
        <w:t xml:space="preserve"> </w:t>
      </w:r>
      <w:r w:rsidR="00263F15" w:rsidRPr="00FA574A">
        <w:t>According to the school’s testimony, eight students had elected to take the Koran course, but as an enrollment of ten was required, the student was forced to take the course against her or his wishes.</w:t>
      </w:r>
      <w:r w:rsidR="00434484">
        <w:t xml:space="preserve"> </w:t>
      </w:r>
      <w:r w:rsidR="00263F15" w:rsidRPr="00FA574A">
        <w:t>The National Education Ministry must carefully supervise schools to ensure that elective religion courses are indeed elective.</w:t>
      </w:r>
    </w:p>
    <w:p w14:paraId="16C13DAA" w14:textId="77777777" w:rsidR="00263F15" w:rsidRPr="00FA574A" w:rsidRDefault="00C946FA" w:rsidP="00263F15">
      <w:r>
        <w:t>15. Optional</w:t>
      </w:r>
      <w:r w:rsidR="00263F15" w:rsidRPr="00FA574A">
        <w:t xml:space="preserve"> religion courses are given only on Islam, except for schools conducting education within the minority provisions of the Treaty of Lausanne. Curricula and textbooks prepared on Judaism and Christianity have not been used in </w:t>
      </w:r>
      <w:r w:rsidR="004178E5">
        <w:t>optional</w:t>
      </w:r>
      <w:r w:rsidR="00263F15" w:rsidRPr="00FA574A">
        <w:t xml:space="preserve"> courses in other schools. Furthermore, the inclusion of elective courses on other beliefs in Turkey is required of a secular, impartial state and by the principle of equality.</w:t>
      </w:r>
    </w:p>
    <w:p w14:paraId="0E676F6A" w14:textId="77777777" w:rsidR="00263F15" w:rsidRPr="00FA574A" w:rsidRDefault="00C946FA" w:rsidP="00263F15">
      <w:pPr>
        <w:ind w:left="720"/>
        <w:rPr>
          <w:b/>
          <w:bCs/>
          <w:color w:val="808080" w:themeColor="background1" w:themeShade="80"/>
        </w:rPr>
      </w:pPr>
      <w:r>
        <w:rPr>
          <w:b/>
          <w:bCs/>
          <w:color w:val="808080" w:themeColor="background1" w:themeShade="80"/>
        </w:rPr>
        <w:t xml:space="preserve">Recommendation: </w:t>
      </w:r>
      <w:r w:rsidR="00263F15" w:rsidRPr="00FA574A">
        <w:rPr>
          <w:b/>
          <w:bCs/>
          <w:color w:val="808080" w:themeColor="background1" w:themeShade="80"/>
        </w:rPr>
        <w:t xml:space="preserve">The National Education Ministry should ensure that the content and application of </w:t>
      </w:r>
      <w:r>
        <w:rPr>
          <w:b/>
          <w:bCs/>
          <w:color w:val="808080" w:themeColor="background1" w:themeShade="80"/>
        </w:rPr>
        <w:t>optional</w:t>
      </w:r>
      <w:r w:rsidR="00263F15" w:rsidRPr="00FA574A">
        <w:rPr>
          <w:b/>
          <w:bCs/>
          <w:color w:val="808080" w:themeColor="background1" w:themeShade="80"/>
        </w:rPr>
        <w:t xml:space="preserve"> religion courses is in compliance with human-rights standards and conduct effective monitoring in this regard.</w:t>
      </w:r>
    </w:p>
    <w:p w14:paraId="3129E204" w14:textId="77777777" w:rsidR="00263F15" w:rsidRPr="00FA574A" w:rsidRDefault="004178E5" w:rsidP="00263F15">
      <w:pPr>
        <w:ind w:left="720"/>
        <w:rPr>
          <w:b/>
          <w:bCs/>
          <w:color w:val="808080" w:themeColor="background1" w:themeShade="80"/>
        </w:rPr>
      </w:pPr>
      <w:r>
        <w:rPr>
          <w:b/>
          <w:bCs/>
          <w:color w:val="808080" w:themeColor="background1" w:themeShade="80"/>
        </w:rPr>
        <w:t xml:space="preserve">Recommendation: </w:t>
      </w:r>
      <w:r w:rsidR="00C946FA">
        <w:rPr>
          <w:b/>
          <w:bCs/>
          <w:color w:val="808080" w:themeColor="background1" w:themeShade="80"/>
        </w:rPr>
        <w:t>Optional</w:t>
      </w:r>
      <w:r w:rsidR="00263F15" w:rsidRPr="00FA574A">
        <w:rPr>
          <w:b/>
          <w:bCs/>
          <w:color w:val="808080" w:themeColor="background1" w:themeShade="80"/>
        </w:rPr>
        <w:t xml:space="preserve"> religion courses should also cover the religious and belief-based diversity that exists among communities in Turkey, including the philosophy of a secular lifestyle, and should be redesigned to avoid including discriminatory content.</w:t>
      </w:r>
    </w:p>
    <w:p w14:paraId="2ED0893F" w14:textId="77777777" w:rsidR="00263F15" w:rsidRPr="00C946FA" w:rsidRDefault="00C946FA" w:rsidP="00263F15">
      <w:pPr>
        <w:rPr>
          <w:b/>
          <w:bCs/>
        </w:rPr>
      </w:pPr>
      <w:r>
        <w:rPr>
          <w:b/>
          <w:bCs/>
        </w:rPr>
        <w:t xml:space="preserve">16. </w:t>
      </w:r>
      <w:r w:rsidR="00263F15" w:rsidRPr="00FA574A">
        <w:rPr>
          <w:b/>
          <w:bCs/>
        </w:rPr>
        <w:t>Transition from Primary to Secondary Education (</w:t>
      </w:r>
      <w:r w:rsidR="00263F15" w:rsidRPr="00FA574A">
        <w:rPr>
          <w:b/>
          <w:bCs/>
          <w:i/>
          <w:iCs/>
        </w:rPr>
        <w:t>TEOG</w:t>
      </w:r>
      <w:r w:rsidR="00263F15" w:rsidRPr="00FA574A">
        <w:rPr>
          <w:b/>
          <w:bCs/>
        </w:rPr>
        <w:t>) Test</w:t>
      </w:r>
      <w:r>
        <w:rPr>
          <w:b/>
          <w:bCs/>
        </w:rPr>
        <w:t xml:space="preserve"> </w:t>
      </w:r>
      <w:r w:rsidR="00263F15" w:rsidRPr="00FA574A">
        <w:t>The standardized “Transition from Primary to Secondary Education” (</w:t>
      </w:r>
      <w:r w:rsidR="00263F15" w:rsidRPr="00FA574A">
        <w:rPr>
          <w:i/>
          <w:iCs/>
        </w:rPr>
        <w:t>TEOG</w:t>
      </w:r>
      <w:r w:rsidR="00263F15" w:rsidRPr="00FA574A">
        <w:t xml:space="preserve">) test, which began being </w:t>
      </w:r>
      <w:r w:rsidR="00263F15">
        <w:t>administered</w:t>
      </w:r>
      <w:r w:rsidR="00263F15" w:rsidRPr="00FA574A">
        <w:t xml:space="preserve"> during the 2013–2014 school year, has opened the possibility for students to be automatically placed in “</w:t>
      </w:r>
      <w:r w:rsidR="00263F15" w:rsidRPr="00FA574A">
        <w:rPr>
          <w:i/>
          <w:iCs/>
        </w:rPr>
        <w:t>imam-</w:t>
      </w:r>
      <w:proofErr w:type="spellStart"/>
      <w:r w:rsidR="00263F15" w:rsidRPr="00FA574A">
        <w:rPr>
          <w:i/>
          <w:iCs/>
        </w:rPr>
        <w:t>hatip</w:t>
      </w:r>
      <w:proofErr w:type="spellEnd"/>
      <w:r w:rsidR="00263F15" w:rsidRPr="00FA574A">
        <w:t>” religious training high schools, where religious education is mandatory, against students’ preferences, and thus continue to represent a problem when it comes to the freedom of religion or belief.</w:t>
      </w:r>
    </w:p>
    <w:p w14:paraId="112E0EE8" w14:textId="77777777" w:rsidR="00263F15" w:rsidRPr="00FA574A" w:rsidRDefault="004178E5" w:rsidP="00263F15">
      <w:r>
        <w:t xml:space="preserve">17. </w:t>
      </w:r>
      <w:r w:rsidR="00263F15" w:rsidRPr="00FA574A">
        <w:t xml:space="preserve">The curriculum of </w:t>
      </w:r>
      <w:r w:rsidR="00263F15" w:rsidRPr="00FA574A">
        <w:rPr>
          <w:i/>
          <w:iCs/>
        </w:rPr>
        <w:t>imam-</w:t>
      </w:r>
      <w:proofErr w:type="spellStart"/>
      <w:r w:rsidR="00263F15" w:rsidRPr="00FA574A">
        <w:rPr>
          <w:i/>
          <w:iCs/>
        </w:rPr>
        <w:t>hatip</w:t>
      </w:r>
      <w:proofErr w:type="spellEnd"/>
      <w:r w:rsidR="00263F15" w:rsidRPr="00FA574A">
        <w:t xml:space="preserve"> high schools includes mandatory religious education and instruction. However, students who have been assigned to study at such high schools against their wishes are forced to publicly and officially declare their desire not to enroll in these schools. In cases where they do not have the possibility of enro</w:t>
      </w:r>
      <w:r>
        <w:t xml:space="preserve">lling in another school (i.e., </w:t>
      </w:r>
      <w:r w:rsidR="00263F15" w:rsidRPr="00FA574A">
        <w:t xml:space="preserve">a private school or a multi-program high school), they are forced to continue studying at the </w:t>
      </w:r>
      <w:r w:rsidR="00263F15" w:rsidRPr="00FA574A">
        <w:rPr>
          <w:i/>
          <w:iCs/>
        </w:rPr>
        <w:t>imam-</w:t>
      </w:r>
      <w:proofErr w:type="spellStart"/>
      <w:r w:rsidR="00263F15" w:rsidRPr="00FA574A">
        <w:rPr>
          <w:i/>
          <w:iCs/>
        </w:rPr>
        <w:t>hatip</w:t>
      </w:r>
      <w:proofErr w:type="spellEnd"/>
      <w:r w:rsidR="00263F15" w:rsidRPr="00FA574A">
        <w:rPr>
          <w:i/>
          <w:iCs/>
        </w:rPr>
        <w:t xml:space="preserve"> </w:t>
      </w:r>
      <w:r w:rsidR="00263F15" w:rsidRPr="00FA574A">
        <w:t>high school. Students may thus be forced to continue studying at a school where religious education is mandatory, even though they did not apply to study at such a school.</w:t>
      </w:r>
    </w:p>
    <w:p w14:paraId="2EFE85AB" w14:textId="4DF6844F" w:rsidR="00263F15" w:rsidRPr="00FA574A" w:rsidRDefault="004178E5" w:rsidP="00263F15">
      <w:r>
        <w:t xml:space="preserve">18. </w:t>
      </w:r>
      <w:r w:rsidR="00263F15" w:rsidRPr="00FA574A">
        <w:t xml:space="preserve">It frequently happens that </w:t>
      </w:r>
      <w:r w:rsidR="00263F15" w:rsidRPr="00FA574A">
        <w:rPr>
          <w:i/>
          <w:iCs/>
        </w:rPr>
        <w:t>imam-</w:t>
      </w:r>
      <w:proofErr w:type="spellStart"/>
      <w:r w:rsidR="00263F15" w:rsidRPr="00FA574A">
        <w:rPr>
          <w:i/>
          <w:iCs/>
        </w:rPr>
        <w:t>hatip</w:t>
      </w:r>
      <w:proofErr w:type="spellEnd"/>
      <w:r w:rsidR="00263F15" w:rsidRPr="00FA574A">
        <w:t xml:space="preserve"> high schools, which have been built in increasing numbers in recent years, remain the only option for students whose test scores were not high enough to go to other high schools or who reside close to these schools. </w:t>
      </w:r>
    </w:p>
    <w:p w14:paraId="755AAB1D" w14:textId="053EA6DD" w:rsidR="00263F15" w:rsidRPr="00FA574A" w:rsidRDefault="004178E5" w:rsidP="00263F15">
      <w:r>
        <w:t>19. Students who are exempt</w:t>
      </w:r>
      <w:r w:rsidR="00434484">
        <w:t xml:space="preserve"> (Christian and Jewish students)</w:t>
      </w:r>
      <w:r>
        <w:t xml:space="preserve"> from CR</w:t>
      </w:r>
      <w:r w:rsidR="00263F15" w:rsidRPr="00FA574A">
        <w:t xml:space="preserve">E classes may be in a disadvantaged position when taking the </w:t>
      </w:r>
      <w:r w:rsidR="00263F15" w:rsidRPr="00FA574A">
        <w:rPr>
          <w:i/>
          <w:iCs/>
        </w:rPr>
        <w:t>TEOG</w:t>
      </w:r>
      <w:r w:rsidR="00263F15" w:rsidRPr="00FA574A">
        <w:t xml:space="preserve"> test. When an application was filed with the State Ombudsman (</w:t>
      </w:r>
      <w:proofErr w:type="spellStart"/>
      <w:r w:rsidR="00263F15" w:rsidRPr="00FA574A">
        <w:rPr>
          <w:i/>
          <w:iCs/>
        </w:rPr>
        <w:t>Kamu</w:t>
      </w:r>
      <w:proofErr w:type="spellEnd"/>
      <w:r w:rsidR="00263F15" w:rsidRPr="00FA574A">
        <w:rPr>
          <w:i/>
          <w:iCs/>
        </w:rPr>
        <w:t xml:space="preserve"> </w:t>
      </w:r>
      <w:proofErr w:type="spellStart"/>
      <w:r w:rsidR="00263F15" w:rsidRPr="00FA574A">
        <w:rPr>
          <w:i/>
          <w:iCs/>
        </w:rPr>
        <w:t>Denetçiliği</w:t>
      </w:r>
      <w:proofErr w:type="spellEnd"/>
      <w:r w:rsidR="00263F15" w:rsidRPr="00FA574A">
        <w:rPr>
          <w:i/>
          <w:iCs/>
        </w:rPr>
        <w:t xml:space="preserve"> </w:t>
      </w:r>
      <w:proofErr w:type="spellStart"/>
      <w:r w:rsidR="00263F15" w:rsidRPr="00FA574A">
        <w:rPr>
          <w:i/>
          <w:iCs/>
        </w:rPr>
        <w:t>Kurumu</w:t>
      </w:r>
      <w:proofErr w:type="spellEnd"/>
      <w:r w:rsidR="00263F15" w:rsidRPr="00FA574A">
        <w:t>) to eliminate this inequality, the response found that the coefficient used to calculate the Weighted Average Test Score prevente</w:t>
      </w:r>
      <w:r>
        <w:t>d students exempt from CR</w:t>
      </w:r>
      <w:r w:rsidR="00263F15" w:rsidRPr="00FA574A">
        <w:t>E classes from competing on equal</w:t>
      </w:r>
      <w:r>
        <w:t xml:space="preserve"> footing with those who took CR</w:t>
      </w:r>
      <w:r w:rsidR="00263F15" w:rsidRPr="00FA574A">
        <w:t>E classes. One could not, it continued, expect that students or parents would be able predict that this situation would arise while making decisions about class exemptions. It concluded that this practice violated students’ right to equal educational opportunities in a secondary school appropriate to their knowledge, skills, talent, and background, and thus that it violated Article 14 of the ECHR and Article 2 of ECHR Additional Protocol 1.</w:t>
      </w:r>
      <w:r w:rsidR="00263F15" w:rsidRPr="00FA574A">
        <w:rPr>
          <w:rStyle w:val="FootnoteReference"/>
        </w:rPr>
        <w:footnoteReference w:id="8"/>
      </w:r>
    </w:p>
    <w:p w14:paraId="32636801" w14:textId="77777777" w:rsidR="00263F15" w:rsidRPr="00FA574A" w:rsidRDefault="004178E5" w:rsidP="00263F15">
      <w:r>
        <w:t xml:space="preserve">20. </w:t>
      </w:r>
      <w:r w:rsidR="00263F15" w:rsidRPr="00FA574A">
        <w:t>On the other hand, in order to eliminate inequality by getting rid of the test secti</w:t>
      </w:r>
      <w:r w:rsidR="009D7802">
        <w:t>on that asks questions about CR</w:t>
      </w:r>
      <w:r w:rsidR="00263F15" w:rsidRPr="00FA574A">
        <w:t>E classes, officials have chosen to prepare “equivalent” or “equally weighted” questions for exempt students.</w:t>
      </w:r>
    </w:p>
    <w:p w14:paraId="2A99BA91" w14:textId="77777777" w:rsidR="00263F15" w:rsidRPr="00FA574A" w:rsidRDefault="004178E5" w:rsidP="00263F15">
      <w:r>
        <w:t xml:space="preserve">21. </w:t>
      </w:r>
      <w:r w:rsidR="00263F15" w:rsidRPr="00FA574A">
        <w:t xml:space="preserve">This was the first year, upon the request of the Jewish </w:t>
      </w:r>
      <w:proofErr w:type="gramStart"/>
      <w:r w:rsidR="00263F15" w:rsidRPr="00FA574A">
        <w:t>community, that</w:t>
      </w:r>
      <w:proofErr w:type="gramEnd"/>
      <w:r w:rsidR="00263F15" w:rsidRPr="00FA574A">
        <w:t xml:space="preserve"> questions about religion classes were asked to Jewish students. The National Education Ministry has asked school administrators to help prepare a similar system for Armenian, Greek Orthodox, and </w:t>
      </w:r>
      <w:proofErr w:type="spellStart"/>
      <w:r w:rsidR="00263F15" w:rsidRPr="00FA574A">
        <w:t>Syriac</w:t>
      </w:r>
      <w:proofErr w:type="spellEnd"/>
      <w:r w:rsidR="00263F15" w:rsidRPr="00FA574A">
        <w:t xml:space="preserve"> Christian schools. In response, the Platform for Inter-Foundation Communication and Solidarity filed their own written application.</w:t>
      </w:r>
      <w:r w:rsidR="00263F15" w:rsidRPr="00FA574A">
        <w:rPr>
          <w:rStyle w:val="FootnoteReference"/>
        </w:rPr>
        <w:footnoteReference w:id="9"/>
      </w:r>
      <w:r w:rsidR="00263F15" w:rsidRPr="00FA574A">
        <w:t xml:space="preserve"> The next step is yet to be taken by the National Education Ministry.</w:t>
      </w:r>
    </w:p>
    <w:p w14:paraId="66971C19" w14:textId="77777777" w:rsidR="00263F15" w:rsidRPr="00FA574A" w:rsidRDefault="004178E5" w:rsidP="00263F15">
      <w:r>
        <w:t xml:space="preserve">22. </w:t>
      </w:r>
      <w:r w:rsidR="00263F15" w:rsidRPr="00FA574A">
        <w:t>However, even if it is possible to write test questions based on the religious education curricula at Lausanne Treaty schools, it will still be impossible to eliminate inequalities, because such courses are not given to students at other</w:t>
      </w:r>
      <w:r>
        <w:t xml:space="preserve"> schools who are exempt from CR</w:t>
      </w:r>
      <w:r w:rsidR="00263F15" w:rsidRPr="00FA574A">
        <w:t>E classes.</w:t>
      </w:r>
    </w:p>
    <w:p w14:paraId="4E1DD99A" w14:textId="77777777" w:rsidR="00263F15" w:rsidRPr="00FA574A" w:rsidRDefault="004178E5" w:rsidP="00263F15">
      <w:r>
        <w:t xml:space="preserve">23. </w:t>
      </w:r>
      <w:r w:rsidR="00263F15" w:rsidRPr="00FA574A">
        <w:t xml:space="preserve">In calculating the </w:t>
      </w:r>
      <w:r w:rsidR="00263F15" w:rsidRPr="00FA574A">
        <w:rPr>
          <w:i/>
          <w:iCs/>
        </w:rPr>
        <w:t>TEOG</w:t>
      </w:r>
      <w:r w:rsidR="00263F15" w:rsidRPr="00FA574A">
        <w:t xml:space="preserve"> test results announced in June 2015, it was determined that minority students exempt from religious education were automati</w:t>
      </w:r>
      <w:r>
        <w:t>cally listed as having taken CR</w:t>
      </w:r>
      <w:r w:rsidR="00263F15" w:rsidRPr="00FA574A">
        <w:t>E classes, that their result from this section was 0, and thus that they received a lower overall score on the test.</w:t>
      </w:r>
      <w:r w:rsidR="00263F15" w:rsidRPr="00FA574A">
        <w:rPr>
          <w:rStyle w:val="FootnoteReference"/>
        </w:rPr>
        <w:footnoteReference w:id="10"/>
      </w:r>
      <w:r w:rsidR="00263F15" w:rsidRPr="00FA574A">
        <w:t xml:space="preserve"> The 519 students whose app</w:t>
      </w:r>
      <w:r>
        <w:t>lications for exemption from CR</w:t>
      </w:r>
      <w:r w:rsidR="00263F15" w:rsidRPr="00FA574A">
        <w:t>E classes were entered late into the system had their points recalculated and were re-entered into the system.</w:t>
      </w:r>
      <w:r w:rsidR="00263F15" w:rsidRPr="00FA574A">
        <w:rPr>
          <w:rStyle w:val="FootnoteReference"/>
        </w:rPr>
        <w:footnoteReference w:id="11"/>
      </w:r>
    </w:p>
    <w:p w14:paraId="6A31BFB6" w14:textId="77777777" w:rsidR="00263F15" w:rsidRPr="00FA574A" w:rsidRDefault="004178E5" w:rsidP="00263F15">
      <w:pPr>
        <w:ind w:left="720"/>
        <w:rPr>
          <w:b/>
          <w:bCs/>
          <w:color w:val="808080" w:themeColor="background1" w:themeShade="80"/>
        </w:rPr>
      </w:pPr>
      <w:r>
        <w:rPr>
          <w:b/>
          <w:bCs/>
          <w:color w:val="808080" w:themeColor="background1" w:themeShade="80"/>
        </w:rPr>
        <w:t xml:space="preserve">Recommendation: </w:t>
      </w:r>
      <w:r w:rsidR="00263F15" w:rsidRPr="00FA574A">
        <w:rPr>
          <w:b/>
          <w:bCs/>
          <w:color w:val="808080" w:themeColor="background1" w:themeShade="80"/>
        </w:rPr>
        <w:t xml:space="preserve">The National Education Ministry should take urgent measures to eliminate inequalities on the </w:t>
      </w:r>
      <w:r w:rsidR="00263F15" w:rsidRPr="00FA574A">
        <w:rPr>
          <w:b/>
          <w:bCs/>
          <w:i/>
          <w:iCs/>
          <w:color w:val="808080" w:themeColor="background1" w:themeShade="80"/>
        </w:rPr>
        <w:t>TEOG</w:t>
      </w:r>
      <w:r w:rsidR="00263F15" w:rsidRPr="00FA574A">
        <w:rPr>
          <w:b/>
          <w:bCs/>
          <w:color w:val="808080" w:themeColor="background1" w:themeShade="80"/>
        </w:rPr>
        <w:t xml:space="preserve"> examinat</w:t>
      </w:r>
      <w:r>
        <w:rPr>
          <w:b/>
          <w:bCs/>
          <w:color w:val="808080" w:themeColor="background1" w:themeShade="80"/>
        </w:rPr>
        <w:t>ion for students exempt from CR</w:t>
      </w:r>
      <w:r w:rsidR="00263F15" w:rsidRPr="00FA574A">
        <w:rPr>
          <w:b/>
          <w:bCs/>
          <w:color w:val="808080" w:themeColor="background1" w:themeShade="80"/>
        </w:rPr>
        <w:t>E courses.</w:t>
      </w:r>
    </w:p>
    <w:p w14:paraId="11948FFF" w14:textId="77777777" w:rsidR="00263F15" w:rsidRPr="00FA574A" w:rsidRDefault="004178E5" w:rsidP="00263F15">
      <w:pPr>
        <w:ind w:left="720"/>
        <w:rPr>
          <w:b/>
          <w:bCs/>
          <w:color w:val="808080" w:themeColor="background1" w:themeShade="80"/>
        </w:rPr>
      </w:pPr>
      <w:r>
        <w:rPr>
          <w:b/>
          <w:bCs/>
          <w:color w:val="808080" w:themeColor="background1" w:themeShade="80"/>
        </w:rPr>
        <w:t xml:space="preserve">Recommendation: </w:t>
      </w:r>
      <w:r w:rsidR="00263F15" w:rsidRPr="00FA574A">
        <w:rPr>
          <w:b/>
          <w:bCs/>
          <w:color w:val="808080" w:themeColor="background1" w:themeShade="80"/>
        </w:rPr>
        <w:t xml:space="preserve">The system assigning students to secondary schools based on </w:t>
      </w:r>
      <w:r w:rsidR="00263F15" w:rsidRPr="00FA574A">
        <w:rPr>
          <w:b/>
          <w:bCs/>
          <w:i/>
          <w:iCs/>
          <w:color w:val="808080" w:themeColor="background1" w:themeShade="80"/>
        </w:rPr>
        <w:t>TEOG</w:t>
      </w:r>
      <w:r w:rsidR="00263F15" w:rsidRPr="00FA574A">
        <w:rPr>
          <w:b/>
          <w:bCs/>
          <w:color w:val="808080" w:themeColor="background1" w:themeShade="80"/>
        </w:rPr>
        <w:t xml:space="preserve"> results should be redesigned in accordance with freedom of religion or belief. Only students who decide of their own free will to attend </w:t>
      </w:r>
      <w:r w:rsidR="00263F15" w:rsidRPr="00FA574A">
        <w:rPr>
          <w:b/>
          <w:bCs/>
          <w:i/>
          <w:iCs/>
          <w:color w:val="808080" w:themeColor="background1" w:themeShade="80"/>
        </w:rPr>
        <w:t>imam-</w:t>
      </w:r>
      <w:proofErr w:type="spellStart"/>
      <w:r w:rsidR="00263F15" w:rsidRPr="00FA574A">
        <w:rPr>
          <w:b/>
          <w:bCs/>
          <w:i/>
          <w:iCs/>
          <w:color w:val="808080" w:themeColor="background1" w:themeShade="80"/>
        </w:rPr>
        <w:t>hatip</w:t>
      </w:r>
      <w:proofErr w:type="spellEnd"/>
      <w:r w:rsidR="00263F15" w:rsidRPr="00FA574A">
        <w:rPr>
          <w:b/>
          <w:bCs/>
          <w:color w:val="808080" w:themeColor="background1" w:themeShade="80"/>
        </w:rPr>
        <w:t xml:space="preserve"> high schools should be assigned to such schools.</w:t>
      </w:r>
    </w:p>
    <w:p w14:paraId="0B64EC2D" w14:textId="77777777" w:rsidR="004178E5" w:rsidRDefault="004178E5" w:rsidP="00263F15">
      <w:pPr>
        <w:rPr>
          <w:b/>
          <w:bCs/>
        </w:rPr>
      </w:pPr>
    </w:p>
    <w:p w14:paraId="39C53937" w14:textId="77777777" w:rsidR="00263F15" w:rsidRPr="004178E5" w:rsidRDefault="004178E5" w:rsidP="00263F15">
      <w:pPr>
        <w:rPr>
          <w:b/>
          <w:bCs/>
        </w:rPr>
      </w:pPr>
      <w:r>
        <w:rPr>
          <w:b/>
          <w:bCs/>
        </w:rPr>
        <w:t xml:space="preserve">24. </w:t>
      </w:r>
      <w:r w:rsidR="00263F15" w:rsidRPr="00FA574A">
        <w:rPr>
          <w:b/>
          <w:bCs/>
        </w:rPr>
        <w:t>Pluralism in Schools</w:t>
      </w:r>
      <w:r>
        <w:rPr>
          <w:b/>
          <w:bCs/>
        </w:rPr>
        <w:t xml:space="preserve"> </w:t>
      </w:r>
      <w:r w:rsidR="00263F15" w:rsidRPr="00FA574A">
        <w:t>The topic of pluralism in schools has become an issue which must be urgently reconsidered</w:t>
      </w:r>
      <w:r>
        <w:t xml:space="preserve"> in the context of elimination discrimination</w:t>
      </w:r>
      <w:r w:rsidR="00263F15" w:rsidRPr="00FA574A">
        <w:t xml:space="preserve"> in light of several recent developments: the recentl</w:t>
      </w:r>
      <w:r w:rsidR="00263F15">
        <w:t>y acquired freedom to wear head</w:t>
      </w:r>
      <w:r w:rsidR="00263F15" w:rsidRPr="00FA574A">
        <w:t>scarves in secondary schools, the addition of elective religion classes, and the addition of prayer rooms and ablution areas in some schools to aid in the instruction of these classes.</w:t>
      </w:r>
    </w:p>
    <w:p w14:paraId="5E30B5AA" w14:textId="77777777" w:rsidR="00263F15" w:rsidRPr="00FA574A" w:rsidRDefault="004178E5" w:rsidP="00263F15">
      <w:r>
        <w:t xml:space="preserve">25. </w:t>
      </w:r>
      <w:r w:rsidR="00263F15" w:rsidRPr="00FA574A">
        <w:t>Now that students are free to wear headscarves in secondary schools, those who include such a practice in their belief systems are free to do so, yet restrictions continue on other attire and symbols. The order that made it pos</w:t>
      </w:r>
      <w:r w:rsidR="00263F15">
        <w:t>sible for students to wear head</w:t>
      </w:r>
      <w:r w:rsidR="00263F15" w:rsidRPr="00FA574A">
        <w:t>scarves does not allow students to wear any symbols other than the school logo, and continues to prohibit certain other forms of attire.</w:t>
      </w:r>
    </w:p>
    <w:p w14:paraId="0DB62DED" w14:textId="77777777" w:rsidR="00263F15" w:rsidRPr="00FA574A" w:rsidRDefault="00263F15" w:rsidP="00263F15">
      <w:r w:rsidRPr="00FA574A">
        <w:rPr>
          <w:noProof/>
          <w:lang w:val="en-GB" w:eastAsia="en-GB"/>
        </w:rPr>
        <w:drawing>
          <wp:inline distT="0" distB="0" distL="0" distR="0" wp14:anchorId="1258E32C" wp14:editId="770FBE43">
            <wp:extent cx="2852420" cy="1405890"/>
            <wp:effectExtent l="0" t="0" r="508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52420" cy="1405890"/>
                    </a:xfrm>
                    <a:prstGeom prst="rect">
                      <a:avLst/>
                    </a:prstGeom>
                    <a:noFill/>
                    <a:ln>
                      <a:noFill/>
                    </a:ln>
                  </pic:spPr>
                </pic:pic>
              </a:graphicData>
            </a:graphic>
          </wp:inline>
        </w:drawing>
      </w:r>
      <w:r w:rsidRPr="00FA574A">
        <w:t xml:space="preserve"> </w:t>
      </w:r>
    </w:p>
    <w:p w14:paraId="210C978B" w14:textId="77777777" w:rsidR="00263F15" w:rsidRPr="00FA574A" w:rsidRDefault="00263F15" w:rsidP="00263F15">
      <w:pPr>
        <w:rPr>
          <w:i/>
          <w:iCs/>
          <w:sz w:val="20"/>
          <w:szCs w:val="20"/>
        </w:rPr>
      </w:pPr>
      <w:r w:rsidRPr="00FA574A">
        <w:rPr>
          <w:i/>
          <w:iCs/>
          <w:sz w:val="20"/>
          <w:szCs w:val="20"/>
        </w:rPr>
        <w:t>The order that made it pos</w:t>
      </w:r>
      <w:r>
        <w:rPr>
          <w:i/>
          <w:iCs/>
          <w:sz w:val="20"/>
          <w:szCs w:val="20"/>
        </w:rPr>
        <w:t>sible for students to wear head</w:t>
      </w:r>
      <w:r w:rsidRPr="00FA574A">
        <w:rPr>
          <w:i/>
          <w:iCs/>
          <w:sz w:val="20"/>
          <w:szCs w:val="20"/>
        </w:rPr>
        <w:t>scarves does not allow students to wear any symbols other than the school logo, and continues to prohibit certain other forms of attire.</w:t>
      </w:r>
    </w:p>
    <w:p w14:paraId="7B1E7D0B" w14:textId="77777777" w:rsidR="00263F15" w:rsidRDefault="004178E5" w:rsidP="00263F15">
      <w:r>
        <w:t xml:space="preserve">26. </w:t>
      </w:r>
      <w:r w:rsidR="00263F15" w:rsidRPr="00FA574A">
        <w:t>Since the National Education Ministry sent out a memorandum in 2011, schools opting in can organize a variety of activities in April</w:t>
      </w:r>
      <w:r w:rsidR="00263F15">
        <w:t xml:space="preserve"> as part of </w:t>
      </w:r>
      <w:r w:rsidR="00263F15" w:rsidRPr="00FA574A">
        <w:t xml:space="preserve">the “Week of the Holy Birth of the Prophet,” celebrated within the context of “values education.” Some of the activities of the week include: distributing the Koran to students; including Holy Birth Week activities (celebrations, story time, plays, prayers, billboards, religious songs, etc.) at every stage of schooling (including preschool); and readings of the Koran </w:t>
      </w:r>
      <w:r w:rsidR="00263F15">
        <w:t>alongside</w:t>
      </w:r>
      <w:r w:rsidR="00263F15" w:rsidRPr="00FA574A">
        <w:t xml:space="preserve"> public officials. The result of these activities is a systematic rise in the visibility of this belief community in schools. Since the same opportunity is not given to important people from other belief communities, one can conclude that schools are no longer places that are impartial to everyone’s beliefs, respect equality and human rights, or make pluralism possible.</w:t>
      </w:r>
    </w:p>
    <w:p w14:paraId="5BB00F1F" w14:textId="77777777" w:rsidR="004178E5" w:rsidRPr="00FA574A" w:rsidRDefault="004178E5" w:rsidP="00263F15"/>
    <w:p w14:paraId="0C41097B" w14:textId="77777777" w:rsidR="00263F15" w:rsidRPr="00FA574A" w:rsidRDefault="00263F15" w:rsidP="00263F15">
      <w:r w:rsidRPr="00FA574A">
        <w:rPr>
          <w:noProof/>
          <w:lang w:val="en-GB" w:eastAsia="en-GB"/>
        </w:rPr>
        <w:drawing>
          <wp:inline distT="0" distB="0" distL="0" distR="0" wp14:anchorId="320301C8" wp14:editId="38682FCC">
            <wp:extent cx="2774950" cy="1849755"/>
            <wp:effectExtent l="0" t="0" r="635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74950" cy="1849755"/>
                    </a:xfrm>
                    <a:prstGeom prst="rect">
                      <a:avLst/>
                    </a:prstGeom>
                    <a:noFill/>
                    <a:ln>
                      <a:noFill/>
                    </a:ln>
                  </pic:spPr>
                </pic:pic>
              </a:graphicData>
            </a:graphic>
          </wp:inline>
        </w:drawing>
      </w:r>
    </w:p>
    <w:p w14:paraId="361578C5" w14:textId="77777777" w:rsidR="00263F15" w:rsidRPr="00FA574A" w:rsidRDefault="00263F15" w:rsidP="00263F15">
      <w:pPr>
        <w:rPr>
          <w:i/>
          <w:iCs/>
          <w:sz w:val="20"/>
          <w:szCs w:val="20"/>
        </w:rPr>
      </w:pPr>
      <w:r w:rsidRPr="00FA574A">
        <w:rPr>
          <w:i/>
          <w:iCs/>
          <w:sz w:val="20"/>
          <w:szCs w:val="20"/>
        </w:rPr>
        <w:t xml:space="preserve">Billboard for Week of the Holy Birth at </w:t>
      </w:r>
      <w:proofErr w:type="spellStart"/>
      <w:r w:rsidRPr="00FA574A">
        <w:rPr>
          <w:i/>
          <w:iCs/>
          <w:sz w:val="20"/>
          <w:szCs w:val="20"/>
        </w:rPr>
        <w:t>Gazi</w:t>
      </w:r>
      <w:proofErr w:type="spellEnd"/>
      <w:r w:rsidRPr="00FA574A">
        <w:rPr>
          <w:i/>
          <w:iCs/>
          <w:sz w:val="20"/>
          <w:szCs w:val="20"/>
        </w:rPr>
        <w:t xml:space="preserve"> Primary School in </w:t>
      </w:r>
      <w:proofErr w:type="spellStart"/>
      <w:r w:rsidRPr="00FA574A">
        <w:rPr>
          <w:i/>
          <w:iCs/>
          <w:sz w:val="20"/>
          <w:szCs w:val="20"/>
        </w:rPr>
        <w:t>Taşlıdere</w:t>
      </w:r>
      <w:proofErr w:type="spellEnd"/>
      <w:r w:rsidRPr="00FA574A">
        <w:rPr>
          <w:i/>
          <w:iCs/>
          <w:sz w:val="20"/>
          <w:szCs w:val="20"/>
        </w:rPr>
        <w:t xml:space="preserve">, </w:t>
      </w:r>
      <w:proofErr w:type="spellStart"/>
      <w:r w:rsidRPr="00FA574A">
        <w:rPr>
          <w:i/>
          <w:iCs/>
          <w:sz w:val="20"/>
          <w:szCs w:val="20"/>
        </w:rPr>
        <w:t>Rize</w:t>
      </w:r>
      <w:proofErr w:type="spellEnd"/>
      <w:r w:rsidRPr="00FA574A">
        <w:rPr>
          <w:i/>
          <w:iCs/>
          <w:sz w:val="20"/>
          <w:szCs w:val="20"/>
        </w:rPr>
        <w:t xml:space="preserve"> province. Title on billboard reads: “We Long For You, My Prophet.”</w:t>
      </w:r>
    </w:p>
    <w:p w14:paraId="70C6E32C" w14:textId="77777777" w:rsidR="00263F15" w:rsidRPr="00FA574A" w:rsidRDefault="004178E5" w:rsidP="00263F15">
      <w:r>
        <w:t xml:space="preserve">27. </w:t>
      </w:r>
      <w:r w:rsidR="00263F15" w:rsidRPr="00FA574A">
        <w:t xml:space="preserve">Yet on the other hand, the national education director of </w:t>
      </w:r>
      <w:proofErr w:type="spellStart"/>
      <w:r w:rsidR="00263F15" w:rsidRPr="00FA574A">
        <w:t>Bartın</w:t>
      </w:r>
      <w:proofErr w:type="spellEnd"/>
      <w:r w:rsidR="00263F15" w:rsidRPr="00FA574A">
        <w:t xml:space="preserve"> province wrote in a message sent to school principals on 25 December 2014 that “Christmas or new year’s” celebrations constituted Christian propaganda and were to be prevented from taking place at schools.</w:t>
      </w:r>
      <w:r w:rsidR="00263F15" w:rsidRPr="00FA574A">
        <w:rPr>
          <w:rStyle w:val="FootnoteReference"/>
        </w:rPr>
        <w:footnoteReference w:id="12"/>
      </w:r>
    </w:p>
    <w:p w14:paraId="19060560" w14:textId="77777777" w:rsidR="00263F15" w:rsidRPr="00FA574A" w:rsidRDefault="004178E5" w:rsidP="00263F15">
      <w:r>
        <w:t xml:space="preserve">28. </w:t>
      </w:r>
      <w:r w:rsidR="00263F15" w:rsidRPr="00FA574A">
        <w:t xml:space="preserve">In a speech on 20 August 2014 </w:t>
      </w:r>
      <w:proofErr w:type="spellStart"/>
      <w:r w:rsidR="00263F15" w:rsidRPr="00FA574A">
        <w:t>Vefa</w:t>
      </w:r>
      <w:proofErr w:type="spellEnd"/>
      <w:r w:rsidR="00263F15" w:rsidRPr="00FA574A">
        <w:t xml:space="preserve"> </w:t>
      </w:r>
      <w:proofErr w:type="spellStart"/>
      <w:r w:rsidR="00263F15" w:rsidRPr="00FA574A">
        <w:t>Bardakçı</w:t>
      </w:r>
      <w:proofErr w:type="spellEnd"/>
      <w:r w:rsidR="00263F15" w:rsidRPr="00FA574A">
        <w:t>, İzmir province national education director, spoke  out negatively against atheist and communist teachers, a cause for concern when it comes to the impartiality of administrators working in the field of education and instruction.</w:t>
      </w:r>
      <w:r w:rsidR="00263F15" w:rsidRPr="00FA574A">
        <w:rPr>
          <w:rStyle w:val="FootnoteReference"/>
        </w:rPr>
        <w:footnoteReference w:id="13"/>
      </w:r>
    </w:p>
    <w:p w14:paraId="1708E70E" w14:textId="77777777" w:rsidR="00263F15" w:rsidRPr="00FA574A" w:rsidRDefault="004178E5" w:rsidP="00263F15">
      <w:pPr>
        <w:ind w:left="720"/>
        <w:rPr>
          <w:b/>
          <w:bCs/>
          <w:color w:val="808080" w:themeColor="background1" w:themeShade="80"/>
        </w:rPr>
      </w:pPr>
      <w:r>
        <w:rPr>
          <w:b/>
          <w:bCs/>
          <w:color w:val="808080" w:themeColor="background1" w:themeShade="80"/>
        </w:rPr>
        <w:t xml:space="preserve">Recommendation: </w:t>
      </w:r>
      <w:r w:rsidR="00263F15" w:rsidRPr="00FA574A">
        <w:rPr>
          <w:b/>
          <w:bCs/>
          <w:color w:val="808080" w:themeColor="background1" w:themeShade="80"/>
        </w:rPr>
        <w:t xml:space="preserve">Schools should remain spaces where students and teachers with any belief, or non-belief, should not </w:t>
      </w:r>
      <w:r w:rsidR="00263F15">
        <w:rPr>
          <w:b/>
          <w:bCs/>
          <w:color w:val="808080" w:themeColor="background1" w:themeShade="80"/>
        </w:rPr>
        <w:t xml:space="preserve">have to </w:t>
      </w:r>
      <w:r w:rsidR="00263F15" w:rsidRPr="00FA574A">
        <w:rPr>
          <w:b/>
          <w:bCs/>
          <w:color w:val="808080" w:themeColor="background1" w:themeShade="80"/>
        </w:rPr>
        <w:t>face discrimination and intolerance based on their identities. Everyone’s freedom of belief should be vigorously protected in schools.</w:t>
      </w:r>
    </w:p>
    <w:p w14:paraId="4B94B9E2" w14:textId="77777777" w:rsidR="00263F15" w:rsidRPr="00FA574A" w:rsidRDefault="004178E5" w:rsidP="00263F15">
      <w:pPr>
        <w:ind w:left="720"/>
        <w:rPr>
          <w:b/>
          <w:bCs/>
          <w:color w:val="808080" w:themeColor="background1" w:themeShade="80"/>
        </w:rPr>
      </w:pPr>
      <w:r>
        <w:rPr>
          <w:b/>
          <w:bCs/>
          <w:color w:val="808080" w:themeColor="background1" w:themeShade="80"/>
        </w:rPr>
        <w:t xml:space="preserve">Recommendation: </w:t>
      </w:r>
      <w:r w:rsidR="00263F15" w:rsidRPr="00FA574A">
        <w:rPr>
          <w:b/>
          <w:bCs/>
          <w:color w:val="808080" w:themeColor="background1" w:themeShade="80"/>
        </w:rPr>
        <w:t xml:space="preserve">Public officials in particular should avoid using </w:t>
      </w:r>
      <w:proofErr w:type="spellStart"/>
      <w:r w:rsidR="00263F15" w:rsidRPr="00FA574A">
        <w:rPr>
          <w:b/>
          <w:bCs/>
          <w:color w:val="808080" w:themeColor="background1" w:themeShade="80"/>
        </w:rPr>
        <w:t>othering</w:t>
      </w:r>
      <w:proofErr w:type="spellEnd"/>
      <w:r w:rsidR="00263F15" w:rsidRPr="00FA574A">
        <w:rPr>
          <w:b/>
          <w:bCs/>
          <w:color w:val="808080" w:themeColor="background1" w:themeShade="80"/>
        </w:rPr>
        <w:t xml:space="preserve"> or exclusionary language.</w:t>
      </w:r>
    </w:p>
    <w:p w14:paraId="23ABFCFA" w14:textId="77777777" w:rsidR="00AB209C" w:rsidRDefault="004178E5" w:rsidP="00BD76D6">
      <w:pPr>
        <w:ind w:left="720"/>
        <w:rPr>
          <w:b/>
          <w:bCs/>
          <w:color w:val="808080" w:themeColor="background1" w:themeShade="80"/>
        </w:rPr>
      </w:pPr>
      <w:r>
        <w:rPr>
          <w:b/>
          <w:bCs/>
          <w:color w:val="808080" w:themeColor="background1" w:themeShade="80"/>
        </w:rPr>
        <w:t xml:space="preserve">Recommendation: </w:t>
      </w:r>
      <w:r w:rsidR="00263F15" w:rsidRPr="00FA574A">
        <w:rPr>
          <w:b/>
          <w:bCs/>
          <w:color w:val="808080" w:themeColor="background1" w:themeShade="80"/>
        </w:rPr>
        <w:t>The state should retain its impartiality regarding religion or belief issues in schools and should observe the principle of equality.</w:t>
      </w:r>
    </w:p>
    <w:p w14:paraId="1814CF8D" w14:textId="77777777" w:rsidR="00BD76D6" w:rsidRDefault="00BD76D6" w:rsidP="00BD76D6">
      <w:pPr>
        <w:ind w:left="720"/>
        <w:rPr>
          <w:b/>
          <w:bCs/>
          <w:color w:val="808080" w:themeColor="background1" w:themeShade="80"/>
        </w:rPr>
      </w:pPr>
    </w:p>
    <w:p w14:paraId="716B07B2" w14:textId="77777777" w:rsidR="00BD76D6" w:rsidRDefault="00BD76D6" w:rsidP="00BD76D6">
      <w:pPr>
        <w:ind w:left="720"/>
        <w:rPr>
          <w:b/>
          <w:bCs/>
          <w:color w:val="808080" w:themeColor="background1" w:themeShade="80"/>
        </w:rPr>
      </w:pPr>
    </w:p>
    <w:p w14:paraId="32132FB3" w14:textId="77777777" w:rsidR="00BD76D6" w:rsidRDefault="00BD76D6" w:rsidP="00BD76D6">
      <w:pPr>
        <w:ind w:left="720"/>
        <w:rPr>
          <w:b/>
          <w:bCs/>
          <w:color w:val="808080" w:themeColor="background1" w:themeShade="80"/>
        </w:rPr>
      </w:pPr>
    </w:p>
    <w:p w14:paraId="2519BF92" w14:textId="77777777" w:rsidR="004178E5" w:rsidRDefault="004178E5" w:rsidP="00BD76D6"/>
    <w:p w14:paraId="67D6F9D6" w14:textId="77777777" w:rsidR="004178E5" w:rsidRDefault="004178E5" w:rsidP="00BD76D6"/>
    <w:p w14:paraId="3D3B709E" w14:textId="77777777" w:rsidR="004178E5" w:rsidRDefault="004178E5" w:rsidP="00BD76D6"/>
    <w:p w14:paraId="2C5C2A20" w14:textId="77777777" w:rsidR="00BD76D6" w:rsidRPr="00BD76D6" w:rsidRDefault="00BD76D6" w:rsidP="00BD76D6">
      <w:r w:rsidRPr="00BD76D6">
        <w:t>The Freedom of Belief Initiative’s Project on Monitoring and Reporting on the Right to Freedom of Thought, Religion and Belief is a project of the Norwegian Helsinki Committee. It is funded by the Norwegian Foreign Ministry.</w:t>
      </w:r>
    </w:p>
    <w:p w14:paraId="66C8E776" w14:textId="77777777" w:rsidR="00BD76D6" w:rsidRPr="00BD76D6" w:rsidRDefault="00BD76D6" w:rsidP="00BD76D6">
      <w:r w:rsidRPr="00BD76D6">
        <w:t>The Norwegian Helsinki Committee is an Oslo-based non-governmental organization established in 1977 to ensure that human-rights laws are respected in practice. It achieves this goal through monitoring, reporting, teaching and democracy support. NHC bases its work on international human rights instruments adopted by the United Nations, the Council of Europe, and the Organization of Security and Cooperation in Europe (OSCE). It has projects in a variety of countries, including in Central Asia.</w:t>
      </w:r>
    </w:p>
    <w:p w14:paraId="446491E7" w14:textId="77777777" w:rsidR="00BD76D6" w:rsidRPr="00BD76D6" w:rsidRDefault="00BD76D6" w:rsidP="00BD76D6">
      <w:r w:rsidRPr="00BD76D6">
        <w:t>The Freedom of Belief Initiative was launched in September 2011 with the aim of monitoring issues related to freedom of thought, religion or belief in Turkey, and to make legal standards and monitoring reports related to such topics accessible to all stakeholders. In this regard, it has presented reports on the protection of the freedom of thought, religion, and belief in Turkey under the framework of the Universal Periodic Review and the Human Rights Committee, both mechanisms of the United Nations. Since March 2013, it has continued its activities with the support of the Norwegian Helsinki Committee with the Right to the Freedom of Belief Monitoring Project, which encompasses both monitoring, reporting and advocacy activities.</w:t>
      </w:r>
    </w:p>
    <w:p w14:paraId="613E244E" w14:textId="77777777" w:rsidR="00BD76D6" w:rsidRDefault="00BD76D6" w:rsidP="00BD76D6">
      <w:r w:rsidRPr="00BD76D6">
        <w:t xml:space="preserve">The main activities of the Right to Freedom of Belief in Turkey Project include monitoring, documentation, reporting, and developing proposals to solve issues observed. The Monitoring Report on the Right to Freedom of Belief in Turkey is written by Mine </w:t>
      </w:r>
      <w:proofErr w:type="spellStart"/>
      <w:r w:rsidRPr="00BD76D6">
        <w:t>Yıldırım</w:t>
      </w:r>
      <w:proofErr w:type="spellEnd"/>
      <w:r w:rsidRPr="00BD76D6">
        <w:t xml:space="preserve">. She is the project director of the Norwegian Helsinki Committee Freedom of Belief Initiative. She has published nationally and internationally on the topic of the right to freedom of religion or belief and earned a doctoral degree at </w:t>
      </w:r>
      <w:proofErr w:type="spellStart"/>
      <w:r w:rsidRPr="00BD76D6">
        <w:t>Åbo</w:t>
      </w:r>
      <w:proofErr w:type="spellEnd"/>
      <w:r w:rsidRPr="00BD76D6">
        <w:t xml:space="preserve"> </w:t>
      </w:r>
      <w:proofErr w:type="spellStart"/>
      <w:r w:rsidRPr="00BD76D6">
        <w:t>Akademi</w:t>
      </w:r>
      <w:proofErr w:type="spellEnd"/>
      <w:r w:rsidRPr="00BD76D6">
        <w:t xml:space="preserve"> University Institute for Human Rights in Finland. Her thesis is entitled “The Collective Dimension of Freedom of Religion or Belief in International Human-Rights Law and Application of Findings in the Case of Turkey.”</w:t>
      </w:r>
    </w:p>
    <w:p w14:paraId="2803B8ED" w14:textId="77777777" w:rsidR="00907A7A" w:rsidRDefault="00907A7A" w:rsidP="00BD76D6"/>
    <w:p w14:paraId="31DA27DA" w14:textId="77777777" w:rsidR="00907A7A" w:rsidRPr="00BD76D6" w:rsidRDefault="00907A7A" w:rsidP="00BD76D6">
      <w:r>
        <w:t xml:space="preserve">For more information or questions please contact the Head of the Freedom of Belief Initiative Dr. Mine </w:t>
      </w:r>
      <w:proofErr w:type="spellStart"/>
      <w:r>
        <w:t>Yıldırım</w:t>
      </w:r>
      <w:proofErr w:type="spellEnd"/>
      <w:r>
        <w:t xml:space="preserve"> at </w:t>
      </w:r>
      <w:hyperlink r:id="rId10" w:history="1">
        <w:r w:rsidRPr="000A2242">
          <w:rPr>
            <w:rStyle w:val="Hyperlink"/>
          </w:rPr>
          <w:t>yildirim@nhc.no</w:t>
        </w:r>
      </w:hyperlink>
      <w:r>
        <w:t xml:space="preserve"> or 90  - 533 338 2961. </w:t>
      </w:r>
    </w:p>
    <w:p w14:paraId="1937A22D" w14:textId="77777777" w:rsidR="00BD76D6" w:rsidRDefault="00BD76D6" w:rsidP="00BD76D6">
      <w:pPr>
        <w:pStyle w:val="Heading1"/>
      </w:pPr>
    </w:p>
    <w:p w14:paraId="065552DF" w14:textId="77777777" w:rsidR="00BD76D6" w:rsidRPr="00BD76D6" w:rsidRDefault="00BD76D6" w:rsidP="00BD76D6">
      <w:pPr>
        <w:ind w:left="720"/>
        <w:rPr>
          <w:b/>
          <w:bCs/>
          <w:color w:val="808080" w:themeColor="background1" w:themeShade="80"/>
        </w:rPr>
      </w:pPr>
    </w:p>
    <w:sectPr w:rsidR="00BD76D6" w:rsidRPr="00BD76D6" w:rsidSect="008971E9">
      <w:headerReference w:type="default" r:id="rId11"/>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19C3D48" w14:textId="77777777" w:rsidR="00C23454" w:rsidRDefault="00C23454" w:rsidP="00263F15">
      <w:pPr>
        <w:spacing w:after="0" w:line="240" w:lineRule="auto"/>
      </w:pPr>
      <w:r>
        <w:separator/>
      </w:r>
    </w:p>
  </w:endnote>
  <w:endnote w:type="continuationSeparator" w:id="0">
    <w:p w14:paraId="52296168" w14:textId="77777777" w:rsidR="00C23454" w:rsidRDefault="00C23454" w:rsidP="00263F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Franklin Gothic Book">
    <w:panose1 w:val="020B0503020102020204"/>
    <w:charset w:val="00"/>
    <w:family w:val="swiss"/>
    <w:pitch w:val="variable"/>
    <w:sig w:usb0="00000287" w:usb1="00000000" w:usb2="00000000" w:usb3="00000000" w:csb0="0000009F" w:csb1="00000000"/>
  </w:font>
  <w:font w:name="Lucida Grande">
    <w:charset w:val="00"/>
    <w:family w:val="auto"/>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FFE6C4B" w14:textId="77777777" w:rsidR="00C23454" w:rsidRDefault="00C23454" w:rsidP="00263F15">
      <w:pPr>
        <w:spacing w:after="0" w:line="240" w:lineRule="auto"/>
      </w:pPr>
      <w:r>
        <w:separator/>
      </w:r>
    </w:p>
  </w:footnote>
  <w:footnote w:type="continuationSeparator" w:id="0">
    <w:p w14:paraId="7C2FA1E3" w14:textId="77777777" w:rsidR="00C23454" w:rsidRDefault="00C23454" w:rsidP="00263F15">
      <w:pPr>
        <w:spacing w:after="0" w:line="240" w:lineRule="auto"/>
      </w:pPr>
      <w:r>
        <w:continuationSeparator/>
      </w:r>
    </w:p>
  </w:footnote>
  <w:footnote w:id="1">
    <w:p w14:paraId="5893320B" w14:textId="77777777" w:rsidR="00C23454" w:rsidRPr="005F0BB6" w:rsidRDefault="00C23454" w:rsidP="00263F15">
      <w:pPr>
        <w:pStyle w:val="FootnoteText"/>
      </w:pPr>
      <w:r>
        <w:rPr>
          <w:rStyle w:val="FootnoteReference"/>
        </w:rPr>
        <w:footnoteRef/>
      </w:r>
      <w:r>
        <w:t xml:space="preserve"> </w:t>
      </w:r>
      <w:proofErr w:type="spellStart"/>
      <w:r>
        <w:t>ECtHR</w:t>
      </w:r>
      <w:proofErr w:type="spellEnd"/>
      <w:r>
        <w:t xml:space="preserve">, </w:t>
      </w:r>
      <w:r>
        <w:rPr>
          <w:lang w:val="tr-TR"/>
        </w:rPr>
        <w:t>Mansur Yalçın</w:t>
      </w:r>
      <w:r>
        <w:t xml:space="preserve"> et al. v. Turkey, application no. 21163/11, application date 16 September 2014.</w:t>
      </w:r>
    </w:p>
  </w:footnote>
  <w:footnote w:id="2">
    <w:p w14:paraId="21F3B8D3" w14:textId="77777777" w:rsidR="00C23454" w:rsidRDefault="00C23454" w:rsidP="00263F15">
      <w:pPr>
        <w:pStyle w:val="FootnoteText"/>
      </w:pPr>
      <w:r>
        <w:rPr>
          <w:rStyle w:val="FootnoteReference"/>
        </w:rPr>
        <w:footnoteRef/>
      </w:r>
      <w:r>
        <w:t xml:space="preserve"> </w:t>
      </w:r>
      <w:proofErr w:type="spellStart"/>
      <w:r>
        <w:t>ECtHR</w:t>
      </w:r>
      <w:proofErr w:type="spellEnd"/>
      <w:r>
        <w:t xml:space="preserve">, Hasan and </w:t>
      </w:r>
      <w:proofErr w:type="spellStart"/>
      <w:r>
        <w:t>Eylem</w:t>
      </w:r>
      <w:proofErr w:type="spellEnd"/>
      <w:r>
        <w:t xml:space="preserve"> </w:t>
      </w:r>
      <w:proofErr w:type="spellStart"/>
      <w:r>
        <w:t>Zengin</w:t>
      </w:r>
      <w:proofErr w:type="spellEnd"/>
      <w:r>
        <w:t xml:space="preserve"> v. Turkey, application no. 1448/04, 9 October 2007.</w:t>
      </w:r>
    </w:p>
  </w:footnote>
  <w:footnote w:id="3">
    <w:p w14:paraId="1E062E8D" w14:textId="77777777" w:rsidR="00C23454" w:rsidRPr="00B90283" w:rsidRDefault="00C23454" w:rsidP="00263F15">
      <w:pPr>
        <w:pStyle w:val="FootnoteText"/>
      </w:pPr>
      <w:r>
        <w:rPr>
          <w:rStyle w:val="FootnoteReference"/>
        </w:rPr>
        <w:footnoteRef/>
      </w:r>
      <w:r>
        <w:t xml:space="preserve"> “</w:t>
      </w:r>
      <w:r>
        <w:rPr>
          <w:lang w:val="tr-TR"/>
        </w:rPr>
        <w:t>İzmir’de Alevi Öğrenciye Kelime-i şahadet Getirten Öğretmen Görevden Alındı”</w:t>
      </w:r>
      <w:r>
        <w:t xml:space="preserve"> [Teacher Who Made </w:t>
      </w:r>
      <w:proofErr w:type="spellStart"/>
      <w:r>
        <w:t>Alevi</w:t>
      </w:r>
      <w:proofErr w:type="spellEnd"/>
      <w:r>
        <w:t xml:space="preserve"> Student Recite </w:t>
      </w:r>
      <w:proofErr w:type="spellStart"/>
      <w:r>
        <w:rPr>
          <w:i/>
          <w:iCs/>
        </w:rPr>
        <w:t>Kelime-i</w:t>
      </w:r>
      <w:proofErr w:type="spellEnd"/>
      <w:r>
        <w:rPr>
          <w:i/>
          <w:iCs/>
        </w:rPr>
        <w:t xml:space="preserve"> </w:t>
      </w:r>
      <w:r>
        <w:rPr>
          <w:i/>
          <w:iCs/>
          <w:lang w:val="tr-TR"/>
        </w:rPr>
        <w:t>Şahadet</w:t>
      </w:r>
      <w:r>
        <w:t xml:space="preserve"> Fired in </w:t>
      </w:r>
      <w:r>
        <w:rPr>
          <w:lang w:val="tr-TR"/>
        </w:rPr>
        <w:t>İzmir</w:t>
      </w:r>
      <w:r>
        <w:t xml:space="preserve">], </w:t>
      </w:r>
      <w:proofErr w:type="spellStart"/>
      <w:r>
        <w:rPr>
          <w:i/>
          <w:iCs/>
        </w:rPr>
        <w:t>Radikal</w:t>
      </w:r>
      <w:proofErr w:type="spellEnd"/>
      <w:r>
        <w:t>, 4 December 2014.</w:t>
      </w:r>
    </w:p>
  </w:footnote>
  <w:footnote w:id="4">
    <w:p w14:paraId="6E349E07" w14:textId="77777777" w:rsidR="00C23454" w:rsidRDefault="00C23454" w:rsidP="00263F15">
      <w:pPr>
        <w:pStyle w:val="FootnoteText"/>
      </w:pPr>
      <w:r>
        <w:rPr>
          <w:rStyle w:val="FootnoteReference"/>
        </w:rPr>
        <w:footnoteRef/>
      </w:r>
      <w:r>
        <w:t xml:space="preserve"> Education Reform Initiative, Presentation at Freedom of Belief in Education Conference, 30 March 2015.</w:t>
      </w:r>
    </w:p>
  </w:footnote>
  <w:footnote w:id="5">
    <w:p w14:paraId="739F6555" w14:textId="77777777" w:rsidR="00C23454" w:rsidRPr="00BD0DFD" w:rsidRDefault="00C23454" w:rsidP="00263F15">
      <w:pPr>
        <w:pStyle w:val="FootnoteText"/>
      </w:pPr>
      <w:r>
        <w:rPr>
          <w:rStyle w:val="FootnoteReference"/>
        </w:rPr>
        <w:footnoteRef/>
      </w:r>
      <w:r>
        <w:t xml:space="preserve"> “</w:t>
      </w:r>
      <w:r>
        <w:rPr>
          <w:lang w:val="tr-TR"/>
        </w:rPr>
        <w:t>Din Dersi Muafiyetine Belge Şartı</w:t>
      </w:r>
      <w:r>
        <w:t xml:space="preserve">” [Document Required for Exemption from Religion Class], </w:t>
      </w:r>
      <w:proofErr w:type="spellStart"/>
      <w:r>
        <w:rPr>
          <w:i/>
          <w:iCs/>
        </w:rPr>
        <w:t>Hürriyet</w:t>
      </w:r>
      <w:proofErr w:type="spellEnd"/>
      <w:r>
        <w:t>, 10 February 2015.</w:t>
      </w:r>
    </w:p>
  </w:footnote>
  <w:footnote w:id="6">
    <w:p w14:paraId="44FF5235" w14:textId="77777777" w:rsidR="00C23454" w:rsidRDefault="00C23454" w:rsidP="00263F15">
      <w:pPr>
        <w:pStyle w:val="FootnoteText"/>
      </w:pPr>
      <w:r>
        <w:rPr>
          <w:rStyle w:val="FootnoteReference"/>
        </w:rPr>
        <w:footnoteRef/>
      </w:r>
      <w:r>
        <w:t xml:space="preserve"> Education Reform Initiative, Presentation by the </w:t>
      </w:r>
      <w:proofErr w:type="spellStart"/>
      <w:r>
        <w:rPr>
          <w:i/>
          <w:iCs/>
        </w:rPr>
        <w:t>Gündem</w:t>
      </w:r>
      <w:proofErr w:type="spellEnd"/>
      <w:r>
        <w:rPr>
          <w:i/>
          <w:iCs/>
        </w:rPr>
        <w:t xml:space="preserve"> </w:t>
      </w:r>
      <w:r>
        <w:rPr>
          <w:i/>
          <w:iCs/>
          <w:lang w:val="tr-TR"/>
        </w:rPr>
        <w:t>Çocuk Derneği</w:t>
      </w:r>
      <w:r>
        <w:t xml:space="preserve"> at Freedom of Belief in Education Conference, 30 March 2015.</w:t>
      </w:r>
    </w:p>
  </w:footnote>
  <w:footnote w:id="7">
    <w:p w14:paraId="12019D7D" w14:textId="3AC30F5F" w:rsidR="00C23454" w:rsidRDefault="00C23454" w:rsidP="00263F15">
      <w:pPr>
        <w:pStyle w:val="FootnoteText"/>
      </w:pPr>
      <w:r>
        <w:rPr>
          <w:rStyle w:val="FootnoteReference"/>
        </w:rPr>
        <w:footnoteRef/>
      </w:r>
      <w:r>
        <w:t xml:space="preserve"> </w:t>
      </w:r>
      <w:proofErr w:type="spellStart"/>
      <w:r>
        <w:t>Sakarya</w:t>
      </w:r>
      <w:proofErr w:type="spellEnd"/>
      <w:r>
        <w:t xml:space="preserve"> Regional Administrative Court, E2014/1153, K</w:t>
      </w:r>
      <w:r w:rsidR="00434484">
        <w:t>2015/253, 9 May 2015.</w:t>
      </w:r>
    </w:p>
  </w:footnote>
  <w:footnote w:id="8">
    <w:p w14:paraId="63037CE7" w14:textId="77777777" w:rsidR="00C23454" w:rsidRDefault="00C23454" w:rsidP="00263F15">
      <w:pPr>
        <w:pStyle w:val="FootnoteText"/>
      </w:pPr>
      <w:r>
        <w:rPr>
          <w:rStyle w:val="FootnoteReference"/>
        </w:rPr>
        <w:footnoteRef/>
      </w:r>
      <w:r>
        <w:t xml:space="preserve"> </w:t>
      </w:r>
      <w:proofErr w:type="spellStart"/>
      <w:r>
        <w:rPr>
          <w:i/>
          <w:iCs/>
        </w:rPr>
        <w:t>Kamu</w:t>
      </w:r>
      <w:proofErr w:type="spellEnd"/>
      <w:r>
        <w:rPr>
          <w:i/>
          <w:iCs/>
        </w:rPr>
        <w:t xml:space="preserve"> </w:t>
      </w:r>
      <w:proofErr w:type="spellStart"/>
      <w:r w:rsidRPr="001A64C1">
        <w:rPr>
          <w:i/>
          <w:iCs/>
        </w:rPr>
        <w:t>Denetçiliği</w:t>
      </w:r>
      <w:proofErr w:type="spellEnd"/>
      <w:r w:rsidRPr="001A64C1">
        <w:rPr>
          <w:i/>
          <w:iCs/>
        </w:rPr>
        <w:t xml:space="preserve"> </w:t>
      </w:r>
      <w:proofErr w:type="spellStart"/>
      <w:r w:rsidRPr="001A64C1">
        <w:rPr>
          <w:i/>
          <w:iCs/>
        </w:rPr>
        <w:t>Kurumu</w:t>
      </w:r>
      <w:proofErr w:type="spellEnd"/>
      <w:r w:rsidRPr="001A64C1">
        <w:t>, Complaint No. 2014/3164</w:t>
      </w:r>
      <w:r>
        <w:t>, 2 November 2014.</w:t>
      </w:r>
    </w:p>
  </w:footnote>
  <w:footnote w:id="9">
    <w:p w14:paraId="17DBA87A" w14:textId="77777777" w:rsidR="00C23454" w:rsidRPr="001924F5" w:rsidRDefault="00C23454" w:rsidP="00263F15">
      <w:pPr>
        <w:pStyle w:val="FootnoteText"/>
      </w:pPr>
      <w:r>
        <w:rPr>
          <w:rStyle w:val="FootnoteReference"/>
        </w:rPr>
        <w:footnoteRef/>
      </w:r>
      <w:r>
        <w:t xml:space="preserve"> “</w:t>
      </w:r>
      <w:r>
        <w:rPr>
          <w:lang w:val="tr-TR"/>
        </w:rPr>
        <w:t>El Yordamıyla TEOG”</w:t>
      </w:r>
      <w:r>
        <w:t xml:space="preserve"> [Groping for the </w:t>
      </w:r>
      <w:r w:rsidRPr="001924F5">
        <w:rPr>
          <w:i/>
          <w:iCs/>
        </w:rPr>
        <w:t>TEOG</w:t>
      </w:r>
      <w:r>
        <w:t xml:space="preserve">], </w:t>
      </w:r>
      <w:proofErr w:type="spellStart"/>
      <w:r>
        <w:rPr>
          <w:i/>
          <w:iCs/>
        </w:rPr>
        <w:t>Agos</w:t>
      </w:r>
      <w:proofErr w:type="spellEnd"/>
      <w:r>
        <w:t>, 20 January 2015.</w:t>
      </w:r>
    </w:p>
  </w:footnote>
  <w:footnote w:id="10">
    <w:p w14:paraId="60DAFBC7" w14:textId="77777777" w:rsidR="00C23454" w:rsidRPr="00766CA8" w:rsidRDefault="00C23454" w:rsidP="00263F15">
      <w:pPr>
        <w:pStyle w:val="FootnoteText"/>
      </w:pPr>
      <w:r>
        <w:rPr>
          <w:rStyle w:val="FootnoteReference"/>
        </w:rPr>
        <w:footnoteRef/>
      </w:r>
      <w:r>
        <w:t xml:space="preserve"> “</w:t>
      </w:r>
      <w:proofErr w:type="spellStart"/>
      <w:r w:rsidRPr="00766CA8">
        <w:t>TEOG’da</w:t>
      </w:r>
      <w:proofErr w:type="spellEnd"/>
      <w:r w:rsidRPr="00766CA8">
        <w:t xml:space="preserve"> </w:t>
      </w:r>
      <w:proofErr w:type="spellStart"/>
      <w:r w:rsidRPr="00766CA8">
        <w:t>İkinci</w:t>
      </w:r>
      <w:proofErr w:type="spellEnd"/>
      <w:r w:rsidRPr="00766CA8">
        <w:t xml:space="preserve"> </w:t>
      </w:r>
      <w:proofErr w:type="spellStart"/>
      <w:r w:rsidRPr="00766CA8">
        <w:t>Skandal</w:t>
      </w:r>
      <w:proofErr w:type="spellEnd"/>
      <w:r w:rsidRPr="00766CA8">
        <w:t xml:space="preserve">... </w:t>
      </w:r>
      <w:proofErr w:type="spellStart"/>
      <w:r w:rsidRPr="00766CA8">
        <w:t>Puanlar</w:t>
      </w:r>
      <w:proofErr w:type="spellEnd"/>
      <w:r w:rsidRPr="00766CA8">
        <w:t xml:space="preserve"> </w:t>
      </w:r>
      <w:proofErr w:type="spellStart"/>
      <w:r w:rsidRPr="00766CA8">
        <w:t>Yeniden</w:t>
      </w:r>
      <w:proofErr w:type="spellEnd"/>
      <w:r w:rsidRPr="00766CA8">
        <w:t xml:space="preserve"> </w:t>
      </w:r>
      <w:proofErr w:type="spellStart"/>
      <w:r w:rsidRPr="00766CA8">
        <w:t>Hesaplanacak</w:t>
      </w:r>
      <w:proofErr w:type="spellEnd"/>
      <w:r w:rsidRPr="00766CA8">
        <w:t xml:space="preserve"> </w:t>
      </w:r>
      <w:proofErr w:type="spellStart"/>
      <w:r w:rsidRPr="00766CA8">
        <w:t>İddiası</w:t>
      </w:r>
      <w:proofErr w:type="spellEnd"/>
      <w:r>
        <w:t xml:space="preserve">” [A Second </w:t>
      </w:r>
      <w:r w:rsidRPr="00766CA8">
        <w:rPr>
          <w:i/>
          <w:iCs/>
        </w:rPr>
        <w:t>TEOG</w:t>
      </w:r>
      <w:r>
        <w:t xml:space="preserve"> Scandal… </w:t>
      </w:r>
      <w:proofErr w:type="gramStart"/>
      <w:r>
        <w:t xml:space="preserve">Claims That Points Will Be Recalculated], </w:t>
      </w:r>
      <w:proofErr w:type="spellStart"/>
      <w:r>
        <w:rPr>
          <w:i/>
          <w:iCs/>
        </w:rPr>
        <w:t>Cumhuriyet</w:t>
      </w:r>
      <w:proofErr w:type="spellEnd"/>
      <w:r>
        <w:t>, 29 June 2015.</w:t>
      </w:r>
      <w:proofErr w:type="gramEnd"/>
    </w:p>
  </w:footnote>
  <w:footnote w:id="11">
    <w:p w14:paraId="4BF9E89E" w14:textId="77777777" w:rsidR="00C23454" w:rsidRPr="00766CA8" w:rsidRDefault="00C23454" w:rsidP="00263F15">
      <w:pPr>
        <w:pStyle w:val="FootnoteText"/>
        <w:rPr>
          <w:i/>
          <w:iCs/>
        </w:rPr>
      </w:pPr>
      <w:r>
        <w:rPr>
          <w:rStyle w:val="FootnoteReference"/>
        </w:rPr>
        <w:footnoteRef/>
      </w:r>
      <w:r>
        <w:t xml:space="preserve"> “</w:t>
      </w:r>
      <w:proofErr w:type="spellStart"/>
      <w:r w:rsidRPr="00766CA8">
        <w:t>TEOG’da</w:t>
      </w:r>
      <w:proofErr w:type="spellEnd"/>
      <w:r w:rsidRPr="00766CA8">
        <w:t xml:space="preserve"> 519 </w:t>
      </w:r>
      <w:proofErr w:type="spellStart"/>
      <w:r w:rsidRPr="00766CA8">
        <w:t>Öğrencinin</w:t>
      </w:r>
      <w:proofErr w:type="spellEnd"/>
      <w:r w:rsidRPr="00766CA8">
        <w:t xml:space="preserve"> </w:t>
      </w:r>
      <w:proofErr w:type="spellStart"/>
      <w:r w:rsidRPr="00766CA8">
        <w:t>Puanı</w:t>
      </w:r>
      <w:proofErr w:type="spellEnd"/>
      <w:r w:rsidRPr="00766CA8">
        <w:t xml:space="preserve"> </w:t>
      </w:r>
      <w:proofErr w:type="spellStart"/>
      <w:r w:rsidRPr="00766CA8">
        <w:t>Yeniden</w:t>
      </w:r>
      <w:proofErr w:type="spellEnd"/>
      <w:r w:rsidRPr="00766CA8">
        <w:t xml:space="preserve"> </w:t>
      </w:r>
      <w:proofErr w:type="spellStart"/>
      <w:r w:rsidRPr="00766CA8">
        <w:t>Hesaplandı</w:t>
      </w:r>
      <w:proofErr w:type="spellEnd"/>
      <w:r>
        <w:t xml:space="preserve">” [519 Students’ </w:t>
      </w:r>
      <w:r w:rsidRPr="00766CA8">
        <w:rPr>
          <w:i/>
          <w:iCs/>
        </w:rPr>
        <w:t>TEOG</w:t>
      </w:r>
      <w:r>
        <w:t xml:space="preserve"> Scores Recalculated], </w:t>
      </w:r>
      <w:proofErr w:type="spellStart"/>
      <w:r w:rsidRPr="00766CA8">
        <w:rPr>
          <w:i/>
          <w:iCs/>
        </w:rPr>
        <w:t>Anadolu</w:t>
      </w:r>
      <w:proofErr w:type="spellEnd"/>
      <w:r w:rsidRPr="00766CA8">
        <w:rPr>
          <w:i/>
          <w:iCs/>
        </w:rPr>
        <w:t xml:space="preserve"> </w:t>
      </w:r>
      <w:proofErr w:type="spellStart"/>
      <w:r w:rsidRPr="00766CA8">
        <w:rPr>
          <w:i/>
          <w:iCs/>
        </w:rPr>
        <w:t>Ajansı</w:t>
      </w:r>
      <w:proofErr w:type="spellEnd"/>
      <w:r>
        <w:t>, 30 June 2015.</w:t>
      </w:r>
    </w:p>
  </w:footnote>
  <w:footnote w:id="12">
    <w:p w14:paraId="4D5DE1BF" w14:textId="77777777" w:rsidR="00C23454" w:rsidRPr="008559A7" w:rsidRDefault="00C23454" w:rsidP="00263F15">
      <w:pPr>
        <w:pStyle w:val="FootnoteText"/>
      </w:pPr>
      <w:r>
        <w:rPr>
          <w:rStyle w:val="FootnoteReference"/>
        </w:rPr>
        <w:footnoteRef/>
      </w:r>
      <w:r>
        <w:t xml:space="preserve"> “</w:t>
      </w:r>
      <w:r>
        <w:rPr>
          <w:lang w:val="tr-TR"/>
        </w:rPr>
        <w:t>Yılbaşı-Noel Kutlatmayın</w:t>
      </w:r>
      <w:r>
        <w:t xml:space="preserve">” [Don’t Let People Celebrate Christmas-New Year’s], </w:t>
      </w:r>
      <w:proofErr w:type="spellStart"/>
      <w:r>
        <w:rPr>
          <w:i/>
          <w:iCs/>
        </w:rPr>
        <w:t>Milliyet</w:t>
      </w:r>
      <w:proofErr w:type="spellEnd"/>
      <w:r>
        <w:t>, 25 December 2014.</w:t>
      </w:r>
    </w:p>
  </w:footnote>
  <w:footnote w:id="13">
    <w:p w14:paraId="25AA28E4" w14:textId="77777777" w:rsidR="00C23454" w:rsidRPr="008559A7" w:rsidRDefault="00C23454" w:rsidP="00263F15">
      <w:pPr>
        <w:pStyle w:val="FootnoteText"/>
      </w:pPr>
      <w:r>
        <w:rPr>
          <w:rStyle w:val="FootnoteReference"/>
        </w:rPr>
        <w:footnoteRef/>
      </w:r>
      <w:r>
        <w:t xml:space="preserve"> </w:t>
      </w:r>
      <w:r w:rsidRPr="008559A7">
        <w:t>“’</w:t>
      </w:r>
      <w:proofErr w:type="spellStart"/>
      <w:r w:rsidRPr="008559A7">
        <w:t>Komünist</w:t>
      </w:r>
      <w:proofErr w:type="spellEnd"/>
      <w:r w:rsidRPr="008559A7">
        <w:t xml:space="preserve"> </w:t>
      </w:r>
      <w:proofErr w:type="spellStart"/>
      <w:r w:rsidRPr="008559A7">
        <w:t>ve</w:t>
      </w:r>
      <w:proofErr w:type="spellEnd"/>
      <w:r w:rsidRPr="008559A7">
        <w:t xml:space="preserve"> </w:t>
      </w:r>
      <w:proofErr w:type="spellStart"/>
      <w:r w:rsidRPr="008559A7">
        <w:t>Ateist</w:t>
      </w:r>
      <w:proofErr w:type="spellEnd"/>
      <w:r w:rsidRPr="008559A7">
        <w:t xml:space="preserve"> </w:t>
      </w:r>
      <w:proofErr w:type="spellStart"/>
      <w:r w:rsidRPr="008559A7">
        <w:t>Öğretmenlerin</w:t>
      </w:r>
      <w:proofErr w:type="spellEnd"/>
      <w:r w:rsidRPr="008559A7">
        <w:t xml:space="preserve"> </w:t>
      </w:r>
      <w:proofErr w:type="spellStart"/>
      <w:r w:rsidRPr="008559A7">
        <w:t>Defterini</w:t>
      </w:r>
      <w:proofErr w:type="spellEnd"/>
      <w:r w:rsidRPr="008559A7">
        <w:t xml:space="preserve"> </w:t>
      </w:r>
      <w:proofErr w:type="spellStart"/>
      <w:r w:rsidRPr="008559A7">
        <w:t>Dürün</w:t>
      </w:r>
      <w:proofErr w:type="spellEnd"/>
      <w:r w:rsidRPr="008559A7">
        <w:t xml:space="preserve">’ </w:t>
      </w:r>
      <w:proofErr w:type="spellStart"/>
      <w:r w:rsidRPr="008559A7">
        <w:t>Diyen</w:t>
      </w:r>
      <w:proofErr w:type="spellEnd"/>
      <w:r w:rsidRPr="008559A7">
        <w:t xml:space="preserve"> </w:t>
      </w:r>
      <w:proofErr w:type="spellStart"/>
      <w:r w:rsidRPr="008559A7">
        <w:t>Milli</w:t>
      </w:r>
      <w:proofErr w:type="spellEnd"/>
      <w:r w:rsidRPr="008559A7">
        <w:t xml:space="preserve"> </w:t>
      </w:r>
      <w:proofErr w:type="spellStart"/>
      <w:r w:rsidRPr="008559A7">
        <w:t>Eği</w:t>
      </w:r>
      <w:r>
        <w:t>tim</w:t>
      </w:r>
      <w:proofErr w:type="spellEnd"/>
      <w:r>
        <w:t xml:space="preserve"> </w:t>
      </w:r>
      <w:proofErr w:type="spellStart"/>
      <w:r>
        <w:t>Müdürü</w:t>
      </w:r>
      <w:proofErr w:type="spellEnd"/>
      <w:r>
        <w:t xml:space="preserve"> </w:t>
      </w:r>
      <w:proofErr w:type="spellStart"/>
      <w:r>
        <w:t>Görevde</w:t>
      </w:r>
      <w:proofErr w:type="spellEnd"/>
      <w:r>
        <w:t xml:space="preserve"> </w:t>
      </w:r>
      <w:proofErr w:type="spellStart"/>
      <w:r>
        <w:t>Kalacak</w:t>
      </w:r>
      <w:proofErr w:type="spellEnd"/>
      <w:r>
        <w:t xml:space="preserve"> </w:t>
      </w:r>
      <w:proofErr w:type="spellStart"/>
      <w:r>
        <w:t>mı</w:t>
      </w:r>
      <w:proofErr w:type="spellEnd"/>
      <w:r>
        <w:t xml:space="preserve">?” [Is the National Education Director Who Said Communist and Atheist Teachers Should Be Fired Going to Keep His Job?], </w:t>
      </w:r>
      <w:proofErr w:type="spellStart"/>
      <w:r>
        <w:rPr>
          <w:i/>
          <w:iCs/>
        </w:rPr>
        <w:t>HaberSol</w:t>
      </w:r>
      <w:proofErr w:type="spellEnd"/>
      <w:r>
        <w:t>, 15 October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F5F6F6" w14:textId="77777777" w:rsidR="00C23454" w:rsidRDefault="00C23454">
    <w:pPr>
      <w:pStyle w:val="Header"/>
    </w:pPr>
    <w:r>
      <w:rPr>
        <w:noProof/>
        <w:lang w:val="en-GB" w:eastAsia="en-GB"/>
      </w:rPr>
      <w:drawing>
        <wp:inline distT="0" distB="0" distL="0" distR="0" wp14:anchorId="59435A65" wp14:editId="07EFB3A1">
          <wp:extent cx="3556000" cy="685800"/>
          <wp:effectExtent l="0" t="0" r="0" b="0"/>
          <wp:docPr id="1" name="Bilde 1" descr="Helsingfors_brevlogo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e 1" descr="Helsingfors_brevlogo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56000" cy="685800"/>
                  </a:xfrm>
                  <a:prstGeom prst="rect">
                    <a:avLst/>
                  </a:prstGeom>
                  <a:noFill/>
                  <a:ln>
                    <a:noFill/>
                  </a:ln>
                </pic:spPr>
              </pic:pic>
            </a:graphicData>
          </a:graphic>
        </wp:inline>
      </w:drawing>
    </w:r>
    <w:r>
      <w:t xml:space="preserve">          </w:t>
    </w:r>
    <w:r>
      <w:rPr>
        <w:noProof/>
        <w:lang w:val="en-GB" w:eastAsia="en-GB"/>
      </w:rPr>
      <w:drawing>
        <wp:inline distT="0" distB="0" distL="0" distR="0" wp14:anchorId="11CAE049" wp14:editId="2F0B1E39">
          <wp:extent cx="1333500" cy="1054100"/>
          <wp:effectExtent l="0" t="0" r="12700" b="12700"/>
          <wp:docPr id="2" name="Picture 0" descr="iog-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iog-logo.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33500" cy="10541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92E4827"/>
    <w:multiLevelType w:val="hybridMultilevel"/>
    <w:tmpl w:val="A7B0B7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3F15"/>
    <w:rsid w:val="001B7CC3"/>
    <w:rsid w:val="00263F15"/>
    <w:rsid w:val="003502EE"/>
    <w:rsid w:val="004178E5"/>
    <w:rsid w:val="00434484"/>
    <w:rsid w:val="006C030A"/>
    <w:rsid w:val="008971E9"/>
    <w:rsid w:val="00907A7A"/>
    <w:rsid w:val="009D7802"/>
    <w:rsid w:val="00AB209C"/>
    <w:rsid w:val="00BD76D6"/>
    <w:rsid w:val="00C23454"/>
    <w:rsid w:val="00C946FA"/>
    <w:rsid w:val="00D36A5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B9BD6A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3F15"/>
    <w:pPr>
      <w:spacing w:after="200" w:line="276" w:lineRule="auto"/>
    </w:pPr>
    <w:rPr>
      <w:rFonts w:ascii="Franklin Gothic Book" w:eastAsiaTheme="minorHAnsi" w:hAnsi="Franklin Gothic Book"/>
      <w:sz w:val="22"/>
      <w:szCs w:val="22"/>
    </w:rPr>
  </w:style>
  <w:style w:type="paragraph" w:styleId="Heading1">
    <w:name w:val="heading 1"/>
    <w:basedOn w:val="Normal"/>
    <w:next w:val="Normal"/>
    <w:link w:val="Heading1Char"/>
    <w:autoRedefine/>
    <w:uiPriority w:val="9"/>
    <w:qFormat/>
    <w:rsid w:val="00263F15"/>
    <w:pPr>
      <w:outlineLvl w:val="0"/>
    </w:pPr>
    <w:rPr>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3F15"/>
    <w:rPr>
      <w:rFonts w:ascii="Franklin Gothic Book" w:eastAsiaTheme="minorHAnsi" w:hAnsi="Franklin Gothic Book"/>
      <w:b/>
      <w:bCs/>
      <w:sz w:val="28"/>
      <w:szCs w:val="22"/>
    </w:rPr>
  </w:style>
  <w:style w:type="paragraph" w:styleId="FootnoteText">
    <w:name w:val="footnote text"/>
    <w:basedOn w:val="Normal"/>
    <w:link w:val="FootnoteTextChar"/>
    <w:uiPriority w:val="99"/>
    <w:semiHidden/>
    <w:unhideWhenUsed/>
    <w:rsid w:val="00263F1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63F15"/>
    <w:rPr>
      <w:rFonts w:ascii="Franklin Gothic Book" w:eastAsiaTheme="minorHAnsi" w:hAnsi="Franklin Gothic Book"/>
      <w:sz w:val="20"/>
      <w:szCs w:val="20"/>
    </w:rPr>
  </w:style>
  <w:style w:type="character" w:styleId="FootnoteReference">
    <w:name w:val="footnote reference"/>
    <w:basedOn w:val="DefaultParagraphFont"/>
    <w:uiPriority w:val="99"/>
    <w:semiHidden/>
    <w:unhideWhenUsed/>
    <w:rsid w:val="00263F15"/>
    <w:rPr>
      <w:vertAlign w:val="superscript"/>
    </w:rPr>
  </w:style>
  <w:style w:type="paragraph" w:styleId="BalloonText">
    <w:name w:val="Balloon Text"/>
    <w:basedOn w:val="Normal"/>
    <w:link w:val="BalloonTextChar"/>
    <w:uiPriority w:val="99"/>
    <w:semiHidden/>
    <w:unhideWhenUsed/>
    <w:rsid w:val="00263F15"/>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263F15"/>
    <w:rPr>
      <w:rFonts w:ascii="Lucida Grande" w:eastAsiaTheme="minorHAnsi" w:hAnsi="Lucida Grande"/>
      <w:sz w:val="18"/>
      <w:szCs w:val="18"/>
    </w:rPr>
  </w:style>
  <w:style w:type="paragraph" w:styleId="Header">
    <w:name w:val="header"/>
    <w:basedOn w:val="Normal"/>
    <w:link w:val="HeaderChar"/>
    <w:uiPriority w:val="99"/>
    <w:unhideWhenUsed/>
    <w:rsid w:val="00BD76D6"/>
    <w:pPr>
      <w:tabs>
        <w:tab w:val="center" w:pos="4320"/>
        <w:tab w:val="right" w:pos="8640"/>
      </w:tabs>
      <w:spacing w:after="0" w:line="240" w:lineRule="auto"/>
    </w:pPr>
  </w:style>
  <w:style w:type="character" w:customStyle="1" w:styleId="HeaderChar">
    <w:name w:val="Header Char"/>
    <w:basedOn w:val="DefaultParagraphFont"/>
    <w:link w:val="Header"/>
    <w:uiPriority w:val="99"/>
    <w:rsid w:val="00BD76D6"/>
    <w:rPr>
      <w:rFonts w:ascii="Franklin Gothic Book" w:eastAsiaTheme="minorHAnsi" w:hAnsi="Franklin Gothic Book"/>
      <w:sz w:val="22"/>
      <w:szCs w:val="22"/>
    </w:rPr>
  </w:style>
  <w:style w:type="paragraph" w:styleId="Footer">
    <w:name w:val="footer"/>
    <w:basedOn w:val="Normal"/>
    <w:link w:val="FooterChar"/>
    <w:uiPriority w:val="99"/>
    <w:unhideWhenUsed/>
    <w:rsid w:val="00BD76D6"/>
    <w:pPr>
      <w:tabs>
        <w:tab w:val="center" w:pos="4320"/>
        <w:tab w:val="right" w:pos="8640"/>
      </w:tabs>
      <w:spacing w:after="0" w:line="240" w:lineRule="auto"/>
    </w:pPr>
  </w:style>
  <w:style w:type="character" w:customStyle="1" w:styleId="FooterChar">
    <w:name w:val="Footer Char"/>
    <w:basedOn w:val="DefaultParagraphFont"/>
    <w:link w:val="Footer"/>
    <w:uiPriority w:val="99"/>
    <w:rsid w:val="00BD76D6"/>
    <w:rPr>
      <w:rFonts w:ascii="Franklin Gothic Book" w:eastAsiaTheme="minorHAnsi" w:hAnsi="Franklin Gothic Book"/>
      <w:sz w:val="22"/>
      <w:szCs w:val="22"/>
    </w:rPr>
  </w:style>
  <w:style w:type="character" w:styleId="Hyperlink">
    <w:name w:val="Hyperlink"/>
    <w:basedOn w:val="DefaultParagraphFont"/>
    <w:uiPriority w:val="99"/>
    <w:unhideWhenUsed/>
    <w:rsid w:val="00907A7A"/>
    <w:rPr>
      <w:color w:val="0000FF" w:themeColor="hyperlink"/>
      <w:u w:val="single"/>
    </w:rPr>
  </w:style>
  <w:style w:type="paragraph" w:styleId="ListParagraph">
    <w:name w:val="List Paragraph"/>
    <w:basedOn w:val="Normal"/>
    <w:uiPriority w:val="34"/>
    <w:qFormat/>
    <w:rsid w:val="00907A7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3F15"/>
    <w:pPr>
      <w:spacing w:after="200" w:line="276" w:lineRule="auto"/>
    </w:pPr>
    <w:rPr>
      <w:rFonts w:ascii="Franklin Gothic Book" w:eastAsiaTheme="minorHAnsi" w:hAnsi="Franklin Gothic Book"/>
      <w:sz w:val="22"/>
      <w:szCs w:val="22"/>
    </w:rPr>
  </w:style>
  <w:style w:type="paragraph" w:styleId="Heading1">
    <w:name w:val="heading 1"/>
    <w:basedOn w:val="Normal"/>
    <w:next w:val="Normal"/>
    <w:link w:val="Heading1Char"/>
    <w:autoRedefine/>
    <w:uiPriority w:val="9"/>
    <w:qFormat/>
    <w:rsid w:val="00263F15"/>
    <w:pPr>
      <w:outlineLvl w:val="0"/>
    </w:pPr>
    <w:rPr>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3F15"/>
    <w:rPr>
      <w:rFonts w:ascii="Franklin Gothic Book" w:eastAsiaTheme="minorHAnsi" w:hAnsi="Franklin Gothic Book"/>
      <w:b/>
      <w:bCs/>
      <w:sz w:val="28"/>
      <w:szCs w:val="22"/>
    </w:rPr>
  </w:style>
  <w:style w:type="paragraph" w:styleId="FootnoteText">
    <w:name w:val="footnote text"/>
    <w:basedOn w:val="Normal"/>
    <w:link w:val="FootnoteTextChar"/>
    <w:uiPriority w:val="99"/>
    <w:semiHidden/>
    <w:unhideWhenUsed/>
    <w:rsid w:val="00263F1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63F15"/>
    <w:rPr>
      <w:rFonts w:ascii="Franklin Gothic Book" w:eastAsiaTheme="minorHAnsi" w:hAnsi="Franklin Gothic Book"/>
      <w:sz w:val="20"/>
      <w:szCs w:val="20"/>
    </w:rPr>
  </w:style>
  <w:style w:type="character" w:styleId="FootnoteReference">
    <w:name w:val="footnote reference"/>
    <w:basedOn w:val="DefaultParagraphFont"/>
    <w:uiPriority w:val="99"/>
    <w:semiHidden/>
    <w:unhideWhenUsed/>
    <w:rsid w:val="00263F15"/>
    <w:rPr>
      <w:vertAlign w:val="superscript"/>
    </w:rPr>
  </w:style>
  <w:style w:type="paragraph" w:styleId="BalloonText">
    <w:name w:val="Balloon Text"/>
    <w:basedOn w:val="Normal"/>
    <w:link w:val="BalloonTextChar"/>
    <w:uiPriority w:val="99"/>
    <w:semiHidden/>
    <w:unhideWhenUsed/>
    <w:rsid w:val="00263F15"/>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263F15"/>
    <w:rPr>
      <w:rFonts w:ascii="Lucida Grande" w:eastAsiaTheme="minorHAnsi" w:hAnsi="Lucida Grande"/>
      <w:sz w:val="18"/>
      <w:szCs w:val="18"/>
    </w:rPr>
  </w:style>
  <w:style w:type="paragraph" w:styleId="Header">
    <w:name w:val="header"/>
    <w:basedOn w:val="Normal"/>
    <w:link w:val="HeaderChar"/>
    <w:uiPriority w:val="99"/>
    <w:unhideWhenUsed/>
    <w:rsid w:val="00BD76D6"/>
    <w:pPr>
      <w:tabs>
        <w:tab w:val="center" w:pos="4320"/>
        <w:tab w:val="right" w:pos="8640"/>
      </w:tabs>
      <w:spacing w:after="0" w:line="240" w:lineRule="auto"/>
    </w:pPr>
  </w:style>
  <w:style w:type="character" w:customStyle="1" w:styleId="HeaderChar">
    <w:name w:val="Header Char"/>
    <w:basedOn w:val="DefaultParagraphFont"/>
    <w:link w:val="Header"/>
    <w:uiPriority w:val="99"/>
    <w:rsid w:val="00BD76D6"/>
    <w:rPr>
      <w:rFonts w:ascii="Franklin Gothic Book" w:eastAsiaTheme="minorHAnsi" w:hAnsi="Franklin Gothic Book"/>
      <w:sz w:val="22"/>
      <w:szCs w:val="22"/>
    </w:rPr>
  </w:style>
  <w:style w:type="paragraph" w:styleId="Footer">
    <w:name w:val="footer"/>
    <w:basedOn w:val="Normal"/>
    <w:link w:val="FooterChar"/>
    <w:uiPriority w:val="99"/>
    <w:unhideWhenUsed/>
    <w:rsid w:val="00BD76D6"/>
    <w:pPr>
      <w:tabs>
        <w:tab w:val="center" w:pos="4320"/>
        <w:tab w:val="right" w:pos="8640"/>
      </w:tabs>
      <w:spacing w:after="0" w:line="240" w:lineRule="auto"/>
    </w:pPr>
  </w:style>
  <w:style w:type="character" w:customStyle="1" w:styleId="FooterChar">
    <w:name w:val="Footer Char"/>
    <w:basedOn w:val="DefaultParagraphFont"/>
    <w:link w:val="Footer"/>
    <w:uiPriority w:val="99"/>
    <w:rsid w:val="00BD76D6"/>
    <w:rPr>
      <w:rFonts w:ascii="Franklin Gothic Book" w:eastAsiaTheme="minorHAnsi" w:hAnsi="Franklin Gothic Book"/>
      <w:sz w:val="22"/>
      <w:szCs w:val="22"/>
    </w:rPr>
  </w:style>
  <w:style w:type="character" w:styleId="Hyperlink">
    <w:name w:val="Hyperlink"/>
    <w:basedOn w:val="DefaultParagraphFont"/>
    <w:uiPriority w:val="99"/>
    <w:unhideWhenUsed/>
    <w:rsid w:val="00907A7A"/>
    <w:rPr>
      <w:color w:val="0000FF" w:themeColor="hyperlink"/>
      <w:u w:val="single"/>
    </w:rPr>
  </w:style>
  <w:style w:type="paragraph" w:styleId="ListParagraph">
    <w:name w:val="List Paragraph"/>
    <w:basedOn w:val="Normal"/>
    <w:uiPriority w:val="34"/>
    <w:qFormat/>
    <w:rsid w:val="00907A7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yperlink" Target="mailto:yildirim@nhc.no" TargetMode="Externa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customXml" Target="../customXml/item1.xml"/></Relationships>
</file>

<file path=word/_rels/header1.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E11F1B0-897B-444E-ACB7-70B0B3F28056}"/>
</file>

<file path=customXml/itemProps2.xml><?xml version="1.0" encoding="utf-8"?>
<ds:datastoreItem xmlns:ds="http://schemas.openxmlformats.org/officeDocument/2006/customXml" ds:itemID="{AD42B977-B6CB-4FBD-A76D-B3E83FED7091}"/>
</file>

<file path=customXml/itemProps3.xml><?xml version="1.0" encoding="utf-8"?>
<ds:datastoreItem xmlns:ds="http://schemas.openxmlformats.org/officeDocument/2006/customXml" ds:itemID="{C1528679-5F45-4F9F-B9D6-D2760C58F687}"/>
</file>

<file path=docProps/app.xml><?xml version="1.0" encoding="utf-8"?>
<Properties xmlns="http://schemas.openxmlformats.org/officeDocument/2006/extended-properties" xmlns:vt="http://schemas.openxmlformats.org/officeDocument/2006/docPropsVTypes">
  <Template>Normal.dotm</Template>
  <TotalTime>0</TotalTime>
  <Pages>8</Pages>
  <Words>2807</Words>
  <Characters>16003</Characters>
  <Application>Microsoft Office Word</Application>
  <DocSecurity>0</DocSecurity>
  <Lines>133</Lines>
  <Paragraphs>37</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vt:lpstr>Intersection of the Right to Freedom of Religion or Belief and the Right to Educ</vt:lpstr>
      <vt:lpstr/>
    </vt:vector>
  </TitlesOfParts>
  <Company>OHCHR</Company>
  <LinksUpToDate>false</LinksUpToDate>
  <CharactersWithSpaces>18773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Mine Yildirim</dc:creator>
  <cp:lastModifiedBy>Kalpana Singh</cp:lastModifiedBy>
  <cp:revision>2</cp:revision>
  <dcterms:created xsi:type="dcterms:W3CDTF">2015-11-03T09:21:00Z</dcterms:created>
  <dcterms:modified xsi:type="dcterms:W3CDTF">2015-11-03T09:21:00Z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