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B4B5D"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2C2C0FDB"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77777777" w:rsidR="006D2FB1" w:rsidRDefault="00A871E7">
            <w:pPr>
              <w:suppressAutoHyphens w:val="0"/>
              <w:spacing w:after="20"/>
              <w:jc w:val="right"/>
            </w:pPr>
            <w:r>
              <w:rPr>
                <w:sz w:val="40"/>
              </w:rPr>
              <w:t>CEDAW</w:t>
            </w:r>
            <w:r>
              <w:t>/C/GRD/6-8</w:t>
            </w:r>
          </w:p>
        </w:tc>
      </w:tr>
      <w:tr w:rsidR="008B4B5D" w14:paraId="528284CD" w14:textId="77777777">
        <w:trPr>
          <w:cantSplit/>
          <w:trHeight w:hRule="exact" w:val="2835"/>
        </w:trPr>
        <w:tc>
          <w:tcPr>
            <w:tcW w:w="1276" w:type="dxa"/>
            <w:tcBorders>
              <w:top w:val="single" w:sz="4" w:space="0" w:color="auto"/>
              <w:bottom w:val="single" w:sz="12" w:space="0" w:color="auto"/>
            </w:tcBorders>
          </w:tcPr>
          <w:p w14:paraId="5270AF7F" w14:textId="3169115C" w:rsidR="006D2FB1" w:rsidRDefault="006D2FB1">
            <w:pPr>
              <w:spacing w:before="120"/>
              <w:jc w:val="center"/>
            </w:pPr>
          </w:p>
        </w:tc>
        <w:tc>
          <w:tcPr>
            <w:tcW w:w="5528" w:type="dxa"/>
            <w:gridSpan w:val="2"/>
            <w:tcBorders>
              <w:top w:val="single" w:sz="4" w:space="0" w:color="auto"/>
              <w:bottom w:val="single" w:sz="12" w:space="0" w:color="auto"/>
            </w:tcBorders>
          </w:tcPr>
          <w:p w14:paraId="48096D68" w14:textId="4826E5E1" w:rsidR="006D2FB1" w:rsidRDefault="00362C5D">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EE66D4" w:rsidRDefault="00A871E7">
            <w:pPr>
              <w:suppressAutoHyphens w:val="0"/>
              <w:spacing w:before="240" w:line="240" w:lineRule="exact"/>
              <w:rPr>
                <w:lang w:val="en-US"/>
              </w:rPr>
            </w:pPr>
            <w:r w:rsidRPr="00EE66D4">
              <w:rPr>
                <w:lang w:val="en-US"/>
              </w:rPr>
              <w:t>Distr.: General</w:t>
            </w:r>
          </w:p>
          <w:p w14:paraId="075C3036" w14:textId="77777777" w:rsidR="006D2FB1" w:rsidRPr="00EE66D4" w:rsidRDefault="00446122">
            <w:pPr>
              <w:suppressAutoHyphens w:val="0"/>
              <w:rPr>
                <w:lang w:val="en-US"/>
              </w:rPr>
            </w:pPr>
            <w:r w:rsidRPr="00EE66D4">
              <w:rPr>
                <w:lang w:val="en-US"/>
              </w:rPr>
              <w:t>8 May 2026</w:t>
            </w:r>
          </w:p>
          <w:p w14:paraId="76B23000" w14:textId="77777777" w:rsidR="006D2FB1" w:rsidRPr="00EE66D4" w:rsidRDefault="006D2FB1">
            <w:pPr>
              <w:suppressAutoHyphens w:val="0"/>
              <w:rPr>
                <w:lang w:val="en-US"/>
              </w:rPr>
            </w:pPr>
          </w:p>
          <w:p w14:paraId="2CE86C88" w14:textId="77777777" w:rsidR="006D2FB1" w:rsidRPr="00EE66D4" w:rsidRDefault="00A871E7">
            <w:pPr>
              <w:suppressAutoHyphens w:val="0"/>
              <w:rPr>
                <w:lang w:val="en-US"/>
              </w:rPr>
            </w:pPr>
            <w:r w:rsidRPr="00EE66D4">
              <w:rPr>
                <w:lang w:val="en-US"/>
              </w:rPr>
              <w:t>Original: English</w:t>
            </w:r>
          </w:p>
          <w:p w14:paraId="6B98730C" w14:textId="77777777" w:rsidR="006D2FB1" w:rsidRDefault="00446122">
            <w:pPr>
              <w:suppressAutoHyphens w:val="0"/>
            </w:pPr>
            <w:r>
              <w:t>English, French and Spanish only</w:t>
            </w:r>
          </w:p>
        </w:tc>
      </w:tr>
    </w:tbl>
    <w:p w14:paraId="742D869C" w14:textId="77777777" w:rsidR="006D2FB1" w:rsidRDefault="00A871E7">
      <w:pPr>
        <w:spacing w:before="120"/>
        <w:rPr>
          <w:b/>
          <w:sz w:val="24"/>
        </w:rPr>
      </w:pPr>
      <w:r>
        <w:rPr>
          <w:b/>
          <w:sz w:val="24"/>
          <w:szCs w:val="24"/>
        </w:rPr>
        <w:t xml:space="preserve">Committee on the Elimination of Discrimination </w:t>
      </w:r>
      <w:r>
        <w:rPr>
          <w:b/>
          <w:sz w:val="24"/>
          <w:szCs w:val="24"/>
        </w:rPr>
        <w:br/>
        <w:t>against Women</w:t>
      </w:r>
    </w:p>
    <w:p w14:paraId="1191FC38" w14:textId="30FA7651" w:rsidR="006D2FB1" w:rsidRDefault="00A871E7">
      <w:pPr>
        <w:pStyle w:val="HMG"/>
      </w:pPr>
      <w:r>
        <w:tab/>
      </w:r>
      <w:r>
        <w:tab/>
      </w:r>
      <w:r w:rsidR="00A065FD">
        <w:t>Combined sixth to eighth reports</w:t>
      </w:r>
      <w:r w:rsidR="00E67615">
        <w:t xml:space="preserve"> </w:t>
      </w:r>
      <w:r>
        <w:t xml:space="preserve">submitted by </w:t>
      </w:r>
      <w:r w:rsidR="001507EF">
        <w:t>Grenada</w:t>
      </w:r>
      <w:r>
        <w:t xml:space="preserve"> under article 18 of the Convention, due in </w:t>
      </w:r>
      <w:r w:rsidR="000F6BFB">
        <w:t>2016</w:t>
      </w:r>
      <w:r w:rsidRPr="000F6BFB">
        <w:rPr>
          <w:rStyle w:val="FootnoteReference"/>
          <w:b w:val="0"/>
          <w:sz w:val="20"/>
          <w:vertAlign w:val="baseline"/>
        </w:rPr>
        <w:footnoteReference w:customMarkFollows="1" w:id="2"/>
        <w:t>*</w:t>
      </w:r>
      <w:r w:rsidR="00490503" w:rsidRPr="000F6BFB">
        <w:rPr>
          <w:rStyle w:val="FootnoteReference"/>
          <w:b w:val="0"/>
          <w:sz w:val="20"/>
        </w:rPr>
        <w:t>,</w:t>
      </w:r>
      <w:r w:rsidR="00490503" w:rsidRPr="000F6BFB">
        <w:rPr>
          <w:b w:val="0"/>
          <w:sz w:val="20"/>
        </w:rPr>
        <w:t xml:space="preserve"> </w:t>
      </w:r>
      <w:r w:rsidRPr="000F6BFB">
        <w:rPr>
          <w:rStyle w:val="FootnoteReference"/>
          <w:b w:val="0"/>
          <w:sz w:val="20"/>
          <w:vertAlign w:val="baseline"/>
        </w:rPr>
        <w:footnoteReference w:customMarkFollows="1" w:id="3"/>
        <w:t>**</w:t>
      </w:r>
    </w:p>
    <w:p w14:paraId="2885B967" w14:textId="7ACBDA7C" w:rsidR="006D2FB1" w:rsidRDefault="00A871E7">
      <w:pPr>
        <w:pStyle w:val="SingleTxtG"/>
        <w:jc w:val="right"/>
      </w:pPr>
      <w:r>
        <w:t>[Date received:</w:t>
      </w:r>
      <w:r>
        <w:rPr>
          <w:color w:val="FF0000"/>
        </w:rPr>
        <w:t xml:space="preserve"> </w:t>
      </w:r>
      <w:r w:rsidR="00991007">
        <w:t>7 M</w:t>
      </w:r>
      <w:r w:rsidR="00A11E31">
        <w:t>ay 2026</w:t>
      </w:r>
      <w:r w:rsidRPr="00991007">
        <w:t>]</w:t>
      </w:r>
    </w:p>
    <w:p w14:paraId="33995745" w14:textId="53D111AE" w:rsidR="00A11E31" w:rsidRDefault="00A11E31">
      <w:pPr>
        <w:suppressAutoHyphens w:val="0"/>
        <w:spacing w:after="200" w:line="276" w:lineRule="auto"/>
        <w:rPr>
          <w:rFonts w:eastAsiaTheme="minorHAnsi"/>
        </w:rPr>
      </w:pPr>
      <w:r>
        <w:br w:type="page"/>
      </w:r>
    </w:p>
    <w:p w14:paraId="2CE6D636" w14:textId="75B99CC8" w:rsidR="007058FF" w:rsidRPr="007058FF" w:rsidRDefault="008029E0" w:rsidP="00771E1B">
      <w:pPr>
        <w:pStyle w:val="HChG"/>
      </w:pPr>
      <w:r w:rsidRPr="007058FF">
        <w:lastRenderedPageBreak/>
        <w:t xml:space="preserve">List of acronyms  </w:t>
      </w:r>
    </w:p>
    <w:p w14:paraId="2EB496A8" w14:textId="0F27B3E2" w:rsidR="007058FF" w:rsidRPr="00C25ADB" w:rsidRDefault="007058FF" w:rsidP="00BB2985">
      <w:pPr>
        <w:pStyle w:val="SingleTxtG"/>
        <w:ind w:left="567"/>
      </w:pPr>
      <w:r w:rsidRPr="00C25ADB">
        <w:t xml:space="preserve">ADB – </w:t>
      </w:r>
      <w:r w:rsidR="0047037A">
        <w:tab/>
      </w:r>
      <w:r w:rsidRPr="00C25ADB">
        <w:t>Asian Development Bank</w:t>
      </w:r>
    </w:p>
    <w:p w14:paraId="610477FB" w14:textId="337E4B9E" w:rsidR="007058FF" w:rsidRPr="00C25ADB" w:rsidRDefault="007058FF" w:rsidP="00BB2985">
      <w:pPr>
        <w:pStyle w:val="SingleTxtG"/>
        <w:ind w:left="567"/>
      </w:pPr>
      <w:r w:rsidRPr="00C25ADB">
        <w:t xml:space="preserve">AIDS – </w:t>
      </w:r>
      <w:r w:rsidR="0047037A">
        <w:tab/>
      </w:r>
      <w:r w:rsidRPr="00C25ADB">
        <w:t>Acquired Immune Deficiency Syndrome</w:t>
      </w:r>
    </w:p>
    <w:p w14:paraId="037BC6EE" w14:textId="2A69AF7E" w:rsidR="007058FF" w:rsidRPr="00C25ADB" w:rsidRDefault="007058FF" w:rsidP="00BB2985">
      <w:pPr>
        <w:pStyle w:val="SingleTxtG"/>
        <w:ind w:left="567"/>
      </w:pPr>
      <w:r w:rsidRPr="00C25ADB">
        <w:t xml:space="preserve">BBE – </w:t>
      </w:r>
      <w:r w:rsidR="0047037A">
        <w:tab/>
      </w:r>
      <w:r w:rsidRPr="00C25ADB">
        <w:t>Build Back Equal Project</w:t>
      </w:r>
    </w:p>
    <w:p w14:paraId="3E8B5DC5" w14:textId="790AB25E" w:rsidR="007058FF" w:rsidRPr="00C25ADB" w:rsidRDefault="007058FF" w:rsidP="00BB2985">
      <w:pPr>
        <w:pStyle w:val="SingleTxtG"/>
        <w:ind w:left="567"/>
      </w:pPr>
      <w:r w:rsidRPr="00C25ADB">
        <w:t xml:space="preserve">BNTF – </w:t>
      </w:r>
      <w:r w:rsidR="0047037A">
        <w:tab/>
      </w:r>
      <w:r w:rsidRPr="00C25ADB">
        <w:t>Basic Needs Trust Fund</w:t>
      </w:r>
    </w:p>
    <w:p w14:paraId="03992915" w14:textId="106475DF" w:rsidR="007058FF" w:rsidRPr="00C25ADB" w:rsidRDefault="007058FF" w:rsidP="00BB2985">
      <w:pPr>
        <w:pStyle w:val="SingleTxtG"/>
        <w:ind w:left="567"/>
      </w:pPr>
      <w:r w:rsidRPr="00C25ADB">
        <w:t xml:space="preserve">CAREC – </w:t>
      </w:r>
      <w:r w:rsidR="0047037A">
        <w:tab/>
      </w:r>
      <w:r w:rsidRPr="00C25ADB">
        <w:t>Caribbean Epidemiology Centre</w:t>
      </w:r>
    </w:p>
    <w:p w14:paraId="25C9CE4B" w14:textId="6BD61EB2" w:rsidR="007058FF" w:rsidRPr="00C25ADB" w:rsidRDefault="007058FF" w:rsidP="00BB2985">
      <w:pPr>
        <w:pStyle w:val="SingleTxtG"/>
        <w:ind w:left="567"/>
      </w:pPr>
      <w:r w:rsidRPr="00C25ADB">
        <w:t xml:space="preserve">CARICOM – </w:t>
      </w:r>
      <w:r w:rsidR="0047037A">
        <w:tab/>
      </w:r>
      <w:r w:rsidRPr="00C25ADB">
        <w:t>Caribbean Community</w:t>
      </w:r>
    </w:p>
    <w:p w14:paraId="49FBC78C" w14:textId="3AE12F08" w:rsidR="007058FF" w:rsidRPr="00C25ADB" w:rsidRDefault="007058FF" w:rsidP="00BB2985">
      <w:pPr>
        <w:pStyle w:val="SingleTxtG"/>
        <w:ind w:left="567"/>
      </w:pPr>
      <w:r w:rsidRPr="00C25ADB">
        <w:t xml:space="preserve">CARPHA – </w:t>
      </w:r>
      <w:r w:rsidR="0047037A">
        <w:tab/>
      </w:r>
      <w:r w:rsidRPr="00C25ADB">
        <w:t>Caribbean Public Health Agency</w:t>
      </w:r>
    </w:p>
    <w:p w14:paraId="5B231774" w14:textId="13623D95" w:rsidR="007058FF" w:rsidRPr="00C25ADB" w:rsidRDefault="007058FF" w:rsidP="00BB2985">
      <w:pPr>
        <w:pStyle w:val="SingleTxtG"/>
        <w:ind w:left="567"/>
      </w:pPr>
      <w:r w:rsidRPr="00C25ADB">
        <w:t xml:space="preserve">CBO – </w:t>
      </w:r>
      <w:r w:rsidR="0047037A">
        <w:tab/>
      </w:r>
      <w:r w:rsidRPr="00C25ADB">
        <w:t>Community-Based Organization</w:t>
      </w:r>
    </w:p>
    <w:p w14:paraId="6C47B5EC" w14:textId="675A6F07" w:rsidR="007058FF" w:rsidRPr="00C25ADB" w:rsidRDefault="007058FF" w:rsidP="00BB2985">
      <w:pPr>
        <w:pStyle w:val="SingleTxtG"/>
        <w:ind w:left="567"/>
      </w:pPr>
      <w:r w:rsidRPr="00C25ADB">
        <w:t xml:space="preserve">CEDAW – </w:t>
      </w:r>
      <w:r w:rsidR="0047037A">
        <w:tab/>
      </w:r>
      <w:r w:rsidRPr="00C25ADB">
        <w:t>Convention on the Elimination of All Forms of Discrimination against Women</w:t>
      </w:r>
    </w:p>
    <w:p w14:paraId="161B1772" w14:textId="594280F7" w:rsidR="007058FF" w:rsidRPr="00C25ADB" w:rsidRDefault="007058FF" w:rsidP="00BB2985">
      <w:pPr>
        <w:pStyle w:val="SingleTxtG"/>
        <w:ind w:left="567"/>
      </w:pPr>
      <w:r w:rsidRPr="00C25ADB">
        <w:t xml:space="preserve">CIWiL – </w:t>
      </w:r>
      <w:r w:rsidR="0047037A">
        <w:tab/>
      </w:r>
      <w:r w:rsidRPr="00C25ADB">
        <w:t>Caribbean Women in Leadership</w:t>
      </w:r>
    </w:p>
    <w:p w14:paraId="285F3BDE" w14:textId="17C770E3" w:rsidR="007058FF" w:rsidRPr="00C25ADB" w:rsidRDefault="007058FF" w:rsidP="00BB2985">
      <w:pPr>
        <w:pStyle w:val="SingleTxtG"/>
        <w:ind w:left="567"/>
      </w:pPr>
      <w:r w:rsidRPr="00C25ADB">
        <w:t xml:space="preserve">CNO – </w:t>
      </w:r>
      <w:r w:rsidR="0047037A">
        <w:tab/>
      </w:r>
      <w:r w:rsidRPr="00C25ADB">
        <w:t>Chief Nursing Officer</w:t>
      </w:r>
    </w:p>
    <w:p w14:paraId="68888A1D" w14:textId="7B0C0923" w:rsidR="007058FF" w:rsidRPr="00C25ADB" w:rsidRDefault="007058FF" w:rsidP="00BB2985">
      <w:pPr>
        <w:pStyle w:val="SingleTxtG"/>
        <w:ind w:left="567"/>
      </w:pPr>
      <w:r w:rsidRPr="00C25ADB">
        <w:t xml:space="preserve">CDB – </w:t>
      </w:r>
      <w:r w:rsidR="0047037A">
        <w:tab/>
      </w:r>
      <w:r w:rsidRPr="00C25ADB">
        <w:t>Caribbean Development Bank</w:t>
      </w:r>
    </w:p>
    <w:p w14:paraId="59276BE7" w14:textId="49F94655" w:rsidR="007058FF" w:rsidRPr="00C25ADB" w:rsidRDefault="007058FF" w:rsidP="00BB2985">
      <w:pPr>
        <w:pStyle w:val="SingleTxtG"/>
        <w:ind w:left="567"/>
      </w:pPr>
      <w:r w:rsidRPr="00C25ADB">
        <w:t xml:space="preserve">CRC – </w:t>
      </w:r>
      <w:r w:rsidR="0047037A">
        <w:tab/>
      </w:r>
      <w:r w:rsidRPr="00C25ADB">
        <w:t>Convention on the Rights of the Child</w:t>
      </w:r>
    </w:p>
    <w:p w14:paraId="58634FF0" w14:textId="4A30B76A" w:rsidR="007058FF" w:rsidRPr="00C25ADB" w:rsidRDefault="007058FF" w:rsidP="00BB2985">
      <w:pPr>
        <w:pStyle w:val="SingleTxtG"/>
        <w:ind w:left="567"/>
      </w:pPr>
      <w:r w:rsidRPr="00C25ADB">
        <w:t xml:space="preserve">CRPD – </w:t>
      </w:r>
      <w:r w:rsidR="0047037A">
        <w:tab/>
      </w:r>
      <w:r w:rsidRPr="00C25ADB">
        <w:t>Convention on the Rights of Persons with Disabilities</w:t>
      </w:r>
    </w:p>
    <w:p w14:paraId="74FE8DEA" w14:textId="6C6DC523" w:rsidR="007058FF" w:rsidRPr="00C25ADB" w:rsidRDefault="007058FF" w:rsidP="00BB2985">
      <w:pPr>
        <w:pStyle w:val="SingleTxtG"/>
        <w:ind w:left="567"/>
      </w:pPr>
      <w:r w:rsidRPr="00C25ADB">
        <w:t xml:space="preserve">CSO – </w:t>
      </w:r>
      <w:r w:rsidR="0047037A">
        <w:tab/>
      </w:r>
      <w:r w:rsidRPr="00C25ADB">
        <w:t>Central Statistical Office</w:t>
      </w:r>
    </w:p>
    <w:p w14:paraId="64974124" w14:textId="60D87E2F" w:rsidR="007058FF" w:rsidRPr="00C25ADB" w:rsidRDefault="007058FF" w:rsidP="00BB2985">
      <w:pPr>
        <w:pStyle w:val="SingleTxtG"/>
        <w:ind w:left="567"/>
      </w:pPr>
      <w:r w:rsidRPr="00C25ADB">
        <w:t xml:space="preserve">CWIQ – </w:t>
      </w:r>
      <w:r w:rsidR="0047037A">
        <w:tab/>
      </w:r>
      <w:r w:rsidRPr="00C25ADB">
        <w:t>Core Welfare Indicators Questionnaire</w:t>
      </w:r>
    </w:p>
    <w:p w14:paraId="19AAFB17" w14:textId="1E4F3CB4" w:rsidR="007058FF" w:rsidRPr="00C25ADB" w:rsidRDefault="007058FF" w:rsidP="00BB2985">
      <w:pPr>
        <w:pStyle w:val="SingleTxtG"/>
        <w:ind w:left="567"/>
      </w:pPr>
      <w:r w:rsidRPr="00C25ADB">
        <w:t xml:space="preserve">DGFA – </w:t>
      </w:r>
      <w:r w:rsidR="0047037A">
        <w:tab/>
      </w:r>
      <w:r w:rsidRPr="00C25ADB">
        <w:t>Division of Gender and Family Affairs</w:t>
      </w:r>
    </w:p>
    <w:p w14:paraId="4F6F623E" w14:textId="5EB9F094" w:rsidR="007058FF" w:rsidRPr="00C25ADB" w:rsidRDefault="007058FF" w:rsidP="00BB2985">
      <w:pPr>
        <w:pStyle w:val="SingleTxtG"/>
        <w:ind w:left="567"/>
      </w:pPr>
      <w:r w:rsidRPr="00C25ADB">
        <w:t xml:space="preserve">ECLAC – </w:t>
      </w:r>
      <w:r w:rsidR="0047037A">
        <w:tab/>
      </w:r>
      <w:r w:rsidRPr="00C25ADB">
        <w:t>Economic Commission for Latin America and the Caribbean</w:t>
      </w:r>
    </w:p>
    <w:p w14:paraId="7F18C9E6" w14:textId="7E109F3D" w:rsidR="007058FF" w:rsidRPr="00C25ADB" w:rsidRDefault="007058FF" w:rsidP="00BB2985">
      <w:pPr>
        <w:pStyle w:val="SingleTxtG"/>
        <w:ind w:left="567"/>
      </w:pPr>
      <w:r w:rsidRPr="00C25ADB">
        <w:t xml:space="preserve">EU – </w:t>
      </w:r>
      <w:r w:rsidR="0047037A">
        <w:tab/>
      </w:r>
      <w:r w:rsidRPr="00C25ADB">
        <w:t>European Union</w:t>
      </w:r>
    </w:p>
    <w:p w14:paraId="7506738A" w14:textId="468F2F26" w:rsidR="007058FF" w:rsidRPr="00C25ADB" w:rsidRDefault="007058FF" w:rsidP="00BB2985">
      <w:pPr>
        <w:pStyle w:val="SingleTxtG"/>
        <w:ind w:left="567"/>
      </w:pPr>
      <w:r w:rsidRPr="00C25ADB">
        <w:t xml:space="preserve">GABA – </w:t>
      </w:r>
      <w:r w:rsidR="0047037A">
        <w:tab/>
      </w:r>
      <w:r w:rsidRPr="00C25ADB">
        <w:t>Gender Aware Beneficiary Assessment</w:t>
      </w:r>
    </w:p>
    <w:p w14:paraId="138B600F" w14:textId="50FAF4D3" w:rsidR="007058FF" w:rsidRPr="00C25ADB" w:rsidRDefault="007058FF" w:rsidP="00BB2985">
      <w:pPr>
        <w:pStyle w:val="SingleTxtG"/>
        <w:ind w:left="567"/>
      </w:pPr>
      <w:r w:rsidRPr="00C25ADB">
        <w:t xml:space="preserve">GBV – </w:t>
      </w:r>
      <w:r w:rsidR="0047037A">
        <w:tab/>
      </w:r>
      <w:r w:rsidRPr="00C25ADB">
        <w:t>Gender-Based Violence</w:t>
      </w:r>
    </w:p>
    <w:p w14:paraId="64F0DAB7" w14:textId="424E4D5E" w:rsidR="007058FF" w:rsidRPr="00C25ADB" w:rsidRDefault="007058FF" w:rsidP="00BB2985">
      <w:pPr>
        <w:pStyle w:val="SingleTxtG"/>
        <w:ind w:left="567"/>
      </w:pPr>
      <w:r w:rsidRPr="00C25ADB">
        <w:t xml:space="preserve">GEPAP – </w:t>
      </w:r>
      <w:r w:rsidR="0047037A">
        <w:tab/>
      </w:r>
      <w:r w:rsidRPr="00C25ADB">
        <w:t>National Gender Equality Policy and Action Plan</w:t>
      </w:r>
    </w:p>
    <w:p w14:paraId="07039253" w14:textId="0DC46473" w:rsidR="007058FF" w:rsidRPr="00C25ADB" w:rsidRDefault="007058FF" w:rsidP="00BB2985">
      <w:pPr>
        <w:pStyle w:val="SingleTxtG"/>
        <w:ind w:left="567"/>
      </w:pPr>
      <w:r w:rsidRPr="00C25ADB">
        <w:t xml:space="preserve">GNCD – </w:t>
      </w:r>
      <w:r w:rsidR="0047037A">
        <w:tab/>
      </w:r>
      <w:r w:rsidRPr="00C25ADB">
        <w:t>Grenada National Council of the Disabled</w:t>
      </w:r>
    </w:p>
    <w:p w14:paraId="2F112696" w14:textId="5384191E" w:rsidR="007058FF" w:rsidRPr="00C25ADB" w:rsidRDefault="007058FF" w:rsidP="00BB2985">
      <w:pPr>
        <w:pStyle w:val="SingleTxtG"/>
        <w:ind w:left="567"/>
      </w:pPr>
      <w:r w:rsidRPr="00C25ADB">
        <w:t xml:space="preserve">GNOW – </w:t>
      </w:r>
      <w:r w:rsidR="0047037A">
        <w:tab/>
      </w:r>
      <w:r w:rsidRPr="00C25ADB">
        <w:t>Grenada National Organisation of Women Inc.</w:t>
      </w:r>
    </w:p>
    <w:p w14:paraId="40021751" w14:textId="0EB1BBF3" w:rsidR="007058FF" w:rsidRPr="00C25ADB" w:rsidRDefault="007058FF" w:rsidP="00BB2985">
      <w:pPr>
        <w:pStyle w:val="SingleTxtG"/>
        <w:ind w:left="567"/>
      </w:pPr>
      <w:r w:rsidRPr="00C25ADB">
        <w:t xml:space="preserve">GRENROP – </w:t>
      </w:r>
      <w:r w:rsidR="0047037A">
        <w:tab/>
      </w:r>
      <w:r w:rsidRPr="00C25ADB">
        <w:t>Grenada Network of Rural Women Producers</w:t>
      </w:r>
    </w:p>
    <w:p w14:paraId="2B455B90" w14:textId="219C92A0" w:rsidR="007058FF" w:rsidRPr="00C25ADB" w:rsidRDefault="007058FF" w:rsidP="00BB2985">
      <w:pPr>
        <w:pStyle w:val="SingleTxtG"/>
        <w:ind w:left="567"/>
      </w:pPr>
      <w:r w:rsidRPr="00C25ADB">
        <w:t xml:space="preserve">GREP – </w:t>
      </w:r>
      <w:r w:rsidR="0047037A">
        <w:tab/>
      </w:r>
      <w:r w:rsidRPr="00C25ADB">
        <w:t>Grenada Rural Enterprise Project</w:t>
      </w:r>
    </w:p>
    <w:p w14:paraId="1ED674B0" w14:textId="0A34AB4E" w:rsidR="007058FF" w:rsidRPr="00C25ADB" w:rsidRDefault="007058FF" w:rsidP="00BB2985">
      <w:pPr>
        <w:pStyle w:val="SingleTxtG"/>
        <w:ind w:left="567"/>
      </w:pPr>
      <w:r w:rsidRPr="00C25ADB">
        <w:t xml:space="preserve">GPPA – </w:t>
      </w:r>
      <w:r w:rsidR="0047037A">
        <w:tab/>
      </w:r>
      <w:r w:rsidRPr="00C25ADB">
        <w:t>Grenada Planned Parenthood Association</w:t>
      </w:r>
    </w:p>
    <w:p w14:paraId="24474175" w14:textId="10117EA8" w:rsidR="007058FF" w:rsidRPr="00C25ADB" w:rsidRDefault="007058FF" w:rsidP="00BB2985">
      <w:pPr>
        <w:pStyle w:val="SingleTxtG"/>
        <w:ind w:left="567"/>
      </w:pPr>
      <w:r w:rsidRPr="00C25ADB">
        <w:t xml:space="preserve">GWPC – </w:t>
      </w:r>
      <w:r w:rsidR="0047037A">
        <w:tab/>
      </w:r>
      <w:r w:rsidRPr="00C25ADB">
        <w:t>Grenada Women’s Parliamentary Caucus</w:t>
      </w:r>
    </w:p>
    <w:p w14:paraId="5CA6DDD9" w14:textId="0DE11C90" w:rsidR="007058FF" w:rsidRPr="00C25ADB" w:rsidRDefault="007058FF" w:rsidP="00BB2985">
      <w:pPr>
        <w:pStyle w:val="SingleTxtG"/>
        <w:ind w:left="567"/>
      </w:pPr>
      <w:r w:rsidRPr="00C25ADB">
        <w:t xml:space="preserve">HDI – </w:t>
      </w:r>
      <w:r w:rsidR="0047037A">
        <w:tab/>
      </w:r>
      <w:r w:rsidRPr="00C25ADB">
        <w:t>Human Development Index</w:t>
      </w:r>
    </w:p>
    <w:p w14:paraId="0899BE74" w14:textId="5211BF34" w:rsidR="007058FF" w:rsidRPr="00C25ADB" w:rsidRDefault="007058FF" w:rsidP="00BB2985">
      <w:pPr>
        <w:pStyle w:val="SingleTxtG"/>
        <w:ind w:left="567"/>
      </w:pPr>
      <w:r w:rsidRPr="00C25ADB">
        <w:t xml:space="preserve">HFLE – </w:t>
      </w:r>
      <w:r w:rsidR="0047037A">
        <w:tab/>
      </w:r>
      <w:r w:rsidRPr="00C25ADB">
        <w:t>Health and Family Life Education</w:t>
      </w:r>
    </w:p>
    <w:p w14:paraId="0D2C1BD8" w14:textId="47D50446" w:rsidR="007058FF" w:rsidRPr="00C25ADB" w:rsidRDefault="007058FF" w:rsidP="00BB2985">
      <w:pPr>
        <w:pStyle w:val="SingleTxtG"/>
        <w:ind w:left="567"/>
      </w:pPr>
      <w:r w:rsidRPr="00C25ADB">
        <w:t xml:space="preserve">HIV/AIDS – </w:t>
      </w:r>
      <w:r w:rsidR="0047037A">
        <w:tab/>
      </w:r>
      <w:r w:rsidRPr="00C25ADB">
        <w:t>Human Immunodeficiency Virus / Acquired Immune Deficiency Syndrome</w:t>
      </w:r>
    </w:p>
    <w:p w14:paraId="7034EDAE" w14:textId="4C3C7EB0" w:rsidR="007058FF" w:rsidRPr="00C25ADB" w:rsidRDefault="007058FF" w:rsidP="00BB2985">
      <w:pPr>
        <w:pStyle w:val="SingleTxtG"/>
        <w:ind w:left="567"/>
      </w:pPr>
      <w:r w:rsidRPr="00C25ADB">
        <w:t xml:space="preserve">ICT – </w:t>
      </w:r>
      <w:r w:rsidR="0047037A">
        <w:tab/>
      </w:r>
      <w:r w:rsidRPr="00C25ADB">
        <w:t>Information and Communication Technology</w:t>
      </w:r>
    </w:p>
    <w:p w14:paraId="398F1F9A" w14:textId="28512671" w:rsidR="007058FF" w:rsidRPr="00C25ADB" w:rsidRDefault="007058FF" w:rsidP="00BB2985">
      <w:pPr>
        <w:pStyle w:val="SingleTxtG"/>
        <w:ind w:left="567"/>
      </w:pPr>
      <w:r w:rsidRPr="00C25ADB">
        <w:t xml:space="preserve">ILO – </w:t>
      </w:r>
      <w:r w:rsidR="0047037A">
        <w:tab/>
      </w:r>
      <w:r w:rsidRPr="00C25ADB">
        <w:t>International Labour Organization</w:t>
      </w:r>
    </w:p>
    <w:p w14:paraId="42BC264B" w14:textId="04C8D99E" w:rsidR="007058FF" w:rsidRPr="00C25ADB" w:rsidRDefault="007058FF" w:rsidP="00BB2985">
      <w:pPr>
        <w:pStyle w:val="SingleTxtG"/>
        <w:ind w:left="567"/>
      </w:pPr>
      <w:r w:rsidRPr="00C25ADB">
        <w:t xml:space="preserve">LACC – </w:t>
      </w:r>
      <w:r w:rsidR="0047037A">
        <w:tab/>
      </w:r>
      <w:r w:rsidRPr="00C25ADB">
        <w:t>Legal Aid and Counselling Clinic</w:t>
      </w:r>
    </w:p>
    <w:p w14:paraId="4715F2CC" w14:textId="28DB6BF2" w:rsidR="007058FF" w:rsidRPr="00C25ADB" w:rsidRDefault="007058FF" w:rsidP="00BB2985">
      <w:pPr>
        <w:pStyle w:val="SingleTxtG"/>
        <w:ind w:left="567"/>
      </w:pPr>
      <w:r w:rsidRPr="00C25ADB">
        <w:t xml:space="preserve">LFS – </w:t>
      </w:r>
      <w:r w:rsidR="0047037A">
        <w:tab/>
      </w:r>
      <w:r w:rsidRPr="00C25ADB">
        <w:t>Labour Force Survey</w:t>
      </w:r>
    </w:p>
    <w:p w14:paraId="30105700" w14:textId="429352C7" w:rsidR="007058FF" w:rsidRPr="00C25ADB" w:rsidRDefault="007058FF" w:rsidP="00BB2985">
      <w:pPr>
        <w:pStyle w:val="SingleTxtG"/>
        <w:ind w:left="567"/>
      </w:pPr>
      <w:r w:rsidRPr="00C25ADB">
        <w:t xml:space="preserve">MCO – </w:t>
      </w:r>
      <w:r w:rsidR="0047037A">
        <w:tab/>
      </w:r>
      <w:r w:rsidRPr="00C25ADB">
        <w:t>Multi-Country Office (UN Women Caribbean)</w:t>
      </w:r>
    </w:p>
    <w:p w14:paraId="7DE65B23" w14:textId="4F9C847B" w:rsidR="007058FF" w:rsidRPr="00C25ADB" w:rsidRDefault="007058FF" w:rsidP="00BB2985">
      <w:pPr>
        <w:pStyle w:val="SingleTxtG"/>
        <w:ind w:left="567"/>
      </w:pPr>
      <w:r w:rsidRPr="00C25ADB">
        <w:t xml:space="preserve">MoA – </w:t>
      </w:r>
      <w:r w:rsidR="0047037A">
        <w:tab/>
      </w:r>
      <w:r w:rsidRPr="00C25ADB">
        <w:t>Ministry of Agriculture</w:t>
      </w:r>
    </w:p>
    <w:p w14:paraId="09433A24" w14:textId="3E75FDF5" w:rsidR="007058FF" w:rsidRPr="00C25ADB" w:rsidRDefault="007058FF" w:rsidP="00BB2985">
      <w:pPr>
        <w:pStyle w:val="SingleTxtG"/>
        <w:ind w:left="567"/>
      </w:pPr>
      <w:r w:rsidRPr="00C25ADB">
        <w:t xml:space="preserve">MoF – </w:t>
      </w:r>
      <w:r w:rsidR="0047037A">
        <w:tab/>
      </w:r>
      <w:r w:rsidRPr="00C25ADB">
        <w:t>Ministry of Finance</w:t>
      </w:r>
    </w:p>
    <w:p w14:paraId="731A2442" w14:textId="1A4AB106" w:rsidR="007058FF" w:rsidRPr="00C25ADB" w:rsidRDefault="007058FF" w:rsidP="00BB2985">
      <w:pPr>
        <w:pStyle w:val="SingleTxtG"/>
        <w:ind w:left="567"/>
      </w:pPr>
      <w:r w:rsidRPr="00C25ADB">
        <w:lastRenderedPageBreak/>
        <w:t xml:space="preserve">MoH – </w:t>
      </w:r>
      <w:r w:rsidR="0047037A">
        <w:tab/>
      </w:r>
      <w:r w:rsidRPr="00C25ADB">
        <w:t>Ministry of Health</w:t>
      </w:r>
    </w:p>
    <w:p w14:paraId="4CEDE61F" w14:textId="632EED19" w:rsidR="007058FF" w:rsidRPr="00C25ADB" w:rsidRDefault="007058FF" w:rsidP="00BB2985">
      <w:pPr>
        <w:pStyle w:val="SingleTxtG"/>
        <w:ind w:left="567"/>
      </w:pPr>
      <w:r w:rsidRPr="00C25ADB">
        <w:t xml:space="preserve">MoU – </w:t>
      </w:r>
      <w:r w:rsidR="0047037A">
        <w:tab/>
      </w:r>
      <w:r w:rsidRPr="00C25ADB">
        <w:t>Memorandum of Understanding</w:t>
      </w:r>
    </w:p>
    <w:p w14:paraId="5DA20DB3" w14:textId="708C3ACD" w:rsidR="007058FF" w:rsidRPr="00C25ADB" w:rsidRDefault="007058FF" w:rsidP="00BB2985">
      <w:pPr>
        <w:pStyle w:val="SingleTxtG"/>
        <w:ind w:left="567"/>
      </w:pPr>
      <w:r w:rsidRPr="00C25ADB">
        <w:t>NSDP 2035 – National Sustainable Development Plan 2020–2035</w:t>
      </w:r>
    </w:p>
    <w:p w14:paraId="2CF46F16" w14:textId="761A9CA8" w:rsidR="007058FF" w:rsidRPr="00C25ADB" w:rsidRDefault="007058FF" w:rsidP="00BB2985">
      <w:pPr>
        <w:pStyle w:val="SingleTxtG"/>
        <w:ind w:left="567"/>
      </w:pPr>
      <w:r w:rsidRPr="00C25ADB">
        <w:t xml:space="preserve">NGO – </w:t>
      </w:r>
      <w:r w:rsidR="0047037A">
        <w:tab/>
      </w:r>
      <w:r w:rsidRPr="00C25ADB">
        <w:t>Non-Governmental Organization</w:t>
      </w:r>
    </w:p>
    <w:p w14:paraId="3856576A" w14:textId="5080BE8A" w:rsidR="007058FF" w:rsidRPr="00C25ADB" w:rsidRDefault="007058FF" w:rsidP="00BB2985">
      <w:pPr>
        <w:pStyle w:val="SingleTxtG"/>
        <w:ind w:left="567"/>
      </w:pPr>
      <w:r w:rsidRPr="00C25ADB">
        <w:t xml:space="preserve">NIS – </w:t>
      </w:r>
      <w:r w:rsidR="0047037A">
        <w:tab/>
      </w:r>
      <w:r w:rsidRPr="00C25ADB">
        <w:t>National Insurance Scheme</w:t>
      </w:r>
    </w:p>
    <w:p w14:paraId="63644EBA" w14:textId="23A37308" w:rsidR="007058FF" w:rsidRPr="00C25ADB" w:rsidRDefault="007058FF" w:rsidP="00BB2985">
      <w:pPr>
        <w:pStyle w:val="SingleTxtG"/>
        <w:ind w:left="567"/>
      </w:pPr>
      <w:r w:rsidRPr="00C25ADB">
        <w:t xml:space="preserve">NTA – </w:t>
      </w:r>
      <w:r w:rsidR="0047037A">
        <w:tab/>
      </w:r>
      <w:r w:rsidRPr="00C25ADB">
        <w:t>National Training Agency</w:t>
      </w:r>
    </w:p>
    <w:p w14:paraId="1A2D31E1" w14:textId="5AEF2676" w:rsidR="007058FF" w:rsidRPr="00C25ADB" w:rsidRDefault="007058FF" w:rsidP="00BB2985">
      <w:pPr>
        <w:pStyle w:val="SingleTxtG"/>
        <w:ind w:left="567"/>
      </w:pPr>
      <w:r w:rsidRPr="00C25ADB">
        <w:t xml:space="preserve">OAS – </w:t>
      </w:r>
      <w:r w:rsidR="0047037A">
        <w:tab/>
      </w:r>
      <w:r w:rsidRPr="00C25ADB">
        <w:t>Organization of American States</w:t>
      </w:r>
    </w:p>
    <w:p w14:paraId="52DF4553" w14:textId="4940EDC9" w:rsidR="007058FF" w:rsidRPr="00C25ADB" w:rsidRDefault="007058FF" w:rsidP="00BB2985">
      <w:pPr>
        <w:pStyle w:val="SingleTxtG"/>
        <w:ind w:left="567"/>
      </w:pPr>
      <w:r w:rsidRPr="00C25ADB">
        <w:t xml:space="preserve">OECS – </w:t>
      </w:r>
      <w:r w:rsidR="0047037A">
        <w:tab/>
      </w:r>
      <w:r w:rsidRPr="00C25ADB">
        <w:t>Organisation of Eastern Caribbean States</w:t>
      </w:r>
    </w:p>
    <w:p w14:paraId="5A737105" w14:textId="69AA6711" w:rsidR="007058FF" w:rsidRPr="00C25ADB" w:rsidRDefault="007058FF" w:rsidP="00BB2985">
      <w:pPr>
        <w:pStyle w:val="SingleTxtG"/>
        <w:ind w:left="567"/>
      </w:pPr>
      <w:r w:rsidRPr="00C25ADB">
        <w:t xml:space="preserve">OPD – </w:t>
      </w:r>
      <w:r w:rsidR="0047037A">
        <w:tab/>
      </w:r>
      <w:r w:rsidRPr="00C25ADB">
        <w:t>Organisation of Persons with Disabilities</w:t>
      </w:r>
    </w:p>
    <w:p w14:paraId="19C3ADED" w14:textId="657236BA" w:rsidR="007058FF" w:rsidRPr="00C25ADB" w:rsidRDefault="007058FF" w:rsidP="00BB2985">
      <w:pPr>
        <w:pStyle w:val="SingleTxtG"/>
        <w:ind w:left="567"/>
      </w:pPr>
      <w:r w:rsidRPr="00C25ADB">
        <w:t xml:space="preserve">PAM – </w:t>
      </w:r>
      <w:r w:rsidR="0047037A">
        <w:tab/>
      </w:r>
      <w:r w:rsidRPr="00C25ADB">
        <w:t>Programme for Adolescent Mothers</w:t>
      </w:r>
    </w:p>
    <w:p w14:paraId="02F4202A" w14:textId="1ECE251B" w:rsidR="007058FF" w:rsidRPr="00C25ADB" w:rsidRDefault="007058FF" w:rsidP="00BB2985">
      <w:pPr>
        <w:pStyle w:val="SingleTxtG"/>
        <w:ind w:left="567"/>
      </w:pPr>
      <w:r w:rsidRPr="00C25ADB">
        <w:t xml:space="preserve">PS – </w:t>
      </w:r>
      <w:r w:rsidR="0047037A">
        <w:tab/>
      </w:r>
      <w:r w:rsidRPr="00C25ADB">
        <w:t>Permanent Secretary</w:t>
      </w:r>
    </w:p>
    <w:p w14:paraId="6A828E2C" w14:textId="1DCB6428" w:rsidR="007058FF" w:rsidRPr="00C25ADB" w:rsidRDefault="007058FF" w:rsidP="00BB2985">
      <w:pPr>
        <w:pStyle w:val="SingleTxtG"/>
        <w:ind w:left="567"/>
      </w:pPr>
      <w:r w:rsidRPr="00C25ADB">
        <w:t xml:space="preserve">RGPF – </w:t>
      </w:r>
      <w:r w:rsidR="0047037A">
        <w:tab/>
      </w:r>
      <w:r w:rsidRPr="00C25ADB">
        <w:t>Royal Grenada Police Force</w:t>
      </w:r>
    </w:p>
    <w:p w14:paraId="2D95208E" w14:textId="17EA97B9" w:rsidR="007058FF" w:rsidRPr="00C25ADB" w:rsidRDefault="007058FF" w:rsidP="00BB2985">
      <w:pPr>
        <w:pStyle w:val="SingleTxtG"/>
        <w:ind w:left="567"/>
      </w:pPr>
      <w:r w:rsidRPr="00C25ADB">
        <w:t xml:space="preserve">SAEP – </w:t>
      </w:r>
      <w:r w:rsidR="0047037A">
        <w:tab/>
      </w:r>
      <w:r w:rsidRPr="00C25ADB">
        <w:t>Climate-Smart Agriculture and Rural Enterprise Programme</w:t>
      </w:r>
    </w:p>
    <w:p w14:paraId="4D0EA7A6" w14:textId="6E002DD1" w:rsidR="007058FF" w:rsidRPr="00C25ADB" w:rsidRDefault="007058FF" w:rsidP="00BB2985">
      <w:pPr>
        <w:pStyle w:val="SingleTxtG"/>
        <w:ind w:left="567"/>
      </w:pPr>
      <w:r w:rsidRPr="00C25ADB">
        <w:t xml:space="preserve">SDG – </w:t>
      </w:r>
      <w:r w:rsidR="0047037A">
        <w:tab/>
      </w:r>
      <w:r w:rsidRPr="00C25ADB">
        <w:t>Sustainable Development Goal</w:t>
      </w:r>
    </w:p>
    <w:p w14:paraId="464270C2" w14:textId="0866E231" w:rsidR="007058FF" w:rsidRPr="00C25ADB" w:rsidRDefault="007058FF" w:rsidP="00BB2985">
      <w:pPr>
        <w:pStyle w:val="SingleTxtG"/>
        <w:ind w:left="567"/>
      </w:pPr>
      <w:r w:rsidRPr="00C25ADB">
        <w:t xml:space="preserve">SEED – </w:t>
      </w:r>
      <w:r w:rsidR="0047037A">
        <w:tab/>
      </w:r>
      <w:r w:rsidRPr="00C25ADB">
        <w:t>Support for Education, Empowerment and Development</w:t>
      </w:r>
    </w:p>
    <w:p w14:paraId="7DEC9A10" w14:textId="3320B259" w:rsidR="007058FF" w:rsidRPr="00C25ADB" w:rsidRDefault="007058FF" w:rsidP="00BB2985">
      <w:pPr>
        <w:pStyle w:val="SingleTxtG"/>
        <w:ind w:left="567"/>
      </w:pPr>
      <w:r w:rsidRPr="00C25ADB">
        <w:t xml:space="preserve">SIG – </w:t>
      </w:r>
      <w:r w:rsidR="0047037A">
        <w:tab/>
      </w:r>
      <w:r w:rsidRPr="00C25ADB">
        <w:t>Soroptimist International Grenada</w:t>
      </w:r>
    </w:p>
    <w:p w14:paraId="78DF64F9" w14:textId="488BB80D" w:rsidR="007058FF" w:rsidRPr="00C25ADB" w:rsidRDefault="007058FF" w:rsidP="00BB2985">
      <w:pPr>
        <w:pStyle w:val="SingleTxtG"/>
        <w:ind w:left="567"/>
      </w:pPr>
      <w:r w:rsidRPr="00C25ADB">
        <w:t xml:space="preserve">SRH – </w:t>
      </w:r>
      <w:r w:rsidR="0047037A">
        <w:tab/>
      </w:r>
      <w:r w:rsidRPr="00C25ADB">
        <w:t>Sexual and Reproductive Health</w:t>
      </w:r>
    </w:p>
    <w:p w14:paraId="2D31ACC1" w14:textId="1EB60933" w:rsidR="007058FF" w:rsidRPr="00C25ADB" w:rsidRDefault="007058FF" w:rsidP="00BB2985">
      <w:pPr>
        <w:pStyle w:val="SingleTxtG"/>
        <w:ind w:left="567"/>
      </w:pPr>
      <w:r w:rsidRPr="00C25ADB">
        <w:t xml:space="preserve">SRO – </w:t>
      </w:r>
      <w:r w:rsidR="0047037A">
        <w:tab/>
      </w:r>
      <w:r w:rsidRPr="00C25ADB">
        <w:t>Statutory Rules and Orders</w:t>
      </w:r>
    </w:p>
    <w:p w14:paraId="65BD2B2C" w14:textId="3DC737D7" w:rsidR="007058FF" w:rsidRPr="00C25ADB" w:rsidRDefault="007058FF" w:rsidP="00BB2985">
      <w:pPr>
        <w:pStyle w:val="SingleTxtG"/>
        <w:ind w:left="567"/>
      </w:pPr>
      <w:r w:rsidRPr="00C25ADB">
        <w:t xml:space="preserve">STEM – </w:t>
      </w:r>
      <w:r w:rsidR="0047037A">
        <w:tab/>
      </w:r>
      <w:r w:rsidRPr="00C25ADB">
        <w:t>Science, Technology, Engineering and Mathematics</w:t>
      </w:r>
    </w:p>
    <w:p w14:paraId="252E26A1" w14:textId="582C7D13" w:rsidR="007058FF" w:rsidRPr="00C25ADB" w:rsidRDefault="007058FF" w:rsidP="00BB2985">
      <w:pPr>
        <w:pStyle w:val="SingleTxtG"/>
        <w:ind w:left="567"/>
      </w:pPr>
      <w:r w:rsidRPr="00C25ADB">
        <w:t xml:space="preserve">TVET – </w:t>
      </w:r>
      <w:r w:rsidR="0047037A">
        <w:tab/>
      </w:r>
      <w:r w:rsidRPr="00C25ADB">
        <w:t>Technical and Vocational Education and Training</w:t>
      </w:r>
    </w:p>
    <w:p w14:paraId="768CBAB0" w14:textId="3639883E" w:rsidR="007058FF" w:rsidRPr="00C25ADB" w:rsidRDefault="007058FF" w:rsidP="00BB2985">
      <w:pPr>
        <w:pStyle w:val="SingleTxtG"/>
        <w:ind w:left="567"/>
      </w:pPr>
      <w:r w:rsidRPr="00C25ADB">
        <w:t xml:space="preserve">UN – </w:t>
      </w:r>
      <w:r w:rsidR="0047037A">
        <w:tab/>
      </w:r>
      <w:r w:rsidRPr="00C25ADB">
        <w:t>United Nations</w:t>
      </w:r>
    </w:p>
    <w:p w14:paraId="0FE2E7BA" w14:textId="6110E053" w:rsidR="007058FF" w:rsidRPr="00C25ADB" w:rsidRDefault="007058FF" w:rsidP="00BB2985">
      <w:pPr>
        <w:pStyle w:val="SingleTxtG"/>
        <w:ind w:left="567"/>
      </w:pPr>
      <w:r w:rsidRPr="00C25ADB">
        <w:t xml:space="preserve">UNDP – </w:t>
      </w:r>
      <w:r w:rsidR="00FE47D5">
        <w:tab/>
      </w:r>
      <w:r w:rsidRPr="00C25ADB">
        <w:t>United Nations Development Programme</w:t>
      </w:r>
    </w:p>
    <w:p w14:paraId="0EE092BB" w14:textId="12899BDA" w:rsidR="007058FF" w:rsidRPr="00C25ADB" w:rsidRDefault="007058FF" w:rsidP="00BB2985">
      <w:pPr>
        <w:pStyle w:val="SingleTxtG"/>
        <w:ind w:left="567"/>
      </w:pPr>
      <w:r w:rsidRPr="00C25ADB">
        <w:t xml:space="preserve">UNESCO – </w:t>
      </w:r>
      <w:r w:rsidR="0047037A">
        <w:tab/>
      </w:r>
      <w:r w:rsidRPr="00C25ADB">
        <w:t>United Nations Educational, Scientific and Cultural Organization</w:t>
      </w:r>
    </w:p>
    <w:p w14:paraId="5869C056" w14:textId="442CAE1F" w:rsidR="007058FF" w:rsidRPr="00C25ADB" w:rsidRDefault="007058FF" w:rsidP="00BB2985">
      <w:pPr>
        <w:pStyle w:val="SingleTxtG"/>
        <w:ind w:left="567"/>
      </w:pPr>
      <w:r w:rsidRPr="00C25ADB">
        <w:t xml:space="preserve">UNFPA – </w:t>
      </w:r>
      <w:r w:rsidR="0047037A">
        <w:tab/>
      </w:r>
      <w:r w:rsidRPr="00C25ADB">
        <w:t>United Nations Population Fund</w:t>
      </w:r>
    </w:p>
    <w:p w14:paraId="6C048A1E" w14:textId="0120B062" w:rsidR="007058FF" w:rsidRPr="00C25ADB" w:rsidRDefault="007058FF" w:rsidP="00BB2985">
      <w:pPr>
        <w:pStyle w:val="SingleTxtG"/>
        <w:ind w:left="567"/>
      </w:pPr>
      <w:r w:rsidRPr="00C25ADB">
        <w:t xml:space="preserve">UNICEF – </w:t>
      </w:r>
      <w:r w:rsidR="0047037A">
        <w:tab/>
      </w:r>
      <w:r w:rsidRPr="00C25ADB">
        <w:t>United Nations Children’s Fund</w:t>
      </w:r>
    </w:p>
    <w:p w14:paraId="053389CD" w14:textId="5E1B6043" w:rsidR="007058FF" w:rsidRPr="00C25ADB" w:rsidRDefault="007058FF" w:rsidP="00BB2985">
      <w:pPr>
        <w:pStyle w:val="SingleTxtG"/>
        <w:ind w:left="567"/>
      </w:pPr>
      <w:r w:rsidRPr="00C25ADB">
        <w:t xml:space="preserve">UPR – </w:t>
      </w:r>
      <w:r w:rsidR="0047037A">
        <w:tab/>
      </w:r>
      <w:r w:rsidRPr="00C25ADB">
        <w:t>Universal Periodic Review</w:t>
      </w:r>
    </w:p>
    <w:p w14:paraId="253A3C57" w14:textId="5B48E12D" w:rsidR="007058FF" w:rsidRPr="00C25ADB" w:rsidRDefault="007058FF" w:rsidP="00BB2985">
      <w:pPr>
        <w:pStyle w:val="SingleTxtG"/>
        <w:ind w:left="567"/>
      </w:pPr>
      <w:r w:rsidRPr="00C25ADB">
        <w:t xml:space="preserve">WHO – </w:t>
      </w:r>
      <w:r w:rsidR="0047037A">
        <w:tab/>
      </w:r>
      <w:r w:rsidRPr="00C25ADB">
        <w:t>World Health Organization</w:t>
      </w:r>
    </w:p>
    <w:p w14:paraId="4629984B" w14:textId="15F363CD" w:rsidR="007058FF" w:rsidRPr="00C25ADB" w:rsidRDefault="007058FF" w:rsidP="00BB2985">
      <w:pPr>
        <w:pStyle w:val="SingleTxtG"/>
        <w:ind w:left="567"/>
      </w:pPr>
      <w:r w:rsidRPr="00C25ADB">
        <w:t xml:space="preserve">WHLES – </w:t>
      </w:r>
      <w:r w:rsidR="0047037A">
        <w:tab/>
      </w:r>
      <w:r w:rsidRPr="00C25ADB">
        <w:t>Women’s Health and Life Experiences Survey</w:t>
      </w:r>
    </w:p>
    <w:p w14:paraId="44C4420C" w14:textId="35486AE4" w:rsidR="007058FF" w:rsidRPr="00C25ADB" w:rsidRDefault="007058FF" w:rsidP="00BB2985">
      <w:pPr>
        <w:pStyle w:val="SingleTxtG"/>
        <w:ind w:left="567"/>
      </w:pPr>
      <w:r w:rsidRPr="00C25ADB">
        <w:t xml:space="preserve">YWiL – </w:t>
      </w:r>
      <w:r w:rsidR="0047037A">
        <w:tab/>
      </w:r>
      <w:r w:rsidRPr="00C25ADB">
        <w:t>Young Women in Leadership Programme</w:t>
      </w:r>
    </w:p>
    <w:p w14:paraId="3826A72B" w14:textId="5E0821AF" w:rsidR="00DB7CED" w:rsidRDefault="00DB7CED">
      <w:pPr>
        <w:suppressAutoHyphens w:val="0"/>
        <w:spacing w:after="200" w:line="276" w:lineRule="auto"/>
        <w:rPr>
          <w:rFonts w:eastAsiaTheme="minorHAnsi"/>
        </w:rPr>
      </w:pPr>
      <w:r>
        <w:br w:type="page"/>
      </w:r>
    </w:p>
    <w:p w14:paraId="3DE7EA2C" w14:textId="66206993" w:rsidR="007058FF" w:rsidRPr="007058FF" w:rsidRDefault="004034CB" w:rsidP="00DB7CED">
      <w:pPr>
        <w:pStyle w:val="HChG"/>
      </w:pPr>
      <w:r>
        <w:lastRenderedPageBreak/>
        <w:tab/>
        <w:t>I.</w:t>
      </w:r>
      <w:r>
        <w:tab/>
      </w:r>
      <w:r w:rsidR="007058FF" w:rsidRPr="007058FF">
        <w:t>Introduction</w:t>
      </w:r>
    </w:p>
    <w:p w14:paraId="3CD85774" w14:textId="048E0F66" w:rsidR="007058FF" w:rsidRPr="007058FF" w:rsidRDefault="007058FF" w:rsidP="000F01A8">
      <w:pPr>
        <w:pStyle w:val="SingleTxtG"/>
        <w:numPr>
          <w:ilvl w:val="0"/>
          <w:numId w:val="28"/>
        </w:numPr>
        <w:ind w:left="1134" w:firstLine="0"/>
      </w:pPr>
      <w:r w:rsidRPr="007058FF">
        <w:t>This is Grenada’s combined VI to VIII the periodic report on the implementation of the</w:t>
      </w:r>
      <w:r w:rsidR="004034CB">
        <w:t xml:space="preserve"> </w:t>
      </w:r>
      <w:r w:rsidRPr="007058FF">
        <w:t xml:space="preserve">Convention on the Elimination of All Forms of Discrimination against Women (hereinafter referred to as “CEDAW” or the “Convention”). The report has been prepared in accordance with Article 18 of CEDAW. The report responds to concluding observations and recommendations issued by the Committee after consideration of the combine I-IV report: Progress made on implementation of CEDAW. The report also gives an account of the progress made in implementing the provisions of the Convention during the period 2012 – 2024. The account of the progress made includes both the achievements and challenges encountered in the abovementioned implementation period. </w:t>
      </w:r>
    </w:p>
    <w:p w14:paraId="59940684" w14:textId="77777777" w:rsidR="007058FF" w:rsidRPr="007058FF" w:rsidRDefault="007058FF" w:rsidP="000F01A8">
      <w:pPr>
        <w:pStyle w:val="SingleTxtG"/>
        <w:numPr>
          <w:ilvl w:val="0"/>
          <w:numId w:val="28"/>
        </w:numPr>
        <w:ind w:left="1134" w:firstLine="0"/>
      </w:pPr>
      <w:r w:rsidRPr="007058FF">
        <w:t>The report was coordinated by the Division of Gender and Family Affairs (DGFA) within the Ministry of Social Development and Gender Affairs, Government of Grenada, in collaboration with relevant line ministries, statutory bodies, and national institutions. The preparation process was guided by a rigorous desk review of national legislation, policy documents, programme reports, and statistical data, complemented by a multi-stakeholder validation workshop.</w:t>
      </w:r>
    </w:p>
    <w:p w14:paraId="69BCE070" w14:textId="77777777" w:rsidR="007058FF" w:rsidRPr="007058FF" w:rsidRDefault="007058FF" w:rsidP="000F01A8">
      <w:pPr>
        <w:pStyle w:val="SingleTxtG"/>
        <w:numPr>
          <w:ilvl w:val="0"/>
          <w:numId w:val="28"/>
        </w:numPr>
        <w:ind w:left="1134" w:firstLine="0"/>
      </w:pPr>
      <w:r w:rsidRPr="007058FF">
        <w:t>This workshop engaged state and non-state actors, including representatives from government ministries and departments, civil society organizations, women’s and human rights groups, faith-based organizations (FBOs), academic institutions, and development partners. Their contributions ensured that the report reflects diverse perspectives and evidence-based assessments of progress and challenges related to gender equality and women’s rights in Grenada.</w:t>
      </w:r>
    </w:p>
    <w:p w14:paraId="72631DCA" w14:textId="77777777" w:rsidR="007058FF" w:rsidRPr="007058FF" w:rsidRDefault="007058FF" w:rsidP="000F01A8">
      <w:pPr>
        <w:pStyle w:val="SingleTxtG"/>
        <w:numPr>
          <w:ilvl w:val="0"/>
          <w:numId w:val="28"/>
        </w:numPr>
        <w:ind w:left="1134" w:firstLine="0"/>
      </w:pPr>
      <w:r w:rsidRPr="007058FF">
        <w:t>The participatory approach adopted in the preparation of this report demonstrates compliance with Paragraph 47 of the Committee’s Concluding Observations (CEDAW/C/GRD/CO/4-5), which calls upon the State party to ensure broad inter-ministerial collaboration and consultation with women’s and human rights organizations in the preparation of its periodic reports.</w:t>
      </w:r>
    </w:p>
    <w:p w14:paraId="76FE16C2" w14:textId="39CA22E5" w:rsidR="007058FF" w:rsidRPr="007058FF" w:rsidRDefault="002724A6" w:rsidP="002724A6">
      <w:pPr>
        <w:pStyle w:val="HChG"/>
      </w:pPr>
      <w:r>
        <w:tab/>
        <w:t>II.</w:t>
      </w:r>
      <w:r>
        <w:tab/>
      </w:r>
      <w:r w:rsidR="007058FF" w:rsidRPr="007058FF">
        <w:t>Progress in the implementation of the concluding observations and recommendations of the I-V reports</w:t>
      </w:r>
    </w:p>
    <w:p w14:paraId="223DFE8C" w14:textId="4AC78335" w:rsidR="007058FF" w:rsidRPr="007058FF" w:rsidRDefault="00F05A78" w:rsidP="00F05A78">
      <w:pPr>
        <w:pStyle w:val="H1G"/>
      </w:pPr>
      <w:r>
        <w:tab/>
      </w:r>
      <w:r>
        <w:tab/>
      </w:r>
      <w:r w:rsidR="007058FF" w:rsidRPr="007058FF">
        <w:t xml:space="preserve">Article 1 and 2: Definition of discrimination against women </w:t>
      </w:r>
    </w:p>
    <w:p w14:paraId="7B315B0C" w14:textId="77777777" w:rsidR="000E2305" w:rsidRDefault="007058FF" w:rsidP="000F01A8">
      <w:pPr>
        <w:pStyle w:val="SingleTxtG"/>
        <w:numPr>
          <w:ilvl w:val="0"/>
          <w:numId w:val="28"/>
        </w:numPr>
        <w:ind w:left="1134" w:firstLine="0"/>
      </w:pPr>
      <w:r w:rsidRPr="007058FF">
        <w:t>The Government of Grenada is advancing legal and institutional reforms to give effect to the principles of equality and non-discrimination as set out in Articles 1 and 2 of the Convention. The Constitution of Grenada (1973) grants that:</w:t>
      </w:r>
      <w:r w:rsidR="000E2305">
        <w:t xml:space="preserve"> </w:t>
      </w:r>
    </w:p>
    <w:p w14:paraId="0D02F7DD" w14:textId="1A4C464B" w:rsidR="007058FF" w:rsidRPr="007058FF" w:rsidRDefault="007058FF" w:rsidP="004D4B5D">
      <w:pPr>
        <w:pStyle w:val="Bullet2G"/>
      </w:pPr>
      <w:r w:rsidRPr="007058FF">
        <w:t>“</w:t>
      </w:r>
      <w:r w:rsidRPr="000E2305">
        <w:t>No law shall make any provision that is discriminatory either of itself or in its effect; and no person shall be treated in a discriminatory manner by any person acting by virtue of a written law or in performance of any public office</w:t>
      </w:r>
      <w:r w:rsidRPr="007058FF">
        <w:t xml:space="preserve">.”  </w:t>
      </w:r>
    </w:p>
    <w:p w14:paraId="45EB9D78" w14:textId="77777777" w:rsidR="007058FF" w:rsidRPr="007058FF" w:rsidRDefault="007058FF" w:rsidP="000F01A8">
      <w:pPr>
        <w:pStyle w:val="SingleTxtG"/>
        <w:numPr>
          <w:ilvl w:val="0"/>
          <w:numId w:val="28"/>
        </w:numPr>
        <w:ind w:left="1134" w:firstLine="0"/>
      </w:pPr>
      <w:r w:rsidRPr="007058FF">
        <w:t xml:space="preserve">This constitutional guarantee provides the foundational bedrock for further legislative and policy measures. Grenada’s legal framework provides an important foundation for the promotion of equality and non-discrimination between women and men. Several key pieces of legislation currently in force articulate the State’s commitment to upholding the principles of fairness, equal opportunity, and the protection of human rights. The </w:t>
      </w:r>
      <w:r w:rsidRPr="007058FF">
        <w:rPr>
          <w:i/>
          <w:iCs/>
        </w:rPr>
        <w:t>Employment Act (1999)</w:t>
      </w:r>
      <w:r w:rsidRPr="007058FF">
        <w:t>, through Part IV, prohibits discrimination in employment on the grounds of sex, marital status, family responsibilities, or disability, while mandating equal pay for work of equal value. This provision aligns with Grenada’s obligations under the Convention and International Labour Organization (ILO) conventions, advancing equitable access to the labour market and the protection of working women, including those with caregiving responsibilities.</w:t>
      </w:r>
    </w:p>
    <w:p w14:paraId="0685469A" w14:textId="77777777" w:rsidR="007058FF" w:rsidRPr="007058FF" w:rsidRDefault="007058FF" w:rsidP="000F01A8">
      <w:pPr>
        <w:pStyle w:val="SingleTxtG"/>
        <w:numPr>
          <w:ilvl w:val="0"/>
          <w:numId w:val="28"/>
        </w:numPr>
        <w:ind w:left="1134" w:firstLine="0"/>
      </w:pPr>
      <w:r w:rsidRPr="007058FF">
        <w:t xml:space="preserve">The </w:t>
      </w:r>
      <w:r w:rsidRPr="007058FF">
        <w:rPr>
          <w:i/>
          <w:iCs/>
        </w:rPr>
        <w:t>Education Act (2002, amended 2024)</w:t>
      </w:r>
      <w:r w:rsidRPr="007058FF">
        <w:t xml:space="preserve"> reinforces equality in education by guaranteeing equal access to quality education for all students and extending compulsory schooling to age 18. This reform has strengthened opportunities for both girls and boys to </w:t>
      </w:r>
      <w:r w:rsidRPr="007058FF">
        <w:lastRenderedPageBreak/>
        <w:t xml:space="preserve">complete secondary education, improved adolescent retention, and reduced early school leaving. It also complements social protection programmes, such as the Support for Education, Empowerment and Development (SEED) initiative, which provides conditional cash transfers to low-income families, contributing to improved attendance and educational attainment among girls, particularly in rural areas.At the policy level, the </w:t>
      </w:r>
      <w:r w:rsidRPr="007058FF">
        <w:rPr>
          <w:i/>
          <w:iCs/>
        </w:rPr>
        <w:t>National Gender Equality Policy and Action Plan (GEPAP 2014–2024)</w:t>
      </w:r>
      <w:r w:rsidRPr="007058FF">
        <w:t xml:space="preserve">—approved by Cabinet and supported by UN Women—has served as a central instrument for guiding Grenada’s gender mainstreaming agenda across government. GEPAP establishes a cross-sectoral strategy that integrates gender perspectives into national planning, legislation, budgeting, and programme implementation. Its achievements include the introduction of gender-responsive budgeting processes, strengthened institutional capacity through the Inter-Ministerial Council of Gender Focal Points, and the development of national awareness and training programmes targeting public officers and community stakeholders. Building on these gains, preparatory work for a successor framework, </w:t>
      </w:r>
      <w:r w:rsidRPr="007058FF">
        <w:rPr>
          <w:i/>
          <w:iCs/>
        </w:rPr>
        <w:t>GEPAP 2025–2035</w:t>
      </w:r>
      <w:r w:rsidRPr="007058FF">
        <w:t>, supported by CUSO International, seeks to deepen monitoring, accountability, and the inclusion of emerging priorities such as digital inclusion, care economy development, and intersectional equality.</w:t>
      </w:r>
    </w:p>
    <w:p w14:paraId="03404A30" w14:textId="77777777" w:rsidR="007058FF" w:rsidRPr="007058FF" w:rsidRDefault="007058FF" w:rsidP="000F01A8">
      <w:pPr>
        <w:pStyle w:val="SingleTxtG"/>
        <w:numPr>
          <w:ilvl w:val="0"/>
          <w:numId w:val="28"/>
        </w:numPr>
        <w:ind w:left="1134" w:firstLine="0"/>
      </w:pPr>
      <w:r w:rsidRPr="007058FF">
        <w:t xml:space="preserve">Despite this progress, persistent gender gaps underscore the need for continued legislative and programmatic action. According to the </w:t>
      </w:r>
      <w:r w:rsidRPr="007058FF">
        <w:rPr>
          <w:i/>
          <w:iCs/>
        </w:rPr>
        <w:t>UN Women Country Fact Sheet for Grenada (2024)</w:t>
      </w:r>
      <w:r w:rsidRPr="007058FF">
        <w:t xml:space="preserve">, women held 31.3% of parliamentary seats as of February 2024, indicating steady but incomplete progress toward parity in decision-making. The </w:t>
      </w:r>
      <w:r w:rsidRPr="007058FF">
        <w:rPr>
          <w:i/>
          <w:iCs/>
        </w:rPr>
        <w:t>World Bank Gender Scorecard (2023)</w:t>
      </w:r>
      <w:r w:rsidRPr="007058FF">
        <w:t xml:space="preserve"> revealed that women’s labour force participation remains 12 percentage points lower than men’s, and that only 24% of firms in Grenada have female top managers—highlighting structural barriers to women’s economic empowerment. Meanwhile, the </w:t>
      </w:r>
      <w:r w:rsidRPr="007058FF">
        <w:rPr>
          <w:i/>
          <w:iCs/>
        </w:rPr>
        <w:t>2024 Gender Budget Statement</w:t>
      </w:r>
      <w:r w:rsidRPr="007058FF">
        <w:t xml:space="preserve"> assessed Grenada’s gender-related legal and policy frameworks at 66.7% for promotion, enforcement, and monitoring of gender equality, demonstrating progress while emphasizing the need for stronger institutional mechanisms and enforcement capacity. </w:t>
      </w:r>
    </w:p>
    <w:p w14:paraId="1E9499BD" w14:textId="77777777" w:rsidR="007058FF" w:rsidRPr="007058FF" w:rsidRDefault="007058FF" w:rsidP="000F01A8">
      <w:pPr>
        <w:pStyle w:val="SingleTxtG"/>
        <w:numPr>
          <w:ilvl w:val="0"/>
          <w:numId w:val="28"/>
        </w:numPr>
        <w:ind w:left="1134" w:firstLine="0"/>
      </w:pPr>
      <w:r w:rsidRPr="007058FF">
        <w:t xml:space="preserve">To address these gaps and strengthen the scope of legal protection, the Government, through collaboration between the Division of Gender and Family Affairs and the Ministry of Legal Affairs, conducted a comprehensive legal gap analysis under the </w:t>
      </w:r>
      <w:r w:rsidRPr="007058FF">
        <w:rPr>
          <w:i/>
          <w:iCs/>
        </w:rPr>
        <w:t>EU–UN Spotlight Initiative (2020–2024)</w:t>
      </w:r>
      <w:r w:rsidRPr="007058FF">
        <w:t xml:space="preserve">. This process informed several draft reforms aimed at aligning national laws with international standards. Among the key proposals are amendments to the </w:t>
      </w:r>
      <w:r w:rsidRPr="007058FF">
        <w:rPr>
          <w:i/>
          <w:iCs/>
        </w:rPr>
        <w:t>Domestic Violence Act (2010)</w:t>
      </w:r>
      <w:r w:rsidRPr="007058FF">
        <w:t xml:space="preserve"> to include emotional, psychological, and digital abuse; the drafting of new </w:t>
      </w:r>
      <w:r w:rsidRPr="007058FF">
        <w:rPr>
          <w:i/>
          <w:iCs/>
        </w:rPr>
        <w:t>Sexual Harassment Legislation</w:t>
      </w:r>
      <w:r w:rsidRPr="007058FF">
        <w:t xml:space="preserve"> to prohibit harassment in workplaces, schools, and online spaces; and proposed amendments to the </w:t>
      </w:r>
      <w:r w:rsidRPr="007058FF">
        <w:rPr>
          <w:i/>
          <w:iCs/>
        </w:rPr>
        <w:t>Criminal Code</w:t>
      </w:r>
      <w:r w:rsidRPr="007058FF">
        <w:t xml:space="preserve"> to harmonize sentencing for spousal and non-spousal rape and to establish a National Sex Offenders Register.</w:t>
      </w:r>
    </w:p>
    <w:p w14:paraId="6F1C7845" w14:textId="77777777" w:rsidR="007058FF" w:rsidRPr="007058FF" w:rsidRDefault="007058FF" w:rsidP="000F01A8">
      <w:pPr>
        <w:pStyle w:val="SingleTxtG"/>
        <w:numPr>
          <w:ilvl w:val="0"/>
          <w:numId w:val="28"/>
        </w:numPr>
        <w:ind w:left="1134" w:firstLine="0"/>
      </w:pPr>
      <w:r w:rsidRPr="007058FF">
        <w:t xml:space="preserve">Complementary public education and advocacy initiatives have reinforced these legal reforms by promoting behavioural and cultural change. National campaigns such as “I Respect Women”, the annual observance of the 16 Days of Activism Against Gender-Based Violence, and community-based outreach in Carriacou and Petite Martinique have engaged citizens, students, and faith-based organizations in dialogue on women’s rights, respect, and equality. These initiatives—coupled with the establishment of gender desks in schools and capacity-building for service providers—have contributed to greater public awareness and more survivor-centred service delivery. </w:t>
      </w:r>
    </w:p>
    <w:p w14:paraId="33E3D670" w14:textId="77777777" w:rsidR="007058FF" w:rsidRPr="007058FF" w:rsidRDefault="007058FF" w:rsidP="000F01A8">
      <w:pPr>
        <w:pStyle w:val="SingleTxtG"/>
        <w:numPr>
          <w:ilvl w:val="0"/>
          <w:numId w:val="28"/>
        </w:numPr>
        <w:ind w:left="1134" w:firstLine="0"/>
      </w:pPr>
      <w:r w:rsidRPr="007058FF">
        <w:t xml:space="preserve">Taken together, these legislative, policy, and social interventions represent a progressive evolution of Grenada’s national framework toward the realization of gender equality and non-discrimination. </w:t>
      </w:r>
    </w:p>
    <w:p w14:paraId="579CDB0C" w14:textId="74759536" w:rsidR="007058FF" w:rsidRPr="007058FF" w:rsidRDefault="00FE0E26" w:rsidP="00FE0E26">
      <w:pPr>
        <w:pStyle w:val="H1G"/>
      </w:pPr>
      <w:r>
        <w:tab/>
      </w:r>
      <w:r>
        <w:tab/>
      </w:r>
      <w:r w:rsidR="007058FF" w:rsidRPr="007058FF">
        <w:t>Legislative framework</w:t>
      </w:r>
    </w:p>
    <w:p w14:paraId="19F2CAEA" w14:textId="77777777" w:rsidR="007058FF" w:rsidRPr="007058FF" w:rsidRDefault="007058FF" w:rsidP="000F01A8">
      <w:pPr>
        <w:pStyle w:val="SingleTxtG"/>
        <w:numPr>
          <w:ilvl w:val="0"/>
          <w:numId w:val="28"/>
        </w:numPr>
        <w:ind w:left="1134" w:firstLine="0"/>
      </w:pPr>
      <w:r w:rsidRPr="007058FF">
        <w:t xml:space="preserve">Grenada has taken steps towards aligning its domestic legal and policy framework with the principles of the </w:t>
      </w:r>
      <w:r w:rsidRPr="007058FF">
        <w:rPr>
          <w:i/>
          <w:iCs/>
        </w:rPr>
        <w:t>Convention on the Elimination of All Forms of Discrimination against Women (CEDAW)</w:t>
      </w:r>
      <w:r w:rsidRPr="007058FF">
        <w:t xml:space="preserve">. While the most recent constitutional reform process did not advance to adoption, it provided an important platform for public engagement and national dialogue on equality and constitutional rights. Broad-based consultations during the reform </w:t>
      </w:r>
      <w:r w:rsidRPr="007058FF">
        <w:lastRenderedPageBreak/>
        <w:t>process involved civil society organizations, women’s groups, and community representatives, helping to raise awareness of gender equality and identify areas where greater legal protection may be needed.</w:t>
      </w:r>
    </w:p>
    <w:p w14:paraId="6BD4E0DB" w14:textId="77777777" w:rsidR="007058FF" w:rsidRPr="007058FF" w:rsidRDefault="007058FF" w:rsidP="000F01A8">
      <w:pPr>
        <w:pStyle w:val="SingleTxtG"/>
        <w:numPr>
          <w:ilvl w:val="0"/>
          <w:numId w:val="28"/>
        </w:numPr>
        <w:ind w:left="1134" w:firstLine="0"/>
      </w:pPr>
      <w:r w:rsidRPr="007058FF">
        <w:t xml:space="preserve">Several laws currently in force address aspects of discrimination and gender-based violence. The </w:t>
      </w:r>
      <w:r w:rsidRPr="007058FF">
        <w:rPr>
          <w:i/>
          <w:iCs/>
        </w:rPr>
        <w:t xml:space="preserve">Prevention of Trafficking in </w:t>
      </w:r>
      <w:r w:rsidRPr="000F01A8">
        <w:t>Persons</w:t>
      </w:r>
      <w:r w:rsidRPr="007058FF">
        <w:rPr>
          <w:i/>
          <w:iCs/>
        </w:rPr>
        <w:t xml:space="preserve"> Act (2014)</w:t>
      </w:r>
      <w:r w:rsidRPr="007058FF">
        <w:t xml:space="preserve"> includes comprehensive provisions that criminalize trafficking and exploitation, consistent with the Palermo Protocol. The </w:t>
      </w:r>
      <w:r w:rsidRPr="007058FF">
        <w:rPr>
          <w:i/>
          <w:iCs/>
        </w:rPr>
        <w:t>Criminal Code (Amendment) Act (2012)</w:t>
      </w:r>
      <w:r w:rsidRPr="007058FF">
        <w:t xml:space="preserve"> removed gender distinctions in sexual offence provisions and recognized marital rape as a criminal offence. The </w:t>
      </w:r>
      <w:r w:rsidRPr="007058FF">
        <w:rPr>
          <w:i/>
          <w:iCs/>
        </w:rPr>
        <w:t>Employment Act (1999)</w:t>
      </w:r>
      <w:r w:rsidRPr="007058FF">
        <w:t xml:space="preserve">, through Section 26, prohibits discrimination in hiring, promotion, and termination based on sex, marital status, family responsibilities, or disability. The </w:t>
      </w:r>
      <w:r w:rsidRPr="007058FF">
        <w:rPr>
          <w:i/>
          <w:iCs/>
        </w:rPr>
        <w:t>Electronic Crimes Act (2013)</w:t>
      </w:r>
      <w:r w:rsidRPr="007058FF">
        <w:t xml:space="preserve"> introduced protections against technology-related exploitation, including offences that disproportionately affect women and girls.</w:t>
      </w:r>
    </w:p>
    <w:p w14:paraId="3AD77D7B" w14:textId="77777777" w:rsidR="007058FF" w:rsidRPr="007058FF" w:rsidRDefault="007058FF" w:rsidP="000F01A8">
      <w:pPr>
        <w:pStyle w:val="SingleTxtG"/>
        <w:numPr>
          <w:ilvl w:val="0"/>
          <w:numId w:val="28"/>
        </w:numPr>
        <w:ind w:left="1134" w:firstLine="0"/>
      </w:pPr>
      <w:r w:rsidRPr="007058FF">
        <w:t xml:space="preserve">A number of legislative reviews and reform initiatives remain under consideration. Draft sexual harassment legislation is being developed in collaboration with the Ministry of Legal Affairs, the Attorney General’s Chambers, and the Division of Gender and Family Affairs under the </w:t>
      </w:r>
      <w:r w:rsidRPr="007058FF">
        <w:rPr>
          <w:i/>
          <w:iCs/>
        </w:rPr>
        <w:t>EU–UN Spotlight Initiative</w:t>
      </w:r>
      <w:r w:rsidRPr="007058FF">
        <w:t xml:space="preserve">. The proposed framework outlines definitions, reporting procedures, and employer responsibilities to address harassment in the workplace. The </w:t>
      </w:r>
      <w:r w:rsidRPr="007058FF">
        <w:rPr>
          <w:i/>
          <w:iCs/>
        </w:rPr>
        <w:t>Sexual Offences (Amendment) Bill</w:t>
      </w:r>
      <w:r w:rsidRPr="007058FF">
        <w:t xml:space="preserve"> is being reviewed to address sentencing inconsistencies, establish a sex offender registry, and modernize provisions relating to consent and adolescent relationships.</w:t>
      </w:r>
    </w:p>
    <w:p w14:paraId="28B94711" w14:textId="77777777" w:rsidR="007058FF" w:rsidRPr="007058FF" w:rsidRDefault="007058FF" w:rsidP="000F01A8">
      <w:pPr>
        <w:pStyle w:val="SingleTxtG"/>
        <w:numPr>
          <w:ilvl w:val="0"/>
          <w:numId w:val="28"/>
        </w:numPr>
        <w:ind w:left="1134" w:firstLine="0"/>
      </w:pPr>
      <w:r w:rsidRPr="007058FF">
        <w:t>Reviews are also ongoing in areas concerning birth registration, marriage, citizenship, and child protection. Work led by the Civil Registry and Legal Affairs Division has explored administrative and legislative adjustments related to registering births and marriages, parental consent for minors under 18, and the process for applying for citizenship and passports for children. These reviews are intended to ensure greater clarity, consistency, and accessibility within existing legal and administrative systems.</w:t>
      </w:r>
    </w:p>
    <w:p w14:paraId="73710659" w14:textId="77777777" w:rsidR="007058FF" w:rsidRPr="007058FF" w:rsidRDefault="007058FF" w:rsidP="000F01A8">
      <w:pPr>
        <w:pStyle w:val="SingleTxtG"/>
        <w:numPr>
          <w:ilvl w:val="0"/>
          <w:numId w:val="28"/>
        </w:numPr>
        <w:ind w:left="1134" w:firstLine="0"/>
      </w:pPr>
      <w:r w:rsidRPr="007058FF">
        <w:t xml:space="preserve">Institutionally, collaboration between the Division of Gender and Family Affairs and the Office of the Attorney General was strengthened through the </w:t>
      </w:r>
      <w:r w:rsidRPr="007058FF">
        <w:rPr>
          <w:i/>
          <w:iCs/>
        </w:rPr>
        <w:t>Spotlight Initiative</w:t>
      </w:r>
      <w:r w:rsidRPr="007058FF">
        <w:t xml:space="preserve"> under Pillar 2, promoting coordination on gender-responsive law and policy development. This partnership contributed to a more coherent approach to legislative drafting and encouraged greater integration of gender considerations across government.</w:t>
      </w:r>
    </w:p>
    <w:p w14:paraId="520D7D0A" w14:textId="77777777" w:rsidR="007058FF" w:rsidRPr="007058FF" w:rsidRDefault="007058FF" w:rsidP="000F01A8">
      <w:pPr>
        <w:pStyle w:val="SingleTxtG"/>
        <w:numPr>
          <w:ilvl w:val="0"/>
          <w:numId w:val="28"/>
        </w:numPr>
        <w:ind w:left="1134" w:firstLine="0"/>
      </w:pPr>
      <w:r w:rsidRPr="007058FF">
        <w:t>Grenada continues to review its legal framework to identify gaps and opportunities to advance gender equality. Efforts are informed by ongoing dialogue among government entities, civil society, and development partners, with an emphasis on practical measures that improve access to justice and protection for women and girls.</w:t>
      </w:r>
    </w:p>
    <w:p w14:paraId="3903443F" w14:textId="2A893B27" w:rsidR="007058FF" w:rsidRPr="007058FF" w:rsidRDefault="00FE0E26" w:rsidP="00FE0E26">
      <w:pPr>
        <w:pStyle w:val="H1G"/>
      </w:pPr>
      <w:r>
        <w:tab/>
      </w:r>
      <w:r>
        <w:tab/>
      </w:r>
      <w:r w:rsidR="007058FF" w:rsidRPr="007058FF">
        <w:t>Discriminatory laws</w:t>
      </w:r>
    </w:p>
    <w:p w14:paraId="27C8D0DA" w14:textId="77777777" w:rsidR="007058FF" w:rsidRPr="007058FF" w:rsidRDefault="007058FF" w:rsidP="000F01A8">
      <w:pPr>
        <w:pStyle w:val="SingleTxtG"/>
        <w:numPr>
          <w:ilvl w:val="0"/>
          <w:numId w:val="28"/>
        </w:numPr>
        <w:ind w:left="1134" w:firstLine="0"/>
      </w:pPr>
      <w:r w:rsidRPr="007058FF">
        <w:t>Grenada has undertaken a series of legislative and administrative reviews to align national laws and regulations with the principles of the Convention on the Elimination of All Forms of Discrimination against Women (CEDAW). These actions form part of the State’s broader legal reform agenda to remove gender-based disparities, promote equality before the law, and ensure women’s effective access to justice and public services.</w:t>
      </w:r>
    </w:p>
    <w:p w14:paraId="664C7D15" w14:textId="7C2C9897" w:rsidR="007058FF" w:rsidRPr="007058FF" w:rsidRDefault="00C73FDB" w:rsidP="00FE0E26">
      <w:pPr>
        <w:pStyle w:val="H23G"/>
      </w:pPr>
      <w:r>
        <w:tab/>
      </w:r>
      <w:r>
        <w:tab/>
      </w:r>
      <w:r w:rsidR="007058FF" w:rsidRPr="007058FF">
        <w:t>Legislative and Regulatory Review</w:t>
      </w:r>
    </w:p>
    <w:p w14:paraId="61C59FB9" w14:textId="77777777" w:rsidR="007058FF" w:rsidRPr="007058FF" w:rsidRDefault="007058FF" w:rsidP="000F01A8">
      <w:pPr>
        <w:pStyle w:val="SingleTxtG"/>
        <w:numPr>
          <w:ilvl w:val="0"/>
          <w:numId w:val="28"/>
        </w:numPr>
        <w:ind w:left="1134" w:firstLine="0"/>
      </w:pPr>
      <w:r w:rsidRPr="007058FF">
        <w:t>A comprehensive review of laws and administrative procedures affecting women and girls has been initiated under the coordination of the Ministry of Legal Affairs, with technical input from the Attorney General’s Chambers and guidance from the Policy to Guide Legislative Reform on Gender-Based Violence (2023). The review examines family law, labour rights, sexual offences, and citizenship legislation to ensure conformity with Article 2 of the Convention. Key areas under review include:</w:t>
      </w:r>
    </w:p>
    <w:p w14:paraId="758D69D3" w14:textId="36E2239A" w:rsidR="007058FF" w:rsidRPr="007058FF" w:rsidRDefault="007058FF" w:rsidP="0039539B">
      <w:pPr>
        <w:pStyle w:val="Bullet2G"/>
      </w:pPr>
      <w:r w:rsidRPr="007058FF">
        <w:t xml:space="preserve">Birth registration and certification: Work is underway with the Civil Registry to simplify procedures for birth registration and to reduce barriers for unmarried mothers. The current review seeks to strengthen administrative efficiency and ensure universal </w:t>
      </w:r>
      <w:r w:rsidRPr="007058FF">
        <w:lastRenderedPageBreak/>
        <w:t>registration at birth, consistent with SDG 16.9 and Article 7 of the Convention on the Rights of the Child</w:t>
      </w:r>
      <w:r w:rsidR="00C73FDB">
        <w:t>;</w:t>
      </w:r>
    </w:p>
    <w:p w14:paraId="4D21B9E4" w14:textId="7606B676" w:rsidR="007058FF" w:rsidRPr="007058FF" w:rsidRDefault="007058FF" w:rsidP="0039539B">
      <w:pPr>
        <w:pStyle w:val="Bullet2G"/>
      </w:pPr>
      <w:r w:rsidRPr="007058FF">
        <w:t>Marriage registration and consent: Draft legislative amendments propose to raise the minimum age of marriage to 18 years without exception, addressing the existing gap in parental consent provisions. This reform is part of a package of 17 draft bills developed under the Spotlight Initiative (2020–2023), which aim to harmonize Grenada’s laws with regional and international human rights standards</w:t>
      </w:r>
      <w:r w:rsidR="00C73FDB">
        <w:t>;</w:t>
      </w:r>
    </w:p>
    <w:p w14:paraId="21E52B95" w14:textId="77777777" w:rsidR="007058FF" w:rsidRPr="007058FF" w:rsidRDefault="007058FF" w:rsidP="0039539B">
      <w:pPr>
        <w:pStyle w:val="Bullet2G"/>
      </w:pPr>
      <w:r w:rsidRPr="007058FF">
        <w:t xml:space="preserve">Citizenship and passports for minors: The Immigration Department and Ministry of Foreign Affairs have reviewed administrative procedures related to passport applications for minors, emphasizing the equal recognition of mothers and fathers as legal guardians. These revisions will eliminate gender-differentiated consent requirements and streamline processes for children born in Grenada and abroad to Grenadian parents. </w:t>
      </w:r>
    </w:p>
    <w:p w14:paraId="6FC5BF1B" w14:textId="7C701DA1" w:rsidR="007058FF" w:rsidRPr="007058FF" w:rsidRDefault="00C73FDB" w:rsidP="00C73FDB">
      <w:pPr>
        <w:pStyle w:val="H23G"/>
      </w:pPr>
      <w:r>
        <w:tab/>
      </w:r>
      <w:r>
        <w:tab/>
      </w:r>
      <w:r w:rsidR="007058FF" w:rsidRPr="007058FF">
        <w:t xml:space="preserve">Legislative </w:t>
      </w:r>
      <w:r>
        <w:t>r</w:t>
      </w:r>
      <w:r w:rsidR="007058FF" w:rsidRPr="007058FF">
        <w:t xml:space="preserve">eform and </w:t>
      </w:r>
      <w:r>
        <w:t>n</w:t>
      </w:r>
      <w:r w:rsidR="007058FF" w:rsidRPr="007058FF">
        <w:t xml:space="preserve">ew </w:t>
      </w:r>
      <w:r>
        <w:t>e</w:t>
      </w:r>
      <w:r w:rsidR="007058FF" w:rsidRPr="007058FF">
        <w:t>nactments</w:t>
      </w:r>
    </w:p>
    <w:p w14:paraId="349B0DE5" w14:textId="1F5991D2" w:rsidR="007058FF" w:rsidRPr="007058FF" w:rsidRDefault="007058FF" w:rsidP="000F01A8">
      <w:pPr>
        <w:pStyle w:val="SingleTxtG"/>
        <w:numPr>
          <w:ilvl w:val="0"/>
          <w:numId w:val="28"/>
        </w:numPr>
        <w:ind w:left="1134" w:firstLine="0"/>
      </w:pPr>
      <w:r w:rsidRPr="007058FF">
        <w:t xml:space="preserve">Grenada has enacted and advanced several pieces of legislation that strengthen the protection of women and girls and address gender-based discrimination and violence. The </w:t>
      </w:r>
      <w:r w:rsidRPr="007058FF">
        <w:rPr>
          <w:i/>
          <w:iCs/>
        </w:rPr>
        <w:t xml:space="preserve">Prevention of Trafficking in </w:t>
      </w:r>
      <w:r w:rsidRPr="000F01A8">
        <w:t>Persons</w:t>
      </w:r>
      <w:r w:rsidRPr="007058FF">
        <w:rPr>
          <w:i/>
          <w:iCs/>
        </w:rPr>
        <w:t xml:space="preserve"> Act (2014)</w:t>
      </w:r>
      <w:r w:rsidRPr="007058FF">
        <w:t xml:space="preserve"> provides a comprehensive definition of trafficking and criminalizes related offences, including exploitation and abuse of vulnerability. This legislation aligns national efforts with the Palermo Protocol, ensuring that trafficking in all its forms is recognized and penalized under Grenadian law. The </w:t>
      </w:r>
      <w:r w:rsidRPr="007058FF">
        <w:rPr>
          <w:i/>
          <w:iCs/>
        </w:rPr>
        <w:t>Criminal Code (Amendment) Act (2012)</w:t>
      </w:r>
      <w:r w:rsidRPr="007058FF">
        <w:t xml:space="preserve"> represents a major reform milestone, as it criminalized marital rape and removed gender distinctions in sexual offence provisions, advancing equality before the law and expanding protection for survivors of sexual violence. The </w:t>
      </w:r>
      <w:r w:rsidRPr="007058FF">
        <w:rPr>
          <w:i/>
          <w:iCs/>
        </w:rPr>
        <w:t>Electronic Crimes Act (2013)</w:t>
      </w:r>
      <w:r w:rsidRPr="007058FF">
        <w:t xml:space="preserve"> further strengthened legal safeguards by addressing online and technology-facilitated exploitation, a growing concern in the digital age, thereby offering additional layers of protection for women and girls. Complementing these efforts, </w:t>
      </w:r>
      <w:r w:rsidRPr="007058FF">
        <w:rPr>
          <w:i/>
          <w:iCs/>
        </w:rPr>
        <w:t>Section 26 of the Employment Act (1999</w:t>
      </w:r>
      <w:r w:rsidRPr="007058FF">
        <w:t>) prohibits discrimination in employment on the grounds of sex, marital status, family responsibilities, or disability, promoting fairness and equal opportunity in the workplace.</w:t>
      </w:r>
    </w:p>
    <w:p w14:paraId="3B70E6CE" w14:textId="35E5FC01" w:rsidR="007058FF" w:rsidRPr="007058FF" w:rsidRDefault="007058FF" w:rsidP="000F01A8">
      <w:pPr>
        <w:pStyle w:val="SingleTxtG"/>
        <w:numPr>
          <w:ilvl w:val="0"/>
          <w:numId w:val="28"/>
        </w:numPr>
        <w:ind w:left="1134" w:firstLine="0"/>
      </w:pPr>
      <w:r w:rsidRPr="007058FF">
        <w:t>Building on these achievements, the Government has prioritized further legislative reform to close   remaining legal gaps and enhance gender equality protections. Draft sexual harassment legislation is currently being developed to explicitly prohibit harassment in the workplace and ensure a safe and equitable environment for all workers. The proposed law draws on the Grenada Labour Code and relevant international conventions to define sexual harassment comprehensively, establish clear reporting and complaint mechanisms, outline employer obligations, and provide for appropriate sanctions and redress. In parallel, the Ministry of Legal Affairs is undertaking a comprehensive review of sexual offences provisions within the Criminal Code. The proposed reforms will eliminate sentencing disparities between spousal and non-spousal rape, establish a Sex Offenders Registry to improve monitoring and accountability, decriminalize consensual sexual activity between adolescents of similar ages, and reinforce survivor protections throughout the judicial process.</w:t>
      </w:r>
    </w:p>
    <w:p w14:paraId="755333CA" w14:textId="7C63DF28" w:rsidR="007058FF" w:rsidRPr="007058FF" w:rsidRDefault="007058FF" w:rsidP="000F01A8">
      <w:pPr>
        <w:pStyle w:val="SingleTxtG"/>
        <w:numPr>
          <w:ilvl w:val="0"/>
          <w:numId w:val="28"/>
        </w:numPr>
        <w:ind w:left="1134" w:firstLine="0"/>
      </w:pPr>
      <w:r w:rsidRPr="007058FF">
        <w:t>Together, these enacted and forthcoming reforms represent a progressive evolution of Grenada’s legal framework, aligning domestic law with international human rights standards, strengthening accountability for gender-based offences, and advancing the realization of substantive equality for women and girls.</w:t>
      </w:r>
    </w:p>
    <w:p w14:paraId="13F6CD1D" w14:textId="37ECE1EA" w:rsidR="007058FF" w:rsidRPr="007058FF" w:rsidRDefault="00C73FDB" w:rsidP="00C73FDB">
      <w:pPr>
        <w:pStyle w:val="H23G"/>
      </w:pPr>
      <w:r>
        <w:tab/>
      </w:r>
      <w:r>
        <w:tab/>
      </w:r>
      <w:r w:rsidR="007058FF" w:rsidRPr="007058FF">
        <w:t xml:space="preserve">Implementation and </w:t>
      </w:r>
      <w:r w:rsidR="00011A65" w:rsidRPr="007058FF">
        <w:t>capacity strengthening</w:t>
      </w:r>
    </w:p>
    <w:p w14:paraId="7E278768" w14:textId="40337584" w:rsidR="007058FF" w:rsidRPr="007058FF" w:rsidRDefault="007058FF" w:rsidP="000F01A8">
      <w:pPr>
        <w:pStyle w:val="SingleTxtG"/>
        <w:numPr>
          <w:ilvl w:val="0"/>
          <w:numId w:val="28"/>
        </w:numPr>
        <w:ind w:left="1134" w:firstLine="0"/>
        <w:rPr>
          <w:b/>
          <w:bCs/>
        </w:rPr>
      </w:pPr>
      <w:r w:rsidRPr="007058FF">
        <w:t xml:space="preserve">Through the EU–UN Spotlight Initiative, Grenada has taken steps to strengthen the institutional     capacity of key agencies involved in advancing gender equality and legal reform. The Initiative has supported the Division of Gender and Family Affairs (DGFA), the Royal Grenada Police Force (RGPF), and the Office of the Ombudsman in enhancing their ability to contribute to gender-responsive policymaking and accountability. Under this programme, technical assistance was provided to inform the drafting of a series of legislative instruments—approximately 17 pieces of proposed legislation—covering areas such as </w:t>
      </w:r>
      <w:r w:rsidRPr="007058FF">
        <w:lastRenderedPageBreak/>
        <w:t>family law, domestic violence, sexual offences, and victims’ rights. These efforts have aimed to promote greater alignment between national legislation, the Convention on the Elimination of All Forms of Discrimination against Women (CEDAW), and regional policy commitments.</w:t>
      </w:r>
    </w:p>
    <w:p w14:paraId="4D82919F" w14:textId="60B975F4" w:rsidR="007058FF" w:rsidRPr="007058FF" w:rsidRDefault="007058FF" w:rsidP="000F01A8">
      <w:pPr>
        <w:pStyle w:val="SingleTxtG"/>
        <w:numPr>
          <w:ilvl w:val="0"/>
          <w:numId w:val="28"/>
        </w:numPr>
        <w:ind w:left="1134" w:firstLine="0"/>
        <w:rPr>
          <w:b/>
          <w:bCs/>
        </w:rPr>
      </w:pPr>
      <w:r w:rsidRPr="007058FF">
        <w:t>Complementary initiatives have sought to address underlying social norms that influence legal and</w:t>
      </w:r>
      <w:r w:rsidR="00B2404F">
        <w:t xml:space="preserve"> </w:t>
      </w:r>
      <w:r w:rsidRPr="007058FF">
        <w:t>institutional change. Behaviour-change and public education campaigns—such as the UN Women Foundations Programme, which reached more than 300 young people, and the Break the Silence Campaign—have focused on increasing public awareness of gender-based violence, equality, and respect for human rights. These outreach efforts have contributed to broadening dialogue on gender justice and community participation in preventing violence.</w:t>
      </w:r>
    </w:p>
    <w:p w14:paraId="25196FE2" w14:textId="072DC969" w:rsidR="007058FF" w:rsidRPr="007058FF" w:rsidRDefault="00B2404F" w:rsidP="00125AF5">
      <w:pPr>
        <w:pStyle w:val="H1G"/>
      </w:pPr>
      <w:r>
        <w:tab/>
      </w:r>
      <w:r>
        <w:tab/>
      </w:r>
      <w:r w:rsidR="007058FF" w:rsidRPr="007058FF">
        <w:t xml:space="preserve">Outcomes and </w:t>
      </w:r>
      <w:r w:rsidR="00840BC3" w:rsidRPr="007058FF">
        <w:t>next s</w:t>
      </w:r>
      <w:r w:rsidR="007058FF" w:rsidRPr="007058FF">
        <w:t>teps</w:t>
      </w:r>
    </w:p>
    <w:p w14:paraId="5BE5F2E3" w14:textId="44F417BE" w:rsidR="007058FF" w:rsidRPr="007058FF" w:rsidRDefault="007058FF" w:rsidP="000F01A8">
      <w:pPr>
        <w:pStyle w:val="SingleTxtG"/>
        <w:numPr>
          <w:ilvl w:val="0"/>
          <w:numId w:val="28"/>
        </w:numPr>
        <w:ind w:left="1134" w:firstLine="0"/>
      </w:pPr>
      <w:r w:rsidRPr="007058FF">
        <w:t>The ongoing legislative reform process has contributed to some progress in advancing gender equality within the legal and policy environment. Draft bills have been developed to improve coherence with international and regional frameworks, and gender-responsive budgeting has been incorporated into the 2024 national budget process, encouraging more equitable consideration of gender in public expenditure. Collaboration between the DGFA and the Office of the Attorney General, under Pillar 2 of the Spotlight Initiative, has strengthened coordination on gender-responsive law and policy development and encouraged more systematic integration of gender perspectives across government reform efforts.</w:t>
      </w:r>
    </w:p>
    <w:p w14:paraId="1FA3DABD" w14:textId="77777777" w:rsidR="007058FF" w:rsidRPr="007058FF" w:rsidRDefault="007058FF" w:rsidP="000F01A8">
      <w:pPr>
        <w:pStyle w:val="SingleTxtG"/>
        <w:numPr>
          <w:ilvl w:val="0"/>
          <w:numId w:val="28"/>
        </w:numPr>
        <w:ind w:left="1134" w:firstLine="0"/>
      </w:pPr>
      <w:r w:rsidRPr="007058FF">
        <w:t>Going forward, the Government is continuing its review of laws related to birth registration, marriage, citizenship, and family rights, and is assessing options to advance pending legislation on sexual harassment and sexual offences. These efforts are part of a broader process to modernize the legal framework and strengthen protection and equality before the law, in keeping with national priorities and ongoing dialogue with civil society and development partners.</w:t>
      </w:r>
    </w:p>
    <w:p w14:paraId="082A2939" w14:textId="3226DB93" w:rsidR="007058FF" w:rsidRPr="007058FF" w:rsidRDefault="00D5321B" w:rsidP="00D5321B">
      <w:pPr>
        <w:pStyle w:val="H1G"/>
      </w:pPr>
      <w:r>
        <w:tab/>
      </w:r>
      <w:r>
        <w:tab/>
      </w:r>
      <w:r w:rsidR="007058FF" w:rsidRPr="007058FF">
        <w:t>Article 3: Legal complaint mechanisms</w:t>
      </w:r>
    </w:p>
    <w:p w14:paraId="39F40D06" w14:textId="09704F7A" w:rsidR="007058FF" w:rsidRPr="007058FF" w:rsidRDefault="007058FF" w:rsidP="000F01A8">
      <w:pPr>
        <w:pStyle w:val="SingleTxtG"/>
        <w:numPr>
          <w:ilvl w:val="0"/>
          <w:numId w:val="28"/>
        </w:numPr>
        <w:ind w:left="1134" w:firstLine="0"/>
      </w:pPr>
      <w:r w:rsidRPr="007058FF">
        <w:t>Grenada has strengthened its legal complaint and redress mechanisms to ensure women have access to justice and protection from discrimination, consistent with Articles 2 and 3 of the Convention. These measures are guided by a survivor-centred approach and supported through coordinated institutional and policy reforms.</w:t>
      </w:r>
    </w:p>
    <w:p w14:paraId="5753EE10" w14:textId="1F6563C6" w:rsidR="007058FF" w:rsidRPr="007058FF" w:rsidRDefault="00D5321B" w:rsidP="00D5321B">
      <w:pPr>
        <w:pStyle w:val="H23G"/>
      </w:pPr>
      <w:r>
        <w:tab/>
      </w:r>
      <w:r>
        <w:tab/>
      </w:r>
      <w:r w:rsidR="007058FF" w:rsidRPr="007058FF">
        <w:t>Establishment of accessible complaint mechanisms</w:t>
      </w:r>
    </w:p>
    <w:p w14:paraId="49E0B042" w14:textId="7E453AE2" w:rsidR="007058FF" w:rsidRPr="007058FF" w:rsidRDefault="007058FF" w:rsidP="000F01A8">
      <w:pPr>
        <w:pStyle w:val="SingleTxtG"/>
        <w:numPr>
          <w:ilvl w:val="0"/>
          <w:numId w:val="28"/>
        </w:numPr>
        <w:ind w:left="1134" w:firstLine="0"/>
      </w:pPr>
      <w:r w:rsidRPr="007058FF">
        <w:t>The Office of the Ombudsman provides an independent channel for investigating and addressing grievances related to discrimination and the denial of rights. The Legal Aid and Counselling Clinic (LACC), in partnership with the Division of Gender and Family Affairs (DGFA) and the Royal Grenada Police Force (RGPF) Special Victims Unit (SVU), delivers free legal, counselling, and mediation services to women and girls affected by gender-based violence and discrimination. Between 2020 and 2025, LACC supported 1, 330 clients, prepared 54 protection-order applications, and implemented six CHANGES empowerment cycles for women survivors and seven Partnership for Peace cycles for male perpetrators. These programmes provide justice support, rehabilitation, and conflict-resolution pathways that reinforce accountability and prevention.</w:t>
      </w:r>
    </w:p>
    <w:p w14:paraId="4BD6A2A7" w14:textId="1F33FED1" w:rsidR="007058FF" w:rsidRPr="007058FF" w:rsidRDefault="00953824" w:rsidP="00953824">
      <w:pPr>
        <w:pStyle w:val="H23G"/>
      </w:pPr>
      <w:r>
        <w:tab/>
      </w:r>
      <w:r>
        <w:tab/>
      </w:r>
      <w:r w:rsidR="007058FF" w:rsidRPr="007058FF">
        <w:t>Effective access to justice</w:t>
      </w:r>
    </w:p>
    <w:p w14:paraId="042AAFDF" w14:textId="234F5ADD" w:rsidR="007058FF" w:rsidRPr="007058FF" w:rsidRDefault="007058FF" w:rsidP="000F01A8">
      <w:pPr>
        <w:pStyle w:val="SingleTxtG"/>
        <w:numPr>
          <w:ilvl w:val="0"/>
          <w:numId w:val="28"/>
        </w:numPr>
        <w:ind w:left="1134" w:firstLine="0"/>
      </w:pPr>
      <w:r w:rsidRPr="007058FF">
        <w:t xml:space="preserve">Access to justice has been strengthened through the </w:t>
      </w:r>
      <w:r w:rsidRPr="007058FF">
        <w:rPr>
          <w:i/>
          <w:iCs/>
        </w:rPr>
        <w:t>GBV Victims’ Rights Policy (2024)</w:t>
      </w:r>
      <w:r w:rsidRPr="007058FF">
        <w:t xml:space="preserve">, developed by the Ministry of Social and Community Development, Housing and Gender Affairs with UNICEF. The policy outlines survivors’ rights to legal representation, psychological support, and protection throughout the justice process. The </w:t>
      </w:r>
      <w:r w:rsidRPr="007058FF">
        <w:rPr>
          <w:i/>
          <w:iCs/>
        </w:rPr>
        <w:t>GBV Standard Operating Procedures (2022)</w:t>
      </w:r>
      <w:r w:rsidRPr="007058FF">
        <w:t xml:space="preserve"> establish a unified framework for coordination among police, prosecutors, social workers, and health professionals, ensuring timely and consistent responses to cases of gender-based violence. The Spotlight Initiative Sustainability Plan </w:t>
      </w:r>
      <w:r w:rsidRPr="007058FF">
        <w:lastRenderedPageBreak/>
        <w:t>(2024) documents that survivor services are now available across all parishes, including to women with disabilities and those in rural communities through expanded outreach and referral systems.</w:t>
      </w:r>
    </w:p>
    <w:p w14:paraId="74A9B143" w14:textId="6A020C22" w:rsidR="007058FF" w:rsidRPr="007058FF" w:rsidRDefault="00953824" w:rsidP="00953824">
      <w:pPr>
        <w:pStyle w:val="H23G"/>
      </w:pPr>
      <w:r>
        <w:tab/>
      </w:r>
      <w:r>
        <w:tab/>
      </w:r>
      <w:r w:rsidR="007058FF" w:rsidRPr="007058FF">
        <w:t>Eliminating bias and secondary victimization</w:t>
      </w:r>
    </w:p>
    <w:p w14:paraId="2D023A79" w14:textId="64265D3F" w:rsidR="007058FF" w:rsidRPr="007058FF" w:rsidRDefault="007058FF" w:rsidP="000F01A8">
      <w:pPr>
        <w:pStyle w:val="SingleTxtG"/>
        <w:numPr>
          <w:ilvl w:val="0"/>
          <w:numId w:val="28"/>
        </w:numPr>
        <w:ind w:left="1134" w:firstLine="0"/>
      </w:pPr>
      <w:r w:rsidRPr="007058FF">
        <w:t>Training and capacity-building initiatives have been delivered to over 250 justice and health professionals, including police officers, judges, court clerks, and medical personnel, to promote trauma-informed, gender-sensitive case handling and to ensure the effective application of protection orders. The RGPF Special Victims Unit and the DGFA GBV Unit coordinate case management and victim accompaniment to safeguard confidentiality and dignity throughout investigations and prosecutions.</w:t>
      </w:r>
    </w:p>
    <w:p w14:paraId="4989F36C" w14:textId="6C5E9533" w:rsidR="007058FF" w:rsidRPr="007058FF" w:rsidRDefault="007058FF" w:rsidP="000F01A8">
      <w:pPr>
        <w:pStyle w:val="SingleTxtG"/>
        <w:numPr>
          <w:ilvl w:val="0"/>
          <w:numId w:val="28"/>
        </w:numPr>
        <w:ind w:left="1134" w:firstLine="0"/>
      </w:pPr>
      <w:r w:rsidRPr="007058FF">
        <w:t>Public education and community outreach, implemented with organizations such as the Grenada National Organisation of Women (GNOW) and Soroptimist International Grenada (SIG), have increased legal literacy and reporting, while challenging social stigma surrounding survivors of violence.</w:t>
      </w:r>
    </w:p>
    <w:p w14:paraId="57EE845B" w14:textId="0425B880" w:rsidR="007058FF" w:rsidRPr="007058FF" w:rsidRDefault="006853F2" w:rsidP="006D2ADC">
      <w:pPr>
        <w:pStyle w:val="H1G"/>
      </w:pPr>
      <w:r>
        <w:tab/>
      </w:r>
      <w:r>
        <w:tab/>
      </w:r>
      <w:r w:rsidR="007058FF" w:rsidRPr="007058FF">
        <w:t>Outcomes and impact</w:t>
      </w:r>
    </w:p>
    <w:p w14:paraId="74588BCB" w14:textId="1FA1222B" w:rsidR="007058FF" w:rsidRPr="007058FF" w:rsidRDefault="007058FF" w:rsidP="000F01A8">
      <w:pPr>
        <w:pStyle w:val="SingleTxtG"/>
        <w:numPr>
          <w:ilvl w:val="0"/>
          <w:numId w:val="28"/>
        </w:numPr>
        <w:ind w:left="1134" w:firstLine="0"/>
      </w:pPr>
      <w:r w:rsidRPr="007058FF">
        <w:t>These reforms have created a coordinated system that links investigation, legal aid, psychosocial care, and survivor advocacy. The mechanisms established under the GBV Victims’ Rights Policy, GBV SOPs, and the Spotlight Initiative have improved reporting, access to legal protection, and survivor satisfaction with services. Women and girls in Grenada now have clear, affordable, and rights-based pathways to justice through the combined work of state institutions and civil-society partners.</w:t>
      </w:r>
    </w:p>
    <w:p w14:paraId="03F7EACD" w14:textId="7903647B" w:rsidR="007058FF" w:rsidRPr="007058FF" w:rsidRDefault="006853F2" w:rsidP="006853F2">
      <w:pPr>
        <w:pStyle w:val="H1G"/>
      </w:pPr>
      <w:r>
        <w:tab/>
      </w:r>
      <w:r>
        <w:tab/>
      </w:r>
      <w:r w:rsidR="007058FF" w:rsidRPr="007058FF">
        <w:t>National machinery for the advancement of women</w:t>
      </w:r>
    </w:p>
    <w:p w14:paraId="29B478C2" w14:textId="0039B863" w:rsidR="007058FF" w:rsidRPr="007058FF" w:rsidRDefault="006853F2" w:rsidP="006853F2">
      <w:pPr>
        <w:pStyle w:val="H23G"/>
      </w:pPr>
      <w:r>
        <w:tab/>
      </w:r>
      <w:r>
        <w:tab/>
      </w:r>
      <w:r w:rsidR="007058FF" w:rsidRPr="007058FF">
        <w:t xml:space="preserve">Strengthening </w:t>
      </w:r>
      <w:r w:rsidR="002D518C" w:rsidRPr="007058FF">
        <w:t>institutional capacity and coordination</w:t>
      </w:r>
    </w:p>
    <w:p w14:paraId="0B8973D6" w14:textId="1EF6D8E4" w:rsidR="007058FF" w:rsidRPr="007058FF" w:rsidRDefault="007058FF" w:rsidP="000F01A8">
      <w:pPr>
        <w:pStyle w:val="SingleTxtG"/>
        <w:numPr>
          <w:ilvl w:val="0"/>
          <w:numId w:val="28"/>
        </w:numPr>
        <w:ind w:left="1134" w:firstLine="0"/>
      </w:pPr>
      <w:r w:rsidRPr="007058FF">
        <w:t>Grenada has taken measures to strengthen the capacity of the Division of Gender and Family Affairs (DGFA) within the Ministry of Social and Community Development, Housing and Gender Affairs, in line with Articles 2 and 3 of the Convention. The Division functions as the core of the National Gender Machinery (NGM) and is responsible for coordinating, formulating, and monitoring gender equality policies and programmes across all sectors of government.</w:t>
      </w:r>
    </w:p>
    <w:p w14:paraId="332D858D" w14:textId="65ABB8A7" w:rsidR="007058FF" w:rsidRPr="007058FF" w:rsidRDefault="007058FF" w:rsidP="000F01A8">
      <w:pPr>
        <w:pStyle w:val="SingleTxtG"/>
        <w:numPr>
          <w:ilvl w:val="0"/>
          <w:numId w:val="28"/>
        </w:numPr>
        <w:ind w:left="1134" w:firstLine="0"/>
      </w:pPr>
      <w:r w:rsidRPr="007058FF">
        <w:t>The NGM comprises four interrelated units that ensure comprehensive coverage of policy, service delivery, and behavioural change objectives:</w:t>
      </w:r>
    </w:p>
    <w:p w14:paraId="74693D86" w14:textId="7BEA8C95" w:rsidR="007058FF" w:rsidRPr="007058FF" w:rsidRDefault="007058FF" w:rsidP="00135B56">
      <w:pPr>
        <w:pStyle w:val="Bullet2G"/>
      </w:pPr>
      <w:r w:rsidRPr="007058FF">
        <w:t>The Gender Equality and Inclusion Unit leads gender mainstreaming and provides technical advice for integrating principles of equality, inclusion, and non-discrimination—including disability inclusion—into legislation, policies, programmes, and national development planning;</w:t>
      </w:r>
    </w:p>
    <w:p w14:paraId="046A2C94" w14:textId="584A8ED0" w:rsidR="007058FF" w:rsidRPr="007058FF" w:rsidRDefault="007058FF" w:rsidP="00135B56">
      <w:pPr>
        <w:pStyle w:val="Bullet2G"/>
      </w:pPr>
      <w:r w:rsidRPr="007058FF">
        <w:t>The Gender-Based Violence (GBV) Unit coordinates prevention, protection, and response services for survivors and manages implementation of the National GBV Standard Operating Procedures (2022);</w:t>
      </w:r>
    </w:p>
    <w:p w14:paraId="783CD6A5" w14:textId="562882B2" w:rsidR="007058FF" w:rsidRPr="007058FF" w:rsidRDefault="007058FF" w:rsidP="00135B56">
      <w:pPr>
        <w:pStyle w:val="Bullet2G"/>
      </w:pPr>
      <w:r w:rsidRPr="007058FF">
        <w:t>The Parenting Education Unit facilitates positive parenting and family engagement strategies that address socialization patterns and caregiving roles; and</w:t>
      </w:r>
    </w:p>
    <w:p w14:paraId="51037093" w14:textId="63C8B3C8" w:rsidR="007058FF" w:rsidRPr="007058FF" w:rsidRDefault="007058FF" w:rsidP="00135B56">
      <w:pPr>
        <w:pStyle w:val="Bullet2G"/>
      </w:pPr>
      <w:r w:rsidRPr="007058FF">
        <w:t>The Men’s Bureau engages men and boys as allies in advancing gender equality and in addressing the social norms that reinforce inequality.</w:t>
      </w:r>
    </w:p>
    <w:p w14:paraId="0C02A254" w14:textId="7F2B1C50" w:rsidR="007058FF" w:rsidRPr="007058FF" w:rsidRDefault="007058FF" w:rsidP="000F01A8">
      <w:pPr>
        <w:pStyle w:val="SingleTxtG"/>
        <w:numPr>
          <w:ilvl w:val="0"/>
          <w:numId w:val="28"/>
        </w:numPr>
        <w:ind w:left="1134" w:firstLine="0"/>
      </w:pPr>
      <w:r w:rsidRPr="007058FF">
        <w:t xml:space="preserve">Since 2020, under the EU–UN Spotlight Initiative, institutional strengthening has enhanced the Division’s technical, human, and financial capacity. The Ministry of Social and Community Development, Housing and Gender Affairs now manages an expanded Gender Affairs portfolio with additional professional staff and improved systems for policy coordination and programme delivery. Through the Initiative, six public facilities were upgraded to improve survivor access and confidentiality, while 45 civil society </w:t>
      </w:r>
      <w:r w:rsidRPr="007058FF">
        <w:lastRenderedPageBreak/>
        <w:t>organizations—including 20 women’s rights organizations—received capacity-building support to complement state-led programming.</w:t>
      </w:r>
    </w:p>
    <w:p w14:paraId="5C1A2BB5" w14:textId="6F192EBE" w:rsidR="007058FF" w:rsidRPr="007058FF" w:rsidRDefault="007058FF" w:rsidP="000F01A8">
      <w:pPr>
        <w:pStyle w:val="SingleTxtG"/>
        <w:numPr>
          <w:ilvl w:val="0"/>
          <w:numId w:val="28"/>
        </w:numPr>
        <w:ind w:left="1134" w:firstLine="0"/>
      </w:pPr>
      <w:r w:rsidRPr="007058FF">
        <w:t>To reinforce coordination, the Government re-established the Inter-Ministerial Council of Gender Focal Points, drawing representatives from every ministry and statutory agency to mainstream gender perspectives in planning, budgeting, and monitoring. This mechanism also serves as a policy advisory forum to ensure consistency with national and international commitments, including the CEDAW Convention and the Beijing Platform for Action.</w:t>
      </w:r>
    </w:p>
    <w:p w14:paraId="730BAB9F" w14:textId="1A6EECF2" w:rsidR="007058FF" w:rsidRPr="007058FF" w:rsidRDefault="007058FF" w:rsidP="000F01A8">
      <w:pPr>
        <w:pStyle w:val="SingleTxtG"/>
        <w:numPr>
          <w:ilvl w:val="0"/>
          <w:numId w:val="28"/>
        </w:numPr>
        <w:ind w:left="1134" w:firstLine="0"/>
      </w:pPr>
      <w:r w:rsidRPr="007058FF">
        <w:t>The 2024 national budget introduced gender-responsive budgeting principles on a pilot basis to strengthen resource allocation and accountability for gender outcomes. These institutional reforms reflect the Government’s effort to ensure that gender equality is systematically integrated across governance structures, rather than confined to a single unit or ministry.</w:t>
      </w:r>
    </w:p>
    <w:p w14:paraId="21C3F00B" w14:textId="1FE14486" w:rsidR="007058FF" w:rsidRPr="007058FF" w:rsidRDefault="00673860" w:rsidP="00135B56">
      <w:pPr>
        <w:pStyle w:val="H23G"/>
      </w:pPr>
      <w:r>
        <w:tab/>
      </w:r>
      <w:r>
        <w:tab/>
      </w:r>
      <w:r w:rsidR="007058FF" w:rsidRPr="007058FF">
        <w:t>Comprehensive National Gender Equality Policy and Plan of Action</w:t>
      </w:r>
    </w:p>
    <w:p w14:paraId="74DCA471" w14:textId="763BCD29" w:rsidR="007058FF" w:rsidRPr="007058FF" w:rsidRDefault="007058FF" w:rsidP="000F01A8">
      <w:pPr>
        <w:pStyle w:val="SingleTxtG"/>
        <w:numPr>
          <w:ilvl w:val="0"/>
          <w:numId w:val="28"/>
        </w:numPr>
        <w:ind w:left="1134" w:firstLine="0"/>
      </w:pPr>
      <w:r w:rsidRPr="007058FF">
        <w:t xml:space="preserve">The </w:t>
      </w:r>
      <w:r w:rsidRPr="007058FF">
        <w:rPr>
          <w:i/>
          <w:iCs/>
        </w:rPr>
        <w:t>National Gender Equality Policy and Action Plan (GEPAP 2014–2024)</w:t>
      </w:r>
      <w:r w:rsidRPr="007058FF">
        <w:t xml:space="preserve"> provided the primary policy framework for advancing equality and women’s empowerment. It aimed to eliminate discrimination, promote women’s access to resources and decision-making, and strengthen accountability for gender-sensitive legislation and programmes. Implementation led to several outcomes, including:</w:t>
      </w:r>
    </w:p>
    <w:p w14:paraId="4F9D8A12" w14:textId="6A9BE770" w:rsidR="007058FF" w:rsidRPr="007058FF" w:rsidRDefault="007058FF" w:rsidP="00135B56">
      <w:pPr>
        <w:pStyle w:val="Bullet2G"/>
      </w:pPr>
      <w:r w:rsidRPr="007058FF">
        <w:t>Increased integration of gender perspectives in sectoral policies (education, health, agriculture, and social protection);</w:t>
      </w:r>
    </w:p>
    <w:p w14:paraId="69C6BAAA" w14:textId="63AA03C4" w:rsidR="007058FF" w:rsidRPr="007058FF" w:rsidRDefault="007058FF" w:rsidP="00135B56">
      <w:pPr>
        <w:pStyle w:val="Bullet2G"/>
      </w:pPr>
      <w:r w:rsidRPr="007058FF">
        <w:t>Broader partnerships between the DGFA and civil society organizations, including the Grenada National Organisation of Women (GNOW) and Soroptimist International Grenada (SIG); and Grenada National Council of the Disabled</w:t>
      </w:r>
      <w:r w:rsidR="00673860">
        <w:t>;</w:t>
      </w:r>
    </w:p>
    <w:p w14:paraId="07F3FBB4" w14:textId="2D65A016" w:rsidR="007058FF" w:rsidRPr="007058FF" w:rsidRDefault="007058FF" w:rsidP="00135B56">
      <w:pPr>
        <w:pStyle w:val="Bullet2G"/>
      </w:pPr>
      <w:r w:rsidRPr="007058FF">
        <w:t>Greater representation of women in leadership positions within the public service and local governance structures.</w:t>
      </w:r>
    </w:p>
    <w:p w14:paraId="360BEA1B" w14:textId="2A963DE8" w:rsidR="007058FF" w:rsidRPr="0029055E" w:rsidRDefault="007058FF" w:rsidP="0029055E">
      <w:pPr>
        <w:pStyle w:val="SingleTxtG"/>
        <w:numPr>
          <w:ilvl w:val="0"/>
          <w:numId w:val="28"/>
        </w:numPr>
        <w:ind w:left="1134" w:firstLine="0"/>
      </w:pPr>
      <w:r w:rsidRPr="0029055E">
        <w:t>Since 2020, under the EU–UN Spotlight Initiative, institutional strengthening has enhanced the Division’s technical, human, and financial capacity. The Ministry of Social and Community Development, Housing and Gender Affairs now manages an expanded Gender Affairs portfolio with additional professional staff and improved systems for policy coordination and programme delivery. Through the Initiative, six public facilities were upgraded to improve survivor access and confidentiality, while 45 civil society organizations—including 20 women’s rights organizations—received capacity-building support to complement state-led programming. Building on these achievements, the update of the National Gender Equality Policy and Action Plan (GEPAP) is being supported in the first instance by Cuso International through its Blueprints for Gender Equality and Social Inclusion Project, which provides technical assistance, stakeholder consultations, and capacity-building to ensure continuity and alignment with national and international commitments.</w:t>
      </w:r>
    </w:p>
    <w:p w14:paraId="0220CCC1" w14:textId="60D1BB5B" w:rsidR="007058FF" w:rsidRPr="0029055E" w:rsidRDefault="007058FF" w:rsidP="0029055E">
      <w:pPr>
        <w:pStyle w:val="SingleTxtG"/>
        <w:numPr>
          <w:ilvl w:val="0"/>
          <w:numId w:val="28"/>
        </w:numPr>
        <w:ind w:left="1134" w:firstLine="0"/>
      </w:pPr>
      <w:r w:rsidRPr="0029055E">
        <w:t>The successor framework is being developed in collaboration with ministries, the Inter-Ministerial Council of Gender Focal Points, and civil society stakeholders. Its design is guided by the CEDAW Committee’s recommendations to ensure a comprehensive and results-based strategy consistent with the Convention and the Committee’s General Recommendations Nos. 6 and 28.</w:t>
      </w:r>
    </w:p>
    <w:p w14:paraId="3F5BAB68" w14:textId="147FB0F2" w:rsidR="007058FF" w:rsidRPr="007058FF" w:rsidRDefault="00AC0744" w:rsidP="00AC0744">
      <w:pPr>
        <w:pStyle w:val="H23G"/>
      </w:pPr>
      <w:r>
        <w:tab/>
      </w:r>
      <w:r>
        <w:tab/>
      </w:r>
      <w:r w:rsidR="007058FF" w:rsidRPr="007058FF">
        <w:t xml:space="preserve">Human </w:t>
      </w:r>
      <w:r w:rsidR="00F16B6E" w:rsidRPr="007058FF">
        <w:t>rights and complaint mechanisms</w:t>
      </w:r>
    </w:p>
    <w:p w14:paraId="3ACB7D77" w14:textId="1AA00CC9" w:rsidR="007058FF" w:rsidRPr="007058FF" w:rsidRDefault="007058FF" w:rsidP="00DF0B94">
      <w:pPr>
        <w:pStyle w:val="SingleTxtG"/>
        <w:numPr>
          <w:ilvl w:val="0"/>
          <w:numId w:val="28"/>
        </w:numPr>
        <w:ind w:left="1134" w:firstLine="0"/>
      </w:pPr>
      <w:r w:rsidRPr="007058FF">
        <w:t>While Grenada has not yet established an independent national human rights institution, measures are in place to strengthen access to justice and protection for women and girls. The Office of the Ombudsman continues to receive and review gender-related complaints and provides recommendations to ministries for corrective action.</w:t>
      </w:r>
    </w:p>
    <w:p w14:paraId="2B99100E" w14:textId="09174CD8" w:rsidR="007058FF" w:rsidRPr="007058FF" w:rsidRDefault="007058FF" w:rsidP="00DF0B94">
      <w:pPr>
        <w:pStyle w:val="SingleTxtG"/>
        <w:numPr>
          <w:ilvl w:val="0"/>
          <w:numId w:val="28"/>
        </w:numPr>
        <w:ind w:left="1134" w:firstLine="0"/>
      </w:pPr>
      <w:r w:rsidRPr="007058FF">
        <w:t xml:space="preserve">Additionally, the National Committee for the Prevention of Child Sexual Abuse (2017–2020) operated as a multisectoral mechanism for prevention and response, comprising representatives from the education, justice, and health sectors. During its tenure, the </w:t>
      </w:r>
      <w:r w:rsidRPr="007058FF">
        <w:lastRenderedPageBreak/>
        <w:t>Committee worked in coordination with the DGFA and the Ministry of Legal Affairs to strengthen data collection, public education, and referral mechanisms for cases of abuse and exploitation.</w:t>
      </w:r>
    </w:p>
    <w:p w14:paraId="2A09AA0D" w14:textId="5DEBBB6E" w:rsidR="007058FF" w:rsidRPr="007058FF" w:rsidRDefault="007058FF" w:rsidP="00DF0B94">
      <w:pPr>
        <w:pStyle w:val="SingleTxtG"/>
        <w:numPr>
          <w:ilvl w:val="0"/>
          <w:numId w:val="28"/>
        </w:numPr>
        <w:ind w:left="1134" w:firstLine="0"/>
      </w:pPr>
      <w:r w:rsidRPr="007058FF">
        <w:t>The Government is exploring the establishment of a Gender and Human Rights Desk within the Ministry of Legal Affairs to strengthen oversight, documentation, and follow-up on women’s human rights concerns, in line with the Paris Principles relating to national human rights institutions.</w:t>
      </w:r>
    </w:p>
    <w:p w14:paraId="4FCD7AB4" w14:textId="3782574F" w:rsidR="007058FF" w:rsidRPr="007058FF" w:rsidRDefault="007058FF" w:rsidP="00DF0B94">
      <w:pPr>
        <w:pStyle w:val="SingleTxtG"/>
        <w:numPr>
          <w:ilvl w:val="0"/>
          <w:numId w:val="28"/>
        </w:numPr>
        <w:ind w:left="1134" w:firstLine="0"/>
      </w:pPr>
      <w:r w:rsidRPr="007058FF">
        <w:t>Institutional strengthening under the EU–UN Spotlight Initiative and related programmes has contributed to meaningful improvements in the national gender equality architecture. Between 2020 and 2024, the Division of Gender and Family Affairs (DGFA) expanded its staffing structure and enhanced its technical capacity, allowing for more consistent coordination of gender equality actions across sectors. The recruitment of additional programme officers and specialists, combined with targeted training in gender analysis and results-based management, has strengthened the Division’s ability to guide policy development and monitor implementation.</w:t>
      </w:r>
    </w:p>
    <w:p w14:paraId="18E93E42" w14:textId="1E5C3E34" w:rsidR="007058FF" w:rsidRPr="007058FF" w:rsidRDefault="007058FF" w:rsidP="00DF0B94">
      <w:pPr>
        <w:pStyle w:val="SingleTxtG"/>
        <w:numPr>
          <w:ilvl w:val="0"/>
          <w:numId w:val="28"/>
        </w:numPr>
        <w:ind w:left="1134" w:firstLine="0"/>
      </w:pPr>
      <w:r w:rsidRPr="007058FF">
        <w:t>At the same time, collaboration with civil society organizations has been deepened. More than 45 organizations, including 20 women’s rights and community-based groups, have been engaged in service delivery, policy dialogue, and public awareness efforts focused on gender-based violence, economic empowerment, and social inclusion. This partnership model has broadened community outreach and improved alignment between national policies and grassroots advocacy.</w:t>
      </w:r>
    </w:p>
    <w:p w14:paraId="47062EE9" w14:textId="53CB15D3" w:rsidR="007058FF" w:rsidRPr="007058FF" w:rsidRDefault="007058FF" w:rsidP="00DF0B94">
      <w:pPr>
        <w:pStyle w:val="SingleTxtG"/>
        <w:numPr>
          <w:ilvl w:val="0"/>
          <w:numId w:val="28"/>
        </w:numPr>
        <w:ind w:left="1134" w:firstLine="0"/>
      </w:pPr>
      <w:r w:rsidRPr="007058FF">
        <w:t>Institutional reforms have also included the gradual introduction of gender-responsive budgeting (GRB</w:t>
      </w:r>
      <w:r w:rsidRPr="007058FF">
        <w:rPr>
          <w:b/>
          <w:bCs/>
        </w:rPr>
        <w:t>)</w:t>
      </w:r>
      <w:r w:rsidRPr="007058FF">
        <w:t xml:space="preserve"> to improve transparency and ensure that national resources are allocated in ways that promote equity and inclusion. Ministries are being supported to integrate gender considerations into their annual budgets, thereby linking planning and financing to tangible outcomes for women and men.</w:t>
      </w:r>
    </w:p>
    <w:p w14:paraId="53427EAE" w14:textId="31111DB0" w:rsidR="007058FF" w:rsidRPr="007058FF" w:rsidRDefault="007058FF" w:rsidP="00DF0B94">
      <w:pPr>
        <w:pStyle w:val="SingleTxtG"/>
        <w:numPr>
          <w:ilvl w:val="0"/>
          <w:numId w:val="28"/>
        </w:numPr>
        <w:ind w:left="1134" w:firstLine="0"/>
      </w:pPr>
      <w:r w:rsidRPr="007058FF">
        <w:t>In addition, gender focal points have been reactivated across all government ministries, enhancing policy coherence and coordination. This inter-ministerial network facilitates the integration of gender perspectives into laws, programmes, and national development plans. Collectively, these developments—while ongoing—represent progress toward a more structured and sustainable approach to advancing gender equality, strengthening institutional accountability, and ensuring that gender considerations remain central to public policy and governance.</w:t>
      </w:r>
    </w:p>
    <w:p w14:paraId="3902B17A" w14:textId="78ACC133" w:rsidR="007058FF" w:rsidRPr="007058FF" w:rsidRDefault="007058FF" w:rsidP="00DF0B94">
      <w:pPr>
        <w:pStyle w:val="SingleTxtG"/>
        <w:numPr>
          <w:ilvl w:val="0"/>
          <w:numId w:val="28"/>
        </w:numPr>
        <w:ind w:left="1134" w:firstLine="0"/>
      </w:pPr>
      <w:r w:rsidRPr="007058FF">
        <w:t xml:space="preserve">These achievements establish a stronger foundation for implementing the CEDAW Convention and advancing accountability, coordination, and sustainability in gender equality governance. </w:t>
      </w:r>
    </w:p>
    <w:p w14:paraId="375F6E1C" w14:textId="167CC0AF" w:rsidR="007058FF" w:rsidRPr="007058FF" w:rsidRDefault="007058FF" w:rsidP="00DF0B94">
      <w:pPr>
        <w:pStyle w:val="SingleTxtG"/>
        <w:numPr>
          <w:ilvl w:val="0"/>
          <w:numId w:val="28"/>
        </w:numPr>
        <w:ind w:left="1134" w:firstLine="0"/>
      </w:pPr>
      <w:r w:rsidRPr="007058FF">
        <w:t xml:space="preserve">Grenada’s approach to strengthening its national machinery reflects a progressive shift from project-based interventions to institutionalized, system-wide governance for gender equality. Through legislative, policy, and structural reforms, the Government seeks to ensure that gender equality becomes a consistent, measurable component of national development planning. Ongoing efforts to finalize the </w:t>
      </w:r>
      <w:r w:rsidRPr="007058FF">
        <w:rPr>
          <w:i/>
          <w:iCs/>
        </w:rPr>
        <w:t>National Gender Equality Policy and Action Plan (2026–2030),</w:t>
      </w:r>
      <w:r w:rsidRPr="007058FF">
        <w:t xml:space="preserve"> coupled with enhanced inter-ministerial coordination and partnerships with civil society, align closely with the Committee’s recommendations to establish a comprehensive, well-resourced, and accountable national mechanism for the advancement of women.</w:t>
      </w:r>
    </w:p>
    <w:p w14:paraId="63100B60" w14:textId="0C0D2C58" w:rsidR="007058FF" w:rsidRPr="007058FF" w:rsidRDefault="00AC0744" w:rsidP="00C95F7D">
      <w:pPr>
        <w:pStyle w:val="H1G"/>
      </w:pPr>
      <w:r>
        <w:tab/>
      </w:r>
      <w:r>
        <w:tab/>
      </w:r>
      <w:r w:rsidR="007058FF" w:rsidRPr="007058FF">
        <w:t>Stereotypes and discriminatory practices</w:t>
      </w:r>
    </w:p>
    <w:p w14:paraId="79914E98" w14:textId="24359F60" w:rsidR="007058FF" w:rsidRPr="007058FF" w:rsidRDefault="007058FF" w:rsidP="00CD6AB4">
      <w:pPr>
        <w:pStyle w:val="SingleTxtG"/>
        <w:numPr>
          <w:ilvl w:val="0"/>
          <w:numId w:val="28"/>
        </w:numPr>
        <w:ind w:left="1134" w:firstLine="0"/>
      </w:pPr>
      <w:r w:rsidRPr="007058FF">
        <w:t xml:space="preserve">Grenada has undertaken sustained efforts to address negative gender stereotypes and discriminatory cultural practices, in accordance with </w:t>
      </w:r>
      <w:r w:rsidRPr="007058FF">
        <w:rPr>
          <w:i/>
          <w:iCs/>
        </w:rPr>
        <w:t>Articles 2(f) and 5(a)</w:t>
      </w:r>
      <w:r w:rsidRPr="007058FF">
        <w:t xml:space="preserve"> of the Convention. Guided by the principles of equality, non-discrimination, and human rights, the Government continues to promote attitudinal and behavioral change through coordinated national policies, public education, and institutional partnerships.</w:t>
      </w:r>
    </w:p>
    <w:p w14:paraId="56810C90" w14:textId="1F1C57AB" w:rsidR="007058FF" w:rsidRPr="007058FF" w:rsidRDefault="00AC0744" w:rsidP="008F1863">
      <w:pPr>
        <w:pStyle w:val="H1G"/>
      </w:pPr>
      <w:r>
        <w:lastRenderedPageBreak/>
        <w:tab/>
      </w:r>
      <w:r>
        <w:tab/>
      </w:r>
      <w:r w:rsidR="007058FF" w:rsidRPr="007058FF">
        <w:t xml:space="preserve">Policy and </w:t>
      </w:r>
      <w:r w:rsidR="008F1863" w:rsidRPr="007058FF">
        <w:t>strategic framework</w:t>
      </w:r>
    </w:p>
    <w:p w14:paraId="2FCBC728" w14:textId="58E0A7CF" w:rsidR="007058FF" w:rsidRPr="007058FF" w:rsidRDefault="007058FF" w:rsidP="00344251">
      <w:pPr>
        <w:pStyle w:val="SingleTxtG"/>
        <w:numPr>
          <w:ilvl w:val="0"/>
          <w:numId w:val="28"/>
        </w:numPr>
        <w:ind w:left="1134" w:firstLine="0"/>
      </w:pPr>
      <w:r w:rsidRPr="007058FF">
        <w:t xml:space="preserve">The </w:t>
      </w:r>
      <w:r w:rsidRPr="007058FF">
        <w:rPr>
          <w:i/>
          <w:iCs/>
        </w:rPr>
        <w:t>National Gender Equality Policy and Action Plan (GEPAP 2014–2024)</w:t>
      </w:r>
      <w:r w:rsidRPr="007058FF">
        <w:t xml:space="preserve"> identified “Cultural and Social Transformation” as a cross-cutting strategic pillar. This pillar sought to dismantle gender stereotypes by integrating gender perspectives into public institutions, education, and media. Under GEPAP, ministries incorporated gender analysis in policies, curriculum reform, and community outreach, while the Division of Gender and Family Affairs (DGFA) developed gender-sensitivity training for educators, health practitioners, and police officers.</w:t>
      </w:r>
    </w:p>
    <w:p w14:paraId="37A41104" w14:textId="3D928E16" w:rsidR="007058FF" w:rsidRPr="007058FF" w:rsidRDefault="007058FF" w:rsidP="00344251">
      <w:pPr>
        <w:pStyle w:val="SingleTxtG"/>
        <w:numPr>
          <w:ilvl w:val="0"/>
          <w:numId w:val="28"/>
        </w:numPr>
        <w:ind w:left="1134" w:firstLine="0"/>
      </w:pPr>
      <w:r w:rsidRPr="007058FF">
        <w:t xml:space="preserve">Building on these foundations, the </w:t>
      </w:r>
      <w:r w:rsidRPr="007058FF">
        <w:rPr>
          <w:i/>
          <w:iCs/>
        </w:rPr>
        <w:t>National Gender-Based Violence Strategy and Action Plan (2026–2030)</w:t>
      </w:r>
      <w:r w:rsidRPr="007058FF">
        <w:t xml:space="preserve"> proposes sustained interventions to challenge discriminatory attitudes and harmful norms. It situates this work within the RESPECT Framework—specifically the pillar “Transformed attitudes, beliefs, and norms”—which aims to challenge cultural acceptance of male privilege and the normalization of violence.</w:t>
      </w:r>
    </w:p>
    <w:p w14:paraId="2C2D84DF" w14:textId="68821811" w:rsidR="007058FF" w:rsidRPr="007058FF" w:rsidRDefault="00D913FD" w:rsidP="008F1863">
      <w:pPr>
        <w:pStyle w:val="H1G"/>
      </w:pPr>
      <w:r>
        <w:tab/>
      </w:r>
      <w:r>
        <w:tab/>
      </w:r>
      <w:r w:rsidR="007058FF" w:rsidRPr="007058FF">
        <w:t>Awareness-</w:t>
      </w:r>
      <w:r w:rsidR="004154FB" w:rsidRPr="007058FF">
        <w:t>r</w:t>
      </w:r>
      <w:r w:rsidR="007058FF" w:rsidRPr="007058FF">
        <w:t xml:space="preserve">aising and </w:t>
      </w:r>
      <w:r w:rsidR="003F1C0D" w:rsidRPr="007058FF">
        <w:t>social norms change</w:t>
      </w:r>
    </w:p>
    <w:p w14:paraId="694F1E40" w14:textId="7891A594" w:rsidR="007058FF" w:rsidRPr="007058FF" w:rsidRDefault="007058FF" w:rsidP="00344251">
      <w:pPr>
        <w:pStyle w:val="SingleTxtG"/>
        <w:numPr>
          <w:ilvl w:val="0"/>
          <w:numId w:val="28"/>
        </w:numPr>
        <w:ind w:left="1134" w:firstLine="0"/>
      </w:pPr>
      <w:r w:rsidRPr="007058FF">
        <w:t>Public education campaigns have been central to Grenada’s approach. Through the Spotlight Initiative (2020–2023), the Government and civil society implemented wide-reaching campaigns such as:</w:t>
      </w:r>
    </w:p>
    <w:p w14:paraId="1B4862C8" w14:textId="77777777" w:rsidR="007058FF" w:rsidRPr="007058FF" w:rsidRDefault="007058FF" w:rsidP="008F1863">
      <w:pPr>
        <w:pStyle w:val="Bullet2G"/>
      </w:pPr>
      <w:r w:rsidRPr="007058FF">
        <w:t>The “STAR” Campaign (See. Talk. Act. Rise.), which engaged over 8,000 community members through schools, churches, and local councils to promote non-violence and gender equality;</w:t>
      </w:r>
    </w:p>
    <w:p w14:paraId="43024ADA" w14:textId="77777777" w:rsidR="007058FF" w:rsidRPr="007058FF" w:rsidRDefault="007058FF" w:rsidP="008F1863">
      <w:pPr>
        <w:pStyle w:val="Bullet2G"/>
      </w:pPr>
      <w:r w:rsidRPr="007058FF">
        <w:t>The “Break the Silence” media campaign, which reached an estimated 75 percent of households through television, radio, and social media, fostering dialogue on domestic violence and healthy relationships; and</w:t>
      </w:r>
    </w:p>
    <w:p w14:paraId="49FE6FE0" w14:textId="77777777" w:rsidR="007058FF" w:rsidRPr="007058FF" w:rsidRDefault="007058FF" w:rsidP="008F1863">
      <w:pPr>
        <w:pStyle w:val="Bullet2G"/>
      </w:pPr>
      <w:r w:rsidRPr="007058FF">
        <w:t>The Clothesline Project, coordinated with schools and youth organizations, enabling survivors and allies to express their experiences and commitments to ending violence through creative arts. The Parenting Education Unit and Men’s Bureau expanded outreach to male audiences through positive masculinity sessions, engaging over 1,500 men and boys in discussions on fatherhood, conflict resolution, and respectful relationships. These community engagements, reinforced by youth advocacy initiatives under the Climate-Smart Agriculture and Rural Enterprise Programme (SAEP), have encouraged gender-equitable participation in both household and community development activities.</w:t>
      </w:r>
    </w:p>
    <w:p w14:paraId="4116C6AE" w14:textId="5EB4997D" w:rsidR="007058FF" w:rsidRPr="007058FF" w:rsidRDefault="00D913FD" w:rsidP="003F1C0D">
      <w:pPr>
        <w:pStyle w:val="H1G"/>
      </w:pPr>
      <w:r>
        <w:tab/>
      </w:r>
      <w:r>
        <w:tab/>
      </w:r>
      <w:r w:rsidR="007058FF" w:rsidRPr="007058FF">
        <w:t xml:space="preserve">Education and </w:t>
      </w:r>
      <w:r w:rsidR="003F1C0D" w:rsidRPr="007058FF">
        <w:t>curriculum reform</w:t>
      </w:r>
    </w:p>
    <w:p w14:paraId="21D0E70A" w14:textId="5746224A" w:rsidR="007058FF" w:rsidRPr="007058FF" w:rsidRDefault="007058FF" w:rsidP="00344251">
      <w:pPr>
        <w:pStyle w:val="SingleTxtG"/>
        <w:numPr>
          <w:ilvl w:val="0"/>
          <w:numId w:val="28"/>
        </w:numPr>
        <w:ind w:left="1134" w:firstLine="0"/>
      </w:pPr>
      <w:r w:rsidRPr="007058FF">
        <w:t>In the education sector, gender equality is mainstreamed through the Health and Family Life Education (HFLE) curriculum, which includes modules on gender roles, reproductive rights, and respectful relationships. The Ministry of Education, in collaboration with UNICEF and the Caribbean Development Bank, has supported the integration of gender-sensitive materials and teacher training that encourage critical reflection on stereotypes in schools.</w:t>
      </w:r>
    </w:p>
    <w:p w14:paraId="663C3EB3" w14:textId="389E5E81" w:rsidR="007058FF" w:rsidRPr="007058FF" w:rsidRDefault="007058FF" w:rsidP="00344251">
      <w:pPr>
        <w:pStyle w:val="SingleTxtG"/>
        <w:numPr>
          <w:ilvl w:val="0"/>
          <w:numId w:val="28"/>
        </w:numPr>
        <w:ind w:left="1134" w:firstLine="0"/>
      </w:pPr>
      <w:r w:rsidRPr="007058FF">
        <w:t>Youth organizations, including the Program for Adolescent Mothers (PAM) and the Rotaract Club of Grenada, have facilitated peer-learning workshops linking gender equality with civic responsibility, digital citizenship, and violence prevention.</w:t>
      </w:r>
    </w:p>
    <w:p w14:paraId="303E5197" w14:textId="0FA26989" w:rsidR="007058FF" w:rsidRPr="007058FF" w:rsidRDefault="00D913FD" w:rsidP="003F1C0D">
      <w:pPr>
        <w:pStyle w:val="H1G"/>
      </w:pPr>
      <w:r>
        <w:tab/>
      </w:r>
      <w:r>
        <w:tab/>
      </w:r>
      <w:r w:rsidR="007058FF" w:rsidRPr="007058FF">
        <w:t xml:space="preserve">Institutional </w:t>
      </w:r>
      <w:r w:rsidR="003F1C0D" w:rsidRPr="007058FF">
        <w:t>capacity and media engagement</w:t>
      </w:r>
    </w:p>
    <w:p w14:paraId="61CCCB4C" w14:textId="69878173" w:rsidR="007058FF" w:rsidRPr="007058FF" w:rsidRDefault="007058FF" w:rsidP="00344251">
      <w:pPr>
        <w:pStyle w:val="SingleTxtG"/>
        <w:numPr>
          <w:ilvl w:val="0"/>
          <w:numId w:val="28"/>
        </w:numPr>
        <w:ind w:left="1134" w:firstLine="0"/>
        <w:rPr>
          <w:b/>
          <w:bCs/>
        </w:rPr>
      </w:pPr>
      <w:r w:rsidRPr="007058FF">
        <w:t xml:space="preserve">Institutional change has been strengthened through gender-sensitivity and survivor-centered training for frontline workers. Between 2020 and 2024, over 400 public officers, teachers, and community workers received capacity-building under the Spotlight Initiative and the GBV Unit’s training programme. These sessions improved understanding of how </w:t>
      </w:r>
      <w:r w:rsidRPr="007058FF">
        <w:lastRenderedPageBreak/>
        <w:t>gender bias and stereotypes can affect service delivery in policing, education, and social protection.</w:t>
      </w:r>
    </w:p>
    <w:p w14:paraId="089FFA5B" w14:textId="0E7DFAF0" w:rsidR="007058FF" w:rsidRPr="007058FF" w:rsidRDefault="007058FF" w:rsidP="00344251">
      <w:pPr>
        <w:pStyle w:val="SingleTxtG"/>
        <w:numPr>
          <w:ilvl w:val="0"/>
          <w:numId w:val="28"/>
        </w:numPr>
        <w:ind w:left="1134" w:firstLine="0"/>
      </w:pPr>
      <w:r w:rsidRPr="007058FF">
        <w:t>Media houses have also become partners in shifting narratives. Collaborations with the Government Information Service (GIS) and private broadcasters promote balanced gender representation in news and public affairs programmes. Messaging now routinely includes content highlighting shared caregiving, women’s leadership, and the importance of gender-responsive policies.</w:t>
      </w:r>
    </w:p>
    <w:p w14:paraId="7C541D11" w14:textId="5B85D5D5" w:rsidR="007058FF" w:rsidRPr="007058FF" w:rsidRDefault="00D913FD" w:rsidP="00184DAB">
      <w:pPr>
        <w:pStyle w:val="H1G"/>
      </w:pPr>
      <w:r>
        <w:tab/>
      </w:r>
      <w:r>
        <w:tab/>
      </w:r>
      <w:r w:rsidR="007058FF" w:rsidRPr="007058FF">
        <w:t xml:space="preserve">Data, </w:t>
      </w:r>
      <w:r w:rsidR="00184DAB" w:rsidRPr="007058FF">
        <w:t>monitoring, and evaluation</w:t>
      </w:r>
    </w:p>
    <w:p w14:paraId="41EC153A" w14:textId="73EF6A7F" w:rsidR="007058FF" w:rsidRPr="007058FF" w:rsidRDefault="007058FF" w:rsidP="00344251">
      <w:pPr>
        <w:pStyle w:val="SingleTxtG"/>
        <w:numPr>
          <w:ilvl w:val="0"/>
          <w:numId w:val="28"/>
        </w:numPr>
        <w:ind w:left="1134" w:firstLine="0"/>
      </w:pPr>
      <w:r w:rsidRPr="007058FF">
        <w:t xml:space="preserve">The Central Statistical Office (CSO) and the Division of Gender and Family Affairs are strengthening data collection and analysis to assess the impact of public education and awareness campaigns. The GBV Strategy and Action Plan (2026–2031) establishes a Monitoring, Evaluation, and Learning (MEL) framework, with indicators such as the number of campaigns conducted annually, the percentage of population exposed to gender equality messaging, and the share of men and boys participating in advocacy activities. </w:t>
      </w:r>
    </w:p>
    <w:p w14:paraId="18F73C3F" w14:textId="42D58C5D" w:rsidR="007058FF" w:rsidRPr="007058FF" w:rsidRDefault="007058FF" w:rsidP="00344251">
      <w:pPr>
        <w:pStyle w:val="SingleTxtG"/>
        <w:numPr>
          <w:ilvl w:val="0"/>
          <w:numId w:val="28"/>
        </w:numPr>
        <w:ind w:left="1134" w:firstLine="0"/>
      </w:pPr>
      <w:r w:rsidRPr="007058FF">
        <w:t>Preliminary data indicated that public acceptance of shared domestic roles and women’s leadership increased by 15 percent between 2019 and 2023 (National Gender Attitudes Survey, 2023). This progress suggests that ongoing engagement at the community and institutional levels is helping shift entrenched social norms.</w:t>
      </w:r>
    </w:p>
    <w:p w14:paraId="5FCEFF1F" w14:textId="16745527" w:rsidR="007058FF" w:rsidRPr="007058FF" w:rsidRDefault="00D913FD" w:rsidP="00184DAB">
      <w:pPr>
        <w:pStyle w:val="H1G"/>
      </w:pPr>
      <w:r>
        <w:tab/>
      </w:r>
      <w:r>
        <w:tab/>
      </w:r>
      <w:r w:rsidR="007058FF" w:rsidRPr="007058FF">
        <w:t xml:space="preserve">Sustainability and </w:t>
      </w:r>
      <w:r w:rsidR="00184DAB" w:rsidRPr="007058FF">
        <w:t>next steps</w:t>
      </w:r>
    </w:p>
    <w:p w14:paraId="231E37FB" w14:textId="35F314AD" w:rsidR="007058FF" w:rsidRPr="007058FF" w:rsidRDefault="007058FF" w:rsidP="00344251">
      <w:pPr>
        <w:pStyle w:val="SingleTxtG"/>
        <w:numPr>
          <w:ilvl w:val="0"/>
          <w:numId w:val="28"/>
        </w:numPr>
        <w:ind w:left="1134" w:firstLine="0"/>
      </w:pPr>
      <w:r w:rsidRPr="007058FF">
        <w:t>The Spotlight Initiative Sustainability Plan (2024) identifies “transformation of social norms and community mobilization” as one of its four sustainability pillars. Actions include embedding gender equality modules in all civil service training curricula, maintaining partnerships with youth-led organizations, and integrating public education into national observances such as International Women’s Day and 16 Days of Activism. Work is also underway to develop a successor framework to GEPAP (2026–2030) that builds on lessons learned and consolidates gender-transformative programming within education, media, and community development policies.</w:t>
      </w:r>
    </w:p>
    <w:p w14:paraId="59566B5A" w14:textId="496CFE53" w:rsidR="007058FF" w:rsidRPr="007058FF" w:rsidRDefault="007058FF" w:rsidP="00344251">
      <w:pPr>
        <w:pStyle w:val="SingleTxtG"/>
        <w:numPr>
          <w:ilvl w:val="0"/>
          <w:numId w:val="28"/>
        </w:numPr>
        <w:ind w:left="1134" w:firstLine="0"/>
      </w:pPr>
      <w:r w:rsidRPr="007058FF">
        <w:t>Grenada’s approach to eliminating discriminatory stereotypes is grounded in sustained, multi-sectoral action and broad-based community engagement. Through legal, educational, and behavioral interventions, the State is fostering an environment where equality, respect, and non-violence are integral to social and institutional culture. Continued investments in awareness, data collection, and policy alignment are expected to reinforce the progress achieved and support full compliance with Articles 2(f) and 5(a) of the Convention.</w:t>
      </w:r>
    </w:p>
    <w:p w14:paraId="63614D5C" w14:textId="7569B315" w:rsidR="007058FF" w:rsidRPr="007058FF" w:rsidRDefault="008D7DDE" w:rsidP="008D7DDE">
      <w:pPr>
        <w:pStyle w:val="H1G"/>
        <w:rPr>
          <w:u w:val="single"/>
        </w:rPr>
      </w:pPr>
      <w:r>
        <w:tab/>
      </w:r>
      <w:r>
        <w:tab/>
      </w:r>
      <w:r w:rsidR="007058FF" w:rsidRPr="007058FF">
        <w:t>Article 4: Temporary special measures</w:t>
      </w:r>
    </w:p>
    <w:p w14:paraId="26E1B151" w14:textId="39D46C64" w:rsidR="007058FF" w:rsidRPr="007058FF" w:rsidRDefault="007058FF" w:rsidP="00843BC9">
      <w:pPr>
        <w:pStyle w:val="SingleTxtG"/>
        <w:numPr>
          <w:ilvl w:val="0"/>
          <w:numId w:val="28"/>
        </w:numPr>
        <w:ind w:left="1134" w:firstLine="0"/>
      </w:pPr>
      <w:r w:rsidRPr="007058FF">
        <w:t>Grenada continues to recognize the strategic role of temporary special measures as a mechanism for accelerating substantive equality between women and men. Although specific quota-based measures have not been adopted during the reporting period, national policy implementation and legislative reform processes have advanced the principle of de facto equality, consistent with Article 4(1) of the Convention and General Recommendation No. 25.</w:t>
      </w:r>
    </w:p>
    <w:p w14:paraId="3B5C43AC" w14:textId="254EFF5D" w:rsidR="007058FF" w:rsidRPr="007058FF" w:rsidRDefault="007058FF" w:rsidP="00843BC9">
      <w:pPr>
        <w:pStyle w:val="SingleTxtG"/>
        <w:numPr>
          <w:ilvl w:val="0"/>
          <w:numId w:val="28"/>
        </w:numPr>
        <w:ind w:left="1134" w:firstLine="0"/>
      </w:pPr>
      <w:r w:rsidRPr="007058FF">
        <w:t>During the period under review, Grenada has pursued a coordinated, whole-of-government approach to embedding gender equality within the legislative and institutional framework. The establishment of a law review mechanism under the Ministry of Legal Affairs and the National Gender Machinery has facilitated the identification and redress of gender-related legal gaps. This process contributed to reforms addressing intimate partner violence, sexual offences, employment discrimination, and child protection. Notably, the review informed amendments to the Criminal Code and Sexual Offences Act to define consent, harmonize penalties for spousal and non-spousal rape, and provide for adolescent protection consistent with international human rights standards .</w:t>
      </w:r>
    </w:p>
    <w:p w14:paraId="5D9CEFC1" w14:textId="62A74DC0" w:rsidR="007058FF" w:rsidRPr="007058FF" w:rsidRDefault="007058FF" w:rsidP="00843BC9">
      <w:pPr>
        <w:pStyle w:val="SingleTxtG"/>
        <w:numPr>
          <w:ilvl w:val="0"/>
          <w:numId w:val="28"/>
        </w:numPr>
        <w:ind w:left="1134" w:firstLine="0"/>
      </w:pPr>
      <w:r w:rsidRPr="007058FF">
        <w:lastRenderedPageBreak/>
        <w:t>Parallel to legislative reform, the Spotlight Initiative (2020–2023) catalyzed institutional strengthening and cross-sectoral accountability mechanisms for gender equality and women’s empowerment (GEWE). The Initiative directly supported the National Gender Machinery’s elevation to a full Ministry, expanding its technical capacity and creating three specialized units focused on gender mainstreaming, gender-based violence prevention, and social inclusion. The Ministry now coordinates the Gender Equality Policy and Action Plan (GEPAP) and leads the national effort to ensure that all sectoral plans and budgets integrate gender equality objectives, with gender-responsive budgeting (GRB) mainstreamed into the 2024 National Budget.</w:t>
      </w:r>
    </w:p>
    <w:p w14:paraId="68A6A9E2" w14:textId="475EBD14" w:rsidR="007058FF" w:rsidRPr="007058FF" w:rsidRDefault="007058FF" w:rsidP="00843BC9">
      <w:pPr>
        <w:pStyle w:val="SingleTxtG"/>
        <w:numPr>
          <w:ilvl w:val="0"/>
          <w:numId w:val="28"/>
        </w:numPr>
        <w:ind w:left="1134" w:firstLine="0"/>
      </w:pPr>
      <w:r w:rsidRPr="007058FF">
        <w:t>In the education sector, reforms to the Education Act (2002, amended 2024) reinforce the right of pregnant and parenting students to continue their studies and prohibit sexual harassment in learning environments. Complementary measures promote comprehensive Health and Family Life Education and address gender-based barriers to schooling, responding to both Articles 10 and 12 of the Convention.</w:t>
      </w:r>
    </w:p>
    <w:p w14:paraId="5CD03D15" w14:textId="18888B8C" w:rsidR="007058FF" w:rsidRPr="007058FF" w:rsidRDefault="007058FF" w:rsidP="00843BC9">
      <w:pPr>
        <w:pStyle w:val="SingleTxtG"/>
        <w:numPr>
          <w:ilvl w:val="0"/>
          <w:numId w:val="28"/>
        </w:numPr>
        <w:ind w:left="1134" w:firstLine="0"/>
      </w:pPr>
      <w:r w:rsidRPr="007058FF">
        <w:t>In the area of employment, Grenada is reported to be progressing with policy measures aimed at introducing a legislative framework on workplace sexual harassment, as indicated in the International Labour Organization (ILO) Committee’s comments and recent media reports. This initiative forms part of ongoing labour law modernization efforts and the broader gender equality agenda supported through the EU–UN Spotlight Initiative.</w:t>
      </w:r>
    </w:p>
    <w:p w14:paraId="3BC443BE" w14:textId="495E472F" w:rsidR="007058FF" w:rsidRPr="007058FF" w:rsidRDefault="007058FF" w:rsidP="00843BC9">
      <w:pPr>
        <w:pStyle w:val="SingleTxtG"/>
        <w:numPr>
          <w:ilvl w:val="0"/>
          <w:numId w:val="28"/>
        </w:numPr>
        <w:ind w:left="1134" w:firstLine="0"/>
      </w:pPr>
      <w:r w:rsidRPr="007058FF">
        <w:t>While formal consultations with key stakeholders such as the Grenada Trades Union Council and the Chamber of Industry and Commerce have not been clearly documented in publicly available sources, the draft reform is understood to form part of the Government’s agenda to strengthen gender-equitable and safe working conditions under the Employment Act and to support compliance with the State’s broader obligations under Article 11 of the Convention on the Elimination of All Forms of Discrimination against Women (CEDAW).</w:t>
      </w:r>
    </w:p>
    <w:p w14:paraId="7367A630" w14:textId="40DDC14C" w:rsidR="007058FF" w:rsidRPr="007058FF" w:rsidRDefault="007058FF" w:rsidP="00843BC9">
      <w:pPr>
        <w:pStyle w:val="SingleTxtG"/>
        <w:numPr>
          <w:ilvl w:val="0"/>
          <w:numId w:val="28"/>
        </w:numPr>
        <w:ind w:left="1134" w:firstLine="0"/>
      </w:pPr>
      <w:r w:rsidRPr="007058FF">
        <w:t>The proposed Sexual Harassment Bill is expected to address a significant gap in Grenada’s current legal framework by explicitly defining sexual harassment, outlining employer obligations for prevention, reporting, and redress, and establishing clear procedures and penalties for violations. Once enacted, this legislation would represent a key step toward ensuring safer workplaces, advancing women’s rights at work, and aligning national standards with international labour conventions on equality and non-discrimination.</w:t>
      </w:r>
    </w:p>
    <w:p w14:paraId="6A5F7B4B" w14:textId="164D57AE" w:rsidR="007058FF" w:rsidRPr="007058FF" w:rsidRDefault="007058FF" w:rsidP="00843BC9">
      <w:pPr>
        <w:pStyle w:val="SingleTxtG"/>
        <w:numPr>
          <w:ilvl w:val="0"/>
          <w:numId w:val="28"/>
        </w:numPr>
        <w:ind w:left="1134" w:firstLine="0"/>
      </w:pPr>
      <w:r w:rsidRPr="007058FF">
        <w:t xml:space="preserve">These combined measures are reinforced by the </w:t>
      </w:r>
      <w:r w:rsidRPr="007058FF">
        <w:rPr>
          <w:i/>
          <w:iCs/>
        </w:rPr>
        <w:t>Policy on the Rights of Victims and Survivors of Gender-Based Violence (2024),</w:t>
      </w:r>
      <w:r w:rsidRPr="007058FF">
        <w:t xml:space="preserve"> which establishes clear service standards and institutional responsibilities for justice, health, and social services. The Policy operationalizes a rights-based and survivor-centred framework, aligning with Article 2(e) of the Convention and guaranteeing procedural fairness, confidentiality, and access to redress.</w:t>
      </w:r>
    </w:p>
    <w:p w14:paraId="6C09CFD3" w14:textId="3029643C" w:rsidR="007058FF" w:rsidRPr="007058FF" w:rsidRDefault="007058FF" w:rsidP="00843BC9">
      <w:pPr>
        <w:pStyle w:val="SingleTxtG"/>
        <w:numPr>
          <w:ilvl w:val="0"/>
          <w:numId w:val="28"/>
        </w:numPr>
        <w:ind w:left="1134" w:firstLine="0"/>
      </w:pPr>
      <w:r w:rsidRPr="007058FF">
        <w:t>At the national level, implementation of the Spotlight Initiative produced measurable changes across several pillars:</w:t>
      </w:r>
    </w:p>
    <w:p w14:paraId="4F76BADA" w14:textId="0C119BF9" w:rsidR="007058FF" w:rsidRPr="00C379B6" w:rsidRDefault="007058FF" w:rsidP="0022375C">
      <w:pPr>
        <w:pStyle w:val="Bullet2G"/>
      </w:pPr>
      <w:r w:rsidRPr="00C379B6">
        <w:t>Institutional strengthening: Over 45 civil society organisations (CSOs) and women’s rights groups enhanced their capacity to engage in gender equality programming, with 20 organizations receiving grants for sustained advocacy and service delivery</w:t>
      </w:r>
      <w:r w:rsidR="00C379B6">
        <w:t>;</w:t>
      </w:r>
    </w:p>
    <w:p w14:paraId="18EB17F0" w14:textId="04D9317B" w:rsidR="007058FF" w:rsidRPr="00C379B6" w:rsidRDefault="007058FF" w:rsidP="0022375C">
      <w:pPr>
        <w:pStyle w:val="Bullet2G"/>
      </w:pPr>
      <w:r w:rsidRPr="00C379B6">
        <w:t>Public administration and coordination: The Ministry of Gender Affairs established a multi-sectoral coordination mechanism for ending violence against women and girls, linking key ministries, the Royal Grenada Police Force, and community-based organizations</w:t>
      </w:r>
      <w:r w:rsidR="00C379B6">
        <w:t>;</w:t>
      </w:r>
    </w:p>
    <w:p w14:paraId="0E020465" w14:textId="77777777" w:rsidR="007058FF" w:rsidRPr="00C379B6" w:rsidRDefault="007058FF" w:rsidP="0022375C">
      <w:pPr>
        <w:pStyle w:val="Bullet2G"/>
      </w:pPr>
      <w:r w:rsidRPr="00C379B6">
        <w:t>Prevention and awareness: More than 6,000 individuals participated in awareness and behaviour-change campaigns promoting gender equity and non-violence, with youth-focused initiatives addressing masculinities and social norms transformation.</w:t>
      </w:r>
    </w:p>
    <w:p w14:paraId="7E6F3EA0" w14:textId="02BBC207" w:rsidR="007058FF" w:rsidRPr="007058FF" w:rsidRDefault="007058FF" w:rsidP="00843BC9">
      <w:pPr>
        <w:pStyle w:val="SingleTxtG"/>
        <w:numPr>
          <w:ilvl w:val="0"/>
          <w:numId w:val="28"/>
        </w:numPr>
        <w:ind w:left="1134" w:firstLine="0"/>
      </w:pPr>
      <w:r w:rsidRPr="007058FF">
        <w:t xml:space="preserve">These actions have begun to yield structural impact. Grenada’s national machinery now functions with enhanced inter-ministerial coordination, evidenced by its leadership in implementing the Grenada Information System for Analysing and Facilitating Empowerment against Family Violence (InfoSAFE), which improves data collection and monitoring for gender-based violence interventions. The establishment of this mechanism represents a </w:t>
      </w:r>
      <w:r w:rsidRPr="007058FF">
        <w:lastRenderedPageBreak/>
        <w:t>critical administrative measure supporting gender accountability—an element of de facto temporary special measures.</w:t>
      </w:r>
    </w:p>
    <w:p w14:paraId="0CC27936" w14:textId="780F36A5" w:rsidR="007058FF" w:rsidRPr="007058FF" w:rsidRDefault="007058FF" w:rsidP="00843BC9">
      <w:pPr>
        <w:pStyle w:val="SingleTxtG"/>
        <w:numPr>
          <w:ilvl w:val="0"/>
          <w:numId w:val="28"/>
        </w:numPr>
        <w:ind w:left="1134" w:firstLine="0"/>
      </w:pPr>
      <w:r w:rsidRPr="007058FF">
        <w:t>Although formal temporary quotas have not yet been legislated, functional equivalents—such as gender-responsive budgeting, rights-based service policies, and institutionalized gender focal points across ministries—have operated as accelerators of substantive equality. The Government continues to explore policy options for adopting explicit temporary measures, including leadership parity frameworks in decision-making bodies, the public service, and state boards, with technical support from UN Women and the OECS Commission on Gender and Social Inclusion.</w:t>
      </w:r>
    </w:p>
    <w:p w14:paraId="1BB0D47A" w14:textId="7AB0494F" w:rsidR="007058FF" w:rsidRPr="007058FF" w:rsidRDefault="007058FF" w:rsidP="00843BC9">
      <w:pPr>
        <w:pStyle w:val="SingleTxtG"/>
        <w:numPr>
          <w:ilvl w:val="0"/>
          <w:numId w:val="28"/>
        </w:numPr>
        <w:ind w:left="1134" w:firstLine="0"/>
      </w:pPr>
      <w:r w:rsidRPr="007058FF">
        <w:t>Grenada’s evolving framework for gender equality demonstrates sustained progress in translating the intent of Article 4 into actionable strategies that enhance women’s participation, protection, and empowerment across sectors. The cumulative impact is reflected in stronger legislative safeguards, expanded institutional capacity, improved service coordination, and progressive social norm shifts—laying the foundation for future adoption of temporary special measures that can further accelerate gender parity and equal representation.</w:t>
      </w:r>
    </w:p>
    <w:p w14:paraId="062599FB" w14:textId="532B0BCD" w:rsidR="007058FF" w:rsidRPr="007058FF" w:rsidRDefault="00C379B6" w:rsidP="00C379B6">
      <w:pPr>
        <w:pStyle w:val="H1G"/>
      </w:pPr>
      <w:r>
        <w:tab/>
      </w:r>
      <w:r>
        <w:tab/>
      </w:r>
      <w:r w:rsidR="007058FF" w:rsidRPr="007058FF">
        <w:t>Article 5: Violence against women</w:t>
      </w:r>
    </w:p>
    <w:p w14:paraId="6B90F338" w14:textId="10CA53E5" w:rsidR="007058FF" w:rsidRPr="007058FF" w:rsidRDefault="007058FF" w:rsidP="00843BC9">
      <w:pPr>
        <w:pStyle w:val="SingleTxtG"/>
        <w:numPr>
          <w:ilvl w:val="0"/>
          <w:numId w:val="28"/>
        </w:numPr>
        <w:ind w:left="1134" w:firstLine="0"/>
      </w:pPr>
      <w:r w:rsidRPr="007058FF">
        <w:t>Grenada has made efforts to advance its legislative and policy framework for addressing violence against women through sustained reforms, institutional capacity-building, and coordinated multisectoral action. These efforts are part of a broader national strategy to ensure compliance with the Convention, strengthen human rights protections, and promote gender equality as a central tenet of sustainable development.</w:t>
      </w:r>
    </w:p>
    <w:p w14:paraId="32CF9EA9" w14:textId="2A7C94C3" w:rsidR="007058FF" w:rsidRPr="007058FF" w:rsidRDefault="00D97A74" w:rsidP="00D97A74">
      <w:pPr>
        <w:pStyle w:val="H23G"/>
      </w:pPr>
      <w:r>
        <w:tab/>
      </w:r>
      <w:r>
        <w:tab/>
      </w:r>
      <w:r w:rsidR="007058FF" w:rsidRPr="007058FF">
        <w:t>National Strategic Action Plan to Eliminate Gender-Based Violence</w:t>
      </w:r>
    </w:p>
    <w:p w14:paraId="620681D9" w14:textId="143E5D50" w:rsidR="007058FF" w:rsidRPr="007058FF" w:rsidRDefault="007058FF" w:rsidP="00843BC9">
      <w:pPr>
        <w:pStyle w:val="SingleTxtG"/>
        <w:numPr>
          <w:ilvl w:val="0"/>
          <w:numId w:val="28"/>
        </w:numPr>
        <w:ind w:left="1134" w:firstLine="0"/>
      </w:pPr>
      <w:r w:rsidRPr="007058FF">
        <w:t xml:space="preserve">The </w:t>
      </w:r>
      <w:r w:rsidRPr="007058FF">
        <w:rPr>
          <w:i/>
          <w:iCs/>
        </w:rPr>
        <w:t>draft National Strategic Action Plan to Eliminate Gender-Based Violence (2026–2031)</w:t>
      </w:r>
      <w:r w:rsidRPr="007058FF">
        <w:t xml:space="preserve">,  developed under the leadership of the Ministry of Social and Community Development, Housing, and Gender Affairs, represents the most comprehensive policy framework to date for preventing and responding to GBV. The Strategy is anchored in the </w:t>
      </w:r>
      <w:r w:rsidRPr="007058FF">
        <w:rPr>
          <w:i/>
          <w:iCs/>
        </w:rPr>
        <w:t>National Gender Equality Policy and Action Plan (GEPAP 2014–2024),</w:t>
      </w:r>
      <w:r w:rsidRPr="007058FF">
        <w:t xml:space="preserve"> Grenada’s commitments under CEDAW, the Beijing Platform for Action, and the Montevideo Strategy on Gender Equality and Women’s Rights.</w:t>
      </w:r>
    </w:p>
    <w:p w14:paraId="2EB05479" w14:textId="378E915E" w:rsidR="007058FF" w:rsidRPr="007058FF" w:rsidRDefault="007058FF" w:rsidP="00843BC9">
      <w:pPr>
        <w:pStyle w:val="SingleTxtG"/>
        <w:numPr>
          <w:ilvl w:val="0"/>
          <w:numId w:val="28"/>
        </w:numPr>
        <w:ind w:left="1134" w:firstLine="0"/>
      </w:pPr>
      <w:r w:rsidRPr="007058FF">
        <w:t>The Action Plan is structured around five strategic priorities: prevention, protection, prosecution, participation, and policy coherence. It integrates gender, disability, and youth inclusion and establishes accountability frameworks for all line ministries and local government structures. The document draws on extensive national consultations and the findings of the Rapid Situational Analysis on GBV (2023), which confirmed that intimate partner violence and sexual violence remain the most prevalent forms of abuse affecting women, with economic dependence and social stigma being major barriers to reporting and recovery.</w:t>
      </w:r>
    </w:p>
    <w:p w14:paraId="3DA57C5A" w14:textId="736B8BAD" w:rsidR="007058FF" w:rsidRPr="007058FF" w:rsidRDefault="007058FF" w:rsidP="00843BC9">
      <w:pPr>
        <w:pStyle w:val="SingleTxtG"/>
        <w:numPr>
          <w:ilvl w:val="0"/>
          <w:numId w:val="28"/>
        </w:numPr>
        <w:ind w:left="1134" w:firstLine="0"/>
      </w:pPr>
      <w:r w:rsidRPr="007058FF">
        <w:t xml:space="preserve">Economic modelling within the draft Strategy estimates that </w:t>
      </w:r>
      <w:r w:rsidRPr="007058FF">
        <w:rPr>
          <w:b/>
          <w:bCs/>
        </w:rPr>
        <w:t xml:space="preserve">the </w:t>
      </w:r>
      <w:r w:rsidRPr="007058FF">
        <w:t>national cost of GBV is equivalent to approximately 4.7 percent of Grenada’s GDP (EC$171.7 million / US$63.6 million) in health expenditures, productivity losses, and justice-system costs, reinforcing the importance of continued investment in prevention and survivor services.</w:t>
      </w:r>
    </w:p>
    <w:p w14:paraId="10A04CBC" w14:textId="55EF4D6E" w:rsidR="007058FF" w:rsidRPr="007058FF" w:rsidRDefault="00D97A74" w:rsidP="00D97A74">
      <w:pPr>
        <w:pStyle w:val="H23G"/>
      </w:pPr>
      <w:r>
        <w:tab/>
      </w:r>
      <w:r>
        <w:tab/>
      </w:r>
      <w:r w:rsidR="007058FF" w:rsidRPr="007058FF">
        <w:t xml:space="preserve">Legislative </w:t>
      </w:r>
      <w:r w:rsidR="00083ABD" w:rsidRPr="007058FF">
        <w:t>framework and enforcement mechanisms</w:t>
      </w:r>
    </w:p>
    <w:p w14:paraId="70AC7913" w14:textId="18C86912" w:rsidR="007058FF" w:rsidRPr="007058FF" w:rsidRDefault="007058FF" w:rsidP="00843BC9">
      <w:pPr>
        <w:pStyle w:val="SingleTxtG"/>
        <w:numPr>
          <w:ilvl w:val="0"/>
          <w:numId w:val="28"/>
        </w:numPr>
        <w:ind w:left="1134" w:firstLine="0"/>
      </w:pPr>
      <w:r w:rsidRPr="007058FF">
        <w:t xml:space="preserve">The </w:t>
      </w:r>
      <w:r w:rsidRPr="007058FF">
        <w:rPr>
          <w:i/>
          <w:iCs/>
        </w:rPr>
        <w:t>Domestic Violence Act No. 22 of 2010</w:t>
      </w:r>
      <w:r w:rsidRPr="007058FF">
        <w:t xml:space="preserve"> provides for protection orders, occupation and tenancy orders, and the arrest of perpetrators without a warrant where imminent harm exists. It also covers a broad range of domestic relationships beyond legal marriage, ensuring access to protection for de facto partners, cohabitants, and dependent children. The Act mandates the police to respond promptly to all domestic-violence complaints and empowers the court to issue immediate interim protection orders.</w:t>
      </w:r>
    </w:p>
    <w:p w14:paraId="23ADB142" w14:textId="5B738445" w:rsidR="007058FF" w:rsidRPr="007058FF" w:rsidRDefault="007058FF" w:rsidP="00843BC9">
      <w:pPr>
        <w:pStyle w:val="SingleTxtG"/>
        <w:numPr>
          <w:ilvl w:val="0"/>
          <w:numId w:val="28"/>
        </w:numPr>
        <w:ind w:left="1134" w:firstLine="0"/>
      </w:pPr>
      <w:r w:rsidRPr="007058FF">
        <w:t xml:space="preserve">Since 2019, the Gender-Based Violence Unit (GBVU) within the Ministry of Social and Community Development, Housing and Gender Affairs has enhanced the national </w:t>
      </w:r>
      <w:r w:rsidRPr="007058FF">
        <w:lastRenderedPageBreak/>
        <w:t>coordination and delivery of services for survivors of gender-based violence. The Unit provides case management support, crisis counselling, and referrals to emergency shelters and psychosocial services, working closely with civil society partners and community-based advocates.</w:t>
      </w:r>
    </w:p>
    <w:p w14:paraId="5976056B" w14:textId="79A635C3" w:rsidR="007058FF" w:rsidRPr="007058FF" w:rsidRDefault="007058FF" w:rsidP="00843BC9">
      <w:pPr>
        <w:pStyle w:val="SingleTxtG"/>
        <w:numPr>
          <w:ilvl w:val="0"/>
          <w:numId w:val="28"/>
        </w:numPr>
        <w:ind w:left="1134" w:firstLine="0"/>
      </w:pPr>
      <w:r w:rsidRPr="007058FF">
        <w:t xml:space="preserve">In parallel, the Special Victims Unit (SVU) of the Royal Grenada Police Force (RGPF) has strengthened investigative and law-enforcement responses to domestic and sexual violence. The SVU conducts survivor interviews, gathers forensic and witness evidence, and facilitates the application of protection orders in accordance with the </w:t>
      </w:r>
      <w:r w:rsidRPr="007058FF">
        <w:rPr>
          <w:i/>
          <w:iCs/>
        </w:rPr>
        <w:t>Domestic Violence Act (2010</w:t>
      </w:r>
      <w:r w:rsidRPr="007058FF">
        <w:rPr>
          <w:b/>
          <w:bCs/>
        </w:rPr>
        <w:t>)</w:t>
      </w:r>
      <w:r w:rsidRPr="007058FF">
        <w:t>. Coordination between the SVU and the GBVU ensures that survivors receive a continuum of protection—from reporting and investigation to access to shelter, counselling, and legal aid—while maintaining a survivor-centred and trauma-informed approach across all stages of intervention.</w:t>
      </w:r>
    </w:p>
    <w:p w14:paraId="1FBACEE9" w14:textId="78696CDA" w:rsidR="007058FF" w:rsidRPr="007058FF" w:rsidRDefault="007058FF" w:rsidP="00843BC9">
      <w:pPr>
        <w:pStyle w:val="SingleTxtG"/>
        <w:numPr>
          <w:ilvl w:val="0"/>
          <w:numId w:val="28"/>
        </w:numPr>
        <w:ind w:left="1134" w:firstLine="0"/>
      </w:pPr>
      <w:r w:rsidRPr="007058FF">
        <w:t xml:space="preserve">Amendments to the </w:t>
      </w:r>
      <w:r w:rsidRPr="007058FF">
        <w:rPr>
          <w:i/>
          <w:iCs/>
        </w:rPr>
        <w:t>Criminal Code (Cap. 72A, 2012)</w:t>
      </w:r>
      <w:r w:rsidRPr="007058FF">
        <w:t xml:space="preserve"> represented an important step toward strengthening legal protections against gender-based and sexual violence in Grenada. These reforms explicitly criminalized marital rape, removed long-standing exceptions based on spousal status, and revised penalties related to sexual offences, child abuse, and incest to ensure greater accountability and deterrence. The amendments brought Grenada’s legal framework closer to international human rights and gender-equality standards by recognizing that consent must be present in all sexual relations, regardless of marital status.</w:t>
      </w:r>
    </w:p>
    <w:p w14:paraId="5CA08FD8" w14:textId="7F81E080" w:rsidR="007058FF" w:rsidRPr="007058FF" w:rsidRDefault="007058FF" w:rsidP="00843BC9">
      <w:pPr>
        <w:pStyle w:val="SingleTxtG"/>
        <w:numPr>
          <w:ilvl w:val="0"/>
          <w:numId w:val="28"/>
        </w:numPr>
        <w:ind w:left="1134" w:firstLine="0"/>
      </w:pPr>
      <w:r w:rsidRPr="007058FF">
        <w:t>Building on this foundation, an ongoing review of the Criminal Code seeks to further modernize the legislation and close remaining gaps in the protection of survivors. Key areas under consideration include redefining consent in sexual offences to align with international norms, clarifying sentencing guidelines to eliminate disparities between spousal and non-spousal rape, and establishing clear timeframes for the prosecution of sexual offences to improve judicial efficiency. Additionally, the review process aims to enhance procedural safeguards for victims, such as ensuring privacy during court proceedings, facilitating victim impact statements, and improving coordination among law enforcement and support services.</w:t>
      </w:r>
    </w:p>
    <w:p w14:paraId="16BB2B16" w14:textId="348E91B3" w:rsidR="007058FF" w:rsidRPr="007058FF" w:rsidRDefault="007058FF" w:rsidP="00843BC9">
      <w:pPr>
        <w:pStyle w:val="SingleTxtG"/>
        <w:numPr>
          <w:ilvl w:val="0"/>
          <w:numId w:val="28"/>
        </w:numPr>
        <w:ind w:left="1134" w:firstLine="0"/>
      </w:pPr>
      <w:r w:rsidRPr="007058FF">
        <w:t xml:space="preserve">The </w:t>
      </w:r>
      <w:r w:rsidRPr="007058FF">
        <w:rPr>
          <w:i/>
          <w:iCs/>
        </w:rPr>
        <w:t>Electronic Crimes Act No. 22 of 2013</w:t>
      </w:r>
      <w:r w:rsidRPr="007058FF">
        <w:t xml:space="preserve"> provides penalties for online harassment, non-consensual sharing of intimate images, and cyberstalking. This legislation has become increasingly relevant given the rise in technology-facilitated violence against women and girls, particularly during and after the COVID-19 pandemic.</w:t>
      </w:r>
    </w:p>
    <w:p w14:paraId="2570A7C3" w14:textId="5C785BF7" w:rsidR="007058FF" w:rsidRPr="007058FF" w:rsidRDefault="007058FF" w:rsidP="00843BC9">
      <w:pPr>
        <w:pStyle w:val="SingleTxtG"/>
        <w:numPr>
          <w:ilvl w:val="0"/>
          <w:numId w:val="28"/>
        </w:numPr>
        <w:ind w:left="1134" w:firstLine="0"/>
        <w:rPr>
          <w:b/>
          <w:bCs/>
        </w:rPr>
      </w:pPr>
      <w:r w:rsidRPr="007058FF">
        <w:t>Prevention of Trafficking in Persons Act (2014) criminalizes trafficking in persons for the purposes of sexual exploitation or forced labour and provides protection for victims, including access to medical care, shelter, and legal aid. Grenada’s enforcement of this Act aligns with obligations under the Palermo Protocol and the UN Convention against Transnational Organized Crime, ensuring protection for women and girls in transnational contexts.</w:t>
      </w:r>
    </w:p>
    <w:p w14:paraId="6DE0A33A" w14:textId="106CE7B4" w:rsidR="007058FF" w:rsidRPr="007058FF" w:rsidRDefault="007058FF" w:rsidP="00843BC9">
      <w:pPr>
        <w:pStyle w:val="SingleTxtG"/>
        <w:numPr>
          <w:ilvl w:val="0"/>
          <w:numId w:val="28"/>
        </w:numPr>
        <w:ind w:left="1134" w:firstLine="0"/>
      </w:pPr>
      <w:r w:rsidRPr="007058FF">
        <w:t>Together, these legislative efforts reflect ongoing progress in advancing Articles 2 and 5 of the Convention on the Elimination of All Forms of Discrimination against Women (CEDAW) by addressing gender-based barriers to justice and promoting a legal environment that upholds the rights and dignity of women and girls</w:t>
      </w:r>
      <w:r w:rsidR="00D97A74">
        <w:t>.</w:t>
      </w:r>
    </w:p>
    <w:p w14:paraId="5DE2DB89" w14:textId="3D01971E" w:rsidR="007058FF" w:rsidRPr="007058FF" w:rsidRDefault="007058FF" w:rsidP="00843BC9">
      <w:pPr>
        <w:pStyle w:val="SingleTxtG"/>
        <w:numPr>
          <w:ilvl w:val="0"/>
          <w:numId w:val="28"/>
        </w:numPr>
        <w:ind w:left="1134" w:firstLine="0"/>
      </w:pPr>
      <w:r w:rsidRPr="007058FF">
        <w:t>The Policy on the Rights of Victims and Survivors of Gender-Based Violence—adopted in 2021—creates standardized service protocols for justice, health, and social-service actors. It guarantees survivors’ rights to confidentiality, non-discrimination, and access to psychosocial and legal support. The policy has enhanced consistency in service delivery and strengthened institutional accountability within the GBV response network.</w:t>
      </w:r>
    </w:p>
    <w:p w14:paraId="630CED29" w14:textId="010F329E" w:rsidR="007058FF" w:rsidRPr="007058FF" w:rsidRDefault="007058FF" w:rsidP="00843BC9">
      <w:pPr>
        <w:pStyle w:val="SingleTxtG"/>
        <w:numPr>
          <w:ilvl w:val="0"/>
          <w:numId w:val="28"/>
        </w:numPr>
        <w:ind w:left="1134" w:firstLine="0"/>
      </w:pPr>
      <w:r w:rsidRPr="007058FF">
        <w:t>Consultations are ongoing toward the passage of comprehensive sexual harassment legislation, guided by CARICOM model law and best practices from the OECS. The draft law aims to prohibit sexual harassment in workplaces, educational institutions, and public spaces, ensuring protection and redress mechanisms for both men and women.</w:t>
      </w:r>
    </w:p>
    <w:p w14:paraId="01F3284C" w14:textId="05F6CEFD" w:rsidR="007058FF" w:rsidRPr="007058FF" w:rsidRDefault="00D97A74" w:rsidP="00D97A74">
      <w:pPr>
        <w:pStyle w:val="H23G"/>
      </w:pPr>
      <w:r>
        <w:tab/>
      </w:r>
      <w:r>
        <w:tab/>
      </w:r>
      <w:r w:rsidR="007058FF" w:rsidRPr="007058FF">
        <w:t xml:space="preserve">Institutional </w:t>
      </w:r>
      <w:r w:rsidR="00281950" w:rsidRPr="007058FF">
        <w:t>coordination and implementation</w:t>
      </w:r>
    </w:p>
    <w:p w14:paraId="685D9C63" w14:textId="2BC12019" w:rsidR="007058FF" w:rsidRPr="007058FF" w:rsidRDefault="007058FF" w:rsidP="00843BC9">
      <w:pPr>
        <w:pStyle w:val="SingleTxtG"/>
        <w:numPr>
          <w:ilvl w:val="0"/>
          <w:numId w:val="28"/>
        </w:numPr>
        <w:ind w:left="1134" w:firstLine="0"/>
      </w:pPr>
      <w:r w:rsidRPr="007058FF">
        <w:t xml:space="preserve">The National Domestic Violence and Sexual Abuse Protocol (2011) remains a key coordination mechanism for inter-agency collaboration, linking the police, health services, and social workers. The GBV Standard Operating Procedures (2022)—developed with </w:t>
      </w:r>
      <w:r w:rsidRPr="007058FF">
        <w:lastRenderedPageBreak/>
        <w:t>support from the UN Spotlight Initiative—have institutionalized these protocols, clearly defining referral pathways and service standards across all ministries and partner agencies.</w:t>
      </w:r>
    </w:p>
    <w:p w14:paraId="6A456552" w14:textId="2AF918B4" w:rsidR="007058FF" w:rsidRPr="007058FF" w:rsidRDefault="007058FF" w:rsidP="00843BC9">
      <w:pPr>
        <w:pStyle w:val="SingleTxtG"/>
        <w:numPr>
          <w:ilvl w:val="0"/>
          <w:numId w:val="28"/>
        </w:numPr>
        <w:ind w:left="1134" w:firstLine="0"/>
      </w:pPr>
      <w:r w:rsidRPr="007058FF">
        <w:t>The Gender-Based Violence Unit (GBVU) was upgraded in 2018 to a specialized operational arm of the RGPF, with trained officers assigned to each police division. The Unit collaborates with the Family Court, Legal Aid and Counselling Clinic (LACC), and Grenada National Organisation of Women (GNOW) to ensure survivors receive timely and appropriate support.</w:t>
      </w:r>
    </w:p>
    <w:p w14:paraId="034CE617" w14:textId="31357F04" w:rsidR="007058FF" w:rsidRPr="007058FF" w:rsidRDefault="007058FF" w:rsidP="00843BC9">
      <w:pPr>
        <w:pStyle w:val="SingleTxtG"/>
        <w:numPr>
          <w:ilvl w:val="0"/>
          <w:numId w:val="28"/>
        </w:numPr>
        <w:ind w:left="1134" w:firstLine="0"/>
      </w:pPr>
      <w:r w:rsidRPr="007058FF">
        <w:t>Through the Spotlight Initiative (2020–2023), over 250 police officers, healthcare providers, prosecutors, and social workers were trained in survivor-centred and trauma-informed approaches. Standardized training modules on handling protection orders, interviewing survivors, and managing evidence in sexual offence cases are now being integrated into the Police Academy curriculum.</w:t>
      </w:r>
    </w:p>
    <w:p w14:paraId="3823B807" w14:textId="1531DF95" w:rsidR="007058FF" w:rsidRPr="007058FF" w:rsidRDefault="00E90DD0" w:rsidP="00E90DD0">
      <w:pPr>
        <w:pStyle w:val="H23G"/>
      </w:pPr>
      <w:r>
        <w:tab/>
      </w:r>
      <w:r>
        <w:tab/>
      </w:r>
      <w:r w:rsidR="007058FF" w:rsidRPr="007058FF">
        <w:t xml:space="preserve">Data </w:t>
      </w:r>
      <w:r w:rsidR="00281950" w:rsidRPr="007058FF">
        <w:t>collection, reporting, and analysis</w:t>
      </w:r>
    </w:p>
    <w:p w14:paraId="4D57BCCF" w14:textId="62E81110" w:rsidR="007058FF" w:rsidRPr="007058FF" w:rsidRDefault="007058FF" w:rsidP="00843BC9">
      <w:pPr>
        <w:pStyle w:val="SingleTxtG"/>
        <w:numPr>
          <w:ilvl w:val="0"/>
          <w:numId w:val="28"/>
        </w:numPr>
        <w:ind w:left="1134" w:firstLine="0"/>
      </w:pPr>
      <w:r w:rsidRPr="007058FF">
        <w:t>The Central Statistics Office (CSO), in collaboration with the Ministry of Social Development, is enhancing data collection through the Grenada Information System for Analysing and Facilitating Empowerment against Family Violence (InfoSAFE). The system aggregates data from the GBVU, health facilities, and social-service agencies and allows for disaggregation by sex, age, type of violence, disability status, and relationship between survivor and perpetrator. Preliminary data indicate an upward trend in reporting, attributed to heightened public awareness and improved service coordination. These data inform annual policy reviews and resource allocations for social protection, policing, and justice-sector reforms.</w:t>
      </w:r>
    </w:p>
    <w:p w14:paraId="39F340FE" w14:textId="010BC9FA" w:rsidR="007058FF" w:rsidRPr="007058FF" w:rsidRDefault="00E90DD0" w:rsidP="00E90DD0">
      <w:pPr>
        <w:pStyle w:val="H23G"/>
      </w:pPr>
      <w:r>
        <w:tab/>
      </w:r>
      <w:r>
        <w:tab/>
      </w:r>
      <w:r w:rsidR="007058FF" w:rsidRPr="007058FF">
        <w:t xml:space="preserve">Survivor </w:t>
      </w:r>
      <w:r w:rsidR="00281950" w:rsidRPr="007058FF">
        <w:t>services and access to justice</w:t>
      </w:r>
    </w:p>
    <w:p w14:paraId="44112A6A" w14:textId="5E4FDF67" w:rsidR="007058FF" w:rsidRPr="007058FF" w:rsidRDefault="007058FF" w:rsidP="00843BC9">
      <w:pPr>
        <w:pStyle w:val="SingleTxtG"/>
        <w:numPr>
          <w:ilvl w:val="0"/>
          <w:numId w:val="28"/>
        </w:numPr>
        <w:ind w:left="1134" w:firstLine="0"/>
      </w:pPr>
      <w:r w:rsidRPr="007058FF">
        <w:t>Survivors have access to emergency shelters, medical care, counselling, legal aid, and psychosocial rehabilitation through partnerships between government agencies and civil society organizations. The LACC provides free legal representation and counselling to survivors, while GNOW facilitate community-based prevention and referral initiatives.</w:t>
      </w:r>
    </w:p>
    <w:p w14:paraId="6194EBB0" w14:textId="393A5BFE" w:rsidR="007058FF" w:rsidRPr="007058FF" w:rsidRDefault="007058FF" w:rsidP="00843BC9">
      <w:pPr>
        <w:pStyle w:val="SingleTxtG"/>
        <w:numPr>
          <w:ilvl w:val="0"/>
          <w:numId w:val="28"/>
        </w:numPr>
        <w:ind w:left="1134" w:firstLine="0"/>
      </w:pPr>
      <w:r w:rsidRPr="007058FF">
        <w:t>Rehabilitation and reintegration programmes led by the Parenting Education Unit and Men’s Bureau offer counselling and conflict-resolution training for families and offenders, reinforcing behaviour-change and restorative approaches where appropriate. Plans are in progress to fully operationalize a 24-hour national GBV hotline, integrated with InfoSAFE, to facilitate real-time referrals and rapid emergency response for survivors.</w:t>
      </w:r>
    </w:p>
    <w:p w14:paraId="2922AE35" w14:textId="693C3EEA" w:rsidR="007058FF" w:rsidRPr="007058FF" w:rsidRDefault="00E90DD0" w:rsidP="00E90DD0">
      <w:pPr>
        <w:pStyle w:val="H23G"/>
      </w:pPr>
      <w:r>
        <w:tab/>
      </w:r>
      <w:r>
        <w:tab/>
      </w:r>
      <w:r w:rsidR="007058FF" w:rsidRPr="007058FF">
        <w:t xml:space="preserve">Awareness, </w:t>
      </w:r>
      <w:r w:rsidR="00281950" w:rsidRPr="007058FF">
        <w:t>prevention, and cultural change</w:t>
      </w:r>
    </w:p>
    <w:p w14:paraId="3281F6FB" w14:textId="13B7E439" w:rsidR="007058FF" w:rsidRPr="007058FF" w:rsidRDefault="007058FF" w:rsidP="00843BC9">
      <w:pPr>
        <w:pStyle w:val="SingleTxtG"/>
        <w:numPr>
          <w:ilvl w:val="0"/>
          <w:numId w:val="28"/>
        </w:numPr>
        <w:ind w:left="1134" w:firstLine="0"/>
      </w:pPr>
      <w:r w:rsidRPr="007058FF">
        <w:t xml:space="preserve">Public-education efforts have remained central to prevention. Campaigns such as </w:t>
      </w:r>
      <w:r w:rsidRPr="007058FF">
        <w:rPr>
          <w:i/>
          <w:iCs/>
        </w:rPr>
        <w:t>Break the Silence</w:t>
      </w:r>
      <w:r w:rsidRPr="007058FF">
        <w:t xml:space="preserve">, </w:t>
      </w:r>
      <w:r w:rsidRPr="007058FF">
        <w:rPr>
          <w:i/>
          <w:iCs/>
        </w:rPr>
        <w:t>HeForShe Grenada</w:t>
      </w:r>
      <w:r w:rsidRPr="007058FF">
        <w:t xml:space="preserve">, and the </w:t>
      </w:r>
      <w:r w:rsidRPr="007058FF">
        <w:rPr>
          <w:i/>
          <w:iCs/>
        </w:rPr>
        <w:t>16 Days of Activism against Gender-Based Violence</w:t>
      </w:r>
      <w:r w:rsidRPr="007058FF">
        <w:t xml:space="preserve"> have reached thousands of citizens through schools, community centres, and digital media. These campaigns promote positive masculinities, challenge stereotypes, and highlight the legal rights of women and girls.</w:t>
      </w:r>
    </w:p>
    <w:p w14:paraId="3EECB8DA" w14:textId="10BB2D29" w:rsidR="007058FF" w:rsidRPr="007058FF" w:rsidRDefault="007058FF" w:rsidP="00843BC9">
      <w:pPr>
        <w:pStyle w:val="SingleTxtG"/>
        <w:numPr>
          <w:ilvl w:val="0"/>
          <w:numId w:val="28"/>
        </w:numPr>
        <w:ind w:left="1134" w:firstLine="0"/>
      </w:pPr>
      <w:r w:rsidRPr="007058FF">
        <w:t>Community outreach under the Spotlight Initiative engaged over 6,000 participants, including youth, faith leaders, and men’s groups, fostering dialogue on gender equality and respect in relationships. This sustained public engagement has contributed to gradual shifts in attitudes and increased willingness to report cases of abuse.</w:t>
      </w:r>
    </w:p>
    <w:p w14:paraId="1A7C497B" w14:textId="74E280D0" w:rsidR="007058FF" w:rsidRPr="007058FF" w:rsidRDefault="00E90DD0" w:rsidP="00E90DD0">
      <w:pPr>
        <w:pStyle w:val="H23G"/>
      </w:pPr>
      <w:r>
        <w:tab/>
      </w:r>
      <w:r>
        <w:tab/>
      </w:r>
      <w:r w:rsidR="007058FF" w:rsidRPr="007058FF">
        <w:t xml:space="preserve">Impact and </w:t>
      </w:r>
      <w:r w:rsidR="00281950" w:rsidRPr="007058FF">
        <w:t>continuing challenges</w:t>
      </w:r>
    </w:p>
    <w:p w14:paraId="2D1BB5B2" w14:textId="26D088F7" w:rsidR="007058FF" w:rsidRPr="007058FF" w:rsidRDefault="007058FF" w:rsidP="00843BC9">
      <w:pPr>
        <w:pStyle w:val="SingleTxtG"/>
        <w:numPr>
          <w:ilvl w:val="0"/>
          <w:numId w:val="28"/>
        </w:numPr>
        <w:ind w:left="1134" w:firstLine="0"/>
      </w:pPr>
      <w:r w:rsidRPr="007058FF">
        <w:t>Evidence from the Spotlight Initiative’s final cumulative report (2024) indicates that Grenada’s national response system has become more cohesive and survivor oriented. Service coverage has expanded; inter-agency coordination has improved, and reporting mechanisms have become more accessible. The integration of GBV data management through InfoSAFE is expected to further enhance accountability and evidence-based policymaking.</w:t>
      </w:r>
    </w:p>
    <w:p w14:paraId="1B16487B" w14:textId="29234100" w:rsidR="007058FF" w:rsidRPr="007058FF" w:rsidRDefault="007058FF" w:rsidP="00843BC9">
      <w:pPr>
        <w:pStyle w:val="SingleTxtG"/>
        <w:numPr>
          <w:ilvl w:val="0"/>
          <w:numId w:val="28"/>
        </w:numPr>
        <w:ind w:left="1134" w:firstLine="0"/>
      </w:pPr>
      <w:r w:rsidRPr="007058FF">
        <w:t xml:space="preserve">The combined impact of legislative reform, policy coherence, and targeted interventions has contributed to a measurable improvement in survivors’ access to justice and </w:t>
      </w:r>
      <w:r w:rsidRPr="007058FF">
        <w:lastRenderedPageBreak/>
        <w:t>care. Coordination between the police, judiciary, and health sector has reduced service duplication and enhanced consistency in survivor support.</w:t>
      </w:r>
    </w:p>
    <w:p w14:paraId="40E74FDB" w14:textId="48816B99" w:rsidR="007058FF" w:rsidRPr="007058FF" w:rsidRDefault="007058FF" w:rsidP="00843BC9">
      <w:pPr>
        <w:pStyle w:val="SingleTxtG"/>
        <w:numPr>
          <w:ilvl w:val="0"/>
          <w:numId w:val="28"/>
        </w:numPr>
        <w:ind w:left="1134" w:firstLine="0"/>
      </w:pPr>
      <w:r w:rsidRPr="007058FF">
        <w:t xml:space="preserve">Grenada’s comprehensive approach to addressing violence against women demonstrates continuous alignment with CEDAW Article 5. Through legal reform, institutional strengthening, data-driven policymaking, and sustained partnerships, the State has advanced towards a more inclusive and survivor-centred framework. The forthcoming </w:t>
      </w:r>
      <w:r w:rsidRPr="007058FF">
        <w:rPr>
          <w:i/>
          <w:iCs/>
        </w:rPr>
        <w:t>National Strategic Action Plan on GBV (2026–2030)</w:t>
      </w:r>
      <w:r w:rsidRPr="007058FF">
        <w:t xml:space="preserve"> is expected to consolidate these gains, ensuring that prevention, protection, and redress mechanisms continue to evolve in response to emerging needs and international standards.</w:t>
      </w:r>
    </w:p>
    <w:p w14:paraId="04EF4EBE" w14:textId="1472B62C" w:rsidR="007058FF" w:rsidRPr="007058FF" w:rsidRDefault="00E90DD0" w:rsidP="00E90DD0">
      <w:pPr>
        <w:pStyle w:val="H1G"/>
      </w:pPr>
      <w:r>
        <w:tab/>
      </w:r>
      <w:r>
        <w:tab/>
      </w:r>
      <w:r w:rsidR="007058FF" w:rsidRPr="007058FF">
        <w:t xml:space="preserve">Article 6: Trafficking and sexual exploitation </w:t>
      </w:r>
    </w:p>
    <w:p w14:paraId="6BAC7BC1" w14:textId="2FEA554F" w:rsidR="007058FF" w:rsidRPr="007058FF" w:rsidRDefault="007058FF" w:rsidP="00843BC9">
      <w:pPr>
        <w:pStyle w:val="SingleTxtG"/>
        <w:numPr>
          <w:ilvl w:val="0"/>
          <w:numId w:val="28"/>
        </w:numPr>
        <w:ind w:left="1134" w:firstLine="0"/>
      </w:pPr>
      <w:r w:rsidRPr="007058FF">
        <w:t>A comprehensive framework to prevent, detect, and respond to trafficking in persons and sexual exploitation has been adopted by Grenada  in line with its obligations under the Convention on the Elimination of All Forms of Discrimination against Women, the Protocol to Prevent, Suppress and Punish Trafficking in Persons, Especially Women and Children (Palermo Protocol), and the Inter-American Convention on the Prevention, Punishment, and Eradication of Violence against Women (Belém do Pará).</w:t>
      </w:r>
    </w:p>
    <w:p w14:paraId="531485CF" w14:textId="4BD77E95" w:rsidR="007058FF" w:rsidRPr="007058FF" w:rsidRDefault="007058FF" w:rsidP="00843BC9">
      <w:pPr>
        <w:pStyle w:val="SingleTxtG"/>
        <w:numPr>
          <w:ilvl w:val="0"/>
          <w:numId w:val="28"/>
        </w:numPr>
        <w:ind w:left="1134" w:firstLine="0"/>
      </w:pPr>
      <w:r w:rsidRPr="007058FF">
        <w:t>The State’s approach is anchored in human rights, survivor dignity, and inter-agency coordination, integrating prevention, protection, prosecution, and partnerships as core pillars of national action.</w:t>
      </w:r>
    </w:p>
    <w:p w14:paraId="555E4937" w14:textId="02AFC0D7" w:rsidR="007058FF" w:rsidRPr="007058FF" w:rsidRDefault="00E90DD0" w:rsidP="00E90DD0">
      <w:pPr>
        <w:pStyle w:val="H23G"/>
      </w:pPr>
      <w:r>
        <w:tab/>
      </w:r>
      <w:r>
        <w:tab/>
      </w:r>
      <w:r w:rsidR="007058FF" w:rsidRPr="007058FF">
        <w:t xml:space="preserve">Legislative and </w:t>
      </w:r>
      <w:r w:rsidR="00281950" w:rsidRPr="007058FF">
        <w:t>policy measures for prevention, prosecution, and protection</w:t>
      </w:r>
    </w:p>
    <w:p w14:paraId="1D2B95DB" w14:textId="6E7FDF5D" w:rsidR="007058FF" w:rsidRPr="007058FF" w:rsidRDefault="007058FF" w:rsidP="00843BC9">
      <w:pPr>
        <w:pStyle w:val="SingleTxtG"/>
        <w:numPr>
          <w:ilvl w:val="0"/>
          <w:numId w:val="28"/>
        </w:numPr>
        <w:ind w:left="1134" w:firstLine="0"/>
      </w:pPr>
      <w:r w:rsidRPr="007058FF">
        <w:t xml:space="preserve">Grenada’s </w:t>
      </w:r>
      <w:r w:rsidRPr="007058FF">
        <w:rPr>
          <w:i/>
          <w:iCs/>
        </w:rPr>
        <w:t>Prevention of Trafficking in Persons Act (2014)</w:t>
      </w:r>
      <w:r w:rsidRPr="007058FF">
        <w:t xml:space="preserve"> serves as the principal legislation addressing trafficking in persons. It defines trafficking broadly to encompass recruitment, transportation, harbouring, transfer, or receipt of persons through coercion, abduction, deception, abuse of vulnerability, or payment to a controlling party. The Act applies to all persons—men, women, and children—and includes provisions for victim protection, temporary residency, and repatriation assistance.</w:t>
      </w:r>
    </w:p>
    <w:p w14:paraId="2C20A1FD" w14:textId="3AA8E4E7" w:rsidR="007058FF" w:rsidRPr="007058FF" w:rsidRDefault="007058FF" w:rsidP="00843BC9">
      <w:pPr>
        <w:pStyle w:val="SingleTxtG"/>
        <w:numPr>
          <w:ilvl w:val="0"/>
          <w:numId w:val="28"/>
        </w:numPr>
        <w:ind w:left="1134" w:firstLine="0"/>
      </w:pPr>
      <w:r w:rsidRPr="007058FF">
        <w:t>Complementary legislation strengthens the protective environment. The Criminal Code (Amendment 2012) expanded Section 188 to criminalize sexual exploitation of both women and men, while the Electronic Crimes Act (2013) addresses online forms of sexual exploitation, including cyber-grooming, image-based abuse, and digital trafficking. The Trafficking in Persons (Prevention and Control) Regulations empower the Royal Grenada Police Force (RGPF), the Immigration Department, and the Cybersecurity Unit to jointly monitor, investigate, and prosecute offences.</w:t>
      </w:r>
    </w:p>
    <w:p w14:paraId="7AF33FEC" w14:textId="7C623DF8" w:rsidR="007058FF" w:rsidRPr="007058FF" w:rsidRDefault="007058FF" w:rsidP="00843BC9">
      <w:pPr>
        <w:pStyle w:val="SingleTxtG"/>
        <w:numPr>
          <w:ilvl w:val="0"/>
          <w:numId w:val="28"/>
        </w:numPr>
        <w:ind w:left="1134" w:firstLine="0"/>
      </w:pPr>
      <w:r w:rsidRPr="007058FF">
        <w:t>These laws collectively establish a robust framework that is consistent with Articles 2, 5, and 6 of the Convention and the guiding principles of Belém do Pará, ensuring comprehensive protection against gender-based exploitation.</w:t>
      </w:r>
    </w:p>
    <w:p w14:paraId="60E838D8" w14:textId="5FF03AF1" w:rsidR="007058FF" w:rsidRPr="007058FF" w:rsidRDefault="007058FF" w:rsidP="00843BC9">
      <w:pPr>
        <w:pStyle w:val="SingleTxtG"/>
        <w:numPr>
          <w:ilvl w:val="0"/>
          <w:numId w:val="28"/>
        </w:numPr>
        <w:ind w:left="1134" w:firstLine="0"/>
      </w:pPr>
      <w:r w:rsidRPr="007058FF">
        <w:t xml:space="preserve">In addition, Grenada’s </w:t>
      </w:r>
      <w:r w:rsidRPr="007058FF">
        <w:rPr>
          <w:i/>
          <w:iCs/>
        </w:rPr>
        <w:t>National Gender Equality Policy and Action Plan (GEPAP 2014–2024)</w:t>
      </w:r>
      <w:r w:rsidRPr="007058FF">
        <w:t xml:space="preserve"> and the forthcoming </w:t>
      </w:r>
      <w:r w:rsidRPr="007058FF">
        <w:rPr>
          <w:i/>
          <w:iCs/>
        </w:rPr>
        <w:t>National Strategic Action Plan to Eliminate Gender-Based Violence (2026–2030)</w:t>
      </w:r>
      <w:r w:rsidRPr="007058FF">
        <w:t xml:space="preserve"> integrate trafficking and sexual exploitation as priority areas. The latter plan, developed through extensive stakeholder consultation, emphasizes survivor-centred, gender- and disability-responsive measures and introduces cross-border cooperation protocols for early detection and referral.</w:t>
      </w:r>
    </w:p>
    <w:p w14:paraId="47D996E7" w14:textId="1E122677" w:rsidR="007058FF" w:rsidRPr="007058FF" w:rsidRDefault="007058FF" w:rsidP="00843BC9">
      <w:pPr>
        <w:pStyle w:val="SingleTxtG"/>
        <w:numPr>
          <w:ilvl w:val="0"/>
          <w:numId w:val="28"/>
        </w:numPr>
        <w:ind w:left="1134" w:firstLine="0"/>
      </w:pPr>
      <w:r w:rsidRPr="007058FF">
        <w:t>Institutional responsibility is shared among the RGPF Special Victims Unit (SVU), which leads investigations and case management; the Division of Gender and Family Affairs (DGFA), which provides psychosocial support, temporary accommodation, and legal aid; and the Ministry of Legal Affairs, which oversees legislative review and international reporting obligations. Coordination across these agencies has strengthened enforcement, survivor support, and prevention outreach.</w:t>
      </w:r>
    </w:p>
    <w:p w14:paraId="017EECFF" w14:textId="40C9B3AD" w:rsidR="007058FF" w:rsidRPr="007058FF" w:rsidRDefault="000F7E03" w:rsidP="000F7E03">
      <w:pPr>
        <w:pStyle w:val="H23G"/>
      </w:pPr>
      <w:r>
        <w:lastRenderedPageBreak/>
        <w:tab/>
      </w:r>
      <w:r>
        <w:tab/>
      </w:r>
      <w:r w:rsidR="007058FF" w:rsidRPr="007058FF">
        <w:t xml:space="preserve">Data </w:t>
      </w:r>
      <w:r w:rsidR="00281950" w:rsidRPr="007058FF">
        <w:t>collection, research, and trend analysis</w:t>
      </w:r>
    </w:p>
    <w:p w14:paraId="7D569447" w14:textId="0328D848" w:rsidR="007058FF" w:rsidRPr="007058FF" w:rsidRDefault="007058FF" w:rsidP="00843BC9">
      <w:pPr>
        <w:pStyle w:val="SingleTxtG"/>
        <w:numPr>
          <w:ilvl w:val="0"/>
          <w:numId w:val="28"/>
        </w:numPr>
        <w:ind w:left="1134" w:firstLine="0"/>
      </w:pPr>
      <w:r w:rsidRPr="007058FF">
        <w:t>Grenada recognizes the importance of accurate and sex-disaggregated data to identify, track, and respond to trafficking and sexual exploitation. Through collaboration between the Central Statistics Office, the RGPF, and the Gender Affairs Division, the Government is improving its capacity to collect, consolidate, and analyse administrative data from justice, immigration, and social service agencies.</w:t>
      </w:r>
    </w:p>
    <w:p w14:paraId="7D8356FC" w14:textId="50FDF33C" w:rsidR="007058FF" w:rsidRPr="007058FF" w:rsidRDefault="007058FF" w:rsidP="00843BC9">
      <w:pPr>
        <w:pStyle w:val="SingleTxtG"/>
        <w:numPr>
          <w:ilvl w:val="0"/>
          <w:numId w:val="28"/>
        </w:numPr>
        <w:ind w:left="1134" w:firstLine="0"/>
      </w:pPr>
      <w:r w:rsidRPr="007058FF">
        <w:t>The national Information System for Analysing and Facilitating Empowerment against Family Violence (InfoSAFE), developed under the Spotlight Initiative, will serve as the central repository for GBV-related data including trafficking. This system allows disaggregation by sex, age, and relationship to perpetrator, thereby supporting evidence-based policymaking and alignment with SDG indicators 5.2.1 and 5.2.2.</w:t>
      </w:r>
    </w:p>
    <w:p w14:paraId="32ACFC35" w14:textId="39691DAA" w:rsidR="007058FF" w:rsidRPr="007058FF" w:rsidRDefault="007058FF" w:rsidP="00843BC9">
      <w:pPr>
        <w:pStyle w:val="SingleTxtG"/>
        <w:numPr>
          <w:ilvl w:val="0"/>
          <w:numId w:val="28"/>
        </w:numPr>
        <w:ind w:left="1134" w:firstLine="0"/>
      </w:pPr>
      <w:r w:rsidRPr="007058FF">
        <w:t>The Rapid Situational Analysis on Gender-Based Violence (2023) and the Gender Aware Beneficiary Assessment (GABA 2024) also provided critical insights on the socioeconomic and gendered dimensions of exploitation. Both reports highlighted economic dependency, limited livelihood options, and stigma as factors that increase vulnerability to trafficking, especially among young women and girls in rural communities.</w:t>
      </w:r>
    </w:p>
    <w:p w14:paraId="31543E11" w14:textId="0DCF6E7E" w:rsidR="007058FF" w:rsidRPr="007058FF" w:rsidRDefault="000F7E03" w:rsidP="000F7E03">
      <w:pPr>
        <w:pStyle w:val="H23G"/>
      </w:pPr>
      <w:r>
        <w:tab/>
      </w:r>
      <w:r>
        <w:tab/>
      </w:r>
      <w:r w:rsidR="007058FF" w:rsidRPr="007058FF">
        <w:t xml:space="preserve">Addressing </w:t>
      </w:r>
      <w:r w:rsidR="00281950" w:rsidRPr="007058FF">
        <w:t>structural vulnerabilities and enhancing socioeconomic resilience</w:t>
      </w:r>
    </w:p>
    <w:p w14:paraId="07DDF097" w14:textId="3D398D1C" w:rsidR="007058FF" w:rsidRPr="007058FF" w:rsidRDefault="007058FF" w:rsidP="00843BC9">
      <w:pPr>
        <w:pStyle w:val="SingleTxtG"/>
        <w:numPr>
          <w:ilvl w:val="0"/>
          <w:numId w:val="28"/>
        </w:numPr>
        <w:ind w:left="1134" w:firstLine="0"/>
      </w:pPr>
      <w:r w:rsidRPr="007058FF">
        <w:t>The Government recognizes that poverty, unemployment, and gender inequality contribute to heightened risk of trafficking and exploitation. In response, social protection and livelihood programmes have been scaled up to address the root causes of vulnerability and to empower women and girls economically.</w:t>
      </w:r>
    </w:p>
    <w:p w14:paraId="68637F3C" w14:textId="63E72FA8" w:rsidR="007058FF" w:rsidRPr="007058FF" w:rsidRDefault="007058FF" w:rsidP="00843BC9">
      <w:pPr>
        <w:pStyle w:val="SingleTxtG"/>
        <w:numPr>
          <w:ilvl w:val="0"/>
          <w:numId w:val="28"/>
        </w:numPr>
        <w:ind w:left="1134" w:firstLine="0"/>
      </w:pPr>
      <w:r w:rsidRPr="007058FF">
        <w:t>The Support for Education, Empowerment and Development (SEED) Programme provides conditional cash transfers to low-income households, with women comprising approximately 55% of total beneficiaries. SEED’s integration of educational support, disability inclusion, and family assistance reduces the economic pressures that often lead to exploitation.</w:t>
      </w:r>
    </w:p>
    <w:p w14:paraId="4C150B58" w14:textId="371C1A9F" w:rsidR="007058FF" w:rsidRPr="007058FF" w:rsidRDefault="007058FF" w:rsidP="00843BC9">
      <w:pPr>
        <w:pStyle w:val="SingleTxtG"/>
        <w:numPr>
          <w:ilvl w:val="0"/>
          <w:numId w:val="28"/>
        </w:numPr>
        <w:ind w:left="1134" w:firstLine="0"/>
      </w:pPr>
      <w:r w:rsidRPr="007058FF">
        <w:t>Complementing SEED, the Climate-Smart Agriculture and Rural Enterprise Programme (SAEP) and the Build Back Equal (BBE) initiative promote skills development, entrepreneurship, and childcare support for women and youth. Together, these programmes enhance financial independence, expand employment pathways, and foster inclusive participation in the labour market. The Basic Needs Trust Fund (BNTF) further supports community-based infrastructure and income generation, particularly in underserved rural areas, reinforcing Grenada’s life-cycle approach to empowerment.</w:t>
      </w:r>
    </w:p>
    <w:p w14:paraId="5E61140C" w14:textId="4C361064" w:rsidR="007058FF" w:rsidRPr="007058FF" w:rsidRDefault="007058FF" w:rsidP="00843BC9">
      <w:pPr>
        <w:pStyle w:val="SingleTxtG"/>
        <w:numPr>
          <w:ilvl w:val="0"/>
          <w:numId w:val="28"/>
        </w:numPr>
        <w:ind w:left="1134" w:firstLine="0"/>
      </w:pPr>
      <w:r w:rsidRPr="007058FF">
        <w:t>These efforts align with the Montevideo Strategy for Implementation of the Regional Gender Agenda, which identifies economic autonomy and the elimination of gender-based violence as interdependent goals. By linking social protection to gender equality, Grenada is addressing not only immediate vulnerability but also systemic inequality.</w:t>
      </w:r>
    </w:p>
    <w:p w14:paraId="4D4AEB79" w14:textId="34F759F5" w:rsidR="007058FF" w:rsidRPr="007058FF" w:rsidRDefault="000F7E03" w:rsidP="000F7E03">
      <w:pPr>
        <w:pStyle w:val="H23G"/>
      </w:pPr>
      <w:r>
        <w:tab/>
      </w:r>
      <w:r>
        <w:tab/>
      </w:r>
      <w:r w:rsidR="007058FF" w:rsidRPr="007058FF">
        <w:t xml:space="preserve">Support </w:t>
      </w:r>
      <w:r w:rsidR="00281950" w:rsidRPr="007058FF">
        <w:t>services and reintegration for survivors</w:t>
      </w:r>
    </w:p>
    <w:p w14:paraId="4E385600" w14:textId="5A1D72C8" w:rsidR="007058FF" w:rsidRPr="007058FF" w:rsidRDefault="007058FF" w:rsidP="00843BC9">
      <w:pPr>
        <w:pStyle w:val="SingleTxtG"/>
        <w:numPr>
          <w:ilvl w:val="0"/>
          <w:numId w:val="28"/>
        </w:numPr>
        <w:ind w:left="1134" w:firstLine="0"/>
      </w:pPr>
      <w:r w:rsidRPr="007058FF">
        <w:t>Survivors of trafficking and sexual exploitation can access assistance through a coordinated national referral system led by the Gender-Based Violence Unit (GBVU) within the Ministry of Social Development. Services include emergency shelter, psychosocial counselling, medical referrals, and legal aid. Collaboration with civil society partners such as the Legal Aid and Counselling Clinic (LACC), and the Grenada National Organisation of Women (GNOW) ensures continuity of care and community reintegration.</w:t>
      </w:r>
    </w:p>
    <w:p w14:paraId="62481E0E" w14:textId="36C93B99" w:rsidR="007058FF" w:rsidRPr="007058FF" w:rsidRDefault="007058FF" w:rsidP="00843BC9">
      <w:pPr>
        <w:pStyle w:val="SingleTxtG"/>
        <w:numPr>
          <w:ilvl w:val="0"/>
          <w:numId w:val="28"/>
        </w:numPr>
        <w:ind w:left="1134" w:firstLine="0"/>
      </w:pPr>
      <w:r w:rsidRPr="007058FF">
        <w:t>Rehabilitation and reintegration programmes—implemented through the Parenting Education Unit and Men’s Bureau—focus on restoring self-sufficiency and rebuilding livelihoods for survivors, including those seeking to exit prostitution. The integration of vocational training and microenterprise support reflects a commitment to survivor empowerment, consistent with Article 7 of Belém do Pará.</w:t>
      </w:r>
    </w:p>
    <w:p w14:paraId="03B5FA0C" w14:textId="6DF1C9BF" w:rsidR="007058FF" w:rsidRPr="007058FF" w:rsidRDefault="00926A18" w:rsidP="00926A18">
      <w:pPr>
        <w:pStyle w:val="H23G"/>
      </w:pPr>
      <w:r>
        <w:lastRenderedPageBreak/>
        <w:tab/>
      </w:r>
      <w:r>
        <w:tab/>
      </w:r>
      <w:r w:rsidR="007058FF" w:rsidRPr="007058FF">
        <w:t>Prevention</w:t>
      </w:r>
      <w:r w:rsidR="00281950" w:rsidRPr="007058FF">
        <w:t>, awareness, and partnerships</w:t>
      </w:r>
    </w:p>
    <w:p w14:paraId="7746549B" w14:textId="7C7EA10B" w:rsidR="007058FF" w:rsidRPr="007058FF" w:rsidRDefault="007058FF" w:rsidP="00843BC9">
      <w:pPr>
        <w:pStyle w:val="SingleTxtG"/>
        <w:numPr>
          <w:ilvl w:val="0"/>
          <w:numId w:val="28"/>
        </w:numPr>
        <w:ind w:left="1134" w:firstLine="0"/>
      </w:pPr>
      <w:r w:rsidRPr="007058FF">
        <w:t>National awareness campaigns have remained central to prevention efforts. Initiatives such as “Break the Silence”, “No Means No”, and the 16 Days of Activism have reached schools, churches, workplaces, and communities, promoting understanding of consent, exploitation risks, and legal protections. These efforts, led by the Ministry and partners such as GNOW and the Grenada National Council of the Disabled (GNCD), address the intersectional vulnerabilities faced by women and girls with disabilities, migrants, and youth.</w:t>
      </w:r>
    </w:p>
    <w:p w14:paraId="53DF4A03" w14:textId="20F51DBB" w:rsidR="00997861" w:rsidRDefault="007058FF" w:rsidP="00843BC9">
      <w:pPr>
        <w:pStyle w:val="SingleTxtG"/>
        <w:numPr>
          <w:ilvl w:val="0"/>
          <w:numId w:val="28"/>
        </w:numPr>
        <w:ind w:left="1134" w:firstLine="0"/>
      </w:pPr>
      <w:r w:rsidRPr="007058FF">
        <w:t>Grenada also participates in regional and hemispheric partnerships through the Caribbean Migration Consultations (CMC) and the CARICOM Council for Human and Social Development (COHSOD). These collaborations strengthen the country’s ability to prevent cross-border trafficking, harmonize data collection, and facilitate the safe return and reintegration of victims.</w:t>
      </w:r>
    </w:p>
    <w:p w14:paraId="134D19EE" w14:textId="707A1939" w:rsidR="007058FF" w:rsidRPr="00997861" w:rsidRDefault="00997861" w:rsidP="00997861">
      <w:pPr>
        <w:pStyle w:val="H23G"/>
      </w:pPr>
      <w:r>
        <w:tab/>
      </w:r>
      <w:r>
        <w:tab/>
      </w:r>
      <w:r w:rsidR="007058FF" w:rsidRPr="007058FF">
        <w:t xml:space="preserve">Progress and </w:t>
      </w:r>
      <w:r w:rsidR="00281950" w:rsidRPr="007058FF">
        <w:t>impact</w:t>
      </w:r>
    </w:p>
    <w:p w14:paraId="0FE87C28" w14:textId="2A783C8D" w:rsidR="007058FF" w:rsidRPr="007058FF" w:rsidRDefault="007058FF" w:rsidP="00843BC9">
      <w:pPr>
        <w:pStyle w:val="SingleTxtG"/>
        <w:numPr>
          <w:ilvl w:val="0"/>
          <w:numId w:val="28"/>
        </w:numPr>
        <w:ind w:left="1134" w:firstLine="0"/>
      </w:pPr>
      <w:r w:rsidRPr="007058FF">
        <w:t>Grenada’s integrated response has enhanced institutional readiness and survivor-centred coordination across the justice, social protection, and security sectors. The combination of legal reform, targeted social programmes, and awareness efforts has improved early detection, reduced stigma, and expanded survivors’ access to services.</w:t>
      </w:r>
    </w:p>
    <w:p w14:paraId="64EFC2F3" w14:textId="61B7C723" w:rsidR="007058FF" w:rsidRPr="007058FF" w:rsidRDefault="007058FF" w:rsidP="00843BC9">
      <w:pPr>
        <w:pStyle w:val="SingleTxtG"/>
        <w:numPr>
          <w:ilvl w:val="0"/>
          <w:numId w:val="28"/>
        </w:numPr>
        <w:ind w:left="1134" w:firstLine="0"/>
      </w:pPr>
      <w:r w:rsidRPr="007058FF">
        <w:t>While no confirmed trafficking cases have been recorded, national systems are now equipped with protocols, trained personnel, and data management tools to respond promptly and effectively should such incidents arise. The Government’s focus on empowerment and prevention—rather than criminalization—reflects a shift toward structural resilience and gender-responsive governance.</w:t>
      </w:r>
    </w:p>
    <w:p w14:paraId="5D16DBDD" w14:textId="625F625A" w:rsidR="007058FF" w:rsidRPr="007058FF" w:rsidRDefault="007058FF" w:rsidP="00843BC9">
      <w:pPr>
        <w:pStyle w:val="SingleTxtG"/>
        <w:numPr>
          <w:ilvl w:val="0"/>
          <w:numId w:val="28"/>
        </w:numPr>
        <w:ind w:left="1134" w:firstLine="0"/>
      </w:pPr>
      <w:r w:rsidRPr="007058FF">
        <w:t xml:space="preserve">Grenada’s sustained legislative, institutional, and social measures demonstrate its ongoing commitment to eliminating trafficking in persons and sexual exploitation, in line with CEDAW Article 6, the Palermo Protocol, and the Belém do Pará Convention. The forthcoming </w:t>
      </w:r>
      <w:r w:rsidRPr="007058FF">
        <w:rPr>
          <w:i/>
          <w:iCs/>
        </w:rPr>
        <w:t>National GBV Strategy and Action Plan (2026–2030),</w:t>
      </w:r>
      <w:r w:rsidRPr="007058FF">
        <w:t xml:space="preserve"> together with strengthened data systems, survivor services, and regional partnerships, will further consolidate progress. These combined actions underscore Grenada’s determination to ensure that all women and girls live free from violence, exploitation, and discrimination.</w:t>
      </w:r>
    </w:p>
    <w:p w14:paraId="28A02F06" w14:textId="255E7842" w:rsidR="007058FF" w:rsidRPr="007058FF" w:rsidRDefault="00997861" w:rsidP="00997861">
      <w:pPr>
        <w:pStyle w:val="H1G"/>
      </w:pPr>
      <w:r>
        <w:tab/>
      </w:r>
      <w:r>
        <w:tab/>
      </w:r>
      <w:r w:rsidR="007058FF" w:rsidRPr="007058FF">
        <w:t>Article 7 and 8: Participation in political and public life</w:t>
      </w:r>
    </w:p>
    <w:p w14:paraId="2438C2B0" w14:textId="3DC09730" w:rsidR="007058FF" w:rsidRPr="007058FF" w:rsidRDefault="00997861" w:rsidP="00997861">
      <w:pPr>
        <w:pStyle w:val="H23G"/>
      </w:pPr>
      <w:r>
        <w:tab/>
      </w:r>
      <w:r>
        <w:tab/>
      </w:r>
      <w:r w:rsidR="007058FF" w:rsidRPr="007058FF">
        <w:t xml:space="preserve">Removing </w:t>
      </w:r>
      <w:r w:rsidR="00281950" w:rsidRPr="007058FF">
        <w:t>barriers and advancing women into decision-making</w:t>
      </w:r>
    </w:p>
    <w:p w14:paraId="309194AF" w14:textId="14B9950E" w:rsidR="007058FF" w:rsidRPr="007058FF" w:rsidRDefault="007058FF" w:rsidP="00843BC9">
      <w:pPr>
        <w:pStyle w:val="SingleTxtG"/>
        <w:numPr>
          <w:ilvl w:val="0"/>
          <w:numId w:val="28"/>
        </w:numPr>
        <w:ind w:left="1134" w:firstLine="0"/>
      </w:pPr>
      <w:r w:rsidRPr="007058FF">
        <w:t xml:space="preserve">Grenada continues to advance women’s full and equal participation in decision-making as an integral part of its democratic and development agenda. The </w:t>
      </w:r>
      <w:r w:rsidRPr="007058FF">
        <w:rPr>
          <w:i/>
          <w:iCs/>
        </w:rPr>
        <w:t>National Gender Equality Policy and Action Plan (GEPAP 2014–2024)</w:t>
      </w:r>
      <w:r w:rsidRPr="007058FF">
        <w:t xml:space="preserve"> establishes parity in leadership and governance as a strategic priority, aligning with CEDAW Articles 7 and 8, the Beijing Platform for Action, and the Montevideo Strategy.</w:t>
      </w:r>
    </w:p>
    <w:p w14:paraId="5C01C0A2" w14:textId="2E97E8EB" w:rsidR="007058FF" w:rsidRPr="007058FF" w:rsidRDefault="007058FF" w:rsidP="00843BC9">
      <w:pPr>
        <w:pStyle w:val="SingleTxtG"/>
        <w:numPr>
          <w:ilvl w:val="0"/>
          <w:numId w:val="28"/>
        </w:numPr>
        <w:ind w:left="1134" w:firstLine="0"/>
      </w:pPr>
      <w:r w:rsidRPr="007058FF">
        <w:t>Women’s representation in national and senior public leadership has shown measurable gains. Following the 2018 general elections, Grenada achieved near gender parity in Parliament—47% of parliamentary seats were held by women, placing Grenada 28th globally among 147 democracies according to the Inter-Parliamentary Union (IPU). As of 2024, women hold 6 of 15 Senate seats and 4 of 15 seats in the House of Representatives, reflecting a modest decline in parity but continued high visibility of women in governance. Within the civil service, women occupy approximately 65% of Permanent Secretary posts, chair 28% of statutory boards, and make up 23% of total board membership.</w:t>
      </w:r>
    </w:p>
    <w:p w14:paraId="4A47F67F" w14:textId="14CF4701" w:rsidR="007058FF" w:rsidRPr="007058FF" w:rsidRDefault="007058FF" w:rsidP="00843BC9">
      <w:pPr>
        <w:pStyle w:val="SingleTxtG"/>
        <w:numPr>
          <w:ilvl w:val="0"/>
          <w:numId w:val="28"/>
        </w:numPr>
        <w:ind w:left="1134" w:firstLine="0"/>
      </w:pPr>
      <w:r w:rsidRPr="007058FF">
        <w:t>Despite these achievements, challenges persist. Cultural norms, gender stereotypes, unequal access to campaign financing, and the double burden of care continue to impede women’s advancement. The Government, through the Division of Gender and Family Affairs, the Cabinet Office, and the Public Service Commission, has sought to address these barriers by strengthening merit-based recruitment and promotion systems, expanding public-sector leadership training, and embedding gender-sensitive performance management in the civil service.</w:t>
      </w:r>
    </w:p>
    <w:p w14:paraId="45C83257" w14:textId="3F5427BC" w:rsidR="007058FF" w:rsidRPr="007058FF" w:rsidRDefault="00997861" w:rsidP="00997861">
      <w:pPr>
        <w:pStyle w:val="H23G"/>
      </w:pPr>
      <w:r>
        <w:lastRenderedPageBreak/>
        <w:tab/>
      </w:r>
      <w:r>
        <w:tab/>
      </w:r>
      <w:r w:rsidR="007058FF" w:rsidRPr="007058FF">
        <w:t xml:space="preserve">Encouraging </w:t>
      </w:r>
      <w:r w:rsidR="00281950" w:rsidRPr="007058FF">
        <w:t>political parties to nominate women candidates</w:t>
      </w:r>
    </w:p>
    <w:p w14:paraId="2C400308" w14:textId="3E6F4F38" w:rsidR="007058FF" w:rsidRPr="007058FF" w:rsidRDefault="007058FF" w:rsidP="00C53018">
      <w:pPr>
        <w:pStyle w:val="SingleTxtG"/>
        <w:numPr>
          <w:ilvl w:val="0"/>
          <w:numId w:val="28"/>
        </w:numPr>
        <w:ind w:left="1134" w:firstLine="0"/>
      </w:pPr>
      <w:r w:rsidRPr="007058FF">
        <w:t>Recognizing that party nomination processes serve as critical gateways to women’s representation in elected office, Grenada has intensified efforts to collaborate with political parties and civil society to expand women’s participation in political life. The Grenada Women’s Parliamentary Caucus (GWPC) functions as a cross-party platform for advocacy, peer support and mentorship, engaging both elected women and aspiring female politicians. In partnership with the Caribbean Women in Leadership (CIWiL), the Grenada National Organisation of Women and other regional actors, the Caucus has provided leadership and campaign-readiness training, mentorship in media engagement, workshops in negotiation, electoral strategy and legislative drafting.</w:t>
      </w:r>
    </w:p>
    <w:p w14:paraId="2EC11210" w14:textId="4F3EE0D9" w:rsidR="007058FF" w:rsidRPr="007058FF" w:rsidRDefault="007058FF" w:rsidP="00C53018">
      <w:pPr>
        <w:pStyle w:val="SingleTxtG"/>
        <w:numPr>
          <w:ilvl w:val="0"/>
          <w:numId w:val="28"/>
        </w:numPr>
        <w:ind w:left="1134" w:firstLine="0"/>
      </w:pPr>
      <w:r w:rsidRPr="007058FF">
        <w:t>The 2023 Activity Report for the Young Women in Leadership (YWiL) initiative in Grenada shows that 28 young women—aged 18–30—participated in a two-week leadership development programme, of whom 60% reported increased confidence to engage in party politics and 45% confirmed plans to run for public office in the next two electoral cycles. These figures contribute to the broader pipeline of trained women candidates: data from CIWiL’s 2022 Caribbean Leadership Programme indicate that more than forty Grenadian women have completed regional leadership and advocacy training, reinforcing the growing network of women prepared to contest elections and assume public office.</w:t>
      </w:r>
    </w:p>
    <w:p w14:paraId="3FDEC694" w14:textId="3A44D167" w:rsidR="007058FF" w:rsidRPr="007058FF" w:rsidRDefault="007058FF" w:rsidP="00C53018">
      <w:pPr>
        <w:pStyle w:val="SingleTxtG"/>
        <w:numPr>
          <w:ilvl w:val="0"/>
          <w:numId w:val="28"/>
        </w:numPr>
        <w:ind w:left="1134" w:firstLine="0"/>
      </w:pPr>
      <w:r w:rsidRPr="007058FF">
        <w:t>These initiatives are contributing to a shift in internal party culture, encouraging both main political parties to expand nomination lists of women candidates and to adopt gender-sensitive governance policies. Although formal quotas have not yet been implemented, this structured support for women’s candidacy is helping to broaden representation and promote equality of opportunity within political party systems.</w:t>
      </w:r>
    </w:p>
    <w:p w14:paraId="607502A4" w14:textId="000BDC4D" w:rsidR="007058FF" w:rsidRPr="007058FF" w:rsidRDefault="00997861" w:rsidP="00997861">
      <w:pPr>
        <w:pStyle w:val="H23G"/>
      </w:pPr>
      <w:r>
        <w:tab/>
      </w:r>
      <w:r>
        <w:tab/>
      </w:r>
      <w:r w:rsidR="007058FF" w:rsidRPr="007058FF">
        <w:t xml:space="preserve">Creating an </w:t>
      </w:r>
      <w:r w:rsidR="00281950" w:rsidRPr="007058FF">
        <w:t>enabling environment and strengthening women’s political participation</w:t>
      </w:r>
    </w:p>
    <w:p w14:paraId="247DCB8D" w14:textId="0AA6185C" w:rsidR="007058FF" w:rsidRPr="007058FF" w:rsidRDefault="007058FF" w:rsidP="00EA7976">
      <w:pPr>
        <w:pStyle w:val="SingleTxtG"/>
        <w:numPr>
          <w:ilvl w:val="0"/>
          <w:numId w:val="28"/>
        </w:numPr>
        <w:ind w:left="1134" w:firstLine="0"/>
      </w:pPr>
      <w:r w:rsidRPr="007058FF">
        <w:t>Efforts to foster an enabling environment for women’s political participation go beyond Parliament into the grassroots, schools and local governance systems. The GWPC, GNOW, and the Division of Gender and Family Affairs, in collaboration with ParlAmericas and regional partners, have implemented a range of leadership and mentorship initiatives—including workshops on public speaking, advocacy, and policy development—aimed at empowering women and youth leaders.</w:t>
      </w:r>
      <w:r w:rsidR="0029055E">
        <w:t xml:space="preserve"> </w:t>
      </w:r>
      <w:r w:rsidRPr="007058FF">
        <w:t>Programmes are designed with an intersectional approach, explicitly including young women, women in rural communities, and women with disabilities in both participation and leadership roles.</w:t>
      </w:r>
    </w:p>
    <w:p w14:paraId="08F6A2EA" w14:textId="21014396" w:rsidR="007058FF" w:rsidRPr="007058FF" w:rsidRDefault="007058FF" w:rsidP="00EA7976">
      <w:pPr>
        <w:pStyle w:val="SingleTxtG"/>
        <w:numPr>
          <w:ilvl w:val="0"/>
          <w:numId w:val="28"/>
        </w:numPr>
        <w:ind w:left="1134" w:firstLine="0"/>
      </w:pPr>
      <w:r w:rsidRPr="007058FF">
        <w:t>At the local level, efforts to strengthen women’s political participation have included collaboration between the Grenada Women’s Parliamentary Caucus (GWPC), Caribbean Women in Leadership (CIWiL), ParlAmericas, and UN Women Caribbean to expand training and mentorship opportunities for emerging women leaders. Notably, the Young Women in Leadership (YWiL) Grenada programme, implemented in 2024, engaged 31 participants through a combination of virtual and in-person sessions that focused on parliamentary processes, inclusive governance, public speaking, and gender equality advocacy. These initiatives have contributed to building a broader base of women equipped to participate in political and public decision-making.</w:t>
      </w:r>
    </w:p>
    <w:p w14:paraId="78D49171" w14:textId="488A93E1" w:rsidR="007058FF" w:rsidRPr="007058FF" w:rsidRDefault="007058FF" w:rsidP="00EA7976">
      <w:pPr>
        <w:pStyle w:val="SingleTxtG"/>
        <w:numPr>
          <w:ilvl w:val="0"/>
          <w:numId w:val="28"/>
        </w:numPr>
        <w:ind w:left="1134" w:firstLine="0"/>
      </w:pPr>
      <w:r w:rsidRPr="007058FF">
        <w:t>At the same time, training and capacity-building efforts at the grassroots level is ongoing, though publicly available documentation does not yet fully confirm the institutionalization of gender-responsive governance training across all community councils or the formal strengthening of women’s wings within political parties. Nevertheless, these activities represent a gradual but important step toward embedding gender sensitivity in local governance structures and expanding the leadership pipeline for women at both community and national levels.</w:t>
      </w:r>
    </w:p>
    <w:p w14:paraId="0DDCA33A" w14:textId="78C4A8D2" w:rsidR="007058FF" w:rsidRPr="007058FF" w:rsidRDefault="0029055E" w:rsidP="0029055E">
      <w:pPr>
        <w:pStyle w:val="H23G"/>
      </w:pPr>
      <w:r>
        <w:tab/>
      </w:r>
      <w:r>
        <w:tab/>
      </w:r>
      <w:r w:rsidR="007058FF" w:rsidRPr="007058FF">
        <w:t xml:space="preserve">Temporary </w:t>
      </w:r>
      <w:r w:rsidR="00281950" w:rsidRPr="007058FF">
        <w:t>special measures and pathways to parity</w:t>
      </w:r>
    </w:p>
    <w:p w14:paraId="646E8F42" w14:textId="1C1110E2" w:rsidR="007058FF" w:rsidRPr="00EA7976" w:rsidRDefault="007058FF" w:rsidP="00EA7976">
      <w:pPr>
        <w:pStyle w:val="SingleTxtG"/>
        <w:numPr>
          <w:ilvl w:val="0"/>
          <w:numId w:val="28"/>
        </w:numPr>
        <w:ind w:left="1134" w:firstLine="0"/>
      </w:pPr>
      <w:r w:rsidRPr="00EA7976">
        <w:t xml:space="preserve">While Grenada has not yet legislated electoral quotas, the 2018 general elections achieved near parity when women won seven of fifteen seats in the Lower House. Discussions remain active with the Ministry of Legal Affairs, the GWPC and civil-society partners on adopting temporary special measures—such as candidate-list quotas, parity laws or voluntary targets—to guarantee women’s equal representation in Parliament and </w:t>
      </w:r>
      <w:r w:rsidRPr="00EA7976">
        <w:lastRenderedPageBreak/>
        <w:t>Government. These dialogues draw on CEDAW General Recommendation No. 25, the Montevideo Strategy (Regional Gender Agenda) Priority 7, and Sustainable Development Goal 5.5 on women’s full and effective participation in decision-making.</w:t>
      </w:r>
    </w:p>
    <w:p w14:paraId="007AB0BF" w14:textId="55C16F70" w:rsidR="007058FF" w:rsidRPr="00EA7976" w:rsidRDefault="007058FF" w:rsidP="00EA7976">
      <w:pPr>
        <w:pStyle w:val="SingleTxtG"/>
        <w:numPr>
          <w:ilvl w:val="0"/>
          <w:numId w:val="28"/>
        </w:numPr>
        <w:ind w:left="1134" w:firstLine="0"/>
      </w:pPr>
      <w:r w:rsidRPr="00EA7976">
        <w:t>Parallel policy reviews under the National Gender Equality Policy and Action Plan (GEPAP 2014–2024) recommend campaign financing reforms and gender-sensitive nomination frameworks to reduce structural barriers for women candidates. For example, the YWiL Grenada Report recommends exploring earmarked campaign funds for women, mentorship exchanges with regional parliaments, and multilateral partnerships to build sustainable pipelines for women leaders.</w:t>
      </w:r>
    </w:p>
    <w:p w14:paraId="7DDB33B9" w14:textId="78DD0482" w:rsidR="007058FF" w:rsidRPr="00EA7976" w:rsidRDefault="007058FF" w:rsidP="00EA7976">
      <w:pPr>
        <w:pStyle w:val="SingleTxtG"/>
        <w:numPr>
          <w:ilvl w:val="0"/>
          <w:numId w:val="28"/>
        </w:numPr>
        <w:ind w:left="1134" w:firstLine="0"/>
      </w:pPr>
      <w:r w:rsidRPr="00EA7976">
        <w:t>Grenada’s progress toward gender equality in public and political life reflects gradual institutional and cultural change. Women continue to hold key positions across Parliament, the civil service, statutory boards, and the diplomatic corps, illustrating ongoing efforts to strengthen leadership development, gender mainstreaming, and governance reform. The near-parity outcome of the 2018 general elections—when women won a substantial share of parliamentary seats—represented a notable step toward balanced political participation and reflected shifting public attitudes toward women’s leadership.</w:t>
      </w:r>
    </w:p>
    <w:p w14:paraId="5D5C4415" w14:textId="5202F3D9" w:rsidR="007058FF" w:rsidRPr="00EA7976" w:rsidRDefault="007058FF" w:rsidP="00EA7976">
      <w:pPr>
        <w:pStyle w:val="SingleTxtG"/>
        <w:numPr>
          <w:ilvl w:val="0"/>
          <w:numId w:val="28"/>
        </w:numPr>
        <w:ind w:left="1134" w:firstLine="0"/>
      </w:pPr>
      <w:r w:rsidRPr="00EA7976">
        <w:t>Available information indicates that women have also been appointed to several senior diplomatic posts, including the positions of Permanent Representative to the United Nations and Ambassador to the United States, further demonstrating women’s growing visibility in international representation. This progress has been reinforced by the appointment of women as Permanent Secretaries, board chairs, and other senior administrators within government institutions. Nonetheless, women’s representation remains uneven across sectors, underscoring the need for continued action to ensure that advances in political and administrative participation translate into sustained gender equality in leadership.</w:t>
      </w:r>
    </w:p>
    <w:p w14:paraId="37ACB305" w14:textId="5651B927" w:rsidR="007058FF" w:rsidRPr="00EA7976" w:rsidRDefault="007058FF" w:rsidP="00EA7976">
      <w:pPr>
        <w:pStyle w:val="SingleTxtG"/>
        <w:numPr>
          <w:ilvl w:val="0"/>
          <w:numId w:val="28"/>
        </w:numPr>
        <w:ind w:left="1134" w:firstLine="0"/>
      </w:pPr>
      <w:r w:rsidRPr="00EA7976">
        <w:t>Grenada continues to strengthen national and institutional mechanisms that promote women’s participation in leadership. Ongoing actions include expanding leadership training and candidate development programmes across sectors; supporting and revitalizing women’s wings within political parties; advancing discussions on gender quotas and parity targets for public appointments; and improving access to campaign financing while addressing persistent gender stereotypes through public education and media engagement.</w:t>
      </w:r>
    </w:p>
    <w:p w14:paraId="775C950A" w14:textId="1838E789" w:rsidR="007058FF" w:rsidRPr="00EA7976" w:rsidRDefault="007058FF" w:rsidP="00EA7976">
      <w:pPr>
        <w:pStyle w:val="SingleTxtG"/>
        <w:numPr>
          <w:ilvl w:val="0"/>
          <w:numId w:val="28"/>
        </w:numPr>
        <w:ind w:left="1134" w:firstLine="0"/>
      </w:pPr>
      <w:r w:rsidRPr="00EA7976">
        <w:t>These measures, grounded in Grenada’s obligations under the Convention on the Elimination of All Forms of Discrimination Against Women (CEDAW), the 2030 Agenda for Sustainable Development, and the Beijing +30 commitments, illustrate the Government’s continuing efforts to create a more inclusive political landscape. They reflect a broader vision of governance in which women’s leadership is not only visible and valued but also central to national development and democratic progress.</w:t>
      </w:r>
    </w:p>
    <w:p w14:paraId="50E09BCD" w14:textId="08C6C6EA" w:rsidR="007058FF" w:rsidRPr="007058FF" w:rsidRDefault="007E10BC" w:rsidP="007E10BC">
      <w:pPr>
        <w:pStyle w:val="H1G"/>
      </w:pPr>
      <w:r>
        <w:tab/>
      </w:r>
      <w:r>
        <w:tab/>
      </w:r>
      <w:r w:rsidR="007058FF" w:rsidRPr="007058FF">
        <w:t xml:space="preserve">Article 10: Education </w:t>
      </w:r>
    </w:p>
    <w:p w14:paraId="53C5EF53" w14:textId="5F7261AA" w:rsidR="007058FF" w:rsidRPr="007058FF" w:rsidRDefault="007058FF" w:rsidP="00676062">
      <w:pPr>
        <w:pStyle w:val="SingleTxtG"/>
        <w:numPr>
          <w:ilvl w:val="0"/>
          <w:numId w:val="28"/>
        </w:numPr>
        <w:ind w:left="1134" w:firstLine="0"/>
      </w:pPr>
      <w:r w:rsidRPr="007058FF">
        <w:t xml:space="preserve">Grenada has expanded access to quality education for girls and young women at all levels, consistent with the principles of equality and non-discrimination enshrined in the </w:t>
      </w:r>
      <w:r w:rsidRPr="007058FF">
        <w:rPr>
          <w:i/>
          <w:iCs/>
        </w:rPr>
        <w:t>Education Act (Cap. 86, amended 2024)</w:t>
      </w:r>
      <w:r w:rsidRPr="007058FF">
        <w:t>. The Act establishes education as a fundamental right for every child, prohibits discrimination based on sex, disability, or socio-economic background, and mandates compulsory schooling from ages 5 to 18. It provides for free public education, ensures equal access to secondary and tertiary education, and empowers the Minister to adopt measures for inclusive and special education. Importantly, it requires that educational institutions and curricula promote respect for human rights and gender equality, creating a legislative basis for equal educational opportunity across the life course.</w:t>
      </w:r>
    </w:p>
    <w:p w14:paraId="6B7B138C" w14:textId="1F6A578A" w:rsidR="007058FF" w:rsidRPr="007058FF" w:rsidRDefault="00284892" w:rsidP="00284892">
      <w:pPr>
        <w:pStyle w:val="H23G"/>
      </w:pPr>
      <w:r>
        <w:tab/>
      </w:r>
      <w:r>
        <w:tab/>
      </w:r>
      <w:r w:rsidR="007058FF" w:rsidRPr="007058FF">
        <w:t>Ensuring equal access, preventing dropouts, and supporting adolescent mothers</w:t>
      </w:r>
    </w:p>
    <w:p w14:paraId="6BA9DE3D" w14:textId="69908CDF" w:rsidR="007058FF" w:rsidRPr="007058FF" w:rsidRDefault="007058FF" w:rsidP="00284892">
      <w:pPr>
        <w:pStyle w:val="SingleTxtG"/>
        <w:numPr>
          <w:ilvl w:val="0"/>
          <w:numId w:val="28"/>
        </w:numPr>
        <w:ind w:left="1134" w:firstLine="0"/>
      </w:pPr>
      <w:r w:rsidRPr="007058FF">
        <w:t xml:space="preserve">Over the past five years, Grenada has achieved and sustained gender parity in enrolment at the primary and secondary levels. According to the </w:t>
      </w:r>
      <w:r w:rsidRPr="007058FF">
        <w:rPr>
          <w:i/>
          <w:iCs/>
        </w:rPr>
        <w:t>2022 Education Statistical Digest</w:t>
      </w:r>
      <w:r w:rsidRPr="007058FF">
        <w:t xml:space="preserve">, females represented 49.8 % of primary and 50.8 % of secondary school enrolment, while at the post-secondary level (T.A. Marryshow Community College and NEWLO), </w:t>
      </w:r>
      <w:r w:rsidRPr="007058FF">
        <w:lastRenderedPageBreak/>
        <w:t>females accounted for 53.4 % of enrolment. Graduation data show similar trends—female students comprised 55 % of secondary school graduates and 58 % of post-secondary graduates, indicating that girls are completing school at slightly higher rates than boys.</w:t>
      </w:r>
    </w:p>
    <w:p w14:paraId="6EBFB814" w14:textId="7725F0DA" w:rsidR="007058FF" w:rsidRPr="007058FF" w:rsidRDefault="007058FF" w:rsidP="00284892">
      <w:pPr>
        <w:pStyle w:val="SingleTxtG"/>
        <w:numPr>
          <w:ilvl w:val="0"/>
          <w:numId w:val="28"/>
        </w:numPr>
        <w:ind w:left="1134" w:firstLine="0"/>
      </w:pPr>
      <w:r w:rsidRPr="007058FF">
        <w:t xml:space="preserve">A range of targeted measures has been implemented to reduce school dropouts and strengthen support for vulnerable students across Grenada’s education system. The </w:t>
      </w:r>
      <w:r w:rsidRPr="007058FF">
        <w:rPr>
          <w:i/>
          <w:iCs/>
        </w:rPr>
        <w:t>Free Tuition Programme</w:t>
      </w:r>
      <w:r w:rsidRPr="007058FF">
        <w:t xml:space="preserve"> and the removal of registration fees in public schools have alleviated the financial burden on low-income families, ensuring that economic hardship does not impede access to education. Complementing this, the Needy Assistance Structure—which includes the </w:t>
      </w:r>
      <w:r w:rsidRPr="007058FF">
        <w:rPr>
          <w:i/>
          <w:iCs/>
        </w:rPr>
        <w:t>National Textbook Programme</w:t>
      </w:r>
      <w:r w:rsidRPr="007058FF">
        <w:t xml:space="preserve">, </w:t>
      </w:r>
      <w:r w:rsidRPr="007058FF">
        <w:rPr>
          <w:i/>
          <w:iCs/>
        </w:rPr>
        <w:t>School Uniform Assistance Programme</w:t>
      </w:r>
      <w:r w:rsidRPr="007058FF">
        <w:t xml:space="preserve">, and </w:t>
      </w:r>
      <w:r w:rsidRPr="007058FF">
        <w:rPr>
          <w:i/>
          <w:iCs/>
        </w:rPr>
        <w:t>Healthy Start Nutrition Programme</w:t>
      </w:r>
      <w:r w:rsidRPr="007058FF">
        <w:t>—has been instrumental in supporting children from poor households to remain enrolled and engaged throughout the academic year.</w:t>
      </w:r>
    </w:p>
    <w:p w14:paraId="4C05C316" w14:textId="0A79922C" w:rsidR="007058FF" w:rsidRPr="007058FF" w:rsidRDefault="007058FF" w:rsidP="00284892">
      <w:pPr>
        <w:pStyle w:val="SingleTxtG"/>
        <w:numPr>
          <w:ilvl w:val="0"/>
          <w:numId w:val="28"/>
        </w:numPr>
        <w:ind w:left="1134" w:firstLine="0"/>
      </w:pPr>
      <w:r w:rsidRPr="007058FF">
        <w:t>To enhance the quality of support within schools, every secondary school now benefits from a trained guidance counsellor, while attendance officers have been appointed to monitor absenteeism, intervene in cases of chronic non-attendance, and facilitate the re-enrolment of at-risk students. These interventions provide an early response mechanism to address factors contributing to school dropout and disengagement.</w:t>
      </w:r>
    </w:p>
    <w:p w14:paraId="141A0B85" w14:textId="2D4872AC" w:rsidR="007058FF" w:rsidRPr="007058FF" w:rsidRDefault="007058FF" w:rsidP="00284892">
      <w:pPr>
        <w:pStyle w:val="SingleTxtG"/>
        <w:numPr>
          <w:ilvl w:val="0"/>
          <w:numId w:val="28"/>
        </w:numPr>
        <w:ind w:left="1134" w:firstLine="0"/>
      </w:pPr>
      <w:r w:rsidRPr="007058FF">
        <w:t xml:space="preserve">Particular attention has been given to adolescent mothers through the </w:t>
      </w:r>
      <w:r w:rsidRPr="007058FF">
        <w:rPr>
          <w:i/>
          <w:iCs/>
        </w:rPr>
        <w:t>Programme for Adolescent Mothers (PAM)</w:t>
      </w:r>
      <w:r w:rsidRPr="007058FF">
        <w:t>, which combines academic instruction, psychosocial counselling, and on-site childcare. This programme offers a stigma-free and supportive environment that enables young mothers to continue their education, build confidence, and transition back into mainstream schooling or vocational pathways.</w:t>
      </w:r>
    </w:p>
    <w:p w14:paraId="4638AFB4" w14:textId="2C0EA6D1" w:rsidR="007058FF" w:rsidRPr="007058FF" w:rsidRDefault="007058FF" w:rsidP="00284892">
      <w:pPr>
        <w:pStyle w:val="SingleTxtG"/>
        <w:numPr>
          <w:ilvl w:val="0"/>
          <w:numId w:val="28"/>
        </w:numPr>
        <w:ind w:left="1134" w:firstLine="0"/>
      </w:pPr>
      <w:r w:rsidRPr="007058FF">
        <w:t>Together, these initiatives have contributed to maintaining female participation in secondary education above 95%, reflecting near gender parity in enrolment and completion rates. The reintegration rate for adolescent mothers has also shown steady improvement since 2021, underscoring the positive impact of integrated social and educational support systems. Continued monitoring and expansion of these initiatives remain essential to sustaining progress and addressing the evolving needs of students who experience vulnerability or interruption in their education.</w:t>
      </w:r>
    </w:p>
    <w:p w14:paraId="07B963B0" w14:textId="704B9375" w:rsidR="007058FF" w:rsidRPr="007058FF" w:rsidRDefault="00284892" w:rsidP="00284892">
      <w:pPr>
        <w:pStyle w:val="H23G"/>
      </w:pPr>
      <w:r>
        <w:tab/>
      </w:r>
      <w:r>
        <w:tab/>
      </w:r>
      <w:r w:rsidR="007058FF" w:rsidRPr="007058FF">
        <w:t>Diversifying academic and vocational choices for women and girls</w:t>
      </w:r>
    </w:p>
    <w:p w14:paraId="6E31FB80" w14:textId="7653F74C" w:rsidR="007058FF" w:rsidRPr="007058FF" w:rsidRDefault="007058FF" w:rsidP="00284892">
      <w:pPr>
        <w:pStyle w:val="SingleTxtG"/>
        <w:numPr>
          <w:ilvl w:val="0"/>
          <w:numId w:val="28"/>
        </w:numPr>
        <w:ind w:left="1134" w:firstLine="0"/>
      </w:pPr>
      <w:r w:rsidRPr="007058FF">
        <w:t xml:space="preserve">Grenada continues to take measured steps to reduce gender segregation in education and training, particularly in technical and vocational areas where women remain under-represented. Recognizing the need for more inclusive pathways to skills development and employment, the Government has sought to strengthen gender-responsive technical and vocational education and training (TVET) as part of its broader effort to promote equitable access to economic opportunities. The </w:t>
      </w:r>
      <w:r w:rsidRPr="007058FF">
        <w:rPr>
          <w:i/>
          <w:iCs/>
        </w:rPr>
        <w:t>National TVET Policy (2019)</w:t>
      </w:r>
      <w:r w:rsidRPr="007058FF">
        <w:t xml:space="preserve"> provides a framework for developing a competency-based, inclusive, and industry-aligned skills system that responds to labour-market needs while promoting social inclusion. Its main goals include improving the relevance of training to labour-market demand, promoting gender equality and access for persons with disabilities, expanding certification through the Caribbean Vocational Qualification (CVQ) framework, and fostering stronger partnerships among government, training institutions, and employers. Together, these priorities aim to enhance the responsiveness and inclusiveness of the national training system rather than prescribe uniform outcomes.</w:t>
      </w:r>
    </w:p>
    <w:p w14:paraId="0E8A4FEB" w14:textId="6C133594" w:rsidR="007058FF" w:rsidRPr="007058FF" w:rsidRDefault="007058FF" w:rsidP="00284892">
      <w:pPr>
        <w:pStyle w:val="SingleTxtG"/>
        <w:numPr>
          <w:ilvl w:val="0"/>
          <w:numId w:val="28"/>
        </w:numPr>
        <w:ind w:left="1134" w:firstLine="0"/>
      </w:pPr>
      <w:r w:rsidRPr="007058FF">
        <w:t>Implementation of the policy is coordinated by the National Training Agency (NTA), which oversees certification at CVQ Levels 1–4. In 2022, the NTA awarded 998 Level 2 certificates, of which 47 % were obtained by women and 53 % by men (</w:t>
      </w:r>
      <w:r w:rsidRPr="007058FF">
        <w:rPr>
          <w:i/>
          <w:iCs/>
        </w:rPr>
        <w:t>NTA Annual Report 2022</w:t>
      </w:r>
      <w:r w:rsidRPr="007058FF">
        <w:t>). Female participation remained highest in Hospitality (71 %) and Early Childhood Education (88 %), while male participation continued to dominate Building Construction (93 %) and Automotive Servicing (97 %). Although these figures reflect ongoing gender segmentation, there has been a modest increase in female enrolment in Plumbing, Electrical Installation, and Information Technology since 2019, suggesting gradual diversification in training choices.</w:t>
      </w:r>
    </w:p>
    <w:p w14:paraId="6B28ABEE" w14:textId="202C82E3" w:rsidR="007058FF" w:rsidRPr="007058FF" w:rsidRDefault="007058FF" w:rsidP="00284892">
      <w:pPr>
        <w:pStyle w:val="SingleTxtG"/>
        <w:numPr>
          <w:ilvl w:val="0"/>
          <w:numId w:val="28"/>
        </w:numPr>
        <w:ind w:left="1134" w:firstLine="0"/>
      </w:pPr>
      <w:r w:rsidRPr="007058FF">
        <w:t xml:space="preserve">To broaden participation, public scholarships and stipends have been made available to support young women’s entry into areas such as STEM, ICT, renewable energy, and climate-smart agriculture. Collaborations with NEWLO, the Sustainable Agriculture and </w:t>
      </w:r>
      <w:r w:rsidRPr="007058FF">
        <w:lastRenderedPageBreak/>
        <w:t xml:space="preserve">Enterprise Programme (SAEP), and the Market Access and Rural Enterprise Programme (MAREP) have expanded vocational and entrepreneurship training opportunities, particularly in rural areas. Between 2019 and 2024, more than 1,200 women participated in related initiatives, including approximately 400 who engaged in training linked to climate-smart agricultural practices. Awareness and mentorship activities—such as Girls in ICT Day, Women in Construction Week, and STEM Career Fairs—continue to encourage students to consider non-traditional careers and highlight role models in technical professions. These efforts complement the objectives of the </w:t>
      </w:r>
      <w:r w:rsidRPr="007058FF">
        <w:rPr>
          <w:i/>
          <w:iCs/>
        </w:rPr>
        <w:t>National Gender Equality Policy and Action Plan (GEPAP 2014–2024),</w:t>
      </w:r>
      <w:r w:rsidRPr="007058FF">
        <w:t xml:space="preserve"> which promotes education, training, and economic empowerment as key pathways for advancing equality.</w:t>
      </w:r>
    </w:p>
    <w:p w14:paraId="1258C732" w14:textId="6B536E5D" w:rsidR="007058FF" w:rsidRPr="007058FF" w:rsidRDefault="00284892" w:rsidP="00A615B7">
      <w:pPr>
        <w:pStyle w:val="H1G"/>
      </w:pPr>
      <w:r>
        <w:tab/>
      </w:r>
      <w:r>
        <w:tab/>
      </w:r>
      <w:r w:rsidR="007058FF" w:rsidRPr="007058FF">
        <w:t>Gender-disaggregated education-to-employment outcomes</w:t>
      </w:r>
    </w:p>
    <w:p w14:paraId="72DE74D8" w14:textId="2367A588" w:rsidR="007058FF" w:rsidRPr="007058FF" w:rsidRDefault="007058FF" w:rsidP="00284892">
      <w:pPr>
        <w:pStyle w:val="SingleTxtG"/>
        <w:numPr>
          <w:ilvl w:val="0"/>
          <w:numId w:val="28"/>
        </w:numPr>
        <w:ind w:left="1134" w:firstLine="0"/>
      </w:pPr>
      <w:r w:rsidRPr="007058FF">
        <w:t>According to the 2023 Labour Force Survey, women’s participation in the labour market continues to lag behind that of men. Female labour-force participation was estimated at 55%, compared to 67% for men. Women remain primarily concentrated in traditionally feminized sectors such as education, health, and social services, while men continue to dominate construction, transportation, and manufacturing. This occupational distribution reflects enduring gendered patterns of work and the structural barriers that limit women’s access to technical and higher-paying employment.</w:t>
      </w:r>
    </w:p>
    <w:p w14:paraId="5B357EB3" w14:textId="430E272D" w:rsidR="007058FF" w:rsidRPr="007058FF" w:rsidRDefault="007058FF" w:rsidP="00284892">
      <w:pPr>
        <w:pStyle w:val="SingleTxtG"/>
        <w:numPr>
          <w:ilvl w:val="0"/>
          <w:numId w:val="28"/>
        </w:numPr>
        <w:ind w:left="1134" w:firstLine="0"/>
      </w:pPr>
      <w:r w:rsidRPr="007058FF">
        <w:t>The unemployment rate for women (16%) also exceeds that of men (11%), highlighting ongoing disparities in economic opportunity, career advancement, and access to formal employment. Despite these differences, trends in education suggest a shifting landscape. Women’s tertiary-level attainment has now reached approximately 54%, surpassing men’s 46%, suggesting that greater parity in education may, over time, contribute to narrowing gender gaps in employment and leadership.</w:t>
      </w:r>
    </w:p>
    <w:p w14:paraId="2E4A7929" w14:textId="0B436BE0" w:rsidR="007058FF" w:rsidRPr="007058FF" w:rsidRDefault="007058FF" w:rsidP="00284892">
      <w:pPr>
        <w:pStyle w:val="SingleTxtG"/>
        <w:numPr>
          <w:ilvl w:val="0"/>
          <w:numId w:val="28"/>
        </w:numPr>
        <w:ind w:left="1134" w:firstLine="0"/>
      </w:pPr>
      <w:r w:rsidRPr="007058FF">
        <w:t xml:space="preserve">Grenada’s legislative and policy measures—anchored in the </w:t>
      </w:r>
      <w:r w:rsidRPr="007058FF">
        <w:rPr>
          <w:i/>
          <w:iCs/>
        </w:rPr>
        <w:t>Education Act</w:t>
      </w:r>
      <w:r w:rsidRPr="007058FF">
        <w:t xml:space="preserve">, the </w:t>
      </w:r>
      <w:r w:rsidRPr="007058FF">
        <w:rPr>
          <w:i/>
          <w:iCs/>
        </w:rPr>
        <w:t>National TVET Policy</w:t>
      </w:r>
      <w:r w:rsidRPr="007058FF">
        <w:t xml:space="preserve">, and the </w:t>
      </w:r>
      <w:r w:rsidRPr="007058FF">
        <w:rPr>
          <w:i/>
          <w:iCs/>
        </w:rPr>
        <w:t>National Gender Equality Policy and Action Plan (GEPAP)</w:t>
      </w:r>
      <w:r w:rsidRPr="007058FF">
        <w:t>—continue to support efforts toward gender equality in education and skills development. Enrolment and graduation data show parity, with women maintaining a slight advantage in completion rates, while targeted interventions have expanded opportunities for adolescent mothers, rural women, and young women pursuing non-traditional career paths.</w:t>
      </w:r>
    </w:p>
    <w:p w14:paraId="7A16F574" w14:textId="5AE4C5C9" w:rsidR="007058FF" w:rsidRPr="007058FF" w:rsidRDefault="007058FF" w:rsidP="00284892">
      <w:pPr>
        <w:pStyle w:val="SingleTxtG"/>
        <w:numPr>
          <w:ilvl w:val="0"/>
          <w:numId w:val="28"/>
        </w:numPr>
        <w:ind w:left="1134" w:firstLine="0"/>
      </w:pPr>
      <w:r w:rsidRPr="007058FF">
        <w:t>At the same time, the translation of educational gains into equitable economic outcomes remains an ongoing challenge. Continued investment in gender-responsive TVET, career guidance, and labour-market programmes will be critical to improving women’s access to diverse, secure, and well-paid employment. These measures—combined with strengthened data collection and analysis—can help ensure that the benefits of education are more fully realized in women’s economic participation and empowerment.</w:t>
      </w:r>
    </w:p>
    <w:p w14:paraId="5DD361FE" w14:textId="62269C8C" w:rsidR="007058FF" w:rsidRPr="007058FF" w:rsidRDefault="007058FF" w:rsidP="00284892">
      <w:pPr>
        <w:pStyle w:val="SingleTxtG"/>
        <w:numPr>
          <w:ilvl w:val="0"/>
          <w:numId w:val="28"/>
        </w:numPr>
        <w:ind w:left="1134" w:firstLine="0"/>
      </w:pPr>
      <w:r w:rsidRPr="007058FF">
        <w:t>Grenada recognizes that women’s participation in the economy remains uneven and that persistent gaps in access to technical training, higher-paying occupations, and decent work opportunities require sustained, gender-responsive interventions. The promotion of equality between women and men in the labour market and to address occupational segregation has been advanced in a number of interventions.</w:t>
      </w:r>
    </w:p>
    <w:p w14:paraId="11633B0C" w14:textId="707D0D53" w:rsidR="007058FF" w:rsidRPr="007058FF" w:rsidRDefault="00BF2060" w:rsidP="00BF2060">
      <w:pPr>
        <w:pStyle w:val="H23G"/>
      </w:pPr>
      <w:r>
        <w:tab/>
      </w:r>
      <w:r>
        <w:tab/>
      </w:r>
      <w:r w:rsidR="007058FF" w:rsidRPr="007058FF">
        <w:t xml:space="preserve">Eliminating </w:t>
      </w:r>
      <w:r w:rsidR="00A615B7" w:rsidRPr="007058FF">
        <w:t>occupational segregation and expanding women’s economic opportunities</w:t>
      </w:r>
    </w:p>
    <w:p w14:paraId="26DCF2CF" w14:textId="593F33D8" w:rsidR="007058FF" w:rsidRPr="007058FF" w:rsidRDefault="007058FF" w:rsidP="00284892">
      <w:pPr>
        <w:pStyle w:val="SingleTxtG"/>
        <w:numPr>
          <w:ilvl w:val="0"/>
          <w:numId w:val="28"/>
        </w:numPr>
        <w:ind w:left="1134" w:firstLine="0"/>
      </w:pPr>
      <w:r w:rsidRPr="007058FF">
        <w:t xml:space="preserve">The </w:t>
      </w:r>
      <w:r w:rsidRPr="007058FF">
        <w:rPr>
          <w:i/>
          <w:iCs/>
        </w:rPr>
        <w:t>National TVET Policy (2019)</w:t>
      </w:r>
      <w:r w:rsidRPr="007058FF">
        <w:t xml:space="preserve"> provides a framework for gender-responsive technical and vocational education and training (TVET), emphasizing equal access, inclusion, and industry alignment. Implementation is led by the </w:t>
      </w:r>
      <w:r w:rsidRPr="007058FF">
        <w:rPr>
          <w:i/>
          <w:iCs/>
        </w:rPr>
        <w:t>National Training Agency (NTA)</w:t>
      </w:r>
      <w:r w:rsidRPr="007058FF">
        <w:t>, which certified 998 learners at Level 2 in 2022—47% women and 53% men—reflecting continued efforts to bridge gender disparities in technical certification. Female participation remains dominant in hospitality and early childhood education (71% and 88%, respectively), but the proportion of women in traditionally male-dominated fields such as plumbing, electrical installation, and ICT has gradually increased since 2019.</w:t>
      </w:r>
    </w:p>
    <w:p w14:paraId="055BB290" w14:textId="15CBCF45" w:rsidR="007058FF" w:rsidRPr="007058FF" w:rsidRDefault="007058FF" w:rsidP="00284892">
      <w:pPr>
        <w:pStyle w:val="SingleTxtG"/>
        <w:numPr>
          <w:ilvl w:val="0"/>
          <w:numId w:val="28"/>
        </w:numPr>
        <w:ind w:left="1134" w:firstLine="0"/>
      </w:pPr>
      <w:r w:rsidRPr="007058FF">
        <w:t xml:space="preserve">Under the </w:t>
      </w:r>
      <w:r w:rsidRPr="007058FF">
        <w:rPr>
          <w:i/>
          <w:iCs/>
        </w:rPr>
        <w:t>Build Back Equal (BBE) Project</w:t>
      </w:r>
      <w:r w:rsidRPr="007058FF">
        <w:t xml:space="preserve">—implemented by UN Women and UNFPA, with Global Affairs Canada funding—Grenada continues to promote women’s </w:t>
      </w:r>
      <w:r w:rsidRPr="007058FF">
        <w:lastRenderedPageBreak/>
        <w:t>participation in non-traditional and emerging sectors such as renewable energy, construction, and climate-smart agriculture. The project supports job placements, mentorship, and entrepreneurship training for women, particularly those in vulnerable or rural communities.</w:t>
      </w:r>
    </w:p>
    <w:p w14:paraId="29DDFD1B" w14:textId="350BE5A4" w:rsidR="007058FF" w:rsidRPr="007058FF" w:rsidRDefault="007058FF" w:rsidP="00284892">
      <w:pPr>
        <w:pStyle w:val="SingleTxtG"/>
        <w:numPr>
          <w:ilvl w:val="0"/>
          <w:numId w:val="28"/>
        </w:numPr>
        <w:ind w:left="1134" w:firstLine="0"/>
      </w:pPr>
      <w:r w:rsidRPr="007058FF">
        <w:t xml:space="preserve">Complementing these efforts, the </w:t>
      </w:r>
      <w:r w:rsidRPr="007058FF">
        <w:rPr>
          <w:i/>
          <w:iCs/>
        </w:rPr>
        <w:t xml:space="preserve">Climate-Smart Agriculture and Rural Enterprise Programme </w:t>
      </w:r>
      <w:r w:rsidRPr="007058FF">
        <w:t>(SAEP), co-financed by the Caribbean Development Bank and IFAD, has engaged over 1,200 rural women in agricultural and enterprise training between 2019 and 2024, with approximately 400 adopting climate-smart agricultural practices that strengthen livelihoods and food security. These initiatives reflect Grenada’s continuing efforts to expand women’s economic participation in line with SDG 5.5 (women’s participation in economic life) and SDG 8.5 (decent work and equal pay).</w:t>
      </w:r>
    </w:p>
    <w:p w14:paraId="4443B087" w14:textId="4323A68E" w:rsidR="007058FF" w:rsidRPr="007058FF" w:rsidRDefault="007058FF" w:rsidP="00284892">
      <w:pPr>
        <w:pStyle w:val="SingleTxtG"/>
        <w:numPr>
          <w:ilvl w:val="0"/>
          <w:numId w:val="28"/>
        </w:numPr>
        <w:ind w:left="1134" w:firstLine="0"/>
      </w:pPr>
      <w:r w:rsidRPr="007058FF">
        <w:t xml:space="preserve">Access to microcredit, entrepreneurship training, and business development support for women in Grenada has expanded over the past five years through a combination of government, donor, and civil society partnerships. Key initiatives such as the </w:t>
      </w:r>
      <w:r w:rsidRPr="007058FF">
        <w:rPr>
          <w:i/>
          <w:iCs/>
        </w:rPr>
        <w:t>Climate-Smart Agriculture and Rural Enterprise Programme</w:t>
      </w:r>
      <w:r w:rsidRPr="007058FF">
        <w:rPr>
          <w:b/>
          <w:bCs/>
        </w:rPr>
        <w:t xml:space="preserve"> </w:t>
      </w:r>
      <w:r w:rsidRPr="007058FF">
        <w:t xml:space="preserve">(SAEP), financed by the </w:t>
      </w:r>
      <w:r w:rsidRPr="007058FF">
        <w:rPr>
          <w:i/>
          <w:iCs/>
        </w:rPr>
        <w:t>Caribbean Development Bank</w:t>
      </w:r>
      <w:r w:rsidRPr="007058FF">
        <w:t xml:space="preserve"> (CDB) and the </w:t>
      </w:r>
      <w:r w:rsidRPr="007058FF">
        <w:rPr>
          <w:i/>
          <w:iCs/>
        </w:rPr>
        <w:t>International Fund for Agricultural Development</w:t>
      </w:r>
      <w:r w:rsidRPr="007058FF">
        <w:t xml:space="preserve"> (IFAD), have played a central role in advancing women’s economic empowerment.</w:t>
      </w:r>
    </w:p>
    <w:p w14:paraId="73D7FBF6" w14:textId="0430BA97" w:rsidR="007058FF" w:rsidRPr="007058FF" w:rsidRDefault="007058FF" w:rsidP="00284892">
      <w:pPr>
        <w:pStyle w:val="SingleTxtG"/>
        <w:numPr>
          <w:ilvl w:val="0"/>
          <w:numId w:val="28"/>
        </w:numPr>
        <w:ind w:left="1134" w:firstLine="0"/>
      </w:pPr>
      <w:r w:rsidRPr="007058FF">
        <w:t>Between 2019 and 2024, SAEP reached more than 3,200 beneficiaries, of whom approximately 1,200 were women, representing 37% of total participants. Within this group, around 400 rural women adopted climate-smart agricultural practices, such as integrated pest management, organic soil enrichment, and water-efficient irrigation, contributing to greater resilience and food security in their communities. In addition, more than 550 women entrepreneurs received business development training, mentorship, and small grant funding for enterprise start-up or expansion under SAEP’s Component 1 (Rural Youth and Women Entrepreneurship).</w:t>
      </w:r>
    </w:p>
    <w:p w14:paraId="3FEA132A" w14:textId="7C67A929" w:rsidR="007058FF" w:rsidRPr="007058FF" w:rsidRDefault="007058FF" w:rsidP="00284892">
      <w:pPr>
        <w:pStyle w:val="SingleTxtG"/>
        <w:numPr>
          <w:ilvl w:val="0"/>
          <w:numId w:val="28"/>
        </w:numPr>
        <w:ind w:left="1134" w:firstLine="0"/>
      </w:pPr>
      <w:r w:rsidRPr="007058FF">
        <w:t xml:space="preserve">Complementary initiatives, such as the </w:t>
      </w:r>
      <w:r w:rsidRPr="007058FF">
        <w:rPr>
          <w:i/>
          <w:iCs/>
        </w:rPr>
        <w:t>Women’s Investment for Sustainable Empowerment</w:t>
      </w:r>
      <w:r w:rsidRPr="007058FF">
        <w:rPr>
          <w:b/>
          <w:bCs/>
        </w:rPr>
        <w:t xml:space="preserve"> </w:t>
      </w:r>
      <w:r w:rsidRPr="007058FF">
        <w:t>(WISE) Programme implemented by the Ministry of Social and Community Development, Housing and Gender Affairs, provide women from low-income households with seed capital grants of up to XCD 5,000, financial literacy coaching, and mentorship. As of 2024, over 250 women had accessed support through WISE to launch or scale microenterprises in agro-processing, hospitality, and creative industries.</w:t>
      </w:r>
    </w:p>
    <w:p w14:paraId="11EE0369" w14:textId="39252B79" w:rsidR="007058FF" w:rsidRPr="007058FF" w:rsidRDefault="007058FF" w:rsidP="00284892">
      <w:pPr>
        <w:pStyle w:val="SingleTxtG"/>
        <w:numPr>
          <w:ilvl w:val="0"/>
          <w:numId w:val="28"/>
        </w:numPr>
        <w:ind w:left="1134" w:firstLine="0"/>
      </w:pPr>
      <w:r w:rsidRPr="007058FF">
        <w:t xml:space="preserve">Community-based organizations continue to serve as key partners in extending the reach of these programmes. The </w:t>
      </w:r>
      <w:r w:rsidRPr="007058FF">
        <w:rPr>
          <w:i/>
          <w:iCs/>
        </w:rPr>
        <w:t>Grenada Network of Rural Women Producers</w:t>
      </w:r>
      <w:r w:rsidRPr="007058FF">
        <w:rPr>
          <w:b/>
          <w:bCs/>
        </w:rPr>
        <w:t xml:space="preserve"> </w:t>
      </w:r>
      <w:r w:rsidRPr="007058FF">
        <w:t xml:space="preserve">(GRENROP)—a member of the </w:t>
      </w:r>
      <w:r w:rsidRPr="007058FF">
        <w:rPr>
          <w:i/>
          <w:iCs/>
        </w:rPr>
        <w:t>Caribbean Network of Rural Women Producers</w:t>
      </w:r>
      <w:r w:rsidRPr="007058FF">
        <w:rPr>
          <w:b/>
          <w:bCs/>
        </w:rPr>
        <w:t xml:space="preserve"> </w:t>
      </w:r>
      <w:r w:rsidRPr="007058FF">
        <w:t>(CANROP)—brings together more than 200 women producers in cooperatives focused on agro-processing, small livestock rearing, and craft production. GRENROP’s partnership with the Ministry of Agriculture and the Division of Gender and Family Affairs has enhanced women’s access to local markets, sustainable farming technologies, and cooperative financing models.</w:t>
      </w:r>
    </w:p>
    <w:p w14:paraId="73057BC1" w14:textId="21E5E8D8" w:rsidR="007058FF" w:rsidRPr="007058FF" w:rsidRDefault="007058FF" w:rsidP="00284892">
      <w:pPr>
        <w:pStyle w:val="SingleTxtG"/>
        <w:numPr>
          <w:ilvl w:val="0"/>
          <w:numId w:val="28"/>
        </w:numPr>
        <w:ind w:left="1134" w:firstLine="0"/>
      </w:pPr>
      <w:r w:rsidRPr="007058FF">
        <w:t>These combined efforts have begun to shift the economic profile of rural women by promoting self-employment, resilience, and financial inclusion, while addressing structural barriers such as limited access to collateral-based loans and underrepresentation in agricultural decision-making. The initiatives also align closely with SDG 5.5 (ensure women’s full participation in economic life) and SDG 8.5 (achieve equal pay and decent work) by creating pathways for women’s entrepreneurship, income generation, and climate-adaptive livelihoods.</w:t>
      </w:r>
    </w:p>
    <w:p w14:paraId="34698630" w14:textId="1130A046" w:rsidR="007058FF" w:rsidRPr="007058FF" w:rsidRDefault="00AC0DD6" w:rsidP="00AC0DD6">
      <w:pPr>
        <w:pStyle w:val="H23G"/>
      </w:pPr>
      <w:r>
        <w:tab/>
      </w:r>
      <w:r>
        <w:tab/>
      </w:r>
      <w:r w:rsidR="007058FF" w:rsidRPr="007058FF">
        <w:t xml:space="preserve">Addressing the </w:t>
      </w:r>
      <w:r w:rsidR="00A615B7" w:rsidRPr="007058FF">
        <w:t>gender wage gap and ensuring pay equity</w:t>
      </w:r>
    </w:p>
    <w:p w14:paraId="4F4DA8A4" w14:textId="036694DD" w:rsidR="007058FF" w:rsidRPr="007058FF" w:rsidRDefault="007058FF" w:rsidP="00284892">
      <w:pPr>
        <w:pStyle w:val="SingleTxtG"/>
        <w:numPr>
          <w:ilvl w:val="0"/>
          <w:numId w:val="28"/>
        </w:numPr>
        <w:ind w:left="1134" w:firstLine="0"/>
      </w:pPr>
      <w:r w:rsidRPr="007058FF">
        <w:t xml:space="preserve">Progress has been made toward narrowing wage gaps through the </w:t>
      </w:r>
      <w:r w:rsidRPr="007058FF">
        <w:rPr>
          <w:i/>
          <w:iCs/>
        </w:rPr>
        <w:t>Minimum Wages Order</w:t>
      </w:r>
      <w:r w:rsidRPr="007058FF">
        <w:rPr>
          <w:b/>
          <w:bCs/>
        </w:rPr>
        <w:t xml:space="preserve"> </w:t>
      </w:r>
      <w:r w:rsidRPr="007058FF">
        <w:t xml:space="preserve">(SRO 42 of 2023), which came into effect in January 2024. The updated Order introduced standardized wage floors across sectors and eliminated historical sex-based disparities, particularly in agriculture and construction, where women previously earned less for equivalent work. Ongoing reviews of the Order and related legislation are being conducted by the Ministry of Labour and the Attorney General’s Chambers to ensure compliance with the principle of equal pay for work of equal value. Complementary reforms are guided by the </w:t>
      </w:r>
      <w:r w:rsidRPr="007058FF">
        <w:rPr>
          <w:i/>
          <w:iCs/>
        </w:rPr>
        <w:t>Employment Act</w:t>
      </w:r>
      <w:r w:rsidRPr="007058FF">
        <w:t xml:space="preserve"> (1999, Part IV), which prohibits discrimination on the </w:t>
      </w:r>
      <w:r w:rsidRPr="007058FF">
        <w:lastRenderedPageBreak/>
        <w:t xml:space="preserve">grounds of sex, pregnancy, marital status, or disability, and by gender-responsive budgeting initiatives supported under the </w:t>
      </w:r>
      <w:r w:rsidRPr="007058FF">
        <w:rPr>
          <w:i/>
          <w:iCs/>
        </w:rPr>
        <w:t>Spotlight Initiative</w:t>
      </w:r>
      <w:r w:rsidRPr="007058FF">
        <w:t xml:space="preserve">. </w:t>
      </w:r>
    </w:p>
    <w:p w14:paraId="714B872C" w14:textId="05923FB6" w:rsidR="007058FF" w:rsidRPr="007058FF" w:rsidRDefault="007058FF" w:rsidP="00284892">
      <w:pPr>
        <w:pStyle w:val="SingleTxtG"/>
        <w:numPr>
          <w:ilvl w:val="0"/>
          <w:numId w:val="28"/>
        </w:numPr>
        <w:ind w:left="1134" w:firstLine="0"/>
      </w:pPr>
      <w:r w:rsidRPr="007058FF">
        <w:t>Grenada’s labour policy reform process continues to evolve to address gender gaps in employment law and to enhance protections for working families. The Maternity Leave Act (2012) and Employment Act (Part VIII) currently guarantee twelve weeks of paid maternity leave for eligible employees. While this framework represents a foundation for maternity protection, gaps remain—particularly regarding eligibility restrictions tied to the duration of employment, limited coverage for women on short-term or informal contracts, and inconsistent benefits across the public and private sectors.</w:t>
      </w:r>
    </w:p>
    <w:p w14:paraId="798D9CE4" w14:textId="735B9EC0" w:rsidR="007058FF" w:rsidRPr="007058FF" w:rsidRDefault="007058FF" w:rsidP="00284892">
      <w:pPr>
        <w:pStyle w:val="SingleTxtG"/>
        <w:numPr>
          <w:ilvl w:val="0"/>
          <w:numId w:val="28"/>
        </w:numPr>
        <w:ind w:left="1134" w:firstLine="0"/>
      </w:pPr>
      <w:r w:rsidRPr="007058FF">
        <w:t>Recognizing these challenges, the Government of Grenada, through the Ministry of Labour and Legal Affairs, and the Division of Gender and Family Affairs has initiated consultations to harmonize maternity provisions across all sectors. This process aims to ensure that all women workers, regardless of contract type or tenure, can access equitable maternity benefits and employment protection.</w:t>
      </w:r>
    </w:p>
    <w:p w14:paraId="48C8C50C" w14:textId="70662773" w:rsidR="007058FF" w:rsidRDefault="007058FF" w:rsidP="00284892">
      <w:pPr>
        <w:pStyle w:val="SingleTxtG"/>
        <w:numPr>
          <w:ilvl w:val="0"/>
          <w:numId w:val="28"/>
        </w:numPr>
        <w:ind w:left="1134" w:firstLine="0"/>
      </w:pPr>
      <w:r w:rsidRPr="007058FF">
        <w:t>Under a Memorandum of Understanding (MoU) with the Government, a Build Back Equal consultant is providing technical assistance to identify legislative gaps in the Employment and Labour Relations framework and align national law with international labour standards, notably ILO Conventions 183, 189, and 102. The proposed areas of reform include:</w:t>
      </w:r>
    </w:p>
    <w:p w14:paraId="0B0E3936" w14:textId="530E3322" w:rsidR="00264F70" w:rsidRPr="001A5948" w:rsidRDefault="00264F70" w:rsidP="00576819">
      <w:pPr>
        <w:pStyle w:val="Bullet2G"/>
      </w:pPr>
      <w:r w:rsidRPr="001A5948">
        <w:t>Extension of maternity leave from 12 to 14 weeks, meeting the minimum standard of the ILO Maternity Protection Convention (No. 183);</w:t>
      </w:r>
    </w:p>
    <w:p w14:paraId="3BB570A9" w14:textId="2D371411" w:rsidR="00264F70" w:rsidRPr="001A5948" w:rsidRDefault="00264F70" w:rsidP="00576819">
      <w:pPr>
        <w:pStyle w:val="Bullet2G"/>
      </w:pPr>
      <w:r w:rsidRPr="001A5948">
        <w:t>Introduction of parental leave to encourage shared caregiving responsibilities, applicable to both parents and legal guardians, including those who are not biological parents;</w:t>
      </w:r>
    </w:p>
    <w:p w14:paraId="3AAFC508" w14:textId="4A2342CB" w:rsidR="00264F70" w:rsidRPr="001A5948" w:rsidRDefault="00264F70" w:rsidP="00576819">
      <w:pPr>
        <w:pStyle w:val="Bullet2G"/>
      </w:pPr>
      <w:r w:rsidRPr="001A5948">
        <w:t>Establishment of child benefits for low-income working parents, aimed at easing the costs of childcare and improving family well-being;</w:t>
      </w:r>
    </w:p>
    <w:p w14:paraId="7B4B2924" w14:textId="64C6A987" w:rsidR="00304501" w:rsidRPr="001A5948" w:rsidRDefault="00264F70" w:rsidP="00576819">
      <w:pPr>
        <w:pStyle w:val="Bullet2G"/>
      </w:pPr>
      <w:r w:rsidRPr="001A5948">
        <w:t>Creation of nursing breaks and workplace lactation facilities to protect workers’ rights to express breast milk in safe, private, and sanitary environments.</w:t>
      </w:r>
    </w:p>
    <w:p w14:paraId="1369E51C" w14:textId="434F47F0" w:rsidR="007058FF" w:rsidRPr="007058FF" w:rsidRDefault="007058FF" w:rsidP="00AC2F11">
      <w:pPr>
        <w:pStyle w:val="SingleTxtG"/>
        <w:numPr>
          <w:ilvl w:val="0"/>
          <w:numId w:val="28"/>
        </w:numPr>
        <w:ind w:left="1134" w:firstLine="0"/>
      </w:pPr>
      <w:r w:rsidRPr="007058FF">
        <w:t>National consultations are also underway to explore the introduction of paternity leave and flexible shared parental leave arrangements, allowing families to determine the caregiving structure that best suits their needs. These reforms represent an incremental shift from a framework focused solely on maternity protection toward a gender-equal, family-friendly system that supports shared caregiving, promotes work–family balance, and strengthens women’s continued participation in the workforce.</w:t>
      </w:r>
    </w:p>
    <w:p w14:paraId="60870FC1" w14:textId="2C25E222" w:rsidR="007058FF" w:rsidRPr="007058FF" w:rsidRDefault="001A5948" w:rsidP="001A5948">
      <w:pPr>
        <w:pStyle w:val="H23G"/>
      </w:pPr>
      <w:r>
        <w:tab/>
      </w:r>
      <w:r>
        <w:tab/>
      </w:r>
      <w:r w:rsidR="007058FF" w:rsidRPr="007058FF">
        <w:t xml:space="preserve">Decent </w:t>
      </w:r>
      <w:r w:rsidR="00A615B7" w:rsidRPr="007058FF">
        <w:t>work for domestic workers</w:t>
      </w:r>
    </w:p>
    <w:p w14:paraId="38743BE0" w14:textId="2F56789F" w:rsidR="007058FF" w:rsidRPr="007058FF" w:rsidRDefault="007058FF" w:rsidP="00AC2F11">
      <w:pPr>
        <w:pStyle w:val="SingleTxtG"/>
        <w:numPr>
          <w:ilvl w:val="0"/>
          <w:numId w:val="28"/>
        </w:numPr>
        <w:ind w:left="1134" w:firstLine="0"/>
      </w:pPr>
      <w:r w:rsidRPr="007058FF">
        <w:t xml:space="preserve">Grenada has not yet ratified the </w:t>
      </w:r>
      <w:r w:rsidRPr="007058FF">
        <w:rPr>
          <w:i/>
          <w:iCs/>
        </w:rPr>
        <w:t>ILO Convention No. 189 on Decent Work for Domestic Workers</w:t>
      </w:r>
      <w:r w:rsidRPr="007058FF">
        <w:t>, but significant steps are underway to review national labour laws and policies to strengthen the protection of this largely female workforce. This ongoing review—led collaboratively by the Ministry of Labour, the Division of Gender and Family Affairs, and civil society partners—aims to align domestic labour provisions with international standards on decent work, equality, and non-discrimination. The initiative reflects a growing recognition of the contribution of domestic workers to the care economy and the need to ensure their access to fair wages, social protection, and safe working conditions.</w:t>
      </w:r>
    </w:p>
    <w:p w14:paraId="5E29D544" w14:textId="257A35F2" w:rsidR="007058FF" w:rsidRPr="007058FF" w:rsidRDefault="007058FF" w:rsidP="00AC2F11">
      <w:pPr>
        <w:pStyle w:val="SingleTxtG"/>
        <w:numPr>
          <w:ilvl w:val="0"/>
          <w:numId w:val="28"/>
        </w:numPr>
        <w:ind w:left="1134" w:firstLine="0"/>
      </w:pPr>
      <w:r w:rsidRPr="007058FF">
        <w:t xml:space="preserve">Preliminary findings from the review process have underscored key reform priorities. These include the formalization of employment contracts for domestic workers; guarantees of minimum wage protections and full coverage under the </w:t>
      </w:r>
      <w:r w:rsidRPr="007058FF">
        <w:rPr>
          <w:i/>
          <w:iCs/>
        </w:rPr>
        <w:t>National Insurance Scheme</w:t>
      </w:r>
      <w:r w:rsidRPr="007058FF">
        <w:t xml:space="preserve"> (NIS); the strengthening of occupational safety and health standards within household employment environments; and the development of accessible complaint and inspection mechanisms suitable for the private nature of domestic workplaces. These proposed reforms are being integrated into the broader modernization of Grenada’s Employment and Labour Relations framework, ensuring consistency with other international labour instruments such as </w:t>
      </w:r>
      <w:r w:rsidRPr="007058FF">
        <w:rPr>
          <w:i/>
          <w:iCs/>
        </w:rPr>
        <w:t>ILO Conventions Nos. 183 (Maternity Protection)</w:t>
      </w:r>
      <w:r w:rsidRPr="007058FF">
        <w:t xml:space="preserve"> and </w:t>
      </w:r>
      <w:r w:rsidRPr="007058FF">
        <w:rPr>
          <w:i/>
          <w:iCs/>
        </w:rPr>
        <w:t>102 (Social Security Minimum Standards</w:t>
      </w:r>
      <w:r w:rsidRPr="007058FF">
        <w:t>), and with national obligations under CEDAW Articles 11 and 13.</w:t>
      </w:r>
    </w:p>
    <w:p w14:paraId="05E78A31" w14:textId="38A7E451" w:rsidR="007058FF" w:rsidRPr="007058FF" w:rsidRDefault="007058FF" w:rsidP="00AC2F11">
      <w:pPr>
        <w:pStyle w:val="SingleTxtG"/>
        <w:numPr>
          <w:ilvl w:val="0"/>
          <w:numId w:val="28"/>
        </w:numPr>
        <w:ind w:left="1134" w:firstLine="0"/>
      </w:pPr>
      <w:r w:rsidRPr="007058FF">
        <w:lastRenderedPageBreak/>
        <w:t>Recent legislative advances—such as the 2023 Minimum Wage Order (S.R.&amp;O. No. 42 of 2023)—also demonstrate progress toward improving conditions for domestic and care workers. The Order, which increased the minimum wage to XCD $1,200 per month or $60 per day, expanded coverage to a wide range of occupations including domestic workers, caregivers of the elderly, agricultural and construction workers, and hospitality staff. This represents a notable improvement from the 2011 order and was described nationally as a historic step in advancing poverty reduction and labour equity. The inclusion of “Decent Work for Domestic Workers” as a priority under the Memorandum of Understanding with the Build Back Equal (BBE) Project (2022–2026) further signals Grenada’s commitment to strengthening labour rights and improving working conditions across vulnerable and informal employment sectors.</w:t>
      </w:r>
    </w:p>
    <w:p w14:paraId="1EAD3047" w14:textId="1DEAE1FD" w:rsidR="007058FF" w:rsidRPr="007058FF" w:rsidRDefault="007058FF" w:rsidP="00AC2F11">
      <w:pPr>
        <w:pStyle w:val="SingleTxtG"/>
        <w:numPr>
          <w:ilvl w:val="0"/>
          <w:numId w:val="28"/>
        </w:numPr>
        <w:ind w:left="1134" w:firstLine="0"/>
      </w:pPr>
      <w:r w:rsidRPr="007058FF">
        <w:t>Labour market data reflect both steady progress and continuing challenges in promoting gender equality in employment. According to the 2023 Labour Force Survey, women’s participation in the labour force stands at 55%, compared with 67% for men, indicating a persistent gender gap in access to economic opportunities. Women remain concentrated in education, health, and service-related sectors, while men continue to dominate higher-paying technical and industrial fields such as construction, transportation, and manufacturing. The female unemployment rate of 16%, compared with 11% for men, highlights the ongoing need for gender-responsive training, employment creation, and social protection strategies that facilitate women’s entry into non-traditional and higher-wage sectors.</w:t>
      </w:r>
    </w:p>
    <w:p w14:paraId="7521C94A" w14:textId="1414659A" w:rsidR="007058FF" w:rsidRPr="007058FF" w:rsidRDefault="007058FF" w:rsidP="00AC2F11">
      <w:pPr>
        <w:pStyle w:val="SingleTxtG"/>
        <w:numPr>
          <w:ilvl w:val="0"/>
          <w:numId w:val="28"/>
        </w:numPr>
        <w:ind w:left="1134" w:firstLine="0"/>
      </w:pPr>
      <w:r w:rsidRPr="007058FF">
        <w:t xml:space="preserve">Encouragingly, gains in educational attainment suggest a gradual shift toward greater gender balance in the labour market. Women now account for 54% of tertiary-level graduates, compared to 46% of men, indicating that educational advancement is beginning to translate into improved employment outcomes and leadership opportunities. Initiatives under the </w:t>
      </w:r>
      <w:r w:rsidRPr="007058FF">
        <w:rPr>
          <w:i/>
          <w:iCs/>
        </w:rPr>
        <w:t>National Technical and Vocational Education and Training (TVET) Policy</w:t>
      </w:r>
      <w:r w:rsidRPr="007058FF">
        <w:t>, combined with targeted scholarships in STEM, ICT, and climate-smart agriculture, are opening new career pathways for women and fostering inclusion in emerging green and digital economies.</w:t>
      </w:r>
    </w:p>
    <w:p w14:paraId="2C34103F" w14:textId="000E7541" w:rsidR="007058FF" w:rsidRPr="007058FF" w:rsidRDefault="007058FF" w:rsidP="00AC2F11">
      <w:pPr>
        <w:pStyle w:val="SingleTxtG"/>
        <w:numPr>
          <w:ilvl w:val="0"/>
          <w:numId w:val="28"/>
        </w:numPr>
        <w:ind w:left="1134" w:firstLine="0"/>
      </w:pPr>
      <w:r w:rsidRPr="007058FF">
        <w:t>Grenada nonetheless recognizes that structural barriers persist—particularly in areas such as occupational mobility, wage parity, and leadership representation. Women continue to be underrepresented in managerial and decision-making positions and overrepresented in part-time and informal work, often reflecting unequal caregiving responsibilities and enduring gender norms. To address these disparities, the Government has prioritized legislative reform, gender-responsive budgeting, and inclusive social protection policies aimed at advancing women’s economic empowerment and ensuring equal opportunities across the workforce.</w:t>
      </w:r>
    </w:p>
    <w:p w14:paraId="64601E2C" w14:textId="1A19CC8B" w:rsidR="007058FF" w:rsidRPr="007058FF" w:rsidRDefault="007058FF" w:rsidP="00AC2F11">
      <w:pPr>
        <w:pStyle w:val="SingleTxtG"/>
        <w:numPr>
          <w:ilvl w:val="0"/>
          <w:numId w:val="28"/>
        </w:numPr>
        <w:ind w:left="1134" w:firstLine="0"/>
      </w:pPr>
      <w:r w:rsidRPr="007058FF">
        <w:t>Ongoing measures—including the modernization of the Employment and Labour Relations framework, the expansion of family-friendly leave policies, and enhanced entrepreneurship and skills development programmes for women—demonstrate a sustained national effort to fulfill the CEDAW Committee’s recommendations. Together, these initiatives form part of Grenada’s broader commitment to aligning its employment and social policies with international human rights and labour standards, particularly those advancing gender equality, decent work, and the empowerment of women, caregivers, and domestic workers.</w:t>
      </w:r>
    </w:p>
    <w:p w14:paraId="56725D4B" w14:textId="475659D7" w:rsidR="007058FF" w:rsidRPr="007058FF" w:rsidRDefault="001A5948" w:rsidP="001A5948">
      <w:pPr>
        <w:pStyle w:val="H1G"/>
      </w:pPr>
      <w:r>
        <w:tab/>
      </w:r>
      <w:r>
        <w:tab/>
      </w:r>
      <w:r w:rsidR="007058FF" w:rsidRPr="007058FF">
        <w:t>Article 12: Health</w:t>
      </w:r>
    </w:p>
    <w:p w14:paraId="7C71E1E1" w14:textId="1B20D84E" w:rsidR="007058FF" w:rsidRPr="007058FF" w:rsidRDefault="007058FF" w:rsidP="001A5948">
      <w:pPr>
        <w:pStyle w:val="H23G"/>
      </w:pPr>
      <w:r w:rsidRPr="007058FF">
        <w:rPr>
          <w:i/>
          <w:iCs/>
        </w:rPr>
        <w:tab/>
      </w:r>
      <w:r w:rsidR="001A5948">
        <w:rPr>
          <w:i/>
          <w:iCs/>
        </w:rPr>
        <w:tab/>
      </w:r>
      <w:r w:rsidR="001A5948">
        <w:rPr>
          <w:i/>
          <w:iCs/>
        </w:rPr>
        <w:tab/>
      </w:r>
      <w:r w:rsidRPr="007058FF">
        <w:t xml:space="preserve">Improving </w:t>
      </w:r>
      <w:r w:rsidR="004E3E9B" w:rsidRPr="007058FF">
        <w:t>access to sexual and reproductive health services</w:t>
      </w:r>
    </w:p>
    <w:p w14:paraId="37F37A90" w14:textId="7E0B9DEC" w:rsidR="007058FF" w:rsidRPr="007058FF" w:rsidRDefault="007058FF" w:rsidP="00AC2F11">
      <w:pPr>
        <w:pStyle w:val="SingleTxtG"/>
        <w:numPr>
          <w:ilvl w:val="0"/>
          <w:numId w:val="28"/>
        </w:numPr>
        <w:ind w:left="1134" w:firstLine="0"/>
      </w:pPr>
      <w:r w:rsidRPr="007058FF">
        <w:t xml:space="preserve">Grenada continues to strengthen access to sexual and reproductive health (SRH) services through a coordinated, multisectoral framework that prioritizes equity, accessibility, and the life-course approach to women’s and adolescent health. Under the </w:t>
      </w:r>
      <w:r w:rsidRPr="007058FF">
        <w:rPr>
          <w:i/>
          <w:iCs/>
        </w:rPr>
        <w:t>National Health Sector Strategic Plan (2023–2027)</w:t>
      </w:r>
      <w:r w:rsidRPr="007058FF">
        <w:t xml:space="preserve">, the </w:t>
      </w:r>
      <w:r w:rsidRPr="007058FF">
        <w:rPr>
          <w:i/>
          <w:iCs/>
        </w:rPr>
        <w:t>National Sexual and Reproductive Health Policy (2013)</w:t>
      </w:r>
      <w:r w:rsidRPr="007058FF">
        <w:t xml:space="preserve">, and the </w:t>
      </w:r>
      <w:r w:rsidRPr="00AC2F11">
        <w:t>Adolescent</w:t>
      </w:r>
      <w:r w:rsidRPr="007058FF">
        <w:rPr>
          <w:i/>
          <w:iCs/>
        </w:rPr>
        <w:t xml:space="preserve"> Health Policy (2024 draft),</w:t>
      </w:r>
      <w:r w:rsidRPr="007058FF">
        <w:t xml:space="preserve"> SRH has been positioned as a pillar of the country’s universal health coverage commitments.</w:t>
      </w:r>
    </w:p>
    <w:p w14:paraId="12B1A9AD" w14:textId="23B029DF" w:rsidR="007058FF" w:rsidRPr="007058FF" w:rsidRDefault="007058FF" w:rsidP="00AC2F11">
      <w:pPr>
        <w:pStyle w:val="SingleTxtG"/>
        <w:numPr>
          <w:ilvl w:val="0"/>
          <w:numId w:val="28"/>
        </w:numPr>
        <w:ind w:left="1134" w:firstLine="0"/>
      </w:pPr>
      <w:r w:rsidRPr="007058FF">
        <w:lastRenderedPageBreak/>
        <w:t xml:space="preserve">Public health centres across all parishes provide a full range of contraceptive options free of charge, including oral contraceptives (Microgynon), injectables (Depo-Provera and Noristerat), intra-uterine devices (IUDs), sterilization, and condoms. These services are complemented by the </w:t>
      </w:r>
      <w:r w:rsidRPr="007058FF">
        <w:rPr>
          <w:i/>
          <w:iCs/>
        </w:rPr>
        <w:t>Grenada Planned Parenthood Association</w:t>
      </w:r>
      <w:r w:rsidRPr="007058FF">
        <w:rPr>
          <w:b/>
          <w:bCs/>
        </w:rPr>
        <w:t xml:space="preserve"> </w:t>
      </w:r>
      <w:r w:rsidRPr="007058FF">
        <w:t>(GPPA), which offers confidential counselling, contraceptive services, HIV testing, and family-life education—often serving as the first point of access for adolescents and young women.</w:t>
      </w:r>
    </w:p>
    <w:p w14:paraId="44C710A3" w14:textId="2E56C66E" w:rsidR="007058FF" w:rsidRPr="007058FF" w:rsidRDefault="007058FF" w:rsidP="00AC2F11">
      <w:pPr>
        <w:pStyle w:val="SingleTxtG"/>
        <w:numPr>
          <w:ilvl w:val="0"/>
          <w:numId w:val="28"/>
        </w:numPr>
        <w:ind w:left="1134" w:firstLine="0"/>
      </w:pPr>
      <w:r w:rsidRPr="007058FF">
        <w:t xml:space="preserve">Data from the </w:t>
      </w:r>
      <w:r w:rsidRPr="007058FF">
        <w:rPr>
          <w:i/>
          <w:iCs/>
        </w:rPr>
        <w:t>Adolescent Health Policy (2024)</w:t>
      </w:r>
      <w:r w:rsidRPr="007058FF">
        <w:t xml:space="preserve"> show that nearly one in four adolescent girls identifies privacy, confidentiality, and fear of stigma as barriers to seeking SRH services, particularly in small communities. To address this, the Ministry of Health has expanded </w:t>
      </w:r>
      <w:r w:rsidRPr="007058FF">
        <w:rPr>
          <w:i/>
          <w:iCs/>
        </w:rPr>
        <w:t>adolescent-friendly health services</w:t>
      </w:r>
      <w:r w:rsidRPr="007058FF">
        <w:rPr>
          <w:b/>
          <w:bCs/>
        </w:rPr>
        <w:t xml:space="preserve"> </w:t>
      </w:r>
      <w:r w:rsidRPr="007058FF">
        <w:t>(AFHS) with trained community health nurses providing non-judgmental care, flexible hours, and outreach sessions in schools.</w:t>
      </w:r>
    </w:p>
    <w:p w14:paraId="23D61F4C" w14:textId="0412366B" w:rsidR="007058FF" w:rsidRPr="007058FF" w:rsidRDefault="007058FF" w:rsidP="00AC2F11">
      <w:pPr>
        <w:pStyle w:val="SingleTxtG"/>
        <w:numPr>
          <w:ilvl w:val="0"/>
          <w:numId w:val="28"/>
        </w:numPr>
        <w:ind w:left="1134" w:firstLine="0"/>
      </w:pPr>
      <w:r w:rsidRPr="007058FF">
        <w:t>Progress is visible: the adolescent fertility rate has declined from 38 births per 1,000 girls aged 15–19 in 2010 to 27 per 1,000 in 2019, reflecting greater contraceptive use and access to adolescent-specific SRH information. At the same time, the Women’s Health and Life Experiences Survey (WHLES, 2018) underscores ongoing needs—reporting that 7% of women aged 15–49 had an unmet need for family planning, and only 60% of sexually active women used modern contraceptives consistently. These figures indicate continued gaps in coverage for low-income, rural, and young women, which remain a focus of service expansion and health-promotion programming.</w:t>
      </w:r>
    </w:p>
    <w:p w14:paraId="687B7788" w14:textId="5EE62F31" w:rsidR="007058FF" w:rsidRPr="007058FF" w:rsidRDefault="001A5948" w:rsidP="001A5948">
      <w:pPr>
        <w:pStyle w:val="H23G"/>
      </w:pPr>
      <w:r>
        <w:tab/>
      </w:r>
      <w:r>
        <w:tab/>
      </w:r>
      <w:r w:rsidR="007058FF" w:rsidRPr="007058FF">
        <w:t xml:space="preserve">Comprehensive </w:t>
      </w:r>
      <w:r w:rsidR="00FC1B14" w:rsidRPr="007058FF">
        <w:t xml:space="preserve">education and awareness </w:t>
      </w:r>
      <w:r w:rsidR="007058FF" w:rsidRPr="007058FF">
        <w:t>on SRH</w:t>
      </w:r>
    </w:p>
    <w:p w14:paraId="63A57CD6" w14:textId="3321F3E7" w:rsidR="007058FF" w:rsidRPr="007058FF" w:rsidRDefault="007058FF" w:rsidP="00AC2F11">
      <w:pPr>
        <w:pStyle w:val="SingleTxtG"/>
        <w:numPr>
          <w:ilvl w:val="0"/>
          <w:numId w:val="28"/>
        </w:numPr>
        <w:ind w:left="1134" w:firstLine="0"/>
      </w:pPr>
      <w:r w:rsidRPr="007058FF">
        <w:t xml:space="preserve">Grenada’s Health and Family Life Education (HFLE) curriculum integrates age-appropriate comprehensive sexuality education (CSE) at both primary and secondary levels, covering topics such as reproductive anatomy, consent, gender equality, relationships, and HIV prevention. The </w:t>
      </w:r>
      <w:r w:rsidRPr="007058FF">
        <w:rPr>
          <w:i/>
          <w:iCs/>
        </w:rPr>
        <w:t>Adolescent Health Policy (2024)</w:t>
      </w:r>
      <w:r w:rsidRPr="007058FF">
        <w:t xml:space="preserve"> promotes early, accurate, and culturally sensitive SRH education—supported by the Health Promotion Unit, the GPPA, and civil-society partners.</w:t>
      </w:r>
    </w:p>
    <w:p w14:paraId="5EB3152D" w14:textId="47FF8CB8" w:rsidR="007058FF" w:rsidRPr="007058FF" w:rsidRDefault="007058FF" w:rsidP="00AC2F11">
      <w:pPr>
        <w:pStyle w:val="SingleTxtG"/>
        <w:numPr>
          <w:ilvl w:val="0"/>
          <w:numId w:val="28"/>
        </w:numPr>
        <w:ind w:left="1134" w:firstLine="0"/>
      </w:pPr>
      <w:r w:rsidRPr="007058FF">
        <w:t>National awareness campaigns have expanded under this policy framework. The HIV/AIDS and STI Prevention Programme has reached over 12,000 persons annually through outreach testing, condom distribution, and youth-centered education. The GPPA’s “Know Your Status” campaign and the Ministry of Health’s community caravans have increased awareness among adolescents and out-of-school youth, contributing to declines in new HIV infections (from 29 cases in 2018 to 19 cases in 2023, per Epidemiology Unit data).</w:t>
      </w:r>
    </w:p>
    <w:p w14:paraId="17404DB8" w14:textId="0DB26CCA" w:rsidR="007058FF" w:rsidRPr="007058FF" w:rsidRDefault="007058FF" w:rsidP="00AC2F11">
      <w:pPr>
        <w:pStyle w:val="SingleTxtG"/>
        <w:numPr>
          <w:ilvl w:val="0"/>
          <w:numId w:val="28"/>
        </w:numPr>
        <w:ind w:left="1134" w:firstLine="0"/>
      </w:pPr>
      <w:r w:rsidRPr="007058FF">
        <w:t>In alignment with SDG 3.7 (universal access to SRH services) and SDG 5.6 (reproductive rights), Grenada is also working to integrate HFLE modules into technical and vocational institutions and to establish peer educator networks that reach young people through community and faith-based organizations.</w:t>
      </w:r>
    </w:p>
    <w:p w14:paraId="18F254AD" w14:textId="79D523B5" w:rsidR="007058FF" w:rsidRPr="007058FF" w:rsidRDefault="001A5948" w:rsidP="001A5948">
      <w:pPr>
        <w:pStyle w:val="H23G"/>
      </w:pPr>
      <w:r>
        <w:tab/>
      </w:r>
      <w:r>
        <w:tab/>
      </w:r>
      <w:r w:rsidR="007058FF" w:rsidRPr="007058FF">
        <w:t xml:space="preserve">Health </w:t>
      </w:r>
      <w:r w:rsidR="00FC1B14" w:rsidRPr="007058FF">
        <w:t>facilities and support for complications from unsafe abortions</w:t>
      </w:r>
    </w:p>
    <w:p w14:paraId="23A7399B" w14:textId="708478F9" w:rsidR="007058FF" w:rsidRPr="007058FF" w:rsidRDefault="007058FF" w:rsidP="00AC2F11">
      <w:pPr>
        <w:pStyle w:val="SingleTxtG"/>
        <w:numPr>
          <w:ilvl w:val="0"/>
          <w:numId w:val="28"/>
        </w:numPr>
        <w:ind w:left="1134" w:firstLine="0"/>
      </w:pPr>
      <w:r w:rsidRPr="007058FF">
        <w:t>Under Grenada’s current legal framework, abortion is permissible only when the life of the pregnant woman is at risk, but health facilities remain mandated to provide life-saving and post-abortion care for all women and girls presenting with complications from unsafe or incomplete abortions. The General Hospital, community health centres, and selected district facilities offer emergency obstetric services, post-abortion treatment, and psychosocial counselling, with confidentiality safeguards. The WHLES (2018) indicated that 2% of women reported experiencing pregnancy loss due to unsafe abortion attempts or related complications, emphasizing the importance of maintaining these services.</w:t>
      </w:r>
    </w:p>
    <w:p w14:paraId="6159B118" w14:textId="7C0C0CA2" w:rsidR="007058FF" w:rsidRPr="007058FF" w:rsidRDefault="007058FF" w:rsidP="00AC2F11">
      <w:pPr>
        <w:pStyle w:val="SingleTxtG"/>
        <w:numPr>
          <w:ilvl w:val="0"/>
          <w:numId w:val="28"/>
        </w:numPr>
        <w:ind w:left="1134" w:firstLine="0"/>
      </w:pPr>
      <w:r w:rsidRPr="007058FF">
        <w:t>The Ministry of Health, supported by PAHO and UNFPA, has introduced clinical management of rape and post-abortion care training for nurses, midwives, and doctors, ensuring survivor-centred and rights-based service delivery.</w:t>
      </w:r>
    </w:p>
    <w:p w14:paraId="51B54841" w14:textId="0AC566D4" w:rsidR="007058FF" w:rsidRPr="007058FF" w:rsidRDefault="001A5948" w:rsidP="001A5948">
      <w:pPr>
        <w:pStyle w:val="H23G"/>
      </w:pPr>
      <w:r>
        <w:tab/>
      </w:r>
      <w:r>
        <w:tab/>
      </w:r>
      <w:r w:rsidR="007058FF" w:rsidRPr="007058FF">
        <w:t xml:space="preserve">Legislative </w:t>
      </w:r>
      <w:r w:rsidR="00FC1B14" w:rsidRPr="007058FF">
        <w:t>framework and abortion law review</w:t>
      </w:r>
    </w:p>
    <w:p w14:paraId="32A1C346" w14:textId="7F7F043F" w:rsidR="007058FF" w:rsidRPr="007058FF" w:rsidRDefault="007058FF" w:rsidP="00AC2F11">
      <w:pPr>
        <w:pStyle w:val="SingleTxtG"/>
        <w:numPr>
          <w:ilvl w:val="0"/>
          <w:numId w:val="28"/>
        </w:numPr>
        <w:ind w:left="1134" w:firstLine="0"/>
      </w:pPr>
      <w:r w:rsidRPr="007058FF">
        <w:t xml:space="preserve">Grenada acknowledges CEDAW General Recommendation No. 24 (1999) on women and health and recognizes the need for continued dialogue on SRH rights and abortion legislation. While no formal legislative review has yet been undertaken, the </w:t>
      </w:r>
      <w:r w:rsidRPr="007058FF">
        <w:rPr>
          <w:i/>
          <w:iCs/>
        </w:rPr>
        <w:t xml:space="preserve">Adolescent </w:t>
      </w:r>
      <w:r w:rsidRPr="007058FF">
        <w:rPr>
          <w:i/>
          <w:iCs/>
        </w:rPr>
        <w:lastRenderedPageBreak/>
        <w:t>Health Policy (2024)</w:t>
      </w:r>
      <w:r w:rsidRPr="007058FF">
        <w:t xml:space="preserve"> highlights the importance of evidence-based policy discussion on reproductive autonomy, sexual violence, and adolescent pregnancy prevention.</w:t>
      </w:r>
    </w:p>
    <w:p w14:paraId="02CD3039" w14:textId="56801724" w:rsidR="007058FF" w:rsidRPr="007058FF" w:rsidRDefault="007058FF" w:rsidP="00AC2F11">
      <w:pPr>
        <w:pStyle w:val="SingleTxtG"/>
        <w:numPr>
          <w:ilvl w:val="0"/>
          <w:numId w:val="28"/>
        </w:numPr>
        <w:ind w:left="1134" w:firstLine="0"/>
      </w:pPr>
      <w:r w:rsidRPr="007058FF">
        <w:t>Public consultations continue through the National Reproductive Health Committee and civil-society partners to facilitate inclusive dialogue on women’s rights, public health outcomes, and safe-care standards. The Government has emphasized that any future reform will be preceded by broad-based national consultations, engaging medical professionals, women’s groups, youth networks, and faith-based organizations.</w:t>
      </w:r>
    </w:p>
    <w:p w14:paraId="14BF9B61" w14:textId="54A302B3" w:rsidR="007058FF" w:rsidRPr="007058FF" w:rsidRDefault="007058FF" w:rsidP="00AC2F11">
      <w:pPr>
        <w:pStyle w:val="SingleTxtG"/>
        <w:numPr>
          <w:ilvl w:val="0"/>
          <w:numId w:val="28"/>
        </w:numPr>
        <w:ind w:left="1134" w:firstLine="0"/>
      </w:pPr>
      <w:r w:rsidRPr="007058FF">
        <w:t>Grenada’s progress in expanding access to SRH services, reducing adolescent fertility, and improving health education demonstrates tangible movement toward the CEDAW Committee’s recommendations</w:t>
      </w:r>
      <w:r w:rsidR="005962E7">
        <w:t>:</w:t>
      </w:r>
    </w:p>
    <w:p w14:paraId="15B89336" w14:textId="3FA2DDFE" w:rsidR="007058FF" w:rsidRPr="005962E7" w:rsidRDefault="007058FF" w:rsidP="001A5948">
      <w:pPr>
        <w:pStyle w:val="Bullet2G"/>
      </w:pPr>
      <w:r w:rsidRPr="005962E7">
        <w:t>Contraceptives are available at all 36 public health centres, free of charge</w:t>
      </w:r>
      <w:r w:rsidR="001A5948">
        <w:t>;</w:t>
      </w:r>
    </w:p>
    <w:p w14:paraId="64F44739" w14:textId="20F3211E" w:rsidR="007058FF" w:rsidRPr="005962E7" w:rsidRDefault="007058FF" w:rsidP="001A5948">
      <w:pPr>
        <w:pStyle w:val="Bullet2G"/>
      </w:pPr>
      <w:r w:rsidRPr="005962E7">
        <w:t>Adolescent fertility decreased by nearly 30% over the past decade, supported by targeted health education</w:t>
      </w:r>
      <w:r w:rsidR="001A5948">
        <w:t>;</w:t>
      </w:r>
    </w:p>
    <w:p w14:paraId="0A5D2FED" w14:textId="7C305A39" w:rsidR="007058FF" w:rsidRPr="005962E7" w:rsidRDefault="007058FF" w:rsidP="001A5948">
      <w:pPr>
        <w:pStyle w:val="Bullet2G"/>
      </w:pPr>
      <w:r w:rsidRPr="005962E7">
        <w:t>Adolescent-friendly health clinics and community outreach programmes are bridging barriers related to confidentiality and stigma</w:t>
      </w:r>
      <w:r w:rsidR="001A5948">
        <w:t>;</w:t>
      </w:r>
    </w:p>
    <w:p w14:paraId="34043EE3" w14:textId="77777777" w:rsidR="007058FF" w:rsidRPr="005962E7" w:rsidRDefault="007058FF" w:rsidP="001A5948">
      <w:pPr>
        <w:pStyle w:val="Bullet2G"/>
      </w:pPr>
      <w:r w:rsidRPr="005962E7">
        <w:t>HIV incidence rates continue to decline, reflecting the success of prevention and awareness programmes.</w:t>
      </w:r>
    </w:p>
    <w:p w14:paraId="21ED4F40" w14:textId="0F17BD79" w:rsidR="007058FF" w:rsidRPr="007058FF" w:rsidRDefault="007058FF" w:rsidP="00AC2F11">
      <w:pPr>
        <w:pStyle w:val="SingleTxtG"/>
        <w:numPr>
          <w:ilvl w:val="0"/>
          <w:numId w:val="28"/>
        </w:numPr>
        <w:ind w:left="1134" w:firstLine="0"/>
      </w:pPr>
      <w:r w:rsidRPr="007058FF">
        <w:t>Nonetheless, challenges remain in reaching the most vulnerable—young adolescents, rural women and survivors of gender-based violence. Addressing these requires sustained financing, comprehensive monitoring, and continued integration of gender and human rights into public health. Grenada’s efforts reflect a progressive but measured approach toward achieving the Committee’s guidance under Articles 12 and 16 of the Convention, contributing to the broader goals of Beijing+30, the Montevideo Strategy, and the 2030 Agenda for Sustainable Development.</w:t>
      </w:r>
    </w:p>
    <w:p w14:paraId="28061A5A" w14:textId="5C39FE81" w:rsidR="007058FF" w:rsidRPr="007058FF" w:rsidRDefault="00097F0D" w:rsidP="00097F0D">
      <w:pPr>
        <w:pStyle w:val="H1G"/>
      </w:pPr>
      <w:r>
        <w:tab/>
      </w:r>
      <w:r>
        <w:tab/>
      </w:r>
      <w:r w:rsidR="007058FF" w:rsidRPr="007058FF">
        <w:t>Article 14: Rural women</w:t>
      </w:r>
    </w:p>
    <w:p w14:paraId="0D2DA8D8" w14:textId="1382E53D" w:rsidR="007058FF" w:rsidRPr="007058FF" w:rsidRDefault="007058FF" w:rsidP="00AC2F11">
      <w:pPr>
        <w:pStyle w:val="SingleTxtG"/>
        <w:numPr>
          <w:ilvl w:val="0"/>
          <w:numId w:val="28"/>
        </w:numPr>
        <w:ind w:left="1134" w:firstLine="0"/>
      </w:pPr>
      <w:r w:rsidRPr="007058FF">
        <w:t>Grenada continues to strengthen its national framework to advance the rights, economic security, and resilience of rural women in keeping with the Convention on the Elimination of All Forms of Discrimination against Women (CEDAW), the Montevideo Strategy for Implementation of the Regional Gender Agenda, and the 2030 Agenda for Sustainable Development. Efforts are directed at ensuring that rural women—particularly heads of households, women with disabilities, older women, and those engaged in agriculture and the care economy—have equitable access to productive resources, social services, climate-resilient livelihoods, and participation in decision-making.</w:t>
      </w:r>
    </w:p>
    <w:p w14:paraId="2BB31826" w14:textId="52880791" w:rsidR="007058FF" w:rsidRPr="007058FF" w:rsidRDefault="00097F0D" w:rsidP="00097F0D">
      <w:pPr>
        <w:pStyle w:val="H23G"/>
      </w:pPr>
      <w:r>
        <w:tab/>
      </w:r>
      <w:r>
        <w:tab/>
      </w:r>
      <w:r w:rsidR="007058FF" w:rsidRPr="007058FF">
        <w:t xml:space="preserve">Strengthening </w:t>
      </w:r>
      <w:r w:rsidR="000442A2" w:rsidRPr="007058FF">
        <w:t>social protection, poverty reduction, and economic empowerment</w:t>
      </w:r>
    </w:p>
    <w:p w14:paraId="10B22DB1" w14:textId="6287C1FA" w:rsidR="007058FF" w:rsidRPr="007058FF" w:rsidRDefault="007058FF" w:rsidP="00AC2F11">
      <w:pPr>
        <w:pStyle w:val="SingleTxtG"/>
        <w:numPr>
          <w:ilvl w:val="0"/>
          <w:numId w:val="28"/>
        </w:numPr>
        <w:ind w:left="1134" w:firstLine="0"/>
      </w:pPr>
      <w:r w:rsidRPr="007058FF">
        <w:t xml:space="preserve">Grenada’s </w:t>
      </w:r>
      <w:r w:rsidRPr="007058FF">
        <w:rPr>
          <w:i/>
          <w:iCs/>
        </w:rPr>
        <w:t>Support for Education, Empowerment and Development</w:t>
      </w:r>
      <w:r w:rsidRPr="007058FF">
        <w:t xml:space="preserve"> (SEED) Programme remains the flagship poverty-reduction and social protection mechanism targeting low-income and vulnerable households. Between 2019 and 2024, SEED supported over 37,000 beneficiaries, of whom 55 percent were women, including women heads of households and 45.4 percent of all persons with disabilities enrolled. The programme provides conditional cash transfers to promote school attendance, healthcare access, and social inclusion, and prioritizes households in rural parishes such as St. Andrew, St. Patrick, and St. Mark.</w:t>
      </w:r>
    </w:p>
    <w:p w14:paraId="1E8FA882" w14:textId="4602DA58" w:rsidR="007058FF" w:rsidRPr="007058FF" w:rsidRDefault="007058FF" w:rsidP="00AC2F11">
      <w:pPr>
        <w:pStyle w:val="SingleTxtG"/>
        <w:numPr>
          <w:ilvl w:val="0"/>
          <w:numId w:val="28"/>
        </w:numPr>
        <w:ind w:left="1134" w:firstLine="0"/>
      </w:pPr>
      <w:r w:rsidRPr="007058FF">
        <w:t xml:space="preserve">The </w:t>
      </w:r>
      <w:r w:rsidRPr="007058FF">
        <w:rPr>
          <w:i/>
          <w:iCs/>
        </w:rPr>
        <w:t>Basic Needs Trust Fund</w:t>
      </w:r>
      <w:r w:rsidRPr="007058FF">
        <w:t xml:space="preserve"> (BNTF), financed through the Caribbean Development Bank (CDB), complements SEED by addressing rural infrastructure gaps and livelihood support. Through its Cycle 9 and 10 projects (2019–2024), BNTF has funded small community access roads, water systems, and skills training facilities that enhance women’s mobility and market participation.</w:t>
      </w:r>
    </w:p>
    <w:p w14:paraId="08404877" w14:textId="094A9551" w:rsidR="007058FF" w:rsidRPr="007058FF" w:rsidRDefault="007058FF" w:rsidP="00AC2F11">
      <w:pPr>
        <w:pStyle w:val="SingleTxtG"/>
        <w:numPr>
          <w:ilvl w:val="0"/>
          <w:numId w:val="28"/>
        </w:numPr>
        <w:ind w:left="1134" w:firstLine="0"/>
      </w:pPr>
      <w:r w:rsidRPr="007058FF">
        <w:t>Rural women also benefit from housing initiatives implemented through the Ministry of Housing and Community Development, which allocate units to female-headed households and survivors of gender-based violence, reinforcing security of tenure and social protection.</w:t>
      </w:r>
    </w:p>
    <w:p w14:paraId="2528AA6A" w14:textId="604864BA" w:rsidR="007058FF" w:rsidRPr="007058FF" w:rsidRDefault="007058FF" w:rsidP="00AC2F11">
      <w:pPr>
        <w:pStyle w:val="SingleTxtG"/>
        <w:numPr>
          <w:ilvl w:val="0"/>
          <w:numId w:val="28"/>
        </w:numPr>
        <w:ind w:left="1134" w:firstLine="0"/>
      </w:pPr>
      <w:r w:rsidRPr="007058FF">
        <w:lastRenderedPageBreak/>
        <w:t xml:space="preserve">Civil society networks such as the </w:t>
      </w:r>
      <w:r w:rsidRPr="007058FF">
        <w:rPr>
          <w:i/>
          <w:iCs/>
        </w:rPr>
        <w:t>Grenada Network of Rural Women Producers</w:t>
      </w:r>
      <w:r w:rsidRPr="007058FF">
        <w:rPr>
          <w:b/>
          <w:bCs/>
        </w:rPr>
        <w:t xml:space="preserve"> </w:t>
      </w:r>
      <w:r w:rsidRPr="007058FF">
        <w:t>(GRENROP) play a key role in women’s economic empowerment by mobilizing cooperatives and advancing agro-enterprise development. GRENROP’s membership of over 250 rural women producers—spanning agriculture, agro-processing, and small-scale fisheries—has been instrumental in promoting women’s access to credit, training, and market linkages in collaboration with the Ministries of Agriculture and Social Development.</w:t>
      </w:r>
    </w:p>
    <w:p w14:paraId="241E6C4B" w14:textId="10A2D3CE" w:rsidR="007058FF" w:rsidRPr="007058FF" w:rsidRDefault="00DE07FA" w:rsidP="00DE07FA">
      <w:pPr>
        <w:pStyle w:val="H23G"/>
      </w:pPr>
      <w:r>
        <w:tab/>
      </w:r>
      <w:r>
        <w:tab/>
      </w:r>
      <w:r w:rsidR="007058FF" w:rsidRPr="007058FF">
        <w:t xml:space="preserve">Advancing </w:t>
      </w:r>
      <w:r w:rsidR="00C01BC8" w:rsidRPr="007058FF">
        <w:t>climate-resilient livelihoods and sustainable agriculture</w:t>
      </w:r>
    </w:p>
    <w:p w14:paraId="3E2D2D2C" w14:textId="3820EC04" w:rsidR="007058FF" w:rsidRPr="007058FF" w:rsidRDefault="007058FF" w:rsidP="00AC2F11">
      <w:pPr>
        <w:pStyle w:val="SingleTxtG"/>
        <w:numPr>
          <w:ilvl w:val="0"/>
          <w:numId w:val="28"/>
        </w:numPr>
        <w:ind w:left="1134" w:firstLine="0"/>
        <w:rPr>
          <w:b/>
          <w:bCs/>
          <w:iCs/>
        </w:rPr>
      </w:pPr>
      <w:r w:rsidRPr="007058FF">
        <w:rPr>
          <w:iCs/>
        </w:rPr>
        <w:t xml:space="preserve">Recognizing that women form a substantial proportion of small-scale farmers and rural </w:t>
      </w:r>
      <w:r w:rsidRPr="00AC2F11">
        <w:t>entrepreneurs</w:t>
      </w:r>
      <w:r w:rsidRPr="007058FF">
        <w:rPr>
          <w:iCs/>
        </w:rPr>
        <w:t>, the Government has prioritized gender-responsive and climate-resilient agricultural development.</w:t>
      </w:r>
    </w:p>
    <w:p w14:paraId="662AC61A" w14:textId="20289C2E" w:rsidR="007058FF" w:rsidRPr="007058FF" w:rsidRDefault="007058FF" w:rsidP="00AC2F11">
      <w:pPr>
        <w:pStyle w:val="SingleTxtG"/>
        <w:numPr>
          <w:ilvl w:val="0"/>
          <w:numId w:val="28"/>
        </w:numPr>
        <w:ind w:left="1134" w:firstLine="0"/>
      </w:pPr>
      <w:r w:rsidRPr="007058FF">
        <w:t xml:space="preserve">The </w:t>
      </w:r>
      <w:r w:rsidRPr="007058FF">
        <w:rPr>
          <w:i/>
          <w:iCs/>
        </w:rPr>
        <w:t>Climate-Smart Agriculture and Rural Enterprise Programme</w:t>
      </w:r>
      <w:r w:rsidRPr="007058FF">
        <w:rPr>
          <w:b/>
          <w:bCs/>
        </w:rPr>
        <w:t xml:space="preserve"> </w:t>
      </w:r>
      <w:r w:rsidRPr="007058FF">
        <w:t xml:space="preserve">(SAEP)—funded by the Government of Grenada, the </w:t>
      </w:r>
      <w:r w:rsidRPr="007058FF">
        <w:rPr>
          <w:i/>
          <w:iCs/>
        </w:rPr>
        <w:t>International Fund for Agricultural Development</w:t>
      </w:r>
      <w:r w:rsidRPr="007058FF">
        <w:rPr>
          <w:b/>
          <w:bCs/>
        </w:rPr>
        <w:t xml:space="preserve"> </w:t>
      </w:r>
      <w:r w:rsidRPr="007058FF">
        <w:t>(IFAD), and the Caribbean Development Bank (CDB)—serves as the principal vehicle for enhancing climate-resilient livelihoods. Between 2019 and 2025, SAEP trained and certified over 4,500 participants, including 1,900 youth and 1,220 rural women, in climate-smart agriculture, business management, and vocational skills.</w:t>
      </w:r>
    </w:p>
    <w:p w14:paraId="11FEBA7A" w14:textId="7941E8E8" w:rsidR="007058FF" w:rsidRPr="007058FF" w:rsidRDefault="007058FF" w:rsidP="00AC2F11">
      <w:pPr>
        <w:pStyle w:val="SingleTxtG"/>
        <w:numPr>
          <w:ilvl w:val="0"/>
          <w:numId w:val="28"/>
        </w:numPr>
        <w:ind w:left="1134" w:firstLine="0"/>
        <w:rPr>
          <w:iCs/>
        </w:rPr>
      </w:pPr>
      <w:r w:rsidRPr="007058FF">
        <w:rPr>
          <w:iCs/>
        </w:rPr>
        <w:t xml:space="preserve">Under SAEP’s Climate-Smart Agriculture (CSA) Component, approximately 400 women farmers from the parishes of St. Andrew, St. Patrick, and St. John benefitted directly from </w:t>
      </w:r>
      <w:r w:rsidRPr="00AC2F11">
        <w:t>training</w:t>
      </w:r>
      <w:r w:rsidRPr="007058FF">
        <w:rPr>
          <w:iCs/>
        </w:rPr>
        <w:t xml:space="preserve"> and technical assistance in soil conservation, integrated pest management, composting, and water-harvesting systems. These women were also supported to adopt drought-resistant crop varieties and low-cost irrigation technologies aimed at mitigating the effects of prolonged dry seasons. The initiative included demonstration plots and farmer field schools managed jointly by the Ministry of Agriculture, Lands, Fisheries and Cooperatives, GRENROP, and local extension officers.</w:t>
      </w:r>
    </w:p>
    <w:p w14:paraId="7444846D" w14:textId="114FD187" w:rsidR="007058FF" w:rsidRPr="007058FF" w:rsidRDefault="007058FF" w:rsidP="00AC2F11">
      <w:pPr>
        <w:pStyle w:val="SingleTxtG"/>
        <w:numPr>
          <w:ilvl w:val="0"/>
          <w:numId w:val="28"/>
        </w:numPr>
        <w:ind w:left="1134" w:firstLine="0"/>
        <w:rPr>
          <w:iCs/>
        </w:rPr>
      </w:pPr>
      <w:r w:rsidRPr="007058FF">
        <w:rPr>
          <w:iCs/>
        </w:rPr>
        <w:t xml:space="preserve">SAEP also facilitated access to enterprise grants and start-up financing for 551 rural women, many of whom established microenterprises in agro-processing, agro-tourism, renewable </w:t>
      </w:r>
      <w:r w:rsidRPr="00AC2F11">
        <w:t>energy</w:t>
      </w:r>
      <w:r w:rsidRPr="007058FF">
        <w:rPr>
          <w:iCs/>
        </w:rPr>
        <w:t>, and food retail. These interventions have diversified income sources and strengthened resilience among rural women against economic and climatic shocks.</w:t>
      </w:r>
    </w:p>
    <w:p w14:paraId="03994CF3" w14:textId="23A8D277" w:rsidR="007058FF" w:rsidRPr="007058FF" w:rsidRDefault="007058FF" w:rsidP="00AC2F11">
      <w:pPr>
        <w:pStyle w:val="SingleTxtG"/>
        <w:numPr>
          <w:ilvl w:val="0"/>
          <w:numId w:val="28"/>
        </w:numPr>
        <w:ind w:left="1134" w:firstLine="0"/>
      </w:pPr>
      <w:r w:rsidRPr="007058FF">
        <w:t>Complementary activities under the Build Back Equal (BBE) Project, implemented by UN Women and UNFPA, funded by Global Affairs Canada, further enhance women’s resilience by addressing unpaid care burdens and linking economic empowerment with care-sector development. Through BBE’s Community Care Network Pilot, women in rural parishes receive training in caregiving, business management, and digital literacy, enabling them to formalize home-based enterprises and participate in the emerging care economy.</w:t>
      </w:r>
    </w:p>
    <w:p w14:paraId="2B29C9CA" w14:textId="1510F9B5" w:rsidR="007058FF" w:rsidRPr="007058FF" w:rsidRDefault="007058FF" w:rsidP="00AC2F11">
      <w:pPr>
        <w:pStyle w:val="SingleTxtG"/>
        <w:numPr>
          <w:ilvl w:val="0"/>
          <w:numId w:val="28"/>
        </w:numPr>
        <w:ind w:left="1134" w:firstLine="0"/>
        <w:rPr>
          <w:iCs/>
        </w:rPr>
      </w:pPr>
      <w:r w:rsidRPr="007058FF">
        <w:rPr>
          <w:iCs/>
        </w:rPr>
        <w:t xml:space="preserve">Together, SAEP, BNTF, and BBE create an ecosystem of empowerment—addressing both immediate </w:t>
      </w:r>
      <w:r w:rsidRPr="00AC2F11">
        <w:t>livelihood</w:t>
      </w:r>
      <w:r w:rsidRPr="007058FF">
        <w:rPr>
          <w:iCs/>
        </w:rPr>
        <w:t xml:space="preserve"> security and structural gender inequalities that limit rural women’s participation in sustainable development.</w:t>
      </w:r>
    </w:p>
    <w:p w14:paraId="7D2F171B" w14:textId="23DB87E0" w:rsidR="007058FF" w:rsidRPr="007058FF" w:rsidRDefault="009A47ED" w:rsidP="009A47ED">
      <w:pPr>
        <w:pStyle w:val="H23G"/>
      </w:pPr>
      <w:r>
        <w:tab/>
      </w:r>
      <w:r>
        <w:tab/>
      </w:r>
      <w:r w:rsidR="007058FF" w:rsidRPr="007058FF">
        <w:t xml:space="preserve">Expanding </w:t>
      </w:r>
      <w:r w:rsidR="00C01BC8" w:rsidRPr="007058FF">
        <w:t>access to health, social, and justice services</w:t>
      </w:r>
    </w:p>
    <w:p w14:paraId="12966704" w14:textId="3E46AA27" w:rsidR="007058FF" w:rsidRPr="007058FF" w:rsidRDefault="007058FF" w:rsidP="00AC2F11">
      <w:pPr>
        <w:pStyle w:val="SingleTxtG"/>
        <w:numPr>
          <w:ilvl w:val="0"/>
          <w:numId w:val="28"/>
        </w:numPr>
        <w:ind w:left="1134" w:firstLine="0"/>
      </w:pPr>
      <w:r w:rsidRPr="007058FF">
        <w:t>Access to essential services has been strengthened through a multi-sectoral network coordinated by the Division of Gender and Family Affairs (DGFA) within the Ministry of Social and Community Development. The Division’s social work officers deliver outreach in all parishes, ensuring that women in remote communities can access psychosocial counselling, social protection, and referral services.</w:t>
      </w:r>
    </w:p>
    <w:p w14:paraId="2EFAAFD7" w14:textId="5E1B02C6" w:rsidR="007058FF" w:rsidRPr="007058FF" w:rsidRDefault="007058FF" w:rsidP="00AC2F11">
      <w:pPr>
        <w:pStyle w:val="SingleTxtG"/>
        <w:numPr>
          <w:ilvl w:val="0"/>
          <w:numId w:val="28"/>
        </w:numPr>
        <w:ind w:left="1134" w:firstLine="0"/>
      </w:pPr>
      <w:r w:rsidRPr="007058FF">
        <w:t>The Ministry of Health has expanded mobile and community health services through its Primary Health Care Renewal Initiative, improving access to reproductive health, cancer screening, and maternal care for women in rural areas. Collaboration with the Grenada Planned Parenthood Association (GPPA) and faith-based organizations has strengthened outreach and family planning support.</w:t>
      </w:r>
    </w:p>
    <w:p w14:paraId="62388519" w14:textId="6BC11FAF" w:rsidR="007058FF" w:rsidRPr="007058FF" w:rsidRDefault="007058FF" w:rsidP="00AC2F11">
      <w:pPr>
        <w:pStyle w:val="SingleTxtG"/>
        <w:numPr>
          <w:ilvl w:val="0"/>
          <w:numId w:val="28"/>
        </w:numPr>
        <w:ind w:left="1134" w:firstLine="0"/>
      </w:pPr>
      <w:r w:rsidRPr="007058FF">
        <w:t xml:space="preserve">The Legal Aid and Counselling Clinic (LACC) continues to enhance rural women’s access to justice through mobile legal clinics, rights-awareness sessions, and representation in family and property matters. These efforts ensure that women can exercise their rights under national legislation such as the </w:t>
      </w:r>
      <w:r w:rsidRPr="007058FF">
        <w:rPr>
          <w:i/>
          <w:iCs/>
        </w:rPr>
        <w:t>Domestic Violence Act (2010)</w:t>
      </w:r>
      <w:r w:rsidRPr="007058FF">
        <w:t xml:space="preserve"> and the </w:t>
      </w:r>
      <w:r w:rsidRPr="007058FF">
        <w:rPr>
          <w:i/>
          <w:iCs/>
        </w:rPr>
        <w:t>Employment Act (1999)</w:t>
      </w:r>
      <w:r w:rsidRPr="007058FF">
        <w:t>.</w:t>
      </w:r>
    </w:p>
    <w:p w14:paraId="41A82DAD" w14:textId="4E8ED3AC" w:rsidR="007058FF" w:rsidRPr="007058FF" w:rsidRDefault="009A47ED" w:rsidP="009A47ED">
      <w:pPr>
        <w:pStyle w:val="H23G"/>
      </w:pPr>
      <w:r>
        <w:lastRenderedPageBreak/>
        <w:tab/>
      </w:r>
      <w:r>
        <w:tab/>
      </w:r>
      <w:r w:rsidR="007058FF" w:rsidRPr="007058FF">
        <w:t>Gender-</w:t>
      </w:r>
      <w:r w:rsidR="00C01BC8" w:rsidRPr="007058FF">
        <w:t>responsive climate and disaster management</w:t>
      </w:r>
    </w:p>
    <w:p w14:paraId="6BED2C1F" w14:textId="3703C160" w:rsidR="007058FF" w:rsidRPr="007058FF" w:rsidRDefault="007058FF" w:rsidP="00AC2F11">
      <w:pPr>
        <w:pStyle w:val="SingleTxtG"/>
        <w:numPr>
          <w:ilvl w:val="0"/>
          <w:numId w:val="28"/>
        </w:numPr>
        <w:ind w:left="1134" w:firstLine="0"/>
      </w:pPr>
      <w:r w:rsidRPr="007058FF">
        <w:t>The Ministry of Climate Resilience, the Environment and Renewable Energy and the National Disaster Management Agency (NaDMA) have incorporated gender-responsive analysis into national climate and disaster risk frameworks. Rural women have been systematically included in community emergency response teams (CERTs) and local disaster committees, where they serve in leadership roles on food security, shelter management, and community mobilization.</w:t>
      </w:r>
    </w:p>
    <w:p w14:paraId="04C29F25" w14:textId="1AD6BE3B" w:rsidR="007058FF" w:rsidRPr="007058FF" w:rsidRDefault="007058FF" w:rsidP="00AC2F11">
      <w:pPr>
        <w:pStyle w:val="SingleTxtG"/>
        <w:numPr>
          <w:ilvl w:val="0"/>
          <w:numId w:val="28"/>
        </w:numPr>
        <w:ind w:left="1134" w:firstLine="0"/>
      </w:pPr>
      <w:r w:rsidRPr="007058FF">
        <w:t>Through the Gender Mainstreaming in Disaster Risk Management Initiative, developed in partnership with the UNDRR and CARICOM, training sessions were conducted with over 120 rural women on disaster preparedness, early warning systems, and climate adaptation planning. These activities align with the Sendai Framework for Disaster Risk Reduction, ensuring that gender perspectives inform local preparedness and recovery mechanisms.</w:t>
      </w:r>
    </w:p>
    <w:p w14:paraId="396007EA" w14:textId="6C139030" w:rsidR="007058FF" w:rsidRPr="007058FF" w:rsidRDefault="009A47ED" w:rsidP="009A47ED">
      <w:pPr>
        <w:pStyle w:val="H23G"/>
      </w:pPr>
      <w:r>
        <w:tab/>
      </w:r>
      <w:r>
        <w:tab/>
      </w:r>
      <w:r w:rsidR="007058FF" w:rsidRPr="007058FF">
        <w:t xml:space="preserve">Impact and </w:t>
      </w:r>
      <w:r w:rsidR="00AF7657" w:rsidRPr="007058FF">
        <w:t>continuing priorities</w:t>
      </w:r>
    </w:p>
    <w:p w14:paraId="341C5BB3" w14:textId="5DAB75F9" w:rsidR="007058FF" w:rsidRPr="007058FF" w:rsidRDefault="007058FF" w:rsidP="00AC2F11">
      <w:pPr>
        <w:pStyle w:val="SingleTxtG"/>
        <w:numPr>
          <w:ilvl w:val="0"/>
          <w:numId w:val="28"/>
        </w:numPr>
        <w:ind w:left="1134" w:firstLine="0"/>
        <w:rPr>
          <w:b/>
          <w:bCs/>
          <w:iCs/>
        </w:rPr>
      </w:pPr>
      <w:r w:rsidRPr="007058FF">
        <w:t>Grenada’s integrated approach—linking social protection, livelihood development, climate resilience, and the strengthening of the care economy—has produced measurable benefits for rural women across the tri-island state. Women now account for 55 percent of all SEED beneficiaries, with 45 percent of persons with disabilities supported through the programme being female, demonstrating the programme’s commitment to inclusion and equality. Through the Climate-Smart Agriculture and Rural Enterprise Programme (SAEP), more than 1,200 rural women have been trained, of whom 400 have adopted climate-smart agricultural practices, leading to improved food security and income stability. Additionally, over 550 women entrepreneurs have accessed enterprise financing and technical training, enabling them to expand small businesses in agro-processing, retail, and community services. The Basic Needs Trust Fund (BNTF) and the Build Back Equal (BBE) project have further contributed by developing gender-responsive infrastructure and social care programmes that reduce women’s unpaid care burdens and improve access to resources and services. At the community level, women’s participation and leadership have grown significantly in disaster management and agricultural decision-making processes, reinforcing resilience and inclusive governance.</w:t>
      </w:r>
    </w:p>
    <w:p w14:paraId="3EF6A4A4" w14:textId="4D1478B5" w:rsidR="007058FF" w:rsidRPr="007058FF" w:rsidRDefault="007058FF" w:rsidP="00AC2F11">
      <w:pPr>
        <w:pStyle w:val="SingleTxtG"/>
        <w:numPr>
          <w:ilvl w:val="0"/>
          <w:numId w:val="28"/>
        </w:numPr>
        <w:ind w:left="1134" w:firstLine="0"/>
        <w:rPr>
          <w:b/>
          <w:bCs/>
        </w:rPr>
      </w:pPr>
      <w:r w:rsidRPr="007058FF">
        <w:t>Grenada’s sustained commitment to advancing the rights of rural women reflects a comprehensive and intersectional approach rooted in economic empowerment, environmental sustainability, and social justice. Through initiatives such as SEED, SAEP, BNTF, and BBE, the Government continues to reduce rural poverty, strengthen climate resilience, and expand opportunities for women’s leadership and participation. These measures align with CEDAW Article 14, the Montevideo Strategy, and the Belém do Pará Convention, affirming Grenada’s dedication to ensuring that all women—especially those in rural communities—can live with dignity, equality, and economic independence.</w:t>
      </w:r>
    </w:p>
    <w:p w14:paraId="15553815" w14:textId="324484DC" w:rsidR="007058FF" w:rsidRPr="007058FF" w:rsidRDefault="009A47ED" w:rsidP="00AF7657">
      <w:pPr>
        <w:pStyle w:val="H1G"/>
      </w:pPr>
      <w:r>
        <w:tab/>
      </w:r>
      <w:r>
        <w:tab/>
      </w:r>
      <w:r w:rsidR="007058FF" w:rsidRPr="007058FF">
        <w:t>Refugee women</w:t>
      </w:r>
    </w:p>
    <w:p w14:paraId="0155348E" w14:textId="48851786" w:rsidR="007058FF" w:rsidRPr="007058FF" w:rsidRDefault="007058FF" w:rsidP="00AC2F11">
      <w:pPr>
        <w:pStyle w:val="SingleTxtG"/>
        <w:numPr>
          <w:ilvl w:val="0"/>
          <w:numId w:val="28"/>
        </w:numPr>
        <w:ind w:left="1134" w:firstLine="0"/>
      </w:pPr>
      <w:r w:rsidRPr="007058FF">
        <w:t>Grenada recognizes the importance of ensuring full protection of human rights for all persons within its jurisdiction, including asylum seekers, refugees, and stateless persons. The Government is looking into the feasibility of acceding to the 1951 Convention relating to the Status of Refugees and its 1967 Protocol, as well as the 1954 Convention relating to the Status of Stateless Persons and the 1961 Convention on the Reduction of Statelessness, in accordance with the Committee’s recommendation.</w:t>
      </w:r>
    </w:p>
    <w:p w14:paraId="3CCDE488" w14:textId="578784EF" w:rsidR="007058FF" w:rsidRPr="007058FF" w:rsidRDefault="007058FF" w:rsidP="00AC2F11">
      <w:pPr>
        <w:pStyle w:val="SingleTxtG"/>
        <w:numPr>
          <w:ilvl w:val="0"/>
          <w:numId w:val="28"/>
        </w:numPr>
        <w:ind w:left="1134" w:firstLine="0"/>
      </w:pPr>
      <w:r w:rsidRPr="007058FF">
        <w:t xml:space="preserve">Although Grenada has not yet enacted specific refugee or asylum legislation, the principles of non-discrimination and equal protection before the law are guaranteed under </w:t>
      </w:r>
      <w:r w:rsidRPr="007058FF">
        <w:rPr>
          <w:i/>
          <w:iCs/>
        </w:rPr>
        <w:t>Sections 1 and 13 of the Constitution of Grenada (1973)</w:t>
      </w:r>
      <w:r w:rsidRPr="007058FF">
        <w:t>, which safeguard the fundamental rights and freedoms of all persons irrespective of sex, race, origin, or political opinion. These constitutional provisions serve as the primary legal basis through which the State extends humanitarian consideration to individuals in need of protection.</w:t>
      </w:r>
    </w:p>
    <w:p w14:paraId="41C5110C" w14:textId="640EFBEC" w:rsidR="007058FF" w:rsidRPr="007058FF" w:rsidRDefault="007058FF" w:rsidP="00AC2F11">
      <w:pPr>
        <w:pStyle w:val="SingleTxtG"/>
        <w:numPr>
          <w:ilvl w:val="0"/>
          <w:numId w:val="28"/>
        </w:numPr>
        <w:ind w:left="1134" w:firstLine="0"/>
      </w:pPr>
      <w:r w:rsidRPr="007058FF">
        <w:lastRenderedPageBreak/>
        <w:t xml:space="preserve">In practice, Grenada applies a case-by-case humanitarian approach to persons seeking protection or residency on its territory. Immigration and border-management procedures are guided by the </w:t>
      </w:r>
      <w:r w:rsidRPr="00AC2F11">
        <w:t>Immigration</w:t>
      </w:r>
      <w:r w:rsidRPr="007058FF">
        <w:rPr>
          <w:i/>
          <w:iCs/>
        </w:rPr>
        <w:t xml:space="preserve"> Act (Cap. 145)</w:t>
      </w:r>
      <w:r w:rsidRPr="007058FF">
        <w:t xml:space="preserve"> and the </w:t>
      </w:r>
      <w:r w:rsidRPr="007058FF">
        <w:rPr>
          <w:i/>
          <w:iCs/>
        </w:rPr>
        <w:t>Aliens (Land-Holding Regulation) Act (Cap. 13),</w:t>
      </w:r>
      <w:r w:rsidRPr="007058FF">
        <w:t xml:space="preserve"> which provide discretionary powers to the Minister of National Security to issue temporary residence permits, humanitarian stay, or work authorization in exceptional circumstances. This flexible administrative practice allows Grenada to respond compassionately to vulnerable individuals—including women and children fleeing violence or instability—while balancing national security and social capacity considerations.</w:t>
      </w:r>
    </w:p>
    <w:p w14:paraId="402BBDEB" w14:textId="00731633" w:rsidR="007058FF" w:rsidRPr="007058FF" w:rsidRDefault="007058FF" w:rsidP="00AC2F11">
      <w:pPr>
        <w:pStyle w:val="SingleTxtG"/>
        <w:numPr>
          <w:ilvl w:val="0"/>
          <w:numId w:val="28"/>
        </w:numPr>
        <w:ind w:left="1134" w:firstLine="0"/>
      </w:pPr>
      <w:r w:rsidRPr="007058FF">
        <w:t>Grenada continues to cooperate closely with the United Nations High Commissioner for Refugees (UNHCR) and the Organization of American States (OAS) to strengthen national mechanisms for protection. In 2023, Grenada participated in the UNHCR Caribbean Consultations on Statelessness, reaffirming its commitment to the regional roadmap toward the eradication of statelessness by 2030. The Government is also reviewing model legislation developed by the Caribbean Community (CARICOM) and UNHCR to inform the eventual establishment of a national asylum and refugee determination procedure, and to ensure compliance with international standards for protection and due process.</w:t>
      </w:r>
    </w:p>
    <w:p w14:paraId="6921C1ED" w14:textId="12208D0F" w:rsidR="007058FF" w:rsidRPr="007058FF" w:rsidRDefault="007058FF" w:rsidP="00AC2F11">
      <w:pPr>
        <w:pStyle w:val="SingleTxtG"/>
        <w:numPr>
          <w:ilvl w:val="0"/>
          <w:numId w:val="28"/>
        </w:numPr>
        <w:ind w:left="1134" w:firstLine="0"/>
      </w:pPr>
      <w:r w:rsidRPr="007058FF">
        <w:t>At present, Grenada hosts a small number of non-citizens—approximately 4.2 % of the total population—primarily from neighbouring Caribbean and Latin American countries. While there are no recorded large-scale asylum claims, the Government recognizes that women migrants and asylum seekers are particularly vulnerable to exploitation and gender-based violence. In response, Grenada has strengthened coordination between the Royal Grenada Police Force (RGPF), the Gender-Based Violence Unit (GBVU), and social services to provide access to shelter, counselling, and legal aid for all survivors of violence, irrespective of nationality or legal status.</w:t>
      </w:r>
    </w:p>
    <w:p w14:paraId="22683A03" w14:textId="610972AC" w:rsidR="007058FF" w:rsidRPr="007058FF" w:rsidRDefault="007058FF" w:rsidP="00AC2F11">
      <w:pPr>
        <w:pStyle w:val="SingleTxtG"/>
        <w:numPr>
          <w:ilvl w:val="0"/>
          <w:numId w:val="28"/>
        </w:numPr>
        <w:ind w:left="1134" w:firstLine="0"/>
      </w:pPr>
      <w:r w:rsidRPr="007058FF">
        <w:t>In alignment with its broader human-rights commitments, Grenada’s National Human Rights Action Plan (draft) and the National Gender Equality Policy and Action Plan (GEPAP 2014–2024) emphasize inclusive protection and non-discrimination. These frameworks seek to ensure that migrant, refugee, and stateless women are included in national policies on social protection, education, and healthcare, consistent with Article 2(f) of the Convention and the Montevideo Strategy’s priority 3 on equality and citizenship.</w:t>
      </w:r>
    </w:p>
    <w:p w14:paraId="1386538B" w14:textId="258CD35E" w:rsidR="007058FF" w:rsidRPr="007058FF" w:rsidRDefault="007058FF" w:rsidP="00AC2F11">
      <w:pPr>
        <w:pStyle w:val="SingleTxtG"/>
        <w:numPr>
          <w:ilvl w:val="0"/>
          <w:numId w:val="28"/>
        </w:numPr>
        <w:ind w:left="1134" w:firstLine="0"/>
      </w:pPr>
      <w:r w:rsidRPr="007058FF">
        <w:t>The Government continues to benefit from technical assistance from regional partners and UN agencies in reviewing migration governance. Consultations are ongoing with UNHCR and the International Organization for Migration (IOM) to assess legislative and institutional readiness for accession to the four refugee and statelessness conventions. As part of this process, Grenada is also examining how to integrate gender-responsive safeguards—such as protection from gender-based persecution, access to reproductive healthcare, and child protection protocols—into any future asylum legislation.</w:t>
      </w:r>
    </w:p>
    <w:p w14:paraId="233FB5CB" w14:textId="39E01E65" w:rsidR="007058FF" w:rsidRPr="007058FF" w:rsidRDefault="007058FF" w:rsidP="00AC2F11">
      <w:pPr>
        <w:pStyle w:val="SingleTxtG"/>
        <w:numPr>
          <w:ilvl w:val="0"/>
          <w:numId w:val="28"/>
        </w:numPr>
        <w:ind w:left="1134" w:firstLine="0"/>
      </w:pPr>
      <w:r w:rsidRPr="007058FF">
        <w:t>In the interim, Grenada remains guided by humanitarian principles and its obligations under the Universal Declaration of Human Rights, the American Declaration of the Rights and Duties of Man, and the Charter of the Organization of American States. The Government reiterates its willingness to continue engaging with UNHCR, CARICOM, and civil-society organizations to develop a coherent national refugee and statelessness framework that ensures equal treatment and dignity for all women and men, in accordance with international norms.</w:t>
      </w:r>
    </w:p>
    <w:p w14:paraId="5E2DEC5C" w14:textId="641FABC8" w:rsidR="007058FF" w:rsidRPr="007058FF" w:rsidRDefault="007058FF" w:rsidP="00AC2F11">
      <w:pPr>
        <w:pStyle w:val="SingleTxtG"/>
        <w:numPr>
          <w:ilvl w:val="0"/>
          <w:numId w:val="28"/>
        </w:numPr>
        <w:ind w:left="1134" w:firstLine="0"/>
      </w:pPr>
      <w:r w:rsidRPr="007058FF">
        <w:t>Grenada has not yet acceded to the four core conventions on refugees and stateless persons, but it has taken concrete steps toward legislative review, policy dialogue, and institutional readiness. The State’s current humanitarian practice, grounded in constitutional protections, allows for compassionate case management and access to essential services for vulnerable non-citizens. Through ongoing technical cooperation with UNHCR, IOM, and OAS, Grenada aims to progressively establish a national asylum procedure that integrates a gender-responsive, rights-based approach—ensuring that refugee and stateless women are protected from discrimination and able to exercise their full human rights in accordance with the Convention on the Elimination of All Forms of Discrimination against Women.</w:t>
      </w:r>
    </w:p>
    <w:p w14:paraId="22D1676E" w14:textId="6ECB9686" w:rsidR="007058FF" w:rsidRPr="007058FF" w:rsidRDefault="004E2376" w:rsidP="004E2376">
      <w:pPr>
        <w:pStyle w:val="H1G"/>
      </w:pPr>
      <w:r>
        <w:lastRenderedPageBreak/>
        <w:tab/>
      </w:r>
      <w:r>
        <w:tab/>
      </w:r>
      <w:r w:rsidR="007058FF" w:rsidRPr="007058FF">
        <w:t>Article 15: Marriage and family relations</w:t>
      </w:r>
    </w:p>
    <w:p w14:paraId="5679B0EA" w14:textId="232876E6" w:rsidR="007058FF" w:rsidRPr="007058FF" w:rsidRDefault="007058FF" w:rsidP="00AC2F11">
      <w:pPr>
        <w:pStyle w:val="SingleTxtG"/>
        <w:numPr>
          <w:ilvl w:val="0"/>
          <w:numId w:val="28"/>
        </w:numPr>
        <w:ind w:left="1134" w:firstLine="0"/>
      </w:pPr>
      <w:r w:rsidRPr="007058FF">
        <w:t>Grenada’s framework for marriage and family relations is grounded in its constitutional guarantees of equality and non-discrimination and supported by progressive legislative measures that advance gender justice and protect family life. Building on the Domestic Violence Act (2010), the Child Protection Act (2010), and the Employment Act (1999), the State has continued to modernize its legal and policy instruments to align with CEDAW, the Convention of Belém do Pará (1994), and the Montevideo Strategy, ensuring that women—irrespective of marital status—benefit from equal protection, shared responsibility, and full participation in family and community life.</w:t>
      </w:r>
    </w:p>
    <w:p w14:paraId="6EF2BC9D" w14:textId="34E6E603" w:rsidR="007058FF" w:rsidRPr="007058FF" w:rsidRDefault="005B2547" w:rsidP="005B2547">
      <w:pPr>
        <w:pStyle w:val="H23G"/>
      </w:pPr>
      <w:r>
        <w:tab/>
      </w:r>
      <w:r>
        <w:tab/>
      </w:r>
      <w:r w:rsidR="007058FF" w:rsidRPr="007058FF">
        <w:t xml:space="preserve">Addressing </w:t>
      </w:r>
      <w:r w:rsidR="00586CC9" w:rsidRPr="007058FF">
        <w:t>stereotypes and strengthening protection for all family forms</w:t>
      </w:r>
    </w:p>
    <w:p w14:paraId="795096B2" w14:textId="37AFA3DA" w:rsidR="007058FF" w:rsidRPr="007058FF" w:rsidRDefault="007058FF" w:rsidP="00AC2F11">
      <w:pPr>
        <w:pStyle w:val="SingleTxtG"/>
        <w:numPr>
          <w:ilvl w:val="0"/>
          <w:numId w:val="28"/>
        </w:numPr>
        <w:ind w:left="1134" w:firstLine="0"/>
      </w:pPr>
      <w:r w:rsidRPr="007058FF">
        <w:t xml:space="preserve">Grenada has sustained public education and advocacy to eliminate gender stereotypes that reinforce traditional roles of men and women within families. Through initiatives under the Spotlight Initiative (2020–2023), the Division of Gender and Family Affairs (DGFA), and the Parenting Education Unit, nationwide campaigns such as </w:t>
      </w:r>
      <w:r w:rsidRPr="007058FF">
        <w:rPr>
          <w:i/>
          <w:iCs/>
        </w:rPr>
        <w:t>“Break the Silence”</w:t>
      </w:r>
      <w:r w:rsidRPr="007058FF">
        <w:t xml:space="preserve"> and </w:t>
      </w:r>
      <w:r w:rsidRPr="007058FF">
        <w:rPr>
          <w:i/>
          <w:iCs/>
        </w:rPr>
        <w:t>“Men as Partners in Change”</w:t>
      </w:r>
      <w:r w:rsidRPr="007058FF">
        <w:t xml:space="preserve"> promoted equitable family roles, shared parenting, and non-violent conflict resolution. These actions have been institutionalized through the Sustainability Plan for the Spotlight Initiative (2024), which identifies “harmful gender norms eradicated” as a key transformational outcome and commits to ongoing awareness and legislative enforcement to end all forms of family violence.</w:t>
      </w:r>
    </w:p>
    <w:p w14:paraId="053A575D" w14:textId="7D39EB00" w:rsidR="007058FF" w:rsidRPr="007058FF" w:rsidRDefault="007058FF" w:rsidP="00AC2F11">
      <w:pPr>
        <w:pStyle w:val="SingleTxtG"/>
        <w:numPr>
          <w:ilvl w:val="0"/>
          <w:numId w:val="28"/>
        </w:numPr>
        <w:ind w:left="1134" w:firstLine="0"/>
      </w:pPr>
      <w:r w:rsidRPr="007058FF">
        <w:t>Legal protections have also been strengthened through the Domestic Violence Act (2010), which extends coverage beyond legally married spouses to include common-law and visiting relationships, ensuring that women in de facto unions are equally protected under the law. The Act provides for protection orders, occupation orders, and ancillary relief measures, allowing survivors to remain in or return to their homes and ensuring the safety of children.</w:t>
      </w:r>
    </w:p>
    <w:p w14:paraId="7FC86D72" w14:textId="014C2652" w:rsidR="007058FF" w:rsidRPr="007058FF" w:rsidRDefault="005B2547" w:rsidP="005B2547">
      <w:pPr>
        <w:pStyle w:val="H23G"/>
      </w:pPr>
      <w:r>
        <w:tab/>
      </w:r>
      <w:r>
        <w:tab/>
      </w:r>
      <w:r w:rsidR="007058FF" w:rsidRPr="007058FF">
        <w:t xml:space="preserve">Reforming </w:t>
      </w:r>
      <w:r w:rsidR="00586CC9" w:rsidRPr="007058FF">
        <w:t>family law and eliminating discriminatory provisions</w:t>
      </w:r>
    </w:p>
    <w:p w14:paraId="0B7F9B27" w14:textId="16DB206D" w:rsidR="007058FF" w:rsidRPr="007058FF" w:rsidRDefault="007058FF" w:rsidP="00AC2F11">
      <w:pPr>
        <w:pStyle w:val="SingleTxtG"/>
        <w:numPr>
          <w:ilvl w:val="0"/>
          <w:numId w:val="28"/>
        </w:numPr>
        <w:ind w:left="1134" w:firstLine="0"/>
      </w:pPr>
      <w:r w:rsidRPr="007058FF">
        <w:t>The Policy to Guide Legislative Reform on Gender-Based Violence (2024) marks a significant milestone in Grenada’s ongoing efforts to modernize its family law framework and strengthen gender equality in the justice system. Developed collaboratively by the Cabinet Office Policy Unit, the Ministry of Legal Affairs, and UNICEF under the EU–UN Spotlight Initiative, the policy provides a comprehensive roadmap for legislative harmonization across the areas of family law, child protection, and gender-based violence. It identifies 17 priority draft bills aimed at closing legal gaps, ensuring compliance with international human rights obligations, and improving access to justice for women and girls.</w:t>
      </w:r>
    </w:p>
    <w:p w14:paraId="135A5B29" w14:textId="1A441378" w:rsidR="007058FF" w:rsidRPr="007058FF" w:rsidRDefault="007058FF" w:rsidP="00AC2F11">
      <w:pPr>
        <w:pStyle w:val="SingleTxtG"/>
        <w:numPr>
          <w:ilvl w:val="0"/>
          <w:numId w:val="28"/>
        </w:numPr>
        <w:ind w:left="1134" w:firstLine="0"/>
      </w:pPr>
      <w:r w:rsidRPr="007058FF">
        <w:t>Among the key reforms are proposed amendments to the Married Women’s Property Act (1896) and the Marriage Act (1903), which seek to eliminate outdated provisions that perpetuate gender inequality. These reforms aim to recognize the equal rights of spouses in property ownership and division, and to establish clear statutory criteria for valuing non-financial contributions—such as caregiving, domestic labour, and emotional support—as part of the family’s shared economic assets. In addition, the proposals would introduce legal recognition of common-law unions, ensuring that partners in such relationships have equitable rights to inheritance and maintenance. The policy also affirms Grenada’s continued commitment to maintaining 18 years as the minimum legal age of marriage, in alignment with obligations under the Convention on the Elimination of All Forms of Discrimination against Women (CEDAW) and the Convention on the Rights of the Child (CRC).</w:t>
      </w:r>
    </w:p>
    <w:p w14:paraId="08D65CAE" w14:textId="77D4E55D" w:rsidR="007058FF" w:rsidRPr="007058FF" w:rsidRDefault="007058FF" w:rsidP="00AC2F11">
      <w:pPr>
        <w:pStyle w:val="SingleTxtG"/>
        <w:numPr>
          <w:ilvl w:val="0"/>
          <w:numId w:val="28"/>
        </w:numPr>
        <w:ind w:left="1134" w:firstLine="0"/>
      </w:pPr>
      <w:r w:rsidRPr="007058FF">
        <w:t>A central focus of the legislative review is addressing inequities that arise under the existing common intention constructive trust doctrine, which has often disadvantaged women by denying them equitable interests in family property when financial contributions cannot be proven. The proposed amendments seek to codify more inclusive definitions of property ownership and to explicitly recognize women’s non-financial and reproductive labour as tangible contributions to household wealth and stability. This shift reflects Grenada’s broader move toward a gender-responsive justice system that values the social and economic roles of women within families and communities.</w:t>
      </w:r>
    </w:p>
    <w:p w14:paraId="0F3782FC" w14:textId="27C556AC" w:rsidR="007058FF" w:rsidRPr="007058FF" w:rsidRDefault="007058FF" w:rsidP="00AC2F11">
      <w:pPr>
        <w:pStyle w:val="SingleTxtG"/>
        <w:numPr>
          <w:ilvl w:val="0"/>
          <w:numId w:val="28"/>
        </w:numPr>
        <w:ind w:left="1134" w:firstLine="0"/>
      </w:pPr>
      <w:r w:rsidRPr="007058FF">
        <w:lastRenderedPageBreak/>
        <w:t>Once enacted, these reforms are expected to enhance women’s access to justice, provide fairer outcomes in property division and maintenance cases, and strengthen legal protections against gender-based discrimination in intimate and family relationships. Collectively, the proposed measures represent a transformative step toward achieving substantive equality and ensuring that Grenada’s family law framework aligns with international human rights standards and the principles of dignity, fairness, and non-discrimination.</w:t>
      </w:r>
    </w:p>
    <w:p w14:paraId="663FDD7A" w14:textId="4000DC55" w:rsidR="007058FF" w:rsidRPr="007058FF" w:rsidRDefault="00923830" w:rsidP="00923830">
      <w:pPr>
        <w:pStyle w:val="H23G"/>
      </w:pPr>
      <w:r>
        <w:tab/>
      </w:r>
      <w:r>
        <w:tab/>
      </w:r>
      <w:r w:rsidR="007058FF" w:rsidRPr="007058FF">
        <w:t xml:space="preserve">Strengthening </w:t>
      </w:r>
      <w:r w:rsidR="00586CC9" w:rsidRPr="007058FF">
        <w:t>parental education and shared responsibility</w:t>
      </w:r>
    </w:p>
    <w:p w14:paraId="6AB53C46" w14:textId="5FB65523" w:rsidR="007058FF" w:rsidRPr="007058FF" w:rsidRDefault="007058FF" w:rsidP="00AC2F11">
      <w:pPr>
        <w:pStyle w:val="SingleTxtG"/>
        <w:numPr>
          <w:ilvl w:val="0"/>
          <w:numId w:val="28"/>
        </w:numPr>
        <w:ind w:left="1134" w:firstLine="0"/>
      </w:pPr>
      <w:r w:rsidRPr="007058FF">
        <w:t>The Government has expanded parental education and support through the National Parenting Programme, the Parenting Education Unit, and the Men’s Bureau. These initiatives emphasize co-parenting, positive fatherhood, and gender-equitable caregiving, reaching over 1,200 parents annually across all parishes. Training sessions encourage shared decision-making and the equitable division of care responsibilities, reinforcing gender equality within households.</w:t>
      </w:r>
    </w:p>
    <w:p w14:paraId="4561253A" w14:textId="43D819B5" w:rsidR="007058FF" w:rsidRPr="007058FF" w:rsidRDefault="007058FF" w:rsidP="00AC2F11">
      <w:pPr>
        <w:pStyle w:val="SingleTxtG"/>
        <w:numPr>
          <w:ilvl w:val="0"/>
          <w:numId w:val="28"/>
        </w:numPr>
        <w:ind w:left="1134" w:firstLine="0"/>
      </w:pPr>
      <w:r w:rsidRPr="007058FF">
        <w:t>At the policy level, the Government’s National Care Policy Framework, developed under the Build Back Equal (BBE) project (2023–2025), aims to formalize care work, reduce unpaid labour burdens on women, and promote the shared responsibility of both parents in child and elder care. This policy forms part of Grenada’s broader commitment to the Montevideo Strategy’s pillar on “Sustainable Development with Equality” and SDG target 5.4 on valuing unpaid care and domestic work.</w:t>
      </w:r>
    </w:p>
    <w:p w14:paraId="70E50D83" w14:textId="4760580D" w:rsidR="007058FF" w:rsidRPr="007058FF" w:rsidRDefault="00923830" w:rsidP="00923830">
      <w:pPr>
        <w:pStyle w:val="H23G"/>
      </w:pPr>
      <w:r>
        <w:tab/>
      </w:r>
      <w:r>
        <w:tab/>
      </w:r>
      <w:r w:rsidR="007058FF" w:rsidRPr="007058FF">
        <w:t xml:space="preserve">Reforming </w:t>
      </w:r>
      <w:r w:rsidR="00586CC9" w:rsidRPr="007058FF">
        <w:t>child maintenance systems and access to justice</w:t>
      </w:r>
    </w:p>
    <w:p w14:paraId="3E4ADBB4" w14:textId="3625DC1C" w:rsidR="007058FF" w:rsidRPr="007058FF" w:rsidRDefault="007058FF" w:rsidP="00AC2F11">
      <w:pPr>
        <w:pStyle w:val="SingleTxtG"/>
        <w:numPr>
          <w:ilvl w:val="0"/>
          <w:numId w:val="28"/>
        </w:numPr>
        <w:ind w:left="1134" w:firstLine="0"/>
      </w:pPr>
      <w:r w:rsidRPr="007058FF">
        <w:t>Grenada continues to make incremental progress toward improving the fairness and timeliness of child maintenance and spousal support enforcement, recognizing their importance for advancing gender equality and family well-being. Within the ongoing Family Law and Child Protection Reform process, the Government has been examining options to strengthen procedures and reduce delays that affect women’s and children’s access to financial support.</w:t>
      </w:r>
    </w:p>
    <w:p w14:paraId="27DA2F60" w14:textId="641F08C8" w:rsidR="007058FF" w:rsidRPr="007058FF" w:rsidRDefault="007058FF" w:rsidP="00AC2F11">
      <w:pPr>
        <w:pStyle w:val="SingleTxtG"/>
        <w:numPr>
          <w:ilvl w:val="0"/>
          <w:numId w:val="28"/>
        </w:numPr>
        <w:ind w:left="1134" w:firstLine="0"/>
      </w:pPr>
      <w:r w:rsidRPr="007058FF">
        <w:t>The proposed measures under consideration include developing standardized guidelines for calculating maintenance obligations based on income levels and household composition and introducing timelines for hearing and determining maintenance cases to promote greater predictability in outcomes. Attention is also being given to enhancing the role of Family Court registrars in monitoring compliance and supporting enforcement, with the aim of improving efficiency and accessibility for applicants. In addition, revised penalty provisions are being explored to address willful non-compliance with court-ordered payments, including mechanisms that could facilitate recovery of arrears.</w:t>
      </w:r>
    </w:p>
    <w:p w14:paraId="6D088765" w14:textId="0F72505F" w:rsidR="007058FF" w:rsidRPr="007058FF" w:rsidRDefault="007058FF" w:rsidP="00AC2F11">
      <w:pPr>
        <w:pStyle w:val="SingleTxtG"/>
        <w:numPr>
          <w:ilvl w:val="0"/>
          <w:numId w:val="28"/>
        </w:numPr>
        <w:ind w:left="1134" w:firstLine="0"/>
      </w:pPr>
      <w:r w:rsidRPr="007058FF">
        <w:t>These proposed reforms respond to longstanding procedural and enforcement challenges highlighted in the Rapid Situation Analysis of Gender-Based Violence Services (2020) and reflect efforts to align Grenada’s legal framework more closely with the OECS Model Family Law Bills, which emphasize harmonized, gender-sensitive approaches to family justice. While implementation will depend on available resources and continued technical support, these actions represent part of Grenada’s broader process of modernizing its family law system and promoting equitable access to justice for women and children.</w:t>
      </w:r>
    </w:p>
    <w:p w14:paraId="3EC29F1D" w14:textId="73343354" w:rsidR="007058FF" w:rsidRPr="007058FF" w:rsidRDefault="00923830" w:rsidP="00923830">
      <w:pPr>
        <w:pStyle w:val="H23G"/>
      </w:pPr>
      <w:r>
        <w:tab/>
      </w:r>
      <w:r>
        <w:tab/>
      </w:r>
      <w:r w:rsidR="007058FF" w:rsidRPr="007058FF">
        <w:t xml:space="preserve">Sexual </w:t>
      </w:r>
      <w:r w:rsidR="00586CC9" w:rsidRPr="007058FF">
        <w:t>harassment and labour law protections</w:t>
      </w:r>
    </w:p>
    <w:p w14:paraId="17371BAF" w14:textId="2A064BEE" w:rsidR="007058FF" w:rsidRPr="007058FF" w:rsidRDefault="007058FF" w:rsidP="00AC2F11">
      <w:pPr>
        <w:pStyle w:val="SingleTxtG"/>
        <w:numPr>
          <w:ilvl w:val="0"/>
          <w:numId w:val="28"/>
        </w:numPr>
        <w:ind w:left="1134" w:firstLine="0"/>
      </w:pPr>
      <w:r w:rsidRPr="007058FF">
        <w:t xml:space="preserve">In the area of employment, Grenada’s </w:t>
      </w:r>
      <w:r w:rsidRPr="007058FF">
        <w:rPr>
          <w:i/>
          <w:iCs/>
        </w:rPr>
        <w:t>Employment Act (1999)</w:t>
      </w:r>
      <w:r w:rsidRPr="007058FF">
        <w:t xml:space="preserve"> provides the primary legal safeguard against workplace discrimination, expressly prohibiting unequal treatment on the grounds of sex, marital status, or family responsibilities. These provisions form an essential part of the national framework to promote fair labour practices and gender equality at work. Building on this foundation, the </w:t>
      </w:r>
      <w:r w:rsidRPr="007058FF">
        <w:rPr>
          <w:i/>
          <w:iCs/>
        </w:rPr>
        <w:t>Labour Code</w:t>
      </w:r>
      <w:r w:rsidRPr="007058FF">
        <w:t>, currently under review, is being examined with a view to strengthening protections against sexual harassment in the workplace and enhancing the mechanisms available for prevention, reporting, and redress.</w:t>
      </w:r>
    </w:p>
    <w:p w14:paraId="5079AF07" w14:textId="542D5D79" w:rsidR="007058FF" w:rsidRPr="007058FF" w:rsidRDefault="007058FF" w:rsidP="00AC2F11">
      <w:pPr>
        <w:pStyle w:val="SingleTxtG"/>
        <w:numPr>
          <w:ilvl w:val="0"/>
          <w:numId w:val="28"/>
        </w:numPr>
        <w:ind w:left="1134" w:firstLine="0"/>
      </w:pPr>
      <w:r w:rsidRPr="007058FF">
        <w:t xml:space="preserve">The proposed amendments seek to broaden the legal definition of sexual harassment to include not only physical and verbal acts but also non-physical and digital conduct that contributes to a hostile or intimidating environment. The review also contemplates </w:t>
      </w:r>
      <w:r w:rsidRPr="007058FF">
        <w:lastRenderedPageBreak/>
        <w:t>introducing explicit employer obligations to prevent harassment through workplace policies, training, and accessible complaint procedures, as well as establishing clear redress mechanisms for victims. Importantly, the proposed reforms aim to extend protection to workers in both the formal and informal sectors, including domestic employees and caregivers, who are often among the most vulnerable to exploitation and abuse.</w:t>
      </w:r>
    </w:p>
    <w:p w14:paraId="179BE42C" w14:textId="12CDF59A" w:rsidR="007058FF" w:rsidRPr="007058FF" w:rsidRDefault="007058FF" w:rsidP="00AC2F11">
      <w:pPr>
        <w:pStyle w:val="SingleTxtG"/>
        <w:numPr>
          <w:ilvl w:val="0"/>
          <w:numId w:val="28"/>
        </w:numPr>
        <w:ind w:left="1134" w:firstLine="0"/>
      </w:pPr>
      <w:r w:rsidRPr="007058FF">
        <w:t xml:space="preserve">These proposed changes are informed by recommendations under the </w:t>
      </w:r>
      <w:r w:rsidRPr="007058FF">
        <w:rPr>
          <w:i/>
          <w:iCs/>
        </w:rPr>
        <w:t>National Gender Equality Policy and Action Plan (GEPAP 2014–2024)</w:t>
      </w:r>
      <w:r w:rsidRPr="007058FF">
        <w:t xml:space="preserve"> and reflect ongoing efforts to align national labour legislation with regional and international standards, including those of the ILO and CEDAW. While work remains to translate these proposals into enacted law, the review process represents an important step toward a more inclusive and gender-responsive labour framework that prioritizes dignity, safety, and equality in all workplaces.</w:t>
      </w:r>
    </w:p>
    <w:p w14:paraId="0AB206E8" w14:textId="4A9A2ABF" w:rsidR="007058FF" w:rsidRPr="007058FF" w:rsidRDefault="00D97C35" w:rsidP="00D97C35">
      <w:pPr>
        <w:pStyle w:val="H23G"/>
      </w:pPr>
      <w:r>
        <w:tab/>
      </w:r>
      <w:r>
        <w:tab/>
      </w:r>
      <w:r w:rsidR="007058FF" w:rsidRPr="007058FF">
        <w:t xml:space="preserve">Strengthening </w:t>
      </w:r>
      <w:r w:rsidR="00586CC9" w:rsidRPr="007058FF">
        <w:t>institutional coordination and enforcement</w:t>
      </w:r>
    </w:p>
    <w:p w14:paraId="5404E3A2" w14:textId="10A46D18" w:rsidR="007058FF" w:rsidRPr="007058FF" w:rsidRDefault="007058FF" w:rsidP="00AC2F11">
      <w:pPr>
        <w:pStyle w:val="SingleTxtG"/>
        <w:numPr>
          <w:ilvl w:val="0"/>
          <w:numId w:val="28"/>
        </w:numPr>
        <w:ind w:left="1134" w:firstLine="0"/>
      </w:pPr>
      <w:r w:rsidRPr="007058FF">
        <w:t>The Gender-Based Violence Unit (GBVU) within the Division of Gender and Family Affairs, the Royal Grenada Police Force (RGPF), in coordination with the Legal Aid and Counselling Clinic (LACC) continues to deliver survivor-centered interventions. Through the National GBV Standard Operating Procedures (2022), service providers operate under unified protocols ensuring confidentiality, coordinated referral, and trauma-informed response. These procedures have been institutionalized under the Spotlight Initiative Sustainability Plan, ensuring that legal protection is complemented by psychosocial and social service support.</w:t>
      </w:r>
    </w:p>
    <w:p w14:paraId="6AEDF1AD" w14:textId="27EE9353" w:rsidR="007058FF" w:rsidRPr="007058FF" w:rsidRDefault="007058FF" w:rsidP="00AC2F11">
      <w:pPr>
        <w:pStyle w:val="SingleTxtG"/>
        <w:numPr>
          <w:ilvl w:val="0"/>
          <w:numId w:val="28"/>
        </w:numPr>
        <w:ind w:left="1134" w:firstLine="0"/>
      </w:pPr>
      <w:r w:rsidRPr="007058FF">
        <w:t>Grenada’s legislative reform agenda reflects a rights-based approach to marriage and family relations, anchored in CEDAW, the Convention of Belém do Pará, and the Montevideo Strategy. The modernization of family and labour laws, the expansion of survivor-centered services, and the promotion of shared parental responsibility collectively strengthen equality within the family and the wider society. As amendments to the Married Women’s Property Act, Marriage Act, and Labour Code advance through stakeholder consultations and drafting, Grenada remains steadfast in its commitment to ensuring that all women—regardless of marital or social status—enjoy equal rights, protection, and dignity in both public and private life.</w:t>
      </w:r>
    </w:p>
    <w:p w14:paraId="2DA19C29" w14:textId="5D2B1BD3" w:rsidR="007058FF" w:rsidRPr="007058FF" w:rsidRDefault="00D97C35" w:rsidP="00D97C35">
      <w:pPr>
        <w:pStyle w:val="HChG"/>
      </w:pPr>
      <w:r>
        <w:tab/>
      </w:r>
      <w:r w:rsidR="00B376D5">
        <w:tab/>
      </w:r>
      <w:r w:rsidR="00B376D5">
        <w:tab/>
      </w:r>
      <w:r w:rsidR="007058FF" w:rsidRPr="007058FF">
        <w:t>Factors and challenges affecting the fulfilment of obligations under the Convention</w:t>
      </w:r>
    </w:p>
    <w:p w14:paraId="2BF0A6C4" w14:textId="2F8BB0A6" w:rsidR="007058FF" w:rsidRPr="007058FF" w:rsidRDefault="007058FF" w:rsidP="00AC2F11">
      <w:pPr>
        <w:pStyle w:val="SingleTxtG"/>
        <w:numPr>
          <w:ilvl w:val="0"/>
          <w:numId w:val="28"/>
        </w:numPr>
        <w:ind w:left="1134" w:firstLine="0"/>
      </w:pPr>
      <w:r w:rsidRPr="007058FF">
        <w:t>While acknowledging the progress achieved during the reporting period, Grenada recognizes that significant challenges remain in the full and effective implementation of the Convention. These challenges reflect structural constraints, persistent social norms, and institutional gaps that continue to hinder the realization of substantive equality between women and men, in line with articles 1–16 of the Convention.</w:t>
      </w:r>
    </w:p>
    <w:p w14:paraId="4A3A66D3" w14:textId="36E0FFB5" w:rsidR="007058FF" w:rsidRPr="007058FF" w:rsidRDefault="00D97C35" w:rsidP="0063240F">
      <w:pPr>
        <w:pStyle w:val="H1G"/>
      </w:pPr>
      <w:r>
        <w:tab/>
      </w:r>
      <w:r>
        <w:tab/>
      </w:r>
      <w:r w:rsidR="007058FF" w:rsidRPr="007058FF">
        <w:t xml:space="preserve">Delays in </w:t>
      </w:r>
      <w:r w:rsidR="0063240F" w:rsidRPr="007058FF">
        <w:t xml:space="preserve">legislative alignment and incorporation of the </w:t>
      </w:r>
      <w:r w:rsidR="007058FF" w:rsidRPr="007058FF">
        <w:t>Convention</w:t>
      </w:r>
    </w:p>
    <w:p w14:paraId="3D877A47" w14:textId="29A5566B" w:rsidR="007058FF" w:rsidRPr="007058FF" w:rsidRDefault="007058FF" w:rsidP="00AC2F11">
      <w:pPr>
        <w:pStyle w:val="SingleTxtG"/>
        <w:numPr>
          <w:ilvl w:val="0"/>
          <w:numId w:val="28"/>
        </w:numPr>
        <w:ind w:left="1134" w:firstLine="0"/>
      </w:pPr>
      <w:r w:rsidRPr="007058FF">
        <w:t>The State party notes that, notwithstanding ongoing reform efforts, delays persist in the enactment of comprehensive legislation necessary to fully align the domestic legal framework with the Convention. In particular, the absence of comprehensive sexual harassment legislation, outstanding amendments to sexual offences laws, and the limited constitutional entrenchment of the principle of substantive equality constrain the direct applicability and justiciability of women’s rights under the Convention. These gaps reduce legal certainty and limit women’s effective access to remedies for discrimination.</w:t>
      </w:r>
    </w:p>
    <w:p w14:paraId="4AB4BFA0" w14:textId="444FA789" w:rsidR="007058FF" w:rsidRPr="007058FF" w:rsidRDefault="00D97C35" w:rsidP="0063240F">
      <w:pPr>
        <w:pStyle w:val="H1G"/>
      </w:pPr>
      <w:r>
        <w:tab/>
      </w:r>
      <w:r>
        <w:tab/>
      </w:r>
      <w:r w:rsidR="007058FF" w:rsidRPr="007058FF">
        <w:t xml:space="preserve">Capacity </w:t>
      </w:r>
      <w:r w:rsidR="0063240F" w:rsidRPr="007058FF">
        <w:t xml:space="preserve">constraints within the </w:t>
      </w:r>
      <w:r w:rsidR="003D2CA5" w:rsidRPr="007058FF">
        <w:t>National Gender Machinery</w:t>
      </w:r>
    </w:p>
    <w:p w14:paraId="13283B03" w14:textId="6376D66B" w:rsidR="007058FF" w:rsidRPr="007058FF" w:rsidRDefault="007058FF" w:rsidP="00AC2F11">
      <w:pPr>
        <w:pStyle w:val="SingleTxtG"/>
        <w:numPr>
          <w:ilvl w:val="0"/>
          <w:numId w:val="28"/>
        </w:numPr>
        <w:ind w:left="1134" w:firstLine="0"/>
      </w:pPr>
      <w:r w:rsidRPr="007058FF">
        <w:t xml:space="preserve">Despite strengthened coordination mechanisms, the National Gender Machinery continues to face challenges related to limited human, technical, and financial resources. These constraints affect its ability to effectively coordinate, monitor, and evaluate the </w:t>
      </w:r>
      <w:r w:rsidRPr="007058FF">
        <w:lastRenderedPageBreak/>
        <w:t>implementation of gender equality commitments across all sectors and levels of government. Inconsistent integration of gender-responsive planning, budgeting, and accountability frameworks across ministries further impedes the systematic implementation of the Convention.</w:t>
      </w:r>
    </w:p>
    <w:p w14:paraId="096CAC6C" w14:textId="09AA76C8" w:rsidR="007058FF" w:rsidRPr="007058FF" w:rsidRDefault="00D97C35" w:rsidP="003D2CA5">
      <w:pPr>
        <w:pStyle w:val="H1G"/>
      </w:pPr>
      <w:r>
        <w:tab/>
      </w:r>
      <w:r>
        <w:tab/>
      </w:r>
      <w:r w:rsidR="007058FF" w:rsidRPr="007058FF">
        <w:t xml:space="preserve">Insufficient </w:t>
      </w:r>
      <w:r w:rsidR="003D2CA5" w:rsidRPr="007058FF">
        <w:t>availability of disaggregated data</w:t>
      </w:r>
    </w:p>
    <w:p w14:paraId="291F65E8" w14:textId="3A6037AF" w:rsidR="007058FF" w:rsidRPr="007058FF" w:rsidRDefault="007058FF" w:rsidP="00AC2F11">
      <w:pPr>
        <w:pStyle w:val="SingleTxtG"/>
        <w:numPr>
          <w:ilvl w:val="0"/>
          <w:numId w:val="28"/>
        </w:numPr>
        <w:ind w:left="1134" w:firstLine="0"/>
      </w:pPr>
      <w:r w:rsidRPr="007058FF">
        <w:t>The State party remains concerned by persistent gaps in the collection, analysis, and use of sex-disaggregated and intersectional data, including data disaggregated by age, disability, geographic location, and socioeconomic status. These gaps limit the State’s ability to assess the impact of laws, policies, and programmes on women facing multiple and intersecting forms of discrimination, including women with disabilities, rural women, adolescent girls, migrant women, and older women.</w:t>
      </w:r>
    </w:p>
    <w:p w14:paraId="34953160" w14:textId="41E3883F" w:rsidR="007058FF" w:rsidRPr="007058FF" w:rsidRDefault="00D97C35" w:rsidP="003D2CA5">
      <w:pPr>
        <w:pStyle w:val="H1G"/>
      </w:pPr>
      <w:r>
        <w:tab/>
      </w:r>
      <w:r>
        <w:tab/>
      </w:r>
      <w:r w:rsidR="007058FF" w:rsidRPr="007058FF">
        <w:t xml:space="preserve">Persistence of </w:t>
      </w:r>
      <w:r w:rsidR="003D2CA5" w:rsidRPr="007058FF">
        <w:t>discriminatory social norms and gender stereotypes</w:t>
      </w:r>
    </w:p>
    <w:p w14:paraId="5A93FD46" w14:textId="7962F964" w:rsidR="007058FF" w:rsidRPr="007058FF" w:rsidRDefault="007058FF" w:rsidP="00AC2F11">
      <w:pPr>
        <w:pStyle w:val="SingleTxtG"/>
        <w:numPr>
          <w:ilvl w:val="0"/>
          <w:numId w:val="28"/>
        </w:numPr>
        <w:ind w:left="1134" w:firstLine="0"/>
      </w:pPr>
      <w:r w:rsidRPr="007058FF">
        <w:t>Deeply entrenched patriarchal attitudes and gender stereotypes continue to affect women’s enjoyment of their rights, particularly in relation to leadership, economic participation, caregiving roles, and bodily autonomy. Despite sustained awareness-raising and behaviour-change initiatives, such stereotypes continue to normalize unequal power relations and contribute to the persistence of gender-based violence, unequal division of unpaid care work, and resistance to women’s participation in decision-making at all levels.</w:t>
      </w:r>
    </w:p>
    <w:p w14:paraId="7A68589E" w14:textId="08CA16E1" w:rsidR="007058FF" w:rsidRPr="007058FF" w:rsidRDefault="00D97C35" w:rsidP="003D2CA5">
      <w:pPr>
        <w:pStyle w:val="H1G"/>
      </w:pPr>
      <w:r>
        <w:tab/>
      </w:r>
      <w:r>
        <w:tab/>
      </w:r>
      <w:r w:rsidR="007058FF" w:rsidRPr="007058FF">
        <w:t xml:space="preserve">Ongoing </w:t>
      </w:r>
      <w:r w:rsidR="003D2CA5" w:rsidRPr="007058FF">
        <w:t>challenges in preventing and responding to gender-based violence</w:t>
      </w:r>
    </w:p>
    <w:p w14:paraId="101C9EB6" w14:textId="5E1C1FDA" w:rsidR="007058FF" w:rsidRPr="007058FF" w:rsidRDefault="007058FF" w:rsidP="00AC2F11">
      <w:pPr>
        <w:pStyle w:val="SingleTxtG"/>
        <w:numPr>
          <w:ilvl w:val="0"/>
          <w:numId w:val="28"/>
        </w:numPr>
        <w:ind w:left="1134" w:firstLine="0"/>
      </w:pPr>
      <w:r w:rsidRPr="007058FF">
        <w:t>While the State party has strengthened coordination and service provision for survivors of gender-based violence, challenges remain in ensuring timely access to justice, survivor-centred services, and effective remedies. Under-reporting persists due to stigma, fear of retaliation, economic dependence, and limited access to transportation, childcare, and legal assistance. Women with disabilities, women in rural areas, and migrant women continue to face heightened barriers to reporting violence and accessing appropriate protection and support services.</w:t>
      </w:r>
    </w:p>
    <w:p w14:paraId="35016297" w14:textId="4D0BEE8F" w:rsidR="007058FF" w:rsidRPr="007058FF" w:rsidRDefault="00D97C35" w:rsidP="003D2CA5">
      <w:pPr>
        <w:pStyle w:val="H1G"/>
      </w:pPr>
      <w:r>
        <w:tab/>
      </w:r>
      <w:r>
        <w:tab/>
      </w:r>
      <w:r w:rsidR="007058FF" w:rsidRPr="007058FF">
        <w:t xml:space="preserve">Structural </w:t>
      </w:r>
      <w:r w:rsidR="003D2CA5" w:rsidRPr="007058FF">
        <w:t>barriers to women’s economic empowerment</w:t>
      </w:r>
    </w:p>
    <w:p w14:paraId="113016B9" w14:textId="3AFC9B96" w:rsidR="007058FF" w:rsidRPr="007058FF" w:rsidRDefault="007058FF" w:rsidP="00AC2F11">
      <w:pPr>
        <w:pStyle w:val="SingleTxtG"/>
        <w:numPr>
          <w:ilvl w:val="0"/>
          <w:numId w:val="28"/>
        </w:numPr>
        <w:ind w:left="1134" w:firstLine="0"/>
      </w:pPr>
      <w:r w:rsidRPr="007058FF">
        <w:t>Women’s economic participation continues to be constrained by occupational segregation, gender wage disparities, limited access to non-traditional and higher-income sectors, and under-representation in senior management and decision-making positions. The disproportionate burden of unpaid care work, compounded by limited availability of affordable childcare and elder-care services, remains a significant barrier to women’s full and equal participation in the labour market.</w:t>
      </w:r>
    </w:p>
    <w:p w14:paraId="7CE45ED7" w14:textId="12DE1C56" w:rsidR="007058FF" w:rsidRPr="007058FF" w:rsidRDefault="00D97C35" w:rsidP="003D2CA5">
      <w:pPr>
        <w:pStyle w:val="H1G"/>
      </w:pPr>
      <w:r>
        <w:tab/>
      </w:r>
      <w:r>
        <w:tab/>
      </w:r>
      <w:r w:rsidR="007058FF" w:rsidRPr="007058FF">
        <w:t xml:space="preserve">Vulnerabilities </w:t>
      </w:r>
      <w:r w:rsidR="003D2CA5" w:rsidRPr="007058FF">
        <w:t>linked</w:t>
      </w:r>
      <w:r w:rsidR="007058FF" w:rsidRPr="007058FF">
        <w:t xml:space="preserve"> to Small Island Developing State (SIDS) </w:t>
      </w:r>
      <w:r w:rsidR="003D2CA5" w:rsidRPr="007058FF">
        <w:t>context</w:t>
      </w:r>
    </w:p>
    <w:p w14:paraId="601761AE" w14:textId="1D722523" w:rsidR="007058FF" w:rsidRPr="007058FF" w:rsidRDefault="007058FF" w:rsidP="00AC2F11">
      <w:pPr>
        <w:pStyle w:val="SingleTxtG"/>
        <w:numPr>
          <w:ilvl w:val="0"/>
          <w:numId w:val="28"/>
        </w:numPr>
        <w:ind w:left="1134" w:firstLine="0"/>
      </w:pPr>
      <w:r w:rsidRPr="007058FF">
        <w:t>The State party recognizes that its SIDS context exacerbates gender inequalities, particularly in the face of climate change, natural disasters, and economic shocks. Women—especially those employed in agriculture, tourism, informal work, and coastal communities—are disproportionately affected by climate-related risks, loss of livelihoods, and disruptions to essential services, increasing their vulnerability to poverty and violence.</w:t>
      </w:r>
    </w:p>
    <w:p w14:paraId="7C0B288C" w14:textId="722F85D0" w:rsidR="007058FF" w:rsidRPr="007058FF" w:rsidRDefault="00D97C35" w:rsidP="003D2CA5">
      <w:pPr>
        <w:pStyle w:val="H1G"/>
      </w:pPr>
      <w:r>
        <w:tab/>
      </w:r>
      <w:r>
        <w:tab/>
      </w:r>
      <w:r w:rsidR="007058FF" w:rsidRPr="007058FF">
        <w:t xml:space="preserve">Sustainability of </w:t>
      </w:r>
      <w:r w:rsidR="003D2CA5" w:rsidRPr="007058FF">
        <w:t>programme-based interventions</w:t>
      </w:r>
    </w:p>
    <w:p w14:paraId="531F88FB" w14:textId="66B545ED" w:rsidR="007058FF" w:rsidRPr="007058FF" w:rsidRDefault="007058FF" w:rsidP="00AC2F11">
      <w:pPr>
        <w:pStyle w:val="SingleTxtG"/>
        <w:numPr>
          <w:ilvl w:val="0"/>
          <w:numId w:val="28"/>
        </w:numPr>
        <w:ind w:left="1134" w:firstLine="0"/>
      </w:pPr>
      <w:r w:rsidRPr="007058FF">
        <w:t xml:space="preserve">While development-partner support has contributed significantly to progress in areas such as prevention of violence, service delivery, and capacity-building, the State party </w:t>
      </w:r>
      <w:r w:rsidRPr="007058FF">
        <w:lastRenderedPageBreak/>
        <w:t>acknowledges challenges related to the sustainability and institutionalization of programme-based gains. Ensuring long-term impact requires strengthened domestic financing, integration of initiatives into national systems, and continued political commitment beyond externally funded programmes.</w:t>
      </w:r>
    </w:p>
    <w:p w14:paraId="7BD6E46A" w14:textId="4742B157" w:rsidR="007058FF" w:rsidRPr="007058FF" w:rsidRDefault="00D97C35" w:rsidP="003D2CA5">
      <w:pPr>
        <w:pStyle w:val="H1G"/>
      </w:pPr>
      <w:r>
        <w:tab/>
      </w:r>
      <w:r>
        <w:tab/>
      </w:r>
      <w:r w:rsidR="007058FF" w:rsidRPr="007058FF">
        <w:t xml:space="preserve">Concluding </w:t>
      </w:r>
      <w:r w:rsidR="003D2CA5" w:rsidRPr="007058FF">
        <w:t>observation–aligned reflection</w:t>
      </w:r>
    </w:p>
    <w:p w14:paraId="7E05B189" w14:textId="6ACDEC21" w:rsidR="007058FF" w:rsidRPr="007058FF" w:rsidRDefault="007058FF" w:rsidP="00AC2F11">
      <w:pPr>
        <w:pStyle w:val="SingleTxtG"/>
        <w:numPr>
          <w:ilvl w:val="0"/>
          <w:numId w:val="28"/>
        </w:numPr>
        <w:ind w:left="1134" w:firstLine="0"/>
      </w:pPr>
      <w:r w:rsidRPr="007058FF">
        <w:t>The State party recognizes that addressing these challenges requires intensified efforts to accelerate legislative reform, strengthen institutional capacity, dismantle discriminatory norms, and ensure adequate resourcing for gender equality mechanisms. Grenada reaffirms its commitment to implementing the Convention in a comprehensive and coordinated manner, in partnership with civil society and development partners, with a view to achieving substantive equality for all women and girls.</w:t>
      </w:r>
    </w:p>
    <w:p w14:paraId="3B78DEDD" w14:textId="17A97218" w:rsidR="007058FF" w:rsidRPr="007058FF" w:rsidRDefault="00D97C35" w:rsidP="0083240C">
      <w:pPr>
        <w:pStyle w:val="HChG"/>
      </w:pPr>
      <w:r>
        <w:tab/>
      </w:r>
      <w:r w:rsidR="009B21B0">
        <w:t>III</w:t>
      </w:r>
      <w:r w:rsidR="007058FF" w:rsidRPr="007058FF">
        <w:t>.</w:t>
      </w:r>
      <w:r>
        <w:tab/>
      </w:r>
      <w:r w:rsidR="007058FF" w:rsidRPr="007058FF">
        <w:t>Conclusion</w:t>
      </w:r>
    </w:p>
    <w:p w14:paraId="270A9522" w14:textId="5751113F" w:rsidR="007058FF" w:rsidRPr="007058FF" w:rsidRDefault="007058FF" w:rsidP="00AC2F11">
      <w:pPr>
        <w:pStyle w:val="SingleTxtG"/>
        <w:numPr>
          <w:ilvl w:val="0"/>
          <w:numId w:val="28"/>
        </w:numPr>
        <w:ind w:left="1134" w:firstLine="0"/>
      </w:pPr>
      <w:r w:rsidRPr="007058FF">
        <w:t>Grenada’s combined sixth to eighth periodic report demonstrates steady progress toward the realization of women’s rights and gender equality in accordance with the Convention on the Elimination of All Forms of Discrimination against Women. During the reporting period, the State party undertook legislative, policy, and programmatic measures to strengthen protection frameworks, enhance institutional coordination, and advance substantive equality for women and girls.</w:t>
      </w:r>
    </w:p>
    <w:p w14:paraId="5C0812D1" w14:textId="69978362" w:rsidR="007058FF" w:rsidRPr="007058FF" w:rsidRDefault="007058FF" w:rsidP="00AC2F11">
      <w:pPr>
        <w:pStyle w:val="SingleTxtG"/>
        <w:numPr>
          <w:ilvl w:val="0"/>
          <w:numId w:val="28"/>
        </w:numPr>
        <w:ind w:left="1134" w:firstLine="0"/>
      </w:pPr>
      <w:r w:rsidRPr="007058FF">
        <w:t>Key achievements include the strengthening of the National Gender Machinery; improved coordination and survivor-centred responses to gender-based violence; progress in legislative reform related to sexual offences, trafficking in persons, and digital exploitation; and increased integration of gender-responsive planning and budgeting within national development processes. Targeted interventions addressing the needs of adolescent mothers, women survivors of violence, women with disabilities, and women in rural communities reflect a more inclusive and intersectional approach.</w:t>
      </w:r>
    </w:p>
    <w:p w14:paraId="3CC6B11F" w14:textId="23F7A6D8" w:rsidR="007058FF" w:rsidRPr="007058FF" w:rsidRDefault="007058FF" w:rsidP="00AC2F11">
      <w:pPr>
        <w:pStyle w:val="SingleTxtG"/>
        <w:numPr>
          <w:ilvl w:val="0"/>
          <w:numId w:val="28"/>
        </w:numPr>
        <w:ind w:left="1134" w:firstLine="0"/>
      </w:pPr>
      <w:r w:rsidRPr="007058FF">
        <w:t>The State party nevertheless acknowledges persistent challenges, including delays in completing legislative reforms, the continued influence of discriminatory social norms, barriers to women’s economic empowerment, gaps in disaggregated data, and vulnerabilities associated with Grenada’s Small Island Developing State context. These challenges underscore the need for sustained political commitment, strengthened institutional capacity, and adequate resourcing to ensure effective implementation of the Convention. Grenada reaffirms its commitment to completing outstanding reforms, strengthening data and monitoring systems, institutionalizing programme gains, and deepening collaboration with civil society, Organisations of Persons with Disabilities, and development partners. The State party remains committed to constructive dialogue with the CEDAW Committee and to advancing substantive equality as a central pillar of national development and social justice for all women and girls.</w:t>
      </w:r>
    </w:p>
    <w:p w14:paraId="16A0255E" w14:textId="46E2240A" w:rsidR="006D2FB1" w:rsidRPr="008C4481" w:rsidRDefault="008C4481" w:rsidP="008C4481">
      <w:pPr>
        <w:pStyle w:val="SingleTxtG"/>
        <w:jc w:val="center"/>
        <w:rPr>
          <w:u w:val="single"/>
        </w:rPr>
      </w:pPr>
      <w:r>
        <w:rPr>
          <w:u w:val="single"/>
        </w:rPr>
        <w:tab/>
      </w:r>
      <w:r>
        <w:rPr>
          <w:u w:val="single"/>
        </w:rPr>
        <w:tab/>
      </w:r>
      <w:r>
        <w:rPr>
          <w:u w:val="single"/>
        </w:rPr>
        <w:tab/>
      </w:r>
    </w:p>
    <w:sectPr w:rsidR="006D2FB1" w:rsidRPr="008C448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94CEF" w14:textId="77777777" w:rsidR="00A871E7" w:rsidRDefault="00A871E7">
      <w:pPr>
        <w:spacing w:line="240" w:lineRule="auto"/>
      </w:pPr>
    </w:p>
  </w:endnote>
  <w:endnote w:type="continuationSeparator" w:id="0">
    <w:p w14:paraId="680E3D1B" w14:textId="77777777" w:rsidR="00A871E7" w:rsidRDefault="00A871E7">
      <w:pPr>
        <w:pStyle w:val="Footer"/>
      </w:pPr>
    </w:p>
  </w:endnote>
  <w:endnote w:type="continuationNotice" w:id="1">
    <w:p w14:paraId="2E270954" w14:textId="77777777" w:rsidR="00A871E7" w:rsidRDefault="00A871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A871E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A871E7">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592D14D2" wp14:editId="3184A81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B4B5D" w14:paraId="077C03FE" w14:textId="77777777">
      <w:tc>
        <w:tcPr>
          <w:tcW w:w="1848" w:type="dxa"/>
          <w:vAlign w:val="bottom"/>
        </w:tcPr>
        <w:p w14:paraId="71212487" w14:textId="77777777" w:rsidR="006D2FB1" w:rsidRDefault="00A871E7">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932229F" wp14:editId="23670F8C">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F0913" w14:textId="77777777" w:rsidR="00A871E7" w:rsidRDefault="00A871E7">
      <w:pPr>
        <w:pStyle w:val="Footer"/>
        <w:tabs>
          <w:tab w:val="right" w:pos="2155"/>
        </w:tabs>
        <w:spacing w:after="80" w:line="240" w:lineRule="atLeast"/>
        <w:ind w:left="680"/>
        <w:rPr>
          <w:u w:val="single"/>
        </w:rPr>
      </w:pPr>
      <w:r>
        <w:rPr>
          <w:u w:val="single"/>
        </w:rPr>
        <w:tab/>
      </w:r>
    </w:p>
  </w:footnote>
  <w:footnote w:type="continuationSeparator" w:id="0">
    <w:p w14:paraId="66C822AA" w14:textId="77777777" w:rsidR="00A871E7" w:rsidRDefault="00A871E7">
      <w:pPr>
        <w:pStyle w:val="Footer"/>
        <w:tabs>
          <w:tab w:val="right" w:pos="2155"/>
        </w:tabs>
        <w:spacing w:after="80" w:line="240" w:lineRule="atLeast"/>
        <w:ind w:left="680"/>
        <w:rPr>
          <w:u w:val="single"/>
        </w:rPr>
      </w:pPr>
      <w:r>
        <w:rPr>
          <w:u w:val="single"/>
        </w:rPr>
        <w:tab/>
      </w:r>
    </w:p>
  </w:footnote>
  <w:footnote w:type="continuationNotice" w:id="1">
    <w:p w14:paraId="7AE954E3" w14:textId="77777777" w:rsidR="00A871E7" w:rsidRDefault="00A871E7">
      <w:pPr>
        <w:spacing w:line="240" w:lineRule="auto"/>
        <w:rPr>
          <w:sz w:val="2"/>
          <w:szCs w:val="2"/>
        </w:rPr>
      </w:pPr>
    </w:p>
  </w:footnote>
  <w:footnote w:id="2">
    <w:p w14:paraId="0EE62160" w14:textId="36165B22" w:rsidR="00490503" w:rsidRPr="00910A07" w:rsidRDefault="00A871E7" w:rsidP="000A3A5A">
      <w:pPr>
        <w:pStyle w:val="FootnoteText"/>
        <w:rPr>
          <w:sz w:val="20"/>
        </w:rPr>
      </w:pPr>
      <w:r>
        <w:tab/>
      </w:r>
      <w:r w:rsidRPr="002E233B">
        <w:rPr>
          <w:rStyle w:val="FootnoteReference"/>
          <w:sz w:val="20"/>
          <w:vertAlign w:val="baseline"/>
        </w:rPr>
        <w:t>*</w:t>
      </w:r>
      <w:r>
        <w:rPr>
          <w:sz w:val="20"/>
        </w:rPr>
        <w:tab/>
      </w:r>
      <w:r w:rsidRPr="00910A07">
        <w:t>The present document is being issued without formal editing.</w:t>
      </w:r>
      <w:r>
        <w:t xml:space="preserve"> </w:t>
      </w:r>
    </w:p>
  </w:footnote>
  <w:footnote w:id="3">
    <w:p w14:paraId="2D9B2616" w14:textId="6A7687E4" w:rsidR="00490503" w:rsidRPr="008D76A4" w:rsidRDefault="00A871E7" w:rsidP="00490503">
      <w:pPr>
        <w:pStyle w:val="FootnoteText"/>
        <w:rPr>
          <w:lang w:val="en-US"/>
        </w:rPr>
      </w:pPr>
      <w:r>
        <w:rPr>
          <w:color w:val="FF0000"/>
        </w:rPr>
        <w:tab/>
      </w:r>
      <w:r w:rsidRPr="002E233B">
        <w:rPr>
          <w:rStyle w:val="FootnoteReference"/>
          <w:sz w:val="20"/>
          <w:vertAlign w:val="baseline"/>
        </w:rPr>
        <w:t>*</w:t>
      </w:r>
      <w:r w:rsidR="000A3A5A">
        <w:rPr>
          <w:sz w:val="20"/>
        </w:rPr>
        <w:t>*</w:t>
      </w:r>
      <w:r>
        <w:rPr>
          <w:rStyle w:val="FootnoteReference"/>
          <w:sz w:val="20"/>
        </w:rPr>
        <w:tab/>
      </w:r>
      <w:r w:rsidRPr="00DE5958">
        <w:rPr>
          <w:lang w:val="en-US"/>
        </w:rPr>
        <w:t>The annex</w:t>
      </w:r>
      <w:r w:rsidRPr="00DE5958">
        <w:rPr>
          <w:lang w:val="en-US"/>
        </w:rPr>
        <w:t xml:space="preserve">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77777777" w:rsidR="006D2FB1" w:rsidRDefault="00446122">
    <w:pPr>
      <w:pStyle w:val="Header"/>
    </w:pPr>
    <w:r>
      <w:t>CEDAW/C/GRD/6-8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77777777" w:rsidR="006D2FB1" w:rsidRDefault="00446122">
    <w:pPr>
      <w:pStyle w:val="Header"/>
      <w:jc w:val="right"/>
    </w:pPr>
    <w:r>
      <w:t>CEDAW/C/GRD/6-8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A22CA"/>
    <w:multiLevelType w:val="multilevel"/>
    <w:tmpl w:val="C0E6E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954887"/>
    <w:multiLevelType w:val="hybridMultilevel"/>
    <w:tmpl w:val="2B362816"/>
    <w:lvl w:ilvl="0" w:tplc="79F4FA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64A84DA" w:tentative="1">
      <w:start w:val="1"/>
      <w:numFmt w:val="lowerLetter"/>
      <w:lvlText w:val="%2."/>
      <w:lvlJc w:val="left"/>
      <w:pPr>
        <w:tabs>
          <w:tab w:val="num" w:pos="1440"/>
        </w:tabs>
        <w:ind w:left="1440" w:hanging="360"/>
      </w:pPr>
    </w:lvl>
    <w:lvl w:ilvl="2" w:tplc="35CAD4E2" w:tentative="1">
      <w:start w:val="1"/>
      <w:numFmt w:val="lowerRoman"/>
      <w:lvlText w:val="%3."/>
      <w:lvlJc w:val="right"/>
      <w:pPr>
        <w:tabs>
          <w:tab w:val="num" w:pos="2160"/>
        </w:tabs>
        <w:ind w:left="2160" w:hanging="180"/>
      </w:pPr>
    </w:lvl>
    <w:lvl w:ilvl="3" w:tplc="5ED8E02E" w:tentative="1">
      <w:start w:val="1"/>
      <w:numFmt w:val="decimal"/>
      <w:lvlText w:val="%4."/>
      <w:lvlJc w:val="left"/>
      <w:pPr>
        <w:tabs>
          <w:tab w:val="num" w:pos="2880"/>
        </w:tabs>
        <w:ind w:left="2880" w:hanging="360"/>
      </w:pPr>
    </w:lvl>
    <w:lvl w:ilvl="4" w:tplc="FC9ECF7E" w:tentative="1">
      <w:start w:val="1"/>
      <w:numFmt w:val="lowerLetter"/>
      <w:lvlText w:val="%5."/>
      <w:lvlJc w:val="left"/>
      <w:pPr>
        <w:tabs>
          <w:tab w:val="num" w:pos="3600"/>
        </w:tabs>
        <w:ind w:left="3600" w:hanging="360"/>
      </w:pPr>
    </w:lvl>
    <w:lvl w:ilvl="5" w:tplc="A462DD0E" w:tentative="1">
      <w:start w:val="1"/>
      <w:numFmt w:val="lowerRoman"/>
      <w:lvlText w:val="%6."/>
      <w:lvlJc w:val="right"/>
      <w:pPr>
        <w:tabs>
          <w:tab w:val="num" w:pos="4320"/>
        </w:tabs>
        <w:ind w:left="4320" w:hanging="180"/>
      </w:pPr>
    </w:lvl>
    <w:lvl w:ilvl="6" w:tplc="F05EDDCE" w:tentative="1">
      <w:start w:val="1"/>
      <w:numFmt w:val="decimal"/>
      <w:lvlText w:val="%7."/>
      <w:lvlJc w:val="left"/>
      <w:pPr>
        <w:tabs>
          <w:tab w:val="num" w:pos="5040"/>
        </w:tabs>
        <w:ind w:left="5040" w:hanging="360"/>
      </w:pPr>
    </w:lvl>
    <w:lvl w:ilvl="7" w:tplc="C638FC90" w:tentative="1">
      <w:start w:val="1"/>
      <w:numFmt w:val="lowerLetter"/>
      <w:lvlText w:val="%8."/>
      <w:lvlJc w:val="left"/>
      <w:pPr>
        <w:tabs>
          <w:tab w:val="num" w:pos="5760"/>
        </w:tabs>
        <w:ind w:left="5760" w:hanging="360"/>
      </w:pPr>
    </w:lvl>
    <w:lvl w:ilvl="8" w:tplc="D62E2716" w:tentative="1">
      <w:start w:val="1"/>
      <w:numFmt w:val="lowerRoman"/>
      <w:lvlText w:val="%9."/>
      <w:lvlJc w:val="right"/>
      <w:pPr>
        <w:tabs>
          <w:tab w:val="num" w:pos="6480"/>
        </w:tabs>
        <w:ind w:left="6480" w:hanging="180"/>
      </w:pPr>
    </w:lvl>
  </w:abstractNum>
  <w:abstractNum w:abstractNumId="12" w15:restartNumberingAfterBreak="0">
    <w:nsid w:val="34AD122B"/>
    <w:multiLevelType w:val="multilevel"/>
    <w:tmpl w:val="59B254D4"/>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cs="Times New Roman" w:hint="default"/>
        <w:sz w:val="20"/>
      </w:rPr>
    </w:lvl>
    <w:lvl w:ilvl="2">
      <w:start w:val="1"/>
      <w:numFmt w:val="bullet"/>
      <w:lvlText w:val=""/>
      <w:lvlJc w:val="left"/>
      <w:pPr>
        <w:tabs>
          <w:tab w:val="num" w:pos="3960"/>
        </w:tabs>
        <w:ind w:left="3960" w:hanging="360"/>
      </w:pPr>
      <w:rPr>
        <w:rFonts w:ascii="Wingdings" w:hAnsi="Wingdings" w:hint="default"/>
        <w:sz w:val="20"/>
      </w:rPr>
    </w:lvl>
    <w:lvl w:ilvl="3">
      <w:start w:val="1"/>
      <w:numFmt w:val="bullet"/>
      <w:lvlText w:val=""/>
      <w:lvlJc w:val="left"/>
      <w:pPr>
        <w:tabs>
          <w:tab w:val="num" w:pos="4680"/>
        </w:tabs>
        <w:ind w:left="4680" w:hanging="360"/>
      </w:pPr>
      <w:rPr>
        <w:rFonts w:ascii="Wingdings" w:hAnsi="Wingdings" w:hint="default"/>
        <w:sz w:val="20"/>
      </w:rPr>
    </w:lvl>
    <w:lvl w:ilvl="4">
      <w:start w:val="1"/>
      <w:numFmt w:val="bullet"/>
      <w:lvlText w:val=""/>
      <w:lvlJc w:val="left"/>
      <w:pPr>
        <w:tabs>
          <w:tab w:val="num" w:pos="5400"/>
        </w:tabs>
        <w:ind w:left="5400" w:hanging="360"/>
      </w:pPr>
      <w:rPr>
        <w:rFonts w:ascii="Wingdings" w:hAnsi="Wingdings" w:hint="default"/>
        <w:sz w:val="20"/>
      </w:rPr>
    </w:lvl>
    <w:lvl w:ilvl="5">
      <w:start w:val="1"/>
      <w:numFmt w:val="bullet"/>
      <w:lvlText w:val=""/>
      <w:lvlJc w:val="left"/>
      <w:pPr>
        <w:tabs>
          <w:tab w:val="num" w:pos="6120"/>
        </w:tabs>
        <w:ind w:left="6120" w:hanging="360"/>
      </w:pPr>
      <w:rPr>
        <w:rFonts w:ascii="Wingdings" w:hAnsi="Wingdings" w:hint="default"/>
        <w:sz w:val="20"/>
      </w:rPr>
    </w:lvl>
    <w:lvl w:ilvl="6">
      <w:start w:val="1"/>
      <w:numFmt w:val="bullet"/>
      <w:lvlText w:val=""/>
      <w:lvlJc w:val="left"/>
      <w:pPr>
        <w:tabs>
          <w:tab w:val="num" w:pos="6840"/>
        </w:tabs>
        <w:ind w:left="6840" w:hanging="360"/>
      </w:pPr>
      <w:rPr>
        <w:rFonts w:ascii="Wingdings" w:hAnsi="Wingdings" w:hint="default"/>
        <w:sz w:val="20"/>
      </w:rPr>
    </w:lvl>
    <w:lvl w:ilvl="7">
      <w:start w:val="1"/>
      <w:numFmt w:val="bullet"/>
      <w:lvlText w:val=""/>
      <w:lvlJc w:val="left"/>
      <w:pPr>
        <w:tabs>
          <w:tab w:val="num" w:pos="7560"/>
        </w:tabs>
        <w:ind w:left="7560" w:hanging="360"/>
      </w:pPr>
      <w:rPr>
        <w:rFonts w:ascii="Wingdings" w:hAnsi="Wingdings" w:hint="default"/>
        <w:sz w:val="20"/>
      </w:rPr>
    </w:lvl>
    <w:lvl w:ilvl="8">
      <w:start w:val="1"/>
      <w:numFmt w:val="bullet"/>
      <w:lvlText w:val=""/>
      <w:lvlJc w:val="left"/>
      <w:pPr>
        <w:tabs>
          <w:tab w:val="num" w:pos="8280"/>
        </w:tabs>
        <w:ind w:left="8280" w:hanging="360"/>
      </w:pPr>
      <w:rPr>
        <w:rFonts w:ascii="Wingdings" w:hAnsi="Wingdings" w:hint="default"/>
        <w:sz w:val="20"/>
      </w:rPr>
    </w:lvl>
  </w:abstractNum>
  <w:abstractNum w:abstractNumId="13" w15:restartNumberingAfterBreak="0">
    <w:nsid w:val="3ACF4EB2"/>
    <w:multiLevelType w:val="hybridMultilevel"/>
    <w:tmpl w:val="CB6C816A"/>
    <w:lvl w:ilvl="0" w:tplc="2840AADE">
      <w:start w:val="1"/>
      <w:numFmt w:val="bullet"/>
      <w:pStyle w:val="Bullet2G"/>
      <w:lvlText w:val="•"/>
      <w:lvlJc w:val="left"/>
      <w:pPr>
        <w:tabs>
          <w:tab w:val="num" w:pos="1644"/>
        </w:tabs>
        <w:ind w:left="1644" w:hanging="170"/>
      </w:pPr>
      <w:rPr>
        <w:rFonts w:ascii="Times New Roman" w:hAnsi="Times New Roman" w:cs="Times New Roman" w:hint="default"/>
      </w:rPr>
    </w:lvl>
    <w:lvl w:ilvl="1" w:tplc="A34AB8A4" w:tentative="1">
      <w:start w:val="1"/>
      <w:numFmt w:val="bullet"/>
      <w:lvlText w:val="o"/>
      <w:lvlJc w:val="left"/>
      <w:pPr>
        <w:tabs>
          <w:tab w:val="num" w:pos="3084"/>
        </w:tabs>
        <w:ind w:left="3084" w:hanging="360"/>
      </w:pPr>
      <w:rPr>
        <w:rFonts w:ascii="Courier New" w:hAnsi="Courier New" w:hint="default"/>
      </w:rPr>
    </w:lvl>
    <w:lvl w:ilvl="2" w:tplc="ED9ADB98" w:tentative="1">
      <w:start w:val="1"/>
      <w:numFmt w:val="bullet"/>
      <w:lvlText w:val=""/>
      <w:lvlJc w:val="left"/>
      <w:pPr>
        <w:tabs>
          <w:tab w:val="num" w:pos="3804"/>
        </w:tabs>
        <w:ind w:left="3804" w:hanging="360"/>
      </w:pPr>
      <w:rPr>
        <w:rFonts w:ascii="Wingdings" w:hAnsi="Wingdings" w:hint="default"/>
      </w:rPr>
    </w:lvl>
    <w:lvl w:ilvl="3" w:tplc="0D1899C2" w:tentative="1">
      <w:start w:val="1"/>
      <w:numFmt w:val="bullet"/>
      <w:lvlText w:val=""/>
      <w:lvlJc w:val="left"/>
      <w:pPr>
        <w:tabs>
          <w:tab w:val="num" w:pos="4524"/>
        </w:tabs>
        <w:ind w:left="4524" w:hanging="360"/>
      </w:pPr>
      <w:rPr>
        <w:rFonts w:ascii="Symbol" w:hAnsi="Symbol" w:hint="default"/>
      </w:rPr>
    </w:lvl>
    <w:lvl w:ilvl="4" w:tplc="342CEDE4" w:tentative="1">
      <w:start w:val="1"/>
      <w:numFmt w:val="bullet"/>
      <w:lvlText w:val="o"/>
      <w:lvlJc w:val="left"/>
      <w:pPr>
        <w:tabs>
          <w:tab w:val="num" w:pos="5244"/>
        </w:tabs>
        <w:ind w:left="5244" w:hanging="360"/>
      </w:pPr>
      <w:rPr>
        <w:rFonts w:ascii="Courier New" w:hAnsi="Courier New" w:hint="default"/>
      </w:rPr>
    </w:lvl>
    <w:lvl w:ilvl="5" w:tplc="C39A7DFA" w:tentative="1">
      <w:start w:val="1"/>
      <w:numFmt w:val="bullet"/>
      <w:lvlText w:val=""/>
      <w:lvlJc w:val="left"/>
      <w:pPr>
        <w:tabs>
          <w:tab w:val="num" w:pos="5964"/>
        </w:tabs>
        <w:ind w:left="5964" w:hanging="360"/>
      </w:pPr>
      <w:rPr>
        <w:rFonts w:ascii="Wingdings" w:hAnsi="Wingdings" w:hint="default"/>
      </w:rPr>
    </w:lvl>
    <w:lvl w:ilvl="6" w:tplc="50567C8A" w:tentative="1">
      <w:start w:val="1"/>
      <w:numFmt w:val="bullet"/>
      <w:lvlText w:val=""/>
      <w:lvlJc w:val="left"/>
      <w:pPr>
        <w:tabs>
          <w:tab w:val="num" w:pos="6684"/>
        </w:tabs>
        <w:ind w:left="6684" w:hanging="360"/>
      </w:pPr>
      <w:rPr>
        <w:rFonts w:ascii="Symbol" w:hAnsi="Symbol" w:hint="default"/>
      </w:rPr>
    </w:lvl>
    <w:lvl w:ilvl="7" w:tplc="1E3669C2" w:tentative="1">
      <w:start w:val="1"/>
      <w:numFmt w:val="bullet"/>
      <w:lvlText w:val="o"/>
      <w:lvlJc w:val="left"/>
      <w:pPr>
        <w:tabs>
          <w:tab w:val="num" w:pos="7404"/>
        </w:tabs>
        <w:ind w:left="7404" w:hanging="360"/>
      </w:pPr>
      <w:rPr>
        <w:rFonts w:ascii="Courier New" w:hAnsi="Courier New" w:hint="default"/>
      </w:rPr>
    </w:lvl>
    <w:lvl w:ilvl="8" w:tplc="AA286CCE" w:tentative="1">
      <w:start w:val="1"/>
      <w:numFmt w:val="bullet"/>
      <w:lvlText w:val=""/>
      <w:lvlJc w:val="left"/>
      <w:pPr>
        <w:tabs>
          <w:tab w:val="num" w:pos="8124"/>
        </w:tabs>
        <w:ind w:left="8124" w:hanging="360"/>
      </w:pPr>
      <w:rPr>
        <w:rFonts w:ascii="Wingdings" w:hAnsi="Wingdings" w:hint="default"/>
      </w:rPr>
    </w:lvl>
  </w:abstractNum>
  <w:abstractNum w:abstractNumId="14" w15:restartNumberingAfterBreak="0">
    <w:nsid w:val="3D7C0CE2"/>
    <w:multiLevelType w:val="hybridMultilevel"/>
    <w:tmpl w:val="37622CEC"/>
    <w:lvl w:ilvl="0" w:tplc="2000000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ECF33E9"/>
    <w:multiLevelType w:val="hybridMultilevel"/>
    <w:tmpl w:val="5EFEB09C"/>
    <w:lvl w:ilvl="0" w:tplc="0809000F">
      <w:start w:val="5"/>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5E9188B"/>
    <w:multiLevelType w:val="hybridMultilevel"/>
    <w:tmpl w:val="8162007C"/>
    <w:lvl w:ilvl="0" w:tplc="2EA870D2">
      <w:start w:val="2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F4624F"/>
    <w:multiLevelType w:val="multilevel"/>
    <w:tmpl w:val="5F8AB086"/>
    <w:lvl w:ilvl="0">
      <w:start w:val="1"/>
      <w:numFmt w:val="bullet"/>
      <w:lvlText w:val=""/>
      <w:lvlJc w:val="left"/>
      <w:pPr>
        <w:tabs>
          <w:tab w:val="num" w:pos="10080"/>
        </w:tabs>
        <w:ind w:left="10080" w:hanging="360"/>
      </w:pPr>
      <w:rPr>
        <w:rFonts w:ascii="Symbol" w:hAnsi="Symbol" w:hint="default"/>
        <w:sz w:val="20"/>
      </w:rPr>
    </w:lvl>
    <w:lvl w:ilvl="1">
      <w:start w:val="1"/>
      <w:numFmt w:val="bullet"/>
      <w:lvlText w:val="o"/>
      <w:lvlJc w:val="left"/>
      <w:pPr>
        <w:tabs>
          <w:tab w:val="num" w:pos="10800"/>
        </w:tabs>
        <w:ind w:left="10800" w:hanging="360"/>
      </w:pPr>
      <w:rPr>
        <w:rFonts w:ascii="Courier New" w:hAnsi="Courier New" w:cs="Times New Roman" w:hint="default"/>
        <w:sz w:val="20"/>
      </w:rPr>
    </w:lvl>
    <w:lvl w:ilvl="2">
      <w:start w:val="1"/>
      <w:numFmt w:val="bullet"/>
      <w:lvlText w:val=""/>
      <w:lvlJc w:val="left"/>
      <w:pPr>
        <w:tabs>
          <w:tab w:val="num" w:pos="11520"/>
        </w:tabs>
        <w:ind w:left="11520" w:hanging="360"/>
      </w:pPr>
      <w:rPr>
        <w:rFonts w:ascii="Wingdings" w:hAnsi="Wingdings" w:hint="default"/>
        <w:sz w:val="20"/>
      </w:rPr>
    </w:lvl>
    <w:lvl w:ilvl="3">
      <w:start w:val="1"/>
      <w:numFmt w:val="bullet"/>
      <w:lvlText w:val=""/>
      <w:lvlJc w:val="left"/>
      <w:pPr>
        <w:tabs>
          <w:tab w:val="num" w:pos="12240"/>
        </w:tabs>
        <w:ind w:left="12240" w:hanging="360"/>
      </w:pPr>
      <w:rPr>
        <w:rFonts w:ascii="Wingdings" w:hAnsi="Wingdings" w:hint="default"/>
        <w:sz w:val="20"/>
      </w:rPr>
    </w:lvl>
    <w:lvl w:ilvl="4">
      <w:start w:val="1"/>
      <w:numFmt w:val="bullet"/>
      <w:lvlText w:val=""/>
      <w:lvlJc w:val="left"/>
      <w:pPr>
        <w:tabs>
          <w:tab w:val="num" w:pos="12960"/>
        </w:tabs>
        <w:ind w:left="12960" w:hanging="360"/>
      </w:pPr>
      <w:rPr>
        <w:rFonts w:ascii="Wingdings" w:hAnsi="Wingdings" w:hint="default"/>
        <w:sz w:val="20"/>
      </w:rPr>
    </w:lvl>
    <w:lvl w:ilvl="5">
      <w:start w:val="1"/>
      <w:numFmt w:val="bullet"/>
      <w:lvlText w:val=""/>
      <w:lvlJc w:val="left"/>
      <w:pPr>
        <w:tabs>
          <w:tab w:val="num" w:pos="13680"/>
        </w:tabs>
        <w:ind w:left="13680" w:hanging="360"/>
      </w:pPr>
      <w:rPr>
        <w:rFonts w:ascii="Wingdings" w:hAnsi="Wingdings" w:hint="default"/>
        <w:sz w:val="20"/>
      </w:rPr>
    </w:lvl>
    <w:lvl w:ilvl="6">
      <w:start w:val="1"/>
      <w:numFmt w:val="bullet"/>
      <w:lvlText w:val=""/>
      <w:lvlJc w:val="left"/>
      <w:pPr>
        <w:tabs>
          <w:tab w:val="num" w:pos="14400"/>
        </w:tabs>
        <w:ind w:left="14400" w:hanging="360"/>
      </w:pPr>
      <w:rPr>
        <w:rFonts w:ascii="Wingdings" w:hAnsi="Wingdings" w:hint="default"/>
        <w:sz w:val="20"/>
      </w:rPr>
    </w:lvl>
    <w:lvl w:ilvl="7">
      <w:start w:val="1"/>
      <w:numFmt w:val="bullet"/>
      <w:lvlText w:val=""/>
      <w:lvlJc w:val="left"/>
      <w:pPr>
        <w:tabs>
          <w:tab w:val="num" w:pos="15120"/>
        </w:tabs>
        <w:ind w:left="15120" w:hanging="360"/>
      </w:pPr>
      <w:rPr>
        <w:rFonts w:ascii="Wingdings" w:hAnsi="Wingdings" w:hint="default"/>
        <w:sz w:val="20"/>
      </w:rPr>
    </w:lvl>
    <w:lvl w:ilvl="8">
      <w:start w:val="1"/>
      <w:numFmt w:val="bullet"/>
      <w:lvlText w:val=""/>
      <w:lvlJc w:val="left"/>
      <w:pPr>
        <w:tabs>
          <w:tab w:val="num" w:pos="15840"/>
        </w:tabs>
        <w:ind w:left="15840" w:hanging="360"/>
      </w:pPr>
      <w:rPr>
        <w:rFonts w:ascii="Wingdings" w:hAnsi="Wingdings" w:hint="default"/>
        <w:sz w:val="20"/>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1B3212"/>
    <w:multiLevelType w:val="hybridMultilevel"/>
    <w:tmpl w:val="174AB06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68AD07B2"/>
    <w:multiLevelType w:val="hybridMultilevel"/>
    <w:tmpl w:val="7FEE3222"/>
    <w:lvl w:ilvl="0" w:tplc="D6086784">
      <w:start w:val="1"/>
      <w:numFmt w:val="bullet"/>
      <w:pStyle w:val="Bullet1G"/>
      <w:lvlText w:val="•"/>
      <w:lvlJc w:val="left"/>
      <w:pPr>
        <w:tabs>
          <w:tab w:val="num" w:pos="4706"/>
        </w:tabs>
        <w:ind w:left="4706" w:hanging="170"/>
      </w:pPr>
      <w:rPr>
        <w:rFonts w:ascii="Times New Roman" w:hAnsi="Times New Roman" w:cs="Times New Roman" w:hint="default"/>
      </w:rPr>
    </w:lvl>
    <w:lvl w:ilvl="1" w:tplc="B912923A" w:tentative="1">
      <w:start w:val="1"/>
      <w:numFmt w:val="bullet"/>
      <w:lvlText w:val="o"/>
      <w:lvlJc w:val="left"/>
      <w:pPr>
        <w:tabs>
          <w:tab w:val="num" w:pos="3141"/>
        </w:tabs>
        <w:ind w:left="3141" w:hanging="360"/>
      </w:pPr>
      <w:rPr>
        <w:rFonts w:ascii="Courier New" w:hAnsi="Courier New" w:hint="default"/>
      </w:rPr>
    </w:lvl>
    <w:lvl w:ilvl="2" w:tplc="45427D04" w:tentative="1">
      <w:start w:val="1"/>
      <w:numFmt w:val="bullet"/>
      <w:lvlText w:val=""/>
      <w:lvlJc w:val="left"/>
      <w:pPr>
        <w:tabs>
          <w:tab w:val="num" w:pos="3861"/>
        </w:tabs>
        <w:ind w:left="3861" w:hanging="360"/>
      </w:pPr>
      <w:rPr>
        <w:rFonts w:ascii="Wingdings" w:hAnsi="Wingdings" w:hint="default"/>
      </w:rPr>
    </w:lvl>
    <w:lvl w:ilvl="3" w:tplc="A292469A" w:tentative="1">
      <w:start w:val="1"/>
      <w:numFmt w:val="bullet"/>
      <w:lvlText w:val=""/>
      <w:lvlJc w:val="left"/>
      <w:pPr>
        <w:tabs>
          <w:tab w:val="num" w:pos="4581"/>
        </w:tabs>
        <w:ind w:left="4581" w:hanging="360"/>
      </w:pPr>
      <w:rPr>
        <w:rFonts w:ascii="Symbol" w:hAnsi="Symbol" w:hint="default"/>
      </w:rPr>
    </w:lvl>
    <w:lvl w:ilvl="4" w:tplc="12DE40BE" w:tentative="1">
      <w:start w:val="1"/>
      <w:numFmt w:val="bullet"/>
      <w:lvlText w:val="o"/>
      <w:lvlJc w:val="left"/>
      <w:pPr>
        <w:tabs>
          <w:tab w:val="num" w:pos="5301"/>
        </w:tabs>
        <w:ind w:left="5301" w:hanging="360"/>
      </w:pPr>
      <w:rPr>
        <w:rFonts w:ascii="Courier New" w:hAnsi="Courier New" w:hint="default"/>
      </w:rPr>
    </w:lvl>
    <w:lvl w:ilvl="5" w:tplc="1AAED564" w:tentative="1">
      <w:start w:val="1"/>
      <w:numFmt w:val="bullet"/>
      <w:lvlText w:val=""/>
      <w:lvlJc w:val="left"/>
      <w:pPr>
        <w:tabs>
          <w:tab w:val="num" w:pos="6021"/>
        </w:tabs>
        <w:ind w:left="6021" w:hanging="360"/>
      </w:pPr>
      <w:rPr>
        <w:rFonts w:ascii="Wingdings" w:hAnsi="Wingdings" w:hint="default"/>
      </w:rPr>
    </w:lvl>
    <w:lvl w:ilvl="6" w:tplc="FB2A12B4" w:tentative="1">
      <w:start w:val="1"/>
      <w:numFmt w:val="bullet"/>
      <w:lvlText w:val=""/>
      <w:lvlJc w:val="left"/>
      <w:pPr>
        <w:tabs>
          <w:tab w:val="num" w:pos="6741"/>
        </w:tabs>
        <w:ind w:left="6741" w:hanging="360"/>
      </w:pPr>
      <w:rPr>
        <w:rFonts w:ascii="Symbol" w:hAnsi="Symbol" w:hint="default"/>
      </w:rPr>
    </w:lvl>
    <w:lvl w:ilvl="7" w:tplc="C3D2060A" w:tentative="1">
      <w:start w:val="1"/>
      <w:numFmt w:val="bullet"/>
      <w:lvlText w:val="o"/>
      <w:lvlJc w:val="left"/>
      <w:pPr>
        <w:tabs>
          <w:tab w:val="num" w:pos="7461"/>
        </w:tabs>
        <w:ind w:left="7461" w:hanging="360"/>
      </w:pPr>
      <w:rPr>
        <w:rFonts w:ascii="Courier New" w:hAnsi="Courier New" w:hint="default"/>
      </w:rPr>
    </w:lvl>
    <w:lvl w:ilvl="8" w:tplc="2CD8C0C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CC74DB4"/>
    <w:multiLevelType w:val="multilevel"/>
    <w:tmpl w:val="8D323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F11256"/>
    <w:multiLevelType w:val="hybridMultilevel"/>
    <w:tmpl w:val="29142CF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709B3EF8"/>
    <w:multiLevelType w:val="multilevel"/>
    <w:tmpl w:val="FAFE816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26" w15:restartNumberingAfterBreak="0">
    <w:nsid w:val="757A2641"/>
    <w:multiLevelType w:val="hybridMultilevel"/>
    <w:tmpl w:val="AE9059A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DEB6DBC"/>
    <w:multiLevelType w:val="multilevel"/>
    <w:tmpl w:val="062E5A7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76997417">
    <w:abstractNumId w:val="22"/>
  </w:num>
  <w:num w:numId="2" w16cid:durableId="1227911805">
    <w:abstractNumId w:val="13"/>
  </w:num>
  <w:num w:numId="3" w16cid:durableId="270942389">
    <w:abstractNumId w:val="11"/>
  </w:num>
  <w:num w:numId="4" w16cid:durableId="1625699556">
    <w:abstractNumId w:val="8"/>
  </w:num>
  <w:num w:numId="5" w16cid:durableId="1237058747">
    <w:abstractNumId w:val="3"/>
  </w:num>
  <w:num w:numId="6" w16cid:durableId="1683317154">
    <w:abstractNumId w:val="2"/>
  </w:num>
  <w:num w:numId="7" w16cid:durableId="2137749671">
    <w:abstractNumId w:val="1"/>
  </w:num>
  <w:num w:numId="8" w16cid:durableId="780565846">
    <w:abstractNumId w:val="0"/>
  </w:num>
  <w:num w:numId="9" w16cid:durableId="921791747">
    <w:abstractNumId w:val="9"/>
  </w:num>
  <w:num w:numId="10" w16cid:durableId="966394530">
    <w:abstractNumId w:val="7"/>
  </w:num>
  <w:num w:numId="11" w16cid:durableId="17509243">
    <w:abstractNumId w:val="6"/>
  </w:num>
  <w:num w:numId="12" w16cid:durableId="326592211">
    <w:abstractNumId w:val="5"/>
  </w:num>
  <w:num w:numId="13" w16cid:durableId="285355687">
    <w:abstractNumId w:val="4"/>
  </w:num>
  <w:num w:numId="14" w16cid:durableId="385034619">
    <w:abstractNumId w:val="22"/>
  </w:num>
  <w:num w:numId="15" w16cid:durableId="1010178334">
    <w:abstractNumId w:val="13"/>
  </w:num>
  <w:num w:numId="16" w16cid:durableId="981227730">
    <w:abstractNumId w:val="11"/>
  </w:num>
  <w:num w:numId="17" w16cid:durableId="1693455050">
    <w:abstractNumId w:val="15"/>
  </w:num>
  <w:num w:numId="18" w16cid:durableId="394011963">
    <w:abstractNumId w:val="20"/>
  </w:num>
  <w:num w:numId="19" w16cid:durableId="334917553">
    <w:abstractNumId w:val="19"/>
  </w:num>
  <w:num w:numId="20" w16cid:durableId="1577128973">
    <w:abstractNumId w:val="27"/>
  </w:num>
  <w:num w:numId="21" w16cid:durableId="4545610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0847518">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4996425">
    <w:abstractNumId w:val="25"/>
  </w:num>
  <w:num w:numId="24" w16cid:durableId="1248072799">
    <w:abstractNumId w:val="10"/>
  </w:num>
  <w:num w:numId="25" w16cid:durableId="1505509652">
    <w:abstractNumId w:val="23"/>
  </w:num>
  <w:num w:numId="26" w16cid:durableId="910777971">
    <w:abstractNumId w:val="18"/>
  </w:num>
  <w:num w:numId="27" w16cid:durableId="548953609">
    <w:abstractNumId w:val="12"/>
  </w:num>
  <w:num w:numId="28" w16cid:durableId="1422221650">
    <w:abstractNumId w:val="14"/>
  </w:num>
  <w:num w:numId="29" w16cid:durableId="154927845">
    <w:abstractNumId w:val="17"/>
  </w:num>
  <w:num w:numId="30" w16cid:durableId="751242780">
    <w:abstractNumId w:val="24"/>
  </w:num>
  <w:num w:numId="31" w16cid:durableId="95836688">
    <w:abstractNumId w:val="21"/>
  </w:num>
  <w:num w:numId="32" w16cid:durableId="182512297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11A65"/>
    <w:rsid w:val="00030085"/>
    <w:rsid w:val="000442A2"/>
    <w:rsid w:val="00083ABD"/>
    <w:rsid w:val="00097F0D"/>
    <w:rsid w:val="000A3A5A"/>
    <w:rsid w:val="000C6253"/>
    <w:rsid w:val="000C7CD9"/>
    <w:rsid w:val="000E2305"/>
    <w:rsid w:val="000F01A8"/>
    <w:rsid w:val="000F6BFB"/>
    <w:rsid w:val="000F7E03"/>
    <w:rsid w:val="00125AF5"/>
    <w:rsid w:val="00135B56"/>
    <w:rsid w:val="001507EF"/>
    <w:rsid w:val="00184DAB"/>
    <w:rsid w:val="001A5948"/>
    <w:rsid w:val="001E7225"/>
    <w:rsid w:val="0022375C"/>
    <w:rsid w:val="00264F70"/>
    <w:rsid w:val="002724A6"/>
    <w:rsid w:val="00281950"/>
    <w:rsid w:val="002844AB"/>
    <w:rsid w:val="00284892"/>
    <w:rsid w:val="0029055E"/>
    <w:rsid w:val="002D518C"/>
    <w:rsid w:val="002E04D8"/>
    <w:rsid w:val="002E233B"/>
    <w:rsid w:val="002F7FC9"/>
    <w:rsid w:val="00304501"/>
    <w:rsid w:val="00337829"/>
    <w:rsid w:val="00344251"/>
    <w:rsid w:val="00362C5D"/>
    <w:rsid w:val="0039539B"/>
    <w:rsid w:val="003D2CA5"/>
    <w:rsid w:val="003F1C0D"/>
    <w:rsid w:val="004034CB"/>
    <w:rsid w:val="0040591D"/>
    <w:rsid w:val="004154FB"/>
    <w:rsid w:val="00446122"/>
    <w:rsid w:val="0047037A"/>
    <w:rsid w:val="0049021A"/>
    <w:rsid w:val="00490503"/>
    <w:rsid w:val="004D4B5D"/>
    <w:rsid w:val="004E2376"/>
    <w:rsid w:val="004E3E9B"/>
    <w:rsid w:val="00503EF4"/>
    <w:rsid w:val="00545951"/>
    <w:rsid w:val="00576819"/>
    <w:rsid w:val="00586CC9"/>
    <w:rsid w:val="005962E7"/>
    <w:rsid w:val="005B2547"/>
    <w:rsid w:val="005B4051"/>
    <w:rsid w:val="0063240F"/>
    <w:rsid w:val="00655FD9"/>
    <w:rsid w:val="00670FD8"/>
    <w:rsid w:val="00673860"/>
    <w:rsid w:val="00676062"/>
    <w:rsid w:val="006853F2"/>
    <w:rsid w:val="006D2ADC"/>
    <w:rsid w:val="006D2FB1"/>
    <w:rsid w:val="006F1B83"/>
    <w:rsid w:val="007058FF"/>
    <w:rsid w:val="00767B6F"/>
    <w:rsid w:val="00771E1B"/>
    <w:rsid w:val="007C08F8"/>
    <w:rsid w:val="007E10BC"/>
    <w:rsid w:val="007E725A"/>
    <w:rsid w:val="008029E0"/>
    <w:rsid w:val="0083240C"/>
    <w:rsid w:val="00840BC3"/>
    <w:rsid w:val="00843BC9"/>
    <w:rsid w:val="008B4B5D"/>
    <w:rsid w:val="008C4481"/>
    <w:rsid w:val="008D76A4"/>
    <w:rsid w:val="008D7DDE"/>
    <w:rsid w:val="008F1863"/>
    <w:rsid w:val="00910A07"/>
    <w:rsid w:val="00923830"/>
    <w:rsid w:val="00926A18"/>
    <w:rsid w:val="00951757"/>
    <w:rsid w:val="00953824"/>
    <w:rsid w:val="00991007"/>
    <w:rsid w:val="00997861"/>
    <w:rsid w:val="009A47ED"/>
    <w:rsid w:val="009B21B0"/>
    <w:rsid w:val="00A065FD"/>
    <w:rsid w:val="00A11E31"/>
    <w:rsid w:val="00A17804"/>
    <w:rsid w:val="00A54709"/>
    <w:rsid w:val="00A615B7"/>
    <w:rsid w:val="00A871E7"/>
    <w:rsid w:val="00AC0744"/>
    <w:rsid w:val="00AC0DD6"/>
    <w:rsid w:val="00AC2F11"/>
    <w:rsid w:val="00AD5CD3"/>
    <w:rsid w:val="00AD7FA8"/>
    <w:rsid w:val="00AF7657"/>
    <w:rsid w:val="00B2241B"/>
    <w:rsid w:val="00B2404F"/>
    <w:rsid w:val="00B376D5"/>
    <w:rsid w:val="00BA4B9E"/>
    <w:rsid w:val="00BB2985"/>
    <w:rsid w:val="00BF2060"/>
    <w:rsid w:val="00C01BC8"/>
    <w:rsid w:val="00C25ADB"/>
    <w:rsid w:val="00C37313"/>
    <w:rsid w:val="00C379B6"/>
    <w:rsid w:val="00C53018"/>
    <w:rsid w:val="00C73FDB"/>
    <w:rsid w:val="00C95F7D"/>
    <w:rsid w:val="00CC0FF2"/>
    <w:rsid w:val="00CD6AB4"/>
    <w:rsid w:val="00D06277"/>
    <w:rsid w:val="00D5321B"/>
    <w:rsid w:val="00D913FD"/>
    <w:rsid w:val="00D97A74"/>
    <w:rsid w:val="00D97C35"/>
    <w:rsid w:val="00DB7CED"/>
    <w:rsid w:val="00DE07FA"/>
    <w:rsid w:val="00DE5958"/>
    <w:rsid w:val="00DF0B94"/>
    <w:rsid w:val="00E67615"/>
    <w:rsid w:val="00E90DD0"/>
    <w:rsid w:val="00E9661B"/>
    <w:rsid w:val="00EA7976"/>
    <w:rsid w:val="00ED5F12"/>
    <w:rsid w:val="00EE66D4"/>
    <w:rsid w:val="00F05A78"/>
    <w:rsid w:val="00F16B6E"/>
    <w:rsid w:val="00F75B8C"/>
    <w:rsid w:val="00F8452C"/>
    <w:rsid w:val="00FB23AB"/>
    <w:rsid w:val="00FC1B14"/>
    <w:rsid w:val="00FE0E26"/>
    <w:rsid w:val="00FE47D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2026-05-08T09:33:28+00:00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2.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011D2F72-FD1C-4F00-AF46-56AE520165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37</Pages>
  <Words>18744</Words>
  <Characters>120718</Characters>
  <Application>Microsoft Office Word</Application>
  <DocSecurity>0</DocSecurity>
  <Lines>1829</Lines>
  <Paragraphs>485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138977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CEDAW/C/GRD/6-8</dc:title>
  <dc:creator>Gloria</dc:creator>
  <cp:lastModifiedBy>Jamila Devi Seerathun</cp:lastModifiedBy>
  <cp:revision>3</cp:revision>
  <cp:lastPrinted>2017-04-21T12:16:00Z</cp:lastPrinted>
  <dcterms:created xsi:type="dcterms:W3CDTF">2026-05-08T15:04:00Z</dcterms:created>
  <dcterms:modified xsi:type="dcterms:W3CDTF">2026-05-08T15:04:00Z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Grenada</vt:lpwstr>
  </property>
  <property fmtid="{D5CDD505-2E9C-101B-9397-08002B2CF9AE}" pid="8" name="countw">
    <vt:lpwstr>Grenada</vt:lpwstr>
  </property>
  <property fmtid="{D5CDD505-2E9C-101B-9397-08002B2CF9AE}" pid="9" name="countwd">
    <vt:lpwstr>Grenada</vt:lpwstr>
  </property>
  <property fmtid="{D5CDD505-2E9C-101B-9397-08002B2CF9AE}" pid="10" name="date">
    <vt:lpwstr>8 May 2026</vt:lpwstr>
  </property>
  <property fmtid="{D5CDD505-2E9C-101B-9397-08002B2CF9AE}" pid="11" name="Date-Generated">
    <vt:filetime>2026-05-08T09:32:16Z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159000</vt:r8>
  </property>
  <property fmtid="{D5CDD505-2E9C-101B-9397-08002B2CF9AE}" pid="21" name="Org">
    <vt:lpwstr>OHCHR</vt:lpwstr>
  </property>
  <property fmtid="{D5CDD505-2E9C-101B-9397-08002B2CF9AE}" pid="22" name="prep">
    <vt:lpwstr> combined sixth to eighth reports of Grenada</vt:lpwstr>
  </property>
  <property fmtid="{D5CDD505-2E9C-101B-9397-08002B2CF9AE}" pid="23" name="preps">
    <vt:lpwstr> combined sixth to eighth reports of Grenada</vt:lpwstr>
  </property>
  <property fmtid="{D5CDD505-2E9C-101B-9397-08002B2CF9AE}" pid="24" name="prepw">
    <vt:lpwstr> combined sixth to eighth reports</vt:lpwstr>
  </property>
  <property fmtid="{D5CDD505-2E9C-101B-9397-08002B2CF9AE}" pid="25" name="prepwc">
    <vt:lpwstr>Combined sixth to eighth reports </vt:lpwstr>
  </property>
  <property fmtid="{D5CDD505-2E9C-101B-9397-08002B2CF9AE}" pid="26" name="prepws">
    <vt:lpwstr>Combined sixth to eighth reports </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C/GRD/6-8</vt:lpwstr>
  </property>
  <property fmtid="{D5CDD505-2E9C-101B-9397-08002B2CF9AE}" pid="32" name="symh">
    <vt:lpwstr>CEDAW/C/GRD/6-8</vt:lpwstr>
  </property>
  <property fmtid="{D5CDD505-2E9C-101B-9397-08002B2CF9AE}" pid="33" name="Title">
    <vt:lpwstr>CEDAW/C/GRD/6-8</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0x010100A3CFA62B47352B44BFD11BEB9CD9FD5A</vt:lpwstr>
  </property>
</Properties>
</file>