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EE62A" w14:textId="13CFA027" w:rsidR="00F333AB" w:rsidRPr="005E2286" w:rsidRDefault="00E847A4" w:rsidP="00545BFE">
      <w:pPr>
        <w:spacing w:line="360" w:lineRule="auto"/>
        <w:jc w:val="center"/>
        <w:rPr>
          <w:rFonts w:ascii="Bookman Old Style" w:hAnsi="Bookman Old Style"/>
          <w:b/>
          <w:color w:val="0070C0"/>
          <w:sz w:val="32"/>
          <w:szCs w:val="32"/>
        </w:rPr>
      </w:pPr>
      <w:r w:rsidRPr="005E2286">
        <w:rPr>
          <w:rFonts w:ascii="Bookman Old Style" w:hAnsi="Bookman Old Style"/>
          <w:b/>
          <w:color w:val="0070C0"/>
          <w:sz w:val="32"/>
          <w:szCs w:val="32"/>
        </w:rPr>
        <w:t xml:space="preserve">SHADOW </w:t>
      </w:r>
      <w:r w:rsidR="00F333AB" w:rsidRPr="005E2286">
        <w:rPr>
          <w:rFonts w:ascii="Bookman Old Style" w:hAnsi="Bookman Old Style"/>
          <w:b/>
          <w:color w:val="0070C0"/>
          <w:sz w:val="32"/>
          <w:szCs w:val="32"/>
        </w:rPr>
        <w:t xml:space="preserve">REPORT TO THE COMMITTEE ON THE CONVENTION ON THE ELIMINATION OF ALL FORMS </w:t>
      </w:r>
      <w:r w:rsidRPr="005E2286">
        <w:rPr>
          <w:rFonts w:ascii="Bookman Old Style" w:hAnsi="Bookman Old Style"/>
          <w:b/>
          <w:color w:val="0070C0"/>
          <w:sz w:val="32"/>
          <w:szCs w:val="32"/>
        </w:rPr>
        <w:t xml:space="preserve">OF </w:t>
      </w:r>
      <w:r w:rsidR="00F333AB" w:rsidRPr="005E2286">
        <w:rPr>
          <w:rFonts w:ascii="Bookman Old Style" w:hAnsi="Bookman Old Style"/>
          <w:b/>
          <w:color w:val="0070C0"/>
          <w:sz w:val="32"/>
          <w:szCs w:val="32"/>
        </w:rPr>
        <w:t>DISCRIMINATION AGAINST WOMEN (CEDAW)</w:t>
      </w:r>
    </w:p>
    <w:p w14:paraId="3560D929" w14:textId="77777777" w:rsidR="00F333AB" w:rsidRPr="005E2286" w:rsidRDefault="00F333AB" w:rsidP="00545BFE">
      <w:pPr>
        <w:spacing w:line="360" w:lineRule="auto"/>
        <w:jc w:val="center"/>
        <w:rPr>
          <w:rFonts w:ascii="Bookman Old Style" w:hAnsi="Bookman Old Style"/>
          <w:color w:val="0070C0"/>
          <w:sz w:val="32"/>
          <w:szCs w:val="32"/>
        </w:rPr>
      </w:pPr>
    </w:p>
    <w:p w14:paraId="5F77D621" w14:textId="7C7B6F7D" w:rsidR="00F06219" w:rsidRPr="005E2286" w:rsidRDefault="00F06219" w:rsidP="00545BFE">
      <w:pPr>
        <w:spacing w:line="360" w:lineRule="auto"/>
        <w:jc w:val="center"/>
        <w:rPr>
          <w:rFonts w:ascii="Bookman Old Style" w:hAnsi="Bookman Old Style"/>
          <w:b/>
          <w:color w:val="0070C0"/>
          <w:sz w:val="32"/>
          <w:szCs w:val="32"/>
        </w:rPr>
      </w:pPr>
      <w:r w:rsidRPr="005E2286">
        <w:rPr>
          <w:rFonts w:ascii="Bookman Old Style" w:hAnsi="Bookman Old Style"/>
          <w:b/>
          <w:color w:val="0070C0"/>
          <w:sz w:val="32"/>
          <w:szCs w:val="32"/>
        </w:rPr>
        <w:t>SUBMITTED By</w:t>
      </w:r>
    </w:p>
    <w:p w14:paraId="5E35B343" w14:textId="573571D1" w:rsidR="003E376D" w:rsidRDefault="00F06219" w:rsidP="003E376D">
      <w:pPr>
        <w:spacing w:line="360" w:lineRule="auto"/>
        <w:jc w:val="center"/>
        <w:rPr>
          <w:rFonts w:ascii="Bookman Old Style" w:hAnsi="Bookman Old Style"/>
          <w:b/>
          <w:color w:val="0070C0"/>
          <w:sz w:val="32"/>
          <w:szCs w:val="32"/>
        </w:rPr>
      </w:pPr>
      <w:bookmarkStart w:id="0" w:name="_GoBack"/>
      <w:r w:rsidRPr="005E2286">
        <w:rPr>
          <w:rFonts w:ascii="Bookman Old Style" w:hAnsi="Bookman Old Style"/>
          <w:b/>
          <w:color w:val="0070C0"/>
          <w:sz w:val="32"/>
          <w:szCs w:val="32"/>
        </w:rPr>
        <w:t xml:space="preserve">The Great Lakes Initiative for Human Rights and </w:t>
      </w:r>
      <w:r w:rsidR="003E376D">
        <w:rPr>
          <w:rFonts w:ascii="Bookman Old Style" w:hAnsi="Bookman Old Style"/>
          <w:b/>
          <w:color w:val="0070C0"/>
          <w:sz w:val="32"/>
          <w:szCs w:val="32"/>
        </w:rPr>
        <w:t>Development (GLIHD)</w:t>
      </w:r>
    </w:p>
    <w:bookmarkEnd w:id="0"/>
    <w:p w14:paraId="0F53EDD9" w14:textId="333B314E" w:rsidR="003E376D" w:rsidRDefault="003E376D" w:rsidP="003E376D">
      <w:pPr>
        <w:spacing w:line="360" w:lineRule="auto"/>
        <w:jc w:val="center"/>
        <w:rPr>
          <w:rFonts w:ascii="Bookman Old Style" w:hAnsi="Bookman Old Style"/>
          <w:b/>
          <w:color w:val="0070C0"/>
          <w:sz w:val="32"/>
          <w:szCs w:val="32"/>
        </w:rPr>
      </w:pPr>
      <w:r w:rsidRPr="002F230F">
        <w:rPr>
          <w:rFonts w:ascii="Arial" w:eastAsia="Californian FB" w:hAnsi="Arial" w:cs="Arial"/>
          <w:b/>
          <w:noProof/>
          <w:sz w:val="24"/>
          <w:szCs w:val="24"/>
          <w:lang w:val="en-GB" w:eastAsia="en-GB"/>
        </w:rPr>
        <w:drawing>
          <wp:inline distT="0" distB="0" distL="0" distR="0" wp14:anchorId="00DF52E9" wp14:editId="60EB734E">
            <wp:extent cx="2171616" cy="2171616"/>
            <wp:effectExtent l="0" t="0" r="0" b="0"/>
            <wp:docPr id="1" name="Picture 1" descr="C:\Users\GLIHD\Documents\GLIHD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LIHD\Documents\GLIHD new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1829" cy="2181829"/>
                    </a:xfrm>
                    <a:prstGeom prst="rect">
                      <a:avLst/>
                    </a:prstGeom>
                    <a:noFill/>
                    <a:ln>
                      <a:noFill/>
                    </a:ln>
                  </pic:spPr>
                </pic:pic>
              </a:graphicData>
            </a:graphic>
          </wp:inline>
        </w:drawing>
      </w:r>
    </w:p>
    <w:p w14:paraId="10F3BAFE" w14:textId="769702C9" w:rsidR="009C088C" w:rsidRPr="005E2286" w:rsidRDefault="004E3336" w:rsidP="003E376D">
      <w:pPr>
        <w:spacing w:line="360" w:lineRule="auto"/>
        <w:jc w:val="center"/>
        <w:rPr>
          <w:rFonts w:ascii="Bookman Old Style" w:hAnsi="Bookman Old Style"/>
          <w:b/>
          <w:color w:val="0070C0"/>
          <w:sz w:val="32"/>
          <w:szCs w:val="32"/>
        </w:rPr>
      </w:pPr>
      <w:r>
        <w:rPr>
          <w:rFonts w:ascii="Bookman Old Style" w:hAnsi="Bookman Old Style"/>
          <w:b/>
          <w:color w:val="0070C0"/>
          <w:sz w:val="32"/>
          <w:szCs w:val="32"/>
        </w:rPr>
        <w:t xml:space="preserve">Contact person: Mr. </w:t>
      </w:r>
      <w:r w:rsidR="005E2286">
        <w:rPr>
          <w:rFonts w:ascii="Bookman Old Style" w:hAnsi="Bookman Old Style"/>
          <w:b/>
          <w:color w:val="0070C0"/>
          <w:sz w:val="32"/>
          <w:szCs w:val="32"/>
        </w:rPr>
        <w:t>Tom Mulisa</w:t>
      </w:r>
    </w:p>
    <w:p w14:paraId="0DD37A8D" w14:textId="6EB4E64D" w:rsidR="00F06219" w:rsidRPr="005E2286" w:rsidRDefault="00984389" w:rsidP="003E376D">
      <w:pPr>
        <w:spacing w:line="360" w:lineRule="auto"/>
        <w:jc w:val="center"/>
        <w:rPr>
          <w:rFonts w:ascii="Bookman Old Style" w:hAnsi="Bookman Old Style"/>
          <w:b/>
          <w:color w:val="0070C0"/>
          <w:sz w:val="32"/>
          <w:szCs w:val="32"/>
        </w:rPr>
      </w:pPr>
      <w:r>
        <w:rPr>
          <w:rFonts w:ascii="Bookman Old Style" w:hAnsi="Bookman Old Style"/>
          <w:b/>
          <w:color w:val="0070C0"/>
          <w:sz w:val="32"/>
          <w:szCs w:val="32"/>
        </w:rPr>
        <w:t>Executive Director</w:t>
      </w:r>
    </w:p>
    <w:p w14:paraId="05112D72" w14:textId="77777777" w:rsidR="00F06219" w:rsidRPr="005E2286" w:rsidRDefault="00F06219" w:rsidP="003E376D">
      <w:pPr>
        <w:spacing w:line="360" w:lineRule="auto"/>
        <w:jc w:val="center"/>
        <w:rPr>
          <w:rFonts w:ascii="Bookman Old Style" w:hAnsi="Bookman Old Style"/>
          <w:b/>
          <w:color w:val="0070C0"/>
          <w:sz w:val="32"/>
          <w:szCs w:val="32"/>
        </w:rPr>
      </w:pPr>
      <w:r w:rsidRPr="005E2286">
        <w:rPr>
          <w:rFonts w:ascii="Bookman Old Style" w:hAnsi="Bookman Old Style"/>
          <w:b/>
          <w:color w:val="0070C0"/>
          <w:sz w:val="32"/>
          <w:szCs w:val="32"/>
        </w:rPr>
        <w:t xml:space="preserve">Email: </w:t>
      </w:r>
      <w:r w:rsidR="009C088C" w:rsidRPr="005E2286">
        <w:rPr>
          <w:rFonts w:ascii="Bookman Old Style" w:hAnsi="Bookman Old Style"/>
          <w:b/>
          <w:color w:val="0070C0"/>
          <w:sz w:val="32"/>
          <w:szCs w:val="32"/>
        </w:rPr>
        <w:t>glihd.org@gmail.com</w:t>
      </w:r>
    </w:p>
    <w:p w14:paraId="7F09270E" w14:textId="77777777" w:rsidR="00F06219" w:rsidRPr="005E2286" w:rsidRDefault="00F06219" w:rsidP="003E376D">
      <w:pPr>
        <w:spacing w:line="360" w:lineRule="auto"/>
        <w:jc w:val="center"/>
        <w:rPr>
          <w:rFonts w:ascii="Bookman Old Style" w:hAnsi="Bookman Old Style"/>
          <w:b/>
          <w:color w:val="0070C0"/>
          <w:sz w:val="32"/>
          <w:szCs w:val="32"/>
        </w:rPr>
      </w:pPr>
      <w:r w:rsidRPr="005E2286">
        <w:rPr>
          <w:rFonts w:ascii="Bookman Old Style" w:hAnsi="Bookman Old Style"/>
          <w:b/>
          <w:color w:val="0070C0"/>
          <w:sz w:val="32"/>
          <w:szCs w:val="32"/>
        </w:rPr>
        <w:t xml:space="preserve">Telephone number: </w:t>
      </w:r>
      <w:r w:rsidR="009C088C" w:rsidRPr="005E2286">
        <w:rPr>
          <w:rFonts w:ascii="Bookman Old Style" w:hAnsi="Bookman Old Style"/>
          <w:b/>
          <w:color w:val="0070C0"/>
          <w:sz w:val="32"/>
          <w:szCs w:val="32"/>
        </w:rPr>
        <w:t>+250788695363</w:t>
      </w:r>
    </w:p>
    <w:p w14:paraId="1D2C5094" w14:textId="77777777" w:rsidR="009C088C" w:rsidRPr="005E2286" w:rsidRDefault="009C088C" w:rsidP="00545BFE">
      <w:pPr>
        <w:spacing w:line="360" w:lineRule="auto"/>
        <w:jc w:val="center"/>
        <w:rPr>
          <w:rFonts w:ascii="Bookman Old Style" w:hAnsi="Bookman Old Style"/>
          <w:b/>
          <w:color w:val="0070C0"/>
          <w:sz w:val="32"/>
          <w:szCs w:val="32"/>
        </w:rPr>
      </w:pPr>
    </w:p>
    <w:p w14:paraId="765582E9" w14:textId="6ADD5CDE" w:rsidR="009C088C" w:rsidRPr="005E2286" w:rsidRDefault="003E376D" w:rsidP="003E376D">
      <w:pPr>
        <w:spacing w:line="360" w:lineRule="auto"/>
        <w:jc w:val="center"/>
        <w:rPr>
          <w:rFonts w:ascii="Bookman Old Style" w:hAnsi="Bookman Old Style"/>
          <w:b/>
          <w:color w:val="0070C0"/>
          <w:sz w:val="32"/>
          <w:szCs w:val="32"/>
        </w:rPr>
      </w:pPr>
      <w:r>
        <w:rPr>
          <w:rFonts w:ascii="Bookman Old Style" w:hAnsi="Bookman Old Style"/>
          <w:b/>
          <w:color w:val="0070C0"/>
          <w:sz w:val="32"/>
          <w:szCs w:val="32"/>
        </w:rPr>
        <w:t>August</w:t>
      </w:r>
      <w:r w:rsidR="00F333AB" w:rsidRPr="005E2286">
        <w:rPr>
          <w:rFonts w:ascii="Bookman Old Style" w:hAnsi="Bookman Old Style"/>
          <w:b/>
          <w:color w:val="0070C0"/>
          <w:sz w:val="32"/>
          <w:szCs w:val="32"/>
        </w:rPr>
        <w:t xml:space="preserve"> 2021</w:t>
      </w:r>
    </w:p>
    <w:p w14:paraId="498C2C31" w14:textId="1DCFAB5D" w:rsidR="009C088C" w:rsidRDefault="009C088C" w:rsidP="0022646D">
      <w:pPr>
        <w:spacing w:line="360" w:lineRule="auto"/>
        <w:jc w:val="both"/>
        <w:rPr>
          <w:rFonts w:ascii="Bookman Old Style" w:hAnsi="Bookman Old Style"/>
          <w:b/>
          <w:sz w:val="24"/>
          <w:szCs w:val="24"/>
        </w:rPr>
      </w:pPr>
    </w:p>
    <w:p w14:paraId="21881DE8" w14:textId="4D76B6A9" w:rsidR="00274CB4" w:rsidRPr="0082059F" w:rsidRDefault="00F06219" w:rsidP="0022646D">
      <w:pPr>
        <w:spacing w:line="360" w:lineRule="auto"/>
        <w:jc w:val="both"/>
        <w:rPr>
          <w:rFonts w:ascii="Bookman Old Style" w:hAnsi="Bookman Old Style"/>
          <w:b/>
          <w:sz w:val="24"/>
          <w:szCs w:val="24"/>
        </w:rPr>
      </w:pPr>
      <w:r w:rsidRPr="0082059F">
        <w:rPr>
          <w:rFonts w:ascii="Bookman Old Style" w:hAnsi="Bookman Old Style"/>
          <w:b/>
          <w:sz w:val="24"/>
          <w:szCs w:val="24"/>
        </w:rPr>
        <w:lastRenderedPageBreak/>
        <w:t xml:space="preserve">ABOUT GLIHD </w:t>
      </w:r>
    </w:p>
    <w:p w14:paraId="7DF01968" w14:textId="77777777" w:rsidR="00F333AB" w:rsidRPr="0082059F" w:rsidRDefault="00F06219"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 is a non-governmental organization that subscribes to the original principles enshrined in international human rights instruments. </w:t>
      </w:r>
    </w:p>
    <w:p w14:paraId="7B10754B" w14:textId="14C6937F" w:rsidR="00F333AB" w:rsidRPr="0082059F" w:rsidRDefault="00F06219"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GLIHD’s vision is to see the great lakes region where human rights are fairly respected and enjoyed. </w:t>
      </w:r>
    </w:p>
    <w:p w14:paraId="4170C20C" w14:textId="77777777" w:rsidR="00F333AB" w:rsidRPr="0082059F" w:rsidRDefault="00F06219"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GLIHD’s mission is to contribute to the respect and promotion of the rights of individuals and groups in keeping with international human rights framework and obligations of member states. </w:t>
      </w:r>
    </w:p>
    <w:p w14:paraId="1DD10D52" w14:textId="77777777" w:rsidR="00F06219" w:rsidRPr="0082059F" w:rsidRDefault="00F06219" w:rsidP="0022646D">
      <w:pPr>
        <w:spacing w:line="360" w:lineRule="auto"/>
        <w:jc w:val="both"/>
        <w:rPr>
          <w:rFonts w:ascii="Bookman Old Style" w:hAnsi="Bookman Old Style"/>
          <w:sz w:val="24"/>
          <w:szCs w:val="24"/>
        </w:rPr>
      </w:pPr>
      <w:r w:rsidRPr="0082059F">
        <w:rPr>
          <w:rFonts w:ascii="Bookman Old Style" w:hAnsi="Bookman Old Style"/>
          <w:sz w:val="24"/>
          <w:szCs w:val="24"/>
        </w:rPr>
        <w:t>GLIHD is engaged in public interest litigation with the purpose of creating national human rights jurisdiction to steer national policies on human rights.</w:t>
      </w:r>
    </w:p>
    <w:p w14:paraId="7B54C192" w14:textId="199D1D24" w:rsidR="00812CEA" w:rsidRPr="0082059F" w:rsidRDefault="00F333AB" w:rsidP="0022646D">
      <w:pPr>
        <w:spacing w:line="360" w:lineRule="auto"/>
        <w:jc w:val="both"/>
        <w:rPr>
          <w:rFonts w:ascii="Bookman Old Style" w:hAnsi="Bookman Old Style"/>
          <w:sz w:val="24"/>
          <w:szCs w:val="24"/>
        </w:rPr>
      </w:pPr>
      <w:r w:rsidRPr="0082059F">
        <w:rPr>
          <w:rFonts w:ascii="Bookman Old Style" w:hAnsi="Bookman Old Style"/>
          <w:sz w:val="24"/>
          <w:szCs w:val="24"/>
        </w:rPr>
        <w:t>Since its creation, GLIHD has intervened in the area of human rights in general and rights of women in part</w:t>
      </w:r>
      <w:r w:rsidR="00073C70">
        <w:rPr>
          <w:rFonts w:ascii="Bookman Old Style" w:hAnsi="Bookman Old Style"/>
          <w:sz w:val="24"/>
          <w:szCs w:val="24"/>
        </w:rPr>
        <w:t xml:space="preserve">icular. Though its project on </w:t>
      </w:r>
      <w:r w:rsidRPr="0082059F">
        <w:rPr>
          <w:rFonts w:ascii="Bookman Old Style" w:hAnsi="Bookman Old Style"/>
          <w:sz w:val="24"/>
          <w:szCs w:val="24"/>
        </w:rPr>
        <w:t xml:space="preserve">grassroots based intervention to increase access to domestic, regional and international human rights mechanisms for ordinary people in Africa, GLIHD has dealt with issues of access to justice and legal aid clinic for the most vulnerable; poor women and children have been key beneficiaries. </w:t>
      </w:r>
    </w:p>
    <w:p w14:paraId="7D92FC37" w14:textId="77777777" w:rsidR="00F333AB" w:rsidRPr="0082059F" w:rsidRDefault="00F333AB" w:rsidP="0022646D">
      <w:pPr>
        <w:spacing w:line="360" w:lineRule="auto"/>
        <w:jc w:val="both"/>
        <w:rPr>
          <w:rFonts w:ascii="Bookman Old Style" w:hAnsi="Bookman Old Style"/>
          <w:sz w:val="24"/>
          <w:szCs w:val="24"/>
        </w:rPr>
      </w:pPr>
    </w:p>
    <w:p w14:paraId="0AE2C5B1" w14:textId="77777777" w:rsidR="00BC31ED" w:rsidRPr="0082059F" w:rsidRDefault="00F333AB" w:rsidP="0022646D">
      <w:pPr>
        <w:spacing w:line="360" w:lineRule="auto"/>
        <w:jc w:val="both"/>
        <w:rPr>
          <w:rFonts w:ascii="Bookman Old Style" w:hAnsi="Bookman Old Style"/>
          <w:sz w:val="24"/>
          <w:szCs w:val="24"/>
        </w:rPr>
      </w:pPr>
      <w:r w:rsidRPr="0082059F">
        <w:rPr>
          <w:rFonts w:ascii="Bookman Old Style" w:hAnsi="Bookman Old Style"/>
          <w:b/>
          <w:sz w:val="24"/>
          <w:szCs w:val="24"/>
        </w:rPr>
        <w:t>EXECUTIVE SUMMARY</w:t>
      </w:r>
      <w:r w:rsidRPr="0082059F">
        <w:rPr>
          <w:rFonts w:ascii="Bookman Old Style" w:hAnsi="Bookman Old Style"/>
          <w:sz w:val="24"/>
          <w:szCs w:val="24"/>
        </w:rPr>
        <w:t xml:space="preserve"> </w:t>
      </w:r>
    </w:p>
    <w:p w14:paraId="38C6C695" w14:textId="1974C61F" w:rsidR="00BC31ED" w:rsidRPr="0082059F" w:rsidRDefault="00F333AB"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 takes this opportunity to submit </w:t>
      </w:r>
      <w:r w:rsidR="00545BFE">
        <w:rPr>
          <w:rFonts w:ascii="Bookman Old Style" w:hAnsi="Bookman Old Style"/>
          <w:sz w:val="24"/>
          <w:szCs w:val="24"/>
        </w:rPr>
        <w:t xml:space="preserve">the </w:t>
      </w:r>
      <w:r w:rsidR="00545BFE" w:rsidRPr="003A58A0">
        <w:rPr>
          <w:rFonts w:ascii="Bookman Old Style" w:hAnsi="Bookman Old Style"/>
          <w:sz w:val="24"/>
          <w:szCs w:val="24"/>
        </w:rPr>
        <w:t>10</w:t>
      </w:r>
      <w:r w:rsidR="00545BFE" w:rsidRPr="003A58A0">
        <w:rPr>
          <w:rFonts w:ascii="Bookman Old Style" w:hAnsi="Bookman Old Style"/>
          <w:sz w:val="24"/>
          <w:szCs w:val="24"/>
          <w:vertAlign w:val="superscript"/>
        </w:rPr>
        <w:t>th</w:t>
      </w:r>
      <w:r w:rsidR="00545BFE" w:rsidRPr="0082059F">
        <w:rPr>
          <w:rFonts w:ascii="Bookman Old Style" w:hAnsi="Bookman Old Style"/>
          <w:sz w:val="24"/>
          <w:szCs w:val="24"/>
        </w:rPr>
        <w:t xml:space="preserve"> </w:t>
      </w:r>
      <w:r w:rsidR="008E5981">
        <w:rPr>
          <w:rFonts w:ascii="Bookman Old Style" w:hAnsi="Bookman Old Style"/>
          <w:sz w:val="24"/>
          <w:szCs w:val="24"/>
        </w:rPr>
        <w:t xml:space="preserve">shadow </w:t>
      </w:r>
      <w:r w:rsidRPr="0082059F">
        <w:rPr>
          <w:rFonts w:ascii="Bookman Old Style" w:hAnsi="Bookman Old Style"/>
          <w:sz w:val="24"/>
          <w:szCs w:val="24"/>
        </w:rPr>
        <w:t xml:space="preserve">report of the Government of Rwanda to the Committee on the Elimination of Discrimination </w:t>
      </w:r>
      <w:r w:rsidR="00BF5F68">
        <w:rPr>
          <w:rFonts w:ascii="Bookman Old Style" w:hAnsi="Bookman Old Style"/>
          <w:sz w:val="24"/>
          <w:szCs w:val="24"/>
        </w:rPr>
        <w:t>A</w:t>
      </w:r>
      <w:r w:rsidRPr="0082059F">
        <w:rPr>
          <w:rFonts w:ascii="Bookman Old Style" w:hAnsi="Bookman Old Style"/>
          <w:sz w:val="24"/>
          <w:szCs w:val="24"/>
        </w:rPr>
        <w:t xml:space="preserve">gainst Women (CEDAW Committee). </w:t>
      </w:r>
    </w:p>
    <w:p w14:paraId="3CBD0D35" w14:textId="77777777" w:rsidR="00BC31ED" w:rsidRPr="0082059F" w:rsidRDefault="00F333AB" w:rsidP="0022646D">
      <w:pPr>
        <w:spacing w:line="360" w:lineRule="auto"/>
        <w:jc w:val="both"/>
        <w:rPr>
          <w:rFonts w:ascii="Bookman Old Style" w:hAnsi="Bookman Old Style"/>
          <w:b/>
          <w:sz w:val="24"/>
          <w:szCs w:val="24"/>
        </w:rPr>
      </w:pPr>
      <w:r w:rsidRPr="0082059F">
        <w:rPr>
          <w:rFonts w:ascii="Bookman Old Style" w:hAnsi="Bookman Old Style"/>
          <w:b/>
          <w:sz w:val="24"/>
          <w:szCs w:val="24"/>
        </w:rPr>
        <w:t xml:space="preserve">Objective of the Report </w:t>
      </w:r>
    </w:p>
    <w:p w14:paraId="32F362BA" w14:textId="57FC0912" w:rsidR="00545BFE" w:rsidRPr="0082059F" w:rsidRDefault="00F333AB"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The main objective of this report is to provide key findings on the status of implementation of the CEDAW in view of the Concluding Observations and recommendations made by the CEDAW Committee to the Government of </w:t>
      </w:r>
      <w:r w:rsidRPr="0022646D">
        <w:rPr>
          <w:rFonts w:ascii="Bookman Old Style" w:hAnsi="Bookman Old Style"/>
          <w:sz w:val="24"/>
          <w:szCs w:val="24"/>
        </w:rPr>
        <w:t>Rwanda reference number CEDAW/C/RWA/CO/6 in 2009</w:t>
      </w:r>
      <w:r w:rsidRPr="0082059F">
        <w:rPr>
          <w:rFonts w:ascii="Bookman Old Style" w:hAnsi="Bookman Old Style"/>
          <w:sz w:val="24"/>
          <w:szCs w:val="24"/>
        </w:rPr>
        <w:t xml:space="preserve">. The report provides potential grounds for legal reforms, policy changes and other measures aimed at </w:t>
      </w:r>
      <w:r w:rsidRPr="0082059F">
        <w:rPr>
          <w:rFonts w:ascii="Bookman Old Style" w:hAnsi="Bookman Old Style"/>
          <w:sz w:val="24"/>
          <w:szCs w:val="24"/>
        </w:rPr>
        <w:lastRenderedPageBreak/>
        <w:t>improving the rights situation of women in Rwanda</w:t>
      </w:r>
      <w:r w:rsidR="00545BFE">
        <w:rPr>
          <w:rFonts w:ascii="Bookman Old Style" w:hAnsi="Bookman Old Style"/>
          <w:sz w:val="24"/>
          <w:szCs w:val="24"/>
        </w:rPr>
        <w:t>. It should be noted that, much as s</w:t>
      </w:r>
      <w:r w:rsidR="00AE15ED">
        <w:rPr>
          <w:rFonts w:ascii="Bookman Old Style" w:hAnsi="Bookman Old Style"/>
          <w:sz w:val="24"/>
          <w:szCs w:val="24"/>
        </w:rPr>
        <w:t>ome rights h</w:t>
      </w:r>
      <w:r w:rsidR="00545BFE">
        <w:rPr>
          <w:rFonts w:ascii="Bookman Old Style" w:hAnsi="Bookman Old Style"/>
          <w:sz w:val="24"/>
          <w:szCs w:val="24"/>
        </w:rPr>
        <w:t>ave been improved such as the</w:t>
      </w:r>
      <w:r w:rsidR="00545BFE" w:rsidRPr="00545BFE">
        <w:t xml:space="preserve"> </w:t>
      </w:r>
      <w:r w:rsidR="00545BFE">
        <w:rPr>
          <w:rFonts w:ascii="Bookman Old Style" w:hAnsi="Bookman Old Style"/>
          <w:sz w:val="24"/>
          <w:szCs w:val="24"/>
        </w:rPr>
        <w:t>removal of</w:t>
      </w:r>
      <w:r w:rsidR="00545BFE" w:rsidRPr="00545BFE">
        <w:rPr>
          <w:rFonts w:ascii="Bookman Old Style" w:hAnsi="Bookman Old Style"/>
          <w:sz w:val="24"/>
          <w:szCs w:val="24"/>
        </w:rPr>
        <w:t xml:space="preserve"> court order</w:t>
      </w:r>
      <w:r w:rsidR="00545BFE">
        <w:rPr>
          <w:rFonts w:ascii="Bookman Old Style" w:hAnsi="Bookman Old Style"/>
          <w:sz w:val="24"/>
          <w:szCs w:val="24"/>
        </w:rPr>
        <w:t xml:space="preserve"> as a requirement for abortion from the 2018 penal code, </w:t>
      </w:r>
      <w:r w:rsidR="00AE15ED">
        <w:rPr>
          <w:rFonts w:ascii="Bookman Old Style" w:hAnsi="Bookman Old Style"/>
          <w:sz w:val="24"/>
          <w:szCs w:val="24"/>
        </w:rPr>
        <w:t>others are yet to be addressed.</w:t>
      </w:r>
    </w:p>
    <w:p w14:paraId="7DCE1E21" w14:textId="77777777" w:rsidR="00BC31ED" w:rsidRPr="0082059F" w:rsidRDefault="00F333AB" w:rsidP="0022646D">
      <w:pPr>
        <w:spacing w:line="360" w:lineRule="auto"/>
        <w:jc w:val="both"/>
        <w:rPr>
          <w:rFonts w:ascii="Bookman Old Style" w:hAnsi="Bookman Old Style"/>
          <w:b/>
          <w:sz w:val="24"/>
          <w:szCs w:val="24"/>
        </w:rPr>
      </w:pPr>
      <w:r w:rsidRPr="0082059F">
        <w:rPr>
          <w:rFonts w:ascii="Bookman Old Style" w:hAnsi="Bookman Old Style"/>
          <w:b/>
          <w:sz w:val="24"/>
          <w:szCs w:val="24"/>
        </w:rPr>
        <w:t>Methodology</w:t>
      </w:r>
    </w:p>
    <w:p w14:paraId="6766CF7F" w14:textId="40D032B4" w:rsidR="00BC31ED" w:rsidRPr="0082059F" w:rsidRDefault="00F333AB" w:rsidP="0022646D">
      <w:pPr>
        <w:spacing w:line="360" w:lineRule="auto"/>
        <w:jc w:val="both"/>
        <w:rPr>
          <w:rFonts w:ascii="Bookman Old Style" w:hAnsi="Bookman Old Style"/>
          <w:sz w:val="24"/>
          <w:szCs w:val="24"/>
        </w:rPr>
      </w:pPr>
      <w:r w:rsidRPr="0082059F">
        <w:rPr>
          <w:rFonts w:ascii="Bookman Old Style" w:hAnsi="Bookman Old Style"/>
          <w:sz w:val="24"/>
          <w:szCs w:val="24"/>
        </w:rPr>
        <w:t>The drafting of this report was based on data collected from studies, national reports, interviews with some key informants (public and private institutions</w:t>
      </w:r>
      <w:r w:rsidR="00AE4F89" w:rsidRPr="0082059F">
        <w:rPr>
          <w:rFonts w:ascii="Bookman Old Style" w:hAnsi="Bookman Old Style"/>
          <w:sz w:val="24"/>
          <w:szCs w:val="24"/>
        </w:rPr>
        <w:t xml:space="preserve"> and individual women from district and sectors of Rwanda), </w:t>
      </w:r>
      <w:r w:rsidRPr="0082059F">
        <w:rPr>
          <w:rFonts w:ascii="Bookman Old Style" w:hAnsi="Bookman Old Style"/>
          <w:sz w:val="24"/>
          <w:szCs w:val="24"/>
        </w:rPr>
        <w:t>national documents including; laws, policies and strategic plans</w:t>
      </w:r>
      <w:r w:rsidR="00397366" w:rsidRPr="0082059F">
        <w:rPr>
          <w:rFonts w:ascii="Bookman Old Style" w:hAnsi="Bookman Old Style"/>
          <w:sz w:val="24"/>
          <w:szCs w:val="24"/>
        </w:rPr>
        <w:t>.</w:t>
      </w:r>
    </w:p>
    <w:p w14:paraId="6E33308C" w14:textId="77777777" w:rsidR="00BC31ED" w:rsidRPr="0082059F" w:rsidRDefault="00F333AB" w:rsidP="0022646D">
      <w:pPr>
        <w:spacing w:line="360" w:lineRule="auto"/>
        <w:jc w:val="both"/>
        <w:rPr>
          <w:rFonts w:ascii="Bookman Old Style" w:hAnsi="Bookman Old Style"/>
          <w:b/>
          <w:sz w:val="24"/>
          <w:szCs w:val="24"/>
        </w:rPr>
      </w:pPr>
      <w:r w:rsidRPr="0082059F">
        <w:rPr>
          <w:rFonts w:ascii="Bookman Old Style" w:hAnsi="Bookman Old Style"/>
          <w:b/>
          <w:sz w:val="24"/>
          <w:szCs w:val="24"/>
        </w:rPr>
        <w:t xml:space="preserve">Key Findings </w:t>
      </w:r>
    </w:p>
    <w:p w14:paraId="3CDA5CE7" w14:textId="05F2E9D1" w:rsidR="00C53421" w:rsidRDefault="00F333AB"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The report notes progress made by the Government of Rwanda in implementing recommendations contained in </w:t>
      </w:r>
      <w:r w:rsidR="00AE4F89" w:rsidRPr="0022646D">
        <w:rPr>
          <w:rFonts w:ascii="Bookman Old Style" w:hAnsi="Bookman Old Style"/>
          <w:sz w:val="24"/>
          <w:szCs w:val="24"/>
        </w:rPr>
        <w:t>previous reports and observations</w:t>
      </w:r>
      <w:r w:rsidRPr="0082059F">
        <w:rPr>
          <w:rFonts w:ascii="Bookman Old Style" w:hAnsi="Bookman Old Style"/>
          <w:sz w:val="24"/>
          <w:szCs w:val="24"/>
        </w:rPr>
        <w:t>. The report notes with appreciation, legal reform undertaken as well the adoption of various policies, strategic plans and initiatives which have contributed to the improvement of women’s rights in Rwanda</w:t>
      </w:r>
      <w:r w:rsidR="00AE15ED">
        <w:rPr>
          <w:rFonts w:ascii="Bookman Old Style" w:hAnsi="Bookman Old Style"/>
          <w:sz w:val="24"/>
          <w:szCs w:val="24"/>
        </w:rPr>
        <w:t>.</w:t>
      </w:r>
    </w:p>
    <w:p w14:paraId="202ACF14" w14:textId="77777777" w:rsidR="00812CEA" w:rsidRDefault="00812CEA" w:rsidP="0022646D">
      <w:pPr>
        <w:spacing w:line="360" w:lineRule="auto"/>
        <w:jc w:val="both"/>
        <w:rPr>
          <w:rFonts w:ascii="Bookman Old Style" w:hAnsi="Bookman Old Style"/>
          <w:sz w:val="24"/>
          <w:szCs w:val="24"/>
        </w:rPr>
      </w:pPr>
    </w:p>
    <w:p w14:paraId="08D31C3E" w14:textId="1163AFBB" w:rsidR="00C53421" w:rsidRPr="0082059F" w:rsidRDefault="00C53421" w:rsidP="0022646D">
      <w:pPr>
        <w:spacing w:line="360" w:lineRule="auto"/>
        <w:jc w:val="both"/>
        <w:rPr>
          <w:rFonts w:ascii="Bookman Old Style" w:hAnsi="Bookman Old Style"/>
          <w:b/>
          <w:sz w:val="24"/>
          <w:szCs w:val="24"/>
        </w:rPr>
      </w:pPr>
      <w:r w:rsidRPr="0082059F">
        <w:rPr>
          <w:rFonts w:ascii="Bookman Old Style" w:hAnsi="Bookman Old Style"/>
          <w:b/>
          <w:sz w:val="24"/>
          <w:szCs w:val="24"/>
        </w:rPr>
        <w:t xml:space="preserve">HEALTHCARE AND FAMILY PLANNING (Article 12 of CEDAW) </w:t>
      </w:r>
    </w:p>
    <w:p w14:paraId="25EF256E" w14:textId="77777777" w:rsidR="00F53FC5" w:rsidRPr="0082059F" w:rsidRDefault="00F53FC5" w:rsidP="0022646D">
      <w:pPr>
        <w:pStyle w:val="ListParagraph"/>
        <w:numPr>
          <w:ilvl w:val="0"/>
          <w:numId w:val="1"/>
        </w:numPr>
        <w:spacing w:line="360" w:lineRule="auto"/>
        <w:jc w:val="both"/>
        <w:rPr>
          <w:rFonts w:ascii="Bookman Old Style" w:hAnsi="Bookman Old Style"/>
          <w:b/>
          <w:sz w:val="24"/>
          <w:szCs w:val="24"/>
        </w:rPr>
      </w:pPr>
      <w:r w:rsidRPr="0082059F">
        <w:rPr>
          <w:rFonts w:ascii="Bookman Old Style" w:hAnsi="Bookman Old Style"/>
          <w:b/>
          <w:sz w:val="24"/>
          <w:szCs w:val="24"/>
        </w:rPr>
        <w:t xml:space="preserve">Family planning </w:t>
      </w:r>
    </w:p>
    <w:p w14:paraId="627BBB8F" w14:textId="77777777" w:rsidR="00C53421" w:rsidRPr="0082059F" w:rsidRDefault="00C53421" w:rsidP="0022646D">
      <w:pPr>
        <w:spacing w:line="360" w:lineRule="auto"/>
        <w:jc w:val="both"/>
        <w:rPr>
          <w:rFonts w:ascii="Bookman Old Style" w:hAnsi="Bookman Old Style"/>
          <w:sz w:val="24"/>
          <w:szCs w:val="24"/>
        </w:rPr>
      </w:pPr>
      <w:r w:rsidRPr="0082059F">
        <w:rPr>
          <w:rFonts w:ascii="Bookman Old Style" w:hAnsi="Bookman Old Style"/>
          <w:sz w:val="24"/>
          <w:szCs w:val="24"/>
        </w:rPr>
        <w:t>Positive developments</w:t>
      </w:r>
      <w:r w:rsidR="00997B65" w:rsidRPr="0082059F">
        <w:rPr>
          <w:rFonts w:ascii="Bookman Old Style" w:hAnsi="Bookman Old Style"/>
          <w:sz w:val="24"/>
          <w:szCs w:val="24"/>
        </w:rPr>
        <w:t>:</w:t>
      </w:r>
      <w:r w:rsidRPr="0082059F">
        <w:rPr>
          <w:rFonts w:ascii="Bookman Old Style" w:hAnsi="Bookman Old Style"/>
          <w:sz w:val="24"/>
          <w:szCs w:val="24"/>
        </w:rPr>
        <w:t xml:space="preserve"> GLIHD commends the Government of Rwanda for r</w:t>
      </w:r>
      <w:r w:rsidR="00997B65" w:rsidRPr="0082059F">
        <w:rPr>
          <w:rFonts w:ascii="Bookman Old Style" w:hAnsi="Bookman Old Style"/>
          <w:sz w:val="24"/>
          <w:szCs w:val="24"/>
        </w:rPr>
        <w:t>educing maternal mortality rate especially among teenage mothers</w:t>
      </w:r>
      <w:r w:rsidRPr="0082059F">
        <w:rPr>
          <w:rFonts w:ascii="Bookman Old Style" w:hAnsi="Bookman Old Style"/>
          <w:sz w:val="24"/>
          <w:szCs w:val="24"/>
        </w:rPr>
        <w:t xml:space="preserve"> </w:t>
      </w:r>
    </w:p>
    <w:p w14:paraId="3FD74B8B" w14:textId="77777777" w:rsidR="00997B65" w:rsidRPr="0082059F" w:rsidRDefault="00C53421" w:rsidP="0022646D">
      <w:pPr>
        <w:spacing w:line="360" w:lineRule="auto"/>
        <w:jc w:val="both"/>
        <w:rPr>
          <w:rFonts w:ascii="Bookman Old Style" w:hAnsi="Bookman Old Style"/>
          <w:b/>
          <w:sz w:val="24"/>
          <w:szCs w:val="24"/>
        </w:rPr>
      </w:pPr>
      <w:r w:rsidRPr="0082059F">
        <w:rPr>
          <w:rFonts w:ascii="Bookman Old Style" w:hAnsi="Bookman Old Style"/>
          <w:sz w:val="24"/>
          <w:szCs w:val="24"/>
        </w:rPr>
        <w:t>According to the latest Rwanda Demographi</w:t>
      </w:r>
      <w:r w:rsidR="002855DA" w:rsidRPr="0082059F">
        <w:rPr>
          <w:rFonts w:ascii="Bookman Old Style" w:hAnsi="Bookman Old Style"/>
          <w:sz w:val="24"/>
          <w:szCs w:val="24"/>
        </w:rPr>
        <w:t>c Health Survey (RDHS) 2019-2020</w:t>
      </w:r>
      <w:r w:rsidRPr="0082059F">
        <w:rPr>
          <w:rFonts w:ascii="Bookman Old Style" w:hAnsi="Bookman Old Style"/>
          <w:sz w:val="24"/>
          <w:szCs w:val="24"/>
        </w:rPr>
        <w:t xml:space="preserve">, </w:t>
      </w:r>
      <w:r w:rsidR="002855DA" w:rsidRPr="0082059F">
        <w:rPr>
          <w:rFonts w:ascii="Bookman Old Style" w:hAnsi="Bookman Old Style"/>
          <w:sz w:val="24"/>
          <w:szCs w:val="24"/>
        </w:rPr>
        <w:t>overall, 5% of women age 15-19 have begun childbearing: 4% have had a live birth, and 1% were pregnant at the time of the interview. The proportion of teenagers who have begun childbearing rises rapidly with age, from less than 1% at age 15 to 15% at age 19. Teenagers with no education and those in the lowest wealth quintile tend to start childbearing earlier than other teenagers. Teenagers in East province are more likely to start childbearing earlier than their counterparts</w:t>
      </w:r>
      <w:r w:rsidR="00997B65" w:rsidRPr="0082059F">
        <w:rPr>
          <w:rFonts w:ascii="Bookman Old Style" w:hAnsi="Bookman Old Style"/>
          <w:sz w:val="24"/>
          <w:szCs w:val="24"/>
        </w:rPr>
        <w:t>. However, these teenage pregnancies can be reduced further if teenagers are allowed to access contraceptives.</w:t>
      </w:r>
    </w:p>
    <w:p w14:paraId="4179F13B" w14:textId="77777777" w:rsidR="00997B65" w:rsidRPr="0082059F" w:rsidRDefault="00997B65" w:rsidP="0022646D">
      <w:pPr>
        <w:spacing w:line="360" w:lineRule="auto"/>
        <w:jc w:val="both"/>
        <w:rPr>
          <w:rFonts w:ascii="Bookman Old Style" w:hAnsi="Bookman Old Style"/>
          <w:b/>
          <w:sz w:val="24"/>
          <w:szCs w:val="24"/>
        </w:rPr>
      </w:pPr>
      <w:r w:rsidRPr="0082059F">
        <w:rPr>
          <w:rFonts w:ascii="Bookman Old Style" w:hAnsi="Bookman Old Style"/>
          <w:b/>
          <w:sz w:val="24"/>
          <w:szCs w:val="24"/>
        </w:rPr>
        <w:t>Recommendation:</w:t>
      </w:r>
    </w:p>
    <w:p w14:paraId="7E284730" w14:textId="77777777" w:rsidR="00997B65" w:rsidRPr="00AA2082" w:rsidRDefault="00997B65" w:rsidP="0022646D">
      <w:pPr>
        <w:spacing w:line="360" w:lineRule="auto"/>
        <w:jc w:val="both"/>
        <w:rPr>
          <w:rFonts w:ascii="Bookman Old Style" w:hAnsi="Bookman Old Style"/>
          <w:sz w:val="24"/>
          <w:szCs w:val="24"/>
        </w:rPr>
      </w:pPr>
      <w:r w:rsidRPr="0082059F">
        <w:rPr>
          <w:rFonts w:ascii="Bookman Old Style" w:hAnsi="Bookman Old Style"/>
          <w:b/>
          <w:sz w:val="24"/>
          <w:szCs w:val="24"/>
        </w:rPr>
        <w:t xml:space="preserve"> </w:t>
      </w:r>
      <w:r w:rsidRPr="00AA2082">
        <w:rPr>
          <w:rFonts w:ascii="Bookman Old Style" w:hAnsi="Bookman Old Style"/>
          <w:sz w:val="24"/>
          <w:szCs w:val="24"/>
        </w:rPr>
        <w:t xml:space="preserve">GLIHD calls upon the CEDAW Committee to recommend the Government of Rwanda to: </w:t>
      </w:r>
    </w:p>
    <w:p w14:paraId="6A3FE5B6" w14:textId="77777777" w:rsidR="002855DA" w:rsidRPr="00AA2082" w:rsidRDefault="00997B65" w:rsidP="0022646D">
      <w:pPr>
        <w:spacing w:line="360" w:lineRule="auto"/>
        <w:jc w:val="both"/>
        <w:rPr>
          <w:rFonts w:ascii="Bookman Old Style" w:hAnsi="Bookman Old Style"/>
          <w:sz w:val="24"/>
          <w:szCs w:val="24"/>
        </w:rPr>
      </w:pPr>
      <w:r w:rsidRPr="00AA2082">
        <w:rPr>
          <w:rFonts w:ascii="Bookman Old Style" w:hAnsi="Bookman Old Style"/>
          <w:sz w:val="24"/>
          <w:szCs w:val="24"/>
        </w:rPr>
        <w:t>• Allow teenagers (age 15-19) to access contraceptives through a revised</w:t>
      </w:r>
      <w:r w:rsidR="009D63A2" w:rsidRPr="00AA2082">
        <w:rPr>
          <w:rFonts w:ascii="Bookman Old Style" w:hAnsi="Bookman Old Style"/>
          <w:sz w:val="24"/>
          <w:szCs w:val="24"/>
        </w:rPr>
        <w:t xml:space="preserve"> sexual reproductive and health rights law and medical liability law </w:t>
      </w:r>
    </w:p>
    <w:p w14:paraId="305C58E6" w14:textId="77777777" w:rsidR="002855DA" w:rsidRPr="0082059F" w:rsidRDefault="00C8157A" w:rsidP="0022646D">
      <w:pPr>
        <w:pStyle w:val="ListParagraph"/>
        <w:numPr>
          <w:ilvl w:val="0"/>
          <w:numId w:val="1"/>
        </w:numPr>
        <w:spacing w:line="360" w:lineRule="auto"/>
        <w:jc w:val="both"/>
        <w:rPr>
          <w:rFonts w:ascii="Bookman Old Style" w:hAnsi="Bookman Old Style"/>
          <w:b/>
          <w:sz w:val="24"/>
          <w:szCs w:val="24"/>
        </w:rPr>
      </w:pPr>
      <w:r w:rsidRPr="0082059F">
        <w:rPr>
          <w:rFonts w:ascii="Bookman Old Style" w:hAnsi="Bookman Old Style"/>
          <w:b/>
          <w:sz w:val="24"/>
          <w:szCs w:val="24"/>
        </w:rPr>
        <w:t xml:space="preserve">Abortion </w:t>
      </w:r>
    </w:p>
    <w:p w14:paraId="4781535E" w14:textId="75E5A2F6" w:rsidR="00545BFE" w:rsidRDefault="00C53421"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 </w:t>
      </w:r>
      <w:r w:rsidR="00545BFE">
        <w:rPr>
          <w:rFonts w:ascii="Bookman Old Style" w:hAnsi="Bookman Old Style"/>
          <w:sz w:val="24"/>
          <w:szCs w:val="24"/>
        </w:rPr>
        <w:t>notes that unlike the 1977 penal code,</w:t>
      </w:r>
      <w:r w:rsidR="00AE15ED">
        <w:rPr>
          <w:rFonts w:ascii="Bookman Old Style" w:hAnsi="Bookman Old Style"/>
          <w:sz w:val="24"/>
          <w:szCs w:val="24"/>
        </w:rPr>
        <w:t xml:space="preserve"> the 2012 penal code</w:t>
      </w:r>
      <w:r w:rsidR="00AE15ED" w:rsidRPr="0082059F">
        <w:rPr>
          <w:rFonts w:ascii="Bookman Old Style" w:hAnsi="Bookman Old Style"/>
          <w:sz w:val="24"/>
          <w:szCs w:val="24"/>
        </w:rPr>
        <w:t xml:space="preserve"> expan</w:t>
      </w:r>
      <w:r w:rsidR="00AE15ED">
        <w:rPr>
          <w:rFonts w:ascii="Bookman Old Style" w:hAnsi="Bookman Old Style"/>
          <w:sz w:val="24"/>
          <w:szCs w:val="24"/>
        </w:rPr>
        <w:t>ded</w:t>
      </w:r>
      <w:r w:rsidR="00AE15ED" w:rsidRPr="0082059F">
        <w:rPr>
          <w:rFonts w:ascii="Bookman Old Style" w:hAnsi="Bookman Old Style"/>
          <w:sz w:val="24"/>
          <w:szCs w:val="24"/>
        </w:rPr>
        <w:t xml:space="preserve"> </w:t>
      </w:r>
      <w:r w:rsidRPr="0082059F">
        <w:rPr>
          <w:rFonts w:ascii="Bookman Old Style" w:hAnsi="Bookman Old Style"/>
          <w:sz w:val="24"/>
          <w:szCs w:val="24"/>
        </w:rPr>
        <w:t xml:space="preserve">grounds for legal abortion </w:t>
      </w:r>
      <w:r w:rsidR="00AE15ED">
        <w:rPr>
          <w:rFonts w:ascii="Bookman Old Style" w:hAnsi="Bookman Old Style"/>
          <w:sz w:val="24"/>
          <w:szCs w:val="24"/>
        </w:rPr>
        <w:t xml:space="preserve">and the 2018 law determining offenses and </w:t>
      </w:r>
      <w:r w:rsidR="00545BFE">
        <w:rPr>
          <w:rFonts w:ascii="Bookman Old Style" w:hAnsi="Bookman Old Style"/>
          <w:sz w:val="24"/>
          <w:szCs w:val="24"/>
        </w:rPr>
        <w:t>penalties</w:t>
      </w:r>
      <w:r w:rsidR="00AE15ED">
        <w:rPr>
          <w:rFonts w:ascii="Bookman Old Style" w:hAnsi="Bookman Old Style"/>
          <w:sz w:val="24"/>
          <w:szCs w:val="24"/>
        </w:rPr>
        <w:t xml:space="preserve"> in general which henceforth removed the court order as a requirement for abortion</w:t>
      </w:r>
      <w:r w:rsidRPr="0082059F">
        <w:rPr>
          <w:rFonts w:ascii="Bookman Old Style" w:hAnsi="Bookman Old Style"/>
          <w:sz w:val="24"/>
          <w:szCs w:val="24"/>
        </w:rPr>
        <w:t xml:space="preserve">. </w:t>
      </w:r>
    </w:p>
    <w:p w14:paraId="4F07D6A6" w14:textId="718FDE58" w:rsidR="009D63A2" w:rsidRPr="0082059F" w:rsidRDefault="009D63A2" w:rsidP="0022646D">
      <w:pPr>
        <w:spacing w:line="360" w:lineRule="auto"/>
        <w:jc w:val="both"/>
        <w:rPr>
          <w:rFonts w:ascii="Bookman Old Style" w:hAnsi="Bookman Old Style"/>
          <w:b/>
          <w:sz w:val="24"/>
          <w:szCs w:val="24"/>
        </w:rPr>
      </w:pPr>
      <w:r w:rsidRPr="0082059F">
        <w:rPr>
          <w:rFonts w:ascii="Bookman Old Style" w:hAnsi="Bookman Old Style"/>
          <w:b/>
          <w:sz w:val="24"/>
          <w:szCs w:val="24"/>
        </w:rPr>
        <w:t>Areas of concern</w:t>
      </w:r>
    </w:p>
    <w:p w14:paraId="7AC26DE0" w14:textId="77777777" w:rsidR="004C26CA" w:rsidRPr="0082059F" w:rsidRDefault="00C53421" w:rsidP="0022646D">
      <w:pPr>
        <w:spacing w:line="360" w:lineRule="auto"/>
        <w:jc w:val="both"/>
        <w:rPr>
          <w:rFonts w:ascii="Bookman Old Style" w:hAnsi="Bookman Old Style"/>
          <w:sz w:val="24"/>
          <w:szCs w:val="24"/>
        </w:rPr>
      </w:pPr>
      <w:r w:rsidRPr="0082059F">
        <w:rPr>
          <w:rFonts w:ascii="Bookman Old Style" w:hAnsi="Bookman Old Style"/>
          <w:sz w:val="24"/>
          <w:szCs w:val="24"/>
        </w:rPr>
        <w:t>According to findings from the study jointly conducted by Guttmacher Institute and the School of Public Health of the National University of Rwanda an estimated 22 % of unintended pregnancies in Rwanda that end in induced abortion are carried out in unsafe methods due to legal restrictions and strong stigma surrounding abortio</w:t>
      </w:r>
      <w:r w:rsidR="009D63A2" w:rsidRPr="0082059F">
        <w:rPr>
          <w:rFonts w:ascii="Bookman Old Style" w:hAnsi="Bookman Old Style"/>
          <w:sz w:val="24"/>
          <w:szCs w:val="24"/>
        </w:rPr>
        <w:t>n.</w:t>
      </w:r>
      <w:r w:rsidRPr="0082059F">
        <w:rPr>
          <w:rFonts w:ascii="Bookman Old Style" w:hAnsi="Bookman Old Style"/>
          <w:sz w:val="24"/>
          <w:szCs w:val="24"/>
        </w:rPr>
        <w:t xml:space="preserve"> The same study revealed that half of abortions in Rwanda are performed by untrained </w:t>
      </w:r>
      <w:r w:rsidR="009D63A2" w:rsidRPr="0082059F">
        <w:rPr>
          <w:rFonts w:ascii="Bookman Old Style" w:hAnsi="Bookman Old Style"/>
          <w:sz w:val="24"/>
          <w:szCs w:val="24"/>
        </w:rPr>
        <w:t xml:space="preserve">health </w:t>
      </w:r>
      <w:r w:rsidRPr="0082059F">
        <w:rPr>
          <w:rFonts w:ascii="Bookman Old Style" w:hAnsi="Bookman Old Style"/>
          <w:sz w:val="24"/>
          <w:szCs w:val="24"/>
        </w:rPr>
        <w:t xml:space="preserve">providers. </w:t>
      </w:r>
    </w:p>
    <w:p w14:paraId="242487FB" w14:textId="7B022FC2"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According to the Rapid Assessment conducted by GLIHD, findings indicate that 90% of health centers have at least a midwife who can perform Post Abortion Care (PAC) services after training and that health centers have enough nurses available in different levels A1 and A2 who can support in the provision of safe abortion services. Therefore, it is feasible to train and assign specifically trained mid-wives and nurses to handle safe abortion services at first level.</w:t>
      </w:r>
    </w:p>
    <w:p w14:paraId="2881706B" w14:textId="77777777" w:rsidR="0090142E" w:rsidRPr="0082059F" w:rsidRDefault="0090142E" w:rsidP="0022646D">
      <w:pPr>
        <w:spacing w:line="360" w:lineRule="auto"/>
        <w:jc w:val="both"/>
        <w:rPr>
          <w:rFonts w:ascii="Bookman Old Style" w:hAnsi="Bookman Old Style"/>
          <w:sz w:val="24"/>
          <w:szCs w:val="24"/>
        </w:rPr>
      </w:pPr>
    </w:p>
    <w:p w14:paraId="08C2703F" w14:textId="77777777"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Moreover, In Rwanda, Health Centers serve as the first entry level for accessing health services and thus are well placed in terms of accessibility due to their proximity to persons seeking different health services. Consequently, they are well placed to offer safe abortion services.</w:t>
      </w:r>
    </w:p>
    <w:p w14:paraId="3A2DD611" w14:textId="1A68C4C2"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In 2003, WHO’s safe abortion guidance recommended that abortion services be provided at the lowest appropriate level of the health-care system. It states that vacuum aspiration can be provided at primary-care level up to 12 completed weeks of pregnancy and medical abortion up to 9 completed weeks of pregnancy, and that mid-level health workers can be trained to </w:t>
      </w:r>
    </w:p>
    <w:p w14:paraId="0B7A2BE3" w14:textId="00CF0079"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provide safe, early abortion without compromising safety. It includes mid-level providers: midwives, nurse practitioners, clinical officers, physician assistants, and others. Training includes a bimanual pelvic examination to determine pregnancy and positioning of the uterus, uterine sounding, trans</w:t>
      </w:r>
      <w:r w:rsidR="0022646D">
        <w:rPr>
          <w:rFonts w:ascii="Bookman Old Style" w:hAnsi="Bookman Old Style"/>
          <w:sz w:val="24"/>
          <w:szCs w:val="24"/>
        </w:rPr>
        <w:t>-</w:t>
      </w:r>
      <w:r w:rsidRPr="0082059F">
        <w:rPr>
          <w:rFonts w:ascii="Bookman Old Style" w:hAnsi="Bookman Old Style"/>
          <w:sz w:val="24"/>
          <w:szCs w:val="24"/>
        </w:rPr>
        <w:t>cervical procedures, provision of abortion, and skills for recognition and management of complications. (Bulletin of the World Health Organization)</w:t>
      </w:r>
    </w:p>
    <w:p w14:paraId="68F2518B" w14:textId="77777777"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The role of mid-level health workers is growing in many aspects of health care, both in developing countries because of the crisis in human resources in health systems, and in developed countries to reduce the cost of health care when procedures allow for a lower cadre of providers than physicians. As Iyengar described in 2005: "Measures for de medicalizing primary health services include adoption of simpler technology and service protocols, authorization and training of less qualified providers, simplification or elimination of facility requirements, the establishment of robust referral links to hospitals, increasing use</w:t>
      </w:r>
      <w:r w:rsidR="00812CEA">
        <w:rPr>
          <w:rFonts w:ascii="Bookman Old Style" w:hAnsi="Bookman Old Style"/>
          <w:sz w:val="24"/>
          <w:szCs w:val="24"/>
        </w:rPr>
        <w:t>r control and self-medication."</w:t>
      </w:r>
      <w:r w:rsidRPr="0082059F">
        <w:rPr>
          <w:rFonts w:ascii="Bookman Old Style" w:hAnsi="Bookman Old Style"/>
          <w:sz w:val="24"/>
          <w:szCs w:val="24"/>
        </w:rPr>
        <w:t>(Iyengar SD. Introducing medical abortion within the primary health system: comparison with other health interventions and commodities. Reprod</w:t>
      </w:r>
      <w:r w:rsidR="00812CEA">
        <w:rPr>
          <w:rFonts w:ascii="Bookman Old Style" w:hAnsi="Bookman Old Style"/>
          <w:sz w:val="24"/>
          <w:szCs w:val="24"/>
        </w:rPr>
        <w:t>uctive</w:t>
      </w:r>
      <w:r w:rsidRPr="0082059F">
        <w:rPr>
          <w:rFonts w:ascii="Bookman Old Style" w:hAnsi="Bookman Old Style"/>
          <w:sz w:val="24"/>
          <w:szCs w:val="24"/>
        </w:rPr>
        <w:t xml:space="preserve"> Health Matters 2005; 13: 13-9 doi: 10.1016/S0968-8080(05)26217-1 pmid: 16291482.)</w:t>
      </w:r>
    </w:p>
    <w:p w14:paraId="332F3689" w14:textId="77777777" w:rsidR="0090142E" w:rsidRPr="0082059F" w:rsidRDefault="0090142E" w:rsidP="0022646D">
      <w:pPr>
        <w:spacing w:line="360" w:lineRule="auto"/>
        <w:jc w:val="both"/>
        <w:rPr>
          <w:rFonts w:ascii="Bookman Old Style" w:hAnsi="Bookman Old Style"/>
          <w:sz w:val="24"/>
          <w:szCs w:val="24"/>
        </w:rPr>
      </w:pPr>
    </w:p>
    <w:p w14:paraId="354BF4F8" w14:textId="77777777" w:rsidR="0090142E" w:rsidRPr="0082059F"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Examples of countries where Mid-level healthcare providers can provide abortion services include; the Unites States of America, Kenya and Ethiopia. In the United States of America for example, physician assistants, certified by the Board of Medical Practice in the United States of America (USA), have been permitted to carry out early abortions in the states of Montana and Vermont since 1975. (Freedman MA, Jillson D, Coffin RR, Novick LF. Comparison of complication rates in first trimester abortions performed by physician assistants and physicians. Am J Public Health 1986; 76: 550-4 doi: 10.2105/AJPH.76.5.550 pmid: 2870654.)</w:t>
      </w:r>
    </w:p>
    <w:p w14:paraId="608BADE2" w14:textId="79378A9A" w:rsidR="00A83738" w:rsidRPr="00812CEA" w:rsidRDefault="0090142E" w:rsidP="0022646D">
      <w:pPr>
        <w:spacing w:line="360" w:lineRule="auto"/>
        <w:jc w:val="both"/>
        <w:rPr>
          <w:rFonts w:ascii="Bookman Old Style" w:hAnsi="Bookman Old Style"/>
          <w:sz w:val="24"/>
          <w:szCs w:val="24"/>
        </w:rPr>
      </w:pPr>
      <w:r w:rsidRPr="0082059F">
        <w:rPr>
          <w:rFonts w:ascii="Bookman Old Style" w:hAnsi="Bookman Old Style"/>
          <w:sz w:val="24"/>
          <w:szCs w:val="24"/>
        </w:rPr>
        <w:t>In Kenya (an Eastern Africa member state like Rwanda) and Ethiopia; both states advance more than Rwanda to liberate midlevel health care providers as trained health professionals are allowed to perform abortion (article 26 par 4 of Kenya constitution). In Ethiopia since the enactment of the new law of 2005 efforts have been undertaken to improve the access to safe abortion and related care by training midlevel health care providers.</w:t>
      </w:r>
    </w:p>
    <w:p w14:paraId="699A9CDA" w14:textId="77777777" w:rsidR="00A83738" w:rsidRPr="00AA2082" w:rsidRDefault="00C53421" w:rsidP="0022646D">
      <w:pPr>
        <w:spacing w:line="360" w:lineRule="auto"/>
        <w:jc w:val="both"/>
        <w:rPr>
          <w:rFonts w:ascii="Bookman Old Style" w:hAnsi="Bookman Old Style"/>
          <w:sz w:val="24"/>
          <w:szCs w:val="24"/>
        </w:rPr>
      </w:pPr>
      <w:r w:rsidRPr="00AA2082">
        <w:rPr>
          <w:rFonts w:ascii="Bookman Old Style" w:hAnsi="Bookman Old Style"/>
          <w:sz w:val="24"/>
          <w:szCs w:val="24"/>
        </w:rPr>
        <w:t>GLIHD is concerned with doctor authorization requirement for an abortion when the pregnancy is threatening the health of the woman (article 166 of the Penal Code) bearing in mind the limited number of available medical doctors based on the ratio of 1 doctor per 15,806 patients.</w:t>
      </w:r>
    </w:p>
    <w:p w14:paraId="33BD0BB7" w14:textId="43D61E9E" w:rsidR="00A83738" w:rsidRPr="0082059F" w:rsidRDefault="00A83738" w:rsidP="0022646D">
      <w:pPr>
        <w:spacing w:line="360" w:lineRule="auto"/>
        <w:jc w:val="both"/>
        <w:rPr>
          <w:rFonts w:ascii="Bookman Old Style" w:hAnsi="Bookman Old Style"/>
          <w:sz w:val="24"/>
          <w:szCs w:val="24"/>
        </w:rPr>
      </w:pPr>
      <w:r w:rsidRPr="0082059F">
        <w:rPr>
          <w:rFonts w:ascii="Bookman Old Style" w:hAnsi="Bookman Old Style"/>
          <w:sz w:val="24"/>
          <w:szCs w:val="24"/>
        </w:rPr>
        <w:t>Under article 125, Paragraph 2 of the 2018 Law determining offenses and penalties</w:t>
      </w:r>
      <w:r w:rsidR="00253C88">
        <w:rPr>
          <w:rFonts w:ascii="Bookman Old Style" w:hAnsi="Bookman Old Style"/>
          <w:sz w:val="24"/>
          <w:szCs w:val="24"/>
        </w:rPr>
        <w:t xml:space="preserve"> in general</w:t>
      </w:r>
      <w:r w:rsidRPr="0082059F">
        <w:rPr>
          <w:rFonts w:ascii="Bookman Old Style" w:hAnsi="Bookman Old Style"/>
          <w:sz w:val="24"/>
          <w:szCs w:val="24"/>
        </w:rPr>
        <w:t>, a requirement of a medical doctor to perform an abortion was maintained. The article provides that; “A recognized medical doctor performs an abortion. Conditions to be satisfied for a medical doctor to perform an abortion are determined by an Order of the Minister in charge of health.”</w:t>
      </w:r>
    </w:p>
    <w:p w14:paraId="545B5E1F" w14:textId="58053CD9" w:rsidR="00A83738" w:rsidRPr="0082059F" w:rsidRDefault="00A83738" w:rsidP="0022646D">
      <w:pPr>
        <w:spacing w:line="360" w:lineRule="auto"/>
        <w:jc w:val="both"/>
        <w:rPr>
          <w:rFonts w:ascii="Bookman Old Style" w:hAnsi="Bookman Old Style"/>
          <w:sz w:val="24"/>
          <w:szCs w:val="24"/>
        </w:rPr>
      </w:pPr>
      <w:r w:rsidRPr="0082059F">
        <w:rPr>
          <w:rFonts w:ascii="Bookman Old Style" w:hAnsi="Bookman Old Style"/>
          <w:sz w:val="24"/>
          <w:szCs w:val="24"/>
        </w:rPr>
        <w:t>Subsequently, in line with implementing the provisions of article 125, Paragraph 2 of the law det</w:t>
      </w:r>
      <w:r w:rsidR="00DA64D6" w:rsidRPr="0082059F">
        <w:rPr>
          <w:rFonts w:ascii="Bookman Old Style" w:hAnsi="Bookman Old Style"/>
          <w:sz w:val="24"/>
          <w:szCs w:val="24"/>
        </w:rPr>
        <w:t>ermining offenses and penalties</w:t>
      </w:r>
      <w:r w:rsidRPr="0082059F">
        <w:rPr>
          <w:rFonts w:ascii="Bookman Old Style" w:hAnsi="Bookman Old Style"/>
          <w:sz w:val="24"/>
          <w:szCs w:val="24"/>
        </w:rPr>
        <w:t>, a Ministerial Order N°002/MoH/2019 of 08/04/2019 determining conditions to be satisfied for a medical doctor to perform an abortion was published.</w:t>
      </w:r>
    </w:p>
    <w:p w14:paraId="5036AE64" w14:textId="77777777" w:rsidR="00A83738" w:rsidRPr="0082059F" w:rsidRDefault="00A83738" w:rsidP="0022646D">
      <w:pPr>
        <w:spacing w:line="360" w:lineRule="auto"/>
        <w:jc w:val="both"/>
        <w:rPr>
          <w:rFonts w:ascii="Bookman Old Style" w:hAnsi="Bookman Old Style"/>
          <w:sz w:val="24"/>
          <w:szCs w:val="24"/>
        </w:rPr>
      </w:pPr>
    </w:p>
    <w:p w14:paraId="5CCD1814" w14:textId="77777777" w:rsidR="00A83738" w:rsidRPr="0082059F" w:rsidRDefault="00A83738" w:rsidP="0022646D">
      <w:pPr>
        <w:spacing w:line="360" w:lineRule="auto"/>
        <w:jc w:val="both"/>
        <w:rPr>
          <w:rFonts w:ascii="Bookman Old Style" w:hAnsi="Bookman Old Style"/>
          <w:sz w:val="24"/>
          <w:szCs w:val="24"/>
        </w:rPr>
      </w:pPr>
      <w:r w:rsidRPr="0082059F">
        <w:rPr>
          <w:rFonts w:ascii="Bookman Old Style" w:hAnsi="Bookman Old Style"/>
          <w:sz w:val="24"/>
          <w:szCs w:val="24"/>
        </w:rPr>
        <w:t>Therefore, according to the current legal status quo, only a medical doctor is allowed to perform safe abortion services. The requirement for only a medical Doctor to provide safe abortion services risk to limit the anticipated dividends of expanding access and affordability of safe abortion services and its positive outcomes in relation safeguarding reproductive health and rights due to scarcity of medical Doctors and unaffordability due to high cost of services.</w:t>
      </w:r>
    </w:p>
    <w:p w14:paraId="7D9F9E3F" w14:textId="2B79FAEC" w:rsidR="0082059F" w:rsidRPr="0082059F" w:rsidRDefault="0082059F"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Allowing mid-level Healthcare Professional to provide safe abortion services in Rwanda will facilitate expanding accessibility and affordability to all women and adolescent girls who qualify for and seek safe abortion services in accordance with the law. </w:t>
      </w:r>
    </w:p>
    <w:p w14:paraId="6F86E0AD" w14:textId="219CFD58" w:rsidR="00A83738" w:rsidRDefault="0082059F" w:rsidP="0022646D">
      <w:pPr>
        <w:spacing w:line="360" w:lineRule="auto"/>
        <w:jc w:val="both"/>
        <w:rPr>
          <w:rFonts w:ascii="Bookman Old Style" w:hAnsi="Bookman Old Style"/>
          <w:sz w:val="24"/>
          <w:szCs w:val="24"/>
        </w:rPr>
      </w:pPr>
      <w:r w:rsidRPr="0082059F">
        <w:rPr>
          <w:rFonts w:ascii="Bookman Old Style" w:hAnsi="Bookman Old Style"/>
          <w:sz w:val="24"/>
          <w:szCs w:val="24"/>
        </w:rPr>
        <w:t>This report specifically seeks to inform the CEDAW Committee on the existing barriers/challenges that still hinder access to and affordability of safe abortion services despite the tremendous strides made in law and practice, by the Government of Rwanda.</w:t>
      </w:r>
    </w:p>
    <w:p w14:paraId="1EAFEDDD" w14:textId="77777777" w:rsidR="00853A6B" w:rsidRPr="0082059F" w:rsidRDefault="00853A6B" w:rsidP="0022646D">
      <w:pPr>
        <w:spacing w:line="360" w:lineRule="auto"/>
        <w:jc w:val="both"/>
        <w:rPr>
          <w:rFonts w:ascii="Bookman Old Style" w:hAnsi="Bookman Old Style"/>
          <w:sz w:val="24"/>
          <w:szCs w:val="24"/>
        </w:rPr>
      </w:pPr>
    </w:p>
    <w:p w14:paraId="24664E8D" w14:textId="77777777" w:rsidR="00AA2082" w:rsidRPr="00AA2082" w:rsidRDefault="00AA2082" w:rsidP="0022646D">
      <w:pPr>
        <w:spacing w:line="360" w:lineRule="auto"/>
        <w:jc w:val="both"/>
        <w:rPr>
          <w:rFonts w:ascii="Bookman Old Style" w:hAnsi="Bookman Old Style"/>
          <w:b/>
          <w:sz w:val="24"/>
          <w:szCs w:val="24"/>
        </w:rPr>
      </w:pPr>
      <w:r>
        <w:rPr>
          <w:rFonts w:ascii="Bookman Old Style" w:hAnsi="Bookman Old Style"/>
          <w:b/>
          <w:sz w:val="24"/>
          <w:szCs w:val="24"/>
        </w:rPr>
        <w:t>Recommendations:</w:t>
      </w:r>
    </w:p>
    <w:p w14:paraId="03E03AE3" w14:textId="77777777" w:rsidR="0082059F" w:rsidRPr="0082059F" w:rsidRDefault="00C53421" w:rsidP="0022646D">
      <w:pPr>
        <w:spacing w:line="360" w:lineRule="auto"/>
        <w:jc w:val="both"/>
        <w:rPr>
          <w:rFonts w:ascii="Bookman Old Style" w:hAnsi="Bookman Old Style"/>
          <w:sz w:val="24"/>
          <w:szCs w:val="24"/>
        </w:rPr>
      </w:pPr>
      <w:r w:rsidRPr="0082059F">
        <w:rPr>
          <w:rFonts w:ascii="Bookman Old Style" w:hAnsi="Bookman Old Style"/>
          <w:sz w:val="24"/>
          <w:szCs w:val="24"/>
        </w:rPr>
        <w:t xml:space="preserve">GLIHD calls upon the CEDAW Committee to recommend the Government of Rwanda to: </w:t>
      </w:r>
    </w:p>
    <w:p w14:paraId="4C3FCAC4" w14:textId="77777777" w:rsidR="0082059F" w:rsidRPr="0082059F" w:rsidRDefault="0082059F" w:rsidP="0022646D">
      <w:pPr>
        <w:pStyle w:val="ListParagraph"/>
        <w:numPr>
          <w:ilvl w:val="0"/>
          <w:numId w:val="6"/>
        </w:numPr>
        <w:spacing w:line="242" w:lineRule="auto"/>
        <w:jc w:val="both"/>
        <w:rPr>
          <w:rFonts w:ascii="Bookman Old Style" w:eastAsia="Times New Roman" w:hAnsi="Bookman Old Style" w:cs="Times New Roman"/>
          <w:sz w:val="24"/>
          <w:szCs w:val="24"/>
        </w:rPr>
      </w:pPr>
      <w:r w:rsidRPr="0082059F">
        <w:rPr>
          <w:rFonts w:ascii="Bookman Old Style" w:eastAsia="Times New Roman" w:hAnsi="Bookman Old Style" w:cs="Times New Roman"/>
          <w:sz w:val="24"/>
          <w:szCs w:val="24"/>
        </w:rPr>
        <w:t xml:space="preserve">to allow Mid -Level healthcare professionals (Nurses and Midwives) to provide safe abortion services </w:t>
      </w:r>
    </w:p>
    <w:p w14:paraId="465292CD" w14:textId="77777777" w:rsidR="0082059F" w:rsidRPr="0082059F" w:rsidRDefault="0082059F" w:rsidP="0022646D">
      <w:pPr>
        <w:pStyle w:val="ListParagraph"/>
        <w:numPr>
          <w:ilvl w:val="0"/>
          <w:numId w:val="6"/>
        </w:numPr>
        <w:spacing w:line="242" w:lineRule="auto"/>
        <w:jc w:val="both"/>
        <w:rPr>
          <w:rFonts w:ascii="Bookman Old Style" w:eastAsia="Times New Roman" w:hAnsi="Bookman Old Style" w:cs="Times New Roman"/>
          <w:sz w:val="24"/>
          <w:szCs w:val="24"/>
        </w:rPr>
      </w:pPr>
      <w:r w:rsidRPr="0082059F">
        <w:rPr>
          <w:rFonts w:ascii="Bookman Old Style" w:eastAsia="Times New Roman" w:hAnsi="Bookman Old Style" w:cs="Times New Roman"/>
          <w:sz w:val="24"/>
          <w:szCs w:val="24"/>
        </w:rPr>
        <w:t>(ii) initiate appropriate legal and policy reforms leading to ensuring that mid-level healthcare professionals are permitted to provide safe abortion services in both law and practice.</w:t>
      </w:r>
    </w:p>
    <w:p w14:paraId="68D694E4" w14:textId="77777777" w:rsidR="0082059F" w:rsidRPr="0082059F" w:rsidRDefault="0082059F" w:rsidP="0022646D">
      <w:pPr>
        <w:pStyle w:val="ListParagraph"/>
        <w:numPr>
          <w:ilvl w:val="0"/>
          <w:numId w:val="6"/>
        </w:numPr>
        <w:spacing w:line="242" w:lineRule="auto"/>
        <w:jc w:val="both"/>
        <w:rPr>
          <w:rFonts w:ascii="Bookman Old Style" w:eastAsia="Times New Roman" w:hAnsi="Bookman Old Style" w:cs="Times New Roman"/>
          <w:sz w:val="24"/>
          <w:szCs w:val="24"/>
        </w:rPr>
      </w:pPr>
      <w:r w:rsidRPr="0082059F">
        <w:rPr>
          <w:rFonts w:ascii="Bookman Old Style" w:eastAsia="Times New Roman" w:hAnsi="Bookman Old Style" w:cs="Times New Roman"/>
          <w:sz w:val="24"/>
          <w:szCs w:val="24"/>
        </w:rPr>
        <w:t>Increase awareness campaigns on sexual and reproductive health</w:t>
      </w:r>
    </w:p>
    <w:p w14:paraId="0B1AE78B" w14:textId="77777777" w:rsidR="00430732" w:rsidRPr="00AA2082" w:rsidRDefault="00430732" w:rsidP="0022646D">
      <w:pPr>
        <w:spacing w:line="360" w:lineRule="auto"/>
        <w:jc w:val="both"/>
        <w:rPr>
          <w:rFonts w:ascii="Bookman Old Style" w:hAnsi="Bookman Old Style"/>
          <w:b/>
          <w:sz w:val="24"/>
          <w:szCs w:val="24"/>
        </w:rPr>
      </w:pPr>
    </w:p>
    <w:p w14:paraId="22316483" w14:textId="77777777" w:rsidR="00AA2082" w:rsidRPr="00AA2082" w:rsidRDefault="00BF2908" w:rsidP="0022646D">
      <w:pPr>
        <w:pStyle w:val="ListParagraph"/>
        <w:numPr>
          <w:ilvl w:val="0"/>
          <w:numId w:val="1"/>
        </w:numPr>
        <w:spacing w:line="360" w:lineRule="auto"/>
        <w:jc w:val="both"/>
        <w:rPr>
          <w:rFonts w:ascii="Bookman Old Style" w:hAnsi="Bookman Old Style"/>
          <w:b/>
          <w:sz w:val="24"/>
          <w:szCs w:val="24"/>
        </w:rPr>
      </w:pPr>
      <w:r>
        <w:rPr>
          <w:rFonts w:ascii="Bookman Old Style" w:hAnsi="Bookman Old Style"/>
          <w:b/>
          <w:sz w:val="24"/>
          <w:szCs w:val="24"/>
        </w:rPr>
        <w:t>Area of concern on</w:t>
      </w:r>
      <w:r w:rsidRPr="00BF2908">
        <w:rPr>
          <w:rFonts w:ascii="Bookman Old Style" w:hAnsi="Bookman Old Style"/>
          <w:b/>
          <w:sz w:val="24"/>
          <w:szCs w:val="24"/>
        </w:rPr>
        <w:t xml:space="preserve"> </w:t>
      </w:r>
      <w:r w:rsidR="00AA2082" w:rsidRPr="00AA2082">
        <w:rPr>
          <w:rFonts w:ascii="Bookman Old Style" w:hAnsi="Bookman Old Style"/>
          <w:b/>
          <w:sz w:val="24"/>
          <w:szCs w:val="24"/>
        </w:rPr>
        <w:t xml:space="preserve">Mandatory HIV Testing </w:t>
      </w:r>
    </w:p>
    <w:p w14:paraId="5BE9C516" w14:textId="77777777" w:rsidR="00AA2082" w:rsidRPr="00AA2082" w:rsidRDefault="00AA2082" w:rsidP="0022646D">
      <w:pPr>
        <w:spacing w:line="360" w:lineRule="auto"/>
        <w:jc w:val="both"/>
        <w:rPr>
          <w:rFonts w:ascii="Bookman Old Style" w:hAnsi="Bookman Old Style"/>
          <w:sz w:val="24"/>
          <w:szCs w:val="24"/>
        </w:rPr>
      </w:pPr>
      <w:r w:rsidRPr="00AA2082">
        <w:rPr>
          <w:rFonts w:ascii="Bookman Old Style" w:hAnsi="Bookman Old Style"/>
          <w:sz w:val="24"/>
          <w:szCs w:val="24"/>
        </w:rPr>
        <w:t xml:space="preserve">GLIHD is concerned with the following </w:t>
      </w:r>
      <w:r>
        <w:rPr>
          <w:rFonts w:ascii="Bookman Old Style" w:hAnsi="Bookman Old Style"/>
          <w:sz w:val="24"/>
          <w:szCs w:val="24"/>
        </w:rPr>
        <w:t>Mandatory HIV Testing</w:t>
      </w:r>
      <w:r w:rsidRPr="00AA2082">
        <w:rPr>
          <w:rFonts w:ascii="Bookman Old Style" w:hAnsi="Bookman Old Style"/>
          <w:sz w:val="24"/>
          <w:szCs w:val="24"/>
        </w:rPr>
        <w:t xml:space="preserve"> in the law</w:t>
      </w:r>
    </w:p>
    <w:p w14:paraId="323AD27B" w14:textId="192EB325" w:rsidR="00430732" w:rsidRDefault="00AA2082" w:rsidP="0022646D">
      <w:pPr>
        <w:spacing w:line="360" w:lineRule="auto"/>
        <w:jc w:val="both"/>
        <w:rPr>
          <w:rFonts w:ascii="Bookman Old Style" w:hAnsi="Bookman Old Style"/>
          <w:sz w:val="24"/>
          <w:szCs w:val="24"/>
        </w:rPr>
      </w:pPr>
      <w:r w:rsidRPr="00AA2082">
        <w:rPr>
          <w:rFonts w:ascii="Bookman Old Style" w:hAnsi="Bookman Old Style"/>
          <w:sz w:val="24"/>
          <w:szCs w:val="24"/>
        </w:rPr>
        <w:t>Article 10 (20) of the Law n° 21/05/2016 of 20/05/2016 relating to human reproductive health provides: “No person shall undergo unconsented HIV/AIDS testing. However, mandatory testing may be required upon request by competent organs in accordance with the law.” The Law does neither define the “competent organs” nor explain under which circumstances the “competent organs” can compel an individual to undergo HIV Testing.</w:t>
      </w:r>
    </w:p>
    <w:p w14:paraId="612488B4" w14:textId="77777777" w:rsidR="004E3336" w:rsidRDefault="004E3336" w:rsidP="0022646D">
      <w:pPr>
        <w:spacing w:line="360" w:lineRule="auto"/>
        <w:jc w:val="both"/>
        <w:rPr>
          <w:rFonts w:ascii="Bookman Old Style" w:hAnsi="Bookman Old Style"/>
          <w:sz w:val="24"/>
          <w:szCs w:val="24"/>
        </w:rPr>
      </w:pPr>
    </w:p>
    <w:p w14:paraId="15A98B55" w14:textId="604C1092" w:rsidR="00AA2082" w:rsidRPr="00AA2082" w:rsidRDefault="00AA2082" w:rsidP="0022646D">
      <w:pPr>
        <w:spacing w:line="360" w:lineRule="auto"/>
        <w:jc w:val="both"/>
        <w:rPr>
          <w:rFonts w:ascii="Bookman Old Style" w:hAnsi="Bookman Old Style"/>
          <w:b/>
          <w:sz w:val="24"/>
          <w:szCs w:val="24"/>
        </w:rPr>
      </w:pPr>
      <w:r w:rsidRPr="00AA2082">
        <w:rPr>
          <w:rFonts w:ascii="Bookman Old Style" w:hAnsi="Bookman Old Style"/>
          <w:b/>
          <w:sz w:val="24"/>
          <w:szCs w:val="24"/>
        </w:rPr>
        <w:t>Recommendation:</w:t>
      </w:r>
    </w:p>
    <w:p w14:paraId="2452FCC5" w14:textId="77777777" w:rsidR="00430732" w:rsidRPr="00AA2082" w:rsidRDefault="00AA2082" w:rsidP="0022646D">
      <w:pPr>
        <w:spacing w:line="360" w:lineRule="auto"/>
        <w:jc w:val="both"/>
        <w:rPr>
          <w:rFonts w:ascii="Bookman Old Style" w:hAnsi="Bookman Old Style"/>
          <w:sz w:val="24"/>
          <w:szCs w:val="24"/>
        </w:rPr>
      </w:pPr>
      <w:r w:rsidRPr="00AA2082">
        <w:rPr>
          <w:rFonts w:ascii="Bookman Old Style" w:hAnsi="Bookman Old Style"/>
          <w:sz w:val="24"/>
          <w:szCs w:val="24"/>
        </w:rPr>
        <w:t>GLIHD calls upon the CEDAW Committee to recommend the Government of Rwanda to:</w:t>
      </w:r>
    </w:p>
    <w:p w14:paraId="1EB7D095" w14:textId="77777777" w:rsidR="00430732" w:rsidRDefault="00AA2082" w:rsidP="0022646D">
      <w:pPr>
        <w:spacing w:line="360" w:lineRule="auto"/>
        <w:jc w:val="both"/>
        <w:rPr>
          <w:rFonts w:ascii="Bookman Old Style" w:hAnsi="Bookman Old Style"/>
          <w:sz w:val="24"/>
          <w:szCs w:val="24"/>
        </w:rPr>
      </w:pPr>
      <w:r w:rsidRPr="00AA2082">
        <w:rPr>
          <w:rFonts w:ascii="Bookman Old Style" w:hAnsi="Bookman Old Style"/>
          <w:sz w:val="24"/>
          <w:szCs w:val="24"/>
        </w:rPr>
        <w:t xml:space="preserve">Define the </w:t>
      </w:r>
      <w:r w:rsidR="00A367EE">
        <w:rPr>
          <w:rFonts w:ascii="Bookman Old Style" w:hAnsi="Bookman Old Style"/>
          <w:sz w:val="24"/>
          <w:szCs w:val="24"/>
        </w:rPr>
        <w:t>“</w:t>
      </w:r>
      <w:r w:rsidRPr="00AA2082">
        <w:rPr>
          <w:rFonts w:ascii="Bookman Old Style" w:hAnsi="Bookman Old Style"/>
          <w:sz w:val="24"/>
          <w:szCs w:val="24"/>
        </w:rPr>
        <w:t xml:space="preserve">competent </w:t>
      </w:r>
      <w:r w:rsidR="00A367EE">
        <w:rPr>
          <w:rFonts w:ascii="Bookman Old Style" w:hAnsi="Bookman Old Style"/>
          <w:sz w:val="24"/>
          <w:szCs w:val="24"/>
        </w:rPr>
        <w:t>organs”</w:t>
      </w:r>
      <w:r w:rsidRPr="00AA2082">
        <w:rPr>
          <w:rFonts w:ascii="Bookman Old Style" w:hAnsi="Bookman Old Style"/>
          <w:sz w:val="24"/>
          <w:szCs w:val="24"/>
        </w:rPr>
        <w:t xml:space="preserve"> in the law </w:t>
      </w:r>
    </w:p>
    <w:p w14:paraId="0CC9B4C1" w14:textId="77777777" w:rsidR="00073C70" w:rsidRPr="00AA2082" w:rsidRDefault="00073C70" w:rsidP="0022646D">
      <w:pPr>
        <w:spacing w:line="360" w:lineRule="auto"/>
        <w:jc w:val="both"/>
        <w:rPr>
          <w:rFonts w:ascii="Bookman Old Style" w:hAnsi="Bookman Old Style"/>
          <w:sz w:val="24"/>
          <w:szCs w:val="24"/>
        </w:rPr>
      </w:pPr>
    </w:p>
    <w:p w14:paraId="312814AD" w14:textId="77777777" w:rsidR="00BF2908" w:rsidRPr="00BF2908" w:rsidRDefault="00BF2908" w:rsidP="0022646D">
      <w:pPr>
        <w:pStyle w:val="ListParagraph"/>
        <w:numPr>
          <w:ilvl w:val="0"/>
          <w:numId w:val="1"/>
        </w:numPr>
        <w:spacing w:line="360" w:lineRule="auto"/>
        <w:jc w:val="both"/>
        <w:rPr>
          <w:rFonts w:ascii="Bookman Old Style" w:hAnsi="Bookman Old Style"/>
          <w:b/>
          <w:sz w:val="24"/>
          <w:szCs w:val="24"/>
        </w:rPr>
      </w:pPr>
      <w:r w:rsidRPr="00BF2908">
        <w:rPr>
          <w:rFonts w:ascii="Bookman Old Style" w:hAnsi="Bookman Old Style"/>
          <w:b/>
          <w:sz w:val="24"/>
          <w:szCs w:val="24"/>
        </w:rPr>
        <w:t xml:space="preserve">Area of concern on exclusion of prostheses and other devices in the Mutual Health Insurance </w:t>
      </w:r>
    </w:p>
    <w:p w14:paraId="69ADEC0A" w14:textId="3580585C" w:rsidR="00430732" w:rsidRDefault="00BF2908" w:rsidP="0022646D">
      <w:pPr>
        <w:spacing w:line="360" w:lineRule="auto"/>
        <w:jc w:val="both"/>
        <w:rPr>
          <w:rFonts w:ascii="Bookman Old Style" w:hAnsi="Bookman Old Style"/>
          <w:sz w:val="24"/>
          <w:szCs w:val="24"/>
        </w:rPr>
      </w:pPr>
      <w:r w:rsidRPr="00BF2908">
        <w:rPr>
          <w:rFonts w:ascii="Bookman Old Style" w:hAnsi="Bookman Old Style"/>
          <w:sz w:val="24"/>
          <w:szCs w:val="24"/>
        </w:rPr>
        <w:t xml:space="preserve">Mutual Health Insurance to which majority of the population are subscribed to does not cover prostheses and other devices for people with physical disability.  </w:t>
      </w:r>
    </w:p>
    <w:p w14:paraId="17CAA0A9" w14:textId="77777777" w:rsidR="00853A6B" w:rsidRPr="00BF2908" w:rsidRDefault="00853A6B" w:rsidP="0022646D">
      <w:pPr>
        <w:spacing w:line="360" w:lineRule="auto"/>
        <w:jc w:val="both"/>
        <w:rPr>
          <w:rFonts w:ascii="Bookman Old Style" w:hAnsi="Bookman Old Style"/>
          <w:sz w:val="24"/>
          <w:szCs w:val="24"/>
        </w:rPr>
      </w:pPr>
    </w:p>
    <w:p w14:paraId="50452881" w14:textId="77777777" w:rsidR="00430732" w:rsidRPr="00BF2908" w:rsidRDefault="00BF2908" w:rsidP="0022646D">
      <w:pPr>
        <w:spacing w:line="360" w:lineRule="auto"/>
        <w:jc w:val="both"/>
        <w:rPr>
          <w:rFonts w:ascii="Bookman Old Style" w:hAnsi="Bookman Old Style"/>
          <w:b/>
          <w:sz w:val="24"/>
          <w:szCs w:val="24"/>
        </w:rPr>
      </w:pPr>
      <w:r w:rsidRPr="00BF2908">
        <w:rPr>
          <w:rFonts w:ascii="Bookman Old Style" w:hAnsi="Bookman Old Style"/>
          <w:b/>
          <w:sz w:val="24"/>
          <w:szCs w:val="24"/>
        </w:rPr>
        <w:t>Recomm</w:t>
      </w:r>
      <w:r>
        <w:rPr>
          <w:rFonts w:ascii="Bookman Old Style" w:hAnsi="Bookman Old Style"/>
          <w:b/>
          <w:sz w:val="24"/>
          <w:szCs w:val="24"/>
        </w:rPr>
        <w:t>en</w:t>
      </w:r>
      <w:r w:rsidRPr="00BF2908">
        <w:rPr>
          <w:rFonts w:ascii="Bookman Old Style" w:hAnsi="Bookman Old Style"/>
          <w:b/>
          <w:sz w:val="24"/>
          <w:szCs w:val="24"/>
        </w:rPr>
        <w:t>dation:</w:t>
      </w:r>
    </w:p>
    <w:p w14:paraId="082FB3C9" w14:textId="77777777" w:rsidR="005B0107" w:rsidRDefault="00BF2908" w:rsidP="0022646D">
      <w:pPr>
        <w:spacing w:line="360" w:lineRule="auto"/>
        <w:jc w:val="both"/>
        <w:rPr>
          <w:rFonts w:ascii="Bookman Old Style" w:hAnsi="Bookman Old Style"/>
          <w:sz w:val="24"/>
          <w:szCs w:val="24"/>
        </w:rPr>
      </w:pPr>
      <w:r w:rsidRPr="00BF2908">
        <w:rPr>
          <w:rFonts w:ascii="Bookman Old Style" w:hAnsi="Bookman Old Style"/>
          <w:sz w:val="24"/>
          <w:szCs w:val="24"/>
        </w:rPr>
        <w:t xml:space="preserve">To review Mutual Health Insurance law so as to increase the scope </w:t>
      </w:r>
      <w:r w:rsidR="00560C79">
        <w:rPr>
          <w:rFonts w:ascii="Bookman Old Style" w:hAnsi="Bookman Old Style"/>
          <w:sz w:val="24"/>
          <w:szCs w:val="24"/>
        </w:rPr>
        <w:t>and i</w:t>
      </w:r>
      <w:r w:rsidR="00560C79" w:rsidRPr="00560C79">
        <w:rPr>
          <w:rFonts w:ascii="Bookman Old Style" w:hAnsi="Bookman Old Style"/>
          <w:sz w:val="24"/>
          <w:szCs w:val="24"/>
        </w:rPr>
        <w:t>nclude prostheses and other devices for people with disability in the mutual health insurance scheme</w:t>
      </w:r>
    </w:p>
    <w:p w14:paraId="2910CE1C" w14:textId="77777777" w:rsidR="00812CEA" w:rsidRDefault="00812CEA" w:rsidP="0022646D">
      <w:pPr>
        <w:spacing w:line="360" w:lineRule="auto"/>
        <w:jc w:val="both"/>
        <w:rPr>
          <w:rFonts w:ascii="Bookman Old Style" w:hAnsi="Bookman Old Style"/>
          <w:sz w:val="24"/>
          <w:szCs w:val="24"/>
        </w:rPr>
      </w:pPr>
    </w:p>
    <w:p w14:paraId="04BFC278" w14:textId="77777777" w:rsidR="005B0107" w:rsidRPr="005B0107" w:rsidRDefault="00EF2631" w:rsidP="0022646D">
      <w:pPr>
        <w:pStyle w:val="ListParagraph"/>
        <w:numPr>
          <w:ilvl w:val="0"/>
          <w:numId w:val="1"/>
        </w:numPr>
        <w:spacing w:line="360" w:lineRule="auto"/>
        <w:jc w:val="both"/>
        <w:rPr>
          <w:rFonts w:ascii="Bookman Old Style" w:hAnsi="Bookman Old Style"/>
          <w:b/>
          <w:sz w:val="24"/>
          <w:szCs w:val="24"/>
        </w:rPr>
      </w:pPr>
      <w:r w:rsidRPr="005B0107">
        <w:rPr>
          <w:rFonts w:ascii="Bookman Old Style" w:hAnsi="Bookman Old Style"/>
          <w:b/>
          <w:sz w:val="24"/>
          <w:szCs w:val="24"/>
        </w:rPr>
        <w:t>Area of concern on</w:t>
      </w:r>
      <w:r w:rsidR="005B0107" w:rsidRPr="005B0107">
        <w:rPr>
          <w:b/>
        </w:rPr>
        <w:t xml:space="preserve"> </w:t>
      </w:r>
      <w:r w:rsidR="005B0107" w:rsidRPr="005B0107">
        <w:rPr>
          <w:rFonts w:ascii="Bookman Old Style" w:hAnsi="Bookman Old Style"/>
          <w:b/>
          <w:sz w:val="24"/>
          <w:szCs w:val="24"/>
        </w:rPr>
        <w:t xml:space="preserve">disparity in geographic distribution of human resources  </w:t>
      </w:r>
    </w:p>
    <w:p w14:paraId="4B943535" w14:textId="3F713ADA" w:rsidR="00EF2631" w:rsidRDefault="005B0107" w:rsidP="0022646D">
      <w:pPr>
        <w:spacing w:line="360" w:lineRule="auto"/>
        <w:ind w:left="360"/>
        <w:jc w:val="both"/>
        <w:rPr>
          <w:rFonts w:ascii="Bookman Old Style" w:hAnsi="Bookman Old Style"/>
          <w:sz w:val="24"/>
          <w:szCs w:val="24"/>
        </w:rPr>
      </w:pPr>
      <w:r>
        <w:rPr>
          <w:rFonts w:ascii="Bookman Old Style" w:hAnsi="Bookman Old Style"/>
          <w:sz w:val="24"/>
          <w:szCs w:val="24"/>
        </w:rPr>
        <w:t>There is</w:t>
      </w:r>
      <w:r w:rsidRPr="005B0107">
        <w:rPr>
          <w:rFonts w:ascii="Bookman Old Style" w:hAnsi="Bookman Old Style"/>
          <w:sz w:val="24"/>
          <w:szCs w:val="24"/>
        </w:rPr>
        <w:t xml:space="preserve"> unequal distribution of human resources in health facilities whereby most qualified health professionals are in urban areas</w:t>
      </w:r>
    </w:p>
    <w:p w14:paraId="75EB9F6C" w14:textId="77777777" w:rsidR="00853A6B" w:rsidRPr="005B0107" w:rsidRDefault="00853A6B" w:rsidP="0022646D">
      <w:pPr>
        <w:spacing w:line="360" w:lineRule="auto"/>
        <w:ind w:left="360"/>
        <w:jc w:val="both"/>
        <w:rPr>
          <w:rFonts w:ascii="Bookman Old Style" w:hAnsi="Bookman Old Style"/>
          <w:sz w:val="24"/>
          <w:szCs w:val="24"/>
        </w:rPr>
      </w:pPr>
    </w:p>
    <w:p w14:paraId="0FCA1443" w14:textId="77777777" w:rsidR="00430732" w:rsidRDefault="005B0107" w:rsidP="0022646D">
      <w:pPr>
        <w:spacing w:line="360" w:lineRule="auto"/>
        <w:jc w:val="both"/>
        <w:rPr>
          <w:rFonts w:ascii="Bookman Old Style" w:hAnsi="Bookman Old Style"/>
          <w:b/>
          <w:sz w:val="24"/>
          <w:szCs w:val="24"/>
        </w:rPr>
      </w:pPr>
      <w:r w:rsidRPr="005B0107">
        <w:rPr>
          <w:rFonts w:ascii="Bookman Old Style" w:hAnsi="Bookman Old Style"/>
          <w:b/>
          <w:sz w:val="24"/>
          <w:szCs w:val="24"/>
        </w:rPr>
        <w:t xml:space="preserve">Recommendation: </w:t>
      </w:r>
    </w:p>
    <w:p w14:paraId="44D4F72A" w14:textId="28F4DE4A" w:rsidR="00853A6B" w:rsidRDefault="005B0107" w:rsidP="0022646D">
      <w:pPr>
        <w:spacing w:line="360" w:lineRule="auto"/>
        <w:jc w:val="both"/>
        <w:rPr>
          <w:rFonts w:ascii="Bookman Old Style" w:hAnsi="Bookman Old Style"/>
          <w:sz w:val="24"/>
          <w:szCs w:val="24"/>
        </w:rPr>
      </w:pPr>
      <w:r w:rsidRPr="005B0107">
        <w:rPr>
          <w:rFonts w:ascii="Bookman Old Style" w:hAnsi="Bookman Old Style"/>
          <w:sz w:val="24"/>
          <w:szCs w:val="24"/>
        </w:rPr>
        <w:t>Reduce disparity on geographic distribution of human resources in the health sector</w:t>
      </w:r>
    </w:p>
    <w:p w14:paraId="550087F6" w14:textId="77777777" w:rsidR="004E3336" w:rsidRDefault="004E3336" w:rsidP="0022646D">
      <w:pPr>
        <w:spacing w:line="360" w:lineRule="auto"/>
        <w:jc w:val="both"/>
        <w:rPr>
          <w:rFonts w:ascii="Bookman Old Style" w:hAnsi="Bookman Old Style"/>
          <w:sz w:val="24"/>
          <w:szCs w:val="24"/>
        </w:rPr>
      </w:pPr>
    </w:p>
    <w:p w14:paraId="5848D9CC" w14:textId="77777777" w:rsidR="005B0107" w:rsidRPr="005B0107" w:rsidRDefault="005B0107" w:rsidP="0022646D">
      <w:pPr>
        <w:pStyle w:val="ListParagraph"/>
        <w:numPr>
          <w:ilvl w:val="0"/>
          <w:numId w:val="1"/>
        </w:numPr>
        <w:spacing w:line="360" w:lineRule="auto"/>
        <w:jc w:val="both"/>
        <w:rPr>
          <w:rFonts w:ascii="Bookman Old Style" w:hAnsi="Bookman Old Style"/>
          <w:b/>
          <w:sz w:val="24"/>
          <w:szCs w:val="24"/>
        </w:rPr>
      </w:pPr>
      <w:r w:rsidRPr="005B0107">
        <w:rPr>
          <w:rFonts w:ascii="Bookman Old Style" w:hAnsi="Bookman Old Style"/>
          <w:b/>
          <w:sz w:val="24"/>
          <w:szCs w:val="24"/>
        </w:rPr>
        <w:t xml:space="preserve">Area of concern on </w:t>
      </w:r>
      <w:r>
        <w:rPr>
          <w:rFonts w:ascii="Bookman Old Style" w:hAnsi="Bookman Old Style"/>
          <w:b/>
          <w:sz w:val="24"/>
          <w:szCs w:val="24"/>
        </w:rPr>
        <w:t>l</w:t>
      </w:r>
      <w:r w:rsidRPr="005B0107">
        <w:rPr>
          <w:rFonts w:ascii="Bookman Old Style" w:hAnsi="Bookman Old Style"/>
          <w:b/>
          <w:sz w:val="24"/>
          <w:szCs w:val="24"/>
        </w:rPr>
        <w:t>imitation to access to healthcare services by minors</w:t>
      </w:r>
    </w:p>
    <w:p w14:paraId="7DD85E2B" w14:textId="77777777" w:rsidR="005B0107" w:rsidRPr="005B0107" w:rsidRDefault="005B0107" w:rsidP="0022646D">
      <w:pPr>
        <w:spacing w:line="360" w:lineRule="auto"/>
        <w:jc w:val="both"/>
        <w:rPr>
          <w:rFonts w:ascii="Bookman Old Style" w:hAnsi="Bookman Old Style"/>
          <w:sz w:val="24"/>
          <w:szCs w:val="24"/>
        </w:rPr>
      </w:pPr>
      <w:r w:rsidRPr="005B0107">
        <w:rPr>
          <w:rFonts w:ascii="Bookman Old Style" w:hAnsi="Bookman Old Style"/>
          <w:sz w:val="24"/>
          <w:szCs w:val="24"/>
        </w:rPr>
        <w:t>Limitation to access to healthcare services Article 11 of the Law No 49/2012 on medical professional liability insurance does not allow minors to seek healthcare services without the prior consent of their parents or legal guardians.</w:t>
      </w:r>
    </w:p>
    <w:p w14:paraId="70A18982" w14:textId="77777777" w:rsidR="00430732" w:rsidRPr="005B0107" w:rsidRDefault="005B0107" w:rsidP="0022646D">
      <w:pPr>
        <w:spacing w:line="360" w:lineRule="auto"/>
        <w:jc w:val="both"/>
        <w:rPr>
          <w:rFonts w:ascii="Bookman Old Style" w:hAnsi="Bookman Old Style"/>
          <w:b/>
          <w:sz w:val="24"/>
          <w:szCs w:val="24"/>
        </w:rPr>
      </w:pPr>
      <w:r w:rsidRPr="005B0107">
        <w:rPr>
          <w:rFonts w:ascii="Bookman Old Style" w:hAnsi="Bookman Old Style"/>
          <w:b/>
          <w:sz w:val="24"/>
          <w:szCs w:val="24"/>
        </w:rPr>
        <w:t>Recommendation:</w:t>
      </w:r>
    </w:p>
    <w:p w14:paraId="00254408" w14:textId="53CD9C9B" w:rsidR="00430732" w:rsidRDefault="005B0107" w:rsidP="0022646D">
      <w:pPr>
        <w:spacing w:line="360" w:lineRule="auto"/>
        <w:jc w:val="both"/>
        <w:rPr>
          <w:rFonts w:ascii="Bookman Old Style" w:hAnsi="Bookman Old Style"/>
          <w:sz w:val="24"/>
          <w:szCs w:val="24"/>
        </w:rPr>
      </w:pPr>
      <w:r w:rsidRPr="005B0107">
        <w:rPr>
          <w:rFonts w:ascii="Bookman Old Style" w:hAnsi="Bookman Old Style"/>
          <w:sz w:val="24"/>
          <w:szCs w:val="24"/>
        </w:rPr>
        <w:t>To review the law to allow minors to seek healthcare services without prior consent of their parents or legal representatives</w:t>
      </w:r>
      <w:r w:rsidR="00FD302C">
        <w:rPr>
          <w:rFonts w:ascii="Bookman Old Style" w:hAnsi="Bookman Old Style"/>
          <w:sz w:val="24"/>
          <w:szCs w:val="24"/>
        </w:rPr>
        <w:t>.</w:t>
      </w:r>
    </w:p>
    <w:p w14:paraId="11FDD1C2" w14:textId="0159B462" w:rsidR="00853A6B" w:rsidRDefault="00853A6B" w:rsidP="0022646D">
      <w:pPr>
        <w:spacing w:line="360" w:lineRule="auto"/>
        <w:jc w:val="both"/>
        <w:rPr>
          <w:rFonts w:ascii="Bookman Old Style" w:hAnsi="Bookman Old Style"/>
          <w:sz w:val="24"/>
          <w:szCs w:val="24"/>
        </w:rPr>
      </w:pPr>
    </w:p>
    <w:p w14:paraId="6969B864" w14:textId="2F2A45CE" w:rsidR="00853A6B" w:rsidRDefault="00853A6B" w:rsidP="0022646D">
      <w:pPr>
        <w:spacing w:line="360" w:lineRule="auto"/>
        <w:jc w:val="both"/>
        <w:rPr>
          <w:rFonts w:ascii="Bookman Old Style" w:hAnsi="Bookman Old Style"/>
          <w:sz w:val="24"/>
          <w:szCs w:val="24"/>
        </w:rPr>
      </w:pPr>
    </w:p>
    <w:p w14:paraId="03C4BF44" w14:textId="12331BB6" w:rsidR="00853A6B" w:rsidRDefault="00853A6B" w:rsidP="0022646D">
      <w:pPr>
        <w:spacing w:line="360" w:lineRule="auto"/>
        <w:jc w:val="both"/>
        <w:rPr>
          <w:rFonts w:ascii="Bookman Old Style" w:hAnsi="Bookman Old Style"/>
          <w:sz w:val="24"/>
          <w:szCs w:val="24"/>
        </w:rPr>
      </w:pPr>
    </w:p>
    <w:p w14:paraId="4DBADFF8" w14:textId="1A5EE549" w:rsidR="00853A6B" w:rsidRDefault="00853A6B" w:rsidP="0022646D">
      <w:pPr>
        <w:spacing w:line="360" w:lineRule="auto"/>
        <w:jc w:val="both"/>
        <w:rPr>
          <w:rFonts w:ascii="Bookman Old Style" w:hAnsi="Bookman Old Style"/>
          <w:sz w:val="24"/>
          <w:szCs w:val="24"/>
        </w:rPr>
      </w:pPr>
    </w:p>
    <w:p w14:paraId="458ECEED" w14:textId="38ECA08E" w:rsidR="00853A6B" w:rsidRDefault="00853A6B" w:rsidP="0022646D">
      <w:pPr>
        <w:spacing w:line="360" w:lineRule="auto"/>
        <w:jc w:val="both"/>
        <w:rPr>
          <w:rFonts w:ascii="Bookman Old Style" w:hAnsi="Bookman Old Style"/>
          <w:sz w:val="24"/>
          <w:szCs w:val="24"/>
        </w:rPr>
      </w:pPr>
    </w:p>
    <w:p w14:paraId="68D82B3E" w14:textId="42E77267" w:rsidR="00853A6B" w:rsidRDefault="00853A6B" w:rsidP="0022646D">
      <w:pPr>
        <w:spacing w:line="360" w:lineRule="auto"/>
        <w:jc w:val="both"/>
        <w:rPr>
          <w:rFonts w:ascii="Bookman Old Style" w:hAnsi="Bookman Old Style"/>
          <w:sz w:val="24"/>
          <w:szCs w:val="24"/>
        </w:rPr>
      </w:pPr>
    </w:p>
    <w:p w14:paraId="441CB9A0" w14:textId="14FFE89D" w:rsidR="00853A6B" w:rsidRDefault="00853A6B" w:rsidP="0022646D">
      <w:pPr>
        <w:spacing w:line="360" w:lineRule="auto"/>
        <w:jc w:val="both"/>
        <w:rPr>
          <w:rFonts w:ascii="Bookman Old Style" w:hAnsi="Bookman Old Style"/>
          <w:sz w:val="24"/>
          <w:szCs w:val="24"/>
        </w:rPr>
      </w:pPr>
    </w:p>
    <w:p w14:paraId="388B98C4" w14:textId="13B7A49E" w:rsidR="00853A6B" w:rsidRDefault="00853A6B" w:rsidP="0022646D">
      <w:pPr>
        <w:spacing w:line="360" w:lineRule="auto"/>
        <w:jc w:val="both"/>
        <w:rPr>
          <w:rFonts w:ascii="Bookman Old Style" w:hAnsi="Bookman Old Style"/>
          <w:sz w:val="24"/>
          <w:szCs w:val="24"/>
        </w:rPr>
      </w:pPr>
    </w:p>
    <w:p w14:paraId="07330DAE" w14:textId="58C4893F" w:rsidR="00853A6B" w:rsidRDefault="00853A6B" w:rsidP="0022646D">
      <w:pPr>
        <w:spacing w:line="360" w:lineRule="auto"/>
        <w:jc w:val="both"/>
        <w:rPr>
          <w:rFonts w:ascii="Bookman Old Style" w:hAnsi="Bookman Old Style"/>
          <w:sz w:val="24"/>
          <w:szCs w:val="24"/>
        </w:rPr>
      </w:pPr>
    </w:p>
    <w:p w14:paraId="06D22E4D" w14:textId="2669495F" w:rsidR="00853A6B" w:rsidRDefault="00853A6B" w:rsidP="0022646D">
      <w:pPr>
        <w:spacing w:line="360" w:lineRule="auto"/>
        <w:jc w:val="both"/>
        <w:rPr>
          <w:rFonts w:ascii="Bookman Old Style" w:hAnsi="Bookman Old Style"/>
          <w:sz w:val="24"/>
          <w:szCs w:val="24"/>
        </w:rPr>
      </w:pPr>
    </w:p>
    <w:p w14:paraId="792061CB" w14:textId="6C45AB33" w:rsidR="00853A6B" w:rsidRDefault="00853A6B" w:rsidP="0022646D">
      <w:pPr>
        <w:spacing w:line="360" w:lineRule="auto"/>
        <w:jc w:val="both"/>
        <w:rPr>
          <w:rFonts w:ascii="Bookman Old Style" w:hAnsi="Bookman Old Style"/>
          <w:sz w:val="24"/>
          <w:szCs w:val="24"/>
        </w:rPr>
      </w:pPr>
    </w:p>
    <w:p w14:paraId="30AF8780" w14:textId="557F3BEF" w:rsidR="00FD302C" w:rsidRDefault="00FD302C" w:rsidP="0022646D">
      <w:pPr>
        <w:spacing w:line="360" w:lineRule="auto"/>
        <w:jc w:val="both"/>
        <w:rPr>
          <w:rFonts w:ascii="Bookman Old Style" w:hAnsi="Bookman Old Style"/>
          <w:sz w:val="24"/>
          <w:szCs w:val="24"/>
        </w:rPr>
      </w:pPr>
    </w:p>
    <w:p w14:paraId="58EE13DD" w14:textId="77777777" w:rsidR="00FD302C" w:rsidRPr="00FD302C" w:rsidRDefault="00FD302C" w:rsidP="0022646D">
      <w:pPr>
        <w:spacing w:line="360" w:lineRule="auto"/>
        <w:jc w:val="center"/>
        <w:rPr>
          <w:rFonts w:ascii="Bookman Old Style" w:hAnsi="Bookman Old Style"/>
          <w:b/>
          <w:sz w:val="24"/>
          <w:szCs w:val="24"/>
        </w:rPr>
      </w:pPr>
      <w:r w:rsidRPr="00FD302C">
        <w:rPr>
          <w:rFonts w:ascii="Bookman Old Style" w:hAnsi="Bookman Old Style"/>
          <w:b/>
          <w:sz w:val="24"/>
          <w:szCs w:val="24"/>
        </w:rPr>
        <w:t>REFERENCES</w:t>
      </w:r>
    </w:p>
    <w:p w14:paraId="4715B842" w14:textId="77777777" w:rsidR="00545BFE" w:rsidRPr="0022646D" w:rsidRDefault="00545BFE" w:rsidP="0022646D">
      <w:pPr>
        <w:spacing w:line="360" w:lineRule="auto"/>
        <w:jc w:val="both"/>
        <w:rPr>
          <w:rFonts w:ascii="Bookman Old Style" w:hAnsi="Bookman Old Style"/>
          <w:b/>
          <w:sz w:val="24"/>
          <w:szCs w:val="24"/>
        </w:rPr>
      </w:pPr>
      <w:r w:rsidRPr="0022646D">
        <w:rPr>
          <w:rFonts w:ascii="Bookman Old Style" w:hAnsi="Bookman Old Style"/>
          <w:b/>
          <w:sz w:val="24"/>
          <w:szCs w:val="24"/>
        </w:rPr>
        <w:t xml:space="preserve">A. LAWS AND CONVENTIONS </w:t>
      </w:r>
    </w:p>
    <w:p w14:paraId="274A9C30"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1. Law N° 21/05/2016 relating to human reproductive rights as well as the progressive adoption of Law No. 68/2018 determining offences and penalties in general modifying Organic law no. 01/2012 instituting the Penal Code in relation to provisions related to legal abortion.</w:t>
      </w:r>
    </w:p>
    <w:p w14:paraId="7456999A"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2.The Organic Law No 01/2012/OL of 02/05/2018 instituting the </w:t>
      </w:r>
    </w:p>
    <w:p w14:paraId="394FA3AE"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penal code.</w:t>
      </w:r>
    </w:p>
    <w:p w14:paraId="3F471211"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3. Law N°54/2011 of 14/12/2011 relating to the rights and the </w:t>
      </w:r>
    </w:p>
    <w:p w14:paraId="248CF76F"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protection of the child</w:t>
      </w:r>
    </w:p>
    <w:p w14:paraId="4EFD2E52" w14:textId="357268B4"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4. Statutes for Public Service."(Iyengar SD. Introducing medical abortion within the primary health system: comparison with other health interventions and commodities. Reprod</w:t>
      </w:r>
      <w:r w:rsidR="00853A6B">
        <w:rPr>
          <w:rFonts w:ascii="Bookman Old Style" w:hAnsi="Bookman Old Style"/>
          <w:sz w:val="24"/>
          <w:szCs w:val="24"/>
        </w:rPr>
        <w:t>.</w:t>
      </w:r>
      <w:r w:rsidRPr="0022646D">
        <w:rPr>
          <w:rFonts w:ascii="Bookman Old Style" w:hAnsi="Bookman Old Style"/>
          <w:sz w:val="24"/>
          <w:szCs w:val="24"/>
        </w:rPr>
        <w:t xml:space="preserve"> Health Matters 2005; 13: 13-9 doi: 10.1016/S0968-8080(05)26217-1 pmid: 16291482.)</w:t>
      </w:r>
    </w:p>
    <w:p w14:paraId="61E6E730"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5. the Unites States of America, Kenya and Ethiopia. In the United States of America for example, physician assistants, certified by the Board of Medical Practice in the United States of America (USA), have been permitted to carry out early abortions in the states of Montana and Vermont since 1975. (Freedman MA, Jillson D, Coffin RR, Novick LF. Comparison of complication rates in first trimester abortions performed by physician assistants and physicians. Am J Public Health 1986; 76: 550-4 doi: 10.2105/AJPH.76.5.550 pmid: 2870654.) </w:t>
      </w:r>
    </w:p>
    <w:p w14:paraId="72400FC0"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6. International covenant on social, economic and cultural rights (ICESCR), </w:t>
      </w:r>
    </w:p>
    <w:p w14:paraId="1EA9277F"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7. Convention on the Elimination of all forms of Discrimination against Women, (CEDAW) </w:t>
      </w:r>
    </w:p>
    <w:p w14:paraId="5A5CF898"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8. The African Charter of Human and People’s Rights (ACHPR), as well as the Protocol to the African Charter on Human and Peoples' Rights on the Rights of Women in Africa (Maputo Protocol).</w:t>
      </w:r>
    </w:p>
    <w:p w14:paraId="3BB9C7AB"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9. Article 26 of the Constitution of the Republic of Kenya</w:t>
      </w:r>
    </w:p>
    <w:p w14:paraId="612DCCE7"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10. Articles 12, 14, 15, 16, 21 and 23 of the Constitution of the Republic of Rwanda.</w:t>
      </w:r>
    </w:p>
    <w:p w14:paraId="351A9555" w14:textId="77777777" w:rsidR="00545BFE" w:rsidRPr="0022646D" w:rsidRDefault="00545BFE" w:rsidP="0022646D">
      <w:pPr>
        <w:spacing w:line="360" w:lineRule="auto"/>
        <w:jc w:val="both"/>
        <w:rPr>
          <w:rFonts w:ascii="Bookman Old Style" w:hAnsi="Bookman Old Style"/>
          <w:b/>
          <w:sz w:val="24"/>
          <w:szCs w:val="24"/>
        </w:rPr>
      </w:pPr>
      <w:r w:rsidRPr="0022646D">
        <w:rPr>
          <w:rFonts w:ascii="Bookman Old Style" w:hAnsi="Bookman Old Style"/>
          <w:b/>
          <w:sz w:val="24"/>
          <w:szCs w:val="24"/>
        </w:rPr>
        <w:t>B. POLICIES AND STRATEGIES</w:t>
      </w:r>
    </w:p>
    <w:p w14:paraId="57DFA86E"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1. Ministry of Justice, The National Legal Aid Policy (2014). </w:t>
      </w:r>
    </w:p>
    <w:p w14:paraId="3A4D79E6"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2. Ministry of Gender and Family Promotion, The National </w:t>
      </w:r>
    </w:p>
    <w:p w14:paraId="494A42A6"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Policy against Gender Based Violence (2011). </w:t>
      </w:r>
    </w:p>
    <w:p w14:paraId="40EBA8D4"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3. Ministry of Gender and Family Promotion, The National </w:t>
      </w:r>
    </w:p>
    <w:p w14:paraId="2BB8B4A5"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Strategic Plan for Fighting Against Gender Based Violence </w:t>
      </w:r>
    </w:p>
    <w:p w14:paraId="67F6D96F"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(2011-2016)</w:t>
      </w:r>
    </w:p>
    <w:p w14:paraId="040059B6"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4. Ministry of Gender and Family Promotion, The National </w:t>
      </w:r>
    </w:p>
    <w:p w14:paraId="1C7E3B30"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Gender Policy (2010).</w:t>
      </w:r>
    </w:p>
    <w:p w14:paraId="31B17063" w14:textId="77777777" w:rsidR="00545BFE" w:rsidRPr="0022646D" w:rsidRDefault="00545BFE" w:rsidP="0022646D">
      <w:pPr>
        <w:spacing w:line="360" w:lineRule="auto"/>
        <w:jc w:val="both"/>
        <w:rPr>
          <w:rFonts w:ascii="Bookman Old Style" w:hAnsi="Bookman Old Style"/>
          <w:b/>
          <w:sz w:val="24"/>
          <w:szCs w:val="24"/>
        </w:rPr>
      </w:pPr>
      <w:r w:rsidRPr="0022646D">
        <w:rPr>
          <w:rFonts w:ascii="Bookman Old Style" w:hAnsi="Bookman Old Style"/>
          <w:b/>
          <w:sz w:val="24"/>
          <w:szCs w:val="24"/>
        </w:rPr>
        <w:t>C. REPORTS AND SURVEYS</w:t>
      </w:r>
    </w:p>
    <w:p w14:paraId="7F315888"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1. Guttmacher Institute and School of Public Health of the </w:t>
      </w:r>
    </w:p>
    <w:p w14:paraId="231E600E"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National University of Rwanda “Unintended pregnancies and </w:t>
      </w:r>
    </w:p>
    <w:p w14:paraId="5F57BC4C"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Induced abortions in Rwanda: Causes and Consequences”. Available </w:t>
      </w:r>
    </w:p>
    <w:p w14:paraId="43DF86D3"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 xml:space="preserve">at &lt;&lt;https://www.guttmacher.org/pubs/unintended-pregnancyRwanda.pdf&gt;&gt; Accessed on 18 August 2015. </w:t>
      </w:r>
    </w:p>
    <w:p w14:paraId="714436F9" w14:textId="77777777" w:rsidR="00545BFE"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2. Rapid Assessment conducted by GLIHD, 2020.</w:t>
      </w:r>
    </w:p>
    <w:p w14:paraId="67BD159E" w14:textId="3D0B7A91" w:rsidR="007E0372" w:rsidRPr="0022646D" w:rsidRDefault="00545BFE" w:rsidP="0022646D">
      <w:pPr>
        <w:spacing w:line="360" w:lineRule="auto"/>
        <w:jc w:val="both"/>
        <w:rPr>
          <w:rFonts w:ascii="Bookman Old Style" w:hAnsi="Bookman Old Style"/>
          <w:sz w:val="24"/>
          <w:szCs w:val="24"/>
        </w:rPr>
      </w:pPr>
      <w:r w:rsidRPr="0022646D">
        <w:rPr>
          <w:rFonts w:ascii="Bookman Old Style" w:hAnsi="Bookman Old Style"/>
          <w:sz w:val="24"/>
          <w:szCs w:val="24"/>
        </w:rPr>
        <w:t>3. National Institute of Statistics of Rwanda “RDHS 2019-2020, page 14”</w:t>
      </w:r>
    </w:p>
    <w:sectPr w:rsidR="007E0372" w:rsidRPr="0022646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8E4CB" w14:textId="77777777" w:rsidR="004F647F" w:rsidRDefault="004F647F" w:rsidP="00DE3C2C">
      <w:pPr>
        <w:spacing w:after="0" w:line="240" w:lineRule="auto"/>
      </w:pPr>
      <w:r>
        <w:separator/>
      </w:r>
    </w:p>
  </w:endnote>
  <w:endnote w:type="continuationSeparator" w:id="0">
    <w:p w14:paraId="097106EE" w14:textId="77777777" w:rsidR="004F647F" w:rsidRDefault="004F647F" w:rsidP="00DE3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871248"/>
      <w:docPartObj>
        <w:docPartGallery w:val="Page Numbers (Bottom of Page)"/>
        <w:docPartUnique/>
      </w:docPartObj>
    </w:sdtPr>
    <w:sdtEndPr>
      <w:rPr>
        <w:noProof/>
      </w:rPr>
    </w:sdtEndPr>
    <w:sdtContent>
      <w:p w14:paraId="06925CFA" w14:textId="167F5EB2" w:rsidR="00DE3C2C" w:rsidRDefault="00DE3C2C">
        <w:pPr>
          <w:pStyle w:val="Footer"/>
          <w:jc w:val="center"/>
        </w:pPr>
        <w:r>
          <w:fldChar w:fldCharType="begin"/>
        </w:r>
        <w:r>
          <w:instrText xml:space="preserve"> PAGE   \* MERGEFORMAT </w:instrText>
        </w:r>
        <w:r>
          <w:fldChar w:fldCharType="separate"/>
        </w:r>
        <w:r w:rsidR="007C3B68">
          <w:rPr>
            <w:noProof/>
          </w:rPr>
          <w:t>1</w:t>
        </w:r>
        <w:r>
          <w:rPr>
            <w:noProof/>
          </w:rPr>
          <w:fldChar w:fldCharType="end"/>
        </w:r>
      </w:p>
    </w:sdtContent>
  </w:sdt>
  <w:p w14:paraId="3805A56F" w14:textId="77777777" w:rsidR="00DE3C2C" w:rsidRDefault="00DE3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02120" w14:textId="77777777" w:rsidR="004F647F" w:rsidRDefault="004F647F" w:rsidP="00DE3C2C">
      <w:pPr>
        <w:spacing w:after="0" w:line="240" w:lineRule="auto"/>
      </w:pPr>
      <w:r>
        <w:separator/>
      </w:r>
    </w:p>
  </w:footnote>
  <w:footnote w:type="continuationSeparator" w:id="0">
    <w:p w14:paraId="23B17DCD" w14:textId="77777777" w:rsidR="004F647F" w:rsidRDefault="004F647F" w:rsidP="00DE3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F0D74"/>
    <w:multiLevelType w:val="hybridMultilevel"/>
    <w:tmpl w:val="C1F66CC2"/>
    <w:lvl w:ilvl="0" w:tplc="274E420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04C1D"/>
    <w:multiLevelType w:val="hybridMultilevel"/>
    <w:tmpl w:val="81FE7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104B1"/>
    <w:multiLevelType w:val="hybridMultilevel"/>
    <w:tmpl w:val="C216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1958E3"/>
    <w:multiLevelType w:val="hybridMultilevel"/>
    <w:tmpl w:val="A128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F7739B"/>
    <w:multiLevelType w:val="hybridMultilevel"/>
    <w:tmpl w:val="89B2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4051EF"/>
    <w:multiLevelType w:val="hybridMultilevel"/>
    <w:tmpl w:val="1AB042D6"/>
    <w:lvl w:ilvl="0" w:tplc="5D760C96">
      <w:start w:val="1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9B3B2A"/>
    <w:multiLevelType w:val="hybridMultilevel"/>
    <w:tmpl w:val="DC0C5E02"/>
    <w:lvl w:ilvl="0" w:tplc="F976DDE2">
      <w:start w:val="1"/>
      <w:numFmt w:val="lowerRoman"/>
      <w:lvlText w:val="(%1)"/>
      <w:lvlJc w:val="left"/>
      <w:pPr>
        <w:ind w:left="718" w:hanging="72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7" w15:restartNumberingAfterBreak="0">
    <w:nsid w:val="680E2B29"/>
    <w:multiLevelType w:val="hybridMultilevel"/>
    <w:tmpl w:val="0556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377530"/>
    <w:multiLevelType w:val="hybridMultilevel"/>
    <w:tmpl w:val="FD7AE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
  </w:num>
  <w:num w:numId="5">
    <w:abstractNumId w:val="7"/>
  </w:num>
  <w:num w:numId="6">
    <w:abstractNumId w:val="6"/>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A7A"/>
    <w:rsid w:val="00073C70"/>
    <w:rsid w:val="000B7324"/>
    <w:rsid w:val="000D3D96"/>
    <w:rsid w:val="001A2445"/>
    <w:rsid w:val="001B5478"/>
    <w:rsid w:val="001F516C"/>
    <w:rsid w:val="0022646D"/>
    <w:rsid w:val="00240F46"/>
    <w:rsid w:val="00253C88"/>
    <w:rsid w:val="00274CB4"/>
    <w:rsid w:val="002855DA"/>
    <w:rsid w:val="002B703B"/>
    <w:rsid w:val="002D50D5"/>
    <w:rsid w:val="003329E3"/>
    <w:rsid w:val="003537E6"/>
    <w:rsid w:val="003574CE"/>
    <w:rsid w:val="0038299F"/>
    <w:rsid w:val="00397366"/>
    <w:rsid w:val="003E376D"/>
    <w:rsid w:val="00430732"/>
    <w:rsid w:val="00451869"/>
    <w:rsid w:val="00454294"/>
    <w:rsid w:val="004C26CA"/>
    <w:rsid w:val="004C523D"/>
    <w:rsid w:val="004E3336"/>
    <w:rsid w:val="004F647F"/>
    <w:rsid w:val="00545BFE"/>
    <w:rsid w:val="00560C79"/>
    <w:rsid w:val="00574A43"/>
    <w:rsid w:val="005B0107"/>
    <w:rsid w:val="005E2286"/>
    <w:rsid w:val="0060719E"/>
    <w:rsid w:val="0064022D"/>
    <w:rsid w:val="006D70D8"/>
    <w:rsid w:val="007266DA"/>
    <w:rsid w:val="007561C9"/>
    <w:rsid w:val="00766196"/>
    <w:rsid w:val="007A48C4"/>
    <w:rsid w:val="007C3B68"/>
    <w:rsid w:val="007E0372"/>
    <w:rsid w:val="00812CEA"/>
    <w:rsid w:val="0082059F"/>
    <w:rsid w:val="008262E0"/>
    <w:rsid w:val="00853A6B"/>
    <w:rsid w:val="008A3DEA"/>
    <w:rsid w:val="008E5981"/>
    <w:rsid w:val="0090142E"/>
    <w:rsid w:val="00920E08"/>
    <w:rsid w:val="00984389"/>
    <w:rsid w:val="00997B65"/>
    <w:rsid w:val="009C088C"/>
    <w:rsid w:val="009C5C55"/>
    <w:rsid w:val="009D20E8"/>
    <w:rsid w:val="009D63A2"/>
    <w:rsid w:val="009E52E1"/>
    <w:rsid w:val="00A367EE"/>
    <w:rsid w:val="00A83738"/>
    <w:rsid w:val="00AA2082"/>
    <w:rsid w:val="00AC2B71"/>
    <w:rsid w:val="00AE15ED"/>
    <w:rsid w:val="00AE4F89"/>
    <w:rsid w:val="00BC31ED"/>
    <w:rsid w:val="00BF2908"/>
    <w:rsid w:val="00BF5F68"/>
    <w:rsid w:val="00C3431B"/>
    <w:rsid w:val="00C53421"/>
    <w:rsid w:val="00C8157A"/>
    <w:rsid w:val="00D129AB"/>
    <w:rsid w:val="00DA64D6"/>
    <w:rsid w:val="00DE3C2C"/>
    <w:rsid w:val="00DE4A0A"/>
    <w:rsid w:val="00E847A4"/>
    <w:rsid w:val="00EF2631"/>
    <w:rsid w:val="00F06219"/>
    <w:rsid w:val="00F333AB"/>
    <w:rsid w:val="00F53FC5"/>
    <w:rsid w:val="00FB5540"/>
    <w:rsid w:val="00FD1A7A"/>
    <w:rsid w:val="00FD3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814DD"/>
  <w15:chartTrackingRefBased/>
  <w15:docId w15:val="{7373A83E-8DF2-4942-AA57-06E29078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B65"/>
    <w:pPr>
      <w:ind w:left="720"/>
      <w:contextualSpacing/>
    </w:pPr>
  </w:style>
  <w:style w:type="paragraph" w:styleId="Header">
    <w:name w:val="header"/>
    <w:basedOn w:val="Normal"/>
    <w:link w:val="HeaderChar"/>
    <w:uiPriority w:val="99"/>
    <w:unhideWhenUsed/>
    <w:rsid w:val="00DE3C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C2C"/>
  </w:style>
  <w:style w:type="paragraph" w:styleId="Footer">
    <w:name w:val="footer"/>
    <w:basedOn w:val="Normal"/>
    <w:link w:val="FooterChar"/>
    <w:uiPriority w:val="99"/>
    <w:unhideWhenUsed/>
    <w:rsid w:val="00DE3C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C2C"/>
  </w:style>
  <w:style w:type="character" w:styleId="CommentReference">
    <w:name w:val="annotation reference"/>
    <w:basedOn w:val="DefaultParagraphFont"/>
    <w:uiPriority w:val="99"/>
    <w:semiHidden/>
    <w:unhideWhenUsed/>
    <w:rsid w:val="007E0372"/>
    <w:rPr>
      <w:sz w:val="16"/>
      <w:szCs w:val="16"/>
    </w:rPr>
  </w:style>
  <w:style w:type="paragraph" w:styleId="CommentText">
    <w:name w:val="annotation text"/>
    <w:basedOn w:val="Normal"/>
    <w:link w:val="CommentTextChar"/>
    <w:uiPriority w:val="99"/>
    <w:semiHidden/>
    <w:unhideWhenUsed/>
    <w:rsid w:val="007E0372"/>
    <w:pPr>
      <w:spacing w:line="240" w:lineRule="auto"/>
    </w:pPr>
    <w:rPr>
      <w:sz w:val="20"/>
      <w:szCs w:val="20"/>
    </w:rPr>
  </w:style>
  <w:style w:type="character" w:customStyle="1" w:styleId="CommentTextChar">
    <w:name w:val="Comment Text Char"/>
    <w:basedOn w:val="DefaultParagraphFont"/>
    <w:link w:val="CommentText"/>
    <w:uiPriority w:val="99"/>
    <w:semiHidden/>
    <w:rsid w:val="007E0372"/>
    <w:rPr>
      <w:sz w:val="20"/>
      <w:szCs w:val="20"/>
    </w:rPr>
  </w:style>
  <w:style w:type="paragraph" w:styleId="CommentSubject">
    <w:name w:val="annotation subject"/>
    <w:basedOn w:val="CommentText"/>
    <w:next w:val="CommentText"/>
    <w:link w:val="CommentSubjectChar"/>
    <w:uiPriority w:val="99"/>
    <w:semiHidden/>
    <w:unhideWhenUsed/>
    <w:rsid w:val="007E0372"/>
    <w:rPr>
      <w:b/>
      <w:bCs/>
    </w:rPr>
  </w:style>
  <w:style w:type="character" w:customStyle="1" w:styleId="CommentSubjectChar">
    <w:name w:val="Comment Subject Char"/>
    <w:basedOn w:val="CommentTextChar"/>
    <w:link w:val="CommentSubject"/>
    <w:uiPriority w:val="99"/>
    <w:semiHidden/>
    <w:rsid w:val="007E0372"/>
    <w:rPr>
      <w:b/>
      <w:bCs/>
      <w:sz w:val="20"/>
      <w:szCs w:val="20"/>
    </w:rPr>
  </w:style>
  <w:style w:type="paragraph" w:styleId="BalloonText">
    <w:name w:val="Balloon Text"/>
    <w:basedOn w:val="Normal"/>
    <w:link w:val="BalloonTextChar"/>
    <w:uiPriority w:val="99"/>
    <w:semiHidden/>
    <w:unhideWhenUsed/>
    <w:rsid w:val="007E03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3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F29E6-AACB-4741-88A3-990FB171F8FE}"/>
</file>

<file path=customXml/itemProps2.xml><?xml version="1.0" encoding="utf-8"?>
<ds:datastoreItem xmlns:ds="http://schemas.openxmlformats.org/officeDocument/2006/customXml" ds:itemID="{25272FD8-997D-449D-A654-10B00F62ADAB}"/>
</file>

<file path=customXml/itemProps3.xml><?xml version="1.0" encoding="utf-8"?>
<ds:datastoreItem xmlns:ds="http://schemas.openxmlformats.org/officeDocument/2006/customXml" ds:itemID="{280E4CA6-D39F-42A8-A1E6-8887DB26FF8E}"/>
</file>

<file path=docProps/app.xml><?xml version="1.0" encoding="utf-8"?>
<Properties xmlns="http://schemas.openxmlformats.org/officeDocument/2006/extended-properties" xmlns:vt="http://schemas.openxmlformats.org/officeDocument/2006/docPropsVTypes">
  <Template>Normal.dotm</Template>
  <TotalTime>1</TotalTime>
  <Pages>11</Pages>
  <Words>2243</Words>
  <Characters>12786</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SEERATHUN Jamila</cp:lastModifiedBy>
  <cp:revision>2</cp:revision>
  <dcterms:created xsi:type="dcterms:W3CDTF">2021-09-15T14:53:00Z</dcterms:created>
  <dcterms:modified xsi:type="dcterms:W3CDTF">2021-09-15T14:53:00Z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