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17497790"/>
        <w:docPartObj>
          <w:docPartGallery w:val="Cover Pages"/>
          <w:docPartUnique/>
        </w:docPartObj>
      </w:sdtPr>
      <w:sdtEndPr>
        <w:rPr>
          <w:rFonts w:asciiTheme="majorHAnsi" w:hAnsiTheme="majorHAnsi" w:cstheme="majorHAnsi"/>
          <w:b/>
          <w:lang w:val="en-US"/>
        </w:rPr>
      </w:sdtEndPr>
      <w:sdtContent>
        <w:p w:rsidR="00B65D97" w:rsidRDefault="00B65D97" w:rsidP="00CB7D0F">
          <w:pPr>
            <w:tabs>
              <w:tab w:val="left" w:pos="426"/>
            </w:tabs>
          </w:pPr>
        </w:p>
        <w:p w:rsidR="00B65D97" w:rsidRDefault="00B65D97" w:rsidP="00CB7D0F">
          <w:pPr>
            <w:tabs>
              <w:tab w:val="left" w:pos="426"/>
            </w:tabs>
            <w:rPr>
              <w:rFonts w:asciiTheme="majorHAnsi" w:hAnsiTheme="majorHAnsi" w:cstheme="majorHAnsi"/>
              <w:b/>
              <w:lang w:val="en-US"/>
            </w:rPr>
          </w:pPr>
          <w:r>
            <w:rPr>
              <w:rFonts w:asciiTheme="majorHAnsi" w:hAnsiTheme="majorHAnsi" w:cstheme="majorHAnsi"/>
              <w:b/>
              <w:noProof/>
              <w:lang w:val="en-US"/>
            </w:rPr>
            <w:drawing>
              <wp:anchor distT="0" distB="0" distL="114300" distR="114300" simplePos="0" relativeHeight="251661312" behindDoc="0" locked="0" layoutInCell="1" allowOverlap="1">
                <wp:simplePos x="0" y="0"/>
                <wp:positionH relativeFrom="margin">
                  <wp:align>center</wp:align>
                </wp:positionH>
                <wp:positionV relativeFrom="paragraph">
                  <wp:posOffset>1866472</wp:posOffset>
                </wp:positionV>
                <wp:extent cx="3476625" cy="131445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a:extLst>
                            <a:ext uri="{28A0092B-C50C-407E-A947-70E740481C1C}">
                              <a14:useLocalDpi xmlns:a14="http://schemas.microsoft.com/office/drawing/2010/main" val="0"/>
                            </a:ext>
                          </a:extLst>
                        </a:blip>
                        <a:stretch>
                          <a:fillRect/>
                        </a:stretch>
                      </pic:blipFill>
                      <pic:spPr>
                        <a:xfrm>
                          <a:off x="0" y="0"/>
                          <a:ext cx="3476625" cy="1314450"/>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1274445</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Cuadro de texto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65D97" w:rsidRPr="00B65D97" w:rsidRDefault="00B277ED" w:rsidP="00B65D97">
                                <w:pPr>
                                  <w:pStyle w:val="Sinespaciado"/>
                                  <w:spacing w:before="40" w:after="560" w:line="216" w:lineRule="auto"/>
                                  <w:jc w:val="center"/>
                                  <w:rPr>
                                    <w:rFonts w:cstheme="minorHAnsi"/>
                                    <w:b/>
                                    <w:sz w:val="28"/>
                                    <w:szCs w:val="24"/>
                                  </w:rPr>
                                </w:pPr>
                                <w:sdt>
                                  <w:sdtPr>
                                    <w:rPr>
                                      <w:rFonts w:cstheme="minorHAnsi"/>
                                      <w:b/>
                                      <w:sz w:val="28"/>
                                      <w:szCs w:val="24"/>
                                    </w:rPr>
                                    <w:alias w:val="Título"/>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65D97" w:rsidRPr="00B65D97">
                                      <w:rPr>
                                        <w:rFonts w:cstheme="minorHAnsi"/>
                                        <w:b/>
                                        <w:sz w:val="28"/>
                                        <w:szCs w:val="24"/>
                                      </w:rPr>
                                      <w:t xml:space="preserve">ALTERNATIVE REPORT                                                                                          FROM CIVIL SOCIETY FOR THE REVIEW OF THE FIFTH PERIODIC REPORT OF THE STATE OF CHILE TO THE COMMITTEE ON ECONOMIC, SOCIAL AND CULTURAL RIGHTS </w:t>
                                    </w:r>
                                    <w:r w:rsidR="00103365">
                                      <w:rPr>
                                        <w:rFonts w:cstheme="minorHAnsi"/>
                                        <w:b/>
                                        <w:sz w:val="28"/>
                                        <w:szCs w:val="24"/>
                                      </w:rPr>
                                      <w:t xml:space="preserve">                           </w:t>
                                    </w:r>
                                    <w:r w:rsidR="00B65D97" w:rsidRPr="00B65D97">
                                      <w:rPr>
                                        <w:rFonts w:cstheme="minorHAnsi"/>
                                        <w:b/>
                                        <w:sz w:val="28"/>
                                        <w:szCs w:val="24"/>
                                      </w:rPr>
                                      <w:t>(September 2025)</w:t>
                                    </w:r>
                                  </w:sdtContent>
                                </w:sdt>
                              </w:p>
                              <w:sdt>
                                <w:sdtPr>
                                  <w:rPr>
                                    <w:rFonts w:asciiTheme="majorHAnsi" w:hAnsiTheme="majorHAnsi" w:cstheme="majorHAnsi"/>
                                    <w:b/>
                                    <w:caps/>
                                    <w:sz w:val="28"/>
                                    <w:szCs w:val="28"/>
                                    <w:lang w:val="es-ES"/>
                                  </w:rPr>
                                  <w:alias w:val="Subtítulo"/>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B65D97" w:rsidRPr="00C43003" w:rsidRDefault="00C43003" w:rsidP="00B65D97">
                                    <w:pPr>
                                      <w:pStyle w:val="Sinespaciado"/>
                                      <w:spacing w:before="40" w:after="40"/>
                                      <w:jc w:val="center"/>
                                      <w:rPr>
                                        <w:rFonts w:asciiTheme="majorHAnsi" w:hAnsiTheme="majorHAnsi" w:cstheme="majorHAnsi"/>
                                        <w:b/>
                                        <w:caps/>
                                        <w:sz w:val="28"/>
                                        <w:szCs w:val="28"/>
                                        <w:lang w:val="es-ES"/>
                                      </w:rPr>
                                    </w:pPr>
                                    <w:r w:rsidRPr="00C43003">
                                      <w:rPr>
                                        <w:rFonts w:asciiTheme="majorHAnsi" w:hAnsiTheme="majorHAnsi" w:cstheme="majorHAnsi"/>
                                        <w:b/>
                                        <w:caps/>
                                        <w:sz w:val="28"/>
                                        <w:szCs w:val="28"/>
                                        <w:lang w:val="es-ES"/>
                                      </w:rPr>
                                      <w:t xml:space="preserve">CORPORACIÓN OPCIÓN                                                          (CORPORACIÓN DE OPORTUNIDAD Y ACCIÓN SOLIDARIA)  </w:t>
                                    </w:r>
                                    <w:r w:rsidR="00AD1FAC">
                                      <w:rPr>
                                        <w:rFonts w:asciiTheme="majorHAnsi" w:hAnsiTheme="majorHAnsi" w:cstheme="majorHAnsi"/>
                                        <w:b/>
                                        <w:caps/>
                                        <w:sz w:val="28"/>
                                        <w:szCs w:val="28"/>
                                        <w:lang w:val="es-ES"/>
                                      </w:rPr>
                                      <w:t xml:space="preserve"> </w:t>
                                    </w:r>
                                    <w:r w:rsidRPr="00C43003">
                                      <w:rPr>
                                        <w:rFonts w:asciiTheme="majorHAnsi" w:hAnsiTheme="majorHAnsi" w:cstheme="majorHAnsi"/>
                                        <w:b/>
                                        <w:caps/>
                                        <w:sz w:val="28"/>
                                        <w:szCs w:val="28"/>
                                        <w:lang w:val="es-ES"/>
                                      </w:rPr>
                                      <w:t>SPECIAL CONSULTATIVE STATUS SINCE 2004</w:t>
                                    </w:r>
                                  </w:p>
                                </w:sdtContent>
                              </w:sdt>
                              <w:p w:rsidR="00B65D97" w:rsidRPr="00C43003" w:rsidRDefault="00B65D97">
                                <w:pPr>
                                  <w:pStyle w:val="Sinespaciado"/>
                                  <w:spacing w:before="80" w:after="40"/>
                                  <w:rPr>
                                    <w:caps/>
                                    <w:color w:val="A19574" w:themeColor="accent5"/>
                                    <w:sz w:val="24"/>
                                    <w:szCs w:val="24"/>
                                    <w:lang w:val="es-E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Cuadro de texto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" filled="f" stroked="f" strokeweight=".5pt">
                    <v:textbox style="mso-fit-shape-to-text:t" inset="0,0,0,0">
                      <w:txbxContent>
                        <w:p w:rsidR="00B65D97" w:rsidRPr="00B65D97" w:rsidRDefault="00B277ED" w:rsidP="00B65D97">
                          <w:pPr>
                            <w:pStyle w:val="Sinespaciado"/>
                            <w:spacing w:before="40" w:after="560" w:line="216" w:lineRule="auto"/>
                            <w:jc w:val="center"/>
                            <w:rPr>
                              <w:rFonts w:cstheme="minorHAnsi"/>
                              <w:b/>
                              <w:sz w:val="28"/>
                              <w:szCs w:val="24"/>
                            </w:rPr>
                          </w:pPr>
                          <w:sdt>
                            <w:sdtPr>
                              <w:rPr>
                                <w:rFonts w:cstheme="minorHAnsi"/>
                                <w:b/>
                                <w:sz w:val="28"/>
                                <w:szCs w:val="24"/>
                              </w:rPr>
                              <w:alias w:val="Título"/>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65D97" w:rsidRPr="00B65D97">
                                <w:rPr>
                                  <w:rFonts w:cstheme="minorHAnsi"/>
                                  <w:b/>
                                  <w:sz w:val="28"/>
                                  <w:szCs w:val="24"/>
                                </w:rPr>
                                <w:t xml:space="preserve">ALTERNATIVE REPORT                                                                                          FROM CIVIL SOCIETY FOR THE REVIEW OF THE FIFTH PERIODIC REPORT OF THE STATE OF CHILE TO THE COMMITTEE ON ECONOMIC, SOCIAL AND CULTURAL RIGHTS </w:t>
                              </w:r>
                              <w:r w:rsidR="00103365">
                                <w:rPr>
                                  <w:rFonts w:cstheme="minorHAnsi"/>
                                  <w:b/>
                                  <w:sz w:val="28"/>
                                  <w:szCs w:val="24"/>
                                </w:rPr>
                                <w:t xml:space="preserve">                           </w:t>
                              </w:r>
                              <w:r w:rsidR="00B65D97" w:rsidRPr="00B65D97">
                                <w:rPr>
                                  <w:rFonts w:cstheme="minorHAnsi"/>
                                  <w:b/>
                                  <w:sz w:val="28"/>
                                  <w:szCs w:val="24"/>
                                </w:rPr>
                                <w:t>(September 2025)</w:t>
                              </w:r>
                            </w:sdtContent>
                          </w:sdt>
                        </w:p>
                        <w:sdt>
                          <w:sdtPr>
                            <w:rPr>
                              <w:rFonts w:asciiTheme="majorHAnsi" w:hAnsiTheme="majorHAnsi" w:cstheme="majorHAnsi"/>
                              <w:b/>
                              <w:caps/>
                              <w:sz w:val="28"/>
                              <w:szCs w:val="28"/>
                              <w:lang w:val="es-ES"/>
                            </w:rPr>
                            <w:alias w:val="Subtítulo"/>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B65D97" w:rsidRPr="00C43003" w:rsidRDefault="00C43003" w:rsidP="00B65D97">
                              <w:pPr>
                                <w:pStyle w:val="Sinespaciado"/>
                                <w:spacing w:before="40" w:after="40"/>
                                <w:jc w:val="center"/>
                                <w:rPr>
                                  <w:rFonts w:asciiTheme="majorHAnsi" w:hAnsiTheme="majorHAnsi" w:cstheme="majorHAnsi"/>
                                  <w:b/>
                                  <w:caps/>
                                  <w:sz w:val="28"/>
                                  <w:szCs w:val="28"/>
                                  <w:lang w:val="es-ES"/>
                                </w:rPr>
                              </w:pPr>
                              <w:r w:rsidRPr="00C43003">
                                <w:rPr>
                                  <w:rFonts w:asciiTheme="majorHAnsi" w:hAnsiTheme="majorHAnsi" w:cstheme="majorHAnsi"/>
                                  <w:b/>
                                  <w:caps/>
                                  <w:sz w:val="28"/>
                                  <w:szCs w:val="28"/>
                                  <w:lang w:val="es-ES"/>
                                </w:rPr>
                                <w:t xml:space="preserve">CORPORACIÓN OPCIÓN                                                          (CORPORACIÓN DE OPORTUNIDAD Y ACCIÓN SOLIDARIA)  </w:t>
                              </w:r>
                              <w:r w:rsidR="00AD1FAC">
                                <w:rPr>
                                  <w:rFonts w:asciiTheme="majorHAnsi" w:hAnsiTheme="majorHAnsi" w:cstheme="majorHAnsi"/>
                                  <w:b/>
                                  <w:caps/>
                                  <w:sz w:val="28"/>
                                  <w:szCs w:val="28"/>
                                  <w:lang w:val="es-ES"/>
                                </w:rPr>
                                <w:t xml:space="preserve"> </w:t>
                              </w:r>
                              <w:r w:rsidRPr="00C43003">
                                <w:rPr>
                                  <w:rFonts w:asciiTheme="majorHAnsi" w:hAnsiTheme="majorHAnsi" w:cstheme="majorHAnsi"/>
                                  <w:b/>
                                  <w:caps/>
                                  <w:sz w:val="28"/>
                                  <w:szCs w:val="28"/>
                                  <w:lang w:val="es-ES"/>
                                </w:rPr>
                                <w:t>SPECIAL CONSULTATIVE STATUS SINCE 2004</w:t>
                              </w:r>
                            </w:p>
                          </w:sdtContent>
                        </w:sdt>
                        <w:p w:rsidR="00B65D97" w:rsidRPr="00C43003" w:rsidRDefault="00B65D97">
                          <w:pPr>
                            <w:pStyle w:val="Sinespaciado"/>
                            <w:spacing w:before="80" w:after="40"/>
                            <w:rPr>
                              <w:caps/>
                              <w:color w:val="A19574" w:themeColor="accent5"/>
                              <w:sz w:val="24"/>
                              <w:szCs w:val="24"/>
                              <w:lang w:val="es-ES"/>
                            </w:rPr>
                          </w:pPr>
                        </w:p>
                      </w:txbxContent>
                    </v:textbox>
                    <w10:wrap type="square" anchorx="margin" anchory="page"/>
                  </v:shape>
                </w:pict>
              </mc:Fallback>
            </mc:AlternateContent>
          </w:r>
          <w:r>
            <w:rPr>
              <w:rFonts w:asciiTheme="majorHAnsi" w:hAnsiTheme="majorHAnsi" w:cstheme="majorHAnsi"/>
              <w:b/>
              <w:lang w:val="en-US"/>
            </w:rPr>
            <w:br w:type="page"/>
          </w:r>
        </w:p>
      </w:sdtContent>
    </w:sdt>
    <w:p w:rsidR="00BB3598" w:rsidRPr="00E66E04" w:rsidRDefault="003B7427" w:rsidP="00CB7D0F">
      <w:pPr>
        <w:tabs>
          <w:tab w:val="left" w:pos="426"/>
        </w:tabs>
        <w:spacing w:after="0" w:line="240" w:lineRule="auto"/>
        <w:jc w:val="both"/>
        <w:rPr>
          <w:rFonts w:asciiTheme="majorHAnsi" w:hAnsiTheme="majorHAnsi" w:cstheme="majorHAnsi"/>
          <w:lang w:val="en-US"/>
        </w:rPr>
      </w:pPr>
      <w:r w:rsidRPr="00E66E04">
        <w:rPr>
          <w:rFonts w:asciiTheme="majorHAnsi" w:hAnsiTheme="majorHAnsi" w:cstheme="majorHAnsi"/>
          <w:b/>
          <w:lang w:val="en-US"/>
        </w:rPr>
        <w:lastRenderedPageBreak/>
        <w:t>CORPORACIÓN OPCIÓN</w:t>
      </w:r>
      <w:r w:rsidRPr="00E66E04">
        <w:rPr>
          <w:rFonts w:asciiTheme="majorHAnsi" w:hAnsiTheme="majorHAnsi" w:cstheme="majorHAnsi"/>
          <w:lang w:val="en-US"/>
        </w:rPr>
        <w:t xml:space="preserve"> is a Chilean non-profit </w:t>
      </w:r>
      <w:r w:rsidR="00B65D97" w:rsidRPr="00E66E04">
        <w:rPr>
          <w:rFonts w:asciiTheme="majorHAnsi" w:hAnsiTheme="majorHAnsi" w:cstheme="majorHAnsi"/>
          <w:lang w:val="en-US"/>
        </w:rPr>
        <w:t>organization</w:t>
      </w:r>
      <w:r w:rsidRPr="00E66E04">
        <w:rPr>
          <w:rFonts w:asciiTheme="majorHAnsi" w:hAnsiTheme="majorHAnsi" w:cstheme="majorHAnsi"/>
          <w:lang w:val="en-US"/>
        </w:rPr>
        <w:t xml:space="preserve"> founded in 1990 that works to promote, protect and support the restoration of </w:t>
      </w:r>
      <w:r w:rsidR="00B65D97" w:rsidRPr="00E66E04">
        <w:rPr>
          <w:rFonts w:asciiTheme="majorHAnsi" w:hAnsiTheme="majorHAnsi" w:cstheme="majorHAnsi"/>
          <w:lang w:val="en-US"/>
        </w:rPr>
        <w:t>children</w:t>
      </w:r>
      <w:r w:rsidRPr="00E66E04">
        <w:rPr>
          <w:rFonts w:asciiTheme="majorHAnsi" w:hAnsiTheme="majorHAnsi" w:cstheme="majorHAnsi"/>
          <w:lang w:val="en-US"/>
        </w:rPr>
        <w:t xml:space="preserve"> and adolescents' rights. We are an accredited state partner </w:t>
      </w:r>
      <w:r w:rsidR="00B65D97" w:rsidRPr="00E66E04">
        <w:rPr>
          <w:rFonts w:asciiTheme="majorHAnsi" w:hAnsiTheme="majorHAnsi" w:cstheme="majorHAnsi"/>
          <w:lang w:val="en-US"/>
        </w:rPr>
        <w:t>organization</w:t>
      </w:r>
      <w:r w:rsidRPr="00E66E04">
        <w:rPr>
          <w:rFonts w:asciiTheme="majorHAnsi" w:hAnsiTheme="majorHAnsi" w:cstheme="majorHAnsi"/>
          <w:lang w:val="en-US"/>
        </w:rPr>
        <w:t xml:space="preserve"> and have held Special Consultative Status with the UN since 2004. </w:t>
      </w:r>
      <w:r w:rsidR="00B65D97">
        <w:rPr>
          <w:rFonts w:asciiTheme="majorHAnsi" w:hAnsiTheme="majorHAnsi" w:cstheme="majorHAnsi"/>
          <w:lang w:val="en-US"/>
        </w:rPr>
        <w:t>OPCION</w:t>
      </w:r>
      <w:r w:rsidRPr="00E66E04">
        <w:rPr>
          <w:rFonts w:asciiTheme="majorHAnsi" w:hAnsiTheme="majorHAnsi" w:cstheme="majorHAnsi"/>
          <w:lang w:val="en-US"/>
        </w:rPr>
        <w:t xml:space="preserve"> provides direct assistance in the area of reparation to children and adolescents who have experienced violence, mistreatment, sexual abuse, child sexual exploitation, abandonment and child labour, as well as to adolescents who have broken the law and are in socio-educational programmes for social reintegration. </w:t>
      </w:r>
      <w:r w:rsidR="00E66E04" w:rsidRPr="00E66E04">
        <w:rPr>
          <w:rFonts w:asciiTheme="majorHAnsi" w:hAnsiTheme="majorHAnsi" w:cstheme="majorHAnsi"/>
          <w:lang w:val="en-US"/>
        </w:rPr>
        <w:t xml:space="preserve">OPCIÓN </w:t>
      </w:r>
      <w:r w:rsidRPr="00E66E04">
        <w:rPr>
          <w:rFonts w:asciiTheme="majorHAnsi" w:hAnsiTheme="majorHAnsi" w:cstheme="majorHAnsi"/>
          <w:lang w:val="en-US"/>
        </w:rPr>
        <w:t xml:space="preserve">has developed innovative psychosocial intervention methodologies for children and adolescents based on </w:t>
      </w:r>
      <w:r w:rsidR="00C43003">
        <w:rPr>
          <w:rFonts w:asciiTheme="majorHAnsi" w:hAnsiTheme="majorHAnsi" w:cstheme="majorHAnsi"/>
          <w:lang w:val="en-US"/>
        </w:rPr>
        <w:t>human</w:t>
      </w:r>
      <w:r w:rsidRPr="00E66E04">
        <w:rPr>
          <w:rFonts w:asciiTheme="majorHAnsi" w:hAnsiTheme="majorHAnsi" w:cstheme="majorHAnsi"/>
          <w:lang w:val="en-US"/>
        </w:rPr>
        <w:t xml:space="preserve"> rights</w:t>
      </w:r>
      <w:r w:rsidR="00C43003">
        <w:rPr>
          <w:rFonts w:asciiTheme="majorHAnsi" w:hAnsiTheme="majorHAnsi" w:cstheme="majorHAnsi"/>
          <w:lang w:val="en-US"/>
        </w:rPr>
        <w:t xml:space="preserve"> approach</w:t>
      </w:r>
      <w:r w:rsidRPr="00E66E04">
        <w:rPr>
          <w:rFonts w:asciiTheme="majorHAnsi" w:hAnsiTheme="majorHAnsi" w:cstheme="majorHAnsi"/>
          <w:lang w:val="en-US"/>
        </w:rPr>
        <w:t>, enabling them to improve their quality of life.</w:t>
      </w:r>
    </w:p>
    <w:p w:rsidR="003B7427" w:rsidRPr="00E66E04" w:rsidRDefault="003B7427" w:rsidP="00CB7D0F">
      <w:pPr>
        <w:tabs>
          <w:tab w:val="left" w:pos="426"/>
        </w:tabs>
        <w:spacing w:after="0" w:line="240" w:lineRule="auto"/>
        <w:jc w:val="both"/>
        <w:rPr>
          <w:rFonts w:asciiTheme="majorHAnsi" w:hAnsiTheme="majorHAnsi" w:cstheme="majorHAnsi"/>
          <w:lang w:val="en-US"/>
        </w:rPr>
      </w:pPr>
    </w:p>
    <w:p w:rsidR="003B7427" w:rsidRPr="00E66E04" w:rsidRDefault="00E66E04" w:rsidP="00CB7D0F">
      <w:pPr>
        <w:pStyle w:val="Ttulo1"/>
        <w:tabs>
          <w:tab w:val="left" w:pos="426"/>
        </w:tabs>
        <w:spacing w:line="240" w:lineRule="auto"/>
        <w:jc w:val="both"/>
        <w:rPr>
          <w:rFonts w:cstheme="majorHAnsi"/>
          <w:sz w:val="22"/>
          <w:szCs w:val="22"/>
          <w:lang w:val="en-US"/>
        </w:rPr>
      </w:pPr>
      <w:r w:rsidRPr="00E66E04">
        <w:rPr>
          <w:rFonts w:cstheme="majorHAnsi"/>
          <w:sz w:val="22"/>
          <w:szCs w:val="22"/>
          <w:lang w:val="en-US"/>
        </w:rPr>
        <w:t>ENFORCEABILITY OF THE RIGHTS CONTAINED IN THE COVENANT.</w:t>
      </w:r>
    </w:p>
    <w:p w:rsidR="00CB7D0F" w:rsidRDefault="00CB7D0F" w:rsidP="00CB7D0F">
      <w:pPr>
        <w:pStyle w:val="Prrafodelista"/>
        <w:numPr>
          <w:ilvl w:val="0"/>
          <w:numId w:val="19"/>
        </w:numPr>
        <w:tabs>
          <w:tab w:val="left" w:pos="426"/>
        </w:tabs>
        <w:spacing w:line="240" w:lineRule="auto"/>
        <w:ind w:left="0" w:firstLine="0"/>
        <w:jc w:val="both"/>
        <w:rPr>
          <w:rFonts w:asciiTheme="majorHAnsi" w:hAnsiTheme="majorHAnsi" w:cstheme="majorHAnsi"/>
          <w:lang w:val="en-US"/>
        </w:rPr>
      </w:pPr>
      <w:r w:rsidRPr="00CB7D0F">
        <w:rPr>
          <w:rFonts w:asciiTheme="majorHAnsi" w:hAnsiTheme="majorHAnsi" w:cstheme="majorHAnsi"/>
          <w:lang w:val="en-US"/>
        </w:rPr>
        <w:t>In Chile, social, economic and cultural rights are often considered unprotected, particularly for children and adolescents. In fact, they remain invisible. Article 5 of the Constitution has failed to clearly establish the legal status of international human rights treaties, generating controversy over their normative hierarchy and impacting the guarantee of internationally recognised rights for children and adolescents.</w:t>
      </w:r>
    </w:p>
    <w:p w:rsidR="00CB7D0F" w:rsidRPr="00CB7D0F" w:rsidRDefault="00CB7D0F" w:rsidP="00CB7D0F">
      <w:pPr>
        <w:pStyle w:val="Prrafodelista"/>
        <w:tabs>
          <w:tab w:val="left" w:pos="426"/>
        </w:tabs>
        <w:spacing w:line="240" w:lineRule="auto"/>
        <w:ind w:left="0"/>
        <w:jc w:val="both"/>
        <w:rPr>
          <w:rFonts w:asciiTheme="majorHAnsi" w:hAnsiTheme="majorHAnsi" w:cstheme="majorHAnsi"/>
          <w:lang w:val="en-US"/>
        </w:rPr>
      </w:pPr>
    </w:p>
    <w:p w:rsidR="00CB7D0F" w:rsidRPr="00CB7D0F" w:rsidRDefault="00CB7D0F" w:rsidP="00CB7D0F">
      <w:pPr>
        <w:tabs>
          <w:tab w:val="left" w:pos="426"/>
        </w:tabs>
        <w:spacing w:line="240" w:lineRule="auto"/>
        <w:jc w:val="both"/>
        <w:rPr>
          <w:rFonts w:asciiTheme="majorHAnsi" w:hAnsiTheme="majorHAnsi" w:cstheme="majorHAnsi"/>
          <w:b/>
          <w:lang w:val="en-US"/>
        </w:rPr>
      </w:pPr>
      <w:r w:rsidRPr="00CB7D0F">
        <w:rPr>
          <w:rFonts w:asciiTheme="majorHAnsi" w:hAnsiTheme="majorHAnsi" w:cstheme="majorHAnsi"/>
          <w:b/>
          <w:lang w:val="en-US"/>
        </w:rPr>
        <w:t>Recommendation to the State of Chile:</w:t>
      </w:r>
    </w:p>
    <w:p w:rsidR="00E930DD" w:rsidRPr="00E66E04" w:rsidRDefault="00CB7D0F" w:rsidP="00CB7D0F">
      <w:pPr>
        <w:pStyle w:val="Prrafodelista"/>
        <w:numPr>
          <w:ilvl w:val="0"/>
          <w:numId w:val="20"/>
        </w:numPr>
        <w:tabs>
          <w:tab w:val="left" w:pos="426"/>
        </w:tabs>
        <w:spacing w:line="240" w:lineRule="auto"/>
        <w:ind w:left="0" w:firstLine="0"/>
        <w:jc w:val="both"/>
        <w:rPr>
          <w:rFonts w:asciiTheme="majorHAnsi" w:hAnsiTheme="majorHAnsi" w:cstheme="majorHAnsi"/>
          <w:lang w:val="en-US"/>
        </w:rPr>
      </w:pPr>
      <w:r w:rsidRPr="00CB7D0F">
        <w:rPr>
          <w:rFonts w:asciiTheme="majorHAnsi" w:hAnsiTheme="majorHAnsi" w:cstheme="majorHAnsi"/>
          <w:b/>
          <w:i/>
          <w:lang w:val="en-US"/>
        </w:rPr>
        <w:t>The State of Chile is urged to establish adequate mechanisms for recognising and enforcing the rights of children and adolescents. These mechanisms should enable affected groups to demand the fulfilment of these rights, thus promoting their collective realisation and substantive equality, beyond the mere provision of minimums guaranteed by the State</w:t>
      </w:r>
      <w:r w:rsidRPr="00CB7D0F">
        <w:rPr>
          <w:rFonts w:asciiTheme="majorHAnsi" w:hAnsiTheme="majorHAnsi" w:cstheme="majorHAnsi"/>
          <w:lang w:val="en-US"/>
        </w:rPr>
        <w:t>.</w:t>
      </w:r>
    </w:p>
    <w:p w:rsidR="003B7427" w:rsidRPr="00E66E04" w:rsidRDefault="00E66E04" w:rsidP="00CB7D0F">
      <w:pPr>
        <w:pStyle w:val="Ttulo1"/>
        <w:tabs>
          <w:tab w:val="left" w:pos="426"/>
        </w:tabs>
        <w:spacing w:line="240" w:lineRule="auto"/>
        <w:jc w:val="both"/>
        <w:rPr>
          <w:rFonts w:cstheme="majorHAnsi"/>
          <w:sz w:val="22"/>
          <w:szCs w:val="22"/>
          <w:lang w:val="en-US"/>
        </w:rPr>
      </w:pPr>
      <w:r w:rsidRPr="00E66E04">
        <w:rPr>
          <w:rFonts w:cstheme="majorHAnsi"/>
          <w:sz w:val="22"/>
          <w:szCs w:val="22"/>
          <w:lang w:val="en-US"/>
        </w:rPr>
        <w:t>NON-DISCRIMINATION, ARTICLE 2.2.</w:t>
      </w:r>
    </w:p>
    <w:p w:rsidR="003B7427" w:rsidRPr="00E66E04" w:rsidRDefault="003B7427" w:rsidP="00CB7D0F">
      <w:pPr>
        <w:pStyle w:val="Ttulo2"/>
        <w:tabs>
          <w:tab w:val="left" w:pos="426"/>
        </w:tabs>
        <w:spacing w:line="240" w:lineRule="auto"/>
        <w:jc w:val="both"/>
        <w:rPr>
          <w:rFonts w:cstheme="majorHAnsi"/>
          <w:i/>
          <w:sz w:val="22"/>
          <w:szCs w:val="22"/>
          <w:lang w:val="en-US"/>
        </w:rPr>
      </w:pPr>
      <w:r w:rsidRPr="00E66E04">
        <w:rPr>
          <w:rFonts w:cstheme="majorHAnsi"/>
          <w:i/>
          <w:sz w:val="22"/>
          <w:szCs w:val="22"/>
          <w:lang w:val="en-US"/>
        </w:rPr>
        <w:t>Effectiveness of rights.</w:t>
      </w:r>
    </w:p>
    <w:p w:rsidR="00E930DD"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In 2024, more than 159,000 children and adolescents were reported as victims of crime, almost 40,000 of whom were victims of sexual offences (1). However, only 0.7% of complaints resulted in convictions, with most being resolved through non-judicial means (2) (3). The Video-Recorded Interviews Act, which has been in force since 2022, was not applied in 61% of cases, increasin</w:t>
      </w:r>
      <w:r w:rsidR="00E930DD" w:rsidRPr="00E66E04">
        <w:rPr>
          <w:rFonts w:asciiTheme="majorHAnsi" w:hAnsiTheme="majorHAnsi" w:cstheme="majorHAnsi"/>
          <w:lang w:val="en-US"/>
        </w:rPr>
        <w:t>g the risk of re-</w:t>
      </w:r>
      <w:r w:rsidR="00B65D97" w:rsidRPr="00E66E04">
        <w:rPr>
          <w:rFonts w:asciiTheme="majorHAnsi" w:hAnsiTheme="majorHAnsi" w:cstheme="majorHAnsi"/>
          <w:lang w:val="en-US"/>
        </w:rPr>
        <w:t>victimization</w:t>
      </w:r>
      <w:r w:rsidR="00E930DD" w:rsidRPr="00E66E04">
        <w:rPr>
          <w:rFonts w:asciiTheme="majorHAnsi" w:hAnsiTheme="majorHAnsi" w:cstheme="majorHAnsi"/>
          <w:lang w:val="en-US"/>
        </w:rPr>
        <w:t>.</w:t>
      </w:r>
    </w:p>
    <w:p w:rsidR="00E930DD" w:rsidRPr="00E66E04" w:rsidRDefault="00E930DD" w:rsidP="00CB7D0F">
      <w:pPr>
        <w:pStyle w:val="Prrafodelista"/>
        <w:tabs>
          <w:tab w:val="left" w:pos="426"/>
        </w:tabs>
        <w:spacing w:after="0" w:line="240" w:lineRule="auto"/>
        <w:ind w:left="0"/>
        <w:jc w:val="both"/>
        <w:rPr>
          <w:rFonts w:asciiTheme="majorHAnsi" w:hAnsiTheme="majorHAnsi" w:cstheme="majorHAnsi"/>
          <w:lang w:val="en-US"/>
        </w:rPr>
      </w:pPr>
    </w:p>
    <w:p w:rsidR="00E930DD"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The System of Guarantees and Comprehensive Protection of the Rights of Children and Adolescents, as well as the Local Offices for Children, which were both created in 2022, are poorly implemented (4), and there is still confusion about the role of rights guarantors in the intersectoral area (5).</w:t>
      </w:r>
    </w:p>
    <w:p w:rsidR="00E930DD" w:rsidRPr="00E66E04" w:rsidRDefault="00E930DD" w:rsidP="00CB7D0F">
      <w:pPr>
        <w:pStyle w:val="Prrafodelista"/>
        <w:tabs>
          <w:tab w:val="left" w:pos="426"/>
        </w:tabs>
        <w:spacing w:after="0" w:line="240" w:lineRule="auto"/>
        <w:ind w:left="0"/>
        <w:jc w:val="both"/>
        <w:rPr>
          <w:rFonts w:asciiTheme="majorHAnsi" w:hAnsiTheme="majorHAnsi" w:cstheme="majorHAnsi"/>
          <w:lang w:val="en-US"/>
        </w:rPr>
      </w:pPr>
    </w:p>
    <w:p w:rsidR="003B7427"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The Children's Ombudsman cannot represent children and adolescents directly in court, except in high-impact cases (6). This hinders the </w:t>
      </w:r>
      <w:r w:rsidR="00B65D97" w:rsidRPr="00E66E04">
        <w:rPr>
          <w:rFonts w:asciiTheme="majorHAnsi" w:hAnsiTheme="majorHAnsi" w:cstheme="majorHAnsi"/>
          <w:lang w:val="en-US"/>
        </w:rPr>
        <w:t>specialized</w:t>
      </w:r>
      <w:r w:rsidRPr="00E66E04">
        <w:rPr>
          <w:rFonts w:asciiTheme="majorHAnsi" w:hAnsiTheme="majorHAnsi" w:cstheme="majorHAnsi"/>
          <w:lang w:val="en-US"/>
        </w:rPr>
        <w:t xml:space="preserve"> </w:t>
      </w:r>
      <w:r w:rsidR="00B65D97" w:rsidRPr="00E66E04">
        <w:rPr>
          <w:rFonts w:asciiTheme="majorHAnsi" w:hAnsiTheme="majorHAnsi" w:cstheme="majorHAnsi"/>
          <w:lang w:val="en-US"/>
        </w:rPr>
        <w:t>defense</w:t>
      </w:r>
      <w:r w:rsidRPr="00E66E04">
        <w:rPr>
          <w:rFonts w:asciiTheme="majorHAnsi" w:hAnsiTheme="majorHAnsi" w:cstheme="majorHAnsi"/>
          <w:lang w:val="en-US"/>
        </w:rPr>
        <w:t xml:space="preserve"> of their rights. It also lacks the power to influence legislative and executive decisions that affect children and young people, despite being a specialist children's agency.</w:t>
      </w:r>
    </w:p>
    <w:p w:rsidR="00C86F02" w:rsidRPr="00E66E04" w:rsidRDefault="00C86F02" w:rsidP="00CB7D0F">
      <w:pPr>
        <w:tabs>
          <w:tab w:val="left" w:pos="426"/>
          <w:tab w:val="left" w:pos="4120"/>
        </w:tabs>
        <w:spacing w:after="0" w:line="240" w:lineRule="auto"/>
        <w:jc w:val="both"/>
        <w:rPr>
          <w:rFonts w:asciiTheme="majorHAnsi" w:hAnsiTheme="majorHAnsi" w:cstheme="majorHAnsi"/>
          <w:lang w:val="en-US"/>
        </w:rPr>
      </w:pPr>
    </w:p>
    <w:p w:rsidR="003B7427" w:rsidRPr="00E66E04" w:rsidRDefault="003B7427"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Recommendations to the State of Chile:</w:t>
      </w:r>
    </w:p>
    <w:p w:rsidR="003B7427" w:rsidRPr="00C86F02" w:rsidRDefault="003B7427" w:rsidP="00CB7D0F">
      <w:pPr>
        <w:pStyle w:val="Prrafodelista"/>
        <w:numPr>
          <w:ilvl w:val="0"/>
          <w:numId w:val="6"/>
        </w:numPr>
        <w:tabs>
          <w:tab w:val="left" w:pos="426"/>
        </w:tabs>
        <w:spacing w:after="0" w:line="240" w:lineRule="auto"/>
        <w:ind w:left="0" w:firstLine="0"/>
        <w:jc w:val="both"/>
        <w:rPr>
          <w:rFonts w:asciiTheme="majorHAnsi" w:hAnsiTheme="majorHAnsi" w:cstheme="majorHAnsi"/>
          <w:b/>
          <w:i/>
          <w:lang w:val="en-US"/>
        </w:rPr>
      </w:pPr>
      <w:r w:rsidRPr="00C86F02">
        <w:rPr>
          <w:rFonts w:asciiTheme="majorHAnsi" w:hAnsiTheme="majorHAnsi" w:cstheme="majorHAnsi"/>
          <w:b/>
          <w:i/>
          <w:lang w:val="en-US"/>
        </w:rPr>
        <w:t>Urgently implement coordinated measures to prevent sexual violence against children and adolescents</w:t>
      </w:r>
      <w:r w:rsidR="00C86F02" w:rsidRPr="00C86F02">
        <w:rPr>
          <w:rFonts w:asciiTheme="majorHAnsi" w:hAnsiTheme="majorHAnsi" w:cstheme="majorHAnsi"/>
          <w:b/>
          <w:i/>
          <w:lang w:val="en-US"/>
        </w:rPr>
        <w:t xml:space="preserve">, train investigative teams and </w:t>
      </w:r>
      <w:r w:rsidR="00C86F02">
        <w:rPr>
          <w:rFonts w:asciiTheme="majorHAnsi" w:hAnsiTheme="majorHAnsi" w:cstheme="majorHAnsi"/>
          <w:b/>
          <w:i/>
          <w:lang w:val="en-US"/>
        </w:rPr>
        <w:t>a</w:t>
      </w:r>
      <w:r w:rsidRPr="00C86F02">
        <w:rPr>
          <w:rFonts w:asciiTheme="majorHAnsi" w:hAnsiTheme="majorHAnsi" w:cstheme="majorHAnsi"/>
          <w:b/>
          <w:i/>
          <w:lang w:val="en-US"/>
        </w:rPr>
        <w:t xml:space="preserve">dapt judicial procedures to prevent </w:t>
      </w:r>
      <w:r w:rsidR="00B65D97" w:rsidRPr="00C86F02">
        <w:rPr>
          <w:rFonts w:asciiTheme="majorHAnsi" w:hAnsiTheme="majorHAnsi" w:cstheme="majorHAnsi"/>
          <w:b/>
          <w:i/>
          <w:lang w:val="en-US"/>
        </w:rPr>
        <w:t>revictimización</w:t>
      </w:r>
      <w:r w:rsidRPr="00C86F02">
        <w:rPr>
          <w:rFonts w:asciiTheme="majorHAnsi" w:hAnsiTheme="majorHAnsi" w:cstheme="majorHAnsi"/>
          <w:b/>
          <w:i/>
          <w:lang w:val="en-US"/>
        </w:rPr>
        <w:t>.</w:t>
      </w:r>
    </w:p>
    <w:p w:rsidR="003B7427" w:rsidRPr="00E66E04" w:rsidRDefault="003B7427" w:rsidP="00CB7D0F">
      <w:pPr>
        <w:pStyle w:val="Prrafodelista"/>
        <w:numPr>
          <w:ilvl w:val="0"/>
          <w:numId w:val="6"/>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Accelerate the implementation of the Comprehensive Guarantees and Protection System, ensuring regional teams have the technical capabilities and adequate resources to address rights violations at an early stage.</w:t>
      </w:r>
    </w:p>
    <w:p w:rsidR="003B7427" w:rsidRPr="00E66E04" w:rsidRDefault="003B7427" w:rsidP="00CB7D0F">
      <w:pPr>
        <w:pStyle w:val="Prrafodelista"/>
        <w:numPr>
          <w:ilvl w:val="0"/>
          <w:numId w:val="6"/>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Effective coordination must be established between co-guarantor agencies to ensure accessible, timely and high-quality responses to rights violations.</w:t>
      </w:r>
    </w:p>
    <w:p w:rsidR="003B7427" w:rsidRPr="00E66E04" w:rsidRDefault="003B7427" w:rsidP="00CB7D0F">
      <w:pPr>
        <w:pStyle w:val="Prrafodelista"/>
        <w:numPr>
          <w:ilvl w:val="0"/>
          <w:numId w:val="6"/>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b/>
          <w:i/>
          <w:lang w:val="en-US"/>
        </w:rPr>
        <w:lastRenderedPageBreak/>
        <w:t xml:space="preserve">The mandate of the Children's Ombudsman should be strengthened by granting it the power to represent children and adolescents directly in court and influence legislative and executive decisions affecting their rights. The necessary resources must be provided to enable </w:t>
      </w:r>
      <w:r w:rsidR="006040F1">
        <w:rPr>
          <w:rFonts w:asciiTheme="majorHAnsi" w:hAnsiTheme="majorHAnsi" w:cstheme="majorHAnsi"/>
          <w:b/>
          <w:i/>
          <w:lang w:val="en-US"/>
        </w:rPr>
        <w:t>it</w:t>
      </w:r>
      <w:r w:rsidRPr="00E66E04">
        <w:rPr>
          <w:rFonts w:asciiTheme="majorHAnsi" w:hAnsiTheme="majorHAnsi" w:cstheme="majorHAnsi"/>
          <w:lang w:val="en-US"/>
        </w:rPr>
        <w:t>.</w:t>
      </w:r>
    </w:p>
    <w:p w:rsidR="00E930DD" w:rsidRPr="00E66E04" w:rsidRDefault="00E930DD" w:rsidP="00CB7D0F">
      <w:pPr>
        <w:pStyle w:val="Prrafodelista"/>
        <w:tabs>
          <w:tab w:val="left" w:pos="426"/>
        </w:tabs>
        <w:spacing w:after="0" w:line="240" w:lineRule="auto"/>
        <w:ind w:left="0"/>
        <w:jc w:val="both"/>
        <w:rPr>
          <w:rFonts w:asciiTheme="majorHAnsi" w:hAnsiTheme="majorHAnsi" w:cstheme="majorHAnsi"/>
          <w:lang w:val="en-US"/>
        </w:rPr>
      </w:pPr>
    </w:p>
    <w:p w:rsidR="00E930DD" w:rsidRPr="00E66E04" w:rsidRDefault="003B7427" w:rsidP="00CB7D0F">
      <w:pPr>
        <w:pStyle w:val="Ttulo2"/>
        <w:tabs>
          <w:tab w:val="left" w:pos="426"/>
        </w:tabs>
        <w:spacing w:line="240" w:lineRule="auto"/>
        <w:jc w:val="both"/>
        <w:rPr>
          <w:rFonts w:cstheme="majorHAnsi"/>
          <w:i/>
          <w:sz w:val="22"/>
          <w:szCs w:val="22"/>
          <w:lang w:val="en-US"/>
        </w:rPr>
      </w:pPr>
      <w:r w:rsidRPr="00E66E04">
        <w:rPr>
          <w:rFonts w:cstheme="majorHAnsi"/>
          <w:i/>
          <w:sz w:val="22"/>
          <w:szCs w:val="22"/>
          <w:lang w:val="en-US"/>
        </w:rPr>
        <w:t>Discrimination in schools based on gender identity.</w:t>
      </w:r>
    </w:p>
    <w:p w:rsidR="003B7427" w:rsidRPr="00003B6E" w:rsidRDefault="00CB7D0F" w:rsidP="00CB7D0F">
      <w:pPr>
        <w:pStyle w:val="Prrafodelista"/>
        <w:numPr>
          <w:ilvl w:val="0"/>
          <w:numId w:val="19"/>
        </w:numPr>
        <w:tabs>
          <w:tab w:val="left" w:pos="426"/>
        </w:tabs>
        <w:spacing w:line="240" w:lineRule="auto"/>
        <w:ind w:left="0" w:firstLine="0"/>
        <w:jc w:val="both"/>
        <w:rPr>
          <w:rFonts w:asciiTheme="majorHAnsi" w:hAnsiTheme="majorHAnsi" w:cstheme="majorHAnsi"/>
          <w:lang w:val="en-US"/>
        </w:rPr>
      </w:pPr>
      <w:r w:rsidRPr="00CB7D0F">
        <w:rPr>
          <w:rFonts w:asciiTheme="majorHAnsi" w:hAnsiTheme="majorHAnsi" w:cstheme="majorHAnsi"/>
          <w:lang w:val="en"/>
        </w:rPr>
        <w:t>5. A study conducted by the Superintendency of Education showed that between 2022 and 2024, structural discrimination against trans, non-binary and gender non-conforming students was sustained, with the issue concentrated in Years 7 and 8 and at high school level. This discrimination takes the form of symbolic, social and physical violence, producing and reproducing social exclusion and discrimination in schools. 75.7% of those affected are registered as female (trans masculine individuals). In 71.4% of reports, more than one perpetrator of violence is involved, including classmates engaging in psychological and physical violence, and administrators, teachers, and other adults denying the social name and failing to take protective measures. Institutional violence also manifests itself in restrictions on bathroom use and a lack of collaboration with external supp</w:t>
      </w:r>
      <w:r>
        <w:rPr>
          <w:rFonts w:asciiTheme="majorHAnsi" w:hAnsiTheme="majorHAnsi" w:cstheme="majorHAnsi"/>
          <w:lang w:val="en"/>
        </w:rPr>
        <w:t>ort networks (7)</w:t>
      </w:r>
      <w:r w:rsidR="003B7427" w:rsidRPr="00003B6E">
        <w:rPr>
          <w:rFonts w:asciiTheme="majorHAnsi" w:hAnsiTheme="majorHAnsi" w:cstheme="majorHAnsi"/>
          <w:lang w:val="en-US"/>
        </w:rPr>
        <w:t>.</w:t>
      </w:r>
    </w:p>
    <w:p w:rsidR="00E930DD" w:rsidRPr="00E66E04" w:rsidRDefault="00E930DD" w:rsidP="00CB7D0F">
      <w:pPr>
        <w:pStyle w:val="Prrafodelista"/>
        <w:tabs>
          <w:tab w:val="left" w:pos="426"/>
        </w:tabs>
        <w:spacing w:after="0" w:line="240" w:lineRule="auto"/>
        <w:ind w:left="0"/>
        <w:jc w:val="both"/>
        <w:rPr>
          <w:rFonts w:asciiTheme="majorHAnsi" w:hAnsiTheme="majorHAnsi" w:cstheme="majorHAnsi"/>
          <w:lang w:val="en-US"/>
        </w:rPr>
      </w:pPr>
    </w:p>
    <w:p w:rsidR="003B7427" w:rsidRPr="00E66E04" w:rsidRDefault="003B7427"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Recommendations to the State of Chile:</w:t>
      </w:r>
    </w:p>
    <w:p w:rsidR="003B7427" w:rsidRPr="00E66E04" w:rsidRDefault="003B7427" w:rsidP="00CB7D0F">
      <w:pPr>
        <w:pStyle w:val="Prrafodelista"/>
        <w:numPr>
          <w:ilvl w:val="0"/>
          <w:numId w:val="7"/>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 xml:space="preserve">Update School Coexistence protocols within the framework of educational policies and ensure their effective implementation through monitoring mechanisms and </w:t>
      </w:r>
      <w:r w:rsidR="00B65D97" w:rsidRPr="00E66E04">
        <w:rPr>
          <w:rFonts w:asciiTheme="majorHAnsi" w:hAnsiTheme="majorHAnsi" w:cstheme="majorHAnsi"/>
          <w:b/>
          <w:i/>
          <w:lang w:val="en-US"/>
        </w:rPr>
        <w:t>specialized</w:t>
      </w:r>
      <w:r w:rsidRPr="00E66E04">
        <w:rPr>
          <w:rFonts w:asciiTheme="majorHAnsi" w:hAnsiTheme="majorHAnsi" w:cstheme="majorHAnsi"/>
          <w:b/>
          <w:i/>
          <w:lang w:val="en-US"/>
        </w:rPr>
        <w:t xml:space="preserve"> training for management teams and teachers, particularly with regard to addressing prejudice and discrimination against transgender children.</w:t>
      </w:r>
    </w:p>
    <w:p w:rsidR="003B7427" w:rsidRPr="00E66E04" w:rsidRDefault="003B7427" w:rsidP="00CB7D0F">
      <w:pPr>
        <w:pStyle w:val="Prrafodelista"/>
        <w:numPr>
          <w:ilvl w:val="0"/>
          <w:numId w:val="7"/>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Require the effective implementation of protocols to prevent discrimination in educational establishments, holding teachers, administrators and other responsible adults particularly accountable.</w:t>
      </w:r>
    </w:p>
    <w:p w:rsidR="003B7427" w:rsidRPr="00E66E04" w:rsidRDefault="003B7427" w:rsidP="00CB7D0F">
      <w:pPr>
        <w:pStyle w:val="Prrafodelista"/>
        <w:numPr>
          <w:ilvl w:val="0"/>
          <w:numId w:val="7"/>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b/>
          <w:i/>
          <w:lang w:val="en-US"/>
        </w:rPr>
        <w:t>Provide mandatory training for educational communities on inclusion, diversity and school coexistence using practical tools and a rights-based approach</w:t>
      </w:r>
      <w:r w:rsidRPr="00E66E04">
        <w:rPr>
          <w:rFonts w:asciiTheme="majorHAnsi" w:hAnsiTheme="majorHAnsi" w:cstheme="majorHAnsi"/>
          <w:lang w:val="en-US"/>
        </w:rPr>
        <w:t>.</w:t>
      </w:r>
    </w:p>
    <w:p w:rsidR="003B7427" w:rsidRPr="00E66E04" w:rsidRDefault="003B7427" w:rsidP="00CB7D0F">
      <w:pPr>
        <w:tabs>
          <w:tab w:val="left" w:pos="426"/>
        </w:tabs>
        <w:spacing w:after="0" w:line="240" w:lineRule="auto"/>
        <w:jc w:val="both"/>
        <w:rPr>
          <w:rFonts w:asciiTheme="majorHAnsi" w:hAnsiTheme="majorHAnsi" w:cstheme="majorHAnsi"/>
          <w:lang w:val="en-US"/>
        </w:rPr>
      </w:pPr>
    </w:p>
    <w:p w:rsidR="003B7427" w:rsidRPr="00E66E04" w:rsidRDefault="003B7427" w:rsidP="00CB7D0F">
      <w:pPr>
        <w:pStyle w:val="Ttulo2"/>
        <w:tabs>
          <w:tab w:val="left" w:pos="426"/>
        </w:tabs>
        <w:spacing w:line="240" w:lineRule="auto"/>
        <w:jc w:val="both"/>
        <w:rPr>
          <w:rFonts w:cstheme="majorHAnsi"/>
          <w:i/>
          <w:sz w:val="22"/>
          <w:szCs w:val="22"/>
          <w:lang w:val="en-US"/>
        </w:rPr>
      </w:pPr>
      <w:r w:rsidRPr="00E66E04">
        <w:rPr>
          <w:rFonts w:cstheme="majorHAnsi"/>
          <w:i/>
          <w:sz w:val="22"/>
          <w:szCs w:val="22"/>
          <w:lang w:val="en-US"/>
        </w:rPr>
        <w:t>Discrimination based on international migration status.</w:t>
      </w:r>
    </w:p>
    <w:p w:rsidR="003B7427"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In 2024, 313,539 migrant children and young people aged 0–19 were living in Chile (8), the majority of whom were Venezuelan (35.5% in 2021) (9). It is difficult to estimate the number of children and adolescents in an irregular migratory situation as they are not the focus of data collection. Nevertheless, it is estimated that, as of 2023, 143,047 children and adolescents were enrolled in the school system without a RUT (tax identification number), according to the Ministry of Education's records (8).  Few are expected to </w:t>
      </w:r>
      <w:r w:rsidR="00B65D97" w:rsidRPr="00E66E04">
        <w:rPr>
          <w:rFonts w:asciiTheme="majorHAnsi" w:hAnsiTheme="majorHAnsi" w:cstheme="majorHAnsi"/>
          <w:lang w:val="en-US"/>
        </w:rPr>
        <w:t>regularize</w:t>
      </w:r>
      <w:r w:rsidRPr="00E66E04">
        <w:rPr>
          <w:rFonts w:asciiTheme="majorHAnsi" w:hAnsiTheme="majorHAnsi" w:cstheme="majorHAnsi"/>
          <w:lang w:val="en-US"/>
        </w:rPr>
        <w:t xml:space="preserve"> their situation given the complexity of the process, which poses a risk to the</w:t>
      </w:r>
      <w:r w:rsidR="00CB7D0F">
        <w:rPr>
          <w:rFonts w:asciiTheme="majorHAnsi" w:hAnsiTheme="majorHAnsi" w:cstheme="majorHAnsi"/>
          <w:lang w:val="en-US"/>
        </w:rPr>
        <w:t>ir</w:t>
      </w:r>
      <w:r w:rsidRPr="00E66E04">
        <w:rPr>
          <w:rFonts w:asciiTheme="majorHAnsi" w:hAnsiTheme="majorHAnsi" w:cstheme="majorHAnsi"/>
          <w:lang w:val="en-US"/>
        </w:rPr>
        <w:t xml:space="preserve"> rights. The number of refugee applications from children and adolescents has averaged nearly 500 per year between 2017 and 2023 (10).</w:t>
      </w:r>
    </w:p>
    <w:p w:rsidR="00E930DD" w:rsidRPr="00E66E04" w:rsidRDefault="00E930DD"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It is estimated that around 1,500 children and adolescents in the context of internation</w:t>
      </w:r>
      <w:r w:rsidR="006273BA">
        <w:rPr>
          <w:rFonts w:asciiTheme="majorHAnsi" w:hAnsiTheme="majorHAnsi" w:cstheme="majorHAnsi"/>
          <w:lang w:val="en-US"/>
        </w:rPr>
        <w:t>al migration are registered as “</w:t>
      </w:r>
      <w:r w:rsidRPr="00E66E04">
        <w:rPr>
          <w:rFonts w:asciiTheme="majorHAnsi" w:hAnsiTheme="majorHAnsi" w:cstheme="majorHAnsi"/>
          <w:lang w:val="en-US"/>
        </w:rPr>
        <w:t>childre</w:t>
      </w:r>
      <w:r w:rsidR="006273BA">
        <w:rPr>
          <w:rFonts w:asciiTheme="majorHAnsi" w:hAnsiTheme="majorHAnsi" w:cstheme="majorHAnsi"/>
          <w:lang w:val="en-US"/>
        </w:rPr>
        <w:t>n of foreign parents in transit”</w:t>
      </w:r>
      <w:r w:rsidRPr="00E66E04">
        <w:rPr>
          <w:rFonts w:asciiTheme="majorHAnsi" w:hAnsiTheme="majorHAnsi" w:cstheme="majorHAnsi"/>
          <w:lang w:val="en-US"/>
        </w:rPr>
        <w:t xml:space="preserve">, which is in clear contravention of national regulations that aim to prevent statelessness and protect their rights, including the right to identity. There have also been issues identified regarding coordination between public agencies, delays in </w:t>
      </w:r>
      <w:r w:rsidR="00B65D97" w:rsidRPr="00E66E04">
        <w:rPr>
          <w:rFonts w:asciiTheme="majorHAnsi" w:hAnsiTheme="majorHAnsi" w:cstheme="majorHAnsi"/>
          <w:lang w:val="en-US"/>
        </w:rPr>
        <w:t>regularization</w:t>
      </w:r>
      <w:r w:rsidRPr="00E66E04">
        <w:rPr>
          <w:rFonts w:asciiTheme="majorHAnsi" w:hAnsiTheme="majorHAnsi" w:cstheme="majorHAnsi"/>
          <w:lang w:val="en-US"/>
        </w:rPr>
        <w:t xml:space="preserve"> processes for undocumented children and adolescents, and the use of different provisional identifiers depending on the system (health, education or social registry). This hinders their access to social services and benefits (12).</w:t>
      </w:r>
    </w:p>
    <w:p w:rsidR="00E66E04" w:rsidRPr="00E66E04" w:rsidRDefault="00E66E04" w:rsidP="00CB7D0F">
      <w:pPr>
        <w:pStyle w:val="Prrafodelista"/>
        <w:tabs>
          <w:tab w:val="left" w:pos="426"/>
        </w:tabs>
        <w:ind w:left="0"/>
        <w:rPr>
          <w:rFonts w:asciiTheme="majorHAnsi" w:hAnsiTheme="majorHAnsi" w:cstheme="majorHAnsi"/>
          <w:lang w:val="en-US"/>
        </w:rPr>
      </w:pPr>
    </w:p>
    <w:p w:rsidR="00E66E04"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Although the Migration Law provides for a temporary</w:t>
      </w:r>
      <w:r w:rsidR="006273BA">
        <w:rPr>
          <w:rFonts w:asciiTheme="majorHAnsi" w:hAnsiTheme="majorHAnsi" w:cstheme="majorHAnsi"/>
          <w:lang w:val="en-US"/>
        </w:rPr>
        <w:t xml:space="preserve"> (13)</w:t>
      </w:r>
      <w:r w:rsidRPr="00E66E04">
        <w:rPr>
          <w:rFonts w:asciiTheme="majorHAnsi" w:hAnsiTheme="majorHAnsi" w:cstheme="majorHAnsi"/>
          <w:lang w:val="en-US"/>
        </w:rPr>
        <w:t xml:space="preserve"> and free humanitarian permit for migrant children and adolescents, barriers to access </w:t>
      </w:r>
      <w:r w:rsidR="006273BA">
        <w:rPr>
          <w:rFonts w:asciiTheme="majorHAnsi" w:hAnsiTheme="majorHAnsi" w:cstheme="majorHAnsi"/>
          <w:lang w:val="en-US"/>
        </w:rPr>
        <w:t>(14)</w:t>
      </w:r>
      <w:r w:rsidRPr="00E66E04">
        <w:rPr>
          <w:rFonts w:asciiTheme="majorHAnsi" w:hAnsiTheme="majorHAnsi" w:cstheme="majorHAnsi"/>
          <w:lang w:val="en-US"/>
        </w:rPr>
        <w:t>and to exercising rights in court, such as due process, adequate information and the right to be heard, persist despite the provisions of the Guarantees Law</w:t>
      </w:r>
      <w:r w:rsidR="006273BA">
        <w:rPr>
          <w:rFonts w:asciiTheme="majorHAnsi" w:hAnsiTheme="majorHAnsi" w:cstheme="majorHAnsi"/>
          <w:lang w:val="en-US"/>
        </w:rPr>
        <w:t xml:space="preserve"> (17)</w:t>
      </w:r>
      <w:r w:rsidRPr="00E66E04">
        <w:rPr>
          <w:rFonts w:asciiTheme="majorHAnsi" w:hAnsiTheme="majorHAnsi" w:cstheme="majorHAnsi"/>
          <w:lang w:val="en-US"/>
        </w:rPr>
        <w:t>.</w:t>
      </w:r>
    </w:p>
    <w:p w:rsidR="00E66E04" w:rsidRPr="00E66E04" w:rsidRDefault="00E66E04" w:rsidP="00CB7D0F">
      <w:pPr>
        <w:pStyle w:val="Prrafodelista"/>
        <w:tabs>
          <w:tab w:val="left" w:pos="426"/>
        </w:tabs>
        <w:ind w:left="0"/>
        <w:rPr>
          <w:rFonts w:asciiTheme="majorHAnsi" w:hAnsiTheme="majorHAnsi" w:cstheme="majorHAnsi"/>
          <w:lang w:val="en-US"/>
        </w:rPr>
      </w:pPr>
    </w:p>
    <w:p w:rsidR="003B7427"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Since 2022, at least 28 bills have been introduced that seek to limit migrant children and adolescents' access to basic rights, such as education</w:t>
      </w:r>
      <w:r w:rsidR="006273BA">
        <w:rPr>
          <w:rFonts w:asciiTheme="majorHAnsi" w:hAnsiTheme="majorHAnsi" w:cstheme="majorHAnsi"/>
          <w:lang w:val="en-US"/>
        </w:rPr>
        <w:t xml:space="preserve"> (15)</w:t>
      </w:r>
      <w:r w:rsidRPr="00E66E04">
        <w:rPr>
          <w:rFonts w:asciiTheme="majorHAnsi" w:hAnsiTheme="majorHAnsi" w:cstheme="majorHAnsi"/>
          <w:lang w:val="en-US"/>
        </w:rPr>
        <w:t xml:space="preserve"> and social benefits</w:t>
      </w:r>
      <w:r w:rsidR="006273BA">
        <w:rPr>
          <w:rFonts w:asciiTheme="majorHAnsi" w:hAnsiTheme="majorHAnsi" w:cstheme="majorHAnsi"/>
          <w:lang w:val="en-US"/>
        </w:rPr>
        <w:t xml:space="preserve"> (16)</w:t>
      </w:r>
      <w:r w:rsidRPr="00E66E04">
        <w:rPr>
          <w:rFonts w:asciiTheme="majorHAnsi" w:hAnsiTheme="majorHAnsi" w:cstheme="majorHAnsi"/>
          <w:lang w:val="en-US"/>
        </w:rPr>
        <w:t xml:space="preserve">, making them conditional on </w:t>
      </w:r>
      <w:r w:rsidRPr="00E66E04">
        <w:rPr>
          <w:rFonts w:asciiTheme="majorHAnsi" w:hAnsiTheme="majorHAnsi" w:cstheme="majorHAnsi"/>
          <w:lang w:val="en-US"/>
        </w:rPr>
        <w:lastRenderedPageBreak/>
        <w:t>immigration status. These proposals contradict the Guarantees Law</w:t>
      </w:r>
      <w:r w:rsidR="006273BA">
        <w:rPr>
          <w:rFonts w:asciiTheme="majorHAnsi" w:hAnsiTheme="majorHAnsi" w:cstheme="majorHAnsi"/>
          <w:lang w:val="en-US"/>
        </w:rPr>
        <w:t xml:space="preserve"> (17)</w:t>
      </w:r>
      <w:r w:rsidRPr="00E66E04">
        <w:rPr>
          <w:rFonts w:asciiTheme="majorHAnsi" w:hAnsiTheme="majorHAnsi" w:cstheme="majorHAnsi"/>
          <w:lang w:val="en-US"/>
        </w:rPr>
        <w:t>, the Migration Law</w:t>
      </w:r>
      <w:r w:rsidR="006273BA">
        <w:rPr>
          <w:rFonts w:asciiTheme="majorHAnsi" w:hAnsiTheme="majorHAnsi" w:cstheme="majorHAnsi"/>
          <w:lang w:val="en-US"/>
        </w:rPr>
        <w:t xml:space="preserve"> (13)</w:t>
      </w:r>
      <w:r w:rsidRPr="00E66E04">
        <w:rPr>
          <w:rFonts w:asciiTheme="majorHAnsi" w:hAnsiTheme="majorHAnsi" w:cstheme="majorHAnsi"/>
          <w:lang w:val="en-US"/>
        </w:rPr>
        <w:t>, and the Convention on the Rights of the Child, implying a risk of regression in the protection of their rights.</w:t>
      </w:r>
    </w:p>
    <w:p w:rsidR="00E930DD" w:rsidRPr="00E66E04" w:rsidRDefault="00E930DD" w:rsidP="00CB7D0F">
      <w:pPr>
        <w:pStyle w:val="Prrafodelista"/>
        <w:tabs>
          <w:tab w:val="left" w:pos="426"/>
        </w:tabs>
        <w:spacing w:after="0" w:line="240" w:lineRule="auto"/>
        <w:ind w:left="0"/>
        <w:jc w:val="both"/>
        <w:rPr>
          <w:rFonts w:asciiTheme="majorHAnsi" w:hAnsiTheme="majorHAnsi" w:cstheme="majorHAnsi"/>
          <w:lang w:val="en-US"/>
        </w:rPr>
      </w:pPr>
    </w:p>
    <w:p w:rsidR="003B7427" w:rsidRPr="00E66E04" w:rsidRDefault="003B7427"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Recommendations to the State of Chile:</w:t>
      </w:r>
    </w:p>
    <w:p w:rsidR="003B7427" w:rsidRPr="00E66E04" w:rsidRDefault="003B7427" w:rsidP="00CB7D0F">
      <w:pPr>
        <w:pStyle w:val="Prrafodelista"/>
        <w:numPr>
          <w:ilvl w:val="0"/>
          <w:numId w:val="9"/>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Establish mechanisms for generating official data on migrant children and adolescents, explicitly incorporating them into public information collection systems.</w:t>
      </w:r>
    </w:p>
    <w:p w:rsidR="003B7427" w:rsidRPr="00E66E04" w:rsidRDefault="003B7427" w:rsidP="00CB7D0F">
      <w:pPr>
        <w:pStyle w:val="Prrafodelista"/>
        <w:numPr>
          <w:ilvl w:val="0"/>
          <w:numId w:val="9"/>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Implement clear, accessible and multilingual communication strategies to adequately inform children and adolescents about immigration procedures and their rights, such as access to healthcare and education.</w:t>
      </w:r>
    </w:p>
    <w:p w:rsidR="003B7427" w:rsidRPr="00E66E04" w:rsidRDefault="003B7427" w:rsidP="00CB7D0F">
      <w:pPr>
        <w:pStyle w:val="Prrafodelista"/>
        <w:numPr>
          <w:ilvl w:val="0"/>
          <w:numId w:val="9"/>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Ensure this information is effectively disseminated to guarantee the safe implementation of procedures and promote the integration of migrant children and adolescents into communities.</w:t>
      </w:r>
    </w:p>
    <w:p w:rsidR="003B7427" w:rsidRPr="00E66E04" w:rsidRDefault="003B7427" w:rsidP="00CB7D0F">
      <w:pPr>
        <w:pStyle w:val="Prrafodelista"/>
        <w:numPr>
          <w:ilvl w:val="0"/>
          <w:numId w:val="9"/>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 xml:space="preserve">The State should be required to translate the rights-based approach declared in the Law on Guarantees and in ratified and </w:t>
      </w:r>
      <w:r w:rsidR="00B65D97" w:rsidRPr="00E66E04">
        <w:rPr>
          <w:rFonts w:asciiTheme="majorHAnsi" w:hAnsiTheme="majorHAnsi" w:cstheme="majorHAnsi"/>
          <w:b/>
          <w:i/>
          <w:lang w:val="en-US"/>
        </w:rPr>
        <w:t>recognized</w:t>
      </w:r>
      <w:r w:rsidRPr="00E66E04">
        <w:rPr>
          <w:rFonts w:asciiTheme="majorHAnsi" w:hAnsiTheme="majorHAnsi" w:cstheme="majorHAnsi"/>
          <w:b/>
          <w:i/>
          <w:lang w:val="en-US"/>
        </w:rPr>
        <w:t xml:space="preserve"> international instruments into effective action to ensure the real and effective special protection of all children and adolescents living in the country, regardless of their nationality.</w:t>
      </w:r>
    </w:p>
    <w:p w:rsidR="00E930DD" w:rsidRPr="00E66E04" w:rsidRDefault="00E930DD" w:rsidP="00CB7D0F">
      <w:pPr>
        <w:tabs>
          <w:tab w:val="left" w:pos="426"/>
        </w:tabs>
        <w:spacing w:after="0" w:line="240" w:lineRule="auto"/>
        <w:jc w:val="both"/>
        <w:rPr>
          <w:rFonts w:asciiTheme="majorHAnsi" w:hAnsiTheme="majorHAnsi" w:cstheme="majorHAnsi"/>
          <w:i/>
          <w:lang w:val="en-US"/>
        </w:rPr>
      </w:pPr>
    </w:p>
    <w:p w:rsidR="003B7427" w:rsidRPr="00E66E04" w:rsidRDefault="003B7427" w:rsidP="00CB7D0F">
      <w:pPr>
        <w:pStyle w:val="Ttulo2"/>
        <w:tabs>
          <w:tab w:val="left" w:pos="426"/>
        </w:tabs>
        <w:spacing w:line="240" w:lineRule="auto"/>
        <w:jc w:val="both"/>
        <w:rPr>
          <w:rFonts w:cstheme="majorHAnsi"/>
          <w:i/>
          <w:sz w:val="22"/>
          <w:szCs w:val="22"/>
          <w:lang w:val="en-US"/>
        </w:rPr>
      </w:pPr>
      <w:r w:rsidRPr="00E66E04">
        <w:rPr>
          <w:rFonts w:cstheme="majorHAnsi"/>
          <w:i/>
          <w:sz w:val="22"/>
          <w:szCs w:val="22"/>
          <w:lang w:val="en-US"/>
        </w:rPr>
        <w:t xml:space="preserve">Discrimination in terms of access to justice, effective remedies and due process, particularly affecting children and adolescents, especially those in </w:t>
      </w:r>
      <w:r w:rsidR="00E66E04">
        <w:rPr>
          <w:rFonts w:cstheme="majorHAnsi"/>
          <w:i/>
          <w:sz w:val="22"/>
          <w:szCs w:val="22"/>
          <w:lang w:val="en-US"/>
        </w:rPr>
        <w:t>S</w:t>
      </w:r>
      <w:r w:rsidRPr="00E66E04">
        <w:rPr>
          <w:rFonts w:cstheme="majorHAnsi"/>
          <w:i/>
          <w:sz w:val="22"/>
          <w:szCs w:val="22"/>
          <w:lang w:val="en-US"/>
        </w:rPr>
        <w:t>tate care.</w:t>
      </w:r>
    </w:p>
    <w:p w:rsidR="00E66E04"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Children and adolescents involved in legal proceedings often experience unnecessary delays due to legal and administrative non-compliance, which hinders the resolution of their protection cases. Furthermore, their accounts are often dismissed and they are required to provide evidence contradicting the principle of sound judgement stipulated in Law No. 19,968 (18).</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Data from 2022 indicates that almost 35,000 children and adolescents with ongoing legal cases did not have a guardian ad litem due to a lack of public provision (19). The high demand is not being adequately addressed, which affects the timeliness and quality of the response. For example, there is often a lack of prior contact between the child or adolescent and their lawyer, and coordination with the teams involved is lacking.</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3B7427"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The biannual monitoring of the rights of children and adolescents in state care in residential </w:t>
      </w:r>
      <w:r w:rsidR="00B65D97" w:rsidRPr="00E66E04">
        <w:rPr>
          <w:rFonts w:asciiTheme="majorHAnsi" w:hAnsiTheme="majorHAnsi" w:cstheme="majorHAnsi"/>
          <w:lang w:val="en-US"/>
        </w:rPr>
        <w:t>centers</w:t>
      </w:r>
      <w:r w:rsidRPr="00E66E04">
        <w:rPr>
          <w:rFonts w:asciiTheme="majorHAnsi" w:hAnsiTheme="majorHAnsi" w:cstheme="majorHAnsi"/>
          <w:lang w:val="en-US"/>
        </w:rPr>
        <w:t xml:space="preserve"> or detention facilities, carried out by the Supreme Court under a legal mandate, is based on an internal document rather than the law (20). The resulting reports are released late and have little impact on the relevant agencies. The reports highlight serious mental health problems among adolescents in temporary detention </w:t>
      </w:r>
      <w:r w:rsidR="00B65D97" w:rsidRPr="00E66E04">
        <w:rPr>
          <w:rFonts w:asciiTheme="majorHAnsi" w:hAnsiTheme="majorHAnsi" w:cstheme="majorHAnsi"/>
          <w:lang w:val="en-US"/>
        </w:rPr>
        <w:t>centers</w:t>
      </w:r>
      <w:r w:rsidRPr="00E66E04">
        <w:rPr>
          <w:rFonts w:asciiTheme="majorHAnsi" w:hAnsiTheme="majorHAnsi" w:cstheme="majorHAnsi"/>
          <w:lang w:val="en-US"/>
        </w:rPr>
        <w:t xml:space="preserve"> and cases of sexual exploitation in state residential </w:t>
      </w:r>
      <w:r w:rsidR="00B65D97" w:rsidRPr="00E66E04">
        <w:rPr>
          <w:rFonts w:asciiTheme="majorHAnsi" w:hAnsiTheme="majorHAnsi" w:cstheme="majorHAnsi"/>
          <w:lang w:val="en-US"/>
        </w:rPr>
        <w:t>centers</w:t>
      </w:r>
      <w:r w:rsidR="00CB7D0F">
        <w:rPr>
          <w:rFonts w:asciiTheme="majorHAnsi" w:hAnsiTheme="majorHAnsi" w:cstheme="majorHAnsi"/>
          <w:lang w:val="en-US"/>
        </w:rPr>
        <w:t>, s</w:t>
      </w:r>
      <w:r w:rsidR="00CB7D0F" w:rsidRPr="00CB7D0F">
        <w:rPr>
          <w:rFonts w:asciiTheme="majorHAnsi" w:hAnsiTheme="majorHAnsi" w:cstheme="majorHAnsi"/>
          <w:lang w:val="en-US"/>
        </w:rPr>
        <w:t>ome of them are administered directly by the state</w:t>
      </w:r>
      <w:r w:rsidRPr="00E66E04">
        <w:rPr>
          <w:rFonts w:asciiTheme="majorHAnsi" w:hAnsiTheme="majorHAnsi" w:cstheme="majorHAnsi"/>
          <w:lang w:val="en-US"/>
        </w:rPr>
        <w:t xml:space="preserve">. Furthermore, decisions on </w:t>
      </w:r>
      <w:r w:rsidR="00B65D97" w:rsidRPr="00E66E04">
        <w:rPr>
          <w:rFonts w:asciiTheme="majorHAnsi" w:hAnsiTheme="majorHAnsi" w:cstheme="majorHAnsi"/>
          <w:lang w:val="en-US"/>
        </w:rPr>
        <w:t>institutionalization</w:t>
      </w:r>
      <w:r w:rsidRPr="00E66E04">
        <w:rPr>
          <w:rFonts w:asciiTheme="majorHAnsi" w:hAnsiTheme="majorHAnsi" w:cstheme="majorHAnsi"/>
          <w:lang w:val="en-US"/>
        </w:rPr>
        <w:t xml:space="preserve"> often fail to consult children and adolescents, thereby violating their right to participation and due process.</w:t>
      </w:r>
    </w:p>
    <w:p w:rsidR="003B7427" w:rsidRPr="00E66E04" w:rsidRDefault="003B7427" w:rsidP="00CB7D0F">
      <w:pPr>
        <w:tabs>
          <w:tab w:val="left" w:pos="426"/>
        </w:tabs>
        <w:spacing w:after="0" w:line="240" w:lineRule="auto"/>
        <w:jc w:val="both"/>
        <w:rPr>
          <w:rFonts w:asciiTheme="majorHAnsi" w:hAnsiTheme="majorHAnsi" w:cstheme="majorHAnsi"/>
          <w:lang w:val="en-US"/>
        </w:rPr>
      </w:pPr>
    </w:p>
    <w:p w:rsidR="003B7427" w:rsidRPr="00E66E04" w:rsidRDefault="003B7427"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Recommendations to the State of Chile:</w:t>
      </w:r>
    </w:p>
    <w:p w:rsidR="003B7427" w:rsidRPr="00E66E04" w:rsidRDefault="003B7427" w:rsidP="00CB7D0F">
      <w:pPr>
        <w:pStyle w:val="Prrafodelista"/>
        <w:numPr>
          <w:ilvl w:val="0"/>
          <w:numId w:val="10"/>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Strengthen the judicial system in cases involving children by establishing mechanisms that prevent unjustified delays and ensure respect for the principle of sound criticism when assessing children's accounts.</w:t>
      </w:r>
    </w:p>
    <w:p w:rsidR="003B7427" w:rsidRPr="00E66E04" w:rsidRDefault="003B7427" w:rsidP="00CB7D0F">
      <w:pPr>
        <w:pStyle w:val="Prrafodelista"/>
        <w:numPr>
          <w:ilvl w:val="0"/>
          <w:numId w:val="10"/>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 xml:space="preserve">Expand the public supply of ad litem guardians to guarantee timely, </w:t>
      </w:r>
      <w:r w:rsidR="00B65D97" w:rsidRPr="00E66E04">
        <w:rPr>
          <w:rFonts w:asciiTheme="majorHAnsi" w:hAnsiTheme="majorHAnsi" w:cstheme="majorHAnsi"/>
          <w:b/>
          <w:i/>
          <w:lang w:val="en-US"/>
        </w:rPr>
        <w:t>specialized</w:t>
      </w:r>
      <w:r w:rsidRPr="00E66E04">
        <w:rPr>
          <w:rFonts w:asciiTheme="majorHAnsi" w:hAnsiTheme="majorHAnsi" w:cstheme="majorHAnsi"/>
          <w:b/>
          <w:i/>
          <w:lang w:val="en-US"/>
        </w:rPr>
        <w:t xml:space="preserve"> representation, and ensure prior contact between lawyers</w:t>
      </w:r>
      <w:r w:rsidR="00B65D97">
        <w:rPr>
          <w:rFonts w:asciiTheme="majorHAnsi" w:hAnsiTheme="majorHAnsi" w:cstheme="majorHAnsi"/>
          <w:b/>
          <w:i/>
          <w:lang w:val="en-US"/>
        </w:rPr>
        <w:t>,</w:t>
      </w:r>
      <w:r w:rsidRPr="00E66E04">
        <w:rPr>
          <w:rFonts w:asciiTheme="majorHAnsi" w:hAnsiTheme="majorHAnsi" w:cstheme="majorHAnsi"/>
          <w:b/>
          <w:i/>
          <w:lang w:val="en-US"/>
        </w:rPr>
        <w:t xml:space="preserve"> children and adolescents, as well as with the teams involved.</w:t>
      </w:r>
    </w:p>
    <w:p w:rsidR="003B7427" w:rsidRPr="00E66E04" w:rsidRDefault="003B7427" w:rsidP="00CB7D0F">
      <w:pPr>
        <w:pStyle w:val="Prrafodelista"/>
        <w:numPr>
          <w:ilvl w:val="0"/>
          <w:numId w:val="10"/>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 xml:space="preserve">The Supreme Court's mandate to monitor children and adolescents in state care should be </w:t>
      </w:r>
      <w:r w:rsidR="00B65D97" w:rsidRPr="00E66E04">
        <w:rPr>
          <w:rFonts w:asciiTheme="majorHAnsi" w:hAnsiTheme="majorHAnsi" w:cstheme="majorHAnsi"/>
          <w:b/>
          <w:i/>
          <w:lang w:val="en-US"/>
        </w:rPr>
        <w:t>formalized</w:t>
      </w:r>
      <w:r w:rsidRPr="00E66E04">
        <w:rPr>
          <w:rFonts w:asciiTheme="majorHAnsi" w:hAnsiTheme="majorHAnsi" w:cstheme="majorHAnsi"/>
          <w:b/>
          <w:i/>
          <w:lang w:val="en-US"/>
        </w:rPr>
        <w:t xml:space="preserve"> by law, ensuring the timely dissemination of reports and their binding value.</w:t>
      </w:r>
    </w:p>
    <w:p w:rsidR="003B7427" w:rsidRPr="00E66E04" w:rsidRDefault="003B7427" w:rsidP="00CB7D0F">
      <w:pPr>
        <w:pStyle w:val="Prrafodelista"/>
        <w:numPr>
          <w:ilvl w:val="0"/>
          <w:numId w:val="10"/>
        </w:numPr>
        <w:tabs>
          <w:tab w:val="left" w:pos="426"/>
        </w:tabs>
        <w:spacing w:after="0" w:line="240" w:lineRule="auto"/>
        <w:ind w:left="0" w:firstLine="0"/>
        <w:jc w:val="both"/>
        <w:rPr>
          <w:rFonts w:asciiTheme="majorHAnsi" w:hAnsiTheme="majorHAnsi" w:cstheme="majorHAnsi"/>
          <w:b/>
          <w:lang w:val="en-US"/>
        </w:rPr>
      </w:pPr>
      <w:r w:rsidRPr="00E66E04">
        <w:rPr>
          <w:rFonts w:asciiTheme="majorHAnsi" w:hAnsiTheme="majorHAnsi" w:cstheme="majorHAnsi"/>
          <w:b/>
          <w:i/>
          <w:lang w:val="en-US"/>
        </w:rPr>
        <w:t xml:space="preserve">Guarantee </w:t>
      </w:r>
      <w:r w:rsidR="00B65D97" w:rsidRPr="00E66E04">
        <w:rPr>
          <w:rFonts w:asciiTheme="majorHAnsi" w:hAnsiTheme="majorHAnsi" w:cstheme="majorHAnsi"/>
          <w:b/>
          <w:i/>
          <w:lang w:val="en-US"/>
        </w:rPr>
        <w:t>children</w:t>
      </w:r>
      <w:r w:rsidRPr="00E66E04">
        <w:rPr>
          <w:rFonts w:asciiTheme="majorHAnsi" w:hAnsiTheme="majorHAnsi" w:cstheme="majorHAnsi"/>
          <w:b/>
          <w:i/>
          <w:lang w:val="en-US"/>
        </w:rPr>
        <w:t xml:space="preserve"> and adolescents' right to participate in decisions regarding </w:t>
      </w:r>
      <w:r w:rsidR="00B65D97" w:rsidRPr="00E66E04">
        <w:rPr>
          <w:rFonts w:asciiTheme="majorHAnsi" w:hAnsiTheme="majorHAnsi" w:cstheme="majorHAnsi"/>
          <w:b/>
          <w:i/>
          <w:lang w:val="en-US"/>
        </w:rPr>
        <w:t>institutionalization</w:t>
      </w:r>
      <w:r w:rsidRPr="00E66E04">
        <w:rPr>
          <w:rFonts w:asciiTheme="majorHAnsi" w:hAnsiTheme="majorHAnsi" w:cstheme="majorHAnsi"/>
          <w:b/>
          <w:lang w:val="en-US"/>
        </w:rPr>
        <w:t>.</w:t>
      </w:r>
    </w:p>
    <w:p w:rsidR="003B7427" w:rsidRPr="00E66E04" w:rsidRDefault="00E66E04" w:rsidP="00CB7D0F">
      <w:pPr>
        <w:pStyle w:val="Ttulo1"/>
        <w:tabs>
          <w:tab w:val="left" w:pos="426"/>
        </w:tabs>
        <w:spacing w:line="240" w:lineRule="auto"/>
        <w:jc w:val="both"/>
        <w:rPr>
          <w:rFonts w:cstheme="majorHAnsi"/>
          <w:sz w:val="22"/>
          <w:szCs w:val="22"/>
          <w:lang w:val="en-US"/>
        </w:rPr>
      </w:pPr>
      <w:r w:rsidRPr="00E66E04">
        <w:rPr>
          <w:rFonts w:cstheme="majorHAnsi"/>
          <w:sz w:val="22"/>
          <w:szCs w:val="22"/>
          <w:lang w:val="en-US"/>
        </w:rPr>
        <w:t>GENDER EQUALITY, ARTICLE 3.</w:t>
      </w:r>
    </w:p>
    <w:p w:rsidR="003B7427"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Girls are more likely to experience digital violence than boys (21). In the 2023 Virtual Consultation on Digital Violence, 88% of children and adolescents were considered highly exposed. Of those, 36% had </w:t>
      </w:r>
      <w:r w:rsidRPr="00E66E04">
        <w:rPr>
          <w:rFonts w:asciiTheme="majorHAnsi" w:hAnsiTheme="majorHAnsi" w:cstheme="majorHAnsi"/>
          <w:lang w:val="en-US"/>
        </w:rPr>
        <w:lastRenderedPageBreak/>
        <w:t>experienced digital violence, but only 17% had reported it to the police and 21% had used other mechanisms, such as school. The main reasons for not reporting were not knowing where to report it (28%) and the difficulty of the reporting process (27%) (22). The Law on Guarantees and the Belém do Pará Convention provide a comprehensive framework for protection against all types of violence, including digital violence</w:t>
      </w:r>
      <w:r w:rsidR="00302780">
        <w:rPr>
          <w:rFonts w:asciiTheme="majorHAnsi" w:hAnsiTheme="majorHAnsi" w:cstheme="majorHAnsi"/>
          <w:lang w:val="en-US"/>
        </w:rPr>
        <w:t xml:space="preserve"> (23)</w:t>
      </w:r>
      <w:r w:rsidRPr="00E66E04">
        <w:rPr>
          <w:rFonts w:asciiTheme="majorHAnsi" w:hAnsiTheme="majorHAnsi" w:cstheme="majorHAnsi"/>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3B7427" w:rsidRPr="00E66E04" w:rsidRDefault="003B7427"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 to the State of Chile:</w:t>
      </w:r>
    </w:p>
    <w:p w:rsidR="003B7427" w:rsidRPr="00E66E04" w:rsidRDefault="003B7427" w:rsidP="00CB7D0F">
      <w:pPr>
        <w:pStyle w:val="Prrafodelista"/>
        <w:numPr>
          <w:ilvl w:val="0"/>
          <w:numId w:val="11"/>
        </w:numPr>
        <w:tabs>
          <w:tab w:val="left" w:pos="426"/>
        </w:tabs>
        <w:spacing w:after="0" w:line="240" w:lineRule="auto"/>
        <w:ind w:left="0" w:firstLine="0"/>
        <w:jc w:val="both"/>
        <w:rPr>
          <w:rFonts w:asciiTheme="majorHAnsi" w:hAnsiTheme="majorHAnsi" w:cstheme="majorHAnsi"/>
          <w:b/>
          <w:lang w:val="en-US"/>
        </w:rPr>
      </w:pPr>
      <w:r w:rsidRPr="00E66E04">
        <w:rPr>
          <w:rFonts w:asciiTheme="majorHAnsi" w:hAnsiTheme="majorHAnsi" w:cstheme="majorHAnsi"/>
          <w:b/>
          <w:i/>
          <w:lang w:val="en-US"/>
        </w:rPr>
        <w:t>Urgently develop and implement campaigns and programmes to prevent digital violence, especially against girls and women. Strengthen care and protection strategies aimed at parents, caregivers, and educational teams</w:t>
      </w:r>
      <w:r w:rsidRPr="00E66E04">
        <w:rPr>
          <w:rFonts w:asciiTheme="majorHAnsi" w:hAnsiTheme="majorHAnsi" w:cstheme="majorHAnsi"/>
          <w:b/>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3B7427" w:rsidRPr="00E66E04" w:rsidRDefault="00E66E04" w:rsidP="00CB7D0F">
      <w:pPr>
        <w:pStyle w:val="Ttulo1"/>
        <w:tabs>
          <w:tab w:val="left" w:pos="426"/>
        </w:tabs>
        <w:rPr>
          <w:sz w:val="22"/>
          <w:szCs w:val="22"/>
          <w:lang w:val="en-US"/>
        </w:rPr>
      </w:pPr>
      <w:r w:rsidRPr="00E66E04">
        <w:rPr>
          <w:sz w:val="22"/>
          <w:szCs w:val="22"/>
          <w:lang w:val="en-US"/>
        </w:rPr>
        <w:t>PROTECTION OF THE FAMILY, MOTHERS, AND CHILDREN, ARTICLE 10.</w:t>
      </w:r>
    </w:p>
    <w:p w:rsidR="003B7427" w:rsidRPr="00E66E04" w:rsidRDefault="003B7427" w:rsidP="00CB7D0F">
      <w:pPr>
        <w:pStyle w:val="Ttulo2"/>
        <w:tabs>
          <w:tab w:val="left" w:pos="426"/>
        </w:tabs>
        <w:rPr>
          <w:i/>
          <w:sz w:val="22"/>
          <w:szCs w:val="22"/>
          <w:lang w:val="en-US"/>
        </w:rPr>
      </w:pPr>
      <w:r w:rsidRPr="00E66E04">
        <w:rPr>
          <w:i/>
          <w:sz w:val="22"/>
          <w:szCs w:val="22"/>
          <w:lang w:val="en-US"/>
        </w:rPr>
        <w:t>The family should be given the widest possible protection and assistance (Article 10.1).</w:t>
      </w:r>
    </w:p>
    <w:p w:rsidR="00CB7D0F" w:rsidRPr="00CB7D0F" w:rsidRDefault="00CB7D0F"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CB7D0F">
        <w:rPr>
          <w:rFonts w:asciiTheme="majorHAnsi" w:hAnsiTheme="majorHAnsi" w:cstheme="majorHAnsi"/>
          <w:lang w:val="en-US"/>
        </w:rPr>
        <w:t>Since 2017, Chile has experienced an increase in violence against children and adolescents at the hands of their caregivers (24). According to the Second Polyvictimisation Survey (2023), 39% of respondents reported having experienced abuse at the hands of their caregivers, up from 35% in 2017. Additionally, girls report higher levels of victimisation than boys</w:t>
      </w:r>
      <w:r w:rsidR="00AD33C9">
        <w:rPr>
          <w:rFonts w:asciiTheme="majorHAnsi" w:hAnsiTheme="majorHAnsi" w:cstheme="majorHAnsi"/>
          <w:lang w:val="en-US"/>
        </w:rPr>
        <w:t xml:space="preserve"> (25)</w:t>
      </w:r>
      <w:r w:rsidRPr="00CB7D0F">
        <w:rPr>
          <w:rFonts w:asciiTheme="majorHAnsi" w:hAnsiTheme="majorHAnsi" w:cstheme="majorHAnsi"/>
          <w:lang w:val="en-US"/>
        </w:rPr>
        <w:t>. In 2019, JUNJI reported 1,033 cases of domestic violence against children and adolescents, a figure that dropped to 465 in 2020 due to the closure of kindergartens during the pandemic reducing the number of reports. Between January and June 2020, the rate was 113 per 100,000 (26). In 2024, the Public Prosecutor's Office registered 22,740 children and adolescents as victims of domestic violence, 12,818 of whom were girls (27). Physical and psychological punishment remains a widespread practice in Chile, affecting all socioeconomic groups (28), and is reinforced by gender norms that particularly impact girls (29).</w:t>
      </w:r>
    </w:p>
    <w:p w:rsidR="00CB7D0F" w:rsidRPr="00CB7D0F" w:rsidRDefault="00CB7D0F" w:rsidP="00CB7D0F">
      <w:pPr>
        <w:pStyle w:val="Prrafodelista"/>
        <w:tabs>
          <w:tab w:val="left" w:pos="426"/>
        </w:tabs>
        <w:spacing w:after="0" w:line="240" w:lineRule="auto"/>
        <w:ind w:left="0"/>
        <w:jc w:val="both"/>
        <w:rPr>
          <w:rFonts w:asciiTheme="majorHAnsi" w:hAnsiTheme="majorHAnsi" w:cstheme="majorHAnsi"/>
          <w:lang w:val="en-US"/>
        </w:rPr>
      </w:pPr>
    </w:p>
    <w:p w:rsidR="00CB7D0F" w:rsidRPr="00CB7D0F" w:rsidRDefault="00CB7D0F" w:rsidP="00CB7D0F">
      <w:pPr>
        <w:tabs>
          <w:tab w:val="left" w:pos="426"/>
        </w:tabs>
        <w:spacing w:after="0" w:line="240" w:lineRule="auto"/>
        <w:jc w:val="both"/>
        <w:rPr>
          <w:rFonts w:asciiTheme="majorHAnsi" w:hAnsiTheme="majorHAnsi" w:cstheme="majorHAnsi"/>
          <w:b/>
          <w:lang w:val="en-US"/>
        </w:rPr>
      </w:pPr>
      <w:r w:rsidRPr="00CB7D0F">
        <w:rPr>
          <w:rFonts w:asciiTheme="majorHAnsi" w:hAnsiTheme="majorHAnsi" w:cstheme="majorHAnsi"/>
          <w:b/>
          <w:lang w:val="en-US"/>
        </w:rPr>
        <w:t>Recommendation to the State of Chile:</w:t>
      </w:r>
    </w:p>
    <w:p w:rsidR="00E930DD" w:rsidRPr="00CB7D0F" w:rsidRDefault="00CB7D0F" w:rsidP="00CB7D0F">
      <w:pPr>
        <w:pStyle w:val="Prrafodelista"/>
        <w:numPr>
          <w:ilvl w:val="0"/>
          <w:numId w:val="11"/>
        </w:numPr>
        <w:tabs>
          <w:tab w:val="left" w:pos="426"/>
        </w:tabs>
        <w:spacing w:after="0" w:line="240" w:lineRule="auto"/>
        <w:ind w:left="0" w:firstLine="0"/>
        <w:jc w:val="both"/>
        <w:rPr>
          <w:rFonts w:asciiTheme="majorHAnsi" w:hAnsiTheme="majorHAnsi" w:cstheme="majorHAnsi"/>
          <w:lang w:val="en-US"/>
        </w:rPr>
      </w:pPr>
      <w:r w:rsidRPr="00CB7D0F">
        <w:rPr>
          <w:rFonts w:asciiTheme="majorHAnsi" w:hAnsiTheme="majorHAnsi" w:cstheme="majorHAnsi"/>
          <w:b/>
          <w:i/>
          <w:lang w:val="en-US"/>
        </w:rPr>
        <w:t>Design and implement measures and actions to raise awareness of, and prevent, violence against children and adolescents in their immediate environments, especially within the family, adopting a territorial approach</w:t>
      </w:r>
      <w:r w:rsidRPr="00CB7D0F">
        <w:rPr>
          <w:rFonts w:asciiTheme="majorHAnsi" w:hAnsiTheme="majorHAnsi" w:cstheme="majorHAnsi"/>
          <w:lang w:val="en-US"/>
        </w:rPr>
        <w:t>.</w:t>
      </w:r>
    </w:p>
    <w:p w:rsidR="003B7427" w:rsidRPr="00E66E04" w:rsidRDefault="003B7427" w:rsidP="00CB7D0F">
      <w:pPr>
        <w:pStyle w:val="Ttulo2"/>
        <w:tabs>
          <w:tab w:val="left" w:pos="426"/>
        </w:tabs>
        <w:rPr>
          <w:i/>
          <w:sz w:val="22"/>
          <w:szCs w:val="22"/>
          <w:lang w:val="en-US"/>
        </w:rPr>
      </w:pPr>
      <w:r w:rsidRPr="00E66E04">
        <w:rPr>
          <w:i/>
          <w:sz w:val="22"/>
          <w:szCs w:val="22"/>
          <w:lang w:val="en-US"/>
        </w:rPr>
        <w:t>Protection for mothers after childbirth (Article 10.2).</w:t>
      </w:r>
    </w:p>
    <w:p w:rsidR="003B7427" w:rsidRPr="00E66E04" w:rsidRDefault="003B7427" w:rsidP="00CB7D0F">
      <w:pPr>
        <w:pStyle w:val="Ttulo3"/>
        <w:tabs>
          <w:tab w:val="left" w:pos="426"/>
        </w:tabs>
        <w:spacing w:before="0"/>
        <w:jc w:val="both"/>
        <w:rPr>
          <w:sz w:val="22"/>
          <w:szCs w:val="22"/>
          <w:lang w:val="en-US"/>
        </w:rPr>
      </w:pPr>
      <w:r w:rsidRPr="00E66E04">
        <w:rPr>
          <w:sz w:val="22"/>
          <w:szCs w:val="22"/>
          <w:lang w:val="en-US"/>
        </w:rPr>
        <w:t>Mothers deprived of liberty.</w:t>
      </w:r>
    </w:p>
    <w:p w:rsidR="003B7427" w:rsidRP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Of the women deprived of liberty, 99% have at least one child. As of June 2023, 42 pregnant women and 100 children were living with their mothers in prison</w:t>
      </w:r>
      <w:r w:rsidR="00302780">
        <w:rPr>
          <w:rFonts w:asciiTheme="majorHAnsi" w:hAnsiTheme="majorHAnsi" w:cstheme="majorHAnsi"/>
          <w:lang w:val="en-US"/>
        </w:rPr>
        <w:t xml:space="preserve"> (31)</w:t>
      </w:r>
      <w:r w:rsidRPr="00E66E04">
        <w:rPr>
          <w:rFonts w:asciiTheme="majorHAnsi" w:hAnsiTheme="majorHAnsi" w:cstheme="majorHAnsi"/>
          <w:lang w:val="en-US"/>
        </w:rPr>
        <w:t>. The mother-and-child sections are highly occupied, especially by foreign women. There is insufficient custodial and health personnel, and the sanitary conditions are poor, which does not guarantee the protection of the lives and integrity of women and their children (32).</w:t>
      </w:r>
    </w:p>
    <w:p w:rsidR="003B7427" w:rsidRPr="00E66E04" w:rsidRDefault="003B7427" w:rsidP="00CB7D0F">
      <w:pPr>
        <w:tabs>
          <w:tab w:val="left" w:pos="426"/>
        </w:tabs>
        <w:spacing w:after="0" w:line="240" w:lineRule="auto"/>
        <w:jc w:val="both"/>
        <w:rPr>
          <w:rFonts w:asciiTheme="majorHAnsi" w:hAnsiTheme="majorHAnsi" w:cstheme="majorHAnsi"/>
          <w:lang w:val="en-US"/>
        </w:rPr>
      </w:pPr>
    </w:p>
    <w:p w:rsidR="003B7427" w:rsidRPr="00E66E04" w:rsidRDefault="003B7427"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 to the State of Chile:</w:t>
      </w:r>
    </w:p>
    <w:p w:rsidR="003B7427" w:rsidRPr="00E66E04" w:rsidRDefault="003B7427" w:rsidP="00CB7D0F">
      <w:pPr>
        <w:pStyle w:val="Prrafodelista"/>
        <w:numPr>
          <w:ilvl w:val="0"/>
          <w:numId w:val="11"/>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b/>
          <w:i/>
          <w:lang w:val="en-US"/>
        </w:rPr>
        <w:t>Guarantee decent and safe conditions in the mother-and-child sections of prisons by strengthening custody and health personnel, and ensuring adequate resources to protect the lives, health and integrity of all women deprived of liberty and their children</w:t>
      </w:r>
      <w:r w:rsidRPr="00E66E04">
        <w:rPr>
          <w:rFonts w:asciiTheme="majorHAnsi" w:hAnsiTheme="majorHAnsi" w:cstheme="majorHAnsi"/>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3B7427" w:rsidRPr="00E66E04" w:rsidRDefault="003B7427" w:rsidP="00CB7D0F">
      <w:pPr>
        <w:pStyle w:val="Ttulo2"/>
        <w:tabs>
          <w:tab w:val="left" w:pos="426"/>
        </w:tabs>
        <w:rPr>
          <w:i/>
          <w:sz w:val="22"/>
          <w:szCs w:val="22"/>
          <w:lang w:val="en-US"/>
        </w:rPr>
      </w:pPr>
      <w:r w:rsidRPr="00E66E04">
        <w:rPr>
          <w:i/>
          <w:sz w:val="22"/>
          <w:szCs w:val="22"/>
          <w:lang w:val="en-US"/>
        </w:rPr>
        <w:lastRenderedPageBreak/>
        <w:t>Protection and assistance for children and adolescents against economic and social exploitation (Article 10.3).</w:t>
      </w:r>
    </w:p>
    <w:p w:rsidR="003B7427" w:rsidRPr="00E66E04" w:rsidRDefault="003B7427" w:rsidP="00CB7D0F">
      <w:pPr>
        <w:pStyle w:val="Ttulo3"/>
        <w:tabs>
          <w:tab w:val="left" w:pos="426"/>
        </w:tabs>
        <w:rPr>
          <w:sz w:val="22"/>
          <w:szCs w:val="22"/>
          <w:lang w:val="en-US"/>
        </w:rPr>
      </w:pPr>
      <w:r w:rsidRPr="00E66E04">
        <w:rPr>
          <w:sz w:val="22"/>
          <w:szCs w:val="22"/>
          <w:lang w:val="en-US"/>
        </w:rPr>
        <w:t>Ch</w:t>
      </w:r>
      <w:r w:rsidR="00E930DD" w:rsidRPr="00E66E04">
        <w:rPr>
          <w:sz w:val="22"/>
          <w:szCs w:val="22"/>
          <w:lang w:val="en-US"/>
        </w:rPr>
        <w:t>ild sexual exploitation (ESNNA)</w:t>
      </w:r>
    </w:p>
    <w:p w:rsidR="00E66E04" w:rsidRDefault="003B742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Of the 2,184 cases registered by the Public Prosecutor's Office between 2022 and 2023, 86% involved girls and adolescent women, with 64% of cases relating to girls aged 14–17 and 14% relating to boys and adolescent men</w:t>
      </w:r>
      <w:r w:rsidR="00302780">
        <w:rPr>
          <w:rFonts w:asciiTheme="majorHAnsi" w:hAnsiTheme="majorHAnsi" w:cstheme="majorHAnsi"/>
          <w:lang w:val="en-US"/>
        </w:rPr>
        <w:t xml:space="preserve"> (33)</w:t>
      </w:r>
      <w:r w:rsidRPr="00E66E04">
        <w:rPr>
          <w:rFonts w:asciiTheme="majorHAnsi" w:hAnsiTheme="majorHAnsi" w:cstheme="majorHAnsi"/>
          <w:lang w:val="en-US"/>
        </w:rPr>
        <w:t>. Despite the increase in reports of CSEC crimes in recent years, which are considered to be one of the worst forms of child labour, only 2% of investigations initiated between 2020 and 2021 resulted in a final judgement. The main cause of termination was provisional closure (34).</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Default="00B65D97"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Specialized</w:t>
      </w:r>
      <w:r w:rsidR="003B7427" w:rsidRPr="00E66E04">
        <w:rPr>
          <w:rFonts w:asciiTheme="majorHAnsi" w:hAnsiTheme="majorHAnsi" w:cstheme="majorHAnsi"/>
          <w:lang w:val="en-US"/>
        </w:rPr>
        <w:t xml:space="preserve"> Protection Service residences remain unsafe, with 298 reports of child sexual exploitation in 2023. Of these, 91.4% involved girls aged 14–17 in 15 of the country's 16 regions (34). Between 2021 and 2023, cases of digital child sexual exploitation in service programmes increased by 201% (36). As early as 2021, an investigative commission warned of the systematic absence of the state in the face of these rights violations.</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3B7427" w:rsidRPr="00003B6E" w:rsidRDefault="00003B6E" w:rsidP="00CB7D0F">
      <w:pPr>
        <w:pStyle w:val="Prrafodelista"/>
        <w:numPr>
          <w:ilvl w:val="0"/>
          <w:numId w:val="19"/>
        </w:numPr>
        <w:tabs>
          <w:tab w:val="left" w:pos="426"/>
        </w:tabs>
        <w:spacing w:line="240" w:lineRule="auto"/>
        <w:ind w:left="0" w:firstLine="0"/>
        <w:jc w:val="both"/>
        <w:rPr>
          <w:rFonts w:asciiTheme="majorHAnsi" w:hAnsiTheme="majorHAnsi" w:cstheme="majorHAnsi"/>
          <w:lang w:val="en-US"/>
        </w:rPr>
      </w:pPr>
      <w:r w:rsidRPr="00003B6E">
        <w:rPr>
          <w:rFonts w:asciiTheme="majorHAnsi" w:hAnsiTheme="majorHAnsi" w:cstheme="majorHAnsi"/>
          <w:lang w:val="en"/>
        </w:rPr>
        <w:t>The IV Framework for Action against SEC has not been continued, but its challenges have been incorporated into the National Action Plan for Children and Adolescents 2018-2025. The follow-up report on actions shows little progress, for example, in optimizing police response, updating protocols in educational establishments, and streamlining qualitative and quantitative research on SEC. Of the 20 stipulated actions, only 1 is reported as completed, 6 as uninitiat</w:t>
      </w:r>
      <w:r>
        <w:rPr>
          <w:rFonts w:asciiTheme="majorHAnsi" w:hAnsiTheme="majorHAnsi" w:cstheme="majorHAnsi"/>
          <w:lang w:val="en"/>
        </w:rPr>
        <w:t>ed, and 11 are</w:t>
      </w:r>
      <w:r w:rsidRPr="00003B6E">
        <w:rPr>
          <w:rFonts w:asciiTheme="majorHAnsi" w:hAnsiTheme="majorHAnsi" w:cstheme="majorHAnsi"/>
          <w:lang w:val="en-US"/>
        </w:rPr>
        <w:t xml:space="preserve"> </w:t>
      </w:r>
      <w:r w:rsidR="003B7427" w:rsidRPr="00003B6E">
        <w:rPr>
          <w:rFonts w:asciiTheme="majorHAnsi" w:hAnsiTheme="majorHAnsi" w:cstheme="majorHAnsi"/>
          <w:lang w:val="en-US"/>
        </w:rPr>
        <w:t>under implementation (35).</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3B7427" w:rsidRPr="00E66E04" w:rsidRDefault="003B7427"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Recommendations to the State of Chile:</w:t>
      </w:r>
    </w:p>
    <w:p w:rsidR="003B7427" w:rsidRPr="00E66E04" w:rsidRDefault="003B7427" w:rsidP="00CB7D0F">
      <w:pPr>
        <w:pStyle w:val="Prrafodelista"/>
        <w:numPr>
          <w:ilvl w:val="0"/>
          <w:numId w:val="11"/>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Strengthen the criminal prosecution of crimes involving the sexual exploitation of children, ensuring effective investigations and convictions.</w:t>
      </w:r>
    </w:p>
    <w:p w:rsidR="003B7427" w:rsidRPr="00E66E04" w:rsidRDefault="003B7427" w:rsidP="00CB7D0F">
      <w:pPr>
        <w:pStyle w:val="Prrafodelista"/>
        <w:numPr>
          <w:ilvl w:val="0"/>
          <w:numId w:val="11"/>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Develop comprehensive systems for the detection, prevention, care and redress of child and adolescent victims.</w:t>
      </w:r>
    </w:p>
    <w:p w:rsidR="003B7427" w:rsidRPr="00E66E04" w:rsidRDefault="003B7427" w:rsidP="00CB7D0F">
      <w:pPr>
        <w:pStyle w:val="Prrafodelista"/>
        <w:numPr>
          <w:ilvl w:val="0"/>
          <w:numId w:val="11"/>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Prioritise access to justice as a state response to rights violations.</w:t>
      </w:r>
    </w:p>
    <w:p w:rsidR="003B7427" w:rsidRPr="00E66E04" w:rsidRDefault="003B7427" w:rsidP="00CB7D0F">
      <w:pPr>
        <w:pStyle w:val="Prrafodelista"/>
        <w:numPr>
          <w:ilvl w:val="0"/>
          <w:numId w:val="11"/>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Ensure the effective implementation of the National Action Plan for Children and Adolescents 2018–2025, renewing the commitments of the IV Framework for Action against ESNNA, with a particular focus on actions that have not yet been initiated and accelerating the implementation of existing ones</w:t>
      </w:r>
      <w:r w:rsidR="00DC3DEA">
        <w:rPr>
          <w:rFonts w:asciiTheme="majorHAnsi" w:hAnsiTheme="majorHAnsi" w:cstheme="majorHAnsi"/>
          <w:b/>
          <w:i/>
          <w:lang w:val="en-US"/>
        </w:rPr>
        <w:t>, including civil society in the follow-up process</w:t>
      </w:r>
      <w:r w:rsidRPr="00E66E04">
        <w:rPr>
          <w:rFonts w:asciiTheme="majorHAnsi" w:hAnsiTheme="majorHAnsi" w:cstheme="majorHAnsi"/>
          <w:b/>
          <w:i/>
          <w:lang w:val="en-US"/>
        </w:rPr>
        <w:t>.</w:t>
      </w:r>
    </w:p>
    <w:p w:rsidR="003B7427" w:rsidRPr="00E66E04" w:rsidRDefault="003B7427" w:rsidP="00CB7D0F">
      <w:pPr>
        <w:pStyle w:val="Prrafodelista"/>
        <w:numPr>
          <w:ilvl w:val="0"/>
          <w:numId w:val="11"/>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 xml:space="preserve">Strengthen the </w:t>
      </w:r>
      <w:r w:rsidR="00B65D97" w:rsidRPr="00E66E04">
        <w:rPr>
          <w:rFonts w:asciiTheme="majorHAnsi" w:hAnsiTheme="majorHAnsi" w:cstheme="majorHAnsi"/>
          <w:b/>
          <w:i/>
          <w:lang w:val="en-US"/>
        </w:rPr>
        <w:t>specialization</w:t>
      </w:r>
      <w:r w:rsidRPr="00E66E04">
        <w:rPr>
          <w:rFonts w:asciiTheme="majorHAnsi" w:hAnsiTheme="majorHAnsi" w:cstheme="majorHAnsi"/>
          <w:b/>
          <w:i/>
          <w:lang w:val="en-US"/>
        </w:rPr>
        <w:t xml:space="preserve"> and capacities of protection system agents, including residential operators, the police, and the judiciary, through ongoing training and sustained technical support.</w:t>
      </w:r>
    </w:p>
    <w:p w:rsidR="003B7427" w:rsidRPr="00E66E04" w:rsidRDefault="003B7427" w:rsidP="00CB7D0F">
      <w:pPr>
        <w:pStyle w:val="Prrafodelista"/>
        <w:numPr>
          <w:ilvl w:val="0"/>
          <w:numId w:val="11"/>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b/>
          <w:i/>
          <w:lang w:val="en-US"/>
        </w:rPr>
        <w:t xml:space="preserve">Advance </w:t>
      </w:r>
      <w:r w:rsidR="00B65D97" w:rsidRPr="00E66E04">
        <w:rPr>
          <w:rFonts w:asciiTheme="majorHAnsi" w:hAnsiTheme="majorHAnsi" w:cstheme="majorHAnsi"/>
          <w:b/>
          <w:i/>
          <w:lang w:val="en-US"/>
        </w:rPr>
        <w:t>deinstitutionalization</w:t>
      </w:r>
      <w:r w:rsidRPr="00E66E04">
        <w:rPr>
          <w:rFonts w:asciiTheme="majorHAnsi" w:hAnsiTheme="majorHAnsi" w:cstheme="majorHAnsi"/>
          <w:b/>
          <w:i/>
          <w:lang w:val="en-US"/>
        </w:rPr>
        <w:t xml:space="preserve"> and family strengthening strategies, </w:t>
      </w:r>
      <w:r w:rsidR="00B65D97" w:rsidRPr="00E66E04">
        <w:rPr>
          <w:rFonts w:asciiTheme="majorHAnsi" w:hAnsiTheme="majorHAnsi" w:cstheme="majorHAnsi"/>
          <w:b/>
          <w:i/>
          <w:lang w:val="en-US"/>
        </w:rPr>
        <w:t>prioritizing</w:t>
      </w:r>
      <w:r w:rsidRPr="00E66E04">
        <w:rPr>
          <w:rFonts w:asciiTheme="majorHAnsi" w:hAnsiTheme="majorHAnsi" w:cstheme="majorHAnsi"/>
          <w:b/>
          <w:i/>
          <w:lang w:val="en-US"/>
        </w:rPr>
        <w:t xml:space="preserve"> outpatient work with nuclear, extended and foster families, while improving the quality of residential care as a last resort</w:t>
      </w:r>
      <w:r w:rsidRPr="00E66E04">
        <w:rPr>
          <w:rFonts w:asciiTheme="majorHAnsi" w:hAnsiTheme="majorHAnsi" w:cstheme="majorHAnsi"/>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1D3255" w:rsidRPr="00E66E04" w:rsidRDefault="001D3255" w:rsidP="00CB7D0F">
      <w:pPr>
        <w:pStyle w:val="Ttulo3"/>
        <w:tabs>
          <w:tab w:val="left" w:pos="426"/>
        </w:tabs>
        <w:rPr>
          <w:sz w:val="22"/>
          <w:szCs w:val="22"/>
          <w:lang w:val="en-US"/>
        </w:rPr>
      </w:pPr>
      <w:r w:rsidRPr="00E66E04">
        <w:rPr>
          <w:sz w:val="22"/>
          <w:szCs w:val="22"/>
          <w:lang w:val="en-US"/>
        </w:rPr>
        <w:t>Child labour.</w:t>
      </w: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Human trafficking is one of the worst forms of child labour and remains invisible in Chile due to a lack of records and insufficient training for border police</w:t>
      </w:r>
      <w:r w:rsidR="00E415F9">
        <w:rPr>
          <w:rFonts w:asciiTheme="majorHAnsi" w:hAnsiTheme="majorHAnsi" w:cstheme="majorHAnsi"/>
          <w:lang w:val="en-US"/>
        </w:rPr>
        <w:t xml:space="preserve"> (37)</w:t>
      </w:r>
      <w:r w:rsidRPr="00E66E04">
        <w:rPr>
          <w:rFonts w:asciiTheme="majorHAnsi" w:hAnsiTheme="majorHAnsi" w:cstheme="majorHAnsi"/>
          <w:lang w:val="en-US"/>
        </w:rPr>
        <w:t>. Between 2011 and 2022, 347 victims were identified, with only 63 formal charges and 27 convictions. Of these, 33 were children and adolescents — 30 girls and three boys — aged five and over, in cases of labour trafficking and sexual exploitation. Despite the presence of migrant children and adolescents in the country, trafficking for sexual purposes continues to be underestimated (38) (39) (40).</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15.5% of children and adolescents in Chile are engaged in child labour, with 20.1% in the 9–14 age group. 62.1% of them belong to the 40% of households with the lowest incomes. There are no gender </w:t>
      </w:r>
      <w:r w:rsidRPr="00E66E04">
        <w:rPr>
          <w:rFonts w:asciiTheme="majorHAnsi" w:hAnsiTheme="majorHAnsi" w:cstheme="majorHAnsi"/>
          <w:lang w:val="en-US"/>
        </w:rPr>
        <w:lastRenderedPageBreak/>
        <w:t>differences in this indicator. The rate of child labour below the minimum age or in hazardous conditions is 5.4%, with gender disparities: 6.6% for boys and 4.2% for girls. These differences persist in both rural and urban contexts, and are more prevalent among the 9-14 and 15-17 age groups. A marked socioeconomic gap also exists: 7.7% in the first income quintile and 1.6% in the fifth</w:t>
      </w:r>
      <w:r w:rsidR="00E415F9">
        <w:rPr>
          <w:rFonts w:asciiTheme="majorHAnsi" w:hAnsiTheme="majorHAnsi" w:cstheme="majorHAnsi"/>
          <w:lang w:val="en-US"/>
        </w:rPr>
        <w:t xml:space="preserve"> (41)</w:t>
      </w:r>
      <w:r w:rsidRPr="00E66E04">
        <w:rPr>
          <w:rFonts w:asciiTheme="majorHAnsi" w:hAnsiTheme="majorHAnsi" w:cstheme="majorHAnsi"/>
          <w:lang w:val="en-US"/>
        </w:rPr>
        <w:t>.</w:t>
      </w:r>
    </w:p>
    <w:p w:rsidR="00E66E04" w:rsidRPr="00E66E04" w:rsidRDefault="00E66E04" w:rsidP="00CB7D0F">
      <w:pPr>
        <w:tabs>
          <w:tab w:val="left" w:pos="426"/>
        </w:tabs>
        <w:spacing w:after="0" w:line="240" w:lineRule="auto"/>
        <w:jc w:val="both"/>
        <w:rPr>
          <w:rFonts w:asciiTheme="majorHAnsi" w:hAnsiTheme="majorHAnsi" w:cstheme="majorHAnsi"/>
          <w:lang w:val="en-US"/>
        </w:rPr>
      </w:pPr>
    </w:p>
    <w:p w:rsidR="001D3255"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Since 2003, the gender gap in invisible domestic work among children and adolescents has remained unchanged. Girls continue to devote 21 hours or more per week to such work, in greater proportion than boys. 11.2% of children and adolescents perform unpaid and dangerous domestic and care work, with a higher prevalence among girls in both urban and rural areas. This issue affects all socioeconomic strata, with the highest concentration in the first two income quintiles, accounting for 58.7% of cases and 62.1% of the total (41</w:t>
      </w:r>
      <w:r w:rsidR="00E415F9">
        <w:rPr>
          <w:rFonts w:asciiTheme="majorHAnsi" w:hAnsiTheme="majorHAnsi" w:cstheme="majorHAnsi"/>
          <w:lang w:val="en-US"/>
        </w:rPr>
        <w:t>) (42)</w:t>
      </w:r>
      <w:r w:rsidRPr="00E66E04">
        <w:rPr>
          <w:rFonts w:asciiTheme="majorHAnsi" w:hAnsiTheme="majorHAnsi" w:cstheme="majorHAnsi"/>
          <w:lang w:val="en-US"/>
        </w:rPr>
        <w:t xml:space="preserve"> </w:t>
      </w:r>
      <w:r w:rsidR="00E415F9">
        <w:rPr>
          <w:rFonts w:asciiTheme="majorHAnsi" w:hAnsiTheme="majorHAnsi" w:cstheme="majorHAnsi"/>
          <w:lang w:val="en-US"/>
        </w:rPr>
        <w:t>(</w:t>
      </w:r>
      <w:r w:rsidRPr="00E66E04">
        <w:rPr>
          <w:rFonts w:asciiTheme="majorHAnsi" w:hAnsiTheme="majorHAnsi" w:cstheme="majorHAnsi"/>
          <w:lang w:val="en-US"/>
        </w:rPr>
        <w:t>43).</w:t>
      </w:r>
    </w:p>
    <w:p w:rsidR="001D3255" w:rsidRPr="00E66E04" w:rsidRDefault="001D3255" w:rsidP="00CB7D0F">
      <w:pPr>
        <w:tabs>
          <w:tab w:val="left" w:pos="426"/>
        </w:tabs>
        <w:spacing w:after="0" w:line="240" w:lineRule="auto"/>
        <w:jc w:val="both"/>
        <w:rPr>
          <w:rFonts w:asciiTheme="majorHAnsi" w:hAnsiTheme="majorHAnsi" w:cstheme="majorHAnsi"/>
          <w:lang w:val="en-US"/>
        </w:rPr>
      </w:pPr>
    </w:p>
    <w:p w:rsidR="001D3255" w:rsidRPr="00E66E04" w:rsidRDefault="001D3255"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Recommendations to the State of Chile:</w:t>
      </w:r>
    </w:p>
    <w:p w:rsidR="001D3255" w:rsidRPr="00E66E04" w:rsidRDefault="001D3255" w:rsidP="00CB7D0F">
      <w:pPr>
        <w:pStyle w:val="Prrafodelista"/>
        <w:numPr>
          <w:ilvl w:val="0"/>
          <w:numId w:val="12"/>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Implement comprehensive actions for the detection, awareness and prevention of migrant smuggling and human trafficking, including recording official data and providing public officials with training to improve their skills in the area of child sexual exploitation.</w:t>
      </w:r>
    </w:p>
    <w:p w:rsidR="001D3255" w:rsidRPr="00E66E04" w:rsidRDefault="001D3255" w:rsidP="00CB7D0F">
      <w:pPr>
        <w:pStyle w:val="Prrafodelista"/>
        <w:numPr>
          <w:ilvl w:val="1"/>
          <w:numId w:val="12"/>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Establish official data recording systems for accompanied and unaccompanied children and adolescents entering the country, in order to prevent them becoming victims of criminal networks involved in these crimes.</w:t>
      </w:r>
    </w:p>
    <w:p w:rsidR="001D3255" w:rsidRPr="00E66E04" w:rsidRDefault="001D3255" w:rsidP="00CB7D0F">
      <w:pPr>
        <w:pStyle w:val="Prrafodelista"/>
        <w:numPr>
          <w:ilvl w:val="1"/>
          <w:numId w:val="12"/>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b/>
          <w:i/>
          <w:lang w:val="en-US"/>
        </w:rPr>
        <w:t xml:space="preserve">The State should be required to incorporate new evidence on child labour into the design and implementation of its public policies, ensuring the establishment of specific monitoring and prevention mechanisms, especially in domestic child labour and </w:t>
      </w:r>
      <w:r w:rsidR="00DC3DEA">
        <w:rPr>
          <w:rFonts w:asciiTheme="majorHAnsi" w:hAnsiTheme="majorHAnsi" w:cstheme="majorHAnsi"/>
          <w:b/>
          <w:i/>
          <w:lang w:val="en-US"/>
        </w:rPr>
        <w:t xml:space="preserve">dangerous labour in </w:t>
      </w:r>
      <w:r w:rsidRPr="00E66E04">
        <w:rPr>
          <w:rFonts w:asciiTheme="majorHAnsi" w:hAnsiTheme="majorHAnsi" w:cstheme="majorHAnsi"/>
          <w:b/>
          <w:i/>
          <w:lang w:val="en-US"/>
        </w:rPr>
        <w:t>productive sectors, with a gender focus</w:t>
      </w:r>
      <w:r w:rsidRPr="00E66E04">
        <w:rPr>
          <w:rFonts w:asciiTheme="majorHAnsi" w:hAnsiTheme="majorHAnsi" w:cstheme="majorHAnsi"/>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1D3255" w:rsidRPr="00E66E04" w:rsidRDefault="001D3255" w:rsidP="00CB7D0F">
      <w:pPr>
        <w:pStyle w:val="Ttulo3"/>
        <w:tabs>
          <w:tab w:val="left" w:pos="426"/>
        </w:tabs>
        <w:rPr>
          <w:i/>
          <w:sz w:val="22"/>
          <w:szCs w:val="22"/>
          <w:lang w:val="en-US"/>
        </w:rPr>
      </w:pPr>
      <w:r w:rsidRPr="00E66E04">
        <w:rPr>
          <w:i/>
          <w:sz w:val="22"/>
          <w:szCs w:val="22"/>
          <w:lang w:val="en-US"/>
        </w:rPr>
        <w:t xml:space="preserve">Recruitment of children and adolescents into illegal activities, crime and </w:t>
      </w:r>
      <w:r w:rsidR="00B65D97" w:rsidRPr="00E66E04">
        <w:rPr>
          <w:i/>
          <w:sz w:val="22"/>
          <w:szCs w:val="22"/>
          <w:lang w:val="en-US"/>
        </w:rPr>
        <w:t>organized</w:t>
      </w:r>
      <w:r w:rsidRPr="00E66E04">
        <w:rPr>
          <w:i/>
          <w:sz w:val="22"/>
          <w:szCs w:val="22"/>
          <w:lang w:val="en-US"/>
        </w:rPr>
        <w:t xml:space="preserve"> crime, and their subsequent social reintegration.</w:t>
      </w:r>
    </w:p>
    <w:p w:rsidR="001D3255" w:rsidRPr="00DC3DEA"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DC3DEA">
        <w:rPr>
          <w:rFonts w:asciiTheme="majorHAnsi" w:hAnsiTheme="majorHAnsi" w:cstheme="majorHAnsi"/>
          <w:lang w:val="en-US"/>
        </w:rPr>
        <w:t xml:space="preserve">Despite being one of the worst forms of child labour according to the ILO, the recruitment of children and adolescents for illegal activities is </w:t>
      </w:r>
      <w:r w:rsidR="00DC3DEA" w:rsidRPr="00DC3DEA">
        <w:rPr>
          <w:rFonts w:asciiTheme="majorHAnsi" w:hAnsiTheme="majorHAnsi" w:cstheme="majorHAnsi"/>
          <w:lang w:val="en"/>
        </w:rPr>
        <w:t>barely visible</w:t>
      </w:r>
      <w:r w:rsidR="00DC3DEA" w:rsidRPr="00DC3DEA">
        <w:rPr>
          <w:rFonts w:asciiTheme="majorHAnsi" w:hAnsiTheme="majorHAnsi" w:cstheme="majorHAnsi"/>
          <w:lang w:val="en-US"/>
        </w:rPr>
        <w:t xml:space="preserve"> </w:t>
      </w:r>
      <w:r w:rsidR="00DC3DEA">
        <w:rPr>
          <w:rFonts w:asciiTheme="majorHAnsi" w:hAnsiTheme="majorHAnsi" w:cstheme="majorHAnsi"/>
          <w:lang w:val="en-US"/>
        </w:rPr>
        <w:t>as such</w:t>
      </w:r>
      <w:r w:rsidRPr="00DC3DEA">
        <w:rPr>
          <w:rFonts w:asciiTheme="majorHAnsi" w:hAnsiTheme="majorHAnsi" w:cstheme="majorHAnsi"/>
          <w:lang w:val="en-US"/>
        </w:rPr>
        <w:t>. While there are legal provisions that address the criminal aspects, these do not address the violation of rights, which limits the state's response. In 2023, 38 children and adolescents were killed with firearms</w:t>
      </w:r>
      <w:r w:rsidR="00E415F9" w:rsidRPr="00DC3DEA">
        <w:rPr>
          <w:rFonts w:asciiTheme="majorHAnsi" w:hAnsiTheme="majorHAnsi" w:cstheme="majorHAnsi"/>
          <w:lang w:val="en-US"/>
        </w:rPr>
        <w:t xml:space="preserve"> (44)</w:t>
      </w:r>
      <w:r w:rsidRPr="00DC3DEA">
        <w:rPr>
          <w:rFonts w:asciiTheme="majorHAnsi" w:hAnsiTheme="majorHAnsi" w:cstheme="majorHAnsi"/>
          <w:lang w:val="en-US"/>
        </w:rPr>
        <w:t xml:space="preserve">, and between 2016 and 2020, 167 adolescents (72.2% male) were arrested for drug trafficking under the umbrella of criminal </w:t>
      </w:r>
      <w:r w:rsidR="00B65D97" w:rsidRPr="00DC3DEA">
        <w:rPr>
          <w:rFonts w:asciiTheme="majorHAnsi" w:hAnsiTheme="majorHAnsi" w:cstheme="majorHAnsi"/>
          <w:lang w:val="en-US"/>
        </w:rPr>
        <w:t>organizations</w:t>
      </w:r>
      <w:r w:rsidR="00E415F9" w:rsidRPr="00DC3DEA">
        <w:rPr>
          <w:rFonts w:asciiTheme="majorHAnsi" w:hAnsiTheme="majorHAnsi" w:cstheme="majorHAnsi"/>
          <w:lang w:val="en-US"/>
        </w:rPr>
        <w:t xml:space="preserve"> (45)</w:t>
      </w:r>
      <w:r w:rsidRPr="00DC3DEA">
        <w:rPr>
          <w:rFonts w:asciiTheme="majorHAnsi" w:hAnsiTheme="majorHAnsi" w:cstheme="majorHAnsi"/>
          <w:lang w:val="en-US"/>
        </w:rPr>
        <w:t>. There are no official data or updated records</w:t>
      </w:r>
      <w:r w:rsidR="00E415F9" w:rsidRPr="00DC3DEA">
        <w:rPr>
          <w:rFonts w:asciiTheme="majorHAnsi" w:hAnsiTheme="majorHAnsi" w:cstheme="majorHAnsi"/>
          <w:lang w:val="en-US"/>
        </w:rPr>
        <w:t xml:space="preserve"> (41) (43)</w:t>
      </w:r>
      <w:r w:rsidRPr="00DC3DEA">
        <w:rPr>
          <w:rFonts w:asciiTheme="majorHAnsi" w:hAnsiTheme="majorHAnsi" w:cstheme="majorHAnsi"/>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1D3255" w:rsidRPr="00E66E04" w:rsidRDefault="001D3255"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Recommendations to the State of Chile:</w:t>
      </w:r>
    </w:p>
    <w:p w:rsidR="001D3255" w:rsidRPr="00E66E04" w:rsidRDefault="001D3255" w:rsidP="00CB7D0F">
      <w:pPr>
        <w:pStyle w:val="Prrafodelista"/>
        <w:numPr>
          <w:ilvl w:val="0"/>
          <w:numId w:val="12"/>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Provide local government institutions with greater operational resources and funding to improve security in neighbourhoods and surrounding areas, particularly in places where children and adolescents are most vulnerable.</w:t>
      </w:r>
    </w:p>
    <w:p w:rsidR="001D3255" w:rsidRPr="00E66E04" w:rsidRDefault="001D3255" w:rsidP="00CB7D0F">
      <w:pPr>
        <w:pStyle w:val="Prrafodelista"/>
        <w:numPr>
          <w:ilvl w:val="0"/>
          <w:numId w:val="12"/>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Design participatory policies aimed at preventing crimes against children and adolescents, taking into account the characteristics of each community and territory.</w:t>
      </w:r>
    </w:p>
    <w:p w:rsidR="001D3255" w:rsidRPr="00E66E04" w:rsidRDefault="001D3255" w:rsidP="00CB7D0F">
      <w:pPr>
        <w:pStyle w:val="Prrafodelista"/>
        <w:numPr>
          <w:ilvl w:val="0"/>
          <w:numId w:val="12"/>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Create comprehensive support mechanisms that include legal assistance, support for prosecuting crimes, and protection and compensation for families and communities affected by territorial violence, particularly in cases involving the murder of children and adolescents.</w:t>
      </w:r>
    </w:p>
    <w:p w:rsidR="001D3255" w:rsidRPr="00E66E04" w:rsidRDefault="001D3255" w:rsidP="00CB7D0F">
      <w:pPr>
        <w:pStyle w:val="Prrafodelista"/>
        <w:numPr>
          <w:ilvl w:val="0"/>
          <w:numId w:val="12"/>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b/>
          <w:i/>
          <w:lang w:val="en-US"/>
        </w:rPr>
        <w:t>Keep official records of children and adolescents linked to criminal gangs and train justice officials to recognise this situation as one of the worst forms of child labour. The aim is to destigmatise this situation and promote the social reintegration of those affected, as well as establishing comprehensive mechanisms that include community awareness and prevention</w:t>
      </w:r>
      <w:r w:rsidRPr="00E66E04">
        <w:rPr>
          <w:rFonts w:asciiTheme="majorHAnsi" w:hAnsiTheme="majorHAnsi" w:cstheme="majorHAnsi"/>
          <w:lang w:val="en-US"/>
        </w:rPr>
        <w:t>.</w:t>
      </w:r>
    </w:p>
    <w:p w:rsidR="001D3255" w:rsidRPr="00E66E04" w:rsidRDefault="00E66E04" w:rsidP="00CB7D0F">
      <w:pPr>
        <w:pStyle w:val="Ttulo1"/>
        <w:tabs>
          <w:tab w:val="left" w:pos="426"/>
        </w:tabs>
        <w:rPr>
          <w:sz w:val="22"/>
          <w:szCs w:val="22"/>
          <w:lang w:val="en-US"/>
        </w:rPr>
      </w:pPr>
      <w:r w:rsidRPr="00E66E04">
        <w:rPr>
          <w:sz w:val="22"/>
          <w:szCs w:val="22"/>
          <w:lang w:val="en-US"/>
        </w:rPr>
        <w:lastRenderedPageBreak/>
        <w:t>ADEQUATE STANDARD OF LIVING FOR CHILDREN,</w:t>
      </w:r>
      <w:r>
        <w:rPr>
          <w:sz w:val="22"/>
          <w:szCs w:val="22"/>
          <w:lang w:val="en-US"/>
        </w:rPr>
        <w:t xml:space="preserve"> ADOLESCENTS AND THEIR FAMILIES,</w:t>
      </w:r>
      <w:r w:rsidRPr="00E66E04">
        <w:rPr>
          <w:sz w:val="22"/>
          <w:szCs w:val="22"/>
          <w:lang w:val="en-US"/>
        </w:rPr>
        <w:t xml:space="preserve"> ARTICLE 11.</w:t>
      </w: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The principle of intersectorality in the Guarantees Law has not yet been fully implemented at local and regional levels. This prevents a comprehensive response to the needs of children and adolescents in areas such as education, health and housing. A participatory study conducted by OPCION in the northern region of Tarapacá reveals that, while schools and health clinics are considered safe spaces, they are often located far from people's homes and are difficult to access. Furthermore, the immediate surroundings lack basic services, security and recreational spaces (46).</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Critical gaps persist in children's access to rights, particularly with regard to mental health, as regions lack </w:t>
      </w:r>
      <w:r w:rsidR="00B65D97" w:rsidRPr="00E66E04">
        <w:rPr>
          <w:rFonts w:asciiTheme="majorHAnsi" w:hAnsiTheme="majorHAnsi" w:cstheme="majorHAnsi"/>
          <w:lang w:val="en-US"/>
        </w:rPr>
        <w:t>specialized</w:t>
      </w:r>
      <w:r w:rsidRPr="00E66E04">
        <w:rPr>
          <w:rFonts w:asciiTheme="majorHAnsi" w:hAnsiTheme="majorHAnsi" w:cstheme="majorHAnsi"/>
          <w:lang w:val="en-US"/>
        </w:rPr>
        <w:t xml:space="preserve"> facilities, and in education. The Safe Classroom Law (48) permits expulsions if a child's behaviour threatens the harmony of the school community, which can lead to </w:t>
      </w:r>
      <w:r w:rsidR="00B65D97" w:rsidRPr="00E66E04">
        <w:rPr>
          <w:rFonts w:asciiTheme="majorHAnsi" w:hAnsiTheme="majorHAnsi" w:cstheme="majorHAnsi"/>
          <w:lang w:val="en-US"/>
        </w:rPr>
        <w:t>stigmatization</w:t>
      </w:r>
      <w:r w:rsidRPr="00E66E04">
        <w:rPr>
          <w:rFonts w:asciiTheme="majorHAnsi" w:hAnsiTheme="majorHAnsi" w:cstheme="majorHAnsi"/>
          <w:lang w:val="en-US"/>
        </w:rPr>
        <w:t xml:space="preserve"> and discrimination. Children and adolescents from rural and urban areas of O'Higgins reported this in participatory workshops held by OPCION in 2023 (29).</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The severity of child poverty in Chile varies according to social group, age and macrozone. It is most severe in the north (29). A study by OPCIÓN in the Tarapacá region showed that 5% of children and adolescents treated in Iquique live in informal settlements. In Alto Hospicio, many households lack piped drinking water and have informal electricity connections. 25% of children and adolescents in the region live in areas without connectivity, safe infrastructure or access to educational services (4</w:t>
      </w:r>
      <w:r w:rsidR="00275CE0">
        <w:rPr>
          <w:rFonts w:asciiTheme="majorHAnsi" w:hAnsiTheme="majorHAnsi" w:cstheme="majorHAnsi"/>
          <w:lang w:val="en-US"/>
        </w:rPr>
        <w:t>6</w:t>
      </w:r>
      <w:r w:rsidRPr="00E66E04">
        <w:rPr>
          <w:rFonts w:asciiTheme="majorHAnsi" w:hAnsiTheme="majorHAnsi" w:cstheme="majorHAnsi"/>
          <w:lang w:val="en-US"/>
        </w:rPr>
        <w:t>).</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275CE0"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In Chile, 20% of children and adolescents live in households experiencing mild food insecurity. The situation is more serious among migrant children and adolescents (29% experience moderate or severe food insecurity), indigenous peoples (20%), and in urban areas (17%, compared to 14% in rural areas). The regions of Tarapacá and Antofagasta have the highest levels in the country. </w:t>
      </w:r>
      <w:r w:rsidRPr="00275CE0">
        <w:rPr>
          <w:rFonts w:asciiTheme="majorHAnsi" w:hAnsiTheme="majorHAnsi" w:cstheme="majorHAnsi"/>
          <w:lang w:val="en-US"/>
        </w:rPr>
        <w:t>In 2024, one in four children and adolescents in public and subsidised schools in Chile was overweight, with 23% being obese. Despite public policies and food labelling, these indicators have not improved, suggesting that the underlying structural factors persist, such as a lack of green spaces, neighbourhood insecurity, limited opportunities for physical activity and economic vulnerability (29).</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The affordability or adequacy of housing (according to the United Nations) affects 43% of migrant children, compared to 14% of Chilean children. More than half of those living in extreme poverty spend over 30% of their income on housing; among those not living in extreme poverty, this figure is 35%. This issue is particularly prevalent in urban areas, especially in the Metropolitan Region and Tarapacá, where 22% of children and adolescents reside in households with unaffordable housing</w:t>
      </w:r>
      <w:r w:rsidR="00275CE0">
        <w:rPr>
          <w:rFonts w:asciiTheme="majorHAnsi" w:hAnsiTheme="majorHAnsi" w:cstheme="majorHAnsi"/>
          <w:lang w:val="en-US"/>
        </w:rPr>
        <w:t xml:space="preserve"> </w:t>
      </w:r>
      <w:r w:rsidR="00275CE0" w:rsidRPr="00275CE0">
        <w:rPr>
          <w:rFonts w:asciiTheme="majorHAnsi" w:hAnsiTheme="majorHAnsi" w:cstheme="majorHAnsi"/>
          <w:lang w:val="en-US"/>
        </w:rPr>
        <w:t>(29)</w:t>
      </w:r>
      <w:r w:rsidRPr="00E66E04">
        <w:rPr>
          <w:rFonts w:asciiTheme="majorHAnsi" w:hAnsiTheme="majorHAnsi" w:cstheme="majorHAnsi"/>
          <w:lang w:val="en-US"/>
        </w:rPr>
        <w:t>.</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Between 2019 and 2024, the number of informal settlements increased from 802 to 1,432. Between 2019 and 2022, the number of children and adolescents living in these settlements grew by 45%. As of March 2022, 32% of camp residents were children and adolescents (16% boys and 15.8% girls). They live in unsanitary conditions: two-thirds of households are connected to electricity illegally, 41% do not have access to clean drinking water, and 61% lack sewage systems. (49).</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1D3255"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Although the Ministry of Housing plans to provide 260,000 housing solutions by 2025, forced evictions from substandard camps continue, violating children's rights. Law No. 21,450 and housing policy fail to incorporate a child rights approach; the 'Building Neighborhoods' programme has limited reach; and the right to housing is not clearly defined in urban planning, which excludes children in camps (50).</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1D3255" w:rsidRPr="00E66E04" w:rsidRDefault="001D3255"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Recommendations to the State of Chile:</w:t>
      </w:r>
    </w:p>
    <w:p w:rsidR="001D3255" w:rsidRPr="00E66E04" w:rsidRDefault="001D3255" w:rsidP="00CB7D0F">
      <w:pPr>
        <w:pStyle w:val="Prrafodelista"/>
        <w:numPr>
          <w:ilvl w:val="0"/>
          <w:numId w:val="13"/>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lastRenderedPageBreak/>
        <w:t>Incorporate a child rights approach into housing policy, ensuring that children and adolescents are explicitly considered in the design, implementation and monitoring of urban planning.</w:t>
      </w:r>
    </w:p>
    <w:p w:rsidR="00E930DD" w:rsidRPr="00E66E04" w:rsidRDefault="001D3255" w:rsidP="00CB7D0F">
      <w:pPr>
        <w:pStyle w:val="Prrafodelista"/>
        <w:numPr>
          <w:ilvl w:val="0"/>
          <w:numId w:val="13"/>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Adopt measures to ensure that all forced evictions carried out by the state in informal settlements comply with international standards for the protection of children.</w:t>
      </w:r>
    </w:p>
    <w:p w:rsidR="001D3255" w:rsidRPr="00E66E04" w:rsidRDefault="001D3255" w:rsidP="00CB7D0F">
      <w:pPr>
        <w:pStyle w:val="Prrafodelista"/>
        <w:numPr>
          <w:ilvl w:val="0"/>
          <w:numId w:val="13"/>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 xml:space="preserve">Improve access to basic services and education in </w:t>
      </w:r>
      <w:r w:rsidR="00B65D97" w:rsidRPr="00E66E04">
        <w:rPr>
          <w:rFonts w:asciiTheme="majorHAnsi" w:hAnsiTheme="majorHAnsi" w:cstheme="majorHAnsi"/>
          <w:b/>
          <w:i/>
          <w:lang w:val="en-US"/>
        </w:rPr>
        <w:t>marginalized</w:t>
      </w:r>
      <w:r w:rsidRPr="00E66E04">
        <w:rPr>
          <w:rFonts w:asciiTheme="majorHAnsi" w:hAnsiTheme="majorHAnsi" w:cstheme="majorHAnsi"/>
          <w:b/>
          <w:i/>
          <w:lang w:val="en-US"/>
        </w:rPr>
        <w:t xml:space="preserve"> areas, </w:t>
      </w:r>
      <w:r w:rsidR="00B65D97" w:rsidRPr="00E66E04">
        <w:rPr>
          <w:rFonts w:asciiTheme="majorHAnsi" w:hAnsiTheme="majorHAnsi" w:cstheme="majorHAnsi"/>
          <w:b/>
          <w:i/>
          <w:lang w:val="en-US"/>
        </w:rPr>
        <w:t>prioritizing</w:t>
      </w:r>
      <w:r w:rsidRPr="00E66E04">
        <w:rPr>
          <w:rFonts w:asciiTheme="majorHAnsi" w:hAnsiTheme="majorHAnsi" w:cstheme="majorHAnsi"/>
          <w:b/>
          <w:i/>
          <w:lang w:val="en-US"/>
        </w:rPr>
        <w:t xml:space="preserve"> public investment in places where children and adolescents are living in precarious conditions.</w:t>
      </w:r>
    </w:p>
    <w:p w:rsidR="001D3255" w:rsidRPr="00E66E04" w:rsidRDefault="001D3255" w:rsidP="00CB7D0F">
      <w:pPr>
        <w:pStyle w:val="Prrafodelista"/>
        <w:numPr>
          <w:ilvl w:val="0"/>
          <w:numId w:val="13"/>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Designate specific policies to combat child food insecurity with an intercultural and territorial approach that addresses the critical situation of migrant children and adolescents, indigenous peoples, and those in highly vulnerable urban and rural contexts.</w:t>
      </w:r>
    </w:p>
    <w:p w:rsidR="001D3255" w:rsidRPr="00E66E04" w:rsidRDefault="001D3255" w:rsidP="00CB7D0F">
      <w:pPr>
        <w:pStyle w:val="Prrafodelista"/>
        <w:numPr>
          <w:ilvl w:val="0"/>
          <w:numId w:val="13"/>
        </w:numPr>
        <w:tabs>
          <w:tab w:val="left" w:pos="426"/>
        </w:tabs>
        <w:spacing w:after="0" w:line="240" w:lineRule="auto"/>
        <w:ind w:left="0" w:firstLine="0"/>
        <w:jc w:val="both"/>
        <w:rPr>
          <w:rFonts w:asciiTheme="majorHAnsi" w:hAnsiTheme="majorHAnsi" w:cstheme="majorHAnsi"/>
          <w:b/>
          <w:lang w:val="en-US"/>
        </w:rPr>
      </w:pPr>
      <w:r w:rsidRPr="00E66E04">
        <w:rPr>
          <w:rFonts w:asciiTheme="majorHAnsi" w:hAnsiTheme="majorHAnsi" w:cstheme="majorHAnsi"/>
          <w:b/>
          <w:i/>
          <w:lang w:val="en-US"/>
        </w:rPr>
        <w:t>Design and implement intersectoral policies that address the structural causes of excessive malnutrition, such as improving the urban environment, ensuring safe access to spaces for physical activity, and reducing the economic vulnerability of families</w:t>
      </w:r>
      <w:r w:rsidRPr="00E66E04">
        <w:rPr>
          <w:rFonts w:asciiTheme="majorHAnsi" w:hAnsiTheme="majorHAnsi" w:cstheme="majorHAnsi"/>
          <w:b/>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1D3255" w:rsidRPr="00E66E04" w:rsidRDefault="00E66E04" w:rsidP="00CB7D0F">
      <w:pPr>
        <w:pStyle w:val="Ttulo1"/>
        <w:tabs>
          <w:tab w:val="left" w:pos="426"/>
        </w:tabs>
        <w:rPr>
          <w:sz w:val="22"/>
          <w:szCs w:val="22"/>
          <w:lang w:val="en-US"/>
        </w:rPr>
      </w:pPr>
      <w:r w:rsidRPr="00E66E04">
        <w:rPr>
          <w:sz w:val="22"/>
          <w:szCs w:val="22"/>
          <w:lang w:val="en-US"/>
        </w:rPr>
        <w:t>RIGHT TO ENJOY THE HIGHEST POSSIBLE LEVEL OF PHYSICAL AND MENTAL HEALTH AND ENVIRONMENTAL HYGIENE, ARTICLE 12.</w:t>
      </w:r>
    </w:p>
    <w:p w:rsidR="001D3255" w:rsidRPr="00E66E04" w:rsidRDefault="001D3255" w:rsidP="00CB7D0F">
      <w:pPr>
        <w:pStyle w:val="Ttulo2"/>
        <w:tabs>
          <w:tab w:val="left" w:pos="426"/>
        </w:tabs>
        <w:rPr>
          <w:i/>
          <w:sz w:val="22"/>
          <w:szCs w:val="22"/>
          <w:lang w:val="en-US"/>
        </w:rPr>
      </w:pPr>
      <w:r w:rsidRPr="00E66E04">
        <w:rPr>
          <w:i/>
          <w:sz w:val="22"/>
          <w:szCs w:val="22"/>
          <w:lang w:val="en-US"/>
        </w:rPr>
        <w:t>Physical and mental health.</w:t>
      </w: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The poor well-being of children and adolescents in Chile is due to the difficulties they face in exercising their rights</w:t>
      </w:r>
      <w:r w:rsidR="00275CE0">
        <w:rPr>
          <w:rFonts w:asciiTheme="majorHAnsi" w:hAnsiTheme="majorHAnsi" w:cstheme="majorHAnsi"/>
          <w:lang w:val="en-US"/>
        </w:rPr>
        <w:t xml:space="preserve"> (52)</w:t>
      </w:r>
      <w:r w:rsidRPr="00E66E04">
        <w:rPr>
          <w:rFonts w:asciiTheme="majorHAnsi" w:hAnsiTheme="majorHAnsi" w:cstheme="majorHAnsi"/>
          <w:lang w:val="en-US"/>
        </w:rPr>
        <w:t>. In 2024, four out of ten adolescents did not receive mental healthcare due to high costs and a lack of prevention measures. A national study reports that one in four adolescents is highly likely to suffer from depressive or anxiety disorders, with a higher prevalence among girls and students in subsidised and public schools. There was also an increase in mental healthcare and cases of suicidal ideation and attempts (53).</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2C1BD2" w:rsidRDefault="00E66E04"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2C1BD2">
        <w:rPr>
          <w:rFonts w:asciiTheme="majorHAnsi" w:hAnsiTheme="majorHAnsi" w:cstheme="majorHAnsi"/>
          <w:lang w:val="en-US"/>
        </w:rPr>
        <w:t>OPC</w:t>
      </w:r>
      <w:r w:rsidR="001D3255" w:rsidRPr="002C1BD2">
        <w:rPr>
          <w:rFonts w:asciiTheme="majorHAnsi" w:hAnsiTheme="majorHAnsi" w:cstheme="majorHAnsi"/>
          <w:lang w:val="en-US"/>
        </w:rPr>
        <w:t>ION conducted a study in the Atacama region (northern zone) in 2024</w:t>
      </w:r>
      <w:r w:rsidR="00275CE0" w:rsidRPr="002C1BD2">
        <w:rPr>
          <w:rFonts w:asciiTheme="majorHAnsi" w:hAnsiTheme="majorHAnsi" w:cstheme="majorHAnsi"/>
          <w:lang w:val="en-US"/>
        </w:rPr>
        <w:t xml:space="preserve"> (46)</w:t>
      </w:r>
      <w:r w:rsidR="001D3255" w:rsidRPr="002C1BD2">
        <w:rPr>
          <w:rFonts w:asciiTheme="majorHAnsi" w:hAnsiTheme="majorHAnsi" w:cstheme="majorHAnsi"/>
          <w:lang w:val="en-US"/>
        </w:rPr>
        <w:t>, involving nearly 500 children, adolescents, and their families, examining state mental healthcare. Participants noted that services were insufficient and of poor quality, linking mental health to recreational activities and social connections</w:t>
      </w:r>
      <w:r w:rsidR="002C1BD2" w:rsidRPr="002C1BD2">
        <w:rPr>
          <w:rFonts w:asciiTheme="majorHAnsi" w:hAnsiTheme="majorHAnsi" w:cstheme="majorHAnsi"/>
          <w:lang w:val="en-US"/>
        </w:rPr>
        <w:t>,</w:t>
      </w:r>
      <w:r w:rsidR="002C1BD2" w:rsidRPr="002C1BD2">
        <w:rPr>
          <w:rFonts w:ascii="inherit" w:eastAsia="Times New Roman" w:hAnsi="inherit" w:cs="Courier New"/>
          <w:color w:val="1F1F1F"/>
          <w:sz w:val="42"/>
          <w:szCs w:val="42"/>
          <w:lang w:val="en"/>
        </w:rPr>
        <w:t xml:space="preserve"> </w:t>
      </w:r>
      <w:r w:rsidR="002C1BD2" w:rsidRPr="002C1BD2">
        <w:rPr>
          <w:rFonts w:asciiTheme="majorHAnsi" w:hAnsiTheme="majorHAnsi" w:cstheme="majorHAnsi"/>
          <w:lang w:val="en"/>
        </w:rPr>
        <w:t>not only with medical services</w:t>
      </w:r>
      <w:r w:rsidR="001D3255" w:rsidRPr="002C1BD2">
        <w:rPr>
          <w:rFonts w:asciiTheme="majorHAnsi" w:hAnsiTheme="majorHAnsi" w:cstheme="majorHAnsi"/>
          <w:lang w:val="en-US"/>
        </w:rPr>
        <w:t>. They also highlighted issues such as high staff turnover, poor treatment and a lack of local specialists, which forced them to travel to other municipalities for care. Caregivers also mentioned long waiting times and a shortage of specialists.</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Mental Health Law No. 21,331 </w:t>
      </w:r>
      <w:r w:rsidR="00275CE0">
        <w:rPr>
          <w:rFonts w:asciiTheme="majorHAnsi" w:hAnsiTheme="majorHAnsi" w:cstheme="majorHAnsi"/>
          <w:lang w:val="en-US"/>
        </w:rPr>
        <w:t xml:space="preserve">(54) </w:t>
      </w:r>
      <w:r w:rsidRPr="00E66E04">
        <w:rPr>
          <w:rFonts w:asciiTheme="majorHAnsi" w:hAnsiTheme="majorHAnsi" w:cstheme="majorHAnsi"/>
          <w:lang w:val="en-US"/>
        </w:rPr>
        <w:t>has been poorly implemented</w:t>
      </w:r>
      <w:r w:rsidR="00275CE0">
        <w:rPr>
          <w:rFonts w:asciiTheme="majorHAnsi" w:hAnsiTheme="majorHAnsi" w:cstheme="majorHAnsi"/>
          <w:lang w:val="en-US"/>
        </w:rPr>
        <w:t xml:space="preserve"> (55)</w:t>
      </w:r>
      <w:r w:rsidRPr="00E66E04">
        <w:rPr>
          <w:rFonts w:asciiTheme="majorHAnsi" w:hAnsiTheme="majorHAnsi" w:cstheme="majorHAnsi"/>
          <w:lang w:val="en-US"/>
        </w:rPr>
        <w:t xml:space="preserve">, focusing mainly on psychiatric disorders and neurodiversities. Bill No. 17,003-11 for a Comprehensive Mental Health Law proposes urgent measures for children and adolescents, including educational inclusion, protection of rights, addressing social determinants and alignment with the National Policy on Children. It is currently in its first constitutional </w:t>
      </w:r>
      <w:r w:rsidR="00275CE0" w:rsidRPr="00E66E04">
        <w:rPr>
          <w:rFonts w:asciiTheme="majorHAnsi" w:hAnsiTheme="majorHAnsi" w:cstheme="majorHAnsi"/>
          <w:lang w:val="en-US"/>
        </w:rPr>
        <w:t>phase</w:t>
      </w:r>
      <w:r w:rsidR="00275CE0">
        <w:rPr>
          <w:rFonts w:asciiTheme="majorHAnsi" w:hAnsiTheme="majorHAnsi" w:cstheme="majorHAnsi"/>
          <w:lang w:val="en-US"/>
        </w:rPr>
        <w:t xml:space="preserve"> (57)</w:t>
      </w:r>
      <w:r w:rsidRPr="00E66E04">
        <w:rPr>
          <w:rFonts w:asciiTheme="majorHAnsi" w:hAnsiTheme="majorHAnsi" w:cstheme="majorHAnsi"/>
          <w:lang w:val="en-US"/>
        </w:rPr>
        <w:t>.</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1D3255"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The 2018 National Drug Study reported that 17,183 children and adolescents had a problematic relationship with substances. Of these, 11,381 received treatment in state programmes such as the Comprehensive Treatment Programme (Law 20,084), which provides guaranteed </w:t>
      </w:r>
      <w:r w:rsidR="00B65D97" w:rsidRPr="00E66E04">
        <w:rPr>
          <w:rFonts w:asciiTheme="majorHAnsi" w:hAnsiTheme="majorHAnsi" w:cstheme="majorHAnsi"/>
          <w:lang w:val="en-US"/>
        </w:rPr>
        <w:t>hospitalization</w:t>
      </w:r>
      <w:r w:rsidRPr="00E66E04">
        <w:rPr>
          <w:rFonts w:asciiTheme="majorHAnsi" w:hAnsiTheme="majorHAnsi" w:cstheme="majorHAnsi"/>
          <w:lang w:val="en-US"/>
        </w:rPr>
        <w:t xml:space="preserve"> in psychiatric units for children and adolescents who have committed legal offences, and the General Programme for Children and Adolescents with Substance Abuse Problems and the AUGE Programme. These outdated data underpin the National Drug Policy until 2030, and there are currently no programmes that prioritise access for children and adolescents in rights protection programmes. Information on these treatment programmes is not readily available to the public (61) (62). There is no publicly accessible information indicating which public hospitals have psychiatric units and </w:t>
      </w:r>
      <w:r w:rsidR="00B65D97" w:rsidRPr="00E66E04">
        <w:rPr>
          <w:rFonts w:asciiTheme="majorHAnsi" w:hAnsiTheme="majorHAnsi" w:cstheme="majorHAnsi"/>
          <w:lang w:val="en-US"/>
        </w:rPr>
        <w:t>hospitalization</w:t>
      </w:r>
      <w:r w:rsidRPr="00E66E04">
        <w:rPr>
          <w:rFonts w:asciiTheme="majorHAnsi" w:hAnsiTheme="majorHAnsi" w:cstheme="majorHAnsi"/>
          <w:lang w:val="en-US"/>
        </w:rPr>
        <w:t xml:space="preserve"> services for children and adolescents, hindering their effective access to mental healthcare.</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1D3255" w:rsidRPr="00E66E04" w:rsidRDefault="00467632"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Five years after the 2019 social crisis, the National Human Rights Institute reported 603 children and adolescents as victims of violations. Although the PACTO programme for people with eye trauma was implemented, it is unclear whether it has been evaluated. The total lack of public information about its </w:t>
      </w:r>
      <w:r w:rsidR="002C1BD2" w:rsidRPr="00E66E04">
        <w:rPr>
          <w:rFonts w:asciiTheme="majorHAnsi" w:hAnsiTheme="majorHAnsi" w:cstheme="majorHAnsi"/>
          <w:lang w:val="en-US"/>
        </w:rPr>
        <w:t>implementation,</w:t>
      </w:r>
      <w:r w:rsidR="002C1BD2">
        <w:rPr>
          <w:rFonts w:asciiTheme="majorHAnsi" w:hAnsiTheme="majorHAnsi" w:cstheme="majorHAnsi"/>
          <w:lang w:val="en-US"/>
        </w:rPr>
        <w:t xml:space="preserve"> especially with children and adolescents, </w:t>
      </w:r>
      <w:r w:rsidRPr="00E66E04">
        <w:rPr>
          <w:rFonts w:asciiTheme="majorHAnsi" w:hAnsiTheme="majorHAnsi" w:cstheme="majorHAnsi"/>
          <w:lang w:val="en-US"/>
        </w:rPr>
        <w:t>is concerning. Informal reports of suicides linked to these events highlight the urgent need to establish follow-up and support mechanisms for affected children, adolescents, and their families (63).</w:t>
      </w:r>
    </w:p>
    <w:p w:rsidR="00467632" w:rsidRPr="00E66E04" w:rsidRDefault="00467632" w:rsidP="00CB7D0F">
      <w:pPr>
        <w:tabs>
          <w:tab w:val="left" w:pos="426"/>
        </w:tabs>
        <w:spacing w:after="0" w:line="240" w:lineRule="auto"/>
        <w:jc w:val="both"/>
        <w:rPr>
          <w:rFonts w:asciiTheme="majorHAnsi" w:hAnsiTheme="majorHAnsi" w:cstheme="majorHAnsi"/>
          <w:lang w:val="en-US"/>
        </w:rPr>
      </w:pPr>
    </w:p>
    <w:p w:rsidR="00467632" w:rsidRPr="00E66E04" w:rsidRDefault="00467632"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Recommendations to the State of Chile:</w:t>
      </w:r>
    </w:p>
    <w:p w:rsidR="00467632" w:rsidRPr="00E66E04" w:rsidRDefault="00467632" w:rsidP="00CB7D0F">
      <w:pPr>
        <w:pStyle w:val="Prrafodelista"/>
        <w:numPr>
          <w:ilvl w:val="0"/>
          <w:numId w:val="15"/>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Accelerate the processing and implementation of a comprehensive mental health law that focuses on children's rights.</w:t>
      </w:r>
    </w:p>
    <w:p w:rsidR="00467632" w:rsidRPr="00E66E04" w:rsidRDefault="00467632" w:rsidP="00CB7D0F">
      <w:pPr>
        <w:pStyle w:val="Prrafodelista"/>
        <w:numPr>
          <w:ilvl w:val="0"/>
          <w:numId w:val="15"/>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Ensure that children and adolescents receive timely and high-quality mental healthcare, with a preventive and territorial approach.</w:t>
      </w:r>
    </w:p>
    <w:p w:rsidR="00467632" w:rsidRPr="00E66E04" w:rsidRDefault="00467632" w:rsidP="00CB7D0F">
      <w:pPr>
        <w:pStyle w:val="Prrafodelista"/>
        <w:numPr>
          <w:ilvl w:val="0"/>
          <w:numId w:val="15"/>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 xml:space="preserve">Increase the number of professionals </w:t>
      </w:r>
      <w:r w:rsidR="00B65D97" w:rsidRPr="00E66E04">
        <w:rPr>
          <w:rFonts w:asciiTheme="majorHAnsi" w:hAnsiTheme="majorHAnsi" w:cstheme="majorHAnsi"/>
          <w:b/>
          <w:i/>
          <w:lang w:val="en-US"/>
        </w:rPr>
        <w:t>specializing</w:t>
      </w:r>
      <w:r w:rsidRPr="00E66E04">
        <w:rPr>
          <w:rFonts w:asciiTheme="majorHAnsi" w:hAnsiTheme="majorHAnsi" w:cstheme="majorHAnsi"/>
          <w:b/>
          <w:i/>
          <w:lang w:val="en-US"/>
        </w:rPr>
        <w:t xml:space="preserve"> in child mental health and ensure their presence in all regions.</w:t>
      </w:r>
    </w:p>
    <w:p w:rsidR="00467632" w:rsidRPr="00E66E04" w:rsidRDefault="00467632" w:rsidP="00CB7D0F">
      <w:pPr>
        <w:pStyle w:val="Prrafodelista"/>
        <w:numPr>
          <w:ilvl w:val="0"/>
          <w:numId w:val="15"/>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 xml:space="preserve">Strengthen drug prevention programmes in schools and health </w:t>
      </w:r>
      <w:r w:rsidR="00B65D97" w:rsidRPr="00E66E04">
        <w:rPr>
          <w:rFonts w:asciiTheme="majorHAnsi" w:hAnsiTheme="majorHAnsi" w:cstheme="majorHAnsi"/>
          <w:b/>
          <w:i/>
          <w:lang w:val="en-US"/>
        </w:rPr>
        <w:t>centers</w:t>
      </w:r>
      <w:r w:rsidRPr="00E66E04">
        <w:rPr>
          <w:rFonts w:asciiTheme="majorHAnsi" w:hAnsiTheme="majorHAnsi" w:cstheme="majorHAnsi"/>
          <w:b/>
          <w:i/>
          <w:lang w:val="en-US"/>
        </w:rPr>
        <w:t xml:space="preserve"> with a gender-based approach.</w:t>
      </w:r>
    </w:p>
    <w:p w:rsidR="00467632" w:rsidRPr="00E66E04" w:rsidRDefault="00467632" w:rsidP="00CB7D0F">
      <w:pPr>
        <w:pStyle w:val="Prrafodelista"/>
        <w:numPr>
          <w:ilvl w:val="0"/>
          <w:numId w:val="15"/>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Prioritise access to drug treatment for children and adolescents in outpatient and residential programmes to protect their rights.</w:t>
      </w:r>
    </w:p>
    <w:p w:rsidR="00467632" w:rsidRPr="00E66E04" w:rsidRDefault="00467632" w:rsidP="00CB7D0F">
      <w:pPr>
        <w:pStyle w:val="Prrafodelista"/>
        <w:numPr>
          <w:ilvl w:val="0"/>
          <w:numId w:val="15"/>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Create updated databases including age, gender, socioeconomic status and geographic location to support integrated public mental health policy.</w:t>
      </w:r>
    </w:p>
    <w:p w:rsidR="00467632" w:rsidRPr="00E66E04" w:rsidRDefault="00467632" w:rsidP="00CB7D0F">
      <w:pPr>
        <w:pStyle w:val="Prrafodelista"/>
        <w:numPr>
          <w:ilvl w:val="0"/>
          <w:numId w:val="15"/>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Establish accessible communication channels for the population to provide information on available programmes, access methods, and contacts to facilitate timely access to healthcare.</w:t>
      </w:r>
    </w:p>
    <w:p w:rsidR="001D3255" w:rsidRPr="00E66E04" w:rsidRDefault="00467632" w:rsidP="00CB7D0F">
      <w:pPr>
        <w:pStyle w:val="Prrafodelista"/>
        <w:numPr>
          <w:ilvl w:val="0"/>
          <w:numId w:val="15"/>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b/>
          <w:i/>
          <w:lang w:val="en-US"/>
        </w:rPr>
        <w:t xml:space="preserve">Ensure public access to information about the PACTO Programme, including its objectives, coverage, budget, intervention criteria and evaluation of results, to guarantee transparency and citizen oversight of its implementation and to enable </w:t>
      </w:r>
      <w:r w:rsidR="00B65D97" w:rsidRPr="00E66E04">
        <w:rPr>
          <w:rFonts w:asciiTheme="majorHAnsi" w:hAnsiTheme="majorHAnsi" w:cstheme="majorHAnsi"/>
          <w:b/>
          <w:i/>
          <w:lang w:val="en-US"/>
        </w:rPr>
        <w:t>specialized</w:t>
      </w:r>
      <w:r w:rsidRPr="00E66E04">
        <w:rPr>
          <w:rFonts w:asciiTheme="majorHAnsi" w:hAnsiTheme="majorHAnsi" w:cstheme="majorHAnsi"/>
          <w:b/>
          <w:i/>
          <w:lang w:val="en-US"/>
        </w:rPr>
        <w:t xml:space="preserve"> support for children and/or adolescents who are victims of eye trauma and their families</w:t>
      </w:r>
      <w:r w:rsidRPr="00E66E04">
        <w:rPr>
          <w:rFonts w:asciiTheme="majorHAnsi" w:hAnsiTheme="majorHAnsi" w:cstheme="majorHAnsi"/>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467632" w:rsidRPr="00E66E04" w:rsidRDefault="00467632" w:rsidP="00CB7D0F">
      <w:pPr>
        <w:pStyle w:val="Ttulo2"/>
        <w:tabs>
          <w:tab w:val="left" w:pos="426"/>
        </w:tabs>
        <w:rPr>
          <w:i/>
          <w:sz w:val="22"/>
          <w:szCs w:val="22"/>
          <w:lang w:val="en-US"/>
        </w:rPr>
      </w:pPr>
      <w:r w:rsidRPr="00E66E04">
        <w:rPr>
          <w:i/>
          <w:sz w:val="22"/>
          <w:szCs w:val="22"/>
          <w:lang w:val="en-US"/>
        </w:rPr>
        <w:t>Environmental hygiene.</w:t>
      </w:r>
    </w:p>
    <w:p w:rsidR="00467632" w:rsidRPr="00E66E04" w:rsidRDefault="00467632"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In Chile, one in ten children and adolescents live in neighbourhoods </w:t>
      </w:r>
      <w:r w:rsidR="00B65D97" w:rsidRPr="00E66E04">
        <w:rPr>
          <w:rFonts w:asciiTheme="majorHAnsi" w:hAnsiTheme="majorHAnsi" w:cstheme="majorHAnsi"/>
          <w:lang w:val="en-US"/>
        </w:rPr>
        <w:t>characterized</w:t>
      </w:r>
      <w:r w:rsidRPr="00E66E04">
        <w:rPr>
          <w:rFonts w:asciiTheme="majorHAnsi" w:hAnsiTheme="majorHAnsi" w:cstheme="majorHAnsi"/>
          <w:lang w:val="en-US"/>
        </w:rPr>
        <w:t xml:space="preserve"> by accumulated garbage, noise pollution, a lack of green spaces and high levels of violence. 23% live in areas with high levels of waste accumulation, primarily in the Tarapacá Region (34%), the Arica and Parinacota Region (31%), and the Metropolitan Region (30%). 26% face environments with high noise pollution. In the lowest income decile, 51% of neighbourhoods experience critical levels of violence, 26% have high levels of garbage accumulation, 25% have high levels of noise pollution and 19% lack green spaces. In the highest income decile, these percentages drop to 27%, 14%, 24% and 4% respectively, reflecting socioeconomic inequality</w:t>
      </w:r>
      <w:r w:rsidR="00275CE0">
        <w:rPr>
          <w:rFonts w:asciiTheme="majorHAnsi" w:hAnsiTheme="majorHAnsi" w:cstheme="majorHAnsi"/>
          <w:lang w:val="en-US"/>
        </w:rPr>
        <w:t xml:space="preserve"> (29)</w:t>
      </w:r>
      <w:r w:rsidRPr="00E66E04">
        <w:rPr>
          <w:rFonts w:asciiTheme="majorHAnsi" w:hAnsiTheme="majorHAnsi" w:cstheme="majorHAnsi"/>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467632" w:rsidRPr="00E66E04" w:rsidRDefault="00467632" w:rsidP="00CB7D0F">
      <w:pPr>
        <w:tabs>
          <w:tab w:val="left" w:pos="426"/>
        </w:tabs>
        <w:spacing w:after="0" w:line="240" w:lineRule="auto"/>
        <w:jc w:val="both"/>
        <w:rPr>
          <w:rFonts w:asciiTheme="majorHAnsi" w:hAnsiTheme="majorHAnsi" w:cstheme="majorHAnsi"/>
          <w:b/>
          <w:lang w:val="en-US"/>
        </w:rPr>
      </w:pPr>
      <w:r w:rsidRPr="00E66E04">
        <w:rPr>
          <w:rFonts w:asciiTheme="majorHAnsi" w:hAnsiTheme="majorHAnsi" w:cstheme="majorHAnsi"/>
          <w:b/>
          <w:lang w:val="en-US"/>
        </w:rPr>
        <w:t>Recommendation to the State of Chile:</w:t>
      </w:r>
    </w:p>
    <w:p w:rsidR="00467632" w:rsidRPr="00E66E04" w:rsidRDefault="00467632" w:rsidP="00CB7D0F">
      <w:pPr>
        <w:pStyle w:val="Prrafodelista"/>
        <w:numPr>
          <w:ilvl w:val="0"/>
          <w:numId w:val="16"/>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b/>
          <w:i/>
          <w:lang w:val="en-US"/>
        </w:rPr>
        <w:t>Guarantee the right of children and adolescents to a clean and safe environment by reducing the socioeconomic gap and improving neighbourhoods with high pollution, waste accumulation and a lack of green spaces</w:t>
      </w:r>
      <w:r w:rsidRPr="00E66E04">
        <w:rPr>
          <w:rFonts w:asciiTheme="majorHAnsi" w:hAnsiTheme="majorHAnsi" w:cstheme="majorHAnsi"/>
          <w:lang w:val="en-US"/>
        </w:rPr>
        <w:t>.</w:t>
      </w:r>
    </w:p>
    <w:p w:rsidR="00E930DD" w:rsidRPr="00E66E04" w:rsidRDefault="00E930DD" w:rsidP="00CB7D0F">
      <w:pPr>
        <w:tabs>
          <w:tab w:val="left" w:pos="426"/>
        </w:tabs>
        <w:spacing w:after="0" w:line="240" w:lineRule="auto"/>
        <w:jc w:val="both"/>
        <w:rPr>
          <w:rFonts w:asciiTheme="majorHAnsi" w:hAnsiTheme="majorHAnsi" w:cstheme="majorHAnsi"/>
          <w:lang w:val="en-US"/>
        </w:rPr>
      </w:pPr>
    </w:p>
    <w:p w:rsidR="00467632" w:rsidRPr="00E66E04" w:rsidRDefault="00E66E04" w:rsidP="00CB7D0F">
      <w:pPr>
        <w:pStyle w:val="Ttulo1"/>
        <w:tabs>
          <w:tab w:val="left" w:pos="426"/>
        </w:tabs>
        <w:rPr>
          <w:sz w:val="22"/>
          <w:szCs w:val="22"/>
          <w:lang w:val="en-US"/>
        </w:rPr>
      </w:pPr>
      <w:r w:rsidRPr="00E66E04">
        <w:rPr>
          <w:sz w:val="22"/>
          <w:szCs w:val="22"/>
          <w:lang w:val="en-US"/>
        </w:rPr>
        <w:t xml:space="preserve">RIGHT TO EDUCATION, ARTICLE </w:t>
      </w:r>
      <w:r w:rsidRPr="00E66E04">
        <w:rPr>
          <w:sz w:val="22"/>
          <w:szCs w:val="22"/>
        </w:rPr>
        <w:t>13</w:t>
      </w:r>
      <w:r w:rsidRPr="00E66E04">
        <w:rPr>
          <w:sz w:val="22"/>
          <w:szCs w:val="22"/>
          <w:lang w:val="en-US"/>
        </w:rPr>
        <w:t>.</w:t>
      </w:r>
    </w:p>
    <w:p w:rsidR="00E66E04" w:rsidRPr="00E66E04" w:rsidRDefault="00467632"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 xml:space="preserve">Law No. 21,675 on gender-based violence </w:t>
      </w:r>
      <w:r w:rsidR="00B65D97" w:rsidRPr="00E66E04">
        <w:rPr>
          <w:rFonts w:asciiTheme="majorHAnsi" w:hAnsiTheme="majorHAnsi" w:cstheme="majorHAnsi"/>
          <w:lang w:val="en-US"/>
        </w:rPr>
        <w:t>recognizes</w:t>
      </w:r>
      <w:r w:rsidRPr="00E66E04">
        <w:rPr>
          <w:rFonts w:asciiTheme="majorHAnsi" w:hAnsiTheme="majorHAnsi" w:cstheme="majorHAnsi"/>
          <w:lang w:val="en-US"/>
        </w:rPr>
        <w:t xml:space="preserve"> girls and adolescents as victims and establishes care, protection and redress measures, including those relating to education. The law also requires schools to promote non-sexist and egalitarian education, but this has not yet been fully implemented. Chile lacks a </w:t>
      </w:r>
      <w:r w:rsidRPr="00E66E04">
        <w:rPr>
          <w:rFonts w:asciiTheme="majorHAnsi" w:hAnsiTheme="majorHAnsi" w:cstheme="majorHAnsi"/>
          <w:lang w:val="en-US"/>
        </w:rPr>
        <w:lastRenderedPageBreak/>
        <w:t xml:space="preserve">comprehensive sex education law. Law No. 20,418 </w:t>
      </w:r>
      <w:r w:rsidR="00275CE0">
        <w:rPr>
          <w:rFonts w:asciiTheme="majorHAnsi" w:hAnsiTheme="majorHAnsi" w:cstheme="majorHAnsi"/>
          <w:lang w:val="en-US"/>
        </w:rPr>
        <w:t>(58)</w:t>
      </w:r>
      <w:r w:rsidR="00134CE4">
        <w:rPr>
          <w:rFonts w:asciiTheme="majorHAnsi" w:hAnsiTheme="majorHAnsi" w:cstheme="majorHAnsi"/>
          <w:lang w:val="en-US"/>
        </w:rPr>
        <w:t xml:space="preserve"> </w:t>
      </w:r>
      <w:r w:rsidRPr="00E66E04">
        <w:rPr>
          <w:rFonts w:asciiTheme="majorHAnsi" w:hAnsiTheme="majorHAnsi" w:cstheme="majorHAnsi"/>
          <w:lang w:val="en-US"/>
        </w:rPr>
        <w:t xml:space="preserve">only requires sex education to be taught in secondary school, and then only from a health perspective. There are ongoing attempts to restrict children and adolescents' access to compulsory sex education, </w:t>
      </w:r>
      <w:r w:rsidR="00B65D97" w:rsidRPr="00E66E04">
        <w:rPr>
          <w:rFonts w:asciiTheme="majorHAnsi" w:hAnsiTheme="majorHAnsi" w:cstheme="majorHAnsi"/>
          <w:lang w:val="en-US"/>
        </w:rPr>
        <w:t>prioritizing</w:t>
      </w:r>
      <w:r w:rsidRPr="00E66E04">
        <w:rPr>
          <w:rFonts w:asciiTheme="majorHAnsi" w:hAnsiTheme="majorHAnsi" w:cstheme="majorHAnsi"/>
          <w:lang w:val="en-US"/>
        </w:rPr>
        <w:t xml:space="preserve"> the preferential right of parents. However, the Constitutional Court has </w:t>
      </w:r>
      <w:r w:rsidR="00B65D97" w:rsidRPr="00E66E04">
        <w:rPr>
          <w:rFonts w:asciiTheme="majorHAnsi" w:hAnsiTheme="majorHAnsi" w:cstheme="majorHAnsi"/>
          <w:lang w:val="en-US"/>
        </w:rPr>
        <w:t>recognized</w:t>
      </w:r>
      <w:r w:rsidRPr="00E66E04">
        <w:rPr>
          <w:rFonts w:asciiTheme="majorHAnsi" w:hAnsiTheme="majorHAnsi" w:cstheme="majorHAnsi"/>
          <w:lang w:val="en-US"/>
        </w:rPr>
        <w:t xml:space="preserve"> that non-sexist education </w:t>
      </w:r>
      <w:r w:rsidR="00974ED2">
        <w:rPr>
          <w:rFonts w:asciiTheme="majorHAnsi" w:hAnsiTheme="majorHAnsi" w:cstheme="majorHAnsi"/>
          <w:lang w:val="en-US"/>
        </w:rPr>
        <w:t>is a</w:t>
      </w:r>
      <w:r w:rsidRPr="00E66E04">
        <w:rPr>
          <w:rFonts w:asciiTheme="majorHAnsi" w:hAnsiTheme="majorHAnsi" w:cstheme="majorHAnsi"/>
          <w:lang w:val="en-US"/>
        </w:rPr>
        <w:t xml:space="preserve"> part of the right to education</w:t>
      </w:r>
      <w:r w:rsidR="00275CE0">
        <w:rPr>
          <w:rFonts w:asciiTheme="majorHAnsi" w:hAnsiTheme="majorHAnsi" w:cstheme="majorHAnsi"/>
          <w:lang w:val="en-US"/>
        </w:rPr>
        <w:t xml:space="preserve"> (59)</w:t>
      </w:r>
      <w:r w:rsidRPr="00E66E04">
        <w:rPr>
          <w:rFonts w:asciiTheme="majorHAnsi" w:hAnsiTheme="majorHAnsi" w:cstheme="majorHAnsi"/>
          <w:lang w:val="en-US"/>
        </w:rPr>
        <w:t>, in accordance with Law No. 21,675.</w:t>
      </w:r>
    </w:p>
    <w:p w:rsidR="00E66E04" w:rsidRPr="00E66E04" w:rsidRDefault="00E66E04" w:rsidP="00CB7D0F">
      <w:pPr>
        <w:pStyle w:val="Prrafodelista"/>
        <w:tabs>
          <w:tab w:val="left" w:pos="426"/>
        </w:tabs>
        <w:spacing w:after="0" w:line="240" w:lineRule="auto"/>
        <w:ind w:left="0"/>
        <w:jc w:val="both"/>
        <w:rPr>
          <w:rFonts w:asciiTheme="majorHAnsi" w:hAnsiTheme="majorHAnsi" w:cstheme="majorHAnsi"/>
          <w:lang w:val="en-US"/>
        </w:rPr>
      </w:pPr>
    </w:p>
    <w:p w:rsidR="00E66E04" w:rsidRPr="00E66E04" w:rsidRDefault="00467632"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lang w:val="en-US"/>
        </w:rPr>
        <w:t>In 2022, reports of violence among students reached their highest level since 2018</w:t>
      </w:r>
      <w:r w:rsidR="00275CE0">
        <w:rPr>
          <w:rFonts w:asciiTheme="majorHAnsi" w:hAnsiTheme="majorHAnsi" w:cstheme="majorHAnsi"/>
          <w:lang w:val="en-US"/>
        </w:rPr>
        <w:t xml:space="preserve"> (58)</w:t>
      </w:r>
      <w:r w:rsidRPr="00E66E04">
        <w:rPr>
          <w:rFonts w:asciiTheme="majorHAnsi" w:hAnsiTheme="majorHAnsi" w:cstheme="majorHAnsi"/>
          <w:lang w:val="en-US"/>
        </w:rPr>
        <w:t xml:space="preserve">. Law No. 21,128, also known as the 'Safe Classroom' law, which allows for suspensions and expulsions, has been questioned </w:t>
      </w:r>
      <w:r w:rsidR="00275CE0">
        <w:rPr>
          <w:rFonts w:asciiTheme="majorHAnsi" w:hAnsiTheme="majorHAnsi" w:cstheme="majorHAnsi"/>
          <w:lang w:val="en-US"/>
        </w:rPr>
        <w:t xml:space="preserve">(60) </w:t>
      </w:r>
      <w:r w:rsidRPr="00E66E04">
        <w:rPr>
          <w:rFonts w:asciiTheme="majorHAnsi" w:hAnsiTheme="majorHAnsi" w:cstheme="majorHAnsi"/>
          <w:lang w:val="en-US"/>
        </w:rPr>
        <w:t>for possible violations of children's rights, including the right to education, participation and due process.</w:t>
      </w:r>
    </w:p>
    <w:p w:rsidR="00E66E04" w:rsidRPr="00E66E04" w:rsidRDefault="00E66E04" w:rsidP="00CB7D0F">
      <w:pPr>
        <w:pStyle w:val="Prrafodelista"/>
        <w:tabs>
          <w:tab w:val="left" w:pos="426"/>
        </w:tabs>
        <w:ind w:left="0"/>
        <w:rPr>
          <w:rFonts w:asciiTheme="majorHAnsi" w:hAnsiTheme="majorHAnsi" w:cstheme="majorHAnsi"/>
          <w:lang w:val="en-US"/>
        </w:rPr>
      </w:pPr>
    </w:p>
    <w:p w:rsidR="00E930DD" w:rsidRPr="00CB7D0F" w:rsidRDefault="00CB7D0F" w:rsidP="00CB7D0F">
      <w:pPr>
        <w:pStyle w:val="Prrafodelista"/>
        <w:numPr>
          <w:ilvl w:val="0"/>
          <w:numId w:val="19"/>
        </w:numPr>
        <w:tabs>
          <w:tab w:val="left" w:pos="426"/>
        </w:tabs>
        <w:spacing w:after="0" w:line="240" w:lineRule="auto"/>
        <w:ind w:left="0" w:firstLine="0"/>
        <w:jc w:val="both"/>
        <w:rPr>
          <w:rFonts w:asciiTheme="majorHAnsi" w:hAnsiTheme="majorHAnsi" w:cstheme="majorHAnsi"/>
          <w:lang w:val="en-US"/>
        </w:rPr>
      </w:pPr>
      <w:r w:rsidRPr="00CB7D0F">
        <w:rPr>
          <w:rFonts w:asciiTheme="majorHAnsi" w:hAnsiTheme="majorHAnsi" w:cstheme="majorHAnsi"/>
          <w:lang w:val="en-US"/>
        </w:rPr>
        <w:t>Although Law No. 21,040 of 2017 was created to improve public education by establishing Local Public Education Services, many schools still operate in precarious conditions and do not yet meet the quality standards set out in Law No. 20,370 (30). This violates the right to education of children and adolescents (59).</w:t>
      </w:r>
    </w:p>
    <w:p w:rsidR="00CB7D0F" w:rsidRPr="00CB7D0F" w:rsidRDefault="00CB7D0F" w:rsidP="00CB7D0F">
      <w:pPr>
        <w:tabs>
          <w:tab w:val="left" w:pos="426"/>
        </w:tabs>
        <w:spacing w:after="0" w:line="240" w:lineRule="auto"/>
        <w:jc w:val="both"/>
        <w:rPr>
          <w:rFonts w:asciiTheme="majorHAnsi" w:hAnsiTheme="majorHAnsi" w:cstheme="majorHAnsi"/>
          <w:lang w:val="en-US"/>
        </w:rPr>
      </w:pPr>
    </w:p>
    <w:p w:rsidR="00467632" w:rsidRPr="00E66E04" w:rsidRDefault="00467632" w:rsidP="00CB7D0F">
      <w:pPr>
        <w:tabs>
          <w:tab w:val="left" w:pos="426"/>
        </w:tabs>
        <w:spacing w:after="0" w:line="240" w:lineRule="auto"/>
        <w:jc w:val="both"/>
        <w:rPr>
          <w:rFonts w:asciiTheme="majorHAnsi" w:hAnsiTheme="majorHAnsi" w:cstheme="majorHAnsi"/>
          <w:b/>
          <w:i/>
          <w:lang w:val="en-US"/>
        </w:rPr>
      </w:pPr>
      <w:r w:rsidRPr="00E66E04">
        <w:rPr>
          <w:rFonts w:asciiTheme="majorHAnsi" w:hAnsiTheme="majorHAnsi" w:cstheme="majorHAnsi"/>
          <w:b/>
          <w:lang w:val="en-US"/>
        </w:rPr>
        <w:t>Recommendations to the State of Chile</w:t>
      </w:r>
      <w:r w:rsidRPr="00E66E04">
        <w:rPr>
          <w:rFonts w:asciiTheme="majorHAnsi" w:hAnsiTheme="majorHAnsi" w:cstheme="majorHAnsi"/>
          <w:b/>
          <w:i/>
          <w:lang w:val="en-US"/>
        </w:rPr>
        <w:t>:</w:t>
      </w:r>
    </w:p>
    <w:p w:rsidR="00467632" w:rsidRPr="00E66E04" w:rsidRDefault="00467632" w:rsidP="00CB7D0F">
      <w:pPr>
        <w:pStyle w:val="Prrafodelista"/>
        <w:numPr>
          <w:ilvl w:val="0"/>
          <w:numId w:val="16"/>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Urgently implement a comprehensive sex education law that guarantees a non-sexist, inclusive and rights-based approach at all stages of education, moving beyond the current limited health model.</w:t>
      </w:r>
    </w:p>
    <w:p w:rsidR="00467632" w:rsidRPr="00E66E04" w:rsidRDefault="00467632" w:rsidP="00CB7D0F">
      <w:pPr>
        <w:pStyle w:val="Prrafodelista"/>
        <w:numPr>
          <w:ilvl w:val="0"/>
          <w:numId w:val="16"/>
        </w:numPr>
        <w:tabs>
          <w:tab w:val="left" w:pos="426"/>
        </w:tabs>
        <w:spacing w:after="0" w:line="240" w:lineRule="auto"/>
        <w:ind w:left="0" w:firstLine="0"/>
        <w:jc w:val="both"/>
        <w:rPr>
          <w:rFonts w:asciiTheme="majorHAnsi" w:hAnsiTheme="majorHAnsi" w:cstheme="majorHAnsi"/>
          <w:b/>
          <w:i/>
          <w:lang w:val="en-US"/>
        </w:rPr>
      </w:pPr>
      <w:r w:rsidRPr="00E66E04">
        <w:rPr>
          <w:rFonts w:asciiTheme="majorHAnsi" w:hAnsiTheme="majorHAnsi" w:cstheme="majorHAnsi"/>
          <w:b/>
          <w:i/>
          <w:lang w:val="en-US"/>
        </w:rPr>
        <w:t>Amend the 'Safe Classroom' Law to ensure that disciplinary measures fully respect the rights to education, participation and due process of children and adolescents.</w:t>
      </w:r>
    </w:p>
    <w:p w:rsidR="003B7427" w:rsidRPr="00E66E04" w:rsidRDefault="00467632" w:rsidP="00CB7D0F">
      <w:pPr>
        <w:pStyle w:val="Prrafodelista"/>
        <w:numPr>
          <w:ilvl w:val="0"/>
          <w:numId w:val="16"/>
        </w:numPr>
        <w:tabs>
          <w:tab w:val="left" w:pos="426"/>
        </w:tabs>
        <w:spacing w:after="0" w:line="240" w:lineRule="auto"/>
        <w:ind w:left="0" w:firstLine="0"/>
        <w:jc w:val="both"/>
        <w:rPr>
          <w:rFonts w:asciiTheme="majorHAnsi" w:hAnsiTheme="majorHAnsi" w:cstheme="majorHAnsi"/>
          <w:lang w:val="en-US"/>
        </w:rPr>
      </w:pPr>
      <w:r w:rsidRPr="00E66E04">
        <w:rPr>
          <w:rFonts w:asciiTheme="majorHAnsi" w:hAnsiTheme="majorHAnsi" w:cstheme="majorHAnsi"/>
          <w:b/>
          <w:i/>
          <w:lang w:val="en-US"/>
        </w:rPr>
        <w:t>Provide the necessary resources to ensure the right to a quality education for all students, especially those in Local Public Education Services</w:t>
      </w:r>
      <w:r w:rsidRPr="00E66E04">
        <w:rPr>
          <w:rFonts w:asciiTheme="majorHAnsi" w:hAnsiTheme="majorHAnsi" w:cstheme="majorHAnsi"/>
          <w:lang w:val="en-US"/>
        </w:rPr>
        <w:t>.</w:t>
      </w:r>
    </w:p>
    <w:p w:rsidR="003B7427" w:rsidRDefault="003B7427" w:rsidP="00CB7D0F">
      <w:pPr>
        <w:tabs>
          <w:tab w:val="left" w:pos="426"/>
        </w:tabs>
        <w:spacing w:after="0" w:line="240" w:lineRule="auto"/>
        <w:jc w:val="both"/>
        <w:rPr>
          <w:rFonts w:asciiTheme="majorHAnsi" w:hAnsiTheme="majorHAnsi" w:cstheme="majorHAnsi"/>
          <w:lang w:val="en-US"/>
        </w:rPr>
      </w:pPr>
    </w:p>
    <w:p w:rsidR="00DC4564" w:rsidRDefault="00DC4564" w:rsidP="00CB7D0F">
      <w:pPr>
        <w:tabs>
          <w:tab w:val="left" w:pos="426"/>
        </w:tabs>
        <w:spacing w:after="0" w:line="240" w:lineRule="auto"/>
        <w:jc w:val="both"/>
        <w:rPr>
          <w:rFonts w:asciiTheme="majorHAnsi" w:hAnsiTheme="majorHAnsi" w:cstheme="majorHAnsi"/>
          <w:lang w:val="en-US"/>
        </w:rPr>
      </w:pPr>
    </w:p>
    <w:p w:rsidR="00DC4564" w:rsidRDefault="00DC4564" w:rsidP="00CB7D0F">
      <w:pPr>
        <w:tabs>
          <w:tab w:val="left" w:pos="426"/>
        </w:tabs>
        <w:spacing w:after="0" w:line="240" w:lineRule="auto"/>
        <w:jc w:val="both"/>
        <w:rPr>
          <w:rFonts w:asciiTheme="majorHAnsi" w:hAnsiTheme="majorHAnsi" w:cstheme="majorHAnsi"/>
          <w:lang w:val="en-US"/>
        </w:rPr>
      </w:pPr>
    </w:p>
    <w:p w:rsidR="00DC4564" w:rsidRDefault="00DC4564" w:rsidP="00CB7D0F">
      <w:pPr>
        <w:tabs>
          <w:tab w:val="left" w:pos="426"/>
        </w:tabs>
        <w:spacing w:after="0" w:line="240" w:lineRule="auto"/>
        <w:jc w:val="both"/>
        <w:rPr>
          <w:rFonts w:asciiTheme="majorHAnsi" w:hAnsiTheme="majorHAnsi" w:cstheme="majorHAnsi"/>
          <w:lang w:val="en-US"/>
        </w:rPr>
        <w:sectPr w:rsidR="00DC4564" w:rsidSect="00B65D97">
          <w:headerReference w:type="default" r:id="rId10"/>
          <w:footerReference w:type="default" r:id="rId11"/>
          <w:pgSz w:w="12240" w:h="15840"/>
          <w:pgMar w:top="1417" w:right="1467" w:bottom="1417" w:left="1276" w:header="708" w:footer="708" w:gutter="0"/>
          <w:pgNumType w:start="0"/>
          <w:cols w:space="708"/>
          <w:titlePg/>
          <w:docGrid w:linePitch="360"/>
        </w:sectPr>
      </w:pPr>
    </w:p>
    <w:p w:rsidR="00DC4564" w:rsidRDefault="00DC4564" w:rsidP="00CB7D0F">
      <w:pPr>
        <w:tabs>
          <w:tab w:val="left" w:pos="426"/>
        </w:tabs>
        <w:spacing w:after="0" w:line="240" w:lineRule="auto"/>
        <w:jc w:val="both"/>
        <w:rPr>
          <w:rFonts w:asciiTheme="majorHAnsi" w:hAnsiTheme="majorHAnsi" w:cstheme="majorHAnsi"/>
          <w:lang w:val="en-US"/>
        </w:rPr>
      </w:pPr>
    </w:p>
    <w:p w:rsidR="00DC4564" w:rsidRPr="00003B6E" w:rsidRDefault="00DC4564" w:rsidP="00CB7D0F">
      <w:pPr>
        <w:tabs>
          <w:tab w:val="left" w:pos="426"/>
        </w:tabs>
        <w:jc w:val="center"/>
        <w:rPr>
          <w:rFonts w:asciiTheme="majorHAnsi" w:hAnsiTheme="majorHAnsi" w:cstheme="majorHAnsi"/>
          <w:b/>
          <w:lang w:val="en-US"/>
        </w:rPr>
      </w:pPr>
    </w:p>
    <w:p w:rsidR="00DC4564" w:rsidRPr="00003B6E" w:rsidRDefault="00DC4564" w:rsidP="00CB7D0F">
      <w:pPr>
        <w:tabs>
          <w:tab w:val="left" w:pos="426"/>
        </w:tabs>
        <w:jc w:val="center"/>
        <w:rPr>
          <w:rFonts w:asciiTheme="majorHAnsi" w:hAnsiTheme="majorHAnsi" w:cstheme="majorHAnsi"/>
          <w:b/>
          <w:lang w:val="en-US"/>
        </w:rPr>
      </w:pPr>
    </w:p>
    <w:p w:rsidR="00DC4564" w:rsidRPr="00EB14BD" w:rsidRDefault="00DC4564" w:rsidP="00CB7D0F">
      <w:pPr>
        <w:tabs>
          <w:tab w:val="left" w:pos="426"/>
        </w:tabs>
        <w:jc w:val="center"/>
        <w:rPr>
          <w:rFonts w:asciiTheme="majorHAnsi" w:hAnsiTheme="majorHAnsi" w:cstheme="majorHAnsi"/>
          <w:b/>
        </w:rPr>
      </w:pPr>
      <w:r w:rsidRPr="00EB14BD">
        <w:rPr>
          <w:rFonts w:asciiTheme="majorHAnsi" w:hAnsiTheme="majorHAnsi" w:cstheme="majorHAnsi"/>
          <w:b/>
          <w:noProof/>
          <w:lang w:val="en-US"/>
        </w:rPr>
        <w:drawing>
          <wp:inline distT="0" distB="0" distL="0" distR="0" wp14:anchorId="12244B43" wp14:editId="15680104">
            <wp:extent cx="4077746" cy="1541721"/>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9">
                      <a:extLst>
                        <a:ext uri="{28A0092B-C50C-407E-A947-70E740481C1C}">
                          <a14:useLocalDpi xmlns:a14="http://schemas.microsoft.com/office/drawing/2010/main" val="0"/>
                        </a:ext>
                      </a:extLst>
                    </a:blip>
                    <a:stretch>
                      <a:fillRect/>
                    </a:stretch>
                  </pic:blipFill>
                  <pic:spPr>
                    <a:xfrm>
                      <a:off x="0" y="0"/>
                      <a:ext cx="4300858" cy="1626076"/>
                    </a:xfrm>
                    <a:prstGeom prst="rect">
                      <a:avLst/>
                    </a:prstGeom>
                  </pic:spPr>
                </pic:pic>
              </a:graphicData>
            </a:graphic>
          </wp:inline>
        </w:drawing>
      </w:r>
    </w:p>
    <w:p w:rsidR="00DC4564" w:rsidRPr="00EB14BD" w:rsidRDefault="00DC4564" w:rsidP="00CB7D0F">
      <w:pPr>
        <w:tabs>
          <w:tab w:val="left" w:pos="426"/>
        </w:tabs>
        <w:jc w:val="center"/>
        <w:rPr>
          <w:rFonts w:asciiTheme="majorHAnsi" w:hAnsiTheme="majorHAnsi" w:cstheme="majorHAnsi"/>
          <w:b/>
        </w:rPr>
      </w:pPr>
    </w:p>
    <w:p w:rsidR="00DC4564" w:rsidRPr="00EB14BD" w:rsidRDefault="00DC4564" w:rsidP="00CB7D0F">
      <w:pPr>
        <w:tabs>
          <w:tab w:val="left" w:pos="426"/>
        </w:tabs>
        <w:autoSpaceDE w:val="0"/>
        <w:autoSpaceDN w:val="0"/>
        <w:adjustRightInd w:val="0"/>
        <w:spacing w:after="120" w:line="240" w:lineRule="auto"/>
        <w:jc w:val="center"/>
        <w:rPr>
          <w:rFonts w:asciiTheme="majorHAnsi" w:eastAsia="Calibri" w:hAnsiTheme="majorHAnsi" w:cstheme="majorHAnsi"/>
          <w:b/>
          <w:bCs/>
        </w:rPr>
      </w:pPr>
    </w:p>
    <w:p w:rsidR="00DC4564" w:rsidRPr="00EB14BD" w:rsidRDefault="00DC4564" w:rsidP="00CB7D0F">
      <w:pPr>
        <w:tabs>
          <w:tab w:val="left" w:pos="426"/>
        </w:tabs>
        <w:autoSpaceDE w:val="0"/>
        <w:autoSpaceDN w:val="0"/>
        <w:adjustRightInd w:val="0"/>
        <w:spacing w:after="120" w:line="240" w:lineRule="auto"/>
        <w:jc w:val="center"/>
        <w:rPr>
          <w:rFonts w:asciiTheme="majorHAnsi" w:eastAsia="Calibri" w:hAnsiTheme="majorHAnsi" w:cstheme="majorHAnsi"/>
          <w:b/>
          <w:bCs/>
        </w:rPr>
      </w:pPr>
    </w:p>
    <w:p w:rsidR="00DC4564" w:rsidRPr="00DC4564" w:rsidRDefault="00DC4564" w:rsidP="00CB7D0F">
      <w:pPr>
        <w:tabs>
          <w:tab w:val="left" w:pos="426"/>
        </w:tabs>
        <w:jc w:val="center"/>
        <w:rPr>
          <w:rFonts w:asciiTheme="majorHAnsi" w:eastAsia="Calibri" w:hAnsiTheme="majorHAnsi" w:cstheme="majorHAnsi"/>
          <w:b/>
          <w:bCs/>
          <w:sz w:val="28"/>
          <w:szCs w:val="28"/>
          <w:lang w:val="en-US"/>
        </w:rPr>
      </w:pPr>
      <w:r w:rsidRPr="00DC4564">
        <w:rPr>
          <w:rFonts w:asciiTheme="majorHAnsi" w:eastAsia="Calibri" w:hAnsiTheme="majorHAnsi" w:cstheme="majorHAnsi"/>
          <w:b/>
          <w:bCs/>
          <w:sz w:val="28"/>
          <w:szCs w:val="28"/>
          <w:lang w:val="en-US"/>
        </w:rPr>
        <w:t>ANNEX OF REFERENCES</w:t>
      </w:r>
    </w:p>
    <w:p w:rsidR="00DC4564" w:rsidRPr="00DC4564" w:rsidRDefault="00DC4564" w:rsidP="00CB7D0F">
      <w:pPr>
        <w:tabs>
          <w:tab w:val="left" w:pos="426"/>
        </w:tabs>
        <w:spacing w:after="0"/>
        <w:jc w:val="center"/>
        <w:rPr>
          <w:rFonts w:asciiTheme="majorHAnsi" w:eastAsia="Calibri" w:hAnsiTheme="majorHAnsi" w:cstheme="majorHAnsi"/>
          <w:b/>
          <w:bCs/>
          <w:sz w:val="28"/>
          <w:szCs w:val="28"/>
          <w:lang w:val="en-US"/>
        </w:rPr>
      </w:pPr>
      <w:r w:rsidRPr="00DC4564">
        <w:rPr>
          <w:rFonts w:asciiTheme="majorHAnsi" w:eastAsia="Calibri" w:hAnsiTheme="majorHAnsi" w:cstheme="majorHAnsi"/>
          <w:b/>
          <w:bCs/>
          <w:sz w:val="28"/>
          <w:szCs w:val="28"/>
          <w:lang w:val="en-US"/>
        </w:rPr>
        <w:t>TO THE ALTERNATIVE REPORT OF CIVIL SOCIETY FOR THE CONSIDERATION OF THE FIFTH PERIODIC REPORT OF THE STATE OF CHILE BEFORE THE COMMITTEE ON ECONOMIC, SOCIAL AND CULTURAL RIGHTS AT ITS 78TH SESSION</w:t>
      </w:r>
    </w:p>
    <w:p w:rsidR="00DC4564" w:rsidRDefault="00DC4564" w:rsidP="00CB7D0F">
      <w:pPr>
        <w:tabs>
          <w:tab w:val="left" w:pos="426"/>
        </w:tabs>
        <w:jc w:val="center"/>
        <w:rPr>
          <w:rFonts w:asciiTheme="majorHAnsi" w:eastAsia="Calibri" w:hAnsiTheme="majorHAnsi" w:cstheme="majorHAnsi"/>
          <w:b/>
          <w:bCs/>
          <w:sz w:val="28"/>
          <w:szCs w:val="28"/>
        </w:rPr>
      </w:pPr>
      <w:r w:rsidRPr="00DC4564">
        <w:rPr>
          <w:rFonts w:asciiTheme="majorHAnsi" w:eastAsia="Calibri" w:hAnsiTheme="majorHAnsi" w:cstheme="majorHAnsi"/>
          <w:b/>
          <w:bCs/>
          <w:sz w:val="28"/>
          <w:szCs w:val="28"/>
        </w:rPr>
        <w:t>(September 2025)</w:t>
      </w:r>
    </w:p>
    <w:p w:rsidR="00DC4564" w:rsidRDefault="00DC4564" w:rsidP="00CB7D0F">
      <w:pPr>
        <w:tabs>
          <w:tab w:val="left" w:pos="426"/>
        </w:tabs>
        <w:jc w:val="center"/>
        <w:rPr>
          <w:rFonts w:asciiTheme="majorHAnsi" w:eastAsia="Calibri" w:hAnsiTheme="majorHAnsi" w:cstheme="majorHAnsi"/>
          <w:b/>
          <w:bCs/>
          <w:sz w:val="28"/>
          <w:szCs w:val="28"/>
        </w:rPr>
      </w:pPr>
    </w:p>
    <w:p w:rsidR="00DC4564" w:rsidRPr="00EB14BD" w:rsidRDefault="00DC4564" w:rsidP="00CB7D0F">
      <w:pPr>
        <w:tabs>
          <w:tab w:val="left" w:pos="426"/>
        </w:tabs>
        <w:jc w:val="center"/>
        <w:rPr>
          <w:rFonts w:asciiTheme="majorHAnsi" w:hAnsiTheme="majorHAnsi" w:cstheme="majorHAnsi"/>
          <w:b/>
        </w:rPr>
      </w:pPr>
    </w:p>
    <w:p w:rsidR="00DC4564" w:rsidRPr="00DC4564" w:rsidRDefault="00DC4564" w:rsidP="00CB7D0F">
      <w:pPr>
        <w:tabs>
          <w:tab w:val="left" w:pos="426"/>
        </w:tabs>
        <w:spacing w:after="0" w:line="240" w:lineRule="auto"/>
        <w:jc w:val="center"/>
        <w:rPr>
          <w:rFonts w:asciiTheme="majorHAnsi" w:eastAsia="Calibri" w:hAnsiTheme="majorHAnsi" w:cstheme="majorHAnsi"/>
          <w:b/>
          <w:sz w:val="28"/>
          <w:szCs w:val="28"/>
        </w:rPr>
      </w:pPr>
      <w:r w:rsidRPr="00DC4564">
        <w:rPr>
          <w:rFonts w:asciiTheme="majorHAnsi" w:eastAsia="Calibri" w:hAnsiTheme="majorHAnsi" w:cstheme="majorHAnsi"/>
          <w:b/>
          <w:sz w:val="28"/>
          <w:szCs w:val="28"/>
        </w:rPr>
        <w:t>CORPORACIÓN OPCIÓN</w:t>
      </w:r>
    </w:p>
    <w:p w:rsidR="00DC4564" w:rsidRPr="00DC4564" w:rsidRDefault="00DC4564" w:rsidP="00CB7D0F">
      <w:pPr>
        <w:tabs>
          <w:tab w:val="left" w:pos="426"/>
        </w:tabs>
        <w:spacing w:after="0" w:line="240" w:lineRule="auto"/>
        <w:jc w:val="center"/>
        <w:rPr>
          <w:rFonts w:asciiTheme="majorHAnsi" w:eastAsia="Calibri" w:hAnsiTheme="majorHAnsi" w:cstheme="majorHAnsi"/>
          <w:sz w:val="28"/>
          <w:szCs w:val="28"/>
        </w:rPr>
      </w:pPr>
      <w:r w:rsidRPr="00DC4564">
        <w:rPr>
          <w:rFonts w:asciiTheme="majorHAnsi" w:eastAsia="Calibri" w:hAnsiTheme="majorHAnsi" w:cstheme="majorHAnsi"/>
          <w:sz w:val="28"/>
          <w:szCs w:val="28"/>
        </w:rPr>
        <w:t>(Corporación de Oportunidad y Acción Solidaria)</w:t>
      </w:r>
    </w:p>
    <w:p w:rsidR="00DC4564" w:rsidRPr="00DC4564" w:rsidRDefault="00DC4564" w:rsidP="00CB7D0F">
      <w:pPr>
        <w:tabs>
          <w:tab w:val="left" w:pos="426"/>
        </w:tabs>
        <w:spacing w:after="0" w:line="240" w:lineRule="auto"/>
        <w:jc w:val="center"/>
        <w:rPr>
          <w:rFonts w:asciiTheme="majorHAnsi" w:eastAsia="Calibri" w:hAnsiTheme="majorHAnsi" w:cstheme="majorHAnsi"/>
          <w:b/>
          <w:i/>
          <w:sz w:val="28"/>
          <w:szCs w:val="28"/>
        </w:rPr>
      </w:pPr>
      <w:r w:rsidRPr="00DC4564">
        <w:rPr>
          <w:rFonts w:asciiTheme="majorHAnsi" w:eastAsia="Calibri" w:hAnsiTheme="majorHAnsi" w:cstheme="majorHAnsi"/>
          <w:b/>
          <w:i/>
          <w:sz w:val="28"/>
          <w:szCs w:val="28"/>
        </w:rPr>
        <w:t>Estatus Consultivo Especial desde 2004</w:t>
      </w:r>
    </w:p>
    <w:p w:rsidR="00DC4564" w:rsidRPr="00EB14BD" w:rsidRDefault="00DC4564" w:rsidP="00CB7D0F">
      <w:pPr>
        <w:tabs>
          <w:tab w:val="left" w:pos="426"/>
        </w:tabs>
        <w:jc w:val="center"/>
        <w:rPr>
          <w:rFonts w:asciiTheme="majorHAnsi" w:hAnsiTheme="majorHAnsi" w:cstheme="majorHAnsi"/>
          <w:b/>
        </w:rPr>
      </w:pPr>
    </w:p>
    <w:p w:rsidR="00DC4564" w:rsidRPr="00EB14BD" w:rsidRDefault="00DC4564" w:rsidP="00CB7D0F">
      <w:pPr>
        <w:tabs>
          <w:tab w:val="left" w:pos="426"/>
        </w:tabs>
        <w:jc w:val="center"/>
        <w:rPr>
          <w:rFonts w:asciiTheme="majorHAnsi" w:hAnsiTheme="majorHAnsi" w:cstheme="majorHAnsi"/>
          <w:b/>
        </w:rPr>
      </w:pPr>
    </w:p>
    <w:p w:rsidR="00DC4564" w:rsidRPr="00EB14BD" w:rsidRDefault="00DC4564" w:rsidP="00CB7D0F">
      <w:pPr>
        <w:tabs>
          <w:tab w:val="left" w:pos="426"/>
        </w:tabs>
        <w:jc w:val="center"/>
        <w:rPr>
          <w:rFonts w:asciiTheme="majorHAnsi" w:hAnsiTheme="majorHAnsi" w:cstheme="majorHAnsi"/>
          <w:b/>
        </w:rPr>
      </w:pPr>
    </w:p>
    <w:p w:rsidR="00DC4564" w:rsidRPr="00EB14BD" w:rsidRDefault="00DC4564" w:rsidP="00CB7D0F">
      <w:pPr>
        <w:tabs>
          <w:tab w:val="left" w:pos="426"/>
        </w:tabs>
        <w:jc w:val="center"/>
        <w:rPr>
          <w:rFonts w:asciiTheme="majorHAnsi" w:hAnsiTheme="majorHAnsi" w:cstheme="majorHAnsi"/>
          <w:b/>
        </w:rPr>
      </w:pPr>
    </w:p>
    <w:p w:rsidR="00DC4564" w:rsidRPr="00EB14BD" w:rsidRDefault="00DC4564" w:rsidP="00CB7D0F">
      <w:pPr>
        <w:tabs>
          <w:tab w:val="left" w:pos="426"/>
        </w:tabs>
        <w:jc w:val="center"/>
        <w:rPr>
          <w:rFonts w:asciiTheme="majorHAnsi" w:hAnsiTheme="majorHAnsi" w:cstheme="majorHAnsi"/>
          <w:b/>
        </w:rPr>
      </w:pPr>
    </w:p>
    <w:p w:rsidR="00DC4564" w:rsidRPr="00EB14BD" w:rsidRDefault="00DC4564" w:rsidP="00CB7D0F">
      <w:pPr>
        <w:tabs>
          <w:tab w:val="left" w:pos="426"/>
        </w:tabs>
        <w:jc w:val="center"/>
        <w:rPr>
          <w:rFonts w:asciiTheme="majorHAnsi" w:hAnsiTheme="majorHAnsi" w:cstheme="majorHAnsi"/>
          <w:b/>
        </w:rPr>
      </w:pPr>
    </w:p>
    <w:p w:rsidR="00DC4564" w:rsidRDefault="00DC4564" w:rsidP="00CB7D0F">
      <w:pPr>
        <w:tabs>
          <w:tab w:val="left" w:pos="426"/>
        </w:tabs>
        <w:jc w:val="center"/>
        <w:rPr>
          <w:rFonts w:asciiTheme="majorHAnsi" w:hAnsiTheme="majorHAnsi" w:cstheme="majorHAnsi"/>
          <w:b/>
        </w:rPr>
      </w:pPr>
    </w:p>
    <w:p w:rsidR="00DC4564" w:rsidRPr="00EB14BD" w:rsidRDefault="00DC4564" w:rsidP="00CB7D0F">
      <w:pPr>
        <w:tabs>
          <w:tab w:val="left" w:pos="426"/>
        </w:tabs>
        <w:jc w:val="center"/>
        <w:rPr>
          <w:rFonts w:asciiTheme="majorHAnsi" w:hAnsiTheme="majorHAnsi" w:cstheme="majorHAnsi"/>
          <w:b/>
        </w:rPr>
      </w:pPr>
    </w:p>
    <w:p w:rsidR="00DC4564" w:rsidRPr="00EB14BD" w:rsidRDefault="00DC4564" w:rsidP="00CB7D0F">
      <w:pPr>
        <w:tabs>
          <w:tab w:val="left" w:pos="426"/>
        </w:tabs>
        <w:jc w:val="center"/>
        <w:rPr>
          <w:rFonts w:asciiTheme="majorHAnsi" w:hAnsiTheme="majorHAnsi" w:cstheme="majorHAnsi"/>
          <w:b/>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MINISTERIO PÚBLICO</w:t>
      </w:r>
      <w:r w:rsidRPr="00EB14BD">
        <w:rPr>
          <w:rFonts w:asciiTheme="majorHAnsi" w:hAnsiTheme="majorHAnsi" w:cstheme="majorHAnsi"/>
        </w:rPr>
        <w:t xml:space="preserve"> (2024). Boletín Anual Enero-Diciembre 2024. </w:t>
      </w:r>
      <w:hyperlink r:id="rId12" w:history="1">
        <w:r w:rsidRPr="00EB14BD">
          <w:rPr>
            <w:rStyle w:val="Hipervnculo"/>
            <w:rFonts w:cstheme="majorHAnsi"/>
          </w:rPr>
          <w:t>http://www.fiscaliadechile.cl/Fiscalia/estadisticas/index.do</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FUNDACIÓN AMPARO Y JUSTICA</w:t>
      </w:r>
      <w:r w:rsidRPr="00EB14BD">
        <w:rPr>
          <w:rFonts w:asciiTheme="majorHAnsi" w:hAnsiTheme="majorHAnsi" w:cstheme="majorHAnsi"/>
        </w:rPr>
        <w:t xml:space="preserve"> (2024). Niños, Niñas y Adolescentes Víctimas de Delitos Sexuales y Otros Graves: Ingreso de Denuncias y Respuesta del Sistema de Justicia Penal. </w:t>
      </w:r>
      <w:hyperlink r:id="rId13" w:history="1">
        <w:r w:rsidRPr="00EB14BD">
          <w:rPr>
            <w:rStyle w:val="Hipervnculo"/>
            <w:rFonts w:cstheme="majorHAnsi"/>
          </w:rPr>
          <w:t>https://amparoyjusticia.cl/wp-content/uploads/2024/05/Reporte-Estadistico-2024-Fundacion-Amparo-Justicia.pdf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FISCALÍA DE CHILE</w:t>
      </w:r>
      <w:r w:rsidRPr="00EB14BD">
        <w:rPr>
          <w:rFonts w:asciiTheme="majorHAnsi" w:hAnsiTheme="majorHAnsi" w:cstheme="majorHAnsi"/>
        </w:rPr>
        <w:t xml:space="preserve"> (2024). Víctimas y testigos. ¿Qué pasa si denuncio? </w:t>
      </w:r>
      <w:hyperlink r:id="rId14" w:history="1">
        <w:r w:rsidRPr="00EB14BD">
          <w:rPr>
            <w:rStyle w:val="Hipervnculo"/>
            <w:rFonts w:cstheme="majorHAnsi"/>
          </w:rPr>
          <w:t>http://www.fiscaliadechile.cl/Fiscalia/utilitarios/glosario.jsp#</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(2025). Balance inicial a la implementación de las Oficinas Locales de la Niñez. </w:t>
      </w:r>
      <w:hyperlink r:id="rId15" w:history="1">
        <w:r w:rsidRPr="00EB14BD">
          <w:rPr>
            <w:rStyle w:val="Hipervnculo"/>
            <w:rFonts w:cstheme="majorHAnsi"/>
          </w:rPr>
          <w:t>https://www.defensorianinez.cl/wp-content/uploads/2025/03/Documento-especializado-Balance-inicial-de-la-implementacion-OLN.pdf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 xml:space="preserve">DEFENSORÍA DE LA NIÑEZ </w:t>
      </w:r>
      <w:r w:rsidRPr="00EB14BD">
        <w:rPr>
          <w:rFonts w:asciiTheme="majorHAnsi" w:hAnsiTheme="majorHAnsi" w:cstheme="majorHAnsi"/>
        </w:rPr>
        <w:t xml:space="preserve">(2023). Protección integral y nueva institucionalidad: balance a un año de implementación de la Ley de Garantías. </w:t>
      </w:r>
      <w:hyperlink r:id="rId16" w:history="1">
        <w:r w:rsidRPr="00EB14BD">
          <w:rPr>
            <w:rStyle w:val="Hipervnculo"/>
            <w:rFonts w:cstheme="majorHAnsi"/>
          </w:rPr>
          <w:t>https://www.defensorianinez.cl/wp-content/uploads/2023/03/VF-Documento-especializado-Garantias-1-1.pdf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LEY 21.067</w:t>
      </w:r>
      <w:r w:rsidRPr="00EB14BD">
        <w:rPr>
          <w:rFonts w:asciiTheme="majorHAnsi" w:hAnsiTheme="majorHAnsi" w:cstheme="majorHAnsi"/>
        </w:rPr>
        <w:t xml:space="preserve"> Crea la Defensoría de los Derechos de la Niñez.</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FIGUEROA COFRÉ, I., MUÑOZ CORDONES, J., &amp; INOSTROZA QUILODRÁN, D.</w:t>
      </w:r>
      <w:r w:rsidRPr="00EB14BD">
        <w:rPr>
          <w:rFonts w:asciiTheme="majorHAnsi" w:hAnsiTheme="majorHAnsi" w:cstheme="majorHAnsi"/>
        </w:rPr>
        <w:t xml:space="preserve"> (2025). Discriminación por identidad de género: Análisis exploratorio de las denuncias ingresadas a la Superintendencia de Educación (2022–2024). Unidad de Estadísticas y Estudios, Superintendencia de Educación. </w:t>
      </w:r>
      <w:hyperlink r:id="rId17" w:history="1">
        <w:r w:rsidRPr="00EB14BD">
          <w:rPr>
            <w:rStyle w:val="Hipervnculo"/>
            <w:rFonts w:cstheme="majorHAnsi"/>
          </w:rPr>
          <w:t>https://www.supereduc.cl/wp-content/uploads/2025/04/Apunte_SIE_07_version_final_ABRIL.pdf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SERVICIO JESUITA A MIGRANTES (2024)</w:t>
      </w:r>
      <w:r w:rsidRPr="00EB14BD">
        <w:rPr>
          <w:rFonts w:asciiTheme="majorHAnsi" w:hAnsiTheme="majorHAnsi" w:cstheme="majorHAnsi"/>
        </w:rPr>
        <w:t xml:space="preserve">. Anuario Estadístico de Movilidad Humana en Chile 2024.  </w:t>
      </w:r>
      <w:hyperlink r:id="rId18" w:history="1">
        <w:r w:rsidRPr="00EB14BD">
          <w:rPr>
            <w:rStyle w:val="Hipervnculo"/>
            <w:rFonts w:cstheme="majorHAnsi"/>
          </w:rPr>
          <w:t>https://sjmchile.org/wp-content/uploads/2025/07/Anuario-Estadistico-de-Movilidad-Humana-en-Chile-2024.pdf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ORGANIZACIÓN INTERNACIONAL PARA LAS MIGRACIONES (OIM)</w:t>
      </w:r>
      <w:r w:rsidRPr="00EB14BD">
        <w:rPr>
          <w:rFonts w:asciiTheme="majorHAnsi" w:hAnsiTheme="majorHAnsi" w:cstheme="majorHAnsi"/>
        </w:rPr>
        <w:t xml:space="preserve"> (2024). Estudio de impacto económico de la migración venezolana en Chile.  </w:t>
      </w:r>
      <w:hyperlink r:id="rId19" w:history="1">
        <w:r w:rsidRPr="00EB14BD">
          <w:rPr>
            <w:rStyle w:val="Hipervnculo"/>
            <w:rFonts w:cstheme="majorHAnsi"/>
          </w:rPr>
          <w:t>https://chile.iom.int/es/impacto-positivo-de-la-migracion-venezolana-en-la-economia-chilena-evidenciado-en-nuevo-estudio</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Diagnóstico sobre la situación de derechos de la niñez y adolescencia 2024. Observatorio de Derechos de la Defensoría de la Niñez. </w:t>
      </w:r>
      <w:hyperlink r:id="rId20" w:history="1">
        <w:r w:rsidRPr="00EB14BD">
          <w:rPr>
            <w:rStyle w:val="Hipervnculo"/>
            <w:rFonts w:cstheme="majorHAnsi"/>
          </w:rPr>
          <w:t>https://observatorio.defensorianinez.cl/wp-content/uploads/2024/05/Diagnostico-sobre-situacion-de-derechos-2024-Observatorio-Derechos-Defensoria.pdf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DECRETO 67/2016</w:t>
      </w:r>
      <w:r w:rsidRPr="00EB14BD">
        <w:rPr>
          <w:rFonts w:asciiTheme="majorHAnsi" w:hAnsiTheme="majorHAnsi" w:cstheme="majorHAnsi"/>
        </w:rPr>
        <w:t xml:space="preserve"> del Ministerio de Salud, Modifica Decreto Nº 110 De 2004, Del Ministerio De Salud, Que Fija Circunstancias Y Mecanismos Para Acreditar a Las Personas Como Carentes De Recursos o Indigentes.</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SERVICIO JESUITA DE MIGRANTES</w:t>
      </w:r>
      <w:r w:rsidRPr="00EB14BD">
        <w:rPr>
          <w:rFonts w:asciiTheme="majorHAnsi" w:hAnsiTheme="majorHAnsi" w:cstheme="majorHAnsi"/>
        </w:rPr>
        <w:t xml:space="preserve"> (2024). Informe al Comité de Derechos Humanos de Naciones Unidas. Situación de los Migrantes y Refugiados en Chile, 140 Sesión (4-28 marzo de 2024).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LEY N° 21.325</w:t>
      </w:r>
      <w:r w:rsidRPr="00EB14BD">
        <w:rPr>
          <w:rFonts w:asciiTheme="majorHAnsi" w:hAnsiTheme="majorHAnsi" w:cstheme="majorHAnsi"/>
        </w:rPr>
        <w:t xml:space="preserve"> De Migración Y Extranjería.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DC4564" w:rsidRDefault="00DC4564" w:rsidP="00CB7D0F">
      <w:pPr>
        <w:pStyle w:val="Prrafodelista"/>
        <w:numPr>
          <w:ilvl w:val="0"/>
          <w:numId w:val="17"/>
        </w:numPr>
        <w:tabs>
          <w:tab w:val="left" w:pos="426"/>
        </w:tabs>
        <w:ind w:left="0" w:firstLine="0"/>
        <w:jc w:val="both"/>
        <w:rPr>
          <w:rFonts w:asciiTheme="majorHAnsi" w:hAnsiTheme="majorHAnsi" w:cstheme="majorHAnsi"/>
          <w:lang w:val="en-US"/>
        </w:rPr>
      </w:pPr>
      <w:r w:rsidRPr="00DC4564">
        <w:rPr>
          <w:rFonts w:asciiTheme="majorHAnsi" w:hAnsiTheme="majorHAnsi" w:cstheme="majorHAnsi"/>
          <w:lang w:val="en-US"/>
        </w:rPr>
        <w:t xml:space="preserve">Applications must be submitted via the National Migration Service platform. This platform requires individuals to create an account and upload the following documents in PDF format: -Identity document or passport of the child or adolescent; Single Migration Card (for entry through an authorised border crossing); Legalised or apostilled birth certificate of the child or adolescent; Declaration of care by the father or mother, signed before a notary public (notaries do not always accept the signature of the father or mother); Health documents (well-child check-ups, vaccination card, etc.) issued by the Family Health Centre or private health centre where the child or adolescent is monitored in Chile or school documents issued by the public or private educational centre attended by the child or adolescent in Chile; Identity document or passport of the father or mother. </w:t>
      </w:r>
      <w:hyperlink r:id="rId21" w:history="1">
        <w:r w:rsidRPr="00DC4564">
          <w:rPr>
            <w:rStyle w:val="Hipervnculo"/>
            <w:rFonts w:cstheme="majorHAnsi"/>
            <w:lang w:val="en-US"/>
          </w:rPr>
          <w:t>https://serviciomigraciones.cl/residencia-temporal/subcategorias/nna/</w:t>
        </w:r>
      </w:hyperlink>
      <w:r w:rsidRPr="00DC4564">
        <w:rPr>
          <w:rFonts w:asciiTheme="majorHAnsi" w:hAnsiTheme="majorHAnsi" w:cstheme="majorHAnsi"/>
          <w:lang w:val="en-US"/>
        </w:rPr>
        <w:t xml:space="preserve"> </w:t>
      </w:r>
    </w:p>
    <w:p w:rsidR="00DC4564" w:rsidRPr="00DC4564" w:rsidRDefault="00DC4564" w:rsidP="00CB7D0F">
      <w:pPr>
        <w:pStyle w:val="Prrafodelista"/>
        <w:tabs>
          <w:tab w:val="left" w:pos="426"/>
        </w:tabs>
        <w:ind w:left="0"/>
        <w:jc w:val="both"/>
        <w:rPr>
          <w:rFonts w:asciiTheme="majorHAnsi" w:hAnsiTheme="majorHAnsi" w:cstheme="majorHAnsi"/>
          <w:lang w:val="en-US"/>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CÁMARA DE DIPUTADOS Y DIPUTADAS</w:t>
      </w:r>
      <w:r w:rsidRPr="00EB14BD">
        <w:rPr>
          <w:rFonts w:asciiTheme="majorHAnsi" w:hAnsiTheme="majorHAnsi" w:cstheme="majorHAnsi"/>
        </w:rPr>
        <w:t xml:space="preserve">. Boletín 16692-06. Proyecto de ley que modifica la ley N°21.325 de Migración y Extranjería para disponer el acceso preferente, a establecimientos educacionales, de estudiantes nacionales o extranjeros con residencia temporal o definitiva en el país. </w:t>
      </w:r>
      <w:hyperlink r:id="rId22" w:history="1">
        <w:r w:rsidRPr="00EB14BD">
          <w:rPr>
            <w:rStyle w:val="Hipervnculo"/>
            <w:rFonts w:cstheme="majorHAnsi"/>
          </w:rPr>
          <w:t>https://www.camara.cl/legislacion/ProyectosDeLey/autores.aspx?prmID=17260&amp;prmBOLETIN=16692-06</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CÁMARA DE DIPUTADOS Y DIPUTADAS</w:t>
      </w:r>
      <w:r w:rsidRPr="00EB14BD">
        <w:rPr>
          <w:rFonts w:asciiTheme="majorHAnsi" w:hAnsiTheme="majorHAnsi" w:cstheme="majorHAnsi"/>
        </w:rPr>
        <w:t xml:space="preserve">. Boletín 17474-06. Proyecto de ley que modifica la ley N°21.325 de Migración y Extranjería para restringir el acceso de inmigrantes en situación irregular a beneficios de cargo fiscal. </w:t>
      </w:r>
      <w:hyperlink r:id="rId23" w:history="1">
        <w:r w:rsidRPr="00EB14BD">
          <w:rPr>
            <w:rStyle w:val="Hipervnculo"/>
            <w:rFonts w:cstheme="majorHAnsi"/>
          </w:rPr>
          <w:t>https://www.camara.cl/legislacion/proyectosdeley/tramitacion.aspx?prmID=18110&amp;prmBOLETIN=17474-06</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LEY 21.430</w:t>
      </w:r>
      <w:r w:rsidRPr="00EB14BD">
        <w:rPr>
          <w:rFonts w:asciiTheme="majorHAnsi" w:hAnsiTheme="majorHAnsi" w:cstheme="majorHAnsi"/>
        </w:rPr>
        <w:t xml:space="preserve"> Sobre Garantías y Protección Integral de los Derechos de la Niñez y Adolescencia.</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DC4564" w:rsidRDefault="00DC4564" w:rsidP="00CB7D0F">
      <w:pPr>
        <w:pStyle w:val="Prrafodelista"/>
        <w:numPr>
          <w:ilvl w:val="0"/>
          <w:numId w:val="17"/>
        </w:numPr>
        <w:tabs>
          <w:tab w:val="left" w:pos="426"/>
        </w:tabs>
        <w:ind w:left="0" w:firstLine="0"/>
        <w:jc w:val="both"/>
        <w:rPr>
          <w:rFonts w:asciiTheme="majorHAnsi" w:hAnsiTheme="majorHAnsi" w:cstheme="majorHAnsi"/>
          <w:lang w:val="en-US"/>
        </w:rPr>
      </w:pPr>
      <w:r w:rsidRPr="00DC4564">
        <w:rPr>
          <w:rFonts w:asciiTheme="majorHAnsi" w:hAnsiTheme="majorHAnsi" w:cstheme="majorHAnsi"/>
          <w:lang w:val="en-US"/>
        </w:rPr>
        <w:t>Standard of proof in accordance with logic, the maxims of experience, and scientifically established knowledge.</w:t>
      </w:r>
    </w:p>
    <w:p w:rsidR="00DC4564" w:rsidRPr="00DC4564" w:rsidRDefault="00DC4564" w:rsidP="00CB7D0F">
      <w:pPr>
        <w:pStyle w:val="Prrafodelista"/>
        <w:tabs>
          <w:tab w:val="left" w:pos="426"/>
        </w:tabs>
        <w:ind w:left="0"/>
        <w:jc w:val="both"/>
        <w:rPr>
          <w:rFonts w:asciiTheme="majorHAnsi" w:hAnsiTheme="majorHAnsi" w:cstheme="majorHAnsi"/>
          <w:lang w:val="en-US"/>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MINISTERIO DE JUSTICIA Y DERECHOS HUMANOS DE CHILE</w:t>
      </w:r>
      <w:r w:rsidRPr="00EB14BD">
        <w:rPr>
          <w:rFonts w:asciiTheme="majorHAnsi" w:hAnsiTheme="majorHAnsi" w:cstheme="majorHAnsi"/>
        </w:rPr>
        <w:t xml:space="preserve"> (s.f). Nueva línea especializada para la representación de niñas, niños y adolescentes.  </w:t>
      </w:r>
      <w:hyperlink r:id="rId24" w:anchor=":~:text=El%20objeto%20de%20esta%20l%C3%ADnea,las%20decisiones%20que%20los%20afectan" w:history="1">
        <w:r w:rsidRPr="00EB14BD">
          <w:rPr>
            <w:rStyle w:val="Hipervnculo"/>
            <w:rFonts w:cstheme="majorHAnsi"/>
          </w:rPr>
          <w:t>https://www.minjusticia.gob.cl/lanzamiento-la-ninez-y-adolescencia-se-defiende/#:~:text=El%20objeto%20de%20esta%20l%C3%ADnea,las%20decisiones%20que%20los%20afectan</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(2019). Mecanismos de monitoreo de centros de cuidado alternativo y de privación de libertad. </w:t>
      </w:r>
      <w:hyperlink r:id="rId25" w:history="1">
        <w:r w:rsidRPr="00EB14BD">
          <w:rPr>
            <w:rStyle w:val="Hipervnculo"/>
            <w:rFonts w:cstheme="majorHAnsi"/>
          </w:rPr>
          <w:t>https://www.defensorianinez.cl/estud_y_estadi/mecanismos-de-monitoreo-de-centros-de-cuidado-alternativo-y-de-privacion-de-libertad/</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lang w:val="en-US"/>
        </w:rPr>
      </w:pPr>
      <w:r w:rsidRPr="00EB14BD">
        <w:rPr>
          <w:rFonts w:asciiTheme="majorHAnsi" w:hAnsiTheme="majorHAnsi" w:cstheme="majorHAnsi"/>
          <w:b/>
        </w:rPr>
        <w:t>SECRETARÍA GENERAL DE LA ORGANIZACIÓN DE ESTADOS AMERICANOS</w:t>
      </w:r>
      <w:r w:rsidRPr="00EB14BD">
        <w:rPr>
          <w:rFonts w:asciiTheme="majorHAnsi" w:hAnsiTheme="majorHAnsi" w:cstheme="majorHAnsi"/>
        </w:rPr>
        <w:t xml:space="preserve"> (s.f). La violencia de género en línea contra las mujeres y niñas. Guía de conceptos básicos. OEA/CICTE – OEA/CIM/MESECVI. (OAS. </w:t>
      </w:r>
      <w:r w:rsidRPr="00EB14BD">
        <w:rPr>
          <w:rFonts w:asciiTheme="majorHAnsi" w:hAnsiTheme="majorHAnsi" w:cstheme="majorHAnsi"/>
        </w:rPr>
        <w:lastRenderedPageBreak/>
        <w:t xml:space="preserve">Documentos oficiales; OEA/Ser. </w:t>
      </w:r>
      <w:r w:rsidRPr="00EB14BD">
        <w:rPr>
          <w:rFonts w:asciiTheme="majorHAnsi" w:hAnsiTheme="majorHAnsi" w:cstheme="majorHAnsi"/>
          <w:lang w:val="en-US"/>
        </w:rPr>
        <w:t xml:space="preserve">D/XXV.25). </w:t>
      </w:r>
      <w:hyperlink r:id="rId26" w:history="1">
        <w:r w:rsidRPr="00EB14BD">
          <w:rPr>
            <w:rStyle w:val="Hipervnculo"/>
            <w:rFonts w:cstheme="majorHAnsi"/>
            <w:lang w:val="en-US"/>
          </w:rPr>
          <w:t>https://www.oas.org/es/sms/cicte/docs/Guia-conceptos-basicos-La-violencia-de-genero-en-linea-contra-las-mujeres-y-ninas.pdf</w:t>
        </w:r>
      </w:hyperlink>
      <w:r w:rsidRPr="00EB14BD">
        <w:rPr>
          <w:rFonts w:asciiTheme="majorHAnsi" w:hAnsiTheme="majorHAnsi" w:cstheme="majorHAnsi"/>
          <w:lang w:val="en-US"/>
        </w:rPr>
        <w:t xml:space="preserve"> </w:t>
      </w:r>
    </w:p>
    <w:p w:rsidR="00DC4564" w:rsidRPr="00EB14BD" w:rsidRDefault="00DC4564" w:rsidP="00CB7D0F">
      <w:pPr>
        <w:pStyle w:val="Prrafodelista"/>
        <w:tabs>
          <w:tab w:val="left" w:pos="426"/>
        </w:tabs>
        <w:ind w:left="0"/>
        <w:jc w:val="both"/>
        <w:rPr>
          <w:rFonts w:asciiTheme="majorHAnsi" w:hAnsiTheme="majorHAnsi" w:cstheme="majorHAnsi"/>
          <w:lang w:val="en-US"/>
        </w:rPr>
      </w:pPr>
      <w:r w:rsidRPr="00EB14BD">
        <w:rPr>
          <w:rFonts w:asciiTheme="majorHAnsi" w:hAnsiTheme="majorHAnsi" w:cstheme="majorHAnsi"/>
          <w:lang w:val="en-US"/>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MINISTERIO DEL INTERIOR Y SEGURIDAD PÚBLICA</w:t>
      </w:r>
      <w:r w:rsidRPr="00EB14BD">
        <w:rPr>
          <w:rFonts w:asciiTheme="majorHAnsi" w:hAnsiTheme="majorHAnsi" w:cstheme="majorHAnsi"/>
        </w:rPr>
        <w:t xml:space="preserve"> (2023). Consulta Virtual Sobre Violencia Digital. </w:t>
      </w:r>
      <w:hyperlink r:id="rId27" w:history="1">
        <w:r w:rsidRPr="00EB14BD">
          <w:rPr>
            <w:rStyle w:val="Hipervnculo"/>
            <w:rFonts w:cstheme="majorHAnsi"/>
          </w:rPr>
          <w:t>https://generoyparticipacion.interior.gob.cl/media/2023/12/Resultados-Consulta-Ciudadana-Virtual-sobre-Violencia-Digital.pdf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GUERRA ARAYA, P</w:t>
      </w:r>
      <w:r w:rsidRPr="00EB14BD">
        <w:rPr>
          <w:rFonts w:asciiTheme="majorHAnsi" w:hAnsiTheme="majorHAnsi" w:cstheme="majorHAnsi"/>
        </w:rPr>
        <w:t xml:space="preserve"> (2023). Asesoría Técnica Parlamentaria. Violencia digital contra la mujer. Normativa en Chile y Convención Belem do Para (01/09/2023). </w:t>
      </w:r>
      <w:hyperlink r:id="rId28" w:history="1">
        <w:r w:rsidRPr="00EB14BD">
          <w:rPr>
            <w:rStyle w:val="Hipervnculo"/>
            <w:rFonts w:cstheme="majorHAnsi"/>
          </w:rPr>
          <w:t>https://www.bcn.cl/asesoriasparlamentarias/detalle_documento.html?id=81885</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RIQUELME PEREIRA, N., BUSTOS NAVARRETE, C., &amp; VICENTE PARADA, B.</w:t>
      </w:r>
      <w:r w:rsidRPr="00EB14BD">
        <w:rPr>
          <w:rFonts w:asciiTheme="majorHAnsi" w:hAnsiTheme="majorHAnsi" w:cstheme="majorHAnsi"/>
        </w:rPr>
        <w:t xml:space="preserve"> (2020). Impacto del maltrato infantil en la prevalencia de trastornos mentales en niños y adolescentes chilenos. Ciencia y enfermería. doi:10.29393/CE26-12IMNC30012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SUBSECRETARÍA DE PREVENCIÓN DEL DELITO</w:t>
      </w:r>
      <w:r w:rsidRPr="00EB14BD">
        <w:rPr>
          <w:rFonts w:asciiTheme="majorHAnsi" w:hAnsiTheme="majorHAnsi" w:cstheme="majorHAnsi"/>
        </w:rPr>
        <w:t xml:space="preserve"> (2024). Segunda Encuesta Nacional de Polivictimización. </w:t>
      </w:r>
      <w:hyperlink r:id="rId29" w:history="1">
        <w:r w:rsidRPr="00EB14BD">
          <w:rPr>
            <w:rStyle w:val="Hipervnculo"/>
            <w:rFonts w:cstheme="majorHAnsi"/>
          </w:rPr>
          <w:t>file:///C:/Users/Loreto%20Zegpi/Downloads/Presentaci%C3%B3n%20resultados%202%C2%B0%20Encuesta%20Nacional%20Polivictimizaci%C3%B3n%202023%20(1).pdf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(2021). Informe Anual 2021. </w:t>
      </w:r>
      <w:hyperlink r:id="rId30" w:history="1">
        <w:r w:rsidRPr="00EB14BD">
          <w:rPr>
            <w:rStyle w:val="Hipervnculo"/>
            <w:rFonts w:cstheme="majorHAnsi"/>
          </w:rPr>
          <w:t>https://www.defensorianinez.cl/informe-anual-2021/</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MINISTERIO PÚBLICO</w:t>
      </w:r>
      <w:r w:rsidRPr="00EB14BD">
        <w:rPr>
          <w:rFonts w:asciiTheme="majorHAnsi" w:hAnsiTheme="majorHAnsi" w:cstheme="majorHAnsi"/>
        </w:rPr>
        <w:t xml:space="preserve"> (2024). Boletín Anual 2024. </w:t>
      </w:r>
      <w:hyperlink r:id="rId31" w:history="1">
        <w:r w:rsidRPr="00EB14BD">
          <w:rPr>
            <w:rStyle w:val="Hipervnculo"/>
            <w:rFonts w:cstheme="majorHAnsi"/>
          </w:rPr>
          <w:t>http://www.fiscaliadechile.cl/Fiscalia/estadisticas/index.do</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UNICEF</w:t>
      </w:r>
      <w:r w:rsidRPr="00EB14BD">
        <w:rPr>
          <w:rFonts w:asciiTheme="majorHAnsi" w:hAnsiTheme="majorHAnsi" w:cstheme="majorHAnsi"/>
        </w:rPr>
        <w:t xml:space="preserve"> (2008). Maltrato infantil y relaciones familiares en Chile. Análisis comparativo 1996-2000-2006, Santiago, Chile.</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OBSERVATORIO NIÑEZ DE FUNDACIÓN COLUNGA</w:t>
      </w:r>
      <w:r w:rsidRPr="00EB14BD">
        <w:rPr>
          <w:rFonts w:asciiTheme="majorHAnsi" w:hAnsiTheme="majorHAnsi" w:cstheme="majorHAnsi"/>
        </w:rPr>
        <w:t xml:space="preserve"> (2024). Informe Nacional del Bienestar de la Niñez en Chile 2024. </w:t>
      </w:r>
      <w:hyperlink r:id="rId32" w:history="1">
        <w:r w:rsidRPr="00EB14BD">
          <w:rPr>
            <w:rStyle w:val="Hipervnculo"/>
            <w:rFonts w:cstheme="majorHAnsi"/>
          </w:rPr>
          <w:t>https://www.observatorioninez.org/correlato-digital</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6B3467" w:rsidRDefault="006B3467" w:rsidP="006B3467">
      <w:pPr>
        <w:pStyle w:val="Prrafodelista"/>
        <w:numPr>
          <w:ilvl w:val="0"/>
          <w:numId w:val="17"/>
        </w:numPr>
        <w:spacing w:line="240" w:lineRule="auto"/>
        <w:ind w:left="0" w:firstLine="0"/>
        <w:jc w:val="both"/>
        <w:rPr>
          <w:rFonts w:asciiTheme="majorHAnsi" w:hAnsiTheme="majorHAnsi" w:cstheme="majorHAnsi"/>
        </w:rPr>
      </w:pPr>
      <w:r w:rsidRPr="00997DE1">
        <w:rPr>
          <w:rFonts w:asciiTheme="majorHAnsi" w:hAnsiTheme="majorHAnsi" w:cstheme="majorHAnsi"/>
        </w:rPr>
        <w:t>DFL 2</w:t>
      </w:r>
      <w:r>
        <w:rPr>
          <w:rFonts w:asciiTheme="majorHAnsi" w:hAnsiTheme="majorHAnsi" w:cstheme="majorHAnsi"/>
        </w:rPr>
        <w:t xml:space="preserve"> de 2025 del Ministerio de Educación, </w:t>
      </w:r>
      <w:r w:rsidRPr="00997DE1">
        <w:rPr>
          <w:rFonts w:asciiTheme="majorHAnsi" w:hAnsiTheme="majorHAnsi" w:cstheme="majorHAnsi"/>
        </w:rPr>
        <w:t>Fija Texto Refundido, Coordinado Y Sistematizado De La Ley Nº20.370 Con Las Normas No Derogadas Del Decreto Con Fuerza De Ley Nº 1, De 2005</w:t>
      </w:r>
      <w:r>
        <w:rPr>
          <w:rFonts w:asciiTheme="majorHAnsi" w:hAnsiTheme="majorHAnsi" w:cstheme="majorHAnsi"/>
        </w:rPr>
        <w:t>.</w:t>
      </w:r>
    </w:p>
    <w:p w:rsidR="00DC4564" w:rsidRPr="006B3467" w:rsidRDefault="00DC4564" w:rsidP="006B3467">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COMITÉ PARA LA PREVENCIÓN DE LA TORTURA</w:t>
      </w:r>
      <w:r w:rsidRPr="00EB14BD">
        <w:rPr>
          <w:rFonts w:asciiTheme="majorHAnsi" w:hAnsiTheme="majorHAnsi" w:cstheme="majorHAnsi"/>
        </w:rPr>
        <w:t xml:space="preserve"> (2023). Prevención de la tortura y situación de las personas privadas de libertad en Chile. Tercer informe anual 2023. </w:t>
      </w:r>
      <w:hyperlink r:id="rId33" w:history="1">
        <w:r w:rsidRPr="00EB14BD">
          <w:rPr>
            <w:rStyle w:val="Hipervnculo"/>
            <w:rFonts w:cstheme="majorHAnsi"/>
          </w:rPr>
          <w:t>https://mnpt.cl/flipbook/mobile/index.html</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COMITÉ PARA LA PREVENCIÓN DE LA TORTURA</w:t>
      </w:r>
      <w:r w:rsidRPr="00EB14BD">
        <w:rPr>
          <w:rFonts w:asciiTheme="majorHAnsi" w:hAnsiTheme="majorHAnsi" w:cstheme="majorHAnsi"/>
        </w:rPr>
        <w:t xml:space="preserve"> (2024), “Informe Visita Reactiva Sección Materno Infantil CCP Iquique a propósito de un parto y nacimiento en el lugar de privación de libertad”. </w:t>
      </w:r>
      <w:hyperlink r:id="rId34" w:history="1">
        <w:r w:rsidRPr="00EB14BD">
          <w:rPr>
            <w:rStyle w:val="Hipervnculo"/>
            <w:rFonts w:cstheme="majorHAnsi"/>
          </w:rPr>
          <w:t>https://mnpt.cl/wp-content/uploads/2024/02/INFORME-FINAL-VISITA-REACTIVA-SMI-CCP-IQUIQUE.pdf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lastRenderedPageBreak/>
        <w:t>DEFENSORÍA DE LA NIÑEZ</w:t>
      </w:r>
      <w:r w:rsidRPr="00EB14BD">
        <w:rPr>
          <w:rFonts w:asciiTheme="majorHAnsi" w:hAnsiTheme="majorHAnsi" w:cstheme="majorHAnsi"/>
        </w:rPr>
        <w:t xml:space="preserve"> (2024). Nota Técnica N°5 Explotación sexual contra niñas, niños y adolescentes: factores y caracterización en los últimos años - Observatorio de la Defensoría de la Niñez.  </w:t>
      </w:r>
      <w:hyperlink r:id="rId35" w:history="1">
        <w:r w:rsidRPr="00EB14BD">
          <w:rPr>
            <w:rStyle w:val="Hipervnculo"/>
            <w:rFonts w:cstheme="majorHAnsi"/>
          </w:rPr>
          <w:t>https://observatorio.defensorianinez.cl/nota-tecnica-5-explotacion-sexual-a-ninas-ninos-y-adolescentes/</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(2023). Informe Anual 2023. </w:t>
      </w:r>
      <w:hyperlink r:id="rId36" w:history="1">
        <w:r w:rsidRPr="00EB14BD">
          <w:rPr>
            <w:rStyle w:val="Hipervnculo"/>
            <w:rFonts w:cstheme="majorHAnsi"/>
          </w:rPr>
          <w:t>https://www.defensorianinez.cl/informe-anual-2023/</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SUBSECRETARÍA DE LA NIÑEZ</w:t>
      </w:r>
      <w:r w:rsidRPr="00EB14BD">
        <w:rPr>
          <w:rFonts w:asciiTheme="majorHAnsi" w:hAnsiTheme="majorHAnsi" w:cstheme="majorHAnsi"/>
        </w:rPr>
        <w:t xml:space="preserve"> (2025). Informe de Seguimiento de Acciones Marco de Acción contra la Exploración Sexual de Niños, Niñas y Adolescentes (ESNNA).</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Documento especializado: violencia sexual digital contra niños, niñas y adolescentes. </w:t>
      </w:r>
      <w:hyperlink r:id="rId37" w:history="1">
        <w:r w:rsidRPr="00EB14BD">
          <w:rPr>
            <w:rStyle w:val="Hipervnculo"/>
            <w:rFonts w:cstheme="majorHAnsi"/>
          </w:rPr>
          <w:t>https://www.defensorianinez.cl/wp-content/uploads/2024/12/ESPECIALIZADO-VIOLENCIA-DIGITAL-FINAL.pdf</w:t>
        </w:r>
      </w:hyperlink>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CORPORACIÓN HUMANAS Y OTRAS</w:t>
      </w:r>
      <w:r w:rsidRPr="00EB14BD">
        <w:rPr>
          <w:rFonts w:asciiTheme="majorHAnsi" w:hAnsiTheme="majorHAnsi" w:cstheme="majorHAnsi"/>
        </w:rPr>
        <w:t xml:space="preserve"> (2025). Contribución de organizaciones sociedad civil a estudio de la Oficina del Alto Comisionado de las Naciones Unida para los Derechos Humanos (OACNUDH) sobre la vigilancia de los derechos humanos en el contexto de la migración, especialmente en las fronteras internacionales.</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INSTITUTO NACIONAL DE ESTADÍSTICA</w:t>
      </w:r>
      <w:r w:rsidRPr="00EB14BD">
        <w:rPr>
          <w:rFonts w:asciiTheme="majorHAnsi" w:hAnsiTheme="majorHAnsi" w:cstheme="majorHAnsi"/>
        </w:rPr>
        <w:t xml:space="preserve"> (INE) (2021).  Niñez y Adolescencia Migrante en Chile. Estimación de población. Análisis a partir de la estimación de personas extranjeras residentes en Chile al 31 de diciembre de 2021.</w:t>
      </w:r>
      <w:r w:rsidRPr="00EB14BD">
        <w:rPr>
          <w:rFonts w:asciiTheme="majorHAnsi" w:hAnsiTheme="majorHAnsi" w:cstheme="majorHAnsi"/>
          <w:lang w:val="es-ES"/>
        </w:rPr>
        <w:t xml:space="preserve"> </w:t>
      </w:r>
      <w:hyperlink r:id="rId38" w:history="1">
        <w:r w:rsidRPr="00EB14BD">
          <w:rPr>
            <w:rStyle w:val="Hipervnculo"/>
            <w:rFonts w:cstheme="majorHAnsi"/>
          </w:rPr>
          <w:t>https://www.unicef.org/chile/informes/ni%C3%B1ez-y-adolescencia-migrante-en-chile-estimaci%C3%B3n-de-poblaci%C3%B3n</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lang w:val="es-ES"/>
        </w:rPr>
        <w:t>UNICEF</w:t>
      </w:r>
      <w:r w:rsidRPr="00EB14BD">
        <w:rPr>
          <w:rFonts w:asciiTheme="majorHAnsi" w:hAnsiTheme="majorHAnsi" w:cstheme="majorHAnsi"/>
          <w:lang w:val="es-ES"/>
        </w:rPr>
        <w:t xml:space="preserve"> (2024). </w:t>
      </w:r>
      <w:r w:rsidRPr="00EB14BD">
        <w:rPr>
          <w:rFonts w:asciiTheme="majorHAnsi" w:hAnsiTheme="majorHAnsi" w:cstheme="majorHAnsi"/>
        </w:rPr>
        <w:t xml:space="preserve">Niñez y adolescencia migrante en Chile. Informe De Necesidades De Infancia Migrante En Las Regiones de Arica y Parinacota, Tarapacá y Antofagasta. Resumen ejecutivo. </w:t>
      </w:r>
      <w:hyperlink r:id="rId39" w:history="1">
        <w:r w:rsidRPr="00EB14BD">
          <w:rPr>
            <w:rStyle w:val="Hipervnculo"/>
            <w:rFonts w:cstheme="majorHAnsi"/>
          </w:rPr>
          <w:t>https://www.unicef.org/chile/informes/ninez-y-adolescencia-migrante-en-chile</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ORGANIZACIÓN INTERNACIONAL PARA LAS MIGRACIONES</w:t>
      </w:r>
      <w:r w:rsidRPr="00EB14BD">
        <w:rPr>
          <w:rFonts w:asciiTheme="majorHAnsi" w:hAnsiTheme="majorHAnsi" w:cstheme="majorHAnsi"/>
        </w:rPr>
        <w:t xml:space="preserve"> (OIM) (2022). Informe Sobre Las Migraciones En El Mundo. ONU Migración.   </w:t>
      </w:r>
      <w:hyperlink r:id="rId40" w:history="1">
        <w:r w:rsidRPr="00EB14BD">
          <w:rPr>
            <w:rStyle w:val="Hipervnculo"/>
            <w:rFonts w:cstheme="majorHAnsi"/>
          </w:rPr>
          <w:t>https://publications.iom.int/books/informe-sobre-las-migraciones-en-el-mundo-2022</w:t>
        </w:r>
      </w:hyperlink>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OBSERVATORIO SOCIAL DEL MINISTERIO DE DESARROLLO SOCIAL Y FAMILIA</w:t>
      </w:r>
      <w:r w:rsidRPr="00EB14BD">
        <w:rPr>
          <w:rFonts w:asciiTheme="majorHAnsi" w:hAnsiTheme="majorHAnsi" w:cstheme="majorHAnsi"/>
        </w:rPr>
        <w:t xml:space="preserve"> (2024). Informe de trabajo infantil en Chile. Resultados de la Encuesta de Actividades de Niños, Niñas y Adolescentes, EANNA 2023. </w:t>
      </w:r>
      <w:hyperlink r:id="rId41" w:history="1">
        <w:r w:rsidRPr="00EB14BD">
          <w:rPr>
            <w:rStyle w:val="Hipervnculo"/>
            <w:rFonts w:cstheme="majorHAnsi"/>
          </w:rPr>
          <w:t>https://observatorio.ministeriodesarrollosocial.gob.cl/eanna-2023</w:t>
        </w:r>
      </w:hyperlink>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ORGANIZACIÓN INTERNACIONAL DEL TRABAJO</w:t>
      </w:r>
      <w:r w:rsidRPr="00EB14BD">
        <w:rPr>
          <w:rFonts w:asciiTheme="majorHAnsi" w:hAnsiTheme="majorHAnsi" w:cstheme="majorHAnsi"/>
        </w:rPr>
        <w:t xml:space="preserve"> (OIT) (2003). Trabajo Infantil y Adolescente en Cifras. Síntesis de la Primera Encuesta Nacional y Registro de sus Peores Formas. </w:t>
      </w:r>
      <w:hyperlink r:id="rId42" w:history="1">
        <w:r w:rsidRPr="00EB14BD">
          <w:rPr>
            <w:rStyle w:val="Hipervnculo"/>
            <w:rFonts w:cstheme="majorHAnsi"/>
          </w:rPr>
          <w:t>https://www.dt.gob.cl/portal/1626/articles-61121_encuesta_trabajoinfantil.pdf</w:t>
        </w:r>
      </w:hyperlink>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lang w:val="en-US"/>
        </w:rPr>
      </w:pPr>
      <w:r w:rsidRPr="00EB14BD">
        <w:rPr>
          <w:rFonts w:asciiTheme="majorHAnsi" w:hAnsiTheme="majorHAnsi" w:cstheme="majorHAnsi"/>
          <w:b/>
        </w:rPr>
        <w:t>ORGANIZACIÓN INTERNACIONAL DEL TRABAJO (OIT) Y MINISTERIO DEL TRABAJO Y PREVISIÓN SOCIAL DE CHILE</w:t>
      </w:r>
      <w:r w:rsidRPr="00EB14BD">
        <w:rPr>
          <w:rFonts w:asciiTheme="majorHAnsi" w:hAnsiTheme="majorHAnsi" w:cstheme="majorHAnsi"/>
        </w:rPr>
        <w:t xml:space="preserve"> (2023). Crecer felices: estrategia nacional para la erradicación del trabajo infantil y protección del adolescente trabajador, 2015-2025. </w:t>
      </w:r>
      <w:r w:rsidRPr="00EB14BD">
        <w:rPr>
          <w:rFonts w:asciiTheme="majorHAnsi" w:hAnsiTheme="majorHAnsi" w:cstheme="majorHAnsi"/>
          <w:lang w:val="en-US"/>
        </w:rPr>
        <w:t xml:space="preserve">Santiago. </w:t>
      </w:r>
      <w:hyperlink r:id="rId43" w:anchor=":~:text=Las%20ni%C3%B1as%20son%20quienes%20en,m%C3%A1s%20perjudicadas%20las%20adolescentes%20mujeres" w:history="1">
        <w:r w:rsidRPr="00EB14BD">
          <w:rPr>
            <w:rStyle w:val="Hipervnculo"/>
            <w:rFonts w:cstheme="majorHAnsi"/>
            <w:lang w:val="en-US"/>
          </w:rPr>
          <w:t>https://www.mintrab.gob.cl/trabajo-</w:t>
        </w:r>
        <w:r w:rsidRPr="00EB14BD">
          <w:rPr>
            <w:rStyle w:val="Hipervnculo"/>
            <w:rFonts w:cstheme="majorHAnsi"/>
            <w:lang w:val="en-US"/>
          </w:rPr>
          <w:lastRenderedPageBreak/>
          <w:t>infantil/#:~:text=Las%20ni%C3%B1as%20son%20quienes%20en,m%C3%A1s%20perjudicadas%20las%20adolescentes%20mujeres</w:t>
        </w:r>
      </w:hyperlink>
    </w:p>
    <w:p w:rsidR="00DC4564" w:rsidRPr="00EB14BD" w:rsidRDefault="00DC4564" w:rsidP="00CB7D0F">
      <w:pPr>
        <w:pStyle w:val="Prrafodelista"/>
        <w:tabs>
          <w:tab w:val="left" w:pos="426"/>
        </w:tabs>
        <w:ind w:left="0"/>
        <w:jc w:val="both"/>
        <w:rPr>
          <w:rFonts w:asciiTheme="majorHAnsi" w:hAnsiTheme="majorHAnsi" w:cstheme="majorHAnsi"/>
          <w:lang w:val="en-US"/>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Documento de trabajo 4, Niños, niñas y adolescentes víctimas de homicidio y lesiones por armas de fuego. </w:t>
      </w:r>
      <w:hyperlink r:id="rId44" w:history="1">
        <w:r w:rsidRPr="00EB14BD">
          <w:rPr>
            <w:rStyle w:val="Hipervnculo"/>
            <w:rFonts w:cstheme="majorHAnsi"/>
          </w:rPr>
          <w:t>https://observatorio.defensorianinez.cl/wp-content/uploads/2024/01/Documento-de-trabajo-Armas-de-fuego.pdf</w:t>
        </w:r>
      </w:hyperlink>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rPr>
        <w:t xml:space="preserve">Análisis de la Jefatura Nacional Antinarcóticos y Contra El Crimen Organizado de la policía civil, Policía de Investigaciones.  </w:t>
      </w:r>
      <w:hyperlink r:id="rId45" w:history="1">
        <w:r w:rsidRPr="00EB14BD">
          <w:rPr>
            <w:rStyle w:val="Hipervnculo"/>
            <w:rFonts w:cstheme="majorHAnsi"/>
          </w:rPr>
          <w:t>https://www.latercera.com/la-tercera-pm/noticia/pdi-revela-el-perfil-del-narcoadolescente-chileno-escolarizados-distribuidores-de-drogas-y-edad-promedio-de-16-anos/FYEYETZZUZH65PG3NP3D2NBRRE/</w:t>
        </w:r>
      </w:hyperlink>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CORPORACION OPCION</w:t>
      </w:r>
      <w:r w:rsidRPr="00EB14BD">
        <w:rPr>
          <w:rFonts w:asciiTheme="majorHAnsi" w:hAnsiTheme="majorHAnsi" w:cstheme="majorHAnsi"/>
        </w:rPr>
        <w:t xml:space="preserve"> (2023-2024). Análisis Georreferenciado de la accesibilidad a servicios sociales de niños, niñas y adolescentes, atendidos en programas de Corporación Opción. </w:t>
      </w:r>
      <w:hyperlink r:id="rId46" w:history="1">
        <w:r w:rsidRPr="00EB14BD">
          <w:rPr>
            <w:rStyle w:val="Hipervnculo"/>
            <w:rFonts w:cstheme="majorHAnsi"/>
          </w:rPr>
          <w:t>https://opcion.cl/analisis-georreferenciado-de-la-accesibilidad-a-servicios-sociales-de-ninos-ninas-y-adolescentes-atendidos-en-programas-de-corporacion-opcion/</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LEY N°21.218</w:t>
      </w:r>
      <w:r w:rsidRPr="00EB14BD">
        <w:rPr>
          <w:rFonts w:asciiTheme="majorHAnsi" w:hAnsiTheme="majorHAnsi" w:cstheme="majorHAnsi"/>
        </w:rPr>
        <w:t xml:space="preserve"> Aula Segura.</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Default="00597427" w:rsidP="00CB7D0F">
      <w:pPr>
        <w:pStyle w:val="Prrafodelista"/>
        <w:numPr>
          <w:ilvl w:val="0"/>
          <w:numId w:val="17"/>
        </w:numPr>
        <w:tabs>
          <w:tab w:val="left" w:pos="426"/>
        </w:tabs>
        <w:ind w:left="0" w:firstLine="0"/>
        <w:jc w:val="both"/>
        <w:rPr>
          <w:rFonts w:asciiTheme="majorHAnsi" w:hAnsiTheme="majorHAnsi" w:cstheme="majorHAnsi"/>
          <w:lang w:val="en-US"/>
        </w:rPr>
      </w:pPr>
      <w:r w:rsidRPr="00597427">
        <w:rPr>
          <w:rFonts w:asciiTheme="majorHAnsi" w:hAnsiTheme="majorHAnsi" w:cstheme="majorHAnsi"/>
          <w:lang w:val="en-US"/>
        </w:rPr>
        <w:t>The Children and Youth Group of Corporación OPCIÓN held workshops and organized activism between March and November 2023, with 12 children and adolescents from the municipalities of Rancagua, Rengo, San Fernando, and Santa Cruz in the Libertador General Bernardo O'Higgins region (central zone).</w:t>
      </w:r>
      <w:r w:rsidR="00DC4564" w:rsidRPr="00597427">
        <w:rPr>
          <w:rFonts w:asciiTheme="majorHAnsi" w:hAnsiTheme="majorHAnsi" w:cstheme="majorHAnsi"/>
          <w:lang w:val="en-US"/>
        </w:rPr>
        <w:t xml:space="preserve"> </w:t>
      </w:r>
    </w:p>
    <w:p w:rsidR="00597427" w:rsidRPr="00597427" w:rsidRDefault="00597427" w:rsidP="00CB7D0F">
      <w:pPr>
        <w:pStyle w:val="Prrafodelista"/>
        <w:tabs>
          <w:tab w:val="left" w:pos="426"/>
        </w:tabs>
        <w:ind w:left="0"/>
        <w:rPr>
          <w:rFonts w:asciiTheme="majorHAnsi" w:hAnsiTheme="majorHAnsi" w:cstheme="majorHAnsi"/>
          <w:lang w:val="en-US"/>
        </w:rPr>
      </w:pPr>
    </w:p>
    <w:p w:rsidR="00597427" w:rsidRPr="00597427" w:rsidRDefault="00597427" w:rsidP="00CB7D0F">
      <w:pPr>
        <w:pStyle w:val="Prrafodelista"/>
        <w:tabs>
          <w:tab w:val="left" w:pos="426"/>
        </w:tabs>
        <w:ind w:left="0"/>
        <w:jc w:val="both"/>
        <w:rPr>
          <w:rFonts w:asciiTheme="majorHAnsi" w:hAnsiTheme="majorHAnsi" w:cstheme="majorHAnsi"/>
          <w:lang w:val="en-US"/>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MINISTERIO DE VIVIENDA Y URBANISMO</w:t>
      </w:r>
      <w:r w:rsidRPr="00EB14BD">
        <w:rPr>
          <w:rFonts w:asciiTheme="majorHAnsi" w:hAnsiTheme="majorHAnsi" w:cstheme="majorHAnsi"/>
        </w:rPr>
        <w:t xml:space="preserve"> (2022). Catastro Nacional de Campamentos 2022. </w:t>
      </w:r>
      <w:hyperlink r:id="rId47" w:history="1">
        <w:r w:rsidRPr="00EB14BD">
          <w:rPr>
            <w:rStyle w:val="Hipervnculo"/>
            <w:rFonts w:cstheme="majorHAnsi"/>
          </w:rPr>
          <w:t>https://media.elmostrador.cl/2022/10/Catastro-Nacional-de-Campamentos-2022.pdf</w:t>
        </w:r>
      </w:hyperlink>
      <w:r w:rsidRPr="00EB14BD">
        <w:rPr>
          <w:rStyle w:val="Hipervnculo"/>
          <w:rFonts w:cstheme="majorHAnsi"/>
        </w:rPr>
        <w:t xml:space="preserve"> </w:t>
      </w:r>
      <w:r w:rsidRPr="00597427">
        <w:rPr>
          <w:rStyle w:val="Hipervnculo"/>
          <w:rFonts w:cstheme="majorHAnsi"/>
          <w:color w:val="auto"/>
        </w:rPr>
        <w:t xml:space="preserve">y </w:t>
      </w:r>
      <w:hyperlink r:id="rId48" w:history="1">
        <w:r w:rsidRPr="00EB14BD">
          <w:rPr>
            <w:rStyle w:val="Hipervnculo"/>
            <w:rFonts w:cstheme="majorHAnsi"/>
          </w:rPr>
          <w:t>https://www.minvu.gob.cl/wp-content/uploads/2022/11/Presentacion-CNC-Nacional-VF-LANDING.pdf</w:t>
        </w:r>
      </w:hyperlink>
      <w:r w:rsidRPr="00EB14BD">
        <w:rPr>
          <w:rStyle w:val="Hipervnculo"/>
          <w:rFonts w:cstheme="majorHAnsi"/>
          <w:color w:val="auto"/>
        </w:rPr>
        <w:t xml:space="preserve"> </w:t>
      </w:r>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Informe Anual 2024. </w:t>
      </w:r>
      <w:hyperlink r:id="rId49" w:history="1">
        <w:r w:rsidRPr="00EB14BD">
          <w:rPr>
            <w:rStyle w:val="Hipervnculo"/>
            <w:rFonts w:cstheme="majorHAnsi"/>
          </w:rPr>
          <w:t>https://www.defensorianinez.cl/informe-anual-2024/</w:t>
        </w:r>
      </w:hyperlink>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LEY 21.450</w:t>
      </w:r>
      <w:r w:rsidRPr="00EB14BD">
        <w:rPr>
          <w:rFonts w:asciiTheme="majorHAnsi" w:hAnsiTheme="majorHAnsi" w:cstheme="majorHAnsi"/>
        </w:rPr>
        <w:t xml:space="preserve"> Sobre Integración Social En La Planificación Urbana, Gestión De Suelo Y Plan De Emergencia Habitacional.</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DECRETO 4/2024</w:t>
      </w:r>
      <w:r w:rsidRPr="00EB14BD">
        <w:rPr>
          <w:rFonts w:asciiTheme="majorHAnsi" w:hAnsiTheme="majorHAnsi" w:cstheme="majorHAnsi"/>
        </w:rPr>
        <w:t xml:space="preserve"> del Ministerio De Desarrollo Social Y Familia; Subsecretaría De La Niñez, Aprueba La Política Nacional De La Niñez Y Adolescencia Y Su Plan De Acción 2024-2032. Publicado en 2025.</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DEFENSORÍA DE LA NIÑEZ</w:t>
      </w:r>
      <w:r w:rsidRPr="00EB14BD">
        <w:rPr>
          <w:rFonts w:asciiTheme="majorHAnsi" w:hAnsiTheme="majorHAnsi" w:cstheme="majorHAnsi"/>
        </w:rPr>
        <w:t xml:space="preserve"> (2024). Estudio de políticas públicas relacionadas con la salud mental de niños, niñas y adolescentes.  </w:t>
      </w:r>
      <w:hyperlink r:id="rId50" w:history="1">
        <w:r w:rsidRPr="00EB14BD">
          <w:rPr>
            <w:rStyle w:val="Hipervnculo"/>
            <w:rFonts w:cstheme="majorHAnsi"/>
          </w:rPr>
          <w:t>https://www.defensorianinez.cl/estud_y_estadi/estudio-de-politicas-publicas-relacionadas-con-la-salud-mental-de-ninos-ninas-y-adolescentes/</w:t>
        </w:r>
      </w:hyperlink>
    </w:p>
    <w:p w:rsidR="00DC4564" w:rsidRPr="00EB14BD" w:rsidRDefault="00DC4564" w:rsidP="00CB7D0F">
      <w:pPr>
        <w:pStyle w:val="Prrafodelista"/>
        <w:tabs>
          <w:tab w:val="left" w:pos="426"/>
        </w:tabs>
        <w:ind w:left="0"/>
        <w:jc w:val="both"/>
        <w:rPr>
          <w:rFonts w:asciiTheme="majorHAnsi" w:hAnsiTheme="majorHAnsi" w:cstheme="majorHAnsi"/>
        </w:rPr>
      </w:pPr>
      <w:r w:rsidRPr="00EB14BD">
        <w:rPr>
          <w:rFonts w:asciiTheme="majorHAnsi" w:hAnsiTheme="majorHAnsi" w:cstheme="majorHAnsi"/>
        </w:rPr>
        <w:t xml:space="preserve"> </w:t>
      </w: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LEY 21.331</w:t>
      </w:r>
      <w:r w:rsidRPr="00EB14BD">
        <w:rPr>
          <w:rFonts w:asciiTheme="majorHAnsi" w:hAnsiTheme="majorHAnsi" w:cstheme="majorHAnsi"/>
        </w:rPr>
        <w:t xml:space="preserve"> Del Reconocimiento y Protección de los Derechos de las Personas en la Atención de Salud Mental de 2021.</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rPr>
        <w:lastRenderedPageBreak/>
        <w:t xml:space="preserve">Por ejemplo: Nueva ley de salud mental: ¿cuáles son sus implicancias”.  </w:t>
      </w:r>
      <w:hyperlink r:id="rId51" w:history="1">
        <w:r w:rsidRPr="00EB14BD">
          <w:rPr>
            <w:rStyle w:val="Hipervnculo"/>
            <w:rFonts w:cstheme="majorHAnsi"/>
          </w:rPr>
          <w:t>https://uchile.cl/noticias/178018/nueva-ley-de-salud-mental-cuales-son-sus-implicancias</w:t>
        </w:r>
      </w:hyperlink>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SENADO DE LA REPUBLICA DE CHILE</w:t>
      </w:r>
      <w:r w:rsidRPr="00EB14BD">
        <w:rPr>
          <w:rFonts w:asciiTheme="majorHAnsi" w:hAnsiTheme="majorHAnsi" w:cstheme="majorHAnsi"/>
        </w:rPr>
        <w:t>, Proyecto de Ley Boletín 17003-11.</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LEY 20.418</w:t>
      </w:r>
      <w:r w:rsidRPr="00EB14BD">
        <w:rPr>
          <w:rFonts w:asciiTheme="majorHAnsi" w:hAnsiTheme="majorHAnsi" w:cstheme="majorHAnsi"/>
        </w:rPr>
        <w:t xml:space="preserve"> Fija Normas Sobre Información, Orientación Y Prestaciones En Materia De Regulación De La Fertilidad.</w:t>
      </w:r>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SENTENCIA DEL TRIBUNAL CONSTITUCIONAL</w:t>
      </w:r>
      <w:r w:rsidRPr="00EB14BD">
        <w:rPr>
          <w:rFonts w:asciiTheme="majorHAnsi" w:hAnsiTheme="majorHAnsi" w:cstheme="majorHAnsi"/>
        </w:rPr>
        <w:t xml:space="preserve"> Rol 15.276-2024 de 08 de abril de 2024. </w:t>
      </w:r>
      <w:hyperlink r:id="rId52" w:history="1">
        <w:r w:rsidRPr="00EB14BD">
          <w:rPr>
            <w:rStyle w:val="Hipervnculo"/>
            <w:rFonts w:cstheme="majorHAnsi"/>
          </w:rPr>
          <w:t>https://tramitacion.tcchile.cl/tc/download/304653?inlineifpossible=true</w:t>
        </w:r>
      </w:hyperlink>
    </w:p>
    <w:p w:rsidR="00DC4564" w:rsidRPr="00EB14BD" w:rsidRDefault="00DC4564" w:rsidP="00CB7D0F">
      <w:pPr>
        <w:pStyle w:val="Prrafodelista"/>
        <w:tabs>
          <w:tab w:val="left" w:pos="426"/>
        </w:tabs>
        <w:ind w:left="0"/>
        <w:jc w:val="both"/>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b/>
        </w:rPr>
        <w:t>INSTITUTO NACIONAL DE DERECHOS HUMANOS (INDH).</w:t>
      </w:r>
      <w:r w:rsidRPr="00EB14BD">
        <w:rPr>
          <w:rFonts w:asciiTheme="majorHAnsi" w:hAnsiTheme="majorHAnsi" w:cstheme="majorHAnsi"/>
        </w:rPr>
        <w:t xml:space="preserve"> Contribución a la Lista de Cuestiones Previas. Comité de Derechos Económicos, Sociales y Culturales. Quinto Informe Periódico de Chile.</w:t>
      </w:r>
    </w:p>
    <w:p w:rsidR="00DC4564" w:rsidRPr="00EB14BD" w:rsidRDefault="00DC4564" w:rsidP="00CB7D0F">
      <w:pPr>
        <w:pStyle w:val="Prrafodelista"/>
        <w:tabs>
          <w:tab w:val="left" w:pos="426"/>
        </w:tabs>
        <w:ind w:left="0"/>
        <w:rPr>
          <w:rFonts w:asciiTheme="majorHAnsi" w:hAnsiTheme="majorHAnsi" w:cstheme="majorHAnsi"/>
        </w:rPr>
      </w:pPr>
    </w:p>
    <w:p w:rsidR="00DC4564" w:rsidRPr="00597427" w:rsidRDefault="00597427" w:rsidP="00CB7D0F">
      <w:pPr>
        <w:pStyle w:val="Prrafodelista"/>
        <w:numPr>
          <w:ilvl w:val="0"/>
          <w:numId w:val="17"/>
        </w:numPr>
        <w:tabs>
          <w:tab w:val="left" w:pos="426"/>
        </w:tabs>
        <w:ind w:left="0" w:firstLine="0"/>
        <w:jc w:val="both"/>
        <w:rPr>
          <w:rFonts w:asciiTheme="majorHAnsi" w:hAnsiTheme="majorHAnsi" w:cstheme="majorHAnsi"/>
          <w:lang w:val="en-US"/>
        </w:rPr>
      </w:pPr>
      <w:r w:rsidRPr="00597427">
        <w:rPr>
          <w:rFonts w:asciiTheme="majorHAnsi" w:hAnsiTheme="majorHAnsi" w:cstheme="majorHAnsi"/>
          <w:lang w:val="en-US"/>
        </w:rPr>
        <w:t>Provisional detention in closed facilities is a precautionary measure provided for in Law 20.084 on Adolescent Criminal Responsibility, which applies in cases where the conduct committed by the adolescent would constitute a crime if he or she were over 18 years of age</w:t>
      </w:r>
      <w:r w:rsidR="00DC4564" w:rsidRPr="00597427">
        <w:rPr>
          <w:rFonts w:asciiTheme="majorHAnsi" w:hAnsiTheme="majorHAnsi" w:cstheme="majorHAnsi"/>
          <w:lang w:val="en-US"/>
        </w:rPr>
        <w:t>.</w:t>
      </w:r>
    </w:p>
    <w:p w:rsidR="00DC4564" w:rsidRPr="00597427" w:rsidRDefault="00DC4564" w:rsidP="00CB7D0F">
      <w:pPr>
        <w:pStyle w:val="Prrafodelista"/>
        <w:tabs>
          <w:tab w:val="left" w:pos="426"/>
        </w:tabs>
        <w:ind w:left="0"/>
        <w:rPr>
          <w:rFonts w:asciiTheme="majorHAnsi" w:hAnsiTheme="majorHAnsi" w:cstheme="majorHAnsi"/>
          <w:lang w:val="en-US"/>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rPr>
        <w:t xml:space="preserve">SENDA (2021). Estrategia Nacional de Drogas 2021-2030. </w:t>
      </w:r>
      <w:hyperlink r:id="rId53" w:history="1">
        <w:r w:rsidRPr="00EB14BD">
          <w:rPr>
            <w:rStyle w:val="Hipervnculo"/>
            <w:rFonts w:cstheme="majorHAnsi"/>
          </w:rPr>
          <w:t>https://www.senda.gob.cl/wp-content/uploads/2021/02/Estrategia-Nacional-de-Drogas-version-web.pdf</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rPr>
          <w:rFonts w:asciiTheme="majorHAnsi" w:hAnsiTheme="majorHAnsi" w:cstheme="majorHAnsi"/>
        </w:rPr>
      </w:pPr>
    </w:p>
    <w:p w:rsidR="00DC4564" w:rsidRPr="00EB14BD"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rPr>
        <w:t xml:space="preserve">Servicio Nacional para la Prevención y Rehabilitación del Consumo de Drogas y Alcohol (SENDA), </w:t>
      </w:r>
      <w:hyperlink r:id="rId54" w:history="1">
        <w:r w:rsidRPr="00EB14BD">
          <w:rPr>
            <w:rStyle w:val="Hipervnculo"/>
            <w:rFonts w:cstheme="majorHAnsi"/>
          </w:rPr>
          <w:t>https://www.senda.gob.cl/</w:t>
        </w:r>
      </w:hyperlink>
      <w:r w:rsidRPr="00EB14BD">
        <w:rPr>
          <w:rFonts w:asciiTheme="majorHAnsi" w:hAnsiTheme="majorHAnsi" w:cstheme="majorHAnsi"/>
        </w:rPr>
        <w:t xml:space="preserve"> </w:t>
      </w:r>
    </w:p>
    <w:p w:rsidR="00DC4564" w:rsidRPr="00EB14BD" w:rsidRDefault="00DC4564" w:rsidP="00CB7D0F">
      <w:pPr>
        <w:pStyle w:val="Prrafodelista"/>
        <w:tabs>
          <w:tab w:val="left" w:pos="426"/>
        </w:tabs>
        <w:ind w:left="0"/>
        <w:rPr>
          <w:rFonts w:asciiTheme="majorHAnsi" w:hAnsiTheme="majorHAnsi" w:cstheme="majorHAnsi"/>
        </w:rPr>
      </w:pPr>
    </w:p>
    <w:p w:rsidR="00DC4564" w:rsidRDefault="00DC4564" w:rsidP="00CB7D0F">
      <w:pPr>
        <w:pStyle w:val="Prrafodelista"/>
        <w:numPr>
          <w:ilvl w:val="0"/>
          <w:numId w:val="17"/>
        </w:numPr>
        <w:tabs>
          <w:tab w:val="left" w:pos="426"/>
        </w:tabs>
        <w:ind w:left="0" w:firstLine="0"/>
        <w:jc w:val="both"/>
        <w:rPr>
          <w:rFonts w:asciiTheme="majorHAnsi" w:hAnsiTheme="majorHAnsi" w:cstheme="majorHAnsi"/>
        </w:rPr>
      </w:pPr>
      <w:r w:rsidRPr="00EB14BD">
        <w:rPr>
          <w:rFonts w:asciiTheme="majorHAnsi" w:hAnsiTheme="majorHAnsi" w:cstheme="majorHAnsi"/>
        </w:rPr>
        <w:t xml:space="preserve">PROGRAMA DE ACOMPAÑAMIENTO Y CUIDADO A VICTIMAS DE TRAUMA OCULAR, </w:t>
      </w:r>
      <w:hyperlink r:id="rId55" w:history="1">
        <w:r w:rsidRPr="00EB14BD">
          <w:rPr>
            <w:rStyle w:val="Hipervnculo"/>
            <w:rFonts w:cstheme="majorHAnsi"/>
          </w:rPr>
          <w:t>https://www.gob.cl/pacto/</w:t>
        </w:r>
      </w:hyperlink>
      <w:r w:rsidRPr="00EB14BD">
        <w:rPr>
          <w:rFonts w:asciiTheme="majorHAnsi" w:hAnsiTheme="majorHAnsi" w:cstheme="majorHAnsi"/>
        </w:rPr>
        <w:t xml:space="preserve"> </w:t>
      </w:r>
    </w:p>
    <w:p w:rsidR="00DC4564" w:rsidRPr="00DC4564" w:rsidRDefault="00DC4564" w:rsidP="00CB7D0F">
      <w:pPr>
        <w:tabs>
          <w:tab w:val="left" w:pos="426"/>
        </w:tabs>
        <w:jc w:val="center"/>
        <w:rPr>
          <w:rFonts w:asciiTheme="majorHAnsi" w:hAnsiTheme="majorHAnsi" w:cstheme="majorHAnsi"/>
          <w:lang w:val="en-US"/>
        </w:rPr>
      </w:pPr>
      <w:r w:rsidRPr="00DC4564">
        <w:rPr>
          <w:rFonts w:ascii="Calibri" w:hAnsi="Calibri" w:cs="Calibri"/>
          <w:lang w:val="en-US"/>
        </w:rPr>
        <w:t>§§§</w:t>
      </w:r>
    </w:p>
    <w:p w:rsidR="00DC4564" w:rsidRPr="00DC4564" w:rsidRDefault="00DC4564" w:rsidP="00CB7D0F">
      <w:pPr>
        <w:pStyle w:val="Prrafodelista"/>
        <w:tabs>
          <w:tab w:val="left" w:pos="284"/>
          <w:tab w:val="left" w:pos="426"/>
          <w:tab w:val="left" w:pos="567"/>
        </w:tabs>
        <w:spacing w:line="240" w:lineRule="auto"/>
        <w:ind w:left="0"/>
        <w:jc w:val="both"/>
        <w:rPr>
          <w:rFonts w:asciiTheme="majorHAnsi" w:hAnsiTheme="majorHAnsi" w:cs="Times New Roman"/>
          <w:b/>
          <w:lang w:val="en-US"/>
        </w:rPr>
      </w:pPr>
    </w:p>
    <w:p w:rsidR="00DC4564" w:rsidRPr="00DC4564" w:rsidRDefault="00DC4564" w:rsidP="00CB7D0F">
      <w:pPr>
        <w:tabs>
          <w:tab w:val="left" w:pos="284"/>
          <w:tab w:val="left" w:pos="426"/>
          <w:tab w:val="left" w:pos="567"/>
        </w:tabs>
        <w:spacing w:line="240" w:lineRule="auto"/>
        <w:jc w:val="both"/>
        <w:rPr>
          <w:rFonts w:asciiTheme="majorHAnsi" w:hAnsiTheme="majorHAnsi" w:cs="Times New Roman"/>
          <w:b/>
          <w:lang w:val="en-US"/>
        </w:rPr>
      </w:pPr>
    </w:p>
    <w:p w:rsidR="00DC4564" w:rsidRPr="00E66E04" w:rsidRDefault="00DC4564" w:rsidP="00CB7D0F">
      <w:pPr>
        <w:tabs>
          <w:tab w:val="left" w:pos="426"/>
        </w:tabs>
        <w:spacing w:after="0" w:line="240" w:lineRule="auto"/>
        <w:jc w:val="both"/>
        <w:rPr>
          <w:rFonts w:asciiTheme="majorHAnsi" w:hAnsiTheme="majorHAnsi" w:cstheme="majorHAnsi"/>
          <w:lang w:val="en-US"/>
        </w:rPr>
      </w:pPr>
    </w:p>
    <w:sectPr w:rsidR="00DC4564" w:rsidRPr="00E66E04" w:rsidSect="00B65D97">
      <w:pgSz w:w="12240" w:h="15840"/>
      <w:pgMar w:top="1417" w:right="1467" w:bottom="1417" w:left="1276"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7ED" w:rsidRDefault="00B277ED" w:rsidP="00103365">
      <w:pPr>
        <w:spacing w:after="0" w:line="240" w:lineRule="auto"/>
      </w:pPr>
      <w:r>
        <w:separator/>
      </w:r>
    </w:p>
  </w:endnote>
  <w:endnote w:type="continuationSeparator" w:id="0">
    <w:p w:rsidR="00B277ED" w:rsidRDefault="00B277ED" w:rsidP="001033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MV Bol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564" w:rsidRDefault="00DC4564">
    <w:pPr>
      <w:pStyle w:val="Piedepgina"/>
    </w:pPr>
    <w:r>
      <w:rPr>
        <w:noProof/>
        <w:color w:val="808080" w:themeColor="background1" w:themeShade="80"/>
        <w:lang w:val="en-US"/>
      </w:rPr>
      <mc:AlternateContent>
        <mc:Choice Requires="wpg">
          <w:drawing>
            <wp:anchor distT="0" distB="0" distL="0" distR="0" simplePos="0" relativeHeight="251661312" behindDoc="0" locked="0" layoutInCell="1" allowOverlap="1">
              <wp:simplePos x="0" y="0"/>
              <wp:positionH relativeFrom="margin">
                <wp:align>right</wp:align>
              </wp:positionH>
              <mc:AlternateContent>
                <mc:Choice Requires="wp14">
                  <wp:positionV relativeFrom="bottomMargin">
                    <wp14:pctPosVOffset>20000</wp14:pctPosVOffset>
                  </wp:positionV>
                </mc:Choice>
                <mc:Fallback>
                  <wp:positionV relativeFrom="page">
                    <wp:posOffset>9338310</wp:posOffset>
                  </wp:positionV>
                </mc:Fallback>
              </mc:AlternateContent>
              <wp:extent cx="5943600" cy="320040"/>
              <wp:effectExtent l="0" t="0" r="0" b="3810"/>
              <wp:wrapSquare wrapText="bothSides"/>
              <wp:docPr id="37" name="Grupo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ángulo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Cuadro de texto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1063724354"/>
                              <w:dataBinding w:prefixMappings="xmlns:ns0='http://schemas.microsoft.com/office/2006/coverPageProps' " w:xpath="/ns0:CoverPageProperties[1]/ns0:PublishDate[1]" w:storeItemID="{55AF091B-3C7A-41E3-B477-F2FDAA23CFDA}"/>
                              <w:date w:fullDate="2025-09-01T00:00:00Z">
                                <w:dateFormat w:val="d 'de' MMMM 'de' yyyy"/>
                                <w:lid w:val="es-ES"/>
                                <w:storeMappedDataAs w:val="dateTime"/>
                                <w:calendar w:val="gregorian"/>
                              </w:date>
                            </w:sdtPr>
                            <w:sdtEndPr/>
                            <w:sdtContent>
                              <w:p w:rsidR="00DC4564" w:rsidRDefault="00003B6E">
                                <w:pPr>
                                  <w:jc w:val="right"/>
                                  <w:rPr>
                                    <w:color w:val="7F7F7F" w:themeColor="text1" w:themeTint="80"/>
                                  </w:rPr>
                                </w:pPr>
                                <w:r>
                                  <w:rPr>
                                    <w:color w:val="7F7F7F" w:themeColor="text1" w:themeTint="80"/>
                                    <w:lang w:val="es-ES"/>
                                  </w:rPr>
                                  <w:t>1 de septiembre de 2025</w:t>
                                </w:r>
                              </w:p>
                            </w:sdtContent>
                          </w:sdt>
                          <w:p w:rsidR="00DC4564" w:rsidRDefault="00DC4564">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id="Grupo 37" o:spid="_x0000_s1027" style="position:absolute;margin-left:416.8pt;margin-top:0;width:468pt;height:25.2pt;z-index:251661312;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">
              <v:rect id="Rectángulo 38" o:spid="_x0000_s1028"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Cuadro de texto 39" o:spid="_x0000_s1029"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Fecha"/>
                        <w:tag w:val=""/>
                        <w:id w:val="-1063724354"/>
                        <w:dataBinding w:prefixMappings="xmlns:ns0='http://schemas.microsoft.com/office/2006/coverPageProps' " w:xpath="/ns0:CoverPageProperties[1]/ns0:PublishDate[1]" w:storeItemID="{55AF091B-3C7A-41E3-B477-F2FDAA23CFDA}"/>
                        <w:date w:fullDate="2025-09-01T00:00:00Z">
                          <w:dateFormat w:val="d 'de' MMMM 'de' yyyy"/>
                          <w:lid w:val="es-ES"/>
                          <w:storeMappedDataAs w:val="dateTime"/>
                          <w:calendar w:val="gregorian"/>
                        </w:date>
                      </w:sdtPr>
                      <w:sdtEndPr/>
                      <w:sdtContent>
                        <w:p w:rsidR="00DC4564" w:rsidRDefault="00003B6E">
                          <w:pPr>
                            <w:jc w:val="right"/>
                            <w:rPr>
                              <w:color w:val="7F7F7F" w:themeColor="text1" w:themeTint="80"/>
                            </w:rPr>
                          </w:pPr>
                          <w:r>
                            <w:rPr>
                              <w:color w:val="7F7F7F" w:themeColor="text1" w:themeTint="80"/>
                              <w:lang w:val="es-ES"/>
                            </w:rPr>
                            <w:t>1 de septiembre de 2025</w:t>
                          </w:r>
                        </w:p>
                      </w:sdtContent>
                    </w:sdt>
                    <w:p w:rsidR="00DC4564" w:rsidRDefault="00DC4564">
                      <w:pPr>
                        <w:jc w:val="right"/>
                        <w:rPr>
                          <w:color w:val="808080" w:themeColor="background1" w:themeShade="80"/>
                        </w:rPr>
                      </w:pPr>
                    </w:p>
                  </w:txbxContent>
                </v:textbox>
              </v:shape>
              <w10:wrap type="square" anchorx="margin" anchory="margin"/>
            </v:group>
          </w:pict>
        </mc:Fallback>
      </mc:AlternateContent>
    </w:r>
    <w:r>
      <w:rPr>
        <w:noProof/>
        <w:lang w:val="en-US"/>
      </w:rPr>
      <mc:AlternateContent>
        <mc:Choice Requires="wps">
          <w:drawing>
            <wp:anchor distT="0" distB="0" distL="0" distR="0" simplePos="0" relativeHeight="251660288" behindDoc="0" locked="0" layoutInCell="1" allowOverlap="1">
              <wp:simplePos x="0" y="0"/>
              <wp:positionH relativeFrom="rightMargin">
                <wp:align>left</wp:align>
              </wp:positionH>
              <mc:AlternateContent>
                <mc:Choice Requires="wp14">
                  <wp:positionV relativeFrom="bottomMargin">
                    <wp14:pctPosVOffset>20000</wp14:pctPosVOffset>
                  </wp:positionV>
                </mc:Choice>
                <mc:Fallback>
                  <wp:positionV relativeFrom="page">
                    <wp:posOffset>9338310</wp:posOffset>
                  </wp:positionV>
                </mc:Fallback>
              </mc:AlternateContent>
              <wp:extent cx="457200" cy="320040"/>
              <wp:effectExtent l="0" t="0" r="0" b="3810"/>
              <wp:wrapSquare wrapText="bothSides"/>
              <wp:docPr id="40" name="Rectángulo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DC4564" w:rsidRDefault="00DC4564">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AD1FAC" w:rsidRPr="00AD1FAC">
                            <w:rPr>
                              <w:noProof/>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40" o:spid="_x0000_s1030" style="position:absolute;margin-left:0;margin-top:0;width:36pt;height:25.2pt;z-index:251660288;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" fillcolor="black [3213]" stroked="f" strokeweight="3pt">
              <v:textbox>
                <w:txbxContent>
                  <w:p w:rsidR="00DC4564" w:rsidRDefault="00DC4564">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AD1FAC" w:rsidRPr="00AD1FAC">
                      <w:rPr>
                        <w:noProof/>
                        <w:color w:val="FFFFFF" w:themeColor="background1"/>
                        <w:sz w:val="28"/>
                        <w:szCs w:val="28"/>
                        <w:lang w:val="es-ES"/>
                      </w:rPr>
                      <w:t>2</w:t>
                    </w:r>
                    <w:r>
                      <w:rPr>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7ED" w:rsidRDefault="00B277ED" w:rsidP="00103365">
      <w:pPr>
        <w:spacing w:after="0" w:line="240" w:lineRule="auto"/>
      </w:pPr>
      <w:r>
        <w:separator/>
      </w:r>
    </w:p>
  </w:footnote>
  <w:footnote w:type="continuationSeparator" w:id="0">
    <w:p w:rsidR="00B277ED" w:rsidRDefault="00B277ED" w:rsidP="001033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3C9" w:rsidRPr="00AD33C9" w:rsidRDefault="00103365" w:rsidP="00AD33C9">
    <w:pPr>
      <w:pStyle w:val="Encabezado"/>
      <w:jc w:val="right"/>
      <w:rPr>
        <w:sz w:val="16"/>
        <w:szCs w:val="16"/>
      </w:rPr>
    </w:pPr>
    <w:r w:rsidRPr="00AD33C9">
      <w:rPr>
        <w:noProof/>
        <w:sz w:val="16"/>
        <w:szCs w:val="16"/>
        <w:lang w:val="en-US"/>
      </w:rPr>
      <w:drawing>
        <wp:anchor distT="0" distB="0" distL="114300" distR="114300" simplePos="0" relativeHeight="251658240" behindDoc="1" locked="0" layoutInCell="1" allowOverlap="1">
          <wp:simplePos x="0" y="0"/>
          <wp:positionH relativeFrom="column">
            <wp:posOffset>2326345</wp:posOffset>
          </wp:positionH>
          <wp:positionV relativeFrom="paragraph">
            <wp:posOffset>-3013</wp:posOffset>
          </wp:positionV>
          <wp:extent cx="1371600" cy="518577"/>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1600" cy="518577"/>
                  </a:xfrm>
                  <a:prstGeom prst="rect">
                    <a:avLst/>
                  </a:prstGeom>
                </pic:spPr>
              </pic:pic>
            </a:graphicData>
          </a:graphic>
          <wp14:sizeRelH relativeFrom="page">
            <wp14:pctWidth>0</wp14:pctWidth>
          </wp14:sizeRelH>
          <wp14:sizeRelV relativeFrom="page">
            <wp14:pctHeight>0</wp14:pctHeight>
          </wp14:sizeRelV>
        </wp:anchor>
      </w:drawing>
    </w:r>
    <w:r w:rsidR="00AD33C9" w:rsidRPr="00AD33C9">
      <w:rPr>
        <w:i/>
        <w:sz w:val="16"/>
        <w:szCs w:val="16"/>
        <w:lang w:val="en-US"/>
      </w:rPr>
      <w:t xml:space="preserve">Unofficial English translation </w:t>
    </w:r>
  </w:p>
  <w:p w:rsidR="00AD33C9" w:rsidRPr="00AD33C9" w:rsidRDefault="00AD33C9" w:rsidP="00AD33C9">
    <w:pPr>
      <w:spacing w:after="0" w:line="240" w:lineRule="auto"/>
      <w:jc w:val="right"/>
      <w:rPr>
        <w:i/>
        <w:sz w:val="16"/>
        <w:szCs w:val="16"/>
        <w:lang w:val="en-US"/>
      </w:rPr>
    </w:pPr>
    <w:r w:rsidRPr="00AD33C9">
      <w:rPr>
        <w:i/>
        <w:sz w:val="16"/>
        <w:szCs w:val="16"/>
        <w:lang w:val="en-US"/>
      </w:rPr>
      <w:t>provided for convenience only.</w:t>
    </w:r>
  </w:p>
  <w:p w:rsidR="00103365" w:rsidRDefault="00103365" w:rsidP="00AD33C9">
    <w:pPr>
      <w:pStyle w:val="Encabezado"/>
      <w:rPr>
        <w:lang w:val="en-US"/>
      </w:rPr>
    </w:pPr>
  </w:p>
  <w:p w:rsidR="00AD33C9" w:rsidRPr="00AD33C9" w:rsidRDefault="00AD33C9" w:rsidP="00AD33C9">
    <w:pPr>
      <w:pStyle w:val="Encabezad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7" type="#_x0000_t75" style="width:441.1pt;height:441.1pt" o:bullet="t">
        <v:imagedata r:id="rId1" o:title="Isotipo-OPCION"/>
      </v:shape>
    </w:pict>
  </w:numPicBullet>
  <w:abstractNum w:abstractNumId="0" w15:restartNumberingAfterBreak="0">
    <w:nsid w:val="0182755F"/>
    <w:multiLevelType w:val="hybridMultilevel"/>
    <w:tmpl w:val="0DE439B0"/>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7E6D84"/>
    <w:multiLevelType w:val="hybridMultilevel"/>
    <w:tmpl w:val="55C28712"/>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DC2A28"/>
    <w:multiLevelType w:val="hybridMultilevel"/>
    <w:tmpl w:val="EC90D598"/>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643AD"/>
    <w:multiLevelType w:val="hybridMultilevel"/>
    <w:tmpl w:val="98768D56"/>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F24B20"/>
    <w:multiLevelType w:val="hybridMultilevel"/>
    <w:tmpl w:val="2E443024"/>
    <w:lvl w:ilvl="0" w:tplc="8FB46806">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CE2020"/>
    <w:multiLevelType w:val="hybridMultilevel"/>
    <w:tmpl w:val="54CC78F8"/>
    <w:lvl w:ilvl="0" w:tplc="BDFAC7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F45028"/>
    <w:multiLevelType w:val="hybridMultilevel"/>
    <w:tmpl w:val="507C34CC"/>
    <w:lvl w:ilvl="0" w:tplc="8FB46806">
      <w:start w:val="1"/>
      <w:numFmt w:val="bullet"/>
      <w:lvlText w:val=""/>
      <w:lvlPicBulletId w:val="0"/>
      <w:lvlJc w:val="left"/>
      <w:pPr>
        <w:ind w:left="970" w:hanging="360"/>
      </w:pPr>
      <w:rPr>
        <w:rFonts w:ascii="Symbol" w:hAnsi="Symbol" w:hint="default"/>
        <w:color w:val="auto"/>
      </w:rPr>
    </w:lvl>
    <w:lvl w:ilvl="1" w:tplc="04090003" w:tentative="1">
      <w:start w:val="1"/>
      <w:numFmt w:val="bullet"/>
      <w:lvlText w:val="o"/>
      <w:lvlJc w:val="left"/>
      <w:pPr>
        <w:ind w:left="1690" w:hanging="360"/>
      </w:pPr>
      <w:rPr>
        <w:rFonts w:ascii="Courier New" w:hAnsi="Courier New" w:cs="Courier New" w:hint="default"/>
      </w:rPr>
    </w:lvl>
    <w:lvl w:ilvl="2" w:tplc="04090005" w:tentative="1">
      <w:start w:val="1"/>
      <w:numFmt w:val="bullet"/>
      <w:lvlText w:val=""/>
      <w:lvlJc w:val="left"/>
      <w:pPr>
        <w:ind w:left="2410" w:hanging="360"/>
      </w:pPr>
      <w:rPr>
        <w:rFonts w:ascii="Wingdings" w:hAnsi="Wingdings" w:hint="default"/>
      </w:rPr>
    </w:lvl>
    <w:lvl w:ilvl="3" w:tplc="04090001" w:tentative="1">
      <w:start w:val="1"/>
      <w:numFmt w:val="bullet"/>
      <w:lvlText w:val=""/>
      <w:lvlJc w:val="left"/>
      <w:pPr>
        <w:ind w:left="3130" w:hanging="360"/>
      </w:pPr>
      <w:rPr>
        <w:rFonts w:ascii="Symbol" w:hAnsi="Symbol" w:hint="default"/>
      </w:rPr>
    </w:lvl>
    <w:lvl w:ilvl="4" w:tplc="04090003" w:tentative="1">
      <w:start w:val="1"/>
      <w:numFmt w:val="bullet"/>
      <w:lvlText w:val="o"/>
      <w:lvlJc w:val="left"/>
      <w:pPr>
        <w:ind w:left="3850" w:hanging="360"/>
      </w:pPr>
      <w:rPr>
        <w:rFonts w:ascii="Courier New" w:hAnsi="Courier New" w:cs="Courier New" w:hint="default"/>
      </w:rPr>
    </w:lvl>
    <w:lvl w:ilvl="5" w:tplc="04090005" w:tentative="1">
      <w:start w:val="1"/>
      <w:numFmt w:val="bullet"/>
      <w:lvlText w:val=""/>
      <w:lvlJc w:val="left"/>
      <w:pPr>
        <w:ind w:left="4570" w:hanging="360"/>
      </w:pPr>
      <w:rPr>
        <w:rFonts w:ascii="Wingdings" w:hAnsi="Wingdings" w:hint="default"/>
      </w:rPr>
    </w:lvl>
    <w:lvl w:ilvl="6" w:tplc="04090001" w:tentative="1">
      <w:start w:val="1"/>
      <w:numFmt w:val="bullet"/>
      <w:lvlText w:val=""/>
      <w:lvlJc w:val="left"/>
      <w:pPr>
        <w:ind w:left="5290" w:hanging="360"/>
      </w:pPr>
      <w:rPr>
        <w:rFonts w:ascii="Symbol" w:hAnsi="Symbol" w:hint="default"/>
      </w:rPr>
    </w:lvl>
    <w:lvl w:ilvl="7" w:tplc="04090003" w:tentative="1">
      <w:start w:val="1"/>
      <w:numFmt w:val="bullet"/>
      <w:lvlText w:val="o"/>
      <w:lvlJc w:val="left"/>
      <w:pPr>
        <w:ind w:left="6010" w:hanging="360"/>
      </w:pPr>
      <w:rPr>
        <w:rFonts w:ascii="Courier New" w:hAnsi="Courier New" w:cs="Courier New" w:hint="default"/>
      </w:rPr>
    </w:lvl>
    <w:lvl w:ilvl="8" w:tplc="04090005" w:tentative="1">
      <w:start w:val="1"/>
      <w:numFmt w:val="bullet"/>
      <w:lvlText w:val=""/>
      <w:lvlJc w:val="left"/>
      <w:pPr>
        <w:ind w:left="6730" w:hanging="360"/>
      </w:pPr>
      <w:rPr>
        <w:rFonts w:ascii="Wingdings" w:hAnsi="Wingdings" w:hint="default"/>
      </w:rPr>
    </w:lvl>
  </w:abstractNum>
  <w:abstractNum w:abstractNumId="7" w15:restartNumberingAfterBreak="0">
    <w:nsid w:val="2ACB609E"/>
    <w:multiLevelType w:val="hybridMultilevel"/>
    <w:tmpl w:val="3AC2AD96"/>
    <w:lvl w:ilvl="0" w:tplc="E866162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18481F"/>
    <w:multiLevelType w:val="hybridMultilevel"/>
    <w:tmpl w:val="0D027742"/>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DE1891"/>
    <w:multiLevelType w:val="hybridMultilevel"/>
    <w:tmpl w:val="48929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4E59D9"/>
    <w:multiLevelType w:val="hybridMultilevel"/>
    <w:tmpl w:val="32C2B72A"/>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FD11F1"/>
    <w:multiLevelType w:val="hybridMultilevel"/>
    <w:tmpl w:val="86560934"/>
    <w:lvl w:ilvl="0" w:tplc="632CF3B8">
      <w:numFmt w:val="bullet"/>
      <w:lvlText w:val="-"/>
      <w:lvlJc w:val="left"/>
      <w:pPr>
        <w:ind w:left="610" w:hanging="360"/>
      </w:pPr>
      <w:rPr>
        <w:rFonts w:ascii="Calibri" w:eastAsiaTheme="minorHAnsi" w:hAnsi="Calibri" w:cs="Calibri" w:hint="default"/>
      </w:rPr>
    </w:lvl>
    <w:lvl w:ilvl="1" w:tplc="04090003" w:tentative="1">
      <w:start w:val="1"/>
      <w:numFmt w:val="bullet"/>
      <w:lvlText w:val="o"/>
      <w:lvlJc w:val="left"/>
      <w:pPr>
        <w:ind w:left="1330" w:hanging="360"/>
      </w:pPr>
      <w:rPr>
        <w:rFonts w:ascii="Courier New" w:hAnsi="Courier New" w:cs="Courier New" w:hint="default"/>
      </w:rPr>
    </w:lvl>
    <w:lvl w:ilvl="2" w:tplc="04090005" w:tentative="1">
      <w:start w:val="1"/>
      <w:numFmt w:val="bullet"/>
      <w:lvlText w:val=""/>
      <w:lvlJc w:val="left"/>
      <w:pPr>
        <w:ind w:left="2050" w:hanging="360"/>
      </w:pPr>
      <w:rPr>
        <w:rFonts w:ascii="Wingdings" w:hAnsi="Wingdings" w:hint="default"/>
      </w:rPr>
    </w:lvl>
    <w:lvl w:ilvl="3" w:tplc="04090001" w:tentative="1">
      <w:start w:val="1"/>
      <w:numFmt w:val="bullet"/>
      <w:lvlText w:val=""/>
      <w:lvlJc w:val="left"/>
      <w:pPr>
        <w:ind w:left="2770" w:hanging="360"/>
      </w:pPr>
      <w:rPr>
        <w:rFonts w:ascii="Symbol" w:hAnsi="Symbol" w:hint="default"/>
      </w:rPr>
    </w:lvl>
    <w:lvl w:ilvl="4" w:tplc="04090003" w:tentative="1">
      <w:start w:val="1"/>
      <w:numFmt w:val="bullet"/>
      <w:lvlText w:val="o"/>
      <w:lvlJc w:val="left"/>
      <w:pPr>
        <w:ind w:left="3490" w:hanging="360"/>
      </w:pPr>
      <w:rPr>
        <w:rFonts w:ascii="Courier New" w:hAnsi="Courier New" w:cs="Courier New" w:hint="default"/>
      </w:rPr>
    </w:lvl>
    <w:lvl w:ilvl="5" w:tplc="04090005" w:tentative="1">
      <w:start w:val="1"/>
      <w:numFmt w:val="bullet"/>
      <w:lvlText w:val=""/>
      <w:lvlJc w:val="left"/>
      <w:pPr>
        <w:ind w:left="4210" w:hanging="360"/>
      </w:pPr>
      <w:rPr>
        <w:rFonts w:ascii="Wingdings" w:hAnsi="Wingdings" w:hint="default"/>
      </w:rPr>
    </w:lvl>
    <w:lvl w:ilvl="6" w:tplc="04090001" w:tentative="1">
      <w:start w:val="1"/>
      <w:numFmt w:val="bullet"/>
      <w:lvlText w:val=""/>
      <w:lvlJc w:val="left"/>
      <w:pPr>
        <w:ind w:left="4930" w:hanging="360"/>
      </w:pPr>
      <w:rPr>
        <w:rFonts w:ascii="Symbol" w:hAnsi="Symbol" w:hint="default"/>
      </w:rPr>
    </w:lvl>
    <w:lvl w:ilvl="7" w:tplc="04090003" w:tentative="1">
      <w:start w:val="1"/>
      <w:numFmt w:val="bullet"/>
      <w:lvlText w:val="o"/>
      <w:lvlJc w:val="left"/>
      <w:pPr>
        <w:ind w:left="5650" w:hanging="360"/>
      </w:pPr>
      <w:rPr>
        <w:rFonts w:ascii="Courier New" w:hAnsi="Courier New" w:cs="Courier New" w:hint="default"/>
      </w:rPr>
    </w:lvl>
    <w:lvl w:ilvl="8" w:tplc="04090005" w:tentative="1">
      <w:start w:val="1"/>
      <w:numFmt w:val="bullet"/>
      <w:lvlText w:val=""/>
      <w:lvlJc w:val="left"/>
      <w:pPr>
        <w:ind w:left="6370" w:hanging="360"/>
      </w:pPr>
      <w:rPr>
        <w:rFonts w:ascii="Wingdings" w:hAnsi="Wingdings" w:hint="default"/>
      </w:rPr>
    </w:lvl>
  </w:abstractNum>
  <w:abstractNum w:abstractNumId="12" w15:restartNumberingAfterBreak="0">
    <w:nsid w:val="41076808"/>
    <w:multiLevelType w:val="hybridMultilevel"/>
    <w:tmpl w:val="6E46F76E"/>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574172"/>
    <w:multiLevelType w:val="hybridMultilevel"/>
    <w:tmpl w:val="F9224ACA"/>
    <w:lvl w:ilvl="0" w:tplc="8FB46806">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CF7D71"/>
    <w:multiLevelType w:val="hybridMultilevel"/>
    <w:tmpl w:val="B20AC6D6"/>
    <w:lvl w:ilvl="0" w:tplc="8FB46806">
      <w:start w:val="1"/>
      <w:numFmt w:val="bullet"/>
      <w:lvlText w:val=""/>
      <w:lvlPicBulletId w:val="0"/>
      <w:lvlJc w:val="left"/>
      <w:pPr>
        <w:ind w:left="770" w:hanging="360"/>
      </w:pPr>
      <w:rPr>
        <w:rFonts w:ascii="Symbol" w:hAnsi="Symbol" w:hint="default"/>
        <w:color w:val="auto"/>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5" w15:restartNumberingAfterBreak="0">
    <w:nsid w:val="4F746D0B"/>
    <w:multiLevelType w:val="hybridMultilevel"/>
    <w:tmpl w:val="30904B60"/>
    <w:lvl w:ilvl="0" w:tplc="8FB46806">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294402"/>
    <w:multiLevelType w:val="hybridMultilevel"/>
    <w:tmpl w:val="A330F8E4"/>
    <w:lvl w:ilvl="0" w:tplc="632CF3B8">
      <w:numFmt w:val="bullet"/>
      <w:lvlText w:val="-"/>
      <w:lvlJc w:val="left"/>
      <w:pPr>
        <w:ind w:left="61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3A0D9E"/>
    <w:multiLevelType w:val="hybridMultilevel"/>
    <w:tmpl w:val="A8B83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2130376"/>
    <w:multiLevelType w:val="hybridMultilevel"/>
    <w:tmpl w:val="05748C82"/>
    <w:lvl w:ilvl="0" w:tplc="8FB46806">
      <w:start w:val="1"/>
      <w:numFmt w:val="bullet"/>
      <w:lvlText w:val=""/>
      <w:lvlPicBulletId w:val="0"/>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447962"/>
    <w:multiLevelType w:val="hybridMultilevel"/>
    <w:tmpl w:val="27869E30"/>
    <w:lvl w:ilvl="0" w:tplc="30627F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16"/>
  </w:num>
  <w:num w:numId="4">
    <w:abstractNumId w:val="19"/>
  </w:num>
  <w:num w:numId="5">
    <w:abstractNumId w:val="1"/>
  </w:num>
  <w:num w:numId="6">
    <w:abstractNumId w:val="10"/>
  </w:num>
  <w:num w:numId="7">
    <w:abstractNumId w:val="14"/>
  </w:num>
  <w:num w:numId="8">
    <w:abstractNumId w:val="3"/>
  </w:num>
  <w:num w:numId="9">
    <w:abstractNumId w:val="12"/>
  </w:num>
  <w:num w:numId="10">
    <w:abstractNumId w:val="8"/>
  </w:num>
  <w:num w:numId="11">
    <w:abstractNumId w:val="0"/>
  </w:num>
  <w:num w:numId="12">
    <w:abstractNumId w:val="4"/>
  </w:num>
  <w:num w:numId="13">
    <w:abstractNumId w:val="15"/>
  </w:num>
  <w:num w:numId="14">
    <w:abstractNumId w:val="18"/>
  </w:num>
  <w:num w:numId="15">
    <w:abstractNumId w:val="13"/>
  </w:num>
  <w:num w:numId="16">
    <w:abstractNumId w:val="6"/>
  </w:num>
  <w:num w:numId="17">
    <w:abstractNumId w:val="5"/>
  </w:num>
  <w:num w:numId="18">
    <w:abstractNumId w:val="17"/>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427"/>
    <w:rsid w:val="00003B6E"/>
    <w:rsid w:val="000215C7"/>
    <w:rsid w:val="000E0A57"/>
    <w:rsid w:val="00103365"/>
    <w:rsid w:val="00125D7E"/>
    <w:rsid w:val="00134CE4"/>
    <w:rsid w:val="001D3255"/>
    <w:rsid w:val="00275CE0"/>
    <w:rsid w:val="002C1BD2"/>
    <w:rsid w:val="00302780"/>
    <w:rsid w:val="003B7427"/>
    <w:rsid w:val="003E0CB3"/>
    <w:rsid w:val="00467632"/>
    <w:rsid w:val="00495061"/>
    <w:rsid w:val="00563A0A"/>
    <w:rsid w:val="00597427"/>
    <w:rsid w:val="006040F1"/>
    <w:rsid w:val="006273BA"/>
    <w:rsid w:val="006B3467"/>
    <w:rsid w:val="007A1152"/>
    <w:rsid w:val="008D4B0F"/>
    <w:rsid w:val="00974ED2"/>
    <w:rsid w:val="00AD1FAC"/>
    <w:rsid w:val="00AD33C9"/>
    <w:rsid w:val="00B277ED"/>
    <w:rsid w:val="00B65D97"/>
    <w:rsid w:val="00BB3598"/>
    <w:rsid w:val="00C43003"/>
    <w:rsid w:val="00C86F02"/>
    <w:rsid w:val="00CB7D0F"/>
    <w:rsid w:val="00DC3DEA"/>
    <w:rsid w:val="00DC4564"/>
    <w:rsid w:val="00E415F9"/>
    <w:rsid w:val="00E66E04"/>
    <w:rsid w:val="00E93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667A74"/>
  <w15:chartTrackingRefBased/>
  <w15:docId w15:val="{3E2D5EE8-AA20-470D-9CAA-DE9FFD937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L"/>
    </w:rPr>
  </w:style>
  <w:style w:type="paragraph" w:styleId="Ttulo1">
    <w:name w:val="heading 1"/>
    <w:basedOn w:val="Normal"/>
    <w:next w:val="Normal"/>
    <w:link w:val="Ttulo1Car"/>
    <w:uiPriority w:val="9"/>
    <w:qFormat/>
    <w:rsid w:val="00467632"/>
    <w:pPr>
      <w:keepNext/>
      <w:keepLines/>
      <w:spacing w:before="240" w:after="0"/>
      <w:outlineLvl w:val="0"/>
    </w:pPr>
    <w:rPr>
      <w:rFonts w:asciiTheme="majorHAnsi" w:eastAsiaTheme="majorEastAsia" w:hAnsiTheme="majorHAnsi" w:cstheme="majorBidi"/>
      <w:color w:val="C77C0E" w:themeColor="accent1" w:themeShade="BF"/>
      <w:sz w:val="32"/>
      <w:szCs w:val="32"/>
    </w:rPr>
  </w:style>
  <w:style w:type="paragraph" w:styleId="Ttulo2">
    <w:name w:val="heading 2"/>
    <w:basedOn w:val="Normal"/>
    <w:next w:val="Normal"/>
    <w:link w:val="Ttulo2Car"/>
    <w:uiPriority w:val="9"/>
    <w:unhideWhenUsed/>
    <w:qFormat/>
    <w:rsid w:val="00E930DD"/>
    <w:pPr>
      <w:keepNext/>
      <w:keepLines/>
      <w:spacing w:before="40" w:after="0"/>
      <w:outlineLvl w:val="1"/>
    </w:pPr>
    <w:rPr>
      <w:rFonts w:asciiTheme="majorHAnsi" w:eastAsiaTheme="majorEastAsia" w:hAnsiTheme="majorHAnsi" w:cstheme="majorBidi"/>
      <w:color w:val="C77C0E" w:themeColor="accent1" w:themeShade="BF"/>
      <w:sz w:val="26"/>
      <w:szCs w:val="26"/>
    </w:rPr>
  </w:style>
  <w:style w:type="paragraph" w:styleId="Ttulo3">
    <w:name w:val="heading 3"/>
    <w:basedOn w:val="Normal"/>
    <w:next w:val="Normal"/>
    <w:link w:val="Ttulo3Car"/>
    <w:uiPriority w:val="9"/>
    <w:unhideWhenUsed/>
    <w:qFormat/>
    <w:rsid w:val="00E930DD"/>
    <w:pPr>
      <w:keepNext/>
      <w:keepLines/>
      <w:spacing w:before="40" w:after="0"/>
      <w:outlineLvl w:val="2"/>
    </w:pPr>
    <w:rPr>
      <w:rFonts w:asciiTheme="majorHAnsi" w:eastAsiaTheme="majorEastAsia" w:hAnsiTheme="majorHAnsi" w:cstheme="majorBidi"/>
      <w:color w:val="845209"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B7427"/>
    <w:pPr>
      <w:ind w:left="720"/>
      <w:contextualSpacing/>
    </w:pPr>
  </w:style>
  <w:style w:type="character" w:customStyle="1" w:styleId="Ttulo1Car">
    <w:name w:val="Título 1 Car"/>
    <w:basedOn w:val="Fuentedeprrafopredeter"/>
    <w:link w:val="Ttulo1"/>
    <w:uiPriority w:val="9"/>
    <w:rsid w:val="00467632"/>
    <w:rPr>
      <w:rFonts w:asciiTheme="majorHAnsi" w:eastAsiaTheme="majorEastAsia" w:hAnsiTheme="majorHAnsi" w:cstheme="majorBidi"/>
      <w:color w:val="C77C0E" w:themeColor="accent1" w:themeShade="BF"/>
      <w:sz w:val="32"/>
      <w:szCs w:val="32"/>
      <w:lang w:val="es-CL"/>
    </w:rPr>
  </w:style>
  <w:style w:type="character" w:customStyle="1" w:styleId="Ttulo2Car">
    <w:name w:val="Título 2 Car"/>
    <w:basedOn w:val="Fuentedeprrafopredeter"/>
    <w:link w:val="Ttulo2"/>
    <w:uiPriority w:val="9"/>
    <w:rsid w:val="00E930DD"/>
    <w:rPr>
      <w:rFonts w:asciiTheme="majorHAnsi" w:eastAsiaTheme="majorEastAsia" w:hAnsiTheme="majorHAnsi" w:cstheme="majorBidi"/>
      <w:color w:val="C77C0E" w:themeColor="accent1" w:themeShade="BF"/>
      <w:sz w:val="26"/>
      <w:szCs w:val="26"/>
      <w:lang w:val="es-CL"/>
    </w:rPr>
  </w:style>
  <w:style w:type="character" w:customStyle="1" w:styleId="Ttulo3Car">
    <w:name w:val="Título 3 Car"/>
    <w:basedOn w:val="Fuentedeprrafopredeter"/>
    <w:link w:val="Ttulo3"/>
    <w:uiPriority w:val="9"/>
    <w:rsid w:val="00E930DD"/>
    <w:rPr>
      <w:rFonts w:asciiTheme="majorHAnsi" w:eastAsiaTheme="majorEastAsia" w:hAnsiTheme="majorHAnsi" w:cstheme="majorBidi"/>
      <w:color w:val="845209" w:themeColor="accent1" w:themeShade="7F"/>
      <w:sz w:val="24"/>
      <w:szCs w:val="24"/>
      <w:lang w:val="es-CL"/>
    </w:rPr>
  </w:style>
  <w:style w:type="paragraph" w:styleId="Sinespaciado">
    <w:name w:val="No Spacing"/>
    <w:link w:val="SinespaciadoCar"/>
    <w:uiPriority w:val="1"/>
    <w:qFormat/>
    <w:rsid w:val="00B65D97"/>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B65D97"/>
    <w:rPr>
      <w:rFonts w:eastAsiaTheme="minorEastAsia"/>
    </w:rPr>
  </w:style>
  <w:style w:type="paragraph" w:styleId="Encabezado">
    <w:name w:val="header"/>
    <w:basedOn w:val="Normal"/>
    <w:link w:val="EncabezadoCar"/>
    <w:uiPriority w:val="99"/>
    <w:unhideWhenUsed/>
    <w:rsid w:val="0010336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03365"/>
    <w:rPr>
      <w:lang w:val="es-CL"/>
    </w:rPr>
  </w:style>
  <w:style w:type="paragraph" w:styleId="Piedepgina">
    <w:name w:val="footer"/>
    <w:basedOn w:val="Normal"/>
    <w:link w:val="PiedepginaCar"/>
    <w:uiPriority w:val="99"/>
    <w:unhideWhenUsed/>
    <w:rsid w:val="0010336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3365"/>
    <w:rPr>
      <w:lang w:val="es-CL"/>
    </w:rPr>
  </w:style>
  <w:style w:type="character" w:styleId="Hipervnculo">
    <w:name w:val="Hyperlink"/>
    <w:basedOn w:val="Fuentedeprrafopredeter"/>
    <w:uiPriority w:val="99"/>
    <w:rsid w:val="00DC4564"/>
    <w:rPr>
      <w:color w:val="0000FF"/>
      <w:u w:val="none"/>
    </w:rPr>
  </w:style>
  <w:style w:type="paragraph" w:styleId="HTMLconformatoprevio">
    <w:name w:val="HTML Preformatted"/>
    <w:basedOn w:val="Normal"/>
    <w:link w:val="HTMLconformatoprevioCar"/>
    <w:uiPriority w:val="99"/>
    <w:semiHidden/>
    <w:unhideWhenUsed/>
    <w:rsid w:val="00003B6E"/>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003B6E"/>
    <w:rPr>
      <w:rFonts w:ascii="Consolas" w:hAnsi="Consolas"/>
      <w:sz w:val="20"/>
      <w:szCs w:val="20"/>
      <w:lang w:val="es-CL"/>
    </w:rPr>
  </w:style>
  <w:style w:type="paragraph" w:styleId="Textodeglobo">
    <w:name w:val="Balloon Text"/>
    <w:basedOn w:val="Normal"/>
    <w:link w:val="TextodegloboCar"/>
    <w:uiPriority w:val="99"/>
    <w:semiHidden/>
    <w:unhideWhenUsed/>
    <w:rsid w:val="00125D7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25D7E"/>
    <w:rPr>
      <w:rFonts w:ascii="Segoe UI" w:hAnsi="Segoe UI" w:cs="Segoe UI"/>
      <w:sz w:val="18"/>
      <w:szCs w:val="18"/>
      <w:lang w:val="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767993">
      <w:bodyDiv w:val="1"/>
      <w:marLeft w:val="0"/>
      <w:marRight w:val="0"/>
      <w:marTop w:val="0"/>
      <w:marBottom w:val="0"/>
      <w:divBdr>
        <w:top w:val="none" w:sz="0" w:space="0" w:color="auto"/>
        <w:left w:val="none" w:sz="0" w:space="0" w:color="auto"/>
        <w:bottom w:val="none" w:sz="0" w:space="0" w:color="auto"/>
        <w:right w:val="none" w:sz="0" w:space="0" w:color="auto"/>
      </w:divBdr>
    </w:div>
    <w:div w:id="131295603">
      <w:bodyDiv w:val="1"/>
      <w:marLeft w:val="0"/>
      <w:marRight w:val="0"/>
      <w:marTop w:val="0"/>
      <w:marBottom w:val="0"/>
      <w:divBdr>
        <w:top w:val="none" w:sz="0" w:space="0" w:color="auto"/>
        <w:left w:val="none" w:sz="0" w:space="0" w:color="auto"/>
        <w:bottom w:val="none" w:sz="0" w:space="0" w:color="auto"/>
        <w:right w:val="none" w:sz="0" w:space="0" w:color="auto"/>
      </w:divBdr>
    </w:div>
    <w:div w:id="218520962">
      <w:bodyDiv w:val="1"/>
      <w:marLeft w:val="0"/>
      <w:marRight w:val="0"/>
      <w:marTop w:val="0"/>
      <w:marBottom w:val="0"/>
      <w:divBdr>
        <w:top w:val="none" w:sz="0" w:space="0" w:color="auto"/>
        <w:left w:val="none" w:sz="0" w:space="0" w:color="auto"/>
        <w:bottom w:val="none" w:sz="0" w:space="0" w:color="auto"/>
        <w:right w:val="none" w:sz="0" w:space="0" w:color="auto"/>
      </w:divBdr>
    </w:div>
    <w:div w:id="618729029">
      <w:bodyDiv w:val="1"/>
      <w:marLeft w:val="0"/>
      <w:marRight w:val="0"/>
      <w:marTop w:val="0"/>
      <w:marBottom w:val="0"/>
      <w:divBdr>
        <w:top w:val="none" w:sz="0" w:space="0" w:color="auto"/>
        <w:left w:val="none" w:sz="0" w:space="0" w:color="auto"/>
        <w:bottom w:val="none" w:sz="0" w:space="0" w:color="auto"/>
        <w:right w:val="none" w:sz="0" w:space="0" w:color="auto"/>
      </w:divBdr>
    </w:div>
    <w:div w:id="149784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mparoyjusticia.cl/wp-content/uploads/2024/05/Reporte-Estadistico-2024-Fundacion-Amparo-Justicia.pdf" TargetMode="External"/><Relationship Id="rId18" Type="http://schemas.openxmlformats.org/officeDocument/2006/relationships/hyperlink" Target="https://sjmchile.org/wp-content/uploads/2025/07/Anuario-Estadistico-de-Movilidad-Humana-en-Chile-2024.pdf" TargetMode="External"/><Relationship Id="rId26" Type="http://schemas.openxmlformats.org/officeDocument/2006/relationships/hyperlink" Target="https://www.oas.org/es/sms/cicte/docs/Guia-conceptos-basicos-La-violencia-de-genero-en-linea-contra-las-mujeres-y-ninas.pdf" TargetMode="External"/><Relationship Id="rId39" Type="http://schemas.openxmlformats.org/officeDocument/2006/relationships/hyperlink" Target="https://www.unicef.org/chile/informes/ninez-y-adolescencia-migrante-en-chile" TargetMode="External"/><Relationship Id="rId21" Type="http://schemas.openxmlformats.org/officeDocument/2006/relationships/hyperlink" Target="https://serviciomigraciones.cl/residencia-temporal/subcategorias/nna/" TargetMode="External"/><Relationship Id="rId34" Type="http://schemas.openxmlformats.org/officeDocument/2006/relationships/hyperlink" Target="https://mnpt.cl/wp-content/uploads/2024/02/INFORME-FINAL-VISITA-REACTIVA-SMI-CCP-IQUIQUE.pdf" TargetMode="External"/><Relationship Id="rId42" Type="http://schemas.openxmlformats.org/officeDocument/2006/relationships/hyperlink" Target="https://www.dt.gob.cl/portal/1626/articles-61121_encuesta_trabajoinfantil.pdf" TargetMode="External"/><Relationship Id="rId47" Type="http://schemas.openxmlformats.org/officeDocument/2006/relationships/hyperlink" Target="https://media.elmostrador.cl/2022/10/Catastro-Nacional-de-Campamentos-2022.pdf" TargetMode="External"/><Relationship Id="rId50" Type="http://schemas.openxmlformats.org/officeDocument/2006/relationships/hyperlink" Target="https://www.defensorianinez.cl/estud_y_estadi/estudio-de-politicas-publicas-relacionadas-con-la-salud-mental-de-ninos-ninas-y-adolescentes/" TargetMode="External"/><Relationship Id="rId55" Type="http://schemas.openxmlformats.org/officeDocument/2006/relationships/hyperlink" Target="https://www.gob.cl/pacto/"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defensorianinez.cl/wp-content/uploads/2023/03/VF-Documento-especializado-Garantias-1-1.pdf" TargetMode="External"/><Relationship Id="rId29" Type="http://schemas.openxmlformats.org/officeDocument/2006/relationships/hyperlink" Target="file:///C:/Users/Loreto%20Zegpi/Downloads/Presentaci%C3%B3n%20resultados%202%C2%B0%20Encuesta%20Nacional%20Polivictimizaci%C3%B3n%202023%20(1).pdf" TargetMode="External"/><Relationship Id="rId11" Type="http://schemas.openxmlformats.org/officeDocument/2006/relationships/footer" Target="footer1.xml"/><Relationship Id="rId24" Type="http://schemas.openxmlformats.org/officeDocument/2006/relationships/hyperlink" Target="https://www.minjusticia.gob.cl/lanzamiento-la-ninez-y-adolescencia-se-defiende/" TargetMode="External"/><Relationship Id="rId32" Type="http://schemas.openxmlformats.org/officeDocument/2006/relationships/hyperlink" Target="https://www.observatorioninez.org/correlato-digital" TargetMode="External"/><Relationship Id="rId37" Type="http://schemas.openxmlformats.org/officeDocument/2006/relationships/hyperlink" Target="https://www.defensorianinez.cl/wp-content/uploads/2024/12/ESPECIALIZADO-VIOLENCIA-DIGITAL-FINAL.pdf" TargetMode="External"/><Relationship Id="rId40" Type="http://schemas.openxmlformats.org/officeDocument/2006/relationships/hyperlink" Target="https://publications.iom.int/books/informe-sobre-las-migraciones-en-el-mundo-2022" TargetMode="External"/><Relationship Id="rId45" Type="http://schemas.openxmlformats.org/officeDocument/2006/relationships/hyperlink" Target="https://www.latercera.com/la-tercera-pm/noticia/pdi-revela-el-perfil-del-narcoadolescente-chileno-escolarizados-distribuidores-de-drogas-y-edad-promedio-de-16-anos/FYEYETZZUZH65PG3NP3D2NBRRE/" TargetMode="External"/><Relationship Id="rId53" Type="http://schemas.openxmlformats.org/officeDocument/2006/relationships/hyperlink" Target="https://www.senda.gob.cl/wp-content/uploads/2021/02/Estrategia-Nacional-de-Drogas-version-web.pdf" TargetMode="External"/><Relationship Id="rId5" Type="http://schemas.openxmlformats.org/officeDocument/2006/relationships/settings" Target="settings.xml"/><Relationship Id="rId19" Type="http://schemas.openxmlformats.org/officeDocument/2006/relationships/hyperlink" Target="https://chile.iom.int/es/impacto-positivo-de-la-migracion-venezolana-en-la-economia-chilena-evidenciado-en-nuevo-estudio"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www.fiscaliadechile.cl/Fiscalia/utilitarios/glosario.jsp" TargetMode="External"/><Relationship Id="rId22" Type="http://schemas.openxmlformats.org/officeDocument/2006/relationships/hyperlink" Target="https://www.camara.cl/legislacion/ProyectosDeLey/autores.aspx?prmID=17260&amp;prmBOLETIN=16692-06" TargetMode="External"/><Relationship Id="rId27" Type="http://schemas.openxmlformats.org/officeDocument/2006/relationships/hyperlink" Target="https://generoyparticipacion.interior.gob.cl/media/2023/12/Resultados-Consulta-Ciudadana-Virtual-sobre-Violencia-Digital.pdf" TargetMode="External"/><Relationship Id="rId30" Type="http://schemas.openxmlformats.org/officeDocument/2006/relationships/hyperlink" Target="https://www.defensorianinez.cl/informe-anual-2021/" TargetMode="External"/><Relationship Id="rId35" Type="http://schemas.openxmlformats.org/officeDocument/2006/relationships/hyperlink" Target="https://observatorio.defensorianinez.cl/nota-tecnica-5-explotacion-sexual-a-ninas-ninos-y-adolescentes/" TargetMode="External"/><Relationship Id="rId43" Type="http://schemas.openxmlformats.org/officeDocument/2006/relationships/hyperlink" Target="https://www.mintrab.gob.cl/trabajo-infantil/" TargetMode="External"/><Relationship Id="rId48" Type="http://schemas.openxmlformats.org/officeDocument/2006/relationships/hyperlink" Target="https://www.minvu.gob.cl/wp-content/uploads/2022/11/Presentacion-CNC-Nacional-VF-LANDING.pdf"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uchile.cl/noticias/178018/nueva-ley-de-salud-mental-cuales-son-sus-implicancias" TargetMode="External"/><Relationship Id="rId3" Type="http://schemas.openxmlformats.org/officeDocument/2006/relationships/numbering" Target="numbering.xml"/><Relationship Id="rId12" Type="http://schemas.openxmlformats.org/officeDocument/2006/relationships/hyperlink" Target="http://www.fiscaliadechile.cl/Fiscalia/estadisticas/index.do" TargetMode="External"/><Relationship Id="rId17" Type="http://schemas.openxmlformats.org/officeDocument/2006/relationships/hyperlink" Target="https://www.supereduc.cl/wp-content/uploads/2025/04/Apunte_SIE_07_version_final_ABRIL.pdf" TargetMode="External"/><Relationship Id="rId25" Type="http://schemas.openxmlformats.org/officeDocument/2006/relationships/hyperlink" Target="https://www.defensorianinez.cl/estud_y_estadi/mecanismos-de-monitoreo-de-centros-de-cuidado-alternativo-y-de-privacion-de-libertad/" TargetMode="External"/><Relationship Id="rId33" Type="http://schemas.openxmlformats.org/officeDocument/2006/relationships/hyperlink" Target="https://mnpt.cl/flipbook/mobile/index.html" TargetMode="External"/><Relationship Id="rId38" Type="http://schemas.openxmlformats.org/officeDocument/2006/relationships/hyperlink" Target="https://www.unicef.org/chile/informes/ni%C3%B1ez-y-adolescencia-migrante-en-chile-estimaci%C3%B3n-de-poblaci%C3%B3n" TargetMode="External"/><Relationship Id="rId46" Type="http://schemas.openxmlformats.org/officeDocument/2006/relationships/hyperlink" Target="https://opcion.cl/analisis-georreferenciado-de-la-accesibilidad-a-servicios-sociales-de-ninos-ninas-y-adolescentes-atendidos-en-programas-de-corporacion-opcion/" TargetMode="External"/><Relationship Id="rId20" Type="http://schemas.openxmlformats.org/officeDocument/2006/relationships/hyperlink" Target="https://observatorio.defensorianinez.cl/wp-content/uploads/2024/05/Diagnostico-sobre-situacion-de-derechos-2024-Observatorio-Derechos-Defensoria.pdf" TargetMode="External"/><Relationship Id="rId41" Type="http://schemas.openxmlformats.org/officeDocument/2006/relationships/hyperlink" Target="https://observatorio.ministeriodesarrollosocial.gob.cl/eanna-2023" TargetMode="External"/><Relationship Id="rId54" Type="http://schemas.openxmlformats.org/officeDocument/2006/relationships/hyperlink" Target="https://www.senda.gob.cl/"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defensorianinez.cl/wp-content/uploads/2025/03/Documento-especializado-Balance-inicial-de-la-implementacion-OLN.pdf" TargetMode="External"/><Relationship Id="rId23" Type="http://schemas.openxmlformats.org/officeDocument/2006/relationships/hyperlink" Target="https://www.camara.cl/legislacion/proyectosdeley/tramitacion.aspx?prmID=18110&amp;prmBOLETIN=17474-06" TargetMode="External"/><Relationship Id="rId28" Type="http://schemas.openxmlformats.org/officeDocument/2006/relationships/hyperlink" Target="https://www.bcn.cl/asesoriasparlamentarias/detalle_documento.html?id=81885" TargetMode="External"/><Relationship Id="rId36" Type="http://schemas.openxmlformats.org/officeDocument/2006/relationships/hyperlink" Target="https://www.defensorianinez.cl/informe-anual-2023/" TargetMode="External"/><Relationship Id="rId49" Type="http://schemas.openxmlformats.org/officeDocument/2006/relationships/hyperlink" Target="https://www.defensorianinez.cl/informe-anual-2024/" TargetMode="External"/><Relationship Id="rId57"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hyperlink" Target="http://www.fiscaliadechile.cl/Fiscalia/estadisticas/index.do" TargetMode="External"/><Relationship Id="rId44" Type="http://schemas.openxmlformats.org/officeDocument/2006/relationships/hyperlink" Target="https://observatorio.defensorianinez.cl/wp-content/uploads/2024/01/Documento-de-trabajo-Armas-de-fuego.pdf" TargetMode="External"/><Relationship Id="rId52" Type="http://schemas.openxmlformats.org/officeDocument/2006/relationships/hyperlink" Target="https://tramitacion.tcchile.cl/tc/download/304653?inlineifpossible=tru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Naranja amarillo">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2025-09-01T00:00:00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101758-A7E7-4C03-B860-A6E4E0DC9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18</Pages>
  <Words>7854</Words>
  <Characters>44771</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ALTERNATIVE REPORT                                                                                          FROM CIVIL SOCIETY FOR THE REVIEW OF THE FIFTH PERIODIC REPORT OF THE STATE OF CHILE TO THE COMMITTEE ON ECONOMIC, SOCIAL AND CULTURAL RIGHTS      </vt:lpstr>
    </vt:vector>
  </TitlesOfParts>
  <Company/>
  <LinksUpToDate>false</LinksUpToDate>
  <CharactersWithSpaces>52520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ALTERNATIVE REPORT                                                                                          FROM CIVIL SOCIETY FOR THE REVIEW OF THE FIFTH PERIODIC REPORT OF THE STATE OF CHILE TO THE COMMITTEE ON ECONOMIC, SOCIAL AND CULTURAL RIGHTS                            (September 2025)</dc:title>
  <dc:subject>CORPORACIÓN OPCIÓN                                                          (CORPORACIÓN DE OPORTUNIDAD Y ACCIÓN SOLIDARIA)   SPECIAL CONSULTATIVE STATUS SINCE 2004</dc:subject>
  <dc:creator>Loreto Zegpi</dc:creator>
  <cp:keywords/>
  <dc:description/>
  <cp:lastModifiedBy>Loreto Zegpi</cp:lastModifiedBy>
  <cp:revision>24</cp:revision>
  <dcterms:created xsi:type="dcterms:W3CDTF">2025-08-05T16:17:00Z</dcterms:created>
  <dcterms:modified xsi:type="dcterms:W3CDTF">2025-08-07T15:02:00Z</dcterms:modified>
</cp:coreProperties>
</file>