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2D6E" w:rsidRPr="001C6314" w14:paraId="7AFE80A1" w14:textId="77777777">
        <w:trPr>
          <w:cantSplit/>
          <w:trHeight w:hRule="exact" w:val="851"/>
        </w:trPr>
        <w:tc>
          <w:tcPr>
            <w:tcW w:w="1276" w:type="dxa"/>
            <w:tcBorders>
              <w:bottom w:val="single" w:sz="4" w:space="0" w:color="auto"/>
            </w:tcBorders>
            <w:vAlign w:val="bottom"/>
          </w:tcPr>
          <w:p w14:paraId="7AFE809E" w14:textId="62FB91D2" w:rsidR="008C69AC" w:rsidRPr="00A24359" w:rsidRDefault="008C69AC">
            <w:pPr>
              <w:spacing w:after="80"/>
            </w:pPr>
          </w:p>
        </w:tc>
        <w:tc>
          <w:tcPr>
            <w:tcW w:w="2268" w:type="dxa"/>
            <w:tcBorders>
              <w:bottom w:val="single" w:sz="4" w:space="0" w:color="auto"/>
            </w:tcBorders>
            <w:vAlign w:val="bottom"/>
          </w:tcPr>
          <w:p w14:paraId="7AFE809F" w14:textId="187EE8F6" w:rsidR="008C69AC" w:rsidRPr="001C6314" w:rsidRDefault="008C69AC">
            <w:pPr>
              <w:spacing w:after="80" w:line="300" w:lineRule="exact"/>
              <w:rPr>
                <w:b/>
                <w:sz w:val="24"/>
                <w:szCs w:val="24"/>
              </w:rPr>
            </w:pPr>
          </w:p>
        </w:tc>
        <w:tc>
          <w:tcPr>
            <w:tcW w:w="6095" w:type="dxa"/>
            <w:gridSpan w:val="2"/>
            <w:tcBorders>
              <w:bottom w:val="single" w:sz="4" w:space="0" w:color="auto"/>
            </w:tcBorders>
            <w:vAlign w:val="bottom"/>
          </w:tcPr>
          <w:p w14:paraId="7AFE80A0" w14:textId="0F2C20D1" w:rsidR="008C69AC" w:rsidRPr="001C6314" w:rsidRDefault="00C03E83">
            <w:pPr>
              <w:suppressAutoHyphens w:val="0"/>
              <w:spacing w:after="20"/>
              <w:jc w:val="right"/>
            </w:pPr>
            <w:r w:rsidRPr="001C6314">
              <w:rPr>
                <w:sz w:val="40"/>
              </w:rPr>
              <w:t>CEDAW</w:t>
            </w:r>
            <w:r w:rsidRPr="001C6314">
              <w:t>/C/LUX/CO/8</w:t>
            </w:r>
          </w:p>
        </w:tc>
      </w:tr>
      <w:tr w:rsidR="00F72D6E" w:rsidRPr="001C6314" w14:paraId="7AFE80A9" w14:textId="77777777">
        <w:trPr>
          <w:cantSplit/>
          <w:trHeight w:hRule="exact" w:val="2835"/>
        </w:trPr>
        <w:tc>
          <w:tcPr>
            <w:tcW w:w="1276" w:type="dxa"/>
            <w:tcBorders>
              <w:top w:val="single" w:sz="4" w:space="0" w:color="auto"/>
              <w:bottom w:val="single" w:sz="12" w:space="0" w:color="auto"/>
            </w:tcBorders>
          </w:tcPr>
          <w:p w14:paraId="7AFE80A2" w14:textId="57BBF2B1" w:rsidR="008C69AC" w:rsidRPr="001C6314" w:rsidRDefault="008C69AC">
            <w:pPr>
              <w:spacing w:before="120"/>
              <w:jc w:val="center"/>
            </w:pPr>
          </w:p>
        </w:tc>
        <w:tc>
          <w:tcPr>
            <w:tcW w:w="5528" w:type="dxa"/>
            <w:gridSpan w:val="2"/>
            <w:tcBorders>
              <w:top w:val="single" w:sz="4" w:space="0" w:color="auto"/>
              <w:bottom w:val="single" w:sz="12" w:space="0" w:color="auto"/>
            </w:tcBorders>
          </w:tcPr>
          <w:p w14:paraId="7AFE80A3" w14:textId="51FFAEEC" w:rsidR="008C69AC" w:rsidRPr="001C6314" w:rsidRDefault="00FA64F3">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7AFE80A4" w14:textId="2AF3A15B" w:rsidR="008C69AC" w:rsidRPr="001C6314" w:rsidRDefault="00C03E83">
            <w:pPr>
              <w:suppressAutoHyphens w:val="0"/>
              <w:spacing w:before="240" w:line="240" w:lineRule="exact"/>
            </w:pPr>
            <w:r w:rsidRPr="001C6314">
              <w:t xml:space="preserve">Distr.: </w:t>
            </w:r>
            <w:r w:rsidR="00E82DC8">
              <w:t>General</w:t>
            </w:r>
          </w:p>
          <w:p w14:paraId="7AFE80A5" w14:textId="183D1FA7" w:rsidR="008C69AC" w:rsidRPr="001C6314" w:rsidRDefault="00E82DC8">
            <w:pPr>
              <w:suppressAutoHyphens w:val="0"/>
            </w:pPr>
            <w:r>
              <w:t>2</w:t>
            </w:r>
            <w:r w:rsidR="006E0CF1">
              <w:t>4</w:t>
            </w:r>
            <w:r w:rsidRPr="001C6314">
              <w:t xml:space="preserve"> </w:t>
            </w:r>
            <w:r w:rsidR="002525FA" w:rsidRPr="001C6314">
              <w:t>February 2025</w:t>
            </w:r>
          </w:p>
          <w:p w14:paraId="7AFE80A6" w14:textId="77777777" w:rsidR="008C69AC" w:rsidRPr="001C6314" w:rsidRDefault="008C69AC">
            <w:pPr>
              <w:suppressAutoHyphens w:val="0"/>
            </w:pPr>
          </w:p>
          <w:p w14:paraId="7AFE80A7" w14:textId="77777777" w:rsidR="008C69AC" w:rsidRPr="001C6314" w:rsidRDefault="00C03E83">
            <w:pPr>
              <w:suppressAutoHyphens w:val="0"/>
            </w:pPr>
            <w:r w:rsidRPr="001C6314">
              <w:t>Original: English</w:t>
            </w:r>
          </w:p>
          <w:p w14:paraId="7AFE80A8" w14:textId="7BF403A9" w:rsidR="008C69AC" w:rsidRPr="001C6314" w:rsidRDefault="008C69AC">
            <w:pPr>
              <w:suppressAutoHyphens w:val="0"/>
            </w:pPr>
          </w:p>
        </w:tc>
      </w:tr>
    </w:tbl>
    <w:p w14:paraId="7AFE80AA" w14:textId="77777777" w:rsidR="008C69AC" w:rsidRPr="001C6314" w:rsidRDefault="00C03E83">
      <w:pPr>
        <w:spacing w:before="120"/>
        <w:rPr>
          <w:b/>
          <w:sz w:val="24"/>
          <w:szCs w:val="24"/>
        </w:rPr>
      </w:pPr>
      <w:r w:rsidRPr="001C6314">
        <w:rPr>
          <w:b/>
          <w:sz w:val="24"/>
          <w:szCs w:val="24"/>
        </w:rPr>
        <w:t xml:space="preserve">Committee on the Elimination of Discrimination </w:t>
      </w:r>
      <w:r w:rsidRPr="001C6314">
        <w:rPr>
          <w:b/>
          <w:sz w:val="24"/>
          <w:szCs w:val="24"/>
        </w:rPr>
        <w:br/>
        <w:t>against Women</w:t>
      </w:r>
    </w:p>
    <w:p w14:paraId="7AFE80AF" w14:textId="552CD5E9" w:rsidR="008C69AC" w:rsidRPr="001C6314" w:rsidRDefault="00C03E83">
      <w:pPr>
        <w:pStyle w:val="HChG"/>
      </w:pPr>
      <w:r w:rsidRPr="001C6314">
        <w:tab/>
      </w:r>
      <w:r w:rsidRPr="001C6314">
        <w:tab/>
        <w:t>Concluding observations on the eighth periodic report of Luxembourg</w:t>
      </w:r>
      <w:r w:rsidR="00E82DC8" w:rsidRPr="00AA2178">
        <w:rPr>
          <w:rStyle w:val="FootnoteReference"/>
          <w:sz w:val="20"/>
          <w:vertAlign w:val="baseline"/>
        </w:rPr>
        <w:footnoteReference w:customMarkFollows="1" w:id="2"/>
        <w:t>*</w:t>
      </w:r>
    </w:p>
    <w:p w14:paraId="4A769071" w14:textId="77777777" w:rsidR="00D94985" w:rsidRPr="001C6314" w:rsidRDefault="00D94985" w:rsidP="00E82DC8">
      <w:pPr>
        <w:pStyle w:val="SingleTxtG"/>
      </w:pPr>
      <w:r w:rsidRPr="001C6314">
        <w:t>1.</w:t>
      </w:r>
      <w:r w:rsidRPr="001C6314">
        <w:tab/>
        <w:t>The Committee considered the eighth periodic report of Luxembourg (</w:t>
      </w:r>
      <w:hyperlink r:id="rId11" w:history="1">
        <w:r w:rsidRPr="001C6314">
          <w:rPr>
            <w:rStyle w:val="Hyperlink"/>
          </w:rPr>
          <w:t>CEDAW/C/LUX/8</w:t>
        </w:r>
      </w:hyperlink>
      <w:r w:rsidRPr="001C6314">
        <w:t xml:space="preserve">) at its 2126th and 2127th meetings (see </w:t>
      </w:r>
      <w:hyperlink r:id="rId12" w:history="1">
        <w:r w:rsidRPr="001C6314">
          <w:rPr>
            <w:rStyle w:val="Hyperlink"/>
          </w:rPr>
          <w:t>CEDAW/C/SR.2126</w:t>
        </w:r>
      </w:hyperlink>
      <w:r w:rsidRPr="001C6314">
        <w:t xml:space="preserve"> and </w:t>
      </w:r>
      <w:hyperlink r:id="rId13" w:history="1">
        <w:r w:rsidRPr="001C6314">
          <w:rPr>
            <w:rStyle w:val="Hyperlink"/>
          </w:rPr>
          <w:t>CEDAW/C/SR.2127</w:t>
        </w:r>
      </w:hyperlink>
      <w:r w:rsidRPr="001C6314">
        <w:t xml:space="preserve">), held on 7 February 2025. </w:t>
      </w:r>
    </w:p>
    <w:p w14:paraId="41900F60" w14:textId="77777777" w:rsidR="00D94985" w:rsidRPr="001C6314" w:rsidRDefault="00D94985" w:rsidP="00D94985">
      <w:pPr>
        <w:pStyle w:val="H1G"/>
      </w:pPr>
      <w:r w:rsidRPr="001C6314">
        <w:tab/>
        <w:t>A.</w:t>
      </w:r>
      <w:r w:rsidRPr="001C6314">
        <w:tab/>
        <w:t>Introduction</w:t>
      </w:r>
    </w:p>
    <w:p w14:paraId="4EAAA4EC" w14:textId="77777777" w:rsidR="00D94985" w:rsidRPr="009F7E8A" w:rsidRDefault="00D94985" w:rsidP="00D94985">
      <w:pPr>
        <w:pStyle w:val="SingleTxtG"/>
      </w:pPr>
      <w:r w:rsidRPr="009F7E8A">
        <w:t>2.</w:t>
      </w:r>
      <w:r w:rsidRPr="009F7E8A">
        <w:tab/>
        <w:t>The Committee appreciates the submission by the State party of its eighth periodic report, which was prepared in response to the list of issues prior to reporting (</w:t>
      </w:r>
      <w:hyperlink r:id="rId14" w:history="1">
        <w:r w:rsidRPr="009F7E8A">
          <w:rPr>
            <w:rStyle w:val="Hyperlink"/>
            <w:color w:val="auto"/>
          </w:rPr>
          <w:t>CEDAW/C/LUX/QPR/8</w:t>
        </w:r>
      </w:hyperlink>
      <w:r w:rsidRPr="009F7E8A">
        <w:t>), as well as its follow-up report to the previous concluding observations of the Committee (</w:t>
      </w:r>
      <w:hyperlink r:id="rId15" w:history="1">
        <w:r w:rsidRPr="009F7E8A">
          <w:rPr>
            <w:rStyle w:val="Hyperlink"/>
            <w:color w:val="auto"/>
          </w:rPr>
          <w:t>CEDAW/C/LUX/FCO/6-7</w:t>
        </w:r>
      </w:hyperlink>
      <w:r w:rsidRPr="009F7E8A">
        <w:t>). It welcomes the oral presentation by the delegation and the further clarifications provided in response to the questions posed orally by the Committee during the dialogue.</w:t>
      </w:r>
    </w:p>
    <w:p w14:paraId="0385E3C7" w14:textId="77777777" w:rsidR="00D94985" w:rsidRPr="00186A06" w:rsidRDefault="00D94985" w:rsidP="00D94985">
      <w:pPr>
        <w:pStyle w:val="SingleTxtG"/>
      </w:pPr>
      <w:r w:rsidRPr="009F7E8A">
        <w:t>3.</w:t>
      </w:r>
      <w:r w:rsidRPr="009F7E8A">
        <w:tab/>
      </w:r>
      <w:r w:rsidRPr="00186A06">
        <w:t>The Committee commends the State party on its distinguished delegation, which was headed by His Excellency Mr. Marc Bichler, Ambassador and Permanent Representative of Luxembourg to the United Nations Office and other international organizations in Geneva. The delegation also included representatives from the Ministry of Gender Equality and Diversity, the Chamber of Deputies, the Ministry of Justice, the Ministry of Foreign and European Affairs, Defence, Development Cooperation and Foreign Trade, the Ministry of Education, Children and Youth, the Ministry of Home Affairs, the National Reception Office,  a member of the Chamber of Deputies, as well as the Permanent Mission Luxembourg to the United Nations Office and other international organizations in Geneva.</w:t>
      </w:r>
    </w:p>
    <w:p w14:paraId="42800E4D" w14:textId="77777777" w:rsidR="00D94985" w:rsidRPr="001C6314" w:rsidRDefault="00D94985" w:rsidP="00D94985">
      <w:pPr>
        <w:pStyle w:val="SingleTxtG"/>
      </w:pPr>
      <w:r w:rsidRPr="001C6314">
        <w:t>4.</w:t>
      </w:r>
      <w:r w:rsidRPr="001C6314">
        <w:tab/>
        <w:t>The Committee regrets the absence of civil society participation during most of the review process of this report, noting that only three organisations submitted written contributions for the dialogue, and none were present in person. The Committee encourages the State party to enhance opportunities for civil society engagement in future reporting cycles and in the implementation of the recommendations of the present concluding observations</w:t>
      </w:r>
      <w:r>
        <w:t>.</w:t>
      </w:r>
    </w:p>
    <w:p w14:paraId="45B184FA" w14:textId="77777777" w:rsidR="00D94985" w:rsidRPr="001C6314" w:rsidRDefault="00D94985" w:rsidP="00D94985">
      <w:pPr>
        <w:pStyle w:val="H1G"/>
      </w:pPr>
      <w:r w:rsidRPr="001C6314">
        <w:tab/>
        <w:t>B.</w:t>
      </w:r>
      <w:r w:rsidRPr="001C6314">
        <w:tab/>
        <w:t>Positive aspects</w:t>
      </w:r>
    </w:p>
    <w:p w14:paraId="46473EF7" w14:textId="77777777" w:rsidR="00D94985" w:rsidRPr="001C6314" w:rsidRDefault="00D94985" w:rsidP="00D94985">
      <w:pPr>
        <w:pStyle w:val="SingleTxtG"/>
      </w:pPr>
      <w:r w:rsidRPr="001C6314">
        <w:t>5.</w:t>
      </w:r>
      <w:r w:rsidRPr="001C6314">
        <w:tab/>
        <w:t>The Committee welcomes the progress achieved since the consideration in 2018 of the State party’s combined sixth and seventh periodic reports (</w:t>
      </w:r>
      <w:hyperlink r:id="rId16" w:history="1">
        <w:r w:rsidRPr="001C6314">
          <w:rPr>
            <w:rStyle w:val="Hyperlink"/>
          </w:rPr>
          <w:t>CEDAW/C/LUX/CO/6-7</w:t>
        </w:r>
      </w:hyperlink>
      <w:r w:rsidRPr="001C6314">
        <w:t xml:space="preserve">) in undertaking legislative reforms, in particular the adoption of the following: </w:t>
      </w:r>
    </w:p>
    <w:p w14:paraId="364762E5" w14:textId="77777777" w:rsidR="00D94985" w:rsidRPr="001C6314" w:rsidRDefault="00D94985" w:rsidP="00D94985">
      <w:pPr>
        <w:pStyle w:val="SingleTxtG"/>
      </w:pPr>
      <w:r w:rsidRPr="001C6314">
        <w:tab/>
        <w:t>(a)</w:t>
      </w:r>
      <w:r w:rsidRPr="001C6314">
        <w:tab/>
        <w:t>The Law of 7 November 2024 on the establishment of a Gender Equality Observatory and a High Council for Gender Equality;</w:t>
      </w:r>
    </w:p>
    <w:p w14:paraId="6BA9CADF" w14:textId="77777777" w:rsidR="00D94985" w:rsidRDefault="00D94985" w:rsidP="00D94985">
      <w:pPr>
        <w:pStyle w:val="SingleTxtG"/>
      </w:pPr>
      <w:r w:rsidRPr="001C6314">
        <w:lastRenderedPageBreak/>
        <w:tab/>
        <w:t>(b)</w:t>
      </w:r>
      <w:r w:rsidRPr="001C6314">
        <w:tab/>
        <w:t xml:space="preserve">The Law of 7 August 2023 amending the Penal Code and the Code of Criminal Procedure to strengthen the means of combating the sexual abuse and sexual exploitation of minors; </w:t>
      </w:r>
    </w:p>
    <w:p w14:paraId="6BD8CB7D" w14:textId="77777777" w:rsidR="00D94985" w:rsidRDefault="00D94985" w:rsidP="00D94985">
      <w:pPr>
        <w:pStyle w:val="SingleTxtG"/>
      </w:pPr>
      <w:r>
        <w:tab/>
      </w:r>
      <w:r w:rsidRPr="001C6314">
        <w:t>(</w:t>
      </w:r>
      <w:r>
        <w:t>c</w:t>
      </w:r>
      <w:r w:rsidRPr="001C6314">
        <w:t>)</w:t>
      </w:r>
      <w:r w:rsidRPr="001C6314">
        <w:tab/>
        <w:t>The Law of 7 August 2023, relating to the organization of legal aid and repealing Article 37-1 of the amended law of August 10, 1991, relating to the profession of lawyer;</w:t>
      </w:r>
    </w:p>
    <w:p w14:paraId="77036BA0" w14:textId="66ABA540" w:rsidR="00D94985" w:rsidRDefault="00D94985" w:rsidP="00D94985">
      <w:pPr>
        <w:pStyle w:val="SingleTxtG"/>
        <w:rPr>
          <w:lang w:val="en-US"/>
        </w:rPr>
      </w:pPr>
      <w:r>
        <w:rPr>
          <w:lang w:val="en-US"/>
        </w:rPr>
        <w:tab/>
        <w:t>(d)</w:t>
      </w:r>
      <w:r>
        <w:rPr>
          <w:lang w:val="en-US"/>
        </w:rPr>
        <w:tab/>
        <w:t>The Law</w:t>
      </w:r>
      <w:r w:rsidRPr="007B7FD2">
        <w:rPr>
          <w:lang w:val="en-US"/>
        </w:rPr>
        <w:t xml:space="preserve"> of 20 July 2023 on compulsory schooling and amending:</w:t>
      </w:r>
      <w:r w:rsidR="00012478">
        <w:rPr>
          <w:lang w:val="en-US"/>
        </w:rPr>
        <w:t xml:space="preserve"> </w:t>
      </w:r>
      <w:r w:rsidRPr="007B7FD2">
        <w:rPr>
          <w:lang w:val="en-US"/>
        </w:rPr>
        <w:t>1° the amended act of 6 February 2009 on the organisation of basic education;</w:t>
      </w:r>
      <w:r w:rsidR="00012478">
        <w:rPr>
          <w:lang w:val="en-US"/>
        </w:rPr>
        <w:t xml:space="preserve"> </w:t>
      </w:r>
      <w:r w:rsidRPr="007B7FD2">
        <w:rPr>
          <w:lang w:val="en-US"/>
        </w:rPr>
        <w:t>2° the amended act of 18 March 2013 on the processing of personal data concerning pupils</w:t>
      </w:r>
      <w:r>
        <w:rPr>
          <w:lang w:val="en-US"/>
        </w:rPr>
        <w:t>;</w:t>
      </w:r>
    </w:p>
    <w:p w14:paraId="5944C4A5" w14:textId="77777777" w:rsidR="00D94985" w:rsidRPr="001C6314" w:rsidRDefault="00D94985" w:rsidP="00D94985">
      <w:pPr>
        <w:pStyle w:val="SingleTxtG"/>
      </w:pPr>
      <w:r w:rsidRPr="001C6314">
        <w:tab/>
        <w:t>(</w:t>
      </w:r>
      <w:r>
        <w:t>e</w:t>
      </w:r>
      <w:r w:rsidRPr="001C6314">
        <w:t>)</w:t>
      </w:r>
      <w:r w:rsidRPr="001C6314">
        <w:tab/>
        <w:t>The Law of 29 March 2023, amending the Labor Code with a view to establishing a system of protection against moral harassment in the workplace;</w:t>
      </w:r>
    </w:p>
    <w:p w14:paraId="3E38E0F5" w14:textId="77777777" w:rsidR="00D94985" w:rsidRDefault="00D94985" w:rsidP="00D94985">
      <w:pPr>
        <w:pStyle w:val="SingleTxtG"/>
      </w:pPr>
      <w:r w:rsidRPr="001C6314">
        <w:tab/>
        <w:t>(</w:t>
      </w:r>
      <w:r>
        <w:t>f</w:t>
      </w:r>
      <w:r w:rsidRPr="001C6314">
        <w:t>)</w:t>
      </w:r>
      <w:r w:rsidRPr="001C6314">
        <w:tab/>
      </w:r>
      <w:r>
        <w:t xml:space="preserve">The </w:t>
      </w:r>
      <w:r w:rsidRPr="00BA14B0">
        <w:t xml:space="preserve">Law of </w:t>
      </w:r>
      <w:r>
        <w:t xml:space="preserve">28 </w:t>
      </w:r>
      <w:r w:rsidRPr="00BA14B0">
        <w:t>March 2023, supplementing the Penal Code by introducing a general aggravating circumstance for crimes, offenses and contraventions committed with a motive based on one or more of the elements referred to in Article 454 of the Penal Code</w:t>
      </w:r>
      <w:r w:rsidRPr="001C6314">
        <w:t>;</w:t>
      </w:r>
    </w:p>
    <w:p w14:paraId="271AE9E0" w14:textId="77777777" w:rsidR="00D94985" w:rsidRDefault="00D94985" w:rsidP="00D94985">
      <w:pPr>
        <w:pStyle w:val="SingleTxtG"/>
      </w:pPr>
      <w:r>
        <w:tab/>
      </w:r>
      <w:r w:rsidRPr="001C6314">
        <w:t>(</w:t>
      </w:r>
      <w:r>
        <w:t>g</w:t>
      </w:r>
      <w:r w:rsidRPr="001C6314">
        <w:t>)</w:t>
      </w:r>
      <w:r w:rsidRPr="001C6314">
        <w:tab/>
      </w:r>
      <w:r>
        <w:t>The L</w:t>
      </w:r>
      <w:r w:rsidRPr="00E22A6D">
        <w:t xml:space="preserve">aw of </w:t>
      </w:r>
      <w:r>
        <w:t xml:space="preserve">10 </w:t>
      </w:r>
      <w:r w:rsidRPr="00E22A6D">
        <w:t>August 2018, relating to the modification of the mention of sex and first name(s) in the civil register and amending the Civil Code</w:t>
      </w:r>
      <w:r>
        <w:t>;</w:t>
      </w:r>
    </w:p>
    <w:p w14:paraId="4E8B0C2B" w14:textId="77777777" w:rsidR="00D94985" w:rsidRDefault="00D94985" w:rsidP="00D94985">
      <w:pPr>
        <w:pStyle w:val="SingleTxtG"/>
      </w:pPr>
      <w:r>
        <w:tab/>
      </w:r>
      <w:r w:rsidRPr="001C6314">
        <w:t>(</w:t>
      </w:r>
      <w:r>
        <w:t>h</w:t>
      </w:r>
      <w:r w:rsidRPr="001C6314">
        <w:t>)</w:t>
      </w:r>
      <w:r w:rsidRPr="001C6314">
        <w:tab/>
        <w:t>The Law of 20 July 2018, approving the Council of Europe Convention on preventing and combating violence against women and domestic violence, signed in Istanbul on 11 May 2011, and amending (i) the Penal Code; (ii) the Code of Criminal Procedure; (iii) the amended Law of 8 September 2003, on domestic violence; and (iv) the amended Law of 29 August 2008 on the free movement of persons and immigration;</w:t>
      </w:r>
    </w:p>
    <w:p w14:paraId="475EA6A3" w14:textId="77777777" w:rsidR="00D94985" w:rsidRPr="001C6314" w:rsidRDefault="00D94985" w:rsidP="00D94985">
      <w:pPr>
        <w:pStyle w:val="SingleTxtG"/>
      </w:pPr>
      <w:r>
        <w:tab/>
        <w:t>(i)</w:t>
      </w:r>
      <w:r>
        <w:tab/>
      </w:r>
      <w:r w:rsidRPr="00BD2D98">
        <w:t>Law of 20 July 2018 on the reform of the prison administration</w:t>
      </w:r>
      <w:r>
        <w:t>;</w:t>
      </w:r>
    </w:p>
    <w:p w14:paraId="152B8CF7" w14:textId="77777777" w:rsidR="00D94985" w:rsidRPr="001C6314" w:rsidRDefault="00D94985" w:rsidP="00D94985">
      <w:pPr>
        <w:pStyle w:val="SingleTxtG"/>
      </w:pPr>
      <w:r w:rsidRPr="001C6314">
        <w:tab/>
        <w:t>(</w:t>
      </w:r>
      <w:r>
        <w:t>j</w:t>
      </w:r>
      <w:r w:rsidRPr="001C6314">
        <w:t>)</w:t>
      </w:r>
      <w:r w:rsidRPr="001C6314">
        <w:tab/>
        <w:t>The Law of 27 June 2018 establishing the office of Family Judge and reforming divorce and parental authority</w:t>
      </w:r>
      <w:r>
        <w:t>.</w:t>
      </w:r>
    </w:p>
    <w:p w14:paraId="42CB99BA" w14:textId="77777777" w:rsidR="00D94985" w:rsidRPr="001C6314" w:rsidRDefault="00D94985" w:rsidP="00D94985">
      <w:pPr>
        <w:pStyle w:val="SingleTxtG"/>
      </w:pPr>
      <w:r w:rsidRPr="001C6314">
        <w:t>6.</w:t>
      </w:r>
      <w:r w:rsidRPr="001C6314">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17D53EAD" w14:textId="77777777" w:rsidR="00D94985" w:rsidRPr="001C6314" w:rsidRDefault="00D94985" w:rsidP="00D94985">
      <w:pPr>
        <w:pStyle w:val="SingleTxtG"/>
      </w:pPr>
      <w:bookmarkStart w:id="0" w:name="_Hlk190190242"/>
      <w:r w:rsidRPr="001C6314">
        <w:tab/>
        <w:t>(a)</w:t>
      </w:r>
      <w:r w:rsidRPr="001C6314">
        <w:tab/>
        <w:t>The National Action Plan for Equality between Women and Men, in 2020;</w:t>
      </w:r>
    </w:p>
    <w:p w14:paraId="6AD23EF9" w14:textId="00FD4EBC" w:rsidR="00D94985" w:rsidRPr="001C6314" w:rsidRDefault="00D94985" w:rsidP="00D94985">
      <w:pPr>
        <w:pStyle w:val="SingleTxtG"/>
      </w:pPr>
      <w:r w:rsidRPr="001C6314">
        <w:tab/>
        <w:t>(b)</w:t>
      </w:r>
      <w:r w:rsidRPr="001C6314">
        <w:tab/>
        <w:t>The First and Second National Action Plans "Women and Peace and Security" for 2018-2023 and 202</w:t>
      </w:r>
      <w:r w:rsidR="008D1633">
        <w:t>5</w:t>
      </w:r>
      <w:r w:rsidRPr="001C6314">
        <w:t>-2030, respectively, for the implementation of United Nations Security Council Resolution 1325 (2000);</w:t>
      </w:r>
    </w:p>
    <w:p w14:paraId="1EC6C547" w14:textId="77777777" w:rsidR="00D94985" w:rsidRPr="001C6314" w:rsidRDefault="00D94985" w:rsidP="00D94985">
      <w:pPr>
        <w:pStyle w:val="SingleTxtG"/>
      </w:pPr>
      <w:r w:rsidRPr="001C6314">
        <w:tab/>
        <w:t>(c)</w:t>
      </w:r>
      <w:r w:rsidRPr="001C6314">
        <w:tab/>
        <w:t>The National Action Plan for the Implementation of the Convention on the Rights of Persons with Disabilities (2019-2024);</w:t>
      </w:r>
    </w:p>
    <w:p w14:paraId="4A8B0125" w14:textId="77777777" w:rsidR="00D94985" w:rsidRPr="001C6314" w:rsidRDefault="00D94985" w:rsidP="00D94985">
      <w:pPr>
        <w:framePr w:w="9792" w:h="233" w:hSpace="180" w:wrap="notBeside" w:vAnchor="page" w:hAnchor="page" w:x="1551" w:y="16151"/>
        <w:spacing w:line="240" w:lineRule="auto"/>
        <w:rPr>
          <w:sz w:val="2"/>
        </w:rPr>
      </w:pPr>
    </w:p>
    <w:p w14:paraId="51B7C5CD" w14:textId="77777777" w:rsidR="00D94985" w:rsidRPr="001C6314" w:rsidRDefault="00D94985" w:rsidP="00D94985">
      <w:pPr>
        <w:pStyle w:val="SingleTxtG"/>
      </w:pPr>
      <w:r w:rsidRPr="001C6314">
        <w:tab/>
        <w:t>(d)</w:t>
      </w:r>
      <w:r w:rsidRPr="001C6314">
        <w:tab/>
        <w:t>The Luxembourg - 2030. III National Plan for Sustainable Development, in 2019;</w:t>
      </w:r>
    </w:p>
    <w:p w14:paraId="122C2FC1" w14:textId="77777777" w:rsidR="00D94985" w:rsidRPr="001C6314" w:rsidRDefault="00D94985" w:rsidP="00D94985">
      <w:pPr>
        <w:pStyle w:val="SingleTxtG"/>
      </w:pPr>
      <w:r w:rsidRPr="001C6314">
        <w:tab/>
        <w:t>(e)</w:t>
      </w:r>
      <w:r w:rsidRPr="001C6314">
        <w:tab/>
        <w:t>The first national action plan for the promotion of the rights of lesbian, gay, bisexual, transgender and intersex people, in 2018.</w:t>
      </w:r>
    </w:p>
    <w:bookmarkEnd w:id="0"/>
    <w:p w14:paraId="4430B044" w14:textId="77777777" w:rsidR="00D94985" w:rsidRDefault="00D94985" w:rsidP="00D94985">
      <w:pPr>
        <w:pStyle w:val="SingleTxtG"/>
      </w:pPr>
      <w:r w:rsidRPr="001C6314">
        <w:t>7.</w:t>
      </w:r>
      <w:r w:rsidRPr="001C6314">
        <w:tab/>
        <w:t xml:space="preserve">The Committee welcomes the fact that, in the period since the consideration of the previous report, the State party </w:t>
      </w:r>
      <w:r>
        <w:t xml:space="preserve">has ratified </w:t>
      </w:r>
      <w:r w:rsidRPr="00714011">
        <w:t>the following international human rights instruments:</w:t>
      </w:r>
    </w:p>
    <w:p w14:paraId="1AE7008A" w14:textId="77777777" w:rsidR="00D94985" w:rsidRDefault="00D94985" w:rsidP="00D94985">
      <w:pPr>
        <w:pStyle w:val="SingleTxtG"/>
      </w:pPr>
      <w:r>
        <w:tab/>
        <w:t>(a)</w:t>
      </w:r>
      <w:r>
        <w:tab/>
        <w:t>The International Convention for the Protection of All Persons from Enforced Disappearance on 1 April 2022;</w:t>
      </w:r>
    </w:p>
    <w:p w14:paraId="2B0C6DD3" w14:textId="77777777" w:rsidR="00D94985" w:rsidRPr="001C6314" w:rsidRDefault="00D94985" w:rsidP="00D94985">
      <w:pPr>
        <w:pStyle w:val="SingleTxtG"/>
      </w:pPr>
      <w:r>
        <w:tab/>
        <w:t>(b)</w:t>
      </w:r>
      <w:r>
        <w:tab/>
        <w:t>The Protocol to the Forced Labour Convention, 1930 (No. 29) of the International Labour Organization on 18 March 2021;</w:t>
      </w:r>
    </w:p>
    <w:p w14:paraId="16DDFA44" w14:textId="220D23FD" w:rsidR="00D94985" w:rsidRPr="001C6314" w:rsidRDefault="00D94985" w:rsidP="00D94985">
      <w:pPr>
        <w:pStyle w:val="SingleTxtG"/>
      </w:pPr>
      <w:r>
        <w:tab/>
        <w:t>(c)</w:t>
      </w:r>
      <w:r>
        <w:tab/>
      </w:r>
      <w:r w:rsidRPr="001C6314">
        <w:t xml:space="preserve">Council of Europe Convention on Preventing and Combating Violence against Women and Domestic Violence (Istanbul Convention), </w:t>
      </w:r>
      <w:r w:rsidR="00F1766B">
        <w:t>o</w:t>
      </w:r>
      <w:r w:rsidRPr="001C6314">
        <w:t xml:space="preserve">n </w:t>
      </w:r>
      <w:r w:rsidR="00000F69">
        <w:t xml:space="preserve">7 August </w:t>
      </w:r>
      <w:r w:rsidRPr="001C6314">
        <w:t>2018.</w:t>
      </w:r>
    </w:p>
    <w:p w14:paraId="5CD6C889" w14:textId="77777777" w:rsidR="00D94985" w:rsidRPr="001C6314" w:rsidRDefault="00D94985" w:rsidP="00D94985">
      <w:pPr>
        <w:pStyle w:val="H1G"/>
      </w:pPr>
      <w:r w:rsidRPr="001C6314">
        <w:lastRenderedPageBreak/>
        <w:tab/>
        <w:t>C.</w:t>
      </w:r>
      <w:r w:rsidRPr="001C6314">
        <w:tab/>
        <w:t>Sustainable Development Goals</w:t>
      </w:r>
    </w:p>
    <w:p w14:paraId="36D814B3" w14:textId="77777777" w:rsidR="00D94985" w:rsidRPr="001C6314" w:rsidRDefault="00D94985" w:rsidP="00D94985">
      <w:pPr>
        <w:pStyle w:val="SingleTxtG"/>
      </w:pPr>
      <w:r w:rsidRPr="001C6314">
        <w:t>8.</w:t>
      </w:r>
      <w:r w:rsidRPr="001C6314">
        <w:tab/>
      </w:r>
      <w:r w:rsidRPr="001C6314">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r>
        <w:rPr>
          <w:b/>
          <w:bCs/>
        </w:rPr>
        <w:t>.</w:t>
      </w:r>
    </w:p>
    <w:p w14:paraId="1A9EE435" w14:textId="77777777" w:rsidR="00D94985" w:rsidRPr="001C6314" w:rsidRDefault="00D94985" w:rsidP="00D94985">
      <w:pPr>
        <w:pStyle w:val="H1G"/>
      </w:pPr>
      <w:r w:rsidRPr="001C6314">
        <w:tab/>
        <w:t>D.</w:t>
      </w:r>
      <w:r w:rsidRPr="001C6314">
        <w:tab/>
        <w:t xml:space="preserve">Parliament </w:t>
      </w:r>
    </w:p>
    <w:p w14:paraId="5CA57C2D" w14:textId="77777777" w:rsidR="00D94985" w:rsidRPr="001C6314" w:rsidRDefault="00D94985" w:rsidP="00D94985">
      <w:pPr>
        <w:pStyle w:val="SingleTxtG"/>
      </w:pPr>
      <w:r w:rsidRPr="001C6314">
        <w:t>9.</w:t>
      </w:r>
      <w:r w:rsidRPr="001C6314">
        <w:tab/>
      </w:r>
      <w:r w:rsidRPr="001C6314">
        <w:rPr>
          <w:b/>
          <w:bCs/>
        </w:rPr>
        <w:t xml:space="preserve">The Committee stresses the crucial role of the legislative power in ensuring the full implementation of the Convention (see </w:t>
      </w:r>
      <w:hyperlink r:id="rId17" w:history="1">
        <w:r w:rsidRPr="001C6314">
          <w:rPr>
            <w:rStyle w:val="Hyperlink"/>
            <w:b/>
            <w:bCs/>
          </w:rPr>
          <w:t>A/65/38</w:t>
        </w:r>
      </w:hyperlink>
      <w:r w:rsidRPr="001C6314">
        <w:rPr>
          <w:b/>
          <w:bCs/>
        </w:rPr>
        <w:t>, part two, annex VI). It invites the Chamber of Deputies, in line with its mandate, to take the necessary steps regarding the implementation of the present concluding observations between now and the submission of the next periodic report under the Convention.</w:t>
      </w:r>
    </w:p>
    <w:p w14:paraId="5399A9A8" w14:textId="77777777" w:rsidR="00D94985" w:rsidRPr="001C6314" w:rsidRDefault="00D94985" w:rsidP="00D94985">
      <w:pPr>
        <w:pStyle w:val="H1G"/>
      </w:pPr>
      <w:r w:rsidRPr="001C6314">
        <w:tab/>
        <w:t>E.</w:t>
      </w:r>
      <w:r w:rsidRPr="001C6314">
        <w:tab/>
        <w:t>Principal areas of concern and recommendations</w:t>
      </w:r>
    </w:p>
    <w:p w14:paraId="490E6DAB" w14:textId="77777777" w:rsidR="00D94985" w:rsidRPr="001C6314" w:rsidRDefault="00D94985" w:rsidP="00D94985">
      <w:pPr>
        <w:pStyle w:val="H23G"/>
      </w:pPr>
      <w:r w:rsidRPr="001C6314">
        <w:tab/>
      </w:r>
      <w:r w:rsidRPr="001C6314">
        <w:tab/>
      </w:r>
      <w:r>
        <w:t>V</w:t>
      </w:r>
      <w:r w:rsidRPr="001C6314">
        <w:t>isibility of the Convention, the Optional Protocol thereto and the Committee’s general recommendations</w:t>
      </w:r>
    </w:p>
    <w:p w14:paraId="49921894" w14:textId="77777777" w:rsidR="00D94985" w:rsidRPr="001C6314" w:rsidRDefault="00D94985" w:rsidP="00D94985">
      <w:pPr>
        <w:pStyle w:val="SingleTxtG"/>
      </w:pPr>
      <w:r w:rsidRPr="001C6314">
        <w:t>10.</w:t>
      </w:r>
      <w:r w:rsidRPr="001C6314">
        <w:tab/>
      </w:r>
      <w:r w:rsidRPr="00C4553D">
        <w:t xml:space="preserve">The Committee notes with concern the lack of awareness of the Convention, the Committee's jurisprudence under the Optional Protocol and its general recommendations, among the Government, the judiciary, civil society and the population at large. It is particularly concerned that the Convention is not invoked in the courts and </w:t>
      </w:r>
      <w:r>
        <w:t xml:space="preserve">at the lack of </w:t>
      </w:r>
      <w:r w:rsidRPr="00C4553D">
        <w:t xml:space="preserve">civil society </w:t>
      </w:r>
      <w:r>
        <w:t>involvement</w:t>
      </w:r>
      <w:r w:rsidRPr="00C4553D">
        <w:t xml:space="preserve"> in the reporting process to the Committee</w:t>
      </w:r>
      <w:r>
        <w:t>.</w:t>
      </w:r>
    </w:p>
    <w:p w14:paraId="04C5CF58" w14:textId="77777777" w:rsidR="00D94985" w:rsidRPr="001C6314" w:rsidRDefault="00D94985" w:rsidP="00D94985">
      <w:pPr>
        <w:pStyle w:val="SingleTxtG"/>
      </w:pPr>
      <w:r w:rsidRPr="001C6314">
        <w:t>11.</w:t>
      </w:r>
      <w:r w:rsidRPr="001C6314">
        <w:tab/>
      </w:r>
      <w:r w:rsidRPr="00B148B1">
        <w:rPr>
          <w:b/>
          <w:bCs/>
        </w:rPr>
        <w:t xml:space="preserve">In line with its previous recommendations, the Committee reiterates </w:t>
      </w:r>
      <w:r>
        <w:rPr>
          <w:b/>
          <w:bCs/>
        </w:rPr>
        <w:t xml:space="preserve">its recommendation that </w:t>
      </w:r>
      <w:r w:rsidRPr="00B148B1">
        <w:rPr>
          <w:b/>
          <w:bCs/>
        </w:rPr>
        <w:t>the State party to adopt measures to ensure that the Convention is sufficiently widely known, inter alia, by disseminating the Convention, the Optional Protocol thereto, the Committee's general recommendations and the present concluding observations, promptly and widely among the judiciary, law enforcement officials, civil society and the public at large.</w:t>
      </w:r>
    </w:p>
    <w:p w14:paraId="33B013D3" w14:textId="77777777" w:rsidR="00D94985" w:rsidRPr="001C6314" w:rsidRDefault="00D94985" w:rsidP="00D94985">
      <w:pPr>
        <w:pStyle w:val="H23G"/>
      </w:pPr>
      <w:r w:rsidRPr="001C6314">
        <w:tab/>
      </w:r>
      <w:r w:rsidRPr="001C6314">
        <w:tab/>
        <w:t>Constitutional and legislative framework and definition of discrimination against women</w:t>
      </w:r>
    </w:p>
    <w:p w14:paraId="04F5499E" w14:textId="77777777" w:rsidR="00D94985" w:rsidRPr="001C6314" w:rsidRDefault="00D94985" w:rsidP="00D94985">
      <w:pPr>
        <w:pStyle w:val="SingleTxtG"/>
      </w:pPr>
      <w:r w:rsidRPr="001C6314">
        <w:t>12.</w:t>
      </w:r>
      <w:r w:rsidRPr="001C6314">
        <w:tab/>
        <w:t>The Committee is deeply concerned that, although the principle of gender equality is enshrined in the Luxembourg Constitution and despite the jurisprudence of the Constitutional Court, the Constitution, as amended in 2023, distinguishes between national and non-national women in relation to equality before the law.</w:t>
      </w:r>
    </w:p>
    <w:p w14:paraId="5115DC35" w14:textId="77777777" w:rsidR="00D94985" w:rsidRPr="001C6314" w:rsidRDefault="00D94985" w:rsidP="00D94985">
      <w:pPr>
        <w:pStyle w:val="SingleTxtG"/>
        <w:rPr>
          <w:b/>
          <w:bCs/>
        </w:rPr>
      </w:pPr>
      <w:r w:rsidRPr="001C6314">
        <w:t>13.</w:t>
      </w:r>
      <w:r w:rsidRPr="001C6314">
        <w:tab/>
      </w:r>
      <w:r w:rsidRPr="001C6314">
        <w:rPr>
          <w:b/>
          <w:bCs/>
        </w:rPr>
        <w:t>The Committee urges the State party to</w:t>
      </w:r>
      <w:r w:rsidRPr="001C6314">
        <w:t xml:space="preserve"> </w:t>
      </w:r>
      <w:r w:rsidRPr="001C6314">
        <w:rPr>
          <w:b/>
          <w:bCs/>
        </w:rPr>
        <w:t>amend its Constitution with a view to ensuring equality before the law and effective protection of the law for all women in the State party, irrespective of their citizenship status.</w:t>
      </w:r>
    </w:p>
    <w:p w14:paraId="4EADC4BB" w14:textId="77777777" w:rsidR="00D94985" w:rsidRPr="00F218FB" w:rsidRDefault="00D94985" w:rsidP="00D94985">
      <w:pPr>
        <w:pStyle w:val="SingleTxtG"/>
        <w:rPr>
          <w:lang w:val="en-US"/>
        </w:rPr>
      </w:pPr>
      <w:r w:rsidRPr="00F218FB">
        <w:rPr>
          <w:lang w:val="en-US"/>
        </w:rPr>
        <w:t>14.</w:t>
      </w:r>
      <w:r w:rsidRPr="00F218FB">
        <w:rPr>
          <w:lang w:val="en-US"/>
        </w:rPr>
        <w:tab/>
        <w:t>The Committee remains concerned that the legal definition of discrimination does not adequately protect women from intersecting forms of discrimination; the increasing tendency to adopt gender-neutral legislation; and the lack of sex-disaggregated data in relation to all areas of the Convention.</w:t>
      </w:r>
    </w:p>
    <w:p w14:paraId="7B610DDA" w14:textId="77777777" w:rsidR="00D94985" w:rsidRPr="001C6314" w:rsidRDefault="00D94985" w:rsidP="00D94985">
      <w:pPr>
        <w:pStyle w:val="SingleTxtG"/>
      </w:pPr>
      <w:r w:rsidRPr="001C6314">
        <w:t>15.</w:t>
      </w:r>
      <w:r w:rsidRPr="001C6314">
        <w:tab/>
      </w:r>
      <w:r w:rsidRPr="001C6314">
        <w:rPr>
          <w:b/>
          <w:bCs/>
        </w:rPr>
        <w:t>The Committee recommends that the State party:</w:t>
      </w:r>
    </w:p>
    <w:p w14:paraId="555D4ED1" w14:textId="77777777" w:rsidR="00D94985" w:rsidRPr="001C6314" w:rsidRDefault="00D94985" w:rsidP="00D94985">
      <w:pPr>
        <w:pStyle w:val="SingleTxtG"/>
        <w:rPr>
          <w:b/>
          <w:bCs/>
        </w:rPr>
      </w:pPr>
      <w:r w:rsidRPr="001C6314">
        <w:tab/>
        <w:t>(a)</w:t>
      </w:r>
      <w:r w:rsidRPr="001C6314">
        <w:tab/>
      </w:r>
      <w:r w:rsidRPr="001C6314">
        <w:rPr>
          <w:b/>
          <w:bCs/>
        </w:rPr>
        <w:t>Adopt legislation on multiple and intersecting forms of discrimination, in line with article 1 of the Convention, and incorporate the prohibition of intersecting forms of discrimination into public policies;</w:t>
      </w:r>
    </w:p>
    <w:p w14:paraId="77A5940B" w14:textId="77777777" w:rsidR="00D94985" w:rsidRDefault="00D94985" w:rsidP="00D94985">
      <w:pPr>
        <w:pStyle w:val="SingleTxtG"/>
        <w:rPr>
          <w:b/>
          <w:bCs/>
        </w:rPr>
      </w:pPr>
      <w:r w:rsidRPr="001C6314">
        <w:tab/>
        <w:t>(b)</w:t>
      </w:r>
      <w:r w:rsidRPr="001C6314">
        <w:tab/>
      </w:r>
      <w:r w:rsidRPr="001C6314">
        <w:rPr>
          <w:b/>
          <w:bCs/>
        </w:rPr>
        <w:t>Ensure that its legislation, policies and programmes are gender-responsive, including by integrating a gender perspective, in accordance with paragraph 5 of the Committee’s general recommendation No. 28 (2010) on the core obligations of States parties under article 2 of the Convention</w:t>
      </w:r>
      <w:r>
        <w:rPr>
          <w:b/>
          <w:bCs/>
        </w:rPr>
        <w:t>;</w:t>
      </w:r>
    </w:p>
    <w:p w14:paraId="262D6E52" w14:textId="77777777" w:rsidR="00D94985" w:rsidRPr="00F218FB" w:rsidRDefault="00D94985" w:rsidP="00D94985">
      <w:pPr>
        <w:pStyle w:val="SingleTxtG"/>
      </w:pPr>
      <w:r>
        <w:tab/>
      </w:r>
      <w:r w:rsidRPr="00AB2314">
        <w:t>(c)</w:t>
      </w:r>
      <w:r w:rsidRPr="00AB2314">
        <w:tab/>
      </w:r>
      <w:r w:rsidRPr="00AB2314">
        <w:rPr>
          <w:b/>
          <w:bCs/>
          <w:lang w:val="en-US"/>
        </w:rPr>
        <w:t>Collect data disaggregated by sex, age, disability, nationality, racial origin, religion and socio-economic background in order to accurately assess the situation of women and girls and to formulate specific policies in those areas of the Convention where needed.</w:t>
      </w:r>
      <w:bookmarkStart w:id="1" w:name="_Hlk190106396"/>
    </w:p>
    <w:bookmarkEnd w:id="1"/>
    <w:p w14:paraId="37EE113D" w14:textId="77777777" w:rsidR="00D94985" w:rsidRPr="001C6314" w:rsidRDefault="00D94985" w:rsidP="00D94985">
      <w:pPr>
        <w:pStyle w:val="H23G"/>
      </w:pPr>
      <w:r>
        <w:tab/>
      </w:r>
      <w:r>
        <w:tab/>
      </w:r>
      <w:r w:rsidRPr="001C6314">
        <w:t>Extraterritorial State obligations</w:t>
      </w:r>
    </w:p>
    <w:p w14:paraId="431815A5" w14:textId="49D19044" w:rsidR="00D94985" w:rsidRPr="001C6314" w:rsidRDefault="00D94985" w:rsidP="00D94985">
      <w:pPr>
        <w:pStyle w:val="SingleTxtG"/>
      </w:pPr>
      <w:r w:rsidRPr="001C6314">
        <w:t>16.</w:t>
      </w:r>
      <w:r w:rsidRPr="001C6314">
        <w:tab/>
        <w:t>The Committee notes with satisfaction the National Business and Human Rights Pact as well as the adoption of the National Action Plans I and II on Business and Human Rights. However, it notes with concern that no independent assessment has been made of the impact of the State party's extraterritorial corporate and financial policies on women's rights and gender equality. It further concerned at reports that certain funds deposited in Luxembourg banks may originate in criminal and exploitative practices, in particular trafficking and smuggling in women.</w:t>
      </w:r>
    </w:p>
    <w:p w14:paraId="0E033588" w14:textId="0867E469" w:rsidR="00D94985" w:rsidRPr="001C6314" w:rsidRDefault="00D94985" w:rsidP="00D94985">
      <w:pPr>
        <w:pStyle w:val="SingleTxtG"/>
      </w:pPr>
      <w:r w:rsidRPr="001C6314">
        <w:t>17.</w:t>
      </w:r>
      <w:r w:rsidRPr="001C6314">
        <w:tab/>
      </w:r>
      <w:r w:rsidRPr="001C6314">
        <w:rPr>
          <w:b/>
          <w:bCs/>
        </w:rPr>
        <w:t>The Committee reminds the State party that, under the obligation of due diligence, it may be held responsible should it fail to take all appropriate measures to prevent, as well as to investigate, prosecute and punish perpetrators of and provide reparations for, acts or omissions by non-State actors, including actions taken by corporations operating extraterritorially. In line with its previous recommendations (CEDAW/C/LUX/CO/6-7, para. 16 (c)), the Committee recommends that the State party undertake independent, participatory and periodic impact assessments of the extraterritorial effects of its financial secrecy and corporate tax policies and its commercial activities on women’s rights and on the substantive equality of women and men in affected States, ensuring that those assessments are conducted impartially, with public disclosure of both the methodology used and the subsequent findings, and further reviewing its corporate and financial legislation, policies and practices with a view to fully realizing the enjoyment by women of their rights under the Convention, both domestically and extraterritorially. It also recommends that the State party facilitate women’s access to effective remedies in cases of extraterritorial human rights violations by companies domiciled in the State party.</w:t>
      </w:r>
      <w:bookmarkStart w:id="2" w:name="_Hlk190097436"/>
    </w:p>
    <w:bookmarkEnd w:id="2"/>
    <w:p w14:paraId="2C296D09" w14:textId="77777777" w:rsidR="00D94985" w:rsidRPr="001C6314" w:rsidRDefault="00D94985" w:rsidP="00D94985">
      <w:pPr>
        <w:pStyle w:val="H23G"/>
      </w:pPr>
      <w:r w:rsidRPr="001C6314">
        <w:tab/>
      </w:r>
      <w:r w:rsidRPr="001C6314">
        <w:tab/>
        <w:t>Women’s access to justice</w:t>
      </w:r>
    </w:p>
    <w:p w14:paraId="4C48C8D0" w14:textId="4DDCB100" w:rsidR="00D94985" w:rsidRDefault="00D94985" w:rsidP="00D94985">
      <w:pPr>
        <w:pStyle w:val="SingleTxtG"/>
      </w:pPr>
      <w:r w:rsidRPr="001C6314">
        <w:t>18.</w:t>
      </w:r>
      <w:r w:rsidRPr="001C6314">
        <w:tab/>
        <w:t xml:space="preserve">The Committee welcomes the legislative measures to appoint judges specializing in family matters (art. </w:t>
      </w:r>
      <w:r w:rsidR="00B64F07">
        <w:t>1</w:t>
      </w:r>
      <w:r w:rsidRPr="001C6314">
        <w:t xml:space="preserve"> of the Law of June 27, 2018 establishing the office of the Family Judge and reforming divorce and parental authority), as well as to provide partial legal aid for persons who are not entitled to full legal aid because of their financial situation (art. 6 of the Law of August 7, 2023, relating to the organization of legal aid and repealing Article 37-1 of the amended law of August 10, 1991, relating to the profession of lawyer). It also notes with satisfaction the ongoing work on the draft law on juvenile justice. However, the Committee notes with concern:</w:t>
      </w:r>
    </w:p>
    <w:p w14:paraId="1F4CA589" w14:textId="77777777" w:rsidR="00D94985" w:rsidRPr="00E3495B" w:rsidRDefault="00D94985" w:rsidP="00D94985">
      <w:pPr>
        <w:pStyle w:val="SingleTxtG"/>
        <w:rPr>
          <w:lang w:val="en-US"/>
        </w:rPr>
      </w:pPr>
      <w:r>
        <w:tab/>
      </w:r>
      <w:r w:rsidRPr="00E3495B">
        <w:t>(a)</w:t>
      </w:r>
      <w:r>
        <w:tab/>
      </w:r>
      <w:r w:rsidRPr="00551076">
        <w:t>The lack of clarity on procedural rights, including the right to a fair trial and the rights of the defence, in the State party's legislation</w:t>
      </w:r>
      <w:r>
        <w:t>;</w:t>
      </w:r>
    </w:p>
    <w:p w14:paraId="5A7747AB" w14:textId="77777777" w:rsidR="00D94985" w:rsidRPr="001C6314" w:rsidRDefault="00D94985" w:rsidP="00D94985">
      <w:pPr>
        <w:pStyle w:val="SingleTxtG"/>
      </w:pPr>
      <w:r w:rsidRPr="00E3495B">
        <w:rPr>
          <w:lang w:val="en-US"/>
        </w:rPr>
        <w:tab/>
      </w:r>
      <w:r w:rsidRPr="001C6314">
        <w:t>(</w:t>
      </w:r>
      <w:r>
        <w:t>b</w:t>
      </w:r>
      <w:r w:rsidRPr="001C6314">
        <w:t>)</w:t>
      </w:r>
      <w:r w:rsidRPr="001C6314">
        <w:tab/>
        <w:t>The lack of investigations and penalties imposed in cases of discrimination against women;</w:t>
      </w:r>
    </w:p>
    <w:p w14:paraId="2D054F3A" w14:textId="77777777" w:rsidR="00D94985" w:rsidRPr="001C6314" w:rsidRDefault="00D94985" w:rsidP="00D94985">
      <w:pPr>
        <w:pStyle w:val="SingleTxtG"/>
      </w:pPr>
      <w:r w:rsidRPr="001C6314">
        <w:tab/>
        <w:t>(</w:t>
      </w:r>
      <w:r>
        <w:t>c</w:t>
      </w:r>
      <w:r w:rsidRPr="001C6314">
        <w:t>)</w:t>
      </w:r>
      <w:r w:rsidRPr="001C6314">
        <w:tab/>
        <w:t>Barriers limiting access to justice for women seeking to complain about gender-based violence, discrimination, or abuse, particularly foreign women and women with disabilities, such as lack of awareness of the various remedies available; fear of reprisals and dismissal from employment; and lack of accessibility, reasonable accommodation and procedural adjustments, including support for decision-making;</w:t>
      </w:r>
    </w:p>
    <w:p w14:paraId="3FBD3152" w14:textId="77777777" w:rsidR="00D94985" w:rsidRPr="001C6314" w:rsidRDefault="00D94985" w:rsidP="00D94985">
      <w:pPr>
        <w:pStyle w:val="SingleTxtG"/>
      </w:pPr>
      <w:r w:rsidRPr="001C6314">
        <w:tab/>
        <w:t>(</w:t>
      </w:r>
      <w:r>
        <w:t>d</w:t>
      </w:r>
      <w:r w:rsidRPr="001C6314">
        <w:t>)</w:t>
      </w:r>
      <w:r w:rsidRPr="001C6314">
        <w:tab/>
        <w:t>The lack of competence of the Centre for Equal Treatment to file complaints on behalf of women victims of discrimination.</w:t>
      </w:r>
    </w:p>
    <w:p w14:paraId="5819FB0B" w14:textId="77777777" w:rsidR="00D94985" w:rsidRDefault="00D94985" w:rsidP="00D94985">
      <w:pPr>
        <w:pStyle w:val="SingleTxtG"/>
      </w:pPr>
      <w:r w:rsidRPr="001C6314">
        <w:t>19.</w:t>
      </w:r>
      <w:r w:rsidRPr="001C6314">
        <w:tab/>
      </w:r>
      <w:r w:rsidRPr="001C6314">
        <w:rPr>
          <w:b/>
          <w:bCs/>
        </w:rPr>
        <w:t>The Committee, recalling its general recommendation No. 33 (2015) on women’s access to justice, recommends that the State party:</w:t>
      </w:r>
      <w:r w:rsidRPr="001C6314">
        <w:t xml:space="preserve"> </w:t>
      </w:r>
    </w:p>
    <w:p w14:paraId="77C0B02E" w14:textId="77777777" w:rsidR="00D94985" w:rsidRPr="00AA2178" w:rsidRDefault="00D94985" w:rsidP="00D94985">
      <w:pPr>
        <w:pStyle w:val="SingleTxt"/>
        <w:rPr>
          <w:rStyle w:val="SingleTxtGChar"/>
        </w:rPr>
      </w:pPr>
      <w:r w:rsidRPr="00AA2178">
        <w:rPr>
          <w:rStyle w:val="SingleTxtGChar"/>
        </w:rPr>
        <w:tab/>
        <w:t>(a)</w:t>
      </w:r>
      <w:r w:rsidRPr="00AA2178">
        <w:rPr>
          <w:rStyle w:val="SingleTxtGChar"/>
        </w:rPr>
        <w:tab/>
        <w:t>Strengthen legislation to ensure procedural rights, including the right to a fair trial and the rights of the defence;</w:t>
      </w:r>
    </w:p>
    <w:p w14:paraId="3633D716" w14:textId="77777777" w:rsidR="00D94985" w:rsidRPr="00AA2178" w:rsidRDefault="00D94985" w:rsidP="00D94985">
      <w:pPr>
        <w:pStyle w:val="SingleTxt"/>
        <w:rPr>
          <w:rStyle w:val="SingleTxtGChar"/>
          <w:b/>
          <w:bCs/>
        </w:rPr>
      </w:pPr>
      <w:r w:rsidRPr="00E3495B">
        <w:rPr>
          <w:lang w:val="en-US"/>
        </w:rPr>
        <w:tab/>
      </w:r>
      <w:r w:rsidRPr="00AA2178">
        <w:rPr>
          <w:rStyle w:val="SingleTxtGChar"/>
        </w:rPr>
        <w:t>(b)</w:t>
      </w:r>
      <w:r w:rsidRPr="00AA2178">
        <w:rPr>
          <w:rStyle w:val="SingleTxtGChar"/>
        </w:rPr>
        <w:tab/>
        <w:t xml:space="preserve">Raise awareness among the general public of legislation prohibiting discrimination against women and the remedies available to victims, and provide capacity-building for the judiciary on the strict application of such legislation; </w:t>
      </w:r>
      <w:r w:rsidRPr="00AA2178">
        <w:rPr>
          <w:rStyle w:val="SingleTxtGChar"/>
        </w:rPr>
        <w:cr/>
      </w:r>
      <w:r w:rsidRPr="00AA2178">
        <w:rPr>
          <w:rStyle w:val="SingleTxtGChar"/>
        </w:rPr>
        <w:tab/>
        <w:t>(c)</w:t>
      </w:r>
      <w:r w:rsidRPr="00AA2178">
        <w:rPr>
          <w:rStyle w:val="SingleTxtGChar"/>
        </w:rPr>
        <w:tab/>
        <w:t>Address the obstacles faced by women victims of gender-based violence, discrimination or abuse in accessing justice, with a particular focus on foreign women and women with disabilities;</w:t>
      </w:r>
    </w:p>
    <w:p w14:paraId="7DCF42ED" w14:textId="77777777" w:rsidR="00D94985" w:rsidRPr="00AA2178" w:rsidRDefault="00D94985" w:rsidP="00D94985">
      <w:pPr>
        <w:pStyle w:val="SingleTxt"/>
        <w:rPr>
          <w:rStyle w:val="SingleTxtGChar"/>
          <w:b/>
          <w:bCs/>
        </w:rPr>
      </w:pPr>
      <w:r w:rsidRPr="00AA2178">
        <w:rPr>
          <w:rStyle w:val="SingleTxtGChar"/>
        </w:rPr>
        <w:tab/>
        <w:t>(d)</w:t>
      </w:r>
      <w:r w:rsidRPr="00AA2178">
        <w:rPr>
          <w:rStyle w:val="SingleTxtGChar"/>
        </w:rPr>
        <w:tab/>
        <w:t>Increase the human, technical and financial resources allocated to the Centre for Equal Treatment and strengthen its mandate, in particular by giving it the power to initiate legal proceedings on behalf of victims of discrimination, and by strengthening its investigative powers and making its decisions binding;</w:t>
      </w:r>
    </w:p>
    <w:p w14:paraId="1347796F" w14:textId="77777777" w:rsidR="00D94985" w:rsidRPr="00AA2178" w:rsidRDefault="00D94985" w:rsidP="00D94985">
      <w:pPr>
        <w:pStyle w:val="SingleTxt"/>
        <w:rPr>
          <w:rStyle w:val="SingleTxtGChar"/>
        </w:rPr>
      </w:pPr>
      <w:r w:rsidRPr="00AA2178">
        <w:rPr>
          <w:rStyle w:val="SingleTxtGChar"/>
        </w:rPr>
        <w:tab/>
        <w:t>(e)</w:t>
      </w:r>
      <w:r w:rsidRPr="00AA2178">
        <w:rPr>
          <w:rStyle w:val="SingleTxtGChar"/>
        </w:rPr>
        <w:tab/>
        <w:t>Include in the draft Juvenile Justice Law a general prohibition to impose prison sentences on pregnant or breastfeeding girls or confine them in pre-trial detention, as recommended by the Consultative Commission on Human Rights (CCDH).</w:t>
      </w:r>
    </w:p>
    <w:p w14:paraId="380A4A34" w14:textId="77777777" w:rsidR="00D94985" w:rsidRPr="001C6314" w:rsidRDefault="00D94985" w:rsidP="00D94985">
      <w:pPr>
        <w:pStyle w:val="H23G"/>
      </w:pPr>
      <w:bookmarkStart w:id="3" w:name="_Hlk190352508"/>
      <w:r w:rsidRPr="001C6314">
        <w:tab/>
      </w:r>
      <w:r w:rsidRPr="001C6314">
        <w:tab/>
      </w:r>
      <w:bookmarkStart w:id="4" w:name="_Hlk190188561"/>
      <w:r w:rsidRPr="001C6314">
        <w:t xml:space="preserve">National machinery for the advancement of women </w:t>
      </w:r>
    </w:p>
    <w:p w14:paraId="7DCD6D2D" w14:textId="77777777" w:rsidR="00D94985" w:rsidRPr="001C6314" w:rsidRDefault="00D94985" w:rsidP="00AA2178">
      <w:pPr>
        <w:pStyle w:val="SingleTxtG"/>
      </w:pPr>
      <w:r w:rsidRPr="001C6314">
        <w:t>20.</w:t>
      </w:r>
      <w:r w:rsidRPr="001C6314">
        <w:tab/>
        <w:t xml:space="preserve">The Committee </w:t>
      </w:r>
      <w:r>
        <w:t xml:space="preserve">welcomes the adoption of the </w:t>
      </w:r>
      <w:r w:rsidRPr="00191325">
        <w:t>Law of 7 November 2024 on the establishment of a Gender Equality Observatory and a High Council for Gender Equality</w:t>
      </w:r>
      <w:r>
        <w:t>, and it notes</w:t>
      </w:r>
      <w:r w:rsidRPr="001C6314">
        <w:t xml:space="preserve"> the renaming of the Ministry of Equality between Women and Men to the Ministry for Gender Equality and Diversity. </w:t>
      </w:r>
      <w:r>
        <w:t>However, t</w:t>
      </w:r>
      <w:r w:rsidRPr="001C6314">
        <w:t>he Committee notes with concern:</w:t>
      </w:r>
    </w:p>
    <w:p w14:paraId="4CE251B5" w14:textId="77777777" w:rsidR="00D94985" w:rsidRDefault="00D94985" w:rsidP="00AA2178">
      <w:pPr>
        <w:pStyle w:val="SingleTxtG"/>
      </w:pPr>
      <w:r w:rsidRPr="001C6314">
        <w:tab/>
      </w:r>
      <w:r>
        <w:t>(a)</w:t>
      </w:r>
      <w:r>
        <w:tab/>
      </w:r>
      <w:r w:rsidRPr="005D73FD">
        <w:t>The partial implementation of the Second National Action Plan for Equality between Women and Men 2020, and the challenges still pending implementation;</w:t>
      </w:r>
    </w:p>
    <w:p w14:paraId="47EFFFFB" w14:textId="5CD432C9" w:rsidR="00D94985" w:rsidRPr="001C6314" w:rsidRDefault="00D94985" w:rsidP="00AA2178">
      <w:pPr>
        <w:pStyle w:val="SingleTxtG"/>
      </w:pPr>
      <w:r w:rsidRPr="001C6314">
        <w:tab/>
        <w:t>(</w:t>
      </w:r>
      <w:r w:rsidR="00E83FD3">
        <w:t>b</w:t>
      </w:r>
      <w:r w:rsidRPr="001C6314">
        <w:t>)</w:t>
      </w:r>
      <w:r>
        <w:tab/>
      </w:r>
      <w:bookmarkStart w:id="5" w:name="_Hlk190178849"/>
      <w:r w:rsidRPr="001C6314">
        <w:t>That the State party’s gender-neutral approach to equality policies may prevent it from developing effective policies to address structural gender inequalities and their impact on women’s rights</w:t>
      </w:r>
      <w:bookmarkEnd w:id="5"/>
      <w:r>
        <w:t>;</w:t>
      </w:r>
    </w:p>
    <w:p w14:paraId="5D3C136D" w14:textId="53AD3C7C" w:rsidR="00D94985" w:rsidRPr="001C6314" w:rsidRDefault="00D94985" w:rsidP="00AA2178">
      <w:pPr>
        <w:pStyle w:val="SingleTxtG"/>
      </w:pPr>
      <w:r w:rsidRPr="001C6314">
        <w:tab/>
        <w:t>(</w:t>
      </w:r>
      <w:r w:rsidR="00E83FD3">
        <w:t>c</w:t>
      </w:r>
      <w:r w:rsidRPr="001C6314">
        <w:t>)</w:t>
      </w:r>
      <w:r w:rsidRPr="001C6314">
        <w:tab/>
      </w:r>
      <w:r>
        <w:t>That c</w:t>
      </w:r>
      <w:r w:rsidRPr="00D10D02">
        <w:t>olour, language, gender identity and sex characteristics are not yet included in the list of grounds protected by the Equal Treatment Act, which prevents the evaluation of the effectiveness of legislation and public policy with regard to women from disadvantaged groups.</w:t>
      </w:r>
    </w:p>
    <w:p w14:paraId="64C2353B" w14:textId="77777777" w:rsidR="00D94985" w:rsidRPr="00105DB6" w:rsidRDefault="00D94985" w:rsidP="00D94985">
      <w:pPr>
        <w:pStyle w:val="SingleTxtG"/>
        <w:rPr>
          <w:b/>
          <w:bCs/>
        </w:rPr>
      </w:pPr>
      <w:r w:rsidRPr="001C6314">
        <w:t>21.</w:t>
      </w:r>
      <w:r w:rsidRPr="001C6314">
        <w:tab/>
      </w:r>
      <w:r w:rsidRPr="00105DB6">
        <w:rPr>
          <w:b/>
          <w:bCs/>
        </w:rPr>
        <w:t>The Committee recommends that the State party:</w:t>
      </w:r>
    </w:p>
    <w:p w14:paraId="09810336" w14:textId="77777777" w:rsidR="00D94985" w:rsidRPr="00105DB6" w:rsidRDefault="00D94985" w:rsidP="00D94985">
      <w:pPr>
        <w:pStyle w:val="SingleTxtG"/>
        <w:rPr>
          <w:b/>
          <w:bCs/>
        </w:rPr>
      </w:pPr>
      <w:r w:rsidRPr="00105DB6">
        <w:rPr>
          <w:b/>
          <w:bCs/>
        </w:rPr>
        <w:tab/>
      </w:r>
      <w:r w:rsidRPr="0084233D">
        <w:t>(a)</w:t>
      </w:r>
      <w:r w:rsidRPr="00105DB6">
        <w:rPr>
          <w:b/>
          <w:bCs/>
        </w:rPr>
        <w:tab/>
        <w:t>Ensure allocation of adequate human, technical and financial resources for the effective implementation of the National Action Plan for Gender Equality and to effectively implement, monitor and evaluate its impact of the second national action plan, including with regard to addressing deep-rooted gender stereotypes;</w:t>
      </w:r>
    </w:p>
    <w:p w14:paraId="3564DBE0" w14:textId="77777777" w:rsidR="00D94985" w:rsidRPr="00105DB6" w:rsidRDefault="00D94985" w:rsidP="00D94985">
      <w:pPr>
        <w:pStyle w:val="SingleTxtG"/>
        <w:rPr>
          <w:b/>
          <w:bCs/>
        </w:rPr>
      </w:pPr>
      <w:r w:rsidRPr="00105DB6">
        <w:rPr>
          <w:b/>
          <w:bCs/>
        </w:rPr>
        <w:tab/>
      </w:r>
      <w:r w:rsidRPr="0084233D">
        <w:t>(b)</w:t>
      </w:r>
      <w:r w:rsidRPr="00105DB6">
        <w:rPr>
          <w:b/>
          <w:bCs/>
        </w:rPr>
        <w:tab/>
        <w:t>Assess the consequences of the gender-neutral approach in its equality legislation and policies with regard to the evolution of the situation of women from disadvantaged groups;</w:t>
      </w:r>
    </w:p>
    <w:p w14:paraId="7953EF1F" w14:textId="77777777" w:rsidR="00D94985" w:rsidRPr="00105DB6" w:rsidRDefault="00D94985" w:rsidP="00D94985">
      <w:pPr>
        <w:pStyle w:val="SingleTxtG"/>
        <w:rPr>
          <w:b/>
          <w:bCs/>
        </w:rPr>
      </w:pPr>
      <w:r w:rsidRPr="00105DB6">
        <w:rPr>
          <w:b/>
          <w:bCs/>
        </w:rPr>
        <w:tab/>
      </w:r>
      <w:r w:rsidRPr="0084233D">
        <w:t>(c)</w:t>
      </w:r>
      <w:r w:rsidRPr="00105DB6">
        <w:rPr>
          <w:b/>
          <w:bCs/>
        </w:rPr>
        <w:tab/>
        <w:t>Set up the Higher Council for Gender Equality, providing it with the human and financial resources necessary to carry out its functions.</w:t>
      </w:r>
      <w:r w:rsidRPr="00105DB6" w:rsidDel="00DC6DC3">
        <w:rPr>
          <w:b/>
          <w:bCs/>
        </w:rPr>
        <w:t xml:space="preserve"> </w:t>
      </w:r>
    </w:p>
    <w:bookmarkEnd w:id="3"/>
    <w:bookmarkEnd w:id="4"/>
    <w:p w14:paraId="240974CB" w14:textId="77777777" w:rsidR="00D94985" w:rsidRPr="00B34D1D" w:rsidRDefault="00D94985" w:rsidP="00D94985">
      <w:pPr>
        <w:pStyle w:val="H23G"/>
      </w:pPr>
      <w:r w:rsidRPr="001C6314">
        <w:tab/>
      </w:r>
      <w:r w:rsidRPr="001C6314">
        <w:tab/>
      </w:r>
      <w:r w:rsidRPr="00B34D1D">
        <w:t>National human rights institution</w:t>
      </w:r>
    </w:p>
    <w:p w14:paraId="19D26564" w14:textId="77777777" w:rsidR="00D94985" w:rsidRPr="00B34D1D" w:rsidRDefault="00D94985" w:rsidP="00D94985">
      <w:pPr>
        <w:pStyle w:val="SingleTxtG"/>
      </w:pPr>
      <w:r w:rsidRPr="00B34D1D">
        <w:t>22.</w:t>
      </w:r>
      <w:r w:rsidRPr="00B34D1D">
        <w:tab/>
        <w:t>The Committee remains concerned that the Advisory Commission on Human Rights lacks the human, technical and financial resources necessary to effectively carry out its mandate. It is also concerned that this institution does not have a mandate to examine individual complaints and issue binding recommendations in this regard.</w:t>
      </w:r>
    </w:p>
    <w:p w14:paraId="37887868" w14:textId="50397148" w:rsidR="00D94985" w:rsidRPr="00105DB6" w:rsidRDefault="00D94985" w:rsidP="00D94985">
      <w:pPr>
        <w:pStyle w:val="SingleTxtG"/>
        <w:rPr>
          <w:b/>
          <w:bCs/>
          <w:lang w:val="en-US"/>
        </w:rPr>
      </w:pPr>
      <w:r w:rsidRPr="00B34D1D">
        <w:rPr>
          <w:lang w:val="en-US"/>
        </w:rPr>
        <w:t>23.</w:t>
      </w:r>
      <w:r w:rsidR="00186A06">
        <w:rPr>
          <w:lang w:val="en-US"/>
        </w:rPr>
        <w:tab/>
      </w:r>
      <w:r w:rsidRPr="00105DB6">
        <w:rPr>
          <w:b/>
          <w:bCs/>
          <w:lang w:val="en-US"/>
        </w:rPr>
        <w:t xml:space="preserve">The Committee recommends that the State party enhance resource allocation to the Advisory Commission on Human Rights and implement the recommendations issued in 2022 by the Global Alliance of National Human Rights Institutions. It also recommends that the State party strengthen the mandate of the Advisory Commission on Human Rights so that it can examine individual complaints and issue binding recommendations in this regard. </w:t>
      </w:r>
    </w:p>
    <w:p w14:paraId="098007C6" w14:textId="77777777" w:rsidR="00D94985" w:rsidRPr="001C6314" w:rsidRDefault="00D94985" w:rsidP="00D94985">
      <w:pPr>
        <w:pStyle w:val="H23G"/>
      </w:pPr>
      <w:r w:rsidRPr="001C6314">
        <w:tab/>
      </w:r>
      <w:r w:rsidRPr="001C6314">
        <w:tab/>
        <w:t>Temporary special measures</w:t>
      </w:r>
    </w:p>
    <w:p w14:paraId="0FB6F02E" w14:textId="77777777" w:rsidR="00D94985" w:rsidRPr="001C6314" w:rsidRDefault="00D94985" w:rsidP="00D94985">
      <w:pPr>
        <w:pStyle w:val="SingleTxtG"/>
      </w:pPr>
      <w:r w:rsidRPr="001C6314">
        <w:t>24.</w:t>
      </w:r>
      <w:r w:rsidRPr="001C6314">
        <w:tab/>
        <w:t>The Committee notes the mandatory minimum quota of 40 per cent for the underrepresented sex on electoral lists of political parties for general elections, as well as voluntary quotas for municipal councils and for the boards of directors of State-owned enterprises in the State party. It notes with concern, however, the absence of temporary special measures other than minimum and voluntary quotas. It further notes with concern reports of persistent public rejection of temporary special measures for the advancement of women.</w:t>
      </w:r>
    </w:p>
    <w:p w14:paraId="7828BF7E" w14:textId="77777777" w:rsidR="00D94985" w:rsidRPr="00D97B9C" w:rsidRDefault="00D94985" w:rsidP="00D94985">
      <w:pPr>
        <w:pStyle w:val="SingleTxtG"/>
        <w:rPr>
          <w:b/>
          <w:bCs/>
        </w:rPr>
      </w:pPr>
      <w:r w:rsidRPr="0084233D">
        <w:t>25.</w:t>
      </w:r>
      <w:r w:rsidRPr="00D97B9C">
        <w:rPr>
          <w:b/>
          <w:bCs/>
        </w:rPr>
        <w:tab/>
        <w:t>Recalling the Committee’s general recommendation No. 25 (2004) on temporary special measures and in line with article 4 (1) of the Convention, the Committee reiterates its previous concluding observations (</w:t>
      </w:r>
      <w:hyperlink r:id="rId18" w:history="1">
        <w:r w:rsidRPr="00D97B9C">
          <w:rPr>
            <w:rStyle w:val="Hyperlink"/>
            <w:b/>
            <w:bCs/>
          </w:rPr>
          <w:t>CEDAW/C/LUX/CO/6-7</w:t>
        </w:r>
      </w:hyperlink>
      <w:r w:rsidRPr="00D97B9C">
        <w:rPr>
          <w:b/>
          <w:bCs/>
        </w:rPr>
        <w:t>, para. 24), and recommends that the State party:</w:t>
      </w:r>
    </w:p>
    <w:p w14:paraId="4E473A1C" w14:textId="77777777" w:rsidR="00D94985" w:rsidRPr="00D97B9C" w:rsidRDefault="00D94985" w:rsidP="00D94985">
      <w:pPr>
        <w:pStyle w:val="SingleTxtG"/>
        <w:rPr>
          <w:b/>
          <w:bCs/>
        </w:rPr>
      </w:pPr>
      <w:r w:rsidRPr="00D97B9C">
        <w:rPr>
          <w:b/>
          <w:bCs/>
        </w:rPr>
        <w:tab/>
      </w:r>
      <w:r w:rsidRPr="0084233D">
        <w:t>(a)</w:t>
      </w:r>
      <w:r w:rsidRPr="00D97B9C">
        <w:rPr>
          <w:b/>
          <w:bCs/>
        </w:rPr>
        <w:tab/>
        <w:t xml:space="preserve">Continue raising awareness among politicians, public officials, the media and the general public of the non-discriminatory nature and the necessity of temporary special measures for achieving substantive equality of women and men in all areas where women are underrepresented or disadvantaged; </w:t>
      </w:r>
    </w:p>
    <w:p w14:paraId="1D8D2F66" w14:textId="77777777" w:rsidR="00D94985" w:rsidRPr="00CE7AC8" w:rsidRDefault="00D94985" w:rsidP="00D94985">
      <w:pPr>
        <w:pStyle w:val="SingleTxtG"/>
        <w:rPr>
          <w:b/>
          <w:bCs/>
        </w:rPr>
      </w:pPr>
      <w:r w:rsidRPr="00D97B9C">
        <w:rPr>
          <w:b/>
          <w:bCs/>
        </w:rPr>
        <w:tab/>
      </w:r>
      <w:r w:rsidRPr="0084233D">
        <w:t>(b)</w:t>
      </w:r>
      <w:r w:rsidRPr="00D97B9C">
        <w:rPr>
          <w:b/>
          <w:bCs/>
        </w:rPr>
        <w:tab/>
        <w:t>Adopt temporary special measures, such as gender-specific incentives, preferential recruitment of women, time-bound goals, parity quotas and targets in all areas where women are disadvantaged or underrepresented in both the public and private spheres.</w:t>
      </w:r>
    </w:p>
    <w:p w14:paraId="02FD9A7B" w14:textId="23099D10" w:rsidR="00CE7AC8" w:rsidRPr="001C6314" w:rsidRDefault="00181F52" w:rsidP="00D94985">
      <w:pPr>
        <w:pStyle w:val="H23G"/>
      </w:pPr>
      <w:r w:rsidRPr="001C6314">
        <w:tab/>
      </w:r>
      <w:r w:rsidRPr="001C6314">
        <w:tab/>
      </w:r>
      <w:r w:rsidR="00F21857" w:rsidRPr="001C6314">
        <w:t>Gender stereotypes</w:t>
      </w:r>
    </w:p>
    <w:p w14:paraId="2C12DE93" w14:textId="46B1F745" w:rsidR="00F21857" w:rsidRPr="001C6314" w:rsidRDefault="00143650" w:rsidP="00D97B9C">
      <w:pPr>
        <w:pStyle w:val="SingleTxtG"/>
      </w:pPr>
      <w:r w:rsidRPr="001C6314">
        <w:t>2</w:t>
      </w:r>
      <w:r>
        <w:t>6</w:t>
      </w:r>
      <w:r w:rsidR="00F21857" w:rsidRPr="001C6314">
        <w:t>.</w:t>
      </w:r>
      <w:r w:rsidR="00F21857" w:rsidRPr="001C6314">
        <w:tab/>
        <w:t>The Committee reiterates its previous concern</w:t>
      </w:r>
      <w:r w:rsidR="000E2468" w:rsidRPr="001C6314">
        <w:t xml:space="preserve"> (CEDAW/C/LUX/CO/6-7, para.25)</w:t>
      </w:r>
      <w:r w:rsidR="00F21857" w:rsidRPr="001C6314">
        <w:t xml:space="preserve"> regarding about the role that traditional and social media play in perpetuating negative and sexist stereotypes</w:t>
      </w:r>
      <w:r w:rsidR="000E2468" w:rsidRPr="001C6314">
        <w:t xml:space="preserve">. The Committee notes that the legislation of the State party sanctions discrimination, including sexist discrimination, and hate speech in the media and advertising. It notes with concern, however, that the response systems are mainly based on individual complaints, which are rare. The Committee reminds the State party that the eradication of gender stereotypes is a State obligation, the fulfilment of which cannot be limited to the existence of a system of individual complaints, i.e. it cannot depend on citizen initiative. The Committee further regrets that, despite the wide range of training and capacity building </w:t>
      </w:r>
      <w:r w:rsidR="00195535" w:rsidRPr="001C6314">
        <w:t xml:space="preserve">initiatives </w:t>
      </w:r>
      <w:r w:rsidR="000E2468" w:rsidRPr="001C6314">
        <w:t>on gender equality for officials at various levels and areas of the public sector, there is no regular evaluation of the reach and impact of such training.</w:t>
      </w:r>
    </w:p>
    <w:p w14:paraId="4E278534" w14:textId="6305FF77" w:rsidR="003E59B5" w:rsidRPr="00D97B9C" w:rsidRDefault="00143650" w:rsidP="00D97B9C">
      <w:pPr>
        <w:pStyle w:val="SingleTxtG"/>
        <w:rPr>
          <w:b/>
          <w:bCs/>
        </w:rPr>
      </w:pPr>
      <w:r w:rsidRPr="00AA2178">
        <w:t>27</w:t>
      </w:r>
      <w:r w:rsidR="00F21857" w:rsidRPr="00AA2178">
        <w:t>.</w:t>
      </w:r>
      <w:r w:rsidR="00F21857" w:rsidRPr="00D97B9C">
        <w:rPr>
          <w:b/>
          <w:bCs/>
        </w:rPr>
        <w:tab/>
      </w:r>
      <w:r w:rsidR="00AC2D47" w:rsidRPr="00D97B9C">
        <w:rPr>
          <w:b/>
          <w:bCs/>
        </w:rPr>
        <w:t xml:space="preserve">The Committee </w:t>
      </w:r>
      <w:r w:rsidR="003E59B5" w:rsidRPr="00D97B9C">
        <w:rPr>
          <w:b/>
          <w:bCs/>
        </w:rPr>
        <w:t>recommends that the State party</w:t>
      </w:r>
      <w:r w:rsidR="0084233D">
        <w:rPr>
          <w:b/>
          <w:bCs/>
        </w:rPr>
        <w:t>:</w:t>
      </w:r>
    </w:p>
    <w:p w14:paraId="07628E13" w14:textId="35143E5E" w:rsidR="000E2468" w:rsidRPr="00D97B9C" w:rsidRDefault="003E59B5" w:rsidP="00D97B9C">
      <w:pPr>
        <w:pStyle w:val="SingleTxtG"/>
        <w:rPr>
          <w:b/>
          <w:bCs/>
        </w:rPr>
      </w:pPr>
      <w:r w:rsidRPr="00D97B9C">
        <w:rPr>
          <w:b/>
          <w:bCs/>
        </w:rPr>
        <w:tab/>
      </w:r>
      <w:r w:rsidRPr="0084233D">
        <w:t>(a)</w:t>
      </w:r>
      <w:r w:rsidRPr="00D97B9C">
        <w:rPr>
          <w:b/>
          <w:bCs/>
        </w:rPr>
        <w:tab/>
        <w:t>In collaboration with women from marginalized groups, develop and implement a comprehensive strategy - incorporating an intersectional approach and emphasizing gender-responsive language - to combat gender stereotypes in advertising, electronic media, and social media, while promoting positive portrayals of women as active drivers of development</w:t>
      </w:r>
      <w:r w:rsidR="004E17B5" w:rsidRPr="00D97B9C">
        <w:rPr>
          <w:b/>
          <w:bCs/>
        </w:rPr>
        <w:t>;</w:t>
      </w:r>
    </w:p>
    <w:p w14:paraId="6AF11C75" w14:textId="12097047" w:rsidR="000E2468" w:rsidRPr="00D97B9C" w:rsidRDefault="004E17B5" w:rsidP="00D97B9C">
      <w:pPr>
        <w:pStyle w:val="SingleTxtG"/>
        <w:rPr>
          <w:b/>
          <w:bCs/>
        </w:rPr>
      </w:pPr>
      <w:r w:rsidRPr="00D97B9C">
        <w:rPr>
          <w:b/>
          <w:bCs/>
        </w:rPr>
        <w:tab/>
      </w:r>
      <w:r w:rsidRPr="0084233D">
        <w:t>(b)</w:t>
      </w:r>
      <w:r w:rsidRPr="00D97B9C">
        <w:rPr>
          <w:b/>
          <w:bCs/>
        </w:rPr>
        <w:tab/>
      </w:r>
      <w:r w:rsidR="000E2468" w:rsidRPr="00D97B9C">
        <w:rPr>
          <w:b/>
          <w:bCs/>
        </w:rPr>
        <w:t>Include gender equality, from an intersectional approach, in the initial and ongoing training of all administrative staff</w:t>
      </w:r>
      <w:r w:rsidRPr="00D97B9C">
        <w:rPr>
          <w:b/>
          <w:bCs/>
        </w:rPr>
        <w:t xml:space="preserve"> in the public sector</w:t>
      </w:r>
      <w:r w:rsidR="00354AD5">
        <w:rPr>
          <w:b/>
          <w:bCs/>
        </w:rPr>
        <w:t>;</w:t>
      </w:r>
      <w:r w:rsidRPr="00D97B9C">
        <w:rPr>
          <w:b/>
          <w:bCs/>
        </w:rPr>
        <w:t xml:space="preserve"> and </w:t>
      </w:r>
    </w:p>
    <w:p w14:paraId="432246A7" w14:textId="746C1E25" w:rsidR="00F21857" w:rsidRPr="00D97B9C" w:rsidRDefault="004E17B5" w:rsidP="00D97B9C">
      <w:pPr>
        <w:pStyle w:val="SingleTxtG"/>
        <w:rPr>
          <w:b/>
          <w:bCs/>
        </w:rPr>
      </w:pPr>
      <w:r w:rsidRPr="00D97B9C">
        <w:rPr>
          <w:b/>
          <w:bCs/>
        </w:rPr>
        <w:tab/>
      </w:r>
      <w:r w:rsidRPr="00AA2178">
        <w:t>(c)</w:t>
      </w:r>
      <w:r w:rsidRPr="00D97B9C">
        <w:rPr>
          <w:b/>
          <w:bCs/>
        </w:rPr>
        <w:tab/>
      </w:r>
      <w:r w:rsidR="00076432" w:rsidRPr="00D97B9C">
        <w:rPr>
          <w:b/>
          <w:bCs/>
        </w:rPr>
        <w:t xml:space="preserve">Set up a system that allows for regular evaluation </w:t>
      </w:r>
      <w:r w:rsidR="000E2468" w:rsidRPr="00D97B9C">
        <w:rPr>
          <w:b/>
          <w:bCs/>
        </w:rPr>
        <w:t>of the impact of such training</w:t>
      </w:r>
      <w:r w:rsidR="0070762E" w:rsidRPr="00D97B9C">
        <w:rPr>
          <w:b/>
          <w:bCs/>
        </w:rPr>
        <w:t xml:space="preserve"> and</w:t>
      </w:r>
      <w:r w:rsidR="000E2468" w:rsidRPr="00D97B9C">
        <w:rPr>
          <w:b/>
          <w:bCs/>
        </w:rPr>
        <w:t xml:space="preserve"> capacity building programs on institutional policies and practices.</w:t>
      </w:r>
    </w:p>
    <w:p w14:paraId="59737B60" w14:textId="084D3FFB" w:rsidR="00143650" w:rsidRPr="001C6314" w:rsidRDefault="00CE7AC8" w:rsidP="00D97B9C">
      <w:pPr>
        <w:pStyle w:val="H23G"/>
      </w:pPr>
      <w:r>
        <w:tab/>
      </w:r>
      <w:r>
        <w:tab/>
      </w:r>
      <w:r w:rsidR="00143650" w:rsidRPr="001C6314">
        <w:t xml:space="preserve">Harmful practices </w:t>
      </w:r>
    </w:p>
    <w:p w14:paraId="43AE834A" w14:textId="0B0DC0F8" w:rsidR="00143650" w:rsidRPr="001C6314" w:rsidRDefault="00143650" w:rsidP="00D97B9C">
      <w:pPr>
        <w:pStyle w:val="SingleTxtG"/>
      </w:pPr>
      <w:r w:rsidRPr="001C6314">
        <w:t>2</w:t>
      </w:r>
      <w:r>
        <w:t>8</w:t>
      </w:r>
      <w:r w:rsidRPr="001C6314">
        <w:t>.</w:t>
      </w:r>
      <w:r w:rsidRPr="001C6314">
        <w:tab/>
        <w:t>The Committee notes with appreciation the statement dated 6 February 2023 of the Government of Luxembourg reaffirming its commitment to combat female genital mutilation. However, it remains concerned about the lack of prosecutions and convictions in cases of female genital mutilation and the lack of data on the extent of the phenomenon and reports that a significant number of girls and women are at risk of genital mutilation in Luxembourg. The Committee further notes with concern the persistence of harmful practices referred to in its previous concluding observations.</w:t>
      </w:r>
    </w:p>
    <w:p w14:paraId="18EF74B1" w14:textId="1EABC4F8" w:rsidR="00143650" w:rsidRPr="00D97B9C" w:rsidRDefault="00143650" w:rsidP="00D97B9C">
      <w:pPr>
        <w:pStyle w:val="SingleTxtG"/>
        <w:rPr>
          <w:b/>
          <w:bCs/>
        </w:rPr>
      </w:pPr>
      <w:r w:rsidRPr="00AA2178">
        <w:t>29.</w:t>
      </w:r>
      <w:r w:rsidRPr="00D97B9C">
        <w:rPr>
          <w:b/>
          <w:bCs/>
        </w:rPr>
        <w:tab/>
        <w:t>Drawing attention to joint general recommendation No. 31 of the Committee on the Elimination of Discrimination against Women/general comment No. 18 of the Committee on the Rights of the Child (2019) on harmful practices, as revised, and recalling its previous recommendations (CEDAW/C/LUX/6-7, para.28), the Committee recommends that the State party:</w:t>
      </w:r>
    </w:p>
    <w:p w14:paraId="355C76BB" w14:textId="77777777" w:rsidR="00143650" w:rsidRPr="00D97B9C" w:rsidRDefault="00143650" w:rsidP="00D97B9C">
      <w:pPr>
        <w:pStyle w:val="SingleTxtG"/>
        <w:rPr>
          <w:b/>
          <w:bCs/>
        </w:rPr>
      </w:pPr>
      <w:r w:rsidRPr="00D97B9C">
        <w:rPr>
          <w:b/>
          <w:bCs/>
        </w:rPr>
        <w:tab/>
      </w:r>
      <w:r w:rsidRPr="00354AD5">
        <w:t>(a)</w:t>
      </w:r>
      <w:r w:rsidRPr="00D97B9C">
        <w:rPr>
          <w:b/>
          <w:bCs/>
        </w:rPr>
        <w:tab/>
        <w:t>Continue to systematically collect disaggregated data on the incidence of female genital mutilation and other harmful practices in the State party;</w:t>
      </w:r>
    </w:p>
    <w:p w14:paraId="3743A1E6" w14:textId="1AA31318" w:rsidR="00143650" w:rsidRPr="00D97B9C" w:rsidRDefault="00143650" w:rsidP="00D97B9C">
      <w:pPr>
        <w:pStyle w:val="SingleTxtG"/>
        <w:rPr>
          <w:b/>
          <w:bCs/>
        </w:rPr>
      </w:pPr>
      <w:r w:rsidRPr="00D97B9C">
        <w:rPr>
          <w:b/>
          <w:bCs/>
        </w:rPr>
        <w:tab/>
      </w:r>
      <w:r w:rsidRPr="00354AD5">
        <w:t>(b)</w:t>
      </w:r>
      <w:r w:rsidRPr="00D97B9C">
        <w:rPr>
          <w:b/>
          <w:bCs/>
        </w:rPr>
        <w:tab/>
        <w:t>Provide information to survivors of female genital mutilation on the support services available to them; adequately fund mandatory training for health professionals and social workers on the identification of women and girls at risk of female genital mutilation and their referral to appropriate support services; and ensure that perpetrators are prosecuted and adequately punished</w:t>
      </w:r>
      <w:r w:rsidR="00354AD5">
        <w:rPr>
          <w:b/>
          <w:bCs/>
        </w:rPr>
        <w:t>;</w:t>
      </w:r>
    </w:p>
    <w:p w14:paraId="38A6D6B6" w14:textId="77777777" w:rsidR="00143650" w:rsidRPr="00D97B9C" w:rsidRDefault="00143650" w:rsidP="00D97B9C">
      <w:pPr>
        <w:pStyle w:val="SingleTxtG"/>
        <w:rPr>
          <w:b/>
          <w:bCs/>
        </w:rPr>
      </w:pPr>
      <w:r w:rsidRPr="00D97B9C">
        <w:rPr>
          <w:b/>
          <w:bCs/>
        </w:rPr>
        <w:tab/>
      </w:r>
      <w:r w:rsidRPr="00354AD5">
        <w:t>(c)</w:t>
      </w:r>
      <w:r w:rsidRPr="00D97B9C">
        <w:rPr>
          <w:b/>
          <w:bCs/>
        </w:rPr>
        <w:tab/>
        <w:t>Explicitly prohibit the non-consensual administration of contraceptives, medical treatments or sterilizations to women and girls with disabilities, in particular those with psychosocial disabilities;</w:t>
      </w:r>
    </w:p>
    <w:p w14:paraId="7387DC01" w14:textId="77777777" w:rsidR="00143650" w:rsidRPr="00D97B9C" w:rsidRDefault="00143650" w:rsidP="00D97B9C">
      <w:pPr>
        <w:pStyle w:val="SingleTxtG"/>
        <w:rPr>
          <w:b/>
          <w:bCs/>
        </w:rPr>
      </w:pPr>
      <w:r w:rsidRPr="00D97B9C">
        <w:rPr>
          <w:b/>
          <w:bCs/>
        </w:rPr>
        <w:tab/>
      </w:r>
      <w:r w:rsidRPr="00354AD5">
        <w:t>(d)</w:t>
      </w:r>
      <w:r w:rsidRPr="00D97B9C">
        <w:rPr>
          <w:b/>
          <w:bCs/>
        </w:rPr>
        <w:tab/>
        <w:t>Explicitly criminalise all cases of forced sterilization, not just cases where it constitutes a war crime or a crime against humanity.</w:t>
      </w:r>
    </w:p>
    <w:p w14:paraId="0E5252D0" w14:textId="77777777" w:rsidR="00181F52" w:rsidRPr="001C6314" w:rsidRDefault="00181F52" w:rsidP="00D97B9C">
      <w:pPr>
        <w:pStyle w:val="H23G"/>
      </w:pPr>
      <w:r w:rsidRPr="001C6314">
        <w:tab/>
      </w:r>
      <w:r w:rsidRPr="001C6314">
        <w:tab/>
      </w:r>
      <w:bookmarkStart w:id="6" w:name="_Hlk189926209"/>
      <w:r w:rsidRPr="001C6314">
        <w:t>Gender-based violence against women</w:t>
      </w:r>
    </w:p>
    <w:bookmarkEnd w:id="6"/>
    <w:p w14:paraId="45D81084" w14:textId="2C02D11B" w:rsidR="005F64EC" w:rsidRPr="001C6314" w:rsidRDefault="00BD1F82" w:rsidP="00D97B9C">
      <w:pPr>
        <w:pStyle w:val="SingleTxtG"/>
      </w:pPr>
      <w:r w:rsidRPr="001C6314">
        <w:t>30</w:t>
      </w:r>
      <w:r w:rsidR="00181F52" w:rsidRPr="001C6314">
        <w:t>.</w:t>
      </w:r>
      <w:r w:rsidR="00181F52" w:rsidRPr="001C6314">
        <w:tab/>
      </w:r>
      <w:r w:rsidR="00BE3E6D" w:rsidRPr="00A24359">
        <w:t xml:space="preserve">The Committee </w:t>
      </w:r>
      <w:r w:rsidR="00BE3E6D">
        <w:t xml:space="preserve">notes with appreciation the legislative measures adopted by the State party to address gender-based violence against women and its proposed global strategy on gender-based violence that provides for State responses to forms of gender-based violence against women beyond domestic violence, such as female genital mutilation or forced marriage. </w:t>
      </w:r>
      <w:r w:rsidR="00D04214" w:rsidRPr="001C6314">
        <w:t>It</w:t>
      </w:r>
      <w:r w:rsidR="00BE3E6D">
        <w:t xml:space="preserve"> also</w:t>
      </w:r>
      <w:r w:rsidR="00D04214" w:rsidRPr="001C6314">
        <w:t xml:space="preserve"> notes with interest that a national reception centre for victims of all types of violence, including gender-based violence is expected to be inaugurated later this year</w:t>
      </w:r>
      <w:r w:rsidR="005F64EC" w:rsidRPr="001C6314">
        <w:t>.</w:t>
      </w:r>
      <w:r w:rsidR="00D04214" w:rsidRPr="001C6314">
        <w:t xml:space="preserve">  However, the Committee is concerned that:</w:t>
      </w:r>
    </w:p>
    <w:p w14:paraId="5FF1AC06" w14:textId="4F73B8EA" w:rsidR="00BE3E6D" w:rsidRDefault="00BE3E6D" w:rsidP="00D97B9C">
      <w:pPr>
        <w:pStyle w:val="SingleTxtG"/>
      </w:pPr>
      <w:r>
        <w:tab/>
        <w:t>(a)</w:t>
      </w:r>
      <w:r>
        <w:tab/>
        <w:t>The statute of limitations for punishing rape is currently limited to 10 years;</w:t>
      </w:r>
    </w:p>
    <w:p w14:paraId="55615737" w14:textId="77777777" w:rsidR="00BE3E6D" w:rsidRDefault="00BE3E6D" w:rsidP="00D97B9C">
      <w:pPr>
        <w:pStyle w:val="SingleTxtG"/>
      </w:pPr>
      <w:r>
        <w:tab/>
        <w:t>(b)</w:t>
      </w:r>
      <w:r>
        <w:tab/>
        <w:t>That psychological violence</w:t>
      </w:r>
      <w:r w:rsidRPr="000E406C">
        <w:t xml:space="preserve"> is </w:t>
      </w:r>
      <w:r>
        <w:t>not defined as a crime in itself but is</w:t>
      </w:r>
      <w:r w:rsidRPr="000E406C">
        <w:t xml:space="preserve"> punishable </w:t>
      </w:r>
      <w:r>
        <w:t xml:space="preserve">only </w:t>
      </w:r>
      <w:r w:rsidRPr="000E406C">
        <w:t xml:space="preserve">when accompanied </w:t>
      </w:r>
      <w:r>
        <w:t>by</w:t>
      </w:r>
      <w:r w:rsidRPr="000E406C">
        <w:t xml:space="preserve"> another crime</w:t>
      </w:r>
      <w:r>
        <w:t>;</w:t>
      </w:r>
    </w:p>
    <w:p w14:paraId="125BCE8C" w14:textId="2E628BCE" w:rsidR="00BE3E6D" w:rsidRDefault="00BE3E6D" w:rsidP="00D97B9C">
      <w:pPr>
        <w:pStyle w:val="SingleTxtG"/>
      </w:pPr>
      <w:r>
        <w:tab/>
        <w:t>(c)</w:t>
      </w:r>
      <w:r>
        <w:tab/>
        <w:t>Intersectionality has not been introduced in a crosscutting manner to the entire approach to the various forms of gender-based violence, including with regard to the disability;</w:t>
      </w:r>
    </w:p>
    <w:p w14:paraId="670F841C" w14:textId="77777777" w:rsidR="00BE3E6D" w:rsidRDefault="00BE3E6D" w:rsidP="00D97B9C">
      <w:pPr>
        <w:pStyle w:val="SingleTxtG"/>
      </w:pPr>
      <w:r>
        <w:tab/>
        <w:t>(d)</w:t>
      </w:r>
      <w:r>
        <w:tab/>
        <w:t>The lack of mandatory training for judges on GBVAW and that justice sector capacity building is limited to domestic violence;</w:t>
      </w:r>
    </w:p>
    <w:p w14:paraId="594C094D" w14:textId="77777777" w:rsidR="00BE3E6D" w:rsidRDefault="00BE3E6D" w:rsidP="00D97B9C">
      <w:pPr>
        <w:pStyle w:val="SingleTxtG"/>
      </w:pPr>
      <w:r>
        <w:tab/>
        <w:t>(e)</w:t>
      </w:r>
      <w:r>
        <w:tab/>
        <w:t>T</w:t>
      </w:r>
      <w:r w:rsidRPr="000E406C">
        <w:t xml:space="preserve">he gaps in </w:t>
      </w:r>
      <w:r>
        <w:t>the data collection on all types of gender-based violence and on prosecution and conviction rates;</w:t>
      </w:r>
    </w:p>
    <w:p w14:paraId="7DC1F265" w14:textId="550DB4B9" w:rsidR="00405273" w:rsidRPr="001C6314" w:rsidRDefault="00BE3E6D" w:rsidP="00D97B9C">
      <w:pPr>
        <w:pStyle w:val="SingleTxtG"/>
      </w:pPr>
      <w:r>
        <w:tab/>
        <w:t>(f)</w:t>
      </w:r>
      <w:r>
        <w:tab/>
        <w:t xml:space="preserve">That the recommendation of the Luxembourg’s Committee for Cooperation between Professionals Combating Violence to conduct a retrospective review of homicides or attempted homicides in contexts of gender-based violence has not been implemented. </w:t>
      </w:r>
      <w:r w:rsidR="000E406C" w:rsidRPr="001C6314">
        <w:t xml:space="preserve"> </w:t>
      </w:r>
    </w:p>
    <w:p w14:paraId="3DFE2771" w14:textId="64D41ED5" w:rsidR="00181F52" w:rsidRPr="00D97B9C" w:rsidRDefault="00BD1F82" w:rsidP="00D97B9C">
      <w:pPr>
        <w:pStyle w:val="SingleTxtG"/>
        <w:rPr>
          <w:b/>
          <w:bCs/>
        </w:rPr>
      </w:pPr>
      <w:r w:rsidRPr="00AA2178">
        <w:t>31</w:t>
      </w:r>
      <w:r w:rsidR="00181F52" w:rsidRPr="00AA2178">
        <w:t>.</w:t>
      </w:r>
      <w:r w:rsidR="00181F52" w:rsidRPr="00D41873">
        <w:rPr>
          <w:b/>
          <w:bCs/>
        </w:rPr>
        <w:tab/>
      </w:r>
      <w:r w:rsidR="00181F52" w:rsidRPr="00D97B9C">
        <w:rPr>
          <w:b/>
          <w:bCs/>
        </w:rPr>
        <w:t>In line with its general recommendation No. 35 (2017) on gender-based violence against women, updating general recommendation No. 19, and with target 5.2 of the Sustainable Development Goals, on the elimination of all forms of violence against all women and girls in the public and private spheres, the Committee recommends that the State party:</w:t>
      </w:r>
    </w:p>
    <w:p w14:paraId="49B3B57A" w14:textId="77777777" w:rsidR="002F570A" w:rsidRPr="00D97B9C" w:rsidRDefault="002F570A" w:rsidP="00D97B9C">
      <w:pPr>
        <w:pStyle w:val="SingleTxtG"/>
        <w:rPr>
          <w:b/>
          <w:bCs/>
        </w:rPr>
      </w:pPr>
      <w:r w:rsidRPr="00D97B9C">
        <w:rPr>
          <w:b/>
          <w:bCs/>
        </w:rPr>
        <w:tab/>
      </w:r>
      <w:r w:rsidRPr="00354AD5">
        <w:t>(a)</w:t>
      </w:r>
      <w:r w:rsidRPr="00D97B9C">
        <w:rPr>
          <w:b/>
          <w:bCs/>
        </w:rPr>
        <w:tab/>
        <w:t>Increase the period during which rape can be punished in the statute of limitations;</w:t>
      </w:r>
    </w:p>
    <w:p w14:paraId="0E45F43F" w14:textId="77777777" w:rsidR="002F570A" w:rsidRPr="00D97B9C" w:rsidRDefault="002F570A" w:rsidP="00D97B9C">
      <w:pPr>
        <w:pStyle w:val="SingleTxtG"/>
        <w:rPr>
          <w:b/>
          <w:bCs/>
        </w:rPr>
      </w:pPr>
      <w:r w:rsidRPr="00D97B9C">
        <w:rPr>
          <w:b/>
          <w:bCs/>
        </w:rPr>
        <w:tab/>
      </w:r>
      <w:r w:rsidRPr="00354AD5">
        <w:t>(b)</w:t>
      </w:r>
      <w:r w:rsidRPr="00D97B9C">
        <w:rPr>
          <w:b/>
          <w:bCs/>
        </w:rPr>
        <w:tab/>
        <w:t>Criminalize psychological violence, irrespective of whether or not it is accompanied by another crime;</w:t>
      </w:r>
    </w:p>
    <w:p w14:paraId="2CB7D015" w14:textId="77777777" w:rsidR="002F570A" w:rsidRPr="00D97B9C" w:rsidRDefault="002F570A" w:rsidP="00D97B9C">
      <w:pPr>
        <w:pStyle w:val="SingleTxtG"/>
        <w:rPr>
          <w:b/>
          <w:bCs/>
        </w:rPr>
      </w:pPr>
      <w:r w:rsidRPr="00D97B9C">
        <w:rPr>
          <w:b/>
          <w:bCs/>
        </w:rPr>
        <w:tab/>
      </w:r>
      <w:r w:rsidRPr="00354AD5">
        <w:t>(c)</w:t>
      </w:r>
      <w:r w:rsidRPr="00D97B9C">
        <w:rPr>
          <w:b/>
          <w:bCs/>
        </w:rPr>
        <w:tab/>
        <w:t>Incorporate an intersectional approach into all strategies to combat gender-based violence against women, including women with disabilities, asylum seeking and migrant women;</w:t>
      </w:r>
    </w:p>
    <w:p w14:paraId="22B67C23" w14:textId="77777777" w:rsidR="002F570A" w:rsidRPr="00D97B9C" w:rsidRDefault="002F570A" w:rsidP="00D97B9C">
      <w:pPr>
        <w:pStyle w:val="SingleTxtG"/>
        <w:rPr>
          <w:b/>
          <w:bCs/>
        </w:rPr>
      </w:pPr>
      <w:r w:rsidRPr="00D97B9C">
        <w:rPr>
          <w:b/>
          <w:bCs/>
        </w:rPr>
        <w:tab/>
      </w:r>
      <w:r w:rsidRPr="00354AD5">
        <w:t>(d)</w:t>
      </w:r>
      <w:r w:rsidRPr="00D97B9C">
        <w:rPr>
          <w:b/>
          <w:bCs/>
        </w:rPr>
        <w:tab/>
        <w:t>Expand the scope of capacity building for the judiciary to cover all forms of gender-based violence and make such training mandatory;</w:t>
      </w:r>
    </w:p>
    <w:p w14:paraId="4DC521A2" w14:textId="77777777" w:rsidR="002F570A" w:rsidRPr="00D97B9C" w:rsidRDefault="002F570A" w:rsidP="00D97B9C">
      <w:pPr>
        <w:pStyle w:val="SingleTxtG"/>
        <w:rPr>
          <w:b/>
          <w:bCs/>
        </w:rPr>
      </w:pPr>
      <w:r w:rsidRPr="00D97B9C">
        <w:rPr>
          <w:b/>
          <w:bCs/>
        </w:rPr>
        <w:tab/>
      </w:r>
      <w:r w:rsidRPr="00354AD5">
        <w:t>(e)</w:t>
      </w:r>
      <w:r w:rsidRPr="00D97B9C">
        <w:rPr>
          <w:b/>
          <w:bCs/>
        </w:rPr>
        <w:tab/>
        <w:t>Improve the data collection system to account for all types of gender-based violence, as well as justice system responses, including prosecution and conviction rates;</w:t>
      </w:r>
    </w:p>
    <w:p w14:paraId="27A67003" w14:textId="0F8F250E" w:rsidR="00181F52" w:rsidRPr="00D97B9C" w:rsidRDefault="002F570A" w:rsidP="00D97B9C">
      <w:pPr>
        <w:pStyle w:val="SingleTxtG"/>
        <w:rPr>
          <w:b/>
          <w:bCs/>
        </w:rPr>
      </w:pPr>
      <w:r w:rsidRPr="00D97B9C">
        <w:rPr>
          <w:b/>
          <w:bCs/>
        </w:rPr>
        <w:tab/>
      </w:r>
      <w:r w:rsidRPr="00354AD5">
        <w:t>(f)</w:t>
      </w:r>
      <w:r w:rsidRPr="00D97B9C">
        <w:rPr>
          <w:b/>
          <w:bCs/>
        </w:rPr>
        <w:tab/>
        <w:t>Implement the system of retrospective review of homicides or attempted homicides in contexts of gender-based violence, as recommended by the Luxembourg Committee for Cooperation between Professionals Combating Violence</w:t>
      </w:r>
      <w:r w:rsidR="00181F52" w:rsidRPr="00D97B9C">
        <w:rPr>
          <w:b/>
          <w:bCs/>
        </w:rPr>
        <w:t xml:space="preserve">. </w:t>
      </w:r>
    </w:p>
    <w:p w14:paraId="7A438CC9" w14:textId="77777777" w:rsidR="00181F52" w:rsidRPr="001C6314" w:rsidRDefault="00181F52" w:rsidP="00D97B9C">
      <w:pPr>
        <w:pStyle w:val="H23G"/>
      </w:pPr>
      <w:bookmarkStart w:id="7" w:name="_Hlk190092301"/>
      <w:r w:rsidRPr="001C6314">
        <w:tab/>
      </w:r>
      <w:r w:rsidRPr="001C6314">
        <w:tab/>
      </w:r>
      <w:bookmarkStart w:id="8" w:name="_Hlk190165821"/>
      <w:r w:rsidRPr="001C6314">
        <w:t>Trafficking and exploitation of prostitution</w:t>
      </w:r>
    </w:p>
    <w:p w14:paraId="30E9D506" w14:textId="34C87503" w:rsidR="00181F52" w:rsidRPr="001C6314" w:rsidRDefault="00BD1F82" w:rsidP="00D97B9C">
      <w:pPr>
        <w:pStyle w:val="SingleTxtG"/>
      </w:pPr>
      <w:r w:rsidRPr="001C6314">
        <w:t>32</w:t>
      </w:r>
      <w:r w:rsidR="00181F52" w:rsidRPr="001C6314">
        <w:t>.</w:t>
      </w:r>
      <w:r w:rsidR="00181F52" w:rsidRPr="001C6314">
        <w:tab/>
      </w:r>
      <w:r w:rsidR="00972BE1" w:rsidRPr="001C6314">
        <w:t>Recalling its previous concerns, (CEDAW/C/LUX/CO/6-7, para.31), t</w:t>
      </w:r>
      <w:r w:rsidR="0045165E" w:rsidRPr="001C6314">
        <w:t>he Committee notes with concern</w:t>
      </w:r>
      <w:r w:rsidR="00181F52" w:rsidRPr="001C6314">
        <w:t xml:space="preserve"> that:</w:t>
      </w:r>
    </w:p>
    <w:p w14:paraId="39B9F6B3" w14:textId="77777777" w:rsidR="00677085" w:rsidRPr="001C6314" w:rsidRDefault="00677085" w:rsidP="00D97B9C">
      <w:pPr>
        <w:pStyle w:val="SingleTxtG"/>
      </w:pPr>
      <w:r w:rsidRPr="001C6314">
        <w:tab/>
        <w:t>(a)</w:t>
      </w:r>
      <w:r w:rsidRPr="001C6314">
        <w:tab/>
        <w:t xml:space="preserve">The definition of trafficking in persons in the States party’s legislation does not fully align with the definition under international law, as force, fraud and coercion are stated as aggravating factors rather than constitutive elements; </w:t>
      </w:r>
    </w:p>
    <w:p w14:paraId="2E3A082C" w14:textId="59F0D8F6" w:rsidR="00677085" w:rsidRPr="001C6314" w:rsidRDefault="00677085" w:rsidP="00D97B9C">
      <w:pPr>
        <w:pStyle w:val="SingleTxtG"/>
      </w:pPr>
      <w:r w:rsidRPr="001C6314">
        <w:tab/>
        <w:t>(b)</w:t>
      </w:r>
      <w:r w:rsidRPr="001C6314">
        <w:tab/>
      </w:r>
      <w:r w:rsidR="00586CE6" w:rsidRPr="00586CE6">
        <w:t xml:space="preserve">No evaluation has been carried out of the State party's National Action Plan (NAP) against Trafficking in Human Beings adopted in 2016, nor is there any </w:t>
      </w:r>
      <w:r w:rsidR="008009B7">
        <w:t>active process</w:t>
      </w:r>
      <w:r w:rsidR="00586CE6" w:rsidRPr="00586CE6">
        <w:t xml:space="preserve"> to develop a new one</w:t>
      </w:r>
      <w:r w:rsidR="00354AD5">
        <w:t>;</w:t>
      </w:r>
    </w:p>
    <w:p w14:paraId="03583CFB" w14:textId="77777777" w:rsidR="00677085" w:rsidRPr="001C6314" w:rsidRDefault="00677085" w:rsidP="00D97B9C">
      <w:pPr>
        <w:pStyle w:val="SingleTxtG"/>
      </w:pPr>
      <w:r w:rsidRPr="001C6314">
        <w:tab/>
        <w:t>(c)</w:t>
      </w:r>
      <w:r w:rsidRPr="001C6314">
        <w:tab/>
        <w:t>Sentences for perpetrators of trafficking offences are reportedly lenient, judges often unaware of gender-sensitive interrogation methods, and that the assets of traffickers are rarely confiscated or victims compensated;</w:t>
      </w:r>
    </w:p>
    <w:p w14:paraId="6B28171D" w14:textId="77777777" w:rsidR="00677085" w:rsidRPr="001C6314" w:rsidRDefault="00677085" w:rsidP="00D97B9C">
      <w:pPr>
        <w:pStyle w:val="SingleTxtG"/>
      </w:pPr>
      <w:r w:rsidRPr="001C6314">
        <w:tab/>
        <w:t>(d)</w:t>
      </w:r>
      <w:r w:rsidRPr="001C6314">
        <w:tab/>
        <w:t>Current screening procedures of asylum-seeking and migrant women and girls for trafficking indicators may lead to penalization of victims, including through deportation, and leave many women and girls victims of trafficking unidentified;</w:t>
      </w:r>
    </w:p>
    <w:p w14:paraId="7C0B9AA2" w14:textId="77777777" w:rsidR="00677085" w:rsidRPr="001C6314" w:rsidRDefault="00677085" w:rsidP="00D97B9C">
      <w:pPr>
        <w:pStyle w:val="SingleTxtG"/>
      </w:pPr>
      <w:r w:rsidRPr="001C6314">
        <w:tab/>
        <w:t>(e)</w:t>
      </w:r>
      <w:r w:rsidRPr="001C6314">
        <w:tab/>
        <w:t>As of 2023, the State party has not identified any child trafficking victims for the third consecutive year;</w:t>
      </w:r>
    </w:p>
    <w:p w14:paraId="52047757" w14:textId="2793B6AC" w:rsidR="002E028F" w:rsidRPr="001C6314" w:rsidRDefault="002E028F" w:rsidP="00D97B9C">
      <w:pPr>
        <w:pStyle w:val="SingleTxtG"/>
      </w:pPr>
      <w:r w:rsidRPr="001C6314">
        <w:tab/>
        <w:t>(</w:t>
      </w:r>
      <w:r w:rsidR="00220805" w:rsidRPr="001C6314">
        <w:t>f</w:t>
      </w:r>
      <w:r w:rsidRPr="001C6314">
        <w:t>)</w:t>
      </w:r>
      <w:r w:rsidRPr="001C6314">
        <w:tab/>
      </w:r>
      <w:r w:rsidR="00474BC6" w:rsidRPr="001C6314">
        <w:t>Migrant workers</w:t>
      </w:r>
      <w:r w:rsidR="00B21157" w:rsidRPr="001C6314">
        <w:t>, for which there is a lack of adequate data collection,</w:t>
      </w:r>
      <w:r w:rsidR="00474BC6" w:rsidRPr="001C6314">
        <w:t xml:space="preserve"> are reportedly particularly exposed to the risk of exploitation and </w:t>
      </w:r>
      <w:r w:rsidR="00677085" w:rsidRPr="001C6314">
        <w:t>there is a lack of victim support services, access to compensation an exit programmes for women who wish to leave prostitution</w:t>
      </w:r>
      <w:r w:rsidR="00474BC6" w:rsidRPr="001C6314">
        <w:t>.</w:t>
      </w:r>
    </w:p>
    <w:p w14:paraId="5450F7B5" w14:textId="78E88987" w:rsidR="00181F52" w:rsidRPr="00D97B9C" w:rsidRDefault="00BD1F82" w:rsidP="00D97B9C">
      <w:pPr>
        <w:pStyle w:val="SingleTxtG"/>
        <w:rPr>
          <w:b/>
          <w:bCs/>
        </w:rPr>
      </w:pPr>
      <w:r w:rsidRPr="00AA2178">
        <w:t>33</w:t>
      </w:r>
      <w:r w:rsidR="00181F52" w:rsidRPr="00AA2178">
        <w:t>.</w:t>
      </w:r>
      <w:r w:rsidR="00181F52" w:rsidRPr="00D97B9C">
        <w:rPr>
          <w:b/>
          <w:bCs/>
        </w:rPr>
        <w:tab/>
        <w:t xml:space="preserve">With reference to its general recommendation No. 38 (2020) on trafficking in women and girls in the context of global </w:t>
      </w:r>
      <w:r w:rsidR="006C71B1" w:rsidRPr="00D97B9C">
        <w:rPr>
          <w:b/>
          <w:bCs/>
        </w:rPr>
        <w:t>migration and</w:t>
      </w:r>
      <w:r w:rsidR="00F25C4A" w:rsidRPr="00D97B9C">
        <w:rPr>
          <w:b/>
          <w:bCs/>
        </w:rPr>
        <w:t xml:space="preserve"> recalling its previous recommendations (CEDAW/C/LUX/CO/6-7.para.32</w:t>
      </w:r>
      <w:r w:rsidR="00EB7E70">
        <w:rPr>
          <w:b/>
          <w:bCs/>
        </w:rPr>
        <w:t xml:space="preserve"> and 34</w:t>
      </w:r>
      <w:r w:rsidR="00F25C4A" w:rsidRPr="00D97B9C">
        <w:rPr>
          <w:b/>
          <w:bCs/>
        </w:rPr>
        <w:t>)</w:t>
      </w:r>
      <w:r w:rsidR="00843E1D" w:rsidRPr="00D97B9C">
        <w:rPr>
          <w:b/>
          <w:bCs/>
        </w:rPr>
        <w:t>,</w:t>
      </w:r>
      <w:r w:rsidR="00181F52" w:rsidRPr="00D97B9C">
        <w:rPr>
          <w:b/>
          <w:bCs/>
        </w:rPr>
        <w:t xml:space="preserve"> the Committee recommends that the State party:</w:t>
      </w:r>
    </w:p>
    <w:p w14:paraId="30080A6A" w14:textId="3EF05A51" w:rsidR="00F25C4A" w:rsidRPr="00D97B9C" w:rsidRDefault="00F25C4A" w:rsidP="00D97B9C">
      <w:pPr>
        <w:pStyle w:val="SingleTxtG"/>
        <w:rPr>
          <w:b/>
          <w:bCs/>
        </w:rPr>
      </w:pPr>
      <w:r w:rsidRPr="00D97B9C">
        <w:rPr>
          <w:b/>
          <w:bCs/>
        </w:rPr>
        <w:tab/>
      </w:r>
      <w:r w:rsidRPr="00354AD5">
        <w:t>(a)</w:t>
      </w:r>
      <w:r w:rsidRPr="00D97B9C">
        <w:rPr>
          <w:b/>
          <w:bCs/>
        </w:rPr>
        <w:tab/>
        <w:t xml:space="preserve">In line with GRETA recommendation 2022, amend the definition of trafficking so that it is in conformity with the </w:t>
      </w:r>
      <w:r w:rsidR="008B71D8" w:rsidRPr="00D97B9C">
        <w:rPr>
          <w:b/>
          <w:bCs/>
        </w:rPr>
        <w:t>Protocol to Prevent, Suppress and Punish Trafficking in Persons, Especially Women and Children (Palermo Protocol)</w:t>
      </w:r>
      <w:r w:rsidRPr="00D97B9C">
        <w:rPr>
          <w:b/>
          <w:bCs/>
        </w:rPr>
        <w:t xml:space="preserve"> and relevant international human rights standards</w:t>
      </w:r>
      <w:r w:rsidR="009A108F" w:rsidRPr="00D97B9C">
        <w:rPr>
          <w:b/>
          <w:bCs/>
        </w:rPr>
        <w:t>;</w:t>
      </w:r>
    </w:p>
    <w:p w14:paraId="540D4F0A" w14:textId="1773A9A0" w:rsidR="00F25C4A" w:rsidRPr="00D97B9C" w:rsidRDefault="00F25C4A" w:rsidP="00D97B9C">
      <w:pPr>
        <w:pStyle w:val="SingleTxtG"/>
        <w:rPr>
          <w:b/>
          <w:bCs/>
        </w:rPr>
      </w:pPr>
      <w:r w:rsidRPr="00D97B9C">
        <w:rPr>
          <w:b/>
          <w:bCs/>
        </w:rPr>
        <w:tab/>
      </w:r>
      <w:r w:rsidRPr="00354AD5">
        <w:t>(b)</w:t>
      </w:r>
      <w:r w:rsidRPr="00D97B9C">
        <w:rPr>
          <w:b/>
          <w:bCs/>
        </w:rPr>
        <w:tab/>
      </w:r>
      <w:r w:rsidR="007E0EBA" w:rsidRPr="00D97B9C">
        <w:rPr>
          <w:b/>
          <w:bCs/>
        </w:rPr>
        <w:t>Expedite the adoption of the new National Action Plan against Trafficking in Human Beings and ensure that it takes into account intersecting and gender-specific dimensions of trafficking</w:t>
      </w:r>
      <w:r w:rsidR="00C304A8" w:rsidRPr="00D97B9C">
        <w:rPr>
          <w:b/>
          <w:bCs/>
        </w:rPr>
        <w:t>;</w:t>
      </w:r>
    </w:p>
    <w:p w14:paraId="527119B7" w14:textId="69CFCA26" w:rsidR="00F25C4A" w:rsidRPr="00D97B9C" w:rsidRDefault="00F25C4A" w:rsidP="00D97B9C">
      <w:pPr>
        <w:pStyle w:val="SingleTxtG"/>
        <w:rPr>
          <w:b/>
          <w:bCs/>
        </w:rPr>
      </w:pPr>
      <w:r w:rsidRPr="00D97B9C">
        <w:rPr>
          <w:b/>
          <w:bCs/>
        </w:rPr>
        <w:tab/>
      </w:r>
      <w:r w:rsidRPr="00354AD5">
        <w:t>(c)</w:t>
      </w:r>
      <w:r w:rsidRPr="00D97B9C">
        <w:rPr>
          <w:b/>
          <w:bCs/>
        </w:rPr>
        <w:tab/>
      </w:r>
      <w:r w:rsidR="001611AD" w:rsidRPr="00D97B9C">
        <w:rPr>
          <w:b/>
          <w:bCs/>
        </w:rPr>
        <w:t>Expeditiously investigate and prosecute all cases of trafficking in women and girls, ensure that the sentences imposed on perpetrators are commensurate with the gravity of the crime, confiscate assets of traffickers and ensure adequate remedies, including compensation, for victims</w:t>
      </w:r>
      <w:r w:rsidR="00474BC6" w:rsidRPr="00D97B9C">
        <w:rPr>
          <w:b/>
          <w:bCs/>
        </w:rPr>
        <w:t>;</w:t>
      </w:r>
    </w:p>
    <w:p w14:paraId="567C9226" w14:textId="09BBC01A" w:rsidR="00F25C4A" w:rsidRPr="00D97B9C" w:rsidRDefault="00F25C4A" w:rsidP="00D97B9C">
      <w:pPr>
        <w:pStyle w:val="SingleTxtG"/>
        <w:rPr>
          <w:b/>
          <w:bCs/>
        </w:rPr>
      </w:pPr>
      <w:r w:rsidRPr="00D97B9C">
        <w:rPr>
          <w:b/>
          <w:bCs/>
        </w:rPr>
        <w:tab/>
      </w:r>
      <w:r w:rsidRPr="00354AD5">
        <w:t>(d)</w:t>
      </w:r>
      <w:r w:rsidRPr="00D97B9C">
        <w:rPr>
          <w:b/>
          <w:bCs/>
        </w:rPr>
        <w:tab/>
      </w:r>
      <w:r w:rsidR="00450F2F" w:rsidRPr="00D97B9C">
        <w:rPr>
          <w:b/>
          <w:bCs/>
        </w:rPr>
        <w:t>Continue strengthening capacity-building for judges, prosecutors, and law enforcement professionals on the strict application of criminal law provisions on trafficking and gender-sensitive investigation and interrogation methods and</w:t>
      </w:r>
      <w:r w:rsidRPr="00D97B9C">
        <w:rPr>
          <w:b/>
          <w:bCs/>
        </w:rPr>
        <w:t xml:space="preserve"> gender-sensitive application of legislation on victim support;</w:t>
      </w:r>
    </w:p>
    <w:p w14:paraId="25ECB82B" w14:textId="7482E7F3" w:rsidR="00220805" w:rsidRPr="00D97B9C" w:rsidRDefault="00F25C4A" w:rsidP="00D97B9C">
      <w:pPr>
        <w:pStyle w:val="SingleTxtG"/>
        <w:rPr>
          <w:b/>
          <w:bCs/>
        </w:rPr>
      </w:pPr>
      <w:r w:rsidRPr="00D97B9C">
        <w:rPr>
          <w:b/>
          <w:bCs/>
        </w:rPr>
        <w:tab/>
      </w:r>
      <w:r w:rsidR="00220805" w:rsidRPr="00354AD5">
        <w:t>(</w:t>
      </w:r>
      <w:r w:rsidR="00450A77" w:rsidRPr="00354AD5">
        <w:t>e</w:t>
      </w:r>
      <w:r w:rsidR="00220805" w:rsidRPr="00354AD5">
        <w:t>)</w:t>
      </w:r>
      <w:r w:rsidR="00220805" w:rsidRPr="00D97B9C">
        <w:rPr>
          <w:b/>
          <w:bCs/>
        </w:rPr>
        <w:tab/>
      </w:r>
      <w:r w:rsidR="00474422" w:rsidRPr="00D97B9C">
        <w:rPr>
          <w:b/>
          <w:bCs/>
        </w:rPr>
        <w:t>Strengthen efforts to prevent criminalization and penalization of trafficking victims, including deportation, for administrative offences and violations of immigration law and issue temporary residence permits to victims irrespective of their ability or willingness to cooperate with the prosecution authorities and apply the principle of non-punishment of victims of trafficking;</w:t>
      </w:r>
    </w:p>
    <w:p w14:paraId="01BA54FC" w14:textId="77777777" w:rsidR="003A71BD" w:rsidRDefault="00524629" w:rsidP="00D97B9C">
      <w:pPr>
        <w:pStyle w:val="SingleTxtG"/>
        <w:rPr>
          <w:b/>
          <w:bCs/>
        </w:rPr>
      </w:pPr>
      <w:r w:rsidRPr="00D97B9C">
        <w:rPr>
          <w:b/>
          <w:bCs/>
        </w:rPr>
        <w:tab/>
      </w:r>
      <w:r w:rsidRPr="00354AD5">
        <w:t>(</w:t>
      </w:r>
      <w:r w:rsidR="00450A77" w:rsidRPr="00354AD5">
        <w:t>f</w:t>
      </w:r>
      <w:r w:rsidRPr="00354AD5">
        <w:t>)</w:t>
      </w:r>
      <w:r w:rsidRPr="00D97B9C">
        <w:rPr>
          <w:b/>
          <w:bCs/>
        </w:rPr>
        <w:tab/>
      </w:r>
      <w:r w:rsidR="006C7EC4" w:rsidRPr="00D97B9C">
        <w:rPr>
          <w:b/>
          <w:bCs/>
        </w:rPr>
        <w:t>Strengthen early identification and referral of victims of trafficking to appropriate support services, including through capacity building and the collection and analysis of data on the trafficking risks of asylum seeking and migrant women and girls</w:t>
      </w:r>
      <w:r w:rsidR="003A71BD">
        <w:rPr>
          <w:b/>
          <w:bCs/>
        </w:rPr>
        <w:t xml:space="preserve">; </w:t>
      </w:r>
    </w:p>
    <w:p w14:paraId="5AE03A50" w14:textId="77777777" w:rsidR="00EB7E70" w:rsidRDefault="003A71BD" w:rsidP="00D97B9C">
      <w:pPr>
        <w:pStyle w:val="SingleTxtG"/>
        <w:rPr>
          <w:b/>
          <w:bCs/>
        </w:rPr>
      </w:pPr>
      <w:r>
        <w:tab/>
        <w:t>(g)</w:t>
      </w:r>
      <w:r>
        <w:tab/>
      </w:r>
      <w:r w:rsidRPr="003A71BD">
        <w:rPr>
          <w:b/>
          <w:bCs/>
        </w:rPr>
        <w:t>Prioritize the identification of child victims of trafficking; and strengthen measure to include civil society organizations, labour inspectors, social workers, and healthcare professionals to formal identification of child victims of trafficking</w:t>
      </w:r>
      <w:r w:rsidR="00EB7E70">
        <w:rPr>
          <w:b/>
          <w:bCs/>
        </w:rPr>
        <w:t>;</w:t>
      </w:r>
    </w:p>
    <w:p w14:paraId="2CF76BA8" w14:textId="250CE17F" w:rsidR="00303269" w:rsidRPr="00D97B9C" w:rsidRDefault="00EB7E70" w:rsidP="00D97B9C">
      <w:pPr>
        <w:pStyle w:val="SingleTxtG"/>
        <w:rPr>
          <w:b/>
          <w:bCs/>
        </w:rPr>
      </w:pPr>
      <w:r>
        <w:tab/>
        <w:t>(h)</w:t>
      </w:r>
      <w:r>
        <w:tab/>
      </w:r>
      <w:r w:rsidR="00F5091C">
        <w:rPr>
          <w:b/>
          <w:bCs/>
        </w:rPr>
        <w:t>D</w:t>
      </w:r>
      <w:r w:rsidRPr="00EB7E70">
        <w:rPr>
          <w:b/>
          <w:bCs/>
        </w:rPr>
        <w:t>ecriminalize all aspects of women engaged in sex work; and ensure adequate resource allocation for implementation of the action plan on prostitution, in particular, measures to reduce demand for prostitution and to revise support and develop new exit programs for women who wish to leave prostitution, ensuring higher rates of success</w:t>
      </w:r>
      <w:r w:rsidR="00450A77" w:rsidRPr="00D97B9C">
        <w:rPr>
          <w:b/>
          <w:bCs/>
        </w:rPr>
        <w:t>.</w:t>
      </w:r>
      <w:bookmarkEnd w:id="8"/>
      <w:r w:rsidR="00524629" w:rsidRPr="00D97B9C">
        <w:rPr>
          <w:b/>
          <w:bCs/>
        </w:rPr>
        <w:t xml:space="preserve"> </w:t>
      </w:r>
    </w:p>
    <w:bookmarkEnd w:id="7"/>
    <w:p w14:paraId="09459799" w14:textId="77777777" w:rsidR="00181F52" w:rsidRPr="001C6314" w:rsidRDefault="00181F52" w:rsidP="00D97B9C">
      <w:pPr>
        <w:pStyle w:val="H23G"/>
      </w:pPr>
      <w:r w:rsidRPr="001C6314">
        <w:tab/>
      </w:r>
      <w:bookmarkStart w:id="9" w:name="_Hlk190081318"/>
      <w:r w:rsidRPr="001C6314">
        <w:tab/>
        <w:t>Equal participation in political and public life</w:t>
      </w:r>
    </w:p>
    <w:p w14:paraId="122D5B50" w14:textId="0D66D5E8" w:rsidR="00181F52" w:rsidRPr="001C6314" w:rsidRDefault="00BD1F82" w:rsidP="00D97B9C">
      <w:pPr>
        <w:pStyle w:val="SingleTxtG"/>
      </w:pPr>
      <w:r w:rsidRPr="001C6314">
        <w:t>34</w:t>
      </w:r>
      <w:r w:rsidR="00181F52" w:rsidRPr="001C6314">
        <w:t>.</w:t>
      </w:r>
      <w:r w:rsidR="00181F52" w:rsidRPr="001C6314">
        <w:tab/>
      </w:r>
      <w:r w:rsidR="006A2187" w:rsidRPr="001C6314">
        <w:t xml:space="preserve">The Committee welcomes progress since the introduction by the State party of a 40% quota with financial penalties regarding the number of women in </w:t>
      </w:r>
      <w:r w:rsidR="00FC1DAA" w:rsidRPr="001C6314">
        <w:t>electoral lists of political parties for general elections</w:t>
      </w:r>
      <w:r w:rsidR="006A2187" w:rsidRPr="001C6314">
        <w:t xml:space="preserve">. It notes with appreciation the progress in women's representation on public sector boards since the introduction of a voluntary quota of 40%. However, the Committee notes with concern that parliamentary representation by women was at only 30% in 2023, below the 40% benchmark. It is further concerned at the underrepresentation of women </w:t>
      </w:r>
      <w:r w:rsidR="00E52159" w:rsidRPr="001C6314">
        <w:t xml:space="preserve">in </w:t>
      </w:r>
      <w:r w:rsidR="006A2187" w:rsidRPr="001C6314">
        <w:t>municipal governments, senior positions in the foreign service, decision-making positions in the private sector and in the military and the police.</w:t>
      </w:r>
    </w:p>
    <w:p w14:paraId="5EB46742" w14:textId="4AF0D235" w:rsidR="00181F52" w:rsidRPr="001C6314" w:rsidRDefault="00BD1F82" w:rsidP="00D97B9C">
      <w:pPr>
        <w:pStyle w:val="SingleTxtG"/>
      </w:pPr>
      <w:r w:rsidRPr="00AA2178">
        <w:t>35</w:t>
      </w:r>
      <w:r w:rsidR="00181F52" w:rsidRPr="00AA2178">
        <w:t>.</w:t>
      </w:r>
      <w:r w:rsidR="00181F52" w:rsidRPr="001C6314">
        <w:tab/>
      </w:r>
      <w:r w:rsidR="00F9709B" w:rsidRPr="001C6314">
        <w:rPr>
          <w:b/>
          <w:bCs/>
        </w:rPr>
        <w:t>Recalling its general recommendation No. 40 (2024) on the equal and inclusive representation of women in decision-making systems, as well as target 5.5 of the Sustainable Development Goals, on ensuring women’s full and effective participation and equal opportunities for leadership at all levels of decision-making in political, economic and public life, the Committee recommends that the State party</w:t>
      </w:r>
      <w:r w:rsidR="00E52159" w:rsidRPr="001C6314">
        <w:rPr>
          <w:b/>
          <w:bCs/>
        </w:rPr>
        <w:t xml:space="preserve"> implement specific and targeted measures to address the gender gap in representation of women in municipal governments, senior positions in the foreign service, decision-making positions in the private sector and in the military and the police, </w:t>
      </w:r>
      <w:r w:rsidR="000B0D54" w:rsidRPr="001C6314">
        <w:rPr>
          <w:b/>
          <w:bCs/>
        </w:rPr>
        <w:t>with a view to achieving gender parity</w:t>
      </w:r>
      <w:r w:rsidR="000B0D54" w:rsidRPr="001C6314">
        <w:t xml:space="preserve"> </w:t>
      </w:r>
      <w:r w:rsidR="00305AD4" w:rsidRPr="001C6314">
        <w:rPr>
          <w:b/>
          <w:bCs/>
        </w:rPr>
        <w:t>between women and men in all areas of political and public life</w:t>
      </w:r>
      <w:r w:rsidR="00181F52" w:rsidRPr="001C6314">
        <w:rPr>
          <w:b/>
          <w:bCs/>
        </w:rPr>
        <w:t>.</w:t>
      </w:r>
    </w:p>
    <w:bookmarkEnd w:id="9"/>
    <w:p w14:paraId="39F2ABA8" w14:textId="156C3B7D" w:rsidR="00181F52" w:rsidRPr="001C6314" w:rsidRDefault="00181F52" w:rsidP="00D97B9C">
      <w:pPr>
        <w:pStyle w:val="H23G"/>
      </w:pPr>
      <w:r w:rsidRPr="001C6314">
        <w:tab/>
      </w:r>
      <w:r w:rsidRPr="001C6314">
        <w:tab/>
        <w:t>Nationality</w:t>
      </w:r>
    </w:p>
    <w:p w14:paraId="3666A1E8" w14:textId="77777777" w:rsidR="00A900F3" w:rsidRDefault="00BD1F82" w:rsidP="00D97B9C">
      <w:pPr>
        <w:pStyle w:val="SingleTxtG"/>
      </w:pPr>
      <w:r w:rsidRPr="001C6314">
        <w:t>36</w:t>
      </w:r>
      <w:r w:rsidR="00181F52" w:rsidRPr="001C6314">
        <w:t>.</w:t>
      </w:r>
      <w:r w:rsidR="00181F52" w:rsidRPr="001C6314">
        <w:tab/>
      </w:r>
      <w:r w:rsidR="00263202" w:rsidRPr="001C6314">
        <w:t>The Committee notes that the Luxembourg Nationality Act contains several provisions aimed at preventing and reducing statelessness. However, it is concerned that</w:t>
      </w:r>
      <w:r w:rsidR="00A900F3">
        <w:t>:</w:t>
      </w:r>
    </w:p>
    <w:p w14:paraId="66D3541E" w14:textId="46C7A6E7" w:rsidR="00A900F3" w:rsidRDefault="00A900F3" w:rsidP="00D97B9C">
      <w:pPr>
        <w:pStyle w:val="SingleTxtG"/>
      </w:pPr>
      <w:r>
        <w:tab/>
        <w:t>(a)</w:t>
      </w:r>
      <w:r>
        <w:tab/>
        <w:t>T</w:t>
      </w:r>
      <w:r w:rsidRPr="001C6314">
        <w:t xml:space="preserve">he </w:t>
      </w:r>
      <w:r w:rsidR="00263202" w:rsidRPr="001C6314">
        <w:t>law does not protect the right of persons applying for stateless status to reside in Luxembourg during the application process, nor are they automatically granted that right after obtaining that status</w:t>
      </w:r>
      <w:r w:rsidR="00186A06">
        <w:t>;</w:t>
      </w:r>
    </w:p>
    <w:p w14:paraId="16DB6A74" w14:textId="42CFE5C2" w:rsidR="00A900F3" w:rsidRDefault="00A900F3" w:rsidP="00D97B9C">
      <w:pPr>
        <w:pStyle w:val="SingleTxtG"/>
      </w:pPr>
      <w:r>
        <w:tab/>
        <w:t>(b)</w:t>
      </w:r>
      <w:r>
        <w:tab/>
      </w:r>
      <w:r w:rsidR="00361195" w:rsidRPr="00A900F3">
        <w:t>UNHCR standards on the registration of refugees, stateless persons and asylum seekers</w:t>
      </w:r>
      <w:r w:rsidR="00361195">
        <w:t xml:space="preserve"> are not fully integrated into national law</w:t>
      </w:r>
      <w:r>
        <w:t>;</w:t>
      </w:r>
    </w:p>
    <w:p w14:paraId="5687B1C4" w14:textId="3CAE26E8" w:rsidR="00181F52" w:rsidRPr="001C6314" w:rsidRDefault="00A900F3" w:rsidP="00D97B9C">
      <w:pPr>
        <w:pStyle w:val="SingleTxtG"/>
      </w:pPr>
      <w:r>
        <w:tab/>
        <w:t>(c)</w:t>
      </w:r>
      <w:r>
        <w:tab/>
      </w:r>
      <w:r w:rsidR="00361195">
        <w:t>T</w:t>
      </w:r>
      <w:r w:rsidR="00361195" w:rsidRPr="00A900F3">
        <w:t>he state party did not provide statistic data on stateless women and girls and asylum</w:t>
      </w:r>
      <w:r w:rsidR="00361195">
        <w:t>-</w:t>
      </w:r>
      <w:r w:rsidR="00361195" w:rsidRPr="00A900F3">
        <w:t>seek</w:t>
      </w:r>
      <w:r w:rsidR="00361195">
        <w:t>ing women and girls</w:t>
      </w:r>
      <w:r w:rsidR="00F736E1">
        <w:t>.</w:t>
      </w:r>
      <w:r w:rsidRPr="00A900F3">
        <w:t xml:space="preserve"> </w:t>
      </w:r>
    </w:p>
    <w:p w14:paraId="7AF423BA" w14:textId="77777777" w:rsidR="00A900F3" w:rsidRDefault="00BD1F82" w:rsidP="00D97B9C">
      <w:pPr>
        <w:pStyle w:val="SingleTxtG"/>
        <w:rPr>
          <w:b/>
          <w:bCs/>
        </w:rPr>
      </w:pPr>
      <w:r w:rsidRPr="00AA2178">
        <w:t>37</w:t>
      </w:r>
      <w:r w:rsidR="00181F52" w:rsidRPr="00AA2178">
        <w:t>.</w:t>
      </w:r>
      <w:r w:rsidR="00181F52" w:rsidRPr="001C6314">
        <w:tab/>
      </w:r>
      <w:r w:rsidR="00263202" w:rsidRPr="001C6314">
        <w:rPr>
          <w:b/>
          <w:bCs/>
        </w:rPr>
        <w:t>The Committee recommends that the State Party, in line with its obligations under the 1954 Convention relating to the Status of Stateless Persons and the 1961 Convention on the Reduction of Statelessness</w:t>
      </w:r>
      <w:r w:rsidR="00A900F3">
        <w:rPr>
          <w:b/>
          <w:bCs/>
        </w:rPr>
        <w:t>:</w:t>
      </w:r>
    </w:p>
    <w:p w14:paraId="5BFFCB84" w14:textId="41628987" w:rsidR="00A900F3" w:rsidRDefault="00A900F3" w:rsidP="00D97B9C">
      <w:pPr>
        <w:pStyle w:val="SingleTxtG"/>
        <w:rPr>
          <w:b/>
          <w:bCs/>
        </w:rPr>
      </w:pPr>
      <w:r>
        <w:rPr>
          <w:b/>
          <w:bCs/>
        </w:rPr>
        <w:tab/>
      </w:r>
      <w:r w:rsidRPr="00AA2178">
        <w:t>(a)</w:t>
      </w:r>
      <w:r>
        <w:rPr>
          <w:b/>
          <w:bCs/>
        </w:rPr>
        <w:tab/>
        <w:t>G</w:t>
      </w:r>
      <w:r w:rsidR="00263202" w:rsidRPr="001C6314">
        <w:rPr>
          <w:b/>
          <w:bCs/>
        </w:rPr>
        <w:t>uarantee the right of persons applying for stateless status to reside in Luxembourg during the application process, and automatically recognize this right after obtaining stateless status</w:t>
      </w:r>
      <w:r>
        <w:rPr>
          <w:b/>
          <w:bCs/>
        </w:rPr>
        <w:t>;</w:t>
      </w:r>
    </w:p>
    <w:p w14:paraId="2EBB8478" w14:textId="2C938F12" w:rsidR="00181F52" w:rsidRPr="00E55D25" w:rsidRDefault="00A900F3" w:rsidP="00A900F3">
      <w:pPr>
        <w:pStyle w:val="SingleTxtG"/>
        <w:rPr>
          <w:b/>
          <w:bCs/>
        </w:rPr>
      </w:pPr>
      <w:r>
        <w:rPr>
          <w:b/>
          <w:bCs/>
        </w:rPr>
        <w:tab/>
      </w:r>
      <w:r w:rsidRPr="00AA2178">
        <w:t>(b)</w:t>
      </w:r>
      <w:r>
        <w:rPr>
          <w:b/>
          <w:bCs/>
        </w:rPr>
        <w:tab/>
      </w:r>
      <w:r w:rsidRPr="00A900F3">
        <w:rPr>
          <w:b/>
          <w:bCs/>
        </w:rPr>
        <w:t xml:space="preserve">Incorporate into national legislation UNHCR standards on the registration of refugees, stateless </w:t>
      </w:r>
      <w:r>
        <w:rPr>
          <w:b/>
          <w:bCs/>
        </w:rPr>
        <w:t xml:space="preserve">persons </w:t>
      </w:r>
      <w:r w:rsidRPr="00A900F3">
        <w:rPr>
          <w:b/>
          <w:bCs/>
        </w:rPr>
        <w:t>and asylum seekers</w:t>
      </w:r>
      <w:r>
        <w:rPr>
          <w:b/>
          <w:bCs/>
        </w:rPr>
        <w:t xml:space="preserve"> and</w:t>
      </w:r>
      <w:r w:rsidRPr="00A900F3">
        <w:rPr>
          <w:b/>
          <w:bCs/>
        </w:rPr>
        <w:t xml:space="preserve"> </w:t>
      </w:r>
      <w:r>
        <w:rPr>
          <w:b/>
          <w:bCs/>
        </w:rPr>
        <w:t xml:space="preserve">compile </w:t>
      </w:r>
      <w:r w:rsidRPr="00A900F3">
        <w:rPr>
          <w:b/>
          <w:bCs/>
        </w:rPr>
        <w:t xml:space="preserve">gender </w:t>
      </w:r>
      <w:r>
        <w:rPr>
          <w:b/>
          <w:bCs/>
        </w:rPr>
        <w:t xml:space="preserve">disaggregated </w:t>
      </w:r>
      <w:r w:rsidRPr="00A900F3">
        <w:rPr>
          <w:b/>
          <w:bCs/>
        </w:rPr>
        <w:t xml:space="preserve">data on stateless </w:t>
      </w:r>
      <w:r>
        <w:rPr>
          <w:b/>
          <w:bCs/>
        </w:rPr>
        <w:t xml:space="preserve">women and girls </w:t>
      </w:r>
      <w:r w:rsidRPr="00A900F3">
        <w:rPr>
          <w:b/>
          <w:bCs/>
        </w:rPr>
        <w:t>and asylum-seeking</w:t>
      </w:r>
      <w:r>
        <w:rPr>
          <w:b/>
          <w:bCs/>
        </w:rPr>
        <w:t xml:space="preserve"> women and girls</w:t>
      </w:r>
      <w:r w:rsidR="00263202" w:rsidRPr="001C6314">
        <w:rPr>
          <w:b/>
          <w:bCs/>
        </w:rPr>
        <w:t>.</w:t>
      </w:r>
    </w:p>
    <w:p w14:paraId="26753ACF" w14:textId="56A6FBBD" w:rsidR="00181F52" w:rsidRPr="001C6314" w:rsidRDefault="00181F52" w:rsidP="00D97B9C">
      <w:pPr>
        <w:pStyle w:val="H23G"/>
      </w:pPr>
      <w:r w:rsidRPr="001C6314">
        <w:tab/>
      </w:r>
      <w:r w:rsidRPr="001C6314">
        <w:tab/>
        <w:t>Education</w:t>
      </w:r>
    </w:p>
    <w:p w14:paraId="3BA1829F" w14:textId="7FB7A5B6" w:rsidR="00CE069B" w:rsidRPr="001C6314" w:rsidRDefault="00181F52" w:rsidP="00D97B9C">
      <w:pPr>
        <w:pStyle w:val="SingleTxtG"/>
      </w:pPr>
      <w:r w:rsidRPr="001C6314">
        <w:t>3</w:t>
      </w:r>
      <w:r w:rsidR="00BD1F82" w:rsidRPr="001C6314">
        <w:t>8</w:t>
      </w:r>
      <w:r w:rsidRPr="001C6314">
        <w:t>.</w:t>
      </w:r>
      <w:r w:rsidRPr="001C6314">
        <w:tab/>
      </w:r>
      <w:r w:rsidR="00B45E2F" w:rsidRPr="00B45E2F">
        <w:t>The Committee commends the State party for the adoption on 20 July 2023 of the law on compulsory schooling that extends the age of compulsory schooling from 16 to 18 years starting at age 4, as an important tool for tackling dropout. The Committee also notes with appreciation efforts by the State party to encourage women and girls to pursue digital studies and careers. It notes with concern, nevertheless</w:t>
      </w:r>
      <w:r w:rsidR="00CE069B" w:rsidRPr="001C6314">
        <w:t xml:space="preserve">: </w:t>
      </w:r>
    </w:p>
    <w:p w14:paraId="46F43305" w14:textId="77777777" w:rsidR="00B45E2F" w:rsidRDefault="00B45E2F" w:rsidP="00D97B9C">
      <w:pPr>
        <w:pStyle w:val="SingleTxtG"/>
      </w:pPr>
      <w:r>
        <w:tab/>
        <w:t>(a)</w:t>
      </w:r>
      <w:r>
        <w:tab/>
        <w:t>The gender stereotypes about science, technology, engineering, and math (STEM) subjects that often bias women and girls from enrolling in STEM subjects and enrolling in traditionally male-dominated fields of study, including construction;</w:t>
      </w:r>
    </w:p>
    <w:p w14:paraId="21562467" w14:textId="77777777" w:rsidR="00B45E2F" w:rsidRDefault="00B45E2F" w:rsidP="00D97B9C">
      <w:pPr>
        <w:pStyle w:val="SingleTxtG"/>
      </w:pPr>
      <w:r>
        <w:tab/>
        <w:t>(b)</w:t>
      </w:r>
      <w:r>
        <w:tab/>
        <w:t>The challenges in meeting the education needs of girls and women with disabilities, living in poverty, migrant, refugee, and asylum-seekers;</w:t>
      </w:r>
    </w:p>
    <w:p w14:paraId="00BF583E" w14:textId="73E28A49" w:rsidR="00B45E2F" w:rsidRDefault="00B45E2F" w:rsidP="00D97B9C">
      <w:pPr>
        <w:pStyle w:val="SingleTxtG"/>
      </w:pPr>
      <w:r>
        <w:tab/>
        <w:t>(c)</w:t>
      </w:r>
      <w:r w:rsidR="00354AD5">
        <w:tab/>
      </w:r>
      <w:r>
        <w:t>Reports of school-related bullying and violence and online violence, including exposure to and distribution of sexual and pornographic material;</w:t>
      </w:r>
    </w:p>
    <w:p w14:paraId="47A8E750" w14:textId="77777777" w:rsidR="00B45E2F" w:rsidRDefault="00B45E2F" w:rsidP="00D97B9C">
      <w:pPr>
        <w:pStyle w:val="SingleTxtG"/>
      </w:pPr>
      <w:r>
        <w:tab/>
        <w:t>(d)</w:t>
      </w:r>
      <w:r>
        <w:tab/>
        <w:t>That women in solitary confinement in prison institutions reportedly do not have the right to access education or access to the library, despite the law of 20 July 2018 reforming prison administration that states that solitary confinement should not interfere with prisoners' access to adapted activities, including educational programs;</w:t>
      </w:r>
    </w:p>
    <w:p w14:paraId="7E097FED" w14:textId="54DFF8A5" w:rsidR="00181F52" w:rsidRPr="001C6314" w:rsidRDefault="00B45E2F" w:rsidP="00D97B9C">
      <w:pPr>
        <w:pStyle w:val="SingleTxtG"/>
      </w:pPr>
      <w:r>
        <w:tab/>
        <w:t>(e)</w:t>
      </w:r>
      <w:r>
        <w:tab/>
        <w:t>About reports of excessive screen time for school going girls and the impact on their development.</w:t>
      </w:r>
    </w:p>
    <w:p w14:paraId="4D7DA44D" w14:textId="59F5867F" w:rsidR="00181F52" w:rsidRPr="001C6314" w:rsidRDefault="00181F52" w:rsidP="00D97B9C">
      <w:pPr>
        <w:pStyle w:val="SingleTxtG"/>
        <w:rPr>
          <w:b/>
          <w:bCs/>
        </w:rPr>
      </w:pPr>
      <w:r w:rsidRPr="00AA2178">
        <w:t>3</w:t>
      </w:r>
      <w:r w:rsidR="00BD1F82" w:rsidRPr="00AA2178">
        <w:t>9</w:t>
      </w:r>
      <w:r w:rsidRPr="00AA2178">
        <w:t>.</w:t>
      </w:r>
      <w:r w:rsidRPr="001C6314">
        <w:tab/>
      </w:r>
      <w:r w:rsidRPr="001C6314">
        <w:rPr>
          <w:b/>
          <w:bCs/>
        </w:rPr>
        <w:t>In the light of its general recommendation No. 36 (2017) on the right of girls and women to education and recalling its previous recommendation (</w:t>
      </w:r>
      <w:hyperlink r:id="rId19" w:history="1">
        <w:r w:rsidRPr="001C6314">
          <w:rPr>
            <w:rStyle w:val="Hyperlink"/>
            <w:b/>
            <w:bCs/>
          </w:rPr>
          <w:t>CEDAW/C/</w:t>
        </w:r>
        <w:r w:rsidR="00C30461">
          <w:rPr>
            <w:rStyle w:val="Hyperlink"/>
            <w:b/>
            <w:bCs/>
          </w:rPr>
          <w:t>LUX</w:t>
        </w:r>
        <w:r w:rsidRPr="001C6314">
          <w:rPr>
            <w:rStyle w:val="Hyperlink"/>
            <w:b/>
            <w:bCs/>
          </w:rPr>
          <w:t>/CO/</w:t>
        </w:r>
        <w:r w:rsidR="005F1C78">
          <w:rPr>
            <w:rStyle w:val="Hyperlink"/>
            <w:b/>
            <w:bCs/>
          </w:rPr>
          <w:t>6-</w:t>
        </w:r>
        <w:r w:rsidRPr="001C6314">
          <w:rPr>
            <w:rStyle w:val="Hyperlink"/>
            <w:b/>
            <w:bCs/>
          </w:rPr>
          <w:t>7</w:t>
        </w:r>
      </w:hyperlink>
      <w:r w:rsidRPr="001C6314">
        <w:rPr>
          <w:b/>
          <w:bCs/>
        </w:rPr>
        <w:t xml:space="preserve">, para. </w:t>
      </w:r>
      <w:r w:rsidR="005F1C78">
        <w:rPr>
          <w:b/>
          <w:bCs/>
        </w:rPr>
        <w:t>40</w:t>
      </w:r>
      <w:r w:rsidRPr="001C6314">
        <w:rPr>
          <w:b/>
          <w:bCs/>
        </w:rPr>
        <w:t>), the Committee recommends that the State party continue to promote the importance of girls’ education at all levels, as a basis for their empowerment</w:t>
      </w:r>
      <w:r w:rsidR="009A3614">
        <w:rPr>
          <w:b/>
          <w:bCs/>
        </w:rPr>
        <w:t>:</w:t>
      </w:r>
    </w:p>
    <w:p w14:paraId="6BAC26A0" w14:textId="33C9F2FD" w:rsidR="005905BA" w:rsidRPr="001C6314" w:rsidRDefault="002D1AB6" w:rsidP="00D97B9C">
      <w:pPr>
        <w:pStyle w:val="SingleTxtG"/>
        <w:rPr>
          <w:b/>
          <w:bCs/>
        </w:rPr>
      </w:pPr>
      <w:r w:rsidRPr="001C6314">
        <w:tab/>
        <w:t>(a)</w:t>
      </w:r>
      <w:r w:rsidRPr="001C6314">
        <w:tab/>
      </w:r>
      <w:r w:rsidR="007A18F9" w:rsidRPr="007A18F9">
        <w:rPr>
          <w:b/>
          <w:bCs/>
        </w:rPr>
        <w:t>Adopt a gender-sensitive approach to career guidance, including on the basis of role models, in order to encourage girls to enrol in traditionally male-dominated fields of study, such as mathematics, information technology and science, and to pursue non‑traditional career paths, and train teachers at all levels of the educational system on ways to prevent stereotyping</w:t>
      </w:r>
      <w:r w:rsidR="00043EB6" w:rsidRPr="001C6314">
        <w:rPr>
          <w:b/>
          <w:bCs/>
        </w:rPr>
        <w:t xml:space="preserve">, and collect disaggregated data by sex, age, </w:t>
      </w:r>
      <w:r w:rsidR="007A18F9" w:rsidRPr="007A18F9">
        <w:rPr>
          <w:b/>
          <w:bCs/>
        </w:rPr>
        <w:t>disability, nationality, racial origin, religion,</w:t>
      </w:r>
      <w:r w:rsidR="007A18F9">
        <w:rPr>
          <w:b/>
          <w:bCs/>
        </w:rPr>
        <w:t xml:space="preserve"> </w:t>
      </w:r>
      <w:r w:rsidR="00043EB6" w:rsidRPr="001C6314">
        <w:rPr>
          <w:b/>
          <w:bCs/>
        </w:rPr>
        <w:t>, socioeconomic background, and other relevant factors on the number of women and girls enrolled in the field on science, technology, engineering, mathematics, construction in tertiary education</w:t>
      </w:r>
      <w:r w:rsidR="005905BA" w:rsidRPr="001C6314">
        <w:t>;</w:t>
      </w:r>
    </w:p>
    <w:p w14:paraId="1DE14910" w14:textId="0D4A0F3A" w:rsidR="002D1AB6" w:rsidRPr="001C6314" w:rsidRDefault="005905BA" w:rsidP="00D97B9C">
      <w:pPr>
        <w:pStyle w:val="SingleTxtG"/>
      </w:pPr>
      <w:r w:rsidRPr="001C6314">
        <w:tab/>
        <w:t>(</w:t>
      </w:r>
      <w:r w:rsidR="00ED15B2" w:rsidRPr="001C6314">
        <w:t>b</w:t>
      </w:r>
      <w:r w:rsidRPr="001C6314">
        <w:t>)</w:t>
      </w:r>
      <w:r w:rsidRPr="001C6314">
        <w:tab/>
      </w:r>
      <w:bookmarkStart w:id="10" w:name="_Hlk190780698"/>
      <w:r w:rsidR="007C3C81" w:rsidRPr="001C6314">
        <w:rPr>
          <w:b/>
          <w:bCs/>
        </w:rPr>
        <w:t xml:space="preserve">Strengthen measures to </w:t>
      </w:r>
      <w:r w:rsidR="007A18F9">
        <w:rPr>
          <w:b/>
          <w:bCs/>
        </w:rPr>
        <w:t>meet the educational needs</w:t>
      </w:r>
      <w:r w:rsidR="007C3C81" w:rsidRPr="001C6314">
        <w:rPr>
          <w:b/>
          <w:bCs/>
        </w:rPr>
        <w:t xml:space="preserve"> of </w:t>
      </w:r>
      <w:r w:rsidR="007A18F9" w:rsidRPr="007A18F9">
        <w:rPr>
          <w:b/>
          <w:bCs/>
        </w:rPr>
        <w:t>girls and women with disabilities, living in poverty, migrant</w:t>
      </w:r>
      <w:r w:rsidR="007A18F9">
        <w:rPr>
          <w:b/>
          <w:bCs/>
        </w:rPr>
        <w:t>s</w:t>
      </w:r>
      <w:r w:rsidR="007A18F9" w:rsidRPr="007A18F9">
        <w:rPr>
          <w:b/>
          <w:bCs/>
        </w:rPr>
        <w:t>, refugee</w:t>
      </w:r>
      <w:r w:rsidR="007A18F9">
        <w:rPr>
          <w:b/>
          <w:bCs/>
        </w:rPr>
        <w:t>s</w:t>
      </w:r>
      <w:r w:rsidR="007A18F9" w:rsidRPr="007A18F9">
        <w:rPr>
          <w:b/>
          <w:bCs/>
        </w:rPr>
        <w:t xml:space="preserve"> and asylum-seekers</w:t>
      </w:r>
      <w:r w:rsidR="007A18F9" w:rsidRPr="007A18F9" w:rsidDel="007A18F9">
        <w:rPr>
          <w:b/>
          <w:bCs/>
        </w:rPr>
        <w:t xml:space="preserve"> </w:t>
      </w:r>
      <w:r w:rsidR="007C3C81" w:rsidRPr="001C6314">
        <w:rPr>
          <w:b/>
          <w:bCs/>
        </w:rPr>
        <w:t>and provide in its next periodic report information and statistical data,</w:t>
      </w:r>
      <w:r w:rsidR="007C3C81" w:rsidRPr="001C6314">
        <w:t xml:space="preserve"> </w:t>
      </w:r>
      <w:r w:rsidR="00E83FD3" w:rsidRPr="00E83FD3">
        <w:rPr>
          <w:b/>
          <w:bCs/>
        </w:rPr>
        <w:t>on the education of all the disadvantaged groups of girls and women mentioned</w:t>
      </w:r>
      <w:r w:rsidR="00B05390">
        <w:rPr>
          <w:b/>
          <w:bCs/>
        </w:rPr>
        <w:t xml:space="preserve"> above</w:t>
      </w:r>
      <w:r w:rsidRPr="001C6314">
        <w:t>;</w:t>
      </w:r>
      <w:r w:rsidR="002D1AB6" w:rsidRPr="001C6314">
        <w:t xml:space="preserve"> </w:t>
      </w:r>
    </w:p>
    <w:bookmarkEnd w:id="10"/>
    <w:p w14:paraId="6423F5D9" w14:textId="225DEA0D" w:rsidR="002D1AB6" w:rsidRPr="001C6314" w:rsidRDefault="000E21C8" w:rsidP="00D97B9C">
      <w:pPr>
        <w:pStyle w:val="SingleTxtG"/>
      </w:pPr>
      <w:r w:rsidRPr="001C6314">
        <w:tab/>
        <w:t>(</w:t>
      </w:r>
      <w:r w:rsidR="00ED15B2" w:rsidRPr="001C6314">
        <w:t>c</w:t>
      </w:r>
      <w:r w:rsidRPr="001C6314">
        <w:t>)</w:t>
      </w:r>
      <w:r w:rsidRPr="001C6314">
        <w:tab/>
      </w:r>
      <w:r w:rsidR="002D1AB6" w:rsidRPr="001C6314">
        <w:rPr>
          <w:b/>
          <w:bCs/>
        </w:rPr>
        <w:t xml:space="preserve">Provide adequate financial, technical, human, and logistical resources to effectively </w:t>
      </w:r>
      <w:r w:rsidR="00581540" w:rsidRPr="001C6314">
        <w:rPr>
          <w:b/>
          <w:bCs/>
        </w:rPr>
        <w:t>ensure</w:t>
      </w:r>
      <w:r w:rsidR="002D1AB6" w:rsidRPr="001C6314">
        <w:rPr>
          <w:b/>
          <w:bCs/>
        </w:rPr>
        <w:t xml:space="preserve"> the physical, mental, and online safety of girls and women </w:t>
      </w:r>
      <w:r w:rsidR="00581540" w:rsidRPr="001C6314">
        <w:rPr>
          <w:b/>
          <w:bCs/>
        </w:rPr>
        <w:t>in school settings</w:t>
      </w:r>
      <w:r w:rsidR="002D1AB6" w:rsidRPr="001C6314">
        <w:rPr>
          <w:b/>
          <w:bCs/>
        </w:rPr>
        <w:t xml:space="preserve"> and in online spaces, including </w:t>
      </w:r>
      <w:r w:rsidR="0040191A" w:rsidRPr="0040191A">
        <w:rPr>
          <w:b/>
          <w:bCs/>
        </w:rPr>
        <w:t xml:space="preserve">effective implementation of Bee Secure Stopline services, </w:t>
      </w:r>
      <w:r w:rsidR="002D1AB6" w:rsidRPr="001C6314">
        <w:rPr>
          <w:b/>
          <w:bCs/>
        </w:rPr>
        <w:t xml:space="preserve">protection from school-related sexual violence, exposure to and distribution </w:t>
      </w:r>
      <w:r w:rsidR="00581540" w:rsidRPr="001C6314">
        <w:rPr>
          <w:b/>
          <w:bCs/>
        </w:rPr>
        <w:t>of</w:t>
      </w:r>
      <w:r w:rsidR="002D1AB6" w:rsidRPr="001C6314">
        <w:rPr>
          <w:b/>
          <w:bCs/>
        </w:rPr>
        <w:t xml:space="preserve"> pornographic material, bullying, and online violence</w:t>
      </w:r>
      <w:r w:rsidR="007C3C81" w:rsidRPr="001C6314">
        <w:rPr>
          <w:b/>
          <w:bCs/>
        </w:rPr>
        <w:t>;</w:t>
      </w:r>
    </w:p>
    <w:p w14:paraId="02B40E9C" w14:textId="2A60503B" w:rsidR="00CB5C4C" w:rsidRPr="001C6314" w:rsidRDefault="00CB5C4C" w:rsidP="00D97B9C">
      <w:pPr>
        <w:pStyle w:val="SingleTxtG"/>
      </w:pPr>
      <w:r w:rsidRPr="001C6314">
        <w:tab/>
        <w:t>(</w:t>
      </w:r>
      <w:r w:rsidR="00ED15B2" w:rsidRPr="001C6314">
        <w:t>d</w:t>
      </w:r>
      <w:r w:rsidRPr="001C6314">
        <w:t>)</w:t>
      </w:r>
      <w:r w:rsidRPr="001C6314">
        <w:tab/>
      </w:r>
      <w:r w:rsidRPr="001C6314">
        <w:rPr>
          <w:b/>
          <w:bCs/>
        </w:rPr>
        <w:t>Fully implement the Law of 20 July 2018 on prison reform to ensure that women in solitary confinement have full access to educational programmes</w:t>
      </w:r>
      <w:r w:rsidRPr="001C6314">
        <w:t>;</w:t>
      </w:r>
    </w:p>
    <w:p w14:paraId="2B68C937" w14:textId="6039AC4C" w:rsidR="00A52B80" w:rsidRPr="001C6314" w:rsidRDefault="000E21C8" w:rsidP="00D97B9C">
      <w:pPr>
        <w:pStyle w:val="SingleTxtG"/>
      </w:pPr>
      <w:r w:rsidRPr="001C6314">
        <w:tab/>
        <w:t>(</w:t>
      </w:r>
      <w:r w:rsidR="00ED15B2" w:rsidRPr="001C6314">
        <w:t>e</w:t>
      </w:r>
      <w:r w:rsidRPr="001C6314">
        <w:t>)</w:t>
      </w:r>
      <w:r w:rsidRPr="001C6314">
        <w:tab/>
      </w:r>
      <w:bookmarkStart w:id="11" w:name="_Hlk190780866"/>
      <w:r w:rsidR="00112BC8" w:rsidRPr="00112BC8">
        <w:rPr>
          <w:b/>
          <w:bCs/>
        </w:rPr>
        <w:t>Take measures to effectively addres</w:t>
      </w:r>
      <w:r w:rsidR="00112BC8">
        <w:rPr>
          <w:b/>
          <w:bCs/>
        </w:rPr>
        <w:t>s</w:t>
      </w:r>
      <w:r w:rsidR="00112BC8" w:rsidRPr="00112BC8">
        <w:t xml:space="preserve"> </w:t>
      </w:r>
      <w:r w:rsidR="00112BC8" w:rsidRPr="00112BC8">
        <w:rPr>
          <w:b/>
          <w:bCs/>
        </w:rPr>
        <w:t>excessive screen time for school going girls and the impact on their development</w:t>
      </w:r>
      <w:bookmarkEnd w:id="11"/>
      <w:r w:rsidR="00A52B80" w:rsidRPr="001C6314">
        <w:rPr>
          <w:b/>
          <w:bCs/>
        </w:rPr>
        <w:t>;</w:t>
      </w:r>
    </w:p>
    <w:p w14:paraId="2FC5E33B" w14:textId="3329D6BF" w:rsidR="002D1AB6" w:rsidRPr="001C6314" w:rsidRDefault="000E21C8" w:rsidP="00D97B9C">
      <w:pPr>
        <w:pStyle w:val="SingleTxtG"/>
        <w:rPr>
          <w:b/>
          <w:bCs/>
        </w:rPr>
      </w:pPr>
      <w:r w:rsidRPr="001C6314">
        <w:tab/>
        <w:t>(</w:t>
      </w:r>
      <w:r w:rsidR="00ED15B2" w:rsidRPr="001C6314">
        <w:t>f</w:t>
      </w:r>
      <w:r w:rsidR="00CB5C4C" w:rsidRPr="001C6314">
        <w:t>)</w:t>
      </w:r>
      <w:r w:rsidRPr="001C6314">
        <w:tab/>
      </w:r>
      <w:r w:rsidRPr="001C6314">
        <w:rPr>
          <w:b/>
          <w:bCs/>
        </w:rPr>
        <w:t>Provide c</w:t>
      </w:r>
      <w:r w:rsidR="002D1AB6" w:rsidRPr="001C6314">
        <w:rPr>
          <w:b/>
          <w:bCs/>
        </w:rPr>
        <w:t xml:space="preserve">ontinued support </w:t>
      </w:r>
      <w:r w:rsidR="002B3E2B" w:rsidRPr="002B3E2B">
        <w:rPr>
          <w:b/>
          <w:bCs/>
        </w:rPr>
        <w:t xml:space="preserve">to the </w:t>
      </w:r>
      <w:r w:rsidR="002D1AB6" w:rsidRPr="001C6314">
        <w:rPr>
          <w:b/>
          <w:bCs/>
        </w:rPr>
        <w:t>Safe Schools Declaration and the Guidelines for Protecting Schools and Universities from Military Use during Armed Conflict</w:t>
      </w:r>
      <w:r w:rsidR="00CB5C4C" w:rsidRPr="001C6314">
        <w:rPr>
          <w:b/>
          <w:bCs/>
        </w:rPr>
        <w:t>.</w:t>
      </w:r>
    </w:p>
    <w:p w14:paraId="0A761594" w14:textId="77777777" w:rsidR="00181F52" w:rsidRPr="001C6314" w:rsidRDefault="00181F52" w:rsidP="00D97B9C">
      <w:pPr>
        <w:pStyle w:val="H23G"/>
      </w:pPr>
      <w:r w:rsidRPr="001C6314">
        <w:tab/>
      </w:r>
      <w:r w:rsidRPr="001C6314">
        <w:tab/>
        <w:t>Employment</w:t>
      </w:r>
    </w:p>
    <w:p w14:paraId="0FF9F162" w14:textId="1E6DB546" w:rsidR="00C95650" w:rsidRPr="001C6314" w:rsidRDefault="00BD1F82" w:rsidP="00D97B9C">
      <w:pPr>
        <w:pStyle w:val="SingleTxtG"/>
      </w:pPr>
      <w:r w:rsidRPr="001C6314">
        <w:t>40</w:t>
      </w:r>
      <w:r w:rsidR="00181F52" w:rsidRPr="001C6314">
        <w:t>.</w:t>
      </w:r>
      <w:r w:rsidR="00181F52" w:rsidRPr="001C6314">
        <w:tab/>
      </w:r>
      <w:r w:rsidR="00C95650" w:rsidRPr="001C6314">
        <w:t xml:space="preserve">The Committee welcomes the fact that the State party has become the first country in the European Union to effectively eliminate the gender wage gap. </w:t>
      </w:r>
      <w:r w:rsidR="008D6686" w:rsidRPr="001C6314">
        <w:t xml:space="preserve">It notes with appreciation the adoption of the law of 29 March 2023 amending the Labour Code with a view to establishing a system of protection against psychological harassment in the context of employment relations.  The Committee </w:t>
      </w:r>
      <w:r w:rsidR="00C95650" w:rsidRPr="001C6314">
        <w:t xml:space="preserve">notes with concern however, that: </w:t>
      </w:r>
    </w:p>
    <w:p w14:paraId="04766B95" w14:textId="36758B04" w:rsidR="00C95650" w:rsidRPr="001C6314" w:rsidRDefault="00C95650" w:rsidP="00D97B9C">
      <w:pPr>
        <w:pStyle w:val="SingleTxtG"/>
      </w:pPr>
      <w:r w:rsidRPr="001C6314">
        <w:tab/>
        <w:t>(</w:t>
      </w:r>
      <w:r w:rsidR="005B4E6A" w:rsidRPr="001C6314">
        <w:t>a</w:t>
      </w:r>
      <w:r w:rsidRPr="001C6314">
        <w:t>)</w:t>
      </w:r>
      <w:r w:rsidRPr="001C6314">
        <w:tab/>
        <w:t xml:space="preserve">Progress in the pay gap has not translated to progress in the pension gap with the difference between women’s and men's pensions being 33.9% in 2023; </w:t>
      </w:r>
    </w:p>
    <w:p w14:paraId="761F7C2D" w14:textId="4455D6A7" w:rsidR="00C95650" w:rsidRPr="001C6314" w:rsidRDefault="00C95650" w:rsidP="00D97B9C">
      <w:pPr>
        <w:pStyle w:val="SingleTxtG"/>
      </w:pPr>
      <w:r w:rsidRPr="001C6314">
        <w:tab/>
        <w:t>(</w:t>
      </w:r>
      <w:r w:rsidR="005B4E6A" w:rsidRPr="001C6314">
        <w:t>b</w:t>
      </w:r>
      <w:r w:rsidRPr="001C6314">
        <w:t>)</w:t>
      </w:r>
      <w:r w:rsidRPr="001C6314">
        <w:tab/>
        <w:t>Nearly one woman in three works part-time, representing 30.9% of the workforce, compared with 7.1% of men;</w:t>
      </w:r>
    </w:p>
    <w:p w14:paraId="0C20621A" w14:textId="2F52C1F6" w:rsidR="00C95650" w:rsidRPr="001C6314" w:rsidRDefault="00C95650" w:rsidP="00D97B9C">
      <w:pPr>
        <w:pStyle w:val="SingleTxtG"/>
      </w:pPr>
      <w:r w:rsidRPr="001C6314">
        <w:tab/>
        <w:t>(</w:t>
      </w:r>
      <w:r w:rsidR="005B4E6A" w:rsidRPr="001C6314">
        <w:t>c</w:t>
      </w:r>
      <w:r w:rsidRPr="001C6314">
        <w:t>)</w:t>
      </w:r>
      <w:r w:rsidRPr="001C6314">
        <w:tab/>
        <w:t>The Law on Persons with Disabilities of 12 September 2003 excludes persons with disabilities who do not meet the requirement of a 30 % loss of working capacity from the status of ‘disabled worker’ and related inclusion allowances</w:t>
      </w:r>
      <w:r w:rsidR="00354AD5">
        <w:t>;</w:t>
      </w:r>
    </w:p>
    <w:p w14:paraId="51603372" w14:textId="1A32848B" w:rsidR="00C95650" w:rsidRPr="001C6314" w:rsidRDefault="00C95650" w:rsidP="00D97B9C">
      <w:pPr>
        <w:pStyle w:val="SingleTxtG"/>
      </w:pPr>
      <w:r w:rsidRPr="001C6314">
        <w:tab/>
        <w:t>(</w:t>
      </w:r>
      <w:r w:rsidR="005B4E6A" w:rsidRPr="001C6314">
        <w:t>d</w:t>
      </w:r>
      <w:r w:rsidRPr="001C6314">
        <w:t>)</w:t>
      </w:r>
      <w:r w:rsidRPr="001C6314">
        <w:tab/>
        <w:t xml:space="preserve"> Asylum seekers </w:t>
      </w:r>
      <w:r w:rsidR="008D6686" w:rsidRPr="001C6314">
        <w:t>must</w:t>
      </w:r>
      <w:r w:rsidRPr="001C6314">
        <w:t xml:space="preserve"> wait six months after submitting their application to have access to the labour market</w:t>
      </w:r>
      <w:r w:rsidR="00354AD5">
        <w:t>;</w:t>
      </w:r>
    </w:p>
    <w:p w14:paraId="6CE2B00D" w14:textId="599658DF" w:rsidR="00181F52" w:rsidRPr="001C6314" w:rsidRDefault="00C95650" w:rsidP="00D97B9C">
      <w:pPr>
        <w:pStyle w:val="SingleTxtG"/>
        <w:rPr>
          <w:i/>
          <w:iCs/>
        </w:rPr>
      </w:pPr>
      <w:r w:rsidRPr="001C6314">
        <w:tab/>
        <w:t>(</w:t>
      </w:r>
      <w:r w:rsidR="005B4E6A" w:rsidRPr="001C6314">
        <w:t>e</w:t>
      </w:r>
      <w:r w:rsidRPr="001C6314">
        <w:t>)</w:t>
      </w:r>
      <w:r w:rsidRPr="001C6314">
        <w:tab/>
        <w:t xml:space="preserve">While </w:t>
      </w:r>
      <w:r w:rsidR="008D6686" w:rsidRPr="001C6314">
        <w:t xml:space="preserve">Chapter V of the </w:t>
      </w:r>
      <w:r w:rsidRPr="001C6314">
        <w:t>Labour code prohibits sexual harassment in the workplace, it is not criminalised in the Penal Code</w:t>
      </w:r>
      <w:r w:rsidR="00181F52" w:rsidRPr="001C6314">
        <w:t>.</w:t>
      </w:r>
    </w:p>
    <w:p w14:paraId="4F88E4A6" w14:textId="78AB88FF" w:rsidR="00181F52" w:rsidRPr="001C6314" w:rsidRDefault="00BD1F82" w:rsidP="00D97B9C">
      <w:pPr>
        <w:pStyle w:val="SingleTxtG"/>
      </w:pPr>
      <w:r w:rsidRPr="00AA2178">
        <w:t>41</w:t>
      </w:r>
      <w:r w:rsidR="00181F52" w:rsidRPr="00AA2178">
        <w:t>.</w:t>
      </w:r>
      <w:r w:rsidR="00181F52" w:rsidRPr="001C6314">
        <w:tab/>
      </w:r>
      <w:r w:rsidR="00181F52" w:rsidRPr="001C6314">
        <w:rPr>
          <w:b/>
          <w:bCs/>
        </w:rPr>
        <w:t>In accordance with target 8.5 of the Sustainable Development Goals, on achieving full and productive employment and decent work for all women and men, the Committee recommends that the State party:</w:t>
      </w:r>
    </w:p>
    <w:p w14:paraId="3003F52F" w14:textId="15DB1220" w:rsidR="00181F52" w:rsidRPr="001C6314" w:rsidRDefault="00181F52" w:rsidP="00D97B9C">
      <w:pPr>
        <w:pStyle w:val="SingleTxtG"/>
        <w:rPr>
          <w:b/>
          <w:bCs/>
        </w:rPr>
      </w:pPr>
      <w:r w:rsidRPr="001C6314">
        <w:tab/>
        <w:t>(a)</w:t>
      </w:r>
      <w:r w:rsidRPr="001C6314">
        <w:tab/>
      </w:r>
      <w:r w:rsidR="005A2B16" w:rsidRPr="001C6314">
        <w:rPr>
          <w:b/>
          <w:bCs/>
        </w:rPr>
        <w:t>Continue its efforts to address the root causes of pension discrepancies between women and men, and adopt targeted measures to reduce the gender pension gap, including by recognizing and computing unpaid care work performed by women towards pension entitlements and social benefits, extending the coverage of social protection, such as minimum wages, paid leave and maternity leave, to women in the informal economy and self-employed women and introducing flexible working arrangements for both women and men;</w:t>
      </w:r>
    </w:p>
    <w:p w14:paraId="5B022ECF" w14:textId="20CCECDF" w:rsidR="007F6812" w:rsidRPr="001C6314" w:rsidRDefault="007F6812" w:rsidP="00D97B9C">
      <w:pPr>
        <w:pStyle w:val="SingleTxtG"/>
      </w:pPr>
      <w:r w:rsidRPr="001C6314">
        <w:tab/>
        <w:t>(b)</w:t>
      </w:r>
      <w:r w:rsidRPr="001C6314">
        <w:tab/>
      </w:r>
      <w:r w:rsidR="001772F8" w:rsidRPr="001C6314">
        <w:rPr>
          <w:b/>
          <w:bCs/>
        </w:rPr>
        <w:t>Adopt targeted measures to prioritize the transition of women from part-time to full-time work, including by providing a sufficient number of adequate and accessible childcare facilities;</w:t>
      </w:r>
    </w:p>
    <w:p w14:paraId="75D79E23" w14:textId="405E2A88" w:rsidR="007F6812" w:rsidRPr="001C6314" w:rsidRDefault="00181F52" w:rsidP="00D97B9C">
      <w:pPr>
        <w:pStyle w:val="SingleTxtG"/>
      </w:pPr>
      <w:r w:rsidRPr="001C6314">
        <w:tab/>
        <w:t>(c)</w:t>
      </w:r>
      <w:r w:rsidRPr="001C6314">
        <w:tab/>
      </w:r>
      <w:r w:rsidR="007F6812" w:rsidRPr="001C6314">
        <w:rPr>
          <w:b/>
          <w:bCs/>
        </w:rPr>
        <w:t>Review the Persons with Disabilities Act of 12 September 2003 with a view to removing the exclusion provision</w:t>
      </w:r>
      <w:r w:rsidR="003C5754">
        <w:rPr>
          <w:b/>
          <w:bCs/>
        </w:rPr>
        <w:t>;</w:t>
      </w:r>
    </w:p>
    <w:p w14:paraId="0259EC12" w14:textId="3B2E0DC0" w:rsidR="004154EE" w:rsidRPr="001C6314" w:rsidRDefault="004154EE" w:rsidP="00D97B9C">
      <w:pPr>
        <w:pStyle w:val="SingleTxtG"/>
        <w:rPr>
          <w:b/>
          <w:bCs/>
        </w:rPr>
      </w:pPr>
      <w:r w:rsidRPr="001C6314">
        <w:tab/>
        <w:t>(d)</w:t>
      </w:r>
      <w:r w:rsidRPr="001C6314">
        <w:tab/>
      </w:r>
      <w:r w:rsidR="00B179ED" w:rsidRPr="001C6314">
        <w:rPr>
          <w:b/>
          <w:bCs/>
        </w:rPr>
        <w:t>Facilitate prompt access to the labour market for asylum seekers by expediting application procedures and removing the six-month waiting period following the submission of an asylum request</w:t>
      </w:r>
      <w:r w:rsidR="003C5754">
        <w:rPr>
          <w:b/>
          <w:bCs/>
        </w:rPr>
        <w:t>;</w:t>
      </w:r>
    </w:p>
    <w:p w14:paraId="22E1DAAD" w14:textId="4F8C6898" w:rsidR="00181F52" w:rsidRPr="001C6314" w:rsidRDefault="004154EE" w:rsidP="00D97B9C">
      <w:pPr>
        <w:pStyle w:val="SingleTxtG"/>
      </w:pPr>
      <w:r w:rsidRPr="001C6314">
        <w:tab/>
        <w:t>(e)</w:t>
      </w:r>
      <w:r w:rsidRPr="001C6314">
        <w:tab/>
      </w:r>
      <w:r w:rsidR="005A2B16" w:rsidRPr="001C6314">
        <w:rPr>
          <w:b/>
          <w:bCs/>
        </w:rPr>
        <w:t xml:space="preserve">Adopt legislation to explicitly criminalize sexual harassment in the workplace </w:t>
      </w:r>
      <w:r w:rsidR="00BE3FA2" w:rsidRPr="001C6314">
        <w:rPr>
          <w:b/>
          <w:bCs/>
        </w:rPr>
        <w:t>and thereby to provide for appropriate sanctions</w:t>
      </w:r>
      <w:r w:rsidR="0006401A" w:rsidRPr="001C6314">
        <w:rPr>
          <w:b/>
          <w:bCs/>
        </w:rPr>
        <w:t xml:space="preserve"> for perpetrators</w:t>
      </w:r>
      <w:r w:rsidR="00181F52" w:rsidRPr="001C6314">
        <w:rPr>
          <w:b/>
          <w:bCs/>
        </w:rPr>
        <w:t>;</w:t>
      </w:r>
    </w:p>
    <w:p w14:paraId="1715ED59" w14:textId="5D9DAB5E" w:rsidR="00061644" w:rsidRPr="001C6314" w:rsidRDefault="00181F52" w:rsidP="00D97B9C">
      <w:pPr>
        <w:pStyle w:val="SingleTxtG"/>
        <w:rPr>
          <w:b/>
          <w:bCs/>
        </w:rPr>
      </w:pPr>
      <w:r w:rsidRPr="001C6314">
        <w:tab/>
      </w:r>
      <w:r w:rsidR="00061644" w:rsidRPr="001C6314">
        <w:t>(f)</w:t>
      </w:r>
      <w:r w:rsidR="00061644" w:rsidRPr="001C6314">
        <w:tab/>
      </w:r>
      <w:r w:rsidR="00061644" w:rsidRPr="001C6314">
        <w:rPr>
          <w:b/>
          <w:bCs/>
        </w:rPr>
        <w:t>Ratify the Domestic Workers Convention, 2011 (No. 189)</w:t>
      </w:r>
      <w:r w:rsidR="00F86D9A" w:rsidRPr="001C6314">
        <w:rPr>
          <w:b/>
          <w:bCs/>
        </w:rPr>
        <w:t xml:space="preserve"> and </w:t>
      </w:r>
      <w:r w:rsidR="0006401A" w:rsidRPr="001C6314">
        <w:rPr>
          <w:b/>
          <w:bCs/>
        </w:rPr>
        <w:t xml:space="preserve">the </w:t>
      </w:r>
      <w:r w:rsidR="00F86D9A" w:rsidRPr="001C6314">
        <w:rPr>
          <w:b/>
          <w:bCs/>
        </w:rPr>
        <w:t>Violence and Harassment Convention, 2019 (No. 190)</w:t>
      </w:r>
      <w:r w:rsidR="0006401A" w:rsidRPr="001C6314">
        <w:rPr>
          <w:b/>
          <w:bCs/>
        </w:rPr>
        <w:t>, of the International Labour Organization</w:t>
      </w:r>
      <w:r w:rsidR="00061644" w:rsidRPr="001C6314">
        <w:rPr>
          <w:b/>
          <w:bCs/>
        </w:rPr>
        <w:t>.</w:t>
      </w:r>
    </w:p>
    <w:p w14:paraId="507C3269" w14:textId="77777777" w:rsidR="00181F52" w:rsidRPr="001C6314" w:rsidRDefault="00181F52" w:rsidP="00D97B9C">
      <w:pPr>
        <w:pStyle w:val="H23G"/>
      </w:pPr>
      <w:bookmarkStart w:id="12" w:name="_Hlk189935360"/>
      <w:r w:rsidRPr="001C6314">
        <w:tab/>
      </w:r>
      <w:r w:rsidRPr="001C6314">
        <w:tab/>
        <w:t>Health</w:t>
      </w:r>
    </w:p>
    <w:p w14:paraId="66D48D8A" w14:textId="1F93D759" w:rsidR="00181F52" w:rsidRPr="001C6314" w:rsidRDefault="00BD1F82" w:rsidP="00D97B9C">
      <w:pPr>
        <w:pStyle w:val="SingleTxtG"/>
      </w:pPr>
      <w:r w:rsidRPr="001C6314">
        <w:t>42</w:t>
      </w:r>
      <w:r w:rsidR="00181F52" w:rsidRPr="001C6314">
        <w:t>.</w:t>
      </w:r>
      <w:r w:rsidR="00181F52" w:rsidRPr="001C6314">
        <w:tab/>
      </w:r>
      <w:r w:rsidR="00D1590F" w:rsidRPr="001C6314">
        <w:t xml:space="preserve">The Committee takes note with interest of the approval of a bill abolishing the practices of issuing ‘virginity certificates’, performing hymenoplasty and the three-day mandatory reflection period for abortion. </w:t>
      </w:r>
      <w:r w:rsidR="00181F52" w:rsidRPr="001C6314">
        <w:t xml:space="preserve">However, it notes with concern: </w:t>
      </w:r>
    </w:p>
    <w:p w14:paraId="0346D5A8" w14:textId="2D7838BE" w:rsidR="00181F52" w:rsidRPr="001C6314" w:rsidRDefault="00181F52" w:rsidP="00D97B9C">
      <w:pPr>
        <w:pStyle w:val="SingleTxtG"/>
      </w:pPr>
      <w:r w:rsidRPr="001C6314">
        <w:tab/>
        <w:t>(a)</w:t>
      </w:r>
      <w:r w:rsidRPr="001C6314">
        <w:tab/>
      </w:r>
      <w:r w:rsidR="008109DD" w:rsidRPr="001C6314">
        <w:t>That n</w:t>
      </w:r>
      <w:r w:rsidR="00D1590F" w:rsidRPr="001C6314">
        <w:t xml:space="preserve">on-emergent medical treatments </w:t>
      </w:r>
      <w:r w:rsidR="0032179C" w:rsidRPr="001C6314">
        <w:t xml:space="preserve">continue to be carried out </w:t>
      </w:r>
      <w:r w:rsidR="00D1590F" w:rsidRPr="001C6314">
        <w:t xml:space="preserve">in </w:t>
      </w:r>
      <w:r w:rsidR="0032179C" w:rsidRPr="001C6314">
        <w:t>the State party</w:t>
      </w:r>
      <w:r w:rsidR="00D1590F" w:rsidRPr="001C6314">
        <w:t xml:space="preserve"> to ‘sexually normalise’ intersex people without their informed consent</w:t>
      </w:r>
      <w:r w:rsidRPr="001C6314">
        <w:t>;</w:t>
      </w:r>
    </w:p>
    <w:p w14:paraId="74D3176D" w14:textId="5048F660" w:rsidR="00181F52" w:rsidRPr="001C6314" w:rsidRDefault="00181F52" w:rsidP="00D97B9C">
      <w:pPr>
        <w:pStyle w:val="SingleTxtG"/>
      </w:pPr>
      <w:r w:rsidRPr="001C6314">
        <w:tab/>
        <w:t>(b)</w:t>
      </w:r>
      <w:r w:rsidRPr="001C6314">
        <w:tab/>
      </w:r>
      <w:r w:rsidR="008109DD" w:rsidRPr="001C6314">
        <w:t>Reports that rates of tobacco use in the State party are higher than the European average and recent increases in use have been observed amongst women and girls</w:t>
      </w:r>
      <w:r w:rsidRPr="001C6314">
        <w:t>.</w:t>
      </w:r>
    </w:p>
    <w:p w14:paraId="6136B31F" w14:textId="1F139287" w:rsidR="00181F52" w:rsidRPr="001C6314" w:rsidRDefault="00BD1F82" w:rsidP="00D97B9C">
      <w:pPr>
        <w:pStyle w:val="SingleTxtG"/>
      </w:pPr>
      <w:r w:rsidRPr="00AA2178">
        <w:t>43</w:t>
      </w:r>
      <w:r w:rsidR="00181F52" w:rsidRPr="00AA2178">
        <w:t>.</w:t>
      </w:r>
      <w:r w:rsidR="00181F52" w:rsidRPr="00D41873">
        <w:rPr>
          <w:b/>
          <w:bCs/>
        </w:rPr>
        <w:tab/>
      </w:r>
      <w:r w:rsidR="005B0CEF" w:rsidRPr="001C6314">
        <w:rPr>
          <w:b/>
          <w:bCs/>
        </w:rPr>
        <w:t>In the light of joint general recommendation No. 31 of the Committee on the Elimination of Discrimination against Women/general comment No. 18 of the Committee on the Rights of the Child (2014) on harmful practices and recalling its previous recommendations (CEDAW/C/LUX/CO/6-7, para. 46), the Committee recommends that the State party</w:t>
      </w:r>
      <w:r w:rsidR="00181F52" w:rsidRPr="001C6314">
        <w:rPr>
          <w:b/>
          <w:bCs/>
        </w:rPr>
        <w:t>:</w:t>
      </w:r>
    </w:p>
    <w:p w14:paraId="74A2F695" w14:textId="0690B0BD" w:rsidR="0060759B" w:rsidRPr="001C6314" w:rsidRDefault="00181F52" w:rsidP="00D97B9C">
      <w:pPr>
        <w:pStyle w:val="SingleTxtG"/>
        <w:rPr>
          <w:b/>
          <w:bCs/>
        </w:rPr>
      </w:pPr>
      <w:r w:rsidRPr="001C6314">
        <w:tab/>
        <w:t>(a)</w:t>
      </w:r>
      <w:r w:rsidRPr="001C6314">
        <w:tab/>
      </w:r>
      <w:r w:rsidR="0060759B" w:rsidRPr="001C6314">
        <w:rPr>
          <w:b/>
          <w:bCs/>
        </w:rPr>
        <w:t>Expedite the passage of the above-mentioned bill through the legislative process to become law;</w:t>
      </w:r>
    </w:p>
    <w:p w14:paraId="0A82964A" w14:textId="1F967B32" w:rsidR="00181F52" w:rsidRPr="001C6314" w:rsidRDefault="0060759B" w:rsidP="00D97B9C">
      <w:pPr>
        <w:pStyle w:val="SingleTxtG"/>
        <w:rPr>
          <w:b/>
          <w:bCs/>
        </w:rPr>
      </w:pPr>
      <w:r w:rsidRPr="001C6314">
        <w:tab/>
        <w:t>(b)</w:t>
      </w:r>
      <w:r w:rsidRPr="001C6314">
        <w:tab/>
      </w:r>
      <w:r w:rsidR="00DD5C64" w:rsidRPr="001C6314">
        <w:rPr>
          <w:b/>
          <w:bCs/>
        </w:rPr>
        <w:t>Specifically prohibit non-consensual sex-reassignment surgery on intersex persons and develop and implement a rights-based health-care protocol for intersex children that requires their informed consent about the performance of medically irreversible sex-reassignment surgery</w:t>
      </w:r>
      <w:r w:rsidR="00181F52" w:rsidRPr="001C6314">
        <w:rPr>
          <w:b/>
          <w:bCs/>
        </w:rPr>
        <w:t>;</w:t>
      </w:r>
    </w:p>
    <w:p w14:paraId="0B4FD5E9" w14:textId="3FD6439C" w:rsidR="00181F52" w:rsidRDefault="00181F52" w:rsidP="00D97B9C">
      <w:pPr>
        <w:pStyle w:val="SingleTxtG"/>
        <w:rPr>
          <w:b/>
          <w:bCs/>
        </w:rPr>
      </w:pPr>
      <w:r w:rsidRPr="001C6314">
        <w:tab/>
        <w:t>(</w:t>
      </w:r>
      <w:r w:rsidR="0060759B" w:rsidRPr="001C6314">
        <w:t>c</w:t>
      </w:r>
      <w:r w:rsidRPr="001C6314">
        <w:t>)</w:t>
      </w:r>
      <w:r w:rsidRPr="001C6314">
        <w:tab/>
      </w:r>
      <w:r w:rsidR="00441E94" w:rsidRPr="001C6314">
        <w:rPr>
          <w:b/>
          <w:bCs/>
        </w:rPr>
        <w:t>Expedite the finalisation and implementation of the</w:t>
      </w:r>
      <w:r w:rsidR="00782A16">
        <w:rPr>
          <w:b/>
          <w:bCs/>
        </w:rPr>
        <w:t xml:space="preserve"> </w:t>
      </w:r>
      <w:r w:rsidR="00095C3F">
        <w:rPr>
          <w:b/>
          <w:bCs/>
        </w:rPr>
        <w:t>second</w:t>
      </w:r>
      <w:r w:rsidR="00441E94" w:rsidRPr="001C6314">
        <w:rPr>
          <w:b/>
          <w:bCs/>
        </w:rPr>
        <w:t xml:space="preserve"> national action plan to combat smoking and ensu</w:t>
      </w:r>
      <w:r w:rsidR="00FC1DAA">
        <w:rPr>
          <w:b/>
          <w:bCs/>
        </w:rPr>
        <w:t>r</w:t>
      </w:r>
      <w:r w:rsidR="00441E94" w:rsidRPr="001C6314">
        <w:rPr>
          <w:b/>
          <w:bCs/>
        </w:rPr>
        <w:t>e that it incorporates a gender dimension so that policies and measures emanating from the plan address the specific needs of women</w:t>
      </w:r>
      <w:r w:rsidRPr="001C6314">
        <w:rPr>
          <w:b/>
          <w:bCs/>
        </w:rPr>
        <w:t>.</w:t>
      </w:r>
    </w:p>
    <w:p w14:paraId="48A1A6DE" w14:textId="77777777" w:rsidR="00181F52" w:rsidRPr="001C6314" w:rsidRDefault="00181F52" w:rsidP="00D97B9C">
      <w:pPr>
        <w:pStyle w:val="H23G"/>
      </w:pPr>
      <w:bookmarkStart w:id="13" w:name="_Hlk190173644"/>
      <w:bookmarkEnd w:id="12"/>
      <w:r w:rsidRPr="001C6314">
        <w:tab/>
      </w:r>
      <w:r w:rsidRPr="001C6314">
        <w:tab/>
        <w:t>Economic empowerment of women</w:t>
      </w:r>
    </w:p>
    <w:p w14:paraId="6434D581" w14:textId="5BE732C6" w:rsidR="009E7E0C" w:rsidRPr="001C6314" w:rsidRDefault="00BD1F82" w:rsidP="00D97B9C">
      <w:pPr>
        <w:pStyle w:val="SingleTxtG"/>
      </w:pPr>
      <w:r w:rsidRPr="001C6314">
        <w:t>44</w:t>
      </w:r>
      <w:r w:rsidR="00181F52" w:rsidRPr="001C6314">
        <w:t>.</w:t>
      </w:r>
      <w:r w:rsidR="00181F52" w:rsidRPr="001C6314">
        <w:tab/>
      </w:r>
      <w:r w:rsidR="00BD33D2" w:rsidRPr="001C6314">
        <w:t>The Committee notes with appreciation the State party’s efforts to be a model on the use of inclusive gender responsive policies as an economic diversification and wealth re-distribution strategy through enhanced economic and social life for Luxembourg women aligned with CEDAW provisions, financial support to women informal caregivers, free childcare services, gender focused bonds and tailored debt instruments by the Luxembourg Stock Exchange The Committee notes with concern, however, that:</w:t>
      </w:r>
      <w:r w:rsidR="009E7E0C" w:rsidRPr="001C6314">
        <w:t xml:space="preserve"> </w:t>
      </w:r>
    </w:p>
    <w:p w14:paraId="31511B7F" w14:textId="77777777" w:rsidR="00274517" w:rsidRDefault="00274517" w:rsidP="00D97B9C">
      <w:pPr>
        <w:pStyle w:val="SingleTxtG"/>
      </w:pPr>
      <w:r>
        <w:tab/>
        <w:t>(a)</w:t>
      </w:r>
      <w:r>
        <w:tab/>
        <w:t>The high poverty rate of 13.5% among working women, mainly affecting single mothers in the State party, despite having the highest GDP per capita in the European Union;</w:t>
      </w:r>
    </w:p>
    <w:p w14:paraId="0F98B45A" w14:textId="77777777" w:rsidR="00274517" w:rsidRDefault="00274517" w:rsidP="00D97B9C">
      <w:pPr>
        <w:pStyle w:val="SingleTxtG"/>
      </w:pPr>
      <w:r>
        <w:tab/>
        <w:t>(b)</w:t>
      </w:r>
      <w:r>
        <w:tab/>
        <w:t>The mandatory registration requirements for self-employed persons under the pension and insurance reforms, which result in unequal access to social protection for women working in the informal economy;</w:t>
      </w:r>
    </w:p>
    <w:p w14:paraId="704B92AB" w14:textId="77777777" w:rsidR="00274517" w:rsidRDefault="00274517" w:rsidP="00D97B9C">
      <w:pPr>
        <w:pStyle w:val="SingleTxtG"/>
      </w:pPr>
      <w:r>
        <w:tab/>
        <w:t>(c)</w:t>
      </w:r>
      <w:r>
        <w:tab/>
        <w:t>The limited access to housing for low-income single mothers and unemployed women, including unpaid caregivers that hinders the productivity and well-being of women;</w:t>
      </w:r>
    </w:p>
    <w:p w14:paraId="1E46B03F" w14:textId="77777777" w:rsidR="00274517" w:rsidRDefault="00274517" w:rsidP="00D97B9C">
      <w:pPr>
        <w:pStyle w:val="SingleTxtG"/>
      </w:pPr>
      <w:r>
        <w:tab/>
        <w:t>(d)</w:t>
      </w:r>
      <w:r>
        <w:tab/>
        <w:t>Women’s limited access to financial services due to inadequately tailored products that fail to meet their specific business and entrepreneurial needs;</w:t>
      </w:r>
    </w:p>
    <w:p w14:paraId="4ADC1926" w14:textId="05B92EDA" w:rsidR="00631817" w:rsidRPr="001C6314" w:rsidRDefault="00274517" w:rsidP="00D97B9C">
      <w:pPr>
        <w:pStyle w:val="SingleTxtG"/>
      </w:pPr>
      <w:r>
        <w:tab/>
        <w:t>(e)</w:t>
      </w:r>
      <w:r>
        <w:tab/>
      </w:r>
      <w:r w:rsidR="004F2318">
        <w:t xml:space="preserve">The </w:t>
      </w:r>
      <w:r>
        <w:t>gender digital divide and existing programmes fail to equip women and girls from emerging jobs, tech solutions and innovation</w:t>
      </w:r>
      <w:r w:rsidR="00631817" w:rsidRPr="001C6314">
        <w:t>.</w:t>
      </w:r>
    </w:p>
    <w:bookmarkEnd w:id="13"/>
    <w:p w14:paraId="6ECB505B" w14:textId="2423C2E9" w:rsidR="000A452C" w:rsidRPr="001C6314" w:rsidRDefault="000A452C" w:rsidP="00F52083">
      <w:pPr>
        <w:pStyle w:val="SingleTxtG"/>
        <w:rPr>
          <w:b/>
          <w:bCs/>
        </w:rPr>
      </w:pPr>
      <w:r w:rsidRPr="001C6314">
        <w:t>45.</w:t>
      </w:r>
      <w:r w:rsidRPr="001C6314">
        <w:tab/>
      </w:r>
      <w:r w:rsidRPr="001C6314">
        <w:rPr>
          <w:b/>
          <w:bCs/>
        </w:rPr>
        <w:t>The Committee recommends that the State party:</w:t>
      </w:r>
    </w:p>
    <w:p w14:paraId="08D69D50" w14:textId="77777777" w:rsidR="000A452C" w:rsidRDefault="000A452C" w:rsidP="000A452C">
      <w:pPr>
        <w:pStyle w:val="SingleTxtG"/>
      </w:pPr>
      <w:r>
        <w:tab/>
        <w:t>(a)</w:t>
      </w:r>
      <w:r>
        <w:tab/>
      </w:r>
      <w:r w:rsidRPr="009E21FB">
        <w:rPr>
          <w:b/>
          <w:bCs/>
        </w:rPr>
        <w:t xml:space="preserve">Strengthen efforts to reduce poverty among women, with a particular focus on single-parent households and disadvantaged groups of women, including through the facilitation of access for unemployed women and those </w:t>
      </w:r>
      <w:r>
        <w:rPr>
          <w:b/>
          <w:bCs/>
        </w:rPr>
        <w:t xml:space="preserve">working </w:t>
      </w:r>
      <w:r w:rsidRPr="009E21FB">
        <w:rPr>
          <w:b/>
          <w:bCs/>
        </w:rPr>
        <w:t xml:space="preserve">in unpaid care to unemployment benefits, </w:t>
      </w:r>
      <w:r>
        <w:rPr>
          <w:b/>
          <w:bCs/>
        </w:rPr>
        <w:t>formal</w:t>
      </w:r>
      <w:r w:rsidRPr="009E21FB">
        <w:rPr>
          <w:b/>
          <w:bCs/>
        </w:rPr>
        <w:t xml:space="preserve"> employment and </w:t>
      </w:r>
      <w:r>
        <w:rPr>
          <w:b/>
          <w:bCs/>
        </w:rPr>
        <w:t>professional</w:t>
      </w:r>
      <w:r w:rsidRPr="009E21FB">
        <w:rPr>
          <w:b/>
          <w:bCs/>
        </w:rPr>
        <w:t xml:space="preserve"> training;</w:t>
      </w:r>
    </w:p>
    <w:p w14:paraId="2C5DA90E" w14:textId="77777777" w:rsidR="000A452C" w:rsidRDefault="000A452C" w:rsidP="000A452C">
      <w:pPr>
        <w:pStyle w:val="SingleTxtG"/>
      </w:pPr>
      <w:r>
        <w:tab/>
        <w:t>(b)</w:t>
      </w:r>
      <w:r>
        <w:tab/>
      </w:r>
      <w:r>
        <w:rPr>
          <w:b/>
          <w:bCs/>
        </w:rPr>
        <w:t>Raise</w:t>
      </w:r>
      <w:r w:rsidRPr="009E21FB">
        <w:rPr>
          <w:b/>
          <w:bCs/>
        </w:rPr>
        <w:t xml:space="preserve"> awareness </w:t>
      </w:r>
      <w:r>
        <w:rPr>
          <w:b/>
          <w:bCs/>
        </w:rPr>
        <w:t>among</w:t>
      </w:r>
      <w:r w:rsidRPr="009E21FB">
        <w:rPr>
          <w:b/>
          <w:bCs/>
        </w:rPr>
        <w:t xml:space="preserve"> self-employed women</w:t>
      </w:r>
      <w:r>
        <w:rPr>
          <w:b/>
          <w:bCs/>
        </w:rPr>
        <w:t>,</w:t>
      </w:r>
      <w:r w:rsidRPr="00C114CE">
        <w:t xml:space="preserve"> </w:t>
      </w:r>
      <w:r w:rsidRPr="00C114CE">
        <w:rPr>
          <w:b/>
          <w:bCs/>
        </w:rPr>
        <w:t>women working in the informal economy, including artisans, caregivers and SMEs</w:t>
      </w:r>
      <w:r>
        <w:rPr>
          <w:b/>
          <w:bCs/>
        </w:rPr>
        <w:t xml:space="preserve"> on mandatory registration requirements under the pension and social insurance schemes and ensure that</w:t>
      </w:r>
      <w:r w:rsidRPr="009E21FB">
        <w:rPr>
          <w:b/>
          <w:bCs/>
        </w:rPr>
        <w:t xml:space="preserve"> </w:t>
      </w:r>
      <w:r>
        <w:rPr>
          <w:b/>
          <w:bCs/>
        </w:rPr>
        <w:t>they have adequate access to social protection</w:t>
      </w:r>
      <w:r w:rsidRPr="009E21FB">
        <w:rPr>
          <w:b/>
          <w:bCs/>
        </w:rPr>
        <w:t>;</w:t>
      </w:r>
    </w:p>
    <w:p w14:paraId="202B5142" w14:textId="77777777" w:rsidR="000A452C" w:rsidRDefault="000A452C" w:rsidP="000A452C">
      <w:pPr>
        <w:pStyle w:val="SingleTxtG"/>
      </w:pPr>
      <w:r>
        <w:tab/>
        <w:t>(c)</w:t>
      </w:r>
      <w:r>
        <w:tab/>
      </w:r>
      <w:r w:rsidRPr="009E21FB">
        <w:rPr>
          <w:b/>
          <w:bCs/>
        </w:rPr>
        <w:t>P</w:t>
      </w:r>
      <w:r>
        <w:rPr>
          <w:b/>
          <w:bCs/>
        </w:rPr>
        <w:t>rioritize the allocation of affordable State-subsidized housing to</w:t>
      </w:r>
      <w:r w:rsidRPr="009E21FB">
        <w:rPr>
          <w:b/>
          <w:bCs/>
        </w:rPr>
        <w:t xml:space="preserve"> single mothers and unemployed women, including unpaid care workers;</w:t>
      </w:r>
    </w:p>
    <w:p w14:paraId="38D91C48" w14:textId="71ADFCC7" w:rsidR="000A452C" w:rsidRPr="009E21FB" w:rsidRDefault="000A452C" w:rsidP="000A452C">
      <w:pPr>
        <w:pStyle w:val="SingleTxtG"/>
        <w:rPr>
          <w:b/>
          <w:bCs/>
        </w:rPr>
      </w:pPr>
      <w:r>
        <w:tab/>
        <w:t>(d)</w:t>
      </w:r>
      <w:r>
        <w:tab/>
      </w:r>
      <w:r>
        <w:rPr>
          <w:b/>
          <w:bCs/>
        </w:rPr>
        <w:t>I</w:t>
      </w:r>
      <w:r w:rsidRPr="009E21FB">
        <w:rPr>
          <w:b/>
          <w:bCs/>
        </w:rPr>
        <w:t>ncrease investment</w:t>
      </w:r>
      <w:r>
        <w:rPr>
          <w:b/>
          <w:bCs/>
        </w:rPr>
        <w:t>s</w:t>
      </w:r>
      <w:r w:rsidRPr="009E21FB">
        <w:rPr>
          <w:b/>
          <w:bCs/>
        </w:rPr>
        <w:t xml:space="preserve"> in women-owned businesses and entrepreneurial activities</w:t>
      </w:r>
      <w:r w:rsidR="004F2318">
        <w:rPr>
          <w:b/>
          <w:bCs/>
        </w:rPr>
        <w:t>,</w:t>
      </w:r>
      <w:r>
        <w:rPr>
          <w:b/>
          <w:bCs/>
        </w:rPr>
        <w:t xml:space="preserve"> and </w:t>
      </w:r>
      <w:r w:rsidR="004F2318">
        <w:rPr>
          <w:b/>
          <w:bCs/>
        </w:rPr>
        <w:t>promote</w:t>
      </w:r>
      <w:r>
        <w:rPr>
          <w:b/>
          <w:bCs/>
        </w:rPr>
        <w:t xml:space="preserve"> women’s access to financial credit and services and </w:t>
      </w:r>
      <w:r w:rsidRPr="009E21FB">
        <w:rPr>
          <w:b/>
          <w:bCs/>
        </w:rPr>
        <w:t>ensur</w:t>
      </w:r>
      <w:r>
        <w:rPr>
          <w:b/>
          <w:bCs/>
        </w:rPr>
        <w:t>e</w:t>
      </w:r>
      <w:r w:rsidRPr="009E21FB">
        <w:rPr>
          <w:b/>
          <w:bCs/>
        </w:rPr>
        <w:t xml:space="preserve"> the availability of feedback mechanisms to facilitate impact assessment and strengthen reforms; </w:t>
      </w:r>
    </w:p>
    <w:p w14:paraId="7C1EBEAF" w14:textId="77777777" w:rsidR="000A452C" w:rsidRPr="001C6314" w:rsidRDefault="000A452C" w:rsidP="000A452C">
      <w:pPr>
        <w:pStyle w:val="SingleTxtG"/>
      </w:pPr>
      <w:r>
        <w:tab/>
        <w:t>(e)</w:t>
      </w:r>
      <w:r>
        <w:tab/>
      </w:r>
      <w:r w:rsidRPr="009E21FB">
        <w:rPr>
          <w:b/>
          <w:bCs/>
        </w:rPr>
        <w:t xml:space="preserve">Increase </w:t>
      </w:r>
      <w:r>
        <w:rPr>
          <w:b/>
          <w:bCs/>
        </w:rPr>
        <w:t xml:space="preserve">the </w:t>
      </w:r>
      <w:r w:rsidRPr="009E21FB">
        <w:rPr>
          <w:b/>
          <w:bCs/>
        </w:rPr>
        <w:t xml:space="preserve">percentage of the digitization fund dedicated to strengthening IT competencies </w:t>
      </w:r>
      <w:r>
        <w:rPr>
          <w:b/>
          <w:bCs/>
        </w:rPr>
        <w:t>of</w:t>
      </w:r>
      <w:r w:rsidRPr="009E21FB">
        <w:rPr>
          <w:b/>
          <w:bCs/>
        </w:rPr>
        <w:t xml:space="preserve"> women and girls</w:t>
      </w:r>
      <w:r w:rsidRPr="001C6314">
        <w:rPr>
          <w:b/>
          <w:bCs/>
        </w:rPr>
        <w:t>.</w:t>
      </w:r>
      <w:r w:rsidRPr="001C6314">
        <w:t xml:space="preserve"> </w:t>
      </w:r>
    </w:p>
    <w:p w14:paraId="4286392F" w14:textId="77777777" w:rsidR="000A452C" w:rsidRPr="001C6314" w:rsidRDefault="000A452C" w:rsidP="000A452C">
      <w:pPr>
        <w:pStyle w:val="H23G"/>
      </w:pPr>
      <w:r w:rsidRPr="001C6314">
        <w:tab/>
      </w:r>
      <w:r w:rsidRPr="001C6314">
        <w:tab/>
        <w:t>Women with disabilities</w:t>
      </w:r>
    </w:p>
    <w:p w14:paraId="324C926C" w14:textId="77777777" w:rsidR="000A452C" w:rsidRPr="001C6314" w:rsidRDefault="000A452C" w:rsidP="000A452C">
      <w:pPr>
        <w:pStyle w:val="SingleTxtG"/>
      </w:pPr>
      <w:r w:rsidRPr="001C6314">
        <w:t>46.</w:t>
      </w:r>
      <w:r w:rsidRPr="001C6314">
        <w:tab/>
        <w:t xml:space="preserve">The Committee notes with concern that women with disabilities face intersecting forms of discrimination in the State party, especially with regard to access to justice, education, employment and health care. The Committee takes note of the National Action Plan for the Implementation of the Convention on the Rights of Persons with Disabilities 2019-2024. It is concerned, however, that this Plan does not consider the gender dimension: It further notes with concern that the dimension of disability is absent from the current National Action Plan for Equality between Women and Men. </w:t>
      </w:r>
    </w:p>
    <w:p w14:paraId="3E9A049D" w14:textId="3AC7623E" w:rsidR="000A452C" w:rsidRPr="001C6314" w:rsidRDefault="000A452C" w:rsidP="000A452C">
      <w:pPr>
        <w:pStyle w:val="SingleTxtG"/>
      </w:pPr>
      <w:r w:rsidRPr="001C6314">
        <w:t>47.</w:t>
      </w:r>
      <w:r w:rsidRPr="001C6314">
        <w:tab/>
      </w:r>
      <w:r w:rsidR="0032450A">
        <w:rPr>
          <w:b/>
          <w:bCs/>
        </w:rPr>
        <w:t>T</w:t>
      </w:r>
      <w:r w:rsidRPr="001C6314">
        <w:rPr>
          <w:b/>
          <w:bCs/>
        </w:rPr>
        <w:t>he Committee recommends that the State party ensure</w:t>
      </w:r>
      <w:r w:rsidRPr="001C6314">
        <w:t xml:space="preserve"> </w:t>
      </w:r>
      <w:r w:rsidRPr="001C6314">
        <w:rPr>
          <w:b/>
          <w:bCs/>
        </w:rPr>
        <w:t>that:</w:t>
      </w:r>
    </w:p>
    <w:p w14:paraId="35AFCA89" w14:textId="77777777" w:rsidR="000A452C" w:rsidRPr="001C6314" w:rsidRDefault="000A452C" w:rsidP="000A452C">
      <w:pPr>
        <w:pStyle w:val="SingleTxtG"/>
      </w:pPr>
      <w:r w:rsidRPr="001C6314">
        <w:tab/>
        <w:t>(a)</w:t>
      </w:r>
      <w:r w:rsidRPr="001C6314">
        <w:tab/>
      </w:r>
      <w:r w:rsidRPr="001C6314">
        <w:rPr>
          <w:b/>
          <w:bCs/>
        </w:rPr>
        <w:t xml:space="preserve">Women and girls with disabilities are able to access justice, the labour market, inclusive education, employment and health-care services, including sexual and reproductive health-care services, and are able to fully exercise their right to bodily autonomy and decision-making in regard to their reproductive rights and custody and care of their children; </w:t>
      </w:r>
    </w:p>
    <w:p w14:paraId="33F9B8E5" w14:textId="77777777" w:rsidR="000A452C" w:rsidRPr="001C6314" w:rsidRDefault="000A452C" w:rsidP="000A452C">
      <w:pPr>
        <w:pStyle w:val="SingleTxtG"/>
      </w:pPr>
      <w:r w:rsidRPr="001C6314">
        <w:tab/>
        <w:t>(b)</w:t>
      </w:r>
      <w:r w:rsidRPr="001C6314">
        <w:tab/>
      </w:r>
      <w:r w:rsidRPr="001C6314">
        <w:rPr>
          <w:b/>
          <w:bCs/>
        </w:rPr>
        <w:t>The next National Action Plan for the Implementation of the Convention on the Rights of Persons with Disabilities has a gender dimension and that it revise the National Action Plan for Equality between Women and Men to incorporate a disability dimension.</w:t>
      </w:r>
      <w:r w:rsidRPr="001C6314">
        <w:t xml:space="preserve"> </w:t>
      </w:r>
    </w:p>
    <w:p w14:paraId="0E36FBD7" w14:textId="77777777" w:rsidR="000A452C" w:rsidRPr="001C6314" w:rsidRDefault="000A452C" w:rsidP="000A452C">
      <w:pPr>
        <w:pStyle w:val="H23G"/>
      </w:pPr>
      <w:r w:rsidRPr="001C6314">
        <w:tab/>
      </w:r>
      <w:r w:rsidRPr="001C6314">
        <w:tab/>
        <w:t>Minority Women</w:t>
      </w:r>
    </w:p>
    <w:p w14:paraId="6E6827FE" w14:textId="09EF34C8" w:rsidR="000A452C" w:rsidRPr="001C6314" w:rsidRDefault="000A452C" w:rsidP="000A452C">
      <w:pPr>
        <w:pStyle w:val="SingleTxtG"/>
      </w:pPr>
      <w:r w:rsidRPr="001C6314">
        <w:t>48.</w:t>
      </w:r>
      <w:r w:rsidRPr="001C6314">
        <w:tab/>
        <w:t>The Committee notes with concern the lack of support systems in the State party for assisting non-resident Afro-descendant and Muslim women</w:t>
      </w:r>
      <w:r w:rsidR="009D41CA">
        <w:t xml:space="preserve"> and girls</w:t>
      </w:r>
      <w:r w:rsidRPr="001C6314">
        <w:t xml:space="preserve"> in finding employment and housing, accessing health services and in the field of education.</w:t>
      </w:r>
    </w:p>
    <w:p w14:paraId="2CD320A7" w14:textId="4794CD58" w:rsidR="000A452C" w:rsidRPr="001C6314" w:rsidRDefault="000A452C" w:rsidP="000A452C">
      <w:pPr>
        <w:pStyle w:val="SingleTxtG"/>
        <w:rPr>
          <w:b/>
          <w:bCs/>
        </w:rPr>
      </w:pPr>
      <w:r w:rsidRPr="001C6314">
        <w:t>49.</w:t>
      </w:r>
      <w:r w:rsidRPr="001C6314">
        <w:tab/>
      </w:r>
      <w:r w:rsidRPr="001C6314">
        <w:rPr>
          <w:b/>
          <w:bCs/>
        </w:rPr>
        <w:t xml:space="preserve">The Committee recommends that the State party put in place measures to facilitate access to housing, employment, healthcare services and education for non-resident </w:t>
      </w:r>
      <w:r w:rsidRPr="001C6314">
        <w:rPr>
          <w:rFonts w:ascii="Times New Roman Bold" w:hAnsi="Times New Roman Bold"/>
          <w:b/>
        </w:rPr>
        <w:t>Afro-descendant and Muslim women</w:t>
      </w:r>
      <w:r w:rsidR="009D41CA">
        <w:rPr>
          <w:rFonts w:ascii="Times New Roman Bold" w:hAnsi="Times New Roman Bold"/>
          <w:b/>
        </w:rPr>
        <w:t xml:space="preserve"> and girls</w:t>
      </w:r>
      <w:r w:rsidRPr="001C6314">
        <w:rPr>
          <w:rFonts w:ascii="Times New Roman Bold" w:hAnsi="Times New Roman Bold"/>
          <w:b/>
        </w:rPr>
        <w:t xml:space="preserve">. </w:t>
      </w:r>
    </w:p>
    <w:p w14:paraId="3A98775E" w14:textId="77777777" w:rsidR="000A452C" w:rsidRPr="001C6314" w:rsidRDefault="000A452C" w:rsidP="000A452C">
      <w:pPr>
        <w:pStyle w:val="H23G"/>
      </w:pPr>
      <w:bookmarkStart w:id="14" w:name="_Hlk190170422"/>
      <w:r w:rsidRPr="001C6314">
        <w:tab/>
      </w:r>
      <w:r w:rsidRPr="001C6314">
        <w:tab/>
      </w:r>
      <w:bookmarkStart w:id="15" w:name="_Hlk190175983"/>
      <w:r w:rsidRPr="001C6314">
        <w:t>Disaster risk reduction and climate change</w:t>
      </w:r>
    </w:p>
    <w:p w14:paraId="06281CAE" w14:textId="77777777" w:rsidR="000A452C" w:rsidRPr="001C6314" w:rsidRDefault="000A452C" w:rsidP="000A452C">
      <w:pPr>
        <w:pStyle w:val="SingleTxtG"/>
      </w:pPr>
      <w:r w:rsidRPr="001C6314">
        <w:t>50.</w:t>
      </w:r>
      <w:r w:rsidRPr="001C6314">
        <w:tab/>
      </w:r>
      <w:bookmarkStart w:id="16" w:name="_Hlk190175807"/>
      <w:bookmarkEnd w:id="14"/>
      <w:r w:rsidRPr="001C6314">
        <w:t xml:space="preserve">The Committee notes that the State party has contributed 8 million euros to the Loss and Damage Fund established to support developing nations disproportionately affected by climate change. Nevertheless, it notes with regret that the Fund remains underfunded. The Committee also notes with concern that private financial institutions under the jurisdiction of the State party continue to make significant investments in the fossil fuel industry and other carbon-intensive sectors. </w:t>
      </w:r>
    </w:p>
    <w:p w14:paraId="4BE0F648" w14:textId="77777777" w:rsidR="000A452C" w:rsidRPr="001C6314" w:rsidRDefault="000A452C" w:rsidP="000A452C">
      <w:pPr>
        <w:pStyle w:val="SingleTxtG"/>
        <w:rPr>
          <w:b/>
          <w:bCs/>
        </w:rPr>
      </w:pPr>
      <w:r w:rsidRPr="001C6314">
        <w:t>51.</w:t>
      </w:r>
      <w:r w:rsidRPr="001C6314">
        <w:tab/>
      </w:r>
      <w:r w:rsidRPr="001C6314">
        <w:rPr>
          <w:b/>
          <w:bCs/>
        </w:rPr>
        <w:t>In accordance with its general recommendation No. 37 (2018) on the gender-related dimensions of disaster risk reduction in the context of climate change, the Committee recommends that the State party:</w:t>
      </w:r>
    </w:p>
    <w:p w14:paraId="10551568" w14:textId="77777777" w:rsidR="000A452C" w:rsidRPr="001C6314" w:rsidRDefault="000A452C" w:rsidP="000A452C">
      <w:pPr>
        <w:pStyle w:val="SingleTxtG"/>
      </w:pPr>
      <w:r w:rsidRPr="001C6314">
        <w:tab/>
        <w:t>(a)</w:t>
      </w:r>
      <w:r w:rsidRPr="001C6314">
        <w:tab/>
      </w:r>
      <w:r w:rsidRPr="001C6314">
        <w:rPr>
          <w:b/>
          <w:bCs/>
        </w:rPr>
        <w:t>Consider increasing its contribution to the Loss and Damage Fund and earmark said contribution for gender-related issues;</w:t>
      </w:r>
    </w:p>
    <w:p w14:paraId="2B22E3D1" w14:textId="77777777" w:rsidR="000A452C" w:rsidRPr="001C6314" w:rsidRDefault="000A452C" w:rsidP="000A452C">
      <w:pPr>
        <w:pStyle w:val="SingleTxtG"/>
      </w:pPr>
      <w:r>
        <w:tab/>
        <w:t>(b)</w:t>
      </w:r>
      <w:r>
        <w:tab/>
      </w:r>
      <w:r w:rsidRPr="00E14220">
        <w:rPr>
          <w:b/>
          <w:bCs/>
        </w:rPr>
        <w:t xml:space="preserve">Develop regulatory policies to </w:t>
      </w:r>
      <w:r>
        <w:rPr>
          <w:b/>
          <w:bCs/>
        </w:rPr>
        <w:t>encourage</w:t>
      </w:r>
      <w:r w:rsidRPr="00E14220">
        <w:rPr>
          <w:b/>
          <w:bCs/>
        </w:rPr>
        <w:t xml:space="preserve"> private sector financial institutions to </w:t>
      </w:r>
      <w:r>
        <w:rPr>
          <w:b/>
          <w:bCs/>
        </w:rPr>
        <w:t xml:space="preserve">invest in renewable energies and the green economy, disincentivize them from investing in fuel industry and other carbon-intensive sectors and promote </w:t>
      </w:r>
      <w:r w:rsidRPr="00E14220">
        <w:rPr>
          <w:b/>
          <w:bCs/>
        </w:rPr>
        <w:t>compl</w:t>
      </w:r>
      <w:r>
        <w:rPr>
          <w:b/>
          <w:bCs/>
        </w:rPr>
        <w:t>iance</w:t>
      </w:r>
      <w:r w:rsidRPr="00E14220">
        <w:rPr>
          <w:b/>
          <w:bCs/>
        </w:rPr>
        <w:t xml:space="preserve"> with the United Nations Framework Convention on Climate Change, the Paris Agreement on climate change of 12 December 2015</w:t>
      </w:r>
      <w:r>
        <w:rPr>
          <w:b/>
          <w:bCs/>
        </w:rPr>
        <w:t xml:space="preserve"> </w:t>
      </w:r>
      <w:r w:rsidRPr="00E14220">
        <w:rPr>
          <w:b/>
          <w:bCs/>
        </w:rPr>
        <w:t>and the Guiding Principles on Business and Human Rights</w:t>
      </w:r>
      <w:r w:rsidRPr="001C6314">
        <w:rPr>
          <w:b/>
          <w:bCs/>
        </w:rPr>
        <w:t>;</w:t>
      </w:r>
      <w:r w:rsidRPr="001C6314">
        <w:t xml:space="preserve">  </w:t>
      </w:r>
    </w:p>
    <w:p w14:paraId="748A82C4" w14:textId="77777777" w:rsidR="000A452C" w:rsidRPr="001C6314" w:rsidRDefault="000A452C" w:rsidP="000A452C">
      <w:pPr>
        <w:pStyle w:val="SingleTxtG"/>
      </w:pPr>
      <w:r w:rsidRPr="001C6314">
        <w:tab/>
        <w:t>(c)</w:t>
      </w:r>
      <w:r w:rsidRPr="001C6314">
        <w:tab/>
      </w:r>
      <w:r>
        <w:rPr>
          <w:b/>
          <w:bCs/>
        </w:rPr>
        <w:t>E</w:t>
      </w:r>
      <w:r w:rsidRPr="00A60F24">
        <w:rPr>
          <w:b/>
          <w:bCs/>
        </w:rPr>
        <w:t>stablish a human rights due diligence process, ensuring businesses identify, prevent, mitigate, and account for their climate impacts.</w:t>
      </w:r>
      <w:r w:rsidRPr="001C6314">
        <w:t xml:space="preserve"> </w:t>
      </w:r>
    </w:p>
    <w:bookmarkEnd w:id="15"/>
    <w:bookmarkEnd w:id="16"/>
    <w:p w14:paraId="00C7A21A" w14:textId="77777777" w:rsidR="000A452C" w:rsidRPr="001C6314" w:rsidRDefault="000A452C" w:rsidP="000A452C">
      <w:pPr>
        <w:pStyle w:val="H23G"/>
      </w:pPr>
      <w:r w:rsidRPr="001C6314">
        <w:tab/>
      </w:r>
      <w:r w:rsidRPr="001C6314">
        <w:tab/>
      </w:r>
      <w:bookmarkStart w:id="17" w:name="_Hlk190073738"/>
      <w:r w:rsidRPr="001C6314">
        <w:t>Marriage and family relations</w:t>
      </w:r>
    </w:p>
    <w:p w14:paraId="05A26D88" w14:textId="77777777" w:rsidR="000A452C" w:rsidRPr="001C6314" w:rsidRDefault="000A452C" w:rsidP="000A452C">
      <w:pPr>
        <w:pStyle w:val="SingleTxtG"/>
      </w:pPr>
      <w:r w:rsidRPr="001C6314">
        <w:t>52.</w:t>
      </w:r>
      <w:r w:rsidRPr="001C6314">
        <w:tab/>
        <w:t>The Committee is concerned that:</w:t>
      </w:r>
    </w:p>
    <w:p w14:paraId="4350A2B8" w14:textId="77777777" w:rsidR="000A452C" w:rsidRPr="001C6314" w:rsidRDefault="000A452C" w:rsidP="000A452C">
      <w:pPr>
        <w:pStyle w:val="SingleTxtG"/>
      </w:pPr>
      <w:r w:rsidRPr="001C6314">
        <w:tab/>
        <w:t>(a)</w:t>
      </w:r>
      <w:r w:rsidRPr="001C6314">
        <w:tab/>
        <w:t xml:space="preserve">The distinction between "legitimate children" and "natural children" still remains in the State party, implying an inequality before the law and in society; </w:t>
      </w:r>
    </w:p>
    <w:p w14:paraId="077F478B" w14:textId="77777777" w:rsidR="000A452C" w:rsidRPr="001C6314" w:rsidRDefault="000A452C" w:rsidP="000A452C">
      <w:pPr>
        <w:pStyle w:val="SingleTxtG"/>
      </w:pPr>
      <w:r w:rsidRPr="001C6314">
        <w:tab/>
        <w:t>(b)</w:t>
      </w:r>
      <w:r w:rsidRPr="001C6314">
        <w:tab/>
        <w:t xml:space="preserve">There is no automatic parenthood recognition for same-sex couples, so, the non-biological parent may still need to go through an adoption process; </w:t>
      </w:r>
    </w:p>
    <w:p w14:paraId="38E859CB" w14:textId="77777777" w:rsidR="000A452C" w:rsidRPr="001C6314" w:rsidRDefault="000A452C" w:rsidP="000A452C">
      <w:pPr>
        <w:pStyle w:val="SingleTxtG"/>
      </w:pPr>
      <w:r w:rsidRPr="001C6314">
        <w:tab/>
        <w:t>(c)</w:t>
      </w:r>
      <w:r w:rsidRPr="001C6314">
        <w:tab/>
        <w:t>In cases where the placement of children in a foster care institution or family is decided by court, the law allows the judge to decide on the transfer of parental responsibility without respecting the right to appeal, to the assistance of a lawyer, and to have the child heard</w:t>
      </w:r>
      <w:r>
        <w:t>;</w:t>
      </w:r>
    </w:p>
    <w:p w14:paraId="44C9805C" w14:textId="77777777" w:rsidR="000A452C" w:rsidRPr="001C6314" w:rsidRDefault="000A452C" w:rsidP="000A452C">
      <w:pPr>
        <w:pStyle w:val="SingleTxtG"/>
      </w:pPr>
      <w:r w:rsidRPr="001C6314">
        <w:tab/>
        <w:t>(d)</w:t>
      </w:r>
      <w:r w:rsidRPr="001C6314">
        <w:tab/>
        <w:t xml:space="preserve">the practice of surrogacy is not clearly regulated, leading to uncertainty and a lack of protection for those who are involved, particularly for mothers, the surrogate mothers and the children that are born from surrogacy. </w:t>
      </w:r>
    </w:p>
    <w:p w14:paraId="014E2B6F" w14:textId="77777777" w:rsidR="000A452C" w:rsidRPr="001C6314" w:rsidRDefault="000A452C" w:rsidP="000A452C">
      <w:pPr>
        <w:pStyle w:val="SingleTxtG"/>
        <w:rPr>
          <w:b/>
          <w:bCs/>
        </w:rPr>
      </w:pPr>
      <w:r w:rsidRPr="001C6314">
        <w:t>53.</w:t>
      </w:r>
      <w:r w:rsidRPr="001C6314">
        <w:tab/>
      </w:r>
      <w:r w:rsidRPr="001C6314">
        <w:rPr>
          <w:b/>
          <w:bCs/>
        </w:rPr>
        <w:t>The Committee urges the State party to:</w:t>
      </w:r>
    </w:p>
    <w:p w14:paraId="2EE4E4EB" w14:textId="77777777" w:rsidR="000A452C" w:rsidRPr="001C6314" w:rsidRDefault="000A452C" w:rsidP="000A452C">
      <w:pPr>
        <w:pStyle w:val="SingleTxtG"/>
        <w:rPr>
          <w:b/>
          <w:bCs/>
        </w:rPr>
      </w:pPr>
      <w:r w:rsidRPr="001C6314">
        <w:tab/>
        <w:t>(a)</w:t>
      </w:r>
      <w:r w:rsidRPr="001C6314">
        <w:tab/>
      </w:r>
      <w:r w:rsidRPr="001C6314">
        <w:rPr>
          <w:b/>
          <w:bCs/>
        </w:rPr>
        <w:t xml:space="preserve">Adopt, without delay, legislation with a view to eliminating any legal or administrative distinction between "legitimate children" and "natural children"; </w:t>
      </w:r>
    </w:p>
    <w:p w14:paraId="1E2EC991" w14:textId="77777777" w:rsidR="000A452C" w:rsidRPr="001C6314" w:rsidRDefault="000A452C" w:rsidP="000A452C">
      <w:pPr>
        <w:pStyle w:val="SingleTxtG"/>
        <w:rPr>
          <w:b/>
          <w:bCs/>
        </w:rPr>
      </w:pPr>
      <w:r w:rsidRPr="001C6314">
        <w:tab/>
        <w:t>(b)</w:t>
      </w:r>
      <w:r w:rsidRPr="001C6314">
        <w:tab/>
      </w:r>
      <w:r w:rsidRPr="001C6314">
        <w:rPr>
          <w:b/>
          <w:bCs/>
        </w:rPr>
        <w:t>Put in place legislative and administrative measures to ensure automatic parenthood recognition for same-sex couples;</w:t>
      </w:r>
    </w:p>
    <w:p w14:paraId="03F77584" w14:textId="77777777" w:rsidR="000A452C" w:rsidRPr="001C6314" w:rsidRDefault="000A452C" w:rsidP="000A452C">
      <w:pPr>
        <w:pStyle w:val="SingleTxtG"/>
      </w:pPr>
      <w:r w:rsidRPr="001C6314">
        <w:tab/>
        <w:t>(c)</w:t>
      </w:r>
      <w:r w:rsidRPr="001C6314">
        <w:tab/>
      </w:r>
      <w:r w:rsidRPr="001C6314">
        <w:rPr>
          <w:b/>
          <w:bCs/>
        </w:rPr>
        <w:t>Undertake studies on the effectiveness of agreements on joint custody and on gender inequalities that may be present in judicial decisions;</w:t>
      </w:r>
    </w:p>
    <w:p w14:paraId="4763FCC4" w14:textId="77777777" w:rsidR="000A452C" w:rsidRPr="001C6314" w:rsidRDefault="000A452C" w:rsidP="000A452C">
      <w:pPr>
        <w:pStyle w:val="SingleTxtG"/>
      </w:pPr>
      <w:r w:rsidRPr="001C6314">
        <w:tab/>
        <w:t>(d)</w:t>
      </w:r>
      <w:r w:rsidRPr="001C6314">
        <w:tab/>
      </w:r>
      <w:r w:rsidRPr="001C6314">
        <w:rPr>
          <w:b/>
          <w:bCs/>
        </w:rPr>
        <w:t xml:space="preserve">Adopt a legislative framework to regulate surrogacy in order to protect women acting as surrogates, mothers using surrogacy and children born from surrogacy from exploitation, coercion, discrimination and trafficking. </w:t>
      </w:r>
      <w:bookmarkEnd w:id="17"/>
    </w:p>
    <w:p w14:paraId="61E4C90D" w14:textId="77777777" w:rsidR="000A452C" w:rsidRPr="001C6314" w:rsidRDefault="000A452C" w:rsidP="000A452C">
      <w:pPr>
        <w:pStyle w:val="H23G"/>
      </w:pPr>
      <w:r w:rsidRPr="001C6314">
        <w:tab/>
      </w:r>
      <w:r w:rsidRPr="001C6314">
        <w:tab/>
        <w:t>Data collection and analysis</w:t>
      </w:r>
    </w:p>
    <w:p w14:paraId="2101D1CA" w14:textId="77777777" w:rsidR="000A452C" w:rsidRPr="001C6314" w:rsidRDefault="000A452C" w:rsidP="000A452C">
      <w:pPr>
        <w:pStyle w:val="SingleTxtG"/>
      </w:pPr>
      <w:r w:rsidRPr="001C6314">
        <w:t>54.</w:t>
      </w:r>
      <w:r w:rsidRPr="001C6314">
        <w:tab/>
        <w:t>The Committee is concerned about the absence of sex-disaggregated data collection in many areas relevant to the implementation of the Convention.</w:t>
      </w:r>
    </w:p>
    <w:p w14:paraId="5DD9F298" w14:textId="77777777" w:rsidR="000A452C" w:rsidRPr="001C6314" w:rsidRDefault="000A452C" w:rsidP="000A452C">
      <w:pPr>
        <w:pStyle w:val="SingleTxtG"/>
      </w:pPr>
      <w:r w:rsidRPr="001C6314">
        <w:t>55.</w:t>
      </w:r>
      <w:r w:rsidRPr="001C6314">
        <w:tab/>
        <w:t>T</w:t>
      </w:r>
      <w:r w:rsidRPr="001C6314">
        <w:rPr>
          <w:b/>
          <w:bCs/>
        </w:rPr>
        <w:t>he Committee recommends that the State party promote and build capacity for the use of the most appropriate technology in collection of statistical data, including on the prevalence of gender-based violence against women, the prevalence of trafficking in women and girls, access to education and the socioeconomic status of women, disaggregated by age, disability, sexual orientation and socioeconomic background and other relevant categories, in order to accurately assess the situation of women and girls and allow the design and implementation of tailored and gender-responsive legislation, policies, programmes and budgets.</w:t>
      </w:r>
      <w:r w:rsidRPr="001C6314">
        <w:t xml:space="preserve"> </w:t>
      </w:r>
    </w:p>
    <w:p w14:paraId="0D3CA49D" w14:textId="77777777" w:rsidR="000A452C" w:rsidRPr="001C6314" w:rsidRDefault="000A452C" w:rsidP="000A452C">
      <w:pPr>
        <w:pStyle w:val="H23G"/>
      </w:pPr>
      <w:r w:rsidRPr="001C6314">
        <w:tab/>
      </w:r>
      <w:r w:rsidRPr="001C6314">
        <w:tab/>
        <w:t xml:space="preserve">Beijing Declaration and Platform for Action </w:t>
      </w:r>
    </w:p>
    <w:p w14:paraId="6A83C405" w14:textId="77777777" w:rsidR="000A452C" w:rsidRPr="001C6314" w:rsidRDefault="000A452C" w:rsidP="000A452C">
      <w:pPr>
        <w:pStyle w:val="SingleTxtG"/>
      </w:pPr>
      <w:r w:rsidRPr="001C6314">
        <w:t>56.</w:t>
      </w:r>
      <w:r w:rsidRPr="001C6314">
        <w:tab/>
      </w:r>
      <w:r w:rsidRPr="001C6314">
        <w:rPr>
          <w:b/>
          <w:bCs/>
        </w:rPr>
        <w:t>The Committee calls upon the State party to use the Beijing Declaration and Platform for Action and to further evaluate the implementation of the Convention in order to achieve substantive equality between women and men.</w:t>
      </w:r>
    </w:p>
    <w:p w14:paraId="5C03DB5E" w14:textId="77777777" w:rsidR="000A452C" w:rsidRPr="001C6314" w:rsidRDefault="000A452C" w:rsidP="000A452C">
      <w:pPr>
        <w:pStyle w:val="H23G"/>
      </w:pPr>
      <w:r w:rsidRPr="001C6314">
        <w:tab/>
      </w:r>
      <w:r w:rsidRPr="001C6314">
        <w:tab/>
        <w:t>Dissemination</w:t>
      </w:r>
    </w:p>
    <w:p w14:paraId="1B03800A" w14:textId="77777777" w:rsidR="000A452C" w:rsidRPr="001C6314" w:rsidRDefault="000A452C" w:rsidP="000A452C">
      <w:pPr>
        <w:pStyle w:val="SingleTxtG"/>
      </w:pPr>
      <w:r w:rsidRPr="001C6314">
        <w:t>57.</w:t>
      </w:r>
      <w:r w:rsidRPr="001C6314">
        <w:tab/>
      </w:r>
      <w:r w:rsidRPr="001C6314">
        <w:rPr>
          <w:b/>
          <w:bCs/>
        </w:rPr>
        <w:t>The Committee requests the State party to ensure the timely dissemination of the present concluding observations, in the official languages of the State party, to the relevant State institutions at all levels (national, regional and municipal), in particular to the Government, the parliament and the judiciary, to enable their full implementation.</w:t>
      </w:r>
    </w:p>
    <w:p w14:paraId="7053BFC5" w14:textId="77777777" w:rsidR="000A452C" w:rsidRPr="001C6314" w:rsidRDefault="000A452C" w:rsidP="000A452C">
      <w:pPr>
        <w:pStyle w:val="H23G"/>
      </w:pPr>
      <w:r w:rsidRPr="001C6314">
        <w:tab/>
      </w:r>
      <w:r w:rsidRPr="001C6314">
        <w:tab/>
        <w:t>Ratification of other treaties</w:t>
      </w:r>
    </w:p>
    <w:p w14:paraId="57F0D4FD" w14:textId="77777777" w:rsidR="000A452C" w:rsidRPr="001C6314" w:rsidRDefault="000A452C" w:rsidP="000A452C">
      <w:pPr>
        <w:pStyle w:val="SingleTxtG"/>
      </w:pPr>
      <w:r w:rsidRPr="001C6314">
        <w:t>58.</w:t>
      </w:r>
      <w:r w:rsidRPr="001C6314">
        <w:tab/>
      </w:r>
      <w:r w:rsidRPr="001C6314">
        <w:rPr>
          <w:b/>
          <w:bCs/>
          <w:spacing w:val="2"/>
        </w:rPr>
        <w:t>The Committee notes that the adherence of the State party to the nine major international human rights instruments</w:t>
      </w:r>
      <w:r w:rsidRPr="001C6314">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4D27C174" w14:textId="77777777" w:rsidR="000A452C" w:rsidRPr="001C6314" w:rsidRDefault="000A452C" w:rsidP="000A452C">
      <w:pPr>
        <w:pStyle w:val="H23G"/>
      </w:pPr>
      <w:r w:rsidRPr="001C6314">
        <w:tab/>
      </w:r>
      <w:r w:rsidRPr="001C6314">
        <w:tab/>
        <w:t>Follow-up to concluding observations</w:t>
      </w:r>
    </w:p>
    <w:p w14:paraId="09356D4A" w14:textId="329037F3" w:rsidR="000A452C" w:rsidRPr="001C6314" w:rsidRDefault="000A452C" w:rsidP="000A452C">
      <w:pPr>
        <w:pStyle w:val="SingleTxtG"/>
      </w:pPr>
      <w:r w:rsidRPr="001C6314">
        <w:t>59.</w:t>
      </w:r>
      <w:r w:rsidRPr="001C6314">
        <w:tab/>
      </w:r>
      <w:r w:rsidRPr="001C6314">
        <w:rPr>
          <w:b/>
          <w:bCs/>
        </w:rPr>
        <w:t xml:space="preserve">The Committee requests the State party to provide, within two years, written information on the steps taken to implement the recommendations contained in paragraphs </w:t>
      </w:r>
      <w:r w:rsidR="00D54802">
        <w:rPr>
          <w:b/>
          <w:bCs/>
        </w:rPr>
        <w:t>19(c)</w:t>
      </w:r>
      <w:r w:rsidRPr="001C6314">
        <w:rPr>
          <w:b/>
          <w:bCs/>
        </w:rPr>
        <w:t xml:space="preserve">, </w:t>
      </w:r>
      <w:r w:rsidR="00D54802">
        <w:rPr>
          <w:b/>
          <w:bCs/>
        </w:rPr>
        <w:t>21(b)</w:t>
      </w:r>
      <w:r w:rsidRPr="001C6314">
        <w:rPr>
          <w:b/>
          <w:bCs/>
        </w:rPr>
        <w:t xml:space="preserve">, </w:t>
      </w:r>
      <w:r w:rsidR="00D54802">
        <w:rPr>
          <w:b/>
          <w:bCs/>
        </w:rPr>
        <w:t>31(c)</w:t>
      </w:r>
      <w:r w:rsidRPr="001C6314">
        <w:rPr>
          <w:b/>
          <w:bCs/>
        </w:rPr>
        <w:t xml:space="preserve"> and </w:t>
      </w:r>
      <w:r w:rsidR="00D54802">
        <w:rPr>
          <w:b/>
          <w:bCs/>
        </w:rPr>
        <w:t>41(e)</w:t>
      </w:r>
      <w:r w:rsidRPr="001C6314">
        <w:rPr>
          <w:b/>
          <w:bCs/>
        </w:rPr>
        <w:t xml:space="preserve"> above.</w:t>
      </w:r>
    </w:p>
    <w:p w14:paraId="61AE63CE" w14:textId="77777777" w:rsidR="000A452C" w:rsidRPr="001C6314" w:rsidRDefault="000A452C" w:rsidP="000A452C">
      <w:pPr>
        <w:pStyle w:val="H23G"/>
      </w:pPr>
      <w:r w:rsidRPr="001C6314">
        <w:tab/>
      </w:r>
      <w:r w:rsidRPr="001C6314">
        <w:tab/>
        <w:t>Preparation of the next report</w:t>
      </w:r>
    </w:p>
    <w:p w14:paraId="7A37D151" w14:textId="5CDAEEA1" w:rsidR="000A452C" w:rsidRPr="001C6314" w:rsidRDefault="000A452C" w:rsidP="000A452C">
      <w:pPr>
        <w:pStyle w:val="SingleTxtG"/>
      </w:pPr>
      <w:r w:rsidRPr="001C6314">
        <w:t>60.</w:t>
      </w:r>
      <w:r w:rsidRPr="001C6314">
        <w:tab/>
      </w:r>
      <w:r w:rsidRPr="001C6314">
        <w:rPr>
          <w:b/>
          <w:bCs/>
        </w:rPr>
        <w:t xml:space="preserve">The Committee will establish and communicate the due date of the </w:t>
      </w:r>
      <w:r w:rsidR="004C3016">
        <w:rPr>
          <w:b/>
          <w:bCs/>
        </w:rPr>
        <w:t>ninth</w:t>
      </w:r>
      <w:r w:rsidRPr="001C6314">
        <w:rPr>
          <w:b/>
          <w:bCs/>
        </w:rPr>
        <w:t xml:space="preserve"> periodic report of the State party in line with a future </w:t>
      </w:r>
      <w:r w:rsidR="009A7AD2" w:rsidRPr="009A7AD2">
        <w:rPr>
          <w:b/>
          <w:bCs/>
        </w:rPr>
        <w:t>clear and regularized schedule for reporting by States parties (see A/RES/79/165, para. 6) and following the adoption of a list of issues and questions prior to reporting, if applicable, for the State party. The next periodic report should cover the entire period up to the time of its submission.</w:t>
      </w:r>
    </w:p>
    <w:p w14:paraId="621FE924" w14:textId="5601842F" w:rsidR="00094183" w:rsidRPr="00D41873" w:rsidRDefault="000A452C" w:rsidP="00E55D25">
      <w:pPr>
        <w:pStyle w:val="SingleTxtG"/>
      </w:pPr>
      <w:r w:rsidRPr="001C6314">
        <w:t>61.</w:t>
      </w:r>
      <w:r w:rsidRPr="001C6314">
        <w:tab/>
      </w:r>
      <w:r w:rsidRPr="001C6314">
        <w:rPr>
          <w:b/>
          <w:bCs/>
        </w:rPr>
        <w:t xml:space="preserve">The Committee requests the State party to follow the harmonized guidelines on reporting under the international human rights treaties, including guidelines on a common core document and treaty-specific documents (see </w:t>
      </w:r>
      <w:hyperlink r:id="rId20" w:history="1">
        <w:r w:rsidRPr="001C6314">
          <w:rPr>
            <w:rStyle w:val="Hyperlink"/>
            <w:b/>
            <w:bCs/>
          </w:rPr>
          <w:t>HRI/GEN/2/Rev.6</w:t>
        </w:r>
      </w:hyperlink>
      <w:r w:rsidRPr="001C6314">
        <w:rPr>
          <w:b/>
          <w:bCs/>
        </w:rPr>
        <w:t>, chap. I).</w:t>
      </w:r>
    </w:p>
    <w:p w14:paraId="67F05FF1" w14:textId="2F411CCE" w:rsidR="00181F52" w:rsidRPr="00D97B9C" w:rsidRDefault="00094183" w:rsidP="00094183">
      <w:pPr>
        <w:pStyle w:val="SingleTxtG"/>
        <w:jc w:val="center"/>
      </w:pPr>
      <w:r>
        <w:rPr>
          <w:u w:val="single"/>
        </w:rPr>
        <w:tab/>
      </w:r>
      <w:r>
        <w:rPr>
          <w:u w:val="single"/>
        </w:rPr>
        <w:tab/>
      </w:r>
      <w:r>
        <w:rPr>
          <w:u w:val="single"/>
        </w:rPr>
        <w:tab/>
      </w:r>
    </w:p>
    <w:sectPr w:rsidR="00181F52" w:rsidRPr="00D97B9C">
      <w:headerReference w:type="even" r:id="rId21"/>
      <w:headerReference w:type="default" r:id="rId22"/>
      <w:footerReference w:type="even" r:id="rId23"/>
      <w:footerReference w:type="defaul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CFDE1" w14:textId="77777777" w:rsidR="00AD1B43" w:rsidRPr="00A24359" w:rsidRDefault="00AD1B43">
      <w:pPr>
        <w:spacing w:line="240" w:lineRule="auto"/>
      </w:pPr>
    </w:p>
  </w:endnote>
  <w:endnote w:type="continuationSeparator" w:id="0">
    <w:p w14:paraId="29AAE5BA" w14:textId="77777777" w:rsidR="00AD1B43" w:rsidRPr="00A24359" w:rsidRDefault="00AD1B43">
      <w:pPr>
        <w:pStyle w:val="Footer"/>
      </w:pPr>
    </w:p>
  </w:endnote>
  <w:endnote w:type="continuationNotice" w:id="1">
    <w:p w14:paraId="3FC52507" w14:textId="77777777" w:rsidR="00AD1B43" w:rsidRPr="00A24359" w:rsidRDefault="00AD1B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D" w14:textId="58EA96E6" w:rsidR="008C69AC" w:rsidRPr="00A24359" w:rsidRDefault="00714011" w:rsidP="00123EE2">
    <w:pPr>
      <w:pStyle w:val="Footer"/>
      <w:tabs>
        <w:tab w:val="right" w:pos="9639"/>
      </w:tabs>
    </w:pPr>
    <w:r>
      <w:rPr>
        <w:b/>
        <w:noProof/>
        <w:sz w:val="18"/>
      </w:rPr>
      <mc:AlternateContent>
        <mc:Choice Requires="wps">
          <w:drawing>
            <wp:anchor distT="0" distB="0" distL="0" distR="0" simplePos="0" relativeHeight="251660288" behindDoc="0" locked="0" layoutInCell="1" allowOverlap="1" wp14:anchorId="3AABE486" wp14:editId="4EA4B312">
              <wp:simplePos x="635" y="635"/>
              <wp:positionH relativeFrom="page">
                <wp:align>left</wp:align>
              </wp:positionH>
              <wp:positionV relativeFrom="page">
                <wp:align>bottom</wp:align>
              </wp:positionV>
              <wp:extent cx="443865" cy="443865"/>
              <wp:effectExtent l="0" t="0" r="8890" b="0"/>
              <wp:wrapNone/>
              <wp:docPr id="5" name="Cuadro de texto 5"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DE89D5" w14:textId="0CACD924" w:rsidR="00714011" w:rsidRPr="00714011" w:rsidRDefault="00714011" w:rsidP="00714011">
                          <w:pPr>
                            <w:rPr>
                              <w:rFonts w:ascii="Calibri" w:eastAsia="Calibri" w:hAnsi="Calibri" w:cs="Calibri"/>
                              <w:noProof/>
                              <w:color w:val="00000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AABE486" id="_x0000_t202" coordsize="21600,21600" o:spt="202" path="m,l,21600r21600,l21600,xe">
              <v:stroke joinstyle="miter"/>
              <v:path gradientshapeok="t" o:connecttype="rect"/>
            </v:shapetype>
            <v:shape id="Cuadro de texto 5" o:spid="_x0000_s1026" type="#_x0000_t202" alt="Sólo uso interno"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03DE89D5" w14:textId="0CACD924" w:rsidR="00714011" w:rsidRPr="00714011" w:rsidRDefault="00714011" w:rsidP="00714011">
                    <w:pPr>
                      <w:rPr>
                        <w:rFonts w:ascii="Calibri" w:eastAsia="Calibri" w:hAnsi="Calibri" w:cs="Calibri"/>
                        <w:noProof/>
                        <w:color w:val="000000"/>
                      </w:rPr>
                    </w:pPr>
                  </w:p>
                </w:txbxContent>
              </v:textbox>
              <w10:wrap anchorx="page" anchory="page"/>
            </v:shape>
          </w:pict>
        </mc:Fallback>
      </mc:AlternateContent>
    </w:r>
    <w:r w:rsidR="00C03E83" w:rsidRPr="00A24359">
      <w:rPr>
        <w:b/>
        <w:sz w:val="18"/>
      </w:rPr>
      <w:fldChar w:fldCharType="begin"/>
    </w:r>
    <w:r w:rsidR="00C03E83" w:rsidRPr="00A24359">
      <w:rPr>
        <w:b/>
        <w:sz w:val="18"/>
      </w:rPr>
      <w:instrText xml:space="preserve"> PAGE  \* MERGEFORMAT </w:instrText>
    </w:r>
    <w:r w:rsidR="00C03E83" w:rsidRPr="00A24359">
      <w:rPr>
        <w:b/>
        <w:sz w:val="18"/>
      </w:rPr>
      <w:fldChar w:fldCharType="separate"/>
    </w:r>
    <w:r w:rsidR="002857C2" w:rsidRPr="00923520">
      <w:rPr>
        <w:b/>
        <w:sz w:val="18"/>
      </w:rPr>
      <w:t>2</w:t>
    </w:r>
    <w:r w:rsidR="00C03E83" w:rsidRPr="00A24359">
      <w:rPr>
        <w:b/>
        <w:sz w:val="18"/>
      </w:rPr>
      <w:fldChar w:fldCharType="end"/>
    </w:r>
    <w:r w:rsidR="00C03E83" w:rsidRPr="00A24359">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E" w14:textId="2537086F" w:rsidR="008C69AC" w:rsidRPr="00A24359" w:rsidRDefault="00714011" w:rsidP="00123EE2">
    <w:pPr>
      <w:pStyle w:val="Footer"/>
      <w:tabs>
        <w:tab w:val="right" w:pos="9639"/>
      </w:tabs>
      <w:rPr>
        <w:sz w:val="20"/>
      </w:rPr>
    </w:pPr>
    <w:r>
      <w:rPr>
        <w:noProof/>
      </w:rPr>
      <mc:AlternateContent>
        <mc:Choice Requires="wps">
          <w:drawing>
            <wp:anchor distT="0" distB="0" distL="0" distR="0" simplePos="0" relativeHeight="251661312" behindDoc="0" locked="0" layoutInCell="1" allowOverlap="1" wp14:anchorId="4B4B5D7F" wp14:editId="6B2A5469">
              <wp:simplePos x="635" y="635"/>
              <wp:positionH relativeFrom="page">
                <wp:align>left</wp:align>
              </wp:positionH>
              <wp:positionV relativeFrom="page">
                <wp:align>bottom</wp:align>
              </wp:positionV>
              <wp:extent cx="443865" cy="443865"/>
              <wp:effectExtent l="0" t="0" r="8890" b="0"/>
              <wp:wrapNone/>
              <wp:docPr id="6" name="Cuadro de texto 6"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FD1E61" w14:textId="671889B5" w:rsidR="00714011" w:rsidRPr="00714011" w:rsidRDefault="00714011" w:rsidP="00714011">
                          <w:pPr>
                            <w:rPr>
                              <w:rFonts w:ascii="Calibri" w:eastAsia="Calibri" w:hAnsi="Calibri" w:cs="Calibri"/>
                              <w:noProof/>
                              <w:color w:val="00000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B4B5D7F" id="_x0000_t202" coordsize="21600,21600" o:spt="202" path="m,l,21600r21600,l21600,xe">
              <v:stroke joinstyle="miter"/>
              <v:path gradientshapeok="t" o:connecttype="rect"/>
            </v:shapetype>
            <v:shape id="Cuadro de texto 6" o:spid="_x0000_s1027" type="#_x0000_t202" alt="Sólo uso interno"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5FD1E61" w14:textId="671889B5" w:rsidR="00714011" w:rsidRPr="00714011" w:rsidRDefault="00714011" w:rsidP="00714011">
                    <w:pPr>
                      <w:rPr>
                        <w:rFonts w:ascii="Calibri" w:eastAsia="Calibri" w:hAnsi="Calibri" w:cs="Calibri"/>
                        <w:noProof/>
                        <w:color w:val="000000"/>
                      </w:rPr>
                    </w:pPr>
                  </w:p>
                </w:txbxContent>
              </v:textbox>
              <w10:wrap anchorx="page" anchory="page"/>
            </v:shape>
          </w:pict>
        </mc:Fallback>
      </mc:AlternateContent>
    </w:r>
    <w:r w:rsidR="002525FA" w:rsidRPr="00A24359">
      <w:tab/>
    </w:r>
    <w:r w:rsidR="002525FA" w:rsidRPr="00A24359">
      <w:rPr>
        <w:b/>
        <w:sz w:val="18"/>
      </w:rPr>
      <w:fldChar w:fldCharType="begin"/>
    </w:r>
    <w:r w:rsidR="002525FA" w:rsidRPr="00A24359">
      <w:rPr>
        <w:b/>
        <w:sz w:val="18"/>
      </w:rPr>
      <w:instrText xml:space="preserve"> PAGE  \* MERGEFORMAT </w:instrText>
    </w:r>
    <w:r w:rsidR="002525FA" w:rsidRPr="00A24359">
      <w:rPr>
        <w:b/>
        <w:sz w:val="18"/>
      </w:rPr>
      <w:fldChar w:fldCharType="separate"/>
    </w:r>
    <w:r w:rsidR="002525FA" w:rsidRPr="00923520">
      <w:rPr>
        <w:b/>
        <w:sz w:val="18"/>
      </w:rPr>
      <w:t>3</w:t>
    </w:r>
    <w:r w:rsidR="002525FA" w:rsidRPr="00A24359">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53373" w14:textId="77777777" w:rsidR="00AD1B43" w:rsidRPr="00A24359" w:rsidRDefault="00AD1B43">
      <w:pPr>
        <w:pStyle w:val="Footer"/>
        <w:tabs>
          <w:tab w:val="right" w:pos="2155"/>
        </w:tabs>
        <w:spacing w:after="80" w:line="240" w:lineRule="atLeast"/>
        <w:ind w:left="680"/>
        <w:rPr>
          <w:u w:val="single"/>
        </w:rPr>
      </w:pPr>
      <w:r w:rsidRPr="00A24359">
        <w:rPr>
          <w:u w:val="single"/>
        </w:rPr>
        <w:tab/>
      </w:r>
    </w:p>
  </w:footnote>
  <w:footnote w:type="continuationSeparator" w:id="0">
    <w:p w14:paraId="59A9F93D" w14:textId="77777777" w:rsidR="00AD1B43" w:rsidRPr="00A24359" w:rsidRDefault="00AD1B43">
      <w:pPr>
        <w:pStyle w:val="Footer"/>
        <w:tabs>
          <w:tab w:val="right" w:pos="2155"/>
        </w:tabs>
        <w:spacing w:after="80" w:line="240" w:lineRule="atLeast"/>
        <w:ind w:left="680"/>
        <w:rPr>
          <w:u w:val="single"/>
        </w:rPr>
      </w:pPr>
      <w:r w:rsidRPr="00A24359">
        <w:rPr>
          <w:u w:val="single"/>
        </w:rPr>
        <w:tab/>
      </w:r>
    </w:p>
  </w:footnote>
  <w:footnote w:type="continuationNotice" w:id="1">
    <w:p w14:paraId="61FBC22B" w14:textId="77777777" w:rsidR="00AD1B43" w:rsidRPr="00A24359" w:rsidRDefault="00AD1B43">
      <w:pPr>
        <w:spacing w:line="240" w:lineRule="auto"/>
        <w:rPr>
          <w:sz w:val="2"/>
          <w:szCs w:val="2"/>
        </w:rPr>
      </w:pPr>
    </w:p>
  </w:footnote>
  <w:footnote w:id="2">
    <w:p w14:paraId="341722A3" w14:textId="1DA4EE4A" w:rsidR="00E82DC8" w:rsidRPr="00AA2178" w:rsidRDefault="00E82DC8">
      <w:pPr>
        <w:pStyle w:val="FootnoteText"/>
        <w:rPr>
          <w:lang w:val="en-US"/>
        </w:rPr>
      </w:pPr>
      <w:r>
        <w:rPr>
          <w:rStyle w:val="FootnoteReference"/>
        </w:rPr>
        <w:tab/>
      </w:r>
      <w:r w:rsidRPr="00AA2178">
        <w:rPr>
          <w:rStyle w:val="FootnoteReference"/>
          <w:sz w:val="20"/>
          <w:vertAlign w:val="baseline"/>
        </w:rPr>
        <w:t>*</w:t>
      </w:r>
      <w:r>
        <w:rPr>
          <w:rStyle w:val="FootnoteReference"/>
          <w:sz w:val="20"/>
          <w:vertAlign w:val="baseline"/>
        </w:rPr>
        <w:tab/>
      </w:r>
      <w:r w:rsidR="000F034C" w:rsidRPr="00AA2178">
        <w:rPr>
          <w:rStyle w:val="FootnoteReference"/>
          <w:szCs w:val="18"/>
          <w:vertAlign w:val="baseline"/>
        </w:rPr>
        <w:t>Adopted by the Committee at its ninetieth session (3 - 21 February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B" w14:textId="1338D5EB" w:rsidR="008C69AC" w:rsidRPr="00A24359" w:rsidRDefault="002525FA">
    <w:pPr>
      <w:pStyle w:val="Header"/>
    </w:pPr>
    <w:r w:rsidRPr="00A24359">
      <w:t>CEDAW/C/LUX/CO/8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C" w14:textId="06735FDB" w:rsidR="008C69AC" w:rsidRPr="00A24359" w:rsidRDefault="002525FA">
    <w:pPr>
      <w:pStyle w:val="Header"/>
      <w:jc w:val="right"/>
    </w:pPr>
    <w:r w:rsidRPr="00A24359">
      <w:t>CEDAW/C/LUX/CO/8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A3CE20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0002C6" w:tentative="1">
      <w:start w:val="1"/>
      <w:numFmt w:val="lowerLetter"/>
      <w:lvlText w:val="%2."/>
      <w:lvlJc w:val="left"/>
      <w:pPr>
        <w:tabs>
          <w:tab w:val="num" w:pos="1440"/>
        </w:tabs>
        <w:ind w:left="1440" w:hanging="360"/>
      </w:pPr>
    </w:lvl>
    <w:lvl w:ilvl="2" w:tplc="DEAE777C" w:tentative="1">
      <w:start w:val="1"/>
      <w:numFmt w:val="lowerRoman"/>
      <w:lvlText w:val="%3."/>
      <w:lvlJc w:val="right"/>
      <w:pPr>
        <w:tabs>
          <w:tab w:val="num" w:pos="2160"/>
        </w:tabs>
        <w:ind w:left="2160" w:hanging="180"/>
      </w:pPr>
    </w:lvl>
    <w:lvl w:ilvl="3" w:tplc="62DCFF94" w:tentative="1">
      <w:start w:val="1"/>
      <w:numFmt w:val="decimal"/>
      <w:lvlText w:val="%4."/>
      <w:lvlJc w:val="left"/>
      <w:pPr>
        <w:tabs>
          <w:tab w:val="num" w:pos="2880"/>
        </w:tabs>
        <w:ind w:left="2880" w:hanging="360"/>
      </w:pPr>
    </w:lvl>
    <w:lvl w:ilvl="4" w:tplc="7826B0C2" w:tentative="1">
      <w:start w:val="1"/>
      <w:numFmt w:val="lowerLetter"/>
      <w:lvlText w:val="%5."/>
      <w:lvlJc w:val="left"/>
      <w:pPr>
        <w:tabs>
          <w:tab w:val="num" w:pos="3600"/>
        </w:tabs>
        <w:ind w:left="3600" w:hanging="360"/>
      </w:pPr>
    </w:lvl>
    <w:lvl w:ilvl="5" w:tplc="7868C5F0" w:tentative="1">
      <w:start w:val="1"/>
      <w:numFmt w:val="lowerRoman"/>
      <w:lvlText w:val="%6."/>
      <w:lvlJc w:val="right"/>
      <w:pPr>
        <w:tabs>
          <w:tab w:val="num" w:pos="4320"/>
        </w:tabs>
        <w:ind w:left="4320" w:hanging="180"/>
      </w:pPr>
    </w:lvl>
    <w:lvl w:ilvl="6" w:tplc="29B69926" w:tentative="1">
      <w:start w:val="1"/>
      <w:numFmt w:val="decimal"/>
      <w:lvlText w:val="%7."/>
      <w:lvlJc w:val="left"/>
      <w:pPr>
        <w:tabs>
          <w:tab w:val="num" w:pos="5040"/>
        </w:tabs>
        <w:ind w:left="5040" w:hanging="360"/>
      </w:pPr>
    </w:lvl>
    <w:lvl w:ilvl="7" w:tplc="CCFEE1C6" w:tentative="1">
      <w:start w:val="1"/>
      <w:numFmt w:val="lowerLetter"/>
      <w:lvlText w:val="%8."/>
      <w:lvlJc w:val="left"/>
      <w:pPr>
        <w:tabs>
          <w:tab w:val="num" w:pos="5760"/>
        </w:tabs>
        <w:ind w:left="5760" w:hanging="360"/>
      </w:pPr>
    </w:lvl>
    <w:lvl w:ilvl="8" w:tplc="0DCEE61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FDE34DA">
      <w:start w:val="1"/>
      <w:numFmt w:val="bullet"/>
      <w:pStyle w:val="Bullet2G"/>
      <w:lvlText w:val="•"/>
      <w:lvlJc w:val="left"/>
      <w:pPr>
        <w:tabs>
          <w:tab w:val="num" w:pos="2268"/>
        </w:tabs>
        <w:ind w:left="2268" w:hanging="170"/>
      </w:pPr>
      <w:rPr>
        <w:rFonts w:ascii="Times New Roman" w:hAnsi="Times New Roman" w:cs="Times New Roman" w:hint="default"/>
      </w:rPr>
    </w:lvl>
    <w:lvl w:ilvl="1" w:tplc="014E8032" w:tentative="1">
      <w:start w:val="1"/>
      <w:numFmt w:val="bullet"/>
      <w:lvlText w:val="o"/>
      <w:lvlJc w:val="left"/>
      <w:pPr>
        <w:tabs>
          <w:tab w:val="num" w:pos="3708"/>
        </w:tabs>
        <w:ind w:left="3708" w:hanging="360"/>
      </w:pPr>
      <w:rPr>
        <w:rFonts w:ascii="Courier New" w:hAnsi="Courier New" w:hint="default"/>
      </w:rPr>
    </w:lvl>
    <w:lvl w:ilvl="2" w:tplc="85DA6DB4" w:tentative="1">
      <w:start w:val="1"/>
      <w:numFmt w:val="bullet"/>
      <w:lvlText w:val=""/>
      <w:lvlJc w:val="left"/>
      <w:pPr>
        <w:tabs>
          <w:tab w:val="num" w:pos="4428"/>
        </w:tabs>
        <w:ind w:left="4428" w:hanging="360"/>
      </w:pPr>
      <w:rPr>
        <w:rFonts w:ascii="Wingdings" w:hAnsi="Wingdings" w:hint="default"/>
      </w:rPr>
    </w:lvl>
    <w:lvl w:ilvl="3" w:tplc="23C4833E" w:tentative="1">
      <w:start w:val="1"/>
      <w:numFmt w:val="bullet"/>
      <w:lvlText w:val=""/>
      <w:lvlJc w:val="left"/>
      <w:pPr>
        <w:tabs>
          <w:tab w:val="num" w:pos="5148"/>
        </w:tabs>
        <w:ind w:left="5148" w:hanging="360"/>
      </w:pPr>
      <w:rPr>
        <w:rFonts w:ascii="Symbol" w:hAnsi="Symbol" w:hint="default"/>
      </w:rPr>
    </w:lvl>
    <w:lvl w:ilvl="4" w:tplc="7D2C5DC8" w:tentative="1">
      <w:start w:val="1"/>
      <w:numFmt w:val="bullet"/>
      <w:lvlText w:val="o"/>
      <w:lvlJc w:val="left"/>
      <w:pPr>
        <w:tabs>
          <w:tab w:val="num" w:pos="5868"/>
        </w:tabs>
        <w:ind w:left="5868" w:hanging="360"/>
      </w:pPr>
      <w:rPr>
        <w:rFonts w:ascii="Courier New" w:hAnsi="Courier New" w:hint="default"/>
      </w:rPr>
    </w:lvl>
    <w:lvl w:ilvl="5" w:tplc="31B2DC3C" w:tentative="1">
      <w:start w:val="1"/>
      <w:numFmt w:val="bullet"/>
      <w:lvlText w:val=""/>
      <w:lvlJc w:val="left"/>
      <w:pPr>
        <w:tabs>
          <w:tab w:val="num" w:pos="6588"/>
        </w:tabs>
        <w:ind w:left="6588" w:hanging="360"/>
      </w:pPr>
      <w:rPr>
        <w:rFonts w:ascii="Wingdings" w:hAnsi="Wingdings" w:hint="default"/>
      </w:rPr>
    </w:lvl>
    <w:lvl w:ilvl="6" w:tplc="638089C2" w:tentative="1">
      <w:start w:val="1"/>
      <w:numFmt w:val="bullet"/>
      <w:lvlText w:val=""/>
      <w:lvlJc w:val="left"/>
      <w:pPr>
        <w:tabs>
          <w:tab w:val="num" w:pos="7308"/>
        </w:tabs>
        <w:ind w:left="7308" w:hanging="360"/>
      </w:pPr>
      <w:rPr>
        <w:rFonts w:ascii="Symbol" w:hAnsi="Symbol" w:hint="default"/>
      </w:rPr>
    </w:lvl>
    <w:lvl w:ilvl="7" w:tplc="8382AA7C" w:tentative="1">
      <w:start w:val="1"/>
      <w:numFmt w:val="bullet"/>
      <w:lvlText w:val="o"/>
      <w:lvlJc w:val="left"/>
      <w:pPr>
        <w:tabs>
          <w:tab w:val="num" w:pos="8028"/>
        </w:tabs>
        <w:ind w:left="8028" w:hanging="360"/>
      </w:pPr>
      <w:rPr>
        <w:rFonts w:ascii="Courier New" w:hAnsi="Courier New" w:hint="default"/>
      </w:rPr>
    </w:lvl>
    <w:lvl w:ilvl="8" w:tplc="0A3ABA9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45E9390">
      <w:start w:val="1"/>
      <w:numFmt w:val="bullet"/>
      <w:pStyle w:val="Bullet1G"/>
      <w:lvlText w:val="•"/>
      <w:lvlJc w:val="left"/>
      <w:pPr>
        <w:tabs>
          <w:tab w:val="num" w:pos="1701"/>
        </w:tabs>
        <w:ind w:left="1701" w:hanging="170"/>
      </w:pPr>
      <w:rPr>
        <w:rFonts w:ascii="Times New Roman" w:hAnsi="Times New Roman" w:cs="Times New Roman" w:hint="default"/>
      </w:rPr>
    </w:lvl>
    <w:lvl w:ilvl="1" w:tplc="957676FA" w:tentative="1">
      <w:start w:val="1"/>
      <w:numFmt w:val="bullet"/>
      <w:lvlText w:val="o"/>
      <w:lvlJc w:val="left"/>
      <w:pPr>
        <w:tabs>
          <w:tab w:val="num" w:pos="3141"/>
        </w:tabs>
        <w:ind w:left="3141" w:hanging="360"/>
      </w:pPr>
      <w:rPr>
        <w:rFonts w:ascii="Courier New" w:hAnsi="Courier New" w:hint="default"/>
      </w:rPr>
    </w:lvl>
    <w:lvl w:ilvl="2" w:tplc="E8DC0422" w:tentative="1">
      <w:start w:val="1"/>
      <w:numFmt w:val="bullet"/>
      <w:lvlText w:val=""/>
      <w:lvlJc w:val="left"/>
      <w:pPr>
        <w:tabs>
          <w:tab w:val="num" w:pos="3861"/>
        </w:tabs>
        <w:ind w:left="3861" w:hanging="360"/>
      </w:pPr>
      <w:rPr>
        <w:rFonts w:ascii="Wingdings" w:hAnsi="Wingdings" w:hint="default"/>
      </w:rPr>
    </w:lvl>
    <w:lvl w:ilvl="3" w:tplc="C6288662" w:tentative="1">
      <w:start w:val="1"/>
      <w:numFmt w:val="bullet"/>
      <w:lvlText w:val=""/>
      <w:lvlJc w:val="left"/>
      <w:pPr>
        <w:tabs>
          <w:tab w:val="num" w:pos="4581"/>
        </w:tabs>
        <w:ind w:left="4581" w:hanging="360"/>
      </w:pPr>
      <w:rPr>
        <w:rFonts w:ascii="Symbol" w:hAnsi="Symbol" w:hint="default"/>
      </w:rPr>
    </w:lvl>
    <w:lvl w:ilvl="4" w:tplc="CD049796" w:tentative="1">
      <w:start w:val="1"/>
      <w:numFmt w:val="bullet"/>
      <w:lvlText w:val="o"/>
      <w:lvlJc w:val="left"/>
      <w:pPr>
        <w:tabs>
          <w:tab w:val="num" w:pos="5301"/>
        </w:tabs>
        <w:ind w:left="5301" w:hanging="360"/>
      </w:pPr>
      <w:rPr>
        <w:rFonts w:ascii="Courier New" w:hAnsi="Courier New" w:hint="default"/>
      </w:rPr>
    </w:lvl>
    <w:lvl w:ilvl="5" w:tplc="C99A9F8A" w:tentative="1">
      <w:start w:val="1"/>
      <w:numFmt w:val="bullet"/>
      <w:lvlText w:val=""/>
      <w:lvlJc w:val="left"/>
      <w:pPr>
        <w:tabs>
          <w:tab w:val="num" w:pos="6021"/>
        </w:tabs>
        <w:ind w:left="6021" w:hanging="360"/>
      </w:pPr>
      <w:rPr>
        <w:rFonts w:ascii="Wingdings" w:hAnsi="Wingdings" w:hint="default"/>
      </w:rPr>
    </w:lvl>
    <w:lvl w:ilvl="6" w:tplc="0378642C" w:tentative="1">
      <w:start w:val="1"/>
      <w:numFmt w:val="bullet"/>
      <w:lvlText w:val=""/>
      <w:lvlJc w:val="left"/>
      <w:pPr>
        <w:tabs>
          <w:tab w:val="num" w:pos="6741"/>
        </w:tabs>
        <w:ind w:left="6741" w:hanging="360"/>
      </w:pPr>
      <w:rPr>
        <w:rFonts w:ascii="Symbol" w:hAnsi="Symbol" w:hint="default"/>
      </w:rPr>
    </w:lvl>
    <w:lvl w:ilvl="7" w:tplc="8370C39C" w:tentative="1">
      <w:start w:val="1"/>
      <w:numFmt w:val="bullet"/>
      <w:lvlText w:val="o"/>
      <w:lvlJc w:val="left"/>
      <w:pPr>
        <w:tabs>
          <w:tab w:val="num" w:pos="7461"/>
        </w:tabs>
        <w:ind w:left="7461" w:hanging="360"/>
      </w:pPr>
      <w:rPr>
        <w:rFonts w:ascii="Courier New" w:hAnsi="Courier New" w:hint="default"/>
      </w:rPr>
    </w:lvl>
    <w:lvl w:ilvl="8" w:tplc="C778F05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2624917">
    <w:abstractNumId w:val="15"/>
  </w:num>
  <w:num w:numId="2" w16cid:durableId="77993155">
    <w:abstractNumId w:val="11"/>
  </w:num>
  <w:num w:numId="3" w16cid:durableId="492333807">
    <w:abstractNumId w:val="10"/>
  </w:num>
  <w:num w:numId="4" w16cid:durableId="805198201">
    <w:abstractNumId w:val="8"/>
  </w:num>
  <w:num w:numId="5" w16cid:durableId="1231578627">
    <w:abstractNumId w:val="3"/>
  </w:num>
  <w:num w:numId="6" w16cid:durableId="795870907">
    <w:abstractNumId w:val="2"/>
  </w:num>
  <w:num w:numId="7" w16cid:durableId="181556090">
    <w:abstractNumId w:val="1"/>
  </w:num>
  <w:num w:numId="8" w16cid:durableId="1002008890">
    <w:abstractNumId w:val="0"/>
  </w:num>
  <w:num w:numId="9" w16cid:durableId="178853692">
    <w:abstractNumId w:val="9"/>
  </w:num>
  <w:num w:numId="10" w16cid:durableId="1664235154">
    <w:abstractNumId w:val="7"/>
  </w:num>
  <w:num w:numId="11" w16cid:durableId="327172039">
    <w:abstractNumId w:val="6"/>
  </w:num>
  <w:num w:numId="12" w16cid:durableId="1262641005">
    <w:abstractNumId w:val="5"/>
  </w:num>
  <w:num w:numId="13" w16cid:durableId="1828207089">
    <w:abstractNumId w:val="4"/>
  </w:num>
  <w:num w:numId="14" w16cid:durableId="132917169">
    <w:abstractNumId w:val="15"/>
  </w:num>
  <w:num w:numId="15" w16cid:durableId="1554778906">
    <w:abstractNumId w:val="11"/>
  </w:num>
  <w:num w:numId="16" w16cid:durableId="1994017552">
    <w:abstractNumId w:val="10"/>
  </w:num>
  <w:num w:numId="17" w16cid:durableId="1369530307">
    <w:abstractNumId w:val="12"/>
  </w:num>
  <w:num w:numId="18" w16cid:durableId="313873881">
    <w:abstractNumId w:val="14"/>
  </w:num>
  <w:num w:numId="19" w16cid:durableId="956333426">
    <w:abstractNumId w:val="13"/>
  </w:num>
  <w:num w:numId="20" w16cid:durableId="6716449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AC"/>
    <w:rsid w:val="00000F69"/>
    <w:rsid w:val="000060D7"/>
    <w:rsid w:val="00012478"/>
    <w:rsid w:val="0001497F"/>
    <w:rsid w:val="00032B95"/>
    <w:rsid w:val="00043AE5"/>
    <w:rsid w:val="00043EB6"/>
    <w:rsid w:val="000556EF"/>
    <w:rsid w:val="0005577A"/>
    <w:rsid w:val="00061644"/>
    <w:rsid w:val="0006401A"/>
    <w:rsid w:val="000640AA"/>
    <w:rsid w:val="00074FF9"/>
    <w:rsid w:val="00076432"/>
    <w:rsid w:val="00081E15"/>
    <w:rsid w:val="00093A86"/>
    <w:rsid w:val="00094183"/>
    <w:rsid w:val="00095C3F"/>
    <w:rsid w:val="000977A2"/>
    <w:rsid w:val="000A452C"/>
    <w:rsid w:val="000B0D54"/>
    <w:rsid w:val="000B49E5"/>
    <w:rsid w:val="000C0DB9"/>
    <w:rsid w:val="000D116D"/>
    <w:rsid w:val="000E21C8"/>
    <w:rsid w:val="000E2468"/>
    <w:rsid w:val="000E278F"/>
    <w:rsid w:val="000E406C"/>
    <w:rsid w:val="000E64A7"/>
    <w:rsid w:val="000F034C"/>
    <w:rsid w:val="001005ED"/>
    <w:rsid w:val="001015DB"/>
    <w:rsid w:val="00103167"/>
    <w:rsid w:val="00104A94"/>
    <w:rsid w:val="00105DB6"/>
    <w:rsid w:val="00106967"/>
    <w:rsid w:val="001118DD"/>
    <w:rsid w:val="00112BC8"/>
    <w:rsid w:val="00117A52"/>
    <w:rsid w:val="00120805"/>
    <w:rsid w:val="00123EE2"/>
    <w:rsid w:val="00126CE7"/>
    <w:rsid w:val="001306AC"/>
    <w:rsid w:val="001341F5"/>
    <w:rsid w:val="00143650"/>
    <w:rsid w:val="00150D1B"/>
    <w:rsid w:val="00160B7D"/>
    <w:rsid w:val="001611AD"/>
    <w:rsid w:val="00161E9A"/>
    <w:rsid w:val="00167D32"/>
    <w:rsid w:val="0017534B"/>
    <w:rsid w:val="001772F8"/>
    <w:rsid w:val="00180703"/>
    <w:rsid w:val="00181F52"/>
    <w:rsid w:val="00182B14"/>
    <w:rsid w:val="00186A06"/>
    <w:rsid w:val="00191325"/>
    <w:rsid w:val="00194C8B"/>
    <w:rsid w:val="00195535"/>
    <w:rsid w:val="00195DAE"/>
    <w:rsid w:val="001971B8"/>
    <w:rsid w:val="001A11CB"/>
    <w:rsid w:val="001A283D"/>
    <w:rsid w:val="001A2CCF"/>
    <w:rsid w:val="001A3DB6"/>
    <w:rsid w:val="001A3E27"/>
    <w:rsid w:val="001A5DB9"/>
    <w:rsid w:val="001C3536"/>
    <w:rsid w:val="001C5A62"/>
    <w:rsid w:val="001C6314"/>
    <w:rsid w:val="0020217E"/>
    <w:rsid w:val="0020498A"/>
    <w:rsid w:val="002052A5"/>
    <w:rsid w:val="00210370"/>
    <w:rsid w:val="00213BFF"/>
    <w:rsid w:val="00220805"/>
    <w:rsid w:val="002263C2"/>
    <w:rsid w:val="002305CE"/>
    <w:rsid w:val="002408B3"/>
    <w:rsid w:val="00244283"/>
    <w:rsid w:val="002451A1"/>
    <w:rsid w:val="0024599A"/>
    <w:rsid w:val="002525FA"/>
    <w:rsid w:val="002549CE"/>
    <w:rsid w:val="002572E1"/>
    <w:rsid w:val="00257D7C"/>
    <w:rsid w:val="00263202"/>
    <w:rsid w:val="00273712"/>
    <w:rsid w:val="00274517"/>
    <w:rsid w:val="0027637F"/>
    <w:rsid w:val="002857C2"/>
    <w:rsid w:val="002865C7"/>
    <w:rsid w:val="00286FBA"/>
    <w:rsid w:val="00287988"/>
    <w:rsid w:val="00290CF3"/>
    <w:rsid w:val="00294643"/>
    <w:rsid w:val="002B175A"/>
    <w:rsid w:val="002B363E"/>
    <w:rsid w:val="002B3824"/>
    <w:rsid w:val="002B3E2B"/>
    <w:rsid w:val="002B6E5F"/>
    <w:rsid w:val="002C1DE9"/>
    <w:rsid w:val="002C223A"/>
    <w:rsid w:val="002C34DA"/>
    <w:rsid w:val="002C7DEB"/>
    <w:rsid w:val="002D1AB6"/>
    <w:rsid w:val="002D3536"/>
    <w:rsid w:val="002D6BEA"/>
    <w:rsid w:val="002E028F"/>
    <w:rsid w:val="002E5290"/>
    <w:rsid w:val="002F2A86"/>
    <w:rsid w:val="002F4E14"/>
    <w:rsid w:val="002F570A"/>
    <w:rsid w:val="002F6594"/>
    <w:rsid w:val="00303269"/>
    <w:rsid w:val="00305AD4"/>
    <w:rsid w:val="00307964"/>
    <w:rsid w:val="00310502"/>
    <w:rsid w:val="003115F6"/>
    <w:rsid w:val="00316B1A"/>
    <w:rsid w:val="0032179C"/>
    <w:rsid w:val="0032450A"/>
    <w:rsid w:val="003333EF"/>
    <w:rsid w:val="003349DB"/>
    <w:rsid w:val="0033621D"/>
    <w:rsid w:val="00340221"/>
    <w:rsid w:val="00340C00"/>
    <w:rsid w:val="0034321F"/>
    <w:rsid w:val="00343F13"/>
    <w:rsid w:val="00347665"/>
    <w:rsid w:val="003476B5"/>
    <w:rsid w:val="00354AD5"/>
    <w:rsid w:val="00361195"/>
    <w:rsid w:val="00363A86"/>
    <w:rsid w:val="003678B0"/>
    <w:rsid w:val="00370755"/>
    <w:rsid w:val="0037149F"/>
    <w:rsid w:val="0037213B"/>
    <w:rsid w:val="003733AF"/>
    <w:rsid w:val="00381BAD"/>
    <w:rsid w:val="00391FEA"/>
    <w:rsid w:val="00395B84"/>
    <w:rsid w:val="003A161E"/>
    <w:rsid w:val="003A6660"/>
    <w:rsid w:val="003A71BD"/>
    <w:rsid w:val="003B4C22"/>
    <w:rsid w:val="003C0212"/>
    <w:rsid w:val="003C5754"/>
    <w:rsid w:val="003D06EC"/>
    <w:rsid w:val="003D3A60"/>
    <w:rsid w:val="003D6CA2"/>
    <w:rsid w:val="003E0F5C"/>
    <w:rsid w:val="003E220F"/>
    <w:rsid w:val="003E59B5"/>
    <w:rsid w:val="003F38F9"/>
    <w:rsid w:val="003F66B9"/>
    <w:rsid w:val="003F6911"/>
    <w:rsid w:val="0040191A"/>
    <w:rsid w:val="00401F8F"/>
    <w:rsid w:val="00405273"/>
    <w:rsid w:val="00410AF5"/>
    <w:rsid w:val="004154EE"/>
    <w:rsid w:val="004202FD"/>
    <w:rsid w:val="004272C4"/>
    <w:rsid w:val="004273E1"/>
    <w:rsid w:val="00430796"/>
    <w:rsid w:val="00441E94"/>
    <w:rsid w:val="00441FE4"/>
    <w:rsid w:val="00442035"/>
    <w:rsid w:val="00442317"/>
    <w:rsid w:val="00443AEC"/>
    <w:rsid w:val="00450A77"/>
    <w:rsid w:val="00450F2F"/>
    <w:rsid w:val="0045165E"/>
    <w:rsid w:val="00453CFC"/>
    <w:rsid w:val="00457DF7"/>
    <w:rsid w:val="0046408D"/>
    <w:rsid w:val="00472B35"/>
    <w:rsid w:val="004736E8"/>
    <w:rsid w:val="00474422"/>
    <w:rsid w:val="00474868"/>
    <w:rsid w:val="00474BC6"/>
    <w:rsid w:val="004756BC"/>
    <w:rsid w:val="00486A32"/>
    <w:rsid w:val="00490187"/>
    <w:rsid w:val="004928AA"/>
    <w:rsid w:val="004A0020"/>
    <w:rsid w:val="004A4590"/>
    <w:rsid w:val="004B0208"/>
    <w:rsid w:val="004B1D9C"/>
    <w:rsid w:val="004B4E9B"/>
    <w:rsid w:val="004C186C"/>
    <w:rsid w:val="004C1940"/>
    <w:rsid w:val="004C1DB5"/>
    <w:rsid w:val="004C3016"/>
    <w:rsid w:val="004E17B5"/>
    <w:rsid w:val="004E355F"/>
    <w:rsid w:val="004E65B1"/>
    <w:rsid w:val="004F2318"/>
    <w:rsid w:val="004F48F6"/>
    <w:rsid w:val="004F65EF"/>
    <w:rsid w:val="00504E60"/>
    <w:rsid w:val="005062C9"/>
    <w:rsid w:val="00511951"/>
    <w:rsid w:val="00512095"/>
    <w:rsid w:val="0052267E"/>
    <w:rsid w:val="00524629"/>
    <w:rsid w:val="0052495D"/>
    <w:rsid w:val="00526D65"/>
    <w:rsid w:val="0053492B"/>
    <w:rsid w:val="00534EEF"/>
    <w:rsid w:val="0054639A"/>
    <w:rsid w:val="00550C58"/>
    <w:rsid w:val="00550C85"/>
    <w:rsid w:val="00552530"/>
    <w:rsid w:val="005535AE"/>
    <w:rsid w:val="0055598A"/>
    <w:rsid w:val="0055654F"/>
    <w:rsid w:val="00562BD6"/>
    <w:rsid w:val="00570582"/>
    <w:rsid w:val="005747BA"/>
    <w:rsid w:val="00576D3C"/>
    <w:rsid w:val="005814F5"/>
    <w:rsid w:val="00581540"/>
    <w:rsid w:val="00582033"/>
    <w:rsid w:val="00585E41"/>
    <w:rsid w:val="00586CE6"/>
    <w:rsid w:val="005905BA"/>
    <w:rsid w:val="00596C32"/>
    <w:rsid w:val="005A22CB"/>
    <w:rsid w:val="005A2B16"/>
    <w:rsid w:val="005A7007"/>
    <w:rsid w:val="005B0CEF"/>
    <w:rsid w:val="005B4E6A"/>
    <w:rsid w:val="005B7F8E"/>
    <w:rsid w:val="005D04F3"/>
    <w:rsid w:val="005D125F"/>
    <w:rsid w:val="005D1B2C"/>
    <w:rsid w:val="005D43E5"/>
    <w:rsid w:val="005D73FD"/>
    <w:rsid w:val="005D7421"/>
    <w:rsid w:val="005E0F7F"/>
    <w:rsid w:val="005E1BB3"/>
    <w:rsid w:val="005E5FCD"/>
    <w:rsid w:val="005F1C78"/>
    <w:rsid w:val="005F64EC"/>
    <w:rsid w:val="0060759B"/>
    <w:rsid w:val="00607D8F"/>
    <w:rsid w:val="00612EE8"/>
    <w:rsid w:val="006142CA"/>
    <w:rsid w:val="00614B76"/>
    <w:rsid w:val="006209C7"/>
    <w:rsid w:val="00624D45"/>
    <w:rsid w:val="00626CC8"/>
    <w:rsid w:val="00631817"/>
    <w:rsid w:val="0063380B"/>
    <w:rsid w:val="00641C28"/>
    <w:rsid w:val="0064334B"/>
    <w:rsid w:val="00657BC5"/>
    <w:rsid w:val="00660CD8"/>
    <w:rsid w:val="00674E80"/>
    <w:rsid w:val="00677085"/>
    <w:rsid w:val="006839BE"/>
    <w:rsid w:val="00687E30"/>
    <w:rsid w:val="006A2187"/>
    <w:rsid w:val="006A6252"/>
    <w:rsid w:val="006A62D5"/>
    <w:rsid w:val="006A6E13"/>
    <w:rsid w:val="006A793E"/>
    <w:rsid w:val="006B78F8"/>
    <w:rsid w:val="006C31AD"/>
    <w:rsid w:val="006C71B1"/>
    <w:rsid w:val="006C7EC4"/>
    <w:rsid w:val="006D3417"/>
    <w:rsid w:val="006E0CF1"/>
    <w:rsid w:val="006E52D9"/>
    <w:rsid w:val="006F4EB3"/>
    <w:rsid w:val="006F589A"/>
    <w:rsid w:val="006F63B1"/>
    <w:rsid w:val="0070563C"/>
    <w:rsid w:val="00705FCA"/>
    <w:rsid w:val="0070762E"/>
    <w:rsid w:val="00714011"/>
    <w:rsid w:val="0072580D"/>
    <w:rsid w:val="007279FE"/>
    <w:rsid w:val="007322D2"/>
    <w:rsid w:val="00742C03"/>
    <w:rsid w:val="00746433"/>
    <w:rsid w:val="0076067B"/>
    <w:rsid w:val="007648DB"/>
    <w:rsid w:val="007770AE"/>
    <w:rsid w:val="00780429"/>
    <w:rsid w:val="00782A16"/>
    <w:rsid w:val="007902E6"/>
    <w:rsid w:val="007909A5"/>
    <w:rsid w:val="00796F51"/>
    <w:rsid w:val="007A18F9"/>
    <w:rsid w:val="007A3D69"/>
    <w:rsid w:val="007A6CC2"/>
    <w:rsid w:val="007B2743"/>
    <w:rsid w:val="007B6C17"/>
    <w:rsid w:val="007C20FA"/>
    <w:rsid w:val="007C3C81"/>
    <w:rsid w:val="007C5B45"/>
    <w:rsid w:val="007C701A"/>
    <w:rsid w:val="007D7F07"/>
    <w:rsid w:val="007E0EBA"/>
    <w:rsid w:val="007E304E"/>
    <w:rsid w:val="007E517A"/>
    <w:rsid w:val="007F3BBD"/>
    <w:rsid w:val="007F4606"/>
    <w:rsid w:val="007F6812"/>
    <w:rsid w:val="007F6C89"/>
    <w:rsid w:val="008009B7"/>
    <w:rsid w:val="00804184"/>
    <w:rsid w:val="008057BB"/>
    <w:rsid w:val="00806900"/>
    <w:rsid w:val="00806FA6"/>
    <w:rsid w:val="008109DD"/>
    <w:rsid w:val="00813A40"/>
    <w:rsid w:val="008237DD"/>
    <w:rsid w:val="0083179E"/>
    <w:rsid w:val="00832AE7"/>
    <w:rsid w:val="008347DB"/>
    <w:rsid w:val="00834C1B"/>
    <w:rsid w:val="0083624D"/>
    <w:rsid w:val="0084192E"/>
    <w:rsid w:val="0084233D"/>
    <w:rsid w:val="00843E1D"/>
    <w:rsid w:val="00850B4A"/>
    <w:rsid w:val="00853506"/>
    <w:rsid w:val="008535D4"/>
    <w:rsid w:val="0085474E"/>
    <w:rsid w:val="00856065"/>
    <w:rsid w:val="00856755"/>
    <w:rsid w:val="00857D04"/>
    <w:rsid w:val="00860E2C"/>
    <w:rsid w:val="0086435F"/>
    <w:rsid w:val="00874665"/>
    <w:rsid w:val="00891CED"/>
    <w:rsid w:val="00892664"/>
    <w:rsid w:val="00892C87"/>
    <w:rsid w:val="008A0BD2"/>
    <w:rsid w:val="008A1454"/>
    <w:rsid w:val="008A5021"/>
    <w:rsid w:val="008B71D8"/>
    <w:rsid w:val="008C6360"/>
    <w:rsid w:val="008C69AC"/>
    <w:rsid w:val="008C6ECA"/>
    <w:rsid w:val="008C7EDC"/>
    <w:rsid w:val="008C7FC7"/>
    <w:rsid w:val="008D1633"/>
    <w:rsid w:val="008D6686"/>
    <w:rsid w:val="008F6AFE"/>
    <w:rsid w:val="00902773"/>
    <w:rsid w:val="0090292F"/>
    <w:rsid w:val="00905C86"/>
    <w:rsid w:val="00906E61"/>
    <w:rsid w:val="0091063F"/>
    <w:rsid w:val="00912B2A"/>
    <w:rsid w:val="00915B99"/>
    <w:rsid w:val="009223B0"/>
    <w:rsid w:val="00923520"/>
    <w:rsid w:val="009237BA"/>
    <w:rsid w:val="00925A7E"/>
    <w:rsid w:val="0093314D"/>
    <w:rsid w:val="00955686"/>
    <w:rsid w:val="0095625E"/>
    <w:rsid w:val="00957B86"/>
    <w:rsid w:val="009666AE"/>
    <w:rsid w:val="00972BE1"/>
    <w:rsid w:val="009832C0"/>
    <w:rsid w:val="00987C09"/>
    <w:rsid w:val="00990428"/>
    <w:rsid w:val="009904CE"/>
    <w:rsid w:val="009927EC"/>
    <w:rsid w:val="009A108F"/>
    <w:rsid w:val="009A1C0F"/>
    <w:rsid w:val="009A3614"/>
    <w:rsid w:val="009A442B"/>
    <w:rsid w:val="009A7AD2"/>
    <w:rsid w:val="009B1536"/>
    <w:rsid w:val="009B1F88"/>
    <w:rsid w:val="009B451C"/>
    <w:rsid w:val="009D0042"/>
    <w:rsid w:val="009D1E24"/>
    <w:rsid w:val="009D3AAF"/>
    <w:rsid w:val="009D41CA"/>
    <w:rsid w:val="009D62B4"/>
    <w:rsid w:val="009D64F5"/>
    <w:rsid w:val="009E1DC3"/>
    <w:rsid w:val="009E21ED"/>
    <w:rsid w:val="009E21FB"/>
    <w:rsid w:val="009E32AB"/>
    <w:rsid w:val="009E4F10"/>
    <w:rsid w:val="009E7E0C"/>
    <w:rsid w:val="009F06CC"/>
    <w:rsid w:val="009F1039"/>
    <w:rsid w:val="009F198E"/>
    <w:rsid w:val="009F52CC"/>
    <w:rsid w:val="009F7E8A"/>
    <w:rsid w:val="00A02F95"/>
    <w:rsid w:val="00A03765"/>
    <w:rsid w:val="00A12708"/>
    <w:rsid w:val="00A14FF9"/>
    <w:rsid w:val="00A24359"/>
    <w:rsid w:val="00A2593D"/>
    <w:rsid w:val="00A34A9F"/>
    <w:rsid w:val="00A35063"/>
    <w:rsid w:val="00A45162"/>
    <w:rsid w:val="00A47268"/>
    <w:rsid w:val="00A5173B"/>
    <w:rsid w:val="00A52B80"/>
    <w:rsid w:val="00A55095"/>
    <w:rsid w:val="00A60F24"/>
    <w:rsid w:val="00A65509"/>
    <w:rsid w:val="00A7215D"/>
    <w:rsid w:val="00A85B94"/>
    <w:rsid w:val="00A86D18"/>
    <w:rsid w:val="00A900F3"/>
    <w:rsid w:val="00A90FD9"/>
    <w:rsid w:val="00A9182D"/>
    <w:rsid w:val="00A97AD2"/>
    <w:rsid w:val="00AA1EBE"/>
    <w:rsid w:val="00AA2178"/>
    <w:rsid w:val="00AB1DA9"/>
    <w:rsid w:val="00AB2314"/>
    <w:rsid w:val="00AB49A7"/>
    <w:rsid w:val="00AB513E"/>
    <w:rsid w:val="00AC2D47"/>
    <w:rsid w:val="00AC35DB"/>
    <w:rsid w:val="00AC7F4D"/>
    <w:rsid w:val="00AD1B43"/>
    <w:rsid w:val="00AD3049"/>
    <w:rsid w:val="00AD65C5"/>
    <w:rsid w:val="00AE3780"/>
    <w:rsid w:val="00AE4AB9"/>
    <w:rsid w:val="00B0328F"/>
    <w:rsid w:val="00B04D1D"/>
    <w:rsid w:val="00B05390"/>
    <w:rsid w:val="00B055C6"/>
    <w:rsid w:val="00B059B7"/>
    <w:rsid w:val="00B148B1"/>
    <w:rsid w:val="00B179ED"/>
    <w:rsid w:val="00B20E52"/>
    <w:rsid w:val="00B21157"/>
    <w:rsid w:val="00B34D1D"/>
    <w:rsid w:val="00B4151F"/>
    <w:rsid w:val="00B45E2F"/>
    <w:rsid w:val="00B56788"/>
    <w:rsid w:val="00B60136"/>
    <w:rsid w:val="00B604E2"/>
    <w:rsid w:val="00B64F07"/>
    <w:rsid w:val="00B65622"/>
    <w:rsid w:val="00B72733"/>
    <w:rsid w:val="00B8052E"/>
    <w:rsid w:val="00B848EB"/>
    <w:rsid w:val="00B97032"/>
    <w:rsid w:val="00BA14B0"/>
    <w:rsid w:val="00BA2C2E"/>
    <w:rsid w:val="00BA3751"/>
    <w:rsid w:val="00BA398B"/>
    <w:rsid w:val="00BA4894"/>
    <w:rsid w:val="00BB6E21"/>
    <w:rsid w:val="00BC1FD9"/>
    <w:rsid w:val="00BD1BA2"/>
    <w:rsid w:val="00BD1F82"/>
    <w:rsid w:val="00BD2E49"/>
    <w:rsid w:val="00BD2E51"/>
    <w:rsid w:val="00BD33D2"/>
    <w:rsid w:val="00BD537A"/>
    <w:rsid w:val="00BE0D8C"/>
    <w:rsid w:val="00BE3E6D"/>
    <w:rsid w:val="00BE3FA2"/>
    <w:rsid w:val="00C03E83"/>
    <w:rsid w:val="00C1507F"/>
    <w:rsid w:val="00C17326"/>
    <w:rsid w:val="00C2453F"/>
    <w:rsid w:val="00C2555B"/>
    <w:rsid w:val="00C25DEE"/>
    <w:rsid w:val="00C25E75"/>
    <w:rsid w:val="00C30461"/>
    <w:rsid w:val="00C304A8"/>
    <w:rsid w:val="00C336DA"/>
    <w:rsid w:val="00C41BF9"/>
    <w:rsid w:val="00C4553D"/>
    <w:rsid w:val="00C467AF"/>
    <w:rsid w:val="00C479F4"/>
    <w:rsid w:val="00C6043E"/>
    <w:rsid w:val="00C76885"/>
    <w:rsid w:val="00C872E0"/>
    <w:rsid w:val="00C87C25"/>
    <w:rsid w:val="00C87E87"/>
    <w:rsid w:val="00C95650"/>
    <w:rsid w:val="00C961FB"/>
    <w:rsid w:val="00CA3421"/>
    <w:rsid w:val="00CB2BBC"/>
    <w:rsid w:val="00CB3F52"/>
    <w:rsid w:val="00CB4230"/>
    <w:rsid w:val="00CB5C4C"/>
    <w:rsid w:val="00CC5EAC"/>
    <w:rsid w:val="00CC7D69"/>
    <w:rsid w:val="00CD0ACA"/>
    <w:rsid w:val="00CD2302"/>
    <w:rsid w:val="00CD7A47"/>
    <w:rsid w:val="00CE069B"/>
    <w:rsid w:val="00CE770F"/>
    <w:rsid w:val="00CE7AC8"/>
    <w:rsid w:val="00CF4F47"/>
    <w:rsid w:val="00D037A7"/>
    <w:rsid w:val="00D04214"/>
    <w:rsid w:val="00D07E95"/>
    <w:rsid w:val="00D106DE"/>
    <w:rsid w:val="00D10D02"/>
    <w:rsid w:val="00D14E86"/>
    <w:rsid w:val="00D1590F"/>
    <w:rsid w:val="00D21B44"/>
    <w:rsid w:val="00D31057"/>
    <w:rsid w:val="00D3215F"/>
    <w:rsid w:val="00D32C86"/>
    <w:rsid w:val="00D334A5"/>
    <w:rsid w:val="00D41873"/>
    <w:rsid w:val="00D460DA"/>
    <w:rsid w:val="00D54802"/>
    <w:rsid w:val="00D57B30"/>
    <w:rsid w:val="00D65868"/>
    <w:rsid w:val="00D750EF"/>
    <w:rsid w:val="00D82312"/>
    <w:rsid w:val="00D91C1B"/>
    <w:rsid w:val="00D94985"/>
    <w:rsid w:val="00D97B9C"/>
    <w:rsid w:val="00DA47A3"/>
    <w:rsid w:val="00DA771D"/>
    <w:rsid w:val="00DB0623"/>
    <w:rsid w:val="00DB3D05"/>
    <w:rsid w:val="00DB55CB"/>
    <w:rsid w:val="00DC01AE"/>
    <w:rsid w:val="00DC6DC3"/>
    <w:rsid w:val="00DD2996"/>
    <w:rsid w:val="00DD4F50"/>
    <w:rsid w:val="00DD5C64"/>
    <w:rsid w:val="00DD7983"/>
    <w:rsid w:val="00DE15D2"/>
    <w:rsid w:val="00DE2D8E"/>
    <w:rsid w:val="00DF0397"/>
    <w:rsid w:val="00DF4F87"/>
    <w:rsid w:val="00E11955"/>
    <w:rsid w:val="00E12194"/>
    <w:rsid w:val="00E14220"/>
    <w:rsid w:val="00E22A6D"/>
    <w:rsid w:val="00E2475F"/>
    <w:rsid w:val="00E30A96"/>
    <w:rsid w:val="00E3495B"/>
    <w:rsid w:val="00E42C6E"/>
    <w:rsid w:val="00E52159"/>
    <w:rsid w:val="00E55D25"/>
    <w:rsid w:val="00E70432"/>
    <w:rsid w:val="00E7102C"/>
    <w:rsid w:val="00E82C94"/>
    <w:rsid w:val="00E82DC8"/>
    <w:rsid w:val="00E83FD3"/>
    <w:rsid w:val="00E957E3"/>
    <w:rsid w:val="00E962A8"/>
    <w:rsid w:val="00EA1394"/>
    <w:rsid w:val="00EA13FE"/>
    <w:rsid w:val="00EA3C7C"/>
    <w:rsid w:val="00EA74E6"/>
    <w:rsid w:val="00EB1578"/>
    <w:rsid w:val="00EB7E70"/>
    <w:rsid w:val="00EC43BE"/>
    <w:rsid w:val="00EC5FC1"/>
    <w:rsid w:val="00ED0EDC"/>
    <w:rsid w:val="00ED15B2"/>
    <w:rsid w:val="00ED204A"/>
    <w:rsid w:val="00EE1EFE"/>
    <w:rsid w:val="00EE3A7C"/>
    <w:rsid w:val="00EF31C4"/>
    <w:rsid w:val="00F01CE6"/>
    <w:rsid w:val="00F03624"/>
    <w:rsid w:val="00F06B82"/>
    <w:rsid w:val="00F07691"/>
    <w:rsid w:val="00F160BD"/>
    <w:rsid w:val="00F1766B"/>
    <w:rsid w:val="00F20130"/>
    <w:rsid w:val="00F21857"/>
    <w:rsid w:val="00F218FB"/>
    <w:rsid w:val="00F25C4A"/>
    <w:rsid w:val="00F261DD"/>
    <w:rsid w:val="00F31B3C"/>
    <w:rsid w:val="00F321BB"/>
    <w:rsid w:val="00F3608A"/>
    <w:rsid w:val="00F46FBC"/>
    <w:rsid w:val="00F5091C"/>
    <w:rsid w:val="00F51CF8"/>
    <w:rsid w:val="00F52083"/>
    <w:rsid w:val="00F544AC"/>
    <w:rsid w:val="00F63ED3"/>
    <w:rsid w:val="00F72B59"/>
    <w:rsid w:val="00F72D6E"/>
    <w:rsid w:val="00F736E1"/>
    <w:rsid w:val="00F757E9"/>
    <w:rsid w:val="00F81159"/>
    <w:rsid w:val="00F84D13"/>
    <w:rsid w:val="00F86D9A"/>
    <w:rsid w:val="00F87043"/>
    <w:rsid w:val="00F9620A"/>
    <w:rsid w:val="00F9709B"/>
    <w:rsid w:val="00FA03DB"/>
    <w:rsid w:val="00FA64F3"/>
    <w:rsid w:val="00FB028C"/>
    <w:rsid w:val="00FB15E4"/>
    <w:rsid w:val="00FB428F"/>
    <w:rsid w:val="00FB47E6"/>
    <w:rsid w:val="00FB7484"/>
    <w:rsid w:val="00FC1DAA"/>
    <w:rsid w:val="00FD0994"/>
    <w:rsid w:val="00FD3062"/>
    <w:rsid w:val="00FD4B1E"/>
    <w:rsid w:val="00FF6D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E809E"/>
  <w15:docId w15:val="{F2FBE0BE-A9EB-46CB-8640-FAF9903A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81F52"/>
    <w:rPr>
      <w:color w:val="605E5C"/>
      <w:shd w:val="clear" w:color="auto" w:fill="E1DFDD"/>
    </w:rPr>
  </w:style>
  <w:style w:type="paragraph" w:customStyle="1" w:styleId="H1">
    <w:name w:val="_ H_1"/>
    <w:basedOn w:val="Normal"/>
    <w:next w:val="SingleTxt"/>
    <w:rsid w:val="00181F5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14:ligatures w14:val="standardContextual"/>
    </w:rPr>
  </w:style>
  <w:style w:type="paragraph" w:customStyle="1" w:styleId="H23">
    <w:name w:val="_ H_2/3"/>
    <w:basedOn w:val="Normal"/>
    <w:next w:val="SingleTxt"/>
    <w:rsid w:val="00181F52"/>
    <w:pPr>
      <w:spacing w:line="240" w:lineRule="exact"/>
      <w:outlineLvl w:val="1"/>
    </w:pPr>
    <w:rPr>
      <w:rFonts w:eastAsiaTheme="minorHAnsi"/>
      <w:b/>
      <w:spacing w:val="4"/>
      <w:w w:val="103"/>
      <w:kern w:val="14"/>
      <w:lang w:val="en-US"/>
      <w14:ligatures w14:val="standardContextual"/>
    </w:rPr>
  </w:style>
  <w:style w:type="paragraph" w:customStyle="1" w:styleId="SingleTxt">
    <w:name w:val="__Single Txt"/>
    <w:basedOn w:val="Normal"/>
    <w:link w:val="SingleTxtChar"/>
    <w:rsid w:val="00181F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14:ligatures w14:val="standardContextual"/>
    </w:rPr>
  </w:style>
  <w:style w:type="character" w:customStyle="1" w:styleId="SingleTxtChar">
    <w:name w:val="__Single Txt Char"/>
    <w:link w:val="SingleTxt"/>
    <w:locked/>
    <w:rsid w:val="00181F52"/>
    <w:rPr>
      <w:rFonts w:ascii="Times New Roman" w:hAnsi="Times New Roman" w:cs="Times New Roman"/>
      <w:spacing w:val="4"/>
      <w:w w:val="103"/>
      <w:kern w:val="14"/>
      <w:sz w:val="20"/>
      <w:szCs w:val="20"/>
      <w:lang w:val="en-GB"/>
      <w14:ligatures w14:val="standardContextual"/>
    </w:rPr>
  </w:style>
  <w:style w:type="paragraph" w:styleId="Revision">
    <w:name w:val="Revision"/>
    <w:hidden/>
    <w:uiPriority w:val="99"/>
    <w:semiHidden/>
    <w:rsid w:val="009F06CC"/>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562BD6"/>
    <w:rPr>
      <w:sz w:val="16"/>
      <w:szCs w:val="16"/>
    </w:rPr>
  </w:style>
  <w:style w:type="paragraph" w:styleId="CommentText">
    <w:name w:val="annotation text"/>
    <w:basedOn w:val="Normal"/>
    <w:link w:val="CommentTextChar"/>
    <w:uiPriority w:val="99"/>
    <w:unhideWhenUsed/>
    <w:rsid w:val="00562BD6"/>
    <w:pPr>
      <w:spacing w:line="240" w:lineRule="auto"/>
    </w:pPr>
  </w:style>
  <w:style w:type="character" w:customStyle="1" w:styleId="CommentTextChar">
    <w:name w:val="Comment Text Char"/>
    <w:basedOn w:val="DefaultParagraphFont"/>
    <w:link w:val="CommentText"/>
    <w:uiPriority w:val="99"/>
    <w:rsid w:val="00562BD6"/>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9108">
      <w:bodyDiv w:val="1"/>
      <w:marLeft w:val="0"/>
      <w:marRight w:val="0"/>
      <w:marTop w:val="0"/>
      <w:marBottom w:val="0"/>
      <w:divBdr>
        <w:top w:val="none" w:sz="0" w:space="0" w:color="auto"/>
        <w:left w:val="none" w:sz="0" w:space="0" w:color="auto"/>
        <w:bottom w:val="none" w:sz="0" w:space="0" w:color="auto"/>
        <w:right w:val="none" w:sz="0" w:space="0" w:color="auto"/>
      </w:divBdr>
    </w:div>
    <w:div w:id="275137201">
      <w:bodyDiv w:val="1"/>
      <w:marLeft w:val="0"/>
      <w:marRight w:val="0"/>
      <w:marTop w:val="0"/>
      <w:marBottom w:val="0"/>
      <w:divBdr>
        <w:top w:val="none" w:sz="0" w:space="0" w:color="auto"/>
        <w:left w:val="none" w:sz="0" w:space="0" w:color="auto"/>
        <w:bottom w:val="none" w:sz="0" w:space="0" w:color="auto"/>
        <w:right w:val="none" w:sz="0" w:space="0" w:color="auto"/>
      </w:divBdr>
    </w:div>
    <w:div w:id="864900992">
      <w:bodyDiv w:val="1"/>
      <w:marLeft w:val="0"/>
      <w:marRight w:val="0"/>
      <w:marTop w:val="0"/>
      <w:marBottom w:val="0"/>
      <w:divBdr>
        <w:top w:val="none" w:sz="0" w:space="0" w:color="auto"/>
        <w:left w:val="none" w:sz="0" w:space="0" w:color="auto"/>
        <w:bottom w:val="none" w:sz="0" w:space="0" w:color="auto"/>
        <w:right w:val="none" w:sz="0" w:space="0" w:color="auto"/>
      </w:divBdr>
    </w:div>
    <w:div w:id="942608747">
      <w:bodyDiv w:val="1"/>
      <w:marLeft w:val="0"/>
      <w:marRight w:val="0"/>
      <w:marTop w:val="0"/>
      <w:marBottom w:val="0"/>
      <w:divBdr>
        <w:top w:val="none" w:sz="0" w:space="0" w:color="auto"/>
        <w:left w:val="none" w:sz="0" w:space="0" w:color="auto"/>
        <w:bottom w:val="none" w:sz="0" w:space="0" w:color="auto"/>
        <w:right w:val="none" w:sz="0" w:space="0" w:color="auto"/>
      </w:divBdr>
    </w:div>
    <w:div w:id="1466318406">
      <w:bodyDiv w:val="1"/>
      <w:marLeft w:val="0"/>
      <w:marRight w:val="0"/>
      <w:marTop w:val="0"/>
      <w:marBottom w:val="0"/>
      <w:divBdr>
        <w:top w:val="none" w:sz="0" w:space="0" w:color="auto"/>
        <w:left w:val="none" w:sz="0" w:space="0" w:color="auto"/>
        <w:bottom w:val="none" w:sz="0" w:space="0" w:color="auto"/>
        <w:right w:val="none" w:sz="0" w:space="0" w:color="auto"/>
      </w:divBdr>
    </w:div>
    <w:div w:id="1743063294">
      <w:bodyDiv w:val="1"/>
      <w:marLeft w:val="0"/>
      <w:marRight w:val="0"/>
      <w:marTop w:val="0"/>
      <w:marBottom w:val="0"/>
      <w:divBdr>
        <w:top w:val="none" w:sz="0" w:space="0" w:color="auto"/>
        <w:left w:val="none" w:sz="0" w:space="0" w:color="auto"/>
        <w:bottom w:val="none" w:sz="0" w:space="0" w:color="auto"/>
        <w:right w:val="none" w:sz="0" w:space="0" w:color="auto"/>
      </w:divBdr>
    </w:div>
    <w:div w:id="1798333406">
      <w:bodyDiv w:val="1"/>
      <w:marLeft w:val="0"/>
      <w:marRight w:val="0"/>
      <w:marTop w:val="0"/>
      <w:marBottom w:val="0"/>
      <w:divBdr>
        <w:top w:val="none" w:sz="0" w:space="0" w:color="auto"/>
        <w:left w:val="none" w:sz="0" w:space="0" w:color="auto"/>
        <w:bottom w:val="none" w:sz="0" w:space="0" w:color="auto"/>
        <w:right w:val="none" w:sz="0" w:space="0" w:color="auto"/>
      </w:divBdr>
    </w:div>
    <w:div w:id="213347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n/CEDAW/C/SR.2042" TargetMode="External"/><Relationship Id="rId18" Type="http://schemas.openxmlformats.org/officeDocument/2006/relationships/hyperlink" Target="https://undocs.org/en/CEDAW/C/LUX/CO/6-7"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undocs.org/en/CEDAW/C/SR.2041" TargetMode="External"/><Relationship Id="rId17" Type="http://schemas.openxmlformats.org/officeDocument/2006/relationships/hyperlink" Target="https://undocs.org/en/A/65/38(supp)"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ndocs.org/en/CEDAW/C/LUX/CO/6-7" TargetMode="External"/><Relationship Id="rId20" Type="http://schemas.openxmlformats.org/officeDocument/2006/relationships/hyperlink" Target="https://undocs.org/en/HRI/GEN/2/Rev.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ndocs.org/en/CEDAW/C/LUX/8"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tbinternet.ohchr.org/_layouts/15/treatybodyexternal/Download.aspx?symbolno=CEDAW%2FC%2FLUX%2FFCO%2F6-7&amp;Lang=e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undocs.org/en/CEDAW/C/GRC/CO/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n/CEDAW/C/GRC/QPR/8"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2025-02-14T09:59:58+00:00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DF4B-E4F5-4400-B449-572963D65EB2}">
  <ds:schemaRefs>
    <ds:schemaRef ds:uri="http://schemas.microsoft.com/sharepoint/v3/contenttype/forms"/>
  </ds:schemaRefs>
</ds:datastoreItem>
</file>

<file path=customXml/itemProps2.xml><?xml version="1.0" encoding="utf-8"?>
<ds:datastoreItem xmlns:ds="http://schemas.openxmlformats.org/officeDocument/2006/customXml" ds:itemID="{72DD6C2B-8CCF-44C5-A5FA-3B3F3CA7144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749B782B-195A-4DCB-A047-623B5B8AA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A3D69D-3F01-4A69-AFCC-BF7AD2CDA948}">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15</Pages>
  <Words>7458</Words>
  <Characters>42515</Characters>
  <Application>Microsoft Office Word</Application>
  <DocSecurity>0</DocSecurity>
  <Lines>354</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CEDAW/C/LUX/CO/R.8</vt:lpstr>
      <vt:lpstr>CEDAW/C/LUX/CO/R.8</vt:lpstr>
      <vt:lpstr/>
    </vt:vector>
  </TitlesOfParts>
  <Company>DCM</Company>
  <LinksUpToDate>false</LinksUpToDate>
  <CharactersWithSpaces>49874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CEDAW/C/LUX/CO/R.8</dc:title>
  <dc:subject>2502452</dc:subject>
  <dc:creator>Una Giltsoff</dc:creator>
  <cp:keywords/>
  <dc:description/>
  <cp:lastModifiedBy>Jamila Devi Seerathun</cp:lastModifiedBy>
  <cp:revision>4</cp:revision>
  <cp:lastPrinted>2025-02-13T09:33:00Z</cp:lastPrinted>
  <dcterms:created xsi:type="dcterms:W3CDTF">2025-02-21T15:58:00Z</dcterms:created>
  <dcterms:modified xsi:type="dcterms:W3CDTF">2025-02-21T15:59:00Z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submitted by States parties under article 18 of the Convention on the Elimination of All Forms of Discrimination against Women</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Luxembourg</vt:lpwstr>
  </property>
  <property fmtid="{D5CDD505-2E9C-101B-9397-08002B2CF9AE}" pid="9" name="countw">
    <vt:lpwstr>Luxembourg</vt:lpwstr>
  </property>
  <property fmtid="{D5CDD505-2E9C-101B-9397-08002B2CF9AE}" pid="10" name="countwd">
    <vt:lpwstr>Luxembourg</vt:lpwstr>
  </property>
  <property fmtid="{D5CDD505-2E9C-101B-9397-08002B2CF9AE}" pid="11" name="date">
    <vt:lpwstr>4 February 2025</vt:lpwstr>
  </property>
  <property fmtid="{D5CDD505-2E9C-101B-9397-08002B2CF9AE}" pid="12" name="Date-Generated">
    <vt:filetime>2024-11-20T17:39:09Z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159600</vt:r8>
  </property>
  <property fmtid="{D5CDD505-2E9C-101B-9397-08002B2CF9AE}" pid="22" name="Org">
    <vt:lpwstr>OHCHR</vt:lpwstr>
  </property>
  <property fmtid="{D5CDD505-2E9C-101B-9397-08002B2CF9AE}" pid="23" name="prep">
    <vt:lpwstr>eighth periodic report of Luxembourg</vt:lpwstr>
  </property>
  <property fmtid="{D5CDD505-2E9C-101B-9397-08002B2CF9AE}" pid="24" name="preps">
    <vt:lpwstr>eighth periodic report of Luxembourg</vt:lpwstr>
  </property>
  <property fmtid="{D5CDD505-2E9C-101B-9397-08002B2CF9AE}" pid="25" name="prepw">
    <vt:lpwstr>eighth periodic report</vt:lpwstr>
  </property>
  <property fmtid="{D5CDD505-2E9C-101B-9397-08002B2CF9AE}" pid="26" name="prepwc">
    <vt:lpwstr>Eighth periodic report </vt:lpwstr>
  </property>
  <property fmtid="{D5CDD505-2E9C-101B-9397-08002B2CF9AE}" pid="27" name="prepws">
    <vt:lpwstr>eighth periodic report</vt:lpwstr>
  </property>
  <property fmtid="{D5CDD505-2E9C-101B-9397-08002B2CF9AE}" pid="28" name="sdate">
    <vt:lpwstr>3-21 February 2025</vt:lpwstr>
  </property>
  <property fmtid="{D5CDD505-2E9C-101B-9397-08002B2CF9AE}" pid="29" name="sloca">
    <vt:lpwstr>[Location]</vt:lpwstr>
  </property>
  <property fmtid="{D5CDD505-2E9C-101B-9397-08002B2CF9AE}" pid="30" name="snum">
    <vt:lpwstr>Ninetieth</vt:lpwstr>
  </property>
  <property fmtid="{D5CDD505-2E9C-101B-9397-08002B2CF9AE}" pid="31" name="stitle">
    <vt:lpwstr>[Title]</vt:lpwstr>
  </property>
  <property fmtid="{D5CDD505-2E9C-101B-9397-08002B2CF9AE}" pid="32" name="sym1">
    <vt:lpwstr>C/LUX/CO/R.8</vt:lpwstr>
  </property>
  <property fmtid="{D5CDD505-2E9C-101B-9397-08002B2CF9AE}" pid="33" name="symh">
    <vt:lpwstr>CEDAW/C/LUX/CO/R.8</vt:lpwstr>
  </property>
  <property fmtid="{D5CDD505-2E9C-101B-9397-08002B2CF9AE}" pid="34" name="Title">
    <vt:lpwstr>CEDAW/C/LUX/CO/R.8</vt:lpwstr>
  </property>
  <property fmtid="{D5CDD505-2E9C-101B-9397-08002B2CF9AE}" pid="35" name="tlang">
    <vt:lpwstr/>
  </property>
  <property fmtid="{D5CDD505-2E9C-101B-9397-08002B2CF9AE}" pid="36" name="virs">
    <vt:lpwstr>English, French and Spanish only</vt:lpwstr>
  </property>
  <property fmtid="{D5CDD505-2E9C-101B-9397-08002B2CF9AE}" pid="37" name="ClassificationContentMarkingFooterShapeIds">
    <vt:lpwstr>3,5,6</vt:lpwstr>
  </property>
  <property fmtid="{D5CDD505-2E9C-101B-9397-08002B2CF9AE}" pid="38" name="ClassificationContentMarkingFooterFontProps">
    <vt:lpwstr>#000000,10,Calibri</vt:lpwstr>
  </property>
  <property fmtid="{D5CDD505-2E9C-101B-9397-08002B2CF9AE}" pid="39" name="ClassificationContentMarkingFooterText">
    <vt:lpwstr>Sólo uso interno</vt:lpwstr>
  </property>
  <property fmtid="{D5CDD505-2E9C-101B-9397-08002B2CF9AE}" pid="40" name="MSIP_Label_6dda522c-392e-4927-8936-fdbf7e4d8220_Enabled">
    <vt:lpwstr>true</vt:lpwstr>
  </property>
  <property fmtid="{D5CDD505-2E9C-101B-9397-08002B2CF9AE}" pid="41" name="MSIP_Label_6dda522c-392e-4927-8936-fdbf7e4d8220_SetDate">
    <vt:lpwstr>2025-02-12T13:42:29Z</vt:lpwstr>
  </property>
  <property fmtid="{D5CDD505-2E9C-101B-9397-08002B2CF9AE}" pid="42" name="MSIP_Label_6dda522c-392e-4927-8936-fdbf7e4d8220_Method">
    <vt:lpwstr>Standard</vt:lpwstr>
  </property>
  <property fmtid="{D5CDD505-2E9C-101B-9397-08002B2CF9AE}" pid="43" name="MSIP_Label_6dda522c-392e-4927-8936-fdbf7e4d8220_Name">
    <vt:lpwstr>Uso interno</vt:lpwstr>
  </property>
  <property fmtid="{D5CDD505-2E9C-101B-9397-08002B2CF9AE}" pid="44" name="MSIP_Label_6dda522c-392e-4927-8936-fdbf7e4d8220_SiteId">
    <vt:lpwstr>7058ea83-9484-46cb-b59d-67006e22c0d6</vt:lpwstr>
  </property>
  <property fmtid="{D5CDD505-2E9C-101B-9397-08002B2CF9AE}" pid="45" name="MSIP_Label_6dda522c-392e-4927-8936-fdbf7e4d8220_ActionId">
    <vt:lpwstr>3c18d5f6-1205-4d0e-b3de-6813203b5b8f</vt:lpwstr>
  </property>
  <property fmtid="{D5CDD505-2E9C-101B-9397-08002B2CF9AE}" pid="46" name="MSIP_Label_6dda522c-392e-4927-8936-fdbf7e4d8220_ContentBits">
    <vt:lpwstr>2</vt:lpwstr>
  </property>
</Properties>
</file>