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1B7EA6F" w14:textId="77777777" w:rsidR="00A3639B" w:rsidRPr="00321F0A" w:rsidRDefault="00A3639B" w:rsidP="00A3639B">
      <w:pPr>
        <w:pStyle w:val="EinfacherAbsatz"/>
        <w:spacing w:line="240" w:lineRule="auto"/>
        <w:jc w:val="center"/>
        <w:rPr>
          <w:rFonts w:ascii="Arial Black" w:eastAsia="ColossalisBold" w:hAnsi="Arial Black" w:cs="Arial"/>
          <w:b/>
          <w:bCs/>
          <w:color w:val="5E175E"/>
          <w:spacing w:val="17"/>
          <w:w w:val="86"/>
          <w:kern w:val="60"/>
          <w:sz w:val="68"/>
          <w:szCs w:val="68"/>
          <w:lang w:val="en-GB"/>
        </w:rPr>
      </w:pPr>
      <w:r w:rsidRPr="00321F0A">
        <w:rPr>
          <w:rFonts w:ascii="Arial Black" w:eastAsia="ColossalisBold" w:hAnsi="Arial Black" w:cs="Arial"/>
          <w:b/>
          <w:bCs/>
          <w:color w:val="5E175E"/>
          <w:spacing w:val="17"/>
          <w:w w:val="86"/>
          <w:kern w:val="60"/>
          <w:sz w:val="68"/>
          <w:szCs w:val="68"/>
          <w:lang w:val="en-GB"/>
        </w:rPr>
        <w:t>Intersex Genital Mutilations</w:t>
      </w:r>
    </w:p>
    <w:p w14:paraId="714AE150" w14:textId="77777777" w:rsidR="00A3639B" w:rsidRPr="00321F0A" w:rsidRDefault="00A3639B" w:rsidP="00A3639B">
      <w:pPr>
        <w:pStyle w:val="EinfacherAbsatz"/>
        <w:spacing w:line="240" w:lineRule="auto"/>
        <w:jc w:val="center"/>
        <w:rPr>
          <w:rFonts w:ascii="Arial Black" w:eastAsia="ColossalisBold" w:hAnsi="Arial Black" w:cs="Arial"/>
          <w:b/>
          <w:bCs/>
          <w:color w:val="5E175E"/>
          <w:spacing w:val="9"/>
          <w:w w:val="92"/>
          <w:kern w:val="44"/>
          <w:sz w:val="48"/>
          <w:szCs w:val="48"/>
          <w:lang w:val="en-GB"/>
        </w:rPr>
      </w:pPr>
      <w:r w:rsidRPr="00321F0A">
        <w:rPr>
          <w:rFonts w:ascii="Arial Black" w:eastAsia="ColossalisBold" w:hAnsi="Arial Black" w:cs="Arial"/>
          <w:b/>
          <w:bCs/>
          <w:color w:val="5E175E"/>
          <w:spacing w:val="9"/>
          <w:w w:val="92"/>
          <w:kern w:val="44"/>
          <w:sz w:val="48"/>
          <w:szCs w:val="48"/>
          <w:lang w:val="en-GB"/>
        </w:rPr>
        <w:t>Human Rights Violations Of Children</w:t>
      </w:r>
    </w:p>
    <w:p w14:paraId="0D6ACB7C" w14:textId="77777777" w:rsidR="00A3639B" w:rsidRPr="00321F0A" w:rsidRDefault="00A3639B" w:rsidP="00A3639B">
      <w:pPr>
        <w:pStyle w:val="EinfacherAbsatz"/>
        <w:spacing w:line="240" w:lineRule="auto"/>
        <w:jc w:val="center"/>
        <w:rPr>
          <w:rFonts w:ascii="Times New Roman" w:eastAsia="ColossalisBold" w:hAnsi="Times New Roman" w:cs="Times New Roman"/>
          <w:b/>
          <w:bCs/>
          <w:color w:val="5E175E"/>
          <w:spacing w:val="12"/>
          <w:w w:val="85"/>
          <w:kern w:val="44"/>
          <w:sz w:val="44"/>
          <w:szCs w:val="44"/>
          <w:lang w:val="en-GB"/>
        </w:rPr>
      </w:pPr>
      <w:r w:rsidRPr="00321F0A">
        <w:rPr>
          <w:rFonts w:ascii="Arial Black" w:eastAsia="ColossalisBold" w:hAnsi="Arial Black" w:cs="Arial"/>
          <w:b/>
          <w:bCs/>
          <w:color w:val="5E175E"/>
          <w:spacing w:val="12"/>
          <w:w w:val="85"/>
          <w:kern w:val="44"/>
          <w:sz w:val="44"/>
          <w:szCs w:val="44"/>
          <w:lang w:val="en-GB"/>
        </w:rPr>
        <w:t>With Variations Of Reproductive Anatomy</w:t>
      </w:r>
    </w:p>
    <w:p w14:paraId="0FD5B172" w14:textId="77777777" w:rsidR="00120375" w:rsidRPr="00274495" w:rsidRDefault="00120375" w:rsidP="00120375">
      <w:pPr>
        <w:pStyle w:val="EinfacherAbsatz"/>
        <w:spacing w:line="240" w:lineRule="auto"/>
        <w:rPr>
          <w:rFonts w:eastAsia="ColossalisBold" w:cs="Arial"/>
          <w:b/>
          <w:bCs/>
          <w:color w:val="5E175E"/>
          <w:spacing w:val="11"/>
          <w:w w:val="95"/>
          <w:sz w:val="40"/>
          <w:szCs w:val="40"/>
          <w:lang w:val="en-GB"/>
        </w:rPr>
      </w:pPr>
    </w:p>
    <w:p w14:paraId="140515E5" w14:textId="77777777" w:rsidR="00120375" w:rsidRPr="00274495" w:rsidRDefault="00120375" w:rsidP="00120375">
      <w:pPr>
        <w:pStyle w:val="EinfacherAbsatz"/>
        <w:spacing w:line="240" w:lineRule="auto"/>
        <w:rPr>
          <w:rFonts w:eastAsia="ColossalisBold" w:cs="Arial"/>
          <w:b/>
          <w:bCs/>
          <w:color w:val="5E175E"/>
          <w:spacing w:val="11"/>
          <w:w w:val="95"/>
          <w:sz w:val="40"/>
          <w:szCs w:val="40"/>
          <w:lang w:val="en-GB"/>
        </w:rPr>
      </w:pPr>
    </w:p>
    <w:p w14:paraId="22259D81" w14:textId="77777777" w:rsidR="00120375" w:rsidRPr="00B87ABD" w:rsidRDefault="00120375" w:rsidP="00120375">
      <w:pPr>
        <w:pStyle w:val="EinfacherAbsatz"/>
        <w:spacing w:line="240" w:lineRule="auto"/>
        <w:jc w:val="center"/>
        <w:rPr>
          <w:rFonts w:eastAsia="ColossalisBold" w:cs="Arial"/>
          <w:b/>
          <w:bCs/>
          <w:color w:val="5E175E"/>
          <w:spacing w:val="11"/>
          <w:w w:val="95"/>
          <w:sz w:val="30"/>
          <w:szCs w:val="30"/>
          <w:lang w:val="en-GB"/>
        </w:rPr>
      </w:pPr>
      <w:r w:rsidRPr="00B87ABD">
        <w:rPr>
          <w:rFonts w:ascii="Times New Roman" w:eastAsia="Arial-BoldMT" w:hAnsi="Times New Roman" w:cs="Times New Roman"/>
          <w:b/>
          <w:noProof/>
          <w:spacing w:val="6"/>
          <w:sz w:val="28"/>
          <w:szCs w:val="28"/>
          <w:lang w:val="de-CH" w:eastAsia="de-CH" w:bidi="ar-SA"/>
        </w:rPr>
        <w:drawing>
          <wp:inline distT="0" distB="0" distL="0" distR="0" wp14:anchorId="7462BEFF" wp14:editId="0B463905">
            <wp:extent cx="2520000" cy="2520000"/>
            <wp:effectExtent l="0" t="0" r="0" b="0"/>
            <wp:docPr id="10"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pped-logo-2018.jpg"/>
                    <pic:cNvPicPr/>
                  </pic:nvPicPr>
                  <pic:blipFill>
                    <a:blip r:embed="rId9">
                      <a:extLst>
                        <a:ext uri="{28A0092B-C50C-407E-A947-70E740481C1C}">
                          <a14:useLocalDpi xmlns:a14="http://schemas.microsoft.com/office/drawing/2010/main" val="0"/>
                        </a:ext>
                      </a:extLst>
                    </a:blip>
                    <a:stretch>
                      <a:fillRect/>
                    </a:stretch>
                  </pic:blipFill>
                  <pic:spPr>
                    <a:xfrm>
                      <a:off x="0" y="0"/>
                      <a:ext cx="2520000" cy="2520000"/>
                    </a:xfrm>
                    <a:prstGeom prst="rect">
                      <a:avLst/>
                    </a:prstGeom>
                  </pic:spPr>
                </pic:pic>
              </a:graphicData>
            </a:graphic>
          </wp:inline>
        </w:drawing>
      </w:r>
    </w:p>
    <w:p w14:paraId="181810E4" w14:textId="77777777" w:rsidR="00120375" w:rsidRPr="00B87ABD" w:rsidRDefault="00120375" w:rsidP="00120375">
      <w:pPr>
        <w:pStyle w:val="EinfacherAbsatz"/>
        <w:spacing w:line="240" w:lineRule="auto"/>
        <w:jc w:val="center"/>
        <w:rPr>
          <w:rFonts w:eastAsia="ColossalisBold" w:cs="Arial"/>
          <w:b/>
          <w:bCs/>
          <w:color w:val="5E175E"/>
          <w:spacing w:val="11"/>
          <w:w w:val="95"/>
          <w:sz w:val="16"/>
          <w:szCs w:val="16"/>
          <w:lang w:val="en-GB"/>
        </w:rPr>
      </w:pPr>
    </w:p>
    <w:p w14:paraId="6E4CC90D" w14:textId="77777777" w:rsidR="00120375" w:rsidRPr="00B87ABD" w:rsidRDefault="00120375" w:rsidP="00120375">
      <w:pPr>
        <w:pStyle w:val="EinfacherAbsatz"/>
        <w:spacing w:line="240" w:lineRule="auto"/>
        <w:jc w:val="center"/>
        <w:rPr>
          <w:rFonts w:eastAsia="ColossalisBold" w:cs="Arial"/>
          <w:b/>
          <w:bCs/>
          <w:color w:val="5E175E"/>
          <w:spacing w:val="11"/>
          <w:w w:val="95"/>
          <w:sz w:val="16"/>
          <w:szCs w:val="16"/>
          <w:lang w:val="en-GB"/>
        </w:rPr>
      </w:pPr>
    </w:p>
    <w:p w14:paraId="12C9E9D7" w14:textId="77777777" w:rsidR="00120375" w:rsidRPr="00B87ABD" w:rsidRDefault="00120375" w:rsidP="00120375">
      <w:pPr>
        <w:pStyle w:val="EinfacherAbsatz"/>
        <w:spacing w:line="240" w:lineRule="auto"/>
        <w:jc w:val="center"/>
        <w:rPr>
          <w:rFonts w:eastAsia="ColossalisBold" w:cs="Arial"/>
          <w:b/>
          <w:bCs/>
          <w:color w:val="5E175E"/>
          <w:spacing w:val="11"/>
          <w:w w:val="95"/>
          <w:sz w:val="30"/>
          <w:szCs w:val="30"/>
          <w:lang w:val="en-GB"/>
        </w:rPr>
      </w:pPr>
      <w:r w:rsidRPr="00B87ABD">
        <w:rPr>
          <w:rFonts w:ascii="Times New Roman" w:eastAsia="ColossalisBold" w:hAnsi="Times New Roman" w:cs="Times New Roman"/>
          <w:b/>
          <w:noProof/>
          <w:color w:val="5E175E"/>
          <w:spacing w:val="11"/>
          <w:w w:val="95"/>
          <w:sz w:val="30"/>
          <w:szCs w:val="30"/>
          <w:lang w:val="de-CH" w:eastAsia="de-CH" w:bidi="ar-SA"/>
        </w:rPr>
        <w:drawing>
          <wp:inline distT="0" distB="0" distL="0" distR="0" wp14:anchorId="20063C60" wp14:editId="2A46F443">
            <wp:extent cx="2191385" cy="2518410"/>
            <wp:effectExtent l="0" t="0" r="0" b="0"/>
            <wp:docPr id="8" name="Bild 1" descr="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topIGM.or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1385" cy="2518410"/>
                    </a:xfrm>
                    <a:prstGeom prst="rect">
                      <a:avLst/>
                    </a:prstGeom>
                    <a:noFill/>
                    <a:ln>
                      <a:noFill/>
                    </a:ln>
                  </pic:spPr>
                </pic:pic>
              </a:graphicData>
            </a:graphic>
          </wp:inline>
        </w:drawing>
      </w:r>
    </w:p>
    <w:p w14:paraId="671CA928" w14:textId="77777777" w:rsidR="00120375" w:rsidRPr="00274495" w:rsidRDefault="00120375" w:rsidP="00120375">
      <w:pPr>
        <w:pStyle w:val="EinfacherAbsatz"/>
        <w:spacing w:line="240" w:lineRule="auto"/>
        <w:rPr>
          <w:rFonts w:eastAsia="ColossalisBold" w:cs="Arial"/>
          <w:b/>
          <w:bCs/>
          <w:color w:val="5E175E"/>
          <w:spacing w:val="11"/>
          <w:w w:val="95"/>
          <w:sz w:val="40"/>
          <w:szCs w:val="40"/>
          <w:lang w:val="en-GB"/>
        </w:rPr>
      </w:pPr>
    </w:p>
    <w:p w14:paraId="51924B62" w14:textId="77777777" w:rsidR="00120375" w:rsidRPr="00274495" w:rsidRDefault="00120375" w:rsidP="00120375">
      <w:pPr>
        <w:pStyle w:val="EinfacherAbsatz"/>
        <w:spacing w:line="240" w:lineRule="auto"/>
        <w:rPr>
          <w:rFonts w:eastAsia="ColossalisBold" w:cs="Arial"/>
          <w:b/>
          <w:bCs/>
          <w:color w:val="5E175E"/>
          <w:spacing w:val="11"/>
          <w:w w:val="95"/>
          <w:sz w:val="40"/>
          <w:szCs w:val="40"/>
          <w:lang w:val="en-GB"/>
        </w:rPr>
      </w:pPr>
    </w:p>
    <w:p w14:paraId="3F5CA18C" w14:textId="7746A4E3" w:rsidR="008D4606" w:rsidRPr="008521EA" w:rsidRDefault="0010186B" w:rsidP="008D4606">
      <w:pPr>
        <w:pStyle w:val="EinfacherAbsatz"/>
        <w:spacing w:line="240" w:lineRule="auto"/>
        <w:rPr>
          <w:rFonts w:ascii="Arial Black" w:eastAsia="ColossalisBold" w:hAnsi="Arial Black" w:cs="Arial"/>
          <w:b/>
          <w:bCs/>
          <w:color w:val="5E175E"/>
          <w:spacing w:val="11"/>
          <w:w w:val="95"/>
          <w:sz w:val="36"/>
          <w:szCs w:val="36"/>
          <w:lang w:val="en-GB"/>
        </w:rPr>
      </w:pPr>
      <w:r>
        <w:rPr>
          <w:rFonts w:ascii="Arial Black" w:eastAsia="ColossalisBold" w:hAnsi="Arial Black" w:cs="Arial"/>
          <w:b/>
          <w:bCs/>
          <w:color w:val="5E175E"/>
          <w:spacing w:val="11"/>
          <w:w w:val="95"/>
          <w:sz w:val="36"/>
          <w:szCs w:val="36"/>
          <w:lang w:val="en-GB"/>
        </w:rPr>
        <w:t xml:space="preserve">NGO Report (for </w:t>
      </w:r>
      <w:r w:rsidR="00682C4B">
        <w:rPr>
          <w:rFonts w:ascii="Arial Black" w:eastAsia="ColossalisBold" w:hAnsi="Arial Black" w:cs="Arial"/>
          <w:b/>
          <w:bCs/>
          <w:color w:val="5E175E"/>
          <w:spacing w:val="11"/>
          <w:w w:val="95"/>
          <w:sz w:val="36"/>
          <w:szCs w:val="36"/>
          <w:lang w:val="en-GB"/>
        </w:rPr>
        <w:t>LOIPR</w:t>
      </w:r>
      <w:r w:rsidR="008D4606" w:rsidRPr="008521EA">
        <w:rPr>
          <w:rFonts w:ascii="Arial Black" w:eastAsia="ColossalisBold" w:hAnsi="Arial Black" w:cs="Arial"/>
          <w:b/>
          <w:bCs/>
          <w:color w:val="5E175E"/>
          <w:spacing w:val="11"/>
          <w:w w:val="95"/>
          <w:sz w:val="36"/>
          <w:szCs w:val="36"/>
          <w:lang w:val="en-GB"/>
        </w:rPr>
        <w:t>)</w:t>
      </w:r>
    </w:p>
    <w:p w14:paraId="5FAE5033" w14:textId="7CFFA28A" w:rsidR="008D4606" w:rsidRDefault="008D4606" w:rsidP="008D4606">
      <w:pPr>
        <w:pStyle w:val="EinfacherAbsatz"/>
        <w:spacing w:line="240" w:lineRule="auto"/>
        <w:rPr>
          <w:rFonts w:ascii="Arial Black" w:eastAsia="ColossalisBold" w:hAnsi="Arial Black" w:cs="Arial"/>
          <w:b/>
          <w:bCs/>
          <w:color w:val="5E175E"/>
          <w:w w:val="85"/>
          <w:kern w:val="34"/>
          <w:sz w:val="34"/>
          <w:szCs w:val="34"/>
          <w:lang w:val="en-GB"/>
        </w:rPr>
      </w:pPr>
      <w:r w:rsidRPr="008521EA">
        <w:rPr>
          <w:rFonts w:ascii="Arial Black" w:eastAsia="ColossalisBold" w:hAnsi="Arial Black" w:cs="Arial"/>
          <w:b/>
          <w:bCs/>
          <w:color w:val="5E175E"/>
          <w:w w:val="85"/>
          <w:kern w:val="34"/>
          <w:sz w:val="34"/>
          <w:szCs w:val="34"/>
          <w:lang w:val="en-GB"/>
        </w:rPr>
        <w:t xml:space="preserve">to the </w:t>
      </w:r>
      <w:r w:rsidR="0010186B">
        <w:rPr>
          <w:rFonts w:ascii="Arial Black" w:eastAsia="ColossalisBold" w:hAnsi="Arial Black" w:cs="Arial"/>
          <w:b/>
          <w:bCs/>
          <w:color w:val="5E175E"/>
          <w:w w:val="85"/>
          <w:kern w:val="34"/>
          <w:sz w:val="34"/>
          <w:szCs w:val="34"/>
          <w:lang w:val="en-GB"/>
        </w:rPr>
        <w:t>9</w:t>
      </w:r>
      <w:r w:rsidR="0010186B" w:rsidRPr="0010186B">
        <w:rPr>
          <w:rFonts w:ascii="Arial Black" w:eastAsia="ColossalisBold" w:hAnsi="Arial Black" w:cs="Arial"/>
          <w:b/>
          <w:bCs/>
          <w:color w:val="5E175E"/>
          <w:w w:val="85"/>
          <w:kern w:val="34"/>
          <w:sz w:val="34"/>
          <w:szCs w:val="34"/>
          <w:vertAlign w:val="superscript"/>
          <w:lang w:val="en-GB"/>
        </w:rPr>
        <w:t>th</w:t>
      </w:r>
      <w:r w:rsidRPr="008521EA">
        <w:rPr>
          <w:rFonts w:ascii="Arial Black" w:eastAsia="ColossalisBold" w:hAnsi="Arial Black" w:cs="Arial"/>
          <w:b/>
          <w:bCs/>
          <w:color w:val="5E175E"/>
          <w:w w:val="85"/>
          <w:kern w:val="34"/>
          <w:sz w:val="34"/>
          <w:szCs w:val="34"/>
          <w:lang w:val="en-GB"/>
        </w:rPr>
        <w:t xml:space="preserve"> Periodic Report of </w:t>
      </w:r>
      <w:r w:rsidR="00682C4B">
        <w:rPr>
          <w:rFonts w:ascii="Arial Black" w:eastAsia="ColossalisBold" w:hAnsi="Arial Black" w:cs="Arial"/>
          <w:b/>
          <w:bCs/>
          <w:color w:val="5E175E"/>
          <w:w w:val="95"/>
          <w:kern w:val="34"/>
          <w:sz w:val="34"/>
          <w:szCs w:val="34"/>
          <w:lang w:val="en-GB"/>
        </w:rPr>
        <w:t>Spain</w:t>
      </w:r>
    </w:p>
    <w:p w14:paraId="41B39CAF" w14:textId="77777777" w:rsidR="0010186B" w:rsidRDefault="0010186B" w:rsidP="0010186B">
      <w:pPr>
        <w:pStyle w:val="EinfacherAbsatz"/>
        <w:spacing w:line="240" w:lineRule="auto"/>
        <w:rPr>
          <w:rFonts w:ascii="Arial Black" w:eastAsia="ColossalisBold" w:hAnsi="Arial Black" w:cs="Arial"/>
          <w:b/>
          <w:bCs/>
          <w:color w:val="5E175E"/>
          <w:w w:val="85"/>
          <w:kern w:val="34"/>
          <w:sz w:val="34"/>
          <w:szCs w:val="34"/>
          <w:lang w:val="en-GB"/>
        </w:rPr>
      </w:pPr>
      <w:r w:rsidRPr="0010186B">
        <w:rPr>
          <w:rFonts w:ascii="Arial Black" w:eastAsia="ColossalisBold" w:hAnsi="Arial Black" w:cs="Arial"/>
          <w:b/>
          <w:bCs/>
          <w:color w:val="5E175E"/>
          <w:w w:val="85"/>
          <w:kern w:val="34"/>
          <w:sz w:val="34"/>
          <w:szCs w:val="34"/>
          <w:lang w:val="en-GB"/>
        </w:rPr>
        <w:t>on the Convention on the Elimination of</w:t>
      </w:r>
      <w:r>
        <w:rPr>
          <w:rFonts w:ascii="Arial Black" w:eastAsia="ColossalisBold" w:hAnsi="Arial Black" w:cs="Arial"/>
          <w:b/>
          <w:bCs/>
          <w:color w:val="5E175E"/>
          <w:w w:val="85"/>
          <w:kern w:val="34"/>
          <w:sz w:val="34"/>
          <w:szCs w:val="34"/>
          <w:lang w:val="en-GB"/>
        </w:rPr>
        <w:t xml:space="preserve"> </w:t>
      </w:r>
    </w:p>
    <w:p w14:paraId="34D38147" w14:textId="228EAFD5" w:rsidR="0010186B" w:rsidRPr="008521EA" w:rsidRDefault="0010186B" w:rsidP="0010186B">
      <w:pPr>
        <w:pStyle w:val="EinfacherAbsatz"/>
        <w:rPr>
          <w:rFonts w:ascii="Arial Black" w:eastAsia="ColossalisBold" w:hAnsi="Arial Black" w:cs="Arial"/>
          <w:b/>
          <w:bCs/>
          <w:color w:val="5E175E"/>
          <w:w w:val="85"/>
          <w:kern w:val="34"/>
          <w:sz w:val="34"/>
          <w:szCs w:val="34"/>
          <w:lang w:val="en-GB"/>
        </w:rPr>
      </w:pPr>
      <w:r w:rsidRPr="0010186B">
        <w:rPr>
          <w:rFonts w:ascii="Arial Black" w:eastAsia="ColossalisBold" w:hAnsi="Arial Black" w:cs="Arial"/>
          <w:b/>
          <w:bCs/>
          <w:color w:val="5E175E"/>
          <w:w w:val="85"/>
          <w:kern w:val="34"/>
          <w:sz w:val="34"/>
          <w:szCs w:val="34"/>
          <w:lang w:val="en-GB"/>
        </w:rPr>
        <w:t xml:space="preserve">All Forms of Discrimination against Women </w:t>
      </w:r>
      <w:r w:rsidRPr="0010186B">
        <w:rPr>
          <w:rFonts w:ascii="Arial Black" w:eastAsia="ColossalisBold" w:hAnsi="Arial Black" w:cs="Arial"/>
          <w:b/>
          <w:bCs/>
          <w:color w:val="5E175E"/>
          <w:w w:val="90"/>
          <w:kern w:val="34"/>
          <w:sz w:val="34"/>
          <w:szCs w:val="34"/>
          <w:lang w:val="en-GB"/>
        </w:rPr>
        <w:t>(CEDAW)</w:t>
      </w:r>
    </w:p>
    <w:p w14:paraId="3C556CA8" w14:textId="3A70D962" w:rsidR="00B340CD" w:rsidRPr="008521EA" w:rsidRDefault="00B340CD" w:rsidP="00B340CD">
      <w:pPr>
        <w:pStyle w:val="EinfacherAbsatz"/>
        <w:pageBreakBefore/>
        <w:rPr>
          <w:rFonts w:cs="Times New Roman"/>
          <w:lang w:val="en-GB"/>
        </w:rPr>
      </w:pPr>
      <w:r w:rsidRPr="008521EA">
        <w:rPr>
          <w:rFonts w:cs="Arial"/>
          <w:b/>
          <w:sz w:val="28"/>
          <w:szCs w:val="28"/>
          <w:lang w:val="en-GB"/>
        </w:rPr>
        <w:lastRenderedPageBreak/>
        <w:t>Compiled by:</w:t>
      </w:r>
    </w:p>
    <w:p w14:paraId="34363097" w14:textId="77777777" w:rsidR="00B340CD" w:rsidRPr="00CB5355" w:rsidRDefault="00B340CD" w:rsidP="00321F0A">
      <w:pPr>
        <w:pStyle w:val="absatzschattenbericht"/>
        <w:rPr>
          <w:sz w:val="20"/>
          <w:szCs w:val="20"/>
        </w:rPr>
      </w:pPr>
    </w:p>
    <w:p w14:paraId="1DF2D63E" w14:textId="77777777" w:rsidR="00B340CD" w:rsidRPr="00CB5355" w:rsidRDefault="00B340CD" w:rsidP="00321F0A">
      <w:pPr>
        <w:pStyle w:val="absatzschattenbericht"/>
        <w:rPr>
          <w:sz w:val="20"/>
          <w:szCs w:val="20"/>
        </w:rPr>
      </w:pPr>
    </w:p>
    <w:p w14:paraId="59D6ED03" w14:textId="77777777" w:rsidR="00120375" w:rsidRPr="00B87ABD" w:rsidRDefault="00120375" w:rsidP="00321F0A">
      <w:pPr>
        <w:pStyle w:val="absatzschattenbericht"/>
        <w:rPr>
          <w:b/>
        </w:rPr>
      </w:pPr>
      <w:r w:rsidRPr="00B87ABD">
        <w:rPr>
          <w:b/>
          <w:bCs/>
        </w:rPr>
        <w:t>Brújula Intersexual</w:t>
      </w:r>
      <w:r w:rsidRPr="00B87ABD">
        <w:rPr>
          <w:bCs/>
        </w:rPr>
        <w:t xml:space="preserve"> </w:t>
      </w:r>
      <w:r w:rsidRPr="00B87ABD">
        <w:t>(International Intersex Human Rights NGO)</w:t>
      </w:r>
    </w:p>
    <w:p w14:paraId="254F7691" w14:textId="77777777" w:rsidR="00120375" w:rsidRPr="009549F3" w:rsidRDefault="00120375" w:rsidP="00321F0A">
      <w:pPr>
        <w:pStyle w:val="absatzschattenbericht"/>
      </w:pPr>
      <w:r w:rsidRPr="009549F3">
        <w:t>Laura Inter</w:t>
      </w:r>
    </w:p>
    <w:p w14:paraId="7484506B" w14:textId="77777777" w:rsidR="00120375" w:rsidRPr="00612231" w:rsidRDefault="00120375" w:rsidP="00321F0A">
      <w:pPr>
        <w:pStyle w:val="absatzschattenbericht"/>
        <w:rPr>
          <w:rStyle w:val="url"/>
          <w:rFonts w:eastAsia="Baskerville-Italic" w:cs="Times New Roman"/>
          <w:i/>
          <w:iCs/>
        </w:rPr>
      </w:pPr>
      <w:r w:rsidRPr="009549F3">
        <w:t>brujulaintersexual_at_gmail.com</w:t>
      </w:r>
    </w:p>
    <w:p w14:paraId="130E1E79" w14:textId="77777777" w:rsidR="00120375" w:rsidRPr="00612231" w:rsidRDefault="008836A8" w:rsidP="00321F0A">
      <w:pPr>
        <w:pStyle w:val="absatzschattenbericht"/>
        <w:rPr>
          <w:rStyle w:val="url"/>
          <w:rFonts w:eastAsia="Baskerville-Italic" w:cs="Times New Roman"/>
          <w:i/>
          <w:iCs/>
        </w:rPr>
      </w:pPr>
      <w:hyperlink r:id="rId11" w:history="1">
        <w:r w:rsidR="00120375" w:rsidRPr="00612231">
          <w:rPr>
            <w:rStyle w:val="Hyperlink"/>
            <w:rFonts w:eastAsia="Baskerville-Italic" w:cs="Times New Roman"/>
            <w:i/>
            <w:iCs/>
          </w:rPr>
          <w:t>https://brujulaintersexual.org/</w:t>
        </w:r>
      </w:hyperlink>
      <w:r w:rsidR="00120375" w:rsidRPr="009549F3">
        <w:t xml:space="preserve"> </w:t>
      </w:r>
    </w:p>
    <w:p w14:paraId="1FB3B657" w14:textId="77777777" w:rsidR="00120375" w:rsidRPr="00B87ABD" w:rsidRDefault="00120375" w:rsidP="00321F0A">
      <w:pPr>
        <w:pStyle w:val="absatzschattenbericht"/>
      </w:pPr>
      <w:r w:rsidRPr="00B87ABD">
        <w:t xml:space="preserve">Facebook: </w:t>
      </w:r>
      <w:hyperlink r:id="rId12" w:history="1">
        <w:r w:rsidRPr="00B87ABD">
          <w:rPr>
            <w:rStyle w:val="Hyperlink"/>
            <w:i/>
          </w:rPr>
          <w:t>https://www.facebook.com/Brujulaintersex/</w:t>
        </w:r>
      </w:hyperlink>
      <w:r w:rsidRPr="00B87ABD">
        <w:t xml:space="preserve"> </w:t>
      </w:r>
    </w:p>
    <w:p w14:paraId="4C66EBCA" w14:textId="77777777" w:rsidR="00120375" w:rsidRPr="00321F0A" w:rsidRDefault="00120375" w:rsidP="00321F0A">
      <w:pPr>
        <w:pStyle w:val="absatzschattenbericht"/>
        <w:rPr>
          <w:lang w:val="de-CH"/>
        </w:rPr>
      </w:pPr>
      <w:r w:rsidRPr="00321F0A">
        <w:rPr>
          <w:lang w:val="de-CH"/>
        </w:rPr>
        <w:t>Twitter: @brujulaintersex</w:t>
      </w:r>
    </w:p>
    <w:p w14:paraId="63C125F5" w14:textId="77777777" w:rsidR="00DF1397" w:rsidRPr="00CB5355" w:rsidRDefault="00DF1397" w:rsidP="00321F0A">
      <w:pPr>
        <w:pStyle w:val="absatzschattenbericht"/>
        <w:rPr>
          <w:sz w:val="20"/>
          <w:szCs w:val="20"/>
          <w:lang w:val="de-CH"/>
        </w:rPr>
      </w:pPr>
    </w:p>
    <w:p w14:paraId="03DA024C" w14:textId="77777777" w:rsidR="00DF1397" w:rsidRPr="00CB5355" w:rsidRDefault="00DF1397" w:rsidP="00321F0A">
      <w:pPr>
        <w:pStyle w:val="absatzschattenbericht"/>
        <w:rPr>
          <w:sz w:val="20"/>
          <w:szCs w:val="20"/>
          <w:lang w:val="de-CH"/>
        </w:rPr>
      </w:pPr>
    </w:p>
    <w:p w14:paraId="23708977" w14:textId="77777777" w:rsidR="00120375" w:rsidRPr="00321F0A" w:rsidRDefault="00120375" w:rsidP="00321F0A">
      <w:pPr>
        <w:pStyle w:val="absatzschattenbericht"/>
        <w:rPr>
          <w:lang w:val="de-CH"/>
        </w:rPr>
      </w:pPr>
      <w:r w:rsidRPr="00321F0A">
        <w:rPr>
          <w:rFonts w:eastAsia="Baskerville-Bold"/>
          <w:b/>
          <w:bCs/>
          <w:lang w:val="de-CH"/>
        </w:rPr>
        <w:t>StopIGM.org / Zwischengeschlecht.org</w:t>
      </w:r>
      <w:r w:rsidRPr="00321F0A">
        <w:rPr>
          <w:lang w:val="de-CH"/>
        </w:rPr>
        <w:t xml:space="preserve"> (International Intersex Human Rights NGO)</w:t>
      </w:r>
    </w:p>
    <w:p w14:paraId="2F564EFB" w14:textId="77777777" w:rsidR="00120375" w:rsidRPr="00321F0A" w:rsidRDefault="00120375" w:rsidP="00321F0A">
      <w:pPr>
        <w:pStyle w:val="absatzschattenbericht"/>
        <w:rPr>
          <w:lang w:val="de-CH"/>
        </w:rPr>
      </w:pPr>
      <w:r w:rsidRPr="00321F0A">
        <w:rPr>
          <w:lang w:val="de-CH"/>
        </w:rPr>
        <w:t>Markus Bauer</w:t>
      </w:r>
    </w:p>
    <w:p w14:paraId="1D20C83B" w14:textId="77777777" w:rsidR="00120375" w:rsidRPr="00321F0A" w:rsidRDefault="00120375" w:rsidP="00321F0A">
      <w:pPr>
        <w:pStyle w:val="absatzschattenbericht"/>
        <w:rPr>
          <w:lang w:val="de-CH"/>
        </w:rPr>
      </w:pPr>
      <w:r w:rsidRPr="00321F0A">
        <w:rPr>
          <w:lang w:val="de-CH"/>
        </w:rPr>
        <w:t>Daniela Truffer</w:t>
      </w:r>
    </w:p>
    <w:p w14:paraId="0DAE3922" w14:textId="77777777" w:rsidR="00120375" w:rsidRPr="00321F0A" w:rsidRDefault="00120375" w:rsidP="00321F0A">
      <w:pPr>
        <w:pStyle w:val="absatzschattenbericht"/>
        <w:rPr>
          <w:lang w:val="de-CH"/>
        </w:rPr>
      </w:pPr>
      <w:r w:rsidRPr="00321F0A">
        <w:rPr>
          <w:lang w:val="de-CH"/>
        </w:rPr>
        <w:t>Zwischengeschlecht.org</w:t>
      </w:r>
    </w:p>
    <w:p w14:paraId="6FD27B94" w14:textId="77777777" w:rsidR="00120375" w:rsidRPr="00321F0A" w:rsidRDefault="00120375" w:rsidP="00321F0A">
      <w:pPr>
        <w:pStyle w:val="absatzschattenbericht"/>
        <w:rPr>
          <w:lang w:val="de-CH"/>
        </w:rPr>
      </w:pPr>
      <w:r w:rsidRPr="00321F0A">
        <w:rPr>
          <w:lang w:val="de-CH"/>
        </w:rPr>
        <w:t>P.O.Box 2122</w:t>
      </w:r>
    </w:p>
    <w:p w14:paraId="78DBDFBD" w14:textId="77777777" w:rsidR="00120375" w:rsidRPr="00321F0A" w:rsidRDefault="00120375" w:rsidP="00321F0A">
      <w:pPr>
        <w:pStyle w:val="absatzschattenbericht"/>
        <w:rPr>
          <w:lang w:val="de-CH"/>
        </w:rPr>
      </w:pPr>
      <w:r w:rsidRPr="00321F0A">
        <w:rPr>
          <w:lang w:val="de-CH"/>
        </w:rPr>
        <w:t>CH-8031 Zurich</w:t>
      </w:r>
    </w:p>
    <w:p w14:paraId="262342FC" w14:textId="77777777" w:rsidR="00120375" w:rsidRPr="00F7422E" w:rsidRDefault="00120375" w:rsidP="00321F0A">
      <w:pPr>
        <w:pStyle w:val="absatzschattenbericht"/>
        <w:rPr>
          <w:rStyle w:val="url"/>
          <w:rFonts w:eastAsia="Baskerville-Italic" w:cs="Times New Roman"/>
          <w:i/>
          <w:iCs/>
          <w:lang w:val="de-CH"/>
        </w:rPr>
      </w:pPr>
      <w:r w:rsidRPr="00321F0A">
        <w:rPr>
          <w:lang w:val="de-CH"/>
        </w:rPr>
        <w:t>info_at_zwischengeschlecht.org</w:t>
      </w:r>
    </w:p>
    <w:p w14:paraId="31CD71A0" w14:textId="77777777" w:rsidR="00120375" w:rsidRPr="00376BF3" w:rsidRDefault="008836A8" w:rsidP="00321F0A">
      <w:pPr>
        <w:pStyle w:val="absatzschattenbericht"/>
        <w:rPr>
          <w:rStyle w:val="url"/>
          <w:rFonts w:eastAsia="Baskerville-Italic" w:cs="Times New Roman"/>
          <w:i/>
          <w:iCs/>
          <w:lang w:val="de-CH"/>
        </w:rPr>
      </w:pPr>
      <w:hyperlink r:id="rId13" w:history="1">
        <w:r w:rsidR="00120375" w:rsidRPr="00376BF3">
          <w:rPr>
            <w:rStyle w:val="Hyperlink"/>
            <w:rFonts w:eastAsia="Baskerville-Italic" w:cs="Times New Roman"/>
            <w:i/>
            <w:iCs/>
            <w:lang w:val="de-CH"/>
          </w:rPr>
          <w:t>http://Zwischengeschlecht.org/</w:t>
        </w:r>
      </w:hyperlink>
      <w:r w:rsidR="00120375" w:rsidRPr="00376BF3">
        <w:rPr>
          <w:rStyle w:val="url"/>
          <w:rFonts w:eastAsia="Baskerville-Italic" w:cs="Times New Roman"/>
          <w:lang w:val="de-CH"/>
        </w:rPr>
        <w:t xml:space="preserve"> </w:t>
      </w:r>
    </w:p>
    <w:p w14:paraId="318CC3D1" w14:textId="77777777" w:rsidR="00120375" w:rsidRPr="00376BF3" w:rsidRDefault="008836A8" w:rsidP="00321F0A">
      <w:pPr>
        <w:pStyle w:val="absatzschattenbericht"/>
        <w:rPr>
          <w:lang w:val="de-CH"/>
        </w:rPr>
      </w:pPr>
      <w:hyperlink r:id="rId14" w:history="1">
        <w:r w:rsidR="00120375" w:rsidRPr="00376BF3">
          <w:rPr>
            <w:rStyle w:val="Hyperlink"/>
            <w:rFonts w:eastAsia="Baskerville-Italic" w:cs="Times New Roman"/>
            <w:i/>
            <w:iCs/>
            <w:lang w:val="de-CH"/>
          </w:rPr>
          <w:t>http://StopIGM.org/</w:t>
        </w:r>
      </w:hyperlink>
      <w:r w:rsidR="00120375" w:rsidRPr="00376BF3">
        <w:rPr>
          <w:rStyle w:val="url"/>
          <w:rFonts w:eastAsia="Baskerville-Italic" w:cs="Times New Roman"/>
          <w:lang w:val="de-CH"/>
        </w:rPr>
        <w:t xml:space="preserve"> </w:t>
      </w:r>
    </w:p>
    <w:p w14:paraId="7D2AF2CF" w14:textId="77777777" w:rsidR="00DF1397" w:rsidRPr="00CB5355" w:rsidRDefault="00DF1397" w:rsidP="00321F0A">
      <w:pPr>
        <w:pStyle w:val="absatzschattenbericht"/>
        <w:rPr>
          <w:sz w:val="20"/>
          <w:szCs w:val="20"/>
          <w:lang w:val="de-CH"/>
        </w:rPr>
      </w:pPr>
    </w:p>
    <w:p w14:paraId="73B1E608" w14:textId="77777777" w:rsidR="00DF1397" w:rsidRPr="00CB5355" w:rsidRDefault="00DF1397" w:rsidP="00321F0A">
      <w:pPr>
        <w:pStyle w:val="absatzschattenbericht"/>
        <w:rPr>
          <w:sz w:val="20"/>
          <w:szCs w:val="20"/>
          <w:lang w:val="de-CH"/>
        </w:rPr>
      </w:pPr>
    </w:p>
    <w:p w14:paraId="5A4DB98C" w14:textId="622DBB5A" w:rsidR="00120375" w:rsidRPr="00CB5355" w:rsidRDefault="00120375" w:rsidP="00321F0A">
      <w:pPr>
        <w:pStyle w:val="absatzschattenbericht"/>
        <w:rPr>
          <w:b/>
        </w:rPr>
      </w:pPr>
      <w:r w:rsidRPr="00CB5355">
        <w:rPr>
          <w:b/>
        </w:rPr>
        <w:t>June 2019</w:t>
      </w:r>
    </w:p>
    <w:p w14:paraId="52C59B3A" w14:textId="77777777" w:rsidR="00DF1397" w:rsidRPr="00CB5355" w:rsidRDefault="00DF1397" w:rsidP="00321F0A">
      <w:pPr>
        <w:pStyle w:val="absatzschattenbericht"/>
        <w:rPr>
          <w:sz w:val="20"/>
          <w:szCs w:val="20"/>
        </w:rPr>
      </w:pPr>
    </w:p>
    <w:p w14:paraId="01E0EAEC" w14:textId="77777777" w:rsidR="00DF1397" w:rsidRPr="00CB5355" w:rsidRDefault="00DF1397" w:rsidP="00321F0A">
      <w:pPr>
        <w:pStyle w:val="absatzschattenbericht"/>
        <w:rPr>
          <w:sz w:val="20"/>
          <w:szCs w:val="20"/>
        </w:rPr>
      </w:pPr>
    </w:p>
    <w:p w14:paraId="36A2FFC7" w14:textId="77777777" w:rsidR="00DF1397" w:rsidRPr="00B87ABD" w:rsidRDefault="00DF1397" w:rsidP="00321F0A">
      <w:pPr>
        <w:pStyle w:val="absatzschattenbericht"/>
        <w:rPr>
          <w:rFonts w:eastAsia="ArialMT"/>
        </w:rPr>
      </w:pPr>
      <w:r w:rsidRPr="00CB5355">
        <w:rPr>
          <w:b/>
        </w:rPr>
        <w:t>This NGO Report online</w:t>
      </w:r>
      <w:r w:rsidRPr="00B87ABD">
        <w:t>:</w:t>
      </w:r>
    </w:p>
    <w:p w14:paraId="263B4757" w14:textId="4C840268" w:rsidR="00DF1397" w:rsidRPr="00CB5355" w:rsidRDefault="00CB5355" w:rsidP="00321F0A">
      <w:pPr>
        <w:pStyle w:val="absatzschattenbericht"/>
        <w:rPr>
          <w:lang w:val="de-CH"/>
        </w:rPr>
      </w:pPr>
      <w:r w:rsidRPr="00CB5355">
        <w:rPr>
          <w:rFonts w:cs="Times New Roman"/>
          <w:b/>
          <w:sz w:val="22"/>
          <w:szCs w:val="22"/>
          <w:lang w:val="de-CH"/>
        </w:rPr>
        <w:t>PDF</w:t>
      </w:r>
      <w:r w:rsidRPr="00CB5355">
        <w:rPr>
          <w:rFonts w:cs="Times New Roman"/>
          <w:sz w:val="22"/>
          <w:szCs w:val="22"/>
          <w:lang w:val="de-CH"/>
        </w:rPr>
        <w:t>:</w:t>
      </w:r>
      <w:r>
        <w:rPr>
          <w:rFonts w:cs="Times New Roman"/>
          <w:sz w:val="22"/>
          <w:szCs w:val="22"/>
          <w:lang w:val="de-CH"/>
        </w:rPr>
        <w:t xml:space="preserve"> </w:t>
      </w:r>
      <w:r w:rsidRPr="00CB5355">
        <w:rPr>
          <w:rFonts w:cs="Times New Roman"/>
          <w:sz w:val="22"/>
          <w:szCs w:val="22"/>
          <w:lang w:val="de-CH"/>
        </w:rPr>
        <w:t xml:space="preserve"> </w:t>
      </w:r>
      <w:hyperlink r:id="rId15" w:history="1">
        <w:r w:rsidRPr="00FC4C3A">
          <w:rPr>
            <w:rStyle w:val="Hyperlink"/>
            <w:rFonts w:cs="Times New Roman"/>
            <w:sz w:val="22"/>
            <w:szCs w:val="22"/>
            <w:lang w:val="de-CH"/>
          </w:rPr>
          <w:t>http://intersex.shadowreport.org/public/2019-CEDAW-Spain-LOIPR-Intersex-Brujula-StopIGM.pdf</w:t>
        </w:r>
      </w:hyperlink>
      <w:r>
        <w:rPr>
          <w:rFonts w:cs="Times New Roman"/>
          <w:sz w:val="22"/>
          <w:szCs w:val="22"/>
          <w:lang w:val="de-CH"/>
        </w:rPr>
        <w:t xml:space="preserve"> </w:t>
      </w:r>
    </w:p>
    <w:p w14:paraId="7F5D37DA" w14:textId="39A57AA1" w:rsidR="00CB5355" w:rsidRPr="00CB5355" w:rsidRDefault="00CB5355" w:rsidP="00CB5355">
      <w:pPr>
        <w:pStyle w:val="absatzschattenbericht"/>
        <w:rPr>
          <w:lang w:val="de-CH"/>
        </w:rPr>
      </w:pPr>
      <w:r w:rsidRPr="00CB5355">
        <w:rPr>
          <w:rFonts w:cs="Times New Roman"/>
          <w:b/>
          <w:sz w:val="22"/>
          <w:szCs w:val="22"/>
          <w:lang w:val="de-CH"/>
        </w:rPr>
        <w:t>DOCX</w:t>
      </w:r>
      <w:r>
        <w:rPr>
          <w:rFonts w:cs="Times New Roman"/>
          <w:sz w:val="22"/>
          <w:szCs w:val="22"/>
          <w:lang w:val="de-CH"/>
        </w:rPr>
        <w:t xml:space="preserve">: </w:t>
      </w:r>
      <w:hyperlink r:id="rId16" w:history="1">
        <w:r w:rsidRPr="00CB5355">
          <w:rPr>
            <w:rStyle w:val="Hyperlink"/>
            <w:rFonts w:cs="Times New Roman"/>
            <w:sz w:val="21"/>
            <w:szCs w:val="21"/>
            <w:lang w:val="de-CH"/>
          </w:rPr>
          <w:t>http://intersex.shadowreport.org/public/2019-CEDAW-Spain-LOIPR-Intersex-Brujula-StopIGM.docx</w:t>
        </w:r>
      </w:hyperlink>
      <w:r>
        <w:rPr>
          <w:rFonts w:cs="Times New Roman"/>
          <w:sz w:val="22"/>
          <w:szCs w:val="22"/>
          <w:lang w:val="de-CH"/>
        </w:rPr>
        <w:t xml:space="preserve"> </w:t>
      </w:r>
    </w:p>
    <w:p w14:paraId="3A878F00" w14:textId="77777777" w:rsidR="00DF1397" w:rsidRPr="00CB5355" w:rsidRDefault="00DF1397" w:rsidP="00321F0A">
      <w:pPr>
        <w:pStyle w:val="absatzschattenbericht"/>
        <w:rPr>
          <w:lang w:val="de-CH"/>
        </w:rPr>
      </w:pPr>
    </w:p>
    <w:p w14:paraId="7D85BA2E" w14:textId="77777777" w:rsidR="00DF1397" w:rsidRPr="00CB5355" w:rsidRDefault="00DF1397" w:rsidP="00321F0A">
      <w:pPr>
        <w:pStyle w:val="absatzschattenbericht"/>
        <w:rPr>
          <w:lang w:val="de-CH"/>
        </w:rPr>
      </w:pPr>
    </w:p>
    <w:p w14:paraId="45C11C71" w14:textId="797E0B44" w:rsidR="00AE3717" w:rsidRPr="00321F0A" w:rsidRDefault="00120375" w:rsidP="00321F0A">
      <w:pPr>
        <w:pStyle w:val="KeinAbsatzformat"/>
        <w:jc w:val="center"/>
        <w:rPr>
          <w:rFonts w:ascii="Times New Roman" w:eastAsia="Arial-BoldMT" w:hAnsi="Times New Roman" w:cs="Times New Roman"/>
          <w:b/>
          <w:spacing w:val="6"/>
          <w:sz w:val="28"/>
          <w:szCs w:val="28"/>
          <w:lang w:val="en-GB" w:eastAsia="de-DE" w:bidi="ar-SA"/>
        </w:rPr>
      </w:pPr>
      <w:r w:rsidRPr="00B87ABD">
        <w:rPr>
          <w:rFonts w:ascii="Times New Roman" w:eastAsia="Arial-BoldMT" w:hAnsi="Times New Roman" w:cs="Times New Roman"/>
          <w:b/>
          <w:noProof/>
          <w:spacing w:val="6"/>
          <w:sz w:val="28"/>
          <w:szCs w:val="28"/>
          <w:lang w:val="de-CH" w:eastAsia="de-CH" w:bidi="ar-SA"/>
        </w:rPr>
        <w:drawing>
          <wp:inline distT="0" distB="0" distL="0" distR="0" wp14:anchorId="51C8BAEE" wp14:editId="1CB81F85">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r w:rsidRPr="00B87ABD">
        <w:rPr>
          <w:rFonts w:ascii="Times New Roman" w:eastAsia="Arial-BoldMT" w:hAnsi="Times New Roman" w:cs="Times New Roman"/>
          <w:b/>
          <w:spacing w:val="6"/>
          <w:sz w:val="28"/>
          <w:szCs w:val="28"/>
          <w:lang w:val="en-GB" w:eastAsia="de-DE" w:bidi="ar-SA"/>
        </w:rPr>
        <w:t xml:space="preserve">               </w:t>
      </w:r>
      <w:r w:rsidRPr="00B87ABD">
        <w:rPr>
          <w:rFonts w:ascii="Times New Roman" w:eastAsia="Arial-BoldMT" w:hAnsi="Times New Roman" w:cs="Times New Roman"/>
          <w:b/>
          <w:noProof/>
          <w:spacing w:val="6"/>
          <w:sz w:val="28"/>
          <w:szCs w:val="28"/>
          <w:lang w:val="de-CH" w:eastAsia="de-CH" w:bidi="ar-SA"/>
        </w:rPr>
        <w:drawing>
          <wp:inline distT="0" distB="0" distL="0" distR="0" wp14:anchorId="5E9DE9BC" wp14:editId="6B1CC8E1">
            <wp:extent cx="1080000" cy="1080000"/>
            <wp:effectExtent l="0" t="0" r="12700" b="1270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pped-logo-2018.jpg"/>
                    <pic:cNvPicPr/>
                  </pic:nvPicPr>
                  <pic:blipFill>
                    <a:blip r:embed="rId9">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sidR="00AE3717">
        <w:rPr>
          <w:rFonts w:cs="Arial"/>
          <w:lang w:val="en-GB"/>
        </w:rPr>
        <w:br w:type="page"/>
      </w:r>
    </w:p>
    <w:p w14:paraId="2D5793D2" w14:textId="77777777" w:rsidR="004375E4" w:rsidRPr="008521EA" w:rsidRDefault="004375E4" w:rsidP="004375E4">
      <w:pPr>
        <w:pStyle w:val="Title1"/>
        <w:rPr>
          <w:rFonts w:eastAsia="Baskerville" w:cs="Times New Roman"/>
          <w:spacing w:val="2"/>
          <w:lang w:val="en-GB"/>
        </w:rPr>
      </w:pPr>
      <w:bookmarkStart w:id="0" w:name="_Toc11017671"/>
      <w:r w:rsidRPr="008521EA">
        <w:rPr>
          <w:lang w:val="en-GB"/>
        </w:rPr>
        <w:lastRenderedPageBreak/>
        <w:t>Executive Summary</w:t>
      </w:r>
      <w:bookmarkEnd w:id="0"/>
    </w:p>
    <w:p w14:paraId="035E2689" w14:textId="77777777" w:rsidR="005621F3" w:rsidRPr="00F75DCD" w:rsidRDefault="005621F3" w:rsidP="00321F0A">
      <w:pPr>
        <w:pStyle w:val="absatzschattenbericht"/>
        <w:spacing w:after="80"/>
      </w:pPr>
      <w:r w:rsidRPr="00D63179">
        <w:rPr>
          <w:b/>
        </w:rPr>
        <w:t>All typical forms of IGM practices are still practiced in Spain today, facilitated and paid for by the State party via the public National Health System (SNS). Parents</w:t>
      </w:r>
      <w:r w:rsidRPr="00321F0A">
        <w:t xml:space="preserve"> and children are misinformed, kept in the dark, sworn to secrecy, kept isolated and denied appropriate support.</w:t>
      </w:r>
    </w:p>
    <w:p w14:paraId="7CB517C0" w14:textId="44414E6D" w:rsidR="004375E4" w:rsidRPr="00651DA7" w:rsidRDefault="005621F3" w:rsidP="00321F0A">
      <w:pPr>
        <w:pStyle w:val="absatzschattenbericht"/>
        <w:spacing w:after="80"/>
      </w:pPr>
      <w:r w:rsidRPr="00321F0A">
        <w:rPr>
          <w:rFonts w:eastAsia="Baskerville-SemiBold" w:cs="Baskerville-SemiBold"/>
          <w:b/>
        </w:rPr>
        <w:t>Spain</w:t>
      </w:r>
      <w:r w:rsidR="004375E4" w:rsidRPr="00321F0A">
        <w:rPr>
          <w:rFonts w:eastAsia="Baskerville-SemiBold" w:cs="Baskerville-SemiBold"/>
          <w:b/>
        </w:rPr>
        <w:t xml:space="preserve"> </w:t>
      </w:r>
      <w:r w:rsidR="004375E4" w:rsidRPr="00321F0A">
        <w:rPr>
          <w:rFonts w:eastAsia="Baskerville-SemiBold" w:cs="Baskerville-SemiBold"/>
        </w:rPr>
        <w:t xml:space="preserve">is </w:t>
      </w:r>
      <w:r w:rsidR="000457A1" w:rsidRPr="00321F0A">
        <w:rPr>
          <w:rFonts w:eastAsia="Baskerville-SemiBold" w:cs="Baskerville-SemiBold"/>
        </w:rPr>
        <w:t xml:space="preserve">thus </w:t>
      </w:r>
      <w:r w:rsidR="004375E4" w:rsidRPr="00321F0A">
        <w:rPr>
          <w:rFonts w:eastAsia="Baskerville-SemiBold" w:cs="Baskerville-SemiBold"/>
        </w:rPr>
        <w:t>in</w:t>
      </w:r>
      <w:r w:rsidR="004375E4" w:rsidRPr="00321F0A">
        <w:rPr>
          <w:rFonts w:eastAsia="Baskerville-SemiBold" w:cs="Baskerville-SemiBold"/>
          <w:b/>
        </w:rPr>
        <w:t xml:space="preserve"> </w:t>
      </w:r>
      <w:r w:rsidR="004375E4" w:rsidRPr="00321F0A">
        <w:rPr>
          <w:rFonts w:eastAsia="Baskerville-SemiBold" w:cs="Baskerville-SemiBold"/>
        </w:rPr>
        <w:t>breach of its</w:t>
      </w:r>
      <w:r w:rsidR="004375E4" w:rsidRPr="00321F0A">
        <w:rPr>
          <w:rFonts w:eastAsia="Baskerville-SemiBold" w:cs="Baskerville-SemiBold"/>
          <w:b/>
        </w:rPr>
        <w:t xml:space="preserve"> obligations</w:t>
      </w:r>
      <w:r w:rsidR="004375E4" w:rsidRPr="00321F0A">
        <w:t xml:space="preserve"> to </w:t>
      </w:r>
      <w:r w:rsidR="004375E4" w:rsidRPr="00321F0A">
        <w:rPr>
          <w:b/>
        </w:rPr>
        <w:t xml:space="preserve">(a) </w:t>
      </w:r>
      <w:r w:rsidR="004375E4" w:rsidRPr="00321F0A">
        <w:t xml:space="preserve">take effective legislative, administrative, judicial or other measures to </w:t>
      </w:r>
      <w:r w:rsidR="004375E4" w:rsidRPr="00321F0A">
        <w:rPr>
          <w:b/>
        </w:rPr>
        <w:t>prevent involuntary, non-urgent genital surgery and other harmful medical treatment</w:t>
      </w:r>
      <w:r w:rsidR="004375E4" w:rsidRPr="00321F0A">
        <w:t xml:space="preserve"> of intersex children, </w:t>
      </w:r>
      <w:r w:rsidR="004375E4" w:rsidRPr="00321F0A">
        <w:rPr>
          <w:b/>
        </w:rPr>
        <w:t xml:space="preserve">(b) </w:t>
      </w:r>
      <w:r w:rsidR="004375E4" w:rsidRPr="00321F0A">
        <w:t xml:space="preserve">to ensure access to </w:t>
      </w:r>
      <w:r w:rsidR="004375E4" w:rsidRPr="00321F0A">
        <w:rPr>
          <w:b/>
        </w:rPr>
        <w:t>justice, redress, compensation and rehabilitation</w:t>
      </w:r>
      <w:r w:rsidR="004375E4" w:rsidRPr="00321F0A">
        <w:t xml:space="preserve"> for victims, and </w:t>
      </w:r>
      <w:r w:rsidR="004375E4" w:rsidRPr="00321F0A">
        <w:rPr>
          <w:b/>
        </w:rPr>
        <w:t xml:space="preserve">c) </w:t>
      </w:r>
      <w:r w:rsidR="004375E4" w:rsidRPr="00321F0A">
        <w:t xml:space="preserve">to provide families with intersex children with adequate </w:t>
      </w:r>
      <w:r w:rsidR="004375E4" w:rsidRPr="00321F0A">
        <w:rPr>
          <w:b/>
        </w:rPr>
        <w:t>psychosocial and peer support</w:t>
      </w:r>
      <w:r w:rsidR="004375E4" w:rsidRPr="00321F0A">
        <w:t xml:space="preserve"> (art. </w:t>
      </w:r>
      <w:r w:rsidR="00651DA7" w:rsidRPr="00321F0A">
        <w:t>5</w:t>
      </w:r>
      <w:r w:rsidR="004375E4" w:rsidRPr="00321F0A">
        <w:t>).</w:t>
      </w:r>
    </w:p>
    <w:p w14:paraId="73F23302" w14:textId="7366A7D3" w:rsidR="005621F3" w:rsidRPr="005621F3" w:rsidRDefault="005621F3" w:rsidP="00321F0A">
      <w:pPr>
        <w:pStyle w:val="absatzschattenbericht"/>
        <w:spacing w:after="80"/>
        <w:rPr>
          <w:lang w:val="en-US"/>
        </w:rPr>
      </w:pPr>
      <w:r w:rsidRPr="00321F0A">
        <w:rPr>
          <w:b/>
          <w:bCs/>
        </w:rPr>
        <w:t>CRC</w:t>
      </w:r>
      <w:r w:rsidRPr="00321F0A">
        <w:t xml:space="preserve"> has already considered </w:t>
      </w:r>
      <w:r w:rsidRPr="00321F0A">
        <w:rPr>
          <w:b/>
        </w:rPr>
        <w:t>IGM in Spain</w:t>
      </w:r>
      <w:r w:rsidRPr="00321F0A">
        <w:t xml:space="preserve"> </w:t>
      </w:r>
      <w:r w:rsidR="000457A1" w:rsidRPr="00321F0A">
        <w:t xml:space="preserve">to constitute </w:t>
      </w:r>
      <w:r w:rsidRPr="00321F0A">
        <w:t xml:space="preserve">a </w:t>
      </w:r>
      <w:r w:rsidRPr="00321F0A">
        <w:rPr>
          <w:b/>
          <w:bCs/>
        </w:rPr>
        <w:t>harmful practice</w:t>
      </w:r>
      <w:r w:rsidRPr="00321F0A">
        <w:t xml:space="preserve"> (</w:t>
      </w:r>
      <w:r w:rsidRPr="00321F0A">
        <w:rPr>
          <w:spacing w:val="2"/>
          <w:lang w:val="en-US"/>
        </w:rPr>
        <w:t>CRC</w:t>
      </w:r>
      <w:r w:rsidRPr="00321F0A">
        <w:rPr>
          <w:lang w:val="en-US"/>
        </w:rPr>
        <w:t>/C/ESP/CO/5-6, para 24</w:t>
      </w:r>
      <w:r w:rsidRPr="00321F0A">
        <w:t xml:space="preserve">). Nonetheless, to this day the </w:t>
      </w:r>
      <w:r w:rsidRPr="00321F0A">
        <w:rPr>
          <w:b/>
        </w:rPr>
        <w:t>Spanish Government fails to act</w:t>
      </w:r>
      <w:r w:rsidRPr="00321F0A">
        <w:t>.</w:t>
      </w:r>
    </w:p>
    <w:p w14:paraId="7321D2A9" w14:textId="1FB76763" w:rsidR="004375E4" w:rsidRPr="00D85781" w:rsidRDefault="004375E4" w:rsidP="00321F0A">
      <w:pPr>
        <w:pStyle w:val="absatzschattenbericht"/>
        <w:spacing w:after="80"/>
      </w:pPr>
      <w:r w:rsidRPr="00321F0A">
        <w:t xml:space="preserve">In total, UN treaty bodies </w:t>
      </w:r>
      <w:r w:rsidR="000457A1" w:rsidRPr="00321F0A">
        <w:rPr>
          <w:b/>
        </w:rPr>
        <w:t>CEDAW</w:t>
      </w:r>
      <w:r w:rsidRPr="00321F0A">
        <w:rPr>
          <w:b/>
        </w:rPr>
        <w:t xml:space="preserve">, CRC, CAT, </w:t>
      </w:r>
      <w:r w:rsidR="000457A1" w:rsidRPr="00321F0A">
        <w:rPr>
          <w:b/>
        </w:rPr>
        <w:t>CCPR</w:t>
      </w:r>
      <w:r w:rsidRPr="00321F0A">
        <w:rPr>
          <w:b/>
        </w:rPr>
        <w:t xml:space="preserve"> </w:t>
      </w:r>
      <w:r w:rsidRPr="00321F0A">
        <w:t xml:space="preserve">and </w:t>
      </w:r>
      <w:r w:rsidR="000457A1" w:rsidRPr="00321F0A">
        <w:rPr>
          <w:b/>
        </w:rPr>
        <w:t>CRPD</w:t>
      </w:r>
      <w:r w:rsidRPr="00321F0A">
        <w:t xml:space="preserve"> have so far issued </w:t>
      </w:r>
      <w:r w:rsidR="005621F3" w:rsidRPr="00321F0A">
        <w:rPr>
          <w:b/>
          <w:bCs/>
        </w:rPr>
        <w:t>42</w:t>
      </w:r>
      <w:r w:rsidRPr="00321F0A">
        <w:rPr>
          <w:b/>
          <w:bCs/>
        </w:rPr>
        <w:t> Concluding Observations on IGM</w:t>
      </w:r>
      <w:r w:rsidRPr="00321F0A">
        <w:t xml:space="preserve">, typically obliging State parties to </w:t>
      </w:r>
      <w:r w:rsidRPr="00321F0A">
        <w:rPr>
          <w:b/>
        </w:rPr>
        <w:t>enact legislation</w:t>
      </w:r>
      <w:r w:rsidRPr="00321F0A">
        <w:t xml:space="preserve"> to </w:t>
      </w:r>
      <w:r w:rsidRPr="00321F0A">
        <w:rPr>
          <w:b/>
          <w:bCs/>
        </w:rPr>
        <w:t>(a)</w:t>
      </w:r>
      <w:r w:rsidRPr="00321F0A">
        <w:t xml:space="preserve"> end the practice and </w:t>
      </w:r>
      <w:r w:rsidRPr="00321F0A">
        <w:rPr>
          <w:b/>
          <w:bCs/>
        </w:rPr>
        <w:t>(b)</w:t>
      </w:r>
      <w:r w:rsidRPr="00321F0A">
        <w:t xml:space="preserve"> ensure redress and compensation, plus </w:t>
      </w:r>
      <w:r w:rsidRPr="00321F0A">
        <w:rPr>
          <w:b/>
          <w:bCs/>
        </w:rPr>
        <w:t>(c)</w:t>
      </w:r>
      <w:r w:rsidRPr="00321F0A">
        <w:t xml:space="preserve"> access to free counselling. Also the UN Special Rapporteurs on Torture (</w:t>
      </w:r>
      <w:r w:rsidRPr="00321F0A">
        <w:rPr>
          <w:rStyle w:val="verweis"/>
          <w:rFonts w:ascii="Times New Roman" w:hAnsi="Times New Roman"/>
          <w:color w:val="auto"/>
          <w:sz w:val="23"/>
          <w:szCs w:val="23"/>
        </w:rPr>
        <w:t>SRT</w:t>
      </w:r>
      <w:r w:rsidRPr="00321F0A">
        <w:t>) and on Health (</w:t>
      </w:r>
      <w:r w:rsidRPr="00321F0A">
        <w:rPr>
          <w:rStyle w:val="verweis"/>
          <w:rFonts w:ascii="Times New Roman" w:hAnsi="Times New Roman"/>
          <w:color w:val="auto"/>
          <w:sz w:val="23"/>
          <w:szCs w:val="23"/>
        </w:rPr>
        <w:t>SRH</w:t>
      </w:r>
      <w:r w:rsidRPr="00321F0A">
        <w:t>), the UN High Commissioner for Human Rights (</w:t>
      </w:r>
      <w:r w:rsidRPr="00321F0A">
        <w:rPr>
          <w:rStyle w:val="verweis"/>
          <w:rFonts w:ascii="Times New Roman" w:hAnsi="Times New Roman"/>
          <w:color w:val="auto"/>
          <w:sz w:val="23"/>
          <w:szCs w:val="23"/>
        </w:rPr>
        <w:t>UNHCHR</w:t>
      </w:r>
      <w:r w:rsidRPr="00321F0A">
        <w:t>), the World Health Organisation (</w:t>
      </w:r>
      <w:r w:rsidRPr="00321F0A">
        <w:rPr>
          <w:rStyle w:val="verweis"/>
          <w:rFonts w:ascii="Times New Roman" w:hAnsi="Times New Roman"/>
          <w:color w:val="auto"/>
          <w:sz w:val="23"/>
          <w:szCs w:val="23"/>
        </w:rPr>
        <w:t>WHO</w:t>
      </w:r>
      <w:r w:rsidRPr="00321F0A">
        <w:t>), the Inter-American Commission on Human Rights (</w:t>
      </w:r>
      <w:r w:rsidRPr="00321F0A">
        <w:rPr>
          <w:b/>
        </w:rPr>
        <w:t>IACHR</w:t>
      </w:r>
      <w:r w:rsidRPr="00321F0A">
        <w:t>), the African Commission on Human and Peoples’ Rights (</w:t>
      </w:r>
      <w:r w:rsidRPr="00321F0A">
        <w:rPr>
          <w:b/>
        </w:rPr>
        <w:t>ACHPR</w:t>
      </w:r>
      <w:r w:rsidRPr="00321F0A">
        <w:t>) and the Council of Europe (</w:t>
      </w:r>
      <w:r w:rsidRPr="00321F0A">
        <w:rPr>
          <w:rStyle w:val="verweis"/>
          <w:rFonts w:ascii="Times New Roman" w:hAnsi="Times New Roman"/>
          <w:color w:val="auto"/>
          <w:sz w:val="23"/>
          <w:szCs w:val="23"/>
        </w:rPr>
        <w:t>COE</w:t>
      </w:r>
      <w:r w:rsidRPr="00321F0A">
        <w:t xml:space="preserve">) recognise IGM as a </w:t>
      </w:r>
      <w:r w:rsidRPr="00321F0A">
        <w:rPr>
          <w:rFonts w:eastAsia="Baskerville-SemiBold" w:cs="Baskerville-SemiBold"/>
          <w:b/>
        </w:rPr>
        <w:t>serious violation of non-derogable human rights</w:t>
      </w:r>
      <w:r w:rsidRPr="00321F0A">
        <w:rPr>
          <w:b/>
        </w:rPr>
        <w:t>.</w:t>
      </w:r>
    </w:p>
    <w:p w14:paraId="739B9D38" w14:textId="7C5A6BC3" w:rsidR="004375E4" w:rsidRPr="00D85781" w:rsidRDefault="004375E4" w:rsidP="00321F0A">
      <w:pPr>
        <w:pStyle w:val="absatzschattenbericht"/>
        <w:spacing w:after="80"/>
        <w:rPr>
          <w:rFonts w:eastAsia="Baskerville-Bold" w:cs="Baskerville-Bold"/>
          <w:b/>
          <w:bCs/>
        </w:rPr>
      </w:pPr>
      <w:r w:rsidRPr="00D85781">
        <w:rPr>
          <w:rFonts w:eastAsia="Baskerville-Bold" w:cs="Baskerville-Bold"/>
          <w:b/>
          <w:bCs/>
        </w:rPr>
        <w:t>Intersex people</w:t>
      </w:r>
      <w:r w:rsidRPr="00D85781">
        <w:t xml:space="preserve"> are born with </w:t>
      </w:r>
      <w:r w:rsidRPr="00D85781">
        <w:rPr>
          <w:rFonts w:eastAsia="Baskerville-Bold" w:cs="Baskerville-Bold"/>
          <w:b/>
          <w:bCs/>
        </w:rPr>
        <w:t xml:space="preserve">Variations of </w:t>
      </w:r>
      <w:r w:rsidR="00EC0ED8">
        <w:rPr>
          <w:rFonts w:eastAsia="Baskerville-Bold" w:cs="Baskerville-Bold"/>
          <w:b/>
          <w:bCs/>
        </w:rPr>
        <w:t>Reproductive</w:t>
      </w:r>
      <w:r w:rsidRPr="00D85781">
        <w:rPr>
          <w:rFonts w:eastAsia="Baskerville-Bold" w:cs="Baskerville-Bold"/>
          <w:b/>
          <w:bCs/>
        </w:rPr>
        <w:t xml:space="preserve"> Anatomy</w:t>
      </w:r>
      <w:r w:rsidRPr="00D85781">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D85781">
        <w:rPr>
          <w:rFonts w:eastAsia="Baskerville-Bold" w:cs="Baskerville-Bold"/>
          <w:b/>
          <w:bCs/>
        </w:rPr>
        <w:t>Intersex Genital Mutilations</w:t>
      </w:r>
      <w:r w:rsidRPr="00D85781">
        <w:t>, which present a distinct and unique issue constituting significant human rights violations.</w:t>
      </w:r>
    </w:p>
    <w:p w14:paraId="33EB690D" w14:textId="77777777" w:rsidR="004375E4" w:rsidRPr="00D85781" w:rsidRDefault="004375E4" w:rsidP="00321F0A">
      <w:pPr>
        <w:pStyle w:val="absatzschattenbericht"/>
        <w:spacing w:after="80"/>
      </w:pPr>
      <w:r w:rsidRPr="00172537">
        <w:rPr>
          <w:b/>
        </w:rPr>
        <w:t>IGM practices</w:t>
      </w:r>
      <w:r w:rsidRPr="00D85781">
        <w:t xml:space="preserve"> include </w:t>
      </w:r>
      <w:r w:rsidRPr="00172537">
        <w:rPr>
          <w:b/>
        </w:rPr>
        <w:t>non-consensual, medically unnecessary, irreversible, cosmetic genital surgeries, and/or other harmful medical procedures</w:t>
      </w:r>
      <w:r w:rsidRPr="00D85781">
        <w:t xml:space="preserve"> that would not be considered for “normal” children, without evidence of benefit for the children concerned.</w:t>
      </w:r>
      <w:r w:rsidRPr="00D85781">
        <w:rPr>
          <w:rFonts w:eastAsia="Baskerville-SemiBold" w:cs="Baskerville-SemiBold"/>
        </w:rPr>
        <w:t xml:space="preserve"> </w:t>
      </w:r>
      <w:r w:rsidRPr="00172537">
        <w:rPr>
          <w:b/>
        </w:rPr>
        <w:t>Typical forms of IGM</w:t>
      </w:r>
      <w:r w:rsidRPr="00D85781">
        <w:t xml:space="preserve"> include “masculinising” and “feminising”, “corrective” genital surgery, sterilising procedures, imposition of hormones, forced genital exams, vaginal dilations, medical display, involuntary human experimentation and denial of needed health care.</w:t>
      </w:r>
    </w:p>
    <w:p w14:paraId="6929ED5D" w14:textId="77777777" w:rsidR="004375E4" w:rsidRPr="00D85781" w:rsidRDefault="004375E4" w:rsidP="00321F0A">
      <w:pPr>
        <w:pStyle w:val="absatzschattenbericht"/>
        <w:spacing w:after="80"/>
        <w:rPr>
          <w:rFonts w:eastAsia="Baskerville-Bold" w:cs="Baskerville-Bold"/>
          <w:b/>
          <w:bCs/>
        </w:rPr>
      </w:pPr>
      <w:r w:rsidRPr="00D85781">
        <w:t xml:space="preserve">IGM practices cause known </w:t>
      </w:r>
      <w:r w:rsidRPr="00D85781">
        <w:rPr>
          <w:rFonts w:eastAsia="Baskerville-Bold" w:cs="Baskerville-Bold"/>
          <w:b/>
          <w:bCs/>
        </w:rPr>
        <w:t>lifelong severe physical and mental pain and suffering</w:t>
      </w:r>
      <w:r w:rsidRPr="00D85781">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0883FA3B" w14:textId="77777777" w:rsidR="004375E4" w:rsidRPr="00D85781" w:rsidRDefault="004375E4" w:rsidP="00321F0A">
      <w:pPr>
        <w:pStyle w:val="absatzschattenbericht"/>
        <w:spacing w:after="80"/>
        <w:rPr>
          <w:rFonts w:eastAsia="Baskerville-Bold" w:cs="Baskerville-Bold"/>
          <w:b/>
          <w:bCs/>
        </w:rPr>
      </w:pPr>
      <w:r w:rsidRPr="00D85781">
        <w:t xml:space="preserve">For </w:t>
      </w:r>
      <w:r w:rsidRPr="00D85781">
        <w:rPr>
          <w:b/>
        </w:rPr>
        <w:t>25 years</w:t>
      </w:r>
      <w:r w:rsidRPr="00D85781">
        <w:t xml:space="preserve">, intersex people have denounced IGM as </w:t>
      </w:r>
      <w:r w:rsidRPr="00D85781">
        <w:rPr>
          <w:b/>
        </w:rPr>
        <w:t>harmful</w:t>
      </w:r>
      <w:r w:rsidRPr="00D85781">
        <w:t xml:space="preserve"> and </w:t>
      </w:r>
      <w:r w:rsidRPr="00D85781">
        <w:rPr>
          <w:b/>
        </w:rPr>
        <w:t>traumatising</w:t>
      </w:r>
      <w:r w:rsidRPr="00D85781">
        <w:t xml:space="preserve">, as western </w:t>
      </w:r>
      <w:r w:rsidRPr="00D85781">
        <w:rPr>
          <w:b/>
        </w:rPr>
        <w:t>genital</w:t>
      </w:r>
      <w:r w:rsidRPr="00D85781">
        <w:t xml:space="preserve"> </w:t>
      </w:r>
      <w:r w:rsidRPr="00D85781">
        <w:rPr>
          <w:b/>
        </w:rPr>
        <w:t>mutilation</w:t>
      </w:r>
      <w:r w:rsidRPr="00D85781">
        <w:t xml:space="preserve">, as </w:t>
      </w:r>
      <w:r w:rsidRPr="00D85781">
        <w:rPr>
          <w:b/>
        </w:rPr>
        <w:t>child sexual abuse</w:t>
      </w:r>
      <w:r w:rsidRPr="00D85781">
        <w:t xml:space="preserve"> and </w:t>
      </w:r>
      <w:r w:rsidRPr="00D85781">
        <w:rPr>
          <w:b/>
        </w:rPr>
        <w:t>torture</w:t>
      </w:r>
      <w:r w:rsidRPr="00D85781">
        <w:t xml:space="preserve">, and called for </w:t>
      </w:r>
      <w:r w:rsidRPr="00D85781">
        <w:rPr>
          <w:b/>
        </w:rPr>
        <w:t>remedies</w:t>
      </w:r>
      <w:r w:rsidRPr="00D85781">
        <w:t>.</w:t>
      </w:r>
    </w:p>
    <w:p w14:paraId="326C5600" w14:textId="77777777" w:rsidR="00F06498" w:rsidRPr="007B2966" w:rsidRDefault="00F06498" w:rsidP="00321F0A">
      <w:pPr>
        <w:pStyle w:val="absatzschattenbericht"/>
        <w:spacing w:after="80"/>
      </w:pPr>
      <w:r w:rsidRPr="007B2966">
        <w:t xml:space="preserve">This </w:t>
      </w:r>
      <w:r w:rsidRPr="007B2966">
        <w:rPr>
          <w:b/>
          <w:bCs/>
        </w:rPr>
        <w:t>Thematic NGO Report</w:t>
      </w:r>
      <w:r w:rsidRPr="007B2966">
        <w:t xml:space="preserve"> was prepared by the international intersex NGOs </w:t>
      </w:r>
      <w:r w:rsidRPr="007B2966">
        <w:br/>
      </w:r>
      <w:r w:rsidRPr="007B2966">
        <w:rPr>
          <w:b/>
          <w:bCs/>
        </w:rPr>
        <w:t>StopIGM.org / Zwischengeschlecht.org</w:t>
      </w:r>
      <w:r w:rsidRPr="007B2966">
        <w:t xml:space="preserve"> and </w:t>
      </w:r>
      <w:r w:rsidRPr="007B2966">
        <w:rPr>
          <w:b/>
          <w:bCs/>
        </w:rPr>
        <w:t>Brújula Intersexual</w:t>
      </w:r>
      <w:r w:rsidRPr="007B2966">
        <w:t xml:space="preserve"> in collaboration with intersex children, adults and parents of intersex children from Spain. </w:t>
      </w:r>
    </w:p>
    <w:p w14:paraId="21FBCCC4" w14:textId="3EA055AA" w:rsidR="004375E4" w:rsidRPr="000457A1" w:rsidRDefault="00F06498" w:rsidP="00321F0A">
      <w:pPr>
        <w:pStyle w:val="absatzschattenbericht"/>
        <w:spacing w:after="80"/>
      </w:pPr>
      <w:r w:rsidRPr="007B2966">
        <w:t xml:space="preserve">It contains </w:t>
      </w:r>
      <w:r w:rsidRPr="00D77E56">
        <w:rPr>
          <w:b/>
        </w:rPr>
        <w:t xml:space="preserve">Suggested </w:t>
      </w:r>
      <w:r w:rsidR="000457A1" w:rsidRPr="00D77E56">
        <w:rPr>
          <w:b/>
        </w:rPr>
        <w:t>Questions for the LOIPR</w:t>
      </w:r>
      <w:r w:rsidR="000457A1" w:rsidRPr="007B2966">
        <w:t xml:space="preserve"> (see p. </w:t>
      </w:r>
      <w:r w:rsidR="00D63179">
        <w:t>17</w:t>
      </w:r>
      <w:r w:rsidR="000457A1" w:rsidRPr="007B2966">
        <w:t>)</w:t>
      </w:r>
      <w:r w:rsidRPr="007B2966">
        <w:t>.</w:t>
      </w:r>
      <w:r w:rsidRPr="00F75DCD">
        <w:t xml:space="preserve"> </w:t>
      </w:r>
      <w:r w:rsidR="004375E4">
        <w:rPr>
          <w:rFonts w:cs="Arial"/>
        </w:rPr>
        <w:br w:type="page"/>
      </w:r>
    </w:p>
    <w:p w14:paraId="17E11D2D" w14:textId="23510B8C" w:rsidR="00A3639B" w:rsidRDefault="00651DA7" w:rsidP="00273510">
      <w:pPr>
        <w:pStyle w:val="EinfacherAbsatz"/>
        <w:jc w:val="center"/>
        <w:rPr>
          <w:rFonts w:cs="Arial"/>
          <w:b/>
          <w:bCs/>
          <w:color w:val="5E175E"/>
          <w:spacing w:val="11"/>
          <w:w w:val="95"/>
          <w:sz w:val="26"/>
          <w:szCs w:val="26"/>
          <w:lang w:val="en-GB"/>
        </w:rPr>
      </w:pPr>
      <w:bookmarkStart w:id="1" w:name="Introduction"/>
      <w:bookmarkStart w:id="2" w:name="_Toc453620702"/>
      <w:bookmarkStart w:id="3" w:name="_Toc463295398"/>
      <w:bookmarkStart w:id="4" w:name="_Toc472718948"/>
      <w:r>
        <w:rPr>
          <w:rFonts w:cs="Arial"/>
          <w:b/>
          <w:bCs/>
          <w:color w:val="5E175E"/>
          <w:spacing w:val="11"/>
          <w:w w:val="95"/>
          <w:sz w:val="26"/>
          <w:szCs w:val="26"/>
          <w:lang w:val="en-GB"/>
        </w:rPr>
        <w:lastRenderedPageBreak/>
        <w:t>NGO Report (for LOI</w:t>
      </w:r>
      <w:r w:rsidR="00D630A6">
        <w:rPr>
          <w:rFonts w:cs="Arial"/>
          <w:b/>
          <w:bCs/>
          <w:color w:val="5E175E"/>
          <w:spacing w:val="11"/>
          <w:w w:val="95"/>
          <w:sz w:val="26"/>
          <w:szCs w:val="26"/>
          <w:lang w:val="en-GB"/>
        </w:rPr>
        <w:t>PR</w:t>
      </w:r>
      <w:r w:rsidR="00273510" w:rsidRPr="008521EA">
        <w:rPr>
          <w:rFonts w:cs="Arial"/>
          <w:b/>
          <w:bCs/>
          <w:color w:val="5E175E"/>
          <w:spacing w:val="11"/>
          <w:w w:val="95"/>
          <w:sz w:val="26"/>
          <w:szCs w:val="26"/>
          <w:lang w:val="en-GB"/>
        </w:rPr>
        <w:t xml:space="preserve">) </w:t>
      </w:r>
    </w:p>
    <w:p w14:paraId="496BD9B2" w14:textId="248BD402" w:rsidR="00273510" w:rsidRPr="008521EA" w:rsidRDefault="00273510" w:rsidP="00273510">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t xml:space="preserve">to the </w:t>
      </w:r>
      <w:r w:rsidR="00A3639B">
        <w:rPr>
          <w:rFonts w:cs="Arial"/>
          <w:b/>
          <w:bCs/>
          <w:color w:val="5E175E"/>
          <w:spacing w:val="11"/>
          <w:w w:val="95"/>
          <w:sz w:val="26"/>
          <w:szCs w:val="26"/>
          <w:lang w:val="en-GB"/>
        </w:rPr>
        <w:t>9</w:t>
      </w:r>
      <w:r w:rsidR="00A3639B" w:rsidRPr="00A3639B">
        <w:rPr>
          <w:rFonts w:cs="Arial"/>
          <w:b/>
          <w:bCs/>
          <w:color w:val="5E175E"/>
          <w:spacing w:val="11"/>
          <w:w w:val="95"/>
          <w:sz w:val="26"/>
          <w:szCs w:val="26"/>
          <w:vertAlign w:val="superscript"/>
          <w:lang w:val="en-GB"/>
        </w:rPr>
        <w:t>th</w:t>
      </w:r>
      <w:r w:rsidRPr="008521EA">
        <w:rPr>
          <w:rFonts w:cs="Arial"/>
          <w:b/>
          <w:bCs/>
          <w:color w:val="5E175E"/>
          <w:spacing w:val="11"/>
          <w:w w:val="95"/>
          <w:sz w:val="26"/>
          <w:szCs w:val="26"/>
          <w:lang w:val="en-GB"/>
        </w:rPr>
        <w:t xml:space="preserve"> Periodic Report of </w:t>
      </w:r>
      <w:r w:rsidR="00D630A6">
        <w:rPr>
          <w:rFonts w:cs="Arial"/>
          <w:b/>
          <w:bCs/>
          <w:color w:val="5E175E"/>
          <w:spacing w:val="11"/>
          <w:w w:val="95"/>
          <w:sz w:val="26"/>
          <w:szCs w:val="26"/>
          <w:lang w:val="en-GB"/>
        </w:rPr>
        <w:t>Spain</w:t>
      </w:r>
    </w:p>
    <w:p w14:paraId="652DDD45" w14:textId="77777777" w:rsidR="00A3639B" w:rsidRPr="00B87ABD" w:rsidRDefault="00A3639B" w:rsidP="00A3639B">
      <w:pPr>
        <w:pStyle w:val="EinfacherAbsatz"/>
        <w:jc w:val="center"/>
        <w:rPr>
          <w:rFonts w:eastAsia="ColossalisBold" w:cs="Arial"/>
          <w:b/>
          <w:bCs/>
          <w:color w:val="5E175E"/>
          <w:spacing w:val="11"/>
          <w:w w:val="95"/>
          <w:sz w:val="26"/>
          <w:szCs w:val="26"/>
          <w:lang w:val="en-GB"/>
        </w:rPr>
      </w:pPr>
      <w:r w:rsidRPr="00B87ABD">
        <w:rPr>
          <w:rFonts w:eastAsia="ColossalisBold" w:cs="Arial"/>
          <w:b/>
          <w:bCs/>
          <w:color w:val="5E175E"/>
          <w:spacing w:val="11"/>
          <w:w w:val="95"/>
          <w:sz w:val="26"/>
          <w:szCs w:val="26"/>
          <w:lang w:val="en-GB"/>
        </w:rPr>
        <w:t>on the Convention on the Elimination of All Forms</w:t>
      </w:r>
    </w:p>
    <w:p w14:paraId="0292B1EB" w14:textId="2B8E946E" w:rsidR="00273510" w:rsidRPr="008521EA" w:rsidRDefault="00A3639B" w:rsidP="00A3639B">
      <w:pPr>
        <w:pStyle w:val="EinfacherAbsatz"/>
        <w:jc w:val="center"/>
        <w:rPr>
          <w:rFonts w:cs="Arial"/>
          <w:b/>
          <w:bCs/>
          <w:color w:val="5E175E"/>
          <w:spacing w:val="11"/>
          <w:w w:val="95"/>
          <w:sz w:val="26"/>
          <w:szCs w:val="26"/>
          <w:lang w:val="en-GB"/>
        </w:rPr>
      </w:pPr>
      <w:r w:rsidRPr="00B87ABD">
        <w:rPr>
          <w:rFonts w:eastAsia="ColossalisBold" w:cs="Arial"/>
          <w:b/>
          <w:bCs/>
          <w:color w:val="5E175E"/>
          <w:spacing w:val="11"/>
          <w:w w:val="95"/>
          <w:sz w:val="26"/>
          <w:szCs w:val="26"/>
          <w:lang w:val="en-GB"/>
        </w:rPr>
        <w:t>of Discrimination against Women (CEDAW)</w:t>
      </w:r>
    </w:p>
    <w:p w14:paraId="50C03719" w14:textId="77777777" w:rsidR="00273510" w:rsidRPr="00A13F2C" w:rsidRDefault="00273510" w:rsidP="00273510">
      <w:pPr>
        <w:pStyle w:val="EinfacherAbsatz"/>
        <w:jc w:val="center"/>
        <w:rPr>
          <w:rFonts w:cs="Arial"/>
          <w:b/>
          <w:bCs/>
          <w:color w:val="5E175E"/>
          <w:spacing w:val="11"/>
          <w:w w:val="95"/>
          <w:sz w:val="20"/>
          <w:szCs w:val="20"/>
          <w:lang w:val="en-GB"/>
        </w:rPr>
      </w:pPr>
    </w:p>
    <w:p w14:paraId="790E92CC" w14:textId="77777777" w:rsidR="00273510" w:rsidRPr="00A13F2C" w:rsidRDefault="00273510" w:rsidP="00273510">
      <w:pPr>
        <w:pStyle w:val="EinfacherAbsatz"/>
        <w:jc w:val="center"/>
        <w:rPr>
          <w:rFonts w:cs="Arial"/>
          <w:b/>
          <w:bCs/>
          <w:color w:val="5E175E"/>
          <w:spacing w:val="11"/>
          <w:w w:val="95"/>
          <w:sz w:val="20"/>
          <w:szCs w:val="20"/>
          <w:lang w:val="en-GB"/>
        </w:rPr>
      </w:pPr>
    </w:p>
    <w:p w14:paraId="3F228F59" w14:textId="77777777" w:rsidR="00273510" w:rsidRPr="000B0C1C" w:rsidRDefault="00273510" w:rsidP="000B0C1C">
      <w:pPr>
        <w:pStyle w:val="Title1"/>
        <w:pageBreakBefore w:val="0"/>
        <w:spacing w:before="0" w:after="113"/>
        <w:jc w:val="center"/>
        <w:rPr>
          <w:w w:val="95"/>
          <w:sz w:val="30"/>
          <w:szCs w:val="30"/>
          <w:lang w:val="en-GB"/>
        </w:rPr>
      </w:pPr>
      <w:bookmarkStart w:id="5" w:name="_Toc11017672"/>
      <w:r w:rsidRPr="000B0C1C">
        <w:rPr>
          <w:w w:val="95"/>
          <w:sz w:val="30"/>
          <w:szCs w:val="30"/>
          <w:lang w:val="en-GB"/>
        </w:rPr>
        <w:t>Table of Contents</w:t>
      </w:r>
      <w:bookmarkEnd w:id="5"/>
    </w:p>
    <w:p w14:paraId="2BE23142"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1F888858"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53E369DD" w14:textId="0E3C977D" w:rsidR="00273510" w:rsidRPr="008521EA" w:rsidRDefault="00273510" w:rsidP="00273510">
      <w:pPr>
        <w:pStyle w:val="EinfacherAbsatz"/>
        <w:jc w:val="center"/>
        <w:rPr>
          <w:rFonts w:ascii="Times New Roman" w:eastAsia="ColossalisBold" w:hAnsi="Times New Roman" w:cs="Times New Roman"/>
          <w:b/>
          <w:bCs/>
          <w:color w:val="5E175E"/>
          <w:spacing w:val="11"/>
          <w:kern w:val="40"/>
          <w:sz w:val="40"/>
          <w:szCs w:val="40"/>
          <w:lang w:val="en-GB"/>
        </w:rPr>
      </w:pPr>
      <w:r w:rsidRPr="008521EA">
        <w:rPr>
          <w:rFonts w:ascii="Times New Roman" w:eastAsia="ColossalisBold" w:hAnsi="Times New Roman" w:cs="Times New Roman"/>
          <w:b/>
          <w:bCs/>
          <w:color w:val="5E175E"/>
          <w:spacing w:val="11"/>
          <w:kern w:val="40"/>
          <w:sz w:val="40"/>
          <w:szCs w:val="40"/>
          <w:lang w:val="en-GB"/>
        </w:rPr>
        <w:t xml:space="preserve">IGM Practices in </w:t>
      </w:r>
      <w:r w:rsidR="00D630A6">
        <w:rPr>
          <w:rFonts w:ascii="Times New Roman" w:eastAsia="ColossalisBold" w:hAnsi="Times New Roman" w:cs="Times New Roman"/>
          <w:b/>
          <w:bCs/>
          <w:color w:val="5E175E"/>
          <w:spacing w:val="11"/>
          <w:kern w:val="40"/>
          <w:sz w:val="40"/>
          <w:szCs w:val="40"/>
          <w:lang w:val="en-GB"/>
        </w:rPr>
        <w:t>Spain</w:t>
      </w:r>
      <w:r>
        <w:rPr>
          <w:rFonts w:ascii="Times New Roman" w:eastAsia="ColossalisBold" w:hAnsi="Times New Roman" w:cs="Times New Roman"/>
          <w:b/>
          <w:bCs/>
          <w:color w:val="5E175E"/>
          <w:spacing w:val="11"/>
          <w:kern w:val="40"/>
          <w:sz w:val="40"/>
          <w:szCs w:val="40"/>
          <w:lang w:val="en-GB"/>
        </w:rPr>
        <w:t xml:space="preserve"> (p. </w:t>
      </w:r>
      <w:r w:rsidR="00D63179">
        <w:rPr>
          <w:rFonts w:ascii="Times New Roman" w:eastAsia="ColossalisBold" w:hAnsi="Times New Roman" w:cs="Times New Roman"/>
          <w:b/>
          <w:bCs/>
          <w:color w:val="5E175E"/>
          <w:spacing w:val="11"/>
          <w:kern w:val="40"/>
          <w:sz w:val="40"/>
          <w:szCs w:val="40"/>
          <w:lang w:val="en-GB"/>
        </w:rPr>
        <w:t>7-17</w:t>
      </w:r>
      <w:r>
        <w:rPr>
          <w:rFonts w:ascii="Times New Roman" w:eastAsia="ColossalisBold" w:hAnsi="Times New Roman" w:cs="Times New Roman"/>
          <w:b/>
          <w:bCs/>
          <w:color w:val="5E175E"/>
          <w:spacing w:val="11"/>
          <w:kern w:val="40"/>
          <w:sz w:val="40"/>
          <w:szCs w:val="40"/>
          <w:lang w:val="en-GB"/>
        </w:rPr>
        <w:t>)</w:t>
      </w:r>
    </w:p>
    <w:p w14:paraId="56613194" w14:textId="77777777" w:rsidR="00273510" w:rsidRPr="00A13F2C" w:rsidRDefault="00273510" w:rsidP="00273510">
      <w:pPr>
        <w:pStyle w:val="EinfacherAbsatz"/>
        <w:jc w:val="center"/>
        <w:rPr>
          <w:rFonts w:eastAsia="ColossalisBold" w:cs="Arial"/>
          <w:b/>
          <w:bCs/>
          <w:color w:val="5E175E"/>
          <w:spacing w:val="11"/>
          <w:w w:val="95"/>
          <w:lang w:val="en-GB"/>
        </w:rPr>
      </w:pPr>
    </w:p>
    <w:p w14:paraId="0AAAE31A" w14:textId="77777777" w:rsidR="004F33BC" w:rsidRDefault="007665F2">
      <w:pPr>
        <w:pStyle w:val="Verzeichnis1"/>
        <w:rPr>
          <w:rFonts w:asciiTheme="minorHAnsi" w:eastAsiaTheme="minorEastAsia" w:hAnsiTheme="minorHAnsi" w:cstheme="minorBidi"/>
          <w:b w:val="0"/>
          <w:kern w:val="0"/>
          <w:sz w:val="22"/>
          <w:szCs w:val="22"/>
          <w:lang w:val="de-CH" w:eastAsia="de-CH" w:bidi="ar-SA"/>
        </w:rPr>
      </w:pPr>
      <w:r>
        <w:fldChar w:fldCharType="begin"/>
      </w:r>
      <w:r>
        <w:instrText xml:space="preserve"> TOC \h \z \t "Title 1;1;Title 2;2;Title 3;3" </w:instrText>
      </w:r>
      <w:r>
        <w:fldChar w:fldCharType="separate"/>
      </w:r>
      <w:hyperlink w:anchor="_Toc11017671" w:history="1">
        <w:r w:rsidR="004F33BC" w:rsidRPr="005F253A">
          <w:rPr>
            <w:rStyle w:val="Hyperlink"/>
            <w:lang w:val="en-GB"/>
          </w:rPr>
          <w:t>Executive Summary</w:t>
        </w:r>
        <w:r w:rsidR="004F33BC">
          <w:rPr>
            <w:webHidden/>
          </w:rPr>
          <w:tab/>
        </w:r>
        <w:r w:rsidR="004F33BC">
          <w:rPr>
            <w:webHidden/>
          </w:rPr>
          <w:fldChar w:fldCharType="begin"/>
        </w:r>
        <w:r w:rsidR="004F33BC">
          <w:rPr>
            <w:webHidden/>
          </w:rPr>
          <w:instrText xml:space="preserve"> PAGEREF _Toc11017671 \h </w:instrText>
        </w:r>
        <w:r w:rsidR="004F33BC">
          <w:rPr>
            <w:webHidden/>
          </w:rPr>
        </w:r>
        <w:r w:rsidR="004F33BC">
          <w:rPr>
            <w:webHidden/>
          </w:rPr>
          <w:fldChar w:fldCharType="separate"/>
        </w:r>
        <w:r w:rsidR="004F33BC">
          <w:rPr>
            <w:webHidden/>
          </w:rPr>
          <w:t>3</w:t>
        </w:r>
        <w:r w:rsidR="004F33BC">
          <w:rPr>
            <w:webHidden/>
          </w:rPr>
          <w:fldChar w:fldCharType="end"/>
        </w:r>
      </w:hyperlink>
    </w:p>
    <w:p w14:paraId="58D70535" w14:textId="2C77D920" w:rsidR="004F33BC" w:rsidRDefault="008836A8">
      <w:pPr>
        <w:pStyle w:val="Verzeichnis1"/>
        <w:rPr>
          <w:rFonts w:asciiTheme="minorHAnsi" w:eastAsiaTheme="minorEastAsia" w:hAnsiTheme="minorHAnsi" w:cstheme="minorBidi"/>
          <w:b w:val="0"/>
          <w:kern w:val="0"/>
          <w:sz w:val="22"/>
          <w:szCs w:val="22"/>
          <w:lang w:val="de-CH" w:eastAsia="de-CH" w:bidi="ar-SA"/>
        </w:rPr>
      </w:pPr>
      <w:hyperlink w:anchor="_Toc11017672" w:history="1">
        <w:r w:rsidR="004F33BC" w:rsidRPr="005F253A">
          <w:rPr>
            <w:rStyle w:val="Hyperlink"/>
            <w:w w:val="95"/>
            <w:lang w:val="en-GB"/>
          </w:rPr>
          <w:t>Table of Contents</w:t>
        </w:r>
        <w:r w:rsidR="004F33BC">
          <w:rPr>
            <w:webHidden/>
          </w:rPr>
          <w:tab/>
        </w:r>
        <w:r w:rsidR="004F33BC">
          <w:rPr>
            <w:webHidden/>
          </w:rPr>
          <w:fldChar w:fldCharType="begin"/>
        </w:r>
        <w:r w:rsidR="004F33BC">
          <w:rPr>
            <w:webHidden/>
          </w:rPr>
          <w:instrText xml:space="preserve"> PAGEREF _Toc11017672 \h </w:instrText>
        </w:r>
        <w:r w:rsidR="004F33BC">
          <w:rPr>
            <w:webHidden/>
          </w:rPr>
        </w:r>
        <w:r w:rsidR="004F33BC">
          <w:rPr>
            <w:webHidden/>
          </w:rPr>
          <w:fldChar w:fldCharType="separate"/>
        </w:r>
        <w:r w:rsidR="004F33BC">
          <w:rPr>
            <w:webHidden/>
          </w:rPr>
          <w:t>4</w:t>
        </w:r>
        <w:r w:rsidR="004F33BC">
          <w:rPr>
            <w:webHidden/>
          </w:rPr>
          <w:fldChar w:fldCharType="end"/>
        </w:r>
      </w:hyperlink>
    </w:p>
    <w:p w14:paraId="4BEF94E6" w14:textId="77777777" w:rsidR="004F33BC" w:rsidRDefault="008836A8">
      <w:pPr>
        <w:pStyle w:val="Verzeichnis1"/>
        <w:rPr>
          <w:rFonts w:asciiTheme="minorHAnsi" w:eastAsiaTheme="minorEastAsia" w:hAnsiTheme="minorHAnsi" w:cstheme="minorBidi"/>
          <w:b w:val="0"/>
          <w:kern w:val="0"/>
          <w:sz w:val="22"/>
          <w:szCs w:val="22"/>
          <w:lang w:val="de-CH" w:eastAsia="de-CH" w:bidi="ar-SA"/>
        </w:rPr>
      </w:pPr>
      <w:hyperlink w:anchor="_Toc11017673" w:history="1">
        <w:r w:rsidR="004F33BC" w:rsidRPr="005F253A">
          <w:rPr>
            <w:rStyle w:val="Hyperlink"/>
            <w:lang w:val="en-GB"/>
          </w:rPr>
          <w:t>Introduction</w:t>
        </w:r>
        <w:r w:rsidR="004F33BC">
          <w:rPr>
            <w:webHidden/>
          </w:rPr>
          <w:tab/>
        </w:r>
        <w:r w:rsidR="004F33BC">
          <w:rPr>
            <w:webHidden/>
          </w:rPr>
          <w:fldChar w:fldCharType="begin"/>
        </w:r>
        <w:r w:rsidR="004F33BC">
          <w:rPr>
            <w:webHidden/>
          </w:rPr>
          <w:instrText xml:space="preserve"> PAGEREF _Toc11017673 \h </w:instrText>
        </w:r>
        <w:r w:rsidR="004F33BC">
          <w:rPr>
            <w:webHidden/>
          </w:rPr>
        </w:r>
        <w:r w:rsidR="004F33BC">
          <w:rPr>
            <w:webHidden/>
          </w:rPr>
          <w:fldChar w:fldCharType="separate"/>
        </w:r>
        <w:r w:rsidR="004F33BC">
          <w:rPr>
            <w:webHidden/>
          </w:rPr>
          <w:t>5</w:t>
        </w:r>
        <w:r w:rsidR="004F33BC">
          <w:rPr>
            <w:webHidden/>
          </w:rPr>
          <w:fldChar w:fldCharType="end"/>
        </w:r>
      </w:hyperlink>
    </w:p>
    <w:p w14:paraId="413022CE"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74" w:history="1">
        <w:r w:rsidR="004F33BC" w:rsidRPr="005F253A">
          <w:rPr>
            <w:rStyle w:val="Hyperlink"/>
            <w:noProof/>
          </w:rPr>
          <w:t>1.  Intersex, IGM and Human Rights in Spain</w:t>
        </w:r>
        <w:r w:rsidR="004F33BC">
          <w:rPr>
            <w:noProof/>
            <w:webHidden/>
          </w:rPr>
          <w:tab/>
        </w:r>
        <w:r w:rsidR="004F33BC">
          <w:rPr>
            <w:noProof/>
            <w:webHidden/>
          </w:rPr>
          <w:fldChar w:fldCharType="begin"/>
        </w:r>
        <w:r w:rsidR="004F33BC">
          <w:rPr>
            <w:noProof/>
            <w:webHidden/>
          </w:rPr>
          <w:instrText xml:space="preserve"> PAGEREF _Toc11017674 \h </w:instrText>
        </w:r>
        <w:r w:rsidR="004F33BC">
          <w:rPr>
            <w:noProof/>
            <w:webHidden/>
          </w:rPr>
        </w:r>
        <w:r w:rsidR="004F33BC">
          <w:rPr>
            <w:noProof/>
            <w:webHidden/>
          </w:rPr>
          <w:fldChar w:fldCharType="separate"/>
        </w:r>
        <w:r w:rsidR="004F33BC">
          <w:rPr>
            <w:noProof/>
            <w:webHidden/>
          </w:rPr>
          <w:t>5</w:t>
        </w:r>
        <w:r w:rsidR="004F33BC">
          <w:rPr>
            <w:noProof/>
            <w:webHidden/>
          </w:rPr>
          <w:fldChar w:fldCharType="end"/>
        </w:r>
      </w:hyperlink>
    </w:p>
    <w:p w14:paraId="6EB41E36"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75" w:history="1">
        <w:r w:rsidR="004F33BC" w:rsidRPr="005F253A">
          <w:rPr>
            <w:rStyle w:val="Hyperlink"/>
            <w:noProof/>
          </w:rPr>
          <w:t>2.  About the Rapporteurs</w:t>
        </w:r>
        <w:r w:rsidR="004F33BC">
          <w:rPr>
            <w:noProof/>
            <w:webHidden/>
          </w:rPr>
          <w:tab/>
        </w:r>
        <w:r w:rsidR="004F33BC">
          <w:rPr>
            <w:noProof/>
            <w:webHidden/>
          </w:rPr>
          <w:fldChar w:fldCharType="begin"/>
        </w:r>
        <w:r w:rsidR="004F33BC">
          <w:rPr>
            <w:noProof/>
            <w:webHidden/>
          </w:rPr>
          <w:instrText xml:space="preserve"> PAGEREF _Toc11017675 \h </w:instrText>
        </w:r>
        <w:r w:rsidR="004F33BC">
          <w:rPr>
            <w:noProof/>
            <w:webHidden/>
          </w:rPr>
        </w:r>
        <w:r w:rsidR="004F33BC">
          <w:rPr>
            <w:noProof/>
            <w:webHidden/>
          </w:rPr>
          <w:fldChar w:fldCharType="separate"/>
        </w:r>
        <w:r w:rsidR="004F33BC">
          <w:rPr>
            <w:noProof/>
            <w:webHidden/>
          </w:rPr>
          <w:t>5</w:t>
        </w:r>
        <w:r w:rsidR="004F33BC">
          <w:rPr>
            <w:noProof/>
            <w:webHidden/>
          </w:rPr>
          <w:fldChar w:fldCharType="end"/>
        </w:r>
      </w:hyperlink>
    </w:p>
    <w:p w14:paraId="0EF7F49B"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76" w:history="1">
        <w:r w:rsidR="004F33BC" w:rsidRPr="005F253A">
          <w:rPr>
            <w:rStyle w:val="Hyperlink"/>
            <w:noProof/>
          </w:rPr>
          <w:t>3.  Methodology</w:t>
        </w:r>
        <w:r w:rsidR="004F33BC">
          <w:rPr>
            <w:noProof/>
            <w:webHidden/>
          </w:rPr>
          <w:tab/>
        </w:r>
        <w:r w:rsidR="004F33BC">
          <w:rPr>
            <w:noProof/>
            <w:webHidden/>
          </w:rPr>
          <w:fldChar w:fldCharType="begin"/>
        </w:r>
        <w:r w:rsidR="004F33BC">
          <w:rPr>
            <w:noProof/>
            <w:webHidden/>
          </w:rPr>
          <w:instrText xml:space="preserve"> PAGEREF _Toc11017676 \h </w:instrText>
        </w:r>
        <w:r w:rsidR="004F33BC">
          <w:rPr>
            <w:noProof/>
            <w:webHidden/>
          </w:rPr>
        </w:r>
        <w:r w:rsidR="004F33BC">
          <w:rPr>
            <w:noProof/>
            <w:webHidden/>
          </w:rPr>
          <w:fldChar w:fldCharType="separate"/>
        </w:r>
        <w:r w:rsidR="004F33BC">
          <w:rPr>
            <w:noProof/>
            <w:webHidden/>
          </w:rPr>
          <w:t>6</w:t>
        </w:r>
        <w:r w:rsidR="004F33BC">
          <w:rPr>
            <w:noProof/>
            <w:webHidden/>
          </w:rPr>
          <w:fldChar w:fldCharType="end"/>
        </w:r>
      </w:hyperlink>
    </w:p>
    <w:p w14:paraId="596FA2DE" w14:textId="77777777" w:rsidR="004F33BC" w:rsidRDefault="008836A8">
      <w:pPr>
        <w:pStyle w:val="Verzeichnis1"/>
        <w:rPr>
          <w:rFonts w:asciiTheme="minorHAnsi" w:eastAsiaTheme="minorEastAsia" w:hAnsiTheme="minorHAnsi" w:cstheme="minorBidi"/>
          <w:b w:val="0"/>
          <w:kern w:val="0"/>
          <w:sz w:val="22"/>
          <w:szCs w:val="22"/>
          <w:lang w:val="de-CH" w:eastAsia="de-CH" w:bidi="ar-SA"/>
        </w:rPr>
      </w:pPr>
      <w:hyperlink w:anchor="_Toc11017677" w:history="1">
        <w:r w:rsidR="004F33BC" w:rsidRPr="005F253A">
          <w:rPr>
            <w:rStyle w:val="Hyperlink"/>
          </w:rPr>
          <w:t>A.  IGM in Spain: State-sponsored and pervasive, Gov fails to act</w:t>
        </w:r>
        <w:r w:rsidR="004F33BC">
          <w:rPr>
            <w:webHidden/>
          </w:rPr>
          <w:tab/>
        </w:r>
        <w:r w:rsidR="004F33BC">
          <w:rPr>
            <w:webHidden/>
          </w:rPr>
          <w:fldChar w:fldCharType="begin"/>
        </w:r>
        <w:r w:rsidR="004F33BC">
          <w:rPr>
            <w:webHidden/>
          </w:rPr>
          <w:instrText xml:space="preserve"> PAGEREF _Toc11017677 \h </w:instrText>
        </w:r>
        <w:r w:rsidR="004F33BC">
          <w:rPr>
            <w:webHidden/>
          </w:rPr>
        </w:r>
        <w:r w:rsidR="004F33BC">
          <w:rPr>
            <w:webHidden/>
          </w:rPr>
          <w:fldChar w:fldCharType="separate"/>
        </w:r>
        <w:r w:rsidR="004F33BC">
          <w:rPr>
            <w:webHidden/>
          </w:rPr>
          <w:t>7</w:t>
        </w:r>
        <w:r w:rsidR="004F33BC">
          <w:rPr>
            <w:webHidden/>
          </w:rPr>
          <w:fldChar w:fldCharType="end"/>
        </w:r>
      </w:hyperlink>
    </w:p>
    <w:p w14:paraId="2AC80035"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78" w:history="1">
        <w:r w:rsidR="004F33BC" w:rsidRPr="005F253A">
          <w:rPr>
            <w:rStyle w:val="Hyperlink"/>
            <w:noProof/>
          </w:rPr>
          <w:t>1.  IGM practices in Spain: Pervasive and unchallenged</w:t>
        </w:r>
        <w:r w:rsidR="004F33BC">
          <w:rPr>
            <w:noProof/>
            <w:webHidden/>
          </w:rPr>
          <w:tab/>
        </w:r>
        <w:r w:rsidR="004F33BC">
          <w:rPr>
            <w:noProof/>
            <w:webHidden/>
          </w:rPr>
          <w:fldChar w:fldCharType="begin"/>
        </w:r>
        <w:r w:rsidR="004F33BC">
          <w:rPr>
            <w:noProof/>
            <w:webHidden/>
          </w:rPr>
          <w:instrText xml:space="preserve"> PAGEREF _Toc11017678 \h </w:instrText>
        </w:r>
        <w:r w:rsidR="004F33BC">
          <w:rPr>
            <w:noProof/>
            <w:webHidden/>
          </w:rPr>
        </w:r>
        <w:r w:rsidR="004F33BC">
          <w:rPr>
            <w:noProof/>
            <w:webHidden/>
          </w:rPr>
          <w:fldChar w:fldCharType="separate"/>
        </w:r>
        <w:r w:rsidR="004F33BC">
          <w:rPr>
            <w:noProof/>
            <w:webHidden/>
          </w:rPr>
          <w:t>7</w:t>
        </w:r>
        <w:r w:rsidR="004F33BC">
          <w:rPr>
            <w:noProof/>
            <w:webHidden/>
          </w:rPr>
          <w:fldChar w:fldCharType="end"/>
        </w:r>
      </w:hyperlink>
    </w:p>
    <w:p w14:paraId="55BCB7C3" w14:textId="77777777"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79" w:history="1">
        <w:r w:rsidR="004F33BC" w:rsidRPr="005F253A">
          <w:rPr>
            <w:rStyle w:val="Hyperlink"/>
            <w:noProof/>
          </w:rPr>
          <w:t>a) Overview: Lack of Protection for Intersex Persons, IGM state-sponsored</w:t>
        </w:r>
        <w:r w:rsidR="004F33BC">
          <w:rPr>
            <w:noProof/>
            <w:webHidden/>
          </w:rPr>
          <w:tab/>
        </w:r>
        <w:r w:rsidR="004F33BC">
          <w:rPr>
            <w:noProof/>
            <w:webHidden/>
          </w:rPr>
          <w:fldChar w:fldCharType="begin"/>
        </w:r>
        <w:r w:rsidR="004F33BC">
          <w:rPr>
            <w:noProof/>
            <w:webHidden/>
          </w:rPr>
          <w:instrText xml:space="preserve"> PAGEREF _Toc11017679 \h </w:instrText>
        </w:r>
        <w:r w:rsidR="004F33BC">
          <w:rPr>
            <w:noProof/>
            <w:webHidden/>
          </w:rPr>
        </w:r>
        <w:r w:rsidR="004F33BC">
          <w:rPr>
            <w:noProof/>
            <w:webHidden/>
          </w:rPr>
          <w:fldChar w:fldCharType="separate"/>
        </w:r>
        <w:r w:rsidR="004F33BC">
          <w:rPr>
            <w:noProof/>
            <w:webHidden/>
          </w:rPr>
          <w:t>7</w:t>
        </w:r>
        <w:r w:rsidR="004F33BC">
          <w:rPr>
            <w:noProof/>
            <w:webHidden/>
          </w:rPr>
          <w:fldChar w:fldCharType="end"/>
        </w:r>
      </w:hyperlink>
    </w:p>
    <w:p w14:paraId="43E28AC2" w14:textId="552A4B3D"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80" w:history="1">
        <w:r w:rsidR="004F33BC" w:rsidRPr="005F253A">
          <w:rPr>
            <w:rStyle w:val="Hyperlink"/>
            <w:noProof/>
          </w:rPr>
          <w:t xml:space="preserve">b) IGM </w:t>
        </w:r>
        <w:r w:rsidR="004F33BC">
          <w:rPr>
            <w:rStyle w:val="Hyperlink"/>
            <w:noProof/>
          </w:rPr>
          <w:t xml:space="preserve">3 – Sterilising Procedures: </w:t>
        </w:r>
        <w:r w:rsidR="004F33BC" w:rsidRPr="005F253A">
          <w:rPr>
            <w:rStyle w:val="Hyperlink"/>
            <w:noProof/>
          </w:rPr>
          <w:t>Castration / “Gonadectomy” / Hysterectomy /</w:t>
        </w:r>
        <w:r w:rsidR="004F33BC">
          <w:rPr>
            <w:rStyle w:val="Hyperlink"/>
            <w:noProof/>
          </w:rPr>
          <w:br/>
          <w:t xml:space="preserve"> </w:t>
        </w:r>
        <w:r w:rsidR="004F33BC" w:rsidRPr="005F253A">
          <w:rPr>
            <w:rStyle w:val="Hyperlink"/>
            <w:noProof/>
          </w:rPr>
          <w:t xml:space="preserve">   Removal of “Discordant Reproductive Structures” / (Secondary) Sterilisation</w:t>
        </w:r>
        <w:r w:rsidR="004F33BC">
          <w:rPr>
            <w:noProof/>
            <w:webHidden/>
          </w:rPr>
          <w:tab/>
        </w:r>
        <w:r w:rsidR="004F33BC">
          <w:rPr>
            <w:noProof/>
            <w:webHidden/>
          </w:rPr>
          <w:fldChar w:fldCharType="begin"/>
        </w:r>
        <w:r w:rsidR="004F33BC">
          <w:rPr>
            <w:noProof/>
            <w:webHidden/>
          </w:rPr>
          <w:instrText xml:space="preserve"> PAGEREF _Toc11017680 \h </w:instrText>
        </w:r>
        <w:r w:rsidR="004F33BC">
          <w:rPr>
            <w:noProof/>
            <w:webHidden/>
          </w:rPr>
        </w:r>
        <w:r w:rsidR="004F33BC">
          <w:rPr>
            <w:noProof/>
            <w:webHidden/>
          </w:rPr>
          <w:fldChar w:fldCharType="separate"/>
        </w:r>
        <w:r w:rsidR="004F33BC">
          <w:rPr>
            <w:noProof/>
            <w:webHidden/>
          </w:rPr>
          <w:t>9</w:t>
        </w:r>
        <w:r w:rsidR="004F33BC">
          <w:rPr>
            <w:noProof/>
            <w:webHidden/>
          </w:rPr>
          <w:fldChar w:fldCharType="end"/>
        </w:r>
      </w:hyperlink>
    </w:p>
    <w:p w14:paraId="64F202ED" w14:textId="7426371B"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81" w:history="1">
        <w:r w:rsidR="004F33BC" w:rsidRPr="005F253A">
          <w:rPr>
            <w:rStyle w:val="Hyperlink"/>
            <w:noProof/>
          </w:rPr>
          <w:t>c) IGM 2 – “Feminising Procedures”: Clitoris Amputation/“Reduction”,</w:t>
        </w:r>
        <w:r w:rsidR="004F33BC">
          <w:rPr>
            <w:rStyle w:val="Hyperlink"/>
            <w:noProof/>
          </w:rPr>
          <w:br/>
        </w:r>
        <w:r w:rsidR="004F33BC" w:rsidRPr="005F253A">
          <w:rPr>
            <w:rStyle w:val="Hyperlink"/>
            <w:noProof/>
            <w:w w:val="99"/>
          </w:rPr>
          <w:t xml:space="preserve">    “Vaginoplasty”, “Labioplasty”, Dilation</w:t>
        </w:r>
        <w:r w:rsidR="004F33BC">
          <w:rPr>
            <w:noProof/>
            <w:webHidden/>
          </w:rPr>
          <w:tab/>
        </w:r>
        <w:r w:rsidR="004F33BC">
          <w:rPr>
            <w:noProof/>
            <w:webHidden/>
          </w:rPr>
          <w:fldChar w:fldCharType="begin"/>
        </w:r>
        <w:r w:rsidR="004F33BC">
          <w:rPr>
            <w:noProof/>
            <w:webHidden/>
          </w:rPr>
          <w:instrText xml:space="preserve"> PAGEREF _Toc11017681 \h </w:instrText>
        </w:r>
        <w:r w:rsidR="004F33BC">
          <w:rPr>
            <w:noProof/>
            <w:webHidden/>
          </w:rPr>
        </w:r>
        <w:r w:rsidR="004F33BC">
          <w:rPr>
            <w:noProof/>
            <w:webHidden/>
          </w:rPr>
          <w:fldChar w:fldCharType="separate"/>
        </w:r>
        <w:r w:rsidR="004F33BC">
          <w:rPr>
            <w:noProof/>
            <w:webHidden/>
          </w:rPr>
          <w:t>10</w:t>
        </w:r>
        <w:r w:rsidR="004F33BC">
          <w:rPr>
            <w:noProof/>
            <w:webHidden/>
          </w:rPr>
          <w:fldChar w:fldCharType="end"/>
        </w:r>
      </w:hyperlink>
    </w:p>
    <w:p w14:paraId="33671EC2" w14:textId="77777777"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82" w:history="1">
        <w:r w:rsidR="004F33BC" w:rsidRPr="005F253A">
          <w:rPr>
            <w:rStyle w:val="Hyperlink"/>
            <w:noProof/>
            <w:w w:val="99"/>
          </w:rPr>
          <w:t>d) IGM 1 – “Masculinising Surgery”: Hypospadias “Repair”</w:t>
        </w:r>
        <w:r w:rsidR="004F33BC">
          <w:rPr>
            <w:noProof/>
            <w:webHidden/>
          </w:rPr>
          <w:tab/>
        </w:r>
        <w:r w:rsidR="004F33BC">
          <w:rPr>
            <w:noProof/>
            <w:webHidden/>
          </w:rPr>
          <w:fldChar w:fldCharType="begin"/>
        </w:r>
        <w:r w:rsidR="004F33BC">
          <w:rPr>
            <w:noProof/>
            <w:webHidden/>
          </w:rPr>
          <w:instrText xml:space="preserve"> PAGEREF _Toc11017682 \h </w:instrText>
        </w:r>
        <w:r w:rsidR="004F33BC">
          <w:rPr>
            <w:noProof/>
            <w:webHidden/>
          </w:rPr>
        </w:r>
        <w:r w:rsidR="004F33BC">
          <w:rPr>
            <w:noProof/>
            <w:webHidden/>
          </w:rPr>
          <w:fldChar w:fldCharType="separate"/>
        </w:r>
        <w:r w:rsidR="004F33BC">
          <w:rPr>
            <w:noProof/>
            <w:webHidden/>
          </w:rPr>
          <w:t>11</w:t>
        </w:r>
        <w:r w:rsidR="004F33BC">
          <w:rPr>
            <w:noProof/>
            <w:webHidden/>
          </w:rPr>
          <w:fldChar w:fldCharType="end"/>
        </w:r>
      </w:hyperlink>
    </w:p>
    <w:p w14:paraId="1613B818" w14:textId="77777777"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83" w:history="1">
        <w:r w:rsidR="004F33BC" w:rsidRPr="005F253A">
          <w:rPr>
            <w:rStyle w:val="Hyperlink"/>
            <w:noProof/>
          </w:rPr>
          <w:t>e) IGM 4: Other Unnecessary and Harmful Medical Interventions and Treatments</w:t>
        </w:r>
        <w:r w:rsidR="004F33BC">
          <w:rPr>
            <w:noProof/>
            <w:webHidden/>
          </w:rPr>
          <w:tab/>
        </w:r>
        <w:r w:rsidR="004F33BC">
          <w:rPr>
            <w:noProof/>
            <w:webHidden/>
          </w:rPr>
          <w:fldChar w:fldCharType="begin"/>
        </w:r>
        <w:r w:rsidR="004F33BC">
          <w:rPr>
            <w:noProof/>
            <w:webHidden/>
          </w:rPr>
          <w:instrText xml:space="preserve"> PAGEREF _Toc11017683 \h </w:instrText>
        </w:r>
        <w:r w:rsidR="004F33BC">
          <w:rPr>
            <w:noProof/>
            <w:webHidden/>
          </w:rPr>
        </w:r>
        <w:r w:rsidR="004F33BC">
          <w:rPr>
            <w:noProof/>
            <w:webHidden/>
          </w:rPr>
          <w:fldChar w:fldCharType="separate"/>
        </w:r>
        <w:r w:rsidR="004F33BC">
          <w:rPr>
            <w:noProof/>
            <w:webHidden/>
          </w:rPr>
          <w:t>12</w:t>
        </w:r>
        <w:r w:rsidR="004F33BC">
          <w:rPr>
            <w:noProof/>
            <w:webHidden/>
          </w:rPr>
          <w:fldChar w:fldCharType="end"/>
        </w:r>
      </w:hyperlink>
    </w:p>
    <w:p w14:paraId="0D8A2C5D" w14:textId="77777777"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84" w:history="1">
        <w:r w:rsidR="004F33BC" w:rsidRPr="005F253A">
          <w:rPr>
            <w:rStyle w:val="Hyperlink"/>
            <w:noProof/>
          </w:rPr>
          <w:t>f)  Spanish Public University Hospitals involved in International IGM Networks</w:t>
        </w:r>
        <w:r w:rsidR="004F33BC">
          <w:rPr>
            <w:noProof/>
            <w:webHidden/>
          </w:rPr>
          <w:tab/>
        </w:r>
        <w:r w:rsidR="004F33BC">
          <w:rPr>
            <w:noProof/>
            <w:webHidden/>
          </w:rPr>
          <w:fldChar w:fldCharType="begin"/>
        </w:r>
        <w:r w:rsidR="004F33BC">
          <w:rPr>
            <w:noProof/>
            <w:webHidden/>
          </w:rPr>
          <w:instrText xml:space="preserve"> PAGEREF _Toc11017684 \h </w:instrText>
        </w:r>
        <w:r w:rsidR="004F33BC">
          <w:rPr>
            <w:noProof/>
            <w:webHidden/>
          </w:rPr>
        </w:r>
        <w:r w:rsidR="004F33BC">
          <w:rPr>
            <w:noProof/>
            <w:webHidden/>
          </w:rPr>
          <w:fldChar w:fldCharType="separate"/>
        </w:r>
        <w:r w:rsidR="004F33BC">
          <w:rPr>
            <w:noProof/>
            <w:webHidden/>
          </w:rPr>
          <w:t>13</w:t>
        </w:r>
        <w:r w:rsidR="004F33BC">
          <w:rPr>
            <w:noProof/>
            <w:webHidden/>
          </w:rPr>
          <w:fldChar w:fldCharType="end"/>
        </w:r>
      </w:hyperlink>
    </w:p>
    <w:p w14:paraId="08D4B5BE"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85" w:history="1">
        <w:r w:rsidR="004F33BC" w:rsidRPr="005F253A">
          <w:rPr>
            <w:rStyle w:val="Hyperlink"/>
            <w:noProof/>
          </w:rPr>
          <w:t>2.  The Treatment of Intersex Children in Spain as a Harmful Practice and Violence</w:t>
        </w:r>
        <w:r w:rsidR="004F33BC">
          <w:rPr>
            <w:noProof/>
            <w:webHidden/>
          </w:rPr>
          <w:tab/>
        </w:r>
        <w:r w:rsidR="004F33BC">
          <w:rPr>
            <w:noProof/>
            <w:webHidden/>
          </w:rPr>
          <w:fldChar w:fldCharType="begin"/>
        </w:r>
        <w:r w:rsidR="004F33BC">
          <w:rPr>
            <w:noProof/>
            <w:webHidden/>
          </w:rPr>
          <w:instrText xml:space="preserve"> PAGEREF _Toc11017685 \h </w:instrText>
        </w:r>
        <w:r w:rsidR="004F33BC">
          <w:rPr>
            <w:noProof/>
            <w:webHidden/>
          </w:rPr>
        </w:r>
        <w:r w:rsidR="004F33BC">
          <w:rPr>
            <w:noProof/>
            <w:webHidden/>
          </w:rPr>
          <w:fldChar w:fldCharType="separate"/>
        </w:r>
        <w:r w:rsidR="004F33BC">
          <w:rPr>
            <w:noProof/>
            <w:webHidden/>
          </w:rPr>
          <w:t>13</w:t>
        </w:r>
        <w:r w:rsidR="004F33BC">
          <w:rPr>
            <w:noProof/>
            <w:webHidden/>
          </w:rPr>
          <w:fldChar w:fldCharType="end"/>
        </w:r>
      </w:hyperlink>
    </w:p>
    <w:p w14:paraId="634CF836" w14:textId="77777777"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86" w:history="1">
        <w:r w:rsidR="004F33BC" w:rsidRPr="005F253A">
          <w:rPr>
            <w:rStyle w:val="Hyperlink"/>
            <w:noProof/>
          </w:rPr>
          <w:t>a) Harmful Practice (art. 5 and JGR No. 31)</w:t>
        </w:r>
        <w:r w:rsidR="004F33BC" w:rsidRPr="005F253A">
          <w:rPr>
            <w:rStyle w:val="Hyperlink"/>
            <w:rFonts w:eastAsia="Baskerville-SemiBold"/>
            <w:noProof/>
          </w:rPr>
          <w:t xml:space="preserve"> </w:t>
        </w:r>
        <w:r w:rsidR="004F33BC">
          <w:rPr>
            <w:noProof/>
            <w:webHidden/>
          </w:rPr>
          <w:tab/>
        </w:r>
        <w:r w:rsidR="004F33BC">
          <w:rPr>
            <w:noProof/>
            <w:webHidden/>
          </w:rPr>
          <w:fldChar w:fldCharType="begin"/>
        </w:r>
        <w:r w:rsidR="004F33BC">
          <w:rPr>
            <w:noProof/>
            <w:webHidden/>
          </w:rPr>
          <w:instrText xml:space="preserve"> PAGEREF _Toc11017686 \h </w:instrText>
        </w:r>
        <w:r w:rsidR="004F33BC">
          <w:rPr>
            <w:noProof/>
            <w:webHidden/>
          </w:rPr>
        </w:r>
        <w:r w:rsidR="004F33BC">
          <w:rPr>
            <w:noProof/>
            <w:webHidden/>
          </w:rPr>
          <w:fldChar w:fldCharType="separate"/>
        </w:r>
        <w:r w:rsidR="004F33BC">
          <w:rPr>
            <w:noProof/>
            <w:webHidden/>
          </w:rPr>
          <w:t>13</w:t>
        </w:r>
        <w:r w:rsidR="004F33BC">
          <w:rPr>
            <w:noProof/>
            <w:webHidden/>
          </w:rPr>
          <w:fldChar w:fldCharType="end"/>
        </w:r>
      </w:hyperlink>
    </w:p>
    <w:p w14:paraId="1ADB26AE" w14:textId="24DFC6C6" w:rsidR="004F33BC" w:rsidRDefault="008836A8">
      <w:pPr>
        <w:pStyle w:val="Verzeichnis3"/>
        <w:tabs>
          <w:tab w:val="right" w:leader="dot" w:pos="9628"/>
        </w:tabs>
        <w:rPr>
          <w:rFonts w:asciiTheme="minorHAnsi" w:eastAsiaTheme="minorEastAsia" w:hAnsiTheme="minorHAnsi" w:cstheme="minorBidi"/>
          <w:noProof/>
          <w:kern w:val="0"/>
          <w:sz w:val="22"/>
          <w:szCs w:val="22"/>
          <w:lang w:eastAsia="de-CH" w:bidi="ar-SA"/>
        </w:rPr>
      </w:pPr>
      <w:hyperlink w:anchor="_Toc11017687" w:history="1">
        <w:r w:rsidR="00E56AB6">
          <w:rPr>
            <w:rStyle w:val="Hyperlink"/>
            <w:noProof/>
          </w:rPr>
          <w:t>b) Violence (a</w:t>
        </w:r>
        <w:r w:rsidR="004F33BC" w:rsidRPr="005F253A">
          <w:rPr>
            <w:rStyle w:val="Hyperlink"/>
            <w:noProof/>
          </w:rPr>
          <w:t>rticle</w:t>
        </w:r>
        <w:r w:rsidR="00187950">
          <w:rPr>
            <w:rStyle w:val="Hyperlink"/>
            <w:noProof/>
          </w:rPr>
          <w:t>s</w:t>
        </w:r>
        <w:bookmarkStart w:id="6" w:name="_GoBack"/>
        <w:bookmarkEnd w:id="6"/>
        <w:r w:rsidR="004F33BC" w:rsidRPr="005F253A">
          <w:rPr>
            <w:rStyle w:val="Hyperlink"/>
            <w:noProof/>
          </w:rPr>
          <w:t xml:space="preserve"> 1</w:t>
        </w:r>
        <w:r w:rsidR="00187950">
          <w:rPr>
            <w:rStyle w:val="Hyperlink"/>
            <w:noProof/>
          </w:rPr>
          <w:t xml:space="preserve"> and 2</w:t>
        </w:r>
        <w:r w:rsidR="004F33BC" w:rsidRPr="005F253A">
          <w:rPr>
            <w:rStyle w:val="Hyperlink"/>
            <w:noProof/>
          </w:rPr>
          <w:t xml:space="preserve"> in conjunction with General recommendation No. 35</w:t>
        </w:r>
        <w:r w:rsidR="00E56AB6">
          <w:rPr>
            <w:rStyle w:val="Hyperlink"/>
            <w:noProof/>
          </w:rPr>
          <w:t>)</w:t>
        </w:r>
        <w:r w:rsidR="004F33BC">
          <w:rPr>
            <w:noProof/>
            <w:webHidden/>
          </w:rPr>
          <w:tab/>
        </w:r>
        <w:r w:rsidR="004F33BC">
          <w:rPr>
            <w:noProof/>
            <w:webHidden/>
          </w:rPr>
          <w:fldChar w:fldCharType="begin"/>
        </w:r>
        <w:r w:rsidR="004F33BC">
          <w:rPr>
            <w:noProof/>
            <w:webHidden/>
          </w:rPr>
          <w:instrText xml:space="preserve"> PAGEREF _Toc11017687 \h </w:instrText>
        </w:r>
        <w:r w:rsidR="004F33BC">
          <w:rPr>
            <w:noProof/>
            <w:webHidden/>
          </w:rPr>
        </w:r>
        <w:r w:rsidR="004F33BC">
          <w:rPr>
            <w:noProof/>
            <w:webHidden/>
          </w:rPr>
          <w:fldChar w:fldCharType="separate"/>
        </w:r>
        <w:r w:rsidR="004F33BC">
          <w:rPr>
            <w:noProof/>
            <w:webHidden/>
          </w:rPr>
          <w:t>14</w:t>
        </w:r>
        <w:r w:rsidR="004F33BC">
          <w:rPr>
            <w:noProof/>
            <w:webHidden/>
          </w:rPr>
          <w:fldChar w:fldCharType="end"/>
        </w:r>
      </w:hyperlink>
    </w:p>
    <w:p w14:paraId="6467ACBD" w14:textId="65F9B9FF"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88" w:history="1">
        <w:r w:rsidR="004F33BC" w:rsidRPr="005F253A">
          <w:rPr>
            <w:rStyle w:val="Hyperlink"/>
            <w:noProof/>
          </w:rPr>
          <w:t>3.  Lack of Legislative Provisions to Ensure Protection from IGM Practices,</w:t>
        </w:r>
        <w:r w:rsidR="004F33BC">
          <w:rPr>
            <w:rStyle w:val="Hyperlink"/>
            <w:noProof/>
          </w:rPr>
          <w:br/>
        </w:r>
        <w:r w:rsidR="004F33BC" w:rsidRPr="005F253A">
          <w:rPr>
            <w:rStyle w:val="Hyperlink"/>
            <w:noProof/>
          </w:rPr>
          <w:t xml:space="preserve">     Impunity of the Perpetrators (art. 5 and JGR No. 31; art. 2 and GR No. 35)</w:t>
        </w:r>
        <w:r w:rsidR="004F33BC">
          <w:rPr>
            <w:noProof/>
            <w:webHidden/>
          </w:rPr>
          <w:tab/>
        </w:r>
        <w:r w:rsidR="004F33BC">
          <w:rPr>
            <w:noProof/>
            <w:webHidden/>
          </w:rPr>
          <w:fldChar w:fldCharType="begin"/>
        </w:r>
        <w:r w:rsidR="004F33BC">
          <w:rPr>
            <w:noProof/>
            <w:webHidden/>
          </w:rPr>
          <w:instrText xml:space="preserve"> PAGEREF _Toc11017688 \h </w:instrText>
        </w:r>
        <w:r w:rsidR="004F33BC">
          <w:rPr>
            <w:noProof/>
            <w:webHidden/>
          </w:rPr>
        </w:r>
        <w:r w:rsidR="004F33BC">
          <w:rPr>
            <w:noProof/>
            <w:webHidden/>
          </w:rPr>
          <w:fldChar w:fldCharType="separate"/>
        </w:r>
        <w:r w:rsidR="004F33BC">
          <w:rPr>
            <w:noProof/>
            <w:webHidden/>
          </w:rPr>
          <w:t>14</w:t>
        </w:r>
        <w:r w:rsidR="004F33BC">
          <w:rPr>
            <w:noProof/>
            <w:webHidden/>
          </w:rPr>
          <w:fldChar w:fldCharType="end"/>
        </w:r>
      </w:hyperlink>
    </w:p>
    <w:p w14:paraId="785AAC18" w14:textId="795C87F8"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89" w:history="1">
        <w:r w:rsidR="004F33BC" w:rsidRPr="005F253A">
          <w:rPr>
            <w:rStyle w:val="Hyperlink"/>
            <w:noProof/>
          </w:rPr>
          <w:t>4.  Obstacles to Redress, Fair and Adequate Compensation, and Rehabilitation</w:t>
        </w:r>
        <w:r w:rsidR="004F33BC">
          <w:rPr>
            <w:rStyle w:val="Hyperlink"/>
            <w:noProof/>
          </w:rPr>
          <w:br/>
        </w:r>
        <w:r w:rsidR="004F33BC" w:rsidRPr="005F253A">
          <w:rPr>
            <w:rStyle w:val="Hyperlink"/>
            <w:noProof/>
          </w:rPr>
          <w:t xml:space="preserve">     </w:t>
        </w:r>
        <w:r w:rsidR="00EC36BC">
          <w:rPr>
            <w:rStyle w:val="Hyperlink"/>
            <w:noProof/>
          </w:rPr>
          <w:t>(art. 5 and JGR No. 31; art. 2</w:t>
        </w:r>
        <w:r w:rsidR="004F33BC" w:rsidRPr="005F253A">
          <w:rPr>
            <w:rStyle w:val="Hyperlink"/>
            <w:noProof/>
          </w:rPr>
          <w:t xml:space="preserve"> and GR No. 35)</w:t>
        </w:r>
        <w:r w:rsidR="004F33BC">
          <w:rPr>
            <w:noProof/>
            <w:webHidden/>
          </w:rPr>
          <w:tab/>
        </w:r>
        <w:r w:rsidR="004F33BC">
          <w:rPr>
            <w:noProof/>
            <w:webHidden/>
          </w:rPr>
          <w:fldChar w:fldCharType="begin"/>
        </w:r>
        <w:r w:rsidR="004F33BC">
          <w:rPr>
            <w:noProof/>
            <w:webHidden/>
          </w:rPr>
          <w:instrText xml:space="preserve"> PAGEREF _Toc11017689 \h </w:instrText>
        </w:r>
        <w:r w:rsidR="004F33BC">
          <w:rPr>
            <w:noProof/>
            <w:webHidden/>
          </w:rPr>
        </w:r>
        <w:r w:rsidR="004F33BC">
          <w:rPr>
            <w:noProof/>
            <w:webHidden/>
          </w:rPr>
          <w:fldChar w:fldCharType="separate"/>
        </w:r>
        <w:r w:rsidR="004F33BC">
          <w:rPr>
            <w:noProof/>
            <w:webHidden/>
          </w:rPr>
          <w:t>15</w:t>
        </w:r>
        <w:r w:rsidR="004F33BC">
          <w:rPr>
            <w:noProof/>
            <w:webHidden/>
          </w:rPr>
          <w:fldChar w:fldCharType="end"/>
        </w:r>
      </w:hyperlink>
    </w:p>
    <w:p w14:paraId="498901F7" w14:textId="77777777" w:rsidR="004F33BC" w:rsidRPr="004F33BC" w:rsidRDefault="008836A8">
      <w:pPr>
        <w:pStyle w:val="Verzeichnis1"/>
        <w:rPr>
          <w:rFonts w:asciiTheme="minorHAnsi" w:eastAsiaTheme="minorEastAsia" w:hAnsiTheme="minorHAnsi" w:cstheme="minorBidi"/>
          <w:b w:val="0"/>
          <w:kern w:val="0"/>
          <w:sz w:val="32"/>
          <w:szCs w:val="32"/>
          <w:lang w:val="de-CH" w:eastAsia="de-CH" w:bidi="ar-SA"/>
        </w:rPr>
      </w:pPr>
      <w:hyperlink w:anchor="_Toc11017690" w:history="1">
        <w:r w:rsidR="004F33BC" w:rsidRPr="004F33BC">
          <w:rPr>
            <w:rStyle w:val="Hyperlink"/>
            <w:sz w:val="32"/>
            <w:szCs w:val="32"/>
            <w:lang w:val="en-GB"/>
          </w:rPr>
          <w:t>Suggested Questions for the LOIPR</w:t>
        </w:r>
        <w:r w:rsidR="004F33BC" w:rsidRPr="004F33BC">
          <w:rPr>
            <w:webHidden/>
            <w:sz w:val="32"/>
            <w:szCs w:val="32"/>
          </w:rPr>
          <w:tab/>
        </w:r>
        <w:r w:rsidR="004F33BC" w:rsidRPr="004F33BC">
          <w:rPr>
            <w:webHidden/>
            <w:sz w:val="32"/>
            <w:szCs w:val="32"/>
          </w:rPr>
          <w:fldChar w:fldCharType="begin"/>
        </w:r>
        <w:r w:rsidR="004F33BC" w:rsidRPr="004F33BC">
          <w:rPr>
            <w:webHidden/>
            <w:sz w:val="32"/>
            <w:szCs w:val="32"/>
          </w:rPr>
          <w:instrText xml:space="preserve"> PAGEREF _Toc11017690 \h </w:instrText>
        </w:r>
        <w:r w:rsidR="004F33BC" w:rsidRPr="004F33BC">
          <w:rPr>
            <w:webHidden/>
            <w:sz w:val="32"/>
            <w:szCs w:val="32"/>
          </w:rPr>
        </w:r>
        <w:r w:rsidR="004F33BC" w:rsidRPr="004F33BC">
          <w:rPr>
            <w:webHidden/>
            <w:sz w:val="32"/>
            <w:szCs w:val="32"/>
          </w:rPr>
          <w:fldChar w:fldCharType="separate"/>
        </w:r>
        <w:r w:rsidR="004F33BC" w:rsidRPr="004F33BC">
          <w:rPr>
            <w:webHidden/>
            <w:sz w:val="32"/>
            <w:szCs w:val="32"/>
          </w:rPr>
          <w:t>17</w:t>
        </w:r>
        <w:r w:rsidR="004F33BC" w:rsidRPr="004F33BC">
          <w:rPr>
            <w:webHidden/>
            <w:sz w:val="32"/>
            <w:szCs w:val="32"/>
          </w:rPr>
          <w:fldChar w:fldCharType="end"/>
        </w:r>
      </w:hyperlink>
    </w:p>
    <w:p w14:paraId="281D3421" w14:textId="30144AF9" w:rsidR="004F33BC" w:rsidRDefault="008836A8">
      <w:pPr>
        <w:pStyle w:val="Verzeichnis1"/>
        <w:rPr>
          <w:rFonts w:asciiTheme="minorHAnsi" w:eastAsiaTheme="minorEastAsia" w:hAnsiTheme="minorHAnsi" w:cstheme="minorBidi"/>
          <w:b w:val="0"/>
          <w:kern w:val="0"/>
          <w:sz w:val="22"/>
          <w:szCs w:val="22"/>
          <w:lang w:val="de-CH" w:eastAsia="de-CH" w:bidi="ar-SA"/>
        </w:rPr>
      </w:pPr>
      <w:hyperlink w:anchor="_Toc11017691" w:history="1">
        <w:r w:rsidR="00AC64DD">
          <w:rPr>
            <w:rStyle w:val="Hyperlink"/>
          </w:rPr>
          <w:t xml:space="preserve">Annexe – Background: </w:t>
        </w:r>
        <w:r w:rsidR="004F33BC" w:rsidRPr="005F253A">
          <w:rPr>
            <w:rStyle w:val="Hyperlink"/>
          </w:rPr>
          <w:t>Intersex, IGM, Harmful Practices and Stereotypes</w:t>
        </w:r>
        <w:r w:rsidR="004F33BC">
          <w:rPr>
            <w:webHidden/>
          </w:rPr>
          <w:tab/>
        </w:r>
        <w:r w:rsidR="004F33BC">
          <w:rPr>
            <w:webHidden/>
          </w:rPr>
          <w:fldChar w:fldCharType="begin"/>
        </w:r>
        <w:r w:rsidR="004F33BC">
          <w:rPr>
            <w:webHidden/>
          </w:rPr>
          <w:instrText xml:space="preserve"> PAGEREF _Toc11017691 \h </w:instrText>
        </w:r>
        <w:r w:rsidR="004F33BC">
          <w:rPr>
            <w:webHidden/>
          </w:rPr>
        </w:r>
        <w:r w:rsidR="004F33BC">
          <w:rPr>
            <w:webHidden/>
          </w:rPr>
          <w:fldChar w:fldCharType="separate"/>
        </w:r>
        <w:r w:rsidR="004F33BC">
          <w:rPr>
            <w:webHidden/>
          </w:rPr>
          <w:t>18</w:t>
        </w:r>
        <w:r w:rsidR="004F33BC">
          <w:rPr>
            <w:webHidden/>
          </w:rPr>
          <w:fldChar w:fldCharType="end"/>
        </w:r>
      </w:hyperlink>
    </w:p>
    <w:p w14:paraId="03658FD6" w14:textId="348AB59D"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92" w:history="1">
        <w:r w:rsidR="004F33BC" w:rsidRPr="005F253A">
          <w:rPr>
            <w:rStyle w:val="Hyperlink"/>
            <w:noProof/>
          </w:rPr>
          <w:t>1.  IGM: Involuntary, unnecessa</w:t>
        </w:r>
        <w:r w:rsidR="004F33BC">
          <w:rPr>
            <w:rStyle w:val="Hyperlink"/>
            <w:noProof/>
          </w:rPr>
          <w:t xml:space="preserve">ry and harmful practices, </w:t>
        </w:r>
        <w:r w:rsidR="004F33BC" w:rsidRPr="005F253A">
          <w:rPr>
            <w:rStyle w:val="Hyperlink"/>
            <w:noProof/>
          </w:rPr>
          <w:t>based on stereotypes and prejudice</w:t>
        </w:r>
        <w:r w:rsidR="004F33BC">
          <w:rPr>
            <w:noProof/>
            <w:webHidden/>
          </w:rPr>
          <w:tab/>
        </w:r>
        <w:r w:rsidR="004F33BC">
          <w:rPr>
            <w:noProof/>
            <w:webHidden/>
          </w:rPr>
          <w:fldChar w:fldCharType="begin"/>
        </w:r>
        <w:r w:rsidR="004F33BC">
          <w:rPr>
            <w:noProof/>
            <w:webHidden/>
          </w:rPr>
          <w:instrText xml:space="preserve"> PAGEREF _Toc11017692 \h </w:instrText>
        </w:r>
        <w:r w:rsidR="004F33BC">
          <w:rPr>
            <w:noProof/>
            <w:webHidden/>
          </w:rPr>
        </w:r>
        <w:r w:rsidR="004F33BC">
          <w:rPr>
            <w:noProof/>
            <w:webHidden/>
          </w:rPr>
          <w:fldChar w:fldCharType="separate"/>
        </w:r>
        <w:r w:rsidR="004F33BC">
          <w:rPr>
            <w:noProof/>
            <w:webHidden/>
          </w:rPr>
          <w:t>18</w:t>
        </w:r>
        <w:r w:rsidR="004F33BC">
          <w:rPr>
            <w:noProof/>
            <w:webHidden/>
          </w:rPr>
          <w:fldChar w:fldCharType="end"/>
        </w:r>
      </w:hyperlink>
    </w:p>
    <w:p w14:paraId="6A4BC0E8"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93" w:history="1">
        <w:r w:rsidR="004F33BC" w:rsidRPr="005F253A">
          <w:rPr>
            <w:rStyle w:val="Hyperlink"/>
            <w:noProof/>
          </w:rPr>
          <w:t>2.  Intersex = variations of reproductive anatomy</w:t>
        </w:r>
        <w:r w:rsidR="004F33BC">
          <w:rPr>
            <w:noProof/>
            <w:webHidden/>
          </w:rPr>
          <w:tab/>
        </w:r>
        <w:r w:rsidR="004F33BC">
          <w:rPr>
            <w:noProof/>
            <w:webHidden/>
          </w:rPr>
          <w:fldChar w:fldCharType="begin"/>
        </w:r>
        <w:r w:rsidR="004F33BC">
          <w:rPr>
            <w:noProof/>
            <w:webHidden/>
          </w:rPr>
          <w:instrText xml:space="preserve"> PAGEREF _Toc11017693 \h </w:instrText>
        </w:r>
        <w:r w:rsidR="004F33BC">
          <w:rPr>
            <w:noProof/>
            <w:webHidden/>
          </w:rPr>
        </w:r>
        <w:r w:rsidR="004F33BC">
          <w:rPr>
            <w:noProof/>
            <w:webHidden/>
          </w:rPr>
          <w:fldChar w:fldCharType="separate"/>
        </w:r>
        <w:r w:rsidR="004F33BC">
          <w:rPr>
            <w:noProof/>
            <w:webHidden/>
          </w:rPr>
          <w:t>19</w:t>
        </w:r>
        <w:r w:rsidR="004F33BC">
          <w:rPr>
            <w:noProof/>
            <w:webHidden/>
          </w:rPr>
          <w:fldChar w:fldCharType="end"/>
        </w:r>
      </w:hyperlink>
    </w:p>
    <w:p w14:paraId="77347F03"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94" w:history="1">
        <w:r w:rsidR="004F33BC" w:rsidRPr="005F253A">
          <w:rPr>
            <w:rStyle w:val="Hyperlink"/>
            <w:noProof/>
          </w:rPr>
          <w:t>3.  Harmful Stereotypes (2): Intersex is NOT THE SAME as Transgender or LGBT</w:t>
        </w:r>
        <w:r w:rsidR="004F33BC">
          <w:rPr>
            <w:noProof/>
            <w:webHidden/>
          </w:rPr>
          <w:tab/>
        </w:r>
        <w:r w:rsidR="004F33BC">
          <w:rPr>
            <w:noProof/>
            <w:webHidden/>
          </w:rPr>
          <w:fldChar w:fldCharType="begin"/>
        </w:r>
        <w:r w:rsidR="004F33BC">
          <w:rPr>
            <w:noProof/>
            <w:webHidden/>
          </w:rPr>
          <w:instrText xml:space="preserve"> PAGEREF _Toc11017694 \h </w:instrText>
        </w:r>
        <w:r w:rsidR="004F33BC">
          <w:rPr>
            <w:noProof/>
            <w:webHidden/>
          </w:rPr>
        </w:r>
        <w:r w:rsidR="004F33BC">
          <w:rPr>
            <w:noProof/>
            <w:webHidden/>
          </w:rPr>
          <w:fldChar w:fldCharType="separate"/>
        </w:r>
        <w:r w:rsidR="004F33BC">
          <w:rPr>
            <w:noProof/>
            <w:webHidden/>
          </w:rPr>
          <w:t>20</w:t>
        </w:r>
        <w:r w:rsidR="004F33BC">
          <w:rPr>
            <w:noProof/>
            <w:webHidden/>
          </w:rPr>
          <w:fldChar w:fldCharType="end"/>
        </w:r>
      </w:hyperlink>
    </w:p>
    <w:p w14:paraId="33F98429" w14:textId="77777777" w:rsidR="004F33BC" w:rsidRDefault="008836A8">
      <w:pPr>
        <w:pStyle w:val="Verzeichnis2"/>
        <w:tabs>
          <w:tab w:val="right" w:leader="dot" w:pos="9628"/>
        </w:tabs>
        <w:rPr>
          <w:rFonts w:asciiTheme="minorHAnsi" w:eastAsiaTheme="minorEastAsia" w:hAnsiTheme="minorHAnsi" w:cstheme="minorBidi"/>
          <w:noProof/>
          <w:kern w:val="0"/>
          <w:sz w:val="22"/>
          <w:szCs w:val="22"/>
          <w:lang w:eastAsia="de-CH" w:bidi="ar-SA"/>
        </w:rPr>
      </w:pPr>
      <w:hyperlink w:anchor="_Toc11017695" w:history="1">
        <w:r w:rsidR="004F33BC" w:rsidRPr="005F253A">
          <w:rPr>
            <w:rStyle w:val="Hyperlink"/>
            <w:noProof/>
          </w:rPr>
          <w:t>4.  Harmful Stereotypes (3): Misrepresenting Genital Mutilation as “Health Care”</w:t>
        </w:r>
        <w:r w:rsidR="004F33BC">
          <w:rPr>
            <w:noProof/>
            <w:webHidden/>
          </w:rPr>
          <w:tab/>
        </w:r>
        <w:r w:rsidR="004F33BC">
          <w:rPr>
            <w:noProof/>
            <w:webHidden/>
          </w:rPr>
          <w:fldChar w:fldCharType="begin"/>
        </w:r>
        <w:r w:rsidR="004F33BC">
          <w:rPr>
            <w:noProof/>
            <w:webHidden/>
          </w:rPr>
          <w:instrText xml:space="preserve"> PAGEREF _Toc11017695 \h </w:instrText>
        </w:r>
        <w:r w:rsidR="004F33BC">
          <w:rPr>
            <w:noProof/>
            <w:webHidden/>
          </w:rPr>
        </w:r>
        <w:r w:rsidR="004F33BC">
          <w:rPr>
            <w:noProof/>
            <w:webHidden/>
          </w:rPr>
          <w:fldChar w:fldCharType="separate"/>
        </w:r>
        <w:r w:rsidR="004F33BC">
          <w:rPr>
            <w:noProof/>
            <w:webHidden/>
          </w:rPr>
          <w:t>21</w:t>
        </w:r>
        <w:r w:rsidR="004F33BC">
          <w:rPr>
            <w:noProof/>
            <w:webHidden/>
          </w:rPr>
          <w:fldChar w:fldCharType="end"/>
        </w:r>
      </w:hyperlink>
    </w:p>
    <w:p w14:paraId="587696A8" w14:textId="77777777" w:rsidR="004375E4" w:rsidRDefault="007665F2" w:rsidP="00321F0A">
      <w:pPr>
        <w:pStyle w:val="absatzschattenbericht"/>
      </w:pPr>
      <w:r>
        <w:fldChar w:fldCharType="end"/>
      </w:r>
      <w:bookmarkStart w:id="7" w:name="Executive_Summary"/>
      <w:bookmarkStart w:id="8" w:name="_Toc453620701"/>
      <w:bookmarkStart w:id="9" w:name="_Toc463295397"/>
      <w:bookmarkStart w:id="10" w:name="_Toc472718947"/>
    </w:p>
    <w:p w14:paraId="22687742" w14:textId="77777777" w:rsidR="004375E4" w:rsidRDefault="004375E4">
      <w:pPr>
        <w:widowControl/>
        <w:suppressAutoHyphens w:val="0"/>
        <w:textAlignment w:val="auto"/>
        <w:rPr>
          <w:rFonts w:eastAsia="Baskerville" w:cs="Baskerville"/>
          <w:color w:val="000000"/>
          <w:spacing w:val="2"/>
          <w:lang w:val="en-GB"/>
        </w:rPr>
      </w:pPr>
      <w:r>
        <w:br w:type="page"/>
      </w:r>
    </w:p>
    <w:p w14:paraId="216645AB" w14:textId="77777777" w:rsidR="00087C7A" w:rsidRPr="008521EA" w:rsidRDefault="00087C7A" w:rsidP="00087C7A">
      <w:pPr>
        <w:pStyle w:val="Title1"/>
        <w:rPr>
          <w:rFonts w:eastAsia="Baskerville" w:cs="Times New Roman"/>
          <w:spacing w:val="2"/>
          <w:lang w:val="en-GB"/>
        </w:rPr>
      </w:pPr>
      <w:bookmarkStart w:id="11" w:name="_Toc11017673"/>
      <w:bookmarkStart w:id="12" w:name="_Toc453620706"/>
      <w:bookmarkStart w:id="13" w:name="_Toc463295402"/>
      <w:bookmarkStart w:id="14" w:name="_Toc472718952"/>
      <w:bookmarkEnd w:id="1"/>
      <w:bookmarkEnd w:id="2"/>
      <w:bookmarkEnd w:id="3"/>
      <w:bookmarkEnd w:id="4"/>
      <w:bookmarkEnd w:id="7"/>
      <w:bookmarkEnd w:id="8"/>
      <w:bookmarkEnd w:id="9"/>
      <w:bookmarkEnd w:id="10"/>
      <w:r w:rsidRPr="008521EA">
        <w:rPr>
          <w:lang w:val="en-GB"/>
        </w:rPr>
        <w:lastRenderedPageBreak/>
        <w:t>Introduction</w:t>
      </w:r>
      <w:bookmarkEnd w:id="11"/>
    </w:p>
    <w:p w14:paraId="7EB9A61B" w14:textId="77777777" w:rsidR="00F94214" w:rsidRPr="00F94214" w:rsidRDefault="00F94214" w:rsidP="00F94214">
      <w:pPr>
        <w:pStyle w:val="absatzschattenbericht"/>
        <w:spacing w:after="0"/>
        <w:rPr>
          <w:sz w:val="12"/>
          <w:szCs w:val="12"/>
        </w:rPr>
      </w:pPr>
    </w:p>
    <w:p w14:paraId="6B8B6EC9" w14:textId="6B6E3A26" w:rsidR="00087C7A" w:rsidRPr="008521EA" w:rsidRDefault="00087C7A" w:rsidP="00087C7A">
      <w:pPr>
        <w:pStyle w:val="Title2"/>
        <w:rPr>
          <w:rFonts w:eastAsia="Baskerville"/>
          <w:szCs w:val="24"/>
        </w:rPr>
      </w:pPr>
      <w:bookmarkStart w:id="15" w:name="_Toc11017674"/>
      <w:r w:rsidRPr="008521EA">
        <w:t xml:space="preserve">1.  Intersex, IGM and Human Rights in </w:t>
      </w:r>
      <w:r>
        <w:t>Spain</w:t>
      </w:r>
      <w:bookmarkEnd w:id="15"/>
    </w:p>
    <w:p w14:paraId="5AD35F60" w14:textId="1717B353" w:rsidR="007E5342" w:rsidRPr="007E5342" w:rsidRDefault="007E5342" w:rsidP="00321F0A">
      <w:pPr>
        <w:pStyle w:val="absatzschattenbericht"/>
      </w:pPr>
      <w:r w:rsidRPr="007E5342">
        <w:rPr>
          <w:b/>
          <w:bCs/>
        </w:rPr>
        <w:t>CRC</w:t>
      </w:r>
      <w:r>
        <w:t xml:space="preserve"> has already recognised </w:t>
      </w:r>
      <w:r w:rsidRPr="007E5342">
        <w:rPr>
          <w:b/>
          <w:bCs/>
        </w:rPr>
        <w:t>intersex genital mutilation in Spain</w:t>
      </w:r>
      <w:r>
        <w:t xml:space="preserve"> to constitute a </w:t>
      </w:r>
      <w:r w:rsidRPr="007E5342">
        <w:rPr>
          <w:b/>
          <w:bCs/>
        </w:rPr>
        <w:t>harmful practice</w:t>
      </w:r>
      <w:r>
        <w:t xml:space="preserve">, recommending the State party to </w:t>
      </w:r>
      <w:r w:rsidRPr="007E5342">
        <w:rPr>
          <w:b/>
          <w:bCs/>
          <w:i/>
          <w:iCs/>
        </w:rPr>
        <w:t>“</w:t>
      </w:r>
      <w:r w:rsidRPr="00321F0A">
        <w:rPr>
          <w:b/>
          <w:bCs/>
          <w:i/>
          <w:iCs/>
        </w:rPr>
        <w:t>prohibit</w:t>
      </w:r>
      <w:r w:rsidRPr="007E5342">
        <w:rPr>
          <w:b/>
          <w:bCs/>
          <w:i/>
          <w:iCs/>
        </w:rPr>
        <w:t>”</w:t>
      </w:r>
      <w:r>
        <w:rPr>
          <w:i/>
          <w:iCs/>
        </w:rPr>
        <w:t xml:space="preserve"> </w:t>
      </w:r>
      <w:r>
        <w:t xml:space="preserve">IGM practices and to ensure access to </w:t>
      </w:r>
      <w:r w:rsidRPr="007E5342">
        <w:rPr>
          <w:b/>
          <w:bCs/>
          <w:i/>
          <w:iCs/>
        </w:rPr>
        <w:t>“</w:t>
      </w:r>
      <w:r w:rsidRPr="007E5342">
        <w:rPr>
          <w:b/>
          <w:bCs/>
          <w:i/>
          <w:iCs/>
          <w:lang w:val="en-US"/>
        </w:rPr>
        <w:t>adequate counselling and support</w:t>
      </w:r>
      <w:r w:rsidRPr="007E5342">
        <w:rPr>
          <w:b/>
          <w:bCs/>
          <w:i/>
          <w:iCs/>
        </w:rPr>
        <w:t>”</w:t>
      </w:r>
      <w:r>
        <w:t xml:space="preserve"> for intersex children and their families.</w:t>
      </w:r>
    </w:p>
    <w:p w14:paraId="501ABF48" w14:textId="67FBB1FD" w:rsidR="00087C7A" w:rsidRPr="0009169E" w:rsidRDefault="00087C7A" w:rsidP="00321F0A">
      <w:pPr>
        <w:pStyle w:val="absatzschattenbericht"/>
      </w:pPr>
      <w:r w:rsidRPr="0009169E">
        <w:t xml:space="preserve">This NGO Report demonstrates </w:t>
      </w:r>
      <w:r w:rsidR="007E5342">
        <w:t xml:space="preserve">how </w:t>
      </w:r>
      <w:r w:rsidRPr="0009169E">
        <w:t xml:space="preserve">doctors in </w:t>
      </w:r>
      <w:r w:rsidRPr="0009169E">
        <w:rPr>
          <w:rFonts w:eastAsia="Baskerville-SemiBold"/>
          <w:b/>
          <w:bCs/>
        </w:rPr>
        <w:t>Spanish public university clinics</w:t>
      </w:r>
      <w:r w:rsidR="007E5342" w:rsidRPr="007E5342">
        <w:rPr>
          <w:rFonts w:eastAsia="Baskerville-SemiBold"/>
        </w:rPr>
        <w:t>, with</w:t>
      </w:r>
      <w:r w:rsidR="007E5342">
        <w:rPr>
          <w:rFonts w:eastAsia="Baskerville-SemiBold"/>
          <w:b/>
          <w:bCs/>
        </w:rPr>
        <w:t xml:space="preserve"> approval of the Spanish government,</w:t>
      </w:r>
      <w:r w:rsidRPr="0009169E">
        <w:t xml:space="preserve"> </w:t>
      </w:r>
      <w:r w:rsidR="007E5342">
        <w:t>nonetheless continue to regularly perform</w:t>
      </w:r>
      <w:r w:rsidRPr="0009169E">
        <w:t xml:space="preserve"> </w:t>
      </w:r>
      <w:r w:rsidRPr="0009169E">
        <w:rPr>
          <w:rFonts w:eastAsia="Baskerville-SemiBold"/>
          <w:b/>
          <w:bCs/>
        </w:rPr>
        <w:t>IGM practices</w:t>
      </w:r>
      <w:r w:rsidRPr="0009169E">
        <w:t xml:space="preserve">, including non-consensual, medically unnecessary, irreversible cosmetic genital surgeries, sterilising procedures, and other harmful treatments on intersex children and adolescents, </w:t>
      </w:r>
      <w:r w:rsidR="007E5342">
        <w:t xml:space="preserve">which </w:t>
      </w:r>
      <w:r w:rsidRPr="0009169E">
        <w:t xml:space="preserve">have been </w:t>
      </w:r>
      <w:r w:rsidRPr="0009169E">
        <w:rPr>
          <w:rFonts w:eastAsia="Baskerville-SemiBold"/>
          <w:b/>
          <w:bCs/>
        </w:rPr>
        <w:t>described by survivors as genital mutilation and torture.</w:t>
      </w:r>
      <w:r w:rsidRPr="0009169E">
        <w:t xml:space="preserve"> IGM practices are known to cause severe, lifelong physical and psychological pain and suffering, and have been </w:t>
      </w:r>
      <w:r w:rsidRPr="0009169E">
        <w:rPr>
          <w:rFonts w:eastAsia="Baskerville-SemiBold"/>
          <w:b/>
          <w:bCs/>
        </w:rPr>
        <w:t xml:space="preserve">repeatedly recognised by this Committee and other UN treaty bodies as constituting a harmful practice </w:t>
      </w:r>
      <w:r w:rsidRPr="0009169E">
        <w:t xml:space="preserve">as well as torture or ill-treatment. </w:t>
      </w:r>
    </w:p>
    <w:p w14:paraId="2D2915E8" w14:textId="6A58E4A0" w:rsidR="00087C7A" w:rsidRDefault="00087C7A" w:rsidP="00321F0A">
      <w:pPr>
        <w:pStyle w:val="absatzschattenbericht"/>
      </w:pPr>
      <w:r w:rsidRPr="0009169E">
        <w:t xml:space="preserve">Despite ongoing public criticism of the practice in Spain by </w:t>
      </w:r>
      <w:r w:rsidR="007E5342">
        <w:t xml:space="preserve">CRC, </w:t>
      </w:r>
      <w:r w:rsidRPr="0009169E">
        <w:t xml:space="preserve">IGM survivors and legal experts, to this day the </w:t>
      </w:r>
      <w:r w:rsidRPr="0009169E">
        <w:rPr>
          <w:rFonts w:eastAsia="Baskerville-SemiBold"/>
          <w:b/>
          <w:bCs/>
        </w:rPr>
        <w:t>State party</w:t>
      </w:r>
      <w:r w:rsidRPr="0009169E">
        <w:t xml:space="preserve"> not only </w:t>
      </w:r>
      <w:r w:rsidRPr="0009169E">
        <w:rPr>
          <w:rFonts w:eastAsia="Baskerville-SemiBold"/>
          <w:b/>
          <w:bCs/>
        </w:rPr>
        <w:t xml:space="preserve">fails to take effective legislative, administrative or </w:t>
      </w:r>
      <w:r w:rsidRPr="0009169E">
        <w:rPr>
          <w:rFonts w:eastAsia="Baskerville-SemiBold"/>
          <w:b/>
          <w:bCs/>
        </w:rPr>
        <w:br/>
        <w:t>other action to prevent the practice</w:t>
      </w:r>
      <w:r w:rsidRPr="0009169E">
        <w:t>, but in fact</w:t>
      </w:r>
      <w:r w:rsidR="007E5342">
        <w:t xml:space="preserve"> continues to</w:t>
      </w:r>
      <w:r w:rsidRPr="0009169E">
        <w:t xml:space="preserve"> </w:t>
      </w:r>
      <w:r w:rsidR="007E5342">
        <w:rPr>
          <w:rFonts w:eastAsia="Baskerville-SemiBold"/>
          <w:b/>
          <w:bCs/>
        </w:rPr>
        <w:t>directly finance</w:t>
      </w:r>
      <w:r w:rsidRPr="0009169E">
        <w:rPr>
          <w:rFonts w:eastAsia="Baskerville-SemiBold"/>
          <w:b/>
          <w:bCs/>
        </w:rPr>
        <w:t xml:space="preserve"> it</w:t>
      </w:r>
      <w:r w:rsidRPr="0009169E">
        <w:t xml:space="preserve"> via the public National Health System (SNS) and via funding the public university clinics and paediatric hospitals that practice IGM, thus </w:t>
      </w:r>
      <w:r w:rsidRPr="0009169E">
        <w:rPr>
          <w:rFonts w:eastAsia="Baskerville-SemiBold"/>
          <w:b/>
          <w:bCs/>
        </w:rPr>
        <w:t>violating its duty to prevent harmful practices</w:t>
      </w:r>
      <w:r w:rsidR="00F872F6">
        <w:t xml:space="preserve"> (Art. 5</w:t>
      </w:r>
      <w:r w:rsidR="00F6699F">
        <w:t xml:space="preserve"> in conjunction with the CEDAW/CRC</w:t>
      </w:r>
      <w:r w:rsidRPr="0009169E">
        <w:t xml:space="preserve"> Joint general </w:t>
      </w:r>
      <w:r w:rsidR="00F6699F">
        <w:t xml:space="preserve">recommendation No. </w:t>
      </w:r>
      <w:r w:rsidRPr="0009169E">
        <w:t>31</w:t>
      </w:r>
      <w:r w:rsidR="00F6699F">
        <w:t>/18</w:t>
      </w:r>
      <w:r w:rsidRPr="0009169E">
        <w:t xml:space="preserve">). </w:t>
      </w:r>
    </w:p>
    <w:p w14:paraId="194ACA07" w14:textId="77777777" w:rsidR="00F94214" w:rsidRPr="00F94214" w:rsidRDefault="00F94214" w:rsidP="00F94214">
      <w:pPr>
        <w:pStyle w:val="absatzschattenbericht"/>
        <w:spacing w:after="0"/>
        <w:rPr>
          <w:sz w:val="12"/>
          <w:szCs w:val="12"/>
        </w:rPr>
      </w:pPr>
    </w:p>
    <w:p w14:paraId="1C3A3C93" w14:textId="33266600" w:rsidR="00087C7A" w:rsidRPr="0009169E" w:rsidRDefault="00087C7A" w:rsidP="00087C7A">
      <w:pPr>
        <w:pStyle w:val="Title2"/>
        <w:rPr>
          <w:rFonts w:eastAsia="Baskerville-SemiBold"/>
          <w:color w:val="000000"/>
          <w:szCs w:val="24"/>
        </w:rPr>
      </w:pPr>
      <w:bookmarkStart w:id="16" w:name="_Toc11017675"/>
      <w:r w:rsidRPr="0009169E">
        <w:t>2.  About the Rapporteurs</w:t>
      </w:r>
      <w:bookmarkEnd w:id="16"/>
    </w:p>
    <w:p w14:paraId="01329E56" w14:textId="77777777" w:rsidR="00087C7A" w:rsidRPr="0009169E" w:rsidRDefault="00087C7A" w:rsidP="00321F0A">
      <w:pPr>
        <w:pStyle w:val="absatzschattenbericht"/>
        <w:rPr>
          <w:rFonts w:eastAsia="Baskerville-SemiBold"/>
          <w:b/>
          <w:bCs/>
        </w:rPr>
      </w:pPr>
      <w:r w:rsidRPr="0009169E">
        <w:rPr>
          <w:rFonts w:eastAsia="Baskerville-SemiBold"/>
          <w:b/>
          <w:bCs/>
        </w:rPr>
        <w:t xml:space="preserve">This thematic NGO report </w:t>
      </w:r>
      <w:r w:rsidRPr="0009169E">
        <w:t xml:space="preserve">has been prepared by the international intersex NGOs </w:t>
      </w:r>
      <w:r w:rsidRPr="0009169E">
        <w:br/>
      </w:r>
      <w:r w:rsidRPr="0009169E">
        <w:rPr>
          <w:rFonts w:eastAsia="Baskerville-Italic"/>
          <w:i/>
          <w:iCs/>
        </w:rPr>
        <w:t>Brújula Intersexual</w:t>
      </w:r>
      <w:r w:rsidRPr="0009169E">
        <w:t xml:space="preserve"> and </w:t>
      </w:r>
      <w:r w:rsidRPr="0009169E">
        <w:rPr>
          <w:rFonts w:eastAsia="Baskerville-Italic"/>
          <w:i/>
          <w:iCs/>
        </w:rPr>
        <w:t xml:space="preserve">StopIGM.org / Zwischengeschlecht.org </w:t>
      </w:r>
      <w:r w:rsidRPr="0009169E">
        <w:t>in collaboration with Spanish intersex children, adults and their parents.</w:t>
      </w:r>
    </w:p>
    <w:p w14:paraId="0DF0EEEF" w14:textId="7BF70D19" w:rsidR="00087C7A" w:rsidRPr="0009169E" w:rsidRDefault="00087C7A" w:rsidP="00321F0A">
      <w:pPr>
        <w:pStyle w:val="absatzschattenbericht"/>
        <w:numPr>
          <w:ilvl w:val="0"/>
          <w:numId w:val="26"/>
        </w:numPr>
        <w:ind w:left="709"/>
        <w:rPr>
          <w:rFonts w:eastAsia="Baskerville-SemiBold"/>
          <w:b/>
          <w:bCs/>
        </w:rPr>
      </w:pPr>
      <w:r w:rsidRPr="0009169E">
        <w:rPr>
          <w:rFonts w:eastAsia="Baskerville-SemiBold"/>
          <w:b/>
          <w:bCs/>
        </w:rPr>
        <w:t>Brújula Intersexual</w:t>
      </w:r>
      <w:r w:rsidR="00D630A6">
        <w:t xml:space="preserve"> (E</w:t>
      </w:r>
      <w:r w:rsidRPr="0009169E">
        <w:t>nglish translation: Intersex Compass) is a Mexican-based NGO founded by Laura Inter in 2013. Its main objectives are to inform, disseminate and make visible everything related to intersex, mainly for Spanish-speaking people. We give priority to the opinion of intersex people over medical opinion. It is also a space that offers help and guidance to Spanish-speaking intersex people and their families, from countries such as Mexico, Spain, Argentina, Chile, among others.</w:t>
      </w:r>
      <w:r w:rsidRPr="00A23F1D">
        <w:rPr>
          <w:rStyle w:val="Funotenzeichen"/>
          <w:rFonts w:cs="Times New Roman"/>
        </w:rPr>
        <w:footnoteReference w:id="1"/>
      </w:r>
    </w:p>
    <w:p w14:paraId="6F0B084F" w14:textId="60183759" w:rsidR="00087C7A" w:rsidRPr="0009169E" w:rsidRDefault="00087C7A" w:rsidP="00321F0A">
      <w:pPr>
        <w:pStyle w:val="absatzschattenbericht"/>
        <w:numPr>
          <w:ilvl w:val="0"/>
          <w:numId w:val="26"/>
        </w:numPr>
        <w:ind w:left="709"/>
      </w:pPr>
      <w:r w:rsidRPr="0009169E">
        <w:rPr>
          <w:rFonts w:eastAsia="Baskerville-SemiBold"/>
          <w:b/>
          <w:bCs/>
        </w:rPr>
        <w:t>StopIGM.org / Zwischengeschlecht.org,</w:t>
      </w:r>
      <w:r w:rsidRPr="0009169E">
        <w:t xml:space="preserve"> founded in 2007, is an international Human Rights NGO based in Switzerland, led by intersex persons, their partners, families and friends. It works to represent the interests of intersex people and their relatives, raise awareness, and fight IGM practices and other human rights violations perpetrated on intersex people, according to its motto, </w:t>
      </w:r>
      <w:r w:rsidRPr="0009169E">
        <w:rPr>
          <w:rFonts w:eastAsia="Baskerville-Italic"/>
          <w:i/>
          <w:iCs/>
        </w:rPr>
        <w:t>“Human Rights for Hermaphrodites, too!”</w:t>
      </w:r>
      <w:r w:rsidRPr="00A23F1D">
        <w:rPr>
          <w:rStyle w:val="Funotenzeichen"/>
          <w:rFonts w:cs="Times New Roman"/>
        </w:rPr>
        <w:footnoteReference w:id="2"/>
      </w:r>
      <w:r w:rsidRPr="003B0041">
        <w:rPr>
          <w:rStyle w:val="Funotenzeichen"/>
          <w:rFonts w:cs="Times New Roman"/>
        </w:rPr>
        <w:t xml:space="preserve"> </w:t>
      </w:r>
      <w:r w:rsidRPr="0009169E">
        <w:t>According to its charter,</w:t>
      </w:r>
      <w:r w:rsidRPr="00A23F1D">
        <w:rPr>
          <w:rStyle w:val="Funotenzeichen"/>
          <w:rFonts w:cs="Times New Roman"/>
        </w:rPr>
        <w:footnoteReference w:id="3"/>
      </w:r>
      <w:r w:rsidRPr="0009169E">
        <w:t xml:space="preserve"> Zwischengeschlecht.org works to support persons concerned seeking redress and justice. StopIGM.org regularly reports to UN treaty bodies.</w:t>
      </w:r>
      <w:r w:rsidRPr="00A23F1D">
        <w:rPr>
          <w:rStyle w:val="Funotenzeichen"/>
          <w:rFonts w:cs="Times New Roman"/>
        </w:rPr>
        <w:footnoteReference w:id="4"/>
      </w:r>
    </w:p>
    <w:p w14:paraId="154AC0F7" w14:textId="701427BB" w:rsidR="00087C7A" w:rsidRDefault="00087C7A" w:rsidP="00321F0A">
      <w:pPr>
        <w:pStyle w:val="absatzschattenbericht"/>
      </w:pPr>
      <w:r w:rsidRPr="0009169E">
        <w:lastRenderedPageBreak/>
        <w:t xml:space="preserve">In addition, the Rapporteurs would like to acknowledge the work </w:t>
      </w:r>
      <w:r w:rsidR="008D26F7">
        <w:t xml:space="preserve">of </w:t>
      </w:r>
      <w:r w:rsidR="008D26F7" w:rsidRPr="008D26F7">
        <w:rPr>
          <w:b/>
          <w:bCs/>
        </w:rPr>
        <w:t xml:space="preserve">Clara </w:t>
      </w:r>
      <w:r w:rsidR="001B45A6" w:rsidRPr="001B45A6">
        <w:rPr>
          <w:b/>
          <w:bCs/>
        </w:rPr>
        <w:t>Montesdeoca</w:t>
      </w:r>
      <w:r w:rsidR="008D26F7">
        <w:t>.</w:t>
      </w:r>
      <w:r w:rsidR="008D26F7">
        <w:rPr>
          <w:rStyle w:val="Funotenzeichen"/>
        </w:rPr>
        <w:footnoteReference w:id="5"/>
      </w:r>
      <w:r w:rsidR="008D26F7">
        <w:t xml:space="preserve"> </w:t>
      </w:r>
      <w:r w:rsidR="008D26F7">
        <w:rPr>
          <w:rStyle w:val="Funotenzeichen"/>
        </w:rPr>
        <w:footnoteReference w:id="6"/>
      </w:r>
      <w:r w:rsidR="008D26F7">
        <w:t xml:space="preserve"> And we would like to acknowledge the work </w:t>
      </w:r>
      <w:r w:rsidRPr="0009169E">
        <w:t xml:space="preserve">of Professor of Philosophy of Law </w:t>
      </w:r>
      <w:r w:rsidRPr="008D26F7">
        <w:rPr>
          <w:b/>
          <w:bCs/>
        </w:rPr>
        <w:t>Daniel J. García López</w:t>
      </w:r>
      <w:r w:rsidRPr="0009169E">
        <w:t>.</w:t>
      </w:r>
      <w:r w:rsidRPr="00A23F1D">
        <w:rPr>
          <w:rStyle w:val="Funotenzeichen"/>
          <w:rFonts w:cs="Times New Roman"/>
        </w:rPr>
        <w:footnoteReference w:id="7"/>
      </w:r>
    </w:p>
    <w:p w14:paraId="78955C43" w14:textId="77777777" w:rsidR="007E5342" w:rsidRPr="00A23F1D" w:rsidRDefault="007E5342" w:rsidP="00321F0A">
      <w:pPr>
        <w:pStyle w:val="absatzschattenbericht"/>
      </w:pPr>
    </w:p>
    <w:p w14:paraId="6FD98225" w14:textId="77777777" w:rsidR="00087C7A" w:rsidRPr="0009169E" w:rsidRDefault="00087C7A" w:rsidP="00087C7A">
      <w:pPr>
        <w:pStyle w:val="Title2"/>
        <w:rPr>
          <w:rFonts w:eastAsia="Baskerville"/>
          <w:color w:val="000000"/>
          <w:szCs w:val="24"/>
        </w:rPr>
      </w:pPr>
      <w:bookmarkStart w:id="17" w:name="_Toc11017676"/>
      <w:r w:rsidRPr="0009169E">
        <w:t>3.  Methodology</w:t>
      </w:r>
      <w:bookmarkEnd w:id="17"/>
    </w:p>
    <w:p w14:paraId="08C2B53E" w14:textId="353167FE" w:rsidR="00087C7A" w:rsidRDefault="00087C7A" w:rsidP="00321F0A">
      <w:pPr>
        <w:pStyle w:val="absatzschattenbericht"/>
      </w:pPr>
      <w:r w:rsidRPr="0009169E">
        <w:t>This thematic NGO report is a</w:t>
      </w:r>
      <w:r w:rsidR="001B45A6">
        <w:t>n</w:t>
      </w:r>
      <w:r w:rsidRPr="0009169E">
        <w:t xml:space="preserve"> </w:t>
      </w:r>
      <w:r w:rsidR="001B45A6">
        <w:t xml:space="preserve">updated </w:t>
      </w:r>
      <w:r w:rsidR="00B2505F">
        <w:t xml:space="preserve">and abridged </w:t>
      </w:r>
      <w:r w:rsidR="001B45A6">
        <w:t xml:space="preserve">version of the </w:t>
      </w:r>
      <w:r w:rsidR="001B45A6" w:rsidRPr="001B45A6">
        <w:rPr>
          <w:b/>
          <w:bCs/>
        </w:rPr>
        <w:t>2017 CRC NGO Report</w:t>
      </w:r>
      <w:r w:rsidR="001B45A6">
        <w:t xml:space="preserve"> </w:t>
      </w:r>
      <w:r w:rsidR="001B45A6" w:rsidRPr="00A23F1D">
        <w:rPr>
          <w:rStyle w:val="Funotenzeichen"/>
          <w:rFonts w:cs="Times New Roman"/>
        </w:rPr>
        <w:footnoteReference w:id="8"/>
      </w:r>
      <w:r w:rsidR="001B45A6">
        <w:t xml:space="preserve"> for Spain by the same Rapporteurs.</w:t>
      </w:r>
    </w:p>
    <w:p w14:paraId="30AFC7D8" w14:textId="77777777" w:rsidR="00087C7A" w:rsidRDefault="00087C7A" w:rsidP="00321F0A">
      <w:pPr>
        <w:pStyle w:val="absatzschattenbericht"/>
      </w:pPr>
    </w:p>
    <w:p w14:paraId="62926569" w14:textId="6CD1B8F9" w:rsidR="00087C7A" w:rsidRPr="00087C7A" w:rsidRDefault="00C84D75" w:rsidP="00087C7A">
      <w:pPr>
        <w:pStyle w:val="Title1"/>
        <w:rPr>
          <w:spacing w:val="2"/>
          <w:sz w:val="23"/>
          <w:szCs w:val="23"/>
          <w:lang w:val="en-US"/>
        </w:rPr>
      </w:pPr>
      <w:bookmarkStart w:id="18" w:name="_Toc11017677"/>
      <w:r>
        <w:rPr>
          <w:lang w:val="en-US"/>
        </w:rPr>
        <w:lastRenderedPageBreak/>
        <w:t>A</w:t>
      </w:r>
      <w:r w:rsidR="00087C7A" w:rsidRPr="00087C7A">
        <w:rPr>
          <w:lang w:val="en-US"/>
        </w:rPr>
        <w:t>.  IGM in Spain: State-sponsored and pervasive, Gov fails to act</w:t>
      </w:r>
      <w:bookmarkEnd w:id="18"/>
    </w:p>
    <w:p w14:paraId="254952F9" w14:textId="77777777" w:rsidR="00087C7A" w:rsidRPr="0009169E" w:rsidRDefault="00087C7A" w:rsidP="00087C7A">
      <w:pPr>
        <w:pStyle w:val="Title2"/>
        <w:rPr>
          <w:color w:val="232657"/>
          <w:sz w:val="22"/>
          <w:szCs w:val="22"/>
        </w:rPr>
      </w:pPr>
      <w:bookmarkStart w:id="19" w:name="_Toc11017678"/>
      <w:r w:rsidRPr="0009169E">
        <w:t>1.  IGM practices in Spain: Pervasive and unchallenged</w:t>
      </w:r>
      <w:bookmarkEnd w:id="19"/>
    </w:p>
    <w:p w14:paraId="0900EE88" w14:textId="77020A0C" w:rsidR="00087C7A" w:rsidRPr="0009169E" w:rsidRDefault="00087C7A" w:rsidP="00087C7A">
      <w:pPr>
        <w:pStyle w:val="Title3"/>
        <w:rPr>
          <w:rFonts w:eastAsia="Baskerville"/>
          <w:color w:val="000000"/>
        </w:rPr>
      </w:pPr>
      <w:bookmarkStart w:id="20" w:name="_Toc11017679"/>
      <w:r w:rsidRPr="0009169E">
        <w:t>a) Overview: Lack of Pr</w:t>
      </w:r>
      <w:r w:rsidR="00C84D75">
        <w:t>otection for Intersex Persons</w:t>
      </w:r>
      <w:r w:rsidRPr="0009169E">
        <w:t>, IGM state-sponsored</w:t>
      </w:r>
      <w:bookmarkEnd w:id="20"/>
    </w:p>
    <w:p w14:paraId="03CB833E" w14:textId="77777777" w:rsidR="00087C7A" w:rsidRDefault="00087C7A" w:rsidP="00321F0A">
      <w:pPr>
        <w:pStyle w:val="absatzschattenbericht"/>
      </w:pPr>
      <w:r w:rsidRPr="0009169E">
        <w:t xml:space="preserve">Allover Spain, all forms of </w:t>
      </w:r>
      <w:r w:rsidRPr="0009169E">
        <w:rPr>
          <w:rFonts w:eastAsia="Baskerville-Bold"/>
          <w:b/>
          <w:bCs/>
        </w:rPr>
        <w:t>IGM practices remain widespread and ongoing</w:t>
      </w:r>
      <w:r w:rsidRPr="0009169E">
        <w:t xml:space="preserve">, persistently </w:t>
      </w:r>
      <w:r w:rsidRPr="0009169E">
        <w:rPr>
          <w:rFonts w:eastAsia="Baskerville-Bold"/>
          <w:b/>
          <w:bCs/>
        </w:rPr>
        <w:t>advocated, prescribed and perpetrated</w:t>
      </w:r>
      <w:r w:rsidRPr="0009169E">
        <w:t xml:space="preserve"> by state funded University and Public Children’s Clinics, and </w:t>
      </w:r>
      <w:r w:rsidRPr="0009169E">
        <w:rPr>
          <w:rFonts w:eastAsia="Baskerville-Bold"/>
          <w:b/>
          <w:bCs/>
        </w:rPr>
        <w:t>paid for</w:t>
      </w:r>
      <w:r w:rsidRPr="0009169E">
        <w:t xml:space="preserve"> by the </w:t>
      </w:r>
      <w:r w:rsidRPr="0009169E">
        <w:rPr>
          <w:rFonts w:eastAsia="Baskerville-SemiBold"/>
          <w:b/>
          <w:bCs/>
        </w:rPr>
        <w:t>Spanish National Health System (SNS)</w:t>
      </w:r>
      <w:r w:rsidRPr="0009169E">
        <w:t xml:space="preserve"> – as the actors themselves publicly admit, as well as to the psycho-social justification of the surgeries, and to knowledge of the human rights implications: </w:t>
      </w:r>
    </w:p>
    <w:p w14:paraId="31769EF7" w14:textId="0214374E" w:rsidR="00087C7A" w:rsidRPr="00DC2998" w:rsidRDefault="00087C7A" w:rsidP="00AB251F">
      <w:pPr>
        <w:pStyle w:val="absatzschattenberichtZITAT"/>
        <w:ind w:left="284"/>
      </w:pPr>
      <w:r w:rsidRPr="00DC2998">
        <w:t xml:space="preserve">The endocrinologist of Vall’d Hebron, Laura Audí, [...] </w:t>
      </w:r>
      <w:r w:rsidRPr="00DC2998">
        <w:rPr>
          <w:b/>
          <w:bCs/>
        </w:rPr>
        <w:t>is opposing legislation [to ban IGM].</w:t>
      </w:r>
      <w:r w:rsidRPr="00DC2998">
        <w:t xml:space="preserve"> “Any radical stance is bad, it doesn’t serve to say that we should never operate, nor does it serve to say that we should not change any of the protocols,” says the doctor who asserts that in Spain </w:t>
      </w:r>
      <w:r w:rsidRPr="00DC2998">
        <w:rPr>
          <w:b/>
          <w:bCs/>
        </w:rPr>
        <w:t>“it has been years since there has been any surgical intervention</w:t>
      </w:r>
      <w:r w:rsidRPr="00DC2998">
        <w:t xml:space="preserve"> or open exploration in intersex minors without the </w:t>
      </w:r>
      <w:r w:rsidRPr="00DC2998">
        <w:rPr>
          <w:b/>
          <w:bCs/>
        </w:rPr>
        <w:t xml:space="preserve">informed </w:t>
      </w:r>
      <w:r w:rsidR="00292664" w:rsidRPr="00DC2998">
        <w:rPr>
          <w:b/>
          <w:bCs/>
        </w:rPr>
        <w:t>consent</w:t>
      </w:r>
      <w:r w:rsidRPr="00DC2998">
        <w:rPr>
          <w:b/>
          <w:bCs/>
        </w:rPr>
        <w:t xml:space="preserve"> of </w:t>
      </w:r>
      <w:r w:rsidR="00292664" w:rsidRPr="00DC2998">
        <w:rPr>
          <w:b/>
          <w:bCs/>
        </w:rPr>
        <w:t xml:space="preserve">the </w:t>
      </w:r>
      <w:r w:rsidRPr="00DC2998">
        <w:rPr>
          <w:b/>
          <w:bCs/>
        </w:rPr>
        <w:t>parents.”</w:t>
      </w:r>
      <w:r w:rsidR="00AB251F">
        <w:t xml:space="preserve"> </w:t>
      </w:r>
      <w:r w:rsidRPr="00AB251F">
        <w:rPr>
          <w:i w:val="0"/>
          <w:iCs/>
        </w:rPr>
        <w:t>(20 Minutos 11.08.2016)</w:t>
      </w:r>
      <w:r w:rsidRPr="00DC2998">
        <w:rPr>
          <w:iCs/>
        </w:rPr>
        <w:t xml:space="preserve"> </w:t>
      </w:r>
      <w:r w:rsidRPr="00DC2998">
        <w:rPr>
          <w:rStyle w:val="Funotenzeichen"/>
          <w:rFonts w:cs="Times New Roman"/>
          <w:i w:val="0"/>
          <w:iCs/>
          <w:spacing w:val="2"/>
          <w:kern w:val="1"/>
        </w:rPr>
        <w:footnoteReference w:id="9"/>
      </w:r>
    </w:p>
    <w:p w14:paraId="2EBD4179" w14:textId="19FE95A3" w:rsidR="00087C7A" w:rsidRPr="00031CCB" w:rsidRDefault="00087C7A" w:rsidP="00AB251F">
      <w:pPr>
        <w:pStyle w:val="absatzschattenberichtZITAT"/>
        <w:ind w:left="284"/>
      </w:pPr>
      <w:r w:rsidRPr="00DC2998">
        <w:t>“</w:t>
      </w:r>
      <w:r w:rsidRPr="00165D7E">
        <w:rPr>
          <w:b/>
          <w:bCs/>
        </w:rPr>
        <w:t>Ablations [of the clitoris] like Olga’s are no longer practiced,</w:t>
      </w:r>
      <w:r w:rsidRPr="00DC2998">
        <w:t xml:space="preserve">” the president of the Spanish Society of Pediatric Surgery, Iñaki Eizaguirre, assures EL MUNDO. However, the expert admits that </w:t>
      </w:r>
      <w:r w:rsidRPr="00165D7E">
        <w:rPr>
          <w:b/>
          <w:bCs/>
        </w:rPr>
        <w:t xml:space="preserve">genital standardisation surgeries in children do continue to be performed </w:t>
      </w:r>
      <w:r w:rsidRPr="00DC2998">
        <w:t xml:space="preserve">in hospitals. Surgeries that are not necessary because the child’s health is at risk, but rather “are convenient for coexistence, social-family relations and </w:t>
      </w:r>
      <w:r w:rsidRPr="00165D7E">
        <w:rPr>
          <w:b/>
          <w:bCs/>
        </w:rPr>
        <w:t>to avoid problems</w:t>
      </w:r>
      <w:r w:rsidRPr="00DC2998">
        <w:t>.”</w:t>
      </w:r>
      <w:r w:rsidR="00AB251F">
        <w:t xml:space="preserve"> </w:t>
      </w:r>
      <w:r w:rsidRPr="00AB251F">
        <w:rPr>
          <w:i w:val="0"/>
          <w:iCs/>
        </w:rPr>
        <w:t>(El Mundo 11.12.2016)</w:t>
      </w:r>
      <w:r w:rsidRPr="00DC2998">
        <w:rPr>
          <w:iCs/>
        </w:rPr>
        <w:t xml:space="preserve"> </w:t>
      </w:r>
      <w:r w:rsidRPr="00DC2998">
        <w:rPr>
          <w:rStyle w:val="Funotenzeichen"/>
          <w:rFonts w:cs="Times New Roman"/>
          <w:i w:val="0"/>
          <w:iCs/>
          <w:spacing w:val="2"/>
          <w:kern w:val="1"/>
        </w:rPr>
        <w:footnoteReference w:id="10"/>
      </w:r>
    </w:p>
    <w:p w14:paraId="2CA3C257" w14:textId="5C050BF7" w:rsidR="00D401AA" w:rsidRPr="00D401AA" w:rsidRDefault="00087C7A" w:rsidP="00321F0A">
      <w:pPr>
        <w:pStyle w:val="absatzschattenbericht"/>
      </w:pPr>
      <w:r w:rsidRPr="00D401AA">
        <w:t xml:space="preserve">On the side of protections, in </w:t>
      </w:r>
      <w:r w:rsidRPr="00D401AA">
        <w:rPr>
          <w:rFonts w:eastAsia="Baskerville-SemiBold"/>
          <w:b/>
          <w:bCs/>
        </w:rPr>
        <w:t>Spain</w:t>
      </w:r>
      <w:r w:rsidR="00165D7E">
        <w:rPr>
          <w:rFonts w:eastAsia="Baskerville-SemiBold"/>
          <w:b/>
          <w:bCs/>
        </w:rPr>
        <w:t xml:space="preserve"> </w:t>
      </w:r>
      <w:r w:rsidR="00165D7E">
        <w:rPr>
          <w:rFonts w:eastAsia="Baskerville-SemiBold"/>
        </w:rPr>
        <w:t xml:space="preserve">(see </w:t>
      </w:r>
      <w:r w:rsidR="00165D7E" w:rsidRPr="00165D7E">
        <w:rPr>
          <w:rFonts w:eastAsia="Baskerville-SemiBold"/>
        </w:rPr>
        <w:t>CRC/C/ESP/CO/5-6, para 24</w:t>
      </w:r>
      <w:r w:rsidR="00165D7E">
        <w:rPr>
          <w:rFonts w:eastAsia="Baskerville-SemiBold"/>
        </w:rPr>
        <w:t>)</w:t>
      </w:r>
      <w:r w:rsidRPr="00D401AA">
        <w:t xml:space="preserve">, same as in the </w:t>
      </w:r>
      <w:r w:rsidR="00D401AA" w:rsidRPr="00D401AA">
        <w:t>neighbouring state</w:t>
      </w:r>
      <w:r w:rsidRPr="00D401AA">
        <w:t xml:space="preserve"> of </w:t>
      </w:r>
      <w:r w:rsidR="00D401AA" w:rsidRPr="00D401AA">
        <w:rPr>
          <w:rFonts w:eastAsia="Baskerville-Italic"/>
          <w:i/>
          <w:iCs/>
        </w:rPr>
        <w:t>France</w:t>
      </w:r>
      <w:r w:rsidRPr="00D401AA">
        <w:t xml:space="preserve"> (</w:t>
      </w:r>
      <w:r w:rsidR="00D401AA" w:rsidRPr="00D401AA">
        <w:rPr>
          <w:rFonts w:eastAsia="Baskerville-SemiBold"/>
        </w:rPr>
        <w:t>CEDAW/C/FRA/CO/7-8, paras 18e-f+19e-f</w:t>
      </w:r>
      <w:r w:rsidRPr="00D401AA">
        <w:t>),</w:t>
      </w:r>
      <w:r w:rsidR="00D401AA" w:rsidRPr="00D401AA">
        <w:t xml:space="preserve"> and the fellow European states of</w:t>
      </w:r>
      <w:r w:rsidRPr="00D401AA">
        <w:t xml:space="preserve"> </w:t>
      </w:r>
      <w:r w:rsidR="00D401AA" w:rsidRPr="00D401AA">
        <w:rPr>
          <w:rFonts w:eastAsia="Baskerville-Italic"/>
          <w:i/>
          <w:iCs/>
        </w:rPr>
        <w:t>Switzerland</w:t>
      </w:r>
      <w:r w:rsidRPr="00D401AA">
        <w:t xml:space="preserve"> (</w:t>
      </w:r>
      <w:r w:rsidR="00D401AA" w:rsidRPr="00D401AA">
        <w:rPr>
          <w:rFonts w:eastAsia="Baskerville-SemiBold"/>
        </w:rPr>
        <w:t>CEDAW/C/CHE/CO/4-5, paras 24-25, 38-39</w:t>
      </w:r>
      <w:r w:rsidRPr="00D401AA">
        <w:t xml:space="preserve">), </w:t>
      </w:r>
      <w:r w:rsidR="00D401AA" w:rsidRPr="00D401AA">
        <w:rPr>
          <w:rFonts w:eastAsia="Baskerville-Italic"/>
          <w:i/>
          <w:iCs/>
        </w:rPr>
        <w:t>Netherland</w:t>
      </w:r>
      <w:r w:rsidRPr="00D401AA">
        <w:t xml:space="preserve"> (</w:t>
      </w:r>
      <w:r w:rsidR="00D401AA" w:rsidRPr="00D401AA">
        <w:rPr>
          <w:rFonts w:eastAsia="Baskerville-SemiBold"/>
        </w:rPr>
        <w:t>CEDAW/C/NLD/CO/6, paras 21-22, 23-24</w:t>
      </w:r>
      <w:r w:rsidRPr="00D401AA">
        <w:t xml:space="preserve">), </w:t>
      </w:r>
      <w:r w:rsidR="00D401AA" w:rsidRPr="00D401AA">
        <w:rPr>
          <w:rFonts w:eastAsia="Baskerville-Italic"/>
          <w:i/>
          <w:iCs/>
        </w:rPr>
        <w:t xml:space="preserve">Germany </w:t>
      </w:r>
      <w:r w:rsidRPr="00D401AA">
        <w:t>(</w:t>
      </w:r>
      <w:r w:rsidR="00D401AA" w:rsidRPr="00D401AA">
        <w:rPr>
          <w:rFonts w:eastAsia="Baskerville-SemiBold"/>
        </w:rPr>
        <w:t>CEDAW/C/DEU/CO/7-8, paras 23-24</w:t>
      </w:r>
      <w:r w:rsidRPr="00D401AA">
        <w:t>),</w:t>
      </w:r>
      <w:r w:rsidR="00D401AA" w:rsidRPr="00D401AA">
        <w:t xml:space="preserve"> </w:t>
      </w:r>
      <w:r w:rsidR="00D401AA" w:rsidRPr="00D401AA">
        <w:rPr>
          <w:i/>
          <w:iCs/>
        </w:rPr>
        <w:t xml:space="preserve">Ireland </w:t>
      </w:r>
      <w:r w:rsidR="00D401AA" w:rsidRPr="00D401AA">
        <w:t>(</w:t>
      </w:r>
      <w:r w:rsidR="00D401AA" w:rsidRPr="00D401AA">
        <w:rPr>
          <w:rFonts w:eastAsia="Baskerville-SemiBold"/>
        </w:rPr>
        <w:t>CEDAW/C/IRL/CO/6-7, paras 24-25),</w:t>
      </w:r>
      <w:r w:rsidR="00D401AA" w:rsidRPr="00D401AA">
        <w:t xml:space="preserve"> and</w:t>
      </w:r>
      <w:r w:rsidRPr="00D401AA">
        <w:t xml:space="preserve"> </w:t>
      </w:r>
      <w:r w:rsidR="00D401AA" w:rsidRPr="00D401AA">
        <w:rPr>
          <w:rFonts w:eastAsia="Baskerville-Italic"/>
          <w:i/>
          <w:iCs/>
        </w:rPr>
        <w:t>Luxembourg</w:t>
      </w:r>
      <w:r w:rsidRPr="00D401AA">
        <w:t xml:space="preserve"> (</w:t>
      </w:r>
      <w:r w:rsidR="00D401AA" w:rsidRPr="00D401AA">
        <w:rPr>
          <w:rFonts w:eastAsia="Baskerville-SemiBold"/>
        </w:rPr>
        <w:t>CEDAW/C/LUX/CO/6-7, paras 27b-c+28b-c</w:t>
      </w:r>
      <w:r w:rsidR="00D401AA" w:rsidRPr="00D401AA">
        <w:t>)</w:t>
      </w:r>
      <w:r w:rsidRPr="00D401AA">
        <w:t xml:space="preserve">, </w:t>
      </w:r>
      <w:r w:rsidRPr="00D401AA">
        <w:rPr>
          <w:rFonts w:eastAsia="Baskerville-SemiBold"/>
          <w:b/>
          <w:bCs/>
        </w:rPr>
        <w:t xml:space="preserve">there are </w:t>
      </w:r>
    </w:p>
    <w:p w14:paraId="778BCF91" w14:textId="61FAB0A9" w:rsidR="00087C7A" w:rsidRPr="0009169E" w:rsidRDefault="00087C7A" w:rsidP="00AB251F">
      <w:pPr>
        <w:pStyle w:val="absatzschattenbericht"/>
        <w:numPr>
          <w:ilvl w:val="0"/>
          <w:numId w:val="27"/>
        </w:numPr>
        <w:spacing w:after="80"/>
        <w:ind w:left="714" w:hanging="357"/>
        <w:rPr>
          <w:rFonts w:eastAsia="Baskerville-Bold"/>
          <w:b/>
          <w:bCs/>
        </w:rPr>
      </w:pPr>
      <w:r w:rsidRPr="0009169E">
        <w:rPr>
          <w:rFonts w:eastAsia="Baskerville-Bold"/>
          <w:b/>
          <w:bCs/>
        </w:rPr>
        <w:t xml:space="preserve">no legal or other </w:t>
      </w:r>
      <w:r w:rsidRPr="00612231">
        <w:rPr>
          <w:rFonts w:eastAsia="Baskerville-Bold"/>
          <w:b/>
          <w:bCs/>
        </w:rPr>
        <w:t>protections</w:t>
      </w:r>
      <w:r w:rsidRPr="00612231">
        <w:rPr>
          <w:b/>
          <w:bCs/>
        </w:rPr>
        <w:t xml:space="preserve"> in place </w:t>
      </w:r>
      <w:r w:rsidR="00612231" w:rsidRPr="00612231">
        <w:rPr>
          <w:b/>
          <w:bCs/>
        </w:rPr>
        <w:t>on the national level</w:t>
      </w:r>
      <w:r w:rsidR="00612231">
        <w:t xml:space="preserve"> </w:t>
      </w:r>
      <w:r w:rsidRPr="0009169E">
        <w:t>to ensure the rights of intersex children to physical and mental integrity, autonomy and self-determination, and to prevent IGM practices, including non-consensual, medically unnecessary, irreversible surge</w:t>
      </w:r>
      <w:r w:rsidR="00612231">
        <w:t xml:space="preserve">ry and other harmful treatments; </w:t>
      </w:r>
      <w:r w:rsidR="00883CD2" w:rsidRPr="00612231">
        <w:t xml:space="preserve">and </w:t>
      </w:r>
      <w:r w:rsidR="00883CD2" w:rsidRPr="00612231">
        <w:rPr>
          <w:b/>
          <w:bCs/>
        </w:rPr>
        <w:t xml:space="preserve">no </w:t>
      </w:r>
      <w:r w:rsidR="00883CD2" w:rsidRPr="00612231">
        <w:rPr>
          <w:b/>
          <w:bCs/>
          <w:i/>
          <w:iCs/>
        </w:rPr>
        <w:t>effective</w:t>
      </w:r>
      <w:r w:rsidR="00883CD2" w:rsidRPr="00612231">
        <w:rPr>
          <w:b/>
          <w:bCs/>
        </w:rPr>
        <w:t xml:space="preserve"> legal or other protections</w:t>
      </w:r>
      <w:r w:rsidR="00883CD2" w:rsidRPr="00612231">
        <w:t xml:space="preserve"> in the autonomous </w:t>
      </w:r>
      <w:r w:rsidR="008E4355">
        <w:t>communities</w:t>
      </w:r>
      <w:r w:rsidR="00883CD2" w:rsidRPr="00612231">
        <w:t xml:space="preserve"> of </w:t>
      </w:r>
      <w:r w:rsidR="00883CD2" w:rsidRPr="00612231">
        <w:rPr>
          <w:b/>
          <w:bCs/>
        </w:rPr>
        <w:t>Madrid</w:t>
      </w:r>
      <w:r w:rsidR="00883CD2">
        <w:rPr>
          <w:b/>
          <w:bCs/>
        </w:rPr>
        <w:t xml:space="preserve"> </w:t>
      </w:r>
    </w:p>
    <w:p w14:paraId="49A6D7C6" w14:textId="54913713" w:rsidR="00087C7A" w:rsidRPr="00612231" w:rsidRDefault="00612231" w:rsidP="00AB251F">
      <w:pPr>
        <w:pStyle w:val="absatzschattenbericht"/>
        <w:numPr>
          <w:ilvl w:val="0"/>
          <w:numId w:val="27"/>
        </w:numPr>
        <w:spacing w:after="80"/>
        <w:ind w:left="714" w:hanging="357"/>
        <w:rPr>
          <w:rFonts w:eastAsia="Baskerville-Bold"/>
        </w:rPr>
      </w:pPr>
      <w:r w:rsidRPr="00923226">
        <w:rPr>
          <w:rFonts w:eastAsia="Baskerville-Bold"/>
        </w:rPr>
        <w:t>no legal or other protections</w:t>
      </w:r>
      <w:r w:rsidRPr="00923226">
        <w:t xml:space="preserve"> in place on the national level</w:t>
      </w:r>
      <w:r w:rsidR="00087C7A" w:rsidRPr="00923226">
        <w:t xml:space="preserve"> </w:t>
      </w:r>
      <w:r w:rsidR="00087C7A" w:rsidRPr="00612231">
        <w:t xml:space="preserve">to ensure the </w:t>
      </w:r>
      <w:r w:rsidR="00087C7A" w:rsidRPr="00612231">
        <w:rPr>
          <w:rFonts w:eastAsia="Baskerville-Bold"/>
        </w:rPr>
        <w:t>accountability</w:t>
      </w:r>
      <w:r w:rsidR="00087C7A" w:rsidRPr="00612231">
        <w:t xml:space="preserve"> of IGM perpetrators</w:t>
      </w:r>
      <w:r w:rsidRPr="00612231">
        <w:t xml:space="preserve">; and </w:t>
      </w:r>
      <w:r w:rsidRPr="00923226">
        <w:t xml:space="preserve">no </w:t>
      </w:r>
      <w:r w:rsidRPr="00923226">
        <w:rPr>
          <w:i/>
          <w:iCs/>
        </w:rPr>
        <w:t>effective</w:t>
      </w:r>
      <w:r w:rsidRPr="00923226">
        <w:t xml:space="preserve"> legal or other protections </w:t>
      </w:r>
      <w:r w:rsidRPr="00612231">
        <w:t xml:space="preserve">in the autonomous </w:t>
      </w:r>
      <w:r w:rsidR="008E4355">
        <w:t>community</w:t>
      </w:r>
      <w:r w:rsidRPr="00612231">
        <w:t xml:space="preserve"> of </w:t>
      </w:r>
      <w:r w:rsidRPr="00923226">
        <w:t>Madrid</w:t>
      </w:r>
      <w:r w:rsidR="00883CD2">
        <w:t xml:space="preserve"> </w:t>
      </w:r>
    </w:p>
    <w:p w14:paraId="20B0A890" w14:textId="77777777" w:rsidR="00087C7A" w:rsidRPr="0009169E" w:rsidRDefault="00087C7A" w:rsidP="00AB251F">
      <w:pPr>
        <w:pStyle w:val="absatzschattenbericht"/>
        <w:numPr>
          <w:ilvl w:val="0"/>
          <w:numId w:val="27"/>
        </w:numPr>
        <w:spacing w:after="80"/>
        <w:ind w:left="714" w:hanging="357"/>
        <w:rPr>
          <w:rFonts w:eastAsia="Baskerville-Bold"/>
          <w:b/>
          <w:bCs/>
        </w:rPr>
      </w:pPr>
      <w:r w:rsidRPr="0009169E">
        <w:rPr>
          <w:rFonts w:eastAsia="Baskerville-Bold"/>
          <w:b/>
          <w:bCs/>
        </w:rPr>
        <w:t>no legal or other measures</w:t>
      </w:r>
      <w:r w:rsidRPr="0009169E">
        <w:t xml:space="preserve"> in place to ensure </w:t>
      </w:r>
      <w:r w:rsidRPr="0009169E">
        <w:rPr>
          <w:rFonts w:eastAsia="Baskerville-Bold"/>
          <w:b/>
          <w:bCs/>
        </w:rPr>
        <w:t>access to redress and justice</w:t>
      </w:r>
      <w:r w:rsidRPr="0009169E">
        <w:t xml:space="preserve"> for adult survivors of childhood IGM practices</w:t>
      </w:r>
    </w:p>
    <w:p w14:paraId="343F69CA" w14:textId="77777777" w:rsidR="00087C7A" w:rsidRPr="0009169E" w:rsidRDefault="00087C7A" w:rsidP="00AB251F">
      <w:pPr>
        <w:pStyle w:val="absatzschattenbericht"/>
        <w:numPr>
          <w:ilvl w:val="0"/>
          <w:numId w:val="27"/>
        </w:numPr>
        <w:spacing w:after="80"/>
        <w:ind w:left="714" w:hanging="357"/>
      </w:pPr>
      <w:r w:rsidRPr="00612231">
        <w:rPr>
          <w:b/>
          <w:bCs/>
        </w:rPr>
        <w:t>no legal or other measures</w:t>
      </w:r>
      <w:r w:rsidRPr="0009169E">
        <w:t xml:space="preserve"> in place to ensure data collection and monitoring of IGM practices</w:t>
      </w:r>
    </w:p>
    <w:p w14:paraId="7FCA3D2D" w14:textId="77777777" w:rsidR="00087C7A" w:rsidRPr="0009169E" w:rsidRDefault="00087C7A" w:rsidP="00AB251F">
      <w:pPr>
        <w:pStyle w:val="absatzschattenbericht"/>
        <w:numPr>
          <w:ilvl w:val="0"/>
          <w:numId w:val="27"/>
        </w:numPr>
        <w:spacing w:after="80"/>
        <w:ind w:left="714" w:hanging="357"/>
      </w:pPr>
      <w:r w:rsidRPr="00917C22">
        <w:rPr>
          <w:b/>
          <w:bCs/>
        </w:rPr>
        <w:t>no legal or other measures</w:t>
      </w:r>
      <w:r w:rsidRPr="0009169E">
        <w:t xml:space="preserve"> in place to ensure</w:t>
      </w:r>
      <w:r w:rsidRPr="0009169E">
        <w:rPr>
          <w:rFonts w:eastAsia="Baskerville-SemiBold"/>
        </w:rPr>
        <w:t xml:space="preserve"> </w:t>
      </w:r>
      <w:r w:rsidRPr="0009169E">
        <w:t xml:space="preserve">education and training of medical professionals on the consequences of IGM practices </w:t>
      </w:r>
    </w:p>
    <w:p w14:paraId="0C99DC8A" w14:textId="03C56D68" w:rsidR="00087C7A" w:rsidRPr="0009169E" w:rsidRDefault="008E4355" w:rsidP="00321F0A">
      <w:pPr>
        <w:pStyle w:val="absatzschattenbericht"/>
      </w:pPr>
      <w:r>
        <w:lastRenderedPageBreak/>
        <w:t>Out of the 17 autonomous c</w:t>
      </w:r>
      <w:r w:rsidR="00087C7A" w:rsidRPr="0009169E">
        <w:t xml:space="preserve">ommunities, the </w:t>
      </w:r>
      <w:r w:rsidR="00087C7A" w:rsidRPr="0009169E">
        <w:rPr>
          <w:rFonts w:eastAsia="Baskerville-SemiBold"/>
          <w:b/>
          <w:bCs/>
        </w:rPr>
        <w:t>Community of Madrid</w:t>
      </w:r>
      <w:r w:rsidR="00087C7A" w:rsidRPr="0009169E">
        <w:t xml:space="preserve"> has to be commended for </w:t>
      </w:r>
      <w:r>
        <w:t>being the first to have</w:t>
      </w:r>
      <w:r w:rsidR="00087C7A" w:rsidRPr="0009169E">
        <w:t xml:space="preserve"> enacted legislation aimed at preventing IGM practices. </w:t>
      </w:r>
      <w:r w:rsidR="00087C7A" w:rsidRPr="0009169E">
        <w:rPr>
          <w:rFonts w:eastAsia="Baskerville-SemiBold"/>
          <w:b/>
          <w:bCs/>
        </w:rPr>
        <w:t>Law 2/2016 of the Community of Madrid</w:t>
      </w:r>
      <w:r w:rsidR="00087C7A" w:rsidRPr="00A23F1D">
        <w:rPr>
          <w:rStyle w:val="Funotenzeichen"/>
          <w:rFonts w:cs="Times New Roman"/>
        </w:rPr>
        <w:footnoteReference w:id="11"/>
      </w:r>
      <w:r w:rsidR="00F425AD">
        <w:t xml:space="preserve"> states in art. 4</w:t>
      </w:r>
      <w:r w:rsidR="00087C7A" w:rsidRPr="0009169E">
        <w:t xml:space="preserve"> (3), </w:t>
      </w:r>
      <w:r w:rsidR="00087C7A" w:rsidRPr="0009169E">
        <w:rPr>
          <w:rFonts w:eastAsia="Baskerville-Italic"/>
          <w:i/>
          <w:iCs/>
        </w:rPr>
        <w:t xml:space="preserve">“[...] genital surgeries of intersex persons without the informed consent of the person concerned or the need to ensure biological functionality for health reasons, are </w:t>
      </w:r>
      <w:r w:rsidR="00087C7A" w:rsidRPr="0009169E">
        <w:rPr>
          <w:rFonts w:eastAsia="Baskerville-SemiBoldItalic"/>
          <w:b/>
          <w:bCs/>
          <w:i/>
          <w:iCs/>
        </w:rPr>
        <w:t>prohibited in the health services of the Community of Madrid.”</w:t>
      </w:r>
      <w:r w:rsidR="00087C7A" w:rsidRPr="0009169E">
        <w:t xml:space="preserve"> Art. 15 titled </w:t>
      </w:r>
      <w:r w:rsidR="00087C7A" w:rsidRPr="0009169E">
        <w:rPr>
          <w:rFonts w:eastAsia="Baskerville-SemiBoldItalic"/>
          <w:b/>
          <w:bCs/>
          <w:i/>
          <w:iCs/>
        </w:rPr>
        <w:t>“Health care for intersex people”</w:t>
      </w:r>
      <w:r w:rsidR="00087C7A" w:rsidRPr="0009169E">
        <w:t xml:space="preserve"> further affirms, </w:t>
      </w:r>
      <w:r w:rsidR="00087C7A" w:rsidRPr="0009169E">
        <w:rPr>
          <w:rFonts w:eastAsia="Baskerville-SemiBoldItalic"/>
          <w:b/>
          <w:bCs/>
          <w:i/>
          <w:iCs/>
        </w:rPr>
        <w:t>“1. The public health system in Madrid will ensure the eradication of genital modification practices in newborn babies</w:t>
      </w:r>
      <w:r w:rsidR="00087C7A" w:rsidRPr="0009169E">
        <w:rPr>
          <w:rFonts w:eastAsia="Baskerville-Italic"/>
          <w:i/>
          <w:iCs/>
        </w:rPr>
        <w:t xml:space="preserve"> [...] with the exception of medical criteria based on the protection of the newborn’s health and with legal authorization.”</w:t>
      </w:r>
    </w:p>
    <w:p w14:paraId="05AE50E9" w14:textId="2DE1F752" w:rsidR="00087C7A" w:rsidRDefault="00087C7A" w:rsidP="00321F0A">
      <w:pPr>
        <w:pStyle w:val="absatzschattenbericht"/>
      </w:pPr>
      <w:r w:rsidRPr="0009169E">
        <w:t xml:space="preserve">While Madrid’s </w:t>
      </w:r>
      <w:r w:rsidRPr="0009169E">
        <w:rPr>
          <w:rFonts w:eastAsia="Baskerville-SemiBold"/>
          <w:b/>
          <w:bCs/>
        </w:rPr>
        <w:t>Law 2/2016 art. 53</w:t>
      </w:r>
      <w:r w:rsidRPr="0009169E">
        <w:t xml:space="preserve"> </w:t>
      </w:r>
      <w:r w:rsidRPr="0009169E">
        <w:rPr>
          <w:rFonts w:eastAsia="Baskerville-SemiBoldItalic"/>
          <w:b/>
          <w:bCs/>
          <w:i/>
          <w:iCs/>
        </w:rPr>
        <w:t>“Penalties”</w:t>
      </w:r>
      <w:r w:rsidRPr="0009169E">
        <w:t xml:space="preserve"> has to be lauded to at least include some sanctions – ranging from a warning or fines of 200 to 3,000 Euros for </w:t>
      </w:r>
      <w:r w:rsidRPr="0009169E">
        <w:rPr>
          <w:rFonts w:eastAsia="Baskerville-Italic"/>
          <w:i/>
          <w:iCs/>
        </w:rPr>
        <w:t>“minor infringements”</w:t>
      </w:r>
      <w:r w:rsidRPr="0009169E">
        <w:t xml:space="preserve"> and up to 20,001 to 45,000 Euros plus possible temporary suspension for </w:t>
      </w:r>
      <w:r w:rsidRPr="0009169E">
        <w:rPr>
          <w:rFonts w:eastAsia="Baskerville-Italic"/>
          <w:i/>
          <w:iCs/>
        </w:rPr>
        <w:t>“very serious infringements” –</w:t>
      </w:r>
      <w:r w:rsidRPr="0009169E">
        <w:t xml:space="preserve">, in practice the Law 2/2016 </w:t>
      </w:r>
      <w:r w:rsidRPr="0009169E">
        <w:rPr>
          <w:rFonts w:eastAsia="Baskerville-SemiBold"/>
          <w:b/>
          <w:bCs/>
        </w:rPr>
        <w:t>isn’t enforced (nor its implementation monitored),</w:t>
      </w:r>
      <w:r w:rsidRPr="0009169E">
        <w:t xml:space="preserve"> as also in the </w:t>
      </w:r>
      <w:r w:rsidRPr="0009169E">
        <w:rPr>
          <w:rFonts w:eastAsia="Baskerville-SemiBold"/>
          <w:b/>
          <w:bCs/>
        </w:rPr>
        <w:t>Community of Madrid</w:t>
      </w:r>
      <w:r w:rsidRPr="0009169E">
        <w:t xml:space="preserve"> both public and private </w:t>
      </w:r>
      <w:r w:rsidRPr="0009169E">
        <w:rPr>
          <w:rFonts w:eastAsia="Baskerville-SemiBold"/>
          <w:b/>
          <w:bCs/>
        </w:rPr>
        <w:t>children’s hospitals openly flaunt the law by continuing to publicly advertise, perform and promote IGM practices</w:t>
      </w:r>
      <w:r w:rsidRPr="0009169E">
        <w:t xml:space="preserve"> – just the same as in the other autonomous</w:t>
      </w:r>
      <w:r w:rsidR="00D401AA">
        <w:t xml:space="preserve"> Communities without such a law (see below p. </w:t>
      </w:r>
      <w:r w:rsidR="00D63179">
        <w:t>9-16</w:t>
      </w:r>
      <w:r w:rsidR="00D401AA">
        <w:t>).</w:t>
      </w:r>
    </w:p>
    <w:p w14:paraId="6D86BA29" w14:textId="0CAE0845" w:rsidR="00516D07" w:rsidRDefault="00516D07" w:rsidP="00321F0A">
      <w:pPr>
        <w:pStyle w:val="absatzschattenbericht"/>
      </w:pPr>
      <w:r>
        <w:t xml:space="preserve">Recently, also on the </w:t>
      </w:r>
      <w:r w:rsidRPr="00516D07">
        <w:rPr>
          <w:b/>
          <w:bCs/>
        </w:rPr>
        <w:t>national level</w:t>
      </w:r>
      <w:r>
        <w:t xml:space="preserve"> and in the autonomous </w:t>
      </w:r>
      <w:r w:rsidRPr="00516D07">
        <w:rPr>
          <w:b/>
          <w:bCs/>
        </w:rPr>
        <w:t>Community of the Canary Islands</w:t>
      </w:r>
      <w:r>
        <w:rPr>
          <w:b/>
          <w:bCs/>
        </w:rPr>
        <w:t>,</w:t>
      </w:r>
      <w:r>
        <w:t xml:space="preserve"> </w:t>
      </w:r>
      <w:r w:rsidRPr="00516D07">
        <w:rPr>
          <w:b/>
          <w:bCs/>
        </w:rPr>
        <w:t>legislative initiatives</w:t>
      </w:r>
      <w:r>
        <w:t xml:space="preserve"> to combat IGM pra</w:t>
      </w:r>
      <w:r w:rsidR="003E14CD">
        <w:t>c</w:t>
      </w:r>
      <w:r>
        <w:t>tices were initiated:</w:t>
      </w:r>
    </w:p>
    <w:p w14:paraId="03530C96" w14:textId="1E5B4BCD" w:rsidR="00BD2B0A" w:rsidRDefault="00516D07" w:rsidP="00321F0A">
      <w:pPr>
        <w:pStyle w:val="absatzschattenbericht"/>
      </w:pPr>
      <w:r>
        <w:t xml:space="preserve">In </w:t>
      </w:r>
      <w:r w:rsidR="00BD2B0A">
        <w:t>October</w:t>
      </w:r>
      <w:r>
        <w:t xml:space="preserve"> 2018, a </w:t>
      </w:r>
      <w:r w:rsidRPr="00BD2B0A">
        <w:rPr>
          <w:b/>
          <w:bCs/>
        </w:rPr>
        <w:t>Draft Law 162/000841</w:t>
      </w:r>
      <w:r w:rsidR="00A542A1">
        <w:rPr>
          <w:rStyle w:val="Funotenzeichen"/>
          <w:b/>
          <w:bCs/>
        </w:rPr>
        <w:footnoteReference w:id="12"/>
      </w:r>
      <w:r>
        <w:t xml:space="preserve"> was filed in the </w:t>
      </w:r>
      <w:r w:rsidR="00BD2B0A" w:rsidRPr="00BD2B0A">
        <w:rPr>
          <w:b/>
          <w:bCs/>
        </w:rPr>
        <w:t>Spanish Lower House</w:t>
      </w:r>
      <w:r w:rsidR="00BD2B0A">
        <w:t xml:space="preserve"> (Congreso de los Diputados)</w:t>
      </w:r>
      <w:r>
        <w:t xml:space="preserve"> </w:t>
      </w:r>
      <w:r w:rsidR="00BD2B0A">
        <w:t xml:space="preserve">proposing, in </w:t>
      </w:r>
      <w:r w:rsidR="00BD2B0A" w:rsidRPr="00BD2B0A">
        <w:rPr>
          <w:b/>
          <w:bCs/>
        </w:rPr>
        <w:t>line with the recent CRC recommendations</w:t>
      </w:r>
      <w:r w:rsidR="00BD2B0A">
        <w:t xml:space="preserve"> to Spain, to </w:t>
      </w:r>
    </w:p>
    <w:p w14:paraId="10C314BE" w14:textId="179A8A71" w:rsidR="00BD2B0A" w:rsidRPr="00E106FB" w:rsidRDefault="00BD2B0A" w:rsidP="00321F0A">
      <w:pPr>
        <w:pStyle w:val="absatzschattenbericht"/>
        <w:numPr>
          <w:ilvl w:val="0"/>
          <w:numId w:val="39"/>
        </w:numPr>
        <w:rPr>
          <w:i/>
        </w:rPr>
      </w:pPr>
      <w:r w:rsidRPr="00E106FB">
        <w:rPr>
          <w:b/>
          <w:bCs/>
          <w:i/>
        </w:rPr>
        <w:t xml:space="preserve">“explicitly prohibit </w:t>
      </w:r>
      <w:r w:rsidRPr="00E106FB">
        <w:rPr>
          <w:i/>
        </w:rPr>
        <w:t xml:space="preserve">unnecessary medical or surgical treatment during childhood to ensure bodily integrity, autonomy and self-determination for affected children” </w:t>
      </w:r>
    </w:p>
    <w:p w14:paraId="7964161B" w14:textId="7DC2072F" w:rsidR="00BD2B0A" w:rsidRPr="00E106FB" w:rsidRDefault="00BD2B0A" w:rsidP="00321F0A">
      <w:pPr>
        <w:pStyle w:val="absatzschattenbericht"/>
        <w:numPr>
          <w:ilvl w:val="0"/>
          <w:numId w:val="39"/>
        </w:numPr>
        <w:rPr>
          <w:i/>
        </w:rPr>
      </w:pPr>
      <w:r w:rsidRPr="00E106FB">
        <w:rPr>
          <w:i/>
        </w:rPr>
        <w:t xml:space="preserve">“provide families with intersex children with </w:t>
      </w:r>
      <w:r w:rsidRPr="00E106FB">
        <w:rPr>
          <w:b/>
          <w:bCs/>
          <w:i/>
        </w:rPr>
        <w:t>appropriate counselling and support”</w:t>
      </w:r>
      <w:r w:rsidRPr="00E106FB">
        <w:rPr>
          <w:i/>
        </w:rPr>
        <w:t xml:space="preserve"> </w:t>
      </w:r>
    </w:p>
    <w:p w14:paraId="4A1CF3EB" w14:textId="7B8198B0" w:rsidR="00BD2B0A" w:rsidRPr="00E106FB" w:rsidRDefault="00BD2B0A" w:rsidP="00321F0A">
      <w:pPr>
        <w:pStyle w:val="absatzschattenbericht"/>
        <w:numPr>
          <w:ilvl w:val="0"/>
          <w:numId w:val="39"/>
        </w:numPr>
        <w:rPr>
          <w:i/>
        </w:rPr>
      </w:pPr>
      <w:r w:rsidRPr="00E106FB">
        <w:rPr>
          <w:b/>
          <w:bCs/>
          <w:i/>
        </w:rPr>
        <w:t>“provide redress to victims</w:t>
      </w:r>
      <w:r w:rsidRPr="00E106FB">
        <w:rPr>
          <w:i/>
        </w:rPr>
        <w:t xml:space="preserve"> of such treatment, including </w:t>
      </w:r>
      <w:r w:rsidRPr="00E106FB">
        <w:rPr>
          <w:b/>
          <w:bCs/>
          <w:i/>
        </w:rPr>
        <w:t>adequate compensation</w:t>
      </w:r>
      <w:r w:rsidRPr="00E106FB">
        <w:rPr>
          <w:i/>
        </w:rPr>
        <w:t xml:space="preserve"> and the </w:t>
      </w:r>
      <w:r w:rsidRPr="00E106FB">
        <w:rPr>
          <w:b/>
          <w:bCs/>
          <w:i/>
        </w:rPr>
        <w:t>fullest possible rehabilitation</w:t>
      </w:r>
      <w:r w:rsidRPr="00E106FB">
        <w:rPr>
          <w:i/>
        </w:rPr>
        <w:t xml:space="preserve">, and </w:t>
      </w:r>
      <w:r w:rsidRPr="00E106FB">
        <w:rPr>
          <w:b/>
          <w:bCs/>
          <w:i/>
        </w:rPr>
        <w:t>conduct an investigation of incidents</w:t>
      </w:r>
      <w:r w:rsidRPr="00E106FB">
        <w:rPr>
          <w:i/>
        </w:rPr>
        <w:t xml:space="preserve"> of surgical and other medical treatment on intersex children without informed consent” </w:t>
      </w:r>
    </w:p>
    <w:p w14:paraId="55B5E7B7" w14:textId="53C64C25" w:rsidR="00883CD2" w:rsidRPr="00E106FB" w:rsidRDefault="00BD2B0A" w:rsidP="00321F0A">
      <w:pPr>
        <w:pStyle w:val="absatzschattenbericht"/>
        <w:numPr>
          <w:ilvl w:val="0"/>
          <w:numId w:val="39"/>
        </w:numPr>
        <w:rPr>
          <w:i/>
        </w:rPr>
      </w:pPr>
      <w:r w:rsidRPr="00E106FB">
        <w:rPr>
          <w:i/>
        </w:rPr>
        <w:t xml:space="preserve">“Educate and train medical, psychological and educational professionals on the subject of intersex, on the consequences of unnecessary surgical and other medical interventions aimed at intersex children” </w:t>
      </w:r>
    </w:p>
    <w:p w14:paraId="525CB211" w14:textId="5D0BD955" w:rsidR="00B62AD1" w:rsidRPr="00D066AD" w:rsidRDefault="00A542A1" w:rsidP="00321F0A">
      <w:pPr>
        <w:pStyle w:val="absatzschattenbericht"/>
      </w:pPr>
      <w:r>
        <w:t xml:space="preserve">In December 2018, </w:t>
      </w:r>
      <w:r w:rsidR="003E14CD">
        <w:t xml:space="preserve">the </w:t>
      </w:r>
      <w:r w:rsidR="003E14CD" w:rsidRPr="003E14CD">
        <w:rPr>
          <w:b/>
          <w:bCs/>
        </w:rPr>
        <w:t>Commission on the Rights of Children and Adolescents</w:t>
      </w:r>
      <w:r w:rsidR="003E14CD">
        <w:t xml:space="preserve"> of the </w:t>
      </w:r>
      <w:r w:rsidR="003E14CD">
        <w:rPr>
          <w:b/>
          <w:bCs/>
        </w:rPr>
        <w:t xml:space="preserve">Spanish Lower House </w:t>
      </w:r>
      <w:r w:rsidR="003E14CD">
        <w:t>(Comisión de Derechos de la I</w:t>
      </w:r>
      <w:r w:rsidR="00B62AD1">
        <w:t>n</w:t>
      </w:r>
      <w:r w:rsidR="003E14CD">
        <w:t>fancia y Adolescencia del Congreso de los Diputados) approved the modified</w:t>
      </w:r>
      <w:r>
        <w:t xml:space="preserve"> </w:t>
      </w:r>
      <w:r w:rsidRPr="00BD2B0A">
        <w:rPr>
          <w:b/>
          <w:bCs/>
        </w:rPr>
        <w:t>Draft Law 162/</w:t>
      </w:r>
      <w:r w:rsidR="00B62AD1">
        <w:rPr>
          <w:b/>
          <w:bCs/>
        </w:rPr>
        <w:t>003870</w:t>
      </w:r>
      <w:r>
        <w:rPr>
          <w:rStyle w:val="Funotenzeichen"/>
          <w:b/>
          <w:bCs/>
        </w:rPr>
        <w:footnoteReference w:id="13"/>
      </w:r>
      <w:r w:rsidR="00067345">
        <w:rPr>
          <w:b/>
          <w:bCs/>
        </w:rPr>
        <w:t xml:space="preserve"> </w:t>
      </w:r>
      <w:r w:rsidR="00067345">
        <w:rPr>
          <w:rStyle w:val="Funotenzeichen"/>
          <w:b/>
          <w:bCs/>
        </w:rPr>
        <w:footnoteReference w:id="14"/>
      </w:r>
      <w:r w:rsidR="00B62AD1">
        <w:t xml:space="preserve">. Unfortunately, the modifications </w:t>
      </w:r>
      <w:r w:rsidR="00B62AD1" w:rsidRPr="00B62AD1">
        <w:rPr>
          <w:b/>
          <w:bCs/>
        </w:rPr>
        <w:t>watered down</w:t>
      </w:r>
      <w:r w:rsidR="00B62AD1">
        <w:t xml:space="preserve"> the original Draft Law, making it less in line with the CRC recommendations. </w:t>
      </w:r>
      <w:r w:rsidR="00D066AD">
        <w:t xml:space="preserve">For example the Commission Draft added two sections promoting medical self-regulation as a solution (e.g. </w:t>
      </w:r>
      <w:r w:rsidR="00D066AD">
        <w:rPr>
          <w:i/>
          <w:iCs/>
        </w:rPr>
        <w:t>“</w:t>
      </w:r>
      <w:r w:rsidR="00D066AD" w:rsidRPr="00D066AD">
        <w:rPr>
          <w:i/>
          <w:iCs/>
        </w:rPr>
        <w:t>adopt protocols to ensure, to the extent possible, the participation of minors in the decision-making process</w:t>
      </w:r>
      <w:r w:rsidR="00D066AD">
        <w:rPr>
          <w:i/>
          <w:iCs/>
        </w:rPr>
        <w:t>”</w:t>
      </w:r>
      <w:r w:rsidR="00D066AD">
        <w:t xml:space="preserve">). In addition, the Commission Draft no longer proposes to the Government to </w:t>
      </w:r>
      <w:r w:rsidR="00FB2AEB">
        <w:lastRenderedPageBreak/>
        <w:t>adopt</w:t>
      </w:r>
      <w:r w:rsidR="00D066AD">
        <w:t xml:space="preserve"> a law to </w:t>
      </w:r>
      <w:r w:rsidR="00FB2AEB" w:rsidRPr="00FB2AEB">
        <w:rPr>
          <w:b/>
          <w:bCs/>
          <w:i/>
          <w:iCs/>
        </w:rPr>
        <w:t>“[e]</w:t>
      </w:r>
      <w:r w:rsidR="00FB2AEB" w:rsidRPr="00FB2AEB">
        <w:rPr>
          <w:b/>
          <w:bCs/>
          <w:i/>
          <w:iCs/>
          <w:lang w:val="en-US"/>
        </w:rPr>
        <w:t>ncourage the adoption</w:t>
      </w:r>
      <w:r w:rsidR="00FB2AEB" w:rsidRPr="00FB2AEB">
        <w:rPr>
          <w:i/>
          <w:iCs/>
          <w:lang w:val="en-US"/>
        </w:rPr>
        <w:t xml:space="preserve"> of the necessary legislative measures to </w:t>
      </w:r>
      <w:r w:rsidR="00FB2AEB" w:rsidRPr="00FB2AEB">
        <w:rPr>
          <w:i/>
          <w:iCs/>
        </w:rPr>
        <w:t>provide redress to victims of such treatment, including adequate compensation and the fullest possible rehabilitation, and conduct an investigation of incidents”</w:t>
      </w:r>
      <w:r w:rsidR="00FB2AEB">
        <w:t xml:space="preserve">, but now merely proposes to </w:t>
      </w:r>
      <w:r w:rsidR="00FB2AEB" w:rsidRPr="00FB2AEB">
        <w:rPr>
          <w:b/>
          <w:bCs/>
          <w:i/>
          <w:iCs/>
        </w:rPr>
        <w:t>“study the adoption</w:t>
      </w:r>
      <w:r w:rsidR="00FB2AEB" w:rsidRPr="00FB2AEB">
        <w:rPr>
          <w:i/>
          <w:iCs/>
        </w:rPr>
        <w:t xml:space="preserve"> of the necessary legislative measures to provide reparation and support to the victims of such treatment and to carry out an investigation of incidents”</w:t>
      </w:r>
      <w:r w:rsidR="00FB2AEB">
        <w:rPr>
          <w:i/>
          <w:iCs/>
        </w:rPr>
        <w:t>.</w:t>
      </w:r>
      <w:r w:rsidR="00FB2AEB">
        <w:t xml:space="preserve"> Further, </w:t>
      </w:r>
      <w:r w:rsidR="00FB2AEB" w:rsidRPr="00FB2AEB">
        <w:rPr>
          <w:b/>
          <w:bCs/>
        </w:rPr>
        <w:t>both versions fail to include any sanctions</w:t>
      </w:r>
      <w:r w:rsidR="000B5A59">
        <w:t xml:space="preserve">, and fail to address </w:t>
      </w:r>
      <w:r w:rsidR="000B5A59" w:rsidRPr="000B5A59">
        <w:rPr>
          <w:b/>
          <w:bCs/>
        </w:rPr>
        <w:t>obstacles to access to justice</w:t>
      </w:r>
      <w:r w:rsidR="000B5A59">
        <w:t xml:space="preserve">, such as the </w:t>
      </w:r>
      <w:r w:rsidR="000B5A59">
        <w:rPr>
          <w:b/>
          <w:bCs/>
        </w:rPr>
        <w:t>limitation period</w:t>
      </w:r>
      <w:r w:rsidR="007873DC">
        <w:t xml:space="preserve">, as well as </w:t>
      </w:r>
      <w:r w:rsidR="007873DC" w:rsidRPr="007873DC">
        <w:rPr>
          <w:b/>
          <w:bCs/>
        </w:rPr>
        <w:t>extraterritorial protections</w:t>
      </w:r>
      <w:r w:rsidR="007873DC">
        <w:t>.</w:t>
      </w:r>
    </w:p>
    <w:p w14:paraId="502CEE15" w14:textId="465BD259" w:rsidR="00FB2AEB" w:rsidRDefault="0007799D" w:rsidP="00321F0A">
      <w:pPr>
        <w:pStyle w:val="absatzschattenbericht"/>
      </w:pPr>
      <w:r>
        <w:t xml:space="preserve">In May 2019, a </w:t>
      </w:r>
      <w:r w:rsidRPr="000B5A59">
        <w:rPr>
          <w:b/>
          <w:bCs/>
        </w:rPr>
        <w:t>Draft Law</w:t>
      </w:r>
      <w:r>
        <w:t xml:space="preserve"> aimed at preventing IGM practices was presented by the </w:t>
      </w:r>
      <w:r w:rsidRPr="000B5A59">
        <w:rPr>
          <w:b/>
          <w:bCs/>
        </w:rPr>
        <w:t xml:space="preserve">Councillor for Employment, Social Policies and Housing </w:t>
      </w:r>
      <w:r>
        <w:t xml:space="preserve">of the </w:t>
      </w:r>
      <w:r w:rsidR="000B5A59">
        <w:t xml:space="preserve">autonomous </w:t>
      </w:r>
      <w:r w:rsidR="000B5A59" w:rsidRPr="00516D07">
        <w:rPr>
          <w:b/>
          <w:bCs/>
        </w:rPr>
        <w:t>Community of the Canary Islands</w:t>
      </w:r>
      <w:r w:rsidR="000B5A59">
        <w:t>.</w:t>
      </w:r>
      <w:r w:rsidR="000B5A59">
        <w:rPr>
          <w:rStyle w:val="Funotenzeichen"/>
        </w:rPr>
        <w:footnoteReference w:id="15"/>
      </w:r>
      <w:r w:rsidR="000B5A59">
        <w:t xml:space="preserve"> Unfortunately, the Draft Law </w:t>
      </w:r>
      <w:r w:rsidR="000B5A59" w:rsidRPr="00FB2AEB">
        <w:rPr>
          <w:b/>
          <w:bCs/>
        </w:rPr>
        <w:t>fail</w:t>
      </w:r>
      <w:r w:rsidR="000B5A59">
        <w:rPr>
          <w:b/>
          <w:bCs/>
        </w:rPr>
        <w:t>s</w:t>
      </w:r>
      <w:r w:rsidR="000B5A59" w:rsidRPr="00FB2AEB">
        <w:rPr>
          <w:b/>
          <w:bCs/>
        </w:rPr>
        <w:t xml:space="preserve"> to include any sanctions</w:t>
      </w:r>
      <w:r w:rsidR="000B5A59">
        <w:t>, and fail</w:t>
      </w:r>
      <w:r w:rsidR="00FE2D30">
        <w:t>s</w:t>
      </w:r>
      <w:r w:rsidR="000B5A59">
        <w:t xml:space="preserve"> to address </w:t>
      </w:r>
      <w:r w:rsidR="000B5A59" w:rsidRPr="000B5A59">
        <w:rPr>
          <w:b/>
          <w:bCs/>
        </w:rPr>
        <w:t>obstacles to access to justice</w:t>
      </w:r>
      <w:r w:rsidR="000B5A59">
        <w:t xml:space="preserve">, such as the </w:t>
      </w:r>
      <w:r w:rsidR="000B5A59">
        <w:rPr>
          <w:b/>
          <w:bCs/>
        </w:rPr>
        <w:t>limitation period</w:t>
      </w:r>
      <w:r w:rsidR="00B14131">
        <w:t xml:space="preserve">, as well as </w:t>
      </w:r>
      <w:r w:rsidR="00B14131" w:rsidRPr="007873DC">
        <w:rPr>
          <w:b/>
          <w:bCs/>
        </w:rPr>
        <w:t>extraterritorial protections</w:t>
      </w:r>
      <w:r w:rsidR="00B14131">
        <w:t>.</w:t>
      </w:r>
    </w:p>
    <w:p w14:paraId="22E3B1C8" w14:textId="4DBA8004" w:rsidR="007873DC" w:rsidRDefault="00836916" w:rsidP="00321F0A">
      <w:pPr>
        <w:pStyle w:val="absatzschattenbericht"/>
      </w:pPr>
      <w:r>
        <w:t>Th</w:t>
      </w:r>
      <w:r w:rsidR="00F22410">
        <w:t xml:space="preserve">ese omissions in the Draft Laws, as well as </w:t>
      </w:r>
      <w:r w:rsidR="00833C56">
        <w:t xml:space="preserve">the ongoing IGM practices in Spanish children’s clinics (see next section) are also clearly </w:t>
      </w:r>
      <w:r w:rsidR="00833C56" w:rsidRPr="00833C56">
        <w:rPr>
          <w:b/>
          <w:bCs/>
        </w:rPr>
        <w:t>not in line with the recent CRC recommendations</w:t>
      </w:r>
      <w:r w:rsidR="00833C56">
        <w:t xml:space="preserve"> to Spain on IGM practices:</w:t>
      </w:r>
    </w:p>
    <w:p w14:paraId="41ADD445" w14:textId="6DB848D2" w:rsidR="00E02505" w:rsidRPr="00E106FB" w:rsidRDefault="00E02505" w:rsidP="00B5644B">
      <w:pPr>
        <w:pStyle w:val="absatzschattenberichtZITAT"/>
        <w:ind w:left="284"/>
        <w:rPr>
          <w:b/>
        </w:rPr>
      </w:pPr>
      <w:r w:rsidRPr="00E106FB">
        <w:rPr>
          <w:b/>
        </w:rPr>
        <w:t>E. Violence against children (arts. 19, 24 (3), 28 (2), 34, 37 (a) and 39) […]</w:t>
      </w:r>
    </w:p>
    <w:p w14:paraId="49994666" w14:textId="585CE6FA" w:rsidR="00E02505" w:rsidRPr="00E106FB" w:rsidRDefault="00E02505" w:rsidP="00B5644B">
      <w:pPr>
        <w:pStyle w:val="absatzschattenberichtZITAT"/>
        <w:ind w:left="284"/>
        <w:rPr>
          <w:b/>
        </w:rPr>
      </w:pPr>
      <w:r w:rsidRPr="00E106FB">
        <w:rPr>
          <w:b/>
        </w:rPr>
        <w:t>Harmful practices</w:t>
      </w:r>
    </w:p>
    <w:p w14:paraId="182EA427" w14:textId="77777777" w:rsidR="00E02505" w:rsidRPr="00E02505" w:rsidRDefault="00E02505" w:rsidP="00B5644B">
      <w:pPr>
        <w:pStyle w:val="absatzschattenberichtZITAT"/>
        <w:ind w:left="284"/>
      </w:pPr>
      <w:r w:rsidRPr="00E02505">
        <w:t>24.</w:t>
      </w:r>
      <w:r w:rsidRPr="00E02505">
        <w:tab/>
      </w:r>
      <w:r w:rsidRPr="00E106FB">
        <w:rPr>
          <w:b/>
        </w:rPr>
        <w:t>The Committee recommends that the State party prohibit unnecessary medical or surgical treatment from being performed on intersex children, when those procedures entail a risk of harm and can be safely deferred until the child can actively participate in decision-making. It also recommends that the State party ensure that intersex children and their families receive adequate counselling and support.</w:t>
      </w:r>
    </w:p>
    <w:p w14:paraId="795B0B10" w14:textId="00EA42E4" w:rsidR="00E02505" w:rsidRPr="00E02505" w:rsidRDefault="00E02505" w:rsidP="00321F0A">
      <w:pPr>
        <w:pStyle w:val="absatzschattenbericht"/>
      </w:pPr>
      <w:r>
        <w:t xml:space="preserve">The next sections examine the </w:t>
      </w:r>
      <w:r w:rsidRPr="00F63753">
        <w:rPr>
          <w:b/>
        </w:rPr>
        <w:t>current most common IGM practices in Spain:</w:t>
      </w:r>
    </w:p>
    <w:p w14:paraId="0B62A5A8" w14:textId="77777777" w:rsidR="00087C7A" w:rsidRPr="0009169E" w:rsidRDefault="00087C7A" w:rsidP="00087C7A">
      <w:pPr>
        <w:pStyle w:val="Title3"/>
        <w:rPr>
          <w:rFonts w:eastAsia="Baskerville-Italic"/>
          <w:i/>
          <w:color w:val="000000"/>
        </w:rPr>
      </w:pPr>
      <w:bookmarkStart w:id="21" w:name="_Toc11017680"/>
      <w:r w:rsidRPr="0009169E">
        <w:t>b) IGM 3 – Sterilising Procedures:</w:t>
      </w:r>
      <w:r>
        <w:br/>
      </w:r>
      <w:r w:rsidRPr="0009169E">
        <w:t xml:space="preserve">    Castration / “Gonadectomy” / Hysterectomy /</w:t>
      </w:r>
      <w:r>
        <w:br/>
      </w:r>
      <w:r w:rsidRPr="0009169E">
        <w:t xml:space="preserve">    Removal of “Discordant Reproductive Structures” / (Secondary) Sterilisation</w:t>
      </w:r>
      <w:r w:rsidRPr="00A23F1D">
        <w:rPr>
          <w:rStyle w:val="Funotenzeichen"/>
          <w:rFonts w:ascii="Times New Roman" w:eastAsia="Baskerville" w:hAnsi="Times New Roman" w:cs="Times New Roman"/>
          <w:b w:val="0"/>
          <w:bCs w:val="0"/>
          <w:iCs w:val="0"/>
          <w:color w:val="000000"/>
        </w:rPr>
        <w:footnoteReference w:id="16"/>
      </w:r>
      <w:bookmarkEnd w:id="21"/>
    </w:p>
    <w:p w14:paraId="6279DB8C" w14:textId="01F5C08E" w:rsidR="00087C7A" w:rsidRPr="0009169E" w:rsidRDefault="00087C7A" w:rsidP="00B5644B">
      <w:pPr>
        <w:pStyle w:val="absatzschattenberichtZITAT"/>
        <w:ind w:left="284"/>
      </w:pPr>
      <w:r w:rsidRPr="00C84D75">
        <w:t>“Two years old, they took my testes.”</w:t>
      </w:r>
      <w:r w:rsidR="00176B54" w:rsidRPr="00C84D75">
        <w:t xml:space="preserve"> </w:t>
      </w:r>
      <w:r w:rsidR="00176B54" w:rsidRPr="00C84D75">
        <w:rPr>
          <w:rStyle w:val="Funotenzeichen"/>
          <w:i w:val="0"/>
          <w:iCs/>
        </w:rPr>
        <w:footnoteReference w:id="17"/>
      </w:r>
      <w:r w:rsidRPr="00C84D75">
        <w:rPr>
          <w:iCs/>
        </w:rPr>
        <w:t xml:space="preserve"> </w:t>
      </w:r>
    </w:p>
    <w:p w14:paraId="77E86891" w14:textId="52C1EB44" w:rsidR="00087C7A" w:rsidRPr="0009169E" w:rsidRDefault="00087C7A" w:rsidP="00087C7A">
      <w:pPr>
        <w:pStyle w:val="Text"/>
        <w:autoSpaceDE w:val="0"/>
        <w:spacing w:before="0" w:after="113" w:line="288" w:lineRule="auto"/>
        <w:jc w:val="both"/>
        <w:textAlignment w:val="center"/>
        <w:rPr>
          <w:rFonts w:asciiTheme="majorBidi" w:eastAsia="Baskerville-Italic" w:hAnsiTheme="majorBidi" w:cstheme="majorBidi"/>
          <w:color w:val="000000"/>
          <w:spacing w:val="2"/>
          <w:sz w:val="23"/>
          <w:szCs w:val="23"/>
          <w:lang w:val="en-GB"/>
        </w:rPr>
      </w:pPr>
      <w:r w:rsidRPr="0009169E">
        <w:rPr>
          <w:rFonts w:asciiTheme="majorBidi" w:eastAsia="Baskerville" w:hAnsiTheme="majorBidi" w:cstheme="majorBidi"/>
          <w:i w:val="0"/>
          <w:iCs w:val="0"/>
          <w:color w:val="000000"/>
          <w:spacing w:val="2"/>
          <w:lang w:val="en-GB"/>
        </w:rPr>
        <w:t>T</w:t>
      </w:r>
      <w:r w:rsidR="00D401AA">
        <w:rPr>
          <w:rFonts w:asciiTheme="majorBidi" w:eastAsia="Baskerville" w:hAnsiTheme="majorBidi" w:cstheme="majorBidi"/>
          <w:i w:val="0"/>
          <w:iCs w:val="0"/>
          <w:color w:val="000000"/>
          <w:spacing w:val="2"/>
          <w:lang w:val="en-GB"/>
        </w:rPr>
        <w:t>he</w:t>
      </w:r>
      <w:r w:rsidRPr="0009169E">
        <w:rPr>
          <w:rFonts w:asciiTheme="majorBidi" w:eastAsia="Baskerville" w:hAnsiTheme="majorBidi" w:cstheme="majorBidi"/>
          <w:i w:val="0"/>
          <w:iCs w:val="0"/>
          <w:color w:val="000000"/>
          <w:spacing w:val="2"/>
          <w:lang w:val="en-GB"/>
        </w:rPr>
        <w:t xml:space="preserve"> </w:t>
      </w:r>
      <w:r w:rsidRPr="0009169E">
        <w:rPr>
          <w:rFonts w:asciiTheme="majorBidi" w:eastAsia="Baskerville-SemiBold" w:hAnsiTheme="majorBidi" w:cstheme="majorBidi"/>
          <w:b/>
          <w:bCs/>
          <w:i w:val="0"/>
          <w:iCs w:val="0"/>
          <w:color w:val="000000"/>
          <w:spacing w:val="2"/>
          <w:lang w:val="en-GB"/>
        </w:rPr>
        <w:t>2017 DSD Guidelines</w:t>
      </w:r>
      <w:r w:rsidRPr="0009169E">
        <w:rPr>
          <w:rFonts w:asciiTheme="majorBidi" w:eastAsia="Baskerville" w:hAnsiTheme="majorBidi" w:cstheme="majorBidi"/>
          <w:i w:val="0"/>
          <w:iCs w:val="0"/>
          <w:color w:val="000000"/>
          <w:spacing w:val="2"/>
          <w:lang w:val="en-GB"/>
        </w:rPr>
        <w:t xml:space="preserve"> authored by the </w:t>
      </w:r>
      <w:r w:rsidRPr="0009169E">
        <w:rPr>
          <w:rFonts w:asciiTheme="majorBidi" w:eastAsia="Baskerville-Italic" w:hAnsiTheme="majorBidi" w:cstheme="majorBidi"/>
          <w:color w:val="000000"/>
          <w:spacing w:val="2"/>
          <w:lang w:val="en-GB"/>
        </w:rPr>
        <w:t>“DSD Working Group”</w:t>
      </w:r>
      <w:r w:rsidRPr="0009169E">
        <w:rPr>
          <w:rFonts w:asciiTheme="majorBidi" w:eastAsia="Baskerville" w:hAnsiTheme="majorBidi" w:cstheme="majorBidi"/>
          <w:i w:val="0"/>
          <w:iCs w:val="0"/>
          <w:color w:val="000000"/>
          <w:spacing w:val="2"/>
          <w:lang w:val="en-GB"/>
        </w:rPr>
        <w:t xml:space="preserve"> of the </w:t>
      </w:r>
      <w:r w:rsidRPr="0009169E">
        <w:rPr>
          <w:rFonts w:asciiTheme="majorBidi" w:eastAsia="Baskerville-SemiBold" w:hAnsiTheme="majorBidi" w:cstheme="majorBidi"/>
          <w:b/>
          <w:bCs/>
          <w:i w:val="0"/>
          <w:iCs w:val="0"/>
          <w:color w:val="000000"/>
          <w:spacing w:val="2"/>
          <w:lang w:val="en-GB"/>
        </w:rPr>
        <w:t>Spanish Society of Paediatric Endocrinology (SEEP)</w:t>
      </w:r>
      <w:r w:rsidRPr="00A23F1D">
        <w:rPr>
          <w:rStyle w:val="Funotenzeichen"/>
          <w:rFonts w:eastAsia="Baskerville" w:cs="Times New Roman"/>
          <w:i w:val="0"/>
          <w:iCs w:val="0"/>
          <w:color w:val="000000"/>
          <w:spacing w:val="2"/>
          <w:lang w:val="en-GB"/>
        </w:rPr>
        <w:footnoteReference w:id="18"/>
      </w:r>
      <w:r w:rsidRPr="0009169E">
        <w:rPr>
          <w:rFonts w:asciiTheme="majorBidi" w:eastAsia="Baskerville" w:hAnsiTheme="majorBidi" w:cstheme="majorBidi"/>
          <w:i w:val="0"/>
          <w:iCs w:val="0"/>
          <w:color w:val="000000"/>
          <w:spacing w:val="2"/>
          <w:lang w:val="en-GB"/>
        </w:rPr>
        <w:t xml:space="preserve"> unchangingly promote </w:t>
      </w:r>
      <w:r w:rsidRPr="0009169E">
        <w:rPr>
          <w:rFonts w:asciiTheme="majorBidi" w:eastAsia="Baskerville-Italic" w:hAnsiTheme="majorBidi" w:cstheme="majorBidi"/>
          <w:color w:val="000000"/>
          <w:spacing w:val="2"/>
          <w:lang w:val="en-GB"/>
        </w:rPr>
        <w:t>“prophylactic gonadectomy”</w:t>
      </w:r>
      <w:r w:rsidRPr="0009169E">
        <w:rPr>
          <w:rFonts w:asciiTheme="majorBidi" w:eastAsia="Baskerville" w:hAnsiTheme="majorBidi" w:cstheme="majorBidi"/>
          <w:i w:val="0"/>
          <w:iCs w:val="0"/>
          <w:color w:val="000000"/>
          <w:spacing w:val="2"/>
          <w:lang w:val="en-GB"/>
        </w:rPr>
        <w:t xml:space="preserve"> (p. 44–46):</w:t>
      </w:r>
    </w:p>
    <w:p w14:paraId="2A00734B" w14:textId="77777777" w:rsidR="00087C7A" w:rsidRPr="00087C7A" w:rsidRDefault="00087C7A" w:rsidP="00087C7A">
      <w:pPr>
        <w:pStyle w:val="Text"/>
        <w:autoSpaceDE w:val="0"/>
        <w:spacing w:before="0" w:after="170" w:line="288" w:lineRule="auto"/>
        <w:ind w:left="284" w:right="-1"/>
        <w:jc w:val="both"/>
        <w:textAlignment w:val="center"/>
        <w:rPr>
          <w:rFonts w:asciiTheme="majorBidi" w:eastAsia="Arial-BoldMT" w:hAnsiTheme="majorBidi" w:cstheme="majorBidi"/>
          <w:b/>
          <w:bCs/>
          <w:i w:val="0"/>
          <w:iCs w:val="0"/>
          <w:color w:val="232657"/>
          <w:spacing w:val="2"/>
          <w:lang w:val="en-GB"/>
        </w:rPr>
      </w:pPr>
      <w:r w:rsidRPr="00087C7A">
        <w:rPr>
          <w:rFonts w:asciiTheme="majorBidi" w:eastAsia="Baskerville-Italic" w:hAnsiTheme="majorBidi" w:cstheme="majorBidi"/>
          <w:color w:val="000000"/>
          <w:spacing w:val="2"/>
          <w:lang w:val="en-GB"/>
        </w:rPr>
        <w:t xml:space="preserve">“In Complete Androgen Insensitivity (CAIS) without residual receptor activity, the rate of malignant tumors is low. [...] </w:t>
      </w:r>
      <w:r w:rsidRPr="00087C7A">
        <w:rPr>
          <w:rFonts w:asciiTheme="majorBidi" w:eastAsia="Baskerville-SemiBoldItalic" w:hAnsiTheme="majorBidi" w:cstheme="majorBidi"/>
          <w:b/>
          <w:bCs/>
          <w:color w:val="000000"/>
          <w:spacing w:val="2"/>
          <w:lang w:val="en-GB"/>
        </w:rPr>
        <w:t>[T]he general recommendation is prophylactic gonadectomy in late puberty.</w:t>
      </w:r>
      <w:r w:rsidRPr="00087C7A">
        <w:rPr>
          <w:rFonts w:asciiTheme="majorBidi" w:eastAsia="Baskerville-Italic" w:hAnsiTheme="majorBidi" w:cstheme="majorBidi"/>
          <w:color w:val="000000"/>
          <w:spacing w:val="2"/>
          <w:lang w:val="en-GB"/>
        </w:rPr>
        <w:t xml:space="preserve"> [...] Having decided to perform a </w:t>
      </w:r>
      <w:r w:rsidRPr="00087C7A">
        <w:rPr>
          <w:rFonts w:asciiTheme="majorBidi" w:eastAsia="Baskerville-SemiBoldItalic" w:hAnsiTheme="majorBidi" w:cstheme="majorBidi"/>
          <w:b/>
          <w:bCs/>
          <w:color w:val="000000"/>
          <w:spacing w:val="2"/>
          <w:lang w:val="en-GB"/>
        </w:rPr>
        <w:t>gonadectomy</w:t>
      </w:r>
      <w:r w:rsidRPr="00087C7A">
        <w:rPr>
          <w:rFonts w:asciiTheme="majorBidi" w:eastAsia="Baskerville-Italic" w:hAnsiTheme="majorBidi" w:cstheme="majorBidi"/>
          <w:color w:val="000000"/>
          <w:spacing w:val="2"/>
          <w:lang w:val="en-GB"/>
        </w:rPr>
        <w:t xml:space="preserve"> in these patients, the need for </w:t>
      </w:r>
      <w:r w:rsidRPr="00087C7A">
        <w:rPr>
          <w:rFonts w:asciiTheme="majorBidi" w:eastAsia="Baskerville-SemiBoldItalic" w:hAnsiTheme="majorBidi" w:cstheme="majorBidi"/>
          <w:b/>
          <w:bCs/>
          <w:color w:val="000000"/>
          <w:spacing w:val="2"/>
          <w:lang w:val="en-GB"/>
        </w:rPr>
        <w:t>hormone replacement treatment</w:t>
      </w:r>
      <w:r w:rsidRPr="00087C7A">
        <w:rPr>
          <w:rFonts w:asciiTheme="majorBidi" w:eastAsia="Baskerville-Italic" w:hAnsiTheme="majorBidi" w:cstheme="majorBidi"/>
          <w:color w:val="000000"/>
          <w:spacing w:val="2"/>
          <w:lang w:val="en-GB"/>
        </w:rPr>
        <w:t xml:space="preserve"> should be discussed with the family and patient. In general, </w:t>
      </w:r>
      <w:r w:rsidRPr="00087C7A">
        <w:rPr>
          <w:rFonts w:asciiTheme="majorBidi" w:eastAsia="Baskerville-Italic" w:hAnsiTheme="majorBidi" w:cstheme="majorBidi"/>
          <w:color w:val="000000"/>
          <w:spacing w:val="2"/>
          <w:lang w:val="en-GB"/>
        </w:rPr>
        <w:lastRenderedPageBreak/>
        <w:t>the doses of estrogen needed to maintain bone mass and prevent symptoms of estrogen deficiency are higher than those used in menopause, and should be adapted to each patient.”</w:t>
      </w:r>
    </w:p>
    <w:p w14:paraId="6E53DE62" w14:textId="77777777" w:rsidR="00087C7A" w:rsidRPr="0009169E" w:rsidRDefault="00087C7A" w:rsidP="00087C7A">
      <w:pPr>
        <w:pStyle w:val="Title3"/>
        <w:rPr>
          <w:rFonts w:eastAsia="Baskerville-Italic"/>
          <w:i/>
          <w:color w:val="000000"/>
          <w:w w:val="96"/>
        </w:rPr>
      </w:pPr>
      <w:bookmarkStart w:id="22" w:name="_Toc11017681"/>
      <w:r w:rsidRPr="0009169E">
        <w:t>c) IGM 2 – “Feminising Procedures”: Clitoris Amputation/“Reduction”,</w:t>
      </w:r>
      <w:r>
        <w:rPr>
          <w:w w:val="99"/>
        </w:rPr>
        <w:br/>
      </w:r>
      <w:r w:rsidRPr="0009169E">
        <w:rPr>
          <w:w w:val="99"/>
        </w:rPr>
        <w:t xml:space="preserve">    “Vaginoplasty”, “Labioplasty”, Dilation</w:t>
      </w:r>
      <w:bookmarkEnd w:id="22"/>
    </w:p>
    <w:p w14:paraId="22874326" w14:textId="1CB62AD1" w:rsidR="00087C7A" w:rsidRPr="0009169E" w:rsidRDefault="00087C7A" w:rsidP="00B5644B">
      <w:pPr>
        <w:pStyle w:val="absatzschattenberichtZITAT"/>
        <w:ind w:left="284"/>
      </w:pPr>
      <w:r w:rsidRPr="00C84D75">
        <w:rPr>
          <w:w w:val="98"/>
        </w:rPr>
        <w:t>“I’m sure that if they had respected my body as it was, the sensations would be much better.”</w:t>
      </w:r>
      <w:r w:rsidR="00176B54" w:rsidRPr="00C84D75">
        <w:rPr>
          <w:w w:val="96"/>
        </w:rPr>
        <w:t xml:space="preserve"> </w:t>
      </w:r>
      <w:r w:rsidR="00176B54" w:rsidRPr="00C84D75">
        <w:rPr>
          <w:rStyle w:val="Funotenzeichen"/>
          <w:i w:val="0"/>
          <w:iCs/>
        </w:rPr>
        <w:footnoteReference w:id="19"/>
      </w:r>
    </w:p>
    <w:p w14:paraId="3A27D1DC" w14:textId="47FDEE10" w:rsidR="00087C7A" w:rsidRPr="0009169E" w:rsidRDefault="00087C7A" w:rsidP="00087C7A">
      <w:pPr>
        <w:pStyle w:val="Text"/>
        <w:autoSpaceDE w:val="0"/>
        <w:spacing w:before="0" w:after="113" w:line="288" w:lineRule="auto"/>
        <w:jc w:val="both"/>
        <w:textAlignment w:val="center"/>
        <w:rPr>
          <w:rFonts w:asciiTheme="majorBidi" w:eastAsia="Baskerville-SemiBoldItalic" w:hAnsiTheme="majorBidi" w:cstheme="majorBidi"/>
          <w:b/>
          <w:bCs/>
          <w:color w:val="000000"/>
          <w:spacing w:val="2"/>
          <w:sz w:val="23"/>
          <w:szCs w:val="23"/>
          <w:lang w:val="en-GB"/>
        </w:rPr>
      </w:pPr>
      <w:r w:rsidRPr="0009169E">
        <w:rPr>
          <w:rFonts w:asciiTheme="majorBidi" w:eastAsia="Baskerville" w:hAnsiTheme="majorBidi" w:cstheme="majorBidi"/>
          <w:i w:val="0"/>
          <w:iCs w:val="0"/>
          <w:color w:val="000000"/>
          <w:spacing w:val="2"/>
          <w:lang w:val="en-GB"/>
        </w:rPr>
        <w:t xml:space="preserve">The </w:t>
      </w:r>
      <w:r w:rsidRPr="0009169E">
        <w:rPr>
          <w:rFonts w:asciiTheme="majorBidi" w:eastAsia="Baskerville-SemiBold" w:hAnsiTheme="majorBidi" w:cstheme="majorBidi"/>
          <w:b/>
          <w:bCs/>
          <w:i w:val="0"/>
          <w:iCs w:val="0"/>
          <w:color w:val="000000"/>
          <w:spacing w:val="2"/>
          <w:lang w:val="en-GB"/>
        </w:rPr>
        <w:t>Madrid University Children’s Hospital La Paz</w:t>
      </w:r>
      <w:r w:rsidRPr="0009169E">
        <w:rPr>
          <w:rFonts w:asciiTheme="majorBidi" w:eastAsia="Baskerville" w:hAnsiTheme="majorBidi" w:cstheme="majorBidi"/>
          <w:i w:val="0"/>
          <w:iCs w:val="0"/>
          <w:color w:val="000000"/>
          <w:spacing w:val="2"/>
          <w:lang w:val="en-GB"/>
        </w:rPr>
        <w:t xml:space="preserve">’s current </w:t>
      </w:r>
      <w:r w:rsidRPr="0009169E">
        <w:rPr>
          <w:rFonts w:asciiTheme="majorBidi" w:eastAsia="Baskerville-SemiBoldItalic" w:hAnsiTheme="majorBidi" w:cstheme="majorBidi"/>
          <w:b/>
          <w:bCs/>
          <w:color w:val="000000"/>
          <w:spacing w:val="2"/>
          <w:lang w:val="en-GB"/>
        </w:rPr>
        <w:t>“Formative Itin</w:t>
      </w:r>
      <w:r w:rsidR="004C6B77">
        <w:rPr>
          <w:rFonts w:asciiTheme="majorBidi" w:eastAsia="Baskerville-SemiBoldItalic" w:hAnsiTheme="majorBidi" w:cstheme="majorBidi"/>
          <w:b/>
          <w:bCs/>
          <w:color w:val="000000"/>
          <w:spacing w:val="2"/>
          <w:lang w:val="en-GB"/>
        </w:rPr>
        <w:t>er</w:t>
      </w:r>
      <w:r w:rsidRPr="0009169E">
        <w:rPr>
          <w:rFonts w:asciiTheme="majorBidi" w:eastAsia="Baskerville-SemiBoldItalic" w:hAnsiTheme="majorBidi" w:cstheme="majorBidi"/>
          <w:b/>
          <w:bCs/>
          <w:color w:val="000000"/>
          <w:spacing w:val="2"/>
          <w:lang w:val="en-GB"/>
        </w:rPr>
        <w:t>ary Paediatric Surgery”</w:t>
      </w:r>
      <w:r w:rsidRPr="0009169E">
        <w:rPr>
          <w:rFonts w:asciiTheme="majorBidi" w:eastAsia="Baskerville" w:hAnsiTheme="majorBidi" w:cstheme="majorBidi"/>
          <w:i w:val="0"/>
          <w:iCs w:val="0"/>
          <w:color w:val="000000"/>
          <w:spacing w:val="2"/>
          <w:lang w:val="en-GB"/>
        </w:rPr>
        <w:t xml:space="preserve"> </w:t>
      </w:r>
      <w:r w:rsidRPr="00A23F1D">
        <w:rPr>
          <w:rStyle w:val="Funotenzeichen"/>
          <w:rFonts w:eastAsia="Baskerville" w:cs="Times New Roman"/>
          <w:i w:val="0"/>
          <w:iCs w:val="0"/>
          <w:color w:val="000000"/>
          <w:spacing w:val="2"/>
          <w:lang w:val="en-GB"/>
        </w:rPr>
        <w:footnoteReference w:id="20"/>
      </w:r>
      <w:r w:rsidRPr="0009169E">
        <w:rPr>
          <w:rFonts w:asciiTheme="majorBidi" w:eastAsia="Baskerville" w:hAnsiTheme="majorBidi" w:cstheme="majorBidi"/>
          <w:i w:val="0"/>
          <w:iCs w:val="0"/>
          <w:color w:val="000000"/>
          <w:spacing w:val="2"/>
          <w:lang w:val="en-GB"/>
        </w:rPr>
        <w:t xml:space="preserve"> lists under fields under mandatory procedures of which a trained paediatric surgeon must have </w:t>
      </w:r>
      <w:r w:rsidRPr="0009169E">
        <w:rPr>
          <w:rFonts w:asciiTheme="majorBidi" w:eastAsia="Baskerville-Italic" w:hAnsiTheme="majorBidi" w:cstheme="majorBidi"/>
          <w:color w:val="000000"/>
          <w:spacing w:val="2"/>
          <w:lang w:val="en-GB"/>
        </w:rPr>
        <w:t xml:space="preserve">“at least solid knowledge” </w:t>
      </w:r>
      <w:r w:rsidRPr="0009169E">
        <w:rPr>
          <w:rFonts w:asciiTheme="majorBidi" w:eastAsia="Baskerville" w:hAnsiTheme="majorBidi" w:cstheme="majorBidi"/>
          <w:i w:val="0"/>
          <w:iCs w:val="0"/>
          <w:color w:val="000000"/>
          <w:spacing w:val="2"/>
          <w:lang w:val="en-GB"/>
        </w:rPr>
        <w:t>(p. 9):</w:t>
      </w:r>
    </w:p>
    <w:p w14:paraId="24AAC296" w14:textId="77777777" w:rsidR="00087C7A" w:rsidRPr="0009169E" w:rsidRDefault="00087C7A" w:rsidP="00B5644B">
      <w:pPr>
        <w:pStyle w:val="Text"/>
        <w:autoSpaceDE w:val="0"/>
        <w:spacing w:before="0" w:after="100" w:line="288" w:lineRule="auto"/>
        <w:ind w:left="284" w:right="567"/>
        <w:jc w:val="both"/>
        <w:textAlignment w:val="center"/>
        <w:rPr>
          <w:rFonts w:asciiTheme="majorBidi" w:eastAsia="Baskerville-Italic" w:hAnsiTheme="majorBidi" w:cstheme="majorBidi"/>
          <w:color w:val="000000"/>
          <w:spacing w:val="2"/>
          <w:sz w:val="23"/>
          <w:szCs w:val="23"/>
          <w:lang w:val="en-GB"/>
        </w:rPr>
      </w:pPr>
      <w:r w:rsidRPr="0009169E">
        <w:rPr>
          <w:rFonts w:asciiTheme="majorBidi" w:eastAsia="Baskerville-SemiBoldItalic" w:hAnsiTheme="majorBidi" w:cstheme="majorBidi"/>
          <w:b/>
          <w:bCs/>
          <w:color w:val="000000"/>
          <w:spacing w:val="2"/>
          <w:sz w:val="23"/>
          <w:szCs w:val="23"/>
          <w:lang w:val="en-GB"/>
        </w:rPr>
        <w:t>GENITAL PATHOLOGY</w:t>
      </w:r>
    </w:p>
    <w:p w14:paraId="45F7A9EB" w14:textId="77777777" w:rsidR="00087C7A" w:rsidRPr="0009169E" w:rsidRDefault="00087C7A" w:rsidP="00B5644B">
      <w:pPr>
        <w:pStyle w:val="Text"/>
        <w:autoSpaceDE w:val="0"/>
        <w:spacing w:before="0" w:after="100" w:line="288" w:lineRule="auto"/>
        <w:ind w:left="284" w:right="567"/>
        <w:jc w:val="both"/>
        <w:textAlignment w:val="center"/>
        <w:rPr>
          <w:rFonts w:asciiTheme="majorBidi" w:eastAsia="Baskerville-Italic" w:hAnsiTheme="majorBidi" w:cstheme="majorBidi"/>
          <w:color w:val="000000"/>
          <w:spacing w:val="2"/>
          <w:sz w:val="23"/>
          <w:szCs w:val="23"/>
          <w:lang w:val="en-GB"/>
        </w:rPr>
      </w:pPr>
      <w:r w:rsidRPr="00187950">
        <w:rPr>
          <w:rFonts w:asciiTheme="majorBidi" w:eastAsia="Baskerville-Italic" w:hAnsiTheme="majorBidi" w:cstheme="majorBidi"/>
          <w:color w:val="000000"/>
          <w:spacing w:val="2"/>
          <w:sz w:val="23"/>
          <w:szCs w:val="23"/>
          <w:lang w:val="fr-CH"/>
        </w:rPr>
        <w:t xml:space="preserve">73. Testicular descent abnormalities. Cryptorchidism. Ectopies. </w:t>
      </w:r>
      <w:r w:rsidRPr="0009169E">
        <w:rPr>
          <w:rFonts w:asciiTheme="majorBidi" w:eastAsia="Baskerville-Italic" w:hAnsiTheme="majorBidi" w:cstheme="majorBidi"/>
          <w:color w:val="000000"/>
          <w:spacing w:val="2"/>
          <w:sz w:val="23"/>
          <w:szCs w:val="23"/>
          <w:lang w:val="en-GB"/>
        </w:rPr>
        <w:t>Testicular retention.</w:t>
      </w:r>
    </w:p>
    <w:p w14:paraId="493E6367" w14:textId="77777777" w:rsidR="00087C7A" w:rsidRPr="0009169E" w:rsidRDefault="00087C7A" w:rsidP="00B5644B">
      <w:pPr>
        <w:pStyle w:val="Text"/>
        <w:autoSpaceDE w:val="0"/>
        <w:spacing w:before="0" w:after="100" w:line="288" w:lineRule="auto"/>
        <w:ind w:left="284" w:right="567"/>
        <w:jc w:val="both"/>
        <w:textAlignment w:val="center"/>
        <w:rPr>
          <w:rFonts w:asciiTheme="majorBidi" w:eastAsia="Baskerville-SemiBoldItalic" w:hAnsiTheme="majorBidi" w:cstheme="majorBidi"/>
          <w:b/>
          <w:bCs/>
          <w:color w:val="000000"/>
          <w:spacing w:val="2"/>
          <w:sz w:val="23"/>
          <w:szCs w:val="23"/>
          <w:lang w:val="en-GB"/>
        </w:rPr>
      </w:pPr>
      <w:r w:rsidRPr="0009169E">
        <w:rPr>
          <w:rFonts w:asciiTheme="majorBidi" w:eastAsia="Baskerville-Italic" w:hAnsiTheme="majorBidi" w:cstheme="majorBidi"/>
          <w:color w:val="000000"/>
          <w:spacing w:val="2"/>
          <w:sz w:val="23"/>
          <w:szCs w:val="23"/>
          <w:lang w:val="en-GB"/>
        </w:rPr>
        <w:t>74. Acute scrotum. Testicular torsion and hydatid torsion. Orchitis and epididymitis. Ovarian torsion. Ovarian cysts.</w:t>
      </w:r>
    </w:p>
    <w:p w14:paraId="797847BF" w14:textId="77777777" w:rsidR="00087C7A" w:rsidRPr="0009169E" w:rsidRDefault="00087C7A" w:rsidP="00B5644B">
      <w:pPr>
        <w:pStyle w:val="Text"/>
        <w:autoSpaceDE w:val="0"/>
        <w:spacing w:before="0" w:after="100" w:line="288" w:lineRule="auto"/>
        <w:ind w:left="284" w:right="567"/>
        <w:jc w:val="both"/>
        <w:textAlignment w:val="center"/>
        <w:rPr>
          <w:rFonts w:asciiTheme="majorBidi" w:eastAsia="Baskerville-SemiBoldItalic" w:hAnsiTheme="majorBidi" w:cstheme="majorBidi"/>
          <w:b/>
          <w:bCs/>
          <w:color w:val="000000"/>
          <w:spacing w:val="2"/>
          <w:sz w:val="23"/>
          <w:szCs w:val="23"/>
          <w:lang w:val="en-GB"/>
        </w:rPr>
      </w:pPr>
      <w:r w:rsidRPr="0009169E">
        <w:rPr>
          <w:rFonts w:asciiTheme="majorBidi" w:eastAsia="Baskerville-SemiBoldItalic" w:hAnsiTheme="majorBidi" w:cstheme="majorBidi"/>
          <w:b/>
          <w:bCs/>
          <w:color w:val="000000"/>
          <w:spacing w:val="2"/>
          <w:sz w:val="23"/>
          <w:szCs w:val="23"/>
          <w:lang w:val="en-GB"/>
        </w:rPr>
        <w:t>75. Intersex states.</w:t>
      </w:r>
    </w:p>
    <w:p w14:paraId="166568B8" w14:textId="77777777" w:rsidR="00087C7A" w:rsidRPr="0009169E" w:rsidRDefault="00087C7A" w:rsidP="00B5644B">
      <w:pPr>
        <w:pStyle w:val="Text"/>
        <w:autoSpaceDE w:val="0"/>
        <w:spacing w:before="0" w:after="100" w:line="288" w:lineRule="auto"/>
        <w:ind w:left="284" w:right="567"/>
        <w:jc w:val="both"/>
        <w:textAlignment w:val="center"/>
        <w:rPr>
          <w:rFonts w:asciiTheme="majorBidi" w:eastAsia="Baskerville-SemiBoldItalic" w:hAnsiTheme="majorBidi" w:cstheme="majorBidi"/>
          <w:b/>
          <w:bCs/>
          <w:color w:val="000000"/>
          <w:spacing w:val="2"/>
          <w:sz w:val="23"/>
          <w:szCs w:val="23"/>
          <w:lang w:val="en-GB"/>
        </w:rPr>
      </w:pPr>
      <w:r w:rsidRPr="0009169E">
        <w:rPr>
          <w:rFonts w:asciiTheme="majorBidi" w:eastAsia="Baskerville-SemiBoldItalic" w:hAnsiTheme="majorBidi" w:cstheme="majorBidi"/>
          <w:b/>
          <w:bCs/>
          <w:color w:val="000000"/>
          <w:spacing w:val="2"/>
          <w:sz w:val="23"/>
          <w:szCs w:val="23"/>
          <w:lang w:val="en-GB"/>
        </w:rPr>
        <w:t xml:space="preserve">76. </w:t>
      </w:r>
      <w:r w:rsidRPr="0009169E">
        <w:rPr>
          <w:rFonts w:asciiTheme="majorBidi" w:eastAsia="Baskerville-Italic" w:hAnsiTheme="majorBidi" w:cstheme="majorBidi"/>
          <w:color w:val="000000"/>
          <w:spacing w:val="2"/>
          <w:sz w:val="23"/>
          <w:szCs w:val="23"/>
          <w:lang w:val="en-GB"/>
        </w:rPr>
        <w:t>Hypospadias and epispadias.</w:t>
      </w:r>
    </w:p>
    <w:p w14:paraId="4B6F17E9" w14:textId="77777777" w:rsidR="00087C7A" w:rsidRPr="0009169E" w:rsidRDefault="00087C7A" w:rsidP="00B5644B">
      <w:pPr>
        <w:pStyle w:val="Text"/>
        <w:autoSpaceDE w:val="0"/>
        <w:spacing w:before="0" w:after="100" w:line="288" w:lineRule="auto"/>
        <w:ind w:left="284" w:right="567"/>
        <w:jc w:val="both"/>
        <w:textAlignment w:val="center"/>
        <w:rPr>
          <w:rFonts w:asciiTheme="majorBidi" w:eastAsia="Baskerville" w:hAnsiTheme="majorBidi" w:cstheme="majorBidi"/>
          <w:i w:val="0"/>
          <w:iCs w:val="0"/>
          <w:color w:val="000000"/>
          <w:spacing w:val="2"/>
          <w:lang w:val="en-GB"/>
        </w:rPr>
      </w:pPr>
      <w:r w:rsidRPr="0009169E">
        <w:rPr>
          <w:rFonts w:asciiTheme="majorBidi" w:eastAsia="Baskerville-SemiBoldItalic" w:hAnsiTheme="majorBidi" w:cstheme="majorBidi"/>
          <w:b/>
          <w:bCs/>
          <w:color w:val="000000"/>
          <w:spacing w:val="2"/>
          <w:sz w:val="23"/>
          <w:szCs w:val="23"/>
          <w:lang w:val="en-GB"/>
        </w:rPr>
        <w:t>77. Female external genital abnormalities. Vaginal agenesis</w:t>
      </w:r>
      <w:r w:rsidRPr="0009169E">
        <w:rPr>
          <w:rFonts w:asciiTheme="majorBidi" w:eastAsia="Baskerville-Italic" w:hAnsiTheme="majorBidi" w:cstheme="majorBidi"/>
          <w:color w:val="000000"/>
          <w:spacing w:val="2"/>
          <w:sz w:val="23"/>
          <w:szCs w:val="23"/>
          <w:lang w:val="en-GB"/>
        </w:rPr>
        <w:t xml:space="preserve"> and duplication. Hydro and hematocolps. Fused Labia.</w:t>
      </w:r>
    </w:p>
    <w:p w14:paraId="7FF520E7" w14:textId="3705BED5" w:rsidR="00087C7A" w:rsidRPr="0009169E" w:rsidRDefault="00087C7A" w:rsidP="00087C7A">
      <w:pPr>
        <w:pStyle w:val="Text"/>
        <w:autoSpaceDE w:val="0"/>
        <w:spacing w:before="0" w:after="170" w:line="288" w:lineRule="auto"/>
        <w:jc w:val="both"/>
        <w:textAlignment w:val="center"/>
        <w:rPr>
          <w:rFonts w:asciiTheme="majorBidi" w:eastAsia="Arial-BoldMT" w:hAnsiTheme="majorBidi" w:cstheme="majorBidi"/>
          <w:b/>
          <w:bCs/>
          <w:i w:val="0"/>
          <w:iCs w:val="0"/>
          <w:color w:val="232657"/>
          <w:spacing w:val="2"/>
          <w:w w:val="99"/>
          <w:sz w:val="22"/>
          <w:szCs w:val="22"/>
          <w:lang w:val="en-GB"/>
        </w:rPr>
      </w:pPr>
      <w:r w:rsidRPr="0009169E">
        <w:rPr>
          <w:rFonts w:asciiTheme="majorBidi" w:eastAsia="Baskerville" w:hAnsiTheme="majorBidi" w:cstheme="majorBidi"/>
          <w:i w:val="0"/>
          <w:iCs w:val="0"/>
          <w:color w:val="000000"/>
          <w:spacing w:val="2"/>
          <w:lang w:val="en-GB"/>
        </w:rPr>
        <w:t xml:space="preserve">In 2017, the </w:t>
      </w:r>
      <w:r w:rsidRPr="00C84D75">
        <w:rPr>
          <w:rFonts w:asciiTheme="majorBidi" w:eastAsia="Baskerville" w:hAnsiTheme="majorBidi" w:cstheme="majorBidi"/>
          <w:b/>
          <w:bCs/>
          <w:i w:val="0"/>
          <w:iCs w:val="0"/>
          <w:color w:val="000000"/>
          <w:spacing w:val="2"/>
          <w:lang w:val="en-GB"/>
        </w:rPr>
        <w:t>Barcelona University Children’s Hospital Vall d’Hebron</w:t>
      </w:r>
      <w:r w:rsidRPr="0009169E">
        <w:rPr>
          <w:rFonts w:asciiTheme="majorBidi" w:eastAsia="Baskerville" w:hAnsiTheme="majorBidi" w:cstheme="majorBidi"/>
          <w:i w:val="0"/>
          <w:iCs w:val="0"/>
          <w:color w:val="000000"/>
          <w:spacing w:val="2"/>
          <w:lang w:val="en-GB"/>
        </w:rPr>
        <w:t xml:space="preserve"> in collaboration with the </w:t>
      </w:r>
      <w:r w:rsidRPr="0009169E">
        <w:rPr>
          <w:rFonts w:asciiTheme="majorBidi" w:eastAsia="Baskerville-SemiBold" w:hAnsiTheme="majorBidi" w:cstheme="majorBidi"/>
          <w:b/>
          <w:bCs/>
          <w:i w:val="0"/>
          <w:iCs w:val="0"/>
          <w:color w:val="000000"/>
          <w:spacing w:val="2"/>
          <w:lang w:val="en-GB"/>
        </w:rPr>
        <w:t>Catalan Health Department</w:t>
      </w:r>
      <w:r w:rsidRPr="0009169E">
        <w:rPr>
          <w:rFonts w:asciiTheme="majorBidi" w:eastAsia="Baskerville" w:hAnsiTheme="majorBidi" w:cstheme="majorBidi"/>
          <w:i w:val="0"/>
          <w:iCs w:val="0"/>
          <w:color w:val="000000"/>
          <w:spacing w:val="2"/>
          <w:lang w:val="en-GB"/>
        </w:rPr>
        <w:t xml:space="preserve"> and the </w:t>
      </w:r>
      <w:r w:rsidRPr="0009169E">
        <w:rPr>
          <w:rFonts w:asciiTheme="majorBidi" w:eastAsia="Baskerville-SemiBoldItalic" w:hAnsiTheme="majorBidi" w:cstheme="majorBidi"/>
          <w:b/>
          <w:bCs/>
          <w:color w:val="000000"/>
          <w:spacing w:val="2"/>
          <w:lang w:val="en-GB"/>
        </w:rPr>
        <w:t>Institut Català de la Salut</w:t>
      </w:r>
      <w:r w:rsidRPr="0009169E">
        <w:rPr>
          <w:rFonts w:asciiTheme="majorBidi" w:eastAsia="Baskerville" w:hAnsiTheme="majorBidi" w:cstheme="majorBidi"/>
          <w:i w:val="0"/>
          <w:iCs w:val="0"/>
          <w:color w:val="000000"/>
          <w:spacing w:val="2"/>
          <w:lang w:val="en-GB"/>
        </w:rPr>
        <w:t xml:space="preserve"> co-organsised a </w:t>
      </w:r>
      <w:r w:rsidRPr="0009169E">
        <w:rPr>
          <w:rFonts w:asciiTheme="majorBidi" w:eastAsia="Baskerville-Italic" w:hAnsiTheme="majorBidi" w:cstheme="majorBidi"/>
          <w:color w:val="000000"/>
          <w:spacing w:val="2"/>
          <w:lang w:val="en-GB"/>
        </w:rPr>
        <w:t>“masterclass”</w:t>
      </w:r>
      <w:r w:rsidRPr="0009169E">
        <w:rPr>
          <w:rFonts w:asciiTheme="majorBidi" w:eastAsia="Baskerville" w:hAnsiTheme="majorBidi" w:cstheme="majorBidi"/>
          <w:i w:val="0"/>
          <w:iCs w:val="0"/>
          <w:color w:val="000000"/>
          <w:spacing w:val="2"/>
          <w:lang w:val="en-GB"/>
        </w:rPr>
        <w:t xml:space="preserve"> titled </w:t>
      </w:r>
      <w:r w:rsidRPr="0009169E">
        <w:rPr>
          <w:rFonts w:asciiTheme="majorBidi" w:eastAsia="Baskerville-SemiBoldItalic" w:hAnsiTheme="majorBidi" w:cstheme="majorBidi"/>
          <w:b/>
          <w:bCs/>
          <w:color w:val="000000"/>
          <w:spacing w:val="2"/>
          <w:lang w:val="en-GB"/>
        </w:rPr>
        <w:t>“Pediatric Urogenital Reconstructive Surgery: Disorders of Sex Development DSD XX”</w:t>
      </w:r>
      <w:r w:rsidRPr="0009169E">
        <w:rPr>
          <w:rFonts w:asciiTheme="majorBidi" w:eastAsia="Baskerville" w:hAnsiTheme="majorBidi" w:cstheme="majorBidi"/>
          <w:i w:val="0"/>
          <w:iCs w:val="0"/>
          <w:color w:val="000000"/>
          <w:spacing w:val="2"/>
          <w:lang w:val="en-GB"/>
        </w:rPr>
        <w:t xml:space="preserve">, specialising in “feminising” </w:t>
      </w:r>
      <w:r w:rsidRPr="0009169E">
        <w:rPr>
          <w:rFonts w:asciiTheme="majorBidi" w:eastAsia="Baskerville-Italic" w:hAnsiTheme="majorBidi" w:cstheme="majorBidi"/>
          <w:color w:val="000000"/>
          <w:spacing w:val="2"/>
          <w:lang w:val="en-GB"/>
        </w:rPr>
        <w:t>“Surgery in children with atypical genital development</w:t>
      </w:r>
      <w:r>
        <w:rPr>
          <w:rFonts w:asciiTheme="majorBidi" w:eastAsia="Baskerville-Italic" w:hAnsiTheme="majorBidi" w:cstheme="majorBidi"/>
          <w:color w:val="000000"/>
          <w:spacing w:val="2"/>
          <w:lang w:val="en-GB"/>
        </w:rPr>
        <w:t xml:space="preserve"> </w:t>
      </w:r>
      <w:r w:rsidRPr="0009169E">
        <w:rPr>
          <w:rFonts w:asciiTheme="majorBidi" w:eastAsia="Baskerville-Italic" w:hAnsiTheme="majorBidi" w:cstheme="majorBidi"/>
          <w:color w:val="000000"/>
          <w:spacing w:val="2"/>
          <w:lang w:val="en-GB"/>
        </w:rPr>
        <w:t>(AGD”</w:t>
      </w:r>
      <w:r w:rsidRPr="0009169E">
        <w:rPr>
          <w:rFonts w:asciiTheme="majorBidi" w:eastAsia="Baskerville" w:hAnsiTheme="majorBidi" w:cstheme="majorBidi"/>
          <w:i w:val="0"/>
          <w:iCs w:val="0"/>
          <w:color w:val="000000"/>
          <w:spacing w:val="2"/>
          <w:lang w:val="en-GB"/>
        </w:rPr>
        <w:t xml:space="preserve"> and including no less than </w:t>
      </w:r>
      <w:r w:rsidRPr="0009169E">
        <w:rPr>
          <w:rFonts w:asciiTheme="majorBidi" w:eastAsia="Baskerville-SemiBold" w:hAnsiTheme="majorBidi" w:cstheme="majorBidi"/>
          <w:b/>
          <w:bCs/>
          <w:i w:val="0"/>
          <w:iCs w:val="0"/>
          <w:color w:val="000000"/>
          <w:spacing w:val="2"/>
          <w:lang w:val="en-GB"/>
        </w:rPr>
        <w:t xml:space="preserve">3 sessions of </w:t>
      </w:r>
      <w:r w:rsidRPr="0009169E">
        <w:rPr>
          <w:rFonts w:asciiTheme="majorBidi" w:eastAsia="Baskerville-SemiBoldItalic" w:hAnsiTheme="majorBidi" w:cstheme="majorBidi"/>
          <w:b/>
          <w:bCs/>
          <w:color w:val="000000"/>
          <w:spacing w:val="2"/>
          <w:lang w:val="en-GB"/>
        </w:rPr>
        <w:t>“Live surgery”</w:t>
      </w:r>
      <w:r w:rsidRPr="0009169E">
        <w:rPr>
          <w:rFonts w:asciiTheme="majorBidi" w:eastAsia="Baskerville" w:hAnsiTheme="majorBidi" w:cstheme="majorBidi"/>
          <w:i w:val="0"/>
          <w:iCs w:val="0"/>
          <w:color w:val="000000"/>
          <w:spacing w:val="2"/>
          <w:lang w:val="en-GB"/>
        </w:rPr>
        <w:t>.</w:t>
      </w:r>
      <w:r w:rsidRPr="00A23F1D">
        <w:rPr>
          <w:rStyle w:val="Funotenzeichen"/>
          <w:rFonts w:eastAsia="Baskerville" w:cs="Times New Roman"/>
          <w:i w:val="0"/>
          <w:iCs w:val="0"/>
          <w:color w:val="000000"/>
          <w:spacing w:val="2"/>
          <w:lang w:val="en-GB"/>
        </w:rPr>
        <w:footnoteReference w:id="21"/>
      </w:r>
    </w:p>
    <w:p w14:paraId="49E65FF0" w14:textId="2366D103" w:rsidR="00A54323" w:rsidRDefault="00185A42" w:rsidP="00321F0A">
      <w:pPr>
        <w:pStyle w:val="absatzschattenbericht"/>
      </w:pPr>
      <w:r>
        <w:t xml:space="preserve">An April 2019 presentation by paediatric surgeons and urologists from the </w:t>
      </w:r>
      <w:r w:rsidRPr="00185A42">
        <w:rPr>
          <w:rFonts w:asciiTheme="majorBidi" w:eastAsia="Baskerville-SemiBold" w:hAnsiTheme="majorBidi" w:cstheme="majorBidi"/>
          <w:b/>
          <w:bCs/>
          <w:spacing w:val="2"/>
        </w:rPr>
        <w:t>Madrid University Children’s Hospital La Paz</w:t>
      </w:r>
      <w:r w:rsidR="00A54323">
        <w:rPr>
          <w:rStyle w:val="Funotenzeichen"/>
          <w:rFonts w:asciiTheme="majorBidi" w:eastAsia="Baskerville-SemiBold" w:hAnsiTheme="majorBidi" w:cstheme="majorBidi"/>
          <w:b/>
          <w:bCs/>
          <w:spacing w:val="2"/>
        </w:rPr>
        <w:footnoteReference w:id="22"/>
      </w:r>
      <w:r>
        <w:t xml:space="preserve"> </w:t>
      </w:r>
      <w:r w:rsidR="00A54323">
        <w:t xml:space="preserve">about </w:t>
      </w:r>
      <w:r w:rsidR="00A54323" w:rsidRPr="004D1E1D">
        <w:rPr>
          <w:i/>
          <w:iCs/>
        </w:rPr>
        <w:t>“long-term surgical results”</w:t>
      </w:r>
      <w:r w:rsidR="00A54323">
        <w:t xml:space="preserve"> of feminising procedures on 33 CAH patients operated on 1977-2012 came to the following</w:t>
      </w:r>
    </w:p>
    <w:p w14:paraId="567F5AF8" w14:textId="77777777" w:rsidR="00A54323" w:rsidRPr="00BF6BF7" w:rsidRDefault="00A54323" w:rsidP="00B5644B">
      <w:pPr>
        <w:pStyle w:val="absatzschattenberichtZITAT"/>
        <w:ind w:left="284"/>
      </w:pPr>
      <w:r w:rsidRPr="00BF6BF7">
        <w:t>“</w:t>
      </w:r>
      <w:r w:rsidRPr="00E106FB">
        <w:rPr>
          <w:b/>
        </w:rPr>
        <w:t>CONCLUSIONS</w:t>
      </w:r>
      <w:r w:rsidRPr="00BF6BF7">
        <w:t xml:space="preserve"> </w:t>
      </w:r>
    </w:p>
    <w:p w14:paraId="0E3FA6FB" w14:textId="5B3B0365" w:rsidR="00A54323" w:rsidRPr="00BF6BF7" w:rsidRDefault="00A54323" w:rsidP="00B5644B">
      <w:pPr>
        <w:pStyle w:val="absatzschattenberichtZITAT"/>
        <w:ind w:left="284"/>
      </w:pPr>
      <w:r w:rsidRPr="00BF6BF7">
        <w:rPr>
          <w:rFonts w:hint="eastAsia"/>
        </w:rPr>
        <w:t xml:space="preserve">Glans reduction in CAH patients cause a decrease in genital sensitivity. The surgical consequences for sexual and social development in this condition </w:t>
      </w:r>
      <w:r w:rsidRPr="00BF6BF7">
        <w:rPr>
          <w:rFonts w:hint="eastAsia"/>
          <w:b/>
          <w:bCs/>
        </w:rPr>
        <w:t>should lead us to a</w:t>
      </w:r>
      <w:r w:rsidRPr="00BF6BF7">
        <w:rPr>
          <w:rFonts w:hint="eastAsia"/>
        </w:rPr>
        <w:t xml:space="preserve"> multidisciplinary, </w:t>
      </w:r>
      <w:r w:rsidRPr="00BF6BF7">
        <w:rPr>
          <w:rFonts w:hint="eastAsia"/>
          <w:b/>
          <w:bCs/>
        </w:rPr>
        <w:t>more conservative management</w:t>
      </w:r>
      <w:r w:rsidRPr="00BF6BF7">
        <w:rPr>
          <w:rFonts w:hint="eastAsia"/>
        </w:rPr>
        <w:t>.</w:t>
      </w:r>
      <w:r w:rsidRPr="00BF6BF7">
        <w:t>”</w:t>
      </w:r>
    </w:p>
    <w:p w14:paraId="51CE94F4" w14:textId="35D4C89F" w:rsidR="00C84D75" w:rsidRDefault="004D1E1D" w:rsidP="00321F0A">
      <w:pPr>
        <w:pStyle w:val="absatzschattenbericht"/>
      </w:pPr>
      <w:r>
        <w:lastRenderedPageBreak/>
        <w:t xml:space="preserve">In other words, the surgeons indirectly admit that a </w:t>
      </w:r>
      <w:r w:rsidRPr="004D1E1D">
        <w:rPr>
          <w:i/>
          <w:iCs/>
        </w:rPr>
        <w:t>“more conservative management”</w:t>
      </w:r>
      <w:r>
        <w:t xml:space="preserve"> regarding IGM 2 is </w:t>
      </w:r>
      <w:r w:rsidRPr="004D1E1D">
        <w:rPr>
          <w:b/>
          <w:bCs/>
        </w:rPr>
        <w:t>not the actual status</w:t>
      </w:r>
      <w:r>
        <w:t xml:space="preserve"> also at the Madrid University </w:t>
      </w:r>
      <w:r w:rsidRPr="004D1E1D">
        <w:t>Children’s Hospital La Paz</w:t>
      </w:r>
      <w:r>
        <w:t xml:space="preserve"> – despite that IGM has been formally outlawed in Madrid since 2016 (see p. </w:t>
      </w:r>
      <w:r w:rsidR="00D63179">
        <w:t>8</w:t>
      </w:r>
      <w:r w:rsidR="006A5990">
        <w:t>-9</w:t>
      </w:r>
      <w:r>
        <w:t>).</w:t>
      </w:r>
    </w:p>
    <w:p w14:paraId="1449F564" w14:textId="7D35276F" w:rsidR="00C64E15" w:rsidRPr="00C84D75" w:rsidRDefault="00C64E15" w:rsidP="00C84D75">
      <w:pPr>
        <w:pStyle w:val="Text"/>
        <w:autoSpaceDE w:val="0"/>
        <w:spacing w:before="0" w:after="113" w:line="288" w:lineRule="auto"/>
        <w:jc w:val="both"/>
        <w:textAlignment w:val="center"/>
        <w:rPr>
          <w:rFonts w:asciiTheme="majorBidi" w:eastAsia="Baskerville" w:hAnsiTheme="majorBidi" w:cstheme="majorBidi"/>
          <w:i w:val="0"/>
          <w:iCs w:val="0"/>
          <w:color w:val="000000"/>
          <w:spacing w:val="2"/>
          <w:lang w:val="en-US"/>
        </w:rPr>
      </w:pPr>
      <w:r>
        <w:rPr>
          <w:rFonts w:asciiTheme="majorBidi" w:eastAsia="Baskerville" w:hAnsiTheme="majorBidi" w:cstheme="majorBidi"/>
          <w:i w:val="0"/>
          <w:iCs w:val="0"/>
          <w:color w:val="000000"/>
          <w:spacing w:val="2"/>
          <w:lang w:val="en-GB"/>
        </w:rPr>
        <w:t xml:space="preserve">Also the </w:t>
      </w:r>
      <w:r>
        <w:rPr>
          <w:rFonts w:asciiTheme="majorBidi" w:eastAsia="Baskerville" w:hAnsiTheme="majorBidi" w:cstheme="majorBidi"/>
          <w:b/>
          <w:bCs/>
          <w:i w:val="0"/>
          <w:iCs w:val="0"/>
          <w:color w:val="000000"/>
          <w:spacing w:val="2"/>
          <w:lang w:val="en-GB"/>
        </w:rPr>
        <w:t xml:space="preserve">Barcelona Children’s University Hospital Vall d’Hebron </w:t>
      </w:r>
      <w:r>
        <w:rPr>
          <w:rFonts w:asciiTheme="majorBidi" w:eastAsia="Baskerville" w:hAnsiTheme="majorBidi" w:cstheme="majorBidi"/>
          <w:i w:val="0"/>
          <w:iCs w:val="0"/>
          <w:color w:val="000000"/>
          <w:spacing w:val="2"/>
          <w:lang w:val="en-GB"/>
        </w:rPr>
        <w:t xml:space="preserve">which </w:t>
      </w:r>
      <w:r w:rsidRPr="00C64E15">
        <w:rPr>
          <w:rFonts w:asciiTheme="majorBidi" w:eastAsia="Baskerville" w:hAnsiTheme="majorBidi" w:cstheme="majorBidi"/>
          <w:i w:val="0"/>
          <w:iCs w:val="0"/>
          <w:color w:val="000000"/>
          <w:spacing w:val="2"/>
          <w:lang w:val="en-GB"/>
        </w:rPr>
        <w:t>self</w:t>
      </w:r>
      <w:r>
        <w:rPr>
          <w:rFonts w:asciiTheme="majorBidi" w:eastAsia="Baskerville" w:hAnsiTheme="majorBidi" w:cstheme="majorBidi"/>
          <w:i w:val="0"/>
          <w:iCs w:val="0"/>
          <w:color w:val="000000"/>
          <w:spacing w:val="2"/>
          <w:lang w:val="en-GB"/>
        </w:rPr>
        <w:t xml:space="preserve">-describes its department of </w:t>
      </w:r>
      <w:r w:rsidRPr="00C64E15">
        <w:rPr>
          <w:rFonts w:asciiTheme="majorBidi" w:eastAsia="Baskerville" w:hAnsiTheme="majorBidi" w:cstheme="majorBidi"/>
          <w:b/>
          <w:bCs/>
          <w:color w:val="000000"/>
          <w:spacing w:val="2"/>
          <w:lang w:val="en-GB"/>
        </w:rPr>
        <w:t>“Paediatric Urology”</w:t>
      </w:r>
      <w:r>
        <w:rPr>
          <w:rFonts w:asciiTheme="majorBidi" w:eastAsia="Baskerville" w:hAnsiTheme="majorBidi" w:cstheme="majorBidi"/>
          <w:i w:val="0"/>
          <w:iCs w:val="0"/>
          <w:color w:val="000000"/>
          <w:spacing w:val="2"/>
          <w:lang w:val="en-GB"/>
        </w:rPr>
        <w:t xml:space="preserve"> as </w:t>
      </w:r>
      <w:r>
        <w:rPr>
          <w:rFonts w:asciiTheme="majorBidi" w:eastAsia="Baskerville" w:hAnsiTheme="majorBidi" w:cstheme="majorBidi"/>
          <w:color w:val="000000"/>
          <w:spacing w:val="2"/>
          <w:lang w:val="en-GB"/>
        </w:rPr>
        <w:t xml:space="preserve">“a </w:t>
      </w:r>
      <w:r w:rsidRPr="00C64E15">
        <w:rPr>
          <w:rFonts w:asciiTheme="majorBidi" w:eastAsia="Baskerville" w:hAnsiTheme="majorBidi" w:cstheme="majorBidi"/>
          <w:color w:val="000000"/>
          <w:spacing w:val="2"/>
          <w:lang w:val="en-GB"/>
        </w:rPr>
        <w:t>pioneer in the treatment of sexual differentiation disorders at the paediatric age</w:t>
      </w:r>
      <w:r>
        <w:rPr>
          <w:rFonts w:asciiTheme="majorBidi" w:eastAsia="Baskerville" w:hAnsiTheme="majorBidi" w:cstheme="majorBidi"/>
          <w:color w:val="000000"/>
          <w:spacing w:val="2"/>
          <w:lang w:val="en-GB"/>
        </w:rPr>
        <w:t>”</w:t>
      </w:r>
      <w:r>
        <w:rPr>
          <w:rFonts w:asciiTheme="majorBidi" w:eastAsia="Baskerville" w:hAnsiTheme="majorBidi" w:cstheme="majorBidi"/>
          <w:i w:val="0"/>
          <w:iCs w:val="0"/>
          <w:color w:val="000000"/>
          <w:spacing w:val="2"/>
          <w:lang w:val="en-GB"/>
        </w:rPr>
        <w:t xml:space="preserve">, offers on its homepage </w:t>
      </w:r>
      <w:r w:rsidRPr="00C64E15">
        <w:rPr>
          <w:rFonts w:asciiTheme="majorBidi" w:eastAsia="Baskerville" w:hAnsiTheme="majorBidi" w:cstheme="majorBidi"/>
          <w:b/>
          <w:bCs/>
          <w:color w:val="000000"/>
          <w:spacing w:val="2"/>
          <w:lang w:val="en-GB"/>
        </w:rPr>
        <w:t>“Partial clitoridectomies”</w:t>
      </w:r>
      <w:r w:rsidRPr="00C64E15">
        <w:rPr>
          <w:rFonts w:asciiTheme="majorBidi" w:eastAsia="Baskerville" w:hAnsiTheme="majorBidi" w:cstheme="majorBidi"/>
          <w:i w:val="0"/>
          <w:iCs w:val="0"/>
          <w:color w:val="000000"/>
          <w:spacing w:val="2"/>
          <w:lang w:val="en-GB"/>
        </w:rPr>
        <w:t>,</w:t>
      </w:r>
      <w:r>
        <w:rPr>
          <w:rFonts w:asciiTheme="majorBidi" w:eastAsia="Baskerville" w:hAnsiTheme="majorBidi" w:cstheme="majorBidi"/>
          <w:i w:val="0"/>
          <w:iCs w:val="0"/>
          <w:color w:val="000000"/>
          <w:spacing w:val="2"/>
          <w:lang w:val="en-GB"/>
        </w:rPr>
        <w:t xml:space="preserve"> </w:t>
      </w:r>
      <w:r>
        <w:rPr>
          <w:rFonts w:asciiTheme="majorBidi" w:eastAsia="Baskerville" w:hAnsiTheme="majorBidi" w:cstheme="majorBidi"/>
          <w:color w:val="000000"/>
          <w:spacing w:val="2"/>
          <w:lang w:val="en-GB"/>
        </w:rPr>
        <w:t>“</w:t>
      </w:r>
      <w:r w:rsidRPr="00C64E15">
        <w:rPr>
          <w:rFonts w:asciiTheme="majorBidi" w:eastAsia="Baskerville" w:hAnsiTheme="majorBidi" w:cstheme="majorBidi"/>
          <w:color w:val="000000"/>
          <w:spacing w:val="2"/>
          <w:lang w:val="en-GB"/>
        </w:rPr>
        <w:t xml:space="preserve">Sigmoid </w:t>
      </w:r>
      <w:r w:rsidRPr="00C64E15">
        <w:rPr>
          <w:rFonts w:asciiTheme="majorBidi" w:eastAsia="Baskerville" w:hAnsiTheme="majorBidi" w:cstheme="majorBidi"/>
          <w:b/>
          <w:bCs/>
          <w:color w:val="000000"/>
          <w:spacing w:val="2"/>
          <w:lang w:val="en-GB"/>
        </w:rPr>
        <w:t>vaginoplasty</w:t>
      </w:r>
      <w:r>
        <w:rPr>
          <w:rFonts w:asciiTheme="majorBidi" w:eastAsia="Baskerville" w:hAnsiTheme="majorBidi" w:cstheme="majorBidi"/>
          <w:color w:val="000000"/>
          <w:spacing w:val="2"/>
          <w:lang w:val="en-GB"/>
        </w:rPr>
        <w:t>”</w:t>
      </w:r>
      <w:r>
        <w:rPr>
          <w:rFonts w:asciiTheme="majorBidi" w:eastAsia="Baskerville" w:hAnsiTheme="majorBidi" w:cstheme="majorBidi"/>
          <w:i w:val="0"/>
          <w:iCs w:val="0"/>
          <w:color w:val="000000"/>
          <w:spacing w:val="2"/>
          <w:lang w:val="en-GB"/>
        </w:rPr>
        <w:t xml:space="preserve">, </w:t>
      </w:r>
      <w:r>
        <w:rPr>
          <w:rFonts w:asciiTheme="majorBidi" w:eastAsia="Baskerville" w:hAnsiTheme="majorBidi" w:cstheme="majorBidi"/>
          <w:color w:val="000000"/>
          <w:spacing w:val="2"/>
          <w:lang w:val="en-GB"/>
        </w:rPr>
        <w:t>“</w:t>
      </w:r>
      <w:r w:rsidRPr="00C64E15">
        <w:rPr>
          <w:rFonts w:asciiTheme="majorBidi" w:eastAsia="Baskerville" w:hAnsiTheme="majorBidi" w:cstheme="majorBidi"/>
          <w:color w:val="000000"/>
          <w:spacing w:val="2"/>
          <w:lang w:val="en-GB"/>
        </w:rPr>
        <w:t xml:space="preserve">Perineal and abdominoperineal </w:t>
      </w:r>
      <w:r w:rsidRPr="00C64E15">
        <w:rPr>
          <w:rFonts w:asciiTheme="majorBidi" w:eastAsia="Baskerville" w:hAnsiTheme="majorBidi" w:cstheme="majorBidi"/>
          <w:b/>
          <w:bCs/>
          <w:color w:val="000000"/>
          <w:spacing w:val="2"/>
          <w:lang w:val="en-GB"/>
        </w:rPr>
        <w:t>vulvovaginoplasty</w:t>
      </w:r>
      <w:r>
        <w:rPr>
          <w:rFonts w:asciiTheme="majorBidi" w:eastAsia="Baskerville" w:hAnsiTheme="majorBidi" w:cstheme="majorBidi"/>
          <w:color w:val="000000"/>
          <w:spacing w:val="2"/>
          <w:lang w:val="en-GB"/>
        </w:rPr>
        <w:t xml:space="preserve">” </w:t>
      </w:r>
      <w:r>
        <w:rPr>
          <w:rFonts w:asciiTheme="majorBidi" w:eastAsia="Baskerville" w:hAnsiTheme="majorBidi" w:cstheme="majorBidi"/>
          <w:i w:val="0"/>
          <w:iCs w:val="0"/>
          <w:color w:val="000000"/>
          <w:spacing w:val="2"/>
          <w:lang w:val="en-GB"/>
        </w:rPr>
        <w:t xml:space="preserve">and </w:t>
      </w:r>
      <w:r w:rsidRPr="00C64E15">
        <w:rPr>
          <w:rFonts w:asciiTheme="majorBidi" w:eastAsia="Baskerville" w:hAnsiTheme="majorBidi" w:cstheme="majorBidi"/>
          <w:b/>
          <w:bCs/>
          <w:color w:val="000000"/>
          <w:spacing w:val="2"/>
          <w:lang w:val="en-GB"/>
        </w:rPr>
        <w:t>“Surgical treatment of sexual differentiation anomalies”</w:t>
      </w:r>
      <w:r>
        <w:rPr>
          <w:rFonts w:asciiTheme="majorBidi" w:eastAsia="Baskerville" w:hAnsiTheme="majorBidi" w:cstheme="majorBidi"/>
          <w:i w:val="0"/>
          <w:iCs w:val="0"/>
          <w:color w:val="000000"/>
          <w:spacing w:val="2"/>
          <w:lang w:val="en-GB"/>
        </w:rPr>
        <w:t>.</w:t>
      </w:r>
      <w:r>
        <w:rPr>
          <w:rStyle w:val="Funotenzeichen"/>
          <w:rFonts w:asciiTheme="majorBidi" w:eastAsia="Baskerville" w:hAnsiTheme="majorBidi" w:cstheme="majorBidi"/>
          <w:i w:val="0"/>
          <w:iCs w:val="0"/>
          <w:color w:val="000000"/>
          <w:spacing w:val="2"/>
          <w:lang w:val="en-GB"/>
        </w:rPr>
        <w:footnoteReference w:id="23"/>
      </w:r>
    </w:p>
    <w:p w14:paraId="79FC4742" w14:textId="77777777" w:rsidR="00087C7A" w:rsidRPr="0009169E" w:rsidRDefault="00087C7A" w:rsidP="00087C7A">
      <w:pPr>
        <w:pStyle w:val="Title3"/>
        <w:rPr>
          <w:rFonts w:eastAsia="Baskerville"/>
          <w:color w:val="000000"/>
        </w:rPr>
      </w:pPr>
      <w:bookmarkStart w:id="23" w:name="_Toc11017682"/>
      <w:r w:rsidRPr="0009169E">
        <w:rPr>
          <w:w w:val="99"/>
        </w:rPr>
        <w:t>d) IGM 1 – “Masculinising Surgery”: Hypospadias “Repair”</w:t>
      </w:r>
      <w:r w:rsidRPr="00A23F1D">
        <w:rPr>
          <w:rStyle w:val="Funotenzeichen"/>
          <w:rFonts w:ascii="Times New Roman" w:eastAsia="Baskerville" w:hAnsi="Times New Roman" w:cs="Times New Roman"/>
          <w:b w:val="0"/>
          <w:bCs w:val="0"/>
          <w:iCs w:val="0"/>
          <w:color w:val="000000"/>
        </w:rPr>
        <w:footnoteReference w:id="24"/>
      </w:r>
      <w:bookmarkEnd w:id="23"/>
    </w:p>
    <w:p w14:paraId="5E46AD3B" w14:textId="0F5F0A9E" w:rsidR="00087C7A" w:rsidRPr="0009169E" w:rsidRDefault="00087C7A" w:rsidP="00087C7A">
      <w:pPr>
        <w:pStyle w:val="Text"/>
        <w:autoSpaceDE w:val="0"/>
        <w:spacing w:before="0" w:after="113" w:line="288" w:lineRule="auto"/>
        <w:jc w:val="both"/>
        <w:textAlignment w:val="center"/>
        <w:rPr>
          <w:rFonts w:asciiTheme="majorBidi" w:eastAsia="Baskerville-SemiBoldItalic" w:hAnsiTheme="majorBidi" w:cstheme="majorBidi"/>
          <w:b/>
          <w:bCs/>
          <w:color w:val="000000"/>
          <w:spacing w:val="2"/>
          <w:sz w:val="23"/>
          <w:szCs w:val="23"/>
          <w:lang w:val="en-GB"/>
        </w:rPr>
      </w:pPr>
      <w:r w:rsidRPr="0009169E">
        <w:rPr>
          <w:rFonts w:asciiTheme="majorBidi" w:eastAsia="Baskerville" w:hAnsiTheme="majorBidi" w:cstheme="majorBidi"/>
          <w:i w:val="0"/>
          <w:iCs w:val="0"/>
          <w:color w:val="000000"/>
          <w:spacing w:val="2"/>
          <w:lang w:val="en-GB"/>
        </w:rPr>
        <w:t xml:space="preserve">The </w:t>
      </w:r>
      <w:r w:rsidRPr="0009169E">
        <w:rPr>
          <w:rFonts w:asciiTheme="majorBidi" w:eastAsia="Baskerville-SemiBold" w:hAnsiTheme="majorBidi" w:cstheme="majorBidi"/>
          <w:b/>
          <w:bCs/>
          <w:i w:val="0"/>
          <w:iCs w:val="0"/>
          <w:color w:val="000000"/>
          <w:spacing w:val="2"/>
          <w:lang w:val="en-GB"/>
        </w:rPr>
        <w:t>Madrid University Children’s Hospital La Paz</w:t>
      </w:r>
      <w:r w:rsidRPr="0009169E">
        <w:rPr>
          <w:rFonts w:asciiTheme="majorBidi" w:eastAsia="Baskerville" w:hAnsiTheme="majorBidi" w:cstheme="majorBidi"/>
          <w:i w:val="0"/>
          <w:iCs w:val="0"/>
          <w:color w:val="000000"/>
          <w:spacing w:val="2"/>
          <w:lang w:val="en-GB"/>
        </w:rPr>
        <w:t xml:space="preserve">’s current </w:t>
      </w:r>
      <w:r w:rsidRPr="0009169E">
        <w:rPr>
          <w:rFonts w:asciiTheme="majorBidi" w:eastAsia="Baskerville-SemiBoldItalic" w:hAnsiTheme="majorBidi" w:cstheme="majorBidi"/>
          <w:b/>
          <w:bCs/>
          <w:color w:val="000000"/>
          <w:spacing w:val="2"/>
          <w:lang w:val="en-GB"/>
        </w:rPr>
        <w:t>“Formative Itin</w:t>
      </w:r>
      <w:r w:rsidR="00A54323">
        <w:rPr>
          <w:rFonts w:asciiTheme="majorBidi" w:eastAsia="Baskerville-SemiBoldItalic" w:hAnsiTheme="majorBidi" w:cstheme="majorBidi"/>
          <w:b/>
          <w:bCs/>
          <w:color w:val="000000"/>
          <w:spacing w:val="2"/>
          <w:lang w:val="en-GB"/>
        </w:rPr>
        <w:t>er</w:t>
      </w:r>
      <w:r w:rsidRPr="0009169E">
        <w:rPr>
          <w:rFonts w:asciiTheme="majorBidi" w:eastAsia="Baskerville-SemiBoldItalic" w:hAnsiTheme="majorBidi" w:cstheme="majorBidi"/>
          <w:b/>
          <w:bCs/>
          <w:color w:val="000000"/>
          <w:spacing w:val="2"/>
          <w:lang w:val="en-GB"/>
        </w:rPr>
        <w:t>ary Paediatric Surgery”</w:t>
      </w:r>
      <w:r w:rsidRPr="0009169E">
        <w:rPr>
          <w:rFonts w:asciiTheme="majorBidi" w:eastAsia="Baskerville" w:hAnsiTheme="majorBidi" w:cstheme="majorBidi"/>
          <w:i w:val="0"/>
          <w:iCs w:val="0"/>
          <w:color w:val="000000"/>
          <w:spacing w:val="2"/>
          <w:lang w:val="en-GB"/>
        </w:rPr>
        <w:t xml:space="preserve"> </w:t>
      </w:r>
      <w:r w:rsidRPr="00A23F1D">
        <w:rPr>
          <w:rStyle w:val="Funotenzeichen"/>
          <w:rFonts w:eastAsia="Baskerville" w:cs="Times New Roman"/>
          <w:i w:val="0"/>
          <w:iCs w:val="0"/>
          <w:color w:val="000000"/>
          <w:spacing w:val="2"/>
          <w:lang w:val="en-GB"/>
        </w:rPr>
        <w:footnoteReference w:id="25"/>
      </w:r>
      <w:r w:rsidRPr="0009169E">
        <w:rPr>
          <w:rFonts w:asciiTheme="majorBidi" w:eastAsia="Baskerville" w:hAnsiTheme="majorBidi" w:cstheme="majorBidi"/>
          <w:i w:val="0"/>
          <w:iCs w:val="0"/>
          <w:color w:val="000000"/>
          <w:spacing w:val="2"/>
          <w:lang w:val="en-GB"/>
        </w:rPr>
        <w:t xml:space="preserve"> lists under fields under mandatory procedures of which a trained paediatric surgeon must have </w:t>
      </w:r>
      <w:r w:rsidRPr="0009169E">
        <w:rPr>
          <w:rFonts w:asciiTheme="majorBidi" w:eastAsia="Baskerville-Italic" w:hAnsiTheme="majorBidi" w:cstheme="majorBidi"/>
          <w:color w:val="000000"/>
          <w:spacing w:val="2"/>
          <w:lang w:val="en-GB"/>
        </w:rPr>
        <w:t xml:space="preserve">“at least solid knowledge” </w:t>
      </w:r>
      <w:r w:rsidRPr="0009169E">
        <w:rPr>
          <w:rFonts w:asciiTheme="majorBidi" w:eastAsia="Baskerville" w:hAnsiTheme="majorBidi" w:cstheme="majorBidi"/>
          <w:i w:val="0"/>
          <w:iCs w:val="0"/>
          <w:color w:val="000000"/>
          <w:spacing w:val="2"/>
          <w:lang w:val="en-GB"/>
        </w:rPr>
        <w:t>(p. 9):</w:t>
      </w:r>
    </w:p>
    <w:p w14:paraId="58708CD2" w14:textId="77777777" w:rsidR="00087C7A" w:rsidRPr="0009169E" w:rsidRDefault="00087C7A" w:rsidP="00D3133C">
      <w:pPr>
        <w:pStyle w:val="Text"/>
        <w:autoSpaceDE w:val="0"/>
        <w:spacing w:before="0" w:after="2" w:line="288" w:lineRule="auto"/>
        <w:ind w:left="284" w:right="567"/>
        <w:jc w:val="both"/>
        <w:textAlignment w:val="center"/>
        <w:rPr>
          <w:rFonts w:asciiTheme="majorBidi" w:eastAsia="Baskerville-Italic" w:hAnsiTheme="majorBidi" w:cstheme="majorBidi"/>
          <w:color w:val="000000"/>
          <w:spacing w:val="2"/>
          <w:sz w:val="23"/>
          <w:szCs w:val="23"/>
          <w:lang w:val="en-GB"/>
        </w:rPr>
      </w:pPr>
      <w:r w:rsidRPr="0009169E">
        <w:rPr>
          <w:rFonts w:asciiTheme="majorBidi" w:eastAsia="Baskerville-SemiBoldItalic" w:hAnsiTheme="majorBidi" w:cstheme="majorBidi"/>
          <w:b/>
          <w:bCs/>
          <w:color w:val="000000"/>
          <w:spacing w:val="2"/>
          <w:sz w:val="23"/>
          <w:szCs w:val="23"/>
          <w:lang w:val="en-GB"/>
        </w:rPr>
        <w:t>GENITAL PATHOLOGY</w:t>
      </w:r>
    </w:p>
    <w:p w14:paraId="70D72CB4" w14:textId="77777777" w:rsidR="00087C7A" w:rsidRPr="0009169E" w:rsidRDefault="00087C7A" w:rsidP="00D3133C">
      <w:pPr>
        <w:pStyle w:val="Text"/>
        <w:autoSpaceDE w:val="0"/>
        <w:spacing w:before="0" w:after="2" w:line="288" w:lineRule="auto"/>
        <w:ind w:left="284" w:right="567"/>
        <w:jc w:val="both"/>
        <w:textAlignment w:val="center"/>
        <w:rPr>
          <w:rFonts w:asciiTheme="majorBidi" w:eastAsia="Baskerville-Italic" w:hAnsiTheme="majorBidi" w:cstheme="majorBidi"/>
          <w:color w:val="000000"/>
          <w:spacing w:val="2"/>
          <w:sz w:val="23"/>
          <w:szCs w:val="23"/>
          <w:lang w:val="en-GB"/>
        </w:rPr>
      </w:pPr>
      <w:r w:rsidRPr="00187950">
        <w:rPr>
          <w:rFonts w:asciiTheme="majorBidi" w:eastAsia="Baskerville-Italic" w:hAnsiTheme="majorBidi" w:cstheme="majorBidi"/>
          <w:color w:val="000000"/>
          <w:spacing w:val="2"/>
          <w:sz w:val="23"/>
          <w:szCs w:val="23"/>
          <w:lang w:val="fr-CH"/>
        </w:rPr>
        <w:t xml:space="preserve">73. Testicular descent abnormalities. Cryptorchidism. Ectopies. </w:t>
      </w:r>
      <w:r w:rsidRPr="0009169E">
        <w:rPr>
          <w:rFonts w:asciiTheme="majorBidi" w:eastAsia="Baskerville-Italic" w:hAnsiTheme="majorBidi" w:cstheme="majorBidi"/>
          <w:color w:val="000000"/>
          <w:spacing w:val="2"/>
          <w:sz w:val="23"/>
          <w:szCs w:val="23"/>
          <w:lang w:val="en-GB"/>
        </w:rPr>
        <w:t>Testicular retention.</w:t>
      </w:r>
    </w:p>
    <w:p w14:paraId="09DADC1F" w14:textId="77777777" w:rsidR="00087C7A" w:rsidRPr="0009169E" w:rsidRDefault="00087C7A" w:rsidP="00D3133C">
      <w:pPr>
        <w:pStyle w:val="Text"/>
        <w:autoSpaceDE w:val="0"/>
        <w:spacing w:before="0" w:after="2" w:line="288" w:lineRule="auto"/>
        <w:ind w:left="284" w:right="567"/>
        <w:jc w:val="both"/>
        <w:textAlignment w:val="center"/>
        <w:rPr>
          <w:rFonts w:asciiTheme="majorBidi" w:eastAsia="Baskerville-SemiBoldItalic" w:hAnsiTheme="majorBidi" w:cstheme="majorBidi"/>
          <w:b/>
          <w:bCs/>
          <w:color w:val="000000"/>
          <w:spacing w:val="2"/>
          <w:sz w:val="23"/>
          <w:szCs w:val="23"/>
          <w:lang w:val="en-GB"/>
        </w:rPr>
      </w:pPr>
      <w:r w:rsidRPr="0009169E">
        <w:rPr>
          <w:rFonts w:asciiTheme="majorBidi" w:eastAsia="Baskerville-Italic" w:hAnsiTheme="majorBidi" w:cstheme="majorBidi"/>
          <w:color w:val="000000"/>
          <w:spacing w:val="2"/>
          <w:sz w:val="23"/>
          <w:szCs w:val="23"/>
          <w:lang w:val="en-GB"/>
        </w:rPr>
        <w:t>74. Acute scrotum. Testicular torsion and hydatid torsion. Orchitis and epididymitis. Ovarian torsion. Ovarian cysts.</w:t>
      </w:r>
    </w:p>
    <w:p w14:paraId="2C3B45F0" w14:textId="77777777" w:rsidR="00087C7A" w:rsidRPr="0009169E" w:rsidRDefault="00087C7A" w:rsidP="00D3133C">
      <w:pPr>
        <w:pStyle w:val="Text"/>
        <w:autoSpaceDE w:val="0"/>
        <w:spacing w:before="0" w:after="2" w:line="288" w:lineRule="auto"/>
        <w:ind w:left="284" w:right="567"/>
        <w:jc w:val="both"/>
        <w:textAlignment w:val="center"/>
        <w:rPr>
          <w:rFonts w:asciiTheme="majorBidi" w:eastAsia="Baskerville-SemiBoldItalic" w:hAnsiTheme="majorBidi" w:cstheme="majorBidi"/>
          <w:b/>
          <w:bCs/>
          <w:color w:val="000000"/>
          <w:spacing w:val="2"/>
          <w:sz w:val="23"/>
          <w:szCs w:val="23"/>
          <w:lang w:val="en-GB"/>
        </w:rPr>
      </w:pPr>
      <w:r w:rsidRPr="0009169E">
        <w:rPr>
          <w:rFonts w:asciiTheme="majorBidi" w:eastAsia="Baskerville-SemiBoldItalic" w:hAnsiTheme="majorBidi" w:cstheme="majorBidi"/>
          <w:b/>
          <w:bCs/>
          <w:color w:val="000000"/>
          <w:spacing w:val="2"/>
          <w:sz w:val="23"/>
          <w:szCs w:val="23"/>
          <w:lang w:val="en-GB"/>
        </w:rPr>
        <w:t>75. Intersex states.</w:t>
      </w:r>
    </w:p>
    <w:p w14:paraId="78F6D642" w14:textId="77777777" w:rsidR="00087C7A" w:rsidRPr="0009169E" w:rsidRDefault="00087C7A" w:rsidP="00D3133C">
      <w:pPr>
        <w:pStyle w:val="Text"/>
        <w:autoSpaceDE w:val="0"/>
        <w:spacing w:before="0" w:after="2" w:line="288" w:lineRule="auto"/>
        <w:ind w:left="284" w:right="567"/>
        <w:jc w:val="both"/>
        <w:textAlignment w:val="center"/>
        <w:rPr>
          <w:rFonts w:asciiTheme="majorBidi" w:eastAsia="Baskerville-Italic" w:hAnsiTheme="majorBidi" w:cstheme="majorBidi"/>
          <w:color w:val="000000"/>
          <w:spacing w:val="2"/>
          <w:sz w:val="23"/>
          <w:szCs w:val="23"/>
          <w:lang w:val="en-GB"/>
        </w:rPr>
      </w:pPr>
      <w:r w:rsidRPr="0009169E">
        <w:rPr>
          <w:rFonts w:asciiTheme="majorBidi" w:eastAsia="Baskerville-SemiBoldItalic" w:hAnsiTheme="majorBidi" w:cstheme="majorBidi"/>
          <w:b/>
          <w:bCs/>
          <w:color w:val="000000"/>
          <w:spacing w:val="2"/>
          <w:sz w:val="23"/>
          <w:szCs w:val="23"/>
          <w:lang w:val="en-GB"/>
        </w:rPr>
        <w:t>76. Hypospadias</w:t>
      </w:r>
      <w:r w:rsidRPr="0009169E">
        <w:rPr>
          <w:rFonts w:asciiTheme="majorBidi" w:eastAsia="Baskerville-Italic" w:hAnsiTheme="majorBidi" w:cstheme="majorBidi"/>
          <w:color w:val="000000"/>
          <w:spacing w:val="2"/>
          <w:sz w:val="23"/>
          <w:szCs w:val="23"/>
          <w:lang w:val="en-GB"/>
        </w:rPr>
        <w:t xml:space="preserve"> and epispadias.</w:t>
      </w:r>
    </w:p>
    <w:p w14:paraId="3086AC85" w14:textId="77777777" w:rsidR="00087C7A" w:rsidRPr="0009169E" w:rsidRDefault="00087C7A" w:rsidP="00D3133C">
      <w:pPr>
        <w:pStyle w:val="Text"/>
        <w:autoSpaceDE w:val="0"/>
        <w:spacing w:before="0" w:after="60" w:line="288" w:lineRule="auto"/>
        <w:ind w:left="284" w:right="567"/>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Italic" w:hAnsiTheme="majorBidi" w:cstheme="majorBidi"/>
          <w:color w:val="000000"/>
          <w:spacing w:val="2"/>
          <w:sz w:val="23"/>
          <w:szCs w:val="23"/>
          <w:lang w:val="en-GB"/>
        </w:rPr>
        <w:t>77. Female external genital abnormalities. Vaginal agenesis and duplication. Hydro and hematocolps. Fused Labia.</w:t>
      </w:r>
    </w:p>
    <w:p w14:paraId="39953E9D" w14:textId="2B187706" w:rsidR="00087C7A" w:rsidRDefault="00087C7A" w:rsidP="00087C7A">
      <w:pPr>
        <w:pStyle w:val="Text"/>
        <w:autoSpaceDE w:val="0"/>
        <w:spacing w:before="0" w:after="113" w:line="288" w:lineRule="auto"/>
        <w:jc w:val="both"/>
        <w:textAlignment w:val="center"/>
        <w:rPr>
          <w:rFonts w:asciiTheme="majorBidi" w:eastAsia="Baskerville" w:hAnsiTheme="majorBidi" w:cstheme="majorBidi"/>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Madrid University Children’s Hospital La Paz</w:t>
      </w:r>
      <w:r w:rsidRPr="0009169E">
        <w:rPr>
          <w:rFonts w:asciiTheme="majorBidi" w:eastAsia="Baskerville" w:hAnsiTheme="majorBidi" w:cstheme="majorBidi"/>
          <w:i w:val="0"/>
          <w:iCs w:val="0"/>
          <w:color w:val="000000"/>
          <w:spacing w:val="2"/>
          <w:lang w:val="en-GB"/>
        </w:rPr>
        <w:t>’s Chief of</w:t>
      </w:r>
      <w:r w:rsidR="004D1E1D">
        <w:rPr>
          <w:rFonts w:asciiTheme="majorBidi" w:eastAsia="Baskerville" w:hAnsiTheme="majorBidi" w:cstheme="majorBidi"/>
          <w:i w:val="0"/>
          <w:iCs w:val="0"/>
          <w:color w:val="000000"/>
          <w:spacing w:val="2"/>
          <w:lang w:val="en-GB"/>
        </w:rPr>
        <w:t xml:space="preserve"> Paediatric Urology Section, Dr</w:t>
      </w:r>
      <w:r w:rsidRPr="0009169E">
        <w:rPr>
          <w:rFonts w:asciiTheme="majorBidi" w:eastAsia="Baskerville" w:hAnsiTheme="majorBidi" w:cstheme="majorBidi"/>
          <w:i w:val="0"/>
          <w:iCs w:val="0"/>
          <w:color w:val="000000"/>
          <w:spacing w:val="2"/>
          <w:lang w:val="en-GB"/>
        </w:rPr>
        <w:t xml:space="preserve"> Pedro López Pereira, is also a board member of the </w:t>
      </w:r>
      <w:r w:rsidRPr="0009169E">
        <w:rPr>
          <w:rFonts w:asciiTheme="majorBidi" w:eastAsia="Baskerville-SemiBold" w:hAnsiTheme="majorBidi" w:cstheme="majorBidi"/>
          <w:b/>
          <w:bCs/>
          <w:i w:val="0"/>
          <w:iCs w:val="0"/>
          <w:color w:val="000000"/>
          <w:spacing w:val="2"/>
          <w:lang w:val="en-GB"/>
        </w:rPr>
        <w:t>European Society for Paediatric Urology (ESPU)</w:t>
      </w:r>
      <w:r w:rsidRPr="0009169E">
        <w:rPr>
          <w:rFonts w:asciiTheme="majorBidi" w:eastAsia="Baskerville" w:hAnsiTheme="majorBidi" w:cstheme="majorBidi"/>
          <w:i w:val="0"/>
          <w:iCs w:val="0"/>
          <w:color w:val="000000"/>
          <w:spacing w:val="2"/>
          <w:lang w:val="en-GB"/>
        </w:rPr>
        <w:t xml:space="preserve">, whose current </w:t>
      </w:r>
      <w:r w:rsidRPr="0009169E">
        <w:rPr>
          <w:rFonts w:asciiTheme="majorBidi" w:eastAsia="Baskerville-SemiBold" w:hAnsiTheme="majorBidi" w:cstheme="majorBidi"/>
          <w:b/>
          <w:bCs/>
          <w:i w:val="0"/>
          <w:iCs w:val="0"/>
          <w:color w:val="000000"/>
          <w:spacing w:val="2"/>
          <w:lang w:val="en-GB"/>
        </w:rPr>
        <w:t xml:space="preserve">2017 Guidelines </w:t>
      </w:r>
      <w:r w:rsidRPr="0009169E">
        <w:rPr>
          <w:rFonts w:asciiTheme="majorBidi" w:eastAsia="Baskerville-SemiBoldItalic" w:hAnsiTheme="majorBidi" w:cstheme="majorBidi"/>
          <w:b/>
          <w:bCs/>
          <w:color w:val="000000"/>
          <w:spacing w:val="2"/>
          <w:lang w:val="en-GB"/>
        </w:rPr>
        <w:t xml:space="preserve">“Paediatric Urology” </w:t>
      </w:r>
      <w:r w:rsidRPr="0009169E">
        <w:rPr>
          <w:rFonts w:asciiTheme="majorBidi" w:eastAsia="Baskerville" w:hAnsiTheme="majorBidi" w:cstheme="majorBidi"/>
          <w:i w:val="0"/>
          <w:iCs w:val="0"/>
          <w:color w:val="000000"/>
          <w:spacing w:val="2"/>
          <w:lang w:val="en-GB"/>
        </w:rPr>
        <w:t xml:space="preserve">promote </w:t>
      </w:r>
      <w:r w:rsidRPr="0009169E">
        <w:rPr>
          <w:rFonts w:asciiTheme="majorBidi" w:eastAsia="Baskerville-Italic" w:hAnsiTheme="majorBidi" w:cstheme="majorBidi"/>
          <w:color w:val="000000"/>
          <w:spacing w:val="2"/>
          <w:lang w:val="en-GB"/>
        </w:rPr>
        <w:t>“cosmetic indications”</w:t>
      </w:r>
      <w:r w:rsidRPr="0009169E">
        <w:rPr>
          <w:rFonts w:asciiTheme="majorBidi" w:eastAsia="Baskerville" w:hAnsiTheme="majorBidi" w:cstheme="majorBidi"/>
          <w:i w:val="0"/>
          <w:iCs w:val="0"/>
          <w:color w:val="000000"/>
          <w:spacing w:val="2"/>
          <w:lang w:val="en-GB"/>
        </w:rPr>
        <w:t xml:space="preserve"> as justification for early surgeries: </w:t>
      </w:r>
      <w:r w:rsidRPr="0009169E">
        <w:rPr>
          <w:rFonts w:asciiTheme="majorBidi" w:eastAsia="Baskerville-SemiBoldItalic" w:hAnsiTheme="majorBidi" w:cstheme="majorBidi"/>
          <w:b/>
          <w:bCs/>
          <w:color w:val="000000"/>
          <w:spacing w:val="2"/>
          <w:lang w:val="en-GB"/>
        </w:rPr>
        <w:t xml:space="preserve">“The age at surgery for primary hypospadias repair is usually </w:t>
      </w:r>
      <w:r w:rsidR="00E05F82">
        <w:rPr>
          <w:rFonts w:asciiTheme="majorBidi" w:eastAsia="Baskerville-SemiBoldItalic" w:hAnsiTheme="majorBidi" w:cstheme="majorBidi"/>
          <w:b/>
          <w:bCs/>
          <w:color w:val="000000"/>
          <w:spacing w:val="2"/>
          <w:lang w:val="en-GB"/>
        </w:rPr>
        <w:br/>
      </w:r>
      <w:r w:rsidRPr="0009169E">
        <w:rPr>
          <w:rFonts w:asciiTheme="majorBidi" w:eastAsia="Baskerville-SemiBoldItalic" w:hAnsiTheme="majorBidi" w:cstheme="majorBidi"/>
          <w:b/>
          <w:bCs/>
          <w:color w:val="000000"/>
          <w:spacing w:val="2"/>
          <w:lang w:val="en-GB"/>
        </w:rPr>
        <w:t>6</w:t>
      </w:r>
      <w:r w:rsidR="00E05F82">
        <w:rPr>
          <w:rFonts w:asciiTheme="majorBidi" w:eastAsia="Baskerville-SemiBoldItalic" w:hAnsiTheme="majorBidi" w:cstheme="majorBidi"/>
          <w:b/>
          <w:bCs/>
          <w:color w:val="000000"/>
          <w:spacing w:val="2"/>
          <w:lang w:val="en-GB"/>
        </w:rPr>
        <w:t>-</w:t>
      </w:r>
      <w:r w:rsidRPr="0009169E">
        <w:rPr>
          <w:rFonts w:asciiTheme="majorBidi" w:eastAsia="Baskerville-SemiBoldItalic" w:hAnsiTheme="majorBidi" w:cstheme="majorBidi"/>
          <w:b/>
          <w:bCs/>
          <w:color w:val="000000"/>
          <w:spacing w:val="2"/>
          <w:lang w:val="en-GB"/>
        </w:rPr>
        <w:t>18 (24) months.”</w:t>
      </w:r>
      <w:r w:rsidRPr="0009169E">
        <w:rPr>
          <w:rFonts w:asciiTheme="majorBidi" w:eastAsia="Baskerville" w:hAnsiTheme="majorBidi" w:cstheme="majorBidi"/>
          <w:i w:val="0"/>
          <w:iCs w:val="0"/>
          <w:color w:val="000000"/>
          <w:spacing w:val="2"/>
          <w:lang w:val="en-GB"/>
        </w:rPr>
        <w:t xml:space="preserve"> </w:t>
      </w:r>
      <w:r w:rsidRPr="00A23F1D">
        <w:rPr>
          <w:rStyle w:val="Funotenzeichen"/>
          <w:rFonts w:eastAsia="Baskerville" w:cs="Times New Roman"/>
          <w:i w:val="0"/>
          <w:iCs w:val="0"/>
          <w:color w:val="000000"/>
          <w:spacing w:val="2"/>
          <w:lang w:val="en-GB"/>
        </w:rPr>
        <w:footnoteReference w:id="26"/>
      </w:r>
      <w:r w:rsidRPr="0009169E">
        <w:rPr>
          <w:rFonts w:asciiTheme="majorBidi" w:eastAsia="Baskerville" w:hAnsiTheme="majorBidi" w:cstheme="majorBidi"/>
          <w:i w:val="0"/>
          <w:iCs w:val="0"/>
          <w:color w:val="000000"/>
          <w:spacing w:val="2"/>
          <w:lang w:val="en-GB"/>
        </w:rPr>
        <w:t xml:space="preserve"> </w:t>
      </w:r>
    </w:p>
    <w:p w14:paraId="48F6A692" w14:textId="3FC1EC37" w:rsidR="00C64E15" w:rsidRDefault="00C64E15" w:rsidP="00087C7A">
      <w:pPr>
        <w:pStyle w:val="Text"/>
        <w:autoSpaceDE w:val="0"/>
        <w:spacing w:before="0" w:after="113" w:line="288" w:lineRule="auto"/>
        <w:jc w:val="both"/>
        <w:textAlignment w:val="center"/>
        <w:rPr>
          <w:rFonts w:asciiTheme="majorBidi" w:eastAsia="Baskerville" w:hAnsiTheme="majorBidi" w:cstheme="majorBidi"/>
          <w:i w:val="0"/>
          <w:iCs w:val="0"/>
          <w:color w:val="000000"/>
          <w:spacing w:val="2"/>
          <w:lang w:val="en-GB"/>
        </w:rPr>
      </w:pPr>
      <w:r>
        <w:rPr>
          <w:rFonts w:asciiTheme="majorBidi" w:eastAsia="Baskerville" w:hAnsiTheme="majorBidi" w:cstheme="majorBidi"/>
          <w:i w:val="0"/>
          <w:iCs w:val="0"/>
          <w:color w:val="000000"/>
          <w:spacing w:val="2"/>
          <w:lang w:val="en-GB"/>
        </w:rPr>
        <w:t xml:space="preserve">The </w:t>
      </w:r>
      <w:r>
        <w:rPr>
          <w:rFonts w:asciiTheme="majorBidi" w:eastAsia="Baskerville" w:hAnsiTheme="majorBidi" w:cstheme="majorBidi"/>
          <w:b/>
          <w:bCs/>
          <w:i w:val="0"/>
          <w:iCs w:val="0"/>
          <w:color w:val="000000"/>
          <w:spacing w:val="2"/>
          <w:lang w:val="en-GB"/>
        </w:rPr>
        <w:t xml:space="preserve">Barcelona Children’s University Hospital Vall d’Hebron </w:t>
      </w:r>
      <w:r>
        <w:rPr>
          <w:rFonts w:asciiTheme="majorBidi" w:eastAsia="Baskerville" w:hAnsiTheme="majorBidi" w:cstheme="majorBidi"/>
          <w:i w:val="0"/>
          <w:iCs w:val="0"/>
          <w:color w:val="000000"/>
          <w:spacing w:val="2"/>
          <w:lang w:val="en-GB"/>
        </w:rPr>
        <w:t xml:space="preserve">self-describes its department of </w:t>
      </w:r>
      <w:r w:rsidRPr="00C64E15">
        <w:rPr>
          <w:rFonts w:asciiTheme="majorBidi" w:eastAsia="Baskerville" w:hAnsiTheme="majorBidi" w:cstheme="majorBidi"/>
          <w:b/>
          <w:bCs/>
          <w:color w:val="000000"/>
          <w:spacing w:val="2"/>
          <w:lang w:val="en-GB"/>
        </w:rPr>
        <w:t>“Paediatric Urology”</w:t>
      </w:r>
      <w:r>
        <w:rPr>
          <w:rFonts w:asciiTheme="majorBidi" w:eastAsia="Baskerville" w:hAnsiTheme="majorBidi" w:cstheme="majorBidi"/>
          <w:i w:val="0"/>
          <w:iCs w:val="0"/>
          <w:color w:val="000000"/>
          <w:spacing w:val="2"/>
          <w:lang w:val="en-GB"/>
        </w:rPr>
        <w:t xml:space="preserve"> as </w:t>
      </w:r>
      <w:r>
        <w:rPr>
          <w:rFonts w:asciiTheme="majorBidi" w:eastAsia="Baskerville" w:hAnsiTheme="majorBidi" w:cstheme="majorBidi"/>
          <w:color w:val="000000"/>
          <w:spacing w:val="2"/>
          <w:lang w:val="en-GB"/>
        </w:rPr>
        <w:t xml:space="preserve">“a </w:t>
      </w:r>
      <w:r w:rsidRPr="00C64E15">
        <w:rPr>
          <w:rFonts w:asciiTheme="majorBidi" w:eastAsia="Baskerville" w:hAnsiTheme="majorBidi" w:cstheme="majorBidi"/>
          <w:color w:val="000000"/>
          <w:spacing w:val="2"/>
          <w:lang w:val="en-GB"/>
        </w:rPr>
        <w:t>pioneer in the treatment of sexual differentiation disorders at the paediatric age</w:t>
      </w:r>
      <w:r>
        <w:rPr>
          <w:rFonts w:asciiTheme="majorBidi" w:eastAsia="Baskerville" w:hAnsiTheme="majorBidi" w:cstheme="majorBidi"/>
          <w:color w:val="000000"/>
          <w:spacing w:val="2"/>
          <w:lang w:val="en-GB"/>
        </w:rPr>
        <w:t>”</w:t>
      </w:r>
      <w:r>
        <w:rPr>
          <w:rFonts w:asciiTheme="majorBidi" w:eastAsia="Baskerville" w:hAnsiTheme="majorBidi" w:cstheme="majorBidi"/>
          <w:i w:val="0"/>
          <w:iCs w:val="0"/>
          <w:color w:val="000000"/>
          <w:spacing w:val="2"/>
          <w:lang w:val="en-GB"/>
        </w:rPr>
        <w:t xml:space="preserve">, and offers on its homepage </w:t>
      </w:r>
      <w:r w:rsidRPr="00C64E15">
        <w:rPr>
          <w:rFonts w:asciiTheme="majorBidi" w:eastAsia="Baskerville" w:hAnsiTheme="majorBidi" w:cstheme="majorBidi"/>
          <w:b/>
          <w:bCs/>
          <w:color w:val="000000"/>
          <w:spacing w:val="2"/>
          <w:lang w:val="en-GB"/>
        </w:rPr>
        <w:t>“Hipospadias correction techniques:</w:t>
      </w:r>
      <w:r w:rsidRPr="00C64E15">
        <w:rPr>
          <w:rFonts w:asciiTheme="majorBidi" w:eastAsia="Baskerville" w:hAnsiTheme="majorBidi" w:cstheme="majorBidi"/>
          <w:color w:val="000000"/>
          <w:spacing w:val="2"/>
          <w:lang w:val="en-GB"/>
        </w:rPr>
        <w:t xml:space="preserve"> Mathieu, Snodgrass, Onlai, Duckett, oral or bladder mucous in interscrotals. Meatotomy. Nesbitt technique</w:t>
      </w:r>
      <w:r>
        <w:rPr>
          <w:rFonts w:asciiTheme="majorBidi" w:eastAsia="Baskerville" w:hAnsiTheme="majorBidi" w:cstheme="majorBidi"/>
          <w:color w:val="000000"/>
          <w:spacing w:val="2"/>
          <w:lang w:val="en-GB"/>
        </w:rPr>
        <w:t xml:space="preserve">” </w:t>
      </w:r>
      <w:r>
        <w:rPr>
          <w:rFonts w:asciiTheme="majorBidi" w:eastAsia="Baskerville" w:hAnsiTheme="majorBidi" w:cstheme="majorBidi"/>
          <w:i w:val="0"/>
          <w:iCs w:val="0"/>
          <w:color w:val="000000"/>
          <w:spacing w:val="2"/>
          <w:lang w:val="en-GB"/>
        </w:rPr>
        <w:t xml:space="preserve">and </w:t>
      </w:r>
      <w:r w:rsidRPr="00C64E15">
        <w:rPr>
          <w:rFonts w:asciiTheme="majorBidi" w:eastAsia="Baskerville" w:hAnsiTheme="majorBidi" w:cstheme="majorBidi"/>
          <w:b/>
          <w:bCs/>
          <w:color w:val="000000"/>
          <w:spacing w:val="2"/>
          <w:lang w:val="en-GB"/>
        </w:rPr>
        <w:t>“Surgical treatment of sexual differentiation anomalies”</w:t>
      </w:r>
      <w:r>
        <w:rPr>
          <w:rFonts w:asciiTheme="majorBidi" w:eastAsia="Baskerville" w:hAnsiTheme="majorBidi" w:cstheme="majorBidi"/>
          <w:i w:val="0"/>
          <w:iCs w:val="0"/>
          <w:color w:val="000000"/>
          <w:spacing w:val="2"/>
          <w:lang w:val="en-GB"/>
        </w:rPr>
        <w:t>.</w:t>
      </w:r>
      <w:r>
        <w:rPr>
          <w:rStyle w:val="Funotenzeichen"/>
          <w:rFonts w:asciiTheme="majorBidi" w:eastAsia="Baskerville" w:hAnsiTheme="majorBidi" w:cstheme="majorBidi"/>
          <w:i w:val="0"/>
          <w:iCs w:val="0"/>
          <w:color w:val="000000"/>
          <w:spacing w:val="2"/>
          <w:lang w:val="en-GB"/>
        </w:rPr>
        <w:footnoteReference w:id="27"/>
      </w:r>
    </w:p>
    <w:p w14:paraId="2D8FCDC6" w14:textId="77E3D650" w:rsidR="00087C7A" w:rsidRPr="0009169E" w:rsidRDefault="00087C7A" w:rsidP="00087C7A">
      <w:pPr>
        <w:pStyle w:val="Text"/>
        <w:autoSpaceDE w:val="0"/>
        <w:spacing w:before="0" w:after="113" w:line="288" w:lineRule="auto"/>
        <w:jc w:val="both"/>
        <w:textAlignment w:val="center"/>
        <w:rPr>
          <w:rFonts w:asciiTheme="majorBidi" w:eastAsia="Baskerville" w:hAnsiTheme="majorBidi" w:cstheme="majorBidi"/>
          <w:i w:val="0"/>
          <w:iCs w:val="0"/>
          <w:color w:val="000000"/>
          <w:spacing w:val="2"/>
          <w:lang w:val="en-GB"/>
        </w:rPr>
      </w:pPr>
      <w:r w:rsidRPr="0009169E">
        <w:rPr>
          <w:rFonts w:asciiTheme="majorBidi" w:eastAsia="Baskerville" w:hAnsiTheme="majorBidi" w:cstheme="majorBidi"/>
          <w:i w:val="0"/>
          <w:iCs w:val="0"/>
          <w:color w:val="000000"/>
          <w:spacing w:val="2"/>
          <w:lang w:val="en-GB"/>
        </w:rPr>
        <w:t xml:space="preserve">The </w:t>
      </w:r>
      <w:r w:rsidRPr="0009169E">
        <w:rPr>
          <w:rFonts w:asciiTheme="majorBidi" w:eastAsia="Baskerville-SemiBold" w:hAnsiTheme="majorBidi" w:cstheme="majorBidi"/>
          <w:b/>
          <w:bCs/>
          <w:i w:val="0"/>
          <w:iCs w:val="0"/>
          <w:color w:val="000000"/>
          <w:spacing w:val="2"/>
          <w:lang w:val="en-GB"/>
        </w:rPr>
        <w:t>2017 ESPU Annual Meeting</w:t>
      </w:r>
      <w:r w:rsidRPr="0009169E">
        <w:rPr>
          <w:rFonts w:asciiTheme="majorBidi" w:eastAsia="Baskerville" w:hAnsiTheme="majorBidi" w:cstheme="majorBidi"/>
          <w:i w:val="0"/>
          <w:iCs w:val="0"/>
          <w:color w:val="000000"/>
          <w:spacing w:val="2"/>
          <w:lang w:val="en-GB"/>
        </w:rPr>
        <w:t xml:space="preserve"> </w:t>
      </w:r>
      <w:r w:rsidR="008B6013">
        <w:rPr>
          <w:rFonts w:asciiTheme="majorBidi" w:eastAsia="Baskerville" w:hAnsiTheme="majorBidi" w:cstheme="majorBidi"/>
          <w:i w:val="0"/>
          <w:iCs w:val="0"/>
          <w:color w:val="000000"/>
          <w:spacing w:val="2"/>
          <w:lang w:val="en-GB"/>
        </w:rPr>
        <w:t>(28</w:t>
      </w:r>
      <w:r w:rsidR="008B6013" w:rsidRPr="008B6013">
        <w:rPr>
          <w:rFonts w:asciiTheme="majorBidi" w:eastAsia="Baskerville" w:hAnsiTheme="majorBidi" w:cstheme="majorBidi"/>
          <w:i w:val="0"/>
          <w:iCs w:val="0"/>
          <w:color w:val="000000"/>
          <w:spacing w:val="2"/>
          <w:vertAlign w:val="superscript"/>
          <w:lang w:val="en-GB"/>
        </w:rPr>
        <w:t>th</w:t>
      </w:r>
      <w:r w:rsidR="008B6013">
        <w:rPr>
          <w:rFonts w:asciiTheme="majorBidi" w:eastAsia="Baskerville" w:hAnsiTheme="majorBidi" w:cstheme="majorBidi"/>
          <w:i w:val="0"/>
          <w:iCs w:val="0"/>
          <w:color w:val="000000"/>
          <w:spacing w:val="2"/>
          <w:lang w:val="en-GB"/>
        </w:rPr>
        <w:t xml:space="preserve"> Congress of the European Society of Paediatric Urology) </w:t>
      </w:r>
      <w:r w:rsidRPr="0009169E">
        <w:rPr>
          <w:rFonts w:asciiTheme="majorBidi" w:eastAsia="Baskerville" w:hAnsiTheme="majorBidi" w:cstheme="majorBidi"/>
          <w:i w:val="0"/>
          <w:iCs w:val="0"/>
          <w:color w:val="000000"/>
          <w:spacing w:val="2"/>
          <w:lang w:val="en-GB"/>
        </w:rPr>
        <w:t xml:space="preserve">was held in </w:t>
      </w:r>
      <w:r w:rsidRPr="0009169E">
        <w:rPr>
          <w:rFonts w:asciiTheme="majorBidi" w:eastAsia="Baskerville-SemiBold" w:hAnsiTheme="majorBidi" w:cstheme="majorBidi"/>
          <w:b/>
          <w:bCs/>
          <w:i w:val="0"/>
          <w:iCs w:val="0"/>
          <w:color w:val="000000"/>
          <w:spacing w:val="2"/>
          <w:lang w:val="en-GB"/>
        </w:rPr>
        <w:t>Barcelona</w:t>
      </w:r>
      <w:r w:rsidRPr="0009169E">
        <w:rPr>
          <w:rFonts w:asciiTheme="majorBidi" w:eastAsia="Baskerville" w:hAnsiTheme="majorBidi" w:cstheme="majorBidi"/>
          <w:i w:val="0"/>
          <w:iCs w:val="0"/>
          <w:color w:val="000000"/>
          <w:spacing w:val="2"/>
          <w:lang w:val="en-GB"/>
        </w:rPr>
        <w:t xml:space="preserve">, where multiple presentations promoted IGM practices, for example in a presentation by 8 paediatric surgeons from the </w:t>
      </w:r>
      <w:r w:rsidRPr="0009169E">
        <w:rPr>
          <w:rFonts w:asciiTheme="majorBidi" w:eastAsia="Baskerville-SemiBold" w:hAnsiTheme="majorBidi" w:cstheme="majorBidi"/>
          <w:b/>
          <w:bCs/>
          <w:i w:val="0"/>
          <w:iCs w:val="0"/>
          <w:color w:val="000000"/>
          <w:spacing w:val="2"/>
          <w:lang w:val="en-GB"/>
        </w:rPr>
        <w:t>Madrid University Children’s Hospital La Paz</w:t>
      </w:r>
      <w:r w:rsidRPr="0009169E">
        <w:rPr>
          <w:rFonts w:asciiTheme="majorBidi" w:eastAsia="Baskerville" w:hAnsiTheme="majorBidi" w:cstheme="majorBidi"/>
          <w:i w:val="0"/>
          <w:iCs w:val="0"/>
          <w:color w:val="000000"/>
          <w:spacing w:val="2"/>
          <w:lang w:val="en-GB"/>
        </w:rPr>
        <w:t xml:space="preserve"> reporting </w:t>
      </w:r>
      <w:r w:rsidRPr="0009169E">
        <w:rPr>
          <w:rFonts w:asciiTheme="majorBidi" w:eastAsia="Baskerville-SemiBoldItalic" w:hAnsiTheme="majorBidi" w:cstheme="majorBidi"/>
          <w:b/>
          <w:bCs/>
          <w:color w:val="000000"/>
          <w:spacing w:val="2"/>
          <w:lang w:val="en-GB"/>
        </w:rPr>
        <w:t>“60 patients”</w:t>
      </w:r>
      <w:r w:rsidRPr="0009169E">
        <w:rPr>
          <w:rFonts w:asciiTheme="majorBidi" w:eastAsia="Baskerville" w:hAnsiTheme="majorBidi" w:cstheme="majorBidi"/>
          <w:i w:val="0"/>
          <w:iCs w:val="0"/>
          <w:color w:val="000000"/>
          <w:spacing w:val="2"/>
          <w:lang w:val="en-GB"/>
        </w:rPr>
        <w:t xml:space="preserve"> with </w:t>
      </w:r>
      <w:r w:rsidRPr="0009169E">
        <w:rPr>
          <w:rFonts w:asciiTheme="majorBidi" w:eastAsia="Baskerville-SemiBoldItalic" w:hAnsiTheme="majorBidi" w:cstheme="majorBidi"/>
          <w:b/>
          <w:bCs/>
          <w:color w:val="000000"/>
          <w:spacing w:val="2"/>
          <w:lang w:val="en-GB"/>
        </w:rPr>
        <w:t>“primary [hypospadias] repair at 36±8 months of age”.</w:t>
      </w:r>
      <w:r w:rsidRPr="00A23F1D">
        <w:rPr>
          <w:rStyle w:val="Funotenzeichen"/>
          <w:rFonts w:eastAsia="Baskerville" w:cs="Times New Roman"/>
          <w:i w:val="0"/>
          <w:iCs w:val="0"/>
          <w:color w:val="000000"/>
          <w:spacing w:val="2"/>
          <w:lang w:val="en-GB"/>
        </w:rPr>
        <w:footnoteReference w:id="28"/>
      </w:r>
      <w:r w:rsidRPr="0009169E">
        <w:rPr>
          <w:rFonts w:asciiTheme="majorBidi" w:eastAsia="Baskerville-SemiBold" w:hAnsiTheme="majorBidi" w:cstheme="majorBidi"/>
          <w:b/>
          <w:bCs/>
          <w:i w:val="0"/>
          <w:iCs w:val="0"/>
          <w:color w:val="000000"/>
          <w:spacing w:val="2"/>
          <w:lang w:val="en-GB"/>
        </w:rPr>
        <w:t xml:space="preserve"> </w:t>
      </w:r>
    </w:p>
    <w:p w14:paraId="00D5FC60" w14:textId="37DDBA1C" w:rsidR="00087C7A" w:rsidRPr="0009169E" w:rsidRDefault="00087C7A" w:rsidP="00087C7A">
      <w:pPr>
        <w:pStyle w:val="Text"/>
        <w:autoSpaceDE w:val="0"/>
        <w:spacing w:before="0" w:after="113" w:line="288" w:lineRule="auto"/>
        <w:jc w:val="both"/>
        <w:textAlignment w:val="center"/>
        <w:rPr>
          <w:rFonts w:asciiTheme="majorBidi" w:eastAsia="Baskerville" w:hAnsiTheme="majorBidi" w:cstheme="majorBidi"/>
          <w:i w:val="0"/>
          <w:iCs w:val="0"/>
          <w:color w:val="000000"/>
          <w:spacing w:val="2"/>
          <w:lang w:val="en-GB"/>
        </w:rPr>
      </w:pPr>
      <w:r w:rsidRPr="0009169E">
        <w:rPr>
          <w:rFonts w:asciiTheme="majorBidi" w:eastAsia="Baskerville" w:hAnsiTheme="majorBidi" w:cstheme="majorBidi"/>
          <w:i w:val="0"/>
          <w:iCs w:val="0"/>
          <w:color w:val="000000"/>
          <w:spacing w:val="2"/>
          <w:lang w:val="en-GB"/>
        </w:rPr>
        <w:lastRenderedPageBreak/>
        <w:t xml:space="preserve">In February 2018 the </w:t>
      </w:r>
      <w:r w:rsidRPr="0009169E">
        <w:rPr>
          <w:rFonts w:asciiTheme="majorBidi" w:eastAsia="Baskerville-SemiBold" w:hAnsiTheme="majorBidi" w:cstheme="majorBidi"/>
          <w:b/>
          <w:bCs/>
          <w:i w:val="0"/>
          <w:iCs w:val="0"/>
          <w:color w:val="000000"/>
          <w:spacing w:val="2"/>
          <w:lang w:val="en-GB"/>
        </w:rPr>
        <w:t>Madrid University Children’s Hospital Fundación Alcorcón</w:t>
      </w:r>
      <w:r w:rsidRPr="0009169E">
        <w:rPr>
          <w:rFonts w:asciiTheme="majorBidi" w:eastAsia="Baskerville" w:hAnsiTheme="majorBidi" w:cstheme="majorBidi"/>
          <w:i w:val="0"/>
          <w:iCs w:val="0"/>
          <w:color w:val="000000"/>
          <w:spacing w:val="2"/>
          <w:lang w:val="en-GB"/>
        </w:rPr>
        <w:t xml:space="preserve"> and the </w:t>
      </w:r>
      <w:r w:rsidRPr="0009169E">
        <w:rPr>
          <w:rFonts w:asciiTheme="majorBidi" w:eastAsia="Baskerville-SemiBold" w:hAnsiTheme="majorBidi" w:cstheme="majorBidi"/>
          <w:b/>
          <w:bCs/>
          <w:i w:val="0"/>
          <w:iCs w:val="0"/>
          <w:color w:val="000000"/>
          <w:spacing w:val="2"/>
          <w:lang w:val="en-GB"/>
        </w:rPr>
        <w:t>Madrid Urological Society</w:t>
      </w:r>
      <w:r w:rsidRPr="0009169E">
        <w:rPr>
          <w:rFonts w:asciiTheme="majorBidi" w:eastAsia="Baskerville" w:hAnsiTheme="majorBidi" w:cstheme="majorBidi"/>
          <w:i w:val="0"/>
          <w:iCs w:val="0"/>
          <w:color w:val="000000"/>
          <w:spacing w:val="2"/>
          <w:lang w:val="en-GB"/>
        </w:rPr>
        <w:t xml:space="preserve"> co-host</w:t>
      </w:r>
      <w:r w:rsidR="00A27361">
        <w:rPr>
          <w:rFonts w:asciiTheme="majorBidi" w:eastAsia="Baskerville" w:hAnsiTheme="majorBidi" w:cstheme="majorBidi"/>
          <w:i w:val="0"/>
          <w:iCs w:val="0"/>
          <w:color w:val="000000"/>
          <w:spacing w:val="2"/>
          <w:lang w:val="en-GB"/>
        </w:rPr>
        <w:t>ed</w:t>
      </w:r>
      <w:r w:rsidRPr="0009169E">
        <w:rPr>
          <w:rFonts w:asciiTheme="majorBidi" w:eastAsia="Baskerville" w:hAnsiTheme="majorBidi" w:cstheme="majorBidi"/>
          <w:i w:val="0"/>
          <w:iCs w:val="0"/>
          <w:color w:val="000000"/>
          <w:spacing w:val="2"/>
          <w:lang w:val="en-GB"/>
        </w:rPr>
        <w:t xml:space="preserve"> the </w:t>
      </w:r>
      <w:r w:rsidRPr="0009169E">
        <w:rPr>
          <w:rFonts w:asciiTheme="majorBidi" w:eastAsia="Baskerville-Italic" w:hAnsiTheme="majorBidi" w:cstheme="majorBidi"/>
          <w:color w:val="000000"/>
          <w:spacing w:val="2"/>
          <w:lang w:val="en-GB"/>
        </w:rPr>
        <w:t>“VII International Course of Urethral Reconstructive Surgery”</w:t>
      </w:r>
      <w:r w:rsidRPr="0009169E">
        <w:rPr>
          <w:rFonts w:asciiTheme="majorBidi" w:eastAsia="Baskerville" w:hAnsiTheme="majorBidi" w:cstheme="majorBidi"/>
          <w:i w:val="0"/>
          <w:iCs w:val="0"/>
          <w:color w:val="000000"/>
          <w:spacing w:val="2"/>
          <w:lang w:val="en-GB"/>
        </w:rPr>
        <w:t>, where multiple presentations promote</w:t>
      </w:r>
      <w:r w:rsidR="00A27361">
        <w:rPr>
          <w:rFonts w:asciiTheme="majorBidi" w:eastAsia="Baskerville" w:hAnsiTheme="majorBidi" w:cstheme="majorBidi"/>
          <w:i w:val="0"/>
          <w:iCs w:val="0"/>
          <w:color w:val="000000"/>
          <w:spacing w:val="2"/>
          <w:lang w:val="en-GB"/>
        </w:rPr>
        <w:t>d</w:t>
      </w:r>
      <w:r w:rsidRPr="0009169E">
        <w:rPr>
          <w:rFonts w:asciiTheme="majorBidi" w:eastAsia="Baskerville" w:hAnsiTheme="majorBidi" w:cstheme="majorBidi"/>
          <w:i w:val="0"/>
          <w:iCs w:val="0"/>
          <w:color w:val="000000"/>
          <w:spacing w:val="2"/>
          <w:lang w:val="en-GB"/>
        </w:rPr>
        <w:t xml:space="preserve"> IGM 1, including a video-presentation on </w:t>
      </w:r>
      <w:r w:rsidRPr="0009169E">
        <w:rPr>
          <w:rFonts w:asciiTheme="majorBidi" w:eastAsia="Baskerville-Italic" w:hAnsiTheme="majorBidi" w:cstheme="majorBidi"/>
          <w:color w:val="000000"/>
          <w:spacing w:val="2"/>
          <w:lang w:val="en-GB"/>
        </w:rPr>
        <w:t>“surgery of distal hypospadias”</w:t>
      </w:r>
      <w:r w:rsidRPr="0009169E">
        <w:rPr>
          <w:rFonts w:asciiTheme="majorBidi" w:eastAsia="Baskerville" w:hAnsiTheme="majorBidi" w:cstheme="majorBidi"/>
          <w:i w:val="0"/>
          <w:iCs w:val="0"/>
          <w:color w:val="000000"/>
          <w:spacing w:val="2"/>
          <w:lang w:val="en-GB"/>
        </w:rPr>
        <w:t xml:space="preserve"> moderated by </w:t>
      </w:r>
      <w:r w:rsidRPr="0009169E">
        <w:rPr>
          <w:rFonts w:asciiTheme="majorBidi" w:eastAsia="Baskerville-SemiBold" w:hAnsiTheme="majorBidi" w:cstheme="majorBidi"/>
          <w:b/>
          <w:bCs/>
          <w:i w:val="0"/>
          <w:iCs w:val="0"/>
          <w:color w:val="000000"/>
          <w:spacing w:val="2"/>
          <w:lang w:val="en-GB"/>
        </w:rPr>
        <w:t>Madrid University Children’s Hospital La Paz</w:t>
      </w:r>
      <w:r w:rsidRPr="0009169E">
        <w:rPr>
          <w:rFonts w:asciiTheme="majorBidi" w:eastAsia="Baskerville" w:hAnsiTheme="majorBidi" w:cstheme="majorBidi"/>
          <w:i w:val="0"/>
          <w:iCs w:val="0"/>
          <w:color w:val="000000"/>
          <w:spacing w:val="2"/>
          <w:lang w:val="en-GB"/>
        </w:rPr>
        <w:t>’s Chief of</w:t>
      </w:r>
      <w:r w:rsidR="00E05F82">
        <w:rPr>
          <w:rFonts w:asciiTheme="majorBidi" w:eastAsia="Baskerville" w:hAnsiTheme="majorBidi" w:cstheme="majorBidi"/>
          <w:i w:val="0"/>
          <w:iCs w:val="0"/>
          <w:color w:val="000000"/>
          <w:spacing w:val="2"/>
          <w:lang w:val="en-GB"/>
        </w:rPr>
        <w:t xml:space="preserve"> Paediatric Urology Section, Dr</w:t>
      </w:r>
      <w:r w:rsidRPr="0009169E">
        <w:rPr>
          <w:rFonts w:asciiTheme="majorBidi" w:eastAsia="Baskerville" w:hAnsiTheme="majorBidi" w:cstheme="majorBidi"/>
          <w:i w:val="0"/>
          <w:iCs w:val="0"/>
          <w:color w:val="000000"/>
          <w:spacing w:val="2"/>
          <w:lang w:val="en-GB"/>
        </w:rPr>
        <w:t xml:space="preserve"> Pedro López Pereira.</w:t>
      </w:r>
      <w:r w:rsidRPr="00A23F1D">
        <w:rPr>
          <w:rStyle w:val="Funotenzeichen"/>
          <w:rFonts w:eastAsia="Baskerville" w:cs="Times New Roman"/>
          <w:i w:val="0"/>
          <w:iCs w:val="0"/>
          <w:color w:val="000000"/>
          <w:spacing w:val="2"/>
          <w:lang w:val="en-GB"/>
        </w:rPr>
        <w:footnoteReference w:id="29"/>
      </w:r>
      <w:r w:rsidRPr="0009169E">
        <w:rPr>
          <w:rFonts w:asciiTheme="majorBidi" w:eastAsia="Baskerville" w:hAnsiTheme="majorBidi" w:cstheme="majorBidi"/>
          <w:i w:val="0"/>
          <w:iCs w:val="0"/>
          <w:color w:val="000000"/>
          <w:spacing w:val="2"/>
          <w:lang w:val="en-GB"/>
        </w:rPr>
        <w:t xml:space="preserve"> </w:t>
      </w:r>
    </w:p>
    <w:p w14:paraId="05A4C8B0" w14:textId="34064E94" w:rsidR="00FB6814" w:rsidRPr="00FB6814" w:rsidRDefault="0068759A" w:rsidP="0068759A">
      <w:pPr>
        <w:pStyle w:val="Text"/>
        <w:autoSpaceDE w:val="0"/>
        <w:spacing w:before="0" w:after="113" w:line="288" w:lineRule="auto"/>
        <w:jc w:val="both"/>
        <w:textAlignment w:val="center"/>
        <w:rPr>
          <w:rFonts w:asciiTheme="majorBidi" w:eastAsia="Baskerville" w:hAnsiTheme="majorBidi" w:cstheme="majorBidi"/>
          <w:i w:val="0"/>
          <w:iCs w:val="0"/>
          <w:color w:val="000000"/>
          <w:spacing w:val="2"/>
          <w:lang w:val="en-US"/>
        </w:rPr>
      </w:pPr>
      <w:r w:rsidRPr="0009169E">
        <w:rPr>
          <w:rFonts w:asciiTheme="majorBidi" w:eastAsia="Baskerville" w:hAnsiTheme="majorBidi" w:cstheme="majorBidi"/>
          <w:i w:val="0"/>
          <w:iCs w:val="0"/>
          <w:color w:val="000000"/>
          <w:spacing w:val="2"/>
          <w:lang w:val="en-GB"/>
        </w:rPr>
        <w:t xml:space="preserve">The </w:t>
      </w:r>
      <w:r>
        <w:rPr>
          <w:rFonts w:asciiTheme="majorBidi" w:eastAsia="Baskerville-SemiBold" w:hAnsiTheme="majorBidi" w:cstheme="majorBidi"/>
          <w:b/>
          <w:bCs/>
          <w:i w:val="0"/>
          <w:iCs w:val="0"/>
          <w:color w:val="000000"/>
          <w:spacing w:val="2"/>
          <w:lang w:val="en-GB"/>
        </w:rPr>
        <w:t>2018</w:t>
      </w:r>
      <w:r w:rsidRPr="0009169E">
        <w:rPr>
          <w:rFonts w:asciiTheme="majorBidi" w:eastAsia="Baskerville-SemiBold" w:hAnsiTheme="majorBidi" w:cstheme="majorBidi"/>
          <w:b/>
          <w:bCs/>
          <w:i w:val="0"/>
          <w:iCs w:val="0"/>
          <w:color w:val="000000"/>
          <w:spacing w:val="2"/>
          <w:lang w:val="en-GB"/>
        </w:rPr>
        <w:t xml:space="preserve"> </w:t>
      </w:r>
      <w:r>
        <w:rPr>
          <w:rFonts w:asciiTheme="majorBidi" w:eastAsia="Baskerville-SemiBold" w:hAnsiTheme="majorBidi" w:cstheme="majorBidi"/>
          <w:b/>
          <w:bCs/>
          <w:i w:val="0"/>
          <w:iCs w:val="0"/>
          <w:color w:val="000000"/>
          <w:spacing w:val="2"/>
          <w:lang w:val="en-GB"/>
        </w:rPr>
        <w:t>ECE</w:t>
      </w:r>
      <w:r w:rsidRPr="0009169E">
        <w:rPr>
          <w:rFonts w:asciiTheme="majorBidi" w:eastAsia="Baskerville-SemiBold" w:hAnsiTheme="majorBidi" w:cstheme="majorBidi"/>
          <w:b/>
          <w:bCs/>
          <w:i w:val="0"/>
          <w:iCs w:val="0"/>
          <w:color w:val="000000"/>
          <w:spacing w:val="2"/>
          <w:lang w:val="en-GB"/>
        </w:rPr>
        <w:t xml:space="preserve"> Annual Meeting</w:t>
      </w:r>
      <w:r w:rsidRPr="0009169E">
        <w:rPr>
          <w:rFonts w:asciiTheme="majorBidi" w:eastAsia="Baskerville" w:hAnsiTheme="majorBidi" w:cstheme="majorBidi"/>
          <w:i w:val="0"/>
          <w:iCs w:val="0"/>
          <w:color w:val="000000"/>
          <w:spacing w:val="2"/>
          <w:lang w:val="en-GB"/>
        </w:rPr>
        <w:t xml:space="preserve"> </w:t>
      </w:r>
      <w:r w:rsidR="008B6013">
        <w:rPr>
          <w:rFonts w:asciiTheme="majorBidi" w:eastAsia="Baskerville" w:hAnsiTheme="majorBidi" w:cstheme="majorBidi"/>
          <w:i w:val="0"/>
          <w:iCs w:val="0"/>
          <w:color w:val="000000"/>
          <w:spacing w:val="2"/>
          <w:lang w:val="en-GB"/>
        </w:rPr>
        <w:t>(20</w:t>
      </w:r>
      <w:r w:rsidR="008B6013" w:rsidRPr="008B6013">
        <w:rPr>
          <w:rFonts w:asciiTheme="majorBidi" w:eastAsia="Baskerville" w:hAnsiTheme="majorBidi" w:cstheme="majorBidi"/>
          <w:i w:val="0"/>
          <w:iCs w:val="0"/>
          <w:color w:val="000000"/>
          <w:spacing w:val="2"/>
          <w:vertAlign w:val="superscript"/>
          <w:lang w:val="en-GB"/>
        </w:rPr>
        <w:t>th</w:t>
      </w:r>
      <w:r w:rsidR="008B6013">
        <w:rPr>
          <w:rFonts w:asciiTheme="majorBidi" w:eastAsia="Baskerville" w:hAnsiTheme="majorBidi" w:cstheme="majorBidi"/>
          <w:i w:val="0"/>
          <w:iCs w:val="0"/>
          <w:color w:val="000000"/>
          <w:spacing w:val="2"/>
          <w:lang w:val="en-GB"/>
        </w:rPr>
        <w:t xml:space="preserve"> European Congress of Endocrinology) </w:t>
      </w:r>
      <w:r w:rsidRPr="0009169E">
        <w:rPr>
          <w:rFonts w:asciiTheme="majorBidi" w:eastAsia="Baskerville" w:hAnsiTheme="majorBidi" w:cstheme="majorBidi"/>
          <w:i w:val="0"/>
          <w:iCs w:val="0"/>
          <w:color w:val="000000"/>
          <w:spacing w:val="2"/>
          <w:lang w:val="en-GB"/>
        </w:rPr>
        <w:t xml:space="preserve">was held in </w:t>
      </w:r>
      <w:r w:rsidRPr="0009169E">
        <w:rPr>
          <w:rFonts w:asciiTheme="majorBidi" w:eastAsia="Baskerville-SemiBold" w:hAnsiTheme="majorBidi" w:cstheme="majorBidi"/>
          <w:b/>
          <w:bCs/>
          <w:i w:val="0"/>
          <w:iCs w:val="0"/>
          <w:color w:val="000000"/>
          <w:spacing w:val="2"/>
          <w:lang w:val="en-GB"/>
        </w:rPr>
        <w:t>Barcelona</w:t>
      </w:r>
      <w:r w:rsidRPr="0009169E">
        <w:rPr>
          <w:rFonts w:asciiTheme="majorBidi" w:eastAsia="Baskerville" w:hAnsiTheme="majorBidi" w:cstheme="majorBidi"/>
          <w:i w:val="0"/>
          <w:iCs w:val="0"/>
          <w:color w:val="000000"/>
          <w:spacing w:val="2"/>
          <w:lang w:val="en-GB"/>
        </w:rPr>
        <w:t xml:space="preserve">, </w:t>
      </w:r>
      <w:r w:rsidR="00FB6814">
        <w:rPr>
          <w:rFonts w:asciiTheme="majorBidi" w:eastAsia="Baskerville" w:hAnsiTheme="majorBidi" w:cstheme="majorBidi"/>
          <w:i w:val="0"/>
          <w:iCs w:val="0"/>
          <w:color w:val="000000"/>
          <w:spacing w:val="2"/>
          <w:lang w:val="en-GB"/>
        </w:rPr>
        <w:t xml:space="preserve">with a </w:t>
      </w:r>
      <w:r w:rsidR="00FB6814" w:rsidRPr="00FB6814">
        <w:rPr>
          <w:rFonts w:asciiTheme="majorBidi" w:eastAsia="Baskerville" w:hAnsiTheme="majorBidi" w:cstheme="majorBidi"/>
          <w:color w:val="000000"/>
          <w:spacing w:val="2"/>
          <w:lang w:val="en-GB"/>
        </w:rPr>
        <w:t>“Symposium 30: Disorders of Sexual Development (DSD)”</w:t>
      </w:r>
      <w:r w:rsidR="00FB6814">
        <w:rPr>
          <w:rFonts w:asciiTheme="majorBidi" w:eastAsia="Baskerville" w:hAnsiTheme="majorBidi" w:cstheme="majorBidi"/>
          <w:i w:val="0"/>
          <w:iCs w:val="0"/>
          <w:color w:val="000000"/>
          <w:spacing w:val="2"/>
          <w:lang w:val="en-GB"/>
        </w:rPr>
        <w:t xml:space="preserve"> chaired by local paediatric </w:t>
      </w:r>
      <w:r w:rsidR="008B745C">
        <w:rPr>
          <w:rFonts w:asciiTheme="majorBidi" w:eastAsia="Baskerville" w:hAnsiTheme="majorBidi" w:cstheme="majorBidi"/>
          <w:i w:val="0"/>
          <w:iCs w:val="0"/>
          <w:color w:val="000000"/>
          <w:spacing w:val="2"/>
          <w:lang w:val="en-GB"/>
        </w:rPr>
        <w:t>endocrinologist</w:t>
      </w:r>
      <w:r w:rsidR="00FB6814">
        <w:rPr>
          <w:rFonts w:asciiTheme="majorBidi" w:eastAsia="Baskerville" w:hAnsiTheme="majorBidi" w:cstheme="majorBidi"/>
          <w:i w:val="0"/>
          <w:iCs w:val="0"/>
          <w:color w:val="000000"/>
          <w:spacing w:val="2"/>
          <w:lang w:val="en-GB"/>
        </w:rPr>
        <w:t xml:space="preserve"> Laura Audi, promoting early </w:t>
      </w:r>
      <w:r w:rsidR="00FB6814" w:rsidRPr="00A27361">
        <w:rPr>
          <w:rFonts w:asciiTheme="majorBidi" w:eastAsia="Baskerville" w:hAnsiTheme="majorBidi" w:cstheme="majorBidi"/>
          <w:b/>
          <w:bCs/>
          <w:color w:val="000000"/>
          <w:spacing w:val="2"/>
          <w:lang w:val="en-GB"/>
        </w:rPr>
        <w:t xml:space="preserve">“[s]urgical repair” </w:t>
      </w:r>
      <w:r w:rsidR="00FB6814" w:rsidRPr="00A27361">
        <w:rPr>
          <w:rFonts w:asciiTheme="majorBidi" w:eastAsia="Baskerville" w:hAnsiTheme="majorBidi" w:cstheme="majorBidi"/>
          <w:b/>
          <w:bCs/>
          <w:i w:val="0"/>
          <w:iCs w:val="0"/>
          <w:color w:val="000000"/>
          <w:spacing w:val="2"/>
          <w:lang w:val="en-GB"/>
        </w:rPr>
        <w:t>as the rule</w:t>
      </w:r>
      <w:r w:rsidR="00FB6814">
        <w:rPr>
          <w:rFonts w:asciiTheme="majorBidi" w:eastAsia="Baskerville" w:hAnsiTheme="majorBidi" w:cstheme="majorBidi"/>
          <w:i w:val="0"/>
          <w:iCs w:val="0"/>
          <w:color w:val="000000"/>
          <w:spacing w:val="2"/>
          <w:lang w:val="en-GB"/>
        </w:rPr>
        <w:t xml:space="preserve"> and the </w:t>
      </w:r>
      <w:r w:rsidR="00FB6814">
        <w:rPr>
          <w:rFonts w:asciiTheme="majorBidi" w:eastAsia="Baskerville" w:hAnsiTheme="majorBidi" w:cstheme="majorBidi"/>
          <w:color w:val="000000"/>
          <w:spacing w:val="2"/>
          <w:lang w:val="en-GB"/>
        </w:rPr>
        <w:t xml:space="preserve">“late surgery and the no surgery alternatives [which] have been recently proposed” </w:t>
      </w:r>
      <w:r w:rsidR="00FB6814">
        <w:rPr>
          <w:rFonts w:asciiTheme="majorBidi" w:eastAsia="Baskerville" w:hAnsiTheme="majorBidi" w:cstheme="majorBidi"/>
          <w:i w:val="0"/>
          <w:iCs w:val="0"/>
          <w:color w:val="000000"/>
          <w:spacing w:val="2"/>
          <w:lang w:val="en-GB"/>
        </w:rPr>
        <w:t xml:space="preserve">as a secondary </w:t>
      </w:r>
      <w:r w:rsidR="00FB6814">
        <w:rPr>
          <w:rFonts w:asciiTheme="majorBidi" w:eastAsia="Baskerville" w:hAnsiTheme="majorBidi" w:cstheme="majorBidi"/>
          <w:color w:val="000000"/>
          <w:spacing w:val="2"/>
          <w:lang w:val="en-GB"/>
        </w:rPr>
        <w:t>“choice”</w:t>
      </w:r>
      <w:r w:rsidR="00FB6814">
        <w:rPr>
          <w:rFonts w:asciiTheme="majorBidi" w:eastAsia="Baskerville" w:hAnsiTheme="majorBidi" w:cstheme="majorBidi"/>
          <w:i w:val="0"/>
          <w:iCs w:val="0"/>
          <w:color w:val="000000"/>
          <w:spacing w:val="2"/>
          <w:lang w:val="en-GB"/>
        </w:rPr>
        <w:t>.</w:t>
      </w:r>
      <w:r w:rsidR="00FB6814">
        <w:rPr>
          <w:rStyle w:val="Funotenzeichen"/>
          <w:rFonts w:asciiTheme="majorBidi" w:eastAsia="Baskerville" w:hAnsiTheme="majorBidi" w:cstheme="majorBidi"/>
          <w:i w:val="0"/>
          <w:iCs w:val="0"/>
          <w:color w:val="000000"/>
          <w:spacing w:val="2"/>
          <w:lang w:val="en-GB"/>
        </w:rPr>
        <w:footnoteReference w:id="30"/>
      </w:r>
    </w:p>
    <w:p w14:paraId="2C3FA161" w14:textId="77777777" w:rsidR="00087C7A" w:rsidRPr="0009169E" w:rsidRDefault="00087C7A" w:rsidP="00087C7A">
      <w:pPr>
        <w:pStyle w:val="Text"/>
        <w:autoSpaceDE w:val="0"/>
        <w:spacing w:before="0" w:after="170" w:line="288" w:lineRule="auto"/>
        <w:jc w:val="both"/>
        <w:textAlignment w:val="center"/>
        <w:rPr>
          <w:rFonts w:asciiTheme="majorBidi" w:eastAsia="Arial-BoldMT" w:hAnsiTheme="majorBidi" w:cstheme="majorBidi"/>
          <w:b/>
          <w:bCs/>
          <w:i w:val="0"/>
          <w:iCs w:val="0"/>
          <w:color w:val="232657"/>
          <w:spacing w:val="2"/>
          <w:sz w:val="22"/>
          <w:szCs w:val="22"/>
          <w:lang w:val="en-GB"/>
        </w:rPr>
      </w:pPr>
      <w:r w:rsidRPr="0009169E">
        <w:rPr>
          <w:rFonts w:asciiTheme="majorBidi" w:eastAsia="Baskerville" w:hAnsiTheme="majorBidi" w:cstheme="majorBidi"/>
          <w:i w:val="0"/>
          <w:iCs w:val="0"/>
          <w:color w:val="000000"/>
          <w:spacing w:val="2"/>
          <w:lang w:val="en-GB"/>
        </w:rPr>
        <w:t xml:space="preserve">In 2016–2017, the </w:t>
      </w:r>
      <w:r w:rsidRPr="0009169E">
        <w:rPr>
          <w:rFonts w:asciiTheme="majorBidi" w:eastAsia="Baskerville-SemiBold" w:hAnsiTheme="majorBidi" w:cstheme="majorBidi"/>
          <w:b/>
          <w:bCs/>
          <w:i w:val="0"/>
          <w:iCs w:val="0"/>
          <w:color w:val="000000"/>
          <w:spacing w:val="2"/>
          <w:lang w:val="en-GB"/>
        </w:rPr>
        <w:t xml:space="preserve">Málaga Escuela de Urología Pediátrica y Fetal del Colegio de Médicos </w:t>
      </w:r>
      <w:r w:rsidRPr="0009169E">
        <w:rPr>
          <w:rFonts w:asciiTheme="majorBidi" w:eastAsia="Baskerville" w:hAnsiTheme="majorBidi" w:cstheme="majorBidi"/>
          <w:i w:val="0"/>
          <w:iCs w:val="0"/>
          <w:color w:val="000000"/>
          <w:spacing w:val="2"/>
          <w:lang w:val="en-GB"/>
        </w:rPr>
        <w:t>and the</w:t>
      </w:r>
      <w:r w:rsidRPr="0009169E">
        <w:rPr>
          <w:rFonts w:asciiTheme="majorBidi" w:eastAsia="Baskerville-SemiBold" w:hAnsiTheme="majorBidi" w:cstheme="majorBidi"/>
          <w:b/>
          <w:bCs/>
          <w:i w:val="0"/>
          <w:iCs w:val="0"/>
          <w:color w:val="000000"/>
          <w:spacing w:val="2"/>
          <w:lang w:val="en-GB"/>
        </w:rPr>
        <w:t xml:space="preserve"> Colegio Oficial de Médicos de la Provincia de Málaga </w:t>
      </w:r>
      <w:r w:rsidRPr="0009169E">
        <w:rPr>
          <w:rFonts w:asciiTheme="majorBidi" w:eastAsia="Baskerville" w:hAnsiTheme="majorBidi" w:cstheme="majorBidi"/>
          <w:i w:val="0"/>
          <w:iCs w:val="0"/>
          <w:color w:val="000000"/>
          <w:spacing w:val="2"/>
          <w:lang w:val="en-GB"/>
        </w:rPr>
        <w:t xml:space="preserve">co-organsied at least 2 similar courses promoting early hypospadias surgery, one in collaboration with the </w:t>
      </w:r>
      <w:r w:rsidRPr="0009169E">
        <w:rPr>
          <w:rFonts w:asciiTheme="majorBidi" w:eastAsia="Baskerville-SemiBold" w:hAnsiTheme="majorBidi" w:cstheme="majorBidi"/>
          <w:b/>
          <w:bCs/>
          <w:i w:val="0"/>
          <w:iCs w:val="0"/>
          <w:color w:val="000000"/>
          <w:spacing w:val="2"/>
          <w:lang w:val="en-GB"/>
        </w:rPr>
        <w:t>Universidad Internacional de Andalucía (UNIA)</w:t>
      </w:r>
      <w:r w:rsidRPr="0009169E">
        <w:rPr>
          <w:rFonts w:asciiTheme="majorBidi" w:eastAsia="Baskerville" w:hAnsiTheme="majorBidi" w:cstheme="majorBidi"/>
          <w:i w:val="0"/>
          <w:iCs w:val="0"/>
          <w:color w:val="000000"/>
          <w:spacing w:val="2"/>
          <w:position w:val="6"/>
          <w:lang w:val="en-GB"/>
        </w:rPr>
        <w:t xml:space="preserve"> </w:t>
      </w:r>
      <w:r w:rsidRPr="00A23F1D">
        <w:rPr>
          <w:rStyle w:val="Funotenzeichen"/>
          <w:rFonts w:eastAsia="Baskerville" w:cs="Times New Roman"/>
          <w:i w:val="0"/>
          <w:iCs w:val="0"/>
          <w:color w:val="000000"/>
          <w:spacing w:val="2"/>
          <w:lang w:val="en-GB"/>
        </w:rPr>
        <w:footnoteReference w:id="31"/>
      </w:r>
      <w:r w:rsidRPr="0009169E">
        <w:rPr>
          <w:rFonts w:asciiTheme="majorBidi" w:eastAsia="Baskerville" w:hAnsiTheme="majorBidi" w:cstheme="majorBidi"/>
          <w:i w:val="0"/>
          <w:iCs w:val="0"/>
          <w:color w:val="000000"/>
          <w:spacing w:val="2"/>
          <w:lang w:val="en-GB"/>
        </w:rPr>
        <w:t xml:space="preserve"> and another at the </w:t>
      </w:r>
      <w:r w:rsidRPr="0009169E">
        <w:rPr>
          <w:rFonts w:asciiTheme="majorBidi" w:eastAsia="Baskerville-SemiBold" w:hAnsiTheme="majorBidi" w:cstheme="majorBidi"/>
          <w:b/>
          <w:bCs/>
          <w:i w:val="0"/>
          <w:iCs w:val="0"/>
          <w:color w:val="000000"/>
          <w:spacing w:val="2"/>
          <w:lang w:val="en-GB"/>
        </w:rPr>
        <w:t>Clínica Santa Elena (Los Álamos, Torremolinos)</w:t>
      </w:r>
      <w:r w:rsidRPr="0009169E">
        <w:rPr>
          <w:rFonts w:asciiTheme="majorBidi" w:eastAsia="Baskerville" w:hAnsiTheme="majorBidi" w:cstheme="majorBidi"/>
          <w:i w:val="0"/>
          <w:iCs w:val="0"/>
          <w:color w:val="000000"/>
          <w:spacing w:val="2"/>
          <w:lang w:val="en-GB"/>
        </w:rPr>
        <w:t>.</w:t>
      </w:r>
      <w:r w:rsidRPr="00A23F1D">
        <w:rPr>
          <w:rStyle w:val="Funotenzeichen"/>
          <w:rFonts w:eastAsia="Baskerville" w:cs="Times New Roman"/>
          <w:i w:val="0"/>
          <w:iCs w:val="0"/>
          <w:color w:val="000000"/>
          <w:spacing w:val="2"/>
          <w:lang w:val="en-GB"/>
        </w:rPr>
        <w:footnoteReference w:id="32"/>
      </w:r>
      <w:r w:rsidRPr="0009169E">
        <w:rPr>
          <w:rFonts w:asciiTheme="majorBidi" w:eastAsia="Baskerville" w:hAnsiTheme="majorBidi" w:cstheme="majorBidi"/>
          <w:i w:val="0"/>
          <w:iCs w:val="0"/>
          <w:color w:val="000000"/>
          <w:spacing w:val="2"/>
          <w:lang w:val="en-GB"/>
        </w:rPr>
        <w:t xml:space="preserve"> And in 2015 a similar course took place at the </w:t>
      </w:r>
      <w:r w:rsidRPr="0009169E">
        <w:rPr>
          <w:rFonts w:asciiTheme="majorBidi" w:eastAsia="Baskerville-SemiBold" w:hAnsiTheme="majorBidi" w:cstheme="majorBidi"/>
          <w:b/>
          <w:bCs/>
          <w:i w:val="0"/>
          <w:iCs w:val="0"/>
          <w:color w:val="000000"/>
          <w:spacing w:val="2"/>
          <w:lang w:val="en-GB"/>
        </w:rPr>
        <w:t>Complejo Hospitalario Universitario de Albacete</w:t>
      </w:r>
      <w:r w:rsidRPr="0009169E">
        <w:rPr>
          <w:rFonts w:asciiTheme="majorBidi" w:eastAsia="Baskerville" w:hAnsiTheme="majorBidi" w:cstheme="majorBidi"/>
          <w:i w:val="0"/>
          <w:iCs w:val="0"/>
          <w:color w:val="000000"/>
          <w:spacing w:val="2"/>
          <w:lang w:val="en-GB"/>
        </w:rPr>
        <w:t>.</w:t>
      </w:r>
      <w:r w:rsidRPr="00A23F1D">
        <w:rPr>
          <w:rStyle w:val="Funotenzeichen"/>
          <w:rFonts w:eastAsia="Baskerville" w:cs="Times New Roman"/>
          <w:i w:val="0"/>
          <w:iCs w:val="0"/>
          <w:color w:val="000000"/>
          <w:spacing w:val="2"/>
          <w:lang w:val="en-GB"/>
        </w:rPr>
        <w:footnoteReference w:id="33"/>
      </w:r>
      <w:r w:rsidRPr="0009169E">
        <w:rPr>
          <w:rFonts w:asciiTheme="majorBidi" w:eastAsia="Baskerville" w:hAnsiTheme="majorBidi" w:cstheme="majorBidi"/>
          <w:i w:val="0"/>
          <w:iCs w:val="0"/>
          <w:color w:val="000000"/>
          <w:spacing w:val="2"/>
          <w:lang w:val="en-GB"/>
        </w:rPr>
        <w:t xml:space="preserve"> </w:t>
      </w:r>
    </w:p>
    <w:p w14:paraId="201ECA0D" w14:textId="77777777" w:rsidR="00087C7A" w:rsidRPr="0009169E" w:rsidRDefault="00087C7A" w:rsidP="00087C7A">
      <w:pPr>
        <w:pStyle w:val="Title3"/>
        <w:rPr>
          <w:rFonts w:eastAsia="Baskerville"/>
          <w:color w:val="000000"/>
        </w:rPr>
      </w:pPr>
      <w:bookmarkStart w:id="24" w:name="_Toc11017683"/>
      <w:r w:rsidRPr="0009169E">
        <w:t>e) IGM 4: Other Unnecessary and Harmful Medical Interventions and Treatments</w:t>
      </w:r>
      <w:bookmarkEnd w:id="24"/>
    </w:p>
    <w:p w14:paraId="583A2276" w14:textId="77777777" w:rsidR="00087C7A" w:rsidRPr="0009169E" w:rsidRDefault="00087C7A" w:rsidP="00087C7A">
      <w:pPr>
        <w:pStyle w:val="Text"/>
        <w:autoSpaceDE w:val="0"/>
        <w:spacing w:before="0" w:after="57" w:line="288" w:lineRule="auto"/>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 w:hAnsiTheme="majorBidi" w:cstheme="majorBidi"/>
          <w:i w:val="0"/>
          <w:iCs w:val="0"/>
          <w:color w:val="000000"/>
          <w:spacing w:val="2"/>
          <w:lang w:val="en-GB"/>
        </w:rPr>
        <w:t xml:space="preserve">Other common harmful treatments include (as detailed in the </w:t>
      </w:r>
      <w:r w:rsidRPr="0009169E">
        <w:rPr>
          <w:rFonts w:asciiTheme="majorBidi" w:eastAsia="Baskerville-SemiBold" w:hAnsiTheme="majorBidi" w:cstheme="majorBidi"/>
          <w:b/>
          <w:bCs/>
          <w:i w:val="0"/>
          <w:iCs w:val="0"/>
          <w:color w:val="000000"/>
          <w:spacing w:val="2"/>
          <w:lang w:val="en-GB"/>
        </w:rPr>
        <w:t>2014 CRC NGO Report</w:t>
      </w:r>
      <w:r w:rsidRPr="0009169E">
        <w:rPr>
          <w:rFonts w:asciiTheme="majorBidi" w:eastAsia="Baskerville" w:hAnsiTheme="majorBidi" w:cstheme="majorBidi"/>
          <w:i w:val="0"/>
          <w:iCs w:val="0"/>
          <w:color w:val="000000"/>
          <w:spacing w:val="2"/>
          <w:lang w:val="en-GB"/>
        </w:rPr>
        <w:t>):</w:t>
      </w:r>
      <w:r w:rsidRPr="00A23F1D">
        <w:rPr>
          <w:rStyle w:val="Funotenzeichen"/>
          <w:rFonts w:eastAsia="Baskerville" w:cs="Times New Roman"/>
          <w:i w:val="0"/>
          <w:iCs w:val="0"/>
          <w:color w:val="000000"/>
          <w:spacing w:val="2"/>
          <w:lang w:val="en-GB"/>
        </w:rPr>
        <w:footnoteReference w:id="34"/>
      </w:r>
      <w:r w:rsidRPr="0009169E">
        <w:rPr>
          <w:rFonts w:asciiTheme="majorBidi" w:eastAsia="Baskerville" w:hAnsiTheme="majorBidi" w:cstheme="majorBidi"/>
          <w:i w:val="0"/>
          <w:iCs w:val="0"/>
          <w:color w:val="000000"/>
          <w:spacing w:val="2"/>
          <w:lang w:val="en-GB"/>
        </w:rPr>
        <w:t xml:space="preserve"> </w:t>
      </w:r>
    </w:p>
    <w:p w14:paraId="4948E0DF"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Forced Mastectomy</w:t>
      </w:r>
      <w:r w:rsidRPr="0009169E">
        <w:rPr>
          <w:rFonts w:asciiTheme="majorBidi" w:eastAsia="Baskerville" w:hAnsiTheme="majorBidi" w:cstheme="majorBidi"/>
          <w:i w:val="0"/>
          <w:iCs w:val="0"/>
          <w:color w:val="000000"/>
          <w:spacing w:val="2"/>
          <w:lang w:val="en-GB"/>
        </w:rPr>
        <w:t xml:space="preserve"> (p. 70) </w:t>
      </w:r>
    </w:p>
    <w:p w14:paraId="0BE79EA3"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Misinformation and Directive Counselling for Parents</w:t>
      </w:r>
      <w:r w:rsidRPr="0009169E">
        <w:rPr>
          <w:rFonts w:asciiTheme="majorBidi" w:eastAsia="Baskerville" w:hAnsiTheme="majorBidi" w:cstheme="majorBidi"/>
          <w:i w:val="0"/>
          <w:iCs w:val="0"/>
          <w:color w:val="000000"/>
          <w:spacing w:val="2"/>
          <w:lang w:val="en-GB"/>
        </w:rPr>
        <w:t xml:space="preserve"> (p. 70)</w:t>
      </w:r>
    </w:p>
    <w:p w14:paraId="4FBD7B9A"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Systematic Lies and Imposition of “Code of Silence” on Children</w:t>
      </w:r>
      <w:r w:rsidRPr="0009169E">
        <w:rPr>
          <w:rFonts w:asciiTheme="majorBidi" w:eastAsia="Baskerville" w:hAnsiTheme="majorBidi" w:cstheme="majorBidi"/>
          <w:i w:val="0"/>
          <w:iCs w:val="0"/>
          <w:color w:val="000000"/>
          <w:spacing w:val="2"/>
          <w:lang w:val="en-GB"/>
        </w:rPr>
        <w:t xml:space="preserve"> (p. 72)</w:t>
      </w:r>
    </w:p>
    <w:p w14:paraId="333B991D"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Imposition of Hormones</w:t>
      </w:r>
      <w:r w:rsidRPr="0009169E">
        <w:rPr>
          <w:rFonts w:asciiTheme="majorBidi" w:eastAsia="Baskerville" w:hAnsiTheme="majorBidi" w:cstheme="majorBidi"/>
          <w:i w:val="0"/>
          <w:iCs w:val="0"/>
          <w:color w:val="000000"/>
          <w:spacing w:val="2"/>
          <w:lang w:val="en-GB"/>
        </w:rPr>
        <w:t xml:space="preserve"> (p. 73) </w:t>
      </w:r>
    </w:p>
    <w:p w14:paraId="106DC308"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xml:space="preserve">• </w:t>
      </w:r>
      <w:r w:rsidRPr="0009169E">
        <w:rPr>
          <w:rFonts w:asciiTheme="majorBidi" w:eastAsia="Baskerville-SemiBold" w:hAnsiTheme="majorBidi" w:cstheme="majorBidi"/>
          <w:b/>
          <w:bCs/>
          <w:i w:val="0"/>
          <w:iCs w:val="0"/>
          <w:color w:val="000000"/>
          <w:spacing w:val="2"/>
          <w:w w:val="98"/>
          <w:lang w:val="en-GB"/>
        </w:rPr>
        <w:t>Forced Excessive Genital Exams, Medical Display, (Genital) Photography</w:t>
      </w:r>
      <w:r w:rsidRPr="0009169E">
        <w:rPr>
          <w:rFonts w:asciiTheme="majorBidi" w:eastAsia="Baskerville" w:hAnsiTheme="majorBidi" w:cstheme="majorBidi"/>
          <w:i w:val="0"/>
          <w:iCs w:val="0"/>
          <w:color w:val="000000"/>
          <w:spacing w:val="2"/>
          <w:lang w:val="en-GB"/>
        </w:rPr>
        <w:t xml:space="preserve"> (p. 73) </w:t>
      </w:r>
    </w:p>
    <w:p w14:paraId="5DDFC70C"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Human Experimentation</w:t>
      </w:r>
      <w:r w:rsidRPr="0009169E">
        <w:rPr>
          <w:rFonts w:asciiTheme="majorBidi" w:eastAsia="Baskerville" w:hAnsiTheme="majorBidi" w:cstheme="majorBidi"/>
          <w:i w:val="0"/>
          <w:iCs w:val="0"/>
          <w:color w:val="000000"/>
          <w:spacing w:val="2"/>
          <w:lang w:val="en-GB"/>
        </w:rPr>
        <w:t xml:space="preserve"> (p. 74) </w:t>
      </w:r>
    </w:p>
    <w:p w14:paraId="6CE3F997"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Denial of Needed Health Care</w:t>
      </w:r>
      <w:r w:rsidRPr="0009169E">
        <w:rPr>
          <w:rFonts w:asciiTheme="majorBidi" w:eastAsia="Baskerville" w:hAnsiTheme="majorBidi" w:cstheme="majorBidi"/>
          <w:i w:val="0"/>
          <w:iCs w:val="0"/>
          <w:color w:val="000000"/>
          <w:spacing w:val="2"/>
          <w:lang w:val="en-GB"/>
        </w:rPr>
        <w:t xml:space="preserve"> (p. 75)  </w:t>
      </w:r>
    </w:p>
    <w:p w14:paraId="00EAF4B8"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Prenatal “Therapy”</w:t>
      </w:r>
      <w:r w:rsidRPr="0009169E">
        <w:rPr>
          <w:rFonts w:asciiTheme="majorBidi" w:eastAsia="Baskerville" w:hAnsiTheme="majorBidi" w:cstheme="majorBidi"/>
          <w:i w:val="0"/>
          <w:iCs w:val="0"/>
          <w:color w:val="000000"/>
          <w:spacing w:val="2"/>
          <w:lang w:val="en-GB"/>
        </w:rPr>
        <w:t xml:space="preserve"> (p. 75) </w:t>
      </w:r>
    </w:p>
    <w:p w14:paraId="50BAE8D2" w14:textId="77777777" w:rsidR="00087C7A" w:rsidRPr="0009169E" w:rsidRDefault="00087C7A" w:rsidP="00087C7A">
      <w:pPr>
        <w:pStyle w:val="Text"/>
        <w:autoSpaceDE w:val="0"/>
        <w:spacing w:before="0" w:after="0" w:line="288" w:lineRule="auto"/>
        <w:ind w:left="113"/>
        <w:jc w:val="both"/>
        <w:textAlignment w:val="center"/>
        <w:rPr>
          <w:rFonts w:asciiTheme="majorBidi" w:eastAsia="Baskerville-SemiBold" w:hAnsiTheme="majorBidi" w:cstheme="majorBidi"/>
          <w:b/>
          <w:bCs/>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Selective (Late Term) Abortion</w:t>
      </w:r>
      <w:r w:rsidRPr="0009169E">
        <w:rPr>
          <w:rFonts w:asciiTheme="majorBidi" w:eastAsia="Baskerville" w:hAnsiTheme="majorBidi" w:cstheme="majorBidi"/>
          <w:i w:val="0"/>
          <w:iCs w:val="0"/>
          <w:color w:val="000000"/>
          <w:spacing w:val="2"/>
          <w:lang w:val="en-GB"/>
        </w:rPr>
        <w:t xml:space="preserve"> (p. 76) </w:t>
      </w:r>
    </w:p>
    <w:p w14:paraId="2D82A00D" w14:textId="77777777" w:rsidR="00087C7A" w:rsidRPr="0009169E" w:rsidRDefault="00087C7A" w:rsidP="00087C7A">
      <w:pPr>
        <w:pStyle w:val="Text"/>
        <w:autoSpaceDE w:val="0"/>
        <w:spacing w:before="0" w:after="57" w:line="288" w:lineRule="auto"/>
        <w:ind w:left="113"/>
        <w:jc w:val="both"/>
        <w:textAlignment w:val="center"/>
        <w:rPr>
          <w:rFonts w:asciiTheme="majorBidi" w:eastAsia="Baskerville" w:hAnsiTheme="majorBidi" w:cstheme="majorBidi"/>
          <w:i w:val="0"/>
          <w:iCs w:val="0"/>
          <w:color w:val="000000"/>
          <w:spacing w:val="2"/>
          <w:lang w:val="en-GB"/>
        </w:rPr>
      </w:pPr>
      <w:r w:rsidRPr="0009169E">
        <w:rPr>
          <w:rFonts w:asciiTheme="majorBidi" w:eastAsia="Baskerville-SemiBold" w:hAnsiTheme="majorBidi" w:cstheme="majorBidi"/>
          <w:b/>
          <w:bCs/>
          <w:i w:val="0"/>
          <w:iCs w:val="0"/>
          <w:color w:val="000000"/>
          <w:spacing w:val="2"/>
          <w:lang w:val="en-GB"/>
        </w:rPr>
        <w:t>• Preimplantation Genetic Diagnosis (PGD) to Eliminate Intersex Fetuses</w:t>
      </w:r>
      <w:r w:rsidRPr="0009169E">
        <w:rPr>
          <w:rFonts w:asciiTheme="majorBidi" w:eastAsia="Baskerville" w:hAnsiTheme="majorBidi" w:cstheme="majorBidi"/>
          <w:i w:val="0"/>
          <w:iCs w:val="0"/>
          <w:color w:val="000000"/>
          <w:spacing w:val="2"/>
          <w:lang w:val="en-GB"/>
        </w:rPr>
        <w:t xml:space="preserve"> (p. 76)</w:t>
      </w:r>
    </w:p>
    <w:p w14:paraId="755F36D1" w14:textId="77777777" w:rsidR="00460A5D" w:rsidRDefault="00460A5D">
      <w:pPr>
        <w:widowControl/>
        <w:suppressAutoHyphens w:val="0"/>
        <w:textAlignment w:val="auto"/>
        <w:rPr>
          <w:rFonts w:ascii="Arial" w:eastAsia="Helvetica-Bold" w:hAnsi="Arial" w:cs="Arial"/>
          <w:b/>
          <w:bCs/>
          <w:iCs/>
          <w:color w:val="232657"/>
          <w:spacing w:val="2"/>
          <w:kern w:val="24"/>
          <w:lang w:val="en-GB"/>
        </w:rPr>
      </w:pPr>
      <w:r w:rsidRPr="00321F0A">
        <w:rPr>
          <w:lang w:val="en-US"/>
        </w:rPr>
        <w:br w:type="page"/>
      </w:r>
    </w:p>
    <w:p w14:paraId="2A3B675C" w14:textId="2A1EA9A7" w:rsidR="00087C7A" w:rsidRPr="0009169E" w:rsidRDefault="00087C7A" w:rsidP="00087C7A">
      <w:pPr>
        <w:pStyle w:val="Title3"/>
        <w:rPr>
          <w:rFonts w:eastAsia="Baskerville"/>
          <w:color w:val="000000"/>
        </w:rPr>
      </w:pPr>
      <w:bookmarkStart w:id="25" w:name="_Toc11017684"/>
      <w:r w:rsidRPr="0009169E">
        <w:lastRenderedPageBreak/>
        <w:t>f)  Spanish Public University Hospitals involved in International IGM Networks</w:t>
      </w:r>
      <w:bookmarkEnd w:id="25"/>
      <w:r w:rsidRPr="0009169E">
        <w:t xml:space="preserve"> </w:t>
      </w:r>
    </w:p>
    <w:p w14:paraId="43F90F89" w14:textId="77777777" w:rsidR="00087C7A" w:rsidRPr="0009169E" w:rsidRDefault="00087C7A" w:rsidP="00321F0A">
      <w:pPr>
        <w:pStyle w:val="absatzschattenbericht"/>
        <w:rPr>
          <w:rFonts w:eastAsia="Arial-BoldMT"/>
          <w:b/>
          <w:bCs/>
          <w:color w:val="5E175E"/>
          <w:sz w:val="23"/>
          <w:szCs w:val="23"/>
        </w:rPr>
      </w:pPr>
      <w:r w:rsidRPr="0009169E">
        <w:t>In 2017, the “European Reference Network (ERN)” was launched to ensure better treatment for patients with rare diseases within the European Union.</w:t>
      </w:r>
      <w:r w:rsidRPr="00A23F1D">
        <w:rPr>
          <w:rStyle w:val="Funotenzeichen"/>
          <w:rFonts w:cs="Times New Roman"/>
        </w:rPr>
        <w:footnoteReference w:id="35"/>
      </w:r>
      <w:r w:rsidRPr="0009169E">
        <w:t xml:space="preserve"> Unfortunately, </w:t>
      </w:r>
      <w:r w:rsidRPr="0009169E">
        <w:rPr>
          <w:rFonts w:eastAsia="Baskerville-SemiBold"/>
          <w:b/>
          <w:bCs/>
        </w:rPr>
        <w:t>2 of the newly created “ERNs” also specialise in the proliferation and practice of IGM,</w:t>
      </w:r>
      <w:r w:rsidRPr="0009169E">
        <w:t xml:space="preserve"> namely the </w:t>
      </w:r>
      <w:r w:rsidRPr="0009169E">
        <w:rPr>
          <w:rFonts w:eastAsia="Baskerville-SemiBold"/>
          <w:b/>
          <w:bCs/>
        </w:rPr>
        <w:t>“Network Urogenital Diseases” a.k.a. “eUROGEN”</w:t>
      </w:r>
      <w:r w:rsidRPr="0009169E">
        <w:t xml:space="preserve"> and the </w:t>
      </w:r>
      <w:r w:rsidRPr="0009169E">
        <w:rPr>
          <w:rFonts w:eastAsia="Baskerville-SemiBold"/>
          <w:b/>
          <w:bCs/>
        </w:rPr>
        <w:t>“Network on Endocrine Conditions” a.k.a. “Endo-ERN”</w:t>
      </w:r>
      <w:r w:rsidRPr="0009169E">
        <w:t>.</w:t>
      </w:r>
      <w:r w:rsidRPr="00A23F1D">
        <w:rPr>
          <w:rStyle w:val="Funotenzeichen"/>
          <w:rFonts w:cs="Times New Roman"/>
        </w:rPr>
        <w:footnoteReference w:id="36"/>
      </w:r>
      <w:r w:rsidRPr="0009169E">
        <w:t xml:space="preserve"> Like with earlier international networks led by IGM perpetrators, e.g. “EuroDSD”/“I-DSD” </w:t>
      </w:r>
      <w:r w:rsidRPr="00A23F1D">
        <w:rPr>
          <w:rStyle w:val="Funotenzeichen"/>
          <w:rFonts w:cs="Times New Roman"/>
        </w:rPr>
        <w:footnoteReference w:id="37"/>
      </w:r>
      <w:r w:rsidRPr="0009169E">
        <w:t xml:space="preserve"> and “DSDnet”,</w:t>
      </w:r>
      <w:r w:rsidRPr="00A23F1D">
        <w:rPr>
          <w:rStyle w:val="Funotenzeichen"/>
          <w:rFonts w:cs="Times New Roman"/>
        </w:rPr>
        <w:footnoteReference w:id="38"/>
      </w:r>
      <w:r w:rsidRPr="0009169E">
        <w:t xml:space="preserve"> </w:t>
      </w:r>
      <w:r w:rsidRPr="0009169E">
        <w:rPr>
          <w:rFonts w:eastAsia="Baskerville-SemiBold"/>
          <w:b/>
          <w:bCs/>
        </w:rPr>
        <w:t>Spanish University Hospitals</w:t>
      </w:r>
      <w:r w:rsidRPr="0009169E">
        <w:t xml:space="preserve"> are again involved.</w:t>
      </w:r>
      <w:r w:rsidRPr="00A23F1D">
        <w:rPr>
          <w:rStyle w:val="Funotenzeichen"/>
          <w:rFonts w:cs="Times New Roman"/>
        </w:rPr>
        <w:footnoteReference w:id="39"/>
      </w:r>
    </w:p>
    <w:p w14:paraId="44D5CFD0" w14:textId="77777777" w:rsidR="00087C7A" w:rsidRPr="007A18B3" w:rsidRDefault="00087C7A" w:rsidP="00087C7A">
      <w:pPr>
        <w:pStyle w:val="Title2"/>
        <w:rPr>
          <w:color w:val="232657"/>
          <w:sz w:val="22"/>
          <w:szCs w:val="22"/>
        </w:rPr>
      </w:pPr>
      <w:bookmarkStart w:id="26" w:name="_Toc11017685"/>
      <w:r w:rsidRPr="007A18B3">
        <w:t>2.  The Treatment of Intersex Children in Spain as a Harmful Practice and Violence</w:t>
      </w:r>
      <w:bookmarkEnd w:id="26"/>
    </w:p>
    <w:p w14:paraId="59923E9F" w14:textId="7D7EC0FE" w:rsidR="00087C7A" w:rsidRPr="007A18B3" w:rsidRDefault="00F872F6" w:rsidP="00087C7A">
      <w:pPr>
        <w:pStyle w:val="Title3"/>
        <w:rPr>
          <w:rFonts w:eastAsia="Baskerville-SemiBold"/>
          <w:color w:val="000000"/>
        </w:rPr>
      </w:pPr>
      <w:bookmarkStart w:id="27" w:name="_Toc11017686"/>
      <w:r w:rsidRPr="007A18B3">
        <w:t>a) Harmful Practice (art. 5</w:t>
      </w:r>
      <w:r w:rsidR="00087C7A" w:rsidRPr="007A18B3">
        <w:t xml:space="preserve"> and </w:t>
      </w:r>
      <w:r w:rsidR="00066C1F" w:rsidRPr="007A18B3">
        <w:t>JGR</w:t>
      </w:r>
      <w:r w:rsidR="00087C7A" w:rsidRPr="007A18B3">
        <w:t xml:space="preserve"> No. </w:t>
      </w:r>
      <w:r w:rsidR="00066C1F" w:rsidRPr="007A18B3">
        <w:t>31</w:t>
      </w:r>
      <w:r w:rsidR="00087C7A" w:rsidRPr="007A18B3">
        <w:t>)</w:t>
      </w:r>
      <w:r w:rsidR="00087C7A" w:rsidRPr="007A18B3">
        <w:rPr>
          <w:rFonts w:eastAsia="Baskerville-SemiBold"/>
          <w:color w:val="000000"/>
        </w:rPr>
        <w:t xml:space="preserve"> </w:t>
      </w:r>
      <w:r w:rsidR="00087C7A" w:rsidRPr="007A18B3">
        <w:rPr>
          <w:rStyle w:val="Funotenzeichen"/>
          <w:rFonts w:ascii="Times New Roman" w:eastAsia="Baskerville" w:hAnsi="Times New Roman" w:cs="Times New Roman"/>
          <w:b w:val="0"/>
          <w:bCs w:val="0"/>
          <w:iCs w:val="0"/>
          <w:color w:val="000000"/>
        </w:rPr>
        <w:footnoteReference w:id="40"/>
      </w:r>
      <w:bookmarkEnd w:id="27"/>
    </w:p>
    <w:p w14:paraId="65D45AB2" w14:textId="3F8FB3D7" w:rsidR="00460A5D" w:rsidRPr="007A18B3" w:rsidRDefault="00F872F6" w:rsidP="00321F0A">
      <w:pPr>
        <w:pStyle w:val="absatzschattenbericht"/>
      </w:pPr>
      <w:r w:rsidRPr="007A18B3">
        <w:rPr>
          <w:rFonts w:eastAsia="Baskerville-SemiBold"/>
          <w:b/>
          <w:bCs/>
        </w:rPr>
        <w:t>Article 5</w:t>
      </w:r>
      <w:r w:rsidR="00460A5D" w:rsidRPr="007A18B3">
        <w:rPr>
          <w:rFonts w:eastAsia="Baskerville-SemiBold"/>
          <w:b/>
          <w:bCs/>
        </w:rPr>
        <w:t xml:space="preserve"> (a)</w:t>
      </w:r>
      <w:r w:rsidR="00087C7A" w:rsidRPr="007A18B3">
        <w:rPr>
          <w:rFonts w:eastAsia="Baskerville-SemiBold"/>
          <w:b/>
          <w:bCs/>
        </w:rPr>
        <w:t xml:space="preserve"> </w:t>
      </w:r>
      <w:r w:rsidRPr="007A18B3">
        <w:rPr>
          <w:rFonts w:eastAsia="Baskerville-SemiBold"/>
          <w:b/>
          <w:bCs/>
        </w:rPr>
        <w:t>CEDAW</w:t>
      </w:r>
      <w:r w:rsidR="00087C7A" w:rsidRPr="007A18B3">
        <w:t xml:space="preserve"> calls on states to </w:t>
      </w:r>
      <w:r w:rsidR="00460A5D" w:rsidRPr="007A18B3">
        <w:t>eliminate</w:t>
      </w:r>
      <w:r w:rsidR="00087C7A" w:rsidRPr="007A18B3">
        <w:t xml:space="preserve"> harmful </w:t>
      </w:r>
      <w:r w:rsidR="00460A5D" w:rsidRPr="00D3133C">
        <w:rPr>
          <w:i/>
        </w:rPr>
        <w:t>“</w:t>
      </w:r>
      <w:r w:rsidR="007A18B3" w:rsidRPr="00D3133C">
        <w:rPr>
          <w:i/>
        </w:rPr>
        <w:t>prejudices and customary and all other practices which are based on the idea of the inferiority or the superiority of either of the sexes or on stereotyped roles for men and women</w:t>
      </w:r>
      <w:r w:rsidR="00460A5D" w:rsidRPr="00D3133C">
        <w:rPr>
          <w:i/>
        </w:rPr>
        <w:t>”</w:t>
      </w:r>
      <w:r w:rsidR="007A18B3" w:rsidRPr="00D3133C">
        <w:rPr>
          <w:i/>
        </w:rPr>
        <w:t>.</w:t>
      </w:r>
      <w:r w:rsidR="007A18B3" w:rsidRPr="007A18B3">
        <w:t xml:space="preserve"> </w:t>
      </w:r>
      <w:r w:rsidR="00087C7A" w:rsidRPr="007A18B3">
        <w:t>While the initial point of reference for the term was the example of Female Genital Mutilation/Cutting (FGM/C), the term consciously wasn’t limited to FGM/C, but meant to include all forms of harmful, violent, and/or invasive traditional or customary practices.</w:t>
      </w:r>
      <w:r w:rsidR="00087C7A" w:rsidRPr="007A18B3">
        <w:rPr>
          <w:rStyle w:val="Funotenzeichen"/>
          <w:rFonts w:cs="Times New Roman"/>
        </w:rPr>
        <w:footnoteReference w:id="41"/>
      </w:r>
      <w:r w:rsidR="00087C7A" w:rsidRPr="007A18B3">
        <w:rPr>
          <w:rStyle w:val="Funotenzeichen"/>
          <w:rFonts w:cs="Times New Roman"/>
        </w:rPr>
        <w:t xml:space="preserve"> </w:t>
      </w:r>
    </w:p>
    <w:p w14:paraId="75F435AB" w14:textId="79703A40" w:rsidR="00087C7A" w:rsidRPr="0009169E" w:rsidRDefault="00087C7A" w:rsidP="00321F0A">
      <w:pPr>
        <w:pStyle w:val="absatzschattenbericht"/>
      </w:pPr>
      <w:r w:rsidRPr="0009169E">
        <w:t xml:space="preserve">The Committee has repeatedly considered IGM as a </w:t>
      </w:r>
      <w:r w:rsidRPr="007A18B3">
        <w:rPr>
          <w:b/>
          <w:bCs/>
        </w:rPr>
        <w:t>harmful practice</w:t>
      </w:r>
      <w:r w:rsidRPr="0009169E">
        <w:t xml:space="preserve">, and the </w:t>
      </w:r>
      <w:r w:rsidR="00F6699F" w:rsidRPr="007A18B3">
        <w:rPr>
          <w:b/>
          <w:bCs/>
        </w:rPr>
        <w:t>CEDAW/CRC Joint general recommendation No. 31/18</w:t>
      </w:r>
      <w:r w:rsidRPr="0009169E">
        <w:t xml:space="preserve"> on harmful practices as applicable.</w:t>
      </w:r>
      <w:r w:rsidRPr="00A23F1D">
        <w:rPr>
          <w:rStyle w:val="Funotenzeichen"/>
          <w:rFonts w:cs="Times New Roman"/>
        </w:rPr>
        <w:footnoteReference w:id="42"/>
      </w:r>
      <w:r w:rsidRPr="0009169E">
        <w:t xml:space="preserve"> </w:t>
      </w:r>
    </w:p>
    <w:p w14:paraId="34BBCE71" w14:textId="77777777" w:rsidR="00087C7A" w:rsidRPr="0009169E" w:rsidRDefault="00087C7A" w:rsidP="00321F0A">
      <w:pPr>
        <w:pStyle w:val="absatzschattenbericht"/>
      </w:pPr>
      <w:r w:rsidRPr="0009169E">
        <w:t xml:space="preserve">Harmful practices (and inhuman treatment) have been identified by intersex advocates as the </w:t>
      </w:r>
      <w:r w:rsidRPr="0009169E">
        <w:rPr>
          <w:rFonts w:eastAsia="Baskerville-SemiBold"/>
          <w:b/>
          <w:bCs/>
        </w:rPr>
        <w:t>most effective, well established and applicable human rights frameworks</w:t>
      </w:r>
      <w:r w:rsidRPr="0009169E">
        <w:t xml:space="preserve"> to eliminate IGM practices and to end the impunity of the perpetrators.</w:t>
      </w:r>
      <w:r w:rsidRPr="0009169E">
        <w:rPr>
          <w:rStyle w:val="Funotenzeichen"/>
          <w:rFonts w:asciiTheme="majorBidi" w:hAnsiTheme="majorBidi" w:cstheme="majorBidi"/>
          <w:position w:val="6"/>
        </w:rPr>
        <w:footnoteReference w:id="43"/>
      </w:r>
    </w:p>
    <w:p w14:paraId="23EB9F7E" w14:textId="46368E61" w:rsidR="00087C7A" w:rsidRPr="0009169E" w:rsidRDefault="00087C7A" w:rsidP="00321F0A">
      <w:pPr>
        <w:pStyle w:val="absatzschattenbericht"/>
      </w:pPr>
      <w:r w:rsidRPr="0009169E">
        <w:t xml:space="preserve">The </w:t>
      </w:r>
      <w:r w:rsidRPr="0009169E">
        <w:rPr>
          <w:rFonts w:eastAsia="Baskerville-SemiBold"/>
          <w:b/>
          <w:bCs/>
        </w:rPr>
        <w:t xml:space="preserve">Joint </w:t>
      </w:r>
      <w:r w:rsidR="00F6699F">
        <w:rPr>
          <w:rFonts w:eastAsia="Baskerville-SemiBold"/>
          <w:b/>
          <w:bCs/>
        </w:rPr>
        <w:t xml:space="preserve">general recommendation </w:t>
      </w:r>
      <w:r w:rsidRPr="0009169E">
        <w:rPr>
          <w:rFonts w:eastAsia="Baskerville-SemiBold"/>
          <w:b/>
          <w:bCs/>
        </w:rPr>
        <w:t xml:space="preserve">No. </w:t>
      </w:r>
      <w:r w:rsidR="00F6699F">
        <w:rPr>
          <w:rFonts w:eastAsia="Baskerville-SemiBold"/>
          <w:b/>
          <w:bCs/>
        </w:rPr>
        <w:t>31</w:t>
      </w:r>
      <w:r w:rsidRPr="0009169E">
        <w:rPr>
          <w:rFonts w:eastAsia="Baskerville-SemiBold"/>
          <w:b/>
          <w:bCs/>
        </w:rPr>
        <w:t xml:space="preserve"> “on harmful practices”</w:t>
      </w:r>
      <w:r w:rsidRPr="0009169E">
        <w:t xml:space="preserve"> </w:t>
      </w:r>
      <w:r w:rsidRPr="00D3133C">
        <w:rPr>
          <w:i/>
        </w:rPr>
        <w:t xml:space="preserve">“call[s] upon States parties to </w:t>
      </w:r>
      <w:r w:rsidRPr="00D3133C">
        <w:rPr>
          <w:rFonts w:eastAsia="Baskerville-SemiBoldItalic"/>
          <w:b/>
          <w:bCs/>
          <w:i/>
        </w:rPr>
        <w:t>explicitly prohibit by law and adequately sanction or criminalize</w:t>
      </w:r>
      <w:r w:rsidRPr="00D3133C">
        <w:rPr>
          <w:i/>
        </w:rPr>
        <w:t xml:space="preserve"> harmful practices, in accordance with the gravity of the offence and harm caused, provide for means of prevention, protection, recovery, </w:t>
      </w:r>
      <w:r w:rsidRPr="00D3133C">
        <w:rPr>
          <w:rFonts w:eastAsia="Baskerville-SemiBoldItalic"/>
          <w:b/>
          <w:bCs/>
          <w:i/>
        </w:rPr>
        <w:t>reintegration and redress for victims</w:t>
      </w:r>
      <w:r w:rsidRPr="00D3133C">
        <w:rPr>
          <w:i/>
        </w:rPr>
        <w:t xml:space="preserve"> and </w:t>
      </w:r>
      <w:r w:rsidRPr="00D3133C">
        <w:rPr>
          <w:rFonts w:eastAsia="Baskerville-SemiBoldItalic"/>
          <w:b/>
          <w:bCs/>
          <w:i/>
        </w:rPr>
        <w:t>combat impunity</w:t>
      </w:r>
      <w:r w:rsidRPr="00D3133C">
        <w:rPr>
          <w:i/>
        </w:rPr>
        <w:t xml:space="preserve"> for harmful practices”</w:t>
      </w:r>
      <w:r w:rsidRPr="0009169E">
        <w:t xml:space="preserve"> (para 13). </w:t>
      </w:r>
    </w:p>
    <w:p w14:paraId="21526178" w14:textId="0FE02B6D" w:rsidR="00087C7A" w:rsidRPr="0009169E" w:rsidRDefault="00F6699F" w:rsidP="00321F0A">
      <w:pPr>
        <w:pStyle w:val="absatzschattenbericht"/>
        <w:rPr>
          <w:rFonts w:eastAsia="Baskerville-Italic"/>
        </w:rPr>
      </w:pPr>
      <w:r>
        <w:t xml:space="preserve">Particularly, the Joint general recommendation </w:t>
      </w:r>
      <w:r w:rsidR="00087C7A" w:rsidRPr="0009169E">
        <w:t xml:space="preserve">further underlines the need for a </w:t>
      </w:r>
      <w:r w:rsidR="00087C7A" w:rsidRPr="00D3133C">
        <w:rPr>
          <w:rFonts w:eastAsia="Baskerville-SemiBoldItalic"/>
          <w:b/>
          <w:bCs/>
          <w:i/>
        </w:rPr>
        <w:t>“Holistic framework</w:t>
      </w:r>
      <w:r w:rsidR="00087C7A" w:rsidRPr="00D3133C">
        <w:rPr>
          <w:rFonts w:eastAsia="Baskerville-Italic"/>
          <w:i/>
        </w:rPr>
        <w:t xml:space="preserve"> for addressing harmful practices”</w:t>
      </w:r>
      <w:r w:rsidR="00087C7A" w:rsidRPr="0009169E">
        <w:t xml:space="preserve"> (paras 31–36), including </w:t>
      </w:r>
      <w:r w:rsidR="00087C7A" w:rsidRPr="00D3133C">
        <w:rPr>
          <w:rFonts w:eastAsia="Baskerville-SemiBoldItalic"/>
          <w:b/>
          <w:bCs/>
          <w:i/>
        </w:rPr>
        <w:t xml:space="preserve">“legislative, policy and </w:t>
      </w:r>
      <w:r w:rsidR="00087C7A" w:rsidRPr="00D3133C">
        <w:rPr>
          <w:rFonts w:eastAsia="Baskerville-SemiBoldItalic"/>
          <w:b/>
          <w:bCs/>
          <w:i/>
        </w:rPr>
        <w:lastRenderedPageBreak/>
        <w:t>other appropriate measures</w:t>
      </w:r>
      <w:r w:rsidR="00087C7A" w:rsidRPr="00D3133C">
        <w:rPr>
          <w:rFonts w:eastAsia="Baskerville-Italic"/>
          <w:i/>
        </w:rPr>
        <w:t xml:space="preserve"> that must be taken to ensure full compliance with [state parties’] obligations under the Conventions to eliminate harmful practices”</w:t>
      </w:r>
      <w:r w:rsidR="00087C7A" w:rsidRPr="00D3133C">
        <w:rPr>
          <w:i/>
        </w:rPr>
        <w:t xml:space="preserve"> </w:t>
      </w:r>
      <w:r w:rsidR="00087C7A" w:rsidRPr="0009169E">
        <w:t xml:space="preserve">(para 2), as well as </w:t>
      </w:r>
    </w:p>
    <w:p w14:paraId="7071F103" w14:textId="77777777" w:rsidR="00087C7A" w:rsidRPr="0009169E" w:rsidRDefault="00087C7A" w:rsidP="00D1014B">
      <w:pPr>
        <w:pStyle w:val="absatzschattenbericht"/>
        <w:numPr>
          <w:ilvl w:val="0"/>
          <w:numId w:val="28"/>
        </w:numPr>
        <w:spacing w:after="40"/>
        <w:ind w:left="714" w:hanging="357"/>
      </w:pPr>
      <w:r w:rsidRPr="00D3133C">
        <w:rPr>
          <w:i/>
        </w:rPr>
        <w:t>“Data collection and monitoring”</w:t>
      </w:r>
      <w:r w:rsidRPr="0009169E">
        <w:t xml:space="preserve"> (paras 37–39)</w:t>
      </w:r>
    </w:p>
    <w:p w14:paraId="5E37F7AD" w14:textId="77777777" w:rsidR="00087C7A" w:rsidRPr="0009169E" w:rsidRDefault="00087C7A" w:rsidP="00D1014B">
      <w:pPr>
        <w:pStyle w:val="absatzschattenbericht"/>
        <w:numPr>
          <w:ilvl w:val="0"/>
          <w:numId w:val="28"/>
        </w:numPr>
        <w:spacing w:after="40"/>
        <w:ind w:left="714" w:hanging="357"/>
      </w:pPr>
      <w:r w:rsidRPr="00D3133C">
        <w:rPr>
          <w:i/>
        </w:rPr>
        <w:t xml:space="preserve">“Legislation and its enforcement” </w:t>
      </w:r>
      <w:r w:rsidRPr="0009169E">
        <w:t xml:space="preserve">(paras 40–55), particularly: </w:t>
      </w:r>
    </w:p>
    <w:p w14:paraId="24257DCB" w14:textId="77777777" w:rsidR="00087C7A" w:rsidRPr="0009169E" w:rsidRDefault="00087C7A" w:rsidP="00D1014B">
      <w:pPr>
        <w:pStyle w:val="absatzschattenbericht"/>
        <w:numPr>
          <w:ilvl w:val="0"/>
          <w:numId w:val="28"/>
        </w:numPr>
        <w:spacing w:after="40"/>
        <w:ind w:left="714" w:hanging="357"/>
        <w:rPr>
          <w:rFonts w:eastAsia="Baskerville-Italic"/>
        </w:rPr>
      </w:pPr>
      <w:r w:rsidRPr="00D3133C">
        <w:rPr>
          <w:rFonts w:eastAsia="Baskerville-Italic"/>
          <w:i/>
        </w:rPr>
        <w:t>“</w:t>
      </w:r>
      <w:r w:rsidRPr="00D3133C">
        <w:rPr>
          <w:i/>
        </w:rPr>
        <w:t xml:space="preserve">adequate civil and/or administrative legislative provisions” </w:t>
      </w:r>
      <w:r w:rsidRPr="0009169E">
        <w:t xml:space="preserve">(para 55 (d)) </w:t>
      </w:r>
    </w:p>
    <w:p w14:paraId="4D579555" w14:textId="77777777" w:rsidR="00087C7A" w:rsidRPr="0009169E" w:rsidRDefault="00087C7A" w:rsidP="00D1014B">
      <w:pPr>
        <w:pStyle w:val="absatzschattenbericht"/>
        <w:numPr>
          <w:ilvl w:val="0"/>
          <w:numId w:val="28"/>
        </w:numPr>
        <w:spacing w:after="40"/>
        <w:ind w:left="714" w:hanging="357"/>
        <w:rPr>
          <w:rFonts w:eastAsia="Baskerville-SemiBoldItalic"/>
          <w:b/>
          <w:bCs/>
          <w:w w:val="99"/>
        </w:rPr>
      </w:pPr>
      <w:r w:rsidRPr="00D3133C">
        <w:rPr>
          <w:i/>
        </w:rPr>
        <w:t xml:space="preserve">“provisions on </w:t>
      </w:r>
      <w:r w:rsidRPr="00D3133C">
        <w:rPr>
          <w:rFonts w:eastAsia="Baskerville-SemiBoldItalic"/>
          <w:b/>
          <w:bCs/>
          <w:i/>
        </w:rPr>
        <w:t>regular evaluation and monitoring</w:t>
      </w:r>
      <w:r w:rsidRPr="00D3133C">
        <w:rPr>
          <w:i/>
        </w:rPr>
        <w:t>, including in relation to implementation, enforcement and follow-up”</w:t>
      </w:r>
      <w:r w:rsidRPr="00F6699F">
        <w:t xml:space="preserve"> </w:t>
      </w:r>
      <w:r w:rsidRPr="0009169E">
        <w:t xml:space="preserve">(para 55 (n)) </w:t>
      </w:r>
    </w:p>
    <w:p w14:paraId="3408CDBF" w14:textId="77777777" w:rsidR="00087C7A" w:rsidRPr="00612231" w:rsidRDefault="00087C7A" w:rsidP="00D1014B">
      <w:pPr>
        <w:pStyle w:val="absatzschattenbericht"/>
        <w:numPr>
          <w:ilvl w:val="0"/>
          <w:numId w:val="28"/>
        </w:numPr>
        <w:spacing w:after="40"/>
        <w:ind w:left="714" w:hanging="357"/>
        <w:rPr>
          <w:rFonts w:eastAsia="Baskerville-Italic"/>
        </w:rPr>
      </w:pPr>
      <w:r w:rsidRPr="002144D0">
        <w:rPr>
          <w:b/>
          <w:i/>
        </w:rPr>
        <w:t>“equal access to justice,</w:t>
      </w:r>
      <w:r w:rsidRPr="00D3133C">
        <w:rPr>
          <w:rFonts w:eastAsia="Baskerville-Italic"/>
          <w:i/>
        </w:rPr>
        <w:t xml:space="preserve"> including by </w:t>
      </w:r>
      <w:r w:rsidRPr="002144D0">
        <w:rPr>
          <w:b/>
          <w:i/>
        </w:rPr>
        <w:t>addressing legal and practical barriers to initiating legal proceedings, such as the limitation period,</w:t>
      </w:r>
      <w:r w:rsidRPr="00D3133C">
        <w:rPr>
          <w:rFonts w:eastAsia="Baskerville-Italic"/>
          <w:i/>
        </w:rPr>
        <w:t xml:space="preserve"> and that the </w:t>
      </w:r>
      <w:r w:rsidRPr="002144D0">
        <w:rPr>
          <w:b/>
          <w:i/>
        </w:rPr>
        <w:t>perpetrators and those who aid or condone such practices are held accountable”</w:t>
      </w:r>
      <w:r w:rsidRPr="00612231">
        <w:t xml:space="preserve"> (para 55 (o))</w:t>
      </w:r>
    </w:p>
    <w:p w14:paraId="50C9F97E" w14:textId="77777777" w:rsidR="00087C7A" w:rsidRPr="0009169E" w:rsidRDefault="00087C7A" w:rsidP="00321F0A">
      <w:pPr>
        <w:pStyle w:val="absatzschattenbericht"/>
        <w:numPr>
          <w:ilvl w:val="0"/>
          <w:numId w:val="28"/>
        </w:numPr>
      </w:pPr>
      <w:r w:rsidRPr="00D3133C">
        <w:rPr>
          <w:rFonts w:eastAsia="Baskerville-Italic"/>
          <w:i/>
        </w:rPr>
        <w:t xml:space="preserve">“equal access to </w:t>
      </w:r>
      <w:r w:rsidRPr="00D3133C">
        <w:rPr>
          <w:b/>
          <w:bCs/>
          <w:i/>
        </w:rPr>
        <w:t>legal remedies and appropriate reparations</w:t>
      </w:r>
      <w:r w:rsidRPr="00D3133C">
        <w:rPr>
          <w:rFonts w:eastAsia="Baskerville-Italic"/>
          <w:i/>
        </w:rPr>
        <w:t xml:space="preserve"> in practice”</w:t>
      </w:r>
      <w:r w:rsidRPr="00612231">
        <w:t xml:space="preserve"> </w:t>
      </w:r>
      <w:r w:rsidRPr="0009169E">
        <w:t>(para 55 (q)).</w:t>
      </w:r>
    </w:p>
    <w:p w14:paraId="6F754032" w14:textId="06917F70" w:rsidR="00087C7A" w:rsidRPr="0009169E" w:rsidRDefault="00087C7A" w:rsidP="00321F0A">
      <w:pPr>
        <w:pStyle w:val="absatzschattenbericht"/>
      </w:pPr>
      <w:r w:rsidRPr="0009169E">
        <w:t>Last b</w:t>
      </w:r>
      <w:r w:rsidR="00F6699F">
        <w:t xml:space="preserve">ut not least, the Joint general recommendation </w:t>
      </w:r>
      <w:r w:rsidRPr="0009169E">
        <w:t xml:space="preserve">explicitly stipulates: </w:t>
      </w:r>
      <w:r w:rsidRPr="00D3133C">
        <w:rPr>
          <w:i/>
        </w:rPr>
        <w:t xml:space="preserve">“Where </w:t>
      </w:r>
      <w:r w:rsidRPr="00D3133C">
        <w:rPr>
          <w:rFonts w:eastAsia="Baskerville-SemiBoldItalic"/>
          <w:b/>
          <w:bCs/>
          <w:i/>
        </w:rPr>
        <w:t xml:space="preserve">medical professionals </w:t>
      </w:r>
      <w:r w:rsidRPr="00D3133C">
        <w:rPr>
          <w:i/>
        </w:rPr>
        <w:t>or government employees or civil servants</w:t>
      </w:r>
      <w:r w:rsidRPr="00D3133C">
        <w:rPr>
          <w:rFonts w:eastAsia="Baskerville-SemiBoldItalic"/>
          <w:b/>
          <w:bCs/>
          <w:i/>
        </w:rPr>
        <w:t xml:space="preserve"> are involved or complicit in carrying out harmful practices,</w:t>
      </w:r>
      <w:r w:rsidRPr="00D3133C">
        <w:rPr>
          <w:i/>
        </w:rPr>
        <w:t xml:space="preserve"> their status and responsibility, including to report, should be seen as an </w:t>
      </w:r>
      <w:r w:rsidRPr="00D3133C">
        <w:rPr>
          <w:rFonts w:eastAsia="Baskerville-SemiBoldItalic"/>
          <w:b/>
          <w:bCs/>
          <w:i/>
        </w:rPr>
        <w:t>aggravating circumstance in the determination of criminal sanctions or administrative sanctions such as loss of a professional licence or termination of contract,</w:t>
      </w:r>
      <w:r w:rsidRPr="00D3133C">
        <w:rPr>
          <w:i/>
        </w:rPr>
        <w:t xml:space="preserve"> which should be preceded by the issuance of warnings. </w:t>
      </w:r>
      <w:r w:rsidRPr="00D3133C">
        <w:rPr>
          <w:rFonts w:eastAsia="Baskerville-SemiBoldItalic"/>
          <w:b/>
          <w:bCs/>
          <w:i/>
        </w:rPr>
        <w:t>Systematic training</w:t>
      </w:r>
      <w:r w:rsidRPr="00D3133C">
        <w:rPr>
          <w:i/>
        </w:rPr>
        <w:t xml:space="preserve"> for relevant professionals is considered to be an effective preventive measure in this regard.” </w:t>
      </w:r>
      <w:r w:rsidRPr="0009169E">
        <w:t>(para 50)</w:t>
      </w:r>
    </w:p>
    <w:p w14:paraId="002CADD0" w14:textId="52EC0509" w:rsidR="00087C7A" w:rsidRDefault="00087C7A" w:rsidP="00321F0A">
      <w:pPr>
        <w:pStyle w:val="absatzschattenbericht"/>
      </w:pPr>
      <w:r w:rsidRPr="000457A1">
        <w:t xml:space="preserve">Thus, </w:t>
      </w:r>
      <w:r w:rsidRPr="000457A1">
        <w:rPr>
          <w:rFonts w:eastAsia="Baskerville-Bold"/>
          <w:b/>
          <w:bCs/>
        </w:rPr>
        <w:t>IGM practices in Spain</w:t>
      </w:r>
      <w:r w:rsidRPr="000457A1">
        <w:t xml:space="preserve"> – as well as the </w:t>
      </w:r>
      <w:r w:rsidRPr="000457A1">
        <w:rPr>
          <w:rFonts w:eastAsia="Baskerville-SemiBold"/>
        </w:rPr>
        <w:t>failure of the state party to enact effective legislative, administrative, social and educational measures</w:t>
      </w:r>
      <w:r w:rsidRPr="000457A1">
        <w:t xml:space="preserve"> to eliminate them and to ensure effective access to remedies and redr</w:t>
      </w:r>
      <w:r w:rsidR="00F872F6" w:rsidRPr="000457A1">
        <w:t xml:space="preserve">ess – </w:t>
      </w:r>
      <w:r w:rsidR="00F872F6" w:rsidRPr="000457A1">
        <w:rPr>
          <w:b/>
          <w:bCs/>
        </w:rPr>
        <w:t>clearly violate Article 5 CEDAW</w:t>
      </w:r>
      <w:r w:rsidRPr="000457A1">
        <w:t xml:space="preserve">, as well as the </w:t>
      </w:r>
      <w:r w:rsidR="00066C1F" w:rsidRPr="000457A1">
        <w:rPr>
          <w:b/>
          <w:bCs/>
        </w:rPr>
        <w:t>CEDAW/CRC Joint general recommendation No. 31/18</w:t>
      </w:r>
      <w:r w:rsidRPr="000457A1">
        <w:t xml:space="preserve"> on harmful practices.</w:t>
      </w:r>
    </w:p>
    <w:p w14:paraId="23A1B04D" w14:textId="6B179E18" w:rsidR="007E5E94" w:rsidRPr="00C73ECD" w:rsidRDefault="007E5E94" w:rsidP="007E5E94">
      <w:pPr>
        <w:pStyle w:val="Title3"/>
      </w:pPr>
      <w:bookmarkStart w:id="28" w:name="_Toc453620712"/>
      <w:bookmarkStart w:id="29" w:name="_Toc11017687"/>
      <w:r w:rsidRPr="00C73ECD">
        <w:t xml:space="preserve">b) </w:t>
      </w:r>
      <w:r w:rsidR="004C04B8">
        <w:t>Violence (a</w:t>
      </w:r>
      <w:r w:rsidRPr="00C73ECD">
        <w:t>rticle</w:t>
      </w:r>
      <w:r w:rsidR="00125038">
        <w:t>s</w:t>
      </w:r>
      <w:r w:rsidRPr="00C73ECD">
        <w:t xml:space="preserve"> 1</w:t>
      </w:r>
      <w:r w:rsidR="00125038">
        <w:t xml:space="preserve"> and 2</w:t>
      </w:r>
      <w:r w:rsidRPr="00C73ECD">
        <w:t xml:space="preserve"> in conjunction with General recommendation No. </w:t>
      </w:r>
      <w:bookmarkEnd w:id="28"/>
      <w:r w:rsidR="007B4C12">
        <w:t>35</w:t>
      </w:r>
      <w:bookmarkEnd w:id="29"/>
      <w:r w:rsidR="004C04B8">
        <w:t>)</w:t>
      </w:r>
    </w:p>
    <w:p w14:paraId="0CF53AA4" w14:textId="7E2497CA" w:rsidR="007E5E94" w:rsidRPr="00354869" w:rsidRDefault="007E5E94" w:rsidP="00321F0A">
      <w:pPr>
        <w:pStyle w:val="absatzschattenbericht"/>
        <w:rPr>
          <w:i/>
          <w:iCs/>
        </w:rPr>
      </w:pPr>
      <w:r>
        <w:t xml:space="preserve">In addition, due to their nature, IGM practices clearly also constitute a form of </w:t>
      </w:r>
      <w:r>
        <w:rPr>
          <w:b/>
          <w:bCs/>
        </w:rPr>
        <w:t>gender-based violence</w:t>
      </w:r>
      <w:r>
        <w:t>, and thus also article</w:t>
      </w:r>
      <w:r w:rsidR="00125038">
        <w:t>s 1 and 2</w:t>
      </w:r>
      <w:r>
        <w:t xml:space="preserve"> of the convention in conjunction with the Committee’s </w:t>
      </w:r>
      <w:r>
        <w:rPr>
          <w:b/>
          <w:bCs/>
        </w:rPr>
        <w:t xml:space="preserve">General recommendation No. </w:t>
      </w:r>
      <w:r w:rsidR="007B4C12">
        <w:rPr>
          <w:b/>
          <w:bCs/>
        </w:rPr>
        <w:t>35</w:t>
      </w:r>
      <w:r>
        <w:t xml:space="preserve"> </w:t>
      </w:r>
      <w:r w:rsidR="00123020">
        <w:t>may apply</w:t>
      </w:r>
      <w:r>
        <w:t>, which further und</w:t>
      </w:r>
      <w:r w:rsidR="007B4C12">
        <w:t>erline the right to life (paras 15, 31</w:t>
      </w:r>
      <w:r>
        <w:t>(a)</w:t>
      </w:r>
      <w:r w:rsidR="007B4C12">
        <w:t>(ii)</w:t>
      </w:r>
      <w:r>
        <w:t>) and the right to protection from ill-treatment (CIDT) (para</w:t>
      </w:r>
      <w:r w:rsidR="007B4C12">
        <w:t>s 15-17</w:t>
      </w:r>
      <w:r>
        <w:t>).</w:t>
      </w:r>
    </w:p>
    <w:p w14:paraId="7D18EFEC" w14:textId="61EBFACA" w:rsidR="007E5E94" w:rsidRPr="00354869" w:rsidRDefault="007E5E94" w:rsidP="00321F0A">
      <w:pPr>
        <w:pStyle w:val="absatzschattenbericht"/>
        <w:rPr>
          <w:i/>
          <w:iCs/>
        </w:rPr>
      </w:pPr>
      <w:r>
        <w:t xml:space="preserve">Regarding ill-treatment (GR </w:t>
      </w:r>
      <w:r w:rsidR="00F80470">
        <w:t>35</w:t>
      </w:r>
      <w:r>
        <w:t xml:space="preserve"> para</w:t>
      </w:r>
      <w:r w:rsidR="00F80470">
        <w:t>s 15-17</w:t>
      </w:r>
      <w:r>
        <w:t>), since 2011 the Committee against Torture (</w:t>
      </w:r>
      <w:r>
        <w:rPr>
          <w:b/>
          <w:bCs/>
        </w:rPr>
        <w:t>CAT</w:t>
      </w:r>
      <w:r>
        <w:t xml:space="preserve">) has repeatedly examined IGM practices, and considered them as constituting </w:t>
      </w:r>
      <w:r>
        <w:rPr>
          <w:b/>
          <w:bCs/>
        </w:rPr>
        <w:t>at least ill-treatment</w:t>
      </w:r>
      <w:r>
        <w:t>.</w:t>
      </w:r>
      <w:r w:rsidRPr="006A7D3C">
        <w:rPr>
          <w:rStyle w:val="Funotenzeichen1"/>
        </w:rPr>
        <w:footnoteReference w:id="44"/>
      </w:r>
    </w:p>
    <w:p w14:paraId="7EC69727" w14:textId="1356F2F5" w:rsidR="007E5E94" w:rsidRPr="00125038" w:rsidRDefault="00125038" w:rsidP="00321F0A">
      <w:pPr>
        <w:pStyle w:val="absatzschattenbericht"/>
        <w:rPr>
          <w:b/>
        </w:rPr>
      </w:pPr>
      <w:r w:rsidRPr="00125038">
        <w:rPr>
          <w:b/>
        </w:rPr>
        <w:t>Thus, articles</w:t>
      </w:r>
      <w:r w:rsidR="007E5E94" w:rsidRPr="00125038">
        <w:rPr>
          <w:b/>
        </w:rPr>
        <w:t xml:space="preserve"> 1</w:t>
      </w:r>
      <w:r w:rsidRPr="00125038">
        <w:rPr>
          <w:b/>
        </w:rPr>
        <w:t xml:space="preserve"> and 2</w:t>
      </w:r>
      <w:r w:rsidR="007E5E94" w:rsidRPr="00125038">
        <w:rPr>
          <w:b/>
        </w:rPr>
        <w:t xml:space="preserve"> CEDAW in conjunction with GR </w:t>
      </w:r>
      <w:r w:rsidR="007B4C12" w:rsidRPr="00125038">
        <w:rPr>
          <w:b/>
        </w:rPr>
        <w:t>35</w:t>
      </w:r>
      <w:r w:rsidRPr="00125038">
        <w:rPr>
          <w:b/>
        </w:rPr>
        <w:t xml:space="preserve"> may also apply.</w:t>
      </w:r>
    </w:p>
    <w:p w14:paraId="1EEC08CB" w14:textId="16D80AC5" w:rsidR="00087C7A" w:rsidRPr="0009169E" w:rsidRDefault="00087C7A" w:rsidP="00087C7A">
      <w:pPr>
        <w:pStyle w:val="Title2"/>
        <w:rPr>
          <w:rFonts w:eastAsia="Baskerville"/>
          <w:color w:val="000000"/>
          <w:szCs w:val="24"/>
        </w:rPr>
      </w:pPr>
      <w:bookmarkStart w:id="30" w:name="_Toc11017688"/>
      <w:r w:rsidRPr="0009169E">
        <w:t>3.  Lack of Legislative Provisions to Ensure Protection from IGM Practices,</w:t>
      </w:r>
      <w:r w:rsidRPr="0009169E">
        <w:br/>
        <w:t xml:space="preserve">     Impunity </w:t>
      </w:r>
      <w:r w:rsidR="00F872F6">
        <w:t xml:space="preserve">of the Perpetrators (art. 5 </w:t>
      </w:r>
      <w:r w:rsidRPr="0009169E">
        <w:t xml:space="preserve">and </w:t>
      </w:r>
      <w:r w:rsidR="00066C1F">
        <w:t>JGR</w:t>
      </w:r>
      <w:r w:rsidRPr="0009169E">
        <w:t xml:space="preserve"> No. </w:t>
      </w:r>
      <w:r w:rsidR="00066C1F">
        <w:t>31</w:t>
      </w:r>
      <w:r w:rsidRPr="0009169E">
        <w:t xml:space="preserve">; art. </w:t>
      </w:r>
      <w:r w:rsidR="00697A04">
        <w:t>2 and GR</w:t>
      </w:r>
      <w:r w:rsidRPr="0009169E">
        <w:t xml:space="preserve"> No. </w:t>
      </w:r>
      <w:r w:rsidR="00697A04">
        <w:t>35</w:t>
      </w:r>
      <w:r w:rsidRPr="0009169E">
        <w:t>)</w:t>
      </w:r>
      <w:bookmarkEnd w:id="30"/>
    </w:p>
    <w:p w14:paraId="601A2677" w14:textId="778DCE8B" w:rsidR="00087C7A" w:rsidRPr="0009169E" w:rsidRDefault="00F872F6" w:rsidP="00321F0A">
      <w:pPr>
        <w:pStyle w:val="absatzschattenbericht"/>
      </w:pPr>
      <w:r>
        <w:t>Article 5</w:t>
      </w:r>
      <w:r w:rsidR="00087C7A" w:rsidRPr="0009169E">
        <w:t xml:space="preserve"> of the Convention in conjunction with the </w:t>
      </w:r>
      <w:r w:rsidR="00066C1F">
        <w:t>CEDAW/CRC</w:t>
      </w:r>
      <w:r w:rsidR="00066C1F" w:rsidRPr="0009169E">
        <w:t xml:space="preserve"> Joint general </w:t>
      </w:r>
      <w:r w:rsidR="00066C1F">
        <w:t xml:space="preserve">recommendation No. </w:t>
      </w:r>
      <w:r w:rsidR="00066C1F" w:rsidRPr="0009169E">
        <w:t>31</w:t>
      </w:r>
      <w:r w:rsidR="00066C1F">
        <w:t>/18</w:t>
      </w:r>
      <w:r w:rsidR="00087C7A" w:rsidRPr="0009169E">
        <w:t xml:space="preserve"> “on harmful practices” (2014) underline state parties’ obligations to </w:t>
      </w:r>
      <w:r w:rsidR="00087C7A" w:rsidRPr="0009169E">
        <w:rPr>
          <w:rFonts w:eastAsia="Baskerville-SemiBoldItalic"/>
          <w:b/>
          <w:bCs/>
          <w:i/>
          <w:iCs/>
        </w:rPr>
        <w:t>“explicitly prohibit by law and adequately sanction or criminalize</w:t>
      </w:r>
      <w:r w:rsidR="00087C7A" w:rsidRPr="0009169E">
        <w:rPr>
          <w:rFonts w:eastAsia="Baskerville-Italic"/>
          <w:i/>
          <w:iCs/>
        </w:rPr>
        <w:t xml:space="preserve"> harmful practices” </w:t>
      </w:r>
      <w:r w:rsidR="00087C7A" w:rsidRPr="0009169E">
        <w:t>(</w:t>
      </w:r>
      <w:r w:rsidR="00066C1F">
        <w:t xml:space="preserve">JGR </w:t>
      </w:r>
      <w:r w:rsidR="00087C7A" w:rsidRPr="0009169E">
        <w:t>31</w:t>
      </w:r>
      <w:r w:rsidR="00066C1F">
        <w:t>/18</w:t>
      </w:r>
      <w:r w:rsidR="00087C7A" w:rsidRPr="0009169E">
        <w:t xml:space="preserve">, para 13), as well as to </w:t>
      </w:r>
      <w:r w:rsidR="00087C7A" w:rsidRPr="0009169E">
        <w:rPr>
          <w:rFonts w:eastAsia="Baskerville-SemiBoldItalic"/>
          <w:b/>
          <w:bCs/>
          <w:i/>
          <w:iCs/>
        </w:rPr>
        <w:t>“adopt or amend legislation</w:t>
      </w:r>
      <w:r w:rsidR="00087C7A" w:rsidRPr="0009169E">
        <w:rPr>
          <w:rFonts w:eastAsia="Baskerville-Italic"/>
          <w:i/>
          <w:iCs/>
        </w:rPr>
        <w:t xml:space="preserve"> with a view to effectively addressing and eliminating harmful practices”</w:t>
      </w:r>
      <w:r w:rsidR="00066C1F">
        <w:t xml:space="preserve"> (JGR 31/18</w:t>
      </w:r>
      <w:r w:rsidR="00087C7A" w:rsidRPr="0009169E">
        <w:t xml:space="preserve">, para 55), and specifically to ensure </w:t>
      </w:r>
      <w:r w:rsidR="00087C7A" w:rsidRPr="0009169E">
        <w:rPr>
          <w:rFonts w:eastAsia="Baskerville-Italic"/>
          <w:i/>
          <w:iCs/>
        </w:rPr>
        <w:t xml:space="preserve">“that the </w:t>
      </w:r>
      <w:r w:rsidR="00087C7A" w:rsidRPr="0009169E">
        <w:rPr>
          <w:rFonts w:eastAsia="Baskerville-SemiBoldItalic"/>
          <w:b/>
          <w:bCs/>
          <w:i/>
          <w:iCs/>
        </w:rPr>
        <w:t xml:space="preserve">perpetrators and those who aid or condone such practices are held accountable” </w:t>
      </w:r>
      <w:r w:rsidR="00066C1F">
        <w:t xml:space="preserve">(JGR </w:t>
      </w:r>
      <w:r w:rsidR="00087C7A" w:rsidRPr="0009169E">
        <w:t>31</w:t>
      </w:r>
      <w:r w:rsidR="00066C1F">
        <w:t>/18</w:t>
      </w:r>
      <w:r w:rsidR="00087C7A" w:rsidRPr="0009169E">
        <w:t>, para 55 (o)).</w:t>
      </w:r>
    </w:p>
    <w:p w14:paraId="66429173" w14:textId="71485B0E" w:rsidR="00087C7A" w:rsidRPr="00697A04" w:rsidRDefault="00087C7A" w:rsidP="00321F0A">
      <w:pPr>
        <w:pStyle w:val="absatzschattenbericht"/>
        <w:rPr>
          <w:rFonts w:eastAsia="Baskerville-SemiBoldItalic"/>
          <w:b/>
          <w:bCs/>
          <w:i/>
        </w:rPr>
      </w:pPr>
      <w:r w:rsidRPr="0009169E">
        <w:lastRenderedPageBreak/>
        <w:t xml:space="preserve">Also Article </w:t>
      </w:r>
      <w:r w:rsidR="00697A04">
        <w:t>2(f)</w:t>
      </w:r>
      <w:r w:rsidRPr="0009169E">
        <w:t xml:space="preserve"> of the Convention calls upon states to </w:t>
      </w:r>
      <w:r w:rsidRPr="00697A04">
        <w:rPr>
          <w:rFonts w:eastAsia="Baskerville-SemiBoldItalic"/>
          <w:bCs/>
          <w:i/>
        </w:rPr>
        <w:t>“</w:t>
      </w:r>
      <w:r w:rsidRPr="00697A04">
        <w:rPr>
          <w:rFonts w:eastAsia="Baskerville-SemiBoldItalic"/>
          <w:b/>
          <w:bCs/>
          <w:i/>
        </w:rPr>
        <w:t xml:space="preserve">take all appropriate </w:t>
      </w:r>
      <w:r w:rsidR="00697A04" w:rsidRPr="00697A04">
        <w:rPr>
          <w:rFonts w:eastAsia="Baskerville-SemiBoldItalic"/>
          <w:b/>
          <w:bCs/>
          <w:i/>
        </w:rPr>
        <w:t>measures, including legislation</w:t>
      </w:r>
      <w:r w:rsidR="00697A04" w:rsidRPr="00697A04">
        <w:rPr>
          <w:rFonts w:eastAsia="Baskerville-SemiBoldItalic"/>
          <w:bCs/>
          <w:i/>
        </w:rPr>
        <w:t>, to modify or abolish existing laws, regulations, customs and practices which constitute discrimination against women</w:t>
      </w:r>
      <w:r w:rsidRPr="00697A04">
        <w:rPr>
          <w:rFonts w:eastAsia="Baskerville-Italic"/>
          <w:i/>
        </w:rPr>
        <w:t>”</w:t>
      </w:r>
      <w:r w:rsidRPr="0009169E">
        <w:t xml:space="preserve">, and the General </w:t>
      </w:r>
      <w:r w:rsidR="00697A04">
        <w:t>recommendation</w:t>
      </w:r>
      <w:r w:rsidRPr="0009169E">
        <w:t xml:space="preserve"> No. </w:t>
      </w:r>
      <w:r w:rsidR="00697A04">
        <w:t>35</w:t>
      </w:r>
      <w:r w:rsidRPr="0009169E">
        <w:t xml:space="preserve"> </w:t>
      </w:r>
      <w:r w:rsidRPr="00D3133C">
        <w:rPr>
          <w:i/>
        </w:rPr>
        <w:t>“</w:t>
      </w:r>
      <w:r w:rsidR="00697A04">
        <w:rPr>
          <w:i/>
        </w:rPr>
        <w:t>on gender-based violence against women</w:t>
      </w:r>
      <w:r w:rsidRPr="00D3133C">
        <w:rPr>
          <w:i/>
        </w:rPr>
        <w:t xml:space="preserve">” </w:t>
      </w:r>
      <w:r w:rsidR="00697A04">
        <w:t>(2017</w:t>
      </w:r>
      <w:r w:rsidR="00940780">
        <w:t xml:space="preserve">) stipulates that </w:t>
      </w:r>
      <w:r w:rsidR="00697A04">
        <w:rPr>
          <w:rFonts w:eastAsia="Baskerville-SemiBoldItalic"/>
          <w:bCs/>
          <w:i/>
        </w:rPr>
        <w:t>“</w:t>
      </w:r>
      <w:r w:rsidR="00940780" w:rsidRPr="00D1014B">
        <w:rPr>
          <w:rFonts w:eastAsia="Baskerville-SemiBoldItalic"/>
          <w:b/>
          <w:bCs/>
          <w:i/>
        </w:rPr>
        <w:t xml:space="preserve">States are required to adopt legislation prohibiting all forms </w:t>
      </w:r>
      <w:r w:rsidR="00940780">
        <w:rPr>
          <w:rFonts w:eastAsia="Baskerville-SemiBoldItalic"/>
          <w:bCs/>
          <w:i/>
        </w:rPr>
        <w:t xml:space="preserve">of gender-based violence against women and girls, harmonizing national law with the Convention. In the legislation, women who are victims/survivors of such violence should be considered to be right holders. It should contain age-sensitive and gender-sensitive provisions and </w:t>
      </w:r>
      <w:r w:rsidR="00940780" w:rsidRPr="00D1014B">
        <w:rPr>
          <w:rFonts w:eastAsia="Baskerville-SemiBoldItalic"/>
          <w:b/>
          <w:bCs/>
          <w:i/>
        </w:rPr>
        <w:t>effective legal protection, including sanctions on perpetrators and reparations to victims/survivors</w:t>
      </w:r>
      <w:r w:rsidR="00940780">
        <w:rPr>
          <w:rFonts w:eastAsia="Baskerville-SemiBoldItalic"/>
          <w:bCs/>
          <w:i/>
        </w:rPr>
        <w:t>.</w:t>
      </w:r>
      <w:r w:rsidRPr="00D3133C">
        <w:rPr>
          <w:rFonts w:eastAsia="Baskerville-Italic"/>
          <w:i/>
        </w:rPr>
        <w:t>”</w:t>
      </w:r>
      <w:r w:rsidR="00697A04">
        <w:t xml:space="preserve"> (GR</w:t>
      </w:r>
      <w:r w:rsidRPr="0009169E">
        <w:t xml:space="preserve"> </w:t>
      </w:r>
      <w:r w:rsidR="00697A04">
        <w:t xml:space="preserve">35, para </w:t>
      </w:r>
      <w:r w:rsidR="00940780">
        <w:t>26(a)</w:t>
      </w:r>
      <w:r w:rsidRPr="0009169E">
        <w:t>).</w:t>
      </w:r>
    </w:p>
    <w:p w14:paraId="5AD3D1FF" w14:textId="4193D337" w:rsidR="007A18B3" w:rsidRDefault="00087C7A" w:rsidP="00321F0A">
      <w:pPr>
        <w:pStyle w:val="absatzschattenbericht"/>
      </w:pPr>
      <w:r w:rsidRPr="00C74047">
        <w:t xml:space="preserve">Accordingly, with regards to IGM practices, and referring to Article </w:t>
      </w:r>
      <w:r w:rsidR="00F872F6" w:rsidRPr="00C74047">
        <w:t>5</w:t>
      </w:r>
      <w:r w:rsidRPr="00C74047">
        <w:t xml:space="preserve"> and the </w:t>
      </w:r>
      <w:r w:rsidR="00066C1F" w:rsidRPr="00C74047">
        <w:t>CEDAW/CRC Joint general recommendation No. 31/18</w:t>
      </w:r>
      <w:r w:rsidRPr="00C74047">
        <w:t xml:space="preserve">, this Committee already explicitly recognised the obligation for State parties to </w:t>
      </w:r>
      <w:r w:rsidR="00C74047" w:rsidRPr="00C74047">
        <w:rPr>
          <w:rFonts w:eastAsia="Baskerville-SemiBoldItalic"/>
          <w:b/>
          <w:bCs/>
          <w:i/>
          <w:iCs/>
          <w:lang w:val="en-US"/>
        </w:rPr>
        <w:t>“[a]dopt clear legislative provisions explicitly prohibiting</w:t>
      </w:r>
      <w:r w:rsidR="00C74047" w:rsidRPr="00C74047">
        <w:rPr>
          <w:rFonts w:eastAsia="Baskerville-SemiBoldItalic"/>
          <w:i/>
          <w:iCs/>
          <w:lang w:val="en-US"/>
        </w:rPr>
        <w:t xml:space="preserve"> the performance of unnecessary surgical or other medical treatment on intersex children until they reach an age at which they can provide their free, prior and informed consent”</w:t>
      </w:r>
      <w:r w:rsidRPr="00C74047">
        <w:t>,</w:t>
      </w:r>
      <w:r w:rsidRPr="00C74047">
        <w:rPr>
          <w:rStyle w:val="Funotenzeichen"/>
          <w:rFonts w:cs="Times New Roman"/>
        </w:rPr>
        <w:footnoteReference w:id="45"/>
      </w:r>
      <w:r w:rsidRPr="00C74047">
        <w:t xml:space="preserve"> and to</w:t>
      </w:r>
      <w:r w:rsidRPr="00C74047">
        <w:rPr>
          <w:rFonts w:eastAsia="Baskerville-Italic"/>
          <w:i/>
          <w:iCs/>
        </w:rPr>
        <w:t xml:space="preserve"> </w:t>
      </w:r>
      <w:r w:rsidR="00C74047" w:rsidRPr="00C74047">
        <w:rPr>
          <w:rFonts w:eastAsia="Baskerville-Italic"/>
          <w:b/>
          <w:bCs/>
          <w:i/>
          <w:iCs/>
        </w:rPr>
        <w:t xml:space="preserve">[a]dopt legal provisions to </w:t>
      </w:r>
      <w:r w:rsidR="00C74047" w:rsidRPr="00BF5D22">
        <w:rPr>
          <w:rFonts w:eastAsia="Baskerville-Italic"/>
          <w:b/>
          <w:bCs/>
          <w:i/>
          <w:iCs/>
        </w:rPr>
        <w:t>provide redress</w:t>
      </w:r>
      <w:r w:rsidR="00C74047" w:rsidRPr="00C74047">
        <w:rPr>
          <w:rFonts w:eastAsia="Baskerville-Italic"/>
          <w:i/>
          <w:iCs/>
        </w:rPr>
        <w:t xml:space="preserve"> to intersex persons who are victims of surgical or other medical interventions performed without their free, prior and informed consent</w:t>
      </w:r>
      <w:r w:rsidRPr="00C74047">
        <w:rPr>
          <w:rFonts w:eastAsia="Baskerville-SemiBoldItalic"/>
          <w:i/>
          <w:iCs/>
        </w:rPr>
        <w:t>”</w:t>
      </w:r>
      <w:r w:rsidRPr="00BF5D22">
        <w:t>.</w:t>
      </w:r>
      <w:r w:rsidRPr="00BF5D22">
        <w:rPr>
          <w:rStyle w:val="Funotenzeichen"/>
          <w:rFonts w:cs="Times New Roman"/>
        </w:rPr>
        <w:footnoteReference w:id="46"/>
      </w:r>
    </w:p>
    <w:p w14:paraId="0B9D8C45" w14:textId="0631C632" w:rsidR="00087C7A" w:rsidRPr="0009169E" w:rsidRDefault="00087C7A" w:rsidP="00321F0A">
      <w:pPr>
        <w:pStyle w:val="absatzschattenbericht"/>
      </w:pPr>
      <w:r w:rsidRPr="0009169E">
        <w:t>However,</w:t>
      </w:r>
      <w:r w:rsidRPr="00CE2C8A">
        <w:t xml:space="preserve"> </w:t>
      </w:r>
      <w:r w:rsidRPr="0009169E">
        <w:t xml:space="preserve">to this day and </w:t>
      </w:r>
      <w:r w:rsidRPr="00F66342">
        <w:t xml:space="preserve">against better knowledge the </w:t>
      </w:r>
      <w:r w:rsidRPr="00F66342">
        <w:rPr>
          <w:rFonts w:eastAsia="Baskerville-SemiBold"/>
        </w:rPr>
        <w:t>Spanish government</w:t>
      </w:r>
      <w:r w:rsidRPr="00F66342">
        <w:t xml:space="preserve"> </w:t>
      </w:r>
      <w:r w:rsidR="00F66342">
        <w:t>fa</w:t>
      </w:r>
      <w:r w:rsidR="00F66342" w:rsidRPr="00A34341">
        <w:t>ils</w:t>
      </w:r>
      <w:r w:rsidRPr="00A34341">
        <w:t xml:space="preserve"> to enact appropriate legislative measures</w:t>
      </w:r>
      <w:r>
        <w:t xml:space="preserve"> to </w:t>
      </w:r>
      <w:r w:rsidRPr="0009169E">
        <w:t xml:space="preserve">effectively eliminate IGM practices, nor to </w:t>
      </w:r>
      <w:r w:rsidRPr="00545AAD">
        <w:t>address the factual impunity</w:t>
      </w:r>
      <w:r w:rsidR="00545AAD" w:rsidRPr="00545AAD">
        <w:t xml:space="preserve"> of IGM perpetrators</w:t>
      </w:r>
      <w:r w:rsidRPr="00545AAD">
        <w:t>.</w:t>
      </w:r>
    </w:p>
    <w:p w14:paraId="361AF41B" w14:textId="77777777" w:rsidR="00087C7A" w:rsidRPr="0009169E" w:rsidRDefault="00087C7A" w:rsidP="00321F0A">
      <w:pPr>
        <w:pStyle w:val="absatzschattenbericht"/>
      </w:pPr>
      <w:r w:rsidRPr="0009169E">
        <w:t xml:space="preserve">Worse, </w:t>
      </w:r>
      <w:r w:rsidRPr="0009169E">
        <w:rPr>
          <w:rFonts w:eastAsia="Baskerville-SemiBold"/>
          <w:b/>
          <w:bCs/>
        </w:rPr>
        <w:t>Spanish government bodies</w:t>
      </w:r>
      <w:r w:rsidRPr="0009169E">
        <w:t xml:space="preserve">, while repeatedly having been made aware of the harm done by the practice, are </w:t>
      </w:r>
      <w:r w:rsidRPr="0009169E">
        <w:rPr>
          <w:rFonts w:eastAsia="Baskerville-Bold"/>
          <w:b/>
          <w:bCs/>
        </w:rPr>
        <w:t>actively shielding IGM perpetrators</w:t>
      </w:r>
      <w:r w:rsidRPr="0009169E">
        <w:t xml:space="preserve"> by refusing to take action to outlaw and adequately sanction the practice.</w:t>
      </w:r>
    </w:p>
    <w:p w14:paraId="43137CC3" w14:textId="4C16C88C" w:rsidR="00087C7A" w:rsidRPr="0009169E" w:rsidRDefault="00087C7A" w:rsidP="00321F0A">
      <w:pPr>
        <w:pStyle w:val="absatzschattenbericht"/>
        <w:rPr>
          <w:rFonts w:eastAsia="Arial-BoldMT"/>
          <w:b/>
          <w:bCs/>
          <w:color w:val="5E175E"/>
          <w:sz w:val="23"/>
          <w:szCs w:val="23"/>
        </w:rPr>
      </w:pPr>
      <w:r w:rsidRPr="0009169E">
        <w:t xml:space="preserve">This situation with the </w:t>
      </w:r>
      <w:r w:rsidRPr="0009169E">
        <w:rPr>
          <w:rFonts w:eastAsia="Baskerville-SemiBold"/>
          <w:b/>
          <w:bCs/>
        </w:rPr>
        <w:t>Spanish government</w:t>
      </w:r>
      <w:r w:rsidRPr="0009169E">
        <w:t xml:space="preserve"> ignoring the ongoing practice while continuing to </w:t>
      </w:r>
      <w:r w:rsidRPr="0009169E">
        <w:rPr>
          <w:rFonts w:eastAsia="Baskerville-Bold"/>
          <w:b/>
          <w:bCs/>
        </w:rPr>
        <w:t>protect and fund the perpetrators</w:t>
      </w:r>
      <w:r w:rsidRPr="0009169E">
        <w:t xml:space="preserve"> is clearly not in line with </w:t>
      </w:r>
      <w:r w:rsidRPr="0009169E">
        <w:rPr>
          <w:rFonts w:eastAsia="Baskerville-SemiBold"/>
          <w:b/>
          <w:bCs/>
        </w:rPr>
        <w:t>Spain’s obligations</w:t>
      </w:r>
      <w:r w:rsidRPr="0009169E">
        <w:t xml:space="preserve"> under the Convention and </w:t>
      </w:r>
      <w:r w:rsidR="00066C1F">
        <w:t>CEDAW/CRC</w:t>
      </w:r>
      <w:r w:rsidR="00066C1F" w:rsidRPr="0009169E">
        <w:t xml:space="preserve"> Joint general </w:t>
      </w:r>
      <w:r w:rsidR="00066C1F">
        <w:t xml:space="preserve">recommendation No. </w:t>
      </w:r>
      <w:r w:rsidR="00066C1F" w:rsidRPr="0009169E">
        <w:t>31</w:t>
      </w:r>
      <w:r w:rsidR="00066C1F">
        <w:t>/18</w:t>
      </w:r>
      <w:r w:rsidRPr="0009169E">
        <w:t>.</w:t>
      </w:r>
    </w:p>
    <w:p w14:paraId="5DA60D38" w14:textId="6C0A4468" w:rsidR="00087C7A" w:rsidRPr="0009169E" w:rsidRDefault="00087C7A" w:rsidP="00087C7A">
      <w:pPr>
        <w:pStyle w:val="Title2"/>
        <w:rPr>
          <w:rFonts w:eastAsia="Baskerville"/>
          <w:color w:val="000000"/>
          <w:szCs w:val="24"/>
        </w:rPr>
      </w:pPr>
      <w:bookmarkStart w:id="31" w:name="_Toc11017689"/>
      <w:r w:rsidRPr="00545AAD">
        <w:t xml:space="preserve">4.  Obstacles to Redress, Fair and Adequate Compensation, and </w:t>
      </w:r>
      <w:r w:rsidR="00F872F6" w:rsidRPr="00545AAD">
        <w:t>Rehabilitation</w:t>
      </w:r>
      <w:r w:rsidR="00F872F6" w:rsidRPr="00545AAD">
        <w:br/>
        <w:t xml:space="preserve">     (art. 5</w:t>
      </w:r>
      <w:r w:rsidRPr="00545AAD">
        <w:t xml:space="preserve"> and </w:t>
      </w:r>
      <w:r w:rsidR="00066C1F" w:rsidRPr="00545AAD">
        <w:t>JGR</w:t>
      </w:r>
      <w:r w:rsidRPr="00545AAD">
        <w:t xml:space="preserve"> No. </w:t>
      </w:r>
      <w:r w:rsidR="00066C1F" w:rsidRPr="00545AAD">
        <w:t>31</w:t>
      </w:r>
      <w:r w:rsidRPr="00545AAD">
        <w:t xml:space="preserve">; art. </w:t>
      </w:r>
      <w:r w:rsidR="00EC36BC">
        <w:t>2</w:t>
      </w:r>
      <w:r w:rsidR="00802710" w:rsidRPr="00545AAD">
        <w:t xml:space="preserve"> and GR</w:t>
      </w:r>
      <w:r w:rsidRPr="00545AAD">
        <w:t xml:space="preserve"> No. </w:t>
      </w:r>
      <w:r w:rsidR="00802710" w:rsidRPr="00545AAD">
        <w:t>35</w:t>
      </w:r>
      <w:r w:rsidRPr="00545AAD">
        <w:t>)</w:t>
      </w:r>
      <w:bookmarkEnd w:id="31"/>
      <w:r w:rsidRPr="0009169E">
        <w:t xml:space="preserve"> </w:t>
      </w:r>
    </w:p>
    <w:p w14:paraId="46560904" w14:textId="5787EF41" w:rsidR="00087C7A" w:rsidRPr="00A30539" w:rsidRDefault="00087C7A" w:rsidP="00321F0A">
      <w:pPr>
        <w:pStyle w:val="absatzschattenbericht"/>
      </w:pPr>
      <w:r w:rsidRPr="00A30539">
        <w:t xml:space="preserve">Article </w:t>
      </w:r>
      <w:r w:rsidR="00F872F6">
        <w:t>5</w:t>
      </w:r>
      <w:r w:rsidRPr="00A30539">
        <w:t xml:space="preserve"> of the Convention in conjunction with the </w:t>
      </w:r>
      <w:r w:rsidR="00066C1F">
        <w:t>CEDAW/CRC</w:t>
      </w:r>
      <w:r w:rsidR="00066C1F" w:rsidRPr="0009169E">
        <w:t xml:space="preserve"> Joint general </w:t>
      </w:r>
      <w:r w:rsidR="00066C1F">
        <w:t xml:space="preserve">recommendation No. </w:t>
      </w:r>
      <w:r w:rsidR="00066C1F" w:rsidRPr="0009169E">
        <w:t>31</w:t>
      </w:r>
      <w:r w:rsidR="00066C1F">
        <w:t>/18</w:t>
      </w:r>
      <w:r w:rsidRPr="00A30539">
        <w:t xml:space="preserve"> “on harmful practices” clearly stipulate the right of victims of IGM practices to </w:t>
      </w:r>
      <w:r w:rsidRPr="00A30539">
        <w:rPr>
          <w:rFonts w:eastAsia="Baskerville-SemiBoldItalic"/>
          <w:b/>
          <w:bCs/>
          <w:i/>
          <w:iCs/>
        </w:rPr>
        <w:t xml:space="preserve">“equal access to legal remedies and appropriate reparations” </w:t>
      </w:r>
      <w:r w:rsidRPr="00A30539">
        <w:t>(</w:t>
      </w:r>
      <w:r w:rsidR="00066C1F">
        <w:t xml:space="preserve">JGR </w:t>
      </w:r>
      <w:r w:rsidRPr="00A30539">
        <w:t>31</w:t>
      </w:r>
      <w:r w:rsidR="00066C1F">
        <w:t>/18</w:t>
      </w:r>
      <w:r w:rsidRPr="00A30539">
        <w:t xml:space="preserve">, para 55 (q)), and specifically to ensure that </w:t>
      </w:r>
      <w:r w:rsidRPr="00A30539">
        <w:rPr>
          <w:rFonts w:eastAsia="Baskerville-Italic"/>
          <w:i/>
          <w:iCs/>
        </w:rPr>
        <w:t xml:space="preserve">“children subjected to harmful practices have </w:t>
      </w:r>
      <w:r w:rsidRPr="00A30539">
        <w:rPr>
          <w:rFonts w:eastAsia="Baskerville-SemiBoldItalic"/>
          <w:b/>
          <w:bCs/>
          <w:i/>
          <w:iCs/>
        </w:rPr>
        <w:t>equal access to justice,</w:t>
      </w:r>
      <w:r w:rsidRPr="00A30539">
        <w:rPr>
          <w:rFonts w:eastAsia="Baskerville-Italic"/>
          <w:i/>
          <w:iCs/>
        </w:rPr>
        <w:t xml:space="preserve"> including by </w:t>
      </w:r>
      <w:r w:rsidRPr="00A30539">
        <w:rPr>
          <w:rFonts w:eastAsia="Baskerville-SemiBoldItalic"/>
          <w:b/>
          <w:bCs/>
          <w:i/>
          <w:iCs/>
        </w:rPr>
        <w:t>addressing legal and practical barriers</w:t>
      </w:r>
      <w:r w:rsidRPr="00A30539">
        <w:rPr>
          <w:rFonts w:eastAsia="Baskerville-Italic"/>
          <w:i/>
          <w:iCs/>
        </w:rPr>
        <w:t xml:space="preserve"> to initiating legal proceedings, </w:t>
      </w:r>
      <w:r w:rsidRPr="00A30539">
        <w:rPr>
          <w:rFonts w:eastAsia="Baskerville-SemiBoldItalic"/>
          <w:b/>
          <w:bCs/>
          <w:i/>
          <w:iCs/>
        </w:rPr>
        <w:t xml:space="preserve">such as the limitation period” </w:t>
      </w:r>
      <w:r w:rsidR="00066C1F">
        <w:t xml:space="preserve">(JGR </w:t>
      </w:r>
      <w:r w:rsidRPr="00A30539">
        <w:t>31</w:t>
      </w:r>
      <w:r w:rsidR="00066C1F">
        <w:t>/18</w:t>
      </w:r>
      <w:r w:rsidRPr="00A30539">
        <w:t>, para 55 (o)).</w:t>
      </w:r>
    </w:p>
    <w:p w14:paraId="6DA4B8F7" w14:textId="50B73C7E" w:rsidR="00087C7A" w:rsidRPr="003338A3" w:rsidRDefault="00087C7A" w:rsidP="00321F0A">
      <w:pPr>
        <w:pStyle w:val="absatzschattenbericht"/>
      </w:pPr>
      <w:r w:rsidRPr="0009169E">
        <w:t xml:space="preserve">Article </w:t>
      </w:r>
      <w:r w:rsidR="00EC36BC">
        <w:t>2(f)</w:t>
      </w:r>
      <w:r w:rsidRPr="0009169E">
        <w:t xml:space="preserve"> of the Convention </w:t>
      </w:r>
      <w:r w:rsidR="00DE4DE5">
        <w:t>in conjunction with</w:t>
      </w:r>
      <w:r w:rsidRPr="0009169E">
        <w:t xml:space="preserve"> the General </w:t>
      </w:r>
      <w:r w:rsidR="00802710">
        <w:t>recommendation</w:t>
      </w:r>
      <w:r w:rsidRPr="0009169E">
        <w:t xml:space="preserve"> No. </w:t>
      </w:r>
      <w:r w:rsidR="00802710">
        <w:t>35</w:t>
      </w:r>
      <w:r w:rsidRPr="0009169E">
        <w:t xml:space="preserve"> “</w:t>
      </w:r>
      <w:r w:rsidR="004D194E">
        <w:t>on gender-based violence against women</w:t>
      </w:r>
      <w:r w:rsidRPr="0009169E">
        <w:t xml:space="preserve">” also stipulate the right of victims to </w:t>
      </w:r>
      <w:r w:rsidRPr="00D423BD">
        <w:rPr>
          <w:rFonts w:eastAsia="Baskerville-SemiBoldItalic"/>
        </w:rPr>
        <w:t xml:space="preserve">effective access to </w:t>
      </w:r>
      <w:r w:rsidR="00D423BD">
        <w:rPr>
          <w:rFonts w:eastAsia="Baskerville-SemiBoldItalic"/>
          <w:b/>
          <w:bCs/>
          <w:i/>
          <w:iCs/>
        </w:rPr>
        <w:t xml:space="preserve">“redress” </w:t>
      </w:r>
      <w:r w:rsidRPr="0009169E">
        <w:t xml:space="preserve">(GC </w:t>
      </w:r>
      <w:r w:rsidR="00D423BD">
        <w:t>35</w:t>
      </w:r>
      <w:r w:rsidRPr="0009169E">
        <w:t xml:space="preserve">, para </w:t>
      </w:r>
      <w:r w:rsidR="00D423BD">
        <w:t>28</w:t>
      </w:r>
      <w:r w:rsidRPr="0009169E">
        <w:t xml:space="preserve">), </w:t>
      </w:r>
      <w:r w:rsidRPr="0009169E">
        <w:rPr>
          <w:rFonts w:eastAsia="Baskerville-SemiBoldItalic"/>
          <w:b/>
          <w:bCs/>
          <w:i/>
          <w:iCs/>
        </w:rPr>
        <w:t>“</w:t>
      </w:r>
      <w:r w:rsidR="00D423BD">
        <w:rPr>
          <w:rFonts w:eastAsia="Baskerville-SemiBoldItalic"/>
          <w:b/>
          <w:bCs/>
          <w:i/>
          <w:iCs/>
        </w:rPr>
        <w:t>monetary compensation</w:t>
      </w:r>
      <w:r w:rsidRPr="0009169E">
        <w:rPr>
          <w:rFonts w:eastAsia="Baskerville-SemiBoldItalic"/>
          <w:b/>
          <w:bCs/>
          <w:i/>
          <w:iCs/>
        </w:rPr>
        <w:t>”</w:t>
      </w:r>
      <w:r w:rsidRPr="0009169E">
        <w:t xml:space="preserve"> (GC </w:t>
      </w:r>
      <w:r w:rsidR="00D423BD">
        <w:t>35</w:t>
      </w:r>
      <w:r w:rsidRPr="0009169E">
        <w:t>, para</w:t>
      </w:r>
      <w:r w:rsidR="003338A3">
        <w:t>s</w:t>
      </w:r>
      <w:r w:rsidRPr="0009169E">
        <w:t xml:space="preserve"> </w:t>
      </w:r>
      <w:r w:rsidR="00D423BD">
        <w:t>33(a)</w:t>
      </w:r>
      <w:r w:rsidR="003338A3">
        <w:t xml:space="preserve">, 34(b)), and </w:t>
      </w:r>
      <w:r w:rsidR="003338A3">
        <w:rPr>
          <w:b/>
          <w:bCs/>
          <w:i/>
          <w:iCs/>
        </w:rPr>
        <w:t>“reparation”</w:t>
      </w:r>
      <w:r w:rsidR="003338A3">
        <w:rPr>
          <w:i/>
          <w:iCs/>
        </w:rPr>
        <w:t xml:space="preserve"> </w:t>
      </w:r>
      <w:r w:rsidR="003338A3">
        <w:t>(GC 35, paras 23, 24(b), 26(a), 31(d), 33, 34).</w:t>
      </w:r>
    </w:p>
    <w:p w14:paraId="6358C5C1" w14:textId="77777777" w:rsidR="00087C7A" w:rsidRPr="0009169E" w:rsidRDefault="00087C7A" w:rsidP="00321F0A">
      <w:pPr>
        <w:pStyle w:val="absatzschattenbericht"/>
      </w:pPr>
      <w:r w:rsidRPr="0009169E">
        <w:t xml:space="preserve">However, also in </w:t>
      </w:r>
      <w:r w:rsidRPr="0009169E">
        <w:rPr>
          <w:rFonts w:eastAsia="Baskerville-SemiBold"/>
          <w:b/>
          <w:bCs/>
        </w:rPr>
        <w:t>Spain</w:t>
      </w:r>
      <w:r w:rsidRPr="0009169E">
        <w:t xml:space="preserve"> the </w:t>
      </w:r>
      <w:r w:rsidRPr="0009169E">
        <w:rPr>
          <w:rFonts w:eastAsia="Baskerville-SemiBold"/>
          <w:b/>
          <w:bCs/>
        </w:rPr>
        <w:t>statutes of limitation</w:t>
      </w:r>
      <w:r w:rsidRPr="0009169E">
        <w:t xml:space="preserve"> prohibit survivors of early childhood IGM practices to call a court, because persons concerned often </w:t>
      </w:r>
      <w:r w:rsidRPr="0009169E">
        <w:rPr>
          <w:rFonts w:eastAsia="Baskerville-SemiBold"/>
          <w:b/>
          <w:bCs/>
        </w:rPr>
        <w:t>do not find out</w:t>
      </w:r>
      <w:r w:rsidRPr="0009169E">
        <w:t xml:space="preserve"> about their medical </w:t>
      </w:r>
      <w:r w:rsidRPr="0009169E">
        <w:lastRenderedPageBreak/>
        <w:t xml:space="preserve">history until much later in life, and </w:t>
      </w:r>
      <w:r w:rsidRPr="0009169E">
        <w:rPr>
          <w:rFonts w:eastAsia="Baskerville-SemiBold"/>
          <w:b/>
          <w:bCs/>
        </w:rPr>
        <w:t>severe trauma</w:t>
      </w:r>
      <w:r w:rsidRPr="0009169E">
        <w:t xml:space="preserve"> caused by IGM practices often prohibits them to act in time even once they do.</w:t>
      </w:r>
      <w:r w:rsidRPr="00A23F1D">
        <w:rPr>
          <w:rStyle w:val="Funotenzeichen"/>
          <w:rFonts w:cs="Times New Roman"/>
        </w:rPr>
        <w:footnoteReference w:id="47"/>
      </w:r>
      <w:r w:rsidRPr="0009169E">
        <w:t xml:space="preserve"> So far there was no case of a victim of IGM practices succeeding in going to a Spanish court. </w:t>
      </w:r>
    </w:p>
    <w:p w14:paraId="5FA757DA" w14:textId="77777777" w:rsidR="00087C7A" w:rsidRPr="0009169E" w:rsidRDefault="00087C7A" w:rsidP="00321F0A">
      <w:pPr>
        <w:pStyle w:val="absatzschattenbericht"/>
        <w:rPr>
          <w:rFonts w:eastAsia="Arial-BoldMT"/>
          <w:b/>
          <w:bCs/>
          <w:color w:val="5E175E"/>
          <w:spacing w:val="3"/>
          <w:sz w:val="26"/>
          <w:szCs w:val="26"/>
        </w:rPr>
      </w:pPr>
      <w:r w:rsidRPr="0009169E">
        <w:t xml:space="preserve">The </w:t>
      </w:r>
      <w:r w:rsidRPr="0009169E">
        <w:rPr>
          <w:rFonts w:eastAsia="Baskerville-SemiBold"/>
          <w:b/>
          <w:bCs/>
        </w:rPr>
        <w:t>Spanish government</w:t>
      </w:r>
      <w:r w:rsidRPr="0009169E">
        <w:t xml:space="preserve"> so far refuses to ensure that non-consensual unnecessary IGM surgeries on minors are recognised as a form of </w:t>
      </w:r>
      <w:r w:rsidRPr="0009169E">
        <w:rPr>
          <w:rFonts w:eastAsia="Baskerville-SemiBold"/>
          <w:b/>
          <w:bCs/>
        </w:rPr>
        <w:t>genital mutilation</w:t>
      </w:r>
      <w:r w:rsidRPr="0009169E">
        <w:t xml:space="preserve">, which would formally prohibit parents from giving “consent”. In addition, the state party </w:t>
      </w:r>
      <w:r w:rsidRPr="0009169E">
        <w:rPr>
          <w:rFonts w:eastAsia="Baskerville-SemiBold"/>
          <w:b/>
          <w:bCs/>
        </w:rPr>
        <w:t>refuses to initiate impartial investigations</w:t>
      </w:r>
      <w:r w:rsidRPr="0009169E">
        <w:t>, as well as data collection, monitoring, and disinterested research.</w:t>
      </w:r>
    </w:p>
    <w:p w14:paraId="6932BD7A" w14:textId="72E16979" w:rsidR="00E71D0E" w:rsidRPr="008521EA" w:rsidRDefault="00E71D0E" w:rsidP="00E71D0E">
      <w:pPr>
        <w:pStyle w:val="Title1"/>
        <w:rPr>
          <w:rFonts w:eastAsia="Baskerville-Italic" w:cs="Baskerville-Italic"/>
          <w:sz w:val="36"/>
          <w:szCs w:val="36"/>
          <w:lang w:val="en-GB"/>
        </w:rPr>
      </w:pPr>
      <w:bookmarkStart w:id="32" w:name="_Toc475924584"/>
      <w:bookmarkStart w:id="33" w:name="_Toc475924761"/>
      <w:bookmarkStart w:id="34" w:name="_Toc505194870"/>
      <w:bookmarkStart w:id="35" w:name="_Toc11017690"/>
      <w:bookmarkStart w:id="36" w:name="_Toc6284922"/>
      <w:bookmarkEnd w:id="12"/>
      <w:bookmarkEnd w:id="13"/>
      <w:bookmarkEnd w:id="14"/>
      <w:r w:rsidRPr="008521EA">
        <w:rPr>
          <w:sz w:val="36"/>
          <w:szCs w:val="36"/>
          <w:lang w:val="en-GB"/>
        </w:rPr>
        <w:lastRenderedPageBreak/>
        <w:t>Suggested Questions for the L</w:t>
      </w:r>
      <w:bookmarkEnd w:id="32"/>
      <w:bookmarkEnd w:id="33"/>
      <w:bookmarkEnd w:id="34"/>
      <w:r w:rsidR="00545AAD">
        <w:rPr>
          <w:sz w:val="36"/>
          <w:szCs w:val="36"/>
          <w:lang w:val="en-GB"/>
        </w:rPr>
        <w:t>OIPR</w:t>
      </w:r>
      <w:bookmarkEnd w:id="35"/>
    </w:p>
    <w:p w14:paraId="5A9BCE15" w14:textId="77777777" w:rsidR="00E71D0E" w:rsidRPr="008521EA" w:rsidRDefault="00E71D0E" w:rsidP="00321F0A">
      <w:pPr>
        <w:pStyle w:val="absatzschattenbericht"/>
      </w:pPr>
    </w:p>
    <w:p w14:paraId="263DD086" w14:textId="071756DB" w:rsidR="00E71D0E" w:rsidRPr="00AE3717" w:rsidRDefault="00E71D0E" w:rsidP="00321F0A">
      <w:pPr>
        <w:pStyle w:val="absatzschattenbericht"/>
      </w:pPr>
      <w:r w:rsidRPr="00541B1F">
        <w:rPr>
          <w:i/>
        </w:rPr>
        <w:t>The Rapporteurs respectfully suggest that in the LOI</w:t>
      </w:r>
      <w:r w:rsidR="00545AAD" w:rsidRPr="00541B1F">
        <w:rPr>
          <w:i/>
        </w:rPr>
        <w:t>PR</w:t>
      </w:r>
      <w:r w:rsidRPr="00541B1F">
        <w:rPr>
          <w:i/>
        </w:rPr>
        <w:t xml:space="preserve"> the Committee asks the </w:t>
      </w:r>
      <w:r w:rsidR="00545AAD" w:rsidRPr="00541B1F">
        <w:rPr>
          <w:i/>
        </w:rPr>
        <w:t>Spanish</w:t>
      </w:r>
      <w:r w:rsidRPr="00541B1F">
        <w:rPr>
          <w:i/>
        </w:rPr>
        <w:t xml:space="preserve"> Government the following questions with respect to the rights of intersex people</w:t>
      </w:r>
      <w:r w:rsidRPr="00AE3717">
        <w:t>:</w:t>
      </w:r>
    </w:p>
    <w:p w14:paraId="2C7576CD" w14:textId="77777777" w:rsidR="00E71D0E" w:rsidRPr="00AE3717" w:rsidRDefault="00E71D0E" w:rsidP="00321F0A">
      <w:pPr>
        <w:pStyle w:val="absatzschattenbericht"/>
      </w:pPr>
    </w:p>
    <w:p w14:paraId="315B734F" w14:textId="77777777" w:rsidR="00E71D0E" w:rsidRPr="00D1014B" w:rsidRDefault="00E71D0E" w:rsidP="00321F0A">
      <w:pPr>
        <w:pStyle w:val="absatzschattenbericht"/>
        <w:rPr>
          <w:rStyle w:val="A4"/>
          <w:rFonts w:cs="Times New Roman"/>
          <w:b w:val="0"/>
          <w:bCs w:val="0"/>
        </w:rPr>
      </w:pPr>
      <w:r w:rsidRPr="00D1014B">
        <w:rPr>
          <w:b/>
        </w:rPr>
        <w:t>Harmful Practices: Intersex genital mutilation (art. 5)</w:t>
      </w:r>
    </w:p>
    <w:p w14:paraId="1C637990" w14:textId="7FE5CAF5" w:rsidR="00E71D0E" w:rsidRPr="0047343B" w:rsidRDefault="00E71D0E" w:rsidP="00321F0A">
      <w:pPr>
        <w:pStyle w:val="absatzschattenbericht"/>
        <w:numPr>
          <w:ilvl w:val="0"/>
          <w:numId w:val="21"/>
        </w:numPr>
      </w:pPr>
      <w:r>
        <w:t>H</w:t>
      </w:r>
      <w:r w:rsidRPr="0047343B">
        <w:t>ow many non-urgent, irreversible surgical and other procedures have been undertaken on intersex minors? Please provide detailed statistics on sterilising, feminising, and masculinising procedures, disaggregated b</w:t>
      </w:r>
      <w:r>
        <w:t xml:space="preserve">y age </w:t>
      </w:r>
      <w:r w:rsidR="00545AAD">
        <w:t>groups and autonomous communities.</w:t>
      </w:r>
    </w:p>
    <w:p w14:paraId="2F3B5750" w14:textId="77777777" w:rsidR="00E71D0E" w:rsidRPr="0047343B" w:rsidRDefault="00E71D0E" w:rsidP="00321F0A">
      <w:pPr>
        <w:pStyle w:val="absatzschattenbericht"/>
        <w:numPr>
          <w:ilvl w:val="0"/>
          <w:numId w:val="21"/>
        </w:numPr>
      </w:pPr>
      <w:r w:rsidRPr="0047343B">
        <w:t xml:space="preserve">Does the State party plan to stop this practice? If yes, what measures does it plan to implement, and by when? </w:t>
      </w:r>
    </w:p>
    <w:p w14:paraId="12917547" w14:textId="77777777" w:rsidR="00E71D0E" w:rsidRPr="0047343B" w:rsidRDefault="00E71D0E" w:rsidP="00321F0A">
      <w:pPr>
        <w:pStyle w:val="absatzschattenbericht"/>
        <w:numPr>
          <w:ilvl w:val="0"/>
          <w:numId w:val="21"/>
        </w:numPr>
      </w:pPr>
      <w:r w:rsidRPr="0047343B">
        <w:t xml:space="preserve">Please indicate which criminal or civil remedies are available for intersex people who have undergone involuntary sterilisation or unnecessary and irreversible medical or surgical treatment when they were children, and whether these remedies are subject to any statute of limitations? </w:t>
      </w:r>
    </w:p>
    <w:p w14:paraId="714CD6C4" w14:textId="77777777" w:rsidR="00E71D0E" w:rsidRPr="0047343B" w:rsidRDefault="00E71D0E" w:rsidP="00321F0A">
      <w:pPr>
        <w:pStyle w:val="absatzschattenbericht"/>
        <w:numPr>
          <w:ilvl w:val="0"/>
          <w:numId w:val="21"/>
        </w:numPr>
      </w:pPr>
      <w:r w:rsidRPr="0047343B">
        <w:t>Please indicate which means of rehabilitation are available for intersex people who have undergone involuntary procedures?</w:t>
      </w:r>
    </w:p>
    <w:p w14:paraId="2BD82354" w14:textId="77777777" w:rsidR="00E71D0E" w:rsidRPr="0047343B" w:rsidRDefault="00E71D0E" w:rsidP="00321F0A">
      <w:pPr>
        <w:pStyle w:val="absatzschattenbericht"/>
        <w:numPr>
          <w:ilvl w:val="0"/>
          <w:numId w:val="21"/>
        </w:numPr>
      </w:pPr>
      <w:r w:rsidRPr="0047343B">
        <w:t>Please indicate which means of psychosocial support, including peer support, are available for intersex children and their families?</w:t>
      </w:r>
    </w:p>
    <w:p w14:paraId="1DD00663" w14:textId="77777777" w:rsidR="00E71D0E" w:rsidRPr="007874DB" w:rsidRDefault="00E71D0E" w:rsidP="00E71D0E">
      <w:pPr>
        <w:widowControl/>
        <w:suppressAutoHyphens w:val="0"/>
        <w:textAlignment w:val="auto"/>
        <w:rPr>
          <w:rFonts w:eastAsia="Baskerville" w:cs="Baskerville"/>
          <w:color w:val="000000"/>
          <w:spacing w:val="2"/>
          <w:lang w:val="en-GB"/>
        </w:rPr>
      </w:pPr>
    </w:p>
    <w:p w14:paraId="4F1D82AD" w14:textId="7977A07B" w:rsidR="00087C7A" w:rsidRPr="00CF41C8" w:rsidRDefault="00E71D0E" w:rsidP="00087C7A">
      <w:pPr>
        <w:pStyle w:val="Title1"/>
        <w:rPr>
          <w:lang w:val="en-US"/>
        </w:rPr>
      </w:pPr>
      <w:bookmarkStart w:id="37" w:name="_Toc11017691"/>
      <w:r>
        <w:rPr>
          <w:lang w:val="en-US"/>
        </w:rPr>
        <w:lastRenderedPageBreak/>
        <w:t xml:space="preserve">Annexe </w:t>
      </w:r>
      <w:r w:rsidR="00AC64DD">
        <w:rPr>
          <w:lang w:val="en-US"/>
        </w:rPr>
        <w:t>– Background:</w:t>
      </w:r>
      <w:r w:rsidR="00087C7A">
        <w:rPr>
          <w:lang w:val="en-US"/>
        </w:rPr>
        <w:br/>
      </w:r>
      <w:r w:rsidR="00087C7A" w:rsidRPr="00CF41C8">
        <w:rPr>
          <w:lang w:val="en-US"/>
        </w:rPr>
        <w:t xml:space="preserve">Intersex, IGM, Harmful </w:t>
      </w:r>
      <w:r w:rsidR="00087C7A">
        <w:rPr>
          <w:lang w:val="en-US"/>
        </w:rPr>
        <w:t>Practices</w:t>
      </w:r>
      <w:r w:rsidR="00087C7A" w:rsidRPr="00CF41C8">
        <w:rPr>
          <w:lang w:val="en-US"/>
        </w:rPr>
        <w:t xml:space="preserve"> and Stereotypes</w:t>
      </w:r>
      <w:bookmarkEnd w:id="36"/>
      <w:bookmarkEnd w:id="37"/>
    </w:p>
    <w:p w14:paraId="3A2AF6F2" w14:textId="77777777" w:rsidR="00087C7A" w:rsidRPr="00E2403F" w:rsidRDefault="00087C7A" w:rsidP="00087C7A">
      <w:pPr>
        <w:pStyle w:val="Title2"/>
      </w:pPr>
      <w:bookmarkStart w:id="38" w:name="_Toc507726463"/>
      <w:bookmarkStart w:id="39" w:name="_Toc511611562"/>
      <w:bookmarkStart w:id="40" w:name="_Toc526178749"/>
      <w:bookmarkStart w:id="41" w:name="_Toc6284923"/>
      <w:bookmarkStart w:id="42" w:name="_Toc11017692"/>
      <w:r w:rsidRPr="00E2403F">
        <w:t>1.  IGM: Involuntary, unnecessary</w:t>
      </w:r>
      <w:bookmarkEnd w:id="38"/>
      <w:bookmarkEnd w:id="39"/>
      <w:r w:rsidRPr="00E2403F">
        <w:t xml:space="preserve"> and harmful practices, </w:t>
      </w:r>
      <w:r w:rsidRPr="00E2403F">
        <w:br/>
        <w:t xml:space="preserve">     based on stereotypes and prejudice</w:t>
      </w:r>
      <w:bookmarkEnd w:id="40"/>
      <w:bookmarkEnd w:id="41"/>
      <w:bookmarkEnd w:id="42"/>
    </w:p>
    <w:p w14:paraId="1D50826D" w14:textId="77777777" w:rsidR="00087C7A" w:rsidRPr="00E2403F" w:rsidRDefault="00087C7A" w:rsidP="00BB1C2F">
      <w:pPr>
        <w:pStyle w:val="absatzschattenbericht"/>
        <w:spacing w:after="80" w:line="264" w:lineRule="auto"/>
        <w:rPr>
          <w:b/>
        </w:rPr>
      </w:pPr>
      <w:r w:rsidRPr="00E2403F">
        <w:t xml:space="preserve">In </w:t>
      </w:r>
      <w:r w:rsidRPr="00E2403F">
        <w:rPr>
          <w:b/>
        </w:rPr>
        <w:t>“developed countries”</w:t>
      </w:r>
      <w:r w:rsidRPr="00E2403F">
        <w:t xml:space="preserve"> with universal access to paediatric health care</w:t>
      </w:r>
      <w:r w:rsidRPr="00E2403F">
        <w:rPr>
          <w:b/>
        </w:rPr>
        <w:t xml:space="preserve"> 1 to 2 in 1000 newborns</w:t>
      </w:r>
      <w:r w:rsidRPr="00E2403F">
        <w:t xml:space="preserve"> are at risk of being submitted to medical </w:t>
      </w:r>
      <w:r w:rsidRPr="00E2403F">
        <w:rPr>
          <w:b/>
        </w:rPr>
        <w:t>IGM practices,</w:t>
      </w:r>
      <w:r w:rsidRPr="00E2403F">
        <w:t xml:space="preserve"> i.e.</w:t>
      </w:r>
      <w:r w:rsidRPr="00E2403F">
        <w:rPr>
          <w:b/>
          <w:bCs/>
        </w:rPr>
        <w:t xml:space="preserve"> </w:t>
      </w:r>
      <w:r w:rsidRPr="00E2403F">
        <w:rPr>
          <w:bCs/>
        </w:rPr>
        <w:t>non-consensual, unnecessary, irreversible, cosmetic genital surgeries, and/or other harmful medical treatments</w:t>
      </w:r>
      <w:r w:rsidRPr="00E2403F">
        <w:t xml:space="preserve"> that </w:t>
      </w:r>
      <w:r w:rsidRPr="00E2403F">
        <w:rPr>
          <w:b/>
        </w:rPr>
        <w:t xml:space="preserve">would </w:t>
      </w:r>
      <w:r w:rsidRPr="00E2403F">
        <w:rPr>
          <w:b/>
          <w:bCs/>
        </w:rPr>
        <w:t>not be considered for “normal” children</w:t>
      </w:r>
      <w:r w:rsidRPr="00E2403F">
        <w:t xml:space="preserve">, practiced without evidence of benefit for the children concerned, but justified by societal and cultural norms and beliefs, and often </w:t>
      </w:r>
      <w:r w:rsidRPr="00E2403F">
        <w:rPr>
          <w:b/>
          <w:bCs/>
        </w:rPr>
        <w:t>directly financed by the state</w:t>
      </w:r>
      <w:r w:rsidRPr="00E2403F">
        <w:rPr>
          <w:bCs/>
        </w:rPr>
        <w:t xml:space="preserve"> via the public health system.</w:t>
      </w:r>
      <w:r w:rsidRPr="00E2403F">
        <w:rPr>
          <w:vertAlign w:val="superscript"/>
        </w:rPr>
        <w:footnoteReference w:id="48"/>
      </w:r>
    </w:p>
    <w:p w14:paraId="34A84147" w14:textId="77777777" w:rsidR="00087C7A" w:rsidRPr="00E2403F" w:rsidRDefault="00087C7A" w:rsidP="00BB1C2F">
      <w:pPr>
        <w:pStyle w:val="absatzschattenbericht"/>
        <w:spacing w:after="80" w:line="264" w:lineRule="auto"/>
        <w:rPr>
          <w:vertAlign w:val="superscript"/>
        </w:rPr>
      </w:pPr>
      <w:r w:rsidRPr="00E2403F">
        <w:t xml:space="preserve">In </w:t>
      </w:r>
      <w:r w:rsidRPr="00E2403F">
        <w:rPr>
          <w:b/>
        </w:rPr>
        <w:t>regions without universal access to paediatric health care</w:t>
      </w:r>
      <w:r w:rsidRPr="00E2403F">
        <w:t xml:space="preserve">, there are reports of </w:t>
      </w:r>
      <w:r w:rsidRPr="00E2403F">
        <w:rPr>
          <w:b/>
        </w:rPr>
        <w:t>infanticide</w:t>
      </w:r>
      <w:r w:rsidRPr="00E2403F">
        <w:rPr>
          <w:vertAlign w:val="superscript"/>
        </w:rPr>
        <w:footnoteReference w:id="49"/>
      </w:r>
      <w:r w:rsidRPr="00E2403F">
        <w:t xml:space="preserve"> of intersex children, of </w:t>
      </w:r>
      <w:r w:rsidRPr="00E2403F">
        <w:rPr>
          <w:b/>
        </w:rPr>
        <w:t>abandonment</w:t>
      </w:r>
      <w:r w:rsidRPr="00E2403F">
        <w:t>,</w:t>
      </w:r>
      <w:r w:rsidRPr="00E2403F">
        <w:rPr>
          <w:vertAlign w:val="superscript"/>
        </w:rPr>
        <w:footnoteReference w:id="50"/>
      </w:r>
      <w:r w:rsidRPr="00E2403F">
        <w:t xml:space="preserve"> of </w:t>
      </w:r>
      <w:r w:rsidRPr="00E2403F">
        <w:rPr>
          <w:b/>
        </w:rPr>
        <w:t>expulsion</w:t>
      </w:r>
      <w:r w:rsidRPr="00E2403F">
        <w:t>,</w:t>
      </w:r>
      <w:r w:rsidRPr="00E2403F">
        <w:rPr>
          <w:rStyle w:val="Funotenzeichen"/>
        </w:rPr>
        <w:footnoteReference w:id="51"/>
      </w:r>
      <w:r w:rsidRPr="00E2403F">
        <w:t xml:space="preserve"> of </w:t>
      </w:r>
      <w:r w:rsidRPr="00E2403F">
        <w:rPr>
          <w:b/>
        </w:rPr>
        <w:t>massive bullying</w:t>
      </w:r>
      <w:r w:rsidRPr="00E2403F">
        <w:t xml:space="preserve"> preventing the persons concerned from attending school (recognised by CRC as amounting to a harmful practice),</w:t>
      </w:r>
      <w:r w:rsidRPr="00E2403F">
        <w:rPr>
          <w:vertAlign w:val="superscript"/>
        </w:rPr>
        <w:footnoteReference w:id="52"/>
      </w:r>
      <w:r w:rsidRPr="00E2403F">
        <w:t xml:space="preserve"> and of </w:t>
      </w:r>
      <w:r w:rsidRPr="00E2403F">
        <w:rPr>
          <w:b/>
        </w:rPr>
        <w:t>murder</w:t>
      </w:r>
      <w:r w:rsidRPr="00E2403F">
        <w:t>.</w:t>
      </w:r>
      <w:r w:rsidRPr="00E2403F">
        <w:rPr>
          <w:vertAlign w:val="superscript"/>
        </w:rPr>
        <w:footnoteReference w:id="53"/>
      </w:r>
      <w:r w:rsidRPr="00E2403F">
        <w:rPr>
          <w:vertAlign w:val="superscript"/>
        </w:rPr>
        <w:t xml:space="preserve"> </w:t>
      </w:r>
    </w:p>
    <w:p w14:paraId="35DD04AE" w14:textId="77777777" w:rsidR="00087C7A" w:rsidRPr="00E2403F" w:rsidRDefault="00087C7A" w:rsidP="00BB1C2F">
      <w:pPr>
        <w:pStyle w:val="absatzschattenbericht"/>
        <w:spacing w:after="80" w:line="264" w:lineRule="auto"/>
      </w:pPr>
      <w:r w:rsidRPr="00E2403F">
        <w:t xml:space="preserve">Governing State bodies, public and private healthcare providers, national and international medical bodies and individual doctors have traditionally been </w:t>
      </w:r>
      <w:r w:rsidRPr="00E2403F">
        <w:rPr>
          <w:b/>
          <w:bCs/>
        </w:rPr>
        <w:t xml:space="preserve">framing and “treating” </w:t>
      </w:r>
      <w:r w:rsidRPr="00E2403F">
        <w:rPr>
          <w:bCs/>
        </w:rPr>
        <w:t>healthy intersex children as</w:t>
      </w:r>
      <w:r w:rsidRPr="00E2403F">
        <w:rPr>
          <w:b/>
          <w:bCs/>
        </w:rPr>
        <w:t xml:space="preserve"> suffering from a form of disability in the medical definition</w:t>
      </w:r>
      <w:r w:rsidRPr="00E2403F">
        <w:rPr>
          <w:bCs/>
        </w:rPr>
        <w:t>,</w:t>
      </w:r>
      <w:r w:rsidRPr="00E2403F">
        <w:t xml:space="preserve"> and in need to be </w:t>
      </w:r>
      <w:r w:rsidRPr="00E2403F">
        <w:rPr>
          <w:b/>
        </w:rPr>
        <w:t>“cured” surgically</w:t>
      </w:r>
      <w:r w:rsidRPr="00E2403F">
        <w:t xml:space="preserve">, often </w:t>
      </w:r>
      <w:r w:rsidRPr="00E2403F">
        <w:rPr>
          <w:b/>
          <w:bCs/>
        </w:rPr>
        <w:t>with openly racist, eugenic and suprematist implications</w:t>
      </w:r>
      <w:r w:rsidRPr="00E2403F">
        <w:rPr>
          <w:bCs/>
        </w:rPr>
        <w:t>.</w:t>
      </w:r>
      <w:r w:rsidRPr="00E2403F">
        <w:rPr>
          <w:rStyle w:val="Funotenzeichen"/>
          <w:rFonts w:cs="Times New Roman"/>
        </w:rPr>
        <w:t>.</w:t>
      </w:r>
      <w:r w:rsidRPr="00E2403F">
        <w:rPr>
          <w:rStyle w:val="Funotenzeichen"/>
        </w:rPr>
        <w:footnoteReference w:id="54"/>
      </w:r>
      <w:r w:rsidRPr="00E2403F">
        <w:rPr>
          <w:rStyle w:val="Funotenzeichen"/>
          <w:rFonts w:cs="Times New Roman"/>
        </w:rPr>
        <w:t xml:space="preserve"> </w:t>
      </w:r>
      <w:r w:rsidRPr="00E2403F">
        <w:rPr>
          <w:rStyle w:val="Funotenzeichen"/>
        </w:rPr>
        <w:footnoteReference w:id="55"/>
      </w:r>
      <w:r w:rsidRPr="00E2403F">
        <w:rPr>
          <w:rStyle w:val="Funotenzeichen"/>
          <w:rFonts w:cs="Times New Roman"/>
        </w:rPr>
        <w:t xml:space="preserve"> </w:t>
      </w:r>
      <w:r w:rsidRPr="00E2403F">
        <w:rPr>
          <w:rStyle w:val="Funotenzeichen"/>
        </w:rPr>
        <w:footnoteReference w:id="56"/>
      </w:r>
      <w:r w:rsidRPr="00E2403F">
        <w:rPr>
          <w:rStyle w:val="Funotenzeichen"/>
          <w:rFonts w:cs="Times New Roman"/>
        </w:rPr>
        <w:t xml:space="preserve"> </w:t>
      </w:r>
      <w:r w:rsidRPr="00E2403F">
        <w:rPr>
          <w:rStyle w:val="Funotenzeichen"/>
        </w:rPr>
        <w:footnoteReference w:id="57"/>
      </w:r>
      <w:r w:rsidRPr="00E2403F">
        <w:rPr>
          <w:position w:val="6"/>
        </w:rPr>
        <w:t xml:space="preserve"> </w:t>
      </w:r>
    </w:p>
    <w:p w14:paraId="7B09506A" w14:textId="77777777" w:rsidR="00087C7A" w:rsidRPr="00E2403F" w:rsidRDefault="00087C7A" w:rsidP="00321F0A">
      <w:pPr>
        <w:pStyle w:val="absatzschattenbericht"/>
      </w:pPr>
      <w:r w:rsidRPr="00E2403F">
        <w:rPr>
          <w:lang w:eastAsia="hi-IN"/>
        </w:rPr>
        <w:lastRenderedPageBreak/>
        <w:t xml:space="preserve">Both in “developed” and “developing” countries, </w:t>
      </w:r>
      <w:r w:rsidRPr="00E2403F">
        <w:rPr>
          <w:b/>
          <w:lang w:eastAsia="hi-IN"/>
        </w:rPr>
        <w:t>harmful stereotypes and prejudice</w:t>
      </w:r>
      <w:r w:rsidRPr="00E2403F">
        <w:rPr>
          <w:lang w:eastAsia="hi-IN"/>
        </w:rPr>
        <w:t xml:space="preserve"> framing intersex as </w:t>
      </w:r>
      <w:r w:rsidRPr="00E2403F">
        <w:rPr>
          <w:b/>
          <w:bCs/>
          <w:lang w:eastAsia="hi-IN"/>
        </w:rPr>
        <w:t>“inferior”, “deformed”, “disordered”, “degenerated” or a “bad omen”</w:t>
      </w:r>
      <w:r w:rsidRPr="00E2403F">
        <w:rPr>
          <w:lang w:eastAsia="hi-IN"/>
        </w:rPr>
        <w:t xml:space="preserve"> remain widespread, and to this day inform the current harmful </w:t>
      </w:r>
      <w:r w:rsidRPr="00E2403F">
        <w:rPr>
          <w:b/>
          <w:lang w:eastAsia="hi-IN"/>
        </w:rPr>
        <w:t>western medical practice</w:t>
      </w:r>
      <w:r w:rsidRPr="00E2403F">
        <w:rPr>
          <w:lang w:eastAsia="hi-IN"/>
        </w:rPr>
        <w:t xml:space="preserve">, as well as other practices including </w:t>
      </w:r>
      <w:r w:rsidRPr="00E2403F">
        <w:rPr>
          <w:b/>
          <w:lang w:eastAsia="hi-IN"/>
        </w:rPr>
        <w:t>infanticide</w:t>
      </w:r>
      <w:r w:rsidRPr="00E2403F">
        <w:rPr>
          <w:lang w:eastAsia="hi-IN"/>
        </w:rPr>
        <w:t xml:space="preserve"> and </w:t>
      </w:r>
      <w:r w:rsidRPr="00E2403F">
        <w:rPr>
          <w:b/>
          <w:lang w:eastAsia="hi-IN"/>
        </w:rPr>
        <w:t>child abandonment</w:t>
      </w:r>
      <w:r w:rsidRPr="00E2403F">
        <w:rPr>
          <w:lang w:eastAsia="hi-IN"/>
        </w:rPr>
        <w:t>.</w:t>
      </w:r>
    </w:p>
    <w:p w14:paraId="2F5EDE1B" w14:textId="77777777" w:rsidR="00087C7A" w:rsidRPr="00E2403F" w:rsidRDefault="00087C7A" w:rsidP="00321F0A">
      <w:pPr>
        <w:pStyle w:val="absatzschattenbericht"/>
      </w:pPr>
      <w:r w:rsidRPr="00E2403F">
        <w:rPr>
          <w:b/>
          <w:bCs/>
        </w:rPr>
        <w:t>Typical forms of medical IGM</w:t>
      </w:r>
      <w:r w:rsidRPr="00E2403F">
        <w:t xml:space="preserve"> include “feminising” or “masculinising”, “corrective” genital surgery, sterilising procedures, imposition of hormones (including prenatal “therapy”), forced genital exams, vaginal dilations, medical display, human experimentation, selective (late term) abortions and denial of needed health care.</w:t>
      </w:r>
    </w:p>
    <w:p w14:paraId="657B855A" w14:textId="77777777" w:rsidR="00087C7A" w:rsidRPr="00E2403F" w:rsidRDefault="00087C7A" w:rsidP="00321F0A">
      <w:pPr>
        <w:pStyle w:val="absatzschattenbericht"/>
        <w:rPr>
          <w:b/>
          <w:bCs/>
        </w:rPr>
      </w:pPr>
      <w:r w:rsidRPr="00E2403F">
        <w:t xml:space="preserve">Medical IGM practices are known to cause </w:t>
      </w:r>
      <w:r w:rsidRPr="00E2403F">
        <w:rPr>
          <w:b/>
          <w:bCs/>
        </w:rPr>
        <w:t>lifelong severe physical and mental pain and suffering</w:t>
      </w:r>
      <w:r w:rsidRPr="00E2403F">
        <w:t>,</w:t>
      </w:r>
      <w:r w:rsidRPr="00E2403F">
        <w:rPr>
          <w:vertAlign w:val="superscript"/>
        </w:rPr>
        <w:footnoteReference w:id="58"/>
      </w:r>
      <w:r w:rsidRPr="00E2403F">
        <w:t xml:space="preserve"> including loss or impairment of sexual sensation, poorer sexual function, painful scarring, painful intercourse, incontinence, problems with passing urine (e.g. due to urethral stenosis after surgery), increased sexual anxieties, problems with desire, less sexual activity, dissatisfaction with functional and aesthetic results, lifelong trauma and mental suffering, elevated rates of self-harming behaviour and suicidal tendencies comparable to those among women who have experienced physical or (child) sexual abuse, impairment or loss of reproductive capabilities, lifelong dependency on daily doses of artificial hormones.</w:t>
      </w:r>
    </w:p>
    <w:p w14:paraId="4EB7BBD7" w14:textId="7C52585A" w:rsidR="00087C7A" w:rsidRPr="002405D7" w:rsidRDefault="00087C7A" w:rsidP="00321F0A">
      <w:pPr>
        <w:pStyle w:val="absatzschattenbericht"/>
        <w:rPr>
          <w:b/>
        </w:rPr>
      </w:pPr>
      <w:r w:rsidRPr="002405D7">
        <w:rPr>
          <w:b/>
        </w:rPr>
        <w:t>UN Treaty bodies and other human rights experts have consistently recognised IGM practices as a serious breach of international law.</w:t>
      </w:r>
      <w:r w:rsidRPr="002405D7">
        <w:rPr>
          <w:rStyle w:val="Funotenzeichen"/>
          <w:rFonts w:cs="Times New Roman"/>
          <w:b/>
        </w:rPr>
        <w:footnoteReference w:id="59"/>
      </w:r>
      <w:r w:rsidRPr="002405D7">
        <w:rPr>
          <w:b/>
        </w:rPr>
        <w:t xml:space="preserve"> UN Treaty bodies have so far issued 4</w:t>
      </w:r>
      <w:r w:rsidR="002405D7" w:rsidRPr="002405D7">
        <w:rPr>
          <w:b/>
        </w:rPr>
        <w:t>2</w:t>
      </w:r>
      <w:r w:rsidRPr="002405D7">
        <w:rPr>
          <w:b/>
        </w:rPr>
        <w:t> Concluding Observations condemning IGM practices.</w:t>
      </w:r>
      <w:r w:rsidRPr="002405D7">
        <w:rPr>
          <w:rStyle w:val="Funotenzeichen"/>
          <w:rFonts w:cs="Times New Roman"/>
          <w:b/>
        </w:rPr>
        <w:footnoteReference w:id="60"/>
      </w:r>
    </w:p>
    <w:p w14:paraId="79AE0164" w14:textId="77777777" w:rsidR="00087C7A" w:rsidRPr="00E2403F" w:rsidRDefault="00087C7A" w:rsidP="00087C7A">
      <w:pPr>
        <w:pStyle w:val="Title2"/>
      </w:pPr>
      <w:bookmarkStart w:id="43" w:name="_Toc505194885"/>
      <w:bookmarkStart w:id="44" w:name="_Toc520833562"/>
      <w:bookmarkStart w:id="45" w:name="_Toc526178750"/>
      <w:bookmarkStart w:id="46" w:name="_Toc6284924"/>
      <w:bookmarkStart w:id="47" w:name="_Toc11017693"/>
      <w:bookmarkStart w:id="48" w:name="_Toc507726464"/>
      <w:bookmarkStart w:id="49" w:name="_Toc511611563"/>
      <w:r w:rsidRPr="00E2403F">
        <w:t>2.  Intersex = variations of reproductive anatomy</w:t>
      </w:r>
      <w:bookmarkEnd w:id="43"/>
      <w:bookmarkEnd w:id="44"/>
      <w:bookmarkEnd w:id="45"/>
      <w:bookmarkEnd w:id="46"/>
      <w:bookmarkEnd w:id="47"/>
    </w:p>
    <w:p w14:paraId="237854D0" w14:textId="77777777" w:rsidR="00087C7A" w:rsidRPr="00E2403F" w:rsidRDefault="00087C7A" w:rsidP="00BB1C2F">
      <w:pPr>
        <w:pStyle w:val="absatzschattenbericht"/>
        <w:spacing w:after="80"/>
      </w:pPr>
      <w:r w:rsidRPr="00E2403F">
        <w:rPr>
          <w:b/>
        </w:rPr>
        <w:t>Intersex persons</w:t>
      </w:r>
      <w:r w:rsidRPr="00E2403F">
        <w:t xml:space="preserve">, in the vernacular also known as hermaphrodites, or medically as persons with </w:t>
      </w:r>
      <w:r w:rsidRPr="00E2403F">
        <w:rPr>
          <w:i/>
        </w:rPr>
        <w:t xml:space="preserve">“Disorders” </w:t>
      </w:r>
      <w:r w:rsidRPr="00E2403F">
        <w:t>or</w:t>
      </w:r>
      <w:r w:rsidRPr="00E2403F">
        <w:rPr>
          <w:i/>
        </w:rPr>
        <w:t xml:space="preserve"> “Differences of Sex Development (DSD)”</w:t>
      </w:r>
      <w:r w:rsidRPr="00E2403F">
        <w:t>,</w:t>
      </w:r>
      <w:r w:rsidRPr="00E2403F">
        <w:rPr>
          <w:rStyle w:val="Funotenzeichen1"/>
          <w:position w:val="6"/>
        </w:rPr>
        <w:t xml:space="preserve"> </w:t>
      </w:r>
      <w:r w:rsidRPr="00E2403F">
        <w:rPr>
          <w:rStyle w:val="Funotenzeichen"/>
        </w:rPr>
        <w:footnoteReference w:id="61"/>
      </w:r>
      <w:r w:rsidRPr="00E2403F">
        <w:t xml:space="preserve"> are people born with </w:t>
      </w:r>
      <w:r w:rsidRPr="00E2403F">
        <w:rPr>
          <w:b/>
        </w:rPr>
        <w:t>variations of reproductive anatomy</w:t>
      </w:r>
      <w:r w:rsidRPr="00E2403F">
        <w:t xml:space="preserve">, or “atypical” reproductive organs, </w:t>
      </w:r>
      <w:r w:rsidRPr="00E2403F">
        <w:rPr>
          <w:color w:val="auto"/>
        </w:rPr>
        <w:t xml:space="preserve">including atypical genitals, atypical sex hormone producing organs, atypical response to sex hormones, atypical genetic make-up, atypical secondary sex markers. </w:t>
      </w:r>
      <w:r w:rsidRPr="00E2403F">
        <w:t xml:space="preserve">Many intersex forms are usually detected at </w:t>
      </w:r>
      <w:r w:rsidRPr="00E2403F">
        <w:rPr>
          <w:rFonts w:eastAsia="Baskerville-Bold"/>
          <w:b/>
          <w:bCs/>
        </w:rPr>
        <w:t>birth</w:t>
      </w:r>
      <w:r w:rsidRPr="00E2403F">
        <w:t xml:space="preserve"> or earlier during </w:t>
      </w:r>
      <w:r w:rsidRPr="00E2403F">
        <w:rPr>
          <w:rFonts w:eastAsia="Baskerville-Bold"/>
          <w:b/>
          <w:bCs/>
        </w:rPr>
        <w:t>prenatal testing</w:t>
      </w:r>
      <w:r w:rsidRPr="00E2403F">
        <w:t xml:space="preserve">, others may only become apparent at </w:t>
      </w:r>
      <w:r w:rsidRPr="00E2403F">
        <w:rPr>
          <w:rFonts w:eastAsia="Baskerville-Bold"/>
          <w:b/>
          <w:bCs/>
        </w:rPr>
        <w:t>puberty</w:t>
      </w:r>
      <w:r w:rsidRPr="00E2403F">
        <w:t xml:space="preserve"> or </w:t>
      </w:r>
      <w:r w:rsidRPr="00E2403F">
        <w:rPr>
          <w:rFonts w:eastAsia="Baskerville-Bold"/>
          <w:b/>
          <w:bCs/>
        </w:rPr>
        <w:t>later in life</w:t>
      </w:r>
      <w:r w:rsidRPr="00E2403F">
        <w:t>.</w:t>
      </w:r>
    </w:p>
    <w:p w14:paraId="5A5A7039" w14:textId="77777777" w:rsidR="00087C7A" w:rsidRPr="00E2403F" w:rsidRDefault="00087C7A" w:rsidP="00BB1C2F">
      <w:pPr>
        <w:pStyle w:val="absatzschattenbericht"/>
        <w:spacing w:after="80"/>
      </w:pPr>
      <w:r w:rsidRPr="00E2403F">
        <w:t xml:space="preserve">While intersex people may face several problems, in the “developed world” the most pressing are the ongoing </w:t>
      </w:r>
      <w:r w:rsidRPr="00E2403F">
        <w:rPr>
          <w:rFonts w:eastAsia="Baskerville-Bold" w:cs="Baskerville-Bold"/>
          <w:b/>
          <w:bCs/>
        </w:rPr>
        <w:t>Intersex Genital Mutilations</w:t>
      </w:r>
      <w:r w:rsidRPr="00E2403F">
        <w:t xml:space="preserve">, which present a distinct and unique issue constituting significant human rights violations, with </w:t>
      </w:r>
      <w:r w:rsidRPr="00E2403F">
        <w:rPr>
          <w:b/>
        </w:rPr>
        <w:t>1 to 2 in 1000 newborns</w:t>
      </w:r>
      <w:r w:rsidRPr="00E2403F">
        <w:t xml:space="preserve"> at risk of being submitted to non-consensual “genital correction surgery”.</w:t>
      </w:r>
    </w:p>
    <w:p w14:paraId="5A90318B" w14:textId="77777777" w:rsidR="00087C7A" w:rsidRPr="00BB1C2F" w:rsidRDefault="00087C7A" w:rsidP="00321F0A">
      <w:pPr>
        <w:pStyle w:val="absatzschattenbericht"/>
        <w:rPr>
          <w:b/>
        </w:rPr>
      </w:pPr>
      <w:r w:rsidRPr="00BB1C2F">
        <w:rPr>
          <w:b/>
        </w:rPr>
        <w:t>For more information and references, see 2014 CRC Switzerland NGO Report, p. 7-12.</w:t>
      </w:r>
      <w:r w:rsidRPr="00BB1C2F">
        <w:rPr>
          <w:rStyle w:val="Funotenzeichen"/>
          <w:b/>
          <w:i/>
          <w:color w:val="auto"/>
        </w:rPr>
        <w:footnoteReference w:id="62"/>
      </w:r>
      <w:r w:rsidRPr="00BB1C2F">
        <w:rPr>
          <w:b/>
        </w:rPr>
        <w:br w:type="page"/>
      </w:r>
    </w:p>
    <w:p w14:paraId="68C97E7B" w14:textId="6B6863F1" w:rsidR="00087C7A" w:rsidRPr="00E2403F" w:rsidRDefault="00087C7A" w:rsidP="00087C7A">
      <w:pPr>
        <w:pStyle w:val="Title2"/>
        <w:rPr>
          <w:color w:val="800000"/>
        </w:rPr>
      </w:pPr>
      <w:bookmarkStart w:id="50" w:name="_Toc526178751"/>
      <w:bookmarkStart w:id="51" w:name="_Toc6284925"/>
      <w:bookmarkStart w:id="52" w:name="_Toc11017694"/>
      <w:r w:rsidRPr="00E2403F">
        <w:lastRenderedPageBreak/>
        <w:t xml:space="preserve">3.  Harmful Stereotypes (2): Intersex is NOT THE SAME as Transgender or </w:t>
      </w:r>
      <w:bookmarkEnd w:id="48"/>
      <w:bookmarkEnd w:id="49"/>
      <w:r w:rsidRPr="00E2403F">
        <w:t>LGBT</w:t>
      </w:r>
      <w:bookmarkEnd w:id="50"/>
      <w:bookmarkEnd w:id="51"/>
      <w:bookmarkEnd w:id="52"/>
    </w:p>
    <w:p w14:paraId="15061E7C" w14:textId="77777777" w:rsidR="00087C7A" w:rsidRPr="00E2403F" w:rsidRDefault="00087C7A" w:rsidP="00321F0A">
      <w:pPr>
        <w:pStyle w:val="absatzschattenbericht"/>
        <w:rPr>
          <w:lang w:eastAsia="hi-IN"/>
        </w:rPr>
      </w:pPr>
      <w:r w:rsidRPr="00E2403F">
        <w:rPr>
          <w:lang w:eastAsia="hi-IN"/>
        </w:rPr>
        <w:t xml:space="preserve">Unfortunately, there are also other, often interrelated </w:t>
      </w:r>
      <w:r w:rsidRPr="00E2403F">
        <w:rPr>
          <w:b/>
          <w:lang w:eastAsia="hi-IN"/>
        </w:rPr>
        <w:t>harmful misconceptions and stereotypes about intersex</w:t>
      </w:r>
      <w:r w:rsidRPr="00E2403F">
        <w:rPr>
          <w:lang w:eastAsia="hi-IN"/>
        </w:rPr>
        <w:t xml:space="preserve"> still prevailing in public, notably if intersex is counterfactually described as being the same as or a subset of LGBT or SOGI, e.g. if intersex is misrepresented as a sexual orientation (like gay or lesbian), and/or as a gender identity, as a subset of transgender, as the same as transsexuality, or as a form of sexual orientation.</w:t>
      </w:r>
    </w:p>
    <w:p w14:paraId="26CC40CF" w14:textId="77777777" w:rsidR="00087C7A" w:rsidRPr="00E2403F" w:rsidRDefault="00087C7A" w:rsidP="00321F0A">
      <w:pPr>
        <w:pStyle w:val="absatzschattenbericht"/>
        <w:rPr>
          <w:lang w:eastAsia="hi-IN"/>
        </w:rPr>
      </w:pPr>
      <w:r w:rsidRPr="00E2403F">
        <w:rPr>
          <w:lang w:eastAsia="hi-IN"/>
        </w:rPr>
        <w:t xml:space="preserve">The underlying reasons for such harmful misrepresentations include </w:t>
      </w:r>
      <w:r w:rsidRPr="00E2403F">
        <w:rPr>
          <w:b/>
          <w:lang w:eastAsia="hi-IN"/>
        </w:rPr>
        <w:t>lack of awareness</w:t>
      </w:r>
      <w:r w:rsidRPr="00E2403F">
        <w:rPr>
          <w:lang w:eastAsia="hi-IN"/>
        </w:rPr>
        <w:t xml:space="preserve">, third party groups </w:t>
      </w:r>
      <w:r w:rsidRPr="00E2403F">
        <w:rPr>
          <w:b/>
          <w:lang w:eastAsia="hi-IN"/>
        </w:rPr>
        <w:t>instrumentalising intersex as a means to an end</w:t>
      </w:r>
      <w:r w:rsidRPr="00E2403F">
        <w:rPr>
          <w:rStyle w:val="Funotenzeichen"/>
          <w:rFonts w:eastAsia="Times New Roman" w:cs="Times New Roman"/>
          <w:lang w:eastAsia="hi-IN"/>
        </w:rPr>
        <w:footnoteReference w:id="63"/>
      </w:r>
      <w:r w:rsidRPr="00E2403F">
        <w:rPr>
          <w:lang w:eastAsia="hi-IN"/>
        </w:rPr>
        <w:t xml:space="preserve"> </w:t>
      </w:r>
      <w:r w:rsidRPr="00E2403F">
        <w:rPr>
          <w:rStyle w:val="Funotenzeichen"/>
          <w:rFonts w:eastAsia="Times New Roman" w:cs="Times New Roman"/>
          <w:lang w:eastAsia="hi-IN"/>
        </w:rPr>
        <w:footnoteReference w:id="64"/>
      </w:r>
      <w:r w:rsidRPr="00E2403F">
        <w:rPr>
          <w:lang w:eastAsia="hi-IN"/>
        </w:rPr>
        <w:t xml:space="preserve"> for their own agenda, and State parties </w:t>
      </w:r>
      <w:r w:rsidRPr="00E2403F">
        <w:rPr>
          <w:b/>
          <w:lang w:eastAsia="hi-IN"/>
        </w:rPr>
        <w:t>trying to deflect</w:t>
      </w:r>
      <w:r w:rsidRPr="00E2403F">
        <w:rPr>
          <w:lang w:eastAsia="hi-IN"/>
        </w:rPr>
        <w:t xml:space="preserve"> from criticism of involuntary intersex treatments.</w:t>
      </w:r>
    </w:p>
    <w:p w14:paraId="04DEFCCD" w14:textId="77777777" w:rsidR="00087C7A" w:rsidRPr="00E2403F" w:rsidRDefault="00087C7A" w:rsidP="00321F0A">
      <w:pPr>
        <w:pStyle w:val="absatzschattenbericht"/>
        <w:rPr>
          <w:lang w:eastAsia="hi-IN"/>
        </w:rPr>
      </w:pPr>
      <w:r w:rsidRPr="00E2403F">
        <w:rPr>
          <w:lang w:eastAsia="hi-IN"/>
        </w:rPr>
        <w:t>Intersex persons and their organisations have spoken out clearly against instrumentalising or misrepresenting intersex issues,</w:t>
      </w:r>
      <w:r w:rsidRPr="00E2403F">
        <w:rPr>
          <w:rStyle w:val="Funotenzeichen"/>
          <w:rFonts w:cs="Times New Roman"/>
        </w:rPr>
        <w:footnoteReference w:id="65"/>
      </w:r>
      <w:r w:rsidRPr="00E2403F">
        <w:rPr>
          <w:lang w:eastAsia="hi-IN"/>
        </w:rPr>
        <w:t xml:space="preserve"> maintaining that IGM practices present a distinct and unique issue constituting significant human rights violations, which are different from those faced by the LGBT community, and thus need to be adequately addressed in a separate section as specific intersex issues. </w:t>
      </w:r>
    </w:p>
    <w:p w14:paraId="7994EF67" w14:textId="77777777" w:rsidR="00087C7A" w:rsidRPr="00E2403F" w:rsidRDefault="00087C7A" w:rsidP="00321F0A">
      <w:pPr>
        <w:pStyle w:val="absatzschattenbericht"/>
        <w:rPr>
          <w:lang w:eastAsia="hi-IN"/>
        </w:rPr>
      </w:pPr>
      <w:r w:rsidRPr="00E2403F">
        <w:rPr>
          <w:lang w:eastAsia="hi-IN"/>
        </w:rPr>
        <w:t xml:space="preserve">Also </w:t>
      </w:r>
      <w:r w:rsidRPr="00E2403F">
        <w:rPr>
          <w:b/>
          <w:lang w:eastAsia="hi-IN"/>
        </w:rPr>
        <w:t>human rights experts</w:t>
      </w:r>
      <w:r w:rsidRPr="00E2403F">
        <w:rPr>
          <w:lang w:eastAsia="hi-IN"/>
        </w:rPr>
        <w:t xml:space="preserve"> are increasingly warning of the </w:t>
      </w:r>
      <w:r w:rsidRPr="00E2403F">
        <w:rPr>
          <w:b/>
          <w:lang w:eastAsia="hi-IN"/>
        </w:rPr>
        <w:t>harmful conflation</w:t>
      </w:r>
      <w:r w:rsidRPr="00E2403F">
        <w:rPr>
          <w:lang w:eastAsia="hi-IN"/>
        </w:rPr>
        <w:t xml:space="preserve"> of intersex and LGBT.</w:t>
      </w:r>
      <w:r w:rsidRPr="00E2403F">
        <w:rPr>
          <w:rStyle w:val="Funotenzeichen"/>
          <w:rFonts w:eastAsia="Times New Roman" w:cs="Times New Roman"/>
          <w:lang w:eastAsia="hi-IN"/>
        </w:rPr>
        <w:footnoteReference w:id="66"/>
      </w:r>
      <w:r w:rsidRPr="00E2403F">
        <w:rPr>
          <w:lang w:eastAsia="hi-IN"/>
        </w:rPr>
        <w:t xml:space="preserve"> </w:t>
      </w:r>
    </w:p>
    <w:p w14:paraId="61B145B1" w14:textId="77777777" w:rsidR="00087C7A" w:rsidRPr="00E2403F" w:rsidRDefault="00087C7A" w:rsidP="00321F0A">
      <w:pPr>
        <w:pStyle w:val="absatzschattenbericht"/>
        <w:rPr>
          <w:lang w:eastAsia="hi-IN"/>
        </w:rPr>
      </w:pPr>
      <w:r w:rsidRPr="00E2403F">
        <w:rPr>
          <w:lang w:eastAsia="hi-IN"/>
        </w:rPr>
        <w:t xml:space="preserve">Regrettably, </w:t>
      </w:r>
      <w:r w:rsidRPr="00E2403F">
        <w:rPr>
          <w:b/>
          <w:bCs/>
          <w:lang w:eastAsia="hi-IN"/>
        </w:rPr>
        <w:t>these harmful misrepresentations seem to be on the rise also at the UN</w:t>
      </w:r>
      <w:r w:rsidRPr="00E2403F">
        <w:rPr>
          <w:lang w:eastAsia="hi-IN"/>
        </w:rPr>
        <w:t xml:space="preserve">, for example in recent </w:t>
      </w:r>
      <w:r w:rsidRPr="00E2403F">
        <w:rPr>
          <w:b/>
          <w:bCs/>
          <w:lang w:eastAsia="hi-IN"/>
        </w:rPr>
        <w:t>UN press releases</w:t>
      </w:r>
      <w:r w:rsidRPr="00E2403F">
        <w:rPr>
          <w:lang w:eastAsia="hi-IN"/>
        </w:rPr>
        <w:t xml:space="preserve"> and </w:t>
      </w:r>
      <w:r w:rsidRPr="00E2403F">
        <w:rPr>
          <w:b/>
          <w:bCs/>
          <w:lang w:eastAsia="hi-IN"/>
        </w:rPr>
        <w:t>Summary records</w:t>
      </w:r>
      <w:r w:rsidRPr="00E2403F">
        <w:rPr>
          <w:lang w:eastAsia="hi-IN"/>
        </w:rPr>
        <w:t xml:space="preserve"> misrepresenting IGM as </w:t>
      </w:r>
      <w:r w:rsidRPr="00E2403F">
        <w:rPr>
          <w:i/>
          <w:iCs/>
          <w:lang w:eastAsia="hi-IN"/>
        </w:rPr>
        <w:t>“sex alignment surgeries”</w:t>
      </w:r>
      <w:r w:rsidRPr="00E2403F">
        <w:rPr>
          <w:lang w:eastAsia="hi-IN"/>
        </w:rPr>
        <w:t xml:space="preserve"> (i.e. voluntary procedures on transsexual or transgender persons), IGM survivors as </w:t>
      </w:r>
      <w:r w:rsidRPr="00E2403F">
        <w:rPr>
          <w:i/>
          <w:iCs/>
          <w:lang w:eastAsia="hi-IN"/>
        </w:rPr>
        <w:t>“transsexual children”</w:t>
      </w:r>
      <w:r w:rsidRPr="00E2403F">
        <w:rPr>
          <w:lang w:eastAsia="hi-IN"/>
        </w:rPr>
        <w:t xml:space="preserve">, and intersex NGOs as </w:t>
      </w:r>
      <w:r w:rsidRPr="00E2403F">
        <w:rPr>
          <w:i/>
          <w:iCs/>
          <w:lang w:eastAsia="hi-IN"/>
        </w:rPr>
        <w:t>“a group of lesbians, gays, bisexuals, transgender and intersex victims of discrimination”</w:t>
      </w:r>
      <w:r w:rsidRPr="00E2403F">
        <w:rPr>
          <w:lang w:eastAsia="hi-IN"/>
        </w:rPr>
        <w:t>,</w:t>
      </w:r>
      <w:r w:rsidRPr="00E2403F">
        <w:rPr>
          <w:rStyle w:val="Funotenzeichen"/>
          <w:rFonts w:eastAsia="Times New Roman"/>
          <w:lang w:eastAsia="hi-IN"/>
        </w:rPr>
        <w:footnoteReference w:id="67"/>
      </w:r>
      <w:r w:rsidRPr="00E2403F">
        <w:rPr>
          <w:lang w:eastAsia="hi-IN"/>
        </w:rPr>
        <w:t xml:space="preserve"> and again IGM survivors as </w:t>
      </w:r>
      <w:r w:rsidRPr="00E2403F">
        <w:rPr>
          <w:i/>
          <w:lang w:eastAsia="hi-IN"/>
        </w:rPr>
        <w:t>“transgender children”</w:t>
      </w:r>
      <w:r w:rsidRPr="00E2403F">
        <w:rPr>
          <w:lang w:eastAsia="hi-IN"/>
        </w:rPr>
        <w:t>,</w:t>
      </w:r>
      <w:r w:rsidRPr="00E2403F">
        <w:rPr>
          <w:rStyle w:val="Funotenzeichen"/>
          <w:rFonts w:eastAsia="Times New Roman"/>
          <w:lang w:eastAsia="hi-IN"/>
        </w:rPr>
        <w:footnoteReference w:id="68"/>
      </w:r>
      <w:r w:rsidRPr="00E2403F">
        <w:rPr>
          <w:lang w:eastAsia="hi-IN"/>
        </w:rPr>
        <w:t xml:space="preserve"> </w:t>
      </w:r>
      <w:r w:rsidRPr="00E2403F">
        <w:rPr>
          <w:i/>
          <w:iCs/>
          <w:lang w:eastAsia="hi-IN"/>
        </w:rPr>
        <w:t>“transsexual children who underwent difficult treatments and surgeries”</w:t>
      </w:r>
      <w:r w:rsidRPr="00E2403F">
        <w:rPr>
          <w:lang w:eastAsia="hi-IN"/>
        </w:rPr>
        <w:t xml:space="preserve">, and IGM as a form of </w:t>
      </w:r>
      <w:r w:rsidRPr="00E2403F">
        <w:rPr>
          <w:i/>
          <w:iCs/>
          <w:lang w:eastAsia="hi-IN"/>
        </w:rPr>
        <w:t>“discrimination against transgender and intersex children”</w:t>
      </w:r>
      <w:r w:rsidRPr="00E2403F">
        <w:rPr>
          <w:iCs/>
          <w:lang w:eastAsia="hi-IN"/>
        </w:rPr>
        <w:t xml:space="preserve"> </w:t>
      </w:r>
      <w:r w:rsidRPr="00E2403F">
        <w:rPr>
          <w:rStyle w:val="Funotenzeichen"/>
          <w:rFonts w:eastAsia="Times New Roman"/>
          <w:lang w:eastAsia="hi-IN"/>
        </w:rPr>
        <w:footnoteReference w:id="69"/>
      </w:r>
      <w:r w:rsidRPr="00E2403F">
        <w:rPr>
          <w:iCs/>
          <w:lang w:eastAsia="hi-IN"/>
        </w:rPr>
        <w:t xml:space="preserve"> and as </w:t>
      </w:r>
      <w:r w:rsidRPr="00E2403F">
        <w:rPr>
          <w:i/>
          <w:iCs/>
          <w:lang w:eastAsia="hi-IN"/>
        </w:rPr>
        <w:t>“sex assignment surgery”</w:t>
      </w:r>
      <w:r w:rsidRPr="00E2403F">
        <w:rPr>
          <w:iCs/>
          <w:lang w:eastAsia="hi-IN"/>
        </w:rPr>
        <w:t xml:space="preserve"> while referring to </w:t>
      </w:r>
      <w:r w:rsidRPr="00E2403F">
        <w:rPr>
          <w:i/>
          <w:iCs/>
          <w:lang w:eastAsia="hi-IN"/>
        </w:rPr>
        <w:t>“access to gender reassignment-related treatments”</w:t>
      </w:r>
      <w:r w:rsidRPr="00E2403F">
        <w:rPr>
          <w:iCs/>
          <w:lang w:eastAsia="hi-IN"/>
        </w:rPr>
        <w:t>.</w:t>
      </w:r>
      <w:r w:rsidRPr="00E2403F">
        <w:rPr>
          <w:rStyle w:val="Funotenzeichen"/>
          <w:rFonts w:eastAsia="Times New Roman"/>
          <w:iCs/>
          <w:lang w:eastAsia="hi-IN"/>
        </w:rPr>
        <w:footnoteReference w:id="70"/>
      </w:r>
    </w:p>
    <w:p w14:paraId="68CB7A21" w14:textId="6FD7AEB7" w:rsidR="00087C7A" w:rsidRPr="00E2403F" w:rsidRDefault="00087C7A" w:rsidP="00321F0A">
      <w:pPr>
        <w:pStyle w:val="absatzschattenbericht"/>
        <w:rPr>
          <w:lang w:eastAsia="hi-IN"/>
        </w:rPr>
      </w:pPr>
      <w:r w:rsidRPr="00E2403F">
        <w:rPr>
          <w:lang w:eastAsia="hi-IN"/>
        </w:rPr>
        <w:t xml:space="preserve">Particularly </w:t>
      </w:r>
      <w:r w:rsidRPr="00E2403F">
        <w:rPr>
          <w:b/>
          <w:bCs/>
          <w:lang w:eastAsia="hi-IN"/>
        </w:rPr>
        <w:t>State parties</w:t>
      </w:r>
      <w:r w:rsidRPr="00E2403F">
        <w:rPr>
          <w:lang w:eastAsia="hi-IN"/>
        </w:rPr>
        <w:t xml:space="preserve"> are constantly </w:t>
      </w:r>
      <w:r w:rsidRPr="00E2403F">
        <w:rPr>
          <w:b/>
          <w:lang w:eastAsia="hi-IN"/>
        </w:rPr>
        <w:t>misrepresenting intersex and IGM as sexual orientation or gender identity issues</w:t>
      </w:r>
      <w:r w:rsidRPr="00E2403F">
        <w:rPr>
          <w:lang w:eastAsia="hi-IN"/>
        </w:rPr>
        <w:t xml:space="preserve"> </w:t>
      </w:r>
      <w:r w:rsidRPr="00E2403F">
        <w:rPr>
          <w:rFonts w:cs="Times New Roman"/>
          <w:lang w:eastAsia="hi-IN"/>
        </w:rPr>
        <w:t xml:space="preserve">in an attempt to </w:t>
      </w:r>
      <w:r w:rsidRPr="00E2403F">
        <w:rPr>
          <w:rFonts w:cs="Times New Roman"/>
          <w:b/>
          <w:lang w:eastAsia="hi-IN"/>
        </w:rPr>
        <w:t>deflect from criticism</w:t>
      </w:r>
      <w:r w:rsidRPr="00E2403F">
        <w:rPr>
          <w:rFonts w:cs="Times New Roman"/>
          <w:lang w:eastAsia="hi-IN"/>
        </w:rPr>
        <w:t xml:space="preserve"> of the serious human rights violations resulting from IGM practices, instead </w:t>
      </w:r>
      <w:r w:rsidRPr="00E2403F">
        <w:rPr>
          <w:lang w:eastAsia="hi-IN"/>
        </w:rPr>
        <w:t xml:space="preserve">referring to e.g. </w:t>
      </w:r>
      <w:r w:rsidRPr="00E2403F">
        <w:rPr>
          <w:i/>
          <w:lang w:eastAsia="hi-IN"/>
        </w:rPr>
        <w:t>“gender reassignment surgery”</w:t>
      </w:r>
      <w:r w:rsidRPr="00E2403F">
        <w:rPr>
          <w:lang w:eastAsia="hi-IN"/>
        </w:rPr>
        <w:t xml:space="preserve"> (i.e. voluntary procedures on transsexual or transgender persons) and </w:t>
      </w:r>
      <w:r w:rsidRPr="00E2403F">
        <w:rPr>
          <w:i/>
          <w:lang w:eastAsia="hi-IN"/>
        </w:rPr>
        <w:t>“gender assignment surgery for children”</w:t>
      </w:r>
      <w:r w:rsidRPr="00E2403F">
        <w:rPr>
          <w:lang w:eastAsia="hi-IN"/>
        </w:rPr>
        <w:t>,</w:t>
      </w:r>
      <w:r w:rsidRPr="00E2403F">
        <w:rPr>
          <w:rStyle w:val="Funotenzeichen"/>
          <w:rFonts w:eastAsia="Times New Roman"/>
          <w:lang w:eastAsia="hi-IN"/>
        </w:rPr>
        <w:footnoteReference w:id="71"/>
      </w:r>
      <w:r w:rsidRPr="00E2403F">
        <w:rPr>
          <w:lang w:eastAsia="hi-IN"/>
        </w:rPr>
        <w:t xml:space="preserve"> </w:t>
      </w:r>
      <w:r w:rsidRPr="00E2403F">
        <w:rPr>
          <w:i/>
          <w:lang w:eastAsia="hi-IN"/>
        </w:rPr>
        <w:t>“a special provision on sexual orientation and gender identity”</w:t>
      </w:r>
      <w:r w:rsidRPr="00E2403F">
        <w:rPr>
          <w:lang w:eastAsia="hi-IN"/>
        </w:rPr>
        <w:t xml:space="preserve">, </w:t>
      </w:r>
      <w:r w:rsidRPr="00E2403F">
        <w:rPr>
          <w:i/>
          <w:lang w:eastAsia="hi-IN"/>
        </w:rPr>
        <w:t xml:space="preserve">“civil registry” </w:t>
      </w:r>
      <w:r w:rsidRPr="00E2403F">
        <w:rPr>
          <w:lang w:eastAsia="hi-IN"/>
        </w:rPr>
        <w:lastRenderedPageBreak/>
        <w:t xml:space="preserve">and </w:t>
      </w:r>
      <w:r w:rsidRPr="00E2403F">
        <w:rPr>
          <w:i/>
          <w:lang w:eastAsia="hi-IN"/>
        </w:rPr>
        <w:t>“sexual reassignment surgery”</w:t>
      </w:r>
      <w:r w:rsidR="00376BF3">
        <w:rPr>
          <w:lang w:eastAsia="hi-IN"/>
        </w:rPr>
        <w:t>,</w:t>
      </w:r>
      <w:r w:rsidRPr="00E2403F">
        <w:rPr>
          <w:rStyle w:val="Funotenzeichen"/>
          <w:rFonts w:eastAsia="Times New Roman"/>
          <w:lang w:eastAsia="hi-IN"/>
        </w:rPr>
        <w:footnoteReference w:id="72"/>
      </w:r>
      <w:r w:rsidRPr="00E2403F">
        <w:rPr>
          <w:lang w:eastAsia="hi-IN"/>
        </w:rPr>
        <w:t xml:space="preserve"> transgender guidelines</w:t>
      </w:r>
      <w:r w:rsidRPr="00E2403F">
        <w:rPr>
          <w:rStyle w:val="Funotenzeichen"/>
          <w:rFonts w:eastAsia="Times New Roman"/>
          <w:lang w:eastAsia="hi-IN"/>
        </w:rPr>
        <w:footnoteReference w:id="73"/>
      </w:r>
      <w:r w:rsidRPr="00E2403F">
        <w:rPr>
          <w:lang w:eastAsia="hi-IN"/>
        </w:rPr>
        <w:t xml:space="preserve"> or </w:t>
      </w:r>
      <w:r w:rsidRPr="00E2403F">
        <w:rPr>
          <w:i/>
          <w:iCs/>
          <w:lang w:eastAsia="hi-IN"/>
        </w:rPr>
        <w:t>“Gender Identity”</w:t>
      </w:r>
      <w:r w:rsidR="00376BF3">
        <w:rPr>
          <w:iCs/>
          <w:lang w:eastAsia="hi-IN"/>
        </w:rPr>
        <w:t>,</w:t>
      </w:r>
      <w:r w:rsidRPr="00E2403F">
        <w:rPr>
          <w:rStyle w:val="Funotenzeichen"/>
          <w:rFonts w:eastAsia="Times New Roman"/>
          <w:lang w:eastAsia="hi-IN"/>
        </w:rPr>
        <w:footnoteReference w:id="74"/>
      </w:r>
      <w:r w:rsidRPr="00E2403F">
        <w:rPr>
          <w:lang w:eastAsia="hi-IN"/>
        </w:rPr>
        <w:t xml:space="preserve"> </w:t>
      </w:r>
      <w:r w:rsidRPr="00E2403F">
        <w:rPr>
          <w:rStyle w:val="Funotenzeichen"/>
          <w:rFonts w:eastAsia="Times New Roman"/>
          <w:lang w:eastAsia="hi-IN"/>
        </w:rPr>
        <w:footnoteReference w:id="75"/>
      </w:r>
      <w:r w:rsidRPr="00E2403F">
        <w:rPr>
          <w:lang w:eastAsia="hi-IN"/>
        </w:rPr>
        <w:t xml:space="preserve"> </w:t>
      </w:r>
      <w:r w:rsidR="00376BF3">
        <w:rPr>
          <w:i/>
          <w:lang w:eastAsia="hi-IN"/>
        </w:rPr>
        <w:t>“issues related to the civil register”</w:t>
      </w:r>
      <w:r w:rsidR="00376BF3">
        <w:rPr>
          <w:rStyle w:val="Funotenzeichen"/>
          <w:i/>
          <w:lang w:eastAsia="hi-IN"/>
        </w:rPr>
        <w:footnoteReference w:id="76"/>
      </w:r>
      <w:r w:rsidR="00376BF3">
        <w:rPr>
          <w:lang w:eastAsia="hi-IN"/>
        </w:rPr>
        <w:t xml:space="preserve"> or </w:t>
      </w:r>
      <w:r w:rsidR="00376BF3" w:rsidRPr="00376BF3">
        <w:rPr>
          <w:i/>
          <w:lang w:eastAsia="hi-IN"/>
        </w:rPr>
        <w:t>“</w:t>
      </w:r>
      <w:r w:rsidR="00376BF3">
        <w:rPr>
          <w:i/>
          <w:lang w:eastAsia="hi-IN"/>
        </w:rPr>
        <w:t>gender other than male and female</w:t>
      </w:r>
      <w:r w:rsidR="00376BF3" w:rsidRPr="00376BF3">
        <w:rPr>
          <w:i/>
          <w:lang w:eastAsia="hi-IN"/>
        </w:rPr>
        <w:t>”</w:t>
      </w:r>
      <w:r w:rsidR="00376BF3">
        <w:rPr>
          <w:rStyle w:val="Funotenzeichen"/>
          <w:i/>
          <w:lang w:eastAsia="hi-IN"/>
        </w:rPr>
        <w:footnoteReference w:id="77"/>
      </w:r>
      <w:r w:rsidR="00376BF3" w:rsidRPr="00376BF3">
        <w:rPr>
          <w:lang w:eastAsia="hi-IN"/>
        </w:rPr>
        <w:t xml:space="preserve"> </w:t>
      </w:r>
      <w:r w:rsidRPr="00E2403F">
        <w:rPr>
          <w:lang w:eastAsia="hi-IN"/>
        </w:rPr>
        <w:t>when asked about IGM by e.g. Treaty bodies.</w:t>
      </w:r>
    </w:p>
    <w:p w14:paraId="6119343B" w14:textId="77777777" w:rsidR="00087C7A" w:rsidRPr="00E2403F" w:rsidRDefault="00087C7A" w:rsidP="00321F0A">
      <w:pPr>
        <w:pStyle w:val="absatzschattenbericht"/>
        <w:rPr>
          <w:lang w:eastAsia="hi-IN"/>
        </w:rPr>
      </w:pPr>
      <w:bookmarkStart w:id="53" w:name="_Toc378801642"/>
      <w:bookmarkStart w:id="54" w:name="_Toc505019188"/>
      <w:bookmarkStart w:id="55" w:name="_Toc505194888"/>
      <w:bookmarkStart w:id="56" w:name="_Toc507726465"/>
      <w:bookmarkStart w:id="57" w:name="_Toc511611564"/>
      <w:r w:rsidRPr="00E2403F">
        <w:rPr>
          <w:lang w:eastAsia="hi-IN"/>
        </w:rPr>
        <w:t xml:space="preserve">What’s more, </w:t>
      </w:r>
      <w:r w:rsidRPr="00E2403F">
        <w:rPr>
          <w:b/>
          <w:lang w:eastAsia="hi-IN"/>
        </w:rPr>
        <w:t>LGBT organisations</w:t>
      </w:r>
      <w:r w:rsidRPr="00E2403F">
        <w:rPr>
          <w:lang w:eastAsia="hi-IN"/>
        </w:rPr>
        <w:t xml:space="preserve"> (including “LGBTI” organisations without actual intersex representation or advocacy) are using the ubiquitous misrepresentation of intersex = LGBT to </w:t>
      </w:r>
      <w:r w:rsidRPr="00E2403F">
        <w:rPr>
          <w:b/>
          <w:lang w:eastAsia="hi-IN"/>
        </w:rPr>
        <w:t>misappropriate intersex funding</w:t>
      </w:r>
      <w:r w:rsidRPr="00E2403F">
        <w:rPr>
          <w:lang w:eastAsia="hi-IN"/>
        </w:rPr>
        <w:t xml:space="preserve">, thus </w:t>
      </w:r>
      <w:r w:rsidRPr="00E2403F">
        <w:rPr>
          <w:b/>
          <w:lang w:eastAsia="hi-IN"/>
        </w:rPr>
        <w:t>depriving actual intersex organisations</w:t>
      </w:r>
      <w:r w:rsidRPr="00E2403F">
        <w:rPr>
          <w:lang w:eastAsia="hi-IN"/>
        </w:rPr>
        <w:t xml:space="preserve"> (which mostly have no significant funding, if any) of much needed </w:t>
      </w:r>
      <w:r w:rsidRPr="00E2403F">
        <w:rPr>
          <w:b/>
          <w:lang w:eastAsia="hi-IN"/>
        </w:rPr>
        <w:t>resources</w:t>
      </w:r>
      <w:r w:rsidRPr="00E2403F">
        <w:rPr>
          <w:lang w:eastAsia="hi-IN"/>
        </w:rPr>
        <w:t> </w:t>
      </w:r>
      <w:r w:rsidRPr="00E2403F">
        <w:rPr>
          <w:rStyle w:val="Funotenzeichen"/>
          <w:rFonts w:eastAsia="Times New Roman"/>
          <w:lang w:eastAsia="hi-IN"/>
        </w:rPr>
        <w:footnoteReference w:id="78"/>
      </w:r>
      <w:r w:rsidRPr="00E2403F">
        <w:rPr>
          <w:lang w:eastAsia="hi-IN"/>
        </w:rPr>
        <w:t xml:space="preserve"> and public </w:t>
      </w:r>
      <w:r w:rsidRPr="00E2403F">
        <w:rPr>
          <w:b/>
          <w:lang w:eastAsia="hi-IN"/>
        </w:rPr>
        <w:t>representation</w:t>
      </w:r>
      <w:r w:rsidRPr="00E2403F">
        <w:rPr>
          <w:lang w:eastAsia="hi-IN"/>
        </w:rPr>
        <w:t>.</w:t>
      </w:r>
      <w:r w:rsidRPr="00E2403F">
        <w:rPr>
          <w:rStyle w:val="Funotenzeichen"/>
          <w:lang w:eastAsia="hi-IN"/>
        </w:rPr>
        <w:footnoteReference w:id="79"/>
      </w:r>
    </w:p>
    <w:p w14:paraId="1EF59905" w14:textId="6C5803D3" w:rsidR="00087C7A" w:rsidRPr="00E2403F" w:rsidRDefault="00087C7A" w:rsidP="00087C7A">
      <w:pPr>
        <w:pStyle w:val="Title2"/>
      </w:pPr>
      <w:bookmarkStart w:id="58" w:name="_Toc526178752"/>
      <w:bookmarkStart w:id="59" w:name="_Toc6284926"/>
      <w:bookmarkStart w:id="60" w:name="_Toc11017695"/>
      <w:r w:rsidRPr="00E2403F">
        <w:t>4.  Harmful Stereotypes (3): Misrepresenting Genital Mutilation as “Health Care”</w:t>
      </w:r>
      <w:bookmarkEnd w:id="53"/>
      <w:bookmarkEnd w:id="54"/>
      <w:bookmarkEnd w:id="55"/>
      <w:bookmarkEnd w:id="56"/>
      <w:bookmarkEnd w:id="57"/>
      <w:bookmarkEnd w:id="58"/>
      <w:bookmarkEnd w:id="59"/>
      <w:bookmarkEnd w:id="60"/>
    </w:p>
    <w:p w14:paraId="4EFC29A2" w14:textId="77777777" w:rsidR="00087C7A" w:rsidRPr="00E2403F" w:rsidRDefault="00087C7A" w:rsidP="00321F0A">
      <w:pPr>
        <w:pStyle w:val="absatzschattenbericht"/>
        <w:rPr>
          <w:lang w:eastAsia="hi-IN"/>
        </w:rPr>
      </w:pPr>
      <w:r w:rsidRPr="00E2403F">
        <w:rPr>
          <w:lang w:eastAsia="hi-IN"/>
        </w:rPr>
        <w:t xml:space="preserve">An interrelated, alarming new trend is the </w:t>
      </w:r>
      <w:r w:rsidRPr="00E2403F">
        <w:rPr>
          <w:b/>
          <w:bCs/>
          <w:lang w:eastAsia="hi-IN"/>
        </w:rPr>
        <w:t xml:space="preserve">increasing misrepresentation of IGM as </w:t>
      </w:r>
      <w:r w:rsidRPr="00E2403F">
        <w:rPr>
          <w:b/>
          <w:bCs/>
          <w:i/>
          <w:iCs/>
          <w:lang w:eastAsia="hi-IN"/>
        </w:rPr>
        <w:t>“health-care issue”</w:t>
      </w:r>
      <w:r w:rsidRPr="00E2403F">
        <w:rPr>
          <w:lang w:eastAsia="hi-IN"/>
        </w:rPr>
        <w:t xml:space="preserve"> instead of a serious human rights violation, and the </w:t>
      </w:r>
      <w:r w:rsidRPr="00E2403F">
        <w:rPr>
          <w:b/>
          <w:bCs/>
          <w:lang w:eastAsia="hi-IN"/>
        </w:rPr>
        <w:t xml:space="preserve">promotion of </w:t>
      </w:r>
      <w:r w:rsidRPr="00E2403F">
        <w:rPr>
          <w:b/>
          <w:bCs/>
          <w:i/>
          <w:iCs/>
          <w:lang w:eastAsia="hi-IN"/>
        </w:rPr>
        <w:t>“self-regulation”</w:t>
      </w:r>
      <w:r w:rsidRPr="00E2403F">
        <w:rPr>
          <w:b/>
          <w:bCs/>
          <w:lang w:eastAsia="hi-IN"/>
        </w:rPr>
        <w:t xml:space="preserve"> of IGM by the current perpetrators</w:t>
      </w:r>
      <w:r w:rsidRPr="00E2403F">
        <w:rPr>
          <w:lang w:eastAsia="hi-IN"/>
        </w:rPr>
        <w:t xml:space="preserve"> </w:t>
      </w:r>
      <w:r w:rsidRPr="00E2403F">
        <w:rPr>
          <w:vertAlign w:val="superscript"/>
          <w:lang w:eastAsia="hi-IN"/>
        </w:rPr>
        <w:footnoteReference w:id="80"/>
      </w:r>
      <w:r w:rsidRPr="00E2403F">
        <w:rPr>
          <w:lang w:eastAsia="hi-IN"/>
        </w:rPr>
        <w:t xml:space="preserve"> </w:t>
      </w:r>
      <w:r w:rsidRPr="00E2403F">
        <w:rPr>
          <w:vertAlign w:val="superscript"/>
          <w:lang w:eastAsia="hi-IN"/>
        </w:rPr>
        <w:footnoteReference w:id="81"/>
      </w:r>
      <w:r w:rsidRPr="00E2403F">
        <w:rPr>
          <w:lang w:eastAsia="hi-IN"/>
        </w:rPr>
        <w:t xml:space="preserve"> </w:t>
      </w:r>
      <w:r w:rsidRPr="00E2403F">
        <w:rPr>
          <w:vertAlign w:val="superscript"/>
          <w:lang w:eastAsia="hi-IN"/>
        </w:rPr>
        <w:footnoteReference w:id="82"/>
      </w:r>
      <w:r w:rsidRPr="00E2403F">
        <w:rPr>
          <w:lang w:eastAsia="hi-IN"/>
        </w:rPr>
        <w:t xml:space="preserve"> – instead of effective measures to finally end the practice (as repeatedly stipulated also by this Committee). </w:t>
      </w:r>
    </w:p>
    <w:p w14:paraId="3AD61D5E" w14:textId="77777777" w:rsidR="00087C7A" w:rsidRPr="00E2403F" w:rsidRDefault="00087C7A" w:rsidP="00321F0A">
      <w:pPr>
        <w:pStyle w:val="absatzschattenbericht"/>
        <w:rPr>
          <w:vertAlign w:val="superscript"/>
        </w:rPr>
      </w:pPr>
      <w:r w:rsidRPr="00E2403F">
        <w:rPr>
          <w:lang w:eastAsia="hi-IN"/>
        </w:rPr>
        <w:t xml:space="preserve">Even worse, </w:t>
      </w:r>
      <w:r w:rsidRPr="00E2403F">
        <w:rPr>
          <w:b/>
          <w:lang w:eastAsia="hi-IN"/>
        </w:rPr>
        <w:t>Health ministries</w:t>
      </w:r>
      <w:r w:rsidRPr="00E2403F">
        <w:rPr>
          <w:lang w:eastAsia="hi-IN"/>
        </w:rPr>
        <w:t xml:space="preserve"> construe UN Treaty body Concluding observations falling short of explicitly recommending legislation to criminalise or adequately sanction IGM as an</w:t>
      </w:r>
      <w:r w:rsidRPr="00E2403F">
        <w:rPr>
          <w:b/>
          <w:lang w:eastAsia="hi-IN"/>
        </w:rPr>
        <w:t xml:space="preserve"> excuse for “self-regulation” promoting state-sponsored IGM practices to continue with impunity.</w:t>
      </w:r>
      <w:r w:rsidRPr="00E2403F">
        <w:rPr>
          <w:vertAlign w:val="superscript"/>
          <w:lang w:eastAsia="hi-IN"/>
        </w:rPr>
        <w:footnoteReference w:id="83"/>
      </w:r>
      <w:bookmarkStart w:id="61" w:name="_Toc475924593"/>
      <w:bookmarkStart w:id="62" w:name="_Toc475924770"/>
      <w:r w:rsidRPr="00E2403F">
        <w:rPr>
          <w:vertAlign w:val="superscript"/>
        </w:rPr>
        <w:t xml:space="preserve"> </w:t>
      </w:r>
      <w:bookmarkEnd w:id="61"/>
      <w:bookmarkEnd w:id="62"/>
    </w:p>
    <w:p w14:paraId="1C519BBA" w14:textId="7F44FCFE" w:rsidR="00F173A7" w:rsidRPr="00087C7A" w:rsidRDefault="00F173A7" w:rsidP="00321F0A">
      <w:pPr>
        <w:pStyle w:val="absatzschattenbericht"/>
      </w:pPr>
    </w:p>
    <w:sectPr w:rsidR="00F173A7" w:rsidRPr="00087C7A" w:rsidSect="008D4606">
      <w:headerReference w:type="even" r:id="rId18"/>
      <w:headerReference w:type="default" r:id="rId19"/>
      <w:footerReference w:type="even" r:id="rId20"/>
      <w:footerReference w:type="default" r:id="rId21"/>
      <w:headerReference w:type="first" r:id="rId22"/>
      <w:footerReference w:type="first" r:id="rId23"/>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BE38D" w14:textId="77777777" w:rsidR="008836A8" w:rsidRDefault="008836A8">
      <w:r>
        <w:separator/>
      </w:r>
    </w:p>
  </w:endnote>
  <w:endnote w:type="continuationSeparator" w:id="0">
    <w:p w14:paraId="30508FC9" w14:textId="77777777" w:rsidR="008836A8" w:rsidRDefault="00883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askerville">
    <w:altName w:val="Cambria Math"/>
    <w:charset w:val="00"/>
    <w:family w:val="roman"/>
    <w:pitch w:val="variable"/>
    <w:sig w:usb0="00000001" w:usb1="02000000" w:usb2="00000000" w:usb3="00000000" w:csb0="0000019F" w:csb1="00000000"/>
  </w:font>
  <w:font w:name="Baskerville-Bold">
    <w:altName w:val="Baskerville Old Face"/>
    <w:charset w:val="00"/>
    <w:family w:val="auto"/>
    <w:pitch w:val="default"/>
  </w:font>
  <w:font w:name="OpenSymbol">
    <w:altName w:val="Arial Unicode MS"/>
    <w:charset w:val="01"/>
    <w:family w:val="auto"/>
    <w:pitch w:val="variable"/>
  </w:font>
  <w:font w:name="Baskerville-SemiBold">
    <w:altName w:val="Baskerville Old Face"/>
    <w:charset w:val="00"/>
    <w:family w:val="auto"/>
    <w:pitch w:val="default"/>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MinionPro-Regular">
    <w:altName w:val="MS Mincho"/>
    <w:charset w:val="80"/>
    <w:family w:val="auto"/>
    <w:pitch w:val="default"/>
  </w:font>
  <w:font w:name="Helvetica-Bold">
    <w:altName w:val="MS Gothic"/>
    <w:charset w:val="80"/>
    <w:family w:val="swiss"/>
    <w:pitch w:val="default"/>
    <w:sig w:usb0="00000010" w:usb1="5807785B" w:usb2="00000010" w:usb3="00000000" w:csb0="00020000" w:csb1="00000000"/>
  </w:font>
  <w:font w:name="Baskerville-Italic">
    <w:altName w:val="Cambria Math"/>
    <w:charset w:val="00"/>
    <w:family w:val="roman"/>
    <w:pitch w:val="variable"/>
    <w:sig w:usb0="00000001" w:usb1="02000000" w:usb2="00000000" w:usb3="00000000" w:csb0="0000019F" w:csb1="00000000"/>
  </w:font>
  <w:font w:name="Arial-BoldMT">
    <w:altName w:val="Arial Unicode MS"/>
    <w:charset w:val="80"/>
    <w:family w:val="swiss"/>
    <w:pitch w:val="default"/>
  </w:font>
  <w:font w:name="Arial Black">
    <w:panose1 w:val="020B0A04020102020204"/>
    <w:charset w:val="00"/>
    <w:family w:val="swiss"/>
    <w:pitch w:val="variable"/>
    <w:sig w:usb0="00000287" w:usb1="00000000" w:usb2="00000000" w:usb3="00000000" w:csb0="0000009F" w:csb1="00000000"/>
  </w:font>
  <w:font w:name="ColossalisBold">
    <w:altName w:val="Heiti TC Light"/>
    <w:charset w:val="80"/>
    <w:family w:val="auto"/>
    <w:pitch w:val="default"/>
  </w:font>
  <w:font w:name="ArialMT">
    <w:altName w:val="Yu Gothic"/>
    <w:charset w:val="80"/>
    <w:family w:val="swiss"/>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skerville-SemiBoldItalic">
    <w:altName w:val="Baskerville"/>
    <w:charset w:val="00"/>
    <w:family w:val="script"/>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64D19" w14:textId="77777777" w:rsidR="00321F0A" w:rsidRDefault="00321F0A">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A7C36" w14:textId="77777777" w:rsidR="00321F0A" w:rsidRPr="00EA246E" w:rsidRDefault="00321F0A" w:rsidP="007018B7">
    <w:pPr>
      <w:pStyle w:val="Fuzeile"/>
      <w:jc w:val="center"/>
      <w:rPr>
        <w:rFonts w:cs="Times New Roman"/>
        <w:b/>
      </w:rPr>
    </w:pPr>
    <w:r w:rsidRPr="00EA246E">
      <w:rPr>
        <w:b/>
      </w:rPr>
      <w:fldChar w:fldCharType="begin"/>
    </w:r>
    <w:r w:rsidRPr="007018B7">
      <w:rPr>
        <w:b/>
      </w:rPr>
      <w:instrText>PAGE   \* MERGEFORMAT</w:instrText>
    </w:r>
    <w:r w:rsidRPr="00EA246E">
      <w:rPr>
        <w:b/>
      </w:rPr>
      <w:fldChar w:fldCharType="separate"/>
    </w:r>
    <w:r w:rsidR="00187950" w:rsidRPr="00187950">
      <w:rPr>
        <w:rFonts w:cs="Times New Roman"/>
        <w:b/>
        <w:noProof/>
        <w:lang w:val="de-DE"/>
      </w:rPr>
      <w:t>4</w:t>
    </w:r>
    <w:r w:rsidRPr="00EA246E">
      <w:rPr>
        <w:rFonts w:cs="Times New Roman"/>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76F383" w14:textId="77777777" w:rsidR="00321F0A" w:rsidRDefault="00321F0A">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B2D8CB" w14:textId="77777777" w:rsidR="008836A8" w:rsidRDefault="008836A8">
      <w:r>
        <w:separator/>
      </w:r>
    </w:p>
  </w:footnote>
  <w:footnote w:type="continuationSeparator" w:id="0">
    <w:p w14:paraId="43704703" w14:textId="77777777" w:rsidR="008836A8" w:rsidRDefault="008836A8">
      <w:r>
        <w:continuationSeparator/>
      </w:r>
    </w:p>
  </w:footnote>
  <w:footnote w:id="1">
    <w:p w14:paraId="4AC2ED24" w14:textId="77777777" w:rsidR="00321F0A" w:rsidRPr="00386BEA" w:rsidRDefault="00321F0A" w:rsidP="00376BF3">
      <w:pPr>
        <w:pStyle w:val="fussnoteschattenbericht"/>
      </w:pPr>
      <w:r w:rsidRPr="00F73061">
        <w:rPr>
          <w:rStyle w:val="Funotenzeichen1"/>
          <w:vertAlign w:val="baseline"/>
        </w:rPr>
        <w:footnoteRef/>
      </w:r>
      <w:r>
        <w:tab/>
      </w:r>
      <w:hyperlink r:id="rId1" w:history="1">
        <w:r w:rsidRPr="00F30047">
          <w:rPr>
            <w:rStyle w:val="Hyperlink"/>
          </w:rPr>
          <w:t>https://brujulaintersexual.org/</w:t>
        </w:r>
      </w:hyperlink>
      <w:r>
        <w:t xml:space="preserve"> </w:t>
      </w:r>
    </w:p>
  </w:footnote>
  <w:footnote w:id="2">
    <w:p w14:paraId="331050CD" w14:textId="2F86EC26" w:rsidR="00321F0A" w:rsidRDefault="00321F0A" w:rsidP="00376BF3">
      <w:pPr>
        <w:pStyle w:val="fussnoteschattenbericht"/>
      </w:pPr>
      <w:r w:rsidRPr="00F73061">
        <w:rPr>
          <w:rStyle w:val="Funotenzeichen1"/>
          <w:vertAlign w:val="baseline"/>
        </w:rPr>
        <w:footnoteRef/>
      </w:r>
      <w:r>
        <w:rPr>
          <w:sz w:val="22"/>
          <w:szCs w:val="22"/>
        </w:rPr>
        <w:tab/>
      </w:r>
      <w:hyperlink r:id="rId2" w:history="1">
        <w:r w:rsidRPr="00F30047">
          <w:rPr>
            <w:rStyle w:val="Hyperlink"/>
          </w:rPr>
          <w:t>http://Zwischengeschlecht.org/</w:t>
        </w:r>
      </w:hyperlink>
      <w:r w:rsidRPr="002D16E5">
        <w:t xml:space="preserve">, English pages: </w:t>
      </w:r>
      <w:hyperlink r:id="rId3" w:history="1">
        <w:r w:rsidR="00DA6982" w:rsidRPr="00235664">
          <w:rPr>
            <w:rStyle w:val="Hyperlink"/>
          </w:rPr>
          <w:t>http://stop.genitalmutilation.org/</w:t>
        </w:r>
      </w:hyperlink>
      <w:r w:rsidR="00DA6982">
        <w:t xml:space="preserve"> </w:t>
      </w:r>
    </w:p>
  </w:footnote>
  <w:footnote w:id="3">
    <w:p w14:paraId="13F89055" w14:textId="77777777" w:rsidR="00321F0A" w:rsidRDefault="00321F0A" w:rsidP="00376BF3">
      <w:pPr>
        <w:pStyle w:val="fussnoteschattenbericht"/>
      </w:pPr>
      <w:r w:rsidRPr="00F73061">
        <w:rPr>
          <w:rStyle w:val="Funotenzeichen1"/>
          <w:vertAlign w:val="baseline"/>
        </w:rPr>
        <w:footnoteRef/>
      </w:r>
      <w:r>
        <w:tab/>
      </w:r>
      <w:hyperlink r:id="rId4" w:history="1">
        <w:r w:rsidRPr="00F30047">
          <w:rPr>
            <w:rStyle w:val="Hyperlink"/>
          </w:rPr>
          <w:t>http://zwischengeschlecht.org/post/Statuten</w:t>
        </w:r>
      </w:hyperlink>
      <w:r>
        <w:t xml:space="preserve"> </w:t>
      </w:r>
    </w:p>
  </w:footnote>
  <w:footnote w:id="4">
    <w:p w14:paraId="41C5C7C6" w14:textId="77777777" w:rsidR="00321F0A" w:rsidRDefault="00321F0A" w:rsidP="00376BF3">
      <w:pPr>
        <w:pStyle w:val="fussnoteschattenbericht"/>
      </w:pPr>
      <w:r w:rsidRPr="00F73061">
        <w:rPr>
          <w:rStyle w:val="Funotenzeichen1"/>
          <w:vertAlign w:val="baseline"/>
        </w:rPr>
        <w:footnoteRef/>
      </w:r>
      <w:r>
        <w:rPr>
          <w:sz w:val="22"/>
          <w:szCs w:val="22"/>
        </w:rPr>
        <w:tab/>
      </w:r>
      <w:hyperlink r:id="rId5" w:history="1">
        <w:r w:rsidRPr="00F30047">
          <w:rPr>
            <w:rStyle w:val="Hyperlink"/>
          </w:rPr>
          <w:t>http://intersex.shadowreport.org/</w:t>
        </w:r>
      </w:hyperlink>
      <w:r>
        <w:t xml:space="preserve"> </w:t>
      </w:r>
    </w:p>
  </w:footnote>
  <w:footnote w:id="5">
    <w:p w14:paraId="20CD54AB" w14:textId="53C5BA7E" w:rsidR="00321F0A" w:rsidRPr="008D26F7" w:rsidRDefault="00321F0A" w:rsidP="00376BF3">
      <w:pPr>
        <w:pStyle w:val="fussnoteschattenbericht"/>
      </w:pPr>
      <w:r w:rsidRPr="008D26F7">
        <w:rPr>
          <w:rStyle w:val="Funotenzeichen"/>
          <w:vertAlign w:val="baseline"/>
        </w:rPr>
        <w:footnoteRef/>
      </w:r>
      <w:r w:rsidRPr="008D26F7">
        <w:t xml:space="preserve"> </w:t>
      </w:r>
      <w:r>
        <w:tab/>
      </w:r>
      <w:hyperlink r:id="rId6" w:history="1">
        <w:r w:rsidRPr="00F30047">
          <w:rPr>
            <w:rStyle w:val="Hyperlink"/>
          </w:rPr>
          <w:t>http://canarias-semanal.org/art/23764/celebraran-en-tenerife-el-dia-internacional-por-la-visibilidad-intersexual</w:t>
        </w:r>
      </w:hyperlink>
      <w:r>
        <w:t xml:space="preserve"> </w:t>
      </w:r>
    </w:p>
  </w:footnote>
  <w:footnote w:id="6">
    <w:p w14:paraId="46B42381" w14:textId="78180C81" w:rsidR="00321F0A" w:rsidRPr="008D26F7" w:rsidRDefault="00321F0A" w:rsidP="00376BF3">
      <w:pPr>
        <w:pStyle w:val="fussnoteschattenbericht"/>
      </w:pPr>
      <w:r w:rsidRPr="008D26F7">
        <w:rPr>
          <w:rStyle w:val="Funotenzeichen"/>
          <w:vertAlign w:val="baseline"/>
        </w:rPr>
        <w:footnoteRef/>
      </w:r>
      <w:r w:rsidRPr="008D26F7">
        <w:t xml:space="preserve"> </w:t>
      </w:r>
      <w:r>
        <w:tab/>
      </w:r>
      <w:hyperlink r:id="rId7" w:history="1">
        <w:r w:rsidRPr="00F30047">
          <w:rPr>
            <w:rStyle w:val="Hyperlink"/>
          </w:rPr>
          <w:t>https://cadenaser.com/emisora/2018/03/09/radio_club_tenerife/1520602935_155303.html</w:t>
        </w:r>
      </w:hyperlink>
      <w:r>
        <w:t xml:space="preserve"> </w:t>
      </w:r>
    </w:p>
  </w:footnote>
  <w:footnote w:id="7">
    <w:p w14:paraId="693BB67F" w14:textId="77777777" w:rsidR="00321F0A" w:rsidRDefault="00321F0A" w:rsidP="00376BF3">
      <w:pPr>
        <w:pStyle w:val="fussnoteschattenbericht"/>
      </w:pPr>
      <w:r w:rsidRPr="00F73061">
        <w:rPr>
          <w:rStyle w:val="Funotenzeichen1"/>
          <w:vertAlign w:val="baseline"/>
        </w:rPr>
        <w:footnoteRef/>
      </w:r>
      <w:r>
        <w:rPr>
          <w:sz w:val="22"/>
          <w:szCs w:val="22"/>
        </w:rPr>
        <w:tab/>
      </w:r>
      <w:hyperlink r:id="rId8" w:history="1">
        <w:r w:rsidRPr="00F30047">
          <w:rPr>
            <w:rStyle w:val="Hyperlink"/>
          </w:rPr>
          <w:t>https://brujulaintersexual.files.wordpress.com/2017/10/intersex-manifesto-english.pdf</w:t>
        </w:r>
      </w:hyperlink>
      <w:r>
        <w:t xml:space="preserve"> </w:t>
      </w:r>
    </w:p>
  </w:footnote>
  <w:footnote w:id="8">
    <w:p w14:paraId="7225B5BF" w14:textId="064038F5" w:rsidR="00321F0A" w:rsidRDefault="00321F0A" w:rsidP="00376BF3">
      <w:pPr>
        <w:pStyle w:val="fussnoteschattenbericht"/>
      </w:pPr>
      <w:r w:rsidRPr="00F73061">
        <w:rPr>
          <w:rStyle w:val="Funotenzeichen1"/>
          <w:vertAlign w:val="baseline"/>
        </w:rPr>
        <w:footnoteRef/>
      </w:r>
      <w:r>
        <w:rPr>
          <w:sz w:val="22"/>
          <w:szCs w:val="22"/>
        </w:rPr>
        <w:tab/>
      </w:r>
      <w:hyperlink r:id="rId9" w:history="1">
        <w:r w:rsidRPr="001B45A6">
          <w:rPr>
            <w:rStyle w:val="Hyperlink"/>
          </w:rPr>
          <w:t>http://intersex.shadowreport.org/public/2017-CRC-Spain-NGO-Brujula-Zwischengeschlecht-Intersex-IGM.pdf</w:t>
        </w:r>
      </w:hyperlink>
      <w:r>
        <w:rPr>
          <w:sz w:val="22"/>
          <w:szCs w:val="22"/>
        </w:rPr>
        <w:t xml:space="preserve"> </w:t>
      </w:r>
    </w:p>
  </w:footnote>
  <w:footnote w:id="9">
    <w:p w14:paraId="343E3F86" w14:textId="77777777" w:rsidR="00321F0A" w:rsidRDefault="00321F0A" w:rsidP="00376BF3">
      <w:pPr>
        <w:pStyle w:val="fussnoteschattenbericht"/>
      </w:pPr>
      <w:r w:rsidRPr="00F73061">
        <w:rPr>
          <w:rStyle w:val="Funotenzeichen1"/>
          <w:vertAlign w:val="baseline"/>
        </w:rPr>
        <w:footnoteRef/>
      </w:r>
      <w:r>
        <w:rPr>
          <w:sz w:val="22"/>
          <w:szCs w:val="22"/>
        </w:rPr>
        <w:tab/>
      </w:r>
      <w:hyperlink r:id="rId10" w:history="1">
        <w:r w:rsidRPr="00F30047">
          <w:rPr>
            <w:rStyle w:val="Hyperlink"/>
          </w:rPr>
          <w:t>http://www.20minutos.es/noticia/3055849/0/padres-espanoles-cuestionan-cirugia-genital-bebes-intersexuales/</w:t>
        </w:r>
      </w:hyperlink>
      <w:r>
        <w:t xml:space="preserve"> </w:t>
      </w:r>
    </w:p>
  </w:footnote>
  <w:footnote w:id="10">
    <w:p w14:paraId="5317BCFD" w14:textId="77777777" w:rsidR="00321F0A" w:rsidRDefault="00321F0A" w:rsidP="00376BF3">
      <w:pPr>
        <w:pStyle w:val="fussnoteschattenbericht"/>
      </w:pPr>
      <w:r w:rsidRPr="00F73061">
        <w:rPr>
          <w:rStyle w:val="Funotenzeichen1"/>
          <w:vertAlign w:val="baseline"/>
        </w:rPr>
        <w:footnoteRef/>
      </w:r>
      <w:r>
        <w:rPr>
          <w:sz w:val="22"/>
          <w:szCs w:val="22"/>
        </w:rPr>
        <w:tab/>
      </w:r>
      <w:hyperlink r:id="rId11" w:history="1">
        <w:r w:rsidRPr="00F30047">
          <w:rPr>
            <w:rStyle w:val="Hyperlink"/>
          </w:rPr>
          <w:t>http://www.elmundo.es/sociedad/2016/12/11/584b00db22601d53428b4646.html</w:t>
        </w:r>
      </w:hyperlink>
      <w:r>
        <w:t xml:space="preserve"> </w:t>
      </w:r>
    </w:p>
  </w:footnote>
  <w:footnote w:id="11">
    <w:p w14:paraId="50BA106C" w14:textId="77777777" w:rsidR="00321F0A" w:rsidRPr="00DF27B4" w:rsidRDefault="00321F0A" w:rsidP="00376BF3">
      <w:pPr>
        <w:pStyle w:val="fussnoteschattenbericht"/>
        <w:rPr>
          <w:lang w:val="fr-CH"/>
        </w:rPr>
      </w:pPr>
      <w:r w:rsidRPr="00F73061">
        <w:rPr>
          <w:rStyle w:val="Funotenzeichen1"/>
          <w:vertAlign w:val="baseline"/>
        </w:rPr>
        <w:footnoteRef/>
      </w:r>
      <w:r w:rsidRPr="00DF27B4">
        <w:rPr>
          <w:sz w:val="22"/>
          <w:szCs w:val="22"/>
          <w:lang w:val="fr-CH"/>
        </w:rPr>
        <w:tab/>
      </w:r>
      <w:r w:rsidRPr="00DF27B4">
        <w:rPr>
          <w:lang w:val="fr-CH"/>
        </w:rPr>
        <w:t xml:space="preserve">Ley 2/2016, de 29 de marzo, de Identidad y Expresión de Género e Igualdad Social y no Discriminación de la Comunidad de Madrid, </w:t>
      </w:r>
      <w:hyperlink r:id="rId12" w:history="1">
        <w:r w:rsidRPr="00F30047">
          <w:rPr>
            <w:rStyle w:val="Hyperlink"/>
            <w:lang w:val="es-ES"/>
          </w:rPr>
          <w:t>http://noticias.juridicas.com/base_datos/CCAA/573598-l-2-2016-de-29-mar-ca-madrid-identidad-y-expresion-de-genero-e-igualdad.html</w:t>
        </w:r>
      </w:hyperlink>
      <w:r w:rsidRPr="00DF27B4">
        <w:rPr>
          <w:lang w:val="fr-CH"/>
        </w:rPr>
        <w:t xml:space="preserve"> </w:t>
      </w:r>
    </w:p>
  </w:footnote>
  <w:footnote w:id="12">
    <w:p w14:paraId="2F77B776" w14:textId="428767D4" w:rsidR="00321F0A" w:rsidRDefault="00321F0A" w:rsidP="00376BF3">
      <w:pPr>
        <w:pStyle w:val="fussnoteschattenbericht"/>
      </w:pPr>
      <w:r w:rsidRPr="00A542A1">
        <w:rPr>
          <w:rStyle w:val="Funotenzeichen"/>
          <w:vertAlign w:val="baseline"/>
        </w:rPr>
        <w:footnoteRef/>
      </w:r>
      <w:r w:rsidRPr="00A542A1">
        <w:t xml:space="preserve"> </w:t>
      </w:r>
      <w:r>
        <w:tab/>
        <w:t xml:space="preserve">See p. 19-20, </w:t>
      </w:r>
      <w:hyperlink r:id="rId13" w:history="1">
        <w:r w:rsidRPr="00F30047">
          <w:rPr>
            <w:rStyle w:val="Hyperlink"/>
          </w:rPr>
          <w:t>www.congreso.es/public_oficiales/L12/CONG/BOCG/D/BOCG-12-D-445.PDF</w:t>
        </w:r>
      </w:hyperlink>
      <w:r>
        <w:t xml:space="preserve"> </w:t>
      </w:r>
    </w:p>
  </w:footnote>
  <w:footnote w:id="13">
    <w:p w14:paraId="61482ECB" w14:textId="156B59B2" w:rsidR="00321F0A" w:rsidRDefault="00321F0A" w:rsidP="00376BF3">
      <w:pPr>
        <w:pStyle w:val="fussnoteschattenbericht"/>
      </w:pPr>
      <w:r w:rsidRPr="00A542A1">
        <w:rPr>
          <w:rStyle w:val="Funotenzeichen"/>
          <w:vertAlign w:val="baseline"/>
        </w:rPr>
        <w:footnoteRef/>
      </w:r>
      <w:r w:rsidRPr="00A542A1">
        <w:t xml:space="preserve"> </w:t>
      </w:r>
      <w:r>
        <w:tab/>
        <w:t xml:space="preserve">See p. 38-39, </w:t>
      </w:r>
      <w:hyperlink r:id="rId14" w:history="1">
        <w:r w:rsidRPr="00F30047">
          <w:rPr>
            <w:rStyle w:val="Hyperlink"/>
          </w:rPr>
          <w:t>www.congreso.es/public_oficiales/L12/CONG/BOCG/D/BOCG-12-D-468.PDF</w:t>
        </w:r>
      </w:hyperlink>
      <w:r>
        <w:t xml:space="preserve"> </w:t>
      </w:r>
    </w:p>
  </w:footnote>
  <w:footnote w:id="14">
    <w:p w14:paraId="1565A065" w14:textId="031F5016" w:rsidR="00321F0A" w:rsidRDefault="00321F0A" w:rsidP="00376BF3">
      <w:pPr>
        <w:pStyle w:val="fussnoteschattenbericht"/>
      </w:pPr>
      <w:r w:rsidRPr="00A542A1">
        <w:rPr>
          <w:rStyle w:val="Funotenzeichen"/>
          <w:vertAlign w:val="baseline"/>
        </w:rPr>
        <w:footnoteRef/>
      </w:r>
      <w:r w:rsidRPr="00A542A1">
        <w:t xml:space="preserve"> </w:t>
      </w:r>
      <w:r>
        <w:tab/>
      </w:r>
      <w:hyperlink r:id="rId15" w:history="1">
        <w:r w:rsidRPr="00F30047">
          <w:rPr>
            <w:rStyle w:val="Hyperlink"/>
          </w:rPr>
          <w:t>https://www.europapress.es/epsocial/igualdad/noticia-congreso-pide-gobierno-prohibicion-expresa-mutilacion-genital-menores-intersexuales-20181121193656.html</w:t>
        </w:r>
      </w:hyperlink>
      <w:r>
        <w:t xml:space="preserve"> </w:t>
      </w:r>
    </w:p>
  </w:footnote>
  <w:footnote w:id="15">
    <w:p w14:paraId="494D3914" w14:textId="1F40A5FA" w:rsidR="00321F0A" w:rsidRDefault="00321F0A" w:rsidP="00376BF3">
      <w:pPr>
        <w:pStyle w:val="fussnoteschattenbericht"/>
      </w:pPr>
      <w:r w:rsidRPr="000B5A59">
        <w:rPr>
          <w:rStyle w:val="Funotenzeichen"/>
          <w:vertAlign w:val="baseline"/>
        </w:rPr>
        <w:footnoteRef/>
      </w:r>
      <w:r w:rsidRPr="000B5A59">
        <w:t xml:space="preserve"> </w:t>
      </w:r>
      <w:r>
        <w:tab/>
      </w:r>
      <w:hyperlink r:id="rId16" w:history="1">
        <w:r w:rsidRPr="00F30047">
          <w:rPr>
            <w:rStyle w:val="Hyperlink"/>
          </w:rPr>
          <w:t>https://www3.gobiernodecanarias.org/noticias/el-gobierno-elabora-en-tiempo-record-el-anteproyecto-de-ley-de-no-discriminacion-por-razon-de-identidad-de-genero/</w:t>
        </w:r>
      </w:hyperlink>
      <w:r>
        <w:t xml:space="preserve"> </w:t>
      </w:r>
    </w:p>
  </w:footnote>
  <w:footnote w:id="16">
    <w:p w14:paraId="0D14E943" w14:textId="5C35BF2D"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For general information, see 2016 CEDAW NGO Report France, p. 47. </w:t>
      </w:r>
      <w:hyperlink r:id="rId17" w:history="1">
        <w:r w:rsidRPr="00F30047">
          <w:rPr>
            <w:rStyle w:val="Hyperlink"/>
          </w:rPr>
          <w:t>http://intersex.shadowreport.org/public/2016-CEDAW-France-NGO-Zwischengeschlecht-Intersex-IGM.pdf</w:t>
        </w:r>
      </w:hyperlink>
      <w:r>
        <w:t xml:space="preserve"> </w:t>
      </w:r>
    </w:p>
  </w:footnote>
  <w:footnote w:id="17">
    <w:p w14:paraId="3DCB4C3B" w14:textId="5C988EB6" w:rsidR="00321F0A" w:rsidRDefault="00321F0A" w:rsidP="00376BF3">
      <w:pPr>
        <w:pStyle w:val="fussnoteschattenbericht"/>
      </w:pPr>
      <w:r w:rsidRPr="00176B54">
        <w:rPr>
          <w:rStyle w:val="Funotenzeichen"/>
          <w:vertAlign w:val="baseline"/>
        </w:rPr>
        <w:footnoteRef/>
      </w:r>
      <w:r>
        <w:tab/>
        <w:t xml:space="preserve">See Case 4, 2017 CRC Spain NGO Report, p. 20-21, </w:t>
      </w:r>
      <w:r>
        <w:br/>
      </w:r>
      <w:hyperlink r:id="rId18" w:history="1">
        <w:r w:rsidRPr="00F30047">
          <w:rPr>
            <w:rStyle w:val="Hyperlink"/>
          </w:rPr>
          <w:t>http://intersex.shadowreport.org/public/2017-CRC-Spain-NGO-Brujula-Zwischengeschlecht-Intersex-IGM.pdf</w:t>
        </w:r>
      </w:hyperlink>
      <w:r>
        <w:t xml:space="preserve"> </w:t>
      </w:r>
    </w:p>
  </w:footnote>
  <w:footnote w:id="18">
    <w:p w14:paraId="764563A3" w14:textId="31E53E27" w:rsidR="00321F0A" w:rsidRDefault="00321F0A" w:rsidP="00376BF3">
      <w:pPr>
        <w:pStyle w:val="fussnoteschattenbericht"/>
      </w:pPr>
      <w:r w:rsidRPr="00F73061">
        <w:rPr>
          <w:rStyle w:val="Funotenzeichen1"/>
          <w:vertAlign w:val="baseline"/>
        </w:rPr>
        <w:footnoteRef/>
      </w:r>
      <w:r>
        <w:rPr>
          <w:sz w:val="22"/>
          <w:szCs w:val="22"/>
        </w:rPr>
        <w:tab/>
      </w:r>
      <w:r>
        <w:t xml:space="preserve">available at </w:t>
      </w:r>
      <w:hyperlink r:id="rId19" w:history="1">
        <w:r w:rsidRPr="00F30047">
          <w:rPr>
            <w:rStyle w:val="Hyperlink"/>
          </w:rPr>
          <w:t>https://www.seep.es/images/site/home/GUIA_MANEJO_ADS_DSD_SEEP.PDF</w:t>
        </w:r>
      </w:hyperlink>
      <w:r>
        <w:t xml:space="preserve"> </w:t>
      </w:r>
    </w:p>
  </w:footnote>
  <w:footnote w:id="19">
    <w:p w14:paraId="7C23933A" w14:textId="63A7D43A" w:rsidR="00321F0A" w:rsidRDefault="00321F0A" w:rsidP="00376BF3">
      <w:pPr>
        <w:pStyle w:val="fussnoteschattenbericht"/>
      </w:pPr>
      <w:r w:rsidRPr="00176B54">
        <w:rPr>
          <w:rStyle w:val="Funotenzeichen"/>
          <w:vertAlign w:val="baseline"/>
        </w:rPr>
        <w:footnoteRef/>
      </w:r>
      <w:r>
        <w:tab/>
        <w:t xml:space="preserve">See Case 2, 2017 CRC Spain NGO Report, p. 18-19, </w:t>
      </w:r>
      <w:r>
        <w:br/>
      </w:r>
      <w:hyperlink r:id="rId20" w:history="1">
        <w:r w:rsidRPr="00F30047">
          <w:rPr>
            <w:rStyle w:val="Hyperlink"/>
          </w:rPr>
          <w:t>http://intersex.shadowreport.org/public/2017-CRC-Spain-NGO-Brujula-Zwischengeschlecht-Intersex-IGM.pdf</w:t>
        </w:r>
      </w:hyperlink>
      <w:r>
        <w:t xml:space="preserve"> </w:t>
      </w:r>
    </w:p>
  </w:footnote>
  <w:footnote w:id="20">
    <w:p w14:paraId="5F0C5C2C" w14:textId="77777777" w:rsidR="00321F0A" w:rsidRDefault="00321F0A" w:rsidP="00376BF3">
      <w:pPr>
        <w:pStyle w:val="fussnoteschattenbericht"/>
      </w:pPr>
      <w:r w:rsidRPr="00F73061">
        <w:rPr>
          <w:rStyle w:val="Funotenzeichen1"/>
          <w:vertAlign w:val="baseline"/>
        </w:rPr>
        <w:footnoteRef/>
      </w:r>
      <w:r w:rsidRPr="002D16E5">
        <w:tab/>
      </w:r>
      <w:hyperlink r:id="rId21" w:history="1">
        <w:r w:rsidRPr="009B1006">
          <w:rPr>
            <w:rStyle w:val="Hyperlink"/>
            <w:sz w:val="16"/>
            <w:szCs w:val="16"/>
          </w:rPr>
          <w:t>http://www.madrid.org/cs/Satellite?blobcol=urldata&amp;blobheader=application%2Fpdf&amp;blobheadername1=Content-disposition&amp;blobheadername2=cadena&amp;blobheadervalue1=filename%3DGIFT+Cirug%C3%ADa+Pedi%C3%A1trica.pdf&amp;blobheadervalue2=language%3Des%26site%3DHospitalLaPaz&amp;blobkey=id&amp;blobtable=MungoBlobs&amp;blobwhere=1352905205919&amp;ssbinary=true</w:t>
        </w:r>
      </w:hyperlink>
      <w:r>
        <w:t xml:space="preserve"> </w:t>
      </w:r>
    </w:p>
  </w:footnote>
  <w:footnote w:id="21">
    <w:p w14:paraId="7838FCD7" w14:textId="22AA8096" w:rsidR="00321F0A" w:rsidRDefault="00321F0A" w:rsidP="00376BF3">
      <w:pPr>
        <w:pStyle w:val="fussnoteschattenbericht"/>
      </w:pPr>
      <w:r w:rsidRPr="00F73061">
        <w:rPr>
          <w:rStyle w:val="Funotenzeichen1"/>
          <w:vertAlign w:val="baseline"/>
        </w:rPr>
        <w:footnoteRef/>
      </w:r>
      <w:r>
        <w:rPr>
          <w:sz w:val="22"/>
          <w:szCs w:val="22"/>
        </w:rPr>
        <w:tab/>
      </w:r>
      <w:r w:rsidRPr="002D16E5">
        <w:t>see programme available both at Vall</w:t>
      </w:r>
      <w:r w:rsidR="0006379B">
        <w:t xml:space="preserve"> d</w:t>
      </w:r>
      <w:r w:rsidRPr="002D16E5">
        <w:t xml:space="preserve">’Hebron, </w:t>
      </w:r>
      <w:hyperlink r:id="rId22" w:history="1">
        <w:r w:rsidRPr="00F30047">
          <w:rPr>
            <w:rStyle w:val="Hyperlink"/>
          </w:rPr>
          <w:t>http://www.aulavhebron.net/aula/documentos/URO.pdf</w:t>
        </w:r>
      </w:hyperlink>
      <w:r>
        <w:t xml:space="preserve"> </w:t>
      </w:r>
      <w:r w:rsidRPr="002D16E5">
        <w:t xml:space="preserve">and the Spanish Society for Paediatric Surgery (SECIPE), </w:t>
      </w:r>
      <w:hyperlink r:id="rId23" w:history="1">
        <w:r w:rsidRPr="00F30047">
          <w:rPr>
            <w:rStyle w:val="Hyperlink"/>
          </w:rPr>
          <w:t>https://www.secipe.org/coldata/upload/noticias/DSDVHEBRONDEF.pdf</w:t>
        </w:r>
      </w:hyperlink>
      <w:r>
        <w:t xml:space="preserve"> </w:t>
      </w:r>
    </w:p>
  </w:footnote>
  <w:footnote w:id="22">
    <w:p w14:paraId="3A6D1776" w14:textId="49B4AA78" w:rsidR="00321F0A" w:rsidRDefault="00321F0A" w:rsidP="00376BF3">
      <w:pPr>
        <w:pStyle w:val="fussnoteschattenbericht"/>
      </w:pPr>
      <w:r w:rsidRPr="00A54323">
        <w:rPr>
          <w:rStyle w:val="Funotenzeichen"/>
          <w:vertAlign w:val="baseline"/>
        </w:rPr>
        <w:footnoteRef/>
      </w:r>
      <w:r w:rsidRPr="00A54323">
        <w:t xml:space="preserve"> </w:t>
      </w:r>
      <w:r>
        <w:tab/>
      </w:r>
      <w:r w:rsidRPr="00A54323">
        <w:t>30th ESPU, 25.04.2019, Session 9: DSD. Javier SERRADILLA RODRIGUEZ, Alba BUENO JIMÉNEZ (Children's Hospital La Paz, P</w:t>
      </w:r>
      <w:r>
        <w:t>a</w:t>
      </w:r>
      <w:r w:rsidRPr="00A54323">
        <w:t>ediat</w:t>
      </w:r>
      <w:r>
        <w:t>ric Surgery); Susana RIVAS VILA</w:t>
      </w:r>
      <w:r w:rsidRPr="00A54323">
        <w:t>, María José MARTÍNEZ URRUTIA, Roberto LOBATO, Solon CASTILLO, Virginia AMESTY and Pedro LÓPEZ PEREIRA (Children's Hospital La Paz, P</w:t>
      </w:r>
      <w:r>
        <w:t>a</w:t>
      </w:r>
      <w:r w:rsidRPr="00A54323">
        <w:t>ediatric Urology): "LONG-TERM SURGICAL RESULTS IN CONGENITAL ADRENAL HYPERPLASIA"</w:t>
      </w:r>
    </w:p>
  </w:footnote>
  <w:footnote w:id="23">
    <w:p w14:paraId="61CDB006" w14:textId="77777777" w:rsidR="00321F0A" w:rsidRDefault="00321F0A" w:rsidP="00376BF3">
      <w:pPr>
        <w:pStyle w:val="fussnoteschattenbericht"/>
      </w:pPr>
      <w:r w:rsidRPr="00C64E15">
        <w:rPr>
          <w:rStyle w:val="Funotenzeichen"/>
          <w:vertAlign w:val="baseline"/>
        </w:rPr>
        <w:footnoteRef/>
      </w:r>
      <w:r w:rsidRPr="00C64E15">
        <w:t xml:space="preserve"> </w:t>
      </w:r>
      <w:r>
        <w:tab/>
      </w:r>
      <w:hyperlink r:id="rId24" w:history="1">
        <w:r w:rsidRPr="00F30047">
          <w:rPr>
            <w:rStyle w:val="Hyperlink"/>
          </w:rPr>
          <w:t>https://www.vallhebron.com/en/specialities/paediatric-urology</w:t>
        </w:r>
      </w:hyperlink>
      <w:r>
        <w:t xml:space="preserve"> </w:t>
      </w:r>
    </w:p>
  </w:footnote>
  <w:footnote w:id="24">
    <w:p w14:paraId="3D48C3C9"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For general information, see 2016 CEDAW NGO Report France, p. 48-49. </w:t>
      </w:r>
      <w:hyperlink r:id="rId25" w:history="1">
        <w:r w:rsidRPr="00F30047">
          <w:rPr>
            <w:rStyle w:val="Hyperlink"/>
          </w:rPr>
          <w:t>http://intersex.shadowreport.org/public/2016-CEDAW-France-NGO-Zwischengeschlecht-Intersex-IGM.pdf</w:t>
        </w:r>
      </w:hyperlink>
      <w:r>
        <w:t xml:space="preserve"> </w:t>
      </w:r>
    </w:p>
  </w:footnote>
  <w:footnote w:id="25">
    <w:p w14:paraId="2B8BBD47" w14:textId="77777777" w:rsidR="00321F0A" w:rsidRDefault="00321F0A" w:rsidP="00376BF3">
      <w:pPr>
        <w:pStyle w:val="fussnoteschattenbericht"/>
      </w:pPr>
      <w:r w:rsidRPr="00F73061">
        <w:rPr>
          <w:rStyle w:val="Funotenzeichen1"/>
          <w:vertAlign w:val="baseline"/>
        </w:rPr>
        <w:footnoteRef/>
      </w:r>
      <w:r w:rsidRPr="002D16E5">
        <w:tab/>
      </w:r>
      <w:hyperlink r:id="rId26" w:history="1">
        <w:r w:rsidRPr="009B1006">
          <w:rPr>
            <w:rStyle w:val="Hyperlink"/>
            <w:sz w:val="16"/>
            <w:szCs w:val="16"/>
          </w:rPr>
          <w:t>http://www.madrid.org/cs/Satellite?blobcol=urldata&amp;blobheader=application%2Fpdf&amp;blobheadername1=Content-disposition&amp;blobheadername2=cadena&amp;blobheadervalue1=filename%3DGIFT+Cirug%C3%ADa+Pedi%C3%A1trica.pdf&amp;blobheadervalue2=language%3Des%26site%3DHospitalLaPaz&amp;blobkey=id&amp;blobtable=MungoBlobs&amp;blobwhere=1352905205919&amp;ssbinary=true</w:t>
        </w:r>
      </w:hyperlink>
      <w:r>
        <w:t xml:space="preserve"> </w:t>
      </w:r>
    </w:p>
  </w:footnote>
  <w:footnote w:id="26">
    <w:p w14:paraId="2AE91CAB"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available at </w:t>
      </w:r>
      <w:hyperlink r:id="rId27" w:history="1">
        <w:r w:rsidRPr="00F30047">
          <w:rPr>
            <w:rStyle w:val="Hyperlink"/>
          </w:rPr>
          <w:t>http://uroweb.org/guideline/paediatric-urology/</w:t>
        </w:r>
      </w:hyperlink>
      <w:r>
        <w:t xml:space="preserve"> </w:t>
      </w:r>
    </w:p>
  </w:footnote>
  <w:footnote w:id="27">
    <w:p w14:paraId="7271812D" w14:textId="02EC0E7B" w:rsidR="00321F0A" w:rsidRDefault="00321F0A" w:rsidP="00376BF3">
      <w:pPr>
        <w:pStyle w:val="fussnoteschattenbericht"/>
      </w:pPr>
      <w:r w:rsidRPr="00C64E15">
        <w:rPr>
          <w:rStyle w:val="Funotenzeichen"/>
          <w:vertAlign w:val="baseline"/>
        </w:rPr>
        <w:footnoteRef/>
      </w:r>
      <w:r w:rsidRPr="00C64E15">
        <w:t xml:space="preserve"> </w:t>
      </w:r>
      <w:r>
        <w:tab/>
      </w:r>
      <w:hyperlink r:id="rId28" w:history="1">
        <w:r w:rsidRPr="00F30047">
          <w:rPr>
            <w:rStyle w:val="Hyperlink"/>
          </w:rPr>
          <w:t>https://www.vallhebron.com/en/specialities/paediatric-urology</w:t>
        </w:r>
      </w:hyperlink>
      <w:r>
        <w:t xml:space="preserve"> </w:t>
      </w:r>
    </w:p>
  </w:footnote>
  <w:footnote w:id="28">
    <w:p w14:paraId="4BFD97B9" w14:textId="329E6298"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28th ESPU, 21.04.2017, Session </w:t>
      </w:r>
      <w:r>
        <w:t>14: Hypospadias 2. Mariela DORE</w:t>
      </w:r>
      <w:r w:rsidRPr="002D16E5">
        <w:t>, Paloma TRIANA, Virgina AMESTY, Vanessa NÚÑEZ (Children’s Hospital La Paz, Pediatric Surgery); Roberto LOBATO, Susana RIVAS, Pedro LOPEZ PEREIRA and Maria Jose MARTÍNEZ-URRUTIA (Children’s Hospital La Paz, Pediatric Urology): “THE EFFECT OF PREOPERATIVE HORMONAL STIMULATION ON OPERATIVE OUTCOMES AFTER PROXIMAL HYPOSPADIAS REPAIR”</w:t>
      </w:r>
    </w:p>
  </w:footnote>
  <w:footnote w:id="29">
    <w:p w14:paraId="5AB2789C" w14:textId="3D1C1E6D" w:rsidR="00321F0A" w:rsidRDefault="00321F0A" w:rsidP="00376BF3">
      <w:pPr>
        <w:pStyle w:val="fussnoteschattenbericht"/>
      </w:pPr>
      <w:r w:rsidRPr="00F73061">
        <w:rPr>
          <w:rStyle w:val="Funotenzeichen1"/>
          <w:vertAlign w:val="baseline"/>
        </w:rPr>
        <w:footnoteRef/>
      </w:r>
      <w:r>
        <w:rPr>
          <w:sz w:val="22"/>
          <w:szCs w:val="22"/>
        </w:rPr>
        <w:tab/>
      </w:r>
      <w:r>
        <w:t>S</w:t>
      </w:r>
      <w:r w:rsidRPr="002D16E5">
        <w:t xml:space="preserve">ee programme, </w:t>
      </w:r>
      <w:hyperlink r:id="rId29" w:history="1">
        <w:r w:rsidRPr="00F30047">
          <w:rPr>
            <w:rStyle w:val="Hyperlink"/>
          </w:rPr>
          <w:t>https://www.bcongresos.com/congresos/gestor/ckfinder/userfiles/files/VII%20Curso%20Cirugia%20Uretra.pdf</w:t>
        </w:r>
      </w:hyperlink>
      <w:r>
        <w:t xml:space="preserve"> </w:t>
      </w:r>
    </w:p>
  </w:footnote>
  <w:footnote w:id="30">
    <w:p w14:paraId="5A995ACA" w14:textId="604B1969" w:rsidR="00321F0A" w:rsidRDefault="00321F0A" w:rsidP="00376BF3">
      <w:pPr>
        <w:pStyle w:val="fussnoteschattenbericht"/>
      </w:pPr>
      <w:r w:rsidRPr="008B745C">
        <w:rPr>
          <w:rStyle w:val="Funotenzeichen"/>
          <w:vertAlign w:val="baseline"/>
        </w:rPr>
        <w:footnoteRef/>
      </w:r>
      <w:r w:rsidRPr="008B745C">
        <w:t xml:space="preserve"> </w:t>
      </w:r>
      <w:r>
        <w:tab/>
        <w:t xml:space="preserve">ECE 2018, Symposium 30: Disorders of Sexual Development (DSD), presentation by Nicolas Kalfa, “Atypical Genital Development and Hypospadias: a Pediatric Urology perspective from Etiology to Surgery, for abstract see </w:t>
      </w:r>
      <w:hyperlink r:id="rId30" w:history="1">
        <w:r w:rsidRPr="00F30047">
          <w:rPr>
            <w:rStyle w:val="Hyperlink"/>
          </w:rPr>
          <w:t>http://programme.bioscientifica.com/ece2018?q=Symposium+30&amp;view=search</w:t>
        </w:r>
      </w:hyperlink>
      <w:r>
        <w:t xml:space="preserve"> </w:t>
      </w:r>
    </w:p>
  </w:footnote>
  <w:footnote w:id="31">
    <w:p w14:paraId="0BC9E1CD" w14:textId="77777777" w:rsidR="00321F0A" w:rsidRPr="00DF27B4" w:rsidRDefault="00321F0A" w:rsidP="00376BF3">
      <w:pPr>
        <w:pStyle w:val="fussnoteschattenbericht"/>
        <w:rPr>
          <w:lang w:val="it-IT"/>
        </w:rPr>
      </w:pPr>
      <w:r w:rsidRPr="00F73061">
        <w:rPr>
          <w:rStyle w:val="Funotenzeichen1"/>
          <w:vertAlign w:val="baseline"/>
        </w:rPr>
        <w:footnoteRef/>
      </w:r>
      <w:r w:rsidRPr="00DF27B4">
        <w:rPr>
          <w:sz w:val="22"/>
          <w:szCs w:val="22"/>
          <w:lang w:val="it-IT"/>
        </w:rPr>
        <w:tab/>
      </w:r>
      <w:r w:rsidRPr="00DF27B4">
        <w:rPr>
          <w:lang w:val="it-IT"/>
        </w:rPr>
        <w:t xml:space="preserve">“I Experto Universitario en Hipospadias” </w:t>
      </w:r>
      <w:hyperlink r:id="rId31" w:history="1">
        <w:r w:rsidRPr="00321F0A">
          <w:rPr>
            <w:rStyle w:val="Hyperlink"/>
            <w:lang w:val="it-IT"/>
          </w:rPr>
          <w:t>https://www.secipe.org/coldata/upload/noticias/ExptpHiposp%20UNIA.pdf</w:t>
        </w:r>
      </w:hyperlink>
      <w:r w:rsidRPr="00DF27B4">
        <w:rPr>
          <w:lang w:val="it-IT"/>
        </w:rPr>
        <w:t xml:space="preserve"> </w:t>
      </w:r>
    </w:p>
  </w:footnote>
  <w:footnote w:id="32">
    <w:p w14:paraId="5AE822E1" w14:textId="77777777" w:rsidR="00321F0A" w:rsidRPr="00DF27B4" w:rsidRDefault="00321F0A" w:rsidP="00376BF3">
      <w:pPr>
        <w:pStyle w:val="fussnoteschattenbericht"/>
        <w:rPr>
          <w:lang w:val="it-IT"/>
        </w:rPr>
      </w:pPr>
      <w:r w:rsidRPr="00F73061">
        <w:rPr>
          <w:rStyle w:val="Funotenzeichen1"/>
          <w:vertAlign w:val="baseline"/>
        </w:rPr>
        <w:footnoteRef/>
      </w:r>
      <w:r w:rsidRPr="00DF27B4">
        <w:rPr>
          <w:sz w:val="22"/>
          <w:szCs w:val="22"/>
          <w:lang w:val="it-IT"/>
        </w:rPr>
        <w:tab/>
      </w:r>
      <w:r w:rsidRPr="00DF27B4">
        <w:rPr>
          <w:lang w:val="it-IT"/>
        </w:rPr>
        <w:t xml:space="preserve">“14º Curso Internacional Práctico de Hipospadias de Málaga”, </w:t>
      </w:r>
      <w:hyperlink r:id="rId32" w:history="1">
        <w:r w:rsidRPr="00321F0A">
          <w:rPr>
            <w:rStyle w:val="Hyperlink"/>
            <w:lang w:val="it-IT"/>
          </w:rPr>
          <w:t>https://www.secipe.org/coldata/upload/noticias/hipospadiasmalaga2016.pdf</w:t>
        </w:r>
      </w:hyperlink>
      <w:r w:rsidRPr="00DF27B4">
        <w:rPr>
          <w:lang w:val="it-IT"/>
        </w:rPr>
        <w:t xml:space="preserve"> </w:t>
      </w:r>
    </w:p>
  </w:footnote>
  <w:footnote w:id="33">
    <w:p w14:paraId="168EEE6D" w14:textId="77777777" w:rsidR="00321F0A" w:rsidRPr="00DF27B4" w:rsidRDefault="00321F0A" w:rsidP="00376BF3">
      <w:pPr>
        <w:pStyle w:val="fussnoteschattenbericht"/>
        <w:rPr>
          <w:lang w:val="it-IT"/>
        </w:rPr>
      </w:pPr>
      <w:r w:rsidRPr="00F73061">
        <w:rPr>
          <w:rStyle w:val="Funotenzeichen1"/>
          <w:vertAlign w:val="baseline"/>
        </w:rPr>
        <w:footnoteRef/>
      </w:r>
      <w:r w:rsidRPr="00DF27B4">
        <w:rPr>
          <w:sz w:val="22"/>
          <w:szCs w:val="22"/>
          <w:lang w:val="it-IT"/>
        </w:rPr>
        <w:tab/>
      </w:r>
      <w:r w:rsidRPr="00DF27B4">
        <w:rPr>
          <w:lang w:val="it-IT"/>
        </w:rPr>
        <w:t xml:space="preserve">see programme, </w:t>
      </w:r>
      <w:hyperlink r:id="rId33" w:history="1">
        <w:r w:rsidRPr="00321F0A">
          <w:rPr>
            <w:rStyle w:val="Hyperlink"/>
            <w:lang w:val="it-IT"/>
          </w:rPr>
          <w:t>http://www.chospab.es/cursos_jornadas/2015/hipospadias/intro.htm</w:t>
        </w:r>
      </w:hyperlink>
      <w:r w:rsidRPr="00DF27B4">
        <w:rPr>
          <w:lang w:val="it-IT"/>
        </w:rPr>
        <w:t xml:space="preserve"> </w:t>
      </w:r>
    </w:p>
  </w:footnote>
  <w:footnote w:id="34">
    <w:p w14:paraId="045D9987" w14:textId="77777777" w:rsidR="00321F0A" w:rsidRPr="00DF27B4" w:rsidRDefault="00321F0A" w:rsidP="00376BF3">
      <w:pPr>
        <w:pStyle w:val="fussnoteschattenbericht"/>
        <w:rPr>
          <w:lang w:val="it-IT"/>
        </w:rPr>
      </w:pPr>
      <w:r w:rsidRPr="00F73061">
        <w:rPr>
          <w:rStyle w:val="Funotenzeichen1"/>
          <w:vertAlign w:val="baseline"/>
        </w:rPr>
        <w:footnoteRef/>
      </w:r>
      <w:r w:rsidRPr="00DF27B4">
        <w:rPr>
          <w:sz w:val="22"/>
          <w:szCs w:val="22"/>
          <w:lang w:val="it-IT"/>
        </w:rPr>
        <w:tab/>
      </w:r>
      <w:hyperlink r:id="rId34" w:history="1">
        <w:r w:rsidRPr="00321F0A">
          <w:rPr>
            <w:rStyle w:val="Hyperlink"/>
            <w:lang w:val="it-IT"/>
          </w:rPr>
          <w:t>http://intersex.shadowreport.org/public/2014-CRC-Swiss-NGO-Zwischengeschlecht-Intersex-IGM_v2.pdf</w:t>
        </w:r>
      </w:hyperlink>
      <w:r w:rsidRPr="00DF27B4">
        <w:rPr>
          <w:lang w:val="it-IT"/>
        </w:rPr>
        <w:t xml:space="preserve"> </w:t>
      </w:r>
    </w:p>
  </w:footnote>
  <w:footnote w:id="35">
    <w:p w14:paraId="15D77FED" w14:textId="77777777" w:rsidR="00321F0A" w:rsidRPr="00DF27B4" w:rsidRDefault="00321F0A" w:rsidP="00376BF3">
      <w:pPr>
        <w:pStyle w:val="fussnoteschattenbericht"/>
        <w:rPr>
          <w:lang w:val="it-IT"/>
        </w:rPr>
      </w:pPr>
      <w:r w:rsidRPr="00F73061">
        <w:rPr>
          <w:rStyle w:val="Funotenzeichen1"/>
          <w:vertAlign w:val="baseline"/>
        </w:rPr>
        <w:footnoteRef/>
      </w:r>
      <w:r w:rsidRPr="00DF27B4">
        <w:rPr>
          <w:sz w:val="22"/>
          <w:szCs w:val="22"/>
          <w:lang w:val="it-IT"/>
        </w:rPr>
        <w:tab/>
      </w:r>
      <w:hyperlink r:id="rId35" w:history="1">
        <w:r w:rsidRPr="00321F0A">
          <w:rPr>
            <w:rStyle w:val="Hyperlink"/>
            <w:lang w:val="it-IT"/>
          </w:rPr>
          <w:t>https://ec.europa.eu/health/sites/health/files/ern/docs/2017_brochure_en.pdf</w:t>
        </w:r>
      </w:hyperlink>
      <w:r w:rsidRPr="00DF27B4">
        <w:rPr>
          <w:lang w:val="it-IT"/>
        </w:rPr>
        <w:t xml:space="preserve"> </w:t>
      </w:r>
    </w:p>
  </w:footnote>
  <w:footnote w:id="36">
    <w:p w14:paraId="07535D33" w14:textId="77777777" w:rsidR="00321F0A" w:rsidRDefault="00321F0A" w:rsidP="00376BF3">
      <w:pPr>
        <w:pStyle w:val="fussnoteschattenbericht"/>
      </w:pPr>
      <w:r w:rsidRPr="00F73061">
        <w:rPr>
          <w:rStyle w:val="Funotenzeichen1"/>
          <w:vertAlign w:val="baseline"/>
        </w:rPr>
        <w:footnoteRef/>
      </w:r>
      <w:r w:rsidRPr="00F73061">
        <w:rPr>
          <w:rStyle w:val="Funotenzeichen1"/>
          <w:vertAlign w:val="baseline"/>
        </w:rPr>
        <w:tab/>
      </w:r>
      <w:r w:rsidRPr="002D16E5">
        <w:t xml:space="preserve">See </w:t>
      </w:r>
      <w:hyperlink r:id="rId36" w:history="1">
        <w:r w:rsidRPr="00F30047">
          <w:rPr>
            <w:rStyle w:val="Hyperlink"/>
          </w:rPr>
          <w:t>http://stop.genitalmutilation.org/post/eUROGEN-EU-funded-Intersex-Genital-Mutilators</w:t>
        </w:r>
      </w:hyperlink>
      <w:r>
        <w:t xml:space="preserve"> </w:t>
      </w:r>
    </w:p>
  </w:footnote>
  <w:footnote w:id="37">
    <w:p w14:paraId="242B268D"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See Open Letter to “I-DSD 2017”, </w:t>
      </w:r>
      <w:hyperlink r:id="rId37" w:history="1">
        <w:r w:rsidRPr="00F30047">
          <w:rPr>
            <w:rStyle w:val="Hyperlink"/>
          </w:rPr>
          <w:t>http://stop.genitalmutilation.org/public/Open_Letter_I-DSD_Copenhagen_2017.pdf</w:t>
        </w:r>
      </w:hyperlink>
      <w:r>
        <w:t xml:space="preserve"> </w:t>
      </w:r>
    </w:p>
  </w:footnote>
  <w:footnote w:id="38">
    <w:p w14:paraId="2672AB78" w14:textId="7ADB1ABC" w:rsidR="00321F0A" w:rsidRDefault="00321F0A" w:rsidP="00376BF3">
      <w:pPr>
        <w:pStyle w:val="fussnoteschattenbericht"/>
      </w:pPr>
      <w:r w:rsidRPr="00F73061">
        <w:rPr>
          <w:rStyle w:val="Funotenzeichen1"/>
          <w:vertAlign w:val="baseline"/>
        </w:rPr>
        <w:footnoteRef/>
      </w:r>
      <w:r>
        <w:rPr>
          <w:sz w:val="22"/>
          <w:szCs w:val="22"/>
        </w:rPr>
        <w:tab/>
      </w:r>
      <w:r w:rsidRPr="00F73061">
        <w:t xml:space="preserve">See </w:t>
      </w:r>
      <w:hyperlink r:id="rId38" w:history="1">
        <w:r w:rsidRPr="00F30047">
          <w:rPr>
            <w:rStyle w:val="Hyperlink"/>
          </w:rPr>
          <w:t>http://stop.genitalmutilation.org/post/DSDnet-Intersex-Genital-Mutilators-European-Union</w:t>
        </w:r>
      </w:hyperlink>
      <w:r>
        <w:t xml:space="preserve"> </w:t>
      </w:r>
    </w:p>
  </w:footnote>
  <w:footnote w:id="39">
    <w:p w14:paraId="1828CF92"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The Open Letter to “I-DSD 2017” lists Spanish University Clinics involved in current international IGM projects, see p. 2, </w:t>
      </w:r>
      <w:hyperlink r:id="rId39" w:history="1">
        <w:r w:rsidRPr="00F30047">
          <w:rPr>
            <w:rStyle w:val="Hyperlink"/>
          </w:rPr>
          <w:t>http://stop.genitalmutilation.org/public/Open_Letter_I-DSD_Copenhagen_2017.pdf</w:t>
        </w:r>
      </w:hyperlink>
      <w:r>
        <w:t xml:space="preserve"> </w:t>
      </w:r>
    </w:p>
  </w:footnote>
  <w:footnote w:id="40">
    <w:p w14:paraId="70AFD79F"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For a more extensive version, see 2016 CRC UK Thematic NGO Report, p. 55–56, http://intersex.shadowreport.org/public/2016-CRC-UK-NGO-Zwischengeschlecht-Intersex-IGM_v2.pdf</w:t>
      </w:r>
      <w:r>
        <w:rPr>
          <w:sz w:val="22"/>
          <w:szCs w:val="22"/>
        </w:rPr>
        <w:t xml:space="preserve">  </w:t>
      </w:r>
    </w:p>
  </w:footnote>
  <w:footnote w:id="41">
    <w:p w14:paraId="24EFE8D2"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UNICEF (2007), Implementation Handbook for the Convention on the Rights of the Child, at 371</w:t>
      </w:r>
    </w:p>
  </w:footnote>
  <w:footnote w:id="42">
    <w:p w14:paraId="22C39616"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CRC/C/CHE/CO/2-4, paras 42-43; CRC/C/IRL/CO/3-4, paras 39-40; CRC/C/FRA/CO/5, paras 47-48; CRC/C/CHL/CO/4-5, paras 48–49; CRC/C/GBR/CO/5, paras 45–46; CRC/C/NPL/CO/3-5, paras 41–42; CRC/C/ZAF/CO/2, paras 39–40; CRC/C/NZL/CO/5, paras 25 + 15; CRC/C/DNK/CO/5, para 24</w:t>
      </w:r>
    </w:p>
  </w:footnote>
  <w:footnote w:id="43">
    <w:p w14:paraId="44617CA5"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Daniela Truffer, Markus Bauer / Zwischengeschlecht.org: “Ending the Impunity of the Perpetrators!” Input for Session 3: “Human Rights Standards and Intersex People – Progress and Challenges - Part 2” at “Ending Human Rights Violations Against Intersex Persons.” OHCHR Expert Meeting, Geneva 16–17.09.2015, online: </w:t>
      </w:r>
      <w:hyperlink r:id="rId40" w:history="1">
        <w:r w:rsidRPr="00F30047">
          <w:rPr>
            <w:rStyle w:val="Hyperlink"/>
          </w:rPr>
          <w:t>http://StopIGM.org/public/S3_Zwischengeschlecht_UN-Expert-Meeting-2015_web.pdf</w:t>
        </w:r>
      </w:hyperlink>
      <w:r>
        <w:t xml:space="preserve"> </w:t>
      </w:r>
    </w:p>
  </w:footnote>
  <w:footnote w:id="44">
    <w:p w14:paraId="183BBF88" w14:textId="2B415379" w:rsidR="00321F0A" w:rsidRPr="00F80470" w:rsidRDefault="00321F0A" w:rsidP="00F80470">
      <w:pPr>
        <w:pStyle w:val="Funotentext"/>
        <w:rPr>
          <w:rFonts w:cs="Times New Roman"/>
          <w:lang w:val="en-GB"/>
        </w:rPr>
      </w:pPr>
      <w:r w:rsidRPr="00D016ED">
        <w:rPr>
          <w:rStyle w:val="Funotenzeichen1"/>
          <w:rFonts w:cs="Times New Roman"/>
          <w:vertAlign w:val="baseline"/>
        </w:rPr>
        <w:footnoteRef/>
      </w:r>
      <w:r w:rsidRPr="00D016ED">
        <w:rPr>
          <w:rFonts w:cs="Times New Roman"/>
          <w:lang w:val="en-GB"/>
        </w:rPr>
        <w:tab/>
        <w:t>CAT/C/FRA/CO/7, paras 32–33; CAT/C/CHE/CO/7, para 20; CAT/C/DEU/CO/5; para 20; CAT/C/AUT/CO/6, paras 44–45; CAT/C/CHN-HKG/CO/5, paras 28–29; CAT/C/DNK/CO/6-7, paras 42–43; CAT/C/NLD/CO/7, paras 52-53; CAT/C/GBR/CO/6, paras 64-65</w:t>
      </w:r>
    </w:p>
  </w:footnote>
  <w:footnote w:id="45">
    <w:p w14:paraId="37831B4C" w14:textId="657C0EE8" w:rsidR="00321F0A" w:rsidRPr="00DF27B4" w:rsidRDefault="00321F0A" w:rsidP="00376BF3">
      <w:pPr>
        <w:pStyle w:val="fussnoteschattenbericht"/>
        <w:rPr>
          <w:lang w:val="it-IT"/>
        </w:rPr>
      </w:pPr>
      <w:r w:rsidRPr="00F73061">
        <w:rPr>
          <w:rStyle w:val="Funotenzeichen1"/>
          <w:vertAlign w:val="baseline"/>
        </w:rPr>
        <w:footnoteRef/>
      </w:r>
      <w:r w:rsidRPr="00DF27B4">
        <w:rPr>
          <w:sz w:val="22"/>
          <w:szCs w:val="22"/>
          <w:lang w:val="it-IT"/>
        </w:rPr>
        <w:tab/>
      </w:r>
      <w:r w:rsidR="00C9402F" w:rsidRPr="00DF27B4">
        <w:rPr>
          <w:lang w:val="it-IT"/>
        </w:rPr>
        <w:t>CEDAW/C/DEU/CO/7-8, para</w:t>
      </w:r>
      <w:r w:rsidRPr="00DF27B4">
        <w:rPr>
          <w:lang w:val="it-IT"/>
        </w:rPr>
        <w:t xml:space="preserve"> 24(d)</w:t>
      </w:r>
    </w:p>
  </w:footnote>
  <w:footnote w:id="46">
    <w:p w14:paraId="0F83845A" w14:textId="54E8CBC1" w:rsidR="00321F0A" w:rsidRPr="00DF27B4" w:rsidRDefault="00321F0A" w:rsidP="00376BF3">
      <w:pPr>
        <w:pStyle w:val="fussnoteschattenbericht"/>
        <w:rPr>
          <w:lang w:val="it-IT"/>
        </w:rPr>
      </w:pPr>
      <w:r w:rsidRPr="00F73061">
        <w:rPr>
          <w:rStyle w:val="Funotenzeichen1"/>
          <w:vertAlign w:val="baseline"/>
        </w:rPr>
        <w:footnoteRef/>
      </w:r>
      <w:r w:rsidRPr="00DF27B4">
        <w:rPr>
          <w:sz w:val="22"/>
          <w:szCs w:val="22"/>
          <w:lang w:val="it-IT"/>
        </w:rPr>
        <w:tab/>
      </w:r>
      <w:r w:rsidRPr="00DF27B4">
        <w:rPr>
          <w:lang w:val="it-IT"/>
        </w:rPr>
        <w:t>CEDAW/C/LUX/CO/6-7, para 28(c)</w:t>
      </w:r>
    </w:p>
  </w:footnote>
  <w:footnote w:id="47">
    <w:p w14:paraId="437930E9" w14:textId="77777777" w:rsidR="00321F0A" w:rsidRDefault="00321F0A" w:rsidP="00376BF3">
      <w:pPr>
        <w:pStyle w:val="fussnoteschattenbericht"/>
      </w:pPr>
      <w:r w:rsidRPr="00F73061">
        <w:rPr>
          <w:rStyle w:val="Funotenzeichen1"/>
          <w:vertAlign w:val="baseline"/>
        </w:rPr>
        <w:footnoteRef/>
      </w:r>
      <w:r>
        <w:rPr>
          <w:sz w:val="22"/>
          <w:szCs w:val="22"/>
        </w:rPr>
        <w:tab/>
      </w:r>
      <w:r w:rsidRPr="002D16E5">
        <w:t xml:space="preserve">Globally, no survivor of early surgeries </w:t>
      </w:r>
      <w:r w:rsidRPr="00D423BD">
        <w:rPr>
          <w:b/>
          <w:bCs/>
        </w:rPr>
        <w:t>ever</w:t>
      </w:r>
      <w:r w:rsidRPr="002D16E5">
        <w:t xml:space="preserve"> managed to have their case heard in court. All relevant court cases (3 in Germany, 1 in the USA) were either about surgery of adults, or initiated by foster parents.</w:t>
      </w:r>
    </w:p>
  </w:footnote>
  <w:footnote w:id="48">
    <w:p w14:paraId="4331801B" w14:textId="77777777" w:rsidR="00321F0A" w:rsidRPr="00341F1E" w:rsidRDefault="00321F0A" w:rsidP="00376BF3">
      <w:pPr>
        <w:pStyle w:val="fussnoteschattenbericht"/>
      </w:pPr>
      <w:r w:rsidRPr="00341F1E">
        <w:footnoteRef/>
      </w:r>
      <w:r w:rsidRPr="00341F1E">
        <w:tab/>
        <w:t xml:space="preserve">For references and general information, see 2015 CAT NGO Report Austria, p. 30-35, </w:t>
      </w:r>
      <w:hyperlink r:id="rId41" w:history="1">
        <w:r w:rsidRPr="00341F1E">
          <w:rPr>
            <w:rStyle w:val="Hyperlink"/>
          </w:rPr>
          <w:t>http://intersex.shadowreport.org/public/2015-CAT-Austria-VIMOE-Zwischengeschlecht-Intersex-IGM.pdf</w:t>
        </w:r>
      </w:hyperlink>
      <w:r w:rsidRPr="00341F1E">
        <w:t xml:space="preserve"> </w:t>
      </w:r>
    </w:p>
  </w:footnote>
  <w:footnote w:id="49">
    <w:p w14:paraId="5D0C674B" w14:textId="77777777" w:rsidR="00321F0A" w:rsidRPr="00E2403F" w:rsidRDefault="00321F0A" w:rsidP="00376BF3">
      <w:pPr>
        <w:pStyle w:val="fussnoteschattenbericht"/>
      </w:pPr>
      <w:r w:rsidRPr="00341F1E">
        <w:footnoteRef/>
      </w:r>
      <w:r w:rsidRPr="00341F1E">
        <w:tab/>
        <w:t>For Nepal, see CEDAW/C/NPL/Q/6, para 8(d). See also 2018 CEDAW Joint Intersex NGO Report, p. 13-14,</w:t>
      </w:r>
      <w:r w:rsidRPr="00E2403F">
        <w:t xml:space="preserve"> </w:t>
      </w:r>
      <w:hyperlink r:id="rId42" w:history="1">
        <w:r w:rsidRPr="00E2403F">
          <w:rPr>
            <w:rStyle w:val="Hyperlink"/>
          </w:rPr>
          <w:t>http://intersex.shadowreport.org/public/2018-CEDAW-Nepal-NGO-Intersex-IGM.pdf</w:t>
        </w:r>
      </w:hyperlink>
      <w:r w:rsidRPr="00E2403F">
        <w:t xml:space="preserve"> </w:t>
      </w:r>
      <w:r w:rsidRPr="00E2403F">
        <w:br/>
        <w:t xml:space="preserve">For example in South Africa, see 2016 CRC South Africa NGO Report, p. 12, </w:t>
      </w:r>
      <w:hyperlink r:id="rId43" w:history="1">
        <w:r w:rsidRPr="00E2403F">
          <w:rPr>
            <w:rStyle w:val="Hyperlink"/>
          </w:rPr>
          <w:t>http://intersex.shadowreport.org/public/2016-CRC-ZA-NGO-Zwischengeschlecht-Intersex-IGM.pdf</w:t>
        </w:r>
      </w:hyperlink>
      <w:r w:rsidRPr="00E2403F">
        <w:t xml:space="preserve"> </w:t>
      </w:r>
      <w:r w:rsidRPr="00E2403F">
        <w:br/>
        <w:t xml:space="preserve">For South Africa, see also </w:t>
      </w:r>
      <w:hyperlink r:id="rId44" w:history="1">
        <w:r w:rsidRPr="00E2403F">
          <w:rPr>
            <w:rStyle w:val="Hyperlink"/>
            <w:sz w:val="17"/>
            <w:szCs w:val="17"/>
          </w:rPr>
          <w:t>https://mg.co.za/article/2018-01-24-00-intersex-babies-killed-at-birth-because-theyre-bad-omens</w:t>
        </w:r>
      </w:hyperlink>
      <w:r w:rsidRPr="00E2403F">
        <w:t xml:space="preserve"> </w:t>
      </w:r>
      <w:r w:rsidRPr="00E2403F">
        <w:br/>
        <w:t xml:space="preserve">For example in Uganda, Kenya, Rwanda, see "Baseline Survey on intersex realities in East Africa – Specific focus on Uganda, Kenya, and Rwanda" by SIPD Uganda, relevant excerpts and source: </w:t>
      </w:r>
      <w:hyperlink r:id="rId45" w:history="1">
        <w:r w:rsidRPr="00E2403F">
          <w:rPr>
            <w:rStyle w:val="Hyperlink"/>
            <w:sz w:val="18"/>
            <w:szCs w:val="18"/>
          </w:rPr>
          <w:t>http://stop.genitalmutilation.org/post/Africa-Intersex-Survey-Documents-Intersex-Genital-Mutilation-Infanticide-Abandonment-Expulsion-Uganda-Kenya-Rwanda</w:t>
        </w:r>
      </w:hyperlink>
      <w:r w:rsidRPr="00E2403F">
        <w:t xml:space="preserve"> ; for Uganda, see also 2015 CRC Briefing, slide 46, </w:t>
      </w:r>
      <w:hyperlink r:id="rId46" w:history="1">
        <w:r w:rsidRPr="00E2403F">
          <w:rPr>
            <w:rStyle w:val="Hyperlink"/>
          </w:rPr>
          <w:t>http://intersex.shadowreport.org/public/Zwischengeschlecht_2015-CRC-Briefing_Intersex-IGM_web.pdf</w:t>
        </w:r>
      </w:hyperlink>
      <w:r w:rsidRPr="00E2403F">
        <w:t xml:space="preserve"> </w:t>
      </w:r>
      <w:r w:rsidRPr="00E2403F">
        <w:br/>
        <w:t xml:space="preserve">For Kenya, see also </w:t>
      </w:r>
      <w:hyperlink r:id="rId47" w:history="1">
        <w:r w:rsidRPr="00E2403F">
          <w:rPr>
            <w:rStyle w:val="Hyperlink"/>
          </w:rPr>
          <w:t>http://www.bbc.com/news/world-africa-39780214</w:t>
        </w:r>
      </w:hyperlink>
      <w:r w:rsidRPr="00E2403F">
        <w:t xml:space="preserve"> </w:t>
      </w:r>
      <w:r w:rsidRPr="00E2403F">
        <w:br/>
        <w:t xml:space="preserve">For Mexico, see 2018 CEDAW NGO Joint Statement, </w:t>
      </w:r>
      <w:hyperlink r:id="rId48" w:history="1">
        <w:r w:rsidRPr="00E2403F">
          <w:rPr>
            <w:rStyle w:val="Hyperlink"/>
          </w:rPr>
          <w:t>http://stop.genitalmutilation.org/post/CEDAW70-Mexico-Joint-Intersex-NGO-Statement-05-07-2018</w:t>
        </w:r>
      </w:hyperlink>
      <w:r w:rsidRPr="00E2403F">
        <w:t xml:space="preserve"> </w:t>
      </w:r>
    </w:p>
  </w:footnote>
  <w:footnote w:id="50">
    <w:p w14:paraId="3FE3A022" w14:textId="77777777" w:rsidR="00321F0A" w:rsidRPr="00E2403F" w:rsidRDefault="00321F0A" w:rsidP="00376BF3">
      <w:pPr>
        <w:pStyle w:val="fussnoteschattenbericht"/>
      </w:pPr>
      <w:r w:rsidRPr="00E2403F">
        <w:footnoteRef/>
      </w:r>
      <w:r w:rsidRPr="00E2403F">
        <w:tab/>
        <w:t xml:space="preserve">For example in Uganda, Kenya, Rwanda, see "Baseline Survey on intersex realities in East Africa – Specific focus on Uganda, Kenya, and Rwanda" by SIPD Uganda, relevant excerpts and source: </w:t>
      </w:r>
      <w:hyperlink r:id="rId49" w:history="1">
        <w:r w:rsidRPr="00E2403F">
          <w:rPr>
            <w:rStyle w:val="Hyperlink"/>
            <w:sz w:val="13"/>
            <w:szCs w:val="13"/>
          </w:rPr>
          <w:t>http://stop.genitalmutilation.org/post/Africa-Intersex-Survey-Documents-Intersex-Genital-Mutilation-Infanticide-Abandonment-Expulsion-Uganda-Kenya-Rwanda</w:t>
        </w:r>
      </w:hyperlink>
      <w:r w:rsidRPr="00E2403F">
        <w:br/>
        <w:t xml:space="preserve">For example in China, see 2015 Hong Kong, China NGO Report, p. 15, </w:t>
      </w:r>
      <w:hyperlink r:id="rId50" w:history="1">
        <w:r w:rsidRPr="00E2403F">
          <w:rPr>
            <w:rStyle w:val="Hyperlink"/>
          </w:rPr>
          <w:t>http://intersex.shadowreport.org/public/2015-CAT-Hong-Kong-China-NGO-BBKCI-Intersex.pdf</w:t>
        </w:r>
      </w:hyperlink>
      <w:r w:rsidRPr="00E2403F">
        <w:t xml:space="preserve"> </w:t>
      </w:r>
    </w:p>
  </w:footnote>
  <w:footnote w:id="51">
    <w:p w14:paraId="1A8303CF" w14:textId="77777777" w:rsidR="00321F0A" w:rsidRPr="00E2403F" w:rsidRDefault="00321F0A" w:rsidP="00376BF3">
      <w:pPr>
        <w:pStyle w:val="fussnoteschattenbericht"/>
      </w:pPr>
      <w:r w:rsidRPr="00E2403F">
        <w:footnoteRef/>
      </w:r>
      <w:r w:rsidRPr="00E2403F">
        <w:t xml:space="preserve"> </w:t>
      </w:r>
      <w:r w:rsidRPr="00E2403F">
        <w:tab/>
        <w:t xml:space="preserve">For example in Uganda, Kenya, Rwanda, see "Baseline Survey on intersex realities in East Africa – Specific focus on Uganda, Kenya, and Rwanda" by SIPD Uganda, relevant excerpts and source: </w:t>
      </w:r>
      <w:hyperlink r:id="rId51" w:history="1">
        <w:r w:rsidRPr="00E2403F">
          <w:rPr>
            <w:rStyle w:val="Hyperlink"/>
            <w:sz w:val="13"/>
            <w:szCs w:val="13"/>
          </w:rPr>
          <w:t>http://stop.genitalmutilation.org/post/Africa-Intersex-Survey-Documents-Intersex-Genital-Mutilation-Infanticide-Abandonment-Expulsion-Uganda-Kenya-Rwanda</w:t>
        </w:r>
      </w:hyperlink>
    </w:p>
  </w:footnote>
  <w:footnote w:id="52">
    <w:p w14:paraId="2F35CC4E" w14:textId="77777777" w:rsidR="00321F0A" w:rsidRPr="00E2403F" w:rsidRDefault="00321F0A" w:rsidP="00376BF3">
      <w:pPr>
        <w:pStyle w:val="fussnoteschattenbericht"/>
      </w:pPr>
      <w:r w:rsidRPr="00E2403F">
        <w:footnoteRef/>
      </w:r>
      <w:r w:rsidRPr="00E2403F">
        <w:tab/>
        <w:t xml:space="preserve">For example in Nepal (CRC/C/NPL/CO/3-5, paras 41–42), based on local testimonies, see </w:t>
      </w:r>
      <w:hyperlink r:id="rId52" w:history="1">
        <w:r w:rsidRPr="00E2403F">
          <w:rPr>
            <w:rStyle w:val="Hyperlink"/>
          </w:rPr>
          <w:t>http://stop.genitalmutilation.org/post/Denial-of-Needed-Health-Care-Intersex-in-Nepal-Pt-3</w:t>
        </w:r>
      </w:hyperlink>
      <w:r w:rsidRPr="00E2403F">
        <w:t xml:space="preserve"> </w:t>
      </w:r>
    </w:p>
  </w:footnote>
  <w:footnote w:id="53">
    <w:p w14:paraId="3DEB9757" w14:textId="77777777" w:rsidR="00321F0A" w:rsidRPr="00E2403F" w:rsidRDefault="00321F0A" w:rsidP="00376BF3">
      <w:pPr>
        <w:pStyle w:val="fussnoteschattenbericht"/>
      </w:pPr>
      <w:r w:rsidRPr="00E2403F">
        <w:footnoteRef/>
      </w:r>
      <w:r w:rsidRPr="00E2403F">
        <w:tab/>
        <w:t xml:space="preserve">For example in Kenya, see </w:t>
      </w:r>
      <w:hyperlink r:id="rId53" w:history="1">
        <w:r w:rsidRPr="00E2403F">
          <w:rPr>
            <w:rStyle w:val="Hyperlink"/>
            <w:sz w:val="18"/>
            <w:szCs w:val="18"/>
          </w:rPr>
          <w:t>https://76crimes.com/2015/12/23/intersex-in-kenya-held-captive-beaten-hacked-dead/</w:t>
        </w:r>
      </w:hyperlink>
      <w:r w:rsidRPr="00E2403F">
        <w:t xml:space="preserve"> </w:t>
      </w:r>
    </w:p>
  </w:footnote>
  <w:footnote w:id="54">
    <w:p w14:paraId="1219B7A1" w14:textId="77777777" w:rsidR="00321F0A" w:rsidRPr="00DF27B4" w:rsidRDefault="00321F0A" w:rsidP="00376BF3">
      <w:pPr>
        <w:pStyle w:val="fussnoteschattenbericht"/>
        <w:rPr>
          <w:lang w:val="it-IT"/>
        </w:rPr>
      </w:pPr>
      <w:r w:rsidRPr="00E2403F">
        <w:rPr>
          <w:rStyle w:val="Funotenzeichen"/>
          <w:vertAlign w:val="baseline"/>
        </w:rPr>
        <w:footnoteRef/>
      </w:r>
      <w:r w:rsidRPr="00DF27B4">
        <w:rPr>
          <w:lang w:val="it-IT"/>
        </w:rPr>
        <w:tab/>
        <w:t xml:space="preserve">2014 CRC NGO Report, p. 52, 69, 84, </w:t>
      </w:r>
      <w:hyperlink r:id="rId54" w:history="1">
        <w:r w:rsidRPr="00321F0A">
          <w:rPr>
            <w:rStyle w:val="Hyperlink"/>
            <w:sz w:val="13"/>
            <w:szCs w:val="13"/>
            <w:lang w:val="it-IT"/>
          </w:rPr>
          <w:t>http://intersex.shadowreport.org/public/2014-CRC-Swiss-NGO-Zwischengeschlecht-Intersex-IGM_v2.pdf</w:t>
        </w:r>
      </w:hyperlink>
      <w:r w:rsidRPr="00DF27B4">
        <w:rPr>
          <w:lang w:val="it-IT"/>
        </w:rPr>
        <w:t xml:space="preserve"> </w:t>
      </w:r>
    </w:p>
  </w:footnote>
  <w:footnote w:id="55">
    <w:p w14:paraId="7FA658DA" w14:textId="77777777" w:rsidR="00321F0A" w:rsidRPr="00E2403F" w:rsidRDefault="00321F0A" w:rsidP="00376BF3">
      <w:pPr>
        <w:pStyle w:val="fussnoteschattenbericht"/>
      </w:pPr>
      <w:r w:rsidRPr="00E2403F">
        <w:rPr>
          <w:rStyle w:val="Funotenzeichen"/>
          <w:vertAlign w:val="baseline"/>
        </w:rPr>
        <w:footnoteRef/>
      </w:r>
      <w:r w:rsidRPr="00E2403F">
        <w:tab/>
        <w:t xml:space="preserve">In the WHO “World Atlas of Birth Defects (2nd Edition)”, many intersex diagnoses are listed, including </w:t>
      </w:r>
      <w:r w:rsidRPr="00E2403F">
        <w:rPr>
          <w:rFonts w:eastAsia="Baskerville-Italic"/>
          <w:i/>
          <w:iCs/>
        </w:rPr>
        <w:t>“indeterminate sex”</w:t>
      </w:r>
      <w:r w:rsidRPr="00E2403F">
        <w:t xml:space="preserve"> and </w:t>
      </w:r>
      <w:r w:rsidRPr="00E2403F">
        <w:rPr>
          <w:rFonts w:eastAsia="Baskerville-Italic"/>
          <w:i/>
          <w:iCs/>
        </w:rPr>
        <w:t>“hypospadias”:</w:t>
      </w:r>
    </w:p>
    <w:p w14:paraId="2BAB9A55" w14:textId="77777777" w:rsidR="00321F0A" w:rsidRPr="00E2403F" w:rsidRDefault="00321F0A" w:rsidP="00376BF3">
      <w:pPr>
        <w:pStyle w:val="fussnoteschattenbericht"/>
        <w:rPr>
          <w:rStyle w:val="Hyperlink"/>
        </w:rPr>
      </w:pPr>
      <w:r w:rsidRPr="00E2403F">
        <w:rPr>
          <w:sz w:val="18"/>
          <w:szCs w:val="18"/>
        </w:rPr>
        <w:tab/>
      </w:r>
      <w:hyperlink r:id="rId55" w:history="1">
        <w:r w:rsidRPr="00E2403F">
          <w:rPr>
            <w:rStyle w:val="Hyperlink"/>
            <w:sz w:val="17"/>
            <w:szCs w:val="17"/>
          </w:rPr>
          <w:t>http://web.archive.org/web/20160305152127/http://prenatal.tv/lecturas/world%20atlas%20of%20birth%20defects.pdf</w:t>
        </w:r>
      </w:hyperlink>
      <w:r w:rsidRPr="00E2403F">
        <w:t xml:space="preserve"> </w:t>
      </w:r>
    </w:p>
  </w:footnote>
  <w:footnote w:id="56">
    <w:p w14:paraId="714C8186" w14:textId="77777777" w:rsidR="00321F0A" w:rsidRPr="00E2403F" w:rsidRDefault="00321F0A" w:rsidP="00376BF3">
      <w:pPr>
        <w:pStyle w:val="fussnoteschattenbericht"/>
      </w:pPr>
      <w:r w:rsidRPr="00E2403F">
        <w:rPr>
          <w:rStyle w:val="Funotenzeichen"/>
          <w:vertAlign w:val="baseline"/>
        </w:rPr>
        <w:footnoteRef/>
      </w:r>
      <w:r w:rsidRPr="00E2403F">
        <w:tab/>
        <w:t xml:space="preserve">“The Racist Roots of Intersex Genital Mutilations” </w:t>
      </w:r>
      <w:r w:rsidRPr="00E2403F">
        <w:rPr>
          <w:rStyle w:val="Hyperlink"/>
        </w:rPr>
        <w:t>http://stop.genitalmutilation.org/post/Racist-Roots-of-Intersex-Genital-Mutilations-IGM</w:t>
      </w:r>
    </w:p>
  </w:footnote>
  <w:footnote w:id="57">
    <w:p w14:paraId="1F11D8EF" w14:textId="77777777" w:rsidR="00321F0A" w:rsidRPr="00E2403F" w:rsidRDefault="00321F0A" w:rsidP="00376BF3">
      <w:pPr>
        <w:pStyle w:val="fussnoteschattenbericht"/>
      </w:pPr>
      <w:r w:rsidRPr="00341F1E">
        <w:rPr>
          <w:rStyle w:val="Funotenzeichen"/>
          <w:vertAlign w:val="baseline"/>
        </w:rPr>
        <w:footnoteRef/>
      </w:r>
      <w:r w:rsidRPr="00341F1E">
        <w:tab/>
        <w:t xml:space="preserve">For 500 years of “scientific” prejudice in a nutshell, see 2016 CEDAW France NGO Report, p. 7, </w:t>
      </w:r>
      <w:hyperlink r:id="rId56" w:history="1">
        <w:r w:rsidRPr="00341F1E">
          <w:rPr>
            <w:rStyle w:val="Hyperlink"/>
          </w:rPr>
          <w:t>http://intersex.shadowreport.org/public/2016-CEDAW-France-NGO-Zwischengeschlecht-Intersex-IGM.pdf</w:t>
        </w:r>
      </w:hyperlink>
      <w:r w:rsidRPr="00E2403F">
        <w:t xml:space="preserve"> </w:t>
      </w:r>
    </w:p>
  </w:footnote>
  <w:footnote w:id="58">
    <w:p w14:paraId="0ABC07FE" w14:textId="77777777" w:rsidR="00321F0A" w:rsidRPr="00E2403F" w:rsidRDefault="00321F0A" w:rsidP="00376BF3">
      <w:pPr>
        <w:pStyle w:val="fussnoteschattenbericht"/>
      </w:pPr>
      <w:r w:rsidRPr="00E2403F">
        <w:rPr>
          <w:rStyle w:val="Funotenzeichen"/>
          <w:vertAlign w:val="baseline"/>
        </w:rPr>
        <w:footnoteRef/>
      </w:r>
      <w:r w:rsidRPr="00E2403F">
        <w:tab/>
        <w:t>See “IGM Practices – Non-Consensual, Unnecessary Medical Interventions ”, ibid., p. 38–47</w:t>
      </w:r>
    </w:p>
  </w:footnote>
  <w:footnote w:id="59">
    <w:p w14:paraId="6A8B5378" w14:textId="77777777" w:rsidR="00321F0A" w:rsidRPr="00E2403F" w:rsidRDefault="00321F0A" w:rsidP="00376BF3">
      <w:pPr>
        <w:pStyle w:val="fussnoteschattenbericht"/>
      </w:pPr>
      <w:r w:rsidRPr="00E2403F">
        <w:rPr>
          <w:rStyle w:val="Funotenzeichen"/>
          <w:vertAlign w:val="baseline"/>
        </w:rPr>
        <w:footnoteRef/>
      </w:r>
      <w:r w:rsidRPr="00E2403F">
        <w:tab/>
      </w:r>
      <w:r w:rsidRPr="00E2403F">
        <w:rPr>
          <w:b/>
        </w:rPr>
        <w:t>CAT, CRC, CRPD, SPT, SRT, SRSG VAC, COE, ACHPR, IACHR</w:t>
      </w:r>
      <w:r w:rsidRPr="00E2403F">
        <w:t xml:space="preserve"> (2016), “End violence and harmful medical practices on intersex children and adults, UN and regional experts urge”,</w:t>
      </w:r>
      <w:r w:rsidRPr="00E2403F">
        <w:br/>
      </w:r>
      <w:hyperlink r:id="rId57" w:history="1">
        <w:r w:rsidRPr="00E2403F">
          <w:rPr>
            <w:rStyle w:val="Hyperlink"/>
          </w:rPr>
          <w:t>http://www.ohchr.org/EN/NewsEvents/Pages/DisplayNews.aspx?NewsID=20739&amp;LangID=E</w:t>
        </w:r>
      </w:hyperlink>
    </w:p>
  </w:footnote>
  <w:footnote w:id="60">
    <w:p w14:paraId="7E0E0545" w14:textId="77777777" w:rsidR="00321F0A" w:rsidRPr="00E2403F" w:rsidRDefault="00321F0A" w:rsidP="00376BF3">
      <w:pPr>
        <w:pStyle w:val="fussnoteschattenbericht"/>
      </w:pPr>
      <w:r w:rsidRPr="00E2403F">
        <w:rPr>
          <w:rStyle w:val="Funotenzeichen"/>
          <w:vertAlign w:val="baseline"/>
        </w:rPr>
        <w:footnoteRef/>
      </w:r>
      <w:r w:rsidRPr="00E2403F">
        <w:tab/>
      </w:r>
      <w:hyperlink r:id="rId58" w:history="1">
        <w:r w:rsidRPr="00E2403F">
          <w:rPr>
            <w:rStyle w:val="Hyperlink"/>
          </w:rPr>
          <w:t>http://stop.genitalmutilation.org/post/IAD-2016-Soon-20-UN-Reprimands-for-Intersex-Genital-Mutilations</w:t>
        </w:r>
      </w:hyperlink>
    </w:p>
  </w:footnote>
  <w:footnote w:id="61">
    <w:p w14:paraId="7AED30BB" w14:textId="77777777" w:rsidR="00321F0A" w:rsidRPr="00E2403F" w:rsidRDefault="00321F0A" w:rsidP="00376BF3">
      <w:pPr>
        <w:pStyle w:val="fussnoteschattenbericht"/>
        <w:rPr>
          <w:rStyle w:val="Hyperlink"/>
        </w:rPr>
      </w:pPr>
      <w:r w:rsidRPr="00E2403F">
        <w:rPr>
          <w:rStyle w:val="Funotenzeichen"/>
          <w:vertAlign w:val="baseline"/>
        </w:rPr>
        <w:footnoteRef/>
      </w:r>
      <w:r w:rsidRPr="00E2403F">
        <w:tab/>
        <w:t xml:space="preserve">The currently still official medical terminology </w:t>
      </w:r>
      <w:r w:rsidRPr="00E2403F">
        <w:rPr>
          <w:rFonts w:eastAsia="Baskerville-SemiBold"/>
          <w:b/>
          <w:bCs/>
        </w:rPr>
        <w:t>“</w:t>
      </w:r>
      <w:r w:rsidRPr="00E2403F">
        <w:rPr>
          <w:rFonts w:eastAsia="Baskerville-Bold"/>
          <w:b/>
          <w:bCs/>
        </w:rPr>
        <w:t>Disorders</w:t>
      </w:r>
      <w:r w:rsidRPr="00E2403F">
        <w:rPr>
          <w:rFonts w:eastAsia="Baskerville-SemiBold"/>
          <w:b/>
          <w:bCs/>
        </w:rPr>
        <w:t xml:space="preserve"> of Sex Development” is strongly refused by persons concerned</w:t>
      </w:r>
      <w:r w:rsidRPr="00E2403F">
        <w:rPr>
          <w:rFonts w:eastAsia="Baskerville-SemiBold"/>
          <w:bCs/>
        </w:rPr>
        <w:t>.</w:t>
      </w:r>
      <w:r w:rsidRPr="00E2403F">
        <w:rPr>
          <w:rFonts w:eastAsia="Baskerville-SemiBold"/>
          <w:b/>
          <w:bCs/>
        </w:rPr>
        <w:t xml:space="preserve"> </w:t>
      </w:r>
      <w:r w:rsidRPr="00E2403F">
        <w:t>See 2014 CRC NGO Report, p. 12 “Terminology”.</w:t>
      </w:r>
    </w:p>
  </w:footnote>
  <w:footnote w:id="62">
    <w:p w14:paraId="7873821F" w14:textId="77777777" w:rsidR="00321F0A" w:rsidRPr="00E2403F" w:rsidRDefault="00321F0A" w:rsidP="00376BF3">
      <w:pPr>
        <w:pStyle w:val="fussnoteschattenbericht"/>
      </w:pPr>
      <w:r w:rsidRPr="00E2403F">
        <w:rPr>
          <w:rStyle w:val="Funotenzeichen"/>
          <w:vertAlign w:val="baseline"/>
        </w:rPr>
        <w:footnoteRef/>
      </w:r>
      <w:r w:rsidRPr="00E2403F">
        <w:rPr>
          <w:rStyle w:val="Funotenzeichen"/>
          <w:vertAlign w:val="baseline"/>
        </w:rPr>
        <w:tab/>
      </w:r>
      <w:hyperlink r:id="rId59" w:history="1">
        <w:r w:rsidRPr="00345E98">
          <w:rPr>
            <w:rStyle w:val="Hyperlink"/>
          </w:rPr>
          <w:t>http://intersex.shadowreport.org/public/2014-CRC-Swiss-NGO-Zwischengeschlecht-Intersex-IGM_v2.pdf</w:t>
        </w:r>
      </w:hyperlink>
      <w:r>
        <w:t xml:space="preserve"> </w:t>
      </w:r>
    </w:p>
  </w:footnote>
  <w:footnote w:id="63">
    <w:p w14:paraId="0253D9C6" w14:textId="77777777" w:rsidR="00321F0A" w:rsidRPr="00E2403F" w:rsidRDefault="00321F0A" w:rsidP="00376BF3">
      <w:pPr>
        <w:pStyle w:val="fussnoteschattenbericht"/>
        <w:rPr>
          <w:lang w:val="de-DE"/>
        </w:rPr>
      </w:pPr>
      <w:r w:rsidRPr="00E2403F">
        <w:rPr>
          <w:rStyle w:val="Funotenzeichen"/>
          <w:vertAlign w:val="baseline"/>
        </w:rPr>
        <w:footnoteRef/>
      </w:r>
      <w:r w:rsidRPr="00CF41C8">
        <w:rPr>
          <w:rStyle w:val="Funotenzeichen"/>
          <w:vertAlign w:val="baseline"/>
          <w:lang w:val="de-CH"/>
        </w:rPr>
        <w:t xml:space="preserve"> </w:t>
      </w:r>
      <w:r w:rsidRPr="00DF27B4">
        <w:rPr>
          <w:lang w:val="de-CH"/>
        </w:rPr>
        <w:tab/>
        <w:t xml:space="preserve">CRC67 Denmark, </w:t>
      </w:r>
      <w:hyperlink r:id="rId60" w:history="1">
        <w:r w:rsidRPr="00E2403F">
          <w:rPr>
            <w:rStyle w:val="Hyperlink"/>
            <w:w w:val="85"/>
            <w:kern w:val="20"/>
            <w:sz w:val="19"/>
            <w:szCs w:val="19"/>
            <w:lang w:val="de-CH"/>
          </w:rPr>
          <w:t>http://stop.genitalmutilation.org/post/CRC67-Intersex-children-used-as-cannon-fodder-LGBT-Denmark</w:t>
        </w:r>
      </w:hyperlink>
      <w:r w:rsidRPr="00DF27B4">
        <w:rPr>
          <w:lang w:val="de-CH"/>
        </w:rPr>
        <w:t xml:space="preserve"> </w:t>
      </w:r>
    </w:p>
  </w:footnote>
  <w:footnote w:id="64">
    <w:p w14:paraId="65D633CE" w14:textId="77777777" w:rsidR="00321F0A" w:rsidRPr="00087C7A" w:rsidRDefault="00321F0A" w:rsidP="00376BF3">
      <w:pPr>
        <w:pStyle w:val="fussnoteschattenbericht"/>
      </w:pPr>
      <w:r w:rsidRPr="00E2403F">
        <w:rPr>
          <w:rStyle w:val="Funotenzeichen"/>
          <w:vertAlign w:val="baseline"/>
        </w:rPr>
        <w:footnoteRef/>
      </w:r>
      <w:r w:rsidRPr="00E053C5">
        <w:rPr>
          <w:rStyle w:val="Funotenzeichen"/>
          <w:vertAlign w:val="baseline"/>
          <w:lang w:val="pl-PL"/>
        </w:rPr>
        <w:t xml:space="preserve"> </w:t>
      </w:r>
      <w:r w:rsidRPr="00087C7A">
        <w:tab/>
        <w:t xml:space="preserve">CEDAW66 Ukraine, </w:t>
      </w:r>
      <w:hyperlink r:id="rId61" w:history="1">
        <w:r w:rsidRPr="00E053C5">
          <w:rPr>
            <w:rStyle w:val="Hyperlink"/>
            <w:lang w:val="pl-PL"/>
          </w:rPr>
          <w:t>http://stop.genitalmutilation.org/post/Ukraine-Instrumentalising-Intersex-and-IGM-for-LGBT-and-Gender-Politics</w:t>
        </w:r>
      </w:hyperlink>
      <w:r w:rsidRPr="00087C7A">
        <w:t xml:space="preserve"> </w:t>
      </w:r>
    </w:p>
  </w:footnote>
  <w:footnote w:id="65">
    <w:p w14:paraId="658E4C7D" w14:textId="77777777" w:rsidR="00321F0A" w:rsidRPr="00E2403F" w:rsidRDefault="00321F0A" w:rsidP="00376BF3">
      <w:pPr>
        <w:pStyle w:val="fussnoteschattenbericht"/>
      </w:pPr>
      <w:r w:rsidRPr="00341F1E">
        <w:rPr>
          <w:rStyle w:val="Funotenzeichen"/>
          <w:vertAlign w:val="baseline"/>
        </w:rPr>
        <w:footnoteRef/>
      </w:r>
      <w:r w:rsidRPr="00341F1E">
        <w:tab/>
        <w:t>For references, see 2016</w:t>
      </w:r>
      <w:r>
        <w:t xml:space="preserve"> CEDAW France NGO Report, p. 45</w:t>
      </w:r>
      <w:r w:rsidRPr="00341F1E">
        <w:t xml:space="preserve"> </w:t>
      </w:r>
      <w:r>
        <w:br/>
      </w:r>
      <w:hyperlink r:id="rId62" w:history="1">
        <w:r w:rsidRPr="00341F1E">
          <w:rPr>
            <w:rStyle w:val="Hyperlink"/>
          </w:rPr>
          <w:t>http://intersex.shadowreport.org/public/2016-CEDAW-France-NGO-Zwischengeschlecht-Intersex-IGM.pdf</w:t>
        </w:r>
      </w:hyperlink>
    </w:p>
  </w:footnote>
  <w:footnote w:id="66">
    <w:p w14:paraId="1F194269" w14:textId="77777777" w:rsidR="00321F0A" w:rsidRPr="00E2403F" w:rsidRDefault="00321F0A" w:rsidP="00376BF3">
      <w:pPr>
        <w:pStyle w:val="fussnoteschattenbericht"/>
      </w:pPr>
      <w:r w:rsidRPr="00E2403F">
        <w:rPr>
          <w:rStyle w:val="Funotenzeichen"/>
          <w:vertAlign w:val="baseline"/>
        </w:rPr>
        <w:footnoteRef/>
      </w:r>
      <w:r w:rsidRPr="00E2403F">
        <w:rPr>
          <w:rStyle w:val="Funotenzeichen"/>
          <w:vertAlign w:val="baseline"/>
        </w:rPr>
        <w:t xml:space="preserve"> </w:t>
      </w:r>
      <w:r w:rsidRPr="00E2403F">
        <w:tab/>
        <w:t xml:space="preserve">For example ACHPR Commissioner Lawrence Murugu Mute (Kenya), see </w:t>
      </w:r>
      <w:hyperlink r:id="rId63" w:history="1">
        <w:r w:rsidRPr="00E2403F">
          <w:rPr>
            <w:rStyle w:val="Hyperlink"/>
            <w:sz w:val="18"/>
            <w:szCs w:val="18"/>
          </w:rPr>
          <w:t>http://stop.genitalmutilation.org/post/ACHPR-African-Commissioner-warns-Stop-conflating-intersex-and-LGBT</w:t>
        </w:r>
      </w:hyperlink>
      <w:r w:rsidRPr="00E2403F">
        <w:t xml:space="preserve"> </w:t>
      </w:r>
    </w:p>
  </w:footnote>
  <w:footnote w:id="67">
    <w:p w14:paraId="2715784F" w14:textId="77777777" w:rsidR="00321F0A" w:rsidRPr="00DF27B4" w:rsidRDefault="00321F0A" w:rsidP="00376BF3">
      <w:pPr>
        <w:pStyle w:val="fussnoteschattenbericht"/>
        <w:rPr>
          <w:lang w:val="it-IT"/>
        </w:rPr>
      </w:pPr>
      <w:r w:rsidRPr="00E2403F">
        <w:rPr>
          <w:rStyle w:val="Funotenzeichen"/>
          <w:vertAlign w:val="baseline"/>
        </w:rPr>
        <w:footnoteRef/>
      </w:r>
      <w:r w:rsidRPr="00CF41C8">
        <w:rPr>
          <w:rStyle w:val="Funotenzeichen"/>
          <w:vertAlign w:val="baseline"/>
          <w:lang w:val="it-IT"/>
        </w:rPr>
        <w:t xml:space="preserve"> </w:t>
      </w:r>
      <w:r w:rsidRPr="00DF27B4">
        <w:rPr>
          <w:lang w:val="it-IT"/>
        </w:rPr>
        <w:tab/>
        <w:t xml:space="preserve">CAT60 Argentina, </w:t>
      </w:r>
      <w:hyperlink r:id="rId64" w:history="1">
        <w:r w:rsidRPr="00E2403F">
          <w:rPr>
            <w:rStyle w:val="Hyperlink"/>
            <w:lang w:val="it-IT"/>
          </w:rPr>
          <w:t>http://stop.genitalmutilation.org/post/UN-Press-Release-calls-IGM-survivors-transsexual-children-CATArgentina-UNCAT60</w:t>
        </w:r>
      </w:hyperlink>
      <w:r w:rsidRPr="00DF27B4">
        <w:rPr>
          <w:lang w:val="it-IT"/>
        </w:rPr>
        <w:t xml:space="preserve"> </w:t>
      </w:r>
    </w:p>
  </w:footnote>
  <w:footnote w:id="68">
    <w:p w14:paraId="7DB53115" w14:textId="77777777" w:rsidR="00321F0A" w:rsidRPr="00E2403F" w:rsidRDefault="00321F0A" w:rsidP="00376BF3">
      <w:pPr>
        <w:pStyle w:val="fussnoteschattenbericht"/>
      </w:pPr>
      <w:r w:rsidRPr="00E2403F">
        <w:rPr>
          <w:rStyle w:val="Funotenzeichen"/>
          <w:vertAlign w:val="baseline"/>
        </w:rPr>
        <w:footnoteRef/>
      </w:r>
      <w:r w:rsidRPr="00E2403F">
        <w:rPr>
          <w:rStyle w:val="Funotenzeichen"/>
          <w:vertAlign w:val="baseline"/>
        </w:rPr>
        <w:t xml:space="preserve"> </w:t>
      </w:r>
      <w:r w:rsidRPr="00E2403F">
        <w:tab/>
        <w:t xml:space="preserve">CRC77 Spain, </w:t>
      </w:r>
      <w:hyperlink r:id="rId65" w:history="1">
        <w:r w:rsidRPr="00E2403F">
          <w:rPr>
            <w:rStyle w:val="Hyperlink"/>
            <w:sz w:val="18"/>
            <w:szCs w:val="18"/>
          </w:rPr>
          <w:t>http://stop.genitalmutilation.org/post/UN-Press-Release-mentions-genital-mutilation-of-intersex-children</w:t>
        </w:r>
      </w:hyperlink>
      <w:r w:rsidRPr="00E2403F">
        <w:t xml:space="preserve"> </w:t>
      </w:r>
    </w:p>
  </w:footnote>
  <w:footnote w:id="69">
    <w:p w14:paraId="2B28F049" w14:textId="77777777" w:rsidR="00321F0A" w:rsidRPr="00E2403F" w:rsidRDefault="00321F0A" w:rsidP="00376BF3">
      <w:pPr>
        <w:pStyle w:val="fussnoteschattenbericht"/>
        <w:rPr>
          <w:lang w:val="de-DE"/>
        </w:rPr>
      </w:pPr>
      <w:r w:rsidRPr="00E2403F">
        <w:rPr>
          <w:rStyle w:val="Funotenzeichen"/>
          <w:vertAlign w:val="baseline"/>
        </w:rPr>
        <w:footnoteRef/>
      </w:r>
      <w:r w:rsidRPr="00CF41C8">
        <w:rPr>
          <w:rStyle w:val="Funotenzeichen"/>
          <w:vertAlign w:val="baseline"/>
          <w:lang w:val="de-CH"/>
        </w:rPr>
        <w:t xml:space="preserve"> </w:t>
      </w:r>
      <w:r w:rsidRPr="00DF27B4">
        <w:rPr>
          <w:lang w:val="de-CH"/>
        </w:rPr>
        <w:tab/>
        <w:t xml:space="preserve">CRC76 Denmark, </w:t>
      </w:r>
      <w:hyperlink r:id="rId66" w:history="1">
        <w:r w:rsidRPr="00E2403F">
          <w:rPr>
            <w:rStyle w:val="Hyperlink"/>
            <w:lang w:val="de-CH"/>
          </w:rPr>
          <w:t>http://stop.genitalmutilation.org/post/UN-Press-Release-calls-IGM-survivors-transsexual-children-CRC-Denmark-UNCRC67</w:t>
        </w:r>
      </w:hyperlink>
      <w:r w:rsidRPr="00E2403F">
        <w:rPr>
          <w:lang w:val="de-DE"/>
        </w:rPr>
        <w:t xml:space="preserve"> </w:t>
      </w:r>
    </w:p>
  </w:footnote>
  <w:footnote w:id="70">
    <w:p w14:paraId="5C96EB85" w14:textId="77777777" w:rsidR="00321F0A" w:rsidRPr="00DF27B4" w:rsidRDefault="00321F0A" w:rsidP="00376BF3">
      <w:pPr>
        <w:pStyle w:val="fussnoteschattenbericht"/>
        <w:rPr>
          <w:lang w:val="de-DE"/>
        </w:rPr>
      </w:pPr>
      <w:r w:rsidRPr="00E2403F">
        <w:rPr>
          <w:rStyle w:val="Funotenzeichen"/>
          <w:vertAlign w:val="baseline"/>
        </w:rPr>
        <w:footnoteRef/>
      </w:r>
      <w:r w:rsidRPr="00E053C5">
        <w:rPr>
          <w:rStyle w:val="Funotenzeichen"/>
          <w:vertAlign w:val="baseline"/>
          <w:lang w:val="pt-BR"/>
        </w:rPr>
        <w:t xml:space="preserve"> </w:t>
      </w:r>
      <w:r w:rsidRPr="00DF27B4">
        <w:rPr>
          <w:lang w:val="de-DE"/>
        </w:rPr>
        <w:tab/>
        <w:t>CAT/C/DNK/QPR/8, para 32</w:t>
      </w:r>
    </w:p>
  </w:footnote>
  <w:footnote w:id="71">
    <w:p w14:paraId="24D646B4" w14:textId="77777777" w:rsidR="00321F0A" w:rsidRPr="004C04B8" w:rsidRDefault="00321F0A" w:rsidP="00376BF3">
      <w:pPr>
        <w:pStyle w:val="fussnoteschattenbericht"/>
        <w:rPr>
          <w:lang w:val="de-DE"/>
        </w:rPr>
      </w:pPr>
      <w:r w:rsidRPr="00E2403F">
        <w:rPr>
          <w:rStyle w:val="Funotenzeichen"/>
          <w:vertAlign w:val="baseline"/>
        </w:rPr>
        <w:footnoteRef/>
      </w:r>
      <w:r w:rsidRPr="004C04B8">
        <w:rPr>
          <w:rStyle w:val="Funotenzeichen"/>
          <w:vertAlign w:val="baseline"/>
          <w:lang w:val="de-DE"/>
        </w:rPr>
        <w:t xml:space="preserve"> </w:t>
      </w:r>
      <w:r w:rsidRPr="004C04B8">
        <w:rPr>
          <w:lang w:val="de-DE"/>
        </w:rPr>
        <w:tab/>
        <w:t xml:space="preserve">CRC73 New Zealand, </w:t>
      </w:r>
      <w:hyperlink r:id="rId67" w:history="1">
        <w:r w:rsidRPr="004C04B8">
          <w:rPr>
            <w:rStyle w:val="Hyperlink"/>
            <w:lang w:val="de-DE"/>
          </w:rPr>
          <w:t>http://stop.genitalmutilation.org/post/NZ-to-be-Questioned-over-Intersex-Genital-Mutilations-by-UN-Committee-on-the-Rights-of-the-Child</w:t>
        </w:r>
      </w:hyperlink>
      <w:r w:rsidRPr="004C04B8">
        <w:rPr>
          <w:lang w:val="de-DE"/>
        </w:rPr>
        <w:t xml:space="preserve"> </w:t>
      </w:r>
    </w:p>
  </w:footnote>
  <w:footnote w:id="72">
    <w:p w14:paraId="4B6324C2" w14:textId="77777777" w:rsidR="00321F0A" w:rsidRPr="00E2403F" w:rsidRDefault="00321F0A" w:rsidP="00376BF3">
      <w:pPr>
        <w:pStyle w:val="fussnoteschattenbericht"/>
        <w:rPr>
          <w:lang w:val="de-DE"/>
        </w:rPr>
      </w:pPr>
      <w:r w:rsidRPr="00E2403F">
        <w:rPr>
          <w:rStyle w:val="Funotenzeichen"/>
          <w:vertAlign w:val="baseline"/>
        </w:rPr>
        <w:footnoteRef/>
      </w:r>
      <w:r w:rsidRPr="00CF41C8">
        <w:rPr>
          <w:rStyle w:val="Funotenzeichen"/>
          <w:vertAlign w:val="baseline"/>
          <w:lang w:val="de-CH"/>
        </w:rPr>
        <w:t xml:space="preserve"> </w:t>
      </w:r>
      <w:r w:rsidRPr="00DF27B4">
        <w:rPr>
          <w:lang w:val="de-CH"/>
        </w:rPr>
        <w:tab/>
        <w:t xml:space="preserve">CCPR120 Switzerland, </w:t>
      </w:r>
      <w:hyperlink r:id="rId68" w:history="1">
        <w:r w:rsidRPr="00E2403F">
          <w:rPr>
            <w:rStyle w:val="Hyperlink"/>
            <w:w w:val="85"/>
            <w:kern w:val="20"/>
            <w:sz w:val="18"/>
            <w:szCs w:val="18"/>
            <w:lang w:val="de-CH"/>
          </w:rPr>
          <w:t>http://stop.genitalmutilation.org/post/Pinkwashing-of-Intersex-Genital-Mutilations-at-the-UN-CCPR120</w:t>
        </w:r>
      </w:hyperlink>
      <w:r w:rsidRPr="00DF27B4">
        <w:rPr>
          <w:lang w:val="de-CH"/>
        </w:rPr>
        <w:t xml:space="preserve"> </w:t>
      </w:r>
    </w:p>
  </w:footnote>
  <w:footnote w:id="73">
    <w:p w14:paraId="3585F740" w14:textId="77777777" w:rsidR="00321F0A" w:rsidRPr="00DF27B4" w:rsidRDefault="00321F0A" w:rsidP="00376BF3">
      <w:pPr>
        <w:pStyle w:val="fussnoteschattenbericht"/>
        <w:rPr>
          <w:lang w:val="it-IT"/>
        </w:rPr>
      </w:pPr>
      <w:r w:rsidRPr="00E2403F">
        <w:rPr>
          <w:rStyle w:val="Funotenzeichen"/>
          <w:vertAlign w:val="baseline"/>
        </w:rPr>
        <w:footnoteRef/>
      </w:r>
      <w:r w:rsidRPr="00CF41C8">
        <w:rPr>
          <w:rStyle w:val="Funotenzeichen"/>
          <w:vertAlign w:val="baseline"/>
          <w:lang w:val="it-IT"/>
        </w:rPr>
        <w:t xml:space="preserve"> </w:t>
      </w:r>
      <w:r w:rsidRPr="00DF27B4">
        <w:rPr>
          <w:lang w:val="it-IT"/>
        </w:rPr>
        <w:tab/>
        <w:t xml:space="preserve">CAT56 Austria, </w:t>
      </w:r>
      <w:hyperlink r:id="rId69" w:history="1">
        <w:r w:rsidRPr="00E2403F">
          <w:rPr>
            <w:rStyle w:val="Hyperlink"/>
            <w:lang w:val="it-IT"/>
          </w:rPr>
          <w:t>http://stop.genitalmutilation.org/post/Geneva-UN-Committee-against-Torture-questions-Austria-over-Intersex-Genital-Mutilations</w:t>
        </w:r>
      </w:hyperlink>
      <w:r w:rsidRPr="00DF27B4">
        <w:rPr>
          <w:lang w:val="it-IT"/>
        </w:rPr>
        <w:t xml:space="preserve"> </w:t>
      </w:r>
    </w:p>
  </w:footnote>
  <w:footnote w:id="74">
    <w:p w14:paraId="6F6B24BE" w14:textId="77777777" w:rsidR="00321F0A" w:rsidRPr="00DF27B4" w:rsidRDefault="00321F0A" w:rsidP="00376BF3">
      <w:pPr>
        <w:pStyle w:val="fussnoteschattenbericht"/>
        <w:rPr>
          <w:lang w:val="it-IT"/>
        </w:rPr>
      </w:pPr>
      <w:r w:rsidRPr="00E2403F">
        <w:rPr>
          <w:rStyle w:val="Funotenzeichen"/>
          <w:vertAlign w:val="baseline"/>
        </w:rPr>
        <w:footnoteRef/>
      </w:r>
      <w:r w:rsidRPr="00CF41C8">
        <w:rPr>
          <w:rStyle w:val="Funotenzeichen"/>
          <w:vertAlign w:val="baseline"/>
          <w:lang w:val="it-IT"/>
        </w:rPr>
        <w:t xml:space="preserve"> </w:t>
      </w:r>
      <w:r w:rsidRPr="00DF27B4">
        <w:rPr>
          <w:lang w:val="it-IT"/>
        </w:rPr>
        <w:tab/>
        <w:t xml:space="preserve">CAT60 Argentina, </w:t>
      </w:r>
      <w:hyperlink r:id="rId70" w:history="1">
        <w:r w:rsidRPr="00E2403F">
          <w:rPr>
            <w:rStyle w:val="Hyperlink"/>
            <w:lang w:val="it-IT"/>
          </w:rPr>
          <w:t>http://stop.genitalmutilation.org/post/CAT60-Argentina-to-be-Questioned-on-Intersex-Genital-Mutilation-by-UN-Committee-against-Torture</w:t>
        </w:r>
      </w:hyperlink>
      <w:r w:rsidRPr="00DF27B4">
        <w:rPr>
          <w:lang w:val="it-IT"/>
        </w:rPr>
        <w:t xml:space="preserve"> </w:t>
      </w:r>
    </w:p>
  </w:footnote>
  <w:footnote w:id="75">
    <w:p w14:paraId="7C6D8CB3" w14:textId="77777777" w:rsidR="00321F0A" w:rsidRPr="00087C7A" w:rsidRDefault="00321F0A" w:rsidP="00376BF3">
      <w:pPr>
        <w:pStyle w:val="fussnoteschattenbericht"/>
        <w:rPr>
          <w:lang w:val="nl-NL"/>
        </w:rPr>
      </w:pPr>
      <w:r w:rsidRPr="00E2403F">
        <w:rPr>
          <w:rStyle w:val="Funotenzeichen"/>
          <w:vertAlign w:val="baseline"/>
        </w:rPr>
        <w:footnoteRef/>
      </w:r>
      <w:r w:rsidRPr="00E053C5">
        <w:rPr>
          <w:rStyle w:val="Funotenzeichen"/>
          <w:vertAlign w:val="baseline"/>
          <w:lang w:val="nl-NL"/>
        </w:rPr>
        <w:t xml:space="preserve"> </w:t>
      </w:r>
      <w:r w:rsidRPr="00087C7A">
        <w:rPr>
          <w:lang w:val="nl-NL"/>
        </w:rPr>
        <w:tab/>
        <w:t xml:space="preserve">CRPD18 UK, </w:t>
      </w:r>
      <w:hyperlink r:id="rId71" w:history="1">
        <w:r w:rsidRPr="00E053C5">
          <w:rPr>
            <w:rStyle w:val="Hyperlink"/>
            <w:lang w:val="nl-NL"/>
          </w:rPr>
          <w:t>http://stop.genitalmutilation.org/post/UK-Questioned-over-Intersex-Genital-Mutilations-by-UN-Committee-on-the-Rights-of-Persons-with-Disabilities-CRPD</w:t>
        </w:r>
      </w:hyperlink>
      <w:r w:rsidRPr="00087C7A">
        <w:rPr>
          <w:lang w:val="nl-NL"/>
        </w:rPr>
        <w:t xml:space="preserve"> </w:t>
      </w:r>
    </w:p>
  </w:footnote>
  <w:footnote w:id="76">
    <w:p w14:paraId="7C348E38" w14:textId="380746F9" w:rsidR="00376BF3" w:rsidRPr="00376BF3" w:rsidRDefault="00376BF3" w:rsidP="00376BF3">
      <w:pPr>
        <w:pStyle w:val="fussnoteschattenbericht"/>
        <w:rPr>
          <w:lang w:val="it-IT"/>
        </w:rPr>
      </w:pPr>
      <w:r w:rsidRPr="00376BF3">
        <w:rPr>
          <w:rStyle w:val="Funotenzeichen"/>
          <w:vertAlign w:val="baseline"/>
        </w:rPr>
        <w:footnoteRef/>
      </w:r>
      <w:r w:rsidRPr="00376BF3">
        <w:rPr>
          <w:lang w:val="it-IT"/>
        </w:rPr>
        <w:t xml:space="preserve"> </w:t>
      </w:r>
      <w:r w:rsidRPr="00376BF3">
        <w:rPr>
          <w:lang w:val="it-IT"/>
        </w:rPr>
        <w:tab/>
        <w:t>CEDAW/C/AUT/Q/9/Add.1, para 67</w:t>
      </w:r>
    </w:p>
  </w:footnote>
  <w:footnote w:id="77">
    <w:p w14:paraId="40568636" w14:textId="2B52F18F" w:rsidR="00376BF3" w:rsidRPr="00376BF3" w:rsidRDefault="00376BF3" w:rsidP="00376BF3">
      <w:pPr>
        <w:pStyle w:val="fussnoteschattenbericht"/>
        <w:rPr>
          <w:lang w:val="it-IT"/>
        </w:rPr>
      </w:pPr>
      <w:r w:rsidRPr="00376BF3">
        <w:rPr>
          <w:rStyle w:val="Funotenzeichen"/>
          <w:vertAlign w:val="baseline"/>
        </w:rPr>
        <w:footnoteRef/>
      </w:r>
      <w:r w:rsidRPr="00376BF3">
        <w:rPr>
          <w:lang w:val="it-IT"/>
        </w:rPr>
        <w:t xml:space="preserve"> </w:t>
      </w:r>
      <w:r w:rsidRPr="00376BF3">
        <w:rPr>
          <w:lang w:val="it-IT"/>
        </w:rPr>
        <w:tab/>
        <w:t xml:space="preserve">CRC72 Nepal, </w:t>
      </w:r>
      <w:hyperlink r:id="rId72" w:history="1">
        <w:r w:rsidRPr="00AF7885">
          <w:rPr>
            <w:rStyle w:val="Hyperlink"/>
            <w:lang w:val="it-IT"/>
          </w:rPr>
          <w:t>http://stop.genitalmutilation.org/post/Geneva-Nepal-Questioned-over-Intersex-Genital-Mutilations-by-UN-Committee-on-the-Rights-of-the-Child</w:t>
        </w:r>
      </w:hyperlink>
      <w:r>
        <w:rPr>
          <w:lang w:val="it-IT"/>
        </w:rPr>
        <w:t xml:space="preserve"> </w:t>
      </w:r>
    </w:p>
  </w:footnote>
  <w:footnote w:id="78">
    <w:p w14:paraId="11BB9CA7" w14:textId="77777777" w:rsidR="00321F0A" w:rsidRPr="00E2403F" w:rsidRDefault="00321F0A" w:rsidP="00376BF3">
      <w:pPr>
        <w:pStyle w:val="fussnoteschattenbericht"/>
      </w:pPr>
      <w:r w:rsidRPr="00E2403F">
        <w:rPr>
          <w:rStyle w:val="Funotenzeichen"/>
          <w:vertAlign w:val="baseline"/>
        </w:rPr>
        <w:footnoteRef/>
      </w:r>
      <w:r w:rsidRPr="00E2403F">
        <w:rPr>
          <w:rStyle w:val="Funotenzeichen"/>
          <w:vertAlign w:val="baseline"/>
        </w:rPr>
        <w:t xml:space="preserve"> </w:t>
      </w:r>
      <w:r w:rsidRPr="00E2403F">
        <w:tab/>
        <w:t xml:space="preserve">For example in Scotland (UK), LGBT organisations have so far collected at least </w:t>
      </w:r>
      <w:r w:rsidRPr="00E2403F">
        <w:rPr>
          <w:b/>
        </w:rPr>
        <w:t>£ 135,000.–</w:t>
      </w:r>
      <w:r w:rsidRPr="00E2403F">
        <w:t xml:space="preserve"> public intersex funding, while actual intersex organisations received ZERO public funding, see 2017 CRPD UK NGO Report, p. 14, </w:t>
      </w:r>
      <w:hyperlink r:id="rId73" w:history="1">
        <w:r w:rsidRPr="00E2403F">
          <w:rPr>
            <w:rStyle w:val="Hyperlink"/>
          </w:rPr>
          <w:t>http://intersex.shadowreport.org/public/2017-CRPD-UK-NGO-Coalition-Intersex-IGM.pdf</w:t>
        </w:r>
      </w:hyperlink>
      <w:r w:rsidRPr="00E2403F">
        <w:t xml:space="preserve"> </w:t>
      </w:r>
      <w:r w:rsidRPr="00E2403F">
        <w:br/>
        <w:t xml:space="preserve">Typically, during the interactive dialogue with CRPD, the UK delegation nonetheless tried to sell this glaring misappropriation as “supporting intersex people”, but fortunately got called out on this by the Committee, see transcript (Session 2, 10:53h + 11:47h), </w:t>
      </w:r>
      <w:hyperlink r:id="rId74" w:history="1">
        <w:r w:rsidRPr="00E2403F">
          <w:rPr>
            <w:rStyle w:val="Hyperlink"/>
          </w:rPr>
          <w:t>http://stop.genitalmutilation.org/post/UK-Questioned-over-Intersex-Genital-Mutilations-by-UN-Committee-on-the-Rights-of-Persons-with-Disabilities-CRPD</w:t>
        </w:r>
      </w:hyperlink>
      <w:r w:rsidRPr="00E2403F">
        <w:t xml:space="preserve"> </w:t>
      </w:r>
    </w:p>
  </w:footnote>
  <w:footnote w:id="79">
    <w:p w14:paraId="65755C40" w14:textId="77777777" w:rsidR="00321F0A" w:rsidRPr="00E2403F" w:rsidRDefault="00321F0A" w:rsidP="00376BF3">
      <w:pPr>
        <w:pStyle w:val="fussnoteschattenbericht"/>
        <w:rPr>
          <w:sz w:val="16"/>
          <w:szCs w:val="16"/>
        </w:rPr>
      </w:pPr>
      <w:r w:rsidRPr="00E2403F">
        <w:rPr>
          <w:rStyle w:val="Funotenzeichen"/>
          <w:vertAlign w:val="baseline"/>
        </w:rPr>
        <w:footnoteRef/>
      </w:r>
      <w:r w:rsidRPr="00E2403F">
        <w:rPr>
          <w:rStyle w:val="Funotenzeichen"/>
          <w:vertAlign w:val="baseline"/>
        </w:rPr>
        <w:t xml:space="preserve"> </w:t>
      </w:r>
      <w:r w:rsidRPr="00E2403F">
        <w:tab/>
        <w:t xml:space="preserve">See e.g. “Instrumentalizing intersex: ‘The fact that LGBTs in particular embrace intersex is due to an excess of projection’ - Georg Klauda (2002)”, </w:t>
      </w:r>
      <w:hyperlink r:id="rId75" w:history="1">
        <w:r w:rsidRPr="00E2403F">
          <w:rPr>
            <w:rStyle w:val="Hyperlink"/>
            <w:sz w:val="16"/>
            <w:szCs w:val="16"/>
          </w:rPr>
          <w:t>http://stop.genitalmutilation.org/post/Instrumentalizing-Intersex-Georg-Klauda-2002</w:t>
        </w:r>
      </w:hyperlink>
      <w:r w:rsidRPr="00E2403F">
        <w:rPr>
          <w:sz w:val="16"/>
          <w:szCs w:val="16"/>
        </w:rPr>
        <w:t xml:space="preserve">  </w:t>
      </w:r>
    </w:p>
  </w:footnote>
  <w:footnote w:id="80">
    <w:p w14:paraId="6260FC2F" w14:textId="77777777" w:rsidR="00321F0A" w:rsidRPr="00E2403F" w:rsidRDefault="00321F0A" w:rsidP="00376BF3">
      <w:pPr>
        <w:pStyle w:val="fussnoteschattenbericht"/>
      </w:pPr>
      <w:r w:rsidRPr="00E2403F">
        <w:rPr>
          <w:rStyle w:val="Funotenzeichen"/>
          <w:vertAlign w:val="baseline"/>
        </w:rPr>
        <w:footnoteRef/>
      </w:r>
      <w:r w:rsidRPr="00E2403F">
        <w:tab/>
        <w:t xml:space="preserve">For example Amnesty (2017), see </w:t>
      </w:r>
      <w:hyperlink r:id="rId76" w:history="1">
        <w:r w:rsidRPr="00E2403F">
          <w:rPr>
            <w:rStyle w:val="Hyperlink"/>
          </w:rPr>
          <w:t>http://stop.genitalmutilation.org/post/Amnesty-Report-fails-Intersex-Children-and-IGM-Survivors</w:t>
        </w:r>
      </w:hyperlink>
      <w:r w:rsidRPr="00E2403F">
        <w:rPr>
          <w:rStyle w:val="WW8Num1z3"/>
        </w:rPr>
        <w:t xml:space="preserve"> </w:t>
      </w:r>
    </w:p>
  </w:footnote>
  <w:footnote w:id="81">
    <w:p w14:paraId="3DB7775C" w14:textId="77777777" w:rsidR="00321F0A" w:rsidRPr="00E2403F" w:rsidRDefault="00321F0A" w:rsidP="00376BF3">
      <w:pPr>
        <w:pStyle w:val="fussnoteschattenbericht"/>
      </w:pPr>
      <w:r w:rsidRPr="00E2403F">
        <w:rPr>
          <w:rStyle w:val="Funotenzeichen"/>
          <w:vertAlign w:val="baseline"/>
        </w:rPr>
        <w:footnoteRef/>
      </w:r>
      <w:r w:rsidRPr="00E2403F">
        <w:tab/>
        <w:t xml:space="preserve">For example FRA (2015), see Presentation OHCHR Expert Meeting (2015), slide 8, </w:t>
      </w:r>
      <w:hyperlink r:id="rId77" w:history="1">
        <w:r w:rsidRPr="00E2403F">
          <w:rPr>
            <w:rStyle w:val="Hyperlink"/>
          </w:rPr>
          <w:t>http://stop.genitalmutilation.org/public/S3_Zwischengeschlecht_UN-Expert-Meeting-2015_web.pdf</w:t>
        </w:r>
      </w:hyperlink>
      <w:r w:rsidRPr="00E2403F">
        <w:rPr>
          <w:rStyle w:val="WW8Num1z3"/>
        </w:rPr>
        <w:t xml:space="preserve"> </w:t>
      </w:r>
    </w:p>
  </w:footnote>
  <w:footnote w:id="82">
    <w:p w14:paraId="426AC78F" w14:textId="77777777" w:rsidR="00321F0A" w:rsidRPr="00E2403F" w:rsidRDefault="00321F0A" w:rsidP="00376BF3">
      <w:pPr>
        <w:pStyle w:val="fussnoteschattenbericht"/>
      </w:pPr>
      <w:r w:rsidRPr="00E2403F">
        <w:rPr>
          <w:rStyle w:val="Funotenzeichen"/>
          <w:vertAlign w:val="baseline"/>
        </w:rPr>
        <w:footnoteRef/>
      </w:r>
      <w:r w:rsidRPr="00E2403F">
        <w:tab/>
        <w:t>For example CEDAW</w:t>
      </w:r>
      <w:r w:rsidRPr="00E2403F">
        <w:rPr>
          <w:b/>
        </w:rPr>
        <w:t xml:space="preserve"> </w:t>
      </w:r>
      <w:r w:rsidRPr="00E2403F">
        <w:t xml:space="preserve">Italy (2017), see </w:t>
      </w:r>
      <w:hyperlink r:id="rId78" w:history="1">
        <w:r w:rsidRPr="00E2403F">
          <w:rPr>
            <w:rStyle w:val="Hyperlink"/>
            <w:w w:val="85"/>
            <w:kern w:val="20"/>
            <w:sz w:val="18"/>
            <w:szCs w:val="18"/>
          </w:rPr>
          <w:t>http://stop.genitalmutilation.org/post/Major-Setback-for-Intersex-Human-Rights-at-the-UN</w:t>
        </w:r>
      </w:hyperlink>
      <w:r w:rsidRPr="00E2403F">
        <w:rPr>
          <w:rStyle w:val="WW8Num1z3"/>
          <w:w w:val="85"/>
          <w:kern w:val="20"/>
          <w:sz w:val="18"/>
          <w:szCs w:val="18"/>
        </w:rPr>
        <w:t xml:space="preserve"> </w:t>
      </w:r>
    </w:p>
  </w:footnote>
  <w:footnote w:id="83">
    <w:p w14:paraId="15768933" w14:textId="77777777" w:rsidR="00321F0A" w:rsidRPr="00E2403F" w:rsidRDefault="00321F0A" w:rsidP="00376BF3">
      <w:pPr>
        <w:pStyle w:val="fussnoteschattenbericht"/>
      </w:pPr>
      <w:r w:rsidRPr="00E2403F">
        <w:rPr>
          <w:rStyle w:val="Funotenzeichen"/>
          <w:vertAlign w:val="baseline"/>
        </w:rPr>
        <w:footnoteRef/>
      </w:r>
      <w:r w:rsidRPr="00E2403F">
        <w:tab/>
        <w:t xml:space="preserve">See for example Ministry of Health Chile (2016), </w:t>
      </w:r>
      <w:hyperlink r:id="rId79" w:history="1">
        <w:r w:rsidRPr="00E2403F">
          <w:rPr>
            <w:rStyle w:val="Hyperlink"/>
          </w:rPr>
          <w:t>http://stop.genitalmutilation.org/post/Circular-7-step-back-for-intersex-human-rights-in-Chile</w:t>
        </w:r>
      </w:hyperlink>
      <w:r w:rsidRPr="00E2403F">
        <w:rPr>
          <w:rStyle w:val="WW8Num1z3"/>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B90FB" w14:textId="77777777" w:rsidR="00321F0A" w:rsidRDefault="00321F0A">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A03E3" w14:textId="77777777" w:rsidR="00321F0A" w:rsidRDefault="00321F0A">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F864E" w14:textId="77777777" w:rsidR="00321F0A" w:rsidRDefault="00321F0A">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F69C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B20FFE2"/>
    <w:lvl w:ilvl="0">
      <w:start w:val="1"/>
      <w:numFmt w:val="decimal"/>
      <w:lvlText w:val="%1."/>
      <w:lvlJc w:val="left"/>
      <w:pPr>
        <w:tabs>
          <w:tab w:val="num" w:pos="1492"/>
        </w:tabs>
        <w:ind w:left="1492" w:hanging="360"/>
      </w:pPr>
    </w:lvl>
  </w:abstractNum>
  <w:abstractNum w:abstractNumId="2">
    <w:nsid w:val="FFFFFF7D"/>
    <w:multiLevelType w:val="singleLevel"/>
    <w:tmpl w:val="09C8B1D2"/>
    <w:lvl w:ilvl="0">
      <w:start w:val="1"/>
      <w:numFmt w:val="decimal"/>
      <w:lvlText w:val="%1."/>
      <w:lvlJc w:val="left"/>
      <w:pPr>
        <w:tabs>
          <w:tab w:val="num" w:pos="1209"/>
        </w:tabs>
        <w:ind w:left="1209" w:hanging="360"/>
      </w:pPr>
    </w:lvl>
  </w:abstractNum>
  <w:abstractNum w:abstractNumId="3">
    <w:nsid w:val="FFFFFF7E"/>
    <w:multiLevelType w:val="singleLevel"/>
    <w:tmpl w:val="4D9CD924"/>
    <w:lvl w:ilvl="0">
      <w:start w:val="1"/>
      <w:numFmt w:val="decimal"/>
      <w:lvlText w:val="%1."/>
      <w:lvlJc w:val="left"/>
      <w:pPr>
        <w:tabs>
          <w:tab w:val="num" w:pos="926"/>
        </w:tabs>
        <w:ind w:left="926" w:hanging="360"/>
      </w:pPr>
    </w:lvl>
  </w:abstractNum>
  <w:abstractNum w:abstractNumId="4">
    <w:nsid w:val="FFFFFF7F"/>
    <w:multiLevelType w:val="singleLevel"/>
    <w:tmpl w:val="F39064AC"/>
    <w:lvl w:ilvl="0">
      <w:start w:val="1"/>
      <w:numFmt w:val="decimal"/>
      <w:lvlText w:val="%1."/>
      <w:lvlJc w:val="left"/>
      <w:pPr>
        <w:tabs>
          <w:tab w:val="num" w:pos="643"/>
        </w:tabs>
        <w:ind w:left="643" w:hanging="360"/>
      </w:pPr>
    </w:lvl>
  </w:abstractNum>
  <w:abstractNum w:abstractNumId="5">
    <w:nsid w:val="FFFFFF80"/>
    <w:multiLevelType w:val="singleLevel"/>
    <w:tmpl w:val="31C01D2E"/>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B6628452"/>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C2CCADC0"/>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F90C17E"/>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7AE8844E"/>
    <w:lvl w:ilvl="0">
      <w:start w:val="1"/>
      <w:numFmt w:val="decimal"/>
      <w:lvlText w:val="%1."/>
      <w:lvlJc w:val="left"/>
      <w:pPr>
        <w:tabs>
          <w:tab w:val="num" w:pos="360"/>
        </w:tabs>
        <w:ind w:left="360" w:hanging="360"/>
      </w:pPr>
    </w:lvl>
  </w:abstractNum>
  <w:abstractNum w:abstractNumId="10">
    <w:nsid w:val="FFFFFF89"/>
    <w:multiLevelType w:val="singleLevel"/>
    <w:tmpl w:val="97ECA4AA"/>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multilevel"/>
    <w:tmpl w:val="00000001"/>
    <w:lvl w:ilvl="0">
      <w:start w:val="1"/>
      <w:numFmt w:val="none"/>
      <w:suff w:val="nothing"/>
      <w:lvlText w:val=""/>
      <w:lvlJc w:val="left"/>
      <w:pPr>
        <w:tabs>
          <w:tab w:val="num" w:pos="709"/>
        </w:tabs>
        <w:ind w:left="1141" w:hanging="432"/>
      </w:pPr>
    </w:lvl>
    <w:lvl w:ilvl="1">
      <w:start w:val="1"/>
      <w:numFmt w:val="none"/>
      <w:suff w:val="nothing"/>
      <w:lvlText w:val=""/>
      <w:lvlJc w:val="left"/>
      <w:pPr>
        <w:tabs>
          <w:tab w:val="num" w:pos="709"/>
        </w:tabs>
        <w:ind w:left="1285" w:hanging="576"/>
      </w:pPr>
    </w:lvl>
    <w:lvl w:ilvl="2">
      <w:start w:val="1"/>
      <w:numFmt w:val="none"/>
      <w:suff w:val="nothing"/>
      <w:lvlText w:val=""/>
      <w:lvlJc w:val="left"/>
      <w:pPr>
        <w:tabs>
          <w:tab w:val="num" w:pos="709"/>
        </w:tabs>
        <w:ind w:left="1429" w:hanging="720"/>
      </w:pPr>
    </w:lvl>
    <w:lvl w:ilvl="3">
      <w:start w:val="1"/>
      <w:numFmt w:val="none"/>
      <w:suff w:val="nothing"/>
      <w:lvlText w:val=""/>
      <w:lvlJc w:val="left"/>
      <w:pPr>
        <w:tabs>
          <w:tab w:val="num" w:pos="709"/>
        </w:tabs>
        <w:ind w:left="1573" w:hanging="864"/>
      </w:pPr>
    </w:lvl>
    <w:lvl w:ilvl="4">
      <w:start w:val="1"/>
      <w:numFmt w:val="none"/>
      <w:suff w:val="nothing"/>
      <w:lvlText w:val=""/>
      <w:lvlJc w:val="left"/>
      <w:pPr>
        <w:tabs>
          <w:tab w:val="num" w:pos="709"/>
        </w:tabs>
        <w:ind w:left="1717" w:hanging="1008"/>
      </w:pPr>
    </w:lvl>
    <w:lvl w:ilvl="5">
      <w:start w:val="1"/>
      <w:numFmt w:val="none"/>
      <w:suff w:val="nothing"/>
      <w:lvlText w:val=""/>
      <w:lvlJc w:val="left"/>
      <w:pPr>
        <w:tabs>
          <w:tab w:val="num" w:pos="709"/>
        </w:tabs>
        <w:ind w:left="1861" w:hanging="1152"/>
      </w:pPr>
    </w:lvl>
    <w:lvl w:ilvl="6">
      <w:start w:val="1"/>
      <w:numFmt w:val="none"/>
      <w:suff w:val="nothing"/>
      <w:lvlText w:val=""/>
      <w:lvlJc w:val="left"/>
      <w:pPr>
        <w:tabs>
          <w:tab w:val="num" w:pos="709"/>
        </w:tabs>
        <w:ind w:left="2005" w:hanging="1296"/>
      </w:pPr>
    </w:lvl>
    <w:lvl w:ilvl="7">
      <w:start w:val="1"/>
      <w:numFmt w:val="none"/>
      <w:suff w:val="nothing"/>
      <w:lvlText w:val=""/>
      <w:lvlJc w:val="left"/>
      <w:pPr>
        <w:tabs>
          <w:tab w:val="num" w:pos="709"/>
        </w:tabs>
        <w:ind w:left="2149" w:hanging="1440"/>
      </w:pPr>
    </w:lvl>
    <w:lvl w:ilvl="8">
      <w:start w:val="1"/>
      <w:numFmt w:val="none"/>
      <w:suff w:val="nothing"/>
      <w:lvlText w:val=""/>
      <w:lvlJc w:val="left"/>
      <w:pPr>
        <w:tabs>
          <w:tab w:val="num" w:pos="709"/>
        </w:tabs>
        <w:ind w:left="2293" w:hanging="1584"/>
      </w:pPr>
    </w:lvl>
  </w:abstractNum>
  <w:abstractNum w:abstractNumId="12">
    <w:nsid w:val="00000002"/>
    <w:multiLevelType w:val="multilevel"/>
    <w:tmpl w:val="00000002"/>
    <w:name w:val="WW8Num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5">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6">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7">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8">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19">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2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21">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2">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3">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4">
    <w:nsid w:val="0A94728B"/>
    <w:multiLevelType w:val="hybridMultilevel"/>
    <w:tmpl w:val="9968B9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0DCD3281"/>
    <w:multiLevelType w:val="hybridMultilevel"/>
    <w:tmpl w:val="721034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14EF3F4B"/>
    <w:multiLevelType w:val="hybridMultilevel"/>
    <w:tmpl w:val="BCCA0CE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nsid w:val="1EBD71AC"/>
    <w:multiLevelType w:val="hybridMultilevel"/>
    <w:tmpl w:val="4E9630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nsid w:val="35390544"/>
    <w:multiLevelType w:val="hybridMultilevel"/>
    <w:tmpl w:val="56C2EACA"/>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2">
    <w:nsid w:val="4E8A4B68"/>
    <w:multiLevelType w:val="hybridMultilevel"/>
    <w:tmpl w:val="42C4B6D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6C5D7DCB"/>
    <w:multiLevelType w:val="hybridMultilevel"/>
    <w:tmpl w:val="03DA0016"/>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5">
    <w:nsid w:val="73B6553D"/>
    <w:multiLevelType w:val="hybridMultilevel"/>
    <w:tmpl w:val="D8107EE6"/>
    <w:lvl w:ilvl="0" w:tplc="04070001">
      <w:start w:val="1"/>
      <w:numFmt w:val="bullet"/>
      <w:lvlText w:val=""/>
      <w:lvlJc w:val="left"/>
      <w:pPr>
        <w:ind w:left="853" w:hanging="360"/>
      </w:pPr>
      <w:rPr>
        <w:rFonts w:ascii="Symbol" w:hAnsi="Symbol" w:hint="default"/>
      </w:rPr>
    </w:lvl>
    <w:lvl w:ilvl="1" w:tplc="04070003" w:tentative="1">
      <w:start w:val="1"/>
      <w:numFmt w:val="bullet"/>
      <w:lvlText w:val="o"/>
      <w:lvlJc w:val="left"/>
      <w:pPr>
        <w:ind w:left="1573" w:hanging="360"/>
      </w:pPr>
      <w:rPr>
        <w:rFonts w:ascii="Courier New" w:hAnsi="Courier New" w:cs="Courier New" w:hint="default"/>
      </w:rPr>
    </w:lvl>
    <w:lvl w:ilvl="2" w:tplc="04070005" w:tentative="1">
      <w:start w:val="1"/>
      <w:numFmt w:val="bullet"/>
      <w:lvlText w:val=""/>
      <w:lvlJc w:val="left"/>
      <w:pPr>
        <w:ind w:left="2293" w:hanging="360"/>
      </w:pPr>
      <w:rPr>
        <w:rFonts w:ascii="Wingdings" w:hAnsi="Wingdings" w:hint="default"/>
      </w:rPr>
    </w:lvl>
    <w:lvl w:ilvl="3" w:tplc="04070001" w:tentative="1">
      <w:start w:val="1"/>
      <w:numFmt w:val="bullet"/>
      <w:lvlText w:val=""/>
      <w:lvlJc w:val="left"/>
      <w:pPr>
        <w:ind w:left="3013" w:hanging="360"/>
      </w:pPr>
      <w:rPr>
        <w:rFonts w:ascii="Symbol" w:hAnsi="Symbol" w:hint="default"/>
      </w:rPr>
    </w:lvl>
    <w:lvl w:ilvl="4" w:tplc="04070003" w:tentative="1">
      <w:start w:val="1"/>
      <w:numFmt w:val="bullet"/>
      <w:lvlText w:val="o"/>
      <w:lvlJc w:val="left"/>
      <w:pPr>
        <w:ind w:left="3733" w:hanging="360"/>
      </w:pPr>
      <w:rPr>
        <w:rFonts w:ascii="Courier New" w:hAnsi="Courier New" w:cs="Courier New" w:hint="default"/>
      </w:rPr>
    </w:lvl>
    <w:lvl w:ilvl="5" w:tplc="04070005" w:tentative="1">
      <w:start w:val="1"/>
      <w:numFmt w:val="bullet"/>
      <w:lvlText w:val=""/>
      <w:lvlJc w:val="left"/>
      <w:pPr>
        <w:ind w:left="4453" w:hanging="360"/>
      </w:pPr>
      <w:rPr>
        <w:rFonts w:ascii="Wingdings" w:hAnsi="Wingdings" w:hint="default"/>
      </w:rPr>
    </w:lvl>
    <w:lvl w:ilvl="6" w:tplc="04070001" w:tentative="1">
      <w:start w:val="1"/>
      <w:numFmt w:val="bullet"/>
      <w:lvlText w:val=""/>
      <w:lvlJc w:val="left"/>
      <w:pPr>
        <w:ind w:left="5173" w:hanging="360"/>
      </w:pPr>
      <w:rPr>
        <w:rFonts w:ascii="Symbol" w:hAnsi="Symbol" w:hint="default"/>
      </w:rPr>
    </w:lvl>
    <w:lvl w:ilvl="7" w:tplc="04070003" w:tentative="1">
      <w:start w:val="1"/>
      <w:numFmt w:val="bullet"/>
      <w:lvlText w:val="o"/>
      <w:lvlJc w:val="left"/>
      <w:pPr>
        <w:ind w:left="5893" w:hanging="360"/>
      </w:pPr>
      <w:rPr>
        <w:rFonts w:ascii="Courier New" w:hAnsi="Courier New" w:cs="Courier New" w:hint="default"/>
      </w:rPr>
    </w:lvl>
    <w:lvl w:ilvl="8" w:tplc="04070005" w:tentative="1">
      <w:start w:val="1"/>
      <w:numFmt w:val="bullet"/>
      <w:lvlText w:val=""/>
      <w:lvlJc w:val="left"/>
      <w:pPr>
        <w:ind w:left="6613" w:hanging="360"/>
      </w:pPr>
      <w:rPr>
        <w:rFonts w:ascii="Wingdings" w:hAnsi="Wingdings" w:hint="default"/>
      </w:rPr>
    </w:lvl>
  </w:abstractNum>
  <w:abstractNum w:abstractNumId="36">
    <w:nsid w:val="75F74799"/>
    <w:multiLevelType w:val="hybridMultilevel"/>
    <w:tmpl w:val="133E8D1A"/>
    <w:lvl w:ilvl="0" w:tplc="08070001">
      <w:start w:val="1"/>
      <w:numFmt w:val="bullet"/>
      <w:lvlText w:val=""/>
      <w:lvlJc w:val="left"/>
      <w:pPr>
        <w:ind w:left="788" w:hanging="360"/>
      </w:pPr>
      <w:rPr>
        <w:rFonts w:ascii="Symbol" w:hAnsi="Symbol" w:hint="default"/>
      </w:rPr>
    </w:lvl>
    <w:lvl w:ilvl="1" w:tplc="08070003" w:tentative="1">
      <w:start w:val="1"/>
      <w:numFmt w:val="bullet"/>
      <w:lvlText w:val="o"/>
      <w:lvlJc w:val="left"/>
      <w:pPr>
        <w:ind w:left="1508" w:hanging="360"/>
      </w:pPr>
      <w:rPr>
        <w:rFonts w:ascii="Courier New" w:hAnsi="Courier New" w:cs="Courier New" w:hint="default"/>
      </w:rPr>
    </w:lvl>
    <w:lvl w:ilvl="2" w:tplc="08070005" w:tentative="1">
      <w:start w:val="1"/>
      <w:numFmt w:val="bullet"/>
      <w:lvlText w:val=""/>
      <w:lvlJc w:val="left"/>
      <w:pPr>
        <w:ind w:left="2228" w:hanging="360"/>
      </w:pPr>
      <w:rPr>
        <w:rFonts w:ascii="Wingdings" w:hAnsi="Wingdings" w:hint="default"/>
      </w:rPr>
    </w:lvl>
    <w:lvl w:ilvl="3" w:tplc="08070001" w:tentative="1">
      <w:start w:val="1"/>
      <w:numFmt w:val="bullet"/>
      <w:lvlText w:val=""/>
      <w:lvlJc w:val="left"/>
      <w:pPr>
        <w:ind w:left="2948" w:hanging="360"/>
      </w:pPr>
      <w:rPr>
        <w:rFonts w:ascii="Symbol" w:hAnsi="Symbol" w:hint="default"/>
      </w:rPr>
    </w:lvl>
    <w:lvl w:ilvl="4" w:tplc="08070003" w:tentative="1">
      <w:start w:val="1"/>
      <w:numFmt w:val="bullet"/>
      <w:lvlText w:val="o"/>
      <w:lvlJc w:val="left"/>
      <w:pPr>
        <w:ind w:left="3668" w:hanging="360"/>
      </w:pPr>
      <w:rPr>
        <w:rFonts w:ascii="Courier New" w:hAnsi="Courier New" w:cs="Courier New" w:hint="default"/>
      </w:rPr>
    </w:lvl>
    <w:lvl w:ilvl="5" w:tplc="08070005" w:tentative="1">
      <w:start w:val="1"/>
      <w:numFmt w:val="bullet"/>
      <w:lvlText w:val=""/>
      <w:lvlJc w:val="left"/>
      <w:pPr>
        <w:ind w:left="4388" w:hanging="360"/>
      </w:pPr>
      <w:rPr>
        <w:rFonts w:ascii="Wingdings" w:hAnsi="Wingdings" w:hint="default"/>
      </w:rPr>
    </w:lvl>
    <w:lvl w:ilvl="6" w:tplc="08070001" w:tentative="1">
      <w:start w:val="1"/>
      <w:numFmt w:val="bullet"/>
      <w:lvlText w:val=""/>
      <w:lvlJc w:val="left"/>
      <w:pPr>
        <w:ind w:left="5108" w:hanging="360"/>
      </w:pPr>
      <w:rPr>
        <w:rFonts w:ascii="Symbol" w:hAnsi="Symbol" w:hint="default"/>
      </w:rPr>
    </w:lvl>
    <w:lvl w:ilvl="7" w:tplc="08070003" w:tentative="1">
      <w:start w:val="1"/>
      <w:numFmt w:val="bullet"/>
      <w:lvlText w:val="o"/>
      <w:lvlJc w:val="left"/>
      <w:pPr>
        <w:ind w:left="5828" w:hanging="360"/>
      </w:pPr>
      <w:rPr>
        <w:rFonts w:ascii="Courier New" w:hAnsi="Courier New" w:cs="Courier New" w:hint="default"/>
      </w:rPr>
    </w:lvl>
    <w:lvl w:ilvl="8" w:tplc="08070005" w:tentative="1">
      <w:start w:val="1"/>
      <w:numFmt w:val="bullet"/>
      <w:lvlText w:val=""/>
      <w:lvlJc w:val="left"/>
      <w:pPr>
        <w:ind w:left="6548" w:hanging="360"/>
      </w:pPr>
      <w:rPr>
        <w:rFonts w:ascii="Wingdings" w:hAnsi="Wingdings" w:hint="default"/>
      </w:rPr>
    </w:lvl>
  </w:abstractNum>
  <w:abstractNum w:abstractNumId="37">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8">
    <w:nsid w:val="7C6E5AF6"/>
    <w:multiLevelType w:val="hybridMultilevel"/>
    <w:tmpl w:val="BEA433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3"/>
  </w:num>
  <w:num w:numId="4">
    <w:abstractNumId w:val="14"/>
  </w:num>
  <w:num w:numId="5">
    <w:abstractNumId w:val="15"/>
  </w:num>
  <w:num w:numId="6">
    <w:abstractNumId w:val="16"/>
  </w:num>
  <w:num w:numId="7">
    <w:abstractNumId w:val="17"/>
  </w:num>
  <w:num w:numId="8">
    <w:abstractNumId w:val="18"/>
  </w:num>
  <w:num w:numId="9">
    <w:abstractNumId w:val="19"/>
  </w:num>
  <w:num w:numId="10">
    <w:abstractNumId w:val="20"/>
  </w:num>
  <w:num w:numId="11">
    <w:abstractNumId w:val="21"/>
  </w:num>
  <w:num w:numId="12">
    <w:abstractNumId w:val="22"/>
  </w:num>
  <w:num w:numId="13">
    <w:abstractNumId w:val="23"/>
  </w:num>
  <w:num w:numId="14">
    <w:abstractNumId w:val="32"/>
  </w:num>
  <w:num w:numId="15">
    <w:abstractNumId w:val="36"/>
  </w:num>
  <w:num w:numId="16">
    <w:abstractNumId w:val="31"/>
  </w:num>
  <w:num w:numId="17">
    <w:abstractNumId w:val="34"/>
  </w:num>
  <w:num w:numId="18">
    <w:abstractNumId w:val="29"/>
  </w:num>
  <w:num w:numId="19">
    <w:abstractNumId w:val="30"/>
  </w:num>
  <w:num w:numId="20">
    <w:abstractNumId w:val="0"/>
  </w:num>
  <w:num w:numId="21">
    <w:abstractNumId w:val="37"/>
  </w:num>
  <w:num w:numId="22">
    <w:abstractNumId w:val="26"/>
  </w:num>
  <w:num w:numId="23">
    <w:abstractNumId w:val="27"/>
  </w:num>
  <w:num w:numId="24">
    <w:abstractNumId w:val="33"/>
  </w:num>
  <w:num w:numId="25">
    <w:abstractNumId w:val="24"/>
  </w:num>
  <w:num w:numId="26">
    <w:abstractNumId w:val="35"/>
  </w:num>
  <w:num w:numId="27">
    <w:abstractNumId w:val="38"/>
  </w:num>
  <w:num w:numId="28">
    <w:abstractNumId w:val="25"/>
  </w:num>
  <w:num w:numId="29">
    <w:abstractNumId w:val="1"/>
  </w:num>
  <w:num w:numId="30">
    <w:abstractNumId w:val="2"/>
  </w:num>
  <w:num w:numId="31">
    <w:abstractNumId w:val="3"/>
  </w:num>
  <w:num w:numId="32">
    <w:abstractNumId w:val="4"/>
  </w:num>
  <w:num w:numId="33">
    <w:abstractNumId w:val="9"/>
  </w:num>
  <w:num w:numId="34">
    <w:abstractNumId w:val="5"/>
  </w:num>
  <w:num w:numId="35">
    <w:abstractNumId w:val="6"/>
  </w:num>
  <w:num w:numId="36">
    <w:abstractNumId w:val="7"/>
  </w:num>
  <w:num w:numId="37">
    <w:abstractNumId w:val="8"/>
  </w:num>
  <w:num w:numId="38">
    <w:abstractNumId w:val="10"/>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acDisableGlyphATSUI" w:val="0"/>
  </w:docVars>
  <w:rsids>
    <w:rsidRoot w:val="0044223A"/>
    <w:rsid w:val="000110A9"/>
    <w:rsid w:val="0001156E"/>
    <w:rsid w:val="0001184F"/>
    <w:rsid w:val="000127B9"/>
    <w:rsid w:val="000132E5"/>
    <w:rsid w:val="00014DA2"/>
    <w:rsid w:val="00020626"/>
    <w:rsid w:val="00023CDB"/>
    <w:rsid w:val="000241CB"/>
    <w:rsid w:val="00024F70"/>
    <w:rsid w:val="00026A01"/>
    <w:rsid w:val="0003041D"/>
    <w:rsid w:val="00031CCB"/>
    <w:rsid w:val="00031D9E"/>
    <w:rsid w:val="000326B6"/>
    <w:rsid w:val="000457A1"/>
    <w:rsid w:val="00045DB5"/>
    <w:rsid w:val="00047A08"/>
    <w:rsid w:val="00047B2D"/>
    <w:rsid w:val="00053C1D"/>
    <w:rsid w:val="0005624B"/>
    <w:rsid w:val="000567B2"/>
    <w:rsid w:val="00061CF3"/>
    <w:rsid w:val="00063402"/>
    <w:rsid w:val="0006379B"/>
    <w:rsid w:val="00064D03"/>
    <w:rsid w:val="00066168"/>
    <w:rsid w:val="00066C1F"/>
    <w:rsid w:val="00067345"/>
    <w:rsid w:val="00076936"/>
    <w:rsid w:val="000778D0"/>
    <w:rsid w:val="0007799D"/>
    <w:rsid w:val="00080CEF"/>
    <w:rsid w:val="00082B6C"/>
    <w:rsid w:val="00086819"/>
    <w:rsid w:val="00087C7A"/>
    <w:rsid w:val="00090028"/>
    <w:rsid w:val="000903F4"/>
    <w:rsid w:val="00092A00"/>
    <w:rsid w:val="00094420"/>
    <w:rsid w:val="00095E4E"/>
    <w:rsid w:val="000A0972"/>
    <w:rsid w:val="000A0F1E"/>
    <w:rsid w:val="000A1C59"/>
    <w:rsid w:val="000A5A49"/>
    <w:rsid w:val="000A7D8C"/>
    <w:rsid w:val="000B0C1C"/>
    <w:rsid w:val="000B47C0"/>
    <w:rsid w:val="000B5A59"/>
    <w:rsid w:val="000B6B8F"/>
    <w:rsid w:val="000B79BF"/>
    <w:rsid w:val="000B7C08"/>
    <w:rsid w:val="000C1804"/>
    <w:rsid w:val="000D1339"/>
    <w:rsid w:val="000D3F74"/>
    <w:rsid w:val="000E0944"/>
    <w:rsid w:val="000E4A33"/>
    <w:rsid w:val="000E6875"/>
    <w:rsid w:val="000F0485"/>
    <w:rsid w:val="000F07A6"/>
    <w:rsid w:val="000F4D51"/>
    <w:rsid w:val="000F79C1"/>
    <w:rsid w:val="001007F2"/>
    <w:rsid w:val="00100A29"/>
    <w:rsid w:val="0010186B"/>
    <w:rsid w:val="00101DB9"/>
    <w:rsid w:val="0010640A"/>
    <w:rsid w:val="00106661"/>
    <w:rsid w:val="00106EB8"/>
    <w:rsid w:val="00116CEE"/>
    <w:rsid w:val="00120375"/>
    <w:rsid w:val="00121570"/>
    <w:rsid w:val="001221F6"/>
    <w:rsid w:val="00123020"/>
    <w:rsid w:val="00125038"/>
    <w:rsid w:val="00125267"/>
    <w:rsid w:val="00127449"/>
    <w:rsid w:val="001300F9"/>
    <w:rsid w:val="0013140F"/>
    <w:rsid w:val="00133F29"/>
    <w:rsid w:val="00133FB7"/>
    <w:rsid w:val="0013758B"/>
    <w:rsid w:val="00141C4F"/>
    <w:rsid w:val="001421C3"/>
    <w:rsid w:val="0014362D"/>
    <w:rsid w:val="00143AC5"/>
    <w:rsid w:val="00144A33"/>
    <w:rsid w:val="0014550C"/>
    <w:rsid w:val="001455A8"/>
    <w:rsid w:val="00145D2A"/>
    <w:rsid w:val="00147984"/>
    <w:rsid w:val="001515AB"/>
    <w:rsid w:val="00160195"/>
    <w:rsid w:val="00160B32"/>
    <w:rsid w:val="001611D0"/>
    <w:rsid w:val="00164585"/>
    <w:rsid w:val="00165D7E"/>
    <w:rsid w:val="0017123F"/>
    <w:rsid w:val="00172537"/>
    <w:rsid w:val="00175061"/>
    <w:rsid w:val="001762F6"/>
    <w:rsid w:val="00176B54"/>
    <w:rsid w:val="00176D4C"/>
    <w:rsid w:val="0018009D"/>
    <w:rsid w:val="00185A42"/>
    <w:rsid w:val="00187950"/>
    <w:rsid w:val="00191381"/>
    <w:rsid w:val="001918C2"/>
    <w:rsid w:val="00193D5F"/>
    <w:rsid w:val="00197614"/>
    <w:rsid w:val="001A20FE"/>
    <w:rsid w:val="001A2649"/>
    <w:rsid w:val="001B1F86"/>
    <w:rsid w:val="001B45A6"/>
    <w:rsid w:val="001B6FE3"/>
    <w:rsid w:val="001B77FC"/>
    <w:rsid w:val="001C0DC8"/>
    <w:rsid w:val="001C16E3"/>
    <w:rsid w:val="001C2514"/>
    <w:rsid w:val="001C5302"/>
    <w:rsid w:val="001C642C"/>
    <w:rsid w:val="001D4934"/>
    <w:rsid w:val="001D6484"/>
    <w:rsid w:val="001E1172"/>
    <w:rsid w:val="001E2922"/>
    <w:rsid w:val="001E5598"/>
    <w:rsid w:val="001E65CB"/>
    <w:rsid w:val="001E6F69"/>
    <w:rsid w:val="001E7943"/>
    <w:rsid w:val="001F3A8F"/>
    <w:rsid w:val="001F5F62"/>
    <w:rsid w:val="001F6AF6"/>
    <w:rsid w:val="0020128E"/>
    <w:rsid w:val="0020257A"/>
    <w:rsid w:val="00204F6B"/>
    <w:rsid w:val="00205AA4"/>
    <w:rsid w:val="00211AE5"/>
    <w:rsid w:val="00212935"/>
    <w:rsid w:val="002144D0"/>
    <w:rsid w:val="002145CF"/>
    <w:rsid w:val="00214F21"/>
    <w:rsid w:val="002160C4"/>
    <w:rsid w:val="00224304"/>
    <w:rsid w:val="0023123B"/>
    <w:rsid w:val="002318DD"/>
    <w:rsid w:val="0023209F"/>
    <w:rsid w:val="00234C8B"/>
    <w:rsid w:val="00235598"/>
    <w:rsid w:val="00237121"/>
    <w:rsid w:val="00237D01"/>
    <w:rsid w:val="002405D7"/>
    <w:rsid w:val="002469C5"/>
    <w:rsid w:val="00246F10"/>
    <w:rsid w:val="002473F3"/>
    <w:rsid w:val="00252239"/>
    <w:rsid w:val="00253728"/>
    <w:rsid w:val="00255F3E"/>
    <w:rsid w:val="002565C9"/>
    <w:rsid w:val="0026153D"/>
    <w:rsid w:val="00270455"/>
    <w:rsid w:val="00273510"/>
    <w:rsid w:val="00273F53"/>
    <w:rsid w:val="00274323"/>
    <w:rsid w:val="002806DE"/>
    <w:rsid w:val="00281E06"/>
    <w:rsid w:val="0029151A"/>
    <w:rsid w:val="00292664"/>
    <w:rsid w:val="00293E3F"/>
    <w:rsid w:val="0029548F"/>
    <w:rsid w:val="002A29F6"/>
    <w:rsid w:val="002A2B35"/>
    <w:rsid w:val="002B030C"/>
    <w:rsid w:val="002B0859"/>
    <w:rsid w:val="002B6F12"/>
    <w:rsid w:val="002C178D"/>
    <w:rsid w:val="002C564E"/>
    <w:rsid w:val="002C60DA"/>
    <w:rsid w:val="002C6400"/>
    <w:rsid w:val="002C6710"/>
    <w:rsid w:val="002C6F5A"/>
    <w:rsid w:val="002D2091"/>
    <w:rsid w:val="002E2437"/>
    <w:rsid w:val="002E2F19"/>
    <w:rsid w:val="002E2F4E"/>
    <w:rsid w:val="002E5702"/>
    <w:rsid w:val="002E6010"/>
    <w:rsid w:val="002F0801"/>
    <w:rsid w:val="002F5C8D"/>
    <w:rsid w:val="003010CF"/>
    <w:rsid w:val="00301761"/>
    <w:rsid w:val="0030340A"/>
    <w:rsid w:val="00307C09"/>
    <w:rsid w:val="003113DC"/>
    <w:rsid w:val="00314E54"/>
    <w:rsid w:val="00315570"/>
    <w:rsid w:val="00317DAE"/>
    <w:rsid w:val="00321F0A"/>
    <w:rsid w:val="00327540"/>
    <w:rsid w:val="003338A3"/>
    <w:rsid w:val="0033394C"/>
    <w:rsid w:val="00333E9D"/>
    <w:rsid w:val="00335864"/>
    <w:rsid w:val="00340B2C"/>
    <w:rsid w:val="0034229E"/>
    <w:rsid w:val="00343B29"/>
    <w:rsid w:val="00345E3F"/>
    <w:rsid w:val="00353C3A"/>
    <w:rsid w:val="00355501"/>
    <w:rsid w:val="00356ADF"/>
    <w:rsid w:val="00361AFB"/>
    <w:rsid w:val="00363BE2"/>
    <w:rsid w:val="00365212"/>
    <w:rsid w:val="00365379"/>
    <w:rsid w:val="003673B1"/>
    <w:rsid w:val="003702EF"/>
    <w:rsid w:val="00372459"/>
    <w:rsid w:val="00373BAF"/>
    <w:rsid w:val="0037429E"/>
    <w:rsid w:val="00374D8F"/>
    <w:rsid w:val="00374DEA"/>
    <w:rsid w:val="00375BFE"/>
    <w:rsid w:val="003762A2"/>
    <w:rsid w:val="00376BF3"/>
    <w:rsid w:val="00380A23"/>
    <w:rsid w:val="00383088"/>
    <w:rsid w:val="003854D6"/>
    <w:rsid w:val="00392F05"/>
    <w:rsid w:val="00395347"/>
    <w:rsid w:val="00395956"/>
    <w:rsid w:val="00397AFC"/>
    <w:rsid w:val="003A13C8"/>
    <w:rsid w:val="003B0041"/>
    <w:rsid w:val="003B36E7"/>
    <w:rsid w:val="003C054A"/>
    <w:rsid w:val="003C2C03"/>
    <w:rsid w:val="003C5F86"/>
    <w:rsid w:val="003D0369"/>
    <w:rsid w:val="003D26E6"/>
    <w:rsid w:val="003D2E16"/>
    <w:rsid w:val="003D4B87"/>
    <w:rsid w:val="003D75CD"/>
    <w:rsid w:val="003E0C3D"/>
    <w:rsid w:val="003E14CD"/>
    <w:rsid w:val="003E365B"/>
    <w:rsid w:val="003E4CA3"/>
    <w:rsid w:val="003E58DE"/>
    <w:rsid w:val="003E79A0"/>
    <w:rsid w:val="003F16C2"/>
    <w:rsid w:val="003F1873"/>
    <w:rsid w:val="003F2B98"/>
    <w:rsid w:val="003F5766"/>
    <w:rsid w:val="00401A44"/>
    <w:rsid w:val="004040E3"/>
    <w:rsid w:val="0040470F"/>
    <w:rsid w:val="00404FC0"/>
    <w:rsid w:val="00412FEA"/>
    <w:rsid w:val="004242FC"/>
    <w:rsid w:val="00425322"/>
    <w:rsid w:val="00426BAB"/>
    <w:rsid w:val="00432FA5"/>
    <w:rsid w:val="00434272"/>
    <w:rsid w:val="00435337"/>
    <w:rsid w:val="004370DD"/>
    <w:rsid w:val="004375E4"/>
    <w:rsid w:val="00437B2E"/>
    <w:rsid w:val="004410A3"/>
    <w:rsid w:val="0044169C"/>
    <w:rsid w:val="0044223A"/>
    <w:rsid w:val="004459AE"/>
    <w:rsid w:val="00452580"/>
    <w:rsid w:val="004540BB"/>
    <w:rsid w:val="0045496C"/>
    <w:rsid w:val="00455021"/>
    <w:rsid w:val="00457C9F"/>
    <w:rsid w:val="00460A5D"/>
    <w:rsid w:val="004647CA"/>
    <w:rsid w:val="0047343B"/>
    <w:rsid w:val="00476F51"/>
    <w:rsid w:val="00481881"/>
    <w:rsid w:val="00483135"/>
    <w:rsid w:val="00484B96"/>
    <w:rsid w:val="004856E6"/>
    <w:rsid w:val="0049149C"/>
    <w:rsid w:val="00492FB3"/>
    <w:rsid w:val="004A5CA5"/>
    <w:rsid w:val="004A6B0A"/>
    <w:rsid w:val="004B34E9"/>
    <w:rsid w:val="004B3CC4"/>
    <w:rsid w:val="004B5364"/>
    <w:rsid w:val="004C04B8"/>
    <w:rsid w:val="004C6508"/>
    <w:rsid w:val="004C6B77"/>
    <w:rsid w:val="004C7A48"/>
    <w:rsid w:val="004D1070"/>
    <w:rsid w:val="004D194E"/>
    <w:rsid w:val="004D1E1D"/>
    <w:rsid w:val="004D2788"/>
    <w:rsid w:val="004D3E75"/>
    <w:rsid w:val="004D7648"/>
    <w:rsid w:val="004E1599"/>
    <w:rsid w:val="004E2944"/>
    <w:rsid w:val="004E33A4"/>
    <w:rsid w:val="004E4E2B"/>
    <w:rsid w:val="004E5C93"/>
    <w:rsid w:val="004E7580"/>
    <w:rsid w:val="004F1CA4"/>
    <w:rsid w:val="004F33BC"/>
    <w:rsid w:val="004F55FC"/>
    <w:rsid w:val="004F63C7"/>
    <w:rsid w:val="004F7442"/>
    <w:rsid w:val="00500290"/>
    <w:rsid w:val="0050347C"/>
    <w:rsid w:val="00505B60"/>
    <w:rsid w:val="00512554"/>
    <w:rsid w:val="00512D60"/>
    <w:rsid w:val="00513A94"/>
    <w:rsid w:val="00516D07"/>
    <w:rsid w:val="00520F08"/>
    <w:rsid w:val="0052198A"/>
    <w:rsid w:val="00522738"/>
    <w:rsid w:val="00523FC9"/>
    <w:rsid w:val="0052427A"/>
    <w:rsid w:val="00524420"/>
    <w:rsid w:val="00531446"/>
    <w:rsid w:val="00531D22"/>
    <w:rsid w:val="00535067"/>
    <w:rsid w:val="00535687"/>
    <w:rsid w:val="00537CB2"/>
    <w:rsid w:val="0054112D"/>
    <w:rsid w:val="00541B1F"/>
    <w:rsid w:val="00544E84"/>
    <w:rsid w:val="00545AAD"/>
    <w:rsid w:val="00550E17"/>
    <w:rsid w:val="00550F11"/>
    <w:rsid w:val="00554A74"/>
    <w:rsid w:val="00555AB1"/>
    <w:rsid w:val="005621F3"/>
    <w:rsid w:val="00570DBD"/>
    <w:rsid w:val="0057186D"/>
    <w:rsid w:val="005800E2"/>
    <w:rsid w:val="005847C9"/>
    <w:rsid w:val="00586365"/>
    <w:rsid w:val="00587B4A"/>
    <w:rsid w:val="00590C2E"/>
    <w:rsid w:val="00591A49"/>
    <w:rsid w:val="00594F30"/>
    <w:rsid w:val="005A166B"/>
    <w:rsid w:val="005A4AB7"/>
    <w:rsid w:val="005B1295"/>
    <w:rsid w:val="005B5520"/>
    <w:rsid w:val="005C3577"/>
    <w:rsid w:val="005C534E"/>
    <w:rsid w:val="005D07D9"/>
    <w:rsid w:val="005D1067"/>
    <w:rsid w:val="005D339C"/>
    <w:rsid w:val="005D3911"/>
    <w:rsid w:val="005D4CC0"/>
    <w:rsid w:val="005D79B5"/>
    <w:rsid w:val="005E09D2"/>
    <w:rsid w:val="005E119E"/>
    <w:rsid w:val="005E4652"/>
    <w:rsid w:val="005E6C97"/>
    <w:rsid w:val="005F14B2"/>
    <w:rsid w:val="005F5476"/>
    <w:rsid w:val="006013F2"/>
    <w:rsid w:val="00605FCA"/>
    <w:rsid w:val="006078B1"/>
    <w:rsid w:val="006102BA"/>
    <w:rsid w:val="00612231"/>
    <w:rsid w:val="006135E0"/>
    <w:rsid w:val="006140B6"/>
    <w:rsid w:val="006159E1"/>
    <w:rsid w:val="006179D4"/>
    <w:rsid w:val="006209F9"/>
    <w:rsid w:val="00621ABA"/>
    <w:rsid w:val="00627882"/>
    <w:rsid w:val="00627D7F"/>
    <w:rsid w:val="0063004F"/>
    <w:rsid w:val="0063073F"/>
    <w:rsid w:val="00634575"/>
    <w:rsid w:val="00640EAB"/>
    <w:rsid w:val="00641C4C"/>
    <w:rsid w:val="00643169"/>
    <w:rsid w:val="00643695"/>
    <w:rsid w:val="00644C70"/>
    <w:rsid w:val="00651DA7"/>
    <w:rsid w:val="006604BC"/>
    <w:rsid w:val="0066075C"/>
    <w:rsid w:val="006626BA"/>
    <w:rsid w:val="006716B9"/>
    <w:rsid w:val="00675C3D"/>
    <w:rsid w:val="00675F17"/>
    <w:rsid w:val="0067622A"/>
    <w:rsid w:val="00677546"/>
    <w:rsid w:val="006804ED"/>
    <w:rsid w:val="00682C4B"/>
    <w:rsid w:val="0068398B"/>
    <w:rsid w:val="0068759A"/>
    <w:rsid w:val="00691051"/>
    <w:rsid w:val="00692FAE"/>
    <w:rsid w:val="006941E6"/>
    <w:rsid w:val="006959D6"/>
    <w:rsid w:val="00697203"/>
    <w:rsid w:val="00697A04"/>
    <w:rsid w:val="006A0BA5"/>
    <w:rsid w:val="006A255D"/>
    <w:rsid w:val="006A30B8"/>
    <w:rsid w:val="006A56D4"/>
    <w:rsid w:val="006A5990"/>
    <w:rsid w:val="006A657F"/>
    <w:rsid w:val="006A6AA2"/>
    <w:rsid w:val="006A7D3C"/>
    <w:rsid w:val="006B00E5"/>
    <w:rsid w:val="006B145E"/>
    <w:rsid w:val="006B22D9"/>
    <w:rsid w:val="006B5E9C"/>
    <w:rsid w:val="006B6F41"/>
    <w:rsid w:val="006B71CF"/>
    <w:rsid w:val="006B7E2E"/>
    <w:rsid w:val="006C278F"/>
    <w:rsid w:val="006C5B56"/>
    <w:rsid w:val="006D110E"/>
    <w:rsid w:val="006D15A3"/>
    <w:rsid w:val="006D1BEF"/>
    <w:rsid w:val="006D1D56"/>
    <w:rsid w:val="006D32BA"/>
    <w:rsid w:val="006D46C8"/>
    <w:rsid w:val="006D7C11"/>
    <w:rsid w:val="006E231F"/>
    <w:rsid w:val="006E3967"/>
    <w:rsid w:val="006E40E4"/>
    <w:rsid w:val="006E4955"/>
    <w:rsid w:val="006E5F22"/>
    <w:rsid w:val="006F1009"/>
    <w:rsid w:val="006F3B49"/>
    <w:rsid w:val="006F46F2"/>
    <w:rsid w:val="006F53CD"/>
    <w:rsid w:val="007018B7"/>
    <w:rsid w:val="0070408F"/>
    <w:rsid w:val="00704513"/>
    <w:rsid w:val="00706D78"/>
    <w:rsid w:val="007149A2"/>
    <w:rsid w:val="00714B34"/>
    <w:rsid w:val="00716A3C"/>
    <w:rsid w:val="007208F1"/>
    <w:rsid w:val="00720BA0"/>
    <w:rsid w:val="00722235"/>
    <w:rsid w:val="0072420B"/>
    <w:rsid w:val="0072580E"/>
    <w:rsid w:val="007325B6"/>
    <w:rsid w:val="0073434C"/>
    <w:rsid w:val="00734E51"/>
    <w:rsid w:val="00735D9C"/>
    <w:rsid w:val="00736A68"/>
    <w:rsid w:val="00742250"/>
    <w:rsid w:val="00742907"/>
    <w:rsid w:val="0074339D"/>
    <w:rsid w:val="007447D8"/>
    <w:rsid w:val="0074588B"/>
    <w:rsid w:val="00750886"/>
    <w:rsid w:val="00750926"/>
    <w:rsid w:val="007510CB"/>
    <w:rsid w:val="0075586C"/>
    <w:rsid w:val="00756953"/>
    <w:rsid w:val="007571E3"/>
    <w:rsid w:val="00761157"/>
    <w:rsid w:val="007615D2"/>
    <w:rsid w:val="00763DF1"/>
    <w:rsid w:val="00764B01"/>
    <w:rsid w:val="007654F3"/>
    <w:rsid w:val="007665F2"/>
    <w:rsid w:val="00773CC3"/>
    <w:rsid w:val="0077565C"/>
    <w:rsid w:val="00775A36"/>
    <w:rsid w:val="00776AD8"/>
    <w:rsid w:val="00777F8A"/>
    <w:rsid w:val="00781B95"/>
    <w:rsid w:val="007873DC"/>
    <w:rsid w:val="007874DB"/>
    <w:rsid w:val="00790BA7"/>
    <w:rsid w:val="00790F0C"/>
    <w:rsid w:val="00791B28"/>
    <w:rsid w:val="007930FA"/>
    <w:rsid w:val="00793FF4"/>
    <w:rsid w:val="007960C4"/>
    <w:rsid w:val="007A18B3"/>
    <w:rsid w:val="007A27B6"/>
    <w:rsid w:val="007A5914"/>
    <w:rsid w:val="007A619D"/>
    <w:rsid w:val="007A6A3A"/>
    <w:rsid w:val="007A74D9"/>
    <w:rsid w:val="007B0EE1"/>
    <w:rsid w:val="007B2966"/>
    <w:rsid w:val="007B334D"/>
    <w:rsid w:val="007B4993"/>
    <w:rsid w:val="007B4C12"/>
    <w:rsid w:val="007B5F16"/>
    <w:rsid w:val="007B7743"/>
    <w:rsid w:val="007C12F4"/>
    <w:rsid w:val="007C5999"/>
    <w:rsid w:val="007D2202"/>
    <w:rsid w:val="007D5C4D"/>
    <w:rsid w:val="007D6435"/>
    <w:rsid w:val="007D6FAB"/>
    <w:rsid w:val="007E313A"/>
    <w:rsid w:val="007E3516"/>
    <w:rsid w:val="007E5342"/>
    <w:rsid w:val="007E5E94"/>
    <w:rsid w:val="007E633E"/>
    <w:rsid w:val="007E79DA"/>
    <w:rsid w:val="007F07CF"/>
    <w:rsid w:val="007F0AF1"/>
    <w:rsid w:val="007F1D68"/>
    <w:rsid w:val="007F2078"/>
    <w:rsid w:val="007F21B0"/>
    <w:rsid w:val="007F7A3A"/>
    <w:rsid w:val="00801719"/>
    <w:rsid w:val="00802710"/>
    <w:rsid w:val="00802BDE"/>
    <w:rsid w:val="008068D9"/>
    <w:rsid w:val="00807854"/>
    <w:rsid w:val="00807C53"/>
    <w:rsid w:val="00807D5B"/>
    <w:rsid w:val="00810DD9"/>
    <w:rsid w:val="00811B78"/>
    <w:rsid w:val="008120A0"/>
    <w:rsid w:val="0081793A"/>
    <w:rsid w:val="008216A3"/>
    <w:rsid w:val="008219A9"/>
    <w:rsid w:val="0082527E"/>
    <w:rsid w:val="008256CE"/>
    <w:rsid w:val="00833C56"/>
    <w:rsid w:val="00836916"/>
    <w:rsid w:val="00836A26"/>
    <w:rsid w:val="00840FB4"/>
    <w:rsid w:val="0084250E"/>
    <w:rsid w:val="00842555"/>
    <w:rsid w:val="00847B9E"/>
    <w:rsid w:val="008521EA"/>
    <w:rsid w:val="00853AE9"/>
    <w:rsid w:val="00856CCC"/>
    <w:rsid w:val="00857278"/>
    <w:rsid w:val="0085791B"/>
    <w:rsid w:val="008616AB"/>
    <w:rsid w:val="00864BA3"/>
    <w:rsid w:val="008700D4"/>
    <w:rsid w:val="0087234F"/>
    <w:rsid w:val="00874057"/>
    <w:rsid w:val="00876A6D"/>
    <w:rsid w:val="00877066"/>
    <w:rsid w:val="008772F1"/>
    <w:rsid w:val="008807AB"/>
    <w:rsid w:val="00883562"/>
    <w:rsid w:val="008836A8"/>
    <w:rsid w:val="00883CD2"/>
    <w:rsid w:val="00883D21"/>
    <w:rsid w:val="008864FD"/>
    <w:rsid w:val="00886F16"/>
    <w:rsid w:val="00891997"/>
    <w:rsid w:val="00892CDD"/>
    <w:rsid w:val="008955BF"/>
    <w:rsid w:val="00895B75"/>
    <w:rsid w:val="00896821"/>
    <w:rsid w:val="008A0FC8"/>
    <w:rsid w:val="008A119C"/>
    <w:rsid w:val="008A2721"/>
    <w:rsid w:val="008A34C3"/>
    <w:rsid w:val="008A5AC2"/>
    <w:rsid w:val="008A65BF"/>
    <w:rsid w:val="008A6F64"/>
    <w:rsid w:val="008B0E2F"/>
    <w:rsid w:val="008B12FD"/>
    <w:rsid w:val="008B2C1F"/>
    <w:rsid w:val="008B3FF9"/>
    <w:rsid w:val="008B52E0"/>
    <w:rsid w:val="008B6013"/>
    <w:rsid w:val="008B745C"/>
    <w:rsid w:val="008C2887"/>
    <w:rsid w:val="008C50D4"/>
    <w:rsid w:val="008D26F7"/>
    <w:rsid w:val="008D4606"/>
    <w:rsid w:val="008D7323"/>
    <w:rsid w:val="008D7794"/>
    <w:rsid w:val="008E0E71"/>
    <w:rsid w:val="008E2917"/>
    <w:rsid w:val="008E3AF1"/>
    <w:rsid w:val="008E4355"/>
    <w:rsid w:val="008E5052"/>
    <w:rsid w:val="008F6AE4"/>
    <w:rsid w:val="009003A4"/>
    <w:rsid w:val="00901099"/>
    <w:rsid w:val="00902716"/>
    <w:rsid w:val="00905031"/>
    <w:rsid w:val="00905B44"/>
    <w:rsid w:val="0091212D"/>
    <w:rsid w:val="00913354"/>
    <w:rsid w:val="0091742C"/>
    <w:rsid w:val="00917C22"/>
    <w:rsid w:val="00920A33"/>
    <w:rsid w:val="0092125A"/>
    <w:rsid w:val="009224F3"/>
    <w:rsid w:val="00923226"/>
    <w:rsid w:val="00923249"/>
    <w:rsid w:val="00927361"/>
    <w:rsid w:val="00931D5F"/>
    <w:rsid w:val="0093360F"/>
    <w:rsid w:val="00934C9A"/>
    <w:rsid w:val="00937955"/>
    <w:rsid w:val="00940780"/>
    <w:rsid w:val="009419AD"/>
    <w:rsid w:val="00943A20"/>
    <w:rsid w:val="00944148"/>
    <w:rsid w:val="009467F3"/>
    <w:rsid w:val="00951A6A"/>
    <w:rsid w:val="00951BD8"/>
    <w:rsid w:val="00952B53"/>
    <w:rsid w:val="00952E1D"/>
    <w:rsid w:val="009549F3"/>
    <w:rsid w:val="009560D1"/>
    <w:rsid w:val="00956C03"/>
    <w:rsid w:val="0096134E"/>
    <w:rsid w:val="009626A5"/>
    <w:rsid w:val="00974053"/>
    <w:rsid w:val="009751FB"/>
    <w:rsid w:val="00977170"/>
    <w:rsid w:val="00977CC5"/>
    <w:rsid w:val="00977F28"/>
    <w:rsid w:val="009804EE"/>
    <w:rsid w:val="009806C5"/>
    <w:rsid w:val="00980B34"/>
    <w:rsid w:val="0098266E"/>
    <w:rsid w:val="00983E9F"/>
    <w:rsid w:val="00986480"/>
    <w:rsid w:val="00986B7C"/>
    <w:rsid w:val="00986CB2"/>
    <w:rsid w:val="0099312D"/>
    <w:rsid w:val="00993B45"/>
    <w:rsid w:val="009A16BA"/>
    <w:rsid w:val="009A3CDC"/>
    <w:rsid w:val="009A64D2"/>
    <w:rsid w:val="009A6E48"/>
    <w:rsid w:val="009B1006"/>
    <w:rsid w:val="009B3B22"/>
    <w:rsid w:val="009B6E55"/>
    <w:rsid w:val="009C5995"/>
    <w:rsid w:val="009C68B8"/>
    <w:rsid w:val="009D099C"/>
    <w:rsid w:val="009D17EE"/>
    <w:rsid w:val="009D4EB7"/>
    <w:rsid w:val="009E1373"/>
    <w:rsid w:val="009E4158"/>
    <w:rsid w:val="009E63C9"/>
    <w:rsid w:val="009E6F87"/>
    <w:rsid w:val="009F0B46"/>
    <w:rsid w:val="009F0F1C"/>
    <w:rsid w:val="009F2F74"/>
    <w:rsid w:val="009F318F"/>
    <w:rsid w:val="009F4B26"/>
    <w:rsid w:val="009F715B"/>
    <w:rsid w:val="00A008B4"/>
    <w:rsid w:val="00A00BE3"/>
    <w:rsid w:val="00A01AF6"/>
    <w:rsid w:val="00A0308F"/>
    <w:rsid w:val="00A03146"/>
    <w:rsid w:val="00A03F59"/>
    <w:rsid w:val="00A051C3"/>
    <w:rsid w:val="00A05216"/>
    <w:rsid w:val="00A05747"/>
    <w:rsid w:val="00A13F2C"/>
    <w:rsid w:val="00A1529E"/>
    <w:rsid w:val="00A157C8"/>
    <w:rsid w:val="00A17B93"/>
    <w:rsid w:val="00A20302"/>
    <w:rsid w:val="00A27361"/>
    <w:rsid w:val="00A30D9D"/>
    <w:rsid w:val="00A3105F"/>
    <w:rsid w:val="00A34341"/>
    <w:rsid w:val="00A346BF"/>
    <w:rsid w:val="00A3570C"/>
    <w:rsid w:val="00A3639B"/>
    <w:rsid w:val="00A40089"/>
    <w:rsid w:val="00A40C3C"/>
    <w:rsid w:val="00A44A82"/>
    <w:rsid w:val="00A44A8F"/>
    <w:rsid w:val="00A452FC"/>
    <w:rsid w:val="00A454D4"/>
    <w:rsid w:val="00A47281"/>
    <w:rsid w:val="00A52AD2"/>
    <w:rsid w:val="00A542A1"/>
    <w:rsid w:val="00A54323"/>
    <w:rsid w:val="00A5528D"/>
    <w:rsid w:val="00A63489"/>
    <w:rsid w:val="00A64EB1"/>
    <w:rsid w:val="00A71B59"/>
    <w:rsid w:val="00A72EAD"/>
    <w:rsid w:val="00A75F9A"/>
    <w:rsid w:val="00A77066"/>
    <w:rsid w:val="00A81C37"/>
    <w:rsid w:val="00A85760"/>
    <w:rsid w:val="00A90565"/>
    <w:rsid w:val="00A90741"/>
    <w:rsid w:val="00A90822"/>
    <w:rsid w:val="00A934B7"/>
    <w:rsid w:val="00A949E6"/>
    <w:rsid w:val="00AA02F2"/>
    <w:rsid w:val="00AA108F"/>
    <w:rsid w:val="00AA1951"/>
    <w:rsid w:val="00AA1A4E"/>
    <w:rsid w:val="00AA401A"/>
    <w:rsid w:val="00AA58C2"/>
    <w:rsid w:val="00AA7011"/>
    <w:rsid w:val="00AB100E"/>
    <w:rsid w:val="00AB251F"/>
    <w:rsid w:val="00AB26D6"/>
    <w:rsid w:val="00AB27C5"/>
    <w:rsid w:val="00AC64DD"/>
    <w:rsid w:val="00AC69E1"/>
    <w:rsid w:val="00AD03A7"/>
    <w:rsid w:val="00AD1ED4"/>
    <w:rsid w:val="00AD2CF0"/>
    <w:rsid w:val="00AD3CED"/>
    <w:rsid w:val="00AD78DF"/>
    <w:rsid w:val="00AD7998"/>
    <w:rsid w:val="00AE1C4C"/>
    <w:rsid w:val="00AE3717"/>
    <w:rsid w:val="00AE4063"/>
    <w:rsid w:val="00AE4966"/>
    <w:rsid w:val="00AE562C"/>
    <w:rsid w:val="00AF545F"/>
    <w:rsid w:val="00AF6DED"/>
    <w:rsid w:val="00AF7066"/>
    <w:rsid w:val="00B02CB0"/>
    <w:rsid w:val="00B02E43"/>
    <w:rsid w:val="00B0347F"/>
    <w:rsid w:val="00B036EA"/>
    <w:rsid w:val="00B05A8E"/>
    <w:rsid w:val="00B05FE7"/>
    <w:rsid w:val="00B06105"/>
    <w:rsid w:val="00B10846"/>
    <w:rsid w:val="00B11F98"/>
    <w:rsid w:val="00B12071"/>
    <w:rsid w:val="00B1269C"/>
    <w:rsid w:val="00B14131"/>
    <w:rsid w:val="00B17254"/>
    <w:rsid w:val="00B22C5C"/>
    <w:rsid w:val="00B2505F"/>
    <w:rsid w:val="00B334E2"/>
    <w:rsid w:val="00B340CD"/>
    <w:rsid w:val="00B359A2"/>
    <w:rsid w:val="00B35E50"/>
    <w:rsid w:val="00B36A42"/>
    <w:rsid w:val="00B3755C"/>
    <w:rsid w:val="00B40BD5"/>
    <w:rsid w:val="00B43586"/>
    <w:rsid w:val="00B43615"/>
    <w:rsid w:val="00B50F8F"/>
    <w:rsid w:val="00B51AC7"/>
    <w:rsid w:val="00B5240E"/>
    <w:rsid w:val="00B52519"/>
    <w:rsid w:val="00B5391B"/>
    <w:rsid w:val="00B5644B"/>
    <w:rsid w:val="00B576D5"/>
    <w:rsid w:val="00B62AD1"/>
    <w:rsid w:val="00B638DA"/>
    <w:rsid w:val="00B65D7E"/>
    <w:rsid w:val="00B66D60"/>
    <w:rsid w:val="00B73378"/>
    <w:rsid w:val="00B74E15"/>
    <w:rsid w:val="00B77A70"/>
    <w:rsid w:val="00B808BF"/>
    <w:rsid w:val="00B8118F"/>
    <w:rsid w:val="00B813BD"/>
    <w:rsid w:val="00B86718"/>
    <w:rsid w:val="00B943EB"/>
    <w:rsid w:val="00BA081D"/>
    <w:rsid w:val="00BA29D2"/>
    <w:rsid w:val="00BA2CC8"/>
    <w:rsid w:val="00BA3EF8"/>
    <w:rsid w:val="00BA5EBF"/>
    <w:rsid w:val="00BA7AA5"/>
    <w:rsid w:val="00BB021A"/>
    <w:rsid w:val="00BB0FE4"/>
    <w:rsid w:val="00BB1C2F"/>
    <w:rsid w:val="00BB27C9"/>
    <w:rsid w:val="00BC296D"/>
    <w:rsid w:val="00BC5D1E"/>
    <w:rsid w:val="00BD00E7"/>
    <w:rsid w:val="00BD1491"/>
    <w:rsid w:val="00BD2B0A"/>
    <w:rsid w:val="00BD2BDD"/>
    <w:rsid w:val="00BD4973"/>
    <w:rsid w:val="00BD4FC7"/>
    <w:rsid w:val="00BD526E"/>
    <w:rsid w:val="00BD7BD6"/>
    <w:rsid w:val="00BD7FB3"/>
    <w:rsid w:val="00BE25AC"/>
    <w:rsid w:val="00BE2A71"/>
    <w:rsid w:val="00BE2F2A"/>
    <w:rsid w:val="00BE4D65"/>
    <w:rsid w:val="00BE7537"/>
    <w:rsid w:val="00BE7EA8"/>
    <w:rsid w:val="00BF0289"/>
    <w:rsid w:val="00BF1F3F"/>
    <w:rsid w:val="00BF24C5"/>
    <w:rsid w:val="00BF5D22"/>
    <w:rsid w:val="00BF5DF3"/>
    <w:rsid w:val="00BF687C"/>
    <w:rsid w:val="00BF6BF7"/>
    <w:rsid w:val="00C00EC1"/>
    <w:rsid w:val="00C02D37"/>
    <w:rsid w:val="00C0376E"/>
    <w:rsid w:val="00C03FEF"/>
    <w:rsid w:val="00C06621"/>
    <w:rsid w:val="00C100ED"/>
    <w:rsid w:val="00C11D25"/>
    <w:rsid w:val="00C11FD3"/>
    <w:rsid w:val="00C14C18"/>
    <w:rsid w:val="00C15AA7"/>
    <w:rsid w:val="00C172AE"/>
    <w:rsid w:val="00C21D02"/>
    <w:rsid w:val="00C21E26"/>
    <w:rsid w:val="00C2539B"/>
    <w:rsid w:val="00C27EF1"/>
    <w:rsid w:val="00C31256"/>
    <w:rsid w:val="00C31717"/>
    <w:rsid w:val="00C3211C"/>
    <w:rsid w:val="00C40F71"/>
    <w:rsid w:val="00C413F3"/>
    <w:rsid w:val="00C515D0"/>
    <w:rsid w:val="00C52A27"/>
    <w:rsid w:val="00C52C13"/>
    <w:rsid w:val="00C5340E"/>
    <w:rsid w:val="00C5347F"/>
    <w:rsid w:val="00C5508C"/>
    <w:rsid w:val="00C55624"/>
    <w:rsid w:val="00C571FF"/>
    <w:rsid w:val="00C5784F"/>
    <w:rsid w:val="00C6021A"/>
    <w:rsid w:val="00C64E15"/>
    <w:rsid w:val="00C70564"/>
    <w:rsid w:val="00C7322C"/>
    <w:rsid w:val="00C738FD"/>
    <w:rsid w:val="00C74047"/>
    <w:rsid w:val="00C77574"/>
    <w:rsid w:val="00C801E6"/>
    <w:rsid w:val="00C82B69"/>
    <w:rsid w:val="00C834EC"/>
    <w:rsid w:val="00C838B4"/>
    <w:rsid w:val="00C84D75"/>
    <w:rsid w:val="00C86333"/>
    <w:rsid w:val="00C9081B"/>
    <w:rsid w:val="00C9402F"/>
    <w:rsid w:val="00C94412"/>
    <w:rsid w:val="00C97CBD"/>
    <w:rsid w:val="00CA5046"/>
    <w:rsid w:val="00CA6BBB"/>
    <w:rsid w:val="00CB109C"/>
    <w:rsid w:val="00CB14C0"/>
    <w:rsid w:val="00CB1537"/>
    <w:rsid w:val="00CB5355"/>
    <w:rsid w:val="00CC053B"/>
    <w:rsid w:val="00CC1BB9"/>
    <w:rsid w:val="00CC5747"/>
    <w:rsid w:val="00CC7494"/>
    <w:rsid w:val="00CD7325"/>
    <w:rsid w:val="00CD7376"/>
    <w:rsid w:val="00CE0C8A"/>
    <w:rsid w:val="00CE1788"/>
    <w:rsid w:val="00CE2C8A"/>
    <w:rsid w:val="00CE3F7A"/>
    <w:rsid w:val="00CE61C1"/>
    <w:rsid w:val="00CE7346"/>
    <w:rsid w:val="00CE7A3D"/>
    <w:rsid w:val="00CF2111"/>
    <w:rsid w:val="00CF49ED"/>
    <w:rsid w:val="00CF6CA2"/>
    <w:rsid w:val="00D016ED"/>
    <w:rsid w:val="00D01913"/>
    <w:rsid w:val="00D03FE3"/>
    <w:rsid w:val="00D042CD"/>
    <w:rsid w:val="00D05490"/>
    <w:rsid w:val="00D066AD"/>
    <w:rsid w:val="00D1014B"/>
    <w:rsid w:val="00D10E88"/>
    <w:rsid w:val="00D11D73"/>
    <w:rsid w:val="00D11E2D"/>
    <w:rsid w:val="00D12EE8"/>
    <w:rsid w:val="00D157E4"/>
    <w:rsid w:val="00D21E47"/>
    <w:rsid w:val="00D22CD8"/>
    <w:rsid w:val="00D248DC"/>
    <w:rsid w:val="00D31027"/>
    <w:rsid w:val="00D3133C"/>
    <w:rsid w:val="00D401AA"/>
    <w:rsid w:val="00D4084B"/>
    <w:rsid w:val="00D40BDF"/>
    <w:rsid w:val="00D42397"/>
    <w:rsid w:val="00D423BD"/>
    <w:rsid w:val="00D4403E"/>
    <w:rsid w:val="00D55C16"/>
    <w:rsid w:val="00D56587"/>
    <w:rsid w:val="00D57B66"/>
    <w:rsid w:val="00D630A6"/>
    <w:rsid w:val="00D63179"/>
    <w:rsid w:val="00D637B4"/>
    <w:rsid w:val="00D63B4D"/>
    <w:rsid w:val="00D660D6"/>
    <w:rsid w:val="00D66E17"/>
    <w:rsid w:val="00D705C7"/>
    <w:rsid w:val="00D70A68"/>
    <w:rsid w:val="00D72854"/>
    <w:rsid w:val="00D744D4"/>
    <w:rsid w:val="00D7569B"/>
    <w:rsid w:val="00D757AA"/>
    <w:rsid w:val="00D771E2"/>
    <w:rsid w:val="00D7781A"/>
    <w:rsid w:val="00D77E56"/>
    <w:rsid w:val="00D82062"/>
    <w:rsid w:val="00D844B1"/>
    <w:rsid w:val="00D85781"/>
    <w:rsid w:val="00D91F52"/>
    <w:rsid w:val="00D9600F"/>
    <w:rsid w:val="00DA075E"/>
    <w:rsid w:val="00DA547A"/>
    <w:rsid w:val="00DA68FA"/>
    <w:rsid w:val="00DA6982"/>
    <w:rsid w:val="00DB0954"/>
    <w:rsid w:val="00DB5028"/>
    <w:rsid w:val="00DB5A47"/>
    <w:rsid w:val="00DB6E40"/>
    <w:rsid w:val="00DB7356"/>
    <w:rsid w:val="00DC2998"/>
    <w:rsid w:val="00DC2B52"/>
    <w:rsid w:val="00DC30D2"/>
    <w:rsid w:val="00DC365C"/>
    <w:rsid w:val="00DC384C"/>
    <w:rsid w:val="00DC39D6"/>
    <w:rsid w:val="00DC72E3"/>
    <w:rsid w:val="00DD070D"/>
    <w:rsid w:val="00DD5A82"/>
    <w:rsid w:val="00DD696D"/>
    <w:rsid w:val="00DD7CC7"/>
    <w:rsid w:val="00DD7E05"/>
    <w:rsid w:val="00DE4950"/>
    <w:rsid w:val="00DE4DE5"/>
    <w:rsid w:val="00DE77EA"/>
    <w:rsid w:val="00DF1397"/>
    <w:rsid w:val="00DF1BD1"/>
    <w:rsid w:val="00DF2143"/>
    <w:rsid w:val="00DF27B4"/>
    <w:rsid w:val="00DF3B4E"/>
    <w:rsid w:val="00DF41C3"/>
    <w:rsid w:val="00E02505"/>
    <w:rsid w:val="00E0458E"/>
    <w:rsid w:val="00E05F82"/>
    <w:rsid w:val="00E071CC"/>
    <w:rsid w:val="00E106FB"/>
    <w:rsid w:val="00E11047"/>
    <w:rsid w:val="00E114A0"/>
    <w:rsid w:val="00E23784"/>
    <w:rsid w:val="00E24D0B"/>
    <w:rsid w:val="00E24F90"/>
    <w:rsid w:val="00E2696B"/>
    <w:rsid w:val="00E26B06"/>
    <w:rsid w:val="00E30545"/>
    <w:rsid w:val="00E31F56"/>
    <w:rsid w:val="00E328C0"/>
    <w:rsid w:val="00E349E1"/>
    <w:rsid w:val="00E3691D"/>
    <w:rsid w:val="00E36A34"/>
    <w:rsid w:val="00E4174F"/>
    <w:rsid w:val="00E41AC6"/>
    <w:rsid w:val="00E425D5"/>
    <w:rsid w:val="00E428AA"/>
    <w:rsid w:val="00E42937"/>
    <w:rsid w:val="00E463EB"/>
    <w:rsid w:val="00E47815"/>
    <w:rsid w:val="00E510BE"/>
    <w:rsid w:val="00E547A2"/>
    <w:rsid w:val="00E56A40"/>
    <w:rsid w:val="00E56AB6"/>
    <w:rsid w:val="00E61760"/>
    <w:rsid w:val="00E6649B"/>
    <w:rsid w:val="00E70D48"/>
    <w:rsid w:val="00E71D0E"/>
    <w:rsid w:val="00E73206"/>
    <w:rsid w:val="00E81F48"/>
    <w:rsid w:val="00E83E81"/>
    <w:rsid w:val="00E85EFA"/>
    <w:rsid w:val="00E91D9A"/>
    <w:rsid w:val="00E96F9F"/>
    <w:rsid w:val="00EA246E"/>
    <w:rsid w:val="00EA4E71"/>
    <w:rsid w:val="00EB02BF"/>
    <w:rsid w:val="00EB1C6B"/>
    <w:rsid w:val="00EB1F9D"/>
    <w:rsid w:val="00EB43D5"/>
    <w:rsid w:val="00EB56A5"/>
    <w:rsid w:val="00EB7E1A"/>
    <w:rsid w:val="00EC0ED8"/>
    <w:rsid w:val="00EC2CC0"/>
    <w:rsid w:val="00EC36BC"/>
    <w:rsid w:val="00EC69C1"/>
    <w:rsid w:val="00ED0680"/>
    <w:rsid w:val="00ED737B"/>
    <w:rsid w:val="00EE0190"/>
    <w:rsid w:val="00EE18CF"/>
    <w:rsid w:val="00EE3DDE"/>
    <w:rsid w:val="00EF381B"/>
    <w:rsid w:val="00EF4051"/>
    <w:rsid w:val="00EF4FCD"/>
    <w:rsid w:val="00EF5073"/>
    <w:rsid w:val="00EF5972"/>
    <w:rsid w:val="00EF7031"/>
    <w:rsid w:val="00EF7089"/>
    <w:rsid w:val="00F02081"/>
    <w:rsid w:val="00F03DA8"/>
    <w:rsid w:val="00F050EA"/>
    <w:rsid w:val="00F05BF6"/>
    <w:rsid w:val="00F06498"/>
    <w:rsid w:val="00F113DB"/>
    <w:rsid w:val="00F11EE5"/>
    <w:rsid w:val="00F173A7"/>
    <w:rsid w:val="00F17FA9"/>
    <w:rsid w:val="00F205F8"/>
    <w:rsid w:val="00F20C51"/>
    <w:rsid w:val="00F20D8F"/>
    <w:rsid w:val="00F22410"/>
    <w:rsid w:val="00F2243F"/>
    <w:rsid w:val="00F22CD3"/>
    <w:rsid w:val="00F26D34"/>
    <w:rsid w:val="00F26FE4"/>
    <w:rsid w:val="00F30082"/>
    <w:rsid w:val="00F3532B"/>
    <w:rsid w:val="00F355B5"/>
    <w:rsid w:val="00F4055D"/>
    <w:rsid w:val="00F4084A"/>
    <w:rsid w:val="00F4169C"/>
    <w:rsid w:val="00F425AD"/>
    <w:rsid w:val="00F4758E"/>
    <w:rsid w:val="00F479CF"/>
    <w:rsid w:val="00F516CE"/>
    <w:rsid w:val="00F5496E"/>
    <w:rsid w:val="00F55CD7"/>
    <w:rsid w:val="00F57CC8"/>
    <w:rsid w:val="00F63753"/>
    <w:rsid w:val="00F66342"/>
    <w:rsid w:val="00F6699F"/>
    <w:rsid w:val="00F711E1"/>
    <w:rsid w:val="00F73061"/>
    <w:rsid w:val="00F74665"/>
    <w:rsid w:val="00F7774C"/>
    <w:rsid w:val="00F80470"/>
    <w:rsid w:val="00F80FFE"/>
    <w:rsid w:val="00F872F6"/>
    <w:rsid w:val="00F879ED"/>
    <w:rsid w:val="00F94214"/>
    <w:rsid w:val="00F95D71"/>
    <w:rsid w:val="00F9680A"/>
    <w:rsid w:val="00F97C5C"/>
    <w:rsid w:val="00FA11D9"/>
    <w:rsid w:val="00FA1A85"/>
    <w:rsid w:val="00FA6708"/>
    <w:rsid w:val="00FA6723"/>
    <w:rsid w:val="00FA6803"/>
    <w:rsid w:val="00FB2AEB"/>
    <w:rsid w:val="00FB3AC6"/>
    <w:rsid w:val="00FB6814"/>
    <w:rsid w:val="00FC286A"/>
    <w:rsid w:val="00FC295C"/>
    <w:rsid w:val="00FC3B7B"/>
    <w:rsid w:val="00FC4CC4"/>
    <w:rsid w:val="00FC5885"/>
    <w:rsid w:val="00FC6AB8"/>
    <w:rsid w:val="00FD07A4"/>
    <w:rsid w:val="00FD3548"/>
    <w:rsid w:val="00FD51DB"/>
    <w:rsid w:val="00FD5FCB"/>
    <w:rsid w:val="00FE01F2"/>
    <w:rsid w:val="00FE20CD"/>
    <w:rsid w:val="00FE2D30"/>
    <w:rsid w:val="00FE2ED3"/>
    <w:rsid w:val="00FE556B"/>
    <w:rsid w:val="00FF7934"/>
    <w:rsid w:val="00FF7D42"/>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37520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54323"/>
    <w:pPr>
      <w:widowControl w:val="0"/>
      <w:suppressAutoHyphens/>
      <w:textAlignment w:val="baseline"/>
    </w:pPr>
    <w:rPr>
      <w:rFonts w:eastAsia="Arial Unicode MS" w:cs="Arial Unicode MS"/>
      <w:kern w:val="1"/>
      <w:sz w:val="24"/>
      <w:szCs w:val="24"/>
      <w:lang w:val="de-CH"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Arial Unicode MS" w:eastAsia="Arial Unicode MS" w:hAnsi="Arial Unicode MS"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Arial Unicode MS" w:eastAsia="Arial Unicode MS" w:hAnsi="Arial Unicode MS" w:cs="OpenSymbol"/>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BesuchterHyperlink">
    <w:name w:val="FollowedHyperlink"/>
    <w:rPr>
      <w:color w:val="800080"/>
      <w:u w:val="single"/>
    </w:rPr>
  </w:style>
  <w:style w:type="character" w:customStyle="1" w:styleId="Funotenzeichen2">
    <w:name w:val="Fußnotenzeichen2"/>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85791B"/>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autoRedefine/>
    <w:rsid w:val="00321F0A"/>
    <w:pPr>
      <w:spacing w:after="100"/>
      <w:jc w:val="both"/>
    </w:pPr>
    <w:rPr>
      <w:rFonts w:ascii="Times New Roman" w:eastAsia="Baskerville" w:hAnsi="Times New Roman" w:cs="Baskerville"/>
      <w:kern w:val="24"/>
      <w:lang w:val="en-GB"/>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376BF3"/>
    <w:pPr>
      <w:autoSpaceDE w:val="0"/>
      <w:spacing w:line="288" w:lineRule="auto"/>
      <w:ind w:left="454" w:hanging="450"/>
      <w:textAlignment w:val="center"/>
    </w:pPr>
    <w:rPr>
      <w:rFonts w:eastAsia="Baskerville" w:cs="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 w:eastAsia="Arial" w:hAnsi="Arial"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627882"/>
    <w:pPr>
      <w:tabs>
        <w:tab w:val="right" w:leader="dot" w:pos="9628"/>
      </w:tabs>
    </w:pPr>
    <w:rPr>
      <w:rFonts w:cs="Mangal"/>
      <w:b/>
      <w:noProof/>
      <w:sz w:val="28"/>
      <w:szCs w:val="28"/>
      <w:lang w:val="en-US"/>
    </w:rPr>
  </w:style>
  <w:style w:type="paragraph" w:styleId="Verzeichnis2">
    <w:name w:val="toc 2"/>
    <w:basedOn w:val="Standard"/>
    <w:next w:val="Standard"/>
    <w:autoRedefine/>
    <w:uiPriority w:val="39"/>
    <w:unhideWhenUsed/>
    <w:rsid w:val="007F0AF1"/>
    <w:pPr>
      <w:ind w:left="240"/>
    </w:pPr>
    <w:rPr>
      <w:rFonts w:cs="Mangal"/>
      <w:szCs w:val="21"/>
    </w:rPr>
  </w:style>
  <w:style w:type="paragraph" w:styleId="Verzeichnis3">
    <w:name w:val="toc 3"/>
    <w:basedOn w:val="Standard"/>
    <w:next w:val="Standard"/>
    <w:autoRedefine/>
    <w:uiPriority w:val="39"/>
    <w:unhideWhenUsed/>
    <w:rsid w:val="007F0AF1"/>
    <w:pPr>
      <w:ind w:left="480"/>
    </w:pPr>
    <w:rPr>
      <w:rFonts w:cs="Mangal"/>
      <w:szCs w:val="21"/>
    </w:rPr>
  </w:style>
  <w:style w:type="character" w:customStyle="1" w:styleId="A4">
    <w:name w:val="A4"/>
    <w:rsid w:val="00B340CD"/>
    <w:rPr>
      <w:rFonts w:ascii="Baskerville" w:eastAsia="Baskerville" w:hAnsi="Baskerville" w:cs="Baskerville"/>
      <w:b/>
      <w:bCs/>
      <w:color w:val="000000"/>
      <w:sz w:val="28"/>
      <w:szCs w:val="28"/>
    </w:rPr>
  </w:style>
  <w:style w:type="character" w:customStyle="1" w:styleId="UnresolvedMention">
    <w:name w:val="Unresolved Mention"/>
    <w:basedOn w:val="Absatz-Standardschriftart"/>
    <w:uiPriority w:val="99"/>
    <w:semiHidden/>
    <w:unhideWhenUsed/>
    <w:rsid w:val="00DF1397"/>
    <w:rPr>
      <w:color w:val="605E5C"/>
      <w:shd w:val="clear" w:color="auto" w:fill="E1DFDD"/>
    </w:rPr>
  </w:style>
  <w:style w:type="paragraph" w:styleId="StandardWeb">
    <w:name w:val="Normal (Web)"/>
    <w:basedOn w:val="Standard"/>
    <w:uiPriority w:val="99"/>
    <w:semiHidden/>
    <w:unhideWhenUsed/>
    <w:rsid w:val="00A54323"/>
    <w:pPr>
      <w:widowControl/>
      <w:suppressAutoHyphens w:val="0"/>
      <w:spacing w:before="100" w:beforeAutospacing="1" w:after="100" w:afterAutospacing="1"/>
      <w:textAlignment w:val="auto"/>
    </w:pPr>
    <w:rPr>
      <w:rFonts w:eastAsia="Times New Roman" w:cs="Times New Roman"/>
      <w:kern w:val="0"/>
      <w:lang w:bidi="ar-SA"/>
    </w:rPr>
  </w:style>
  <w:style w:type="paragraph" w:customStyle="1" w:styleId="zitateingercktschattenbericht">
    <w:name w:val="zitat eingerückt schattenbericht"/>
    <w:basedOn w:val="absatzschattenbericht"/>
    <w:qFormat/>
    <w:rsid w:val="00DC2998"/>
    <w:pPr>
      <w:ind w:left="567"/>
    </w:pPr>
    <w:rPr>
      <w:i/>
      <w:sz w:val="20"/>
    </w:rPr>
  </w:style>
  <w:style w:type="paragraph" w:customStyle="1" w:styleId="absatzschattenberichtZITAT">
    <w:name w:val="absatz schattenbericht ZITAT"/>
    <w:basedOn w:val="absatzschattenbericht"/>
    <w:qFormat/>
    <w:rsid w:val="00DC2998"/>
    <w:pPr>
      <w:ind w:left="567"/>
    </w:pPr>
    <w:rPr>
      <w:i/>
    </w:rPr>
  </w:style>
  <w:style w:type="character" w:customStyle="1" w:styleId="TextkrperZchn">
    <w:name w:val="Textkörper Zchn"/>
    <w:basedOn w:val="Absatz-Standardschriftart"/>
    <w:link w:val="Textkrper"/>
    <w:rsid w:val="00DC2998"/>
    <w:rPr>
      <w:rFonts w:eastAsia="Arial Unicode MS" w:cs="Arial Unicode MS"/>
      <w:kern w:val="1"/>
      <w:sz w:val="24"/>
      <w:szCs w:val="24"/>
      <w:lang w:val="de-CH" w:eastAsia="zh-CN" w:bidi="hi-IN"/>
    </w:rPr>
  </w:style>
  <w:style w:type="paragraph" w:customStyle="1" w:styleId="AbsatzConcludingObs">
    <w:name w:val="Absatz Concluding Obs"/>
    <w:basedOn w:val="absatzschattenbericht"/>
    <w:qFormat/>
    <w:rsid w:val="00E02505"/>
    <w:pPr>
      <w:tabs>
        <w:tab w:val="left" w:pos="567"/>
        <w:tab w:val="left" w:pos="1134"/>
      </w:tabs>
    </w:pPr>
    <w:rPr>
      <w:i/>
      <w:iCs/>
      <w:spacing w:val="2"/>
      <w:kern w:val="1"/>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54323"/>
    <w:pPr>
      <w:widowControl w:val="0"/>
      <w:suppressAutoHyphens/>
      <w:textAlignment w:val="baseline"/>
    </w:pPr>
    <w:rPr>
      <w:rFonts w:eastAsia="Arial Unicode MS" w:cs="Arial Unicode MS"/>
      <w:kern w:val="1"/>
      <w:sz w:val="24"/>
      <w:szCs w:val="24"/>
      <w:lang w:val="de-CH" w:eastAsia="zh-CN" w:bidi="hi-IN"/>
    </w:rPr>
  </w:style>
  <w:style w:type="paragraph" w:styleId="berschrift1">
    <w:name w:val="heading 1"/>
    <w:basedOn w:val="berschrift"/>
    <w:next w:val="Textkrper"/>
    <w:qFormat/>
    <w:pPr>
      <w:numPr>
        <w:numId w:val="2"/>
      </w:numPr>
      <w:outlineLvl w:val="0"/>
    </w:pPr>
    <w:rPr>
      <w:b/>
      <w:bCs/>
      <w:sz w:val="36"/>
      <w:szCs w:val="36"/>
    </w:rPr>
  </w:style>
  <w:style w:type="paragraph" w:styleId="berschrift2">
    <w:name w:val="heading 2"/>
    <w:basedOn w:val="berschrift"/>
    <w:next w:val="Textkrper"/>
    <w:qFormat/>
    <w:pPr>
      <w:numPr>
        <w:ilvl w:val="1"/>
        <w:numId w:val="2"/>
      </w:numPr>
      <w:spacing w:before="200"/>
      <w:outlineLvl w:val="1"/>
    </w:pPr>
    <w:rPr>
      <w:b/>
      <w:bCs/>
      <w:sz w:val="32"/>
      <w:szCs w:val="32"/>
    </w:rPr>
  </w:style>
  <w:style w:type="paragraph" w:styleId="berschrift3">
    <w:name w:val="heading 3"/>
    <w:basedOn w:val="berschrift"/>
    <w:next w:val="Textkrper"/>
    <w:qFormat/>
    <w:pPr>
      <w:numPr>
        <w:ilvl w:val="2"/>
        <w:numId w:val="2"/>
      </w:num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Arial Unicode MS" w:eastAsia="Arial Unicode MS" w:hAnsi="Arial Unicode MS"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Arial Unicode MS" w:eastAsia="Arial Unicode MS" w:hAnsi="Arial Unicode MS" w:cs="OpenSymbol"/>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BesuchterHyperlink">
    <w:name w:val="FollowedHyperlink"/>
    <w:rPr>
      <w:color w:val="800080"/>
      <w:u w:val="single"/>
    </w:rPr>
  </w:style>
  <w:style w:type="character" w:customStyle="1" w:styleId="Funotenzeichen2">
    <w:name w:val="Fußnotenzeichen2"/>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unotenzeichen">
    <w:name w:val="footnote reference"/>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rPr>
      <w:rFonts w:cs="Times New Roman"/>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85791B"/>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autoRedefine/>
    <w:rsid w:val="00321F0A"/>
    <w:pPr>
      <w:spacing w:after="100"/>
      <w:jc w:val="both"/>
    </w:pPr>
    <w:rPr>
      <w:rFonts w:ascii="Times New Roman" w:eastAsia="Baskerville" w:hAnsi="Times New Roman" w:cs="Baskerville"/>
      <w:kern w:val="24"/>
      <w:lang w:val="en-GB"/>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376BF3"/>
    <w:pPr>
      <w:autoSpaceDE w:val="0"/>
      <w:spacing w:line="288" w:lineRule="auto"/>
      <w:ind w:left="454" w:hanging="450"/>
      <w:textAlignment w:val="center"/>
    </w:pPr>
    <w:rPr>
      <w:rFonts w:eastAsia="Baskerville" w:cs="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 w:eastAsia="Arial" w:hAnsi="Arial"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627882"/>
    <w:pPr>
      <w:tabs>
        <w:tab w:val="right" w:leader="dot" w:pos="9628"/>
      </w:tabs>
    </w:pPr>
    <w:rPr>
      <w:rFonts w:cs="Mangal"/>
      <w:b/>
      <w:noProof/>
      <w:sz w:val="28"/>
      <w:szCs w:val="28"/>
      <w:lang w:val="en-US"/>
    </w:rPr>
  </w:style>
  <w:style w:type="paragraph" w:styleId="Verzeichnis2">
    <w:name w:val="toc 2"/>
    <w:basedOn w:val="Standard"/>
    <w:next w:val="Standard"/>
    <w:autoRedefine/>
    <w:uiPriority w:val="39"/>
    <w:unhideWhenUsed/>
    <w:rsid w:val="007F0AF1"/>
    <w:pPr>
      <w:ind w:left="240"/>
    </w:pPr>
    <w:rPr>
      <w:rFonts w:cs="Mangal"/>
      <w:szCs w:val="21"/>
    </w:rPr>
  </w:style>
  <w:style w:type="paragraph" w:styleId="Verzeichnis3">
    <w:name w:val="toc 3"/>
    <w:basedOn w:val="Standard"/>
    <w:next w:val="Standard"/>
    <w:autoRedefine/>
    <w:uiPriority w:val="39"/>
    <w:unhideWhenUsed/>
    <w:rsid w:val="007F0AF1"/>
    <w:pPr>
      <w:ind w:left="480"/>
    </w:pPr>
    <w:rPr>
      <w:rFonts w:cs="Mangal"/>
      <w:szCs w:val="21"/>
    </w:rPr>
  </w:style>
  <w:style w:type="character" w:customStyle="1" w:styleId="A4">
    <w:name w:val="A4"/>
    <w:rsid w:val="00B340CD"/>
    <w:rPr>
      <w:rFonts w:ascii="Baskerville" w:eastAsia="Baskerville" w:hAnsi="Baskerville" w:cs="Baskerville"/>
      <w:b/>
      <w:bCs/>
      <w:color w:val="000000"/>
      <w:sz w:val="28"/>
      <w:szCs w:val="28"/>
    </w:rPr>
  </w:style>
  <w:style w:type="character" w:customStyle="1" w:styleId="UnresolvedMention">
    <w:name w:val="Unresolved Mention"/>
    <w:basedOn w:val="Absatz-Standardschriftart"/>
    <w:uiPriority w:val="99"/>
    <w:semiHidden/>
    <w:unhideWhenUsed/>
    <w:rsid w:val="00DF1397"/>
    <w:rPr>
      <w:color w:val="605E5C"/>
      <w:shd w:val="clear" w:color="auto" w:fill="E1DFDD"/>
    </w:rPr>
  </w:style>
  <w:style w:type="paragraph" w:styleId="StandardWeb">
    <w:name w:val="Normal (Web)"/>
    <w:basedOn w:val="Standard"/>
    <w:uiPriority w:val="99"/>
    <w:semiHidden/>
    <w:unhideWhenUsed/>
    <w:rsid w:val="00A54323"/>
    <w:pPr>
      <w:widowControl/>
      <w:suppressAutoHyphens w:val="0"/>
      <w:spacing w:before="100" w:beforeAutospacing="1" w:after="100" w:afterAutospacing="1"/>
      <w:textAlignment w:val="auto"/>
    </w:pPr>
    <w:rPr>
      <w:rFonts w:eastAsia="Times New Roman" w:cs="Times New Roman"/>
      <w:kern w:val="0"/>
      <w:lang w:bidi="ar-SA"/>
    </w:rPr>
  </w:style>
  <w:style w:type="paragraph" w:customStyle="1" w:styleId="zitateingercktschattenbericht">
    <w:name w:val="zitat eingerückt schattenbericht"/>
    <w:basedOn w:val="absatzschattenbericht"/>
    <w:qFormat/>
    <w:rsid w:val="00DC2998"/>
    <w:pPr>
      <w:ind w:left="567"/>
    </w:pPr>
    <w:rPr>
      <w:i/>
      <w:sz w:val="20"/>
    </w:rPr>
  </w:style>
  <w:style w:type="paragraph" w:customStyle="1" w:styleId="absatzschattenberichtZITAT">
    <w:name w:val="absatz schattenbericht ZITAT"/>
    <w:basedOn w:val="absatzschattenbericht"/>
    <w:qFormat/>
    <w:rsid w:val="00DC2998"/>
    <w:pPr>
      <w:ind w:left="567"/>
    </w:pPr>
    <w:rPr>
      <w:i/>
    </w:rPr>
  </w:style>
  <w:style w:type="character" w:customStyle="1" w:styleId="TextkrperZchn">
    <w:name w:val="Textkörper Zchn"/>
    <w:basedOn w:val="Absatz-Standardschriftart"/>
    <w:link w:val="Textkrper"/>
    <w:rsid w:val="00DC2998"/>
    <w:rPr>
      <w:rFonts w:eastAsia="Arial Unicode MS" w:cs="Arial Unicode MS"/>
      <w:kern w:val="1"/>
      <w:sz w:val="24"/>
      <w:szCs w:val="24"/>
      <w:lang w:val="de-CH" w:eastAsia="zh-CN" w:bidi="hi-IN"/>
    </w:rPr>
  </w:style>
  <w:style w:type="paragraph" w:customStyle="1" w:styleId="AbsatzConcludingObs">
    <w:name w:val="Absatz Concluding Obs"/>
    <w:basedOn w:val="absatzschattenbericht"/>
    <w:qFormat/>
    <w:rsid w:val="00E02505"/>
    <w:pPr>
      <w:tabs>
        <w:tab w:val="left" w:pos="567"/>
        <w:tab w:val="left" w:pos="1134"/>
      </w:tabs>
    </w:pPr>
    <w:rPr>
      <w:i/>
      <w:iCs/>
      <w:spacing w:val="2"/>
      <w:kern w:val="1"/>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0482">
      <w:bodyDiv w:val="1"/>
      <w:marLeft w:val="0"/>
      <w:marRight w:val="0"/>
      <w:marTop w:val="0"/>
      <w:marBottom w:val="0"/>
      <w:divBdr>
        <w:top w:val="none" w:sz="0" w:space="0" w:color="auto"/>
        <w:left w:val="none" w:sz="0" w:space="0" w:color="auto"/>
        <w:bottom w:val="none" w:sz="0" w:space="0" w:color="auto"/>
        <w:right w:val="none" w:sz="0" w:space="0" w:color="auto"/>
      </w:divBdr>
    </w:div>
    <w:div w:id="163908083">
      <w:bodyDiv w:val="1"/>
      <w:marLeft w:val="0"/>
      <w:marRight w:val="0"/>
      <w:marTop w:val="0"/>
      <w:marBottom w:val="0"/>
      <w:divBdr>
        <w:top w:val="none" w:sz="0" w:space="0" w:color="auto"/>
        <w:left w:val="none" w:sz="0" w:space="0" w:color="auto"/>
        <w:bottom w:val="none" w:sz="0" w:space="0" w:color="auto"/>
        <w:right w:val="none" w:sz="0" w:space="0" w:color="auto"/>
      </w:divBdr>
    </w:div>
    <w:div w:id="220409632">
      <w:bodyDiv w:val="1"/>
      <w:marLeft w:val="0"/>
      <w:marRight w:val="0"/>
      <w:marTop w:val="0"/>
      <w:marBottom w:val="0"/>
      <w:divBdr>
        <w:top w:val="none" w:sz="0" w:space="0" w:color="auto"/>
        <w:left w:val="none" w:sz="0" w:space="0" w:color="auto"/>
        <w:bottom w:val="none" w:sz="0" w:space="0" w:color="auto"/>
        <w:right w:val="none" w:sz="0" w:space="0" w:color="auto"/>
      </w:divBdr>
    </w:div>
    <w:div w:id="300967735">
      <w:bodyDiv w:val="1"/>
      <w:marLeft w:val="0"/>
      <w:marRight w:val="0"/>
      <w:marTop w:val="0"/>
      <w:marBottom w:val="0"/>
      <w:divBdr>
        <w:top w:val="none" w:sz="0" w:space="0" w:color="auto"/>
        <w:left w:val="none" w:sz="0" w:space="0" w:color="auto"/>
        <w:bottom w:val="none" w:sz="0" w:space="0" w:color="auto"/>
        <w:right w:val="none" w:sz="0" w:space="0" w:color="auto"/>
      </w:divBdr>
      <w:divsChild>
        <w:div w:id="604725475">
          <w:marLeft w:val="0"/>
          <w:marRight w:val="0"/>
          <w:marTop w:val="0"/>
          <w:marBottom w:val="0"/>
          <w:divBdr>
            <w:top w:val="none" w:sz="0" w:space="0" w:color="auto"/>
            <w:left w:val="none" w:sz="0" w:space="0" w:color="auto"/>
            <w:bottom w:val="none" w:sz="0" w:space="0" w:color="auto"/>
            <w:right w:val="none" w:sz="0" w:space="0" w:color="auto"/>
          </w:divBdr>
          <w:divsChild>
            <w:div w:id="305596984">
              <w:marLeft w:val="0"/>
              <w:marRight w:val="0"/>
              <w:marTop w:val="0"/>
              <w:marBottom w:val="0"/>
              <w:divBdr>
                <w:top w:val="none" w:sz="0" w:space="0" w:color="auto"/>
                <w:left w:val="none" w:sz="0" w:space="0" w:color="auto"/>
                <w:bottom w:val="none" w:sz="0" w:space="0" w:color="auto"/>
                <w:right w:val="none" w:sz="0" w:space="0" w:color="auto"/>
              </w:divBdr>
              <w:divsChild>
                <w:div w:id="119414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265962">
      <w:bodyDiv w:val="1"/>
      <w:marLeft w:val="0"/>
      <w:marRight w:val="0"/>
      <w:marTop w:val="0"/>
      <w:marBottom w:val="0"/>
      <w:divBdr>
        <w:top w:val="none" w:sz="0" w:space="0" w:color="auto"/>
        <w:left w:val="none" w:sz="0" w:space="0" w:color="auto"/>
        <w:bottom w:val="none" w:sz="0" w:space="0" w:color="auto"/>
        <w:right w:val="none" w:sz="0" w:space="0" w:color="auto"/>
      </w:divBdr>
      <w:divsChild>
        <w:div w:id="1237785649">
          <w:marLeft w:val="0"/>
          <w:marRight w:val="0"/>
          <w:marTop w:val="0"/>
          <w:marBottom w:val="0"/>
          <w:divBdr>
            <w:top w:val="none" w:sz="0" w:space="0" w:color="auto"/>
            <w:left w:val="none" w:sz="0" w:space="0" w:color="auto"/>
            <w:bottom w:val="none" w:sz="0" w:space="0" w:color="auto"/>
            <w:right w:val="none" w:sz="0" w:space="0" w:color="auto"/>
          </w:divBdr>
          <w:divsChild>
            <w:div w:id="342559229">
              <w:marLeft w:val="0"/>
              <w:marRight w:val="0"/>
              <w:marTop w:val="0"/>
              <w:marBottom w:val="0"/>
              <w:divBdr>
                <w:top w:val="none" w:sz="0" w:space="0" w:color="auto"/>
                <w:left w:val="none" w:sz="0" w:space="0" w:color="auto"/>
                <w:bottom w:val="none" w:sz="0" w:space="0" w:color="auto"/>
                <w:right w:val="none" w:sz="0" w:space="0" w:color="auto"/>
              </w:divBdr>
              <w:divsChild>
                <w:div w:id="587270182">
                  <w:marLeft w:val="0"/>
                  <w:marRight w:val="0"/>
                  <w:marTop w:val="0"/>
                  <w:marBottom w:val="0"/>
                  <w:divBdr>
                    <w:top w:val="none" w:sz="0" w:space="0" w:color="auto"/>
                    <w:left w:val="none" w:sz="0" w:space="0" w:color="auto"/>
                    <w:bottom w:val="none" w:sz="0" w:space="0" w:color="auto"/>
                    <w:right w:val="none" w:sz="0" w:space="0" w:color="auto"/>
                  </w:divBdr>
                  <w:divsChild>
                    <w:div w:id="52698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535615">
      <w:bodyDiv w:val="1"/>
      <w:marLeft w:val="0"/>
      <w:marRight w:val="0"/>
      <w:marTop w:val="0"/>
      <w:marBottom w:val="0"/>
      <w:divBdr>
        <w:top w:val="none" w:sz="0" w:space="0" w:color="auto"/>
        <w:left w:val="none" w:sz="0" w:space="0" w:color="auto"/>
        <w:bottom w:val="none" w:sz="0" w:space="0" w:color="auto"/>
        <w:right w:val="none" w:sz="0" w:space="0" w:color="auto"/>
      </w:divBdr>
      <w:divsChild>
        <w:div w:id="1679573804">
          <w:marLeft w:val="0"/>
          <w:marRight w:val="0"/>
          <w:marTop w:val="0"/>
          <w:marBottom w:val="0"/>
          <w:divBdr>
            <w:top w:val="none" w:sz="0" w:space="0" w:color="auto"/>
            <w:left w:val="none" w:sz="0" w:space="0" w:color="auto"/>
            <w:bottom w:val="none" w:sz="0" w:space="0" w:color="auto"/>
            <w:right w:val="none" w:sz="0" w:space="0" w:color="auto"/>
          </w:divBdr>
          <w:divsChild>
            <w:div w:id="1608734912">
              <w:marLeft w:val="0"/>
              <w:marRight w:val="0"/>
              <w:marTop w:val="0"/>
              <w:marBottom w:val="0"/>
              <w:divBdr>
                <w:top w:val="none" w:sz="0" w:space="0" w:color="auto"/>
                <w:left w:val="none" w:sz="0" w:space="0" w:color="auto"/>
                <w:bottom w:val="none" w:sz="0" w:space="0" w:color="auto"/>
                <w:right w:val="none" w:sz="0" w:space="0" w:color="auto"/>
              </w:divBdr>
              <w:divsChild>
                <w:div w:id="874123941">
                  <w:marLeft w:val="0"/>
                  <w:marRight w:val="0"/>
                  <w:marTop w:val="0"/>
                  <w:marBottom w:val="0"/>
                  <w:divBdr>
                    <w:top w:val="none" w:sz="0" w:space="0" w:color="auto"/>
                    <w:left w:val="none" w:sz="0" w:space="0" w:color="auto"/>
                    <w:bottom w:val="none" w:sz="0" w:space="0" w:color="auto"/>
                    <w:right w:val="none" w:sz="0" w:space="0" w:color="auto"/>
                  </w:divBdr>
                  <w:divsChild>
                    <w:div w:id="3402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800567">
      <w:bodyDiv w:val="1"/>
      <w:marLeft w:val="0"/>
      <w:marRight w:val="0"/>
      <w:marTop w:val="0"/>
      <w:marBottom w:val="0"/>
      <w:divBdr>
        <w:top w:val="none" w:sz="0" w:space="0" w:color="auto"/>
        <w:left w:val="none" w:sz="0" w:space="0" w:color="auto"/>
        <w:bottom w:val="none" w:sz="0" w:space="0" w:color="auto"/>
        <w:right w:val="none" w:sz="0" w:space="0" w:color="auto"/>
      </w:divBdr>
    </w:div>
    <w:div w:id="482240969">
      <w:bodyDiv w:val="1"/>
      <w:marLeft w:val="0"/>
      <w:marRight w:val="0"/>
      <w:marTop w:val="0"/>
      <w:marBottom w:val="0"/>
      <w:divBdr>
        <w:top w:val="none" w:sz="0" w:space="0" w:color="auto"/>
        <w:left w:val="none" w:sz="0" w:space="0" w:color="auto"/>
        <w:bottom w:val="none" w:sz="0" w:space="0" w:color="auto"/>
        <w:right w:val="none" w:sz="0" w:space="0" w:color="auto"/>
      </w:divBdr>
      <w:divsChild>
        <w:div w:id="165676950">
          <w:marLeft w:val="0"/>
          <w:marRight w:val="0"/>
          <w:marTop w:val="0"/>
          <w:marBottom w:val="0"/>
          <w:divBdr>
            <w:top w:val="none" w:sz="0" w:space="0" w:color="auto"/>
            <w:left w:val="none" w:sz="0" w:space="0" w:color="auto"/>
            <w:bottom w:val="none" w:sz="0" w:space="0" w:color="auto"/>
            <w:right w:val="none" w:sz="0" w:space="0" w:color="auto"/>
          </w:divBdr>
          <w:divsChild>
            <w:div w:id="747847097">
              <w:marLeft w:val="0"/>
              <w:marRight w:val="0"/>
              <w:marTop w:val="0"/>
              <w:marBottom w:val="0"/>
              <w:divBdr>
                <w:top w:val="none" w:sz="0" w:space="0" w:color="auto"/>
                <w:left w:val="none" w:sz="0" w:space="0" w:color="auto"/>
                <w:bottom w:val="none" w:sz="0" w:space="0" w:color="auto"/>
                <w:right w:val="none" w:sz="0" w:space="0" w:color="auto"/>
              </w:divBdr>
              <w:divsChild>
                <w:div w:id="8081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620851">
      <w:bodyDiv w:val="1"/>
      <w:marLeft w:val="0"/>
      <w:marRight w:val="0"/>
      <w:marTop w:val="0"/>
      <w:marBottom w:val="0"/>
      <w:divBdr>
        <w:top w:val="none" w:sz="0" w:space="0" w:color="auto"/>
        <w:left w:val="none" w:sz="0" w:space="0" w:color="auto"/>
        <w:bottom w:val="none" w:sz="0" w:space="0" w:color="auto"/>
        <w:right w:val="none" w:sz="0" w:space="0" w:color="auto"/>
      </w:divBdr>
    </w:div>
    <w:div w:id="834028829">
      <w:bodyDiv w:val="1"/>
      <w:marLeft w:val="0"/>
      <w:marRight w:val="0"/>
      <w:marTop w:val="0"/>
      <w:marBottom w:val="0"/>
      <w:divBdr>
        <w:top w:val="none" w:sz="0" w:space="0" w:color="auto"/>
        <w:left w:val="none" w:sz="0" w:space="0" w:color="auto"/>
        <w:bottom w:val="none" w:sz="0" w:space="0" w:color="auto"/>
        <w:right w:val="none" w:sz="0" w:space="0" w:color="auto"/>
      </w:divBdr>
      <w:divsChild>
        <w:div w:id="1730574432">
          <w:marLeft w:val="0"/>
          <w:marRight w:val="0"/>
          <w:marTop w:val="0"/>
          <w:marBottom w:val="0"/>
          <w:divBdr>
            <w:top w:val="none" w:sz="0" w:space="0" w:color="auto"/>
            <w:left w:val="none" w:sz="0" w:space="0" w:color="auto"/>
            <w:bottom w:val="none" w:sz="0" w:space="0" w:color="auto"/>
            <w:right w:val="none" w:sz="0" w:space="0" w:color="auto"/>
          </w:divBdr>
          <w:divsChild>
            <w:div w:id="1643080781">
              <w:marLeft w:val="0"/>
              <w:marRight w:val="0"/>
              <w:marTop w:val="0"/>
              <w:marBottom w:val="0"/>
              <w:divBdr>
                <w:top w:val="none" w:sz="0" w:space="0" w:color="auto"/>
                <w:left w:val="none" w:sz="0" w:space="0" w:color="auto"/>
                <w:bottom w:val="none" w:sz="0" w:space="0" w:color="auto"/>
                <w:right w:val="none" w:sz="0" w:space="0" w:color="auto"/>
              </w:divBdr>
              <w:divsChild>
                <w:div w:id="86914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258425">
      <w:bodyDiv w:val="1"/>
      <w:marLeft w:val="0"/>
      <w:marRight w:val="0"/>
      <w:marTop w:val="0"/>
      <w:marBottom w:val="0"/>
      <w:divBdr>
        <w:top w:val="none" w:sz="0" w:space="0" w:color="auto"/>
        <w:left w:val="none" w:sz="0" w:space="0" w:color="auto"/>
        <w:bottom w:val="none" w:sz="0" w:space="0" w:color="auto"/>
        <w:right w:val="none" w:sz="0" w:space="0" w:color="auto"/>
      </w:divBdr>
    </w:div>
    <w:div w:id="864827008">
      <w:bodyDiv w:val="1"/>
      <w:marLeft w:val="0"/>
      <w:marRight w:val="0"/>
      <w:marTop w:val="0"/>
      <w:marBottom w:val="0"/>
      <w:divBdr>
        <w:top w:val="none" w:sz="0" w:space="0" w:color="auto"/>
        <w:left w:val="none" w:sz="0" w:space="0" w:color="auto"/>
        <w:bottom w:val="none" w:sz="0" w:space="0" w:color="auto"/>
        <w:right w:val="none" w:sz="0" w:space="0" w:color="auto"/>
      </w:divBdr>
      <w:divsChild>
        <w:div w:id="1332024960">
          <w:marLeft w:val="0"/>
          <w:marRight w:val="0"/>
          <w:marTop w:val="0"/>
          <w:marBottom w:val="0"/>
          <w:divBdr>
            <w:top w:val="none" w:sz="0" w:space="0" w:color="auto"/>
            <w:left w:val="none" w:sz="0" w:space="0" w:color="auto"/>
            <w:bottom w:val="none" w:sz="0" w:space="0" w:color="auto"/>
            <w:right w:val="none" w:sz="0" w:space="0" w:color="auto"/>
          </w:divBdr>
          <w:divsChild>
            <w:div w:id="1205218416">
              <w:marLeft w:val="0"/>
              <w:marRight w:val="0"/>
              <w:marTop w:val="0"/>
              <w:marBottom w:val="0"/>
              <w:divBdr>
                <w:top w:val="none" w:sz="0" w:space="0" w:color="auto"/>
                <w:left w:val="none" w:sz="0" w:space="0" w:color="auto"/>
                <w:bottom w:val="none" w:sz="0" w:space="0" w:color="auto"/>
                <w:right w:val="none" w:sz="0" w:space="0" w:color="auto"/>
              </w:divBdr>
              <w:divsChild>
                <w:div w:id="108226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530192">
      <w:bodyDiv w:val="1"/>
      <w:marLeft w:val="0"/>
      <w:marRight w:val="0"/>
      <w:marTop w:val="0"/>
      <w:marBottom w:val="0"/>
      <w:divBdr>
        <w:top w:val="none" w:sz="0" w:space="0" w:color="auto"/>
        <w:left w:val="none" w:sz="0" w:space="0" w:color="auto"/>
        <w:bottom w:val="none" w:sz="0" w:space="0" w:color="auto"/>
        <w:right w:val="none" w:sz="0" w:space="0" w:color="auto"/>
      </w:divBdr>
      <w:divsChild>
        <w:div w:id="1287661862">
          <w:marLeft w:val="0"/>
          <w:marRight w:val="0"/>
          <w:marTop w:val="0"/>
          <w:marBottom w:val="0"/>
          <w:divBdr>
            <w:top w:val="none" w:sz="0" w:space="0" w:color="auto"/>
            <w:left w:val="none" w:sz="0" w:space="0" w:color="auto"/>
            <w:bottom w:val="none" w:sz="0" w:space="0" w:color="auto"/>
            <w:right w:val="none" w:sz="0" w:space="0" w:color="auto"/>
          </w:divBdr>
          <w:divsChild>
            <w:div w:id="852038209">
              <w:marLeft w:val="0"/>
              <w:marRight w:val="0"/>
              <w:marTop w:val="0"/>
              <w:marBottom w:val="0"/>
              <w:divBdr>
                <w:top w:val="none" w:sz="0" w:space="0" w:color="auto"/>
                <w:left w:val="none" w:sz="0" w:space="0" w:color="auto"/>
                <w:bottom w:val="none" w:sz="0" w:space="0" w:color="auto"/>
                <w:right w:val="none" w:sz="0" w:space="0" w:color="auto"/>
              </w:divBdr>
              <w:divsChild>
                <w:div w:id="210078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864325">
      <w:bodyDiv w:val="1"/>
      <w:marLeft w:val="0"/>
      <w:marRight w:val="0"/>
      <w:marTop w:val="0"/>
      <w:marBottom w:val="0"/>
      <w:divBdr>
        <w:top w:val="none" w:sz="0" w:space="0" w:color="auto"/>
        <w:left w:val="none" w:sz="0" w:space="0" w:color="auto"/>
        <w:bottom w:val="none" w:sz="0" w:space="0" w:color="auto"/>
        <w:right w:val="none" w:sz="0" w:space="0" w:color="auto"/>
      </w:divBdr>
      <w:divsChild>
        <w:div w:id="803503898">
          <w:marLeft w:val="0"/>
          <w:marRight w:val="0"/>
          <w:marTop w:val="0"/>
          <w:marBottom w:val="0"/>
          <w:divBdr>
            <w:top w:val="none" w:sz="0" w:space="0" w:color="auto"/>
            <w:left w:val="none" w:sz="0" w:space="0" w:color="auto"/>
            <w:bottom w:val="none" w:sz="0" w:space="0" w:color="auto"/>
            <w:right w:val="none" w:sz="0" w:space="0" w:color="auto"/>
          </w:divBdr>
          <w:divsChild>
            <w:div w:id="2074809213">
              <w:marLeft w:val="0"/>
              <w:marRight w:val="0"/>
              <w:marTop w:val="0"/>
              <w:marBottom w:val="0"/>
              <w:divBdr>
                <w:top w:val="none" w:sz="0" w:space="0" w:color="auto"/>
                <w:left w:val="none" w:sz="0" w:space="0" w:color="auto"/>
                <w:bottom w:val="none" w:sz="0" w:space="0" w:color="auto"/>
                <w:right w:val="none" w:sz="0" w:space="0" w:color="auto"/>
              </w:divBdr>
              <w:divsChild>
                <w:div w:id="189997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355163">
      <w:bodyDiv w:val="1"/>
      <w:marLeft w:val="0"/>
      <w:marRight w:val="0"/>
      <w:marTop w:val="0"/>
      <w:marBottom w:val="0"/>
      <w:divBdr>
        <w:top w:val="none" w:sz="0" w:space="0" w:color="auto"/>
        <w:left w:val="none" w:sz="0" w:space="0" w:color="auto"/>
        <w:bottom w:val="none" w:sz="0" w:space="0" w:color="auto"/>
        <w:right w:val="none" w:sz="0" w:space="0" w:color="auto"/>
      </w:divBdr>
    </w:div>
    <w:div w:id="1058817062">
      <w:bodyDiv w:val="1"/>
      <w:marLeft w:val="0"/>
      <w:marRight w:val="0"/>
      <w:marTop w:val="0"/>
      <w:marBottom w:val="0"/>
      <w:divBdr>
        <w:top w:val="none" w:sz="0" w:space="0" w:color="auto"/>
        <w:left w:val="none" w:sz="0" w:space="0" w:color="auto"/>
        <w:bottom w:val="none" w:sz="0" w:space="0" w:color="auto"/>
        <w:right w:val="none" w:sz="0" w:space="0" w:color="auto"/>
      </w:divBdr>
    </w:div>
    <w:div w:id="1260063527">
      <w:bodyDiv w:val="1"/>
      <w:marLeft w:val="0"/>
      <w:marRight w:val="0"/>
      <w:marTop w:val="0"/>
      <w:marBottom w:val="0"/>
      <w:divBdr>
        <w:top w:val="none" w:sz="0" w:space="0" w:color="auto"/>
        <w:left w:val="none" w:sz="0" w:space="0" w:color="auto"/>
        <w:bottom w:val="none" w:sz="0" w:space="0" w:color="auto"/>
        <w:right w:val="none" w:sz="0" w:space="0" w:color="auto"/>
      </w:divBdr>
    </w:div>
    <w:div w:id="1286934108">
      <w:bodyDiv w:val="1"/>
      <w:marLeft w:val="0"/>
      <w:marRight w:val="0"/>
      <w:marTop w:val="0"/>
      <w:marBottom w:val="0"/>
      <w:divBdr>
        <w:top w:val="none" w:sz="0" w:space="0" w:color="auto"/>
        <w:left w:val="none" w:sz="0" w:space="0" w:color="auto"/>
        <w:bottom w:val="none" w:sz="0" w:space="0" w:color="auto"/>
        <w:right w:val="none" w:sz="0" w:space="0" w:color="auto"/>
      </w:divBdr>
      <w:divsChild>
        <w:div w:id="1113089140">
          <w:marLeft w:val="0"/>
          <w:marRight w:val="0"/>
          <w:marTop w:val="0"/>
          <w:marBottom w:val="0"/>
          <w:divBdr>
            <w:top w:val="none" w:sz="0" w:space="0" w:color="auto"/>
            <w:left w:val="none" w:sz="0" w:space="0" w:color="auto"/>
            <w:bottom w:val="none" w:sz="0" w:space="0" w:color="auto"/>
            <w:right w:val="none" w:sz="0" w:space="0" w:color="auto"/>
          </w:divBdr>
        </w:div>
        <w:div w:id="1245259791">
          <w:marLeft w:val="0"/>
          <w:marRight w:val="0"/>
          <w:marTop w:val="0"/>
          <w:marBottom w:val="0"/>
          <w:divBdr>
            <w:top w:val="none" w:sz="0" w:space="0" w:color="auto"/>
            <w:left w:val="none" w:sz="0" w:space="0" w:color="auto"/>
            <w:bottom w:val="none" w:sz="0" w:space="0" w:color="auto"/>
            <w:right w:val="none" w:sz="0" w:space="0" w:color="auto"/>
          </w:divBdr>
        </w:div>
        <w:div w:id="1626962080">
          <w:marLeft w:val="0"/>
          <w:marRight w:val="0"/>
          <w:marTop w:val="0"/>
          <w:marBottom w:val="0"/>
          <w:divBdr>
            <w:top w:val="none" w:sz="0" w:space="0" w:color="auto"/>
            <w:left w:val="none" w:sz="0" w:space="0" w:color="auto"/>
            <w:bottom w:val="none" w:sz="0" w:space="0" w:color="auto"/>
            <w:right w:val="none" w:sz="0" w:space="0" w:color="auto"/>
          </w:divBdr>
        </w:div>
      </w:divsChild>
    </w:div>
    <w:div w:id="1457329783">
      <w:bodyDiv w:val="1"/>
      <w:marLeft w:val="0"/>
      <w:marRight w:val="0"/>
      <w:marTop w:val="0"/>
      <w:marBottom w:val="0"/>
      <w:divBdr>
        <w:top w:val="none" w:sz="0" w:space="0" w:color="auto"/>
        <w:left w:val="none" w:sz="0" w:space="0" w:color="auto"/>
        <w:bottom w:val="none" w:sz="0" w:space="0" w:color="auto"/>
        <w:right w:val="none" w:sz="0" w:space="0" w:color="auto"/>
      </w:divBdr>
    </w:div>
    <w:div w:id="1635328481">
      <w:bodyDiv w:val="1"/>
      <w:marLeft w:val="0"/>
      <w:marRight w:val="0"/>
      <w:marTop w:val="0"/>
      <w:marBottom w:val="0"/>
      <w:divBdr>
        <w:top w:val="none" w:sz="0" w:space="0" w:color="auto"/>
        <w:left w:val="none" w:sz="0" w:space="0" w:color="auto"/>
        <w:bottom w:val="none" w:sz="0" w:space="0" w:color="auto"/>
        <w:right w:val="none" w:sz="0" w:space="0" w:color="auto"/>
      </w:divBdr>
      <w:divsChild>
        <w:div w:id="1082482851">
          <w:marLeft w:val="0"/>
          <w:marRight w:val="0"/>
          <w:marTop w:val="0"/>
          <w:marBottom w:val="0"/>
          <w:divBdr>
            <w:top w:val="none" w:sz="0" w:space="0" w:color="auto"/>
            <w:left w:val="none" w:sz="0" w:space="0" w:color="auto"/>
            <w:bottom w:val="none" w:sz="0" w:space="0" w:color="auto"/>
            <w:right w:val="none" w:sz="0" w:space="0" w:color="auto"/>
          </w:divBdr>
          <w:divsChild>
            <w:div w:id="707921952">
              <w:marLeft w:val="0"/>
              <w:marRight w:val="0"/>
              <w:marTop w:val="0"/>
              <w:marBottom w:val="0"/>
              <w:divBdr>
                <w:top w:val="none" w:sz="0" w:space="0" w:color="auto"/>
                <w:left w:val="none" w:sz="0" w:space="0" w:color="auto"/>
                <w:bottom w:val="none" w:sz="0" w:space="0" w:color="auto"/>
                <w:right w:val="none" w:sz="0" w:space="0" w:color="auto"/>
              </w:divBdr>
              <w:divsChild>
                <w:div w:id="204551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63538">
      <w:bodyDiv w:val="1"/>
      <w:marLeft w:val="0"/>
      <w:marRight w:val="0"/>
      <w:marTop w:val="0"/>
      <w:marBottom w:val="0"/>
      <w:divBdr>
        <w:top w:val="none" w:sz="0" w:space="0" w:color="auto"/>
        <w:left w:val="none" w:sz="0" w:space="0" w:color="auto"/>
        <w:bottom w:val="none" w:sz="0" w:space="0" w:color="auto"/>
        <w:right w:val="none" w:sz="0" w:space="0" w:color="auto"/>
      </w:divBdr>
    </w:div>
    <w:div w:id="1808742868">
      <w:bodyDiv w:val="1"/>
      <w:marLeft w:val="0"/>
      <w:marRight w:val="0"/>
      <w:marTop w:val="0"/>
      <w:marBottom w:val="0"/>
      <w:divBdr>
        <w:top w:val="none" w:sz="0" w:space="0" w:color="auto"/>
        <w:left w:val="none" w:sz="0" w:space="0" w:color="auto"/>
        <w:bottom w:val="none" w:sz="0" w:space="0" w:color="auto"/>
        <w:right w:val="none" w:sz="0" w:space="0" w:color="auto"/>
      </w:divBdr>
      <w:divsChild>
        <w:div w:id="927887250">
          <w:marLeft w:val="0"/>
          <w:marRight w:val="0"/>
          <w:marTop w:val="0"/>
          <w:marBottom w:val="0"/>
          <w:divBdr>
            <w:top w:val="none" w:sz="0" w:space="0" w:color="auto"/>
            <w:left w:val="none" w:sz="0" w:space="0" w:color="auto"/>
            <w:bottom w:val="none" w:sz="0" w:space="0" w:color="auto"/>
            <w:right w:val="none" w:sz="0" w:space="0" w:color="auto"/>
          </w:divBdr>
          <w:divsChild>
            <w:div w:id="1480805783">
              <w:marLeft w:val="0"/>
              <w:marRight w:val="0"/>
              <w:marTop w:val="0"/>
              <w:marBottom w:val="0"/>
              <w:divBdr>
                <w:top w:val="none" w:sz="0" w:space="0" w:color="auto"/>
                <w:left w:val="none" w:sz="0" w:space="0" w:color="auto"/>
                <w:bottom w:val="none" w:sz="0" w:space="0" w:color="auto"/>
                <w:right w:val="none" w:sz="0" w:space="0" w:color="auto"/>
              </w:divBdr>
              <w:divsChild>
                <w:div w:id="112049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2598">
      <w:bodyDiv w:val="1"/>
      <w:marLeft w:val="0"/>
      <w:marRight w:val="0"/>
      <w:marTop w:val="0"/>
      <w:marBottom w:val="0"/>
      <w:divBdr>
        <w:top w:val="none" w:sz="0" w:space="0" w:color="auto"/>
        <w:left w:val="none" w:sz="0" w:space="0" w:color="auto"/>
        <w:bottom w:val="none" w:sz="0" w:space="0" w:color="auto"/>
        <w:right w:val="none" w:sz="0" w:space="0" w:color="auto"/>
      </w:divBdr>
      <w:divsChild>
        <w:div w:id="962344557">
          <w:marLeft w:val="0"/>
          <w:marRight w:val="0"/>
          <w:marTop w:val="0"/>
          <w:marBottom w:val="0"/>
          <w:divBdr>
            <w:top w:val="none" w:sz="0" w:space="0" w:color="auto"/>
            <w:left w:val="none" w:sz="0" w:space="0" w:color="auto"/>
            <w:bottom w:val="none" w:sz="0" w:space="0" w:color="auto"/>
            <w:right w:val="none" w:sz="0" w:space="0" w:color="auto"/>
          </w:divBdr>
          <w:divsChild>
            <w:div w:id="308366509">
              <w:marLeft w:val="0"/>
              <w:marRight w:val="0"/>
              <w:marTop w:val="0"/>
              <w:marBottom w:val="0"/>
              <w:divBdr>
                <w:top w:val="none" w:sz="0" w:space="0" w:color="auto"/>
                <w:left w:val="none" w:sz="0" w:space="0" w:color="auto"/>
                <w:bottom w:val="none" w:sz="0" w:space="0" w:color="auto"/>
                <w:right w:val="none" w:sz="0" w:space="0" w:color="auto"/>
              </w:divBdr>
              <w:divsChild>
                <w:div w:id="412630878">
                  <w:marLeft w:val="0"/>
                  <w:marRight w:val="0"/>
                  <w:marTop w:val="0"/>
                  <w:marBottom w:val="0"/>
                  <w:divBdr>
                    <w:top w:val="none" w:sz="0" w:space="0" w:color="auto"/>
                    <w:left w:val="none" w:sz="0" w:space="0" w:color="auto"/>
                    <w:bottom w:val="none" w:sz="0" w:space="0" w:color="auto"/>
                    <w:right w:val="none" w:sz="0" w:space="0" w:color="auto"/>
                  </w:divBdr>
                  <w:divsChild>
                    <w:div w:id="132278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403013">
      <w:bodyDiv w:val="1"/>
      <w:marLeft w:val="0"/>
      <w:marRight w:val="0"/>
      <w:marTop w:val="0"/>
      <w:marBottom w:val="0"/>
      <w:divBdr>
        <w:top w:val="none" w:sz="0" w:space="0" w:color="auto"/>
        <w:left w:val="none" w:sz="0" w:space="0" w:color="auto"/>
        <w:bottom w:val="none" w:sz="0" w:space="0" w:color="auto"/>
        <w:right w:val="none" w:sz="0" w:space="0" w:color="auto"/>
      </w:divBdr>
      <w:divsChild>
        <w:div w:id="702175208">
          <w:marLeft w:val="0"/>
          <w:marRight w:val="0"/>
          <w:marTop w:val="0"/>
          <w:marBottom w:val="0"/>
          <w:divBdr>
            <w:top w:val="none" w:sz="0" w:space="0" w:color="auto"/>
            <w:left w:val="none" w:sz="0" w:space="0" w:color="auto"/>
            <w:bottom w:val="none" w:sz="0" w:space="0" w:color="auto"/>
            <w:right w:val="none" w:sz="0" w:space="0" w:color="auto"/>
          </w:divBdr>
          <w:divsChild>
            <w:div w:id="546528020">
              <w:marLeft w:val="0"/>
              <w:marRight w:val="0"/>
              <w:marTop w:val="0"/>
              <w:marBottom w:val="0"/>
              <w:divBdr>
                <w:top w:val="none" w:sz="0" w:space="0" w:color="auto"/>
                <w:left w:val="none" w:sz="0" w:space="0" w:color="auto"/>
                <w:bottom w:val="none" w:sz="0" w:space="0" w:color="auto"/>
                <w:right w:val="none" w:sz="0" w:space="0" w:color="auto"/>
              </w:divBdr>
              <w:divsChild>
                <w:div w:id="1545289443">
                  <w:marLeft w:val="0"/>
                  <w:marRight w:val="0"/>
                  <w:marTop w:val="0"/>
                  <w:marBottom w:val="0"/>
                  <w:divBdr>
                    <w:top w:val="none" w:sz="0" w:space="0" w:color="auto"/>
                    <w:left w:val="none" w:sz="0" w:space="0" w:color="auto"/>
                    <w:bottom w:val="none" w:sz="0" w:space="0" w:color="auto"/>
                    <w:right w:val="none" w:sz="0" w:space="0" w:color="auto"/>
                  </w:divBdr>
                  <w:divsChild>
                    <w:div w:id="167683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248619">
      <w:bodyDiv w:val="1"/>
      <w:marLeft w:val="0"/>
      <w:marRight w:val="0"/>
      <w:marTop w:val="0"/>
      <w:marBottom w:val="0"/>
      <w:divBdr>
        <w:top w:val="none" w:sz="0" w:space="0" w:color="auto"/>
        <w:left w:val="none" w:sz="0" w:space="0" w:color="auto"/>
        <w:bottom w:val="none" w:sz="0" w:space="0" w:color="auto"/>
        <w:right w:val="none" w:sz="0" w:space="0" w:color="auto"/>
      </w:divBdr>
      <w:divsChild>
        <w:div w:id="1412695654">
          <w:marLeft w:val="0"/>
          <w:marRight w:val="0"/>
          <w:marTop w:val="0"/>
          <w:marBottom w:val="0"/>
          <w:divBdr>
            <w:top w:val="none" w:sz="0" w:space="0" w:color="auto"/>
            <w:left w:val="none" w:sz="0" w:space="0" w:color="auto"/>
            <w:bottom w:val="none" w:sz="0" w:space="0" w:color="auto"/>
            <w:right w:val="none" w:sz="0" w:space="0" w:color="auto"/>
          </w:divBdr>
          <w:divsChild>
            <w:div w:id="1332560332">
              <w:marLeft w:val="0"/>
              <w:marRight w:val="0"/>
              <w:marTop w:val="0"/>
              <w:marBottom w:val="0"/>
              <w:divBdr>
                <w:top w:val="none" w:sz="0" w:space="0" w:color="auto"/>
                <w:left w:val="none" w:sz="0" w:space="0" w:color="auto"/>
                <w:bottom w:val="none" w:sz="0" w:space="0" w:color="auto"/>
                <w:right w:val="none" w:sz="0" w:space="0" w:color="auto"/>
              </w:divBdr>
              <w:divsChild>
                <w:div w:id="121507833">
                  <w:marLeft w:val="0"/>
                  <w:marRight w:val="0"/>
                  <w:marTop w:val="0"/>
                  <w:marBottom w:val="0"/>
                  <w:divBdr>
                    <w:top w:val="none" w:sz="0" w:space="0" w:color="auto"/>
                    <w:left w:val="none" w:sz="0" w:space="0" w:color="auto"/>
                    <w:bottom w:val="none" w:sz="0" w:space="0" w:color="auto"/>
                    <w:right w:val="none" w:sz="0" w:space="0" w:color="auto"/>
                  </w:divBdr>
                  <w:divsChild>
                    <w:div w:id="21423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120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wischengeschlecht.org/" TargetMode="External"/><Relationship Id="rId18" Type="http://schemas.openxmlformats.org/officeDocument/2006/relationships/header" Target="header1.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facebook.com/Brujulaintersex/"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sex.shadowreport.org/public/2019-CEDAW-Spain-LOIPR-Intersex-Brujula-StopIGM.doc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rujulaintersexual.or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intersex.shadowreport.org/public/2019-CEDAW-Spain-LOIPR-Intersex-Brujula-StopIGM.pdf" TargetMode="External"/><Relationship Id="rId23" Type="http://schemas.openxmlformats.org/officeDocument/2006/relationships/footer" Target="footer3.xml"/><Relationship Id="rId28" Type="http://schemas.openxmlformats.org/officeDocument/2006/relationships/customXml" Target="../customXml/item4.xml"/><Relationship Id="rId10" Type="http://schemas.openxmlformats.org/officeDocument/2006/relationships/image" Target="media/image2.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topIGM.org/" TargetMode="External"/><Relationship Id="rId22" Type="http://schemas.openxmlformats.org/officeDocument/2006/relationships/header" Target="header3.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www.congreso.es/public_oficiales/L12/CONG/BOCG/D/BOCG-12-D-445.PDF" TargetMode="External"/><Relationship Id="rId18" Type="http://schemas.openxmlformats.org/officeDocument/2006/relationships/hyperlink" Target="http://intersex.shadowreport.org/public/2017-CRC-Spain-NGO-Brujula-Zwischengeschlecht-Intersex-IGM.pdf" TargetMode="External"/><Relationship Id="rId26" Type="http://schemas.openxmlformats.org/officeDocument/2006/relationships/hyperlink" Target="http://www.madrid.org/cs/Satellite?blobcol=urldata&amp;blobheader=application%2Fpdf&amp;blobheadername1=Content-disposition&amp;blobheadername2=cadena&amp;blobheadervalue1=filename%3DGIFT+Cirug%C3%ADa+Pedi%C3%A1trica.pdf&amp;blobheadervalue2=language%3Des%26site%3DHospitalLaPaz&amp;blobkey=id&amp;blobtable=MungoBlobs&amp;blobwhere=1352905205919&amp;ssbinary=true" TargetMode="External"/><Relationship Id="rId39" Type="http://schemas.openxmlformats.org/officeDocument/2006/relationships/hyperlink" Target="http://stop.genitalmutilation.org/public/Open_Letter_I-DSD_Copenhagen_2017.pdf" TargetMode="External"/><Relationship Id="rId21" Type="http://schemas.openxmlformats.org/officeDocument/2006/relationships/hyperlink" Target="http://www.madrid.org/cs/Satellite?blobcol=urldata&amp;blobheader=application%2Fpdf&amp;blobheadername1=Content-disposition&amp;blobheadername2=cadena&amp;blobheadervalue1=filename%3DGIFT+Cirug%C3%ADa+Pedi%C3%A1trica.pdf&amp;blobheadervalue2=language%3Des%26site%3DHospitalLaPaz&amp;blobkey=id&amp;blobtable=MungoBlobs&amp;blobwhere=1352905205919&amp;ssbinary=true" TargetMode="External"/><Relationship Id="rId34" Type="http://schemas.openxmlformats.org/officeDocument/2006/relationships/hyperlink" Target="http://intersex.shadowreport.org/public/2014-CRC-Swiss-NGO-Zwischengeschlecht-Intersex-IGM_v2.pdf" TargetMode="External"/><Relationship Id="rId42" Type="http://schemas.openxmlformats.org/officeDocument/2006/relationships/hyperlink" Target="http://intersex.shadowreport.org/public/2018-CEDAW-Nepal-NGO-Intersex-IGM.pdf" TargetMode="External"/><Relationship Id="rId47" Type="http://schemas.openxmlformats.org/officeDocument/2006/relationships/hyperlink" Target="http://www.bbc.com/news/world-africa-39780214" TargetMode="External"/><Relationship Id="rId50" Type="http://schemas.openxmlformats.org/officeDocument/2006/relationships/hyperlink" Target="http://intersex.shadowreport.org/public/2015-CAT-Hong-Kong-China-NGO-BBKCI-Intersex.pdf" TargetMode="External"/><Relationship Id="rId55" Type="http://schemas.openxmlformats.org/officeDocument/2006/relationships/hyperlink" Target="http://web.archive.org/web/20160305152127/http://prenatal.tv/lecturas/world%20atlas%20of%20birth%20defects.pdf" TargetMode="External"/><Relationship Id="rId63" Type="http://schemas.openxmlformats.org/officeDocument/2006/relationships/hyperlink" Target="http://stop.genitalmutilation.org/post/ACHPR-African-Commissioner-warns-Stop-conflating-intersex-and-LGBT" TargetMode="External"/><Relationship Id="rId68" Type="http://schemas.openxmlformats.org/officeDocument/2006/relationships/hyperlink" Target="http://stop.genitalmutilation.org/post/Pinkwashing-of-Intersex-Genital-Mutilations-at-the-UN-CCPR120" TargetMode="External"/><Relationship Id="rId76" Type="http://schemas.openxmlformats.org/officeDocument/2006/relationships/hyperlink" Target="http://stop.genitalmutilation.org/post/Amnesty-Report-fails-Intersex-Children-and-IGM-Survivors" TargetMode="External"/><Relationship Id="rId7" Type="http://schemas.openxmlformats.org/officeDocument/2006/relationships/hyperlink" Target="https://cadenaser.com/emisora/2018/03/09/radio_club_tenerife/1520602935_155303.html" TargetMode="External"/><Relationship Id="rId71" Type="http://schemas.openxmlformats.org/officeDocument/2006/relationships/hyperlink" Target="http://stop.genitalmutilation.org/post/UK-Questioned-over-Intersex-Genital-Mutilations-by-UN-Committee-on-the-Rights-of-Persons-with-Disabilities-CRPD" TargetMode="External"/><Relationship Id="rId2" Type="http://schemas.openxmlformats.org/officeDocument/2006/relationships/hyperlink" Target="http://Zwischengeschlecht.org/" TargetMode="External"/><Relationship Id="rId16" Type="http://schemas.openxmlformats.org/officeDocument/2006/relationships/hyperlink" Target="https://www3.gobiernodecanarias.org/noticias/el-gobierno-elabora-en-tiempo-record-el-anteproyecto-de-ley-de-no-discriminacion-por-razon-de-identidad-de-genero/" TargetMode="External"/><Relationship Id="rId29" Type="http://schemas.openxmlformats.org/officeDocument/2006/relationships/hyperlink" Target="https://www.bcongresos.com/congresos/gestor/ckfinder/userfiles/files/VII%20Curso%20Cirugia%20Uretra.pdf" TargetMode="External"/><Relationship Id="rId11" Type="http://schemas.openxmlformats.org/officeDocument/2006/relationships/hyperlink" Target="http://www.elmundo.es/sociedad/2016/12/11/584b00db22601d53428b4646.html" TargetMode="External"/><Relationship Id="rId24" Type="http://schemas.openxmlformats.org/officeDocument/2006/relationships/hyperlink" Target="https://www.vallhebron.com/en/specialities/paediatric-urology" TargetMode="External"/><Relationship Id="rId32" Type="http://schemas.openxmlformats.org/officeDocument/2006/relationships/hyperlink" Target="https://www.secipe.org/coldata/upload/noticias/hipospadiasmalaga2016.pdf" TargetMode="External"/><Relationship Id="rId37" Type="http://schemas.openxmlformats.org/officeDocument/2006/relationships/hyperlink" Target="http://stop.genitalmutilation.org/public/Open_Letter_I-DSD_Copenhagen_2017.pdf" TargetMode="External"/><Relationship Id="rId40" Type="http://schemas.openxmlformats.org/officeDocument/2006/relationships/hyperlink" Target="http://StopIGM.org/public/S3_Zwischengeschlecht_UN-Expert-Meeting-2015_web.pdf" TargetMode="External"/><Relationship Id="rId45" Type="http://schemas.openxmlformats.org/officeDocument/2006/relationships/hyperlink" Target="http://stop.genitalmutilation.org/post/Africa-Intersex-Survey-Documents-Intersex-Genital-Mutilation-Infanticide-Abandonment-Expulsion-Uganda-Kenya-Rwanda" TargetMode="External"/><Relationship Id="rId53" Type="http://schemas.openxmlformats.org/officeDocument/2006/relationships/hyperlink" Target="https://76crimes.com/2015/12/23/intersex-in-kenya-held-captive-beaten-hacked-dead/" TargetMode="External"/><Relationship Id="rId58" Type="http://schemas.openxmlformats.org/officeDocument/2006/relationships/hyperlink" Target="http://stop.genitalmutilation.org/post/IAD-2016-Soon-20-UN-Reprimands-for-Intersex-Genital-Mutilations" TargetMode="External"/><Relationship Id="rId66" Type="http://schemas.openxmlformats.org/officeDocument/2006/relationships/hyperlink" Target="http://stop.genitalmutilation.org/post/UN-Press-Release-calls-IGM-survivors-transsexual-children-CRC-Denmark-UNCRC67" TargetMode="External"/><Relationship Id="rId74" Type="http://schemas.openxmlformats.org/officeDocument/2006/relationships/hyperlink" Target="http://stop.genitalmutilation.org/post/UK-Questioned-over-Intersex-Genital-Mutilations-by-UN-Committee-on-the-Rights-of-Persons-with-Disabilities-CRPD" TargetMode="External"/><Relationship Id="rId79" Type="http://schemas.openxmlformats.org/officeDocument/2006/relationships/hyperlink" Target="http://stop.genitalmutilation.org/post/Circular-7-step-back-for-intersex-human-rights-in-Chile" TargetMode="External"/><Relationship Id="rId5" Type="http://schemas.openxmlformats.org/officeDocument/2006/relationships/hyperlink" Target="http://intersex.shadowreport.org/" TargetMode="External"/><Relationship Id="rId61" Type="http://schemas.openxmlformats.org/officeDocument/2006/relationships/hyperlink" Target="http://stop.genitalmutilation.org/post/Ukraine-Instrumentalising-Intersex-and-IGM-for-LGBT-and-Gender-Politics" TargetMode="External"/><Relationship Id="rId10" Type="http://schemas.openxmlformats.org/officeDocument/2006/relationships/hyperlink" Target="http://www.20minutos.es/noticia/3055849/0/padres-espanoles-cuestionan-cirugia-genital-bebes-intersexuales/" TargetMode="External"/><Relationship Id="rId19" Type="http://schemas.openxmlformats.org/officeDocument/2006/relationships/hyperlink" Target="https://www.seep.es/images/site/home/GUIA_MANEJO_ADS_DSD_SEEP.PDF" TargetMode="External"/><Relationship Id="rId31" Type="http://schemas.openxmlformats.org/officeDocument/2006/relationships/hyperlink" Target="https://www.secipe.org/coldata/upload/noticias/ExptpHiposp%20UNIA.pdf" TargetMode="External"/><Relationship Id="rId44" Type="http://schemas.openxmlformats.org/officeDocument/2006/relationships/hyperlink" Target="https://mg.co.za/article/2018-01-24-00-intersex-babies-killed-at-birth-because-theyre-bad-omens" TargetMode="External"/><Relationship Id="rId52" Type="http://schemas.openxmlformats.org/officeDocument/2006/relationships/hyperlink" Target="http://stop.genitalmutilation.org/post/Denial-of-Needed-Health-Care-Intersex-in-Nepal-Pt-3" TargetMode="External"/><Relationship Id="rId60" Type="http://schemas.openxmlformats.org/officeDocument/2006/relationships/hyperlink" Target="http://stop.genitalmutilation.org/post/CRC67-Intersex-children-used-as-cannon-fodder-LGBT-Denmark" TargetMode="External"/><Relationship Id="rId65" Type="http://schemas.openxmlformats.org/officeDocument/2006/relationships/hyperlink" Target="http://stop.genitalmutilation.org/post/UN-Press-Release-mentions-genital-mutilation-of-intersex-children" TargetMode="External"/><Relationship Id="rId73" Type="http://schemas.openxmlformats.org/officeDocument/2006/relationships/hyperlink" Target="http://intersex.shadowreport.org/public/2017-CRPD-UK-NGO-Coalition-Intersex-IGM.pdf" TargetMode="External"/><Relationship Id="rId78" Type="http://schemas.openxmlformats.org/officeDocument/2006/relationships/hyperlink" Target="http://stop.genitalmutilation.org/post/Major-Setback-for-Intersex-Human-Rights-at-the-UN" TargetMode="External"/><Relationship Id="rId4" Type="http://schemas.openxmlformats.org/officeDocument/2006/relationships/hyperlink" Target="http://zwischengeschlecht.org/post/Statuten" TargetMode="External"/><Relationship Id="rId9" Type="http://schemas.openxmlformats.org/officeDocument/2006/relationships/hyperlink" Target="http://intersex.shadowreport.org/public/2017-CRC-Spain-NGO-Brujula-Zwischengeschlecht-Intersex-IGM.pdf" TargetMode="External"/><Relationship Id="rId14" Type="http://schemas.openxmlformats.org/officeDocument/2006/relationships/hyperlink" Target="http://www.congreso.es/public_oficiales/L12/CONG/BOCG/D/BOCG-12-D-468.PDF" TargetMode="External"/><Relationship Id="rId22" Type="http://schemas.openxmlformats.org/officeDocument/2006/relationships/hyperlink" Target="http://www.aulavhebron.net/aula/documentos/URO.pdf" TargetMode="External"/><Relationship Id="rId27" Type="http://schemas.openxmlformats.org/officeDocument/2006/relationships/hyperlink" Target="http://uroweb.org/guideline/paediatric-urology/" TargetMode="External"/><Relationship Id="rId30" Type="http://schemas.openxmlformats.org/officeDocument/2006/relationships/hyperlink" Target="http://programme.bioscientifica.com/ece2018?q=Symposium+30&amp;view=search" TargetMode="External"/><Relationship Id="rId35" Type="http://schemas.openxmlformats.org/officeDocument/2006/relationships/hyperlink" Target="https://ec.europa.eu/health/sites/health/files/ern/docs/2017_brochure_en.pdf" TargetMode="External"/><Relationship Id="rId43" Type="http://schemas.openxmlformats.org/officeDocument/2006/relationships/hyperlink" Target="http://intersex.shadowreport.org/public/2016-CRC-ZA-NGO-Zwischengeschlecht-Intersex-IGM.pdf" TargetMode="External"/><Relationship Id="rId48" Type="http://schemas.openxmlformats.org/officeDocument/2006/relationships/hyperlink" Target="http://stop.genitalmutilation.org/post/CEDAW70-Mexico-Joint-Intersex-NGO-Statement-05-07-2018" TargetMode="External"/><Relationship Id="rId56" Type="http://schemas.openxmlformats.org/officeDocument/2006/relationships/hyperlink" Target="http://intersex.shadowreport.org/public/2016-CEDAW-France-NGO-Zwischengeschlecht-Intersex-IGM.pdf" TargetMode="External"/><Relationship Id="rId64" Type="http://schemas.openxmlformats.org/officeDocument/2006/relationships/hyperlink" Target="http://stop.genitalmutilation.org/post/UN-Press-Release-calls-IGM-survivors-transsexual-children-CATArgentina-UNCAT60" TargetMode="External"/><Relationship Id="rId69" Type="http://schemas.openxmlformats.org/officeDocument/2006/relationships/hyperlink" Target="http://stop.genitalmutilation.org/post/Geneva-UN-Committee-against-Torture-questions-Austria-over-Intersex-Genital-Mutilations" TargetMode="External"/><Relationship Id="rId77" Type="http://schemas.openxmlformats.org/officeDocument/2006/relationships/hyperlink" Target="http://stop.genitalmutilation.org/public/S3_Zwischengeschlecht_UN-Expert-Meeting-2015_web.pdf" TargetMode="External"/><Relationship Id="rId8" Type="http://schemas.openxmlformats.org/officeDocument/2006/relationships/hyperlink" Target="https://brujulaintersexual.files.wordpress.com/2017/10/intersex-manifesto-english.pdf" TargetMode="External"/><Relationship Id="rId51" Type="http://schemas.openxmlformats.org/officeDocument/2006/relationships/hyperlink" Target="http://stop.genitalmutilation.org/post/Africa-Intersex-Survey-Documents-Intersex-Genital-Mutilation-Infanticide-Abandonment-Expulsion-Uganda-Kenya-Rwanda" TargetMode="External"/><Relationship Id="rId72" Type="http://schemas.openxmlformats.org/officeDocument/2006/relationships/hyperlink" Target="http://stop.genitalmutilation.org/post/Geneva-Nepal-Questioned-over-Intersex-Genital-Mutilations-by-UN-Committee-on-the-Rights-of-the-Child" TargetMode="External"/><Relationship Id="rId3" Type="http://schemas.openxmlformats.org/officeDocument/2006/relationships/hyperlink" Target="http://stop.genitalmutilation.org/" TargetMode="External"/><Relationship Id="rId12" Type="http://schemas.openxmlformats.org/officeDocument/2006/relationships/hyperlink" Target="http://noticias.juridicas.com/base_datos/CCAA/573598-l-2-2016-de-29-mar-ca-madrid-identidad-y-expresion-de-genero-e-igualdad.html" TargetMode="External"/><Relationship Id="rId17" Type="http://schemas.openxmlformats.org/officeDocument/2006/relationships/hyperlink" Target="http://intersex.shadowreport.org/public/2016-CEDAW-France-NGO-Zwischengeschlecht-Intersex-IGM.pdf" TargetMode="External"/><Relationship Id="rId25" Type="http://schemas.openxmlformats.org/officeDocument/2006/relationships/hyperlink" Target="http://intersex.shadowreport.org/public/2016-CEDAW-France-NGO-Zwischengeschlecht-Intersex-IGM.pdf" TargetMode="External"/><Relationship Id="rId33" Type="http://schemas.openxmlformats.org/officeDocument/2006/relationships/hyperlink" Target="http://www.chospab.es/cursos_jornadas/2015/hipospadias/intro.htm" TargetMode="External"/><Relationship Id="rId38" Type="http://schemas.openxmlformats.org/officeDocument/2006/relationships/hyperlink" Target="http://stop.genitalmutilation.org/post/DSDnet-Intersex-Genital-Mutilators-European-Union" TargetMode="External"/><Relationship Id="rId46" Type="http://schemas.openxmlformats.org/officeDocument/2006/relationships/hyperlink" Target="http://intersex.shadowreport.org/public/Zwischengeschlecht_2015-CRC-Briefing_Intersex-IGM_web.pdf" TargetMode="External"/><Relationship Id="rId59" Type="http://schemas.openxmlformats.org/officeDocument/2006/relationships/hyperlink" Target="http://intersex.shadowreport.org/public/2014-CRC-Swiss-NGO-Zwischengeschlecht-Intersex-IGM_v2.pdf" TargetMode="External"/><Relationship Id="rId67" Type="http://schemas.openxmlformats.org/officeDocument/2006/relationships/hyperlink" Target="http://stop.genitalmutilation.org/post/NZ-to-be-Questioned-over-Intersex-Genital-Mutilations-by-UN-Committee-on-the-Rights-of-the-Child" TargetMode="External"/><Relationship Id="rId20" Type="http://schemas.openxmlformats.org/officeDocument/2006/relationships/hyperlink" Target="http://intersex.shadowreport.org/public/2017-CRC-Spain-NGO-Brujula-Zwischengeschlecht-Intersex-IGM.pdf" TargetMode="External"/><Relationship Id="rId41" Type="http://schemas.openxmlformats.org/officeDocument/2006/relationships/hyperlink" Target="http://intersex.shadowreport.org/public/2015-CAT-Austria-VIMOE-Zwischengeschlecht-Intersex-IGM.pdf" TargetMode="External"/><Relationship Id="rId54" Type="http://schemas.openxmlformats.org/officeDocument/2006/relationships/hyperlink" Target="http://intersex.shadowreport.org/public/2014-CRC-Swiss-NGO-Zwischengeschlecht-Intersex-IGM_v2.pdf" TargetMode="External"/><Relationship Id="rId62" Type="http://schemas.openxmlformats.org/officeDocument/2006/relationships/hyperlink" Target="http://intersex.shadowreport.org/public/2016-CEDAW-France-NGO-Zwischengeschlecht-Intersex-IGM.pdf" TargetMode="External"/><Relationship Id="rId70" Type="http://schemas.openxmlformats.org/officeDocument/2006/relationships/hyperlink" Target="http://stop.genitalmutilation.org/post/CAT60-Argentina-to-be-Questioned-on-Intersex-Genital-Mutilation-by-UN-Committee-against-Torture" TargetMode="External"/><Relationship Id="rId75" Type="http://schemas.openxmlformats.org/officeDocument/2006/relationships/hyperlink" Target="http://stop.genitalmutilation.org/post/Instrumentalizing-Intersex-Georg-Klauda-2002" TargetMode="External"/><Relationship Id="rId1" Type="http://schemas.openxmlformats.org/officeDocument/2006/relationships/hyperlink" Target="https://brujulaintersexual.org/" TargetMode="External"/><Relationship Id="rId6" Type="http://schemas.openxmlformats.org/officeDocument/2006/relationships/hyperlink" Target="http://canarias-semanal.org/art/23764/celebraran-en-tenerife-el-dia-internacional-por-la-visibilidad-intersexual" TargetMode="External"/><Relationship Id="rId15" Type="http://schemas.openxmlformats.org/officeDocument/2006/relationships/hyperlink" Target="https://www.europapress.es/epsocial/igualdad/noticia-congreso-pide-gobierno-prohibicion-expresa-mutilacion-genital-menores-intersexuales-20181121193656.html" TargetMode="External"/><Relationship Id="rId23" Type="http://schemas.openxmlformats.org/officeDocument/2006/relationships/hyperlink" Target="https://www.secipe.org/coldata/upload/noticias/DSDVHEBRONDEF.pdf" TargetMode="External"/><Relationship Id="rId28" Type="http://schemas.openxmlformats.org/officeDocument/2006/relationships/hyperlink" Target="https://www.vallhebron.com/en/specialities/paediatric-urology" TargetMode="External"/><Relationship Id="rId36" Type="http://schemas.openxmlformats.org/officeDocument/2006/relationships/hyperlink" Target="http://stop.genitalmutilation.org/post/eUROGEN-EU-funded-Intersex-Genital-Mutilators" TargetMode="External"/><Relationship Id="rId49" Type="http://schemas.openxmlformats.org/officeDocument/2006/relationships/hyperlink" Target="http://stop.genitalmutilation.org/post/Africa-Intersex-Survey-Documents-Intersex-Genital-Mutilation-Infanticide-Abandonment-Expulsion-Uganda-Kenya-Rwanda" TargetMode="External"/><Relationship Id="rId57" Type="http://schemas.openxmlformats.org/officeDocument/2006/relationships/hyperlink" Target="http://www.ohchr.org/EN/NewsEvents/Pages/DisplayNews.aspx?NewsID=20739&amp;LangID=E"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D619C-EB32-4D9F-8DA1-39AD3629B7F6}">
  <ds:schemaRefs>
    <ds:schemaRef ds:uri="http://schemas.openxmlformats.org/officeDocument/2006/bibliography"/>
  </ds:schemaRefs>
</ds:datastoreItem>
</file>

<file path=customXml/itemProps2.xml><?xml version="1.0" encoding="utf-8"?>
<ds:datastoreItem xmlns:ds="http://schemas.openxmlformats.org/officeDocument/2006/customXml" ds:itemID="{EAD6011A-09D1-4641-A419-259D7EB1BCAC}"/>
</file>

<file path=customXml/itemProps3.xml><?xml version="1.0" encoding="utf-8"?>
<ds:datastoreItem xmlns:ds="http://schemas.openxmlformats.org/officeDocument/2006/customXml" ds:itemID="{410EADB4-D2FD-46A4-A647-75FC0396F611}"/>
</file>

<file path=customXml/itemProps4.xml><?xml version="1.0" encoding="utf-8"?>
<ds:datastoreItem xmlns:ds="http://schemas.openxmlformats.org/officeDocument/2006/customXml" ds:itemID="{65A15D8A-FF8E-4CF4-8E3F-F10DA26EEAEE}"/>
</file>

<file path=docProps/app.xml><?xml version="1.0" encoding="utf-8"?>
<Properties xmlns="http://schemas.openxmlformats.org/officeDocument/2006/extended-properties" xmlns:vt="http://schemas.openxmlformats.org/officeDocument/2006/docPropsVTypes">
  <Template>Normal.dotm</Template>
  <TotalTime>0</TotalTime>
  <Pages>21</Pages>
  <Words>6393</Words>
  <Characters>38362</Characters>
  <Application>Microsoft Office Word</Application>
  <DocSecurity>0</DocSecurity>
  <Lines>628</Lines>
  <Paragraphs>264</Paragraphs>
  <ScaleCrop>false</ScaleCrop>
  <HeadingPairs>
    <vt:vector size="2" baseType="variant">
      <vt:variant>
        <vt:lpstr>Titel</vt:lpstr>
      </vt:variant>
      <vt:variant>
        <vt:i4>1</vt:i4>
      </vt:variant>
    </vt:vector>
  </HeadingPairs>
  <TitlesOfParts>
    <vt:vector size="1" baseType="lpstr">
      <vt:lpstr>Intersex Genital Mutilations - CEDAW Spain LOIPR NGO Report 2019</vt:lpstr>
    </vt:vector>
  </TitlesOfParts>
  <Company>Microsoft</Company>
  <LinksUpToDate>false</LinksUpToDate>
  <CharactersWithSpaces>44491</CharactersWithSpaces>
  <SharedDoc>false</SharedDoc>
  <HyperlinkBase/>
  <HLinks>
    <vt:vector size="372" baseType="variant">
      <vt:variant>
        <vt:i4>983124</vt:i4>
      </vt:variant>
      <vt:variant>
        <vt:i4>165</vt:i4>
      </vt:variant>
      <vt:variant>
        <vt:i4>0</vt:i4>
      </vt:variant>
      <vt:variant>
        <vt:i4>5</vt:i4>
      </vt:variant>
      <vt:variant>
        <vt:lpwstr>http://www.vlsp.de/files/pdf/kraemer2016.pdf</vt:lpwstr>
      </vt:variant>
      <vt:variant>
        <vt:lpwstr/>
      </vt:variant>
      <vt:variant>
        <vt:i4>5046384</vt:i4>
      </vt:variant>
      <vt:variant>
        <vt:i4>162</vt:i4>
      </vt:variant>
      <vt:variant>
        <vt:i4>0</vt:i4>
      </vt:variant>
      <vt:variant>
        <vt:i4>5</vt:i4>
      </vt:variant>
      <vt:variant>
        <vt:lpwstr>https://www.gender.hu-berlin.de/de/publikationen/gender-bulletins/texte-42/kloeppel-2016_zur-aktualitaet-kosmetischer-genitaloperationen</vt:lpwstr>
      </vt:variant>
      <vt:variant>
        <vt:lpwstr/>
      </vt:variant>
      <vt:variant>
        <vt:i4>1572926</vt:i4>
      </vt:variant>
      <vt:variant>
        <vt:i4>155</vt:i4>
      </vt:variant>
      <vt:variant>
        <vt:i4>0</vt:i4>
      </vt:variant>
      <vt:variant>
        <vt:i4>5</vt:i4>
      </vt:variant>
      <vt:variant>
        <vt:lpwstr/>
      </vt:variant>
      <vt:variant>
        <vt:lpwstr>_Toc472718971</vt:lpwstr>
      </vt:variant>
      <vt:variant>
        <vt:i4>1572926</vt:i4>
      </vt:variant>
      <vt:variant>
        <vt:i4>149</vt:i4>
      </vt:variant>
      <vt:variant>
        <vt:i4>0</vt:i4>
      </vt:variant>
      <vt:variant>
        <vt:i4>5</vt:i4>
      </vt:variant>
      <vt:variant>
        <vt:lpwstr/>
      </vt:variant>
      <vt:variant>
        <vt:lpwstr>_Toc472718970</vt:lpwstr>
      </vt:variant>
      <vt:variant>
        <vt:i4>1638462</vt:i4>
      </vt:variant>
      <vt:variant>
        <vt:i4>143</vt:i4>
      </vt:variant>
      <vt:variant>
        <vt:i4>0</vt:i4>
      </vt:variant>
      <vt:variant>
        <vt:i4>5</vt:i4>
      </vt:variant>
      <vt:variant>
        <vt:lpwstr/>
      </vt:variant>
      <vt:variant>
        <vt:lpwstr>_Toc472718969</vt:lpwstr>
      </vt:variant>
      <vt:variant>
        <vt:i4>1638462</vt:i4>
      </vt:variant>
      <vt:variant>
        <vt:i4>137</vt:i4>
      </vt:variant>
      <vt:variant>
        <vt:i4>0</vt:i4>
      </vt:variant>
      <vt:variant>
        <vt:i4>5</vt:i4>
      </vt:variant>
      <vt:variant>
        <vt:lpwstr/>
      </vt:variant>
      <vt:variant>
        <vt:lpwstr>_Toc472718968</vt:lpwstr>
      </vt:variant>
      <vt:variant>
        <vt:i4>1638462</vt:i4>
      </vt:variant>
      <vt:variant>
        <vt:i4>131</vt:i4>
      </vt:variant>
      <vt:variant>
        <vt:i4>0</vt:i4>
      </vt:variant>
      <vt:variant>
        <vt:i4>5</vt:i4>
      </vt:variant>
      <vt:variant>
        <vt:lpwstr/>
      </vt:variant>
      <vt:variant>
        <vt:lpwstr>_Toc472718967</vt:lpwstr>
      </vt:variant>
      <vt:variant>
        <vt:i4>1638462</vt:i4>
      </vt:variant>
      <vt:variant>
        <vt:i4>125</vt:i4>
      </vt:variant>
      <vt:variant>
        <vt:i4>0</vt:i4>
      </vt:variant>
      <vt:variant>
        <vt:i4>5</vt:i4>
      </vt:variant>
      <vt:variant>
        <vt:lpwstr/>
      </vt:variant>
      <vt:variant>
        <vt:lpwstr>_Toc472718966</vt:lpwstr>
      </vt:variant>
      <vt:variant>
        <vt:i4>1638462</vt:i4>
      </vt:variant>
      <vt:variant>
        <vt:i4>119</vt:i4>
      </vt:variant>
      <vt:variant>
        <vt:i4>0</vt:i4>
      </vt:variant>
      <vt:variant>
        <vt:i4>5</vt:i4>
      </vt:variant>
      <vt:variant>
        <vt:lpwstr/>
      </vt:variant>
      <vt:variant>
        <vt:lpwstr>_Toc472718965</vt:lpwstr>
      </vt:variant>
      <vt:variant>
        <vt:i4>1638462</vt:i4>
      </vt:variant>
      <vt:variant>
        <vt:i4>113</vt:i4>
      </vt:variant>
      <vt:variant>
        <vt:i4>0</vt:i4>
      </vt:variant>
      <vt:variant>
        <vt:i4>5</vt:i4>
      </vt:variant>
      <vt:variant>
        <vt:lpwstr/>
      </vt:variant>
      <vt:variant>
        <vt:lpwstr>_Toc472718964</vt:lpwstr>
      </vt:variant>
      <vt:variant>
        <vt:i4>1638462</vt:i4>
      </vt:variant>
      <vt:variant>
        <vt:i4>107</vt:i4>
      </vt:variant>
      <vt:variant>
        <vt:i4>0</vt:i4>
      </vt:variant>
      <vt:variant>
        <vt:i4>5</vt:i4>
      </vt:variant>
      <vt:variant>
        <vt:lpwstr/>
      </vt:variant>
      <vt:variant>
        <vt:lpwstr>_Toc472718963</vt:lpwstr>
      </vt:variant>
      <vt:variant>
        <vt:i4>1638462</vt:i4>
      </vt:variant>
      <vt:variant>
        <vt:i4>101</vt:i4>
      </vt:variant>
      <vt:variant>
        <vt:i4>0</vt:i4>
      </vt:variant>
      <vt:variant>
        <vt:i4>5</vt:i4>
      </vt:variant>
      <vt:variant>
        <vt:lpwstr/>
      </vt:variant>
      <vt:variant>
        <vt:lpwstr>_Toc472718962</vt:lpwstr>
      </vt:variant>
      <vt:variant>
        <vt:i4>1638462</vt:i4>
      </vt:variant>
      <vt:variant>
        <vt:i4>95</vt:i4>
      </vt:variant>
      <vt:variant>
        <vt:i4>0</vt:i4>
      </vt:variant>
      <vt:variant>
        <vt:i4>5</vt:i4>
      </vt:variant>
      <vt:variant>
        <vt:lpwstr/>
      </vt:variant>
      <vt:variant>
        <vt:lpwstr>_Toc472718961</vt:lpwstr>
      </vt:variant>
      <vt:variant>
        <vt:i4>1638462</vt:i4>
      </vt:variant>
      <vt:variant>
        <vt:i4>89</vt:i4>
      </vt:variant>
      <vt:variant>
        <vt:i4>0</vt:i4>
      </vt:variant>
      <vt:variant>
        <vt:i4>5</vt:i4>
      </vt:variant>
      <vt:variant>
        <vt:lpwstr/>
      </vt:variant>
      <vt:variant>
        <vt:lpwstr>_Toc472718960</vt:lpwstr>
      </vt:variant>
      <vt:variant>
        <vt:i4>1703998</vt:i4>
      </vt:variant>
      <vt:variant>
        <vt:i4>83</vt:i4>
      </vt:variant>
      <vt:variant>
        <vt:i4>0</vt:i4>
      </vt:variant>
      <vt:variant>
        <vt:i4>5</vt:i4>
      </vt:variant>
      <vt:variant>
        <vt:lpwstr/>
      </vt:variant>
      <vt:variant>
        <vt:lpwstr>_Toc472718959</vt:lpwstr>
      </vt:variant>
      <vt:variant>
        <vt:i4>1703998</vt:i4>
      </vt:variant>
      <vt:variant>
        <vt:i4>77</vt:i4>
      </vt:variant>
      <vt:variant>
        <vt:i4>0</vt:i4>
      </vt:variant>
      <vt:variant>
        <vt:i4>5</vt:i4>
      </vt:variant>
      <vt:variant>
        <vt:lpwstr/>
      </vt:variant>
      <vt:variant>
        <vt:lpwstr>_Toc472718958</vt:lpwstr>
      </vt:variant>
      <vt:variant>
        <vt:i4>1703998</vt:i4>
      </vt:variant>
      <vt:variant>
        <vt:i4>71</vt:i4>
      </vt:variant>
      <vt:variant>
        <vt:i4>0</vt:i4>
      </vt:variant>
      <vt:variant>
        <vt:i4>5</vt:i4>
      </vt:variant>
      <vt:variant>
        <vt:lpwstr/>
      </vt:variant>
      <vt:variant>
        <vt:lpwstr>_Toc472718957</vt:lpwstr>
      </vt:variant>
      <vt:variant>
        <vt:i4>1703998</vt:i4>
      </vt:variant>
      <vt:variant>
        <vt:i4>65</vt:i4>
      </vt:variant>
      <vt:variant>
        <vt:i4>0</vt:i4>
      </vt:variant>
      <vt:variant>
        <vt:i4>5</vt:i4>
      </vt:variant>
      <vt:variant>
        <vt:lpwstr/>
      </vt:variant>
      <vt:variant>
        <vt:lpwstr>_Toc472718956</vt:lpwstr>
      </vt:variant>
      <vt:variant>
        <vt:i4>1703998</vt:i4>
      </vt:variant>
      <vt:variant>
        <vt:i4>59</vt:i4>
      </vt:variant>
      <vt:variant>
        <vt:i4>0</vt:i4>
      </vt:variant>
      <vt:variant>
        <vt:i4>5</vt:i4>
      </vt:variant>
      <vt:variant>
        <vt:lpwstr/>
      </vt:variant>
      <vt:variant>
        <vt:lpwstr>_Toc472718955</vt:lpwstr>
      </vt:variant>
      <vt:variant>
        <vt:i4>1703998</vt:i4>
      </vt:variant>
      <vt:variant>
        <vt:i4>53</vt:i4>
      </vt:variant>
      <vt:variant>
        <vt:i4>0</vt:i4>
      </vt:variant>
      <vt:variant>
        <vt:i4>5</vt:i4>
      </vt:variant>
      <vt:variant>
        <vt:lpwstr/>
      </vt:variant>
      <vt:variant>
        <vt:lpwstr>_Toc472718954</vt:lpwstr>
      </vt:variant>
      <vt:variant>
        <vt:i4>1703998</vt:i4>
      </vt:variant>
      <vt:variant>
        <vt:i4>47</vt:i4>
      </vt:variant>
      <vt:variant>
        <vt:i4>0</vt:i4>
      </vt:variant>
      <vt:variant>
        <vt:i4>5</vt:i4>
      </vt:variant>
      <vt:variant>
        <vt:lpwstr/>
      </vt:variant>
      <vt:variant>
        <vt:lpwstr>_Toc472718953</vt:lpwstr>
      </vt:variant>
      <vt:variant>
        <vt:i4>1703998</vt:i4>
      </vt:variant>
      <vt:variant>
        <vt:i4>41</vt:i4>
      </vt:variant>
      <vt:variant>
        <vt:i4>0</vt:i4>
      </vt:variant>
      <vt:variant>
        <vt:i4>5</vt:i4>
      </vt:variant>
      <vt:variant>
        <vt:lpwstr/>
      </vt:variant>
      <vt:variant>
        <vt:lpwstr>_Toc472718952</vt:lpwstr>
      </vt:variant>
      <vt:variant>
        <vt:i4>1703998</vt:i4>
      </vt:variant>
      <vt:variant>
        <vt:i4>35</vt:i4>
      </vt:variant>
      <vt:variant>
        <vt:i4>0</vt:i4>
      </vt:variant>
      <vt:variant>
        <vt:i4>5</vt:i4>
      </vt:variant>
      <vt:variant>
        <vt:lpwstr/>
      </vt:variant>
      <vt:variant>
        <vt:lpwstr>_Toc472718951</vt:lpwstr>
      </vt:variant>
      <vt:variant>
        <vt:i4>1703998</vt:i4>
      </vt:variant>
      <vt:variant>
        <vt:i4>29</vt:i4>
      </vt:variant>
      <vt:variant>
        <vt:i4>0</vt:i4>
      </vt:variant>
      <vt:variant>
        <vt:i4>5</vt:i4>
      </vt:variant>
      <vt:variant>
        <vt:lpwstr/>
      </vt:variant>
      <vt:variant>
        <vt:lpwstr>_Toc472718950</vt:lpwstr>
      </vt:variant>
      <vt:variant>
        <vt:i4>1769534</vt:i4>
      </vt:variant>
      <vt:variant>
        <vt:i4>23</vt:i4>
      </vt:variant>
      <vt:variant>
        <vt:i4>0</vt:i4>
      </vt:variant>
      <vt:variant>
        <vt:i4>5</vt:i4>
      </vt:variant>
      <vt:variant>
        <vt:lpwstr/>
      </vt:variant>
      <vt:variant>
        <vt:lpwstr>_Toc472718949</vt:lpwstr>
      </vt:variant>
      <vt:variant>
        <vt:i4>1769534</vt:i4>
      </vt:variant>
      <vt:variant>
        <vt:i4>17</vt:i4>
      </vt:variant>
      <vt:variant>
        <vt:i4>0</vt:i4>
      </vt:variant>
      <vt:variant>
        <vt:i4>5</vt:i4>
      </vt:variant>
      <vt:variant>
        <vt:lpwstr/>
      </vt:variant>
      <vt:variant>
        <vt:lpwstr>_Toc472718948</vt:lpwstr>
      </vt:variant>
      <vt:variant>
        <vt:i4>1769534</vt:i4>
      </vt:variant>
      <vt:variant>
        <vt:i4>11</vt:i4>
      </vt:variant>
      <vt:variant>
        <vt:i4>0</vt:i4>
      </vt:variant>
      <vt:variant>
        <vt:i4>5</vt:i4>
      </vt:variant>
      <vt:variant>
        <vt:lpwstr/>
      </vt:variant>
      <vt:variant>
        <vt:lpwstr>_Toc472718947</vt:lpwstr>
      </vt:variant>
      <vt:variant>
        <vt:i4>7733374</vt:i4>
      </vt:variant>
      <vt:variant>
        <vt:i4>6</vt:i4>
      </vt:variant>
      <vt:variant>
        <vt:i4>0</vt:i4>
      </vt:variant>
      <vt:variant>
        <vt:i4>5</vt:i4>
      </vt:variant>
      <vt:variant>
        <vt:lpwstr>http://intersex.shadowreport.org/public/2017-CEDAW-Germany-NGO-Zwischengeschlecht-Intersex-IGM.pdf</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720998</vt:i4>
      </vt:variant>
      <vt:variant>
        <vt:i4>93</vt:i4>
      </vt:variant>
      <vt:variant>
        <vt:i4>0</vt:i4>
      </vt:variant>
      <vt:variant>
        <vt:i4>5</vt:i4>
      </vt:variant>
      <vt:variant>
        <vt:lpwstr>http://intersex.shadowreport.org/public/2015-CRPD-LoI-Germany_NGO-Report_Zwischengeschlecht_Intersex-IGM.pdf</vt:lpwstr>
      </vt:variant>
      <vt:variant>
        <vt:lpwstr/>
      </vt:variant>
      <vt:variant>
        <vt:i4>1048660</vt:i4>
      </vt:variant>
      <vt:variant>
        <vt:i4>90</vt:i4>
      </vt:variant>
      <vt:variant>
        <vt:i4>0</vt:i4>
      </vt:variant>
      <vt:variant>
        <vt:i4>5</vt:i4>
      </vt:variant>
      <vt:variant>
        <vt:lpwstr>http://hlcmr.de/wp-content/uploads/2015/01/Working_Paper_Nr.5.pdf</vt:lpwstr>
      </vt:variant>
      <vt:variant>
        <vt:lpwstr/>
      </vt:variant>
      <vt:variant>
        <vt:i4>3604598</vt:i4>
      </vt:variant>
      <vt:variant>
        <vt:i4>87</vt:i4>
      </vt:variant>
      <vt:variant>
        <vt:i4>0</vt:i4>
      </vt:variant>
      <vt:variant>
        <vt:i4>5</vt:i4>
      </vt:variant>
      <vt:variant>
        <vt:lpwstr>http://kastrationsspital.ch/public/19_10_HH_Wortpr_Intersex.pdf</vt:lpwstr>
      </vt:variant>
      <vt:variant>
        <vt:lpwstr/>
      </vt:variant>
      <vt:variant>
        <vt:i4>3538977</vt:i4>
      </vt:variant>
      <vt:variant>
        <vt:i4>84</vt:i4>
      </vt:variant>
      <vt:variant>
        <vt:i4>0</vt:i4>
      </vt:variant>
      <vt:variant>
        <vt:i4>5</vt:i4>
      </vt:variant>
      <vt:variant>
        <vt:lpwstr>http://www.justiz.nrw.de/nrwe/lgs/koeln/lg_koeln/j2009/25_O_179_07schlussurteil20090812.html</vt:lpwstr>
      </vt:variant>
      <vt:variant>
        <vt:lpwstr/>
      </vt:variant>
      <vt:variant>
        <vt:i4>5767217</vt:i4>
      </vt:variant>
      <vt:variant>
        <vt:i4>81</vt:i4>
      </vt:variant>
      <vt:variant>
        <vt:i4>0</vt:i4>
      </vt:variant>
      <vt:variant>
        <vt:i4>5</vt:i4>
      </vt:variant>
      <vt:variant>
        <vt:lpwstr>http://www.justiz.nrw.de/nrwe/olgs/koeln/j2008/5_U_51_08beschluss20080903.html</vt:lpwstr>
      </vt:variant>
      <vt:variant>
        <vt:lpwstr/>
      </vt:variant>
      <vt:variant>
        <vt:i4>7995476</vt:i4>
      </vt:variant>
      <vt:variant>
        <vt:i4>78</vt:i4>
      </vt:variant>
      <vt:variant>
        <vt:i4>0</vt:i4>
      </vt:variant>
      <vt:variant>
        <vt:i4>5</vt:i4>
      </vt:variant>
      <vt:variant>
        <vt:lpwstr>http://www.gleichstellungsministerkonferenz.de/documents/2014_10_13_Beschluesse_GESAMT_Extern.pdf</vt:lpwstr>
      </vt:variant>
      <vt:variant>
        <vt:lpwstr/>
      </vt:variant>
      <vt:variant>
        <vt:i4>720998</vt:i4>
      </vt:variant>
      <vt:variant>
        <vt:i4>75</vt:i4>
      </vt:variant>
      <vt:variant>
        <vt:i4>0</vt:i4>
      </vt:variant>
      <vt:variant>
        <vt:i4>5</vt:i4>
      </vt:variant>
      <vt:variant>
        <vt:lpwstr>http://intersex.shadowreport.org/public/2015-CRPD-LoI-Germany_NGO-Report_Zwischengeschlecht_Intersex-IGM.pdf</vt:lpwstr>
      </vt:variant>
      <vt:variant>
        <vt:lpwstr/>
      </vt:variant>
      <vt:variant>
        <vt:i4>1769501</vt:i4>
      </vt:variant>
      <vt:variant>
        <vt:i4>72</vt:i4>
      </vt:variant>
      <vt:variant>
        <vt:i4>0</vt:i4>
      </vt:variant>
      <vt:variant>
        <vt:i4>5</vt:i4>
      </vt:variant>
      <vt:variant>
        <vt:lpwstr>https://www.bmfsfj.de/blob/112092/46d6be33eb8f2b5d2ee81488da03029c/situation-von-tans--und-intersexuellen-menschen-im-fokus-data.pdf</vt:lpwstr>
      </vt:variant>
      <vt:variant>
        <vt:lpwstr/>
      </vt:variant>
      <vt:variant>
        <vt:i4>720998</vt:i4>
      </vt:variant>
      <vt:variant>
        <vt:i4>69</vt:i4>
      </vt:variant>
      <vt:variant>
        <vt:i4>0</vt:i4>
      </vt:variant>
      <vt:variant>
        <vt:i4>5</vt:i4>
      </vt:variant>
      <vt:variant>
        <vt:lpwstr>http://intersex.shadowreport.org/public/2015-CRPD-LoI-Germany_NGO-Report_Zwischengeschlecht_Intersex-IGM.pdf</vt:lpwstr>
      </vt:variant>
      <vt:variant>
        <vt:lpwstr/>
      </vt:variant>
      <vt:variant>
        <vt:i4>720998</vt:i4>
      </vt:variant>
      <vt:variant>
        <vt:i4>66</vt:i4>
      </vt:variant>
      <vt:variant>
        <vt:i4>0</vt:i4>
      </vt:variant>
      <vt:variant>
        <vt:i4>5</vt:i4>
      </vt:variant>
      <vt:variant>
        <vt:lpwstr>http://intersex.shadowreport.org/public/2015-CRPD-LoI-Germany_NGO-Report_Zwischengeschlecht_Intersex-IGM.pdf</vt:lpwstr>
      </vt:variant>
      <vt:variant>
        <vt:lpwstr/>
      </vt:variant>
      <vt:variant>
        <vt:i4>2555950</vt:i4>
      </vt:variant>
      <vt:variant>
        <vt:i4>63</vt:i4>
      </vt:variant>
      <vt:variant>
        <vt:i4>0</vt:i4>
      </vt:variant>
      <vt:variant>
        <vt:i4>5</vt:i4>
      </vt:variant>
      <vt:variant>
        <vt:lpwstr>http://www.awmf.org/uploads/tx_szleitlinien/174-013l_S1_Adrenogenitales_Syndrom_mit_21_Hydroxylaxe_Defekt_AGS_2015-verlaengert.pdf</vt:lpwstr>
      </vt:variant>
      <vt:variant>
        <vt:lpwstr/>
      </vt:variant>
      <vt:variant>
        <vt:i4>4915261</vt:i4>
      </vt:variant>
      <vt:variant>
        <vt:i4>60</vt:i4>
      </vt:variant>
      <vt:variant>
        <vt:i4>0</vt:i4>
      </vt:variant>
      <vt:variant>
        <vt:i4>5</vt:i4>
      </vt:variant>
      <vt:variant>
        <vt:lpwstr>http://intersex.shadowreport.org/public/2014-CRC-Swiss-NGO-Zwischengeschlecht-Intersex-IGM_v2.pdf</vt:lpwstr>
      </vt:variant>
      <vt:variant>
        <vt:lpwstr/>
      </vt:variant>
      <vt:variant>
        <vt:i4>5636175</vt:i4>
      </vt:variant>
      <vt:variant>
        <vt:i4>57</vt:i4>
      </vt:variant>
      <vt:variant>
        <vt:i4>0</vt:i4>
      </vt:variant>
      <vt:variant>
        <vt:i4>5</vt:i4>
      </vt:variant>
      <vt:variant>
        <vt:lpwstr>http://intersex.shadowreport.org/public/2016-CEDAW-France-NGO-Zwischengeschlecht-Intersex-IGM.pdf</vt:lpwstr>
      </vt:variant>
      <vt:variant>
        <vt:lpwstr/>
      </vt:variant>
      <vt:variant>
        <vt:i4>5636175</vt:i4>
      </vt:variant>
      <vt:variant>
        <vt:i4>54</vt:i4>
      </vt:variant>
      <vt:variant>
        <vt:i4>0</vt:i4>
      </vt:variant>
      <vt:variant>
        <vt:i4>5</vt:i4>
      </vt:variant>
      <vt:variant>
        <vt:lpwstr>http://intersex.shadowreport.org/public/2016-CEDAW-France-NGO-Zwischengeschlecht-Intersex-IGM.pdf</vt:lpwstr>
      </vt:variant>
      <vt:variant>
        <vt:lpwstr/>
      </vt:variant>
      <vt:variant>
        <vt:i4>5046384</vt:i4>
      </vt:variant>
      <vt:variant>
        <vt:i4>51</vt:i4>
      </vt:variant>
      <vt:variant>
        <vt:i4>0</vt:i4>
      </vt:variant>
      <vt:variant>
        <vt:i4>5</vt:i4>
      </vt:variant>
      <vt:variant>
        <vt:lpwstr>https://www.gender.hu-berlin.de/de/publikationen/gender-bulletins/texte-42/kloeppel-2016_zur-aktualitaet-kosmetischer-genitaloperationen</vt:lpwstr>
      </vt:variant>
      <vt:variant>
        <vt:lpwstr/>
      </vt:variant>
      <vt:variant>
        <vt:i4>5636175</vt:i4>
      </vt:variant>
      <vt:variant>
        <vt:i4>48</vt:i4>
      </vt:variant>
      <vt:variant>
        <vt:i4>0</vt:i4>
      </vt:variant>
      <vt:variant>
        <vt:i4>5</vt:i4>
      </vt:variant>
      <vt:variant>
        <vt:lpwstr>http://intersex.shadowreport.org/public/2016-CEDAW-France-NGO-Zwischengeschlecht-Intersex-IGM.pdf</vt:lpwstr>
      </vt:variant>
      <vt:variant>
        <vt:lpwstr/>
      </vt:variant>
      <vt:variant>
        <vt:i4>1769501</vt:i4>
      </vt:variant>
      <vt:variant>
        <vt:i4>45</vt:i4>
      </vt:variant>
      <vt:variant>
        <vt:i4>0</vt:i4>
      </vt:variant>
      <vt:variant>
        <vt:i4>5</vt:i4>
      </vt:variant>
      <vt:variant>
        <vt:lpwstr>https://www.bmfsfj.de/blob/112092/46d6be33eb8f2b5d2ee81488da03029c/situation-von-tans--und-intersexuellen-menschen-im-fokus-data.pdf</vt:lpwstr>
      </vt:variant>
      <vt:variant>
        <vt:lpwstr/>
      </vt:variant>
      <vt:variant>
        <vt:i4>2883647</vt:i4>
      </vt:variant>
      <vt:variant>
        <vt:i4>42</vt:i4>
      </vt:variant>
      <vt:variant>
        <vt:i4>0</vt:i4>
      </vt:variant>
      <vt:variant>
        <vt:i4>5</vt:i4>
      </vt:variant>
      <vt:variant>
        <vt:lpwstr>http://stop.genitalmutilation.org/post/IAD-2016-Soon-20-UN-Reprimands-for-Intersex-Genital-Mutilations</vt:lpwstr>
      </vt:variant>
      <vt:variant>
        <vt:lpwstr/>
      </vt:variant>
      <vt:variant>
        <vt:i4>5636175</vt:i4>
      </vt:variant>
      <vt:variant>
        <vt:i4>39</vt:i4>
      </vt:variant>
      <vt:variant>
        <vt:i4>0</vt:i4>
      </vt:variant>
      <vt:variant>
        <vt:i4>5</vt:i4>
      </vt:variant>
      <vt:variant>
        <vt:lpwstr>http://intersex.shadowreport.org/public/2016-CEDAW-France-NGO-Zwischengeschlecht-Intersex-IGM.pdf</vt:lpwstr>
      </vt:variant>
      <vt:variant>
        <vt:lpwstr/>
      </vt:variant>
      <vt:variant>
        <vt:i4>1179686</vt:i4>
      </vt:variant>
      <vt:variant>
        <vt:i4>36</vt:i4>
      </vt:variant>
      <vt:variant>
        <vt:i4>0</vt:i4>
      </vt:variant>
      <vt:variant>
        <vt:i4>5</vt:i4>
      </vt:variant>
      <vt:variant>
        <vt:lpwstr>http://www.parlament.ch/d/suche/seiten/geschaefte.aspx?gesch_id=20113286</vt:lpwstr>
      </vt:variant>
      <vt:variant>
        <vt:lpwstr/>
      </vt:variant>
      <vt:variant>
        <vt:i4>5570630</vt:i4>
      </vt:variant>
      <vt:variant>
        <vt:i4>33</vt:i4>
      </vt:variant>
      <vt:variant>
        <vt:i4>0</vt:i4>
      </vt:variant>
      <vt:variant>
        <vt:i4>5</vt:i4>
      </vt:variant>
      <vt:variant>
        <vt:lpwstr>http://www.jpurol.com/article/S1477-5131(16)30099-7/</vt:lpwstr>
      </vt:variant>
      <vt:variant>
        <vt:lpwstr/>
      </vt:variant>
      <vt:variant>
        <vt:i4>6094920</vt:i4>
      </vt:variant>
      <vt:variant>
        <vt:i4>30</vt:i4>
      </vt:variant>
      <vt:variant>
        <vt:i4>0</vt:i4>
      </vt:variant>
      <vt:variant>
        <vt:i4>5</vt:i4>
      </vt:variant>
      <vt:variant>
        <vt:lpwstr>http://www.jpurol.com/article/S1477-5131(16)30012-2/</vt:lpwstr>
      </vt:variant>
      <vt:variant>
        <vt:lpwstr/>
      </vt:variant>
      <vt:variant>
        <vt:i4>5636175</vt:i4>
      </vt:variant>
      <vt:variant>
        <vt:i4>27</vt:i4>
      </vt:variant>
      <vt:variant>
        <vt:i4>0</vt:i4>
      </vt:variant>
      <vt:variant>
        <vt:i4>5</vt:i4>
      </vt:variant>
      <vt:variant>
        <vt:lpwstr>http://intersex.shadowreport.org/public/2016-CEDAW-France-NGO-Zwischengeschlecht-Intersex-IGM.pdf</vt:lpwstr>
      </vt:variant>
      <vt:variant>
        <vt:lpwstr/>
      </vt:variant>
      <vt:variant>
        <vt:i4>5636175</vt:i4>
      </vt:variant>
      <vt:variant>
        <vt:i4>24</vt:i4>
      </vt:variant>
      <vt:variant>
        <vt:i4>0</vt:i4>
      </vt:variant>
      <vt:variant>
        <vt:i4>5</vt:i4>
      </vt:variant>
      <vt:variant>
        <vt:lpwstr>http://intersex.shadowreport.org/public/2016-CEDAW-France-NGO-Zwischengeschlecht-Intersex-IGM.pdf</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2752547</vt:i4>
      </vt:variant>
      <vt:variant>
        <vt:i4>18</vt:i4>
      </vt:variant>
      <vt:variant>
        <vt:i4>0</vt:i4>
      </vt:variant>
      <vt:variant>
        <vt:i4>5</vt:i4>
      </vt:variant>
      <vt:variant>
        <vt:lpwstr>http://intersex.shadowreport.org/public/PSWG-CEDAW66-Germany-NGO-Statement-StopIGMorg-DTruffer.pdf</vt:lpwstr>
      </vt:variant>
      <vt:variant>
        <vt:lpwstr/>
      </vt:variant>
      <vt:variant>
        <vt:i4>7798910</vt:i4>
      </vt:variant>
      <vt:variant>
        <vt:i4>15</vt:i4>
      </vt:variant>
      <vt:variant>
        <vt:i4>0</vt:i4>
      </vt:variant>
      <vt:variant>
        <vt:i4>5</vt:i4>
      </vt:variant>
      <vt:variant>
        <vt:lpwstr>http://intersex.shadowreport.org/public/2016-CEDAW-Germany-NGO-Zwischengeschlecht-Intersex-IGM.pdf</vt:lpwstr>
      </vt:variant>
      <vt:variant>
        <vt:lpwstr/>
      </vt:variant>
      <vt:variant>
        <vt:i4>720998</vt:i4>
      </vt:variant>
      <vt:variant>
        <vt:i4>12</vt:i4>
      </vt:variant>
      <vt:variant>
        <vt:i4>0</vt:i4>
      </vt:variant>
      <vt:variant>
        <vt:i4>5</vt:i4>
      </vt:variant>
      <vt:variant>
        <vt:lpwstr>http://intersex.shadowreport.org/public/2015-CRPD-LoI-Germany_NGO-Report_Zwischengeschlecht_Intersex-IGM.pdf</vt:lpwstr>
      </vt:variant>
      <vt:variant>
        <vt:lpwstr/>
      </vt:variant>
      <vt:variant>
        <vt:i4>5636175</vt:i4>
      </vt:variant>
      <vt:variant>
        <vt:i4>9</vt:i4>
      </vt:variant>
      <vt:variant>
        <vt:i4>0</vt:i4>
      </vt:variant>
      <vt:variant>
        <vt:i4>5</vt:i4>
      </vt:variant>
      <vt:variant>
        <vt:lpwstr>http://intersex.shadowreport.org/public/2016-CEDAW-France-NGO-Zwischengeschlecht-Intersex-IGM.pdf</vt:lpwstr>
      </vt:variant>
      <vt:variant>
        <vt:lpwstr/>
      </vt:variant>
      <vt:variant>
        <vt:i4>2424870</vt:i4>
      </vt:variant>
      <vt:variant>
        <vt:i4>6</vt:i4>
      </vt:variant>
      <vt:variant>
        <vt:i4>0</vt:i4>
      </vt:variant>
      <vt:variant>
        <vt:i4>5</vt:i4>
      </vt:variant>
      <vt:variant>
        <vt:lpwstr>http://zwischengeschlecht.org/post/Statuten</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Mutilations - CEDAW Spain LOIPR NGO Report 2019</dc:title>
  <dc:subject>NGO Report (for LOIPR) to the 9th Periodic Report of Spain on the Convention on the Elimination of All Forms of Discrimination against Women</dc:subject>
  <dc:creator>cc 2019 StopIGM.org / Zwischengeschlecht.org (Markus Bauer, Daniela Truffer) | Brújula Intersexual (Laura Inter)</dc:creator>
  <cp:lastModifiedBy>Daniela Truffer</cp:lastModifiedBy>
  <cp:revision>3</cp:revision>
  <cp:lastPrinted>2015-03-11T00:53:00Z</cp:lastPrinted>
  <dcterms:created xsi:type="dcterms:W3CDTF">2019-06-11T02:05:00Z</dcterms:created>
  <dcterms:modified xsi:type="dcterms:W3CDTF">2019-06-11T02:07:00Z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