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57A70" w14:textId="7853B00B" w:rsidR="0021054B" w:rsidRDefault="00FF4325" w:rsidP="00F548CA">
      <w:pPr>
        <w:spacing w:after="160" w:afterAutospacing="0" w:line="259" w:lineRule="auto"/>
      </w:pPr>
      <w:r>
        <w:rPr>
          <w:noProof/>
        </w:rPr>
        <w:drawing>
          <wp:anchor distT="0" distB="0" distL="114300" distR="114300" simplePos="0" relativeHeight="251659264" behindDoc="1" locked="0" layoutInCell="1" allowOverlap="1" wp14:anchorId="3D95A0FD" wp14:editId="2D11BF66">
            <wp:simplePos x="0" y="0"/>
            <wp:positionH relativeFrom="column">
              <wp:posOffset>0</wp:posOffset>
            </wp:positionH>
            <wp:positionV relativeFrom="paragraph">
              <wp:posOffset>0</wp:posOffset>
            </wp:positionV>
            <wp:extent cx="2340607" cy="847091"/>
            <wp:effectExtent l="0" t="0" r="3175" b="0"/>
            <wp:wrapNone/>
            <wp:docPr id="3"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340607" cy="84709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E58007" w14:textId="24A6355F" w:rsidR="0021054B" w:rsidRDefault="00FF4325" w:rsidP="00FF4325">
      <w:pPr>
        <w:tabs>
          <w:tab w:val="left" w:pos="7020"/>
        </w:tabs>
        <w:spacing w:after="160" w:afterAutospacing="0" w:line="259" w:lineRule="auto"/>
      </w:pPr>
      <w:r>
        <w:tab/>
      </w:r>
    </w:p>
    <w:p w14:paraId="3BDAE551" w14:textId="77777777" w:rsidR="0021054B" w:rsidRDefault="0021054B" w:rsidP="00F548CA">
      <w:pPr>
        <w:spacing w:after="160" w:afterAutospacing="0" w:line="259" w:lineRule="auto"/>
      </w:pPr>
    </w:p>
    <w:p w14:paraId="1C09CB00" w14:textId="77777777" w:rsidR="0021054B" w:rsidRDefault="0021054B" w:rsidP="00F548CA">
      <w:pPr>
        <w:spacing w:after="160" w:afterAutospacing="0" w:line="259" w:lineRule="auto"/>
      </w:pPr>
    </w:p>
    <w:p w14:paraId="01DC7DF4" w14:textId="77777777" w:rsidR="0021054B" w:rsidRPr="00957229" w:rsidRDefault="0021054B" w:rsidP="00F548CA">
      <w:pPr>
        <w:spacing w:after="160" w:afterAutospacing="0" w:line="259" w:lineRule="auto"/>
        <w:rPr>
          <w:rFonts w:ascii="Calibri" w:hAnsi="Calibri" w:cs="Calibri"/>
          <w:sz w:val="22"/>
        </w:rPr>
      </w:pPr>
    </w:p>
    <w:p w14:paraId="4E3F6085" w14:textId="77777777" w:rsidR="0021054B" w:rsidRPr="00957229" w:rsidRDefault="0021054B" w:rsidP="00F548CA">
      <w:pPr>
        <w:spacing w:after="160" w:afterAutospacing="0" w:line="259" w:lineRule="auto"/>
        <w:rPr>
          <w:rFonts w:ascii="Calibri" w:hAnsi="Calibri" w:cs="Calibri"/>
          <w:sz w:val="22"/>
        </w:rPr>
      </w:pPr>
    </w:p>
    <w:p w14:paraId="2DB245AC" w14:textId="78EA7D0A" w:rsidR="0021054B" w:rsidRPr="00957229" w:rsidRDefault="0021054B" w:rsidP="0021054B">
      <w:pPr>
        <w:pStyle w:val="Header"/>
        <w:jc w:val="center"/>
        <w:rPr>
          <w:rFonts w:ascii="Calibri" w:hAnsi="Calibri" w:cs="Calibri"/>
          <w:b/>
          <w:bCs/>
          <w:color w:val="215E99" w:themeColor="text2" w:themeTint="BF"/>
          <w:sz w:val="22"/>
          <w:u w:val="single"/>
        </w:rPr>
      </w:pPr>
      <w:r w:rsidRPr="00957229">
        <w:rPr>
          <w:rFonts w:ascii="Calibri" w:hAnsi="Calibri" w:cs="Calibri"/>
          <w:b/>
          <w:bCs/>
          <w:color w:val="215E99" w:themeColor="text2" w:themeTint="BF"/>
          <w:sz w:val="22"/>
          <w:u w:val="single"/>
        </w:rPr>
        <w:t xml:space="preserve">INFORME </w:t>
      </w:r>
      <w:r w:rsidR="00FF4325">
        <w:rPr>
          <w:rFonts w:ascii="Calibri" w:hAnsi="Calibri" w:cs="Calibri"/>
          <w:b/>
          <w:bCs/>
          <w:color w:val="215E99" w:themeColor="text2" w:themeTint="BF"/>
          <w:sz w:val="22"/>
          <w:u w:val="single"/>
        </w:rPr>
        <w:t xml:space="preserve">DE LA SUBCOMISIÓN DE MENORES DEL CONSEJO GENERAL DE LA ABOGACÍA ESPAÑOLA RELATIVO </w:t>
      </w:r>
      <w:r w:rsidRPr="00957229">
        <w:rPr>
          <w:rFonts w:ascii="Calibri" w:hAnsi="Calibri" w:cs="Calibri"/>
          <w:b/>
          <w:bCs/>
          <w:color w:val="215E99" w:themeColor="text2" w:themeTint="BF"/>
          <w:sz w:val="22"/>
          <w:u w:val="single"/>
        </w:rPr>
        <w:t>A LAS CUESTIONES PREVIA</w:t>
      </w:r>
      <w:r w:rsidR="00FF4325">
        <w:rPr>
          <w:rFonts w:ascii="Calibri" w:hAnsi="Calibri" w:cs="Calibri"/>
          <w:b/>
          <w:bCs/>
          <w:color w:val="215E99" w:themeColor="text2" w:themeTint="BF"/>
          <w:sz w:val="22"/>
          <w:u w:val="single"/>
        </w:rPr>
        <w:t>S</w:t>
      </w:r>
      <w:r w:rsidRPr="00957229">
        <w:rPr>
          <w:rFonts w:ascii="Calibri" w:hAnsi="Calibri" w:cs="Calibri"/>
          <w:b/>
          <w:bCs/>
          <w:color w:val="215E99" w:themeColor="text2" w:themeTint="BF"/>
          <w:sz w:val="22"/>
          <w:u w:val="single"/>
        </w:rPr>
        <w:t xml:space="preserve"> A LA PRESENTACIÓN DEL SÉPTIMO INFORME PERIÓDICO DE ESPAÑA</w:t>
      </w:r>
    </w:p>
    <w:p w14:paraId="672741A1" w14:textId="77777777" w:rsidR="0021054B" w:rsidRPr="00957229" w:rsidRDefault="0021054B" w:rsidP="00F548CA">
      <w:pPr>
        <w:spacing w:after="160" w:afterAutospacing="0" w:line="259" w:lineRule="auto"/>
        <w:rPr>
          <w:rFonts w:ascii="Calibri" w:hAnsi="Calibri" w:cs="Calibri"/>
          <w:sz w:val="22"/>
        </w:rPr>
      </w:pPr>
    </w:p>
    <w:p w14:paraId="32AC68A6" w14:textId="77777777" w:rsidR="0021054B" w:rsidRPr="00957229" w:rsidRDefault="0021054B" w:rsidP="00F548CA">
      <w:pPr>
        <w:spacing w:after="160" w:afterAutospacing="0" w:line="259" w:lineRule="auto"/>
        <w:rPr>
          <w:rFonts w:ascii="Calibri" w:hAnsi="Calibri" w:cs="Calibri"/>
          <w:sz w:val="22"/>
        </w:rPr>
      </w:pPr>
    </w:p>
    <w:p w14:paraId="3A60846F" w14:textId="77777777" w:rsidR="0021054B" w:rsidRPr="00957229" w:rsidRDefault="0021054B" w:rsidP="00F548CA">
      <w:pPr>
        <w:spacing w:after="160" w:afterAutospacing="0" w:line="259" w:lineRule="auto"/>
        <w:rPr>
          <w:rFonts w:ascii="Calibri" w:hAnsi="Calibri" w:cs="Calibri"/>
          <w:sz w:val="22"/>
        </w:rPr>
      </w:pPr>
    </w:p>
    <w:p w14:paraId="755A11F8" w14:textId="1B377A6E" w:rsidR="00254BDB" w:rsidRPr="00957229" w:rsidRDefault="00254BDB" w:rsidP="00F548CA">
      <w:pPr>
        <w:spacing w:after="160" w:afterAutospacing="0" w:line="259" w:lineRule="auto"/>
        <w:rPr>
          <w:rFonts w:ascii="Calibri" w:hAnsi="Calibri" w:cs="Calibri"/>
          <w:sz w:val="22"/>
        </w:rPr>
      </w:pPr>
      <w:r w:rsidRPr="00957229">
        <w:rPr>
          <w:rFonts w:ascii="Calibri" w:hAnsi="Calibri" w:cs="Calibri"/>
          <w:sz w:val="22"/>
        </w:rPr>
        <w:t>Con la ratificación por parte del Estado español de la Convención de los Derechos del Niño, España se ha comprometido, además de respetar y promover la defensa de los derechos recogidos en el tratado internacional suscrito, a pasar por las evaluaciones periódicas del Comité de los Derechos del Niño.</w:t>
      </w:r>
    </w:p>
    <w:p w14:paraId="22B2D720" w14:textId="7EE0E000" w:rsidR="0021054B" w:rsidRPr="00957229" w:rsidRDefault="00254BDB" w:rsidP="0021054B">
      <w:pPr>
        <w:spacing w:after="160" w:afterAutospacing="0" w:line="259" w:lineRule="auto"/>
        <w:rPr>
          <w:rFonts w:ascii="Calibri" w:hAnsi="Calibri" w:cs="Calibri"/>
          <w:sz w:val="22"/>
        </w:rPr>
      </w:pPr>
      <w:r w:rsidRPr="00957229">
        <w:rPr>
          <w:rFonts w:ascii="Calibri" w:hAnsi="Calibri" w:cs="Calibri"/>
          <w:sz w:val="22"/>
        </w:rPr>
        <w:t>Actualmente, España se encuentra inmersa en su séptima evaluación</w:t>
      </w:r>
      <w:r w:rsidR="0021054B" w:rsidRPr="00957229">
        <w:rPr>
          <w:rFonts w:ascii="Calibri" w:hAnsi="Calibri" w:cs="Calibri"/>
          <w:sz w:val="22"/>
        </w:rPr>
        <w:t>, que parte de las recomendaciones del Comité que figuran en sus observaciones finales sobre los informes periódicos quinto y sexto combinados del Estado parte (2018).</w:t>
      </w:r>
    </w:p>
    <w:p w14:paraId="5A93CF5A" w14:textId="4B65EB97" w:rsidR="00F548CA" w:rsidRPr="00957229" w:rsidRDefault="00F548CA" w:rsidP="00F548CA">
      <w:pPr>
        <w:spacing w:after="160" w:afterAutospacing="0" w:line="259" w:lineRule="auto"/>
        <w:rPr>
          <w:rFonts w:ascii="Calibri" w:hAnsi="Calibri" w:cs="Calibri"/>
          <w:sz w:val="22"/>
        </w:rPr>
      </w:pPr>
      <w:r w:rsidRPr="00957229">
        <w:rPr>
          <w:rFonts w:ascii="Calibri" w:hAnsi="Calibri" w:cs="Calibri"/>
          <w:sz w:val="22"/>
        </w:rPr>
        <w:t xml:space="preserve">A través del presente informe, el Consejo General de la Abogacía </w:t>
      </w:r>
      <w:r w:rsidR="00254BDB" w:rsidRPr="00957229">
        <w:rPr>
          <w:rFonts w:ascii="Calibri" w:hAnsi="Calibri" w:cs="Calibri"/>
          <w:sz w:val="22"/>
        </w:rPr>
        <w:t xml:space="preserve">Española </w:t>
      </w:r>
      <w:r w:rsidRPr="00957229">
        <w:rPr>
          <w:rFonts w:ascii="Calibri" w:hAnsi="Calibri" w:cs="Calibri"/>
          <w:sz w:val="22"/>
        </w:rPr>
        <w:t>realiza aportaciones al Comité de los Derechos del Niño de forma complementaria a los ya aportados por el Gobierno y la Sociedad civil; a los únicos efectos de informar desde un enfoque jurídico, acerca de las cuestiones previas publicadas en marzo de 2023</w:t>
      </w:r>
      <w:r w:rsidR="00254BDB" w:rsidRPr="00957229">
        <w:rPr>
          <w:rFonts w:ascii="Calibri" w:hAnsi="Calibri" w:cs="Calibri"/>
          <w:sz w:val="22"/>
        </w:rPr>
        <w:t>; que aporten nuevas evidencias</w:t>
      </w:r>
      <w:r w:rsidR="0021054B" w:rsidRPr="00957229">
        <w:rPr>
          <w:rFonts w:ascii="Calibri" w:hAnsi="Calibri" w:cs="Calibri"/>
          <w:sz w:val="22"/>
        </w:rPr>
        <w:t>, o profundizar en aquellas que se consideran de especial relevancia para la defensa y respeto de todos los niños, niñas y adolescentes sin discriminación por razón de sus circunstancias,</w:t>
      </w:r>
      <w:r w:rsidR="00254BDB" w:rsidRPr="00957229">
        <w:rPr>
          <w:rFonts w:ascii="Calibri" w:hAnsi="Calibri" w:cs="Calibri"/>
          <w:sz w:val="22"/>
        </w:rPr>
        <w:t xml:space="preserve"> de cara a la evaluación final por parte del Comité.</w:t>
      </w:r>
    </w:p>
    <w:p w14:paraId="745C1CC5" w14:textId="57030115" w:rsidR="0021054B" w:rsidRPr="00957229" w:rsidRDefault="0021054B" w:rsidP="00F548CA">
      <w:pPr>
        <w:spacing w:after="160" w:afterAutospacing="0" w:line="259" w:lineRule="auto"/>
        <w:rPr>
          <w:rFonts w:ascii="Calibri" w:hAnsi="Calibri" w:cs="Calibri"/>
          <w:sz w:val="22"/>
        </w:rPr>
      </w:pPr>
      <w:r w:rsidRPr="00957229">
        <w:rPr>
          <w:rFonts w:ascii="Calibri" w:hAnsi="Calibri" w:cs="Calibri"/>
          <w:sz w:val="22"/>
        </w:rPr>
        <w:t xml:space="preserve">De la misma manera, el CGAE se ofrece para, en el supuesto de que se considere necesario o pertinente, participar en las sesiones previas a la emisión del documento que contenga las observaciones finales; a fin de aclarar los conceptos o realidades jurídicas que en el presente documento se </w:t>
      </w:r>
      <w:r w:rsidR="00427628" w:rsidRPr="00957229">
        <w:rPr>
          <w:rFonts w:ascii="Calibri" w:hAnsi="Calibri" w:cs="Calibri"/>
          <w:sz w:val="22"/>
        </w:rPr>
        <w:t>informan</w:t>
      </w:r>
      <w:r w:rsidR="009C0FC7">
        <w:rPr>
          <w:rFonts w:ascii="Calibri" w:hAnsi="Calibri" w:cs="Calibri"/>
          <w:sz w:val="22"/>
        </w:rPr>
        <w:t>.</w:t>
      </w:r>
    </w:p>
    <w:p w14:paraId="39793B5E" w14:textId="6C463414" w:rsidR="00986080" w:rsidRPr="00957229" w:rsidRDefault="00986080">
      <w:pPr>
        <w:spacing w:after="160" w:afterAutospacing="0" w:line="259" w:lineRule="auto"/>
        <w:jc w:val="left"/>
        <w:rPr>
          <w:rFonts w:ascii="Calibri" w:hAnsi="Calibri" w:cs="Calibri"/>
          <w:b/>
          <w:caps/>
          <w:spacing w:val="20"/>
          <w:sz w:val="22"/>
          <w:u w:val="single"/>
          <w14:ligatures w14:val="standardContextual"/>
        </w:rPr>
      </w:pPr>
      <w:r w:rsidRPr="00957229">
        <w:rPr>
          <w:rFonts w:ascii="Calibri" w:hAnsi="Calibri" w:cs="Calibri"/>
          <w:sz w:val="22"/>
        </w:rPr>
        <w:br w:type="page"/>
      </w:r>
    </w:p>
    <w:p w14:paraId="4B000327" w14:textId="0CEB49C1" w:rsidR="00356D09" w:rsidRPr="00957229" w:rsidRDefault="001068AD" w:rsidP="001068AD">
      <w:pPr>
        <w:pStyle w:val="Heading2"/>
        <w:rPr>
          <w:rFonts w:ascii="Calibri" w:hAnsi="Calibri" w:cs="Calibri"/>
          <w:sz w:val="22"/>
        </w:rPr>
      </w:pPr>
      <w:r w:rsidRPr="00957229">
        <w:rPr>
          <w:rFonts w:ascii="Calibri" w:hAnsi="Calibri" w:cs="Calibri"/>
          <w:sz w:val="22"/>
        </w:rPr>
        <w:lastRenderedPageBreak/>
        <w:t>RELATIVO A LA CUESTIÓN D): VIOLENCIA CONTRA LOS NIÑOS.</w:t>
      </w:r>
    </w:p>
    <w:p w14:paraId="210D3538" w14:textId="45AD3541" w:rsidR="00356D09" w:rsidRPr="00957229" w:rsidRDefault="00356D09" w:rsidP="00986080">
      <w:pPr>
        <w:pStyle w:val="Heading4"/>
        <w:rPr>
          <w:rFonts w:ascii="Calibri" w:hAnsi="Calibri" w:cs="Calibri"/>
          <w:sz w:val="22"/>
        </w:rPr>
      </w:pPr>
      <w:r w:rsidRPr="00957229">
        <w:rPr>
          <w:rFonts w:ascii="Calibri" w:hAnsi="Calibri" w:cs="Calibri"/>
          <w:sz w:val="22"/>
        </w:rPr>
        <w:t>Incumplimiento en la aplicación efectiva de la Ley Orgánica de Protección Integral a la Infancia y Adolescencia frente a la Violencia.</w:t>
      </w:r>
    </w:p>
    <w:p w14:paraId="42C1EB6E" w14:textId="4D3BF9E1" w:rsidR="001068AD" w:rsidRPr="00957229" w:rsidRDefault="001068AD" w:rsidP="001068AD">
      <w:pPr>
        <w:pStyle w:val="Heading2"/>
        <w:rPr>
          <w:rFonts w:ascii="Calibri" w:hAnsi="Calibri" w:cs="Calibri"/>
          <w:sz w:val="22"/>
        </w:rPr>
      </w:pPr>
      <w:r w:rsidRPr="00957229">
        <w:rPr>
          <w:rFonts w:ascii="Calibri" w:hAnsi="Calibri" w:cs="Calibri"/>
          <w:sz w:val="22"/>
        </w:rPr>
        <w:t>RELATIVO A LA CUESTIÓN PREVIA E) SOBRE NIÑOS PRIVADOS DE UN ENTORNO FAMILIAR.</w:t>
      </w:r>
    </w:p>
    <w:p w14:paraId="6C473289" w14:textId="63B26815" w:rsidR="00356D09" w:rsidRPr="00957229" w:rsidRDefault="00356D09" w:rsidP="00883891">
      <w:pPr>
        <w:pStyle w:val="Heading4"/>
        <w:numPr>
          <w:ilvl w:val="0"/>
          <w:numId w:val="15"/>
        </w:numPr>
        <w:rPr>
          <w:rFonts w:ascii="Calibri" w:hAnsi="Calibri" w:cs="Calibri"/>
          <w:sz w:val="22"/>
        </w:rPr>
      </w:pPr>
      <w:r w:rsidRPr="00957229">
        <w:rPr>
          <w:rFonts w:ascii="Calibri" w:hAnsi="Calibri" w:cs="Calibri"/>
          <w:sz w:val="22"/>
        </w:rPr>
        <w:t>Control judicial previo a la declaración de desamparo.</w:t>
      </w:r>
    </w:p>
    <w:p w14:paraId="6B2A58A3" w14:textId="7BD9AE42" w:rsidR="00356D09" w:rsidRPr="00957229" w:rsidRDefault="00356D09" w:rsidP="00986080">
      <w:pPr>
        <w:pStyle w:val="Heading4"/>
        <w:rPr>
          <w:rFonts w:ascii="Calibri" w:hAnsi="Calibri" w:cs="Calibri"/>
          <w:sz w:val="22"/>
        </w:rPr>
      </w:pPr>
      <w:r w:rsidRPr="00957229">
        <w:rPr>
          <w:rFonts w:ascii="Calibri" w:hAnsi="Calibri" w:cs="Calibri"/>
          <w:sz w:val="22"/>
        </w:rPr>
        <w:t>Interés superior del niñoñ en los procesos de protección (tutela).</w:t>
      </w:r>
    </w:p>
    <w:p w14:paraId="1A51EE6E" w14:textId="7523C5F9" w:rsidR="00356D09" w:rsidRPr="00957229" w:rsidRDefault="00356D09" w:rsidP="00986080">
      <w:pPr>
        <w:pStyle w:val="Heading4"/>
        <w:rPr>
          <w:rFonts w:ascii="Calibri" w:hAnsi="Calibri" w:cs="Calibri"/>
          <w:sz w:val="22"/>
        </w:rPr>
      </w:pPr>
      <w:r w:rsidRPr="00957229">
        <w:rPr>
          <w:rFonts w:ascii="Calibri" w:hAnsi="Calibri" w:cs="Calibri"/>
          <w:sz w:val="22"/>
        </w:rPr>
        <w:t>Necesidad de jurisdicción propia y especialización.</w:t>
      </w:r>
    </w:p>
    <w:p w14:paraId="4D72A925" w14:textId="1DE8ACDD" w:rsidR="00356D09" w:rsidRPr="00957229" w:rsidRDefault="00356D09" w:rsidP="00986080">
      <w:pPr>
        <w:pStyle w:val="Heading4"/>
        <w:rPr>
          <w:rFonts w:ascii="Calibri" w:hAnsi="Calibri" w:cs="Calibri"/>
          <w:sz w:val="22"/>
        </w:rPr>
      </w:pPr>
      <w:r w:rsidRPr="00957229">
        <w:rPr>
          <w:rFonts w:ascii="Calibri" w:hAnsi="Calibri" w:cs="Calibri"/>
          <w:sz w:val="22"/>
        </w:rPr>
        <w:t>Defensa letrada de los niños, niñas y adolescentes sujetos a tutela administrativa. Relativo a la opinión del niño.</w:t>
      </w:r>
    </w:p>
    <w:p w14:paraId="5F7178A6" w14:textId="0C2BA7E5" w:rsidR="00356D09" w:rsidRPr="00957229" w:rsidRDefault="00356D09" w:rsidP="00986080">
      <w:pPr>
        <w:pStyle w:val="Heading4"/>
        <w:rPr>
          <w:rFonts w:ascii="Calibri" w:hAnsi="Calibri" w:cs="Calibri"/>
          <w:sz w:val="22"/>
        </w:rPr>
      </w:pPr>
      <w:r w:rsidRPr="00957229">
        <w:rPr>
          <w:rFonts w:ascii="Calibri" w:hAnsi="Calibri" w:cs="Calibri"/>
          <w:sz w:val="22"/>
        </w:rPr>
        <w:t>Ausencia de asistencia jurídica gratuita en el expediente administrativo de protección.</w:t>
      </w:r>
    </w:p>
    <w:p w14:paraId="58B455A9" w14:textId="061B3D75" w:rsidR="00356D09" w:rsidRPr="00957229" w:rsidRDefault="00356D09" w:rsidP="00986080">
      <w:pPr>
        <w:pStyle w:val="Heading4"/>
        <w:rPr>
          <w:rFonts w:ascii="Calibri" w:hAnsi="Calibri" w:cs="Calibri"/>
          <w:sz w:val="22"/>
        </w:rPr>
      </w:pPr>
      <w:r w:rsidRPr="00957229">
        <w:rPr>
          <w:rFonts w:ascii="Calibri" w:hAnsi="Calibri" w:cs="Calibri"/>
          <w:sz w:val="22"/>
        </w:rPr>
        <w:t>Medidas provisionales.</w:t>
      </w:r>
    </w:p>
    <w:p w14:paraId="5C44C3E3" w14:textId="5F6D031E" w:rsidR="00356D09" w:rsidRPr="00957229" w:rsidRDefault="00356D09" w:rsidP="00986080">
      <w:pPr>
        <w:pStyle w:val="Heading4"/>
        <w:rPr>
          <w:rFonts w:ascii="Calibri" w:hAnsi="Calibri" w:cs="Calibri"/>
          <w:sz w:val="22"/>
        </w:rPr>
      </w:pPr>
      <w:r w:rsidRPr="00957229">
        <w:rPr>
          <w:rFonts w:ascii="Calibri" w:hAnsi="Calibri" w:cs="Calibri"/>
          <w:sz w:val="22"/>
        </w:rPr>
        <w:t>Las resoluciones judiciales que resuelven (a posteriori) la oposición frente a la medida administrativa deprotección.</w:t>
      </w:r>
    </w:p>
    <w:p w14:paraId="2BE3AE56" w14:textId="089C8553" w:rsidR="00356D09" w:rsidRPr="00957229" w:rsidRDefault="00356D09" w:rsidP="00986080">
      <w:pPr>
        <w:pStyle w:val="Heading4"/>
        <w:rPr>
          <w:rFonts w:ascii="Calibri" w:hAnsi="Calibri" w:cs="Calibri"/>
          <w:sz w:val="22"/>
        </w:rPr>
      </w:pPr>
      <w:r w:rsidRPr="00957229">
        <w:rPr>
          <w:rFonts w:ascii="Calibri" w:hAnsi="Calibri" w:cs="Calibri"/>
          <w:sz w:val="22"/>
        </w:rPr>
        <w:t>Incumplimiento del deber de garantizarel derecho a la tutela judicial efectiva. Carencia sobrevenida del objeto del pleito.</w:t>
      </w:r>
    </w:p>
    <w:p w14:paraId="3A20DB13" w14:textId="34127734" w:rsidR="00356D09" w:rsidRPr="00957229" w:rsidRDefault="00356D09" w:rsidP="00986080">
      <w:pPr>
        <w:pStyle w:val="Heading4"/>
        <w:rPr>
          <w:rFonts w:ascii="Calibri" w:hAnsi="Calibri" w:cs="Calibri"/>
          <w:sz w:val="22"/>
        </w:rPr>
      </w:pPr>
      <w:r w:rsidRPr="00957229">
        <w:rPr>
          <w:rFonts w:ascii="Calibri" w:hAnsi="Calibri" w:cs="Calibri"/>
          <w:sz w:val="22"/>
        </w:rPr>
        <w:t>Menores tutelados por la administración con trastonrno de conducta.</w:t>
      </w:r>
    </w:p>
    <w:p w14:paraId="50189212" w14:textId="17C7BB22" w:rsidR="00356D09" w:rsidRPr="00957229" w:rsidRDefault="00356D09" w:rsidP="00986080">
      <w:pPr>
        <w:pStyle w:val="Heading4"/>
        <w:rPr>
          <w:rFonts w:ascii="Calibri" w:hAnsi="Calibri" w:cs="Calibri"/>
          <w:sz w:val="22"/>
        </w:rPr>
      </w:pPr>
      <w:r w:rsidRPr="00957229">
        <w:rPr>
          <w:rFonts w:ascii="Calibri" w:hAnsi="Calibri" w:cs="Calibri"/>
          <w:sz w:val="22"/>
        </w:rPr>
        <w:t>Conclusiones a la cuestón previa E sobre niños privados de un entorno familiar.</w:t>
      </w:r>
    </w:p>
    <w:p w14:paraId="343CA2C1" w14:textId="7DAB1557" w:rsidR="001068AD" w:rsidRPr="00957229" w:rsidRDefault="001068AD" w:rsidP="001068AD">
      <w:pPr>
        <w:pStyle w:val="Heading2"/>
        <w:rPr>
          <w:rFonts w:ascii="Calibri" w:hAnsi="Calibri" w:cs="Calibri"/>
          <w:sz w:val="22"/>
        </w:rPr>
      </w:pPr>
      <w:r w:rsidRPr="00957229">
        <w:rPr>
          <w:rFonts w:ascii="Calibri" w:hAnsi="Calibri" w:cs="Calibri"/>
          <w:sz w:val="22"/>
        </w:rPr>
        <w:t>RelatiVo a la cuesTión f) niños con discapacidad.</w:t>
      </w:r>
    </w:p>
    <w:p w14:paraId="3EDEF810" w14:textId="32A30D29" w:rsidR="00356D09" w:rsidRPr="00957229" w:rsidRDefault="00356D09" w:rsidP="00883891">
      <w:pPr>
        <w:pStyle w:val="Heading4"/>
        <w:numPr>
          <w:ilvl w:val="0"/>
          <w:numId w:val="18"/>
        </w:numPr>
        <w:rPr>
          <w:rFonts w:ascii="Calibri" w:hAnsi="Calibri" w:cs="Calibri"/>
          <w:sz w:val="22"/>
        </w:rPr>
      </w:pPr>
      <w:r w:rsidRPr="00957229">
        <w:rPr>
          <w:rFonts w:ascii="Calibri" w:hAnsi="Calibri" w:cs="Calibri"/>
          <w:sz w:val="22"/>
        </w:rPr>
        <w:t>Interés superior del niño y su aplicación real, derechos a ser oído y escuchado.</w:t>
      </w:r>
    </w:p>
    <w:p w14:paraId="7F0BEF24" w14:textId="707901AC" w:rsidR="00356D09" w:rsidRPr="00957229" w:rsidRDefault="00356D09" w:rsidP="00986080">
      <w:pPr>
        <w:pStyle w:val="Heading4"/>
        <w:rPr>
          <w:rFonts w:ascii="Calibri" w:hAnsi="Calibri" w:cs="Calibri"/>
          <w:sz w:val="22"/>
        </w:rPr>
      </w:pPr>
      <w:r w:rsidRPr="00957229">
        <w:rPr>
          <w:rFonts w:ascii="Calibri" w:hAnsi="Calibri" w:cs="Calibri"/>
          <w:sz w:val="22"/>
        </w:rPr>
        <w:t>Necesidad de jueces y juzgados especializados.</w:t>
      </w:r>
    </w:p>
    <w:p w14:paraId="1998A43E" w14:textId="1C55E097" w:rsidR="00356D09" w:rsidRPr="00957229" w:rsidRDefault="00356D09" w:rsidP="00986080">
      <w:pPr>
        <w:pStyle w:val="Heading4"/>
        <w:rPr>
          <w:rFonts w:ascii="Calibri" w:hAnsi="Calibri" w:cs="Calibri"/>
          <w:sz w:val="22"/>
        </w:rPr>
      </w:pPr>
      <w:r w:rsidRPr="00957229">
        <w:rPr>
          <w:rFonts w:ascii="Calibri" w:hAnsi="Calibri" w:cs="Calibri"/>
          <w:sz w:val="22"/>
        </w:rPr>
        <w:t>El abogado del niño/a con discapacidad.</w:t>
      </w:r>
    </w:p>
    <w:p w14:paraId="7C5085BE" w14:textId="422E737F" w:rsidR="00356D09" w:rsidRPr="00957229" w:rsidRDefault="00356D09" w:rsidP="00986080">
      <w:pPr>
        <w:pStyle w:val="Heading4"/>
        <w:rPr>
          <w:rFonts w:ascii="Calibri" w:hAnsi="Calibri" w:cs="Calibri"/>
          <w:sz w:val="22"/>
        </w:rPr>
      </w:pPr>
      <w:r w:rsidRPr="00957229">
        <w:rPr>
          <w:rFonts w:ascii="Calibri" w:hAnsi="Calibri" w:cs="Calibri"/>
          <w:sz w:val="22"/>
        </w:rPr>
        <w:t>El niño con discapacidad y su derecho fundamental a la educación.</w:t>
      </w:r>
    </w:p>
    <w:p w14:paraId="2469D80E" w14:textId="77777777" w:rsidR="001068AD" w:rsidRPr="00957229" w:rsidRDefault="001068AD" w:rsidP="001068AD">
      <w:pPr>
        <w:pStyle w:val="Heading2"/>
        <w:rPr>
          <w:rFonts w:ascii="Calibri" w:hAnsi="Calibri" w:cs="Calibri"/>
          <w:sz w:val="22"/>
        </w:rPr>
      </w:pPr>
      <w:r w:rsidRPr="00957229">
        <w:rPr>
          <w:rFonts w:ascii="Calibri" w:hAnsi="Calibri" w:cs="Calibri"/>
          <w:sz w:val="22"/>
        </w:rPr>
        <w:t>RELATIVO A LA CUESTIÓN i) SOBRE LAS MEDIDAS ESPECIALES DE PROTECCIÓN. NIÑOS NO ACOMPAÑADOS Y EL SISTEMA JUDICIAL.</w:t>
      </w:r>
    </w:p>
    <w:p w14:paraId="406C8668" w14:textId="58A10E7B" w:rsidR="00356D09" w:rsidRPr="00957229" w:rsidRDefault="00356D09" w:rsidP="00883891">
      <w:pPr>
        <w:pStyle w:val="Heading4"/>
        <w:numPr>
          <w:ilvl w:val="0"/>
          <w:numId w:val="19"/>
        </w:numPr>
        <w:rPr>
          <w:rFonts w:ascii="Calibri" w:hAnsi="Calibri" w:cs="Calibri"/>
          <w:sz w:val="22"/>
        </w:rPr>
      </w:pPr>
      <w:r w:rsidRPr="00957229">
        <w:rPr>
          <w:rFonts w:ascii="Calibri" w:hAnsi="Calibri" w:cs="Calibri"/>
          <w:sz w:val="22"/>
        </w:rPr>
        <w:t>Irregularidades e incumplimientos jurídicos y sociales.</w:t>
      </w:r>
    </w:p>
    <w:p w14:paraId="0C9B8DF7" w14:textId="0EF723D4" w:rsidR="00356D09" w:rsidRPr="00957229" w:rsidRDefault="00356D09" w:rsidP="00986080">
      <w:pPr>
        <w:pStyle w:val="Heading4"/>
        <w:rPr>
          <w:rFonts w:ascii="Calibri" w:hAnsi="Calibri" w:cs="Calibri"/>
          <w:sz w:val="22"/>
        </w:rPr>
      </w:pPr>
      <w:r w:rsidRPr="00957229">
        <w:rPr>
          <w:rFonts w:ascii="Calibri" w:hAnsi="Calibri" w:cs="Calibri"/>
          <w:sz w:val="22"/>
        </w:rPr>
        <w:t>Acceso a la justicia.</w:t>
      </w:r>
    </w:p>
    <w:p w14:paraId="6651E26F" w14:textId="260D66B6" w:rsidR="00356D09" w:rsidRPr="00957229" w:rsidRDefault="00356D09" w:rsidP="00986080">
      <w:pPr>
        <w:pStyle w:val="Heading4"/>
        <w:rPr>
          <w:rFonts w:ascii="Calibri" w:hAnsi="Calibri" w:cs="Calibri"/>
          <w:sz w:val="22"/>
        </w:rPr>
      </w:pPr>
      <w:r w:rsidRPr="00957229">
        <w:rPr>
          <w:rFonts w:ascii="Calibri" w:hAnsi="Calibri" w:cs="Calibri"/>
          <w:sz w:val="22"/>
        </w:rPr>
        <w:t>Justicia amigable.</w:t>
      </w:r>
    </w:p>
    <w:p w14:paraId="4176F62E" w14:textId="6DB6DA9B" w:rsidR="00356D09" w:rsidRPr="00957229" w:rsidRDefault="00356D09" w:rsidP="00986080">
      <w:pPr>
        <w:pStyle w:val="Heading4"/>
        <w:rPr>
          <w:rFonts w:ascii="Calibri" w:hAnsi="Calibri" w:cs="Calibri"/>
          <w:sz w:val="22"/>
        </w:rPr>
      </w:pPr>
      <w:r w:rsidRPr="00957229">
        <w:rPr>
          <w:rFonts w:ascii="Calibri" w:hAnsi="Calibri" w:cs="Calibri"/>
          <w:sz w:val="22"/>
        </w:rPr>
        <w:t>El interés superior del menor.</w:t>
      </w:r>
    </w:p>
    <w:p w14:paraId="1C8EE735" w14:textId="29D68933" w:rsidR="00356D09" w:rsidRPr="00957229" w:rsidRDefault="00356D09" w:rsidP="00986080">
      <w:pPr>
        <w:pStyle w:val="Heading4"/>
        <w:rPr>
          <w:rFonts w:ascii="Calibri" w:hAnsi="Calibri" w:cs="Calibri"/>
          <w:sz w:val="22"/>
        </w:rPr>
      </w:pPr>
      <w:r w:rsidRPr="00957229">
        <w:rPr>
          <w:rFonts w:ascii="Calibri" w:hAnsi="Calibri" w:cs="Calibri"/>
          <w:sz w:val="22"/>
        </w:rPr>
        <w:t>Incumplimientos relacionados con la determinación de la edad de los niños no acompañados.</w:t>
      </w:r>
    </w:p>
    <w:p w14:paraId="04D57A11" w14:textId="492ED0C9" w:rsidR="001068AD" w:rsidRPr="00957229" w:rsidRDefault="00986080" w:rsidP="00986080">
      <w:pPr>
        <w:pStyle w:val="Heading2"/>
        <w:rPr>
          <w:rFonts w:ascii="Calibri" w:hAnsi="Calibri" w:cs="Calibri"/>
          <w:sz w:val="22"/>
        </w:rPr>
      </w:pPr>
      <w:r w:rsidRPr="00957229">
        <w:rPr>
          <w:rFonts w:ascii="Calibri" w:hAnsi="Calibri" w:cs="Calibri"/>
          <w:sz w:val="22"/>
        </w:rPr>
        <w:t>RELATIVO A LAS CUESTIONES A Y B) SOBRE MEDIDAS Y PRINCIPIOS GENERALES.</w:t>
      </w:r>
    </w:p>
    <w:p w14:paraId="6E561026" w14:textId="0F7AE3F3" w:rsidR="00356D09" w:rsidRPr="00957229" w:rsidRDefault="00356D09" w:rsidP="00883891">
      <w:pPr>
        <w:pStyle w:val="Heading4"/>
        <w:numPr>
          <w:ilvl w:val="0"/>
          <w:numId w:val="20"/>
        </w:numPr>
        <w:rPr>
          <w:rFonts w:ascii="Calibri" w:hAnsi="Calibri" w:cs="Calibri"/>
          <w:sz w:val="22"/>
        </w:rPr>
      </w:pPr>
      <w:r w:rsidRPr="00957229">
        <w:rPr>
          <w:rFonts w:ascii="Calibri" w:hAnsi="Calibri" w:cs="Calibri"/>
          <w:sz w:val="22"/>
        </w:rPr>
        <w:t>Áreas que requieren mejoras.</w:t>
      </w:r>
    </w:p>
    <w:p w14:paraId="03E1279C" w14:textId="31B684F7" w:rsidR="00356D09" w:rsidRPr="00957229" w:rsidRDefault="00356D09" w:rsidP="00986080">
      <w:pPr>
        <w:pStyle w:val="Heading4"/>
        <w:rPr>
          <w:rFonts w:ascii="Calibri" w:hAnsi="Calibri" w:cs="Calibri"/>
          <w:sz w:val="22"/>
        </w:rPr>
      </w:pPr>
      <w:r w:rsidRPr="00957229">
        <w:rPr>
          <w:rFonts w:ascii="Calibri" w:hAnsi="Calibri" w:cs="Calibri"/>
          <w:sz w:val="22"/>
        </w:rPr>
        <w:t>Desinstitucionalización en la justicia juvenil: avanzando hacia un enfoque alternativo.</w:t>
      </w:r>
    </w:p>
    <w:p w14:paraId="23462873" w14:textId="71655A62" w:rsidR="00356D09" w:rsidRPr="00957229" w:rsidRDefault="00356D09" w:rsidP="00986080">
      <w:pPr>
        <w:pStyle w:val="Heading4"/>
        <w:rPr>
          <w:rFonts w:ascii="Calibri" w:hAnsi="Calibri" w:cs="Calibri"/>
          <w:sz w:val="22"/>
        </w:rPr>
      </w:pPr>
      <w:r w:rsidRPr="00957229">
        <w:rPr>
          <w:rFonts w:ascii="Calibri" w:hAnsi="Calibri" w:cs="Calibri"/>
          <w:sz w:val="22"/>
        </w:rPr>
        <w:t>Falta de centros de internaimiento.</w:t>
      </w:r>
    </w:p>
    <w:p w14:paraId="57818BDD" w14:textId="1BF579DC" w:rsidR="00725889" w:rsidRPr="009C0FC7" w:rsidRDefault="00356D09" w:rsidP="0025203F">
      <w:pPr>
        <w:pStyle w:val="Heading4"/>
        <w:spacing w:after="160" w:afterAutospacing="0" w:line="259" w:lineRule="auto"/>
        <w:jc w:val="left"/>
        <w:rPr>
          <w:rFonts w:ascii="Calibri" w:hAnsi="Calibri" w:cs="Calibri"/>
          <w:sz w:val="22"/>
        </w:rPr>
      </w:pPr>
      <w:r w:rsidRPr="009C0FC7">
        <w:rPr>
          <w:rFonts w:ascii="Calibri" w:hAnsi="Calibri" w:cs="Calibri"/>
          <w:sz w:val="22"/>
        </w:rPr>
        <w:t>Abogados no especializados en la jurisdicción voluntaria.</w:t>
      </w:r>
      <w:r w:rsidR="00725889" w:rsidRPr="009C0FC7">
        <w:rPr>
          <w:rFonts w:ascii="Calibri" w:hAnsi="Calibri" w:cs="Calibri"/>
          <w:sz w:val="22"/>
        </w:rPr>
        <w:br w:type="page"/>
      </w:r>
    </w:p>
    <w:p w14:paraId="13F8C4C6" w14:textId="5DE399D5" w:rsidR="004260B2" w:rsidRPr="00957229" w:rsidRDefault="004260B2" w:rsidP="00883891">
      <w:pPr>
        <w:pStyle w:val="Heading2"/>
        <w:numPr>
          <w:ilvl w:val="0"/>
          <w:numId w:val="17"/>
        </w:numPr>
        <w:rPr>
          <w:rFonts w:ascii="Calibri" w:hAnsi="Calibri" w:cs="Calibri"/>
          <w:sz w:val="22"/>
        </w:rPr>
      </w:pPr>
      <w:r w:rsidRPr="00957229">
        <w:rPr>
          <w:rFonts w:ascii="Calibri" w:hAnsi="Calibri" w:cs="Calibri"/>
          <w:sz w:val="22"/>
        </w:rPr>
        <w:lastRenderedPageBreak/>
        <w:t>RELATIVO A LA CUESTIÓN D): VIOLENCIA CONTRA LOS NIÑOS.</w:t>
      </w:r>
    </w:p>
    <w:p w14:paraId="179A2CFF" w14:textId="0AE2129C" w:rsidR="004260B2" w:rsidRPr="00957229" w:rsidRDefault="004260B2" w:rsidP="00883891">
      <w:pPr>
        <w:pStyle w:val="Heading4"/>
        <w:numPr>
          <w:ilvl w:val="0"/>
          <w:numId w:val="16"/>
        </w:numPr>
        <w:rPr>
          <w:rFonts w:ascii="Calibri" w:hAnsi="Calibri" w:cs="Calibri"/>
          <w:sz w:val="22"/>
        </w:rPr>
      </w:pPr>
      <w:r w:rsidRPr="00957229">
        <w:rPr>
          <w:rFonts w:ascii="Calibri" w:hAnsi="Calibri" w:cs="Calibri"/>
          <w:sz w:val="22"/>
        </w:rPr>
        <w:t xml:space="preserve">INCUMPLIMIENTO </w:t>
      </w:r>
      <w:r w:rsidR="00CC22E5" w:rsidRPr="00957229">
        <w:rPr>
          <w:rFonts w:ascii="Calibri" w:hAnsi="Calibri" w:cs="Calibri"/>
          <w:sz w:val="22"/>
        </w:rPr>
        <w:t xml:space="preserve">EN LA APLICACIÓN EFECTIVA </w:t>
      </w:r>
      <w:r w:rsidRPr="00957229">
        <w:rPr>
          <w:rFonts w:ascii="Calibri" w:hAnsi="Calibri" w:cs="Calibri"/>
          <w:sz w:val="22"/>
        </w:rPr>
        <w:t>DE LA LEY ORGÁNICA DE PROTECCIÓN INTEGRAL A LA INFANCIA Y LA ADOLESCENCIA FRENTE A LA VIOLENCIA (LOPIVI) EN CASOS RELACIONADOS CON MENORES VÍCTIMAS DE DELITOS</w:t>
      </w:r>
      <w:r w:rsidR="001068AD" w:rsidRPr="00957229">
        <w:rPr>
          <w:rFonts w:ascii="Calibri" w:hAnsi="Calibri" w:cs="Calibri"/>
          <w:sz w:val="22"/>
        </w:rPr>
        <w:t>.</w:t>
      </w:r>
    </w:p>
    <w:p w14:paraId="391CC07C" w14:textId="77777777" w:rsidR="004260B2" w:rsidRPr="00957229" w:rsidRDefault="004260B2" w:rsidP="004260B2">
      <w:pPr>
        <w:rPr>
          <w:rFonts w:ascii="Calibri" w:hAnsi="Calibri" w:cs="Calibri"/>
          <w:sz w:val="22"/>
        </w:rPr>
      </w:pPr>
      <w:r w:rsidRPr="00957229">
        <w:rPr>
          <w:rFonts w:ascii="Calibri" w:hAnsi="Calibri" w:cs="Calibri"/>
          <w:sz w:val="22"/>
        </w:rPr>
        <w:t>La Ley Orgánica de Protección Integral a la Infancia y la Adolescencia frente a la Violencia (LOPIVI) constituye una pieza fundamental en la protección de los derechos y el bienestar de los menores en situaciones de vulnerabilidad, especialmente cuando son víctimas de delitos. No obstante, se han detectado diversas deficiencias y áreas de incumplimiento en la aplicación efectiva de esta normativa en casos que involucran a menores como víctimas de delitos.</w:t>
      </w:r>
    </w:p>
    <w:p w14:paraId="1F1129A5" w14:textId="77777777" w:rsidR="004260B2" w:rsidRPr="00957229" w:rsidRDefault="004260B2" w:rsidP="004260B2">
      <w:pPr>
        <w:rPr>
          <w:rFonts w:ascii="Calibri" w:hAnsi="Calibri" w:cs="Calibri"/>
          <w:sz w:val="22"/>
        </w:rPr>
      </w:pPr>
      <w:r w:rsidRPr="00957229">
        <w:rPr>
          <w:rFonts w:ascii="Calibri" w:hAnsi="Calibri" w:cs="Calibri"/>
          <w:sz w:val="22"/>
        </w:rPr>
        <w:t>El acceso de los menores a la justicia debe ser una prioridad, requiriendo medidas específicas como la creación de salas especializadas en juzgados de familia y la designación de defensores públicos especializados. Es esencial garantizar la confidencialidad y protección de la identidad de los menores durante el proceso judicial.</w:t>
      </w:r>
    </w:p>
    <w:p w14:paraId="70775530" w14:textId="77777777" w:rsidR="004260B2" w:rsidRPr="00957229" w:rsidRDefault="004260B2" w:rsidP="004260B2">
      <w:pPr>
        <w:rPr>
          <w:rFonts w:ascii="Calibri" w:hAnsi="Calibri" w:cs="Calibri"/>
          <w:sz w:val="22"/>
        </w:rPr>
      </w:pPr>
      <w:r w:rsidRPr="00957229">
        <w:rPr>
          <w:rFonts w:ascii="Calibri" w:hAnsi="Calibri" w:cs="Calibri"/>
          <w:sz w:val="22"/>
        </w:rPr>
        <w:t>Fortalecer los servicios de protección y asistencia integral a los menores víctimas de delitos es crucial, asignando recursos suficientes y ofreciendo formación especializada al personal. Se deben establecer protocolos claros de actuación y coordinación entre diferentes instituciones involucradas.</w:t>
      </w:r>
    </w:p>
    <w:p w14:paraId="2D0BFFC2" w14:textId="77777777" w:rsidR="004260B2" w:rsidRPr="00957229" w:rsidRDefault="004260B2" w:rsidP="004260B2">
      <w:pPr>
        <w:rPr>
          <w:rFonts w:ascii="Calibri" w:hAnsi="Calibri" w:cs="Calibri"/>
          <w:sz w:val="22"/>
        </w:rPr>
      </w:pPr>
      <w:r w:rsidRPr="00957229">
        <w:rPr>
          <w:rFonts w:ascii="Calibri" w:hAnsi="Calibri" w:cs="Calibri"/>
          <w:sz w:val="22"/>
        </w:rPr>
        <w:t>La prevención y sensibilización son fundamentales, mediante programas educativos en las escuelas y campañas dirigidas a la sociedad en general, promoviendo una cultura de respeto y protección hacia la infancia.</w:t>
      </w:r>
    </w:p>
    <w:p w14:paraId="405F8FEA" w14:textId="77777777" w:rsidR="004260B2" w:rsidRPr="00957229" w:rsidRDefault="004260B2" w:rsidP="004260B2">
      <w:pPr>
        <w:rPr>
          <w:rFonts w:ascii="Calibri" w:hAnsi="Calibri" w:cs="Calibri"/>
          <w:sz w:val="22"/>
        </w:rPr>
      </w:pPr>
      <w:r w:rsidRPr="00957229">
        <w:rPr>
          <w:rFonts w:ascii="Calibri" w:hAnsi="Calibri" w:cs="Calibri"/>
          <w:sz w:val="22"/>
        </w:rPr>
        <w:t>Para mejorar la coordinación entre instituciones, se deben establecer mecanismos de colaboración efectivos, como comités interinstitucionales y protocolos de actuación compartidos. La formación y sensibilización del personal son clave en este proceso.</w:t>
      </w:r>
    </w:p>
    <w:p w14:paraId="2D20E711" w14:textId="77777777" w:rsidR="004260B2" w:rsidRPr="00957229" w:rsidRDefault="004260B2" w:rsidP="004260B2">
      <w:pPr>
        <w:rPr>
          <w:rFonts w:ascii="Calibri" w:hAnsi="Calibri" w:cs="Calibri"/>
          <w:sz w:val="22"/>
        </w:rPr>
      </w:pPr>
      <w:r w:rsidRPr="00957229">
        <w:rPr>
          <w:rFonts w:ascii="Calibri" w:hAnsi="Calibri" w:cs="Calibri"/>
          <w:sz w:val="22"/>
        </w:rPr>
        <w:t>En conclusión, abordar el incumplimiento de la LOPIVI en casos de menores víctimas de delitos requiere medidas concretas en áreas como el acceso a la justicia, protección integral, prevención y sensibilización, y coordinación interinstitucional. Esto implica un compromiso tanto de las autoridades como de la sociedad para garantizar el pleno cumplimiento de los derechos de los menores en situación de vulnerabilidad.</w:t>
      </w:r>
    </w:p>
    <w:p w14:paraId="624D2F98" w14:textId="77777777" w:rsidR="004260B2" w:rsidRPr="00957229" w:rsidRDefault="004260B2" w:rsidP="004260B2">
      <w:pPr>
        <w:rPr>
          <w:rFonts w:ascii="Calibri" w:hAnsi="Calibri" w:cs="Calibri"/>
          <w:sz w:val="22"/>
        </w:rPr>
      </w:pPr>
      <w:r w:rsidRPr="00957229">
        <w:rPr>
          <w:rFonts w:ascii="Calibri" w:hAnsi="Calibri" w:cs="Calibri"/>
          <w:sz w:val="22"/>
        </w:rPr>
        <w:t>Es fundamental contar con abogados especializados en derecho de la infancia y adolescencia, así como en derecho penal, para proporcionar asistencia legal efectiva a menores víctimas de delitos. En la provincia de Málaga, existe un turno de oficio especializado en esta materia, con abogados capacitados para representar a los menores afectados de manera centrada en sus necesidades. Este modelo, en coordinación con diversas instituciones, ha demostrado reducir la revictimización y garantizar el ejercicio de los derechos reconocidos en la LOPIVI. Se recomienda implementar esta iniciativa en todos los Colegios de Abogados de España, dotándola de presupuesto específico para su funcionamiento óptimo.</w:t>
      </w:r>
    </w:p>
    <w:p w14:paraId="4627D1CE" w14:textId="77777777" w:rsidR="004260B2" w:rsidRPr="00957229" w:rsidRDefault="004260B2" w:rsidP="004260B2">
      <w:pPr>
        <w:rPr>
          <w:rFonts w:ascii="Calibri" w:hAnsi="Calibri" w:cs="Calibri"/>
          <w:sz w:val="22"/>
        </w:rPr>
      </w:pPr>
      <w:r w:rsidRPr="00957229">
        <w:rPr>
          <w:rFonts w:ascii="Calibri" w:hAnsi="Calibri" w:cs="Calibri"/>
          <w:sz w:val="22"/>
        </w:rPr>
        <w:t>El Estatuto de la Víctima establece derechos y garantías para personas que han sufrido delitos, incluyendo a menores, con el objetivo de asegurar una atención integral y respetuosa, fortaleciendo su participación en el proceso judicial y garantizando su acceso a la justicia.</w:t>
      </w:r>
    </w:p>
    <w:p w14:paraId="00A8A1C8" w14:textId="77777777" w:rsidR="004260B2" w:rsidRPr="00957229" w:rsidRDefault="004260B2" w:rsidP="004260B2">
      <w:pPr>
        <w:rPr>
          <w:rFonts w:ascii="Calibri" w:hAnsi="Calibri" w:cs="Calibri"/>
          <w:sz w:val="22"/>
        </w:rPr>
      </w:pPr>
      <w:r w:rsidRPr="00957229">
        <w:rPr>
          <w:rFonts w:ascii="Calibri" w:hAnsi="Calibri" w:cs="Calibri"/>
          <w:sz w:val="22"/>
        </w:rPr>
        <w:lastRenderedPageBreak/>
        <w:t>Es esencial garantizar la plena implementación del Estatuto en casos que involucren a menores víctimas de delitos, difundiendo sus derechos entre profesionales del sistema de justicia y la población en general.</w:t>
      </w:r>
    </w:p>
    <w:p w14:paraId="6053363E" w14:textId="77777777" w:rsidR="004260B2" w:rsidRPr="00957229" w:rsidRDefault="004260B2" w:rsidP="004260B2">
      <w:pPr>
        <w:rPr>
          <w:rFonts w:ascii="Calibri" w:hAnsi="Calibri" w:cs="Calibri"/>
          <w:sz w:val="22"/>
        </w:rPr>
      </w:pPr>
      <w:r w:rsidRPr="00957229">
        <w:rPr>
          <w:rFonts w:ascii="Calibri" w:hAnsi="Calibri" w:cs="Calibri"/>
          <w:sz w:val="22"/>
        </w:rPr>
        <w:t>La formación especializada para profesionales que trabajan con menores víctimas de delitos es crucial, abordando aspectos legales del Estatuto y las necesidades específicas de los menores en situación de vulnerabilidad.</w:t>
      </w:r>
    </w:p>
    <w:p w14:paraId="7354D864" w14:textId="77777777" w:rsidR="004260B2" w:rsidRPr="00957229" w:rsidRDefault="004260B2" w:rsidP="004260B2">
      <w:pPr>
        <w:rPr>
          <w:rFonts w:ascii="Calibri" w:hAnsi="Calibri" w:cs="Calibri"/>
          <w:sz w:val="22"/>
        </w:rPr>
      </w:pPr>
      <w:r w:rsidRPr="00957229">
        <w:rPr>
          <w:rFonts w:ascii="Calibri" w:hAnsi="Calibri" w:cs="Calibri"/>
          <w:sz w:val="22"/>
        </w:rPr>
        <w:t>Se debe fortalecer los servicios de atención a víctimas para garantizar una respuesta integral y coordinada, ampliando recursos disponibles y mejorando la coordinación entre servicios y organismos.</w:t>
      </w:r>
    </w:p>
    <w:p w14:paraId="18FE60E7" w14:textId="7FA86C68" w:rsidR="004260B2" w:rsidRPr="00957229" w:rsidRDefault="004260B2" w:rsidP="004260B2">
      <w:pPr>
        <w:rPr>
          <w:rFonts w:ascii="Calibri" w:hAnsi="Calibri" w:cs="Calibri"/>
          <w:sz w:val="22"/>
        </w:rPr>
      </w:pPr>
      <w:r w:rsidRPr="00957229">
        <w:rPr>
          <w:rFonts w:ascii="Calibri" w:hAnsi="Calibri" w:cs="Calibri"/>
          <w:sz w:val="22"/>
        </w:rPr>
        <w:t>Es fundamental que l</w:t>
      </w:r>
      <w:r w:rsidR="009C0FC7">
        <w:rPr>
          <w:rFonts w:ascii="Calibri" w:hAnsi="Calibri" w:cs="Calibri"/>
          <w:sz w:val="22"/>
        </w:rPr>
        <w:t>as</w:t>
      </w:r>
      <w:r w:rsidRPr="00957229">
        <w:rPr>
          <w:rFonts w:ascii="Calibri" w:hAnsi="Calibri" w:cs="Calibri"/>
          <w:sz w:val="22"/>
        </w:rPr>
        <w:t xml:space="preserve"> menores víctimas de delitos puedan participar efectivamente en el proceso judicial, respetando su interés superior y adaptando la comunicación a su edad y desarrollo.</w:t>
      </w:r>
    </w:p>
    <w:p w14:paraId="71D83909" w14:textId="77777777" w:rsidR="004260B2" w:rsidRPr="00957229" w:rsidRDefault="004260B2" w:rsidP="004260B2">
      <w:pPr>
        <w:rPr>
          <w:rFonts w:ascii="Calibri" w:hAnsi="Calibri" w:cs="Calibri"/>
          <w:sz w:val="22"/>
        </w:rPr>
      </w:pPr>
      <w:r w:rsidRPr="00957229">
        <w:rPr>
          <w:rFonts w:ascii="Calibri" w:hAnsi="Calibri" w:cs="Calibri"/>
          <w:sz w:val="22"/>
        </w:rPr>
        <w:t>Se deben implementar medidas de protección específicas para garantizar la seguridad y bienestar de los menores afectados, tanto durante el proceso judicial como en su vida cotidiana.</w:t>
      </w:r>
    </w:p>
    <w:p w14:paraId="0F10F42D" w14:textId="77777777" w:rsidR="004260B2" w:rsidRPr="00957229" w:rsidRDefault="004260B2" w:rsidP="004260B2">
      <w:pPr>
        <w:rPr>
          <w:rFonts w:ascii="Calibri" w:hAnsi="Calibri" w:cs="Calibri"/>
          <w:sz w:val="22"/>
        </w:rPr>
      </w:pPr>
      <w:r w:rsidRPr="00957229">
        <w:rPr>
          <w:rFonts w:ascii="Calibri" w:hAnsi="Calibri" w:cs="Calibri"/>
          <w:sz w:val="22"/>
        </w:rPr>
        <w:t>Abordar la situación de los menores víctimas de delitos requiere ampliar las propuestas de solución en el marco del Estatuto de la Víctima, comprometiendo a autoridades y sociedad para asegurar el cumplimiento de los derechos de los menores en situación de vulnerabilidad.</w:t>
      </w:r>
    </w:p>
    <w:p w14:paraId="18741706" w14:textId="77777777" w:rsidR="004260B2" w:rsidRPr="00957229" w:rsidRDefault="004260B2" w:rsidP="004260B2">
      <w:pPr>
        <w:rPr>
          <w:rFonts w:ascii="Calibri" w:hAnsi="Calibri" w:cs="Calibri"/>
          <w:sz w:val="22"/>
        </w:rPr>
      </w:pPr>
      <w:r w:rsidRPr="00957229">
        <w:rPr>
          <w:rFonts w:ascii="Calibri" w:hAnsi="Calibri" w:cs="Calibri"/>
          <w:sz w:val="22"/>
        </w:rPr>
        <w:t>Relacionar el Estatuto de la Víctima con los incumplimientos de la LOPIVI en casos de menores víctimas de delitos permite identificar áreas de mejora en la protección de los derechos de los menores. Se proponen acciones concretas para abordar estos incumplimientos:</w:t>
      </w:r>
    </w:p>
    <w:p w14:paraId="38A40F41" w14:textId="77777777" w:rsidR="004260B2" w:rsidRPr="00957229" w:rsidRDefault="004260B2" w:rsidP="004260B2">
      <w:pPr>
        <w:rPr>
          <w:rFonts w:ascii="Calibri" w:hAnsi="Calibri" w:cs="Calibri"/>
          <w:sz w:val="22"/>
        </w:rPr>
      </w:pPr>
      <w:r w:rsidRPr="00957229">
        <w:rPr>
          <w:rFonts w:ascii="Calibri" w:hAnsi="Calibri" w:cs="Calibri"/>
          <w:sz w:val="22"/>
        </w:rPr>
        <w:t>Acceso a la Justicia: Garantizar el acceso efectivo de los menores a la justicia, aplicando los derechos reconocidos en el Estatuto de la Víctima, como recibir información clara y ser escuchados en el proceso.</w:t>
      </w:r>
    </w:p>
    <w:p w14:paraId="08EA14CC" w14:textId="77777777" w:rsidR="004260B2" w:rsidRPr="00957229" w:rsidRDefault="004260B2" w:rsidP="004260B2">
      <w:pPr>
        <w:rPr>
          <w:rFonts w:ascii="Calibri" w:hAnsi="Calibri" w:cs="Calibri"/>
          <w:sz w:val="22"/>
        </w:rPr>
      </w:pPr>
      <w:r w:rsidRPr="00957229">
        <w:rPr>
          <w:rFonts w:ascii="Calibri" w:hAnsi="Calibri" w:cs="Calibri"/>
          <w:sz w:val="22"/>
        </w:rPr>
        <w:t>Protección y Asistencia Integral: Fortalecer los servicios de atención a víctimas para una respuesta coordinada a las necesidades de los menores, conforme al Estatuto de la Víctima.</w:t>
      </w:r>
    </w:p>
    <w:p w14:paraId="172C83F8" w14:textId="77777777" w:rsidR="004260B2" w:rsidRPr="00957229" w:rsidRDefault="004260B2" w:rsidP="004260B2">
      <w:pPr>
        <w:rPr>
          <w:rFonts w:ascii="Calibri" w:hAnsi="Calibri" w:cs="Calibri"/>
          <w:sz w:val="22"/>
        </w:rPr>
      </w:pPr>
      <w:r w:rsidRPr="00957229">
        <w:rPr>
          <w:rFonts w:ascii="Calibri" w:hAnsi="Calibri" w:cs="Calibri"/>
          <w:sz w:val="22"/>
        </w:rPr>
        <w:t>Prevención y Sensibilización: Promover la sensibilización y prevención de la violencia contra los menores a través de iniciativas contempladas en el Estatuto de la Víctima.</w:t>
      </w:r>
    </w:p>
    <w:p w14:paraId="21CF7ADE" w14:textId="77777777" w:rsidR="004260B2" w:rsidRPr="00957229" w:rsidRDefault="004260B2" w:rsidP="004260B2">
      <w:pPr>
        <w:rPr>
          <w:rFonts w:ascii="Calibri" w:hAnsi="Calibri" w:cs="Calibri"/>
          <w:sz w:val="22"/>
        </w:rPr>
      </w:pPr>
      <w:r w:rsidRPr="00957229">
        <w:rPr>
          <w:rFonts w:ascii="Calibri" w:hAnsi="Calibri" w:cs="Calibri"/>
          <w:sz w:val="22"/>
        </w:rPr>
        <w:t>Coordinación Interinstitucional: Establecer mecanismos de coordinación basados en el Estatuto de la Víctima para garantizar una respuesta eficaz ante casos de menores víctimas de delitos.</w:t>
      </w:r>
    </w:p>
    <w:p w14:paraId="2FA94BD9" w14:textId="77777777" w:rsidR="004260B2" w:rsidRPr="00957229" w:rsidRDefault="004260B2" w:rsidP="004260B2">
      <w:pPr>
        <w:rPr>
          <w:rFonts w:ascii="Calibri" w:hAnsi="Calibri" w:cs="Calibri"/>
          <w:sz w:val="22"/>
        </w:rPr>
      </w:pPr>
      <w:r w:rsidRPr="00957229">
        <w:rPr>
          <w:rFonts w:ascii="Calibri" w:hAnsi="Calibri" w:cs="Calibri"/>
          <w:sz w:val="22"/>
        </w:rPr>
        <w:t>La justicia amigable para menores víctimas de delito busca crear un entorno seguro, comunicación adaptada, participación activa, protección especial y apoyo psicosocial durante el proceso judicial, minimizando su traumatización y revictimización. La LOPIVI y la justicia amigable están interrelacionadas en su objetivo de proteger a los menores en situaciones de vulnerabilidad, como víctimas de violencia o delitos.</w:t>
      </w:r>
    </w:p>
    <w:p w14:paraId="0CCF9C53" w14:textId="77777777" w:rsidR="004260B2" w:rsidRPr="00957229" w:rsidRDefault="004260B2" w:rsidP="004260B2">
      <w:pPr>
        <w:rPr>
          <w:rFonts w:ascii="Calibri" w:hAnsi="Calibri" w:cs="Calibri"/>
          <w:sz w:val="22"/>
        </w:rPr>
      </w:pPr>
      <w:r w:rsidRPr="00957229">
        <w:rPr>
          <w:rFonts w:ascii="Calibri" w:hAnsi="Calibri" w:cs="Calibri"/>
          <w:sz w:val="22"/>
        </w:rPr>
        <w:t>La creación de juzgados especializados para menores víctimas de delito es una medida crucial que puede mejorar significativamente la atención y protección de los derechos de los menores en situación de vulnerabilidad. Estos juzgados están diseñados para abordar de manera específica y adaptada las necesidades legales, emocionales y sociales de los menores afectados.</w:t>
      </w:r>
    </w:p>
    <w:p w14:paraId="13ACE37D" w14:textId="77777777" w:rsidR="004260B2" w:rsidRPr="00957229" w:rsidRDefault="004260B2" w:rsidP="004260B2">
      <w:pPr>
        <w:rPr>
          <w:rFonts w:ascii="Calibri" w:hAnsi="Calibri" w:cs="Calibri"/>
          <w:sz w:val="22"/>
        </w:rPr>
      </w:pPr>
      <w:r w:rsidRPr="00957229">
        <w:rPr>
          <w:rFonts w:ascii="Calibri" w:hAnsi="Calibri" w:cs="Calibri"/>
          <w:sz w:val="22"/>
        </w:rPr>
        <w:lastRenderedPageBreak/>
        <w:t>A pesar de estar contemplada en la LOPIVI, su implementación está aún pendiente. Sin embargo, la creación de estos juzgados especializados sería fundamental para cumplir con el objetivo primordial de la Ley y para avanzar hacia una justicia amigable, reduciendo los riesgos que busca minimizar la Ley.</w:t>
      </w:r>
    </w:p>
    <w:p w14:paraId="6A9FE2E3" w14:textId="77777777" w:rsidR="004260B2" w:rsidRPr="00957229" w:rsidRDefault="004260B2" w:rsidP="004260B2">
      <w:pPr>
        <w:rPr>
          <w:rFonts w:ascii="Calibri" w:hAnsi="Calibri" w:cs="Calibri"/>
          <w:sz w:val="22"/>
        </w:rPr>
      </w:pPr>
      <w:r w:rsidRPr="00957229">
        <w:rPr>
          <w:rFonts w:ascii="Calibri" w:hAnsi="Calibri" w:cs="Calibri"/>
          <w:sz w:val="22"/>
        </w:rPr>
        <w:t>Características clave de estos juzgados incluyen:</w:t>
      </w:r>
    </w:p>
    <w:p w14:paraId="12D00C50" w14:textId="77777777" w:rsidR="004260B2" w:rsidRPr="00957229" w:rsidRDefault="004260B2" w:rsidP="00883891">
      <w:pPr>
        <w:pStyle w:val="ListParagraph"/>
        <w:numPr>
          <w:ilvl w:val="0"/>
          <w:numId w:val="8"/>
        </w:numPr>
        <w:rPr>
          <w:rFonts w:ascii="Calibri" w:hAnsi="Calibri" w:cs="Calibri"/>
          <w:sz w:val="22"/>
          <w:szCs w:val="22"/>
        </w:rPr>
      </w:pPr>
      <w:r w:rsidRPr="00957229">
        <w:rPr>
          <w:rFonts w:ascii="Calibri" w:hAnsi="Calibri" w:cs="Calibri"/>
          <w:sz w:val="22"/>
          <w:szCs w:val="22"/>
        </w:rPr>
        <w:t>Enfoque centrado en el menor.</w:t>
      </w:r>
    </w:p>
    <w:p w14:paraId="5275177A" w14:textId="77777777" w:rsidR="004260B2" w:rsidRPr="00957229" w:rsidRDefault="004260B2" w:rsidP="00883891">
      <w:pPr>
        <w:pStyle w:val="ListParagraph"/>
        <w:numPr>
          <w:ilvl w:val="0"/>
          <w:numId w:val="8"/>
        </w:numPr>
        <w:rPr>
          <w:rFonts w:ascii="Calibri" w:hAnsi="Calibri" w:cs="Calibri"/>
          <w:sz w:val="22"/>
          <w:szCs w:val="22"/>
        </w:rPr>
      </w:pPr>
      <w:r w:rsidRPr="00957229">
        <w:rPr>
          <w:rFonts w:ascii="Calibri" w:hAnsi="Calibri" w:cs="Calibri"/>
          <w:sz w:val="22"/>
          <w:szCs w:val="22"/>
        </w:rPr>
        <w:t>Profesionales especializados en derecho de la infancia y adolescencia, así como en psicología y trabajo social.</w:t>
      </w:r>
    </w:p>
    <w:p w14:paraId="711288EC" w14:textId="77777777" w:rsidR="004260B2" w:rsidRPr="00957229" w:rsidRDefault="004260B2" w:rsidP="00883891">
      <w:pPr>
        <w:pStyle w:val="ListParagraph"/>
        <w:numPr>
          <w:ilvl w:val="0"/>
          <w:numId w:val="8"/>
        </w:numPr>
        <w:rPr>
          <w:rFonts w:ascii="Calibri" w:hAnsi="Calibri" w:cs="Calibri"/>
          <w:sz w:val="22"/>
          <w:szCs w:val="22"/>
        </w:rPr>
      </w:pPr>
      <w:r w:rsidRPr="00957229">
        <w:rPr>
          <w:rFonts w:ascii="Calibri" w:hAnsi="Calibri" w:cs="Calibri"/>
          <w:sz w:val="22"/>
          <w:szCs w:val="22"/>
        </w:rPr>
        <w:t>Adaptación de procedimientos legales a las necesidades de los menores.</w:t>
      </w:r>
    </w:p>
    <w:p w14:paraId="6F1BAB42" w14:textId="77777777" w:rsidR="004260B2" w:rsidRPr="00957229" w:rsidRDefault="004260B2" w:rsidP="00883891">
      <w:pPr>
        <w:pStyle w:val="ListParagraph"/>
        <w:numPr>
          <w:ilvl w:val="0"/>
          <w:numId w:val="8"/>
        </w:numPr>
        <w:rPr>
          <w:rFonts w:ascii="Calibri" w:hAnsi="Calibri" w:cs="Calibri"/>
          <w:sz w:val="22"/>
          <w:szCs w:val="22"/>
        </w:rPr>
      </w:pPr>
      <w:r w:rsidRPr="00957229">
        <w:rPr>
          <w:rFonts w:ascii="Calibri" w:hAnsi="Calibri" w:cs="Calibri"/>
          <w:sz w:val="22"/>
          <w:szCs w:val="22"/>
        </w:rPr>
        <w:t>Protección de la intimidad y confidencialidad.</w:t>
      </w:r>
    </w:p>
    <w:p w14:paraId="138607FA" w14:textId="77777777" w:rsidR="004260B2" w:rsidRPr="00957229" w:rsidRDefault="004260B2" w:rsidP="00883891">
      <w:pPr>
        <w:pStyle w:val="ListParagraph"/>
        <w:numPr>
          <w:ilvl w:val="0"/>
          <w:numId w:val="8"/>
        </w:numPr>
        <w:rPr>
          <w:rFonts w:ascii="Calibri" w:hAnsi="Calibri" w:cs="Calibri"/>
          <w:sz w:val="22"/>
          <w:szCs w:val="22"/>
        </w:rPr>
      </w:pPr>
      <w:r w:rsidRPr="00957229">
        <w:rPr>
          <w:rFonts w:ascii="Calibri" w:hAnsi="Calibri" w:cs="Calibri"/>
          <w:sz w:val="22"/>
          <w:szCs w:val="22"/>
        </w:rPr>
        <w:t>Coordinación interinstitucional.</w:t>
      </w:r>
    </w:p>
    <w:p w14:paraId="17ECC52F" w14:textId="77777777" w:rsidR="004260B2" w:rsidRPr="00957229" w:rsidRDefault="004260B2" w:rsidP="00883891">
      <w:pPr>
        <w:pStyle w:val="ListParagraph"/>
        <w:numPr>
          <w:ilvl w:val="0"/>
          <w:numId w:val="8"/>
        </w:numPr>
        <w:rPr>
          <w:rFonts w:ascii="Calibri" w:hAnsi="Calibri" w:cs="Calibri"/>
          <w:sz w:val="22"/>
          <w:szCs w:val="22"/>
        </w:rPr>
      </w:pPr>
      <w:r w:rsidRPr="00957229">
        <w:rPr>
          <w:rFonts w:ascii="Calibri" w:hAnsi="Calibri" w:cs="Calibri"/>
          <w:sz w:val="22"/>
          <w:szCs w:val="22"/>
        </w:rPr>
        <w:t>Atención integral a las necesidades del menor, incluyendo apoyo psicológico, médico y social, así como medidas de protección y reparación adecuadas.</w:t>
      </w:r>
    </w:p>
    <w:p w14:paraId="71555ADD" w14:textId="77777777" w:rsidR="004260B2" w:rsidRPr="00957229" w:rsidRDefault="004260B2" w:rsidP="004260B2">
      <w:pPr>
        <w:rPr>
          <w:rFonts w:ascii="Calibri" w:hAnsi="Calibri" w:cs="Calibri"/>
          <w:sz w:val="22"/>
        </w:rPr>
      </w:pPr>
      <w:r w:rsidRPr="00957229">
        <w:rPr>
          <w:rFonts w:ascii="Calibri" w:hAnsi="Calibri" w:cs="Calibri"/>
          <w:sz w:val="22"/>
        </w:rPr>
        <w:t>La creación de estos juzgados especializados es fundamental para garantizar una respuesta efectiva y adaptada a las necesidades de los menores víctimas de delito, fortaleciendo su protección y promoviendo su recuperación y bienestar dentro del sistema judicial.</w:t>
      </w:r>
    </w:p>
    <w:p w14:paraId="728BB25D" w14:textId="77777777" w:rsidR="004260B2" w:rsidRPr="00957229" w:rsidRDefault="004260B2" w:rsidP="004260B2">
      <w:pPr>
        <w:rPr>
          <w:rFonts w:ascii="Calibri" w:hAnsi="Calibri" w:cs="Calibri"/>
          <w:sz w:val="22"/>
        </w:rPr>
      </w:pPr>
      <w:r w:rsidRPr="00957229">
        <w:rPr>
          <w:rFonts w:ascii="Calibri" w:hAnsi="Calibri" w:cs="Calibri"/>
          <w:sz w:val="22"/>
        </w:rPr>
        <w:t>La protección de menores víctimas de delito es una preocupación global, abordada por varias normativas internacionales que establecen estándares y principios para garantizar sus derechos y bienestar:</w:t>
      </w:r>
    </w:p>
    <w:p w14:paraId="74469125" w14:textId="77777777" w:rsidR="004260B2" w:rsidRPr="00957229" w:rsidRDefault="004260B2" w:rsidP="004260B2">
      <w:pPr>
        <w:rPr>
          <w:rFonts w:ascii="Calibri" w:hAnsi="Calibri" w:cs="Calibri"/>
          <w:sz w:val="22"/>
        </w:rPr>
      </w:pPr>
      <w:r w:rsidRPr="00957229">
        <w:rPr>
          <w:rFonts w:ascii="Calibri" w:hAnsi="Calibri" w:cs="Calibri"/>
          <w:sz w:val="22"/>
        </w:rPr>
        <w:t>Convención sobre los Derechos del Niño (CDN): Reconoce el derecho fundamental de los niños a la protección contra la violencia, abuso y explotación.</w:t>
      </w:r>
    </w:p>
    <w:p w14:paraId="523B1FEB" w14:textId="77777777" w:rsidR="004260B2" w:rsidRPr="00957229" w:rsidRDefault="004260B2" w:rsidP="004260B2">
      <w:pPr>
        <w:rPr>
          <w:rFonts w:ascii="Calibri" w:hAnsi="Calibri" w:cs="Calibri"/>
          <w:sz w:val="22"/>
        </w:rPr>
      </w:pPr>
      <w:r w:rsidRPr="00957229">
        <w:rPr>
          <w:rFonts w:ascii="Calibri" w:hAnsi="Calibri" w:cs="Calibri"/>
          <w:sz w:val="22"/>
        </w:rPr>
        <w:t>Directrices de las Naciones Unidas sobre Justicia en Asuntos de Menores (Directrices de Beijing): Establecen principios para una justicia adaptada a las necesidades de los menores, incluyendo la protección de sus derechos y su participación activa en los procesos judiciales.</w:t>
      </w:r>
    </w:p>
    <w:p w14:paraId="41444E5E" w14:textId="77777777" w:rsidR="004260B2" w:rsidRPr="00957229" w:rsidRDefault="004260B2" w:rsidP="004260B2">
      <w:pPr>
        <w:rPr>
          <w:rFonts w:ascii="Calibri" w:hAnsi="Calibri" w:cs="Calibri"/>
          <w:sz w:val="22"/>
        </w:rPr>
      </w:pPr>
      <w:r w:rsidRPr="00957229">
        <w:rPr>
          <w:rFonts w:ascii="Calibri" w:hAnsi="Calibri" w:cs="Calibri"/>
          <w:sz w:val="22"/>
        </w:rPr>
        <w:t>Directrices de las Naciones Unidas para la Prevención de la Delincuencia Juvenil (Directrices de Riad): Ofrecen orientación sobre políticas y medidas para prevenir la delincuencia juvenil y promover la rehabilitación y reintegración de jóvenes infractores.</w:t>
      </w:r>
    </w:p>
    <w:p w14:paraId="4F7C45CD" w14:textId="77777777" w:rsidR="004260B2" w:rsidRPr="00957229" w:rsidRDefault="004260B2" w:rsidP="004260B2">
      <w:pPr>
        <w:rPr>
          <w:rFonts w:ascii="Calibri" w:hAnsi="Calibri" w:cs="Calibri"/>
          <w:sz w:val="22"/>
        </w:rPr>
      </w:pPr>
      <w:r w:rsidRPr="00957229">
        <w:rPr>
          <w:rFonts w:ascii="Calibri" w:hAnsi="Calibri" w:cs="Calibri"/>
          <w:sz w:val="22"/>
        </w:rPr>
        <w:t>Protocolo Facultativo de la Convención sobre los Derechos del Niño relativo a la venta de niños, la prostitución infantil y la utilización de niños en la pornografía: Establece medidas para prevenir y combatir la explotación sexual y comercial de niños, así como para proteger y asistir a las víctimas.</w:t>
      </w:r>
    </w:p>
    <w:p w14:paraId="6D8EA0E9" w14:textId="77777777" w:rsidR="004260B2" w:rsidRPr="00957229" w:rsidRDefault="004260B2" w:rsidP="004260B2">
      <w:pPr>
        <w:rPr>
          <w:rFonts w:ascii="Calibri" w:hAnsi="Calibri" w:cs="Calibri"/>
          <w:sz w:val="22"/>
        </w:rPr>
      </w:pPr>
      <w:r w:rsidRPr="00957229">
        <w:rPr>
          <w:rFonts w:ascii="Calibri" w:hAnsi="Calibri" w:cs="Calibri"/>
          <w:sz w:val="22"/>
        </w:rPr>
        <w:t>Directrices de las Naciones Unidas sobre Justicia en Casos de Violencia contra los Niños: Proporcionan orientación para mejorar la respuesta judicial a casos de violencia contra niños, incluyendo la identificación de víctimas, la investigación y persecución de casos, y la protección de los derechos de los menores involucrados.</w:t>
      </w:r>
    </w:p>
    <w:p w14:paraId="13C009E0" w14:textId="77777777" w:rsidR="004260B2" w:rsidRPr="00957229" w:rsidRDefault="004260B2" w:rsidP="004260B2">
      <w:pPr>
        <w:rPr>
          <w:rFonts w:ascii="Calibri" w:hAnsi="Calibri" w:cs="Calibri"/>
          <w:sz w:val="22"/>
        </w:rPr>
      </w:pPr>
      <w:r w:rsidRPr="00957229">
        <w:rPr>
          <w:rFonts w:ascii="Calibri" w:hAnsi="Calibri" w:cs="Calibri"/>
          <w:sz w:val="22"/>
        </w:rPr>
        <w:t xml:space="preserve">Estas normativas internacionales establecen un marco importante para la protección de los derechos de los menores víctimas de delito y establecen estándares que los Estados deben cumplir en su legislación y práctica judicial. Además, muchas de estas normativas también enfatizan la importancia de crear sistemas judiciales especializados y adaptados a las necesidades de los menores, incluyendo la creación de juzgados especializados o secciones </w:t>
      </w:r>
      <w:r w:rsidRPr="00957229">
        <w:rPr>
          <w:rFonts w:ascii="Calibri" w:hAnsi="Calibri" w:cs="Calibri"/>
          <w:sz w:val="22"/>
        </w:rPr>
        <w:lastRenderedPageBreak/>
        <w:t>dentro de los tribunales ordinarios para abordar los casos que involucran a menores víctimas de delito.</w:t>
      </w:r>
    </w:p>
    <w:p w14:paraId="49479A56" w14:textId="77777777" w:rsidR="004260B2" w:rsidRPr="00957229" w:rsidRDefault="004260B2" w:rsidP="004260B2">
      <w:pPr>
        <w:rPr>
          <w:rFonts w:ascii="Calibri" w:hAnsi="Calibri" w:cs="Calibri"/>
          <w:sz w:val="22"/>
        </w:rPr>
      </w:pPr>
      <w:r w:rsidRPr="00957229">
        <w:rPr>
          <w:rFonts w:ascii="Calibri" w:hAnsi="Calibri" w:cs="Calibri"/>
          <w:sz w:val="22"/>
        </w:rPr>
        <w:t>La falta de recursos judiciales para la protección de menores víctimas es un desafío significativo que puede afectar la capacidad del sistema de justicia para brindar una respuesta adecuada. Áreas de preocupación incluyen la escasez de personal especializado, infraestructura inadecuada, limitaciones financieras y falta de capacitación continua.</w:t>
      </w:r>
    </w:p>
    <w:p w14:paraId="5AF8A56A" w14:textId="77777777" w:rsidR="004260B2" w:rsidRPr="00957229" w:rsidRDefault="004260B2" w:rsidP="004260B2">
      <w:pPr>
        <w:rPr>
          <w:rFonts w:ascii="Calibri" w:hAnsi="Calibri" w:cs="Calibri"/>
          <w:sz w:val="22"/>
        </w:rPr>
      </w:pPr>
      <w:r w:rsidRPr="00957229">
        <w:rPr>
          <w:rFonts w:ascii="Calibri" w:hAnsi="Calibri" w:cs="Calibri"/>
          <w:sz w:val="22"/>
        </w:rPr>
        <w:t>Para abordar este problema, es fundamental asignar suficientes recursos humanos, financieros y materiales. Esto implica aumentar la financiación para fortalecer los servicios de protección y asistencia, implementar programas de capacitación continua, promover la coordinación entre instituciones, priorizar áreas de intervención y fomentar la participación de la sociedad civil.</w:t>
      </w:r>
    </w:p>
    <w:p w14:paraId="0FEEBAFD" w14:textId="77777777" w:rsidR="004260B2" w:rsidRPr="00957229" w:rsidRDefault="004260B2" w:rsidP="004260B2">
      <w:pPr>
        <w:rPr>
          <w:rFonts w:ascii="Calibri" w:hAnsi="Calibri" w:cs="Calibri"/>
          <w:sz w:val="22"/>
        </w:rPr>
      </w:pPr>
      <w:r w:rsidRPr="00957229">
        <w:rPr>
          <w:rFonts w:ascii="Calibri" w:hAnsi="Calibri" w:cs="Calibri"/>
          <w:sz w:val="22"/>
        </w:rPr>
        <w:t>Abordar la falta de recursos judiciales para la protección de menores víctimas requiere un compromiso sólido de las autoridades competentes para asignar los recursos necesarios y adoptar medidas concretas para fortalecer el sistema de justicia y garantizar la protección y el bienestar de los menores en situación de vulnerabilidad.</w:t>
      </w:r>
    </w:p>
    <w:p w14:paraId="54882977" w14:textId="77777777" w:rsidR="004260B2" w:rsidRPr="00957229" w:rsidRDefault="004260B2" w:rsidP="004260B2">
      <w:pPr>
        <w:rPr>
          <w:rFonts w:ascii="Calibri" w:hAnsi="Calibri" w:cs="Calibri"/>
          <w:sz w:val="22"/>
        </w:rPr>
      </w:pPr>
      <w:r w:rsidRPr="00957229">
        <w:rPr>
          <w:rFonts w:ascii="Calibri" w:hAnsi="Calibri" w:cs="Calibri"/>
          <w:sz w:val="22"/>
        </w:rPr>
        <w:t>La falta de recursos judiciales para la protección de menores víctimas es un desafío importante que puede obstaculizar la capacidad del sistema de justicia para brindar una respuesta adecuada. Las áreas problemáticas incluyen la escasez de personal especializado, la falta de infraestructura adecuada, limitaciones financieras y deficiencias en la capacitación y formación del personal.</w:t>
      </w:r>
    </w:p>
    <w:p w14:paraId="06ABA4DB" w14:textId="77777777" w:rsidR="004260B2" w:rsidRPr="00957229" w:rsidRDefault="004260B2" w:rsidP="004260B2">
      <w:pPr>
        <w:rPr>
          <w:rFonts w:ascii="Calibri" w:hAnsi="Calibri" w:cs="Calibri"/>
          <w:sz w:val="22"/>
        </w:rPr>
      </w:pPr>
      <w:r w:rsidRPr="00957229">
        <w:rPr>
          <w:rFonts w:ascii="Calibri" w:hAnsi="Calibri" w:cs="Calibri"/>
          <w:sz w:val="22"/>
        </w:rPr>
        <w:t>Para abordar este problema, es esencial que las autoridades asignen recursos suficientes, incluyendo financiamiento adicional para fortalecer los servicios de protección y asistencia, programas de capacitación continua para profesionales del sistema de justicia, coordinación interinstitucional para optimizar el uso de recursos y priorización de áreas de intervención críticas. Además, la participación de la sociedad civil puede ser clave en la planificación y ejecución de políticas y programas relacionados con el sistema de justicia.</w:t>
      </w:r>
    </w:p>
    <w:p w14:paraId="01E02B3F" w14:textId="77777777" w:rsidR="004260B2" w:rsidRPr="00957229" w:rsidRDefault="004260B2" w:rsidP="004260B2">
      <w:pPr>
        <w:rPr>
          <w:rFonts w:ascii="Calibri" w:hAnsi="Calibri" w:cs="Calibri"/>
          <w:sz w:val="22"/>
        </w:rPr>
      </w:pPr>
      <w:r w:rsidRPr="00957229">
        <w:rPr>
          <w:rFonts w:ascii="Calibri" w:hAnsi="Calibri" w:cs="Calibri"/>
          <w:sz w:val="22"/>
        </w:rPr>
        <w:t>Para abordar la falta de recursos judiciales en la protección de menores víctimas, se proponen diversas estrategias:</w:t>
      </w:r>
    </w:p>
    <w:p w14:paraId="0FE7C085" w14:textId="77777777" w:rsidR="004260B2" w:rsidRPr="00957229" w:rsidRDefault="004260B2" w:rsidP="00883891">
      <w:pPr>
        <w:pStyle w:val="ListParagraph"/>
        <w:numPr>
          <w:ilvl w:val="0"/>
          <w:numId w:val="9"/>
        </w:numPr>
        <w:rPr>
          <w:rFonts w:ascii="Calibri" w:hAnsi="Calibri" w:cs="Calibri"/>
          <w:sz w:val="22"/>
          <w:szCs w:val="22"/>
        </w:rPr>
      </w:pPr>
      <w:r w:rsidRPr="00957229">
        <w:rPr>
          <w:rFonts w:ascii="Calibri" w:hAnsi="Calibri" w:cs="Calibri"/>
          <w:sz w:val="22"/>
          <w:szCs w:val="22"/>
        </w:rPr>
        <w:t>Asignación presupuestaria adecuada: Evaluar necesidades financieras, priorizar fondos gubernamentales y establecer mecanismos de seguimiento.</w:t>
      </w:r>
    </w:p>
    <w:p w14:paraId="48D15D60" w14:textId="77777777" w:rsidR="004260B2" w:rsidRPr="00957229" w:rsidRDefault="004260B2" w:rsidP="00883891">
      <w:pPr>
        <w:pStyle w:val="ListParagraph"/>
        <w:numPr>
          <w:ilvl w:val="0"/>
          <w:numId w:val="9"/>
        </w:numPr>
        <w:rPr>
          <w:rFonts w:ascii="Calibri" w:hAnsi="Calibri" w:cs="Calibri"/>
          <w:sz w:val="22"/>
          <w:szCs w:val="22"/>
        </w:rPr>
      </w:pPr>
      <w:r w:rsidRPr="00957229">
        <w:rPr>
          <w:rFonts w:ascii="Calibri" w:hAnsi="Calibri" w:cs="Calibri"/>
          <w:sz w:val="22"/>
          <w:szCs w:val="22"/>
        </w:rPr>
        <w:t>Captación de fondos adicionales: Identificar fuentes externas de financiamiento, desarrollar propuestas sólidas y establecer alianzas estratégicas.</w:t>
      </w:r>
    </w:p>
    <w:p w14:paraId="22F7F90E" w14:textId="77777777" w:rsidR="004260B2" w:rsidRPr="00957229" w:rsidRDefault="004260B2" w:rsidP="00883891">
      <w:pPr>
        <w:pStyle w:val="ListParagraph"/>
        <w:numPr>
          <w:ilvl w:val="0"/>
          <w:numId w:val="9"/>
        </w:numPr>
        <w:rPr>
          <w:rFonts w:ascii="Calibri" w:hAnsi="Calibri" w:cs="Calibri"/>
          <w:sz w:val="22"/>
          <w:szCs w:val="22"/>
        </w:rPr>
      </w:pPr>
      <w:r w:rsidRPr="00957229">
        <w:rPr>
          <w:rFonts w:ascii="Calibri" w:hAnsi="Calibri" w:cs="Calibri"/>
          <w:sz w:val="22"/>
          <w:szCs w:val="22"/>
        </w:rPr>
        <w:t>Optimización de recursos existentes: Evaluar procesos actuales, implementar tecnologías innovadoras y fomentar la colaboración entre instituciones.</w:t>
      </w:r>
    </w:p>
    <w:p w14:paraId="1E1A4503" w14:textId="77777777" w:rsidR="004260B2" w:rsidRPr="00957229" w:rsidRDefault="004260B2" w:rsidP="00883891">
      <w:pPr>
        <w:pStyle w:val="ListParagraph"/>
        <w:numPr>
          <w:ilvl w:val="0"/>
          <w:numId w:val="9"/>
        </w:numPr>
        <w:rPr>
          <w:rFonts w:ascii="Calibri" w:hAnsi="Calibri" w:cs="Calibri"/>
          <w:sz w:val="22"/>
          <w:szCs w:val="22"/>
        </w:rPr>
      </w:pPr>
      <w:r w:rsidRPr="00957229">
        <w:rPr>
          <w:rFonts w:ascii="Calibri" w:hAnsi="Calibri" w:cs="Calibri"/>
          <w:sz w:val="22"/>
          <w:szCs w:val="22"/>
        </w:rPr>
        <w:t>Formación y capacitación del personal: Desarrollar programas adaptados, ofrecer formación continua y facilitar oportunidades de desarrollo profesional.</w:t>
      </w:r>
    </w:p>
    <w:p w14:paraId="70D63D08" w14:textId="77777777" w:rsidR="004260B2" w:rsidRPr="00957229" w:rsidRDefault="004260B2" w:rsidP="00883891">
      <w:pPr>
        <w:pStyle w:val="ListParagraph"/>
        <w:numPr>
          <w:ilvl w:val="0"/>
          <w:numId w:val="9"/>
        </w:numPr>
        <w:rPr>
          <w:rFonts w:ascii="Calibri" w:hAnsi="Calibri" w:cs="Calibri"/>
          <w:sz w:val="22"/>
          <w:szCs w:val="22"/>
        </w:rPr>
      </w:pPr>
      <w:r w:rsidRPr="00957229">
        <w:rPr>
          <w:rFonts w:ascii="Calibri" w:hAnsi="Calibri" w:cs="Calibri"/>
          <w:sz w:val="22"/>
          <w:szCs w:val="22"/>
        </w:rPr>
        <w:t>Creación de programas de voluntariado: Diseñar programas estructurados, proporcionar capacitación adecuada y establecer mecanismos de supervisión y apoyo.</w:t>
      </w:r>
    </w:p>
    <w:p w14:paraId="65F05DE8" w14:textId="77777777" w:rsidR="004260B2" w:rsidRPr="00957229" w:rsidRDefault="004260B2" w:rsidP="00883891">
      <w:pPr>
        <w:pStyle w:val="ListParagraph"/>
        <w:numPr>
          <w:ilvl w:val="0"/>
          <w:numId w:val="9"/>
        </w:numPr>
        <w:rPr>
          <w:rFonts w:ascii="Calibri" w:hAnsi="Calibri" w:cs="Calibri"/>
          <w:sz w:val="22"/>
          <w:szCs w:val="22"/>
        </w:rPr>
      </w:pPr>
      <w:r w:rsidRPr="00957229">
        <w:rPr>
          <w:rFonts w:ascii="Calibri" w:hAnsi="Calibri" w:cs="Calibri"/>
          <w:sz w:val="22"/>
          <w:szCs w:val="22"/>
        </w:rPr>
        <w:t>Promoción de la colaboración interinstitucional: Facilitar grupos de trabajo interinstitucionales, fomentar el intercambio de información y establecer protocolos de colaboración.</w:t>
      </w:r>
    </w:p>
    <w:p w14:paraId="514F6CD0" w14:textId="02E6708E" w:rsidR="004260B2" w:rsidRPr="00957229" w:rsidRDefault="004260B2" w:rsidP="00883891">
      <w:pPr>
        <w:pStyle w:val="ListParagraph"/>
        <w:numPr>
          <w:ilvl w:val="0"/>
          <w:numId w:val="9"/>
        </w:numPr>
        <w:rPr>
          <w:rFonts w:ascii="Calibri" w:hAnsi="Calibri" w:cs="Calibri"/>
          <w:sz w:val="22"/>
          <w:szCs w:val="22"/>
        </w:rPr>
      </w:pPr>
      <w:r w:rsidRPr="00957229">
        <w:rPr>
          <w:rFonts w:ascii="Calibri" w:hAnsi="Calibri" w:cs="Calibri"/>
          <w:sz w:val="22"/>
          <w:szCs w:val="22"/>
        </w:rPr>
        <w:t xml:space="preserve">Participación de la comunidad: Sensibilizar a la comunidad, establecer redes de apoyo comunitario y fomentar la participación </w:t>
      </w:r>
      <w:r w:rsidR="007655AF">
        <w:rPr>
          <w:rFonts w:ascii="Calibri" w:hAnsi="Calibri" w:cs="Calibri"/>
          <w:sz w:val="22"/>
          <w:szCs w:val="22"/>
        </w:rPr>
        <w:t>d</w:t>
      </w:r>
      <w:r w:rsidRPr="00957229">
        <w:rPr>
          <w:rFonts w:ascii="Calibri" w:hAnsi="Calibri" w:cs="Calibri"/>
          <w:sz w:val="22"/>
          <w:szCs w:val="22"/>
        </w:rPr>
        <w:t>e los ciudadanos en la identificación y denuncia de casos de abuso.</w:t>
      </w:r>
    </w:p>
    <w:p w14:paraId="1923D86F" w14:textId="025048F1" w:rsidR="00DC3FC3" w:rsidRPr="00957229" w:rsidRDefault="00DC3FC3" w:rsidP="001068AD">
      <w:pPr>
        <w:pStyle w:val="Heading2"/>
        <w:rPr>
          <w:rFonts w:ascii="Calibri" w:hAnsi="Calibri" w:cs="Calibri"/>
          <w:sz w:val="22"/>
        </w:rPr>
      </w:pPr>
      <w:r w:rsidRPr="00957229">
        <w:rPr>
          <w:rFonts w:ascii="Calibri" w:hAnsi="Calibri" w:cs="Calibri"/>
          <w:sz w:val="22"/>
        </w:rPr>
        <w:lastRenderedPageBreak/>
        <w:t>RELATIVO A LA CUESTIÓN</w:t>
      </w:r>
      <w:r w:rsidR="00073BEF" w:rsidRPr="00957229">
        <w:rPr>
          <w:rFonts w:ascii="Calibri" w:hAnsi="Calibri" w:cs="Calibri"/>
          <w:sz w:val="22"/>
        </w:rPr>
        <w:t xml:space="preserve"> </w:t>
      </w:r>
      <w:r w:rsidRPr="00957229">
        <w:rPr>
          <w:rFonts w:ascii="Calibri" w:hAnsi="Calibri" w:cs="Calibri"/>
          <w:sz w:val="22"/>
        </w:rPr>
        <w:t>PREVIA E)</w:t>
      </w:r>
      <w:r w:rsidR="00073BEF" w:rsidRPr="00957229">
        <w:rPr>
          <w:rFonts w:ascii="Calibri" w:hAnsi="Calibri" w:cs="Calibri"/>
          <w:sz w:val="22"/>
        </w:rPr>
        <w:t xml:space="preserve"> SOBRE </w:t>
      </w:r>
      <w:r w:rsidRPr="00957229">
        <w:rPr>
          <w:rFonts w:ascii="Calibri" w:hAnsi="Calibri" w:cs="Calibri"/>
          <w:sz w:val="22"/>
        </w:rPr>
        <w:t>NIÑOS PRIVADOS DE UN ENTORNO FAMILIAR</w:t>
      </w:r>
      <w:r w:rsidR="001068AD" w:rsidRPr="00957229">
        <w:rPr>
          <w:rFonts w:ascii="Calibri" w:hAnsi="Calibri" w:cs="Calibri"/>
          <w:sz w:val="22"/>
        </w:rPr>
        <w:t>.</w:t>
      </w:r>
    </w:p>
    <w:p w14:paraId="7D209E49" w14:textId="0D8062B3" w:rsidR="00CE1530" w:rsidRPr="00957229" w:rsidRDefault="0092460A" w:rsidP="00883891">
      <w:pPr>
        <w:pStyle w:val="Heading4"/>
        <w:numPr>
          <w:ilvl w:val="0"/>
          <w:numId w:val="10"/>
        </w:numPr>
        <w:rPr>
          <w:rFonts w:ascii="Calibri" w:hAnsi="Calibri" w:cs="Calibri"/>
          <w:sz w:val="22"/>
        </w:rPr>
      </w:pPr>
      <w:r w:rsidRPr="00957229">
        <w:rPr>
          <w:rFonts w:ascii="Calibri" w:hAnsi="Calibri" w:cs="Calibri"/>
          <w:sz w:val="22"/>
        </w:rPr>
        <w:t>Control judicial previo a la declaración de desamparo.</w:t>
      </w:r>
    </w:p>
    <w:p w14:paraId="11F64C09" w14:textId="52938BF6" w:rsidR="002B539B" w:rsidRPr="00957229" w:rsidRDefault="00306885" w:rsidP="00223292">
      <w:pPr>
        <w:rPr>
          <w:rFonts w:ascii="Calibri" w:hAnsi="Calibri" w:cs="Calibri"/>
          <w:i/>
          <w:iCs/>
          <w:sz w:val="22"/>
        </w:rPr>
      </w:pPr>
      <w:r w:rsidRPr="00957229">
        <w:rPr>
          <w:rFonts w:ascii="Calibri" w:hAnsi="Calibri" w:cs="Calibri"/>
          <w:sz w:val="22"/>
        </w:rPr>
        <w:t xml:space="preserve">En las Observaciones finales sobre los informes periódicos quinto y sexto combinados de España, </w:t>
      </w:r>
      <w:r w:rsidR="00B11419" w:rsidRPr="00957229">
        <w:rPr>
          <w:rFonts w:ascii="Calibri" w:hAnsi="Calibri" w:cs="Calibri"/>
          <w:sz w:val="22"/>
        </w:rPr>
        <w:t>publicado</w:t>
      </w:r>
      <w:r w:rsidRPr="00957229">
        <w:rPr>
          <w:rFonts w:ascii="Calibri" w:hAnsi="Calibri" w:cs="Calibri"/>
          <w:sz w:val="22"/>
        </w:rPr>
        <w:t xml:space="preserve"> el 5 de marzo de 2018, y en concreto en la observación </w:t>
      </w:r>
      <w:r w:rsidR="00B11419" w:rsidRPr="00957229">
        <w:rPr>
          <w:rFonts w:ascii="Calibri" w:hAnsi="Calibri" w:cs="Calibri"/>
          <w:sz w:val="22"/>
        </w:rPr>
        <w:t xml:space="preserve">28 b), se recomendaba al </w:t>
      </w:r>
      <w:r w:rsidR="0097472B" w:rsidRPr="00957229">
        <w:rPr>
          <w:rFonts w:ascii="Calibri" w:hAnsi="Calibri" w:cs="Calibri"/>
          <w:sz w:val="22"/>
        </w:rPr>
        <w:t>E</w:t>
      </w:r>
      <w:r w:rsidR="00B11419" w:rsidRPr="00957229">
        <w:rPr>
          <w:rFonts w:ascii="Calibri" w:hAnsi="Calibri" w:cs="Calibri"/>
          <w:sz w:val="22"/>
        </w:rPr>
        <w:t xml:space="preserve">stado </w:t>
      </w:r>
      <w:r w:rsidR="0097472B" w:rsidRPr="00957229">
        <w:rPr>
          <w:rFonts w:ascii="Calibri" w:hAnsi="Calibri" w:cs="Calibri"/>
          <w:sz w:val="22"/>
        </w:rPr>
        <w:t>Español</w:t>
      </w:r>
      <w:r w:rsidR="00B11419" w:rsidRPr="00957229">
        <w:rPr>
          <w:rFonts w:ascii="Calibri" w:hAnsi="Calibri" w:cs="Calibri"/>
          <w:sz w:val="22"/>
        </w:rPr>
        <w:t xml:space="preserve">: </w:t>
      </w:r>
      <w:r w:rsidR="00B11419" w:rsidRPr="00957229">
        <w:rPr>
          <w:rFonts w:ascii="Calibri" w:hAnsi="Calibri" w:cs="Calibri"/>
          <w:i/>
          <w:iCs/>
          <w:sz w:val="22"/>
        </w:rPr>
        <w:t>“vele por que en todos los casos sea un juez quien adopte o revise las decisiones sobre la separación de un niño de su familia y ello solo después de evaluar a fondo el interés superior del niño en cada caso particular”.</w:t>
      </w:r>
    </w:p>
    <w:p w14:paraId="509038EF" w14:textId="274BBD6D" w:rsidR="00B11419" w:rsidRPr="00957229" w:rsidRDefault="00B11419" w:rsidP="00223292">
      <w:pPr>
        <w:rPr>
          <w:rFonts w:ascii="Calibri" w:hAnsi="Calibri" w:cs="Calibri"/>
          <w:sz w:val="22"/>
        </w:rPr>
      </w:pPr>
      <w:r w:rsidRPr="00957229">
        <w:rPr>
          <w:rFonts w:ascii="Calibri" w:hAnsi="Calibri" w:cs="Calibri"/>
          <w:sz w:val="22"/>
        </w:rPr>
        <w:t>El Estado no ha atendido esta recomendación, a pesar de haber tenido la oportunidad de una reforma legislativa a propósito de la promulgación legislativa integral de protección de la infancia y la adolescencia frente a la violencia (Ley Orgánica 8/2021, de 4 de junio).</w:t>
      </w:r>
    </w:p>
    <w:p w14:paraId="2A83994F" w14:textId="30C8553B" w:rsidR="002B539B" w:rsidRPr="00957229" w:rsidRDefault="00B11419" w:rsidP="00223292">
      <w:pPr>
        <w:rPr>
          <w:rFonts w:ascii="Calibri" w:hAnsi="Calibri" w:cs="Calibri"/>
          <w:sz w:val="22"/>
        </w:rPr>
      </w:pPr>
      <w:r w:rsidRPr="00957229">
        <w:rPr>
          <w:rFonts w:ascii="Calibri" w:hAnsi="Calibri" w:cs="Calibri"/>
          <w:sz w:val="22"/>
        </w:rPr>
        <w:t>El sistema de protección a la infancia y a la adolescencia menor de edad en España continúa en el mismo estado que en 198</w:t>
      </w:r>
      <w:r w:rsidR="0097472B" w:rsidRPr="00957229">
        <w:rPr>
          <w:rFonts w:ascii="Calibri" w:hAnsi="Calibri" w:cs="Calibri"/>
          <w:sz w:val="22"/>
        </w:rPr>
        <w:t>1 cuando en virtud de los diferentes Estatu</w:t>
      </w:r>
      <w:r w:rsidR="009D6D8E" w:rsidRPr="00957229">
        <w:rPr>
          <w:rFonts w:ascii="Calibri" w:hAnsi="Calibri" w:cs="Calibri"/>
          <w:sz w:val="22"/>
        </w:rPr>
        <w:t>to</w:t>
      </w:r>
      <w:r w:rsidR="0097472B" w:rsidRPr="00957229">
        <w:rPr>
          <w:rFonts w:ascii="Calibri" w:hAnsi="Calibri" w:cs="Calibri"/>
          <w:sz w:val="22"/>
        </w:rPr>
        <w:t>s de Autonomía, las CCAA iban asumiendo las funciones de protección de menores de tal forma que en el traspaso de la competencia en materia de protección de menores de los TTM a las CCAA, se optó por eliminar al poder judicial de la protección a la infancia, primando la celeridad a las garantías procesales. Este sistema de revisión ex post por el poder judicial, continúa vigente en la actualidad.</w:t>
      </w:r>
    </w:p>
    <w:p w14:paraId="4162C6E1" w14:textId="77777777" w:rsidR="00B4081C" w:rsidRPr="00957229" w:rsidRDefault="00DC3FC3" w:rsidP="00DC3FC3">
      <w:pPr>
        <w:rPr>
          <w:rFonts w:ascii="Calibri" w:hAnsi="Calibri" w:cs="Calibri"/>
          <w:sz w:val="22"/>
          <w:lang w:eastAsia="es-ES"/>
        </w:rPr>
      </w:pPr>
      <w:r w:rsidRPr="00957229">
        <w:rPr>
          <w:rFonts w:ascii="Calibri" w:hAnsi="Calibri" w:cs="Calibri"/>
          <w:sz w:val="22"/>
          <w:lang w:eastAsia="es-ES"/>
        </w:rPr>
        <w:t>En la citada observación, el Comité mostró preocupación por las cifras que presentaba el sistema de protección (elevado número de niños atendidos en centros de acogida)</w:t>
      </w:r>
      <w:r w:rsidR="0097472B" w:rsidRPr="00957229">
        <w:rPr>
          <w:rFonts w:ascii="Calibri" w:hAnsi="Calibri" w:cs="Calibri"/>
          <w:sz w:val="22"/>
          <w:lang w:eastAsia="es-ES"/>
        </w:rPr>
        <w:t>, invocando la necesidad de desinstitucionalización de la infancia y la adolescencia.</w:t>
      </w:r>
      <w:r w:rsidR="00B4081C" w:rsidRPr="00957229">
        <w:rPr>
          <w:rFonts w:ascii="Calibri" w:hAnsi="Calibri" w:cs="Calibri"/>
          <w:sz w:val="22"/>
          <w:lang w:eastAsia="es-ES"/>
        </w:rPr>
        <w:t xml:space="preserve"> </w:t>
      </w:r>
    </w:p>
    <w:p w14:paraId="2C3142CA" w14:textId="155EED92" w:rsidR="004E4157" w:rsidRPr="00957229" w:rsidRDefault="00DC3FC3" w:rsidP="00DC3FC3">
      <w:pPr>
        <w:rPr>
          <w:rFonts w:ascii="Calibri" w:hAnsi="Calibri" w:cs="Calibri"/>
          <w:sz w:val="22"/>
        </w:rPr>
      </w:pPr>
      <w:r w:rsidRPr="00957229">
        <w:rPr>
          <w:rFonts w:ascii="Calibri" w:hAnsi="Calibri" w:cs="Calibri"/>
          <w:sz w:val="22"/>
        </w:rPr>
        <w:t>A continuación, se desglosan las cifras de niños, niñas y adolescentes (en adelante, NNA) atendidos por el sistema de protección en 2018 (fecha de la observación 5 y 6) y 2022 (últimos datos publicados)</w:t>
      </w:r>
      <w:r w:rsidRPr="00957229">
        <w:rPr>
          <w:rStyle w:val="FootnoteReference"/>
          <w:rFonts w:ascii="Calibri" w:hAnsi="Calibri" w:cs="Calibri"/>
          <w:sz w:val="22"/>
        </w:rPr>
        <w:footnoteReference w:id="1"/>
      </w:r>
      <w:r w:rsidRPr="00957229">
        <w:rPr>
          <w:rFonts w:ascii="Calibri" w:hAnsi="Calibri" w:cs="Calibri"/>
          <w:sz w:val="22"/>
        </w:rPr>
        <w:t>:</w:t>
      </w:r>
    </w:p>
    <w:tbl>
      <w:tblPr>
        <w:tblStyle w:val="TableGrid"/>
        <w:tblW w:w="0" w:type="auto"/>
        <w:tblLook w:val="04A0" w:firstRow="1" w:lastRow="0" w:firstColumn="1" w:lastColumn="0" w:noHBand="0" w:noVBand="1"/>
      </w:tblPr>
      <w:tblGrid>
        <w:gridCol w:w="4247"/>
        <w:gridCol w:w="4247"/>
      </w:tblGrid>
      <w:tr w:rsidR="009D6D8E" w:rsidRPr="00957229" w14:paraId="53AF796C" w14:textId="77777777" w:rsidTr="009D6D8E">
        <w:tc>
          <w:tcPr>
            <w:tcW w:w="4247" w:type="dxa"/>
          </w:tcPr>
          <w:p w14:paraId="4B533F39" w14:textId="77777777" w:rsidR="009D6D8E" w:rsidRPr="00957229" w:rsidRDefault="009D6D8E" w:rsidP="009D6D8E">
            <w:pPr>
              <w:rPr>
                <w:rFonts w:ascii="Calibri" w:hAnsi="Calibri" w:cs="Calibri"/>
                <w:sz w:val="22"/>
              </w:rPr>
            </w:pPr>
            <w:r w:rsidRPr="00957229">
              <w:rPr>
                <w:rFonts w:ascii="Calibri" w:hAnsi="Calibri" w:cs="Calibri"/>
                <w:sz w:val="22"/>
              </w:rPr>
              <w:t xml:space="preserve">2018: </w:t>
            </w:r>
          </w:p>
          <w:p w14:paraId="53AD3C02"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49.985 NNA atendidos por el sistema de protección.</w:t>
            </w:r>
          </w:p>
          <w:p w14:paraId="37E3EB73"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34.612 altas durante el año.</w:t>
            </w:r>
          </w:p>
          <w:p w14:paraId="3DCC62A2"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31.237 tutelas “ex lege” (separación de la familia)</w:t>
            </w:r>
          </w:p>
          <w:p w14:paraId="64F0C21B"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9.680 tutelas “ex lege” (separación de la familia) dadas de alta.</w:t>
            </w:r>
          </w:p>
          <w:p w14:paraId="03537D2C"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21.283 acogimientos residenciales:</w:t>
            </w:r>
          </w:p>
          <w:p w14:paraId="34F5C206"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23.172 acogimientos residenciales dados de alta en el año.</w:t>
            </w:r>
          </w:p>
          <w:p w14:paraId="53212D22"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19.545 acogimientos familiares:</w:t>
            </w:r>
          </w:p>
          <w:p w14:paraId="3ACD50BC"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3.991 acogimientos familiares durante el año.</w:t>
            </w:r>
          </w:p>
          <w:p w14:paraId="6C511F12" w14:textId="4BEB58E9"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lastRenderedPageBreak/>
              <w:t xml:space="preserve">1.104 </w:t>
            </w:r>
            <w:r w:rsidR="00B42B77">
              <w:rPr>
                <w:rFonts w:ascii="Calibri" w:hAnsi="Calibri" w:cs="Calibri"/>
                <w:sz w:val="22"/>
                <w:szCs w:val="22"/>
              </w:rPr>
              <w:t>c</w:t>
            </w:r>
            <w:r w:rsidRPr="00957229">
              <w:rPr>
                <w:rFonts w:ascii="Calibri" w:hAnsi="Calibri" w:cs="Calibri"/>
                <w:sz w:val="22"/>
                <w:szCs w:val="22"/>
              </w:rPr>
              <w:t>entros: 223 de titularidad pública, 881 colaboradores.</w:t>
            </w:r>
          </w:p>
        </w:tc>
        <w:tc>
          <w:tcPr>
            <w:tcW w:w="4247" w:type="dxa"/>
          </w:tcPr>
          <w:p w14:paraId="16CEE0EF" w14:textId="77777777" w:rsidR="009D6D8E" w:rsidRPr="00957229" w:rsidRDefault="009D6D8E" w:rsidP="009D6D8E">
            <w:pPr>
              <w:rPr>
                <w:rFonts w:ascii="Calibri" w:hAnsi="Calibri" w:cs="Calibri"/>
                <w:sz w:val="22"/>
              </w:rPr>
            </w:pPr>
            <w:r w:rsidRPr="00957229">
              <w:rPr>
                <w:rFonts w:ascii="Calibri" w:hAnsi="Calibri" w:cs="Calibri"/>
                <w:sz w:val="22"/>
              </w:rPr>
              <w:lastRenderedPageBreak/>
              <w:t xml:space="preserve">2022: </w:t>
            </w:r>
          </w:p>
          <w:p w14:paraId="1997EBDA"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51.203 NNA atendidos por el sistema de protección.</w:t>
            </w:r>
          </w:p>
          <w:p w14:paraId="743FCA9D"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30.919 altas durante el año.</w:t>
            </w:r>
          </w:p>
          <w:p w14:paraId="4E4CD2D1"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 xml:space="preserve">30.657 tutelas “ex lege” (separación de la familia) </w:t>
            </w:r>
          </w:p>
          <w:p w14:paraId="744069A0"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10.635 tutelas “ex lege” (separación de la familia) dadas de alta.</w:t>
            </w:r>
          </w:p>
          <w:p w14:paraId="662106D3"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17.061 acogimientos residenciales:</w:t>
            </w:r>
          </w:p>
          <w:p w14:paraId="1C0FB57B"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16.365 acogimientos residenciales dados de alta en el año.</w:t>
            </w:r>
          </w:p>
          <w:p w14:paraId="21B1E795"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18.177 acogimientos familiares:</w:t>
            </w:r>
          </w:p>
          <w:p w14:paraId="410E05F0" w14:textId="77777777"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t>5.264 acogimientos familiares durante el año.</w:t>
            </w:r>
          </w:p>
          <w:p w14:paraId="7F21EDDF" w14:textId="4F3399B2" w:rsidR="009D6D8E" w:rsidRPr="00957229" w:rsidRDefault="009D6D8E" w:rsidP="00883891">
            <w:pPr>
              <w:pStyle w:val="ListParagraph"/>
              <w:numPr>
                <w:ilvl w:val="0"/>
                <w:numId w:val="6"/>
              </w:numPr>
              <w:rPr>
                <w:rFonts w:ascii="Calibri" w:hAnsi="Calibri" w:cs="Calibri"/>
                <w:sz w:val="22"/>
                <w:szCs w:val="22"/>
              </w:rPr>
            </w:pPr>
            <w:r w:rsidRPr="00957229">
              <w:rPr>
                <w:rFonts w:ascii="Calibri" w:hAnsi="Calibri" w:cs="Calibri"/>
                <w:sz w:val="22"/>
                <w:szCs w:val="22"/>
              </w:rPr>
              <w:lastRenderedPageBreak/>
              <w:t>1.605 centros: 298 públicos 1.307 colaboradores.</w:t>
            </w:r>
          </w:p>
        </w:tc>
      </w:tr>
    </w:tbl>
    <w:p w14:paraId="17A7284A" w14:textId="77777777" w:rsidR="0097472B" w:rsidRPr="00957229" w:rsidRDefault="0097472B" w:rsidP="009D6D8E">
      <w:pPr>
        <w:rPr>
          <w:rFonts w:ascii="Calibri" w:hAnsi="Calibri" w:cs="Calibri"/>
          <w:sz w:val="22"/>
        </w:rPr>
      </w:pPr>
    </w:p>
    <w:p w14:paraId="183DDA05" w14:textId="77777777" w:rsidR="000B72F0" w:rsidRPr="00957229" w:rsidRDefault="00832FBB" w:rsidP="00B11419">
      <w:pPr>
        <w:rPr>
          <w:rFonts w:ascii="Calibri" w:hAnsi="Calibri" w:cs="Calibri"/>
          <w:sz w:val="22"/>
          <w:lang w:eastAsia="es-ES"/>
        </w:rPr>
      </w:pPr>
      <w:r w:rsidRPr="00957229">
        <w:rPr>
          <w:rFonts w:ascii="Calibri" w:hAnsi="Calibri" w:cs="Calibri"/>
          <w:sz w:val="22"/>
          <w:lang w:eastAsia="es-ES"/>
        </w:rPr>
        <w:t>De estas cifras se puede llegar a la conclusión que se ha invertido el tipo de acogimiento (en 2018 parece que había más acogimiento residencial que familiar, y ahora es mayor la cifra de acogimiento familiar sobre el residencial)</w:t>
      </w:r>
      <w:r w:rsidR="000B72F0" w:rsidRPr="00957229">
        <w:rPr>
          <w:rFonts w:ascii="Calibri" w:hAnsi="Calibri" w:cs="Calibri"/>
          <w:sz w:val="22"/>
          <w:lang w:eastAsia="es-ES"/>
        </w:rPr>
        <w:t>.</w:t>
      </w:r>
    </w:p>
    <w:p w14:paraId="4879522A" w14:textId="63B1A0A7" w:rsidR="00832FBB" w:rsidRPr="00957229" w:rsidRDefault="000B72F0" w:rsidP="00B11419">
      <w:pPr>
        <w:rPr>
          <w:rFonts w:ascii="Calibri" w:hAnsi="Calibri" w:cs="Calibri"/>
          <w:sz w:val="22"/>
          <w:lang w:eastAsia="es-ES"/>
        </w:rPr>
      </w:pPr>
      <w:r w:rsidRPr="00957229">
        <w:rPr>
          <w:rFonts w:ascii="Calibri" w:hAnsi="Calibri" w:cs="Calibri"/>
          <w:sz w:val="22"/>
          <w:lang w:eastAsia="es-ES"/>
        </w:rPr>
        <w:t>Sin embargo</w:t>
      </w:r>
      <w:r w:rsidR="00832FBB" w:rsidRPr="00957229">
        <w:rPr>
          <w:rFonts w:ascii="Calibri" w:hAnsi="Calibri" w:cs="Calibri"/>
          <w:sz w:val="22"/>
          <w:lang w:eastAsia="es-ES"/>
        </w:rPr>
        <w:t xml:space="preserve">, lo cierto es que las cifras deben desglosarse en atención </w:t>
      </w:r>
      <w:r w:rsidRPr="00957229">
        <w:rPr>
          <w:rFonts w:ascii="Calibri" w:hAnsi="Calibri" w:cs="Calibri"/>
          <w:sz w:val="22"/>
          <w:lang w:eastAsia="es-ES"/>
        </w:rPr>
        <w:t>a la situación administrativa que ha motivado la acogida, diferenciando las medidas adoptadas para menores extranjeros no acompañados del resto, por la particularidad que entraña la cuestión migratoria para España por su ubicación geográfica.</w:t>
      </w:r>
    </w:p>
    <w:p w14:paraId="6331B072" w14:textId="420E04DC" w:rsidR="000B72F0" w:rsidRPr="00957229" w:rsidRDefault="000B72F0" w:rsidP="00B11419">
      <w:pPr>
        <w:rPr>
          <w:rFonts w:ascii="Calibri" w:hAnsi="Calibri" w:cs="Calibri"/>
          <w:sz w:val="22"/>
          <w:lang w:eastAsia="es-ES"/>
        </w:rPr>
      </w:pPr>
      <w:r w:rsidRPr="00957229">
        <w:rPr>
          <w:rFonts w:ascii="Calibri" w:hAnsi="Calibri" w:cs="Calibri"/>
          <w:sz w:val="22"/>
          <w:lang w:eastAsia="es-ES"/>
        </w:rPr>
        <w:t>Desglosando estas circunstancias de los menores sujetos a medidas de protección, las cifras arrojan conclusiones diferentes:</w:t>
      </w:r>
    </w:p>
    <w:tbl>
      <w:tblPr>
        <w:tblStyle w:val="TableGrid"/>
        <w:tblW w:w="9923" w:type="dxa"/>
        <w:tblInd w:w="-714" w:type="dxa"/>
        <w:tblLook w:val="04A0" w:firstRow="1" w:lastRow="0" w:firstColumn="1" w:lastColumn="0" w:noHBand="0" w:noVBand="1"/>
      </w:tblPr>
      <w:tblGrid>
        <w:gridCol w:w="4961"/>
        <w:gridCol w:w="4962"/>
      </w:tblGrid>
      <w:tr w:rsidR="00B4081C" w:rsidRPr="00957229" w14:paraId="6172E22B" w14:textId="77777777" w:rsidTr="001A1A50">
        <w:tc>
          <w:tcPr>
            <w:tcW w:w="4961" w:type="dxa"/>
          </w:tcPr>
          <w:p w14:paraId="46794750" w14:textId="77777777" w:rsidR="00B4081C" w:rsidRPr="00957229" w:rsidRDefault="00B4081C" w:rsidP="001A1A50">
            <w:pPr>
              <w:rPr>
                <w:rFonts w:ascii="Calibri" w:hAnsi="Calibri" w:cs="Calibri"/>
                <w:sz w:val="22"/>
                <w:lang w:eastAsia="es-ES"/>
              </w:rPr>
            </w:pPr>
            <w:r w:rsidRPr="00957229">
              <w:rPr>
                <w:rFonts w:ascii="Calibri" w:hAnsi="Calibri" w:cs="Calibri"/>
                <w:sz w:val="22"/>
                <w:lang w:eastAsia="es-ES"/>
              </w:rPr>
              <w:t>En 2018:</w:t>
            </w:r>
          </w:p>
          <w:p w14:paraId="35B1A772" w14:textId="77777777" w:rsidR="00B4081C" w:rsidRPr="00957229" w:rsidRDefault="00B4081C" w:rsidP="00883891">
            <w:pPr>
              <w:pStyle w:val="ListParagraph"/>
              <w:numPr>
                <w:ilvl w:val="0"/>
                <w:numId w:val="6"/>
              </w:numPr>
              <w:rPr>
                <w:rFonts w:ascii="Calibri" w:hAnsi="Calibri" w:cs="Calibri"/>
                <w:sz w:val="22"/>
                <w:szCs w:val="22"/>
              </w:rPr>
            </w:pPr>
            <w:r w:rsidRPr="00957229">
              <w:rPr>
                <w:rFonts w:ascii="Calibri" w:hAnsi="Calibri" w:cs="Calibri"/>
                <w:sz w:val="22"/>
                <w:szCs w:val="22"/>
              </w:rPr>
              <w:t>21.283 acogimientos residenciales:</w:t>
            </w:r>
          </w:p>
          <w:p w14:paraId="7B71A304" w14:textId="77777777" w:rsidR="00B4081C" w:rsidRPr="00957229" w:rsidRDefault="00B4081C" w:rsidP="00883891">
            <w:pPr>
              <w:pStyle w:val="ListParagraph"/>
              <w:numPr>
                <w:ilvl w:val="1"/>
                <w:numId w:val="6"/>
              </w:numPr>
              <w:rPr>
                <w:rFonts w:ascii="Calibri" w:hAnsi="Calibri" w:cs="Calibri"/>
                <w:sz w:val="22"/>
                <w:szCs w:val="22"/>
              </w:rPr>
            </w:pPr>
            <w:r w:rsidRPr="00957229">
              <w:rPr>
                <w:rFonts w:ascii="Calibri" w:hAnsi="Calibri" w:cs="Calibri"/>
                <w:sz w:val="22"/>
                <w:szCs w:val="22"/>
              </w:rPr>
              <w:t>9.506 menores de edad extranjeros no acompañados (44,66%)</w:t>
            </w:r>
          </w:p>
          <w:p w14:paraId="5187D227" w14:textId="77777777" w:rsidR="00B4081C" w:rsidRPr="00957229" w:rsidRDefault="00B4081C" w:rsidP="00883891">
            <w:pPr>
              <w:pStyle w:val="ListParagraph"/>
              <w:numPr>
                <w:ilvl w:val="1"/>
                <w:numId w:val="6"/>
              </w:numPr>
              <w:rPr>
                <w:rFonts w:ascii="Calibri" w:hAnsi="Calibri" w:cs="Calibri"/>
                <w:sz w:val="22"/>
                <w:szCs w:val="22"/>
              </w:rPr>
            </w:pPr>
            <w:r w:rsidRPr="00957229">
              <w:rPr>
                <w:rFonts w:ascii="Calibri" w:hAnsi="Calibri" w:cs="Calibri"/>
                <w:sz w:val="22"/>
                <w:szCs w:val="22"/>
              </w:rPr>
              <w:t>11.777 menores que no entran en situación de menores extranjeros no acompañados (55,34%).</w:t>
            </w:r>
          </w:p>
          <w:p w14:paraId="62960C31" w14:textId="77777777" w:rsidR="00B4081C" w:rsidRPr="00957229" w:rsidRDefault="00B4081C" w:rsidP="00883891">
            <w:pPr>
              <w:pStyle w:val="ListParagraph"/>
              <w:numPr>
                <w:ilvl w:val="0"/>
                <w:numId w:val="6"/>
              </w:numPr>
              <w:rPr>
                <w:rFonts w:ascii="Calibri" w:hAnsi="Calibri" w:cs="Calibri"/>
                <w:sz w:val="22"/>
                <w:szCs w:val="22"/>
              </w:rPr>
            </w:pPr>
            <w:r w:rsidRPr="00957229">
              <w:rPr>
                <w:rFonts w:ascii="Calibri" w:hAnsi="Calibri" w:cs="Calibri"/>
                <w:sz w:val="22"/>
                <w:szCs w:val="22"/>
              </w:rPr>
              <w:t>19.545 acogimientos familiares:</w:t>
            </w:r>
          </w:p>
          <w:p w14:paraId="315E8E77" w14:textId="77777777" w:rsidR="00B4081C" w:rsidRPr="00957229" w:rsidRDefault="00B4081C" w:rsidP="00883891">
            <w:pPr>
              <w:pStyle w:val="ListParagraph"/>
              <w:numPr>
                <w:ilvl w:val="1"/>
                <w:numId w:val="6"/>
              </w:numPr>
              <w:rPr>
                <w:rFonts w:ascii="Calibri" w:hAnsi="Calibri" w:cs="Calibri"/>
                <w:sz w:val="22"/>
                <w:szCs w:val="22"/>
              </w:rPr>
            </w:pPr>
            <w:r w:rsidRPr="00957229">
              <w:rPr>
                <w:rFonts w:ascii="Calibri" w:hAnsi="Calibri" w:cs="Calibri"/>
                <w:sz w:val="22"/>
                <w:szCs w:val="22"/>
              </w:rPr>
              <w:t>184 son menores de edad extranjeros no acompañados (0,94%).</w:t>
            </w:r>
          </w:p>
          <w:p w14:paraId="138C3CD5" w14:textId="77777777" w:rsidR="00B4081C" w:rsidRPr="00957229" w:rsidRDefault="00B4081C" w:rsidP="00883891">
            <w:pPr>
              <w:pStyle w:val="ListParagraph"/>
              <w:numPr>
                <w:ilvl w:val="1"/>
                <w:numId w:val="6"/>
              </w:numPr>
              <w:rPr>
                <w:rFonts w:ascii="Calibri" w:hAnsi="Calibri" w:cs="Calibri"/>
                <w:sz w:val="22"/>
                <w:szCs w:val="22"/>
              </w:rPr>
            </w:pPr>
            <w:r w:rsidRPr="00957229">
              <w:rPr>
                <w:rFonts w:ascii="Calibri" w:hAnsi="Calibri" w:cs="Calibri"/>
                <w:sz w:val="22"/>
                <w:szCs w:val="22"/>
              </w:rPr>
              <w:t>19.361 menores que no entran en situación de menores extranjeros no acompañados (99,06%)</w:t>
            </w:r>
          </w:p>
        </w:tc>
        <w:tc>
          <w:tcPr>
            <w:tcW w:w="4962" w:type="dxa"/>
          </w:tcPr>
          <w:p w14:paraId="06066371" w14:textId="77777777" w:rsidR="00B4081C" w:rsidRPr="00957229" w:rsidRDefault="00B4081C" w:rsidP="001A1A50">
            <w:pPr>
              <w:rPr>
                <w:rFonts w:ascii="Calibri" w:hAnsi="Calibri" w:cs="Calibri"/>
                <w:sz w:val="22"/>
              </w:rPr>
            </w:pPr>
            <w:r w:rsidRPr="00957229">
              <w:rPr>
                <w:rFonts w:ascii="Calibri" w:hAnsi="Calibri" w:cs="Calibri"/>
                <w:sz w:val="22"/>
              </w:rPr>
              <w:t>En 2022:</w:t>
            </w:r>
          </w:p>
          <w:p w14:paraId="3E219209" w14:textId="77777777" w:rsidR="00B4081C" w:rsidRPr="00957229" w:rsidRDefault="00B4081C" w:rsidP="00883891">
            <w:pPr>
              <w:pStyle w:val="ListParagraph"/>
              <w:numPr>
                <w:ilvl w:val="0"/>
                <w:numId w:val="6"/>
              </w:numPr>
              <w:rPr>
                <w:rFonts w:ascii="Calibri" w:hAnsi="Calibri" w:cs="Calibri"/>
                <w:sz w:val="22"/>
                <w:szCs w:val="22"/>
              </w:rPr>
            </w:pPr>
            <w:r w:rsidRPr="00957229">
              <w:rPr>
                <w:rFonts w:ascii="Calibri" w:hAnsi="Calibri" w:cs="Calibri"/>
                <w:sz w:val="22"/>
                <w:szCs w:val="22"/>
              </w:rPr>
              <w:t>17.061 acogimientos residenciales:</w:t>
            </w:r>
          </w:p>
          <w:p w14:paraId="28EC2EA6" w14:textId="77777777" w:rsidR="00B4081C" w:rsidRPr="00957229" w:rsidRDefault="00B4081C" w:rsidP="00883891">
            <w:pPr>
              <w:pStyle w:val="ListParagraph"/>
              <w:numPr>
                <w:ilvl w:val="1"/>
                <w:numId w:val="6"/>
              </w:numPr>
              <w:rPr>
                <w:rFonts w:ascii="Calibri" w:hAnsi="Calibri" w:cs="Calibri"/>
                <w:sz w:val="22"/>
                <w:szCs w:val="22"/>
              </w:rPr>
            </w:pPr>
            <w:r w:rsidRPr="00957229">
              <w:rPr>
                <w:rFonts w:ascii="Calibri" w:hAnsi="Calibri" w:cs="Calibri"/>
                <w:sz w:val="22"/>
                <w:szCs w:val="22"/>
              </w:rPr>
              <w:t>5.557 son menores de edad extranjeros no acompañados (32,57%)</w:t>
            </w:r>
          </w:p>
          <w:p w14:paraId="07C665CF" w14:textId="77777777" w:rsidR="00B4081C" w:rsidRPr="00957229" w:rsidRDefault="00B4081C" w:rsidP="00883891">
            <w:pPr>
              <w:pStyle w:val="ListParagraph"/>
              <w:numPr>
                <w:ilvl w:val="1"/>
                <w:numId w:val="6"/>
              </w:numPr>
              <w:rPr>
                <w:rFonts w:ascii="Calibri" w:hAnsi="Calibri" w:cs="Calibri"/>
                <w:sz w:val="22"/>
                <w:szCs w:val="22"/>
              </w:rPr>
            </w:pPr>
            <w:r w:rsidRPr="00957229">
              <w:rPr>
                <w:rFonts w:ascii="Calibri" w:hAnsi="Calibri" w:cs="Calibri"/>
                <w:sz w:val="22"/>
                <w:szCs w:val="22"/>
              </w:rPr>
              <w:t>11.504 menores que no entran en situación de menores extranjeros no acompañados (67,43%)</w:t>
            </w:r>
          </w:p>
          <w:p w14:paraId="613C5EF5" w14:textId="77777777" w:rsidR="00B4081C" w:rsidRPr="00957229" w:rsidRDefault="00B4081C" w:rsidP="00883891">
            <w:pPr>
              <w:pStyle w:val="ListParagraph"/>
              <w:numPr>
                <w:ilvl w:val="0"/>
                <w:numId w:val="6"/>
              </w:numPr>
              <w:rPr>
                <w:rFonts w:ascii="Calibri" w:hAnsi="Calibri" w:cs="Calibri"/>
                <w:sz w:val="22"/>
                <w:szCs w:val="22"/>
              </w:rPr>
            </w:pPr>
            <w:r w:rsidRPr="00957229">
              <w:rPr>
                <w:rFonts w:ascii="Calibri" w:hAnsi="Calibri" w:cs="Calibri"/>
                <w:sz w:val="22"/>
                <w:szCs w:val="22"/>
              </w:rPr>
              <w:t>18.177 acogimientos familiares:</w:t>
            </w:r>
          </w:p>
          <w:p w14:paraId="6413D603" w14:textId="77777777" w:rsidR="00B4081C" w:rsidRPr="00957229" w:rsidRDefault="00B4081C" w:rsidP="00883891">
            <w:pPr>
              <w:pStyle w:val="ListParagraph"/>
              <w:numPr>
                <w:ilvl w:val="1"/>
                <w:numId w:val="6"/>
              </w:numPr>
              <w:rPr>
                <w:rFonts w:ascii="Calibri" w:hAnsi="Calibri" w:cs="Calibri"/>
                <w:sz w:val="22"/>
                <w:szCs w:val="22"/>
              </w:rPr>
            </w:pPr>
            <w:r w:rsidRPr="00957229">
              <w:rPr>
                <w:rFonts w:ascii="Calibri" w:hAnsi="Calibri" w:cs="Calibri"/>
                <w:sz w:val="22"/>
                <w:szCs w:val="22"/>
              </w:rPr>
              <w:t>311 menores de edad extranjeros no acompañados (1,71%).</w:t>
            </w:r>
          </w:p>
          <w:p w14:paraId="4CE0A6FC" w14:textId="284D966D" w:rsidR="00B4081C" w:rsidRPr="00957229" w:rsidRDefault="00B4081C" w:rsidP="00883891">
            <w:pPr>
              <w:pStyle w:val="ListParagraph"/>
              <w:numPr>
                <w:ilvl w:val="1"/>
                <w:numId w:val="6"/>
              </w:numPr>
              <w:rPr>
                <w:rFonts w:ascii="Calibri" w:hAnsi="Calibri" w:cs="Calibri"/>
                <w:sz w:val="22"/>
                <w:szCs w:val="22"/>
              </w:rPr>
            </w:pPr>
            <w:r w:rsidRPr="00957229">
              <w:rPr>
                <w:rFonts w:ascii="Calibri" w:hAnsi="Calibri" w:cs="Calibri"/>
                <w:sz w:val="22"/>
                <w:szCs w:val="22"/>
              </w:rPr>
              <w:t>17.866 menores que no entran en situación de menores extranjeros no acompañados (98,29%)</w:t>
            </w:r>
          </w:p>
        </w:tc>
      </w:tr>
    </w:tbl>
    <w:p w14:paraId="452B6890" w14:textId="77777777" w:rsidR="009D6D8E" w:rsidRPr="00957229" w:rsidRDefault="009D6D8E" w:rsidP="00B11419">
      <w:pPr>
        <w:rPr>
          <w:rFonts w:ascii="Calibri" w:hAnsi="Calibri" w:cs="Calibri"/>
          <w:sz w:val="22"/>
          <w:lang w:eastAsia="es-ES"/>
        </w:rPr>
      </w:pPr>
    </w:p>
    <w:p w14:paraId="6E17F1B8" w14:textId="4BE13436" w:rsidR="00832FBB" w:rsidRPr="00957229" w:rsidRDefault="000B72F0" w:rsidP="00B11419">
      <w:pPr>
        <w:rPr>
          <w:rFonts w:ascii="Calibri" w:hAnsi="Calibri" w:cs="Calibri"/>
          <w:sz w:val="22"/>
          <w:lang w:eastAsia="es-ES"/>
        </w:rPr>
      </w:pPr>
      <w:r w:rsidRPr="00957229">
        <w:rPr>
          <w:rFonts w:ascii="Calibri" w:hAnsi="Calibri" w:cs="Calibri"/>
          <w:sz w:val="22"/>
          <w:lang w:eastAsia="es-ES"/>
        </w:rPr>
        <w:t>Entre 2018 y 2022, la cifra de</w:t>
      </w:r>
      <w:r w:rsidR="00336D07" w:rsidRPr="00957229">
        <w:rPr>
          <w:rFonts w:ascii="Calibri" w:hAnsi="Calibri" w:cs="Calibri"/>
          <w:sz w:val="22"/>
          <w:lang w:eastAsia="es-ES"/>
        </w:rPr>
        <w:t xml:space="preserve"> medidas de acogimiento residencial en m</w:t>
      </w:r>
      <w:r w:rsidRPr="00957229">
        <w:rPr>
          <w:rFonts w:ascii="Calibri" w:hAnsi="Calibri" w:cs="Calibri"/>
          <w:sz w:val="22"/>
          <w:lang w:eastAsia="es-ES"/>
        </w:rPr>
        <w:t xml:space="preserve">enores que no entran en situación de menores extranjeros no acompañados tan solo se ha reducido en </w:t>
      </w:r>
      <w:r w:rsidR="00336D07" w:rsidRPr="00957229">
        <w:rPr>
          <w:rFonts w:ascii="Calibri" w:hAnsi="Calibri" w:cs="Calibri"/>
          <w:sz w:val="22"/>
          <w:lang w:eastAsia="es-ES"/>
        </w:rPr>
        <w:t xml:space="preserve">tan solo, </w:t>
      </w:r>
      <w:r w:rsidRPr="00957229">
        <w:rPr>
          <w:rFonts w:ascii="Calibri" w:hAnsi="Calibri" w:cs="Calibri"/>
          <w:sz w:val="22"/>
          <w:lang w:eastAsia="es-ES"/>
        </w:rPr>
        <w:t xml:space="preserve">un </w:t>
      </w:r>
      <w:r w:rsidR="00336D07" w:rsidRPr="00957229">
        <w:rPr>
          <w:rFonts w:ascii="Calibri" w:hAnsi="Calibri" w:cs="Calibri"/>
          <w:sz w:val="22"/>
          <w:lang w:eastAsia="es-ES"/>
        </w:rPr>
        <w:t>2</w:t>
      </w:r>
      <w:r w:rsidRPr="00957229">
        <w:rPr>
          <w:rFonts w:ascii="Calibri" w:hAnsi="Calibri" w:cs="Calibri"/>
          <w:sz w:val="22"/>
          <w:lang w:eastAsia="es-ES"/>
        </w:rPr>
        <w:t>,</w:t>
      </w:r>
      <w:r w:rsidR="00336D07" w:rsidRPr="00957229">
        <w:rPr>
          <w:rFonts w:ascii="Calibri" w:hAnsi="Calibri" w:cs="Calibri"/>
          <w:sz w:val="22"/>
          <w:lang w:eastAsia="es-ES"/>
        </w:rPr>
        <w:t>32</w:t>
      </w:r>
      <w:r w:rsidRPr="00957229">
        <w:rPr>
          <w:rFonts w:ascii="Calibri" w:hAnsi="Calibri" w:cs="Calibri"/>
          <w:sz w:val="22"/>
          <w:lang w:eastAsia="es-ES"/>
        </w:rPr>
        <w:t xml:space="preserve">% (273 </w:t>
      </w:r>
      <w:r w:rsidR="00336D07" w:rsidRPr="00957229">
        <w:rPr>
          <w:rFonts w:ascii="Calibri" w:hAnsi="Calibri" w:cs="Calibri"/>
          <w:sz w:val="22"/>
          <w:lang w:eastAsia="es-ES"/>
        </w:rPr>
        <w:t>NNA); siendo mayor la diferencia de los menores extranjeros no acompañados, que entre 2018 y 2022 se ha visto reducida en un 58,46% (3.949 NNA).</w:t>
      </w:r>
    </w:p>
    <w:p w14:paraId="75C8B5F8" w14:textId="00F92159" w:rsidR="00DC3FC3" w:rsidRPr="00957229" w:rsidRDefault="00622766" w:rsidP="00B11419">
      <w:pPr>
        <w:rPr>
          <w:rFonts w:ascii="Calibri" w:hAnsi="Calibri" w:cs="Calibri"/>
          <w:sz w:val="22"/>
          <w:lang w:eastAsia="es-ES"/>
        </w:rPr>
      </w:pPr>
      <w:r w:rsidRPr="00957229">
        <w:rPr>
          <w:rFonts w:ascii="Calibri" w:hAnsi="Calibri" w:cs="Calibri"/>
          <w:sz w:val="22"/>
          <w:lang w:eastAsia="es-ES"/>
        </w:rPr>
        <w:t>Hay más NNA atendidos por el sistema de protección, un sistema que no está sujeto a un control judicial previo, ni a un control externo alguno (ni siquiera se reconoce la asistencia jurídica gratuita en la fase previa a la tutela).</w:t>
      </w:r>
    </w:p>
    <w:p w14:paraId="183B955F" w14:textId="41325DE9" w:rsidR="00EA0643" w:rsidRPr="00957229" w:rsidRDefault="00EA0643" w:rsidP="00B11419">
      <w:pPr>
        <w:rPr>
          <w:rFonts w:ascii="Calibri" w:hAnsi="Calibri" w:cs="Calibri"/>
          <w:sz w:val="22"/>
          <w:lang w:eastAsia="es-ES"/>
        </w:rPr>
      </w:pPr>
      <w:r w:rsidRPr="00957229">
        <w:rPr>
          <w:rFonts w:ascii="Calibri" w:hAnsi="Calibri" w:cs="Calibri"/>
          <w:sz w:val="22"/>
          <w:lang w:eastAsia="es-ES"/>
        </w:rPr>
        <w:t xml:space="preserve">La entidad administrativa de </w:t>
      </w:r>
      <w:r w:rsidR="00F52936" w:rsidRPr="00957229">
        <w:rPr>
          <w:rFonts w:ascii="Calibri" w:hAnsi="Calibri" w:cs="Calibri"/>
          <w:sz w:val="22"/>
          <w:lang w:eastAsia="es-ES"/>
        </w:rPr>
        <w:t>protección</w:t>
      </w:r>
      <w:r w:rsidRPr="00957229">
        <w:rPr>
          <w:rFonts w:ascii="Calibri" w:hAnsi="Calibri" w:cs="Calibri"/>
          <w:sz w:val="22"/>
          <w:lang w:eastAsia="es-ES"/>
        </w:rPr>
        <w:t xml:space="preserve"> investiga a una familia, decide si hay riesgo grave, notifica el desamparo y ejecuta la medida separando al niño de su familia. Todo ello, la misma entidad (igual que sucedía con los TTM) porque solo actúa en “beneficio del menor” y no atiende ningún interés diferente, por lo que no precisa ningún control externo a su propia entidad.</w:t>
      </w:r>
    </w:p>
    <w:p w14:paraId="0F405A77" w14:textId="7C7C9076" w:rsidR="00DC3FC3" w:rsidRPr="00957229" w:rsidRDefault="00622766" w:rsidP="00B4081C">
      <w:pPr>
        <w:rPr>
          <w:rFonts w:ascii="Calibri" w:hAnsi="Calibri" w:cs="Calibri"/>
          <w:sz w:val="22"/>
        </w:rPr>
      </w:pPr>
      <w:r w:rsidRPr="00957229">
        <w:rPr>
          <w:rFonts w:ascii="Calibri" w:hAnsi="Calibri" w:cs="Calibri"/>
          <w:sz w:val="22"/>
        </w:rPr>
        <w:t xml:space="preserve">En las observaciones finales 5 y 6 se recomienda al Estado asignar recursos humanos, técnicos y financieros adecuados a la promoción de la atención en familias de guarda y desarrollar las </w:t>
      </w:r>
      <w:r w:rsidRPr="00957229">
        <w:rPr>
          <w:rFonts w:ascii="Calibri" w:hAnsi="Calibri" w:cs="Calibri"/>
          <w:sz w:val="22"/>
        </w:rPr>
        <w:lastRenderedPageBreak/>
        <w:t xml:space="preserve">competencias de los padres y las familias de guarda y de los </w:t>
      </w:r>
      <w:r w:rsidR="00EA0643" w:rsidRPr="00957229">
        <w:rPr>
          <w:rFonts w:ascii="Calibri" w:hAnsi="Calibri" w:cs="Calibri"/>
          <w:sz w:val="22"/>
        </w:rPr>
        <w:t>cuidadores</w:t>
      </w:r>
      <w:r w:rsidRPr="00957229">
        <w:rPr>
          <w:rFonts w:ascii="Calibri" w:hAnsi="Calibri" w:cs="Calibri"/>
          <w:sz w:val="22"/>
        </w:rPr>
        <w:t xml:space="preserve"> profesionales especializados.</w:t>
      </w:r>
    </w:p>
    <w:p w14:paraId="4C8F15C1" w14:textId="29E71F99" w:rsidR="00EA0643" w:rsidRPr="00957229" w:rsidRDefault="00622766" w:rsidP="00B4081C">
      <w:pPr>
        <w:rPr>
          <w:rFonts w:ascii="Calibri" w:hAnsi="Calibri" w:cs="Calibri"/>
          <w:sz w:val="22"/>
        </w:rPr>
      </w:pPr>
      <w:r w:rsidRPr="00957229">
        <w:rPr>
          <w:rFonts w:ascii="Calibri" w:hAnsi="Calibri" w:cs="Calibri"/>
          <w:sz w:val="22"/>
        </w:rPr>
        <w:t xml:space="preserve">El objetivo principal de la Administración, en la asunción de las funciones tutelares de los NNA, </w:t>
      </w:r>
      <w:r w:rsidR="00EA0643" w:rsidRPr="00957229">
        <w:rPr>
          <w:rFonts w:ascii="Calibri" w:hAnsi="Calibri" w:cs="Calibri"/>
          <w:sz w:val="22"/>
        </w:rPr>
        <w:t>debería ser</w:t>
      </w:r>
      <w:r w:rsidRPr="00957229">
        <w:rPr>
          <w:rFonts w:ascii="Calibri" w:hAnsi="Calibri" w:cs="Calibri"/>
          <w:sz w:val="22"/>
        </w:rPr>
        <w:t xml:space="preserve"> el retorno de éstos con la familia de origen</w:t>
      </w:r>
      <w:r w:rsidR="00EA0643" w:rsidRPr="00957229">
        <w:rPr>
          <w:rFonts w:ascii="Calibri" w:hAnsi="Calibri" w:cs="Calibri"/>
          <w:sz w:val="22"/>
        </w:rPr>
        <w:t>, trabajando tanto al NNA como a la propia familia para que ello pudiera ser real. El derecho del NNA a crecer en su propia familia.</w:t>
      </w:r>
    </w:p>
    <w:p w14:paraId="34E2B66A" w14:textId="77777777" w:rsidR="00336D07" w:rsidRPr="00957229" w:rsidRDefault="00622766" w:rsidP="00B4081C">
      <w:pPr>
        <w:rPr>
          <w:rFonts w:ascii="Calibri" w:hAnsi="Calibri" w:cs="Calibri"/>
          <w:sz w:val="22"/>
        </w:rPr>
      </w:pPr>
      <w:r w:rsidRPr="00957229">
        <w:rPr>
          <w:rFonts w:ascii="Calibri" w:hAnsi="Calibri" w:cs="Calibri"/>
          <w:sz w:val="22"/>
        </w:rPr>
        <w:t>En el sistema actual, el mismo equipo humano que propone la retirada</w:t>
      </w:r>
      <w:r w:rsidR="00EA0643" w:rsidRPr="00957229">
        <w:rPr>
          <w:rFonts w:ascii="Calibri" w:hAnsi="Calibri" w:cs="Calibri"/>
          <w:sz w:val="22"/>
        </w:rPr>
        <w:t xml:space="preserve"> del NNA,</w:t>
      </w:r>
      <w:r w:rsidRPr="00957229">
        <w:rPr>
          <w:rFonts w:ascii="Calibri" w:hAnsi="Calibri" w:cs="Calibri"/>
          <w:sz w:val="22"/>
        </w:rPr>
        <w:t xml:space="preserve"> es el mismo equipo que </w:t>
      </w:r>
      <w:r w:rsidR="00EA0643" w:rsidRPr="00957229">
        <w:rPr>
          <w:rFonts w:ascii="Calibri" w:hAnsi="Calibri" w:cs="Calibri"/>
          <w:sz w:val="22"/>
        </w:rPr>
        <w:t>trabaja con la familia</w:t>
      </w:r>
      <w:r w:rsidRPr="00957229">
        <w:rPr>
          <w:rFonts w:ascii="Calibri" w:hAnsi="Calibri" w:cs="Calibri"/>
          <w:sz w:val="22"/>
        </w:rPr>
        <w:t xml:space="preserve"> el retorno. Es inevitable </w:t>
      </w:r>
      <w:r w:rsidR="00CC03EE" w:rsidRPr="00957229">
        <w:rPr>
          <w:rFonts w:ascii="Calibri" w:hAnsi="Calibri" w:cs="Calibri"/>
          <w:sz w:val="22"/>
        </w:rPr>
        <w:t>concluir</w:t>
      </w:r>
      <w:r w:rsidRPr="00957229">
        <w:rPr>
          <w:rFonts w:ascii="Calibri" w:hAnsi="Calibri" w:cs="Calibri"/>
          <w:sz w:val="22"/>
        </w:rPr>
        <w:t xml:space="preserve"> que el equipo está “intoxicado” por los factores de riesgo</w:t>
      </w:r>
      <w:r w:rsidR="00CC03EE" w:rsidRPr="00957229">
        <w:rPr>
          <w:rFonts w:ascii="Calibri" w:hAnsi="Calibri" w:cs="Calibri"/>
          <w:sz w:val="22"/>
        </w:rPr>
        <w:t>, así como que a la familia de origen le va a costar confiar en las personas que han recomendado la retirada.</w:t>
      </w:r>
    </w:p>
    <w:p w14:paraId="4384054F" w14:textId="2E01AF72" w:rsidR="00F52936" w:rsidRPr="00957229" w:rsidRDefault="00336D07" w:rsidP="00F52936">
      <w:pPr>
        <w:spacing w:after="160" w:afterAutospacing="0" w:line="259" w:lineRule="auto"/>
        <w:rPr>
          <w:rFonts w:ascii="Calibri" w:hAnsi="Calibri" w:cs="Calibri"/>
          <w:sz w:val="22"/>
        </w:rPr>
      </w:pPr>
      <w:r w:rsidRPr="00957229">
        <w:rPr>
          <w:rFonts w:ascii="Calibri" w:hAnsi="Calibri" w:cs="Calibri"/>
          <w:sz w:val="22"/>
        </w:rPr>
        <w:t>Esta situación ya sucedió en el pasado en España en materia de reforma (las personas menores de edad en conflicto con la Le</w:t>
      </w:r>
      <w:r w:rsidR="00F52936" w:rsidRPr="00957229">
        <w:rPr>
          <w:rFonts w:ascii="Calibri" w:hAnsi="Calibri" w:cs="Calibri"/>
          <w:sz w:val="22"/>
        </w:rPr>
        <w:t xml:space="preserve">y, en virtud de la Ley de Tribunales Tutelares de Menores de 1948 (a partir de la transición española, Ley de Juzgados de menores) no contaban con un procedimiento de garantías constitucionales: no había un procedimiento contradictorio, no disponían de defensa letrada, ni tan siquiera con un Juez de carrera. Es el 18 de marzo de 1991 que el Tribunal Constitucional declara inconstitucional el artículo 15 de la Ley de juzgados de menores, promulgándose en 1992 la Ley orgánica 4/1992 de reforma de la Ley reguladora de la Competencia y el Procedimiento de los Juzgados de Menores; en 1995 la tipificación del </w:t>
      </w:r>
      <w:r w:rsidR="004E4157" w:rsidRPr="00957229">
        <w:rPr>
          <w:rFonts w:ascii="Calibri" w:hAnsi="Calibri" w:cs="Calibri"/>
          <w:sz w:val="22"/>
        </w:rPr>
        <w:t>Código</w:t>
      </w:r>
      <w:r w:rsidR="00F52936" w:rsidRPr="00957229">
        <w:rPr>
          <w:rFonts w:ascii="Calibri" w:hAnsi="Calibri" w:cs="Calibri"/>
          <w:sz w:val="22"/>
        </w:rPr>
        <w:t xml:space="preserve"> Penal y en el año 2000 la Ley 5/2000 reguladora de la responsabilidad penal de las personas menores de edad. Desde entonces, las personas menores de edad, en conflicto con la Ley, cuentan con un proceso judicial contradictorio, diferenciado en dos fases: instrucción / juicio, con la instrucción del Ministerio Fiscal y la defensa letrada desde el inicio).</w:t>
      </w:r>
    </w:p>
    <w:p w14:paraId="70EA09AF" w14:textId="01BD5D3E" w:rsidR="00622766" w:rsidRPr="00957229" w:rsidRDefault="00CC68C3" w:rsidP="00F52936">
      <w:pPr>
        <w:spacing w:after="160" w:afterAutospacing="0" w:line="259" w:lineRule="auto"/>
        <w:rPr>
          <w:rFonts w:ascii="Calibri" w:hAnsi="Calibri" w:cs="Calibri"/>
          <w:sz w:val="22"/>
        </w:rPr>
      </w:pPr>
      <w:r w:rsidRPr="00957229">
        <w:rPr>
          <w:rFonts w:ascii="Calibri" w:hAnsi="Calibri" w:cs="Calibri"/>
          <w:sz w:val="22"/>
        </w:rPr>
        <w:t>L</w:t>
      </w:r>
      <w:r w:rsidR="00CC03EE" w:rsidRPr="00957229">
        <w:rPr>
          <w:rFonts w:ascii="Calibri" w:hAnsi="Calibri" w:cs="Calibri"/>
          <w:sz w:val="22"/>
        </w:rPr>
        <w:t>a ausencia de control judicial previo</w:t>
      </w:r>
      <w:r w:rsidRPr="00957229">
        <w:rPr>
          <w:rFonts w:ascii="Calibri" w:hAnsi="Calibri" w:cs="Calibri"/>
          <w:sz w:val="22"/>
        </w:rPr>
        <w:t xml:space="preserve"> que declare el desamparo y la separación del menor de su propia familia, la ausencia de personal diferenciado entre la investigación y el retorno, </w:t>
      </w:r>
      <w:r w:rsidR="00CC03EE" w:rsidRPr="00957229">
        <w:rPr>
          <w:rFonts w:ascii="Calibri" w:hAnsi="Calibri" w:cs="Calibri"/>
          <w:sz w:val="22"/>
        </w:rPr>
        <w:t xml:space="preserve">la competencia absoluta en la materia sin control externo, el inevitable paso del tiempo unido a los </w:t>
      </w:r>
      <w:r w:rsidRPr="00957229">
        <w:rPr>
          <w:rFonts w:ascii="Calibri" w:hAnsi="Calibri" w:cs="Calibri"/>
          <w:sz w:val="22"/>
        </w:rPr>
        <w:t xml:space="preserve">largos </w:t>
      </w:r>
      <w:r w:rsidR="00CC03EE" w:rsidRPr="00957229">
        <w:rPr>
          <w:rFonts w:ascii="Calibri" w:hAnsi="Calibri" w:cs="Calibri"/>
          <w:sz w:val="22"/>
        </w:rPr>
        <w:t>plazos procesales y administrativo,</w:t>
      </w:r>
      <w:r w:rsidRPr="00957229">
        <w:rPr>
          <w:rFonts w:ascii="Calibri" w:hAnsi="Calibri" w:cs="Calibri"/>
          <w:sz w:val="22"/>
        </w:rPr>
        <w:t xml:space="preserve"> si la familia se opone a la medida,</w:t>
      </w:r>
      <w:r w:rsidR="00CC03EE" w:rsidRPr="00957229">
        <w:rPr>
          <w:rFonts w:ascii="Calibri" w:hAnsi="Calibri" w:cs="Calibri"/>
          <w:sz w:val="22"/>
        </w:rPr>
        <w:t xml:space="preserve"> deriva en muchas ocasiones en actuaciones irregulares de la administración como se analiza en la </w:t>
      </w:r>
      <w:hyperlink r:id="rId9" w:history="1">
        <w:r w:rsidR="00CC03EE" w:rsidRPr="00957229">
          <w:rPr>
            <w:rStyle w:val="Hyperlink"/>
            <w:rFonts w:ascii="Calibri" w:hAnsi="Calibri" w:cs="Calibri"/>
            <w:sz w:val="22"/>
          </w:rPr>
          <w:t xml:space="preserve">Sentencia </w:t>
        </w:r>
        <w:r w:rsidR="00F52936" w:rsidRPr="00957229">
          <w:rPr>
            <w:rStyle w:val="Hyperlink"/>
            <w:rFonts w:ascii="Calibri" w:hAnsi="Calibri" w:cs="Calibri"/>
            <w:sz w:val="22"/>
          </w:rPr>
          <w:t>dictada por el Tribunal Supremo 1438/2023 (ECLI: ES:TS:2023:4413)</w:t>
        </w:r>
        <w:r w:rsidR="00CC03EE" w:rsidRPr="00957229">
          <w:rPr>
            <w:rStyle w:val="Hyperlink"/>
            <w:rFonts w:ascii="Calibri" w:hAnsi="Calibri" w:cs="Calibri"/>
            <w:sz w:val="22"/>
          </w:rPr>
          <w:t>.</w:t>
        </w:r>
      </w:hyperlink>
      <w:r w:rsidR="00CC03EE" w:rsidRPr="00957229">
        <w:rPr>
          <w:rFonts w:ascii="Calibri" w:hAnsi="Calibri" w:cs="Calibri"/>
          <w:sz w:val="22"/>
        </w:rPr>
        <w:t xml:space="preserve"> </w:t>
      </w:r>
    </w:p>
    <w:p w14:paraId="7069ED11" w14:textId="7F1760DE" w:rsidR="00CC68C3" w:rsidRPr="00957229" w:rsidRDefault="00CC68C3" w:rsidP="00B4081C">
      <w:pPr>
        <w:spacing w:after="160" w:afterAutospacing="0" w:line="259" w:lineRule="auto"/>
        <w:rPr>
          <w:rFonts w:ascii="Calibri" w:hAnsi="Calibri" w:cs="Calibri"/>
          <w:sz w:val="22"/>
        </w:rPr>
      </w:pPr>
      <w:r w:rsidRPr="00957229">
        <w:rPr>
          <w:rFonts w:ascii="Calibri" w:hAnsi="Calibri" w:cs="Calibri"/>
          <w:sz w:val="22"/>
        </w:rPr>
        <w:t>Unido a ello, la ausencia de reglamentos y criterios claros durante el in</w:t>
      </w:r>
      <w:r w:rsidR="00D402EB" w:rsidRPr="00957229">
        <w:rPr>
          <w:rFonts w:ascii="Calibri" w:hAnsi="Calibri" w:cs="Calibri"/>
          <w:sz w:val="22"/>
        </w:rPr>
        <w:t>greso</w:t>
      </w:r>
      <w:r w:rsidRPr="00957229">
        <w:rPr>
          <w:rFonts w:ascii="Calibri" w:hAnsi="Calibri" w:cs="Calibri"/>
          <w:sz w:val="22"/>
        </w:rPr>
        <w:t xml:space="preserve"> en centros de los menores </w:t>
      </w:r>
      <w:r w:rsidR="00B4081C" w:rsidRPr="00957229">
        <w:rPr>
          <w:rFonts w:ascii="Calibri" w:hAnsi="Calibri" w:cs="Calibri"/>
          <w:sz w:val="22"/>
        </w:rPr>
        <w:t>en relación con</w:t>
      </w:r>
      <w:r w:rsidRPr="00957229">
        <w:rPr>
          <w:rFonts w:ascii="Calibri" w:hAnsi="Calibri" w:cs="Calibri"/>
          <w:sz w:val="22"/>
        </w:rPr>
        <w:t xml:space="preserve"> las visitas con la familia, los cambios de centros, los cambios de centros escolares, la privación de visitas con la familia o las modificaciones, devienen en situaciones irregulares y dispares por no decir arbitrarias, ya que son los centros, cada uno según su criterio, los que determinan las visitas con la familia. El estándar que se contiene en las resoluciones de desamparo viene a suponer la desvinculación del menor con su familia, al establecerse con carácter general visitas de una hora cada semana o cada quince </w:t>
      </w:r>
      <w:r w:rsidR="00B4081C" w:rsidRPr="00957229">
        <w:rPr>
          <w:rFonts w:ascii="Calibri" w:hAnsi="Calibri" w:cs="Calibri"/>
          <w:sz w:val="22"/>
        </w:rPr>
        <w:t>días</w:t>
      </w:r>
      <w:r w:rsidRPr="00957229">
        <w:rPr>
          <w:rFonts w:ascii="Calibri" w:hAnsi="Calibri" w:cs="Calibri"/>
          <w:sz w:val="22"/>
        </w:rPr>
        <w:t>.</w:t>
      </w:r>
    </w:p>
    <w:p w14:paraId="18704E52" w14:textId="500E8C4D" w:rsidR="00CC68C3" w:rsidRPr="00957229" w:rsidRDefault="00F52936" w:rsidP="004E4157">
      <w:pPr>
        <w:spacing w:after="160" w:afterAutospacing="0" w:line="259" w:lineRule="auto"/>
        <w:rPr>
          <w:rFonts w:ascii="Calibri" w:hAnsi="Calibri" w:cs="Calibri"/>
          <w:color w:val="FF0000"/>
          <w:sz w:val="22"/>
        </w:rPr>
      </w:pPr>
      <w:r w:rsidRPr="00957229">
        <w:rPr>
          <w:rFonts w:ascii="Calibri" w:hAnsi="Calibri" w:cs="Calibri"/>
          <w:sz w:val="22"/>
        </w:rPr>
        <w:t>Las comunicaciones telefónicas</w:t>
      </w:r>
      <w:r w:rsidR="00CC68C3" w:rsidRPr="00957229">
        <w:rPr>
          <w:rFonts w:ascii="Calibri" w:hAnsi="Calibri" w:cs="Calibri"/>
          <w:sz w:val="22"/>
        </w:rPr>
        <w:t xml:space="preserve"> de la familia con los menores son intervenidas por los educadores. Las visitas se realizan en espacios cerrados con presencia de educadores y el derecho a la intimidad familiar no existe en aras al interés del menor.</w:t>
      </w:r>
    </w:p>
    <w:p w14:paraId="22902BE8" w14:textId="1510917E" w:rsidR="00CC03EE" w:rsidRPr="00957229" w:rsidRDefault="00CC03EE" w:rsidP="004E4157">
      <w:pPr>
        <w:spacing w:after="160" w:afterAutospacing="0" w:line="259" w:lineRule="auto"/>
        <w:rPr>
          <w:rFonts w:ascii="Calibri" w:hAnsi="Calibri" w:cs="Calibri"/>
          <w:sz w:val="22"/>
        </w:rPr>
      </w:pPr>
      <w:r w:rsidRPr="00957229">
        <w:rPr>
          <w:rFonts w:ascii="Calibri" w:hAnsi="Calibri" w:cs="Calibri"/>
          <w:sz w:val="22"/>
        </w:rPr>
        <w:t>Como eje central de la intervención en protección y del análisis jurídico: el hecho controvertido es el Interés superior del niño.</w:t>
      </w:r>
    </w:p>
    <w:p w14:paraId="16229356" w14:textId="77777777" w:rsidR="00CC03EE" w:rsidRPr="00957229" w:rsidRDefault="00CC03EE" w:rsidP="00DC3FC3">
      <w:pPr>
        <w:spacing w:after="160" w:afterAutospacing="0" w:line="259" w:lineRule="auto"/>
        <w:jc w:val="left"/>
        <w:rPr>
          <w:rFonts w:ascii="Calibri" w:hAnsi="Calibri" w:cs="Calibri"/>
          <w:sz w:val="22"/>
        </w:rPr>
      </w:pPr>
    </w:p>
    <w:p w14:paraId="32DB4D11" w14:textId="77777777" w:rsidR="00DC3FC3" w:rsidRPr="00957229" w:rsidRDefault="00DC3FC3" w:rsidP="00986080">
      <w:pPr>
        <w:pStyle w:val="Heading4"/>
        <w:rPr>
          <w:rFonts w:ascii="Calibri" w:hAnsi="Calibri" w:cs="Calibri"/>
          <w:sz w:val="22"/>
        </w:rPr>
      </w:pPr>
      <w:r w:rsidRPr="00957229">
        <w:rPr>
          <w:rFonts w:ascii="Calibri" w:hAnsi="Calibri" w:cs="Calibri"/>
          <w:sz w:val="22"/>
        </w:rPr>
        <w:lastRenderedPageBreak/>
        <w:t>Interés superior del niño en los procesos de protección (tutela).</w:t>
      </w:r>
    </w:p>
    <w:p w14:paraId="222843BE" w14:textId="0884E588" w:rsidR="00DC3FC3" w:rsidRPr="00957229" w:rsidRDefault="00DC3FC3" w:rsidP="004E4157">
      <w:pPr>
        <w:spacing w:after="160" w:afterAutospacing="0" w:line="259" w:lineRule="auto"/>
        <w:rPr>
          <w:rFonts w:ascii="Calibri" w:hAnsi="Calibri" w:cs="Calibri"/>
          <w:sz w:val="22"/>
        </w:rPr>
      </w:pPr>
      <w:r w:rsidRPr="00957229">
        <w:rPr>
          <w:rFonts w:ascii="Calibri" w:hAnsi="Calibri" w:cs="Calibri"/>
          <w:sz w:val="22"/>
        </w:rPr>
        <w:t xml:space="preserve">El interés superior del niño </w:t>
      </w:r>
      <w:r w:rsidR="00DD6F2A" w:rsidRPr="00957229">
        <w:rPr>
          <w:rFonts w:ascii="Calibri" w:hAnsi="Calibri" w:cs="Calibri"/>
          <w:sz w:val="22"/>
        </w:rPr>
        <w:t xml:space="preserve">fue incardinado en la Ley Orgánica 1/1996 de 15 de enero sobre protección jurídica del menor. </w:t>
      </w:r>
    </w:p>
    <w:p w14:paraId="654DDB1B" w14:textId="76DB777E" w:rsidR="00DD6F2A" w:rsidRPr="00957229" w:rsidRDefault="00DD6F2A" w:rsidP="004E4157">
      <w:pPr>
        <w:spacing w:after="160" w:afterAutospacing="0" w:line="259" w:lineRule="auto"/>
        <w:rPr>
          <w:rFonts w:ascii="Calibri" w:hAnsi="Calibri" w:cs="Calibri"/>
          <w:sz w:val="22"/>
        </w:rPr>
      </w:pPr>
      <w:r w:rsidRPr="00957229">
        <w:rPr>
          <w:rFonts w:ascii="Calibri" w:hAnsi="Calibri" w:cs="Calibri"/>
          <w:sz w:val="22"/>
        </w:rPr>
        <w:t>En la misma norma se distinguen las situaciones de riesgo y de desamparo (aquellas que conllevan la asunción de las funciones tutelares por parte de la Administración -sin revisión judicial previa- y conlleva la retirada del NNA del núcleo familiar de origen.</w:t>
      </w:r>
    </w:p>
    <w:p w14:paraId="7DBB9D32" w14:textId="60D961F5" w:rsidR="00DC3FC3" w:rsidRPr="00957229" w:rsidRDefault="00DC3FC3" w:rsidP="004E4157">
      <w:pPr>
        <w:rPr>
          <w:rFonts w:ascii="Calibri" w:hAnsi="Calibri" w:cs="Calibri"/>
          <w:sz w:val="22"/>
        </w:rPr>
      </w:pPr>
      <w:r w:rsidRPr="00957229">
        <w:rPr>
          <w:rFonts w:ascii="Calibri" w:hAnsi="Calibri" w:cs="Calibri"/>
          <w:sz w:val="22"/>
        </w:rPr>
        <w:t>Dada la heterogeneidad de situaciones que se pretenden abordar, la ley concreta algunos indicadores de riesgo y de desamparo</w:t>
      </w:r>
      <w:r w:rsidR="00CC68C3" w:rsidRPr="00957229">
        <w:rPr>
          <w:rFonts w:ascii="Calibri" w:hAnsi="Calibri" w:cs="Calibri"/>
          <w:sz w:val="22"/>
        </w:rPr>
        <w:t>.</w:t>
      </w:r>
      <w:r w:rsidR="00B4081C" w:rsidRPr="00957229">
        <w:rPr>
          <w:rFonts w:ascii="Calibri" w:hAnsi="Calibri" w:cs="Calibri"/>
          <w:sz w:val="22"/>
        </w:rPr>
        <w:t xml:space="preserve"> </w:t>
      </w:r>
      <w:r w:rsidR="00CC68C3" w:rsidRPr="00957229">
        <w:rPr>
          <w:rFonts w:ascii="Calibri" w:hAnsi="Calibri" w:cs="Calibri"/>
          <w:sz w:val="22"/>
        </w:rPr>
        <w:t>S</w:t>
      </w:r>
      <w:r w:rsidRPr="00957229">
        <w:rPr>
          <w:rFonts w:ascii="Calibri" w:hAnsi="Calibri" w:cs="Calibri"/>
          <w:sz w:val="22"/>
        </w:rPr>
        <w:t xml:space="preserve">in </w:t>
      </w:r>
      <w:r w:rsidR="00E06368" w:rsidRPr="00957229">
        <w:rPr>
          <w:rFonts w:ascii="Calibri" w:hAnsi="Calibri" w:cs="Calibri"/>
          <w:sz w:val="22"/>
        </w:rPr>
        <w:t>embargo,</w:t>
      </w:r>
      <w:r w:rsidRPr="00957229">
        <w:rPr>
          <w:rFonts w:ascii="Calibri" w:hAnsi="Calibri" w:cs="Calibri"/>
          <w:sz w:val="22"/>
        </w:rPr>
        <w:t xml:space="preserve"> en ambas situaciones, la ley deja abierta la posibilidad de decretarse cualquiera de las situaciones bajo preceptos inconcretos:</w:t>
      </w:r>
    </w:p>
    <w:p w14:paraId="218A8AD1" w14:textId="77777777" w:rsidR="00DC3FC3" w:rsidRPr="00957229" w:rsidRDefault="00DC3FC3" w:rsidP="004E4157">
      <w:pPr>
        <w:ind w:left="708"/>
        <w:rPr>
          <w:rFonts w:ascii="Calibri" w:hAnsi="Calibri" w:cs="Calibri"/>
          <w:i/>
          <w:iCs/>
          <w:sz w:val="22"/>
        </w:rPr>
      </w:pPr>
      <w:r w:rsidRPr="00957229">
        <w:rPr>
          <w:rFonts w:ascii="Calibri" w:hAnsi="Calibri" w:cs="Calibri"/>
          <w:sz w:val="22"/>
        </w:rPr>
        <w:t xml:space="preserve">Art 17.2.m): </w:t>
      </w:r>
      <w:r w:rsidRPr="00957229">
        <w:rPr>
          <w:rFonts w:ascii="Calibri" w:hAnsi="Calibri" w:cs="Calibri"/>
          <w:i/>
          <w:iCs/>
          <w:sz w:val="22"/>
        </w:rPr>
        <w:t>“Cualquier otra circunstancia que implique violencia sobre las personas menores de edad que, en caso de persistir, pueda evolucionar y derivar en el desamparo del niño, niña o adolescente”</w:t>
      </w:r>
    </w:p>
    <w:p w14:paraId="5AFC2CF2" w14:textId="77777777" w:rsidR="00DC3FC3" w:rsidRPr="00957229" w:rsidRDefault="00DC3FC3" w:rsidP="004E4157">
      <w:pPr>
        <w:ind w:left="708"/>
        <w:rPr>
          <w:rFonts w:ascii="Calibri" w:hAnsi="Calibri" w:cs="Calibri"/>
          <w:i/>
          <w:iCs/>
          <w:sz w:val="22"/>
        </w:rPr>
      </w:pPr>
      <w:r w:rsidRPr="00957229">
        <w:rPr>
          <w:rFonts w:ascii="Calibri" w:hAnsi="Calibri" w:cs="Calibri"/>
          <w:sz w:val="22"/>
        </w:rPr>
        <w:t xml:space="preserve">Art. 18.2.h): </w:t>
      </w:r>
      <w:r w:rsidRPr="00957229">
        <w:rPr>
          <w:rFonts w:ascii="Calibri" w:hAnsi="Calibri" w:cs="Calibri"/>
          <w:i/>
          <w:iCs/>
          <w:sz w:val="22"/>
        </w:rPr>
        <w:t>“Cualquier otra situación gravemente perjudicial para el menor que traiga causa del incumplimiento o del imposible o inadecuado ejercicio de la patria potestad, la tutela o la guarda, cuyas consecuencias no puedan ser evitadas mientras permanezca en su entorno de convivencia”</w:t>
      </w:r>
    </w:p>
    <w:p w14:paraId="17552286" w14:textId="66758EA5" w:rsidR="00DC3FC3" w:rsidRPr="00957229" w:rsidRDefault="00DC3FC3" w:rsidP="004E4157">
      <w:pPr>
        <w:rPr>
          <w:rFonts w:ascii="Calibri" w:hAnsi="Calibri" w:cs="Calibri"/>
          <w:sz w:val="22"/>
        </w:rPr>
      </w:pPr>
      <w:r w:rsidRPr="00957229">
        <w:rPr>
          <w:rFonts w:ascii="Calibri" w:hAnsi="Calibri" w:cs="Calibri"/>
          <w:sz w:val="22"/>
        </w:rPr>
        <w:t xml:space="preserve">Esta falta de concreción facilita la actuación administrativa basada en presunciones y datos probabilísticos, </w:t>
      </w:r>
      <w:r w:rsidR="00DD6F2A" w:rsidRPr="00957229">
        <w:rPr>
          <w:rFonts w:ascii="Calibri" w:hAnsi="Calibri" w:cs="Calibri"/>
          <w:sz w:val="22"/>
        </w:rPr>
        <w:t>o en</w:t>
      </w:r>
      <w:r w:rsidRPr="00957229">
        <w:rPr>
          <w:rFonts w:ascii="Calibri" w:hAnsi="Calibri" w:cs="Calibri"/>
          <w:sz w:val="22"/>
        </w:rPr>
        <w:t xml:space="preserve"> el discernimiento, más que la objetividad.</w:t>
      </w:r>
    </w:p>
    <w:p w14:paraId="2CA1323B" w14:textId="17E84478" w:rsidR="00CC68C3" w:rsidRPr="00957229" w:rsidRDefault="00CC68C3" w:rsidP="004E4157">
      <w:pPr>
        <w:rPr>
          <w:rFonts w:ascii="Calibri" w:hAnsi="Calibri" w:cs="Calibri"/>
          <w:sz w:val="22"/>
        </w:rPr>
      </w:pPr>
      <w:r w:rsidRPr="00957229">
        <w:rPr>
          <w:rFonts w:ascii="Calibri" w:hAnsi="Calibri" w:cs="Calibri"/>
          <w:sz w:val="22"/>
        </w:rPr>
        <w:t>La protección del menor</w:t>
      </w:r>
      <w:r w:rsidR="00C27EE7" w:rsidRPr="00957229">
        <w:rPr>
          <w:rFonts w:ascii="Calibri" w:hAnsi="Calibri" w:cs="Calibri"/>
          <w:sz w:val="22"/>
        </w:rPr>
        <w:t>, en base al actual articulado,</w:t>
      </w:r>
      <w:r w:rsidRPr="00957229">
        <w:rPr>
          <w:rFonts w:ascii="Calibri" w:hAnsi="Calibri" w:cs="Calibri"/>
          <w:sz w:val="22"/>
        </w:rPr>
        <w:t xml:space="preserve"> puede ampararse en suposiciones o situaciones de futuro (</w:t>
      </w:r>
      <w:r w:rsidR="00F71C6F" w:rsidRPr="00957229">
        <w:rPr>
          <w:rFonts w:ascii="Calibri" w:hAnsi="Calibri" w:cs="Calibri"/>
          <w:sz w:val="22"/>
        </w:rPr>
        <w:t>negligencias</w:t>
      </w:r>
      <w:r w:rsidRPr="00957229">
        <w:rPr>
          <w:rFonts w:ascii="Calibri" w:hAnsi="Calibri" w:cs="Calibri"/>
          <w:sz w:val="22"/>
        </w:rPr>
        <w:t xml:space="preserve"> que pueden afectar al desarrollo de su personalidad, carencias de crianza y</w:t>
      </w:r>
      <w:r w:rsidR="004E4157">
        <w:rPr>
          <w:rFonts w:ascii="Calibri" w:hAnsi="Calibri" w:cs="Calibri"/>
          <w:sz w:val="22"/>
        </w:rPr>
        <w:t>,</w:t>
      </w:r>
      <w:r w:rsidRPr="00957229">
        <w:rPr>
          <w:rFonts w:ascii="Calibri" w:hAnsi="Calibri" w:cs="Calibri"/>
          <w:sz w:val="22"/>
        </w:rPr>
        <w:t xml:space="preserve"> en definitiva, términos generales sin concretar en el caso concreto)</w:t>
      </w:r>
    </w:p>
    <w:p w14:paraId="381A23A8" w14:textId="3730D5C3" w:rsidR="00DC3FC3" w:rsidRPr="00957229" w:rsidRDefault="00DC3FC3" w:rsidP="004E4157">
      <w:pPr>
        <w:rPr>
          <w:rFonts w:ascii="Calibri" w:hAnsi="Calibri" w:cs="Calibri"/>
          <w:sz w:val="22"/>
        </w:rPr>
      </w:pPr>
      <w:r w:rsidRPr="00957229">
        <w:rPr>
          <w:rFonts w:ascii="Calibri" w:hAnsi="Calibri" w:cs="Calibri"/>
          <w:sz w:val="22"/>
        </w:rPr>
        <w:t>A título de ejemplo, no son pocas las situaciones en las que la Administración, mantiene los indicadores de riesgo fundados en sospechas de maltrato, a pesar del archivo o absolución del progenitor en el proceso penal.</w:t>
      </w:r>
      <w:r w:rsidR="00CC68C3" w:rsidRPr="00957229">
        <w:rPr>
          <w:rFonts w:ascii="Calibri" w:hAnsi="Calibri" w:cs="Calibri"/>
          <w:sz w:val="22"/>
        </w:rPr>
        <w:t xml:space="preserve"> La denuncia por parte de la administración de un posible delito contra el menor, que resulta no probado, no impide la separación del menor.</w:t>
      </w:r>
    </w:p>
    <w:p w14:paraId="4CBE50CA" w14:textId="77777777" w:rsidR="00C27EE7" w:rsidRPr="00957229" w:rsidRDefault="00C27EE7" w:rsidP="00DC3FC3">
      <w:pPr>
        <w:spacing w:after="160" w:afterAutospacing="0" w:line="259" w:lineRule="auto"/>
        <w:jc w:val="left"/>
        <w:rPr>
          <w:rFonts w:ascii="Calibri" w:hAnsi="Calibri" w:cs="Calibri"/>
          <w:b/>
          <w:bCs/>
          <w:sz w:val="22"/>
          <w:u w:val="single"/>
        </w:rPr>
      </w:pPr>
    </w:p>
    <w:p w14:paraId="5DD6A79D" w14:textId="7EC7A97E" w:rsidR="00DC3FC3" w:rsidRPr="00957229" w:rsidRDefault="00DC3FC3" w:rsidP="00986080">
      <w:pPr>
        <w:pStyle w:val="Heading4"/>
        <w:rPr>
          <w:rFonts w:ascii="Calibri" w:hAnsi="Calibri" w:cs="Calibri"/>
          <w:sz w:val="22"/>
        </w:rPr>
      </w:pPr>
      <w:r w:rsidRPr="00957229">
        <w:rPr>
          <w:rFonts w:ascii="Calibri" w:hAnsi="Calibri" w:cs="Calibri"/>
          <w:sz w:val="22"/>
        </w:rPr>
        <w:t>Necesidad de jurisdicción propia y especialización.</w:t>
      </w:r>
    </w:p>
    <w:p w14:paraId="320D73AD" w14:textId="242D300A" w:rsidR="0092460A" w:rsidRPr="00957229" w:rsidRDefault="00CC68C3" w:rsidP="00B11419">
      <w:pPr>
        <w:rPr>
          <w:rFonts w:ascii="Calibri" w:hAnsi="Calibri" w:cs="Calibri"/>
          <w:sz w:val="22"/>
          <w:lang w:eastAsia="es-ES"/>
        </w:rPr>
      </w:pPr>
      <w:r w:rsidRPr="00957229">
        <w:rPr>
          <w:rFonts w:ascii="Calibri" w:hAnsi="Calibri" w:cs="Calibri"/>
          <w:sz w:val="22"/>
          <w:lang w:eastAsia="es-ES"/>
        </w:rPr>
        <w:t>El</w:t>
      </w:r>
      <w:r w:rsidR="0092460A" w:rsidRPr="00957229">
        <w:rPr>
          <w:rFonts w:ascii="Calibri" w:hAnsi="Calibri" w:cs="Calibri"/>
          <w:sz w:val="22"/>
          <w:lang w:eastAsia="es-ES"/>
        </w:rPr>
        <w:t xml:space="preserve"> control judicial previo a la toma de decisión del desamparo del niño (tutela administrativa = separación del NNA del núcleo familiar de origen)</w:t>
      </w:r>
      <w:r w:rsidRPr="00957229">
        <w:rPr>
          <w:rFonts w:ascii="Calibri" w:hAnsi="Calibri" w:cs="Calibri"/>
          <w:sz w:val="22"/>
          <w:lang w:eastAsia="es-ES"/>
        </w:rPr>
        <w:t xml:space="preserve"> en un estado de derecho es el punto esencial; el Juez predeterminado por la ley es quien debe decidir la separación del menor de su familia, en base a la propuesta que </w:t>
      </w:r>
      <w:r w:rsidR="00B4081C" w:rsidRPr="00957229">
        <w:rPr>
          <w:rFonts w:ascii="Calibri" w:hAnsi="Calibri" w:cs="Calibri"/>
          <w:sz w:val="22"/>
          <w:lang w:eastAsia="es-ES"/>
        </w:rPr>
        <w:t>efectúe</w:t>
      </w:r>
      <w:r w:rsidRPr="00957229">
        <w:rPr>
          <w:rFonts w:ascii="Calibri" w:hAnsi="Calibri" w:cs="Calibri"/>
          <w:sz w:val="22"/>
          <w:lang w:eastAsia="es-ES"/>
        </w:rPr>
        <w:t xml:space="preserve"> la </w:t>
      </w:r>
      <w:r w:rsidR="00BF0A6B" w:rsidRPr="00957229">
        <w:rPr>
          <w:rFonts w:ascii="Calibri" w:hAnsi="Calibri" w:cs="Calibri"/>
          <w:sz w:val="22"/>
          <w:lang w:eastAsia="es-ES"/>
        </w:rPr>
        <w:t>administración  ( exactamente igual que en el proceso sobre capacidad de las personas)</w:t>
      </w:r>
      <w:r w:rsidR="0092460A" w:rsidRPr="00957229">
        <w:rPr>
          <w:rFonts w:ascii="Calibri" w:hAnsi="Calibri" w:cs="Calibri"/>
          <w:sz w:val="22"/>
          <w:lang w:eastAsia="es-ES"/>
        </w:rPr>
        <w:t xml:space="preserve"> pero también una supervisión externa acerca del trabajo efectivo de la Administración en el retorno del NNA a la familia, fuera de injerencias o irregularidades</w:t>
      </w:r>
      <w:r w:rsidR="00BF0A6B" w:rsidRPr="00957229">
        <w:rPr>
          <w:rFonts w:ascii="Calibri" w:hAnsi="Calibri" w:cs="Calibri"/>
          <w:sz w:val="22"/>
          <w:lang w:eastAsia="es-ES"/>
        </w:rPr>
        <w:t>, a través de la ejecución de la sentencia judicial.</w:t>
      </w:r>
    </w:p>
    <w:p w14:paraId="2C0F1ED5" w14:textId="5B1EABC7" w:rsidR="00481575" w:rsidRPr="00957229" w:rsidRDefault="0092460A" w:rsidP="00B11419">
      <w:pPr>
        <w:rPr>
          <w:rFonts w:ascii="Calibri" w:hAnsi="Calibri" w:cs="Calibri"/>
          <w:sz w:val="22"/>
          <w:lang w:eastAsia="es-ES"/>
        </w:rPr>
      </w:pPr>
      <w:r w:rsidRPr="00957229">
        <w:rPr>
          <w:rFonts w:ascii="Calibri" w:hAnsi="Calibri" w:cs="Calibri"/>
          <w:sz w:val="22"/>
          <w:lang w:eastAsia="es-ES"/>
        </w:rPr>
        <w:t>Además, tod</w:t>
      </w:r>
      <w:r w:rsidR="00481575" w:rsidRPr="00957229">
        <w:rPr>
          <w:rFonts w:ascii="Calibri" w:hAnsi="Calibri" w:cs="Calibri"/>
          <w:sz w:val="22"/>
          <w:lang w:eastAsia="es-ES"/>
        </w:rPr>
        <w:t xml:space="preserve">as las actuaciones y decisiones legislativas, administrativas y judiciales deben efectuar una interpretación y aplicación de manera consistente del interés superior del NNA. </w:t>
      </w:r>
    </w:p>
    <w:p w14:paraId="74CE8604" w14:textId="0ADE4214" w:rsidR="00481575" w:rsidRPr="00957229" w:rsidRDefault="00481575" w:rsidP="00B11419">
      <w:pPr>
        <w:rPr>
          <w:rFonts w:ascii="Calibri" w:hAnsi="Calibri" w:cs="Calibri"/>
          <w:sz w:val="22"/>
          <w:lang w:eastAsia="es-ES"/>
        </w:rPr>
      </w:pPr>
      <w:r w:rsidRPr="00957229">
        <w:rPr>
          <w:rFonts w:ascii="Calibri" w:hAnsi="Calibri" w:cs="Calibri"/>
          <w:sz w:val="22"/>
          <w:lang w:eastAsia="es-ES"/>
        </w:rPr>
        <w:t>Para ello, es necesaria la especialización en la materia, pero, además, la jurisdicción propia</w:t>
      </w:r>
      <w:r w:rsidR="00BF0A6B" w:rsidRPr="00957229">
        <w:rPr>
          <w:rFonts w:ascii="Calibri" w:hAnsi="Calibri" w:cs="Calibri"/>
          <w:sz w:val="22"/>
          <w:lang w:eastAsia="es-ES"/>
        </w:rPr>
        <w:t>;</w:t>
      </w:r>
    </w:p>
    <w:p w14:paraId="6BE4A95C" w14:textId="3FD80E75" w:rsidR="00481575" w:rsidRPr="00957229" w:rsidRDefault="00481575" w:rsidP="00883891">
      <w:pPr>
        <w:pStyle w:val="ListParagraph"/>
        <w:numPr>
          <w:ilvl w:val="0"/>
          <w:numId w:val="6"/>
        </w:numPr>
        <w:rPr>
          <w:rFonts w:ascii="Calibri" w:hAnsi="Calibri" w:cs="Calibri"/>
          <w:sz w:val="22"/>
          <w:szCs w:val="22"/>
          <w:lang w:eastAsia="es-ES"/>
        </w:rPr>
      </w:pPr>
      <w:r w:rsidRPr="00957229">
        <w:rPr>
          <w:rFonts w:ascii="Calibri" w:hAnsi="Calibri" w:cs="Calibri"/>
          <w:sz w:val="22"/>
          <w:szCs w:val="22"/>
          <w:lang w:eastAsia="es-ES"/>
        </w:rPr>
        <w:t>Juzgados de menores mixtos: en materia de reforma y protección.</w:t>
      </w:r>
    </w:p>
    <w:p w14:paraId="09C8BAC0" w14:textId="0C6A6991" w:rsidR="00481575" w:rsidRPr="00957229" w:rsidRDefault="00481575" w:rsidP="00883891">
      <w:pPr>
        <w:pStyle w:val="ListParagraph"/>
        <w:numPr>
          <w:ilvl w:val="0"/>
          <w:numId w:val="6"/>
        </w:numPr>
        <w:rPr>
          <w:rFonts w:ascii="Calibri" w:hAnsi="Calibri" w:cs="Calibri"/>
          <w:sz w:val="22"/>
          <w:szCs w:val="22"/>
          <w:lang w:eastAsia="es-ES"/>
        </w:rPr>
      </w:pPr>
      <w:r w:rsidRPr="00957229">
        <w:rPr>
          <w:rFonts w:ascii="Calibri" w:hAnsi="Calibri" w:cs="Calibri"/>
          <w:sz w:val="22"/>
          <w:szCs w:val="22"/>
          <w:lang w:eastAsia="es-ES"/>
        </w:rPr>
        <w:lastRenderedPageBreak/>
        <w:t xml:space="preserve">Juzgados de </w:t>
      </w:r>
      <w:r w:rsidR="00BF0A6B" w:rsidRPr="00957229">
        <w:rPr>
          <w:rFonts w:ascii="Calibri" w:hAnsi="Calibri" w:cs="Calibri"/>
          <w:sz w:val="22"/>
          <w:szCs w:val="22"/>
          <w:lang w:eastAsia="es-ES"/>
        </w:rPr>
        <w:t xml:space="preserve">infancia, </w:t>
      </w:r>
      <w:r w:rsidRPr="00957229">
        <w:rPr>
          <w:rFonts w:ascii="Calibri" w:hAnsi="Calibri" w:cs="Calibri"/>
          <w:sz w:val="22"/>
          <w:szCs w:val="22"/>
          <w:lang w:eastAsia="es-ES"/>
        </w:rPr>
        <w:t>familia y capacidad.</w:t>
      </w:r>
    </w:p>
    <w:p w14:paraId="3B5E554B" w14:textId="4497811E" w:rsidR="00BF0A6B" w:rsidRDefault="00BF0A6B" w:rsidP="00BF0A6B">
      <w:pPr>
        <w:rPr>
          <w:rFonts w:ascii="Calibri" w:hAnsi="Calibri" w:cs="Calibri"/>
          <w:sz w:val="22"/>
          <w:lang w:eastAsia="es-ES"/>
        </w:rPr>
      </w:pPr>
      <w:r w:rsidRPr="00957229">
        <w:rPr>
          <w:rFonts w:ascii="Calibri" w:hAnsi="Calibri" w:cs="Calibri"/>
          <w:sz w:val="22"/>
          <w:lang w:eastAsia="es-ES"/>
        </w:rPr>
        <w:t xml:space="preserve">Las dos </w:t>
      </w:r>
      <w:r w:rsidR="00F71C6F" w:rsidRPr="00957229">
        <w:rPr>
          <w:rFonts w:ascii="Calibri" w:hAnsi="Calibri" w:cs="Calibri"/>
          <w:sz w:val="22"/>
          <w:lang w:eastAsia="es-ES"/>
        </w:rPr>
        <w:t>jurisdicciones</w:t>
      </w:r>
      <w:r w:rsidRPr="00957229">
        <w:rPr>
          <w:rFonts w:ascii="Calibri" w:hAnsi="Calibri" w:cs="Calibri"/>
          <w:sz w:val="22"/>
          <w:lang w:eastAsia="es-ES"/>
        </w:rPr>
        <w:t xml:space="preserve"> son </w:t>
      </w:r>
      <w:r w:rsidR="00F71C6F" w:rsidRPr="00957229">
        <w:rPr>
          <w:rFonts w:ascii="Calibri" w:hAnsi="Calibri" w:cs="Calibri"/>
          <w:sz w:val="22"/>
          <w:lang w:eastAsia="es-ES"/>
        </w:rPr>
        <w:t>válidas</w:t>
      </w:r>
      <w:r w:rsidRPr="00957229">
        <w:rPr>
          <w:rFonts w:ascii="Calibri" w:hAnsi="Calibri" w:cs="Calibri"/>
          <w:sz w:val="22"/>
          <w:lang w:eastAsia="es-ES"/>
        </w:rPr>
        <w:t>; el modelo francés que otorga al Juez de menores la competencia en materia de protección y reforma o el modelo alemán que otorga la competencia en materia de protección a los juzgados de infancia y familia y la protección a los Juzgados de Menores. España se ha quedado durante 40 años sin intervención judicial.</w:t>
      </w:r>
    </w:p>
    <w:p w14:paraId="0341275B" w14:textId="77777777" w:rsidR="004E4157" w:rsidRPr="00957229" w:rsidRDefault="004E4157" w:rsidP="00BF0A6B">
      <w:pPr>
        <w:rPr>
          <w:rFonts w:ascii="Calibri" w:hAnsi="Calibri" w:cs="Calibri"/>
          <w:sz w:val="22"/>
          <w:lang w:eastAsia="es-ES"/>
        </w:rPr>
      </w:pPr>
    </w:p>
    <w:p w14:paraId="5824B4EE" w14:textId="4526164C" w:rsidR="00B11419" w:rsidRPr="00957229" w:rsidRDefault="00B11419" w:rsidP="00986080">
      <w:pPr>
        <w:pStyle w:val="Heading4"/>
        <w:rPr>
          <w:rFonts w:ascii="Calibri" w:hAnsi="Calibri" w:cs="Calibri"/>
          <w:sz w:val="22"/>
          <w:lang w:eastAsia="es-ES"/>
        </w:rPr>
      </w:pPr>
      <w:r w:rsidRPr="00957229">
        <w:rPr>
          <w:rFonts w:ascii="Calibri" w:hAnsi="Calibri" w:cs="Calibri"/>
          <w:sz w:val="22"/>
          <w:lang w:eastAsia="es-ES"/>
        </w:rPr>
        <w:t>Defensa letrada de los niños, niñas y adolescentes sujetos a tutela administrativa</w:t>
      </w:r>
      <w:r w:rsidR="002A1F78" w:rsidRPr="00957229">
        <w:rPr>
          <w:rFonts w:ascii="Calibri" w:hAnsi="Calibri" w:cs="Calibri"/>
          <w:sz w:val="22"/>
          <w:lang w:eastAsia="es-ES"/>
        </w:rPr>
        <w:t>. Relativo a la opinión del NNA, planteada en la cuestión previa 15d):</w:t>
      </w:r>
    </w:p>
    <w:p w14:paraId="518F690E" w14:textId="2ADA80CE" w:rsidR="00DD6F2A" w:rsidRPr="00957229" w:rsidRDefault="00DD6F2A" w:rsidP="00B11419">
      <w:pPr>
        <w:rPr>
          <w:rFonts w:ascii="Calibri" w:hAnsi="Calibri" w:cs="Calibri"/>
          <w:sz w:val="22"/>
          <w:lang w:eastAsia="es-ES"/>
        </w:rPr>
      </w:pPr>
      <w:r w:rsidRPr="00957229">
        <w:rPr>
          <w:rFonts w:ascii="Calibri" w:hAnsi="Calibri" w:cs="Calibri"/>
          <w:sz w:val="22"/>
          <w:lang w:eastAsia="es-ES"/>
        </w:rPr>
        <w:t>Frente a la resolución administrativa de protección, las partes interesadas (progenitores, acogedores, el menor, el ministerio fiscal) pueden instar una oposición judicial (</w:t>
      </w:r>
      <w:r w:rsidR="00F71C6F" w:rsidRPr="00957229">
        <w:rPr>
          <w:rFonts w:ascii="Calibri" w:hAnsi="Calibri" w:cs="Calibri"/>
          <w:sz w:val="22"/>
          <w:lang w:eastAsia="es-ES"/>
        </w:rPr>
        <w:t>revisión</w:t>
      </w:r>
      <w:r w:rsidRPr="00957229">
        <w:rPr>
          <w:rFonts w:ascii="Calibri" w:hAnsi="Calibri" w:cs="Calibri"/>
          <w:sz w:val="22"/>
          <w:lang w:eastAsia="es-ES"/>
        </w:rPr>
        <w:t xml:space="preserve"> judicial</w:t>
      </w:r>
      <w:r w:rsidR="00F71C6F" w:rsidRPr="00957229">
        <w:rPr>
          <w:rFonts w:ascii="Calibri" w:hAnsi="Calibri" w:cs="Calibri"/>
          <w:sz w:val="22"/>
          <w:lang w:eastAsia="es-ES"/>
        </w:rPr>
        <w:t>, tanto de la medida aplicada como de los motivos o razones que sustentan la medida</w:t>
      </w:r>
      <w:r w:rsidRPr="00957229">
        <w:rPr>
          <w:rFonts w:ascii="Calibri" w:hAnsi="Calibri" w:cs="Calibri"/>
          <w:sz w:val="22"/>
          <w:lang w:eastAsia="es-ES"/>
        </w:rPr>
        <w:t>).</w:t>
      </w:r>
    </w:p>
    <w:p w14:paraId="6DEAD6AA" w14:textId="10768C5A" w:rsidR="00BE524E" w:rsidRPr="00957229" w:rsidRDefault="00BE524E" w:rsidP="00B11419">
      <w:pPr>
        <w:rPr>
          <w:rFonts w:ascii="Calibri" w:hAnsi="Calibri" w:cs="Calibri"/>
          <w:sz w:val="22"/>
          <w:lang w:eastAsia="es-ES"/>
        </w:rPr>
      </w:pPr>
      <w:r w:rsidRPr="00957229">
        <w:rPr>
          <w:rFonts w:ascii="Calibri" w:hAnsi="Calibri" w:cs="Calibri"/>
          <w:sz w:val="22"/>
          <w:lang w:eastAsia="es-ES"/>
        </w:rPr>
        <w:t>El proceso judicial de oposición a la medida administrativa de protección (control judicial) se regula en el artículo 780 de la Ley de Enjuiciamiento Civil (LEC).</w:t>
      </w:r>
    </w:p>
    <w:p w14:paraId="2E54C5B7" w14:textId="61324842" w:rsidR="00DD6F2A" w:rsidRPr="00957229" w:rsidRDefault="00BE524E" w:rsidP="00DD6F2A">
      <w:pPr>
        <w:rPr>
          <w:rFonts w:ascii="Calibri" w:hAnsi="Calibri" w:cs="Calibri"/>
          <w:sz w:val="22"/>
        </w:rPr>
      </w:pPr>
      <w:r w:rsidRPr="00957229">
        <w:rPr>
          <w:rFonts w:ascii="Calibri" w:hAnsi="Calibri" w:cs="Calibri"/>
          <w:sz w:val="22"/>
        </w:rPr>
        <w:t>E</w:t>
      </w:r>
      <w:r w:rsidR="00DD6F2A" w:rsidRPr="00957229">
        <w:rPr>
          <w:rFonts w:ascii="Calibri" w:hAnsi="Calibri" w:cs="Calibri"/>
          <w:sz w:val="22"/>
        </w:rPr>
        <w:t xml:space="preserve">n 2022 </w:t>
      </w:r>
      <w:r w:rsidRPr="00957229">
        <w:rPr>
          <w:rFonts w:ascii="Calibri" w:hAnsi="Calibri" w:cs="Calibri"/>
          <w:sz w:val="22"/>
        </w:rPr>
        <w:t xml:space="preserve">fueron </w:t>
      </w:r>
      <w:r w:rsidR="00DD6F2A" w:rsidRPr="00957229">
        <w:rPr>
          <w:rFonts w:ascii="Calibri" w:hAnsi="Calibri" w:cs="Calibri"/>
          <w:sz w:val="22"/>
        </w:rPr>
        <w:t xml:space="preserve">1.701 </w:t>
      </w:r>
      <w:r w:rsidRPr="00957229">
        <w:rPr>
          <w:rFonts w:ascii="Calibri" w:hAnsi="Calibri" w:cs="Calibri"/>
          <w:sz w:val="22"/>
        </w:rPr>
        <w:t>las resoluciones que se impugnaron j</w:t>
      </w:r>
      <w:r w:rsidR="00DD6F2A" w:rsidRPr="00957229">
        <w:rPr>
          <w:rFonts w:ascii="Calibri" w:hAnsi="Calibri" w:cs="Calibri"/>
          <w:sz w:val="22"/>
        </w:rPr>
        <w:t>udicialmente</w:t>
      </w:r>
      <w:r w:rsidR="00DD6F2A" w:rsidRPr="00957229">
        <w:rPr>
          <w:rStyle w:val="FootnoteReference"/>
          <w:rFonts w:ascii="Calibri" w:hAnsi="Calibri" w:cs="Calibri"/>
          <w:sz w:val="22"/>
        </w:rPr>
        <w:footnoteReference w:id="2"/>
      </w:r>
      <w:r w:rsidRPr="00957229">
        <w:rPr>
          <w:rFonts w:ascii="Calibri" w:hAnsi="Calibri" w:cs="Calibri"/>
          <w:sz w:val="22"/>
        </w:rPr>
        <w:t xml:space="preserve"> (a tener en cuenta que</w:t>
      </w:r>
      <w:r w:rsidR="002A1F78" w:rsidRPr="00957229">
        <w:rPr>
          <w:rFonts w:ascii="Calibri" w:hAnsi="Calibri" w:cs="Calibri"/>
          <w:sz w:val="22"/>
        </w:rPr>
        <w:t>,</w:t>
      </w:r>
      <w:r w:rsidRPr="00957229">
        <w:rPr>
          <w:rFonts w:ascii="Calibri" w:hAnsi="Calibri" w:cs="Calibri"/>
          <w:sz w:val="22"/>
        </w:rPr>
        <w:t xml:space="preserve"> en ese año, solo de tutelas “ex lege” se emitieron 10.634 resoluciones).</w:t>
      </w:r>
    </w:p>
    <w:p w14:paraId="025C774D" w14:textId="77777777" w:rsidR="00DD6F2A" w:rsidRPr="00957229" w:rsidRDefault="00DD6F2A" w:rsidP="00DD6F2A">
      <w:pPr>
        <w:rPr>
          <w:rFonts w:ascii="Calibri" w:hAnsi="Calibri" w:cs="Calibri"/>
          <w:sz w:val="22"/>
          <w:lang w:eastAsia="es-ES"/>
        </w:rPr>
      </w:pPr>
      <w:r w:rsidRPr="00957229">
        <w:rPr>
          <w:rFonts w:ascii="Calibri" w:hAnsi="Calibri" w:cs="Calibri"/>
          <w:sz w:val="22"/>
          <w:lang w:eastAsia="es-ES"/>
        </w:rPr>
        <w:t xml:space="preserve">El artículo 780 LEC establece que: </w:t>
      </w:r>
    </w:p>
    <w:p w14:paraId="305980FE" w14:textId="1E0FEB62" w:rsidR="00DD6F2A" w:rsidRPr="00957229" w:rsidRDefault="00DD6F2A" w:rsidP="00DD6F2A">
      <w:pPr>
        <w:pStyle w:val="Quote"/>
        <w:rPr>
          <w:rFonts w:ascii="Calibri" w:hAnsi="Calibri" w:cs="Calibri"/>
          <w:sz w:val="22"/>
          <w:szCs w:val="22"/>
        </w:rPr>
      </w:pPr>
      <w:r w:rsidRPr="00957229">
        <w:rPr>
          <w:rFonts w:ascii="Calibri" w:hAnsi="Calibri" w:cs="Calibri"/>
          <w:sz w:val="22"/>
          <w:szCs w:val="22"/>
        </w:rPr>
        <w:t xml:space="preserve">“Los menores tendrán derecho a ser parte y a ser oídos y escuchados en el proceso conforme a lo establecido en la Ley Orgánica de Protección Jurídica del Menor. Ejercitarán sus pretensiones en relación </w:t>
      </w:r>
      <w:r w:rsidR="004E4157">
        <w:rPr>
          <w:rFonts w:ascii="Calibri" w:hAnsi="Calibri" w:cs="Calibri"/>
          <w:sz w:val="22"/>
          <w:szCs w:val="22"/>
        </w:rPr>
        <w:t>a</w:t>
      </w:r>
      <w:r w:rsidRPr="00957229">
        <w:rPr>
          <w:rFonts w:ascii="Calibri" w:hAnsi="Calibri" w:cs="Calibri"/>
          <w:sz w:val="22"/>
          <w:szCs w:val="22"/>
        </w:rPr>
        <w:t xml:space="preserve"> las resoluciones administrativas que les afecten a través de sus representantes legales siempre que no tengan intereses contrapuestos a los suyos, o a través de la persona que se designe o que ellos mismos designen como su defensor para que les represente.”</w:t>
      </w:r>
    </w:p>
    <w:p w14:paraId="421E66E1" w14:textId="5C841110" w:rsidR="00B11419" w:rsidRPr="00957229" w:rsidRDefault="00B11419" w:rsidP="00B11419">
      <w:pPr>
        <w:rPr>
          <w:rFonts w:ascii="Calibri" w:hAnsi="Calibri" w:cs="Calibri"/>
          <w:sz w:val="22"/>
          <w:lang w:eastAsia="es-ES"/>
        </w:rPr>
      </w:pPr>
      <w:r w:rsidRPr="00957229">
        <w:rPr>
          <w:rFonts w:ascii="Calibri" w:hAnsi="Calibri" w:cs="Calibri"/>
          <w:sz w:val="22"/>
          <w:lang w:eastAsia="es-ES"/>
        </w:rPr>
        <w:t xml:space="preserve">El </w:t>
      </w:r>
      <w:r w:rsidRPr="00957229">
        <w:rPr>
          <w:rFonts w:ascii="Calibri" w:hAnsi="Calibri" w:cs="Calibri"/>
          <w:sz w:val="22"/>
          <w:u w:val="single"/>
          <w:lang w:eastAsia="es-ES"/>
        </w:rPr>
        <w:t>artículo 24 de la C</w:t>
      </w:r>
      <w:r w:rsidR="007F001B" w:rsidRPr="00957229">
        <w:rPr>
          <w:rFonts w:ascii="Calibri" w:hAnsi="Calibri" w:cs="Calibri"/>
          <w:sz w:val="22"/>
          <w:u w:val="single"/>
          <w:lang w:eastAsia="es-ES"/>
        </w:rPr>
        <w:t xml:space="preserve">onstitución </w:t>
      </w:r>
      <w:r w:rsidRPr="00957229">
        <w:rPr>
          <w:rFonts w:ascii="Calibri" w:hAnsi="Calibri" w:cs="Calibri"/>
          <w:sz w:val="22"/>
          <w:u w:val="single"/>
          <w:lang w:eastAsia="es-ES"/>
        </w:rPr>
        <w:t>E</w:t>
      </w:r>
      <w:r w:rsidR="007F001B" w:rsidRPr="00957229">
        <w:rPr>
          <w:rFonts w:ascii="Calibri" w:hAnsi="Calibri" w:cs="Calibri"/>
          <w:sz w:val="22"/>
          <w:u w:val="single"/>
          <w:lang w:eastAsia="es-ES"/>
        </w:rPr>
        <w:t>spañola</w:t>
      </w:r>
      <w:r w:rsidRPr="00957229">
        <w:rPr>
          <w:rFonts w:ascii="Calibri" w:hAnsi="Calibri" w:cs="Calibri"/>
          <w:sz w:val="22"/>
          <w:lang w:eastAsia="es-ES"/>
        </w:rPr>
        <w:t xml:space="preserve"> establece como derecho fundamental el derecho a la tutela judicial efectiva y a la asistencia y defensa de un letrado para, literalmente, todas las personas. </w:t>
      </w:r>
    </w:p>
    <w:p w14:paraId="7F361470" w14:textId="12C59CD6" w:rsidR="00B11419" w:rsidRPr="00957229" w:rsidRDefault="00B11419" w:rsidP="00B11419">
      <w:pPr>
        <w:rPr>
          <w:rFonts w:ascii="Calibri" w:hAnsi="Calibri" w:cs="Calibri"/>
          <w:b/>
          <w:bCs/>
          <w:sz w:val="22"/>
          <w:lang w:eastAsia="es-ES"/>
        </w:rPr>
      </w:pPr>
      <w:r w:rsidRPr="00957229">
        <w:rPr>
          <w:rFonts w:ascii="Calibri" w:hAnsi="Calibri" w:cs="Calibri"/>
          <w:sz w:val="22"/>
          <w:lang w:eastAsia="es-ES"/>
        </w:rPr>
        <w:t xml:space="preserve">Por su parte, </w:t>
      </w:r>
      <w:r w:rsidRPr="00957229">
        <w:rPr>
          <w:rFonts w:ascii="Calibri" w:hAnsi="Calibri" w:cs="Calibri"/>
          <w:sz w:val="22"/>
          <w:u w:val="single"/>
          <w:lang w:eastAsia="es-ES"/>
        </w:rPr>
        <w:t>el artículo 21 bis de la Ley Orgánica 1/1996 de 15 de enero de Protección Jurídica del Menor</w:t>
      </w:r>
      <w:r w:rsidRPr="00957229">
        <w:rPr>
          <w:rFonts w:ascii="Calibri" w:hAnsi="Calibri" w:cs="Calibri"/>
          <w:sz w:val="22"/>
          <w:lang w:eastAsia="es-ES"/>
        </w:rPr>
        <w:t xml:space="preserve"> establece que </w:t>
      </w:r>
      <w:r w:rsidRPr="00957229">
        <w:rPr>
          <w:rFonts w:ascii="Calibri" w:hAnsi="Calibri" w:cs="Calibri"/>
          <w:b/>
          <w:bCs/>
          <w:sz w:val="22"/>
          <w:lang w:eastAsia="es-ES"/>
        </w:rPr>
        <w:t>todo menor acogido tendrá derecho a ser beneficiario del derecho de asistencia jurídica gratuita cuando se encuentre en situación de desamparo.</w:t>
      </w:r>
    </w:p>
    <w:p w14:paraId="58BAFD01" w14:textId="77777777" w:rsidR="00B11419" w:rsidRPr="00957229" w:rsidRDefault="00B11419" w:rsidP="00B11419">
      <w:pPr>
        <w:rPr>
          <w:rFonts w:ascii="Calibri" w:hAnsi="Calibri" w:cs="Calibri"/>
          <w:sz w:val="22"/>
          <w:lang w:eastAsia="es-ES"/>
        </w:rPr>
      </w:pPr>
      <w:r w:rsidRPr="00957229">
        <w:rPr>
          <w:rFonts w:ascii="Calibri" w:hAnsi="Calibri" w:cs="Calibri"/>
          <w:sz w:val="22"/>
          <w:lang w:eastAsia="es-ES"/>
        </w:rPr>
        <w:t xml:space="preserve">Sin embargo, </w:t>
      </w:r>
      <w:r w:rsidRPr="00957229">
        <w:rPr>
          <w:rFonts w:ascii="Calibri" w:hAnsi="Calibri" w:cs="Calibri"/>
          <w:sz w:val="22"/>
          <w:u w:val="single"/>
          <w:lang w:eastAsia="es-ES"/>
        </w:rPr>
        <w:t>la Ley Orgánica 1/1996 de 10 de enero de asistencia jurídica gratuita</w:t>
      </w:r>
      <w:r w:rsidRPr="00957229">
        <w:rPr>
          <w:rFonts w:ascii="Calibri" w:hAnsi="Calibri" w:cs="Calibri"/>
          <w:sz w:val="22"/>
          <w:lang w:eastAsia="es-ES"/>
        </w:rPr>
        <w:t xml:space="preserve"> no contempla la puesta a disposición de defensa letrada para las personas menores de edad que se encuentran en situación de desamparo.</w:t>
      </w:r>
    </w:p>
    <w:p w14:paraId="531524C4" w14:textId="2BE96C54" w:rsidR="007F001B" w:rsidRPr="00957229" w:rsidRDefault="007F001B" w:rsidP="007F001B">
      <w:pPr>
        <w:rPr>
          <w:rFonts w:ascii="Calibri" w:hAnsi="Calibri" w:cs="Calibri"/>
          <w:sz w:val="22"/>
          <w:lang w:eastAsia="es-ES"/>
        </w:rPr>
      </w:pPr>
      <w:r w:rsidRPr="00957229">
        <w:rPr>
          <w:rFonts w:ascii="Calibri" w:hAnsi="Calibri" w:cs="Calibri"/>
          <w:sz w:val="22"/>
          <w:lang w:eastAsia="es-ES"/>
        </w:rPr>
        <w:t xml:space="preserve">La judicatura tampoco lo llega a reconocer. La Audiencia Provincial de Barcelona, Sección 18ª, en Sentencia 178/2022, fundamentó en relación con la denuncia hecha por la recurrente </w:t>
      </w:r>
      <w:r w:rsidRPr="00957229">
        <w:rPr>
          <w:rFonts w:ascii="Calibri" w:hAnsi="Calibri" w:cs="Calibri"/>
          <w:sz w:val="22"/>
          <w:lang w:eastAsia="es-ES"/>
        </w:rPr>
        <w:lastRenderedPageBreak/>
        <w:t xml:space="preserve">respecto de la vulneración del derecho fundamental a la asistencia y defensa letrada de la menor tutelada: </w:t>
      </w:r>
      <w:r w:rsidRPr="00957229">
        <w:rPr>
          <w:rFonts w:ascii="Calibri" w:hAnsi="Calibri" w:cs="Calibri"/>
          <w:i/>
          <w:iCs/>
          <w:sz w:val="22"/>
        </w:rPr>
        <w:t xml:space="preserve">“En cuanto a la designa de defensor, como hemos dicho en </w:t>
      </w:r>
      <w:r w:rsidRPr="00957229">
        <w:rPr>
          <w:rFonts w:ascii="Calibri" w:hAnsi="Calibri" w:cs="Calibri"/>
          <w:b/>
          <w:bCs/>
          <w:i/>
          <w:iCs/>
          <w:sz w:val="22"/>
        </w:rPr>
        <w:t>AAP, Civil Sección 18 del 15 de septiembre de 2021 (ROJ: AAP B 9255/2021 – ECLI:ES:APB:2021:9255A</w:t>
      </w:r>
      <w:r w:rsidRPr="00957229">
        <w:rPr>
          <w:rFonts w:ascii="Calibri" w:hAnsi="Calibri" w:cs="Calibri"/>
          <w:i/>
          <w:iCs/>
          <w:sz w:val="22"/>
        </w:rPr>
        <w:t>) “declarado el desamparo, en determinadas situaciones los protectores naturales no defienden al niño, niña o adolescente o aparecen “</w:t>
      </w:r>
      <w:r w:rsidRPr="00957229">
        <w:rPr>
          <w:rFonts w:ascii="Calibri" w:hAnsi="Calibri" w:cs="Calibri"/>
          <w:b/>
          <w:bCs/>
          <w:i/>
          <w:iCs/>
          <w:sz w:val="22"/>
        </w:rPr>
        <w:t>conflictos de intereses” con la institución de protección o entre los propios “protectores” y el menor y ello da origen a la necesidad de una defensa sustitutiva.</w:t>
      </w:r>
      <w:r w:rsidRPr="00957229">
        <w:rPr>
          <w:rFonts w:ascii="Calibri" w:hAnsi="Calibri" w:cs="Calibri"/>
          <w:sz w:val="22"/>
        </w:rPr>
        <w:t xml:space="preserve"> </w:t>
      </w:r>
      <w:r w:rsidRPr="00957229">
        <w:rPr>
          <w:rFonts w:ascii="Calibri" w:hAnsi="Calibri" w:cs="Calibri"/>
          <w:i/>
          <w:iCs/>
          <w:sz w:val="22"/>
          <w:lang w:eastAsia="es-ES"/>
        </w:rPr>
        <w:t xml:space="preserve">En determinadas condiciones será necesario, por la confrontación de posturas e intereses (si ni los progenitores ni la Administración defienden el del menor), nombrar a un </w:t>
      </w:r>
      <w:r w:rsidRPr="00957229">
        <w:rPr>
          <w:rFonts w:ascii="Calibri" w:hAnsi="Calibri" w:cs="Calibri"/>
          <w:b/>
          <w:bCs/>
          <w:i/>
          <w:iCs/>
          <w:sz w:val="22"/>
          <w:lang w:eastAsia="es-ES"/>
        </w:rPr>
        <w:t>defensor judicial</w:t>
      </w:r>
      <w:r w:rsidRPr="00957229">
        <w:rPr>
          <w:rFonts w:ascii="Calibri" w:hAnsi="Calibri" w:cs="Calibri"/>
          <w:i/>
          <w:iCs/>
          <w:sz w:val="22"/>
          <w:lang w:eastAsia="es-ES"/>
        </w:rPr>
        <w:t xml:space="preserve">. Los derechos del menor pueden estar también defendidos por el </w:t>
      </w:r>
      <w:r w:rsidRPr="00957229">
        <w:rPr>
          <w:rFonts w:ascii="Calibri" w:hAnsi="Calibri" w:cs="Calibri"/>
          <w:b/>
          <w:bCs/>
          <w:i/>
          <w:iCs/>
          <w:sz w:val="22"/>
          <w:lang w:eastAsia="es-ES"/>
        </w:rPr>
        <w:t xml:space="preserve">Ministerio Fiscal </w:t>
      </w:r>
      <w:r w:rsidRPr="00957229">
        <w:rPr>
          <w:rFonts w:ascii="Calibri" w:hAnsi="Calibri" w:cs="Calibri"/>
          <w:i/>
          <w:iCs/>
          <w:sz w:val="22"/>
          <w:lang w:eastAsia="es-ES"/>
        </w:rPr>
        <w:t xml:space="preserve">(sobre la base de un efectivo conocimiento del caso, no a modo de mero informe) … </w:t>
      </w:r>
      <w:r w:rsidRPr="00957229">
        <w:rPr>
          <w:rFonts w:ascii="Calibri" w:hAnsi="Calibri" w:cs="Calibri"/>
          <w:b/>
          <w:bCs/>
          <w:i/>
          <w:iCs/>
          <w:sz w:val="22"/>
          <w:lang w:eastAsia="es-ES"/>
        </w:rPr>
        <w:t xml:space="preserve">ni el Juzgado ni la Sala advierten que se deba designar, siempre y de forma indiscriminada, un defensor de oficio. </w:t>
      </w:r>
      <w:r w:rsidRPr="00957229">
        <w:rPr>
          <w:rFonts w:ascii="Calibri" w:hAnsi="Calibri" w:cs="Calibri"/>
          <w:i/>
          <w:iCs/>
          <w:sz w:val="22"/>
          <w:lang w:eastAsia="es-ES"/>
        </w:rPr>
        <w:t xml:space="preserve">(…). </w:t>
      </w:r>
      <w:r w:rsidRPr="00957229">
        <w:rPr>
          <w:rFonts w:ascii="Calibri" w:hAnsi="Calibri" w:cs="Calibri"/>
          <w:b/>
          <w:bCs/>
          <w:i/>
          <w:iCs/>
          <w:sz w:val="22"/>
          <w:lang w:eastAsia="es-ES"/>
        </w:rPr>
        <w:t>La Ley no establece que en todo supuesto de desamparo se deba nombrar siempre, obligatoriamente y de oficio, un Letrado defensor del menor</w:t>
      </w:r>
      <w:r w:rsidRPr="00957229">
        <w:rPr>
          <w:rFonts w:ascii="Calibri" w:hAnsi="Calibri" w:cs="Calibri"/>
          <w:i/>
          <w:iCs/>
          <w:sz w:val="22"/>
          <w:lang w:eastAsia="es-ES"/>
        </w:rPr>
        <w:t>.”</w:t>
      </w:r>
    </w:p>
    <w:p w14:paraId="66534047" w14:textId="77777777" w:rsidR="00CE1530" w:rsidRPr="00957229" w:rsidRDefault="00CE1530" w:rsidP="00B11419">
      <w:pPr>
        <w:rPr>
          <w:rFonts w:ascii="Calibri" w:hAnsi="Calibri" w:cs="Calibri"/>
          <w:b/>
          <w:bCs/>
          <w:sz w:val="22"/>
          <w:u w:val="single"/>
          <w:lang w:eastAsia="es-ES"/>
        </w:rPr>
      </w:pPr>
    </w:p>
    <w:p w14:paraId="3FFC5CEC" w14:textId="1132D648" w:rsidR="007F001B" w:rsidRPr="00957229" w:rsidRDefault="007F001B" w:rsidP="00986080">
      <w:pPr>
        <w:pStyle w:val="Heading4"/>
        <w:rPr>
          <w:rFonts w:ascii="Calibri" w:hAnsi="Calibri" w:cs="Calibri"/>
          <w:sz w:val="22"/>
          <w:lang w:eastAsia="es-ES"/>
        </w:rPr>
      </w:pPr>
      <w:r w:rsidRPr="00957229">
        <w:rPr>
          <w:rFonts w:ascii="Calibri" w:hAnsi="Calibri" w:cs="Calibri"/>
          <w:sz w:val="22"/>
          <w:lang w:eastAsia="es-ES"/>
        </w:rPr>
        <w:t>Ausencia de asistencia jurídica gratuita en el expediente administrativo de protección.</w:t>
      </w:r>
    </w:p>
    <w:p w14:paraId="4DCE376C" w14:textId="28921672" w:rsidR="0027428D" w:rsidRPr="00957229" w:rsidRDefault="0027428D" w:rsidP="0027428D">
      <w:pPr>
        <w:rPr>
          <w:rFonts w:ascii="Calibri" w:hAnsi="Calibri" w:cs="Calibri"/>
          <w:sz w:val="22"/>
        </w:rPr>
      </w:pPr>
      <w:r w:rsidRPr="00957229">
        <w:rPr>
          <w:rFonts w:ascii="Calibri" w:hAnsi="Calibri" w:cs="Calibri"/>
          <w:sz w:val="22"/>
        </w:rPr>
        <w:t>El momento en el que la Administración interviene en las familias, al detectar factores de riesgo, es uno de los momentos más importantes del proceso, en el que la prevención (cuyo refuerzo se recomienda en la observación 5 y 6) debe procurarse en todos los sentidos, dándose el factor de la temporalidad como punto de inflexión.</w:t>
      </w:r>
    </w:p>
    <w:p w14:paraId="59D96BF3" w14:textId="48750F06" w:rsidR="0027428D" w:rsidRPr="00957229" w:rsidRDefault="0027428D" w:rsidP="0027428D">
      <w:pPr>
        <w:rPr>
          <w:rFonts w:ascii="Calibri" w:hAnsi="Calibri" w:cs="Calibri"/>
          <w:sz w:val="22"/>
        </w:rPr>
      </w:pPr>
      <w:r w:rsidRPr="00957229">
        <w:rPr>
          <w:rFonts w:ascii="Calibri" w:hAnsi="Calibri" w:cs="Calibri"/>
          <w:sz w:val="22"/>
        </w:rPr>
        <w:t xml:space="preserve">En lo relativo al trabajo que hay que realizar con las familias biológicas para prevenir el desamparo de los niños en situaciones de riesgo, el Informe publicado por el defensor del pueblo de Catalunya, relativo a la </w:t>
      </w:r>
      <w:hyperlink r:id="rId10" w:history="1">
        <w:r w:rsidRPr="00957229">
          <w:rPr>
            <w:rStyle w:val="Hyperlink"/>
            <w:rFonts w:ascii="Calibri" w:hAnsi="Calibri" w:cs="Calibri"/>
            <w:sz w:val="22"/>
          </w:rPr>
          <w:t>desinstitucionalización del sistema de protección a la infancia y la adolescencia de noviembre 2023</w:t>
        </w:r>
      </w:hyperlink>
      <w:r w:rsidRPr="00957229">
        <w:rPr>
          <w:rStyle w:val="FootnoteReference"/>
          <w:rFonts w:ascii="Calibri" w:hAnsi="Calibri" w:cs="Calibri"/>
          <w:sz w:val="22"/>
        </w:rPr>
        <w:footnoteReference w:id="3"/>
      </w:r>
      <w:r w:rsidRPr="00957229">
        <w:rPr>
          <w:rFonts w:ascii="Calibri" w:hAnsi="Calibri" w:cs="Calibri"/>
          <w:sz w:val="22"/>
        </w:rPr>
        <w:t xml:space="preserve"> arroja datos que muestran la ineficacia del sistema actual:</w:t>
      </w:r>
    </w:p>
    <w:p w14:paraId="050F2ECF" w14:textId="77777777" w:rsidR="0027428D" w:rsidRPr="00957229" w:rsidRDefault="0027428D" w:rsidP="0027428D">
      <w:pPr>
        <w:pStyle w:val="Quote"/>
        <w:rPr>
          <w:rFonts w:ascii="Calibri" w:hAnsi="Calibri" w:cs="Calibri"/>
          <w:sz w:val="22"/>
          <w:szCs w:val="22"/>
        </w:rPr>
      </w:pPr>
      <w:r w:rsidRPr="00957229">
        <w:rPr>
          <w:rFonts w:ascii="Calibri" w:hAnsi="Calibri" w:cs="Calibri"/>
          <w:sz w:val="22"/>
          <w:szCs w:val="22"/>
        </w:rPr>
        <w:t>“Actualmente, los EAIA disponen de un profesional de la psicología, la pedagogía, la asistencia social y la educación social por cada 38,2 niños con expediente abierto en el sistema de protección</w:t>
      </w:r>
      <w:r w:rsidRPr="00957229">
        <w:rPr>
          <w:rFonts w:ascii="Calibri" w:hAnsi="Calibri" w:cs="Calibri"/>
          <w:b/>
          <w:bCs/>
          <w:sz w:val="22"/>
          <w:szCs w:val="22"/>
        </w:rPr>
        <w:t>. Esta dotación corresponde a 49,3 horas anuales por niño con expediente abierto, lo que equivale a cerca de 6,5 días laborables al año destinados íntegramente a cada niño y su entorno sociofamiliar (incluido el tiempo destinado a la elaboración de informes, a la coordinación de servicios o a los desplazamientos para las visitas, entre otros).</w:t>
      </w:r>
      <w:r w:rsidRPr="00957229">
        <w:rPr>
          <w:rFonts w:ascii="Calibri" w:hAnsi="Calibri" w:cs="Calibri"/>
          <w:sz w:val="22"/>
          <w:szCs w:val="22"/>
        </w:rPr>
        <w:t xml:space="preserve"> Un trabajo más intensivo con la familia por parte de los EAIA seguro que permitiría incidir de forma más efectiva en las habilidades parentales de los progenitores y prevenir así situaciones de desamparo.”</w:t>
      </w:r>
    </w:p>
    <w:p w14:paraId="75C6773E" w14:textId="175ECD17" w:rsidR="0027428D" w:rsidRPr="00957229" w:rsidRDefault="0027428D" w:rsidP="00B11419">
      <w:pPr>
        <w:rPr>
          <w:rFonts w:ascii="Calibri" w:hAnsi="Calibri" w:cs="Calibri"/>
          <w:sz w:val="22"/>
          <w:lang w:eastAsia="es-ES"/>
        </w:rPr>
      </w:pPr>
      <w:r w:rsidRPr="00957229">
        <w:rPr>
          <w:rFonts w:ascii="Calibri" w:hAnsi="Calibri" w:cs="Calibri"/>
          <w:sz w:val="22"/>
          <w:lang w:eastAsia="es-ES"/>
        </w:rPr>
        <w:t>Si a esta falta de prestación de servicios en prevención, se le suma la ausencia de asistencia jurídica gratuita, la vulneración de los derechos fundamentales es absoluta.</w:t>
      </w:r>
    </w:p>
    <w:p w14:paraId="59052EF0" w14:textId="596E4128" w:rsidR="00B11419" w:rsidRPr="00957229" w:rsidRDefault="00B11419" w:rsidP="00B11419">
      <w:pPr>
        <w:rPr>
          <w:rFonts w:ascii="Calibri" w:hAnsi="Calibri" w:cs="Calibri"/>
          <w:sz w:val="22"/>
          <w:lang w:eastAsia="es-ES"/>
        </w:rPr>
      </w:pPr>
      <w:r w:rsidRPr="00957229">
        <w:rPr>
          <w:rFonts w:ascii="Calibri" w:hAnsi="Calibri" w:cs="Calibri"/>
          <w:sz w:val="22"/>
          <w:lang w:eastAsia="es-ES"/>
        </w:rPr>
        <w:lastRenderedPageBreak/>
        <w:t xml:space="preserve">En el ejercicio de la defensa de los intereses de los NNA y de las familias afectadas, la abogacía experimenta constantemente la negativa del ente tutelar a recibir, informar o entrevistarse. Habitualmente se remite a la defensa al proceso judicial, sin permitir una actuación </w:t>
      </w:r>
      <w:r w:rsidR="00F71C6F" w:rsidRPr="00957229">
        <w:rPr>
          <w:rFonts w:ascii="Calibri" w:hAnsi="Calibri" w:cs="Calibri"/>
          <w:sz w:val="22"/>
          <w:lang w:eastAsia="es-ES"/>
        </w:rPr>
        <w:t>tanto en</w:t>
      </w:r>
      <w:r w:rsidRPr="00957229">
        <w:rPr>
          <w:rFonts w:ascii="Calibri" w:hAnsi="Calibri" w:cs="Calibri"/>
          <w:sz w:val="22"/>
          <w:lang w:eastAsia="es-ES"/>
        </w:rPr>
        <w:t xml:space="preserve"> prevención</w:t>
      </w:r>
      <w:r w:rsidR="00F71C6F" w:rsidRPr="00957229">
        <w:rPr>
          <w:rFonts w:ascii="Calibri" w:hAnsi="Calibri" w:cs="Calibri"/>
          <w:sz w:val="22"/>
          <w:lang w:eastAsia="es-ES"/>
        </w:rPr>
        <w:t xml:space="preserve"> como en ejecución</w:t>
      </w:r>
      <w:r w:rsidRPr="00957229">
        <w:rPr>
          <w:rFonts w:ascii="Calibri" w:hAnsi="Calibri" w:cs="Calibri"/>
          <w:sz w:val="22"/>
          <w:lang w:eastAsia="es-ES"/>
        </w:rPr>
        <w:t>. El acompañamiento al cliente puede suponer a veces incluso perjudicial para el expediente al considerarse una falta de confianza de la familia en el equipo técnico con el que deben trabajar las habilidades parento-filiales, viéndose esto reflejado como una falta de cooperación (indicador de riesgo).</w:t>
      </w:r>
    </w:p>
    <w:p w14:paraId="177D8AED" w14:textId="66E656E5" w:rsidR="00F71C6F" w:rsidRPr="00957229" w:rsidRDefault="00F71C6F" w:rsidP="00B11419">
      <w:pPr>
        <w:rPr>
          <w:rFonts w:ascii="Calibri" w:hAnsi="Calibri" w:cs="Calibri"/>
          <w:sz w:val="22"/>
          <w:lang w:eastAsia="es-ES"/>
        </w:rPr>
      </w:pPr>
      <w:r w:rsidRPr="00957229">
        <w:rPr>
          <w:rFonts w:ascii="Calibri" w:hAnsi="Calibri" w:cs="Calibri"/>
          <w:sz w:val="22"/>
          <w:lang w:eastAsia="es-ES"/>
        </w:rPr>
        <w:t>El asesoramiento legal en el proceso de investigación de las circunstancias del niño es esencial y su falta causa absoluta indefensión tanto a los progenitores como al NNA.</w:t>
      </w:r>
    </w:p>
    <w:p w14:paraId="36E69AF5" w14:textId="483A3C20" w:rsidR="00B11419" w:rsidRPr="00957229" w:rsidRDefault="00B11419" w:rsidP="00B11419">
      <w:pPr>
        <w:rPr>
          <w:rFonts w:ascii="Calibri" w:hAnsi="Calibri" w:cs="Calibri"/>
          <w:sz w:val="22"/>
          <w:lang w:eastAsia="es-ES"/>
        </w:rPr>
      </w:pPr>
      <w:r w:rsidRPr="00957229">
        <w:rPr>
          <w:rFonts w:ascii="Calibri" w:hAnsi="Calibri" w:cs="Calibri"/>
          <w:sz w:val="22"/>
          <w:lang w:eastAsia="es-ES"/>
        </w:rPr>
        <w:t xml:space="preserve">La asistencia jurídica gratuita únicamente se otorga </w:t>
      </w:r>
      <w:r w:rsidR="00F71C6F" w:rsidRPr="00957229">
        <w:rPr>
          <w:rFonts w:ascii="Calibri" w:hAnsi="Calibri" w:cs="Calibri"/>
          <w:sz w:val="22"/>
          <w:lang w:eastAsia="es-ES"/>
        </w:rPr>
        <w:t xml:space="preserve">a </w:t>
      </w:r>
      <w:r w:rsidRPr="00957229">
        <w:rPr>
          <w:rFonts w:ascii="Calibri" w:hAnsi="Calibri" w:cs="Calibri"/>
          <w:sz w:val="22"/>
          <w:lang w:eastAsia="es-ES"/>
        </w:rPr>
        <w:t xml:space="preserve">la interposición de la demanda de oposición prevista en el artículo 780 de la LEC. No existe </w:t>
      </w:r>
      <w:r w:rsidR="00F71C6F" w:rsidRPr="00957229">
        <w:rPr>
          <w:rFonts w:ascii="Calibri" w:hAnsi="Calibri" w:cs="Calibri"/>
          <w:sz w:val="22"/>
          <w:lang w:eastAsia="es-ES"/>
        </w:rPr>
        <w:t>designa de abogado en el proceso administrativo</w:t>
      </w:r>
      <w:r w:rsidRPr="00957229">
        <w:rPr>
          <w:rFonts w:ascii="Calibri" w:hAnsi="Calibri" w:cs="Calibri"/>
          <w:sz w:val="22"/>
          <w:lang w:eastAsia="es-ES"/>
        </w:rPr>
        <w:t xml:space="preserve"> incoado desde la Administración (fase instructora del expediente), sino única y exclusivamente para la oposición judicial.</w:t>
      </w:r>
      <w:r w:rsidR="00F71C6F" w:rsidRPr="00957229">
        <w:rPr>
          <w:rFonts w:ascii="Calibri" w:hAnsi="Calibri" w:cs="Calibri"/>
          <w:sz w:val="22"/>
          <w:lang w:eastAsia="es-ES"/>
        </w:rPr>
        <w:t xml:space="preserve"> Hay que tener en cuenta que el proceso administrativo puede acabar en la declaración de desamparo y la medida de ingreso en centro, por lo que el asesoramiento legal deviene imprescindible en esta fase, teniendo en cuenta que la normativa que rige la protección de la infancia tiene como indicador de desamparo o riesgo que los progenitores “no colaboran” con la administración que a sensu contrario puede significar cualquier actitud de la familia que no permite </w:t>
      </w:r>
      <w:r w:rsidR="00B4081C" w:rsidRPr="00957229">
        <w:rPr>
          <w:rFonts w:ascii="Calibri" w:hAnsi="Calibri" w:cs="Calibri"/>
          <w:sz w:val="22"/>
          <w:lang w:eastAsia="es-ES"/>
        </w:rPr>
        <w:t>injerencias</w:t>
      </w:r>
      <w:r w:rsidR="00F71C6F" w:rsidRPr="00957229">
        <w:rPr>
          <w:rFonts w:ascii="Calibri" w:hAnsi="Calibri" w:cs="Calibri"/>
          <w:sz w:val="22"/>
          <w:lang w:eastAsia="es-ES"/>
        </w:rPr>
        <w:t xml:space="preserve"> en su intimidad. </w:t>
      </w:r>
      <w:r w:rsidR="0027428D" w:rsidRPr="00957229">
        <w:rPr>
          <w:rFonts w:ascii="Calibri" w:hAnsi="Calibri" w:cs="Calibri"/>
          <w:sz w:val="22"/>
          <w:lang w:eastAsia="es-ES"/>
        </w:rPr>
        <w:t>La línea divisoria entre estos puntos es la que delimita la vulneración del derecho fundamental a la vida íntima y familiar</w:t>
      </w:r>
      <w:r w:rsidR="00F71C6F" w:rsidRPr="00957229">
        <w:rPr>
          <w:rFonts w:ascii="Calibri" w:hAnsi="Calibri" w:cs="Calibri"/>
          <w:sz w:val="22"/>
          <w:lang w:eastAsia="es-ES"/>
        </w:rPr>
        <w:t>.</w:t>
      </w:r>
    </w:p>
    <w:p w14:paraId="47D386D0" w14:textId="3CE06DEE" w:rsidR="00B11419" w:rsidRPr="00957229" w:rsidRDefault="00B11419" w:rsidP="00B11419">
      <w:pPr>
        <w:rPr>
          <w:rFonts w:ascii="Calibri" w:hAnsi="Calibri" w:cs="Calibri"/>
          <w:sz w:val="22"/>
          <w:lang w:eastAsia="es-ES"/>
        </w:rPr>
      </w:pPr>
      <w:r w:rsidRPr="00957229">
        <w:rPr>
          <w:rFonts w:ascii="Calibri" w:hAnsi="Calibri" w:cs="Calibri"/>
          <w:sz w:val="22"/>
          <w:lang w:eastAsia="es-ES"/>
        </w:rPr>
        <w:t>Existe una clara fa</w:t>
      </w:r>
      <w:r w:rsidR="00F71C6F" w:rsidRPr="00957229">
        <w:rPr>
          <w:rFonts w:ascii="Calibri" w:hAnsi="Calibri" w:cs="Calibri"/>
          <w:sz w:val="22"/>
          <w:lang w:eastAsia="es-ES"/>
        </w:rPr>
        <w:t>l</w:t>
      </w:r>
      <w:r w:rsidRPr="00957229">
        <w:rPr>
          <w:rFonts w:ascii="Calibri" w:hAnsi="Calibri" w:cs="Calibri"/>
          <w:sz w:val="22"/>
          <w:lang w:eastAsia="es-ES"/>
        </w:rPr>
        <w:t>ta de formación jurídica en las entidades locales, centros residenciales y demás organismos administrativos, que ignoran los derechos de los niños, niñas y adolescentes a estar asistidos y defendidos por su propia defensa letrada, lo cual conlleva a la vulneración de derechos fundamentales en la persona protegida</w:t>
      </w:r>
      <w:r w:rsidR="007F001B" w:rsidRPr="00957229">
        <w:rPr>
          <w:rFonts w:ascii="Calibri" w:hAnsi="Calibri" w:cs="Calibri"/>
          <w:sz w:val="22"/>
          <w:lang w:eastAsia="es-ES"/>
        </w:rPr>
        <w:t xml:space="preserve">; pero también ignoran los derechos de los progenitores a estar asesorados jurídicamente de las implicaciones que comporta la intervención de la Administración (con competencia exclusiva y sin control judicial previo) </w:t>
      </w:r>
      <w:r w:rsidR="00CE1530" w:rsidRPr="00957229">
        <w:rPr>
          <w:rFonts w:ascii="Calibri" w:hAnsi="Calibri" w:cs="Calibri"/>
          <w:sz w:val="22"/>
          <w:lang w:eastAsia="es-ES"/>
        </w:rPr>
        <w:t>en su parentalidad; al contrario de lo deseado, la asistencia jurídica en el expediente administrativo provoca en los técnicos intervinientes una desconfianza que vuelcan en los informes como “falta de cooperación”; siendo éste un factor de desprotección tipificado para declarar el riesgo o el desamparo de un niño sujeto a intervención.</w:t>
      </w:r>
    </w:p>
    <w:p w14:paraId="18E7C34A" w14:textId="08BB36D2" w:rsidR="00B11419" w:rsidRPr="00957229" w:rsidRDefault="00CE1530" w:rsidP="00B11419">
      <w:pPr>
        <w:rPr>
          <w:rFonts w:ascii="Calibri" w:hAnsi="Calibri" w:cs="Calibri"/>
          <w:sz w:val="22"/>
          <w:lang w:eastAsia="es-ES"/>
        </w:rPr>
      </w:pPr>
      <w:r w:rsidRPr="00957229">
        <w:rPr>
          <w:rFonts w:ascii="Calibri" w:hAnsi="Calibri" w:cs="Calibri"/>
          <w:sz w:val="22"/>
          <w:lang w:eastAsia="es-ES"/>
        </w:rPr>
        <w:t>Ahora bien</w:t>
      </w:r>
      <w:r w:rsidR="00B11419" w:rsidRPr="00957229">
        <w:rPr>
          <w:rFonts w:ascii="Calibri" w:hAnsi="Calibri" w:cs="Calibri"/>
          <w:sz w:val="22"/>
          <w:lang w:eastAsia="es-ES"/>
        </w:rPr>
        <w:t xml:space="preserve">, no toda la responsabilidad recae en la </w:t>
      </w:r>
      <w:r w:rsidRPr="00957229">
        <w:rPr>
          <w:rFonts w:ascii="Calibri" w:hAnsi="Calibri" w:cs="Calibri"/>
          <w:sz w:val="22"/>
          <w:lang w:eastAsia="es-ES"/>
        </w:rPr>
        <w:t>A</w:t>
      </w:r>
      <w:r w:rsidR="00B11419" w:rsidRPr="00957229">
        <w:rPr>
          <w:rFonts w:ascii="Calibri" w:hAnsi="Calibri" w:cs="Calibri"/>
          <w:sz w:val="22"/>
          <w:lang w:eastAsia="es-ES"/>
        </w:rPr>
        <w:t>dministración, dado que como se acaba de analizar, la propia Ley de asistencia jurídica gratuita no prevé esta asistencia para los niños, niñas y adolescentes tutelados de la administración, en contra de lo establecido en la Ley orgánica de protección jurídica del menor.</w:t>
      </w:r>
    </w:p>
    <w:p w14:paraId="225C2491" w14:textId="25268828" w:rsidR="00B11419" w:rsidRPr="00957229" w:rsidRDefault="00B11419" w:rsidP="00B11419">
      <w:pPr>
        <w:rPr>
          <w:rFonts w:ascii="Calibri" w:hAnsi="Calibri" w:cs="Calibri"/>
          <w:sz w:val="22"/>
          <w:lang w:eastAsia="es-ES"/>
        </w:rPr>
      </w:pPr>
      <w:r w:rsidRPr="00957229">
        <w:rPr>
          <w:rFonts w:ascii="Calibri" w:hAnsi="Calibri" w:cs="Calibri"/>
          <w:sz w:val="22"/>
          <w:lang w:eastAsia="es-ES"/>
        </w:rPr>
        <w:t xml:space="preserve">Actualmente, no existe un turno de oficio especializado en </w:t>
      </w:r>
      <w:r w:rsidR="00CE1530" w:rsidRPr="00957229">
        <w:rPr>
          <w:rFonts w:ascii="Calibri" w:hAnsi="Calibri" w:cs="Calibri"/>
          <w:sz w:val="22"/>
          <w:lang w:eastAsia="es-ES"/>
        </w:rPr>
        <w:t>protección</w:t>
      </w:r>
      <w:r w:rsidR="00F71C6F" w:rsidRPr="00957229">
        <w:rPr>
          <w:rFonts w:ascii="Calibri" w:hAnsi="Calibri" w:cs="Calibri"/>
          <w:sz w:val="22"/>
          <w:lang w:eastAsia="es-ES"/>
        </w:rPr>
        <w:t xml:space="preserve"> en los colegios, no hay baremos de justicia gratuita en el momento en que se notifica </w:t>
      </w:r>
      <w:r w:rsidR="00275945" w:rsidRPr="00957229">
        <w:rPr>
          <w:rFonts w:ascii="Calibri" w:hAnsi="Calibri" w:cs="Calibri"/>
          <w:sz w:val="22"/>
          <w:lang w:eastAsia="es-ES"/>
        </w:rPr>
        <w:t xml:space="preserve">el inicio de </w:t>
      </w:r>
      <w:r w:rsidR="00F71C6F" w:rsidRPr="00957229">
        <w:rPr>
          <w:rFonts w:ascii="Calibri" w:hAnsi="Calibri" w:cs="Calibri"/>
          <w:sz w:val="22"/>
          <w:lang w:eastAsia="es-ES"/>
        </w:rPr>
        <w:t>un expediente de riesgo grave</w:t>
      </w:r>
      <w:r w:rsidR="00275945" w:rsidRPr="00957229">
        <w:rPr>
          <w:rFonts w:ascii="Calibri" w:hAnsi="Calibri" w:cs="Calibri"/>
          <w:sz w:val="22"/>
          <w:lang w:eastAsia="es-ES"/>
        </w:rPr>
        <w:t xml:space="preserve"> por parte de la administración al núcleo familiar del niño.</w:t>
      </w:r>
    </w:p>
    <w:p w14:paraId="4DA57F30" w14:textId="77777777" w:rsidR="002B539B" w:rsidRPr="00957229" w:rsidRDefault="002B539B" w:rsidP="00223292">
      <w:pPr>
        <w:rPr>
          <w:rFonts w:ascii="Calibri" w:hAnsi="Calibri" w:cs="Calibri"/>
          <w:sz w:val="22"/>
        </w:rPr>
      </w:pPr>
    </w:p>
    <w:p w14:paraId="17061A80" w14:textId="656BEB0C" w:rsidR="00333424" w:rsidRPr="00957229" w:rsidRDefault="00333424" w:rsidP="00986080">
      <w:pPr>
        <w:pStyle w:val="Heading4"/>
        <w:rPr>
          <w:rFonts w:ascii="Calibri" w:hAnsi="Calibri" w:cs="Calibri"/>
          <w:sz w:val="22"/>
        </w:rPr>
      </w:pPr>
      <w:r w:rsidRPr="00957229">
        <w:rPr>
          <w:rFonts w:ascii="Calibri" w:hAnsi="Calibri" w:cs="Calibri"/>
          <w:sz w:val="22"/>
        </w:rPr>
        <w:t>Medidas provisionales.</w:t>
      </w:r>
    </w:p>
    <w:p w14:paraId="578135DB" w14:textId="77777777" w:rsidR="00333424" w:rsidRPr="00957229" w:rsidRDefault="00333424" w:rsidP="00333424">
      <w:pPr>
        <w:rPr>
          <w:rFonts w:ascii="Calibri" w:hAnsi="Calibri" w:cs="Calibri"/>
          <w:sz w:val="22"/>
        </w:rPr>
      </w:pPr>
      <w:r w:rsidRPr="00957229">
        <w:rPr>
          <w:rFonts w:ascii="Calibri" w:hAnsi="Calibri" w:cs="Calibri"/>
          <w:sz w:val="22"/>
        </w:rPr>
        <w:t xml:space="preserve">En la reforma de la LEC de 2021, con motivo de la promulgación de la LOPIVI (Ley orgánica 4/2021 de protección integral de la infancia y la adolescencia frente a la violencia), se propusieron diversas enmiendas a la reforma procesal del artículo 780 LEC, entre las que el Congreso aprobó la regulación de medidas cautelares en el procedimiento de oposición a la </w:t>
      </w:r>
      <w:r w:rsidRPr="00957229">
        <w:rPr>
          <w:rFonts w:ascii="Calibri" w:hAnsi="Calibri" w:cs="Calibri"/>
          <w:sz w:val="22"/>
        </w:rPr>
        <w:lastRenderedPageBreak/>
        <w:t xml:space="preserve">medida administrativa en materia de protección de menores, a incluir en el epígrafe 5 del artículo 780 LEC. </w:t>
      </w:r>
    </w:p>
    <w:p w14:paraId="57F9A954" w14:textId="3271EC41" w:rsidR="00333424" w:rsidRPr="00957229" w:rsidRDefault="00333424" w:rsidP="00333424">
      <w:pPr>
        <w:rPr>
          <w:rFonts w:ascii="Calibri" w:hAnsi="Calibri" w:cs="Calibri"/>
          <w:sz w:val="22"/>
        </w:rPr>
      </w:pPr>
      <w:r w:rsidRPr="00957229">
        <w:rPr>
          <w:rFonts w:ascii="Calibri" w:hAnsi="Calibri" w:cs="Calibri"/>
          <w:sz w:val="22"/>
        </w:rPr>
        <w:t>Sin embargo, el Senado no aprobó esta enmienda y la suprimió, considerando que “la adopción de medidas cautelares prevista choca con lo dispuesto en el artículo 216 del Código Civil”</w:t>
      </w:r>
      <w:r w:rsidRPr="00957229">
        <w:rPr>
          <w:rStyle w:val="FootnoteReference"/>
          <w:rFonts w:ascii="Calibri" w:hAnsi="Calibri" w:cs="Calibri"/>
          <w:sz w:val="22"/>
        </w:rPr>
        <w:footnoteReference w:id="4"/>
      </w:r>
      <w:r w:rsidRPr="00957229">
        <w:rPr>
          <w:rFonts w:ascii="Calibri" w:hAnsi="Calibri" w:cs="Calibri"/>
          <w:sz w:val="22"/>
        </w:rPr>
        <w:t>.</w:t>
      </w:r>
    </w:p>
    <w:p w14:paraId="1FE1D13C" w14:textId="77777777" w:rsidR="00333424" w:rsidRPr="00957229" w:rsidRDefault="00333424" w:rsidP="00333424">
      <w:pPr>
        <w:rPr>
          <w:rFonts w:ascii="Calibri" w:hAnsi="Calibri" w:cs="Calibri"/>
          <w:sz w:val="22"/>
        </w:rPr>
      </w:pPr>
      <w:r w:rsidRPr="00957229">
        <w:rPr>
          <w:rFonts w:ascii="Calibri" w:hAnsi="Calibri" w:cs="Calibri"/>
          <w:sz w:val="22"/>
        </w:rPr>
        <w:t>El artículo 216 del Código Civil (actualmente 200, después de las recientes reformas), establece que las medidas y disposiciones previstas en el artículo 158 en casos de menores tutelados por la Administración, solo podrán ser acordadas de oficio por la autoridad judicial, o bien a instancia de la Entidad administrativa, el ministerio fiscal o el menor.</w:t>
      </w:r>
    </w:p>
    <w:p w14:paraId="6CC15ECF" w14:textId="0D91F8C3" w:rsidR="00912698" w:rsidRPr="00957229" w:rsidRDefault="00333424" w:rsidP="002A1F78">
      <w:pPr>
        <w:rPr>
          <w:rFonts w:ascii="Calibri" w:hAnsi="Calibri" w:cs="Calibri"/>
          <w:sz w:val="22"/>
        </w:rPr>
      </w:pPr>
      <w:r w:rsidRPr="00957229">
        <w:rPr>
          <w:rFonts w:ascii="Calibri" w:hAnsi="Calibri" w:cs="Calibri"/>
          <w:sz w:val="22"/>
        </w:rPr>
        <w:t>La consecuencia de esta supresión es que el resto de legitimados para instar la oposición a la medida administrativa, previstos en el artículo 780.1 LEC que no sean el menor (sin asistencia letrada en la práctica, como acabamos de analizar) o el Ministerio Fiscal, o el Ente Tutelar, dentro del proceso incardinado en el artículo 780 no pueden solicitar medidas cautelares. Esto conlleva, a su vez que la medida administrativa se va a mantener hasta que el juzgado considere su revocación o no; o bien la Administración resuelva tenerla por finalizada.</w:t>
      </w:r>
    </w:p>
    <w:p w14:paraId="0F1E54BE" w14:textId="77777777" w:rsidR="000D14C3" w:rsidRPr="00957229" w:rsidRDefault="000D14C3" w:rsidP="009D6D8E">
      <w:pPr>
        <w:rPr>
          <w:rFonts w:ascii="Calibri" w:hAnsi="Calibri" w:cs="Calibri"/>
          <w:b/>
          <w:bCs/>
          <w:sz w:val="22"/>
        </w:rPr>
      </w:pPr>
    </w:p>
    <w:p w14:paraId="298A1B05" w14:textId="21C87105" w:rsidR="00E06368" w:rsidRPr="00957229" w:rsidRDefault="00E06368" w:rsidP="00986080">
      <w:pPr>
        <w:pStyle w:val="Heading4"/>
        <w:rPr>
          <w:rFonts w:ascii="Calibri" w:hAnsi="Calibri" w:cs="Calibri"/>
          <w:sz w:val="22"/>
        </w:rPr>
      </w:pPr>
      <w:r w:rsidRPr="00957229">
        <w:rPr>
          <w:rFonts w:ascii="Calibri" w:hAnsi="Calibri" w:cs="Calibri"/>
          <w:sz w:val="22"/>
        </w:rPr>
        <w:t>Las resoluciones judiciales que resuelven (a posteriori) la oposición frente a la medida administrativa de protección, no son susceptibles de ejecución provisional.</w:t>
      </w:r>
    </w:p>
    <w:p w14:paraId="323B5879" w14:textId="77777777" w:rsidR="00E06368" w:rsidRPr="00957229" w:rsidRDefault="00E06368" w:rsidP="00E06368">
      <w:pPr>
        <w:rPr>
          <w:rFonts w:ascii="Calibri" w:hAnsi="Calibri" w:cs="Calibri"/>
          <w:sz w:val="22"/>
          <w:lang w:eastAsia="es-ES"/>
        </w:rPr>
      </w:pPr>
      <w:r w:rsidRPr="00957229">
        <w:rPr>
          <w:rFonts w:ascii="Calibri" w:hAnsi="Calibri" w:cs="Calibri"/>
          <w:sz w:val="22"/>
          <w:lang w:eastAsia="es-ES"/>
        </w:rPr>
        <w:t>La medida administrativa es ejecutiva desde el momento en que se resuelve. Sin embargo, la resolución judicial que resuelve la oposición a la medida administrativa, en caso de ser recurrida (no firme) no es susceptible de ejecución provisional.</w:t>
      </w:r>
    </w:p>
    <w:p w14:paraId="29BDF047" w14:textId="77777777" w:rsidR="00E06368" w:rsidRPr="00957229" w:rsidRDefault="00E06368" w:rsidP="00E06368">
      <w:pPr>
        <w:rPr>
          <w:rFonts w:ascii="Calibri" w:hAnsi="Calibri" w:cs="Calibri"/>
          <w:sz w:val="22"/>
          <w:lang w:eastAsia="es-ES"/>
        </w:rPr>
      </w:pPr>
      <w:r w:rsidRPr="00957229">
        <w:rPr>
          <w:rFonts w:ascii="Calibri" w:hAnsi="Calibri" w:cs="Calibri"/>
          <w:sz w:val="22"/>
          <w:lang w:eastAsia="es-ES"/>
        </w:rPr>
        <w:t>El artículo 525 de la LEC regula las sentencias que no son provisionalmente ejecutables:</w:t>
      </w:r>
    </w:p>
    <w:p w14:paraId="76B790DB"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 xml:space="preserve">“1. No serán en ningún caso susceptibles de ejecución provisional: </w:t>
      </w:r>
    </w:p>
    <w:p w14:paraId="7B3D232E"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 xml:space="preserve">1.ª Las sentencias dictadas en los procesos sobre paternidad, maternidad, filiación, nulidad de matrimonio, separación y divorcio, capacidad y estado civil, oposición a las resoluciones administrativas en materia de protección de menores, así como sobre las medidas relativas a la restitución o retorno de menores en los supuestos de sustracción internacional y derechos honoríficos, salvo los pronunciamientos que regulen las obligaciones y relaciones patrimoniales relacionadas con lo que sea objeto principal del proceso. </w:t>
      </w:r>
    </w:p>
    <w:p w14:paraId="737BA534"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 xml:space="preserve">2.ª Las sentencias que condenen a emitir una declaración de voluntad. </w:t>
      </w:r>
    </w:p>
    <w:p w14:paraId="697DA1B7"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 xml:space="preserve">3.ª Las sentencias que declaren la nulidad o caducidad de títulos de propiedad industrial. </w:t>
      </w:r>
    </w:p>
    <w:p w14:paraId="13B1E3FE"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 xml:space="preserve">2. Tampoco procederá la ejecución provisional de las sentencias extranjeras no firmes, salvo que expresamente se disponga lo contrario en los Tratados internacionales vigentes en España. </w:t>
      </w:r>
    </w:p>
    <w:p w14:paraId="2A843A14"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lastRenderedPageBreak/>
        <w:t>3. No procederá la ejecución provisional de los pronunciamientos de carácter indemnizatorio de las sentencias que declaren la vulneración de los derechos al honor, a la intimidad personal y familiar y a la propia imagen.”</w:t>
      </w:r>
    </w:p>
    <w:p w14:paraId="0BCCB49D" w14:textId="77777777" w:rsidR="00E06368" w:rsidRPr="00957229" w:rsidRDefault="00E06368" w:rsidP="00E06368">
      <w:pPr>
        <w:rPr>
          <w:rFonts w:ascii="Calibri" w:hAnsi="Calibri" w:cs="Calibri"/>
          <w:sz w:val="22"/>
        </w:rPr>
      </w:pPr>
      <w:r w:rsidRPr="00957229">
        <w:rPr>
          <w:rFonts w:ascii="Calibri" w:hAnsi="Calibri" w:cs="Calibri"/>
          <w:sz w:val="22"/>
          <w:lang w:eastAsia="es-ES"/>
        </w:rPr>
        <w:t xml:space="preserve">En el supuesto de que la resolución revoque el desamparo y establezca unas medidas provisionales en protección del niño, niña o adolescente en cuestión, y una de las partes recurra la decisión judicial, habiéndose revocado el desamparo, el </w:t>
      </w:r>
      <w:r w:rsidRPr="00957229">
        <w:rPr>
          <w:rFonts w:ascii="Calibri" w:hAnsi="Calibri" w:cs="Calibri"/>
          <w:sz w:val="22"/>
        </w:rPr>
        <w:t>artículo 525 LEC entra en colisión con los derechos fundamentales recogidos en los artículos 18 y 19 de la Constitución Española:</w:t>
      </w:r>
    </w:p>
    <w:p w14:paraId="47398F86" w14:textId="77777777" w:rsidR="00E06368" w:rsidRPr="00957229" w:rsidRDefault="00E06368" w:rsidP="00E06368">
      <w:pPr>
        <w:pStyle w:val="NoSpacing"/>
        <w:spacing w:line="240" w:lineRule="auto"/>
        <w:contextualSpacing/>
        <w:rPr>
          <w:rFonts w:ascii="Calibri" w:hAnsi="Calibri" w:cs="Calibri"/>
          <w:szCs w:val="22"/>
        </w:rPr>
      </w:pPr>
      <w:r w:rsidRPr="00957229">
        <w:rPr>
          <w:rFonts w:ascii="Calibri" w:hAnsi="Calibri" w:cs="Calibri"/>
          <w:szCs w:val="22"/>
        </w:rPr>
        <w:t xml:space="preserve">“Artículo 18. </w:t>
      </w:r>
    </w:p>
    <w:p w14:paraId="0643F321" w14:textId="77777777" w:rsidR="00E06368" w:rsidRPr="00957229" w:rsidRDefault="00E06368" w:rsidP="00E06368">
      <w:pPr>
        <w:pStyle w:val="NoSpacing"/>
        <w:spacing w:line="240" w:lineRule="auto"/>
        <w:contextualSpacing/>
        <w:rPr>
          <w:rFonts w:ascii="Calibri" w:hAnsi="Calibri" w:cs="Calibri"/>
          <w:szCs w:val="22"/>
        </w:rPr>
      </w:pPr>
      <w:r w:rsidRPr="00957229">
        <w:rPr>
          <w:rFonts w:ascii="Calibri" w:hAnsi="Calibri" w:cs="Calibri"/>
          <w:szCs w:val="22"/>
        </w:rPr>
        <w:t xml:space="preserve">1. Se garantiza el derecho al honor, a la intimidad personal y familiar y a la propia imagen. </w:t>
      </w:r>
    </w:p>
    <w:p w14:paraId="77D2FE98" w14:textId="77777777" w:rsidR="00E06368" w:rsidRPr="00957229" w:rsidRDefault="00E06368" w:rsidP="00E06368">
      <w:pPr>
        <w:pStyle w:val="NoSpacing"/>
        <w:spacing w:line="240" w:lineRule="auto"/>
        <w:contextualSpacing/>
        <w:rPr>
          <w:rFonts w:ascii="Calibri" w:hAnsi="Calibri" w:cs="Calibri"/>
          <w:szCs w:val="22"/>
        </w:rPr>
      </w:pPr>
      <w:r w:rsidRPr="00957229">
        <w:rPr>
          <w:rFonts w:ascii="Calibri" w:hAnsi="Calibri" w:cs="Calibri"/>
          <w:szCs w:val="22"/>
        </w:rPr>
        <w:t xml:space="preserve">2. El domicilio es inviolable. Ninguna entrada o registro podrá hacerse en él sin consentimiento del titular o resolución judicial, salvo en caso de flagrante delito. </w:t>
      </w:r>
    </w:p>
    <w:p w14:paraId="747E039A" w14:textId="77777777" w:rsidR="00E06368" w:rsidRPr="00957229" w:rsidRDefault="00E06368" w:rsidP="00E06368">
      <w:pPr>
        <w:pStyle w:val="NoSpacing"/>
        <w:spacing w:line="240" w:lineRule="auto"/>
        <w:contextualSpacing/>
        <w:rPr>
          <w:rFonts w:ascii="Calibri" w:hAnsi="Calibri" w:cs="Calibri"/>
          <w:szCs w:val="22"/>
        </w:rPr>
      </w:pPr>
      <w:r w:rsidRPr="00957229">
        <w:rPr>
          <w:rFonts w:ascii="Calibri" w:hAnsi="Calibri" w:cs="Calibri"/>
          <w:szCs w:val="22"/>
        </w:rPr>
        <w:t xml:space="preserve">3. Se garantiza el secreto de las comunicaciones y, en especial, de las postales, telegráficas y telefónicas, salvo resolución judicial. </w:t>
      </w:r>
    </w:p>
    <w:p w14:paraId="215D2ADA" w14:textId="77777777" w:rsidR="00E06368" w:rsidRPr="00957229" w:rsidRDefault="00E06368" w:rsidP="00E06368">
      <w:pPr>
        <w:pStyle w:val="NoSpacing"/>
        <w:spacing w:line="240" w:lineRule="auto"/>
        <w:contextualSpacing/>
        <w:rPr>
          <w:rFonts w:ascii="Calibri" w:hAnsi="Calibri" w:cs="Calibri"/>
          <w:szCs w:val="22"/>
        </w:rPr>
      </w:pPr>
      <w:r w:rsidRPr="00957229">
        <w:rPr>
          <w:rFonts w:ascii="Calibri" w:hAnsi="Calibri" w:cs="Calibri"/>
          <w:szCs w:val="22"/>
        </w:rPr>
        <w:t>4. La ley limitará el uso de la informática para garantizar el honor y la intimidad personal y familiar de los ciudadanos y el pleno ejercicio de sus derechos.</w:t>
      </w:r>
    </w:p>
    <w:p w14:paraId="0E41A312" w14:textId="77777777" w:rsidR="00E06368" w:rsidRPr="00957229" w:rsidRDefault="00E06368" w:rsidP="00E06368">
      <w:pPr>
        <w:pStyle w:val="NoSpacing"/>
        <w:spacing w:line="240" w:lineRule="auto"/>
        <w:contextualSpacing/>
        <w:rPr>
          <w:rFonts w:ascii="Calibri" w:hAnsi="Calibri" w:cs="Calibri"/>
          <w:szCs w:val="22"/>
        </w:rPr>
      </w:pPr>
      <w:r w:rsidRPr="00957229">
        <w:rPr>
          <w:rFonts w:ascii="Calibri" w:hAnsi="Calibri" w:cs="Calibri"/>
          <w:szCs w:val="22"/>
        </w:rPr>
        <w:t>Artículo 19.</w:t>
      </w:r>
    </w:p>
    <w:p w14:paraId="0719B406" w14:textId="77777777" w:rsidR="00E06368" w:rsidRPr="00957229" w:rsidRDefault="00E06368" w:rsidP="00E06368">
      <w:pPr>
        <w:pStyle w:val="NoSpacing"/>
        <w:spacing w:line="240" w:lineRule="auto"/>
        <w:contextualSpacing/>
        <w:rPr>
          <w:rFonts w:ascii="Calibri" w:hAnsi="Calibri" w:cs="Calibri"/>
          <w:szCs w:val="22"/>
        </w:rPr>
      </w:pPr>
      <w:r w:rsidRPr="00957229">
        <w:rPr>
          <w:rFonts w:ascii="Calibri" w:hAnsi="Calibri" w:cs="Calibri"/>
          <w:szCs w:val="22"/>
        </w:rPr>
        <w:t>Los españoles tienen derecho a elegir libremente su residencia y a circular por el territorio nacional. Asimismo, tienen derecho a entrar y salir libremente de España en los términos que la ley establezca. Este derecho no podrá ser limitado por motivos políticos o ideológicos.”</w:t>
      </w:r>
    </w:p>
    <w:p w14:paraId="4A49C573" w14:textId="77777777" w:rsidR="00E06368" w:rsidRPr="00957229" w:rsidRDefault="00E06368" w:rsidP="00E06368">
      <w:pPr>
        <w:rPr>
          <w:rFonts w:ascii="Calibri" w:hAnsi="Calibri" w:cs="Calibri"/>
          <w:sz w:val="22"/>
        </w:rPr>
      </w:pPr>
      <w:r w:rsidRPr="00957229">
        <w:rPr>
          <w:rFonts w:ascii="Calibri" w:hAnsi="Calibri" w:cs="Calibri"/>
          <w:sz w:val="22"/>
        </w:rPr>
        <w:t>La literalidad del artículo 525 LEC entra en directa colisión con los derechos fundamentales recogidos en la Constitución en los artículos 18 y 19, en aquellas Sentencias que, se revoca la resolución que decretaba el desamparo en 1ª Instancia y son recurridas en Apelación.</w:t>
      </w:r>
    </w:p>
    <w:p w14:paraId="0B289AEF" w14:textId="77777777" w:rsidR="00E06368" w:rsidRPr="00957229" w:rsidRDefault="00E06368" w:rsidP="00E06368">
      <w:pPr>
        <w:rPr>
          <w:rFonts w:ascii="Calibri" w:hAnsi="Calibri" w:cs="Calibri"/>
          <w:b/>
          <w:sz w:val="22"/>
        </w:rPr>
      </w:pPr>
      <w:r w:rsidRPr="00957229">
        <w:rPr>
          <w:rFonts w:ascii="Calibri" w:hAnsi="Calibri" w:cs="Calibri"/>
          <w:sz w:val="22"/>
        </w:rPr>
        <w:t>En lo que se refiere al alcance del recurso de apelación de una sentencia que resuelve sobre la oposición a una medida administrativa en protección de menores, en lo que respecta a una posible firmeza parcial del pronunciamiento principal como es la revocación de desamparo (que no es objeto del recurso), el artículo 525 LEC hace imposible que un NNA goce plenamente y en condiciones de igualdad de todos los derechos humanos y libertades fundamentales.</w:t>
      </w:r>
    </w:p>
    <w:p w14:paraId="2FCC6FA2" w14:textId="77777777" w:rsidR="00E06368" w:rsidRPr="00957229" w:rsidRDefault="00E06368" w:rsidP="00E06368">
      <w:pPr>
        <w:rPr>
          <w:rFonts w:ascii="Calibri" w:hAnsi="Calibri" w:cs="Calibri"/>
          <w:sz w:val="22"/>
        </w:rPr>
      </w:pPr>
      <w:r w:rsidRPr="00957229">
        <w:rPr>
          <w:rFonts w:ascii="Calibri" w:hAnsi="Calibri" w:cs="Calibri"/>
          <w:sz w:val="22"/>
        </w:rPr>
        <w:t>Así, desde que se dicta la resolución de 1ª Instancia y hasta la resolución de 2ª Instancia, a pesar de haberse revocado el desamparo, y no ser objeto del recurso la citada revocación, la Administración mantiene la asunción de las funciones tutelares del NNA por considerar que la resolución de 1ª Instancia no es firme, en aplicación del artículo 525 LEC.</w:t>
      </w:r>
    </w:p>
    <w:p w14:paraId="50E36527" w14:textId="782D65AF" w:rsidR="00E06368" w:rsidRPr="00957229" w:rsidRDefault="00E06368" w:rsidP="00E06368">
      <w:pPr>
        <w:rPr>
          <w:rFonts w:ascii="Calibri" w:hAnsi="Calibri" w:cs="Calibri"/>
          <w:sz w:val="22"/>
        </w:rPr>
      </w:pPr>
      <w:r w:rsidRPr="00957229">
        <w:rPr>
          <w:rFonts w:ascii="Calibri" w:hAnsi="Calibri" w:cs="Calibri"/>
          <w:sz w:val="22"/>
        </w:rPr>
        <w:t>En consecuencia, la asunción de dichas funciones tutelares</w:t>
      </w:r>
      <w:r w:rsidR="004E4157">
        <w:rPr>
          <w:rFonts w:ascii="Calibri" w:hAnsi="Calibri" w:cs="Calibri"/>
          <w:sz w:val="22"/>
        </w:rPr>
        <w:t xml:space="preserve"> </w:t>
      </w:r>
      <w:r w:rsidRPr="00957229">
        <w:rPr>
          <w:rFonts w:ascii="Calibri" w:hAnsi="Calibri" w:cs="Calibri"/>
          <w:sz w:val="22"/>
        </w:rPr>
        <w:t>implica la toma de decisión y aplicación de nuevas medidas por parte de la Administración, todas ellas inherentes a la tutela de los menores como pueden ser, entre otras, la suspensión de la comunicación con sus familiares, fijación de un sistema de acogimiento, traslado de residencia, … que afectan en una u otra medida, al interés superior del menor.</w:t>
      </w:r>
    </w:p>
    <w:p w14:paraId="3EAC7810" w14:textId="77777777" w:rsidR="00E06368" w:rsidRPr="00957229" w:rsidRDefault="00E06368" w:rsidP="00E06368">
      <w:pPr>
        <w:rPr>
          <w:rFonts w:ascii="Calibri" w:hAnsi="Calibri" w:cs="Calibri"/>
          <w:i/>
          <w:sz w:val="22"/>
        </w:rPr>
      </w:pPr>
      <w:r w:rsidRPr="00957229">
        <w:rPr>
          <w:rFonts w:ascii="Calibri" w:hAnsi="Calibri" w:cs="Calibri"/>
          <w:sz w:val="22"/>
        </w:rPr>
        <w:t xml:space="preserve">En los procesos matrimoniales el artículo 525 LEC también entra en colisión con otra norma, esta vez, del mismo precepto, el artículo 774.5 LEC que establece que: </w:t>
      </w:r>
      <w:r w:rsidRPr="00957229">
        <w:rPr>
          <w:rFonts w:ascii="Calibri" w:hAnsi="Calibri" w:cs="Calibri"/>
          <w:i/>
          <w:sz w:val="22"/>
        </w:rPr>
        <w:t>“Los recursos que, conforme a la Ley, se interpongan contra la sentencia no suspenderán la eficacia de las medidas que se hubieren acordado en ésta. Si la impugnación afectara únicamente a los pronunciamientos sobre medidas se declarará por el Secretario judicial la firmeza del pronunciamiento sobre la nulidad, separación o divorcio.”</w:t>
      </w:r>
    </w:p>
    <w:p w14:paraId="7986D10E" w14:textId="77777777" w:rsidR="00E06368" w:rsidRPr="00957229" w:rsidRDefault="00E06368" w:rsidP="00E06368">
      <w:pPr>
        <w:rPr>
          <w:rFonts w:ascii="Calibri" w:hAnsi="Calibri" w:cs="Calibri"/>
          <w:sz w:val="22"/>
        </w:rPr>
      </w:pPr>
      <w:r w:rsidRPr="00957229">
        <w:rPr>
          <w:rFonts w:ascii="Calibri" w:hAnsi="Calibri" w:cs="Calibri"/>
          <w:sz w:val="22"/>
        </w:rPr>
        <w:lastRenderedPageBreak/>
        <w:t>Esta colisión ha dado lugar a un extenso debate jurisprudencial sin solución doctrinal por ahora; pero que tiende a defender la ejecución provisional de sentencias dictadas en los procesos sobre paternidad, maternidad, filiación, nulidad de matrimonio, separación y divorcio, a pesar del dictado del artículo 525 LEC.</w:t>
      </w:r>
    </w:p>
    <w:p w14:paraId="440EFEB8" w14:textId="51A387B2" w:rsidR="00E06368" w:rsidRPr="00957229" w:rsidRDefault="00E06368" w:rsidP="00E06368">
      <w:pPr>
        <w:rPr>
          <w:rFonts w:ascii="Calibri" w:hAnsi="Calibri" w:cs="Calibri"/>
          <w:sz w:val="22"/>
        </w:rPr>
      </w:pPr>
      <w:r w:rsidRPr="00957229">
        <w:rPr>
          <w:rFonts w:ascii="Calibri" w:hAnsi="Calibri" w:cs="Calibri"/>
          <w:sz w:val="22"/>
        </w:rPr>
        <w:t>Sin embargo, los procesos que versan sobre la oposición a medida administrativa en protección de menores no cuentan con ningún artículo que reserve una salvedad o interpretación que permita a los niños, niñas y adolescentes (NNA) que han estado tutelados por la Administración, recuperar las relaciones familiares y salir de los centros residenciales donde se encuentran internos y circular libremente, a pesar de no estar en situación de desamparo.</w:t>
      </w:r>
    </w:p>
    <w:p w14:paraId="0E4EC3C5" w14:textId="099986A4" w:rsidR="00E06368" w:rsidRPr="00957229" w:rsidRDefault="00E06368" w:rsidP="00E06368">
      <w:pPr>
        <w:rPr>
          <w:rFonts w:ascii="Calibri" w:hAnsi="Calibri" w:cs="Calibri"/>
          <w:sz w:val="22"/>
        </w:rPr>
      </w:pPr>
      <w:r w:rsidRPr="00957229">
        <w:rPr>
          <w:rFonts w:ascii="Calibri" w:hAnsi="Calibri" w:cs="Calibri"/>
          <w:sz w:val="22"/>
        </w:rPr>
        <w:t xml:space="preserve">Más bien al contrario, la jurisprudencia viene reafirmando la inejecutoriedad provisional al pronunciamiento principal que es el desamparo, como la Sentencia de la </w:t>
      </w:r>
      <w:r w:rsidRPr="00957229">
        <w:rPr>
          <w:rFonts w:ascii="Calibri" w:hAnsi="Calibri" w:cs="Calibri"/>
          <w:b/>
          <w:sz w:val="22"/>
        </w:rPr>
        <w:t>AP Segovia, de fecha 21 de mayo de 2018</w:t>
      </w:r>
      <w:r w:rsidRPr="00957229">
        <w:rPr>
          <w:rFonts w:ascii="Calibri" w:hAnsi="Calibri" w:cs="Calibri"/>
          <w:sz w:val="22"/>
        </w:rPr>
        <w:t xml:space="preserve">, </w:t>
      </w:r>
      <w:r w:rsidRPr="00957229">
        <w:rPr>
          <w:rFonts w:ascii="Calibri" w:hAnsi="Calibri" w:cs="Calibri"/>
          <w:bCs/>
          <w:sz w:val="22"/>
        </w:rPr>
        <w:t>(Número Sentencia:</w:t>
      </w:r>
      <w:r w:rsidRPr="00957229">
        <w:rPr>
          <w:rFonts w:ascii="Calibri" w:hAnsi="Calibri" w:cs="Calibri"/>
          <w:sz w:val="22"/>
        </w:rPr>
        <w:t xml:space="preserve"> 125/2018; </w:t>
      </w:r>
      <w:r w:rsidRPr="00957229">
        <w:rPr>
          <w:rFonts w:ascii="Calibri" w:hAnsi="Calibri" w:cs="Calibri"/>
          <w:bCs/>
          <w:sz w:val="22"/>
        </w:rPr>
        <w:t>Número Recurso:</w:t>
      </w:r>
      <w:r w:rsidRPr="00957229">
        <w:rPr>
          <w:rFonts w:ascii="Calibri" w:hAnsi="Calibri" w:cs="Calibri"/>
          <w:sz w:val="22"/>
        </w:rPr>
        <w:t xml:space="preserve"> 47/2018; </w:t>
      </w:r>
      <w:r w:rsidRPr="00957229">
        <w:rPr>
          <w:rFonts w:ascii="Calibri" w:hAnsi="Calibri" w:cs="Calibri"/>
          <w:bCs/>
          <w:sz w:val="22"/>
        </w:rPr>
        <w:t>Numroj:</w:t>
      </w:r>
      <w:r w:rsidRPr="00957229">
        <w:rPr>
          <w:rFonts w:ascii="Calibri" w:hAnsi="Calibri" w:cs="Calibri"/>
          <w:sz w:val="22"/>
        </w:rPr>
        <w:t xml:space="preserve"> SAP SG 207/2018; </w:t>
      </w:r>
      <w:r w:rsidRPr="00957229">
        <w:rPr>
          <w:rFonts w:ascii="Calibri" w:hAnsi="Calibri" w:cs="Calibri"/>
          <w:bCs/>
          <w:sz w:val="22"/>
        </w:rPr>
        <w:t>Ecli:</w:t>
      </w:r>
      <w:r w:rsidRPr="00957229">
        <w:rPr>
          <w:rFonts w:ascii="Calibri" w:hAnsi="Calibri" w:cs="Calibri"/>
          <w:sz w:val="22"/>
        </w:rPr>
        <w:t xml:space="preserve"> ES:</w:t>
      </w:r>
      <w:r w:rsidR="00442EDF">
        <w:rPr>
          <w:rFonts w:ascii="Calibri" w:hAnsi="Calibri" w:cs="Calibri"/>
          <w:sz w:val="22"/>
        </w:rPr>
        <w:t xml:space="preserve"> </w:t>
      </w:r>
      <w:r w:rsidRPr="00957229">
        <w:rPr>
          <w:rFonts w:ascii="Calibri" w:hAnsi="Calibri" w:cs="Calibri"/>
          <w:sz w:val="22"/>
        </w:rPr>
        <w:t>APSG:2018:207):</w:t>
      </w:r>
    </w:p>
    <w:p w14:paraId="7EB917C2"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“Finalmente, tampoco se aprecia por esta Sala infracción del art. 525.1.1ª de la Ley de Enjuiciamiento Civil -que excluye de la posibilidad de ejecución provisional las sentencias dictadas en los procesos sobre oposición a las resoluciones administrativas en materia de protección de menores- por el hecho de que el Juzgado de Primera Instancia, por medio de su auto de aclaración de 24 de noviembre de 2017 , hubiese resuelto considerar directa e inmediatamente ejecutivas y efectivas las medidas de protección adoptadas al amparo del art. 158 del Código Civil , porque es evidente que la prohibición de ejecución provisional se refiere al pronunciamiento que constituye el objeto principal del procedimiento de impugnación de las resoluciones administrativas en materia de protección de menores (esto es, la declaración de desamparo y asunción de la tutela legal por ministerio de la ley en el presente caso), pero no tiene por qué extenderse a otras medidas de carácter provisional o urgente adoptadas por la autoridad judicial para garantizar el bienestar del menor afectado por la declaración de desamparo, particularmente si se tiene presente la amplitud con la que aparecen definidas las medidas de carácter interino reguladas en el art. 158 del Código Civil”</w:t>
      </w:r>
    </w:p>
    <w:p w14:paraId="1DD15A5A" w14:textId="61CF0649" w:rsidR="00E06368" w:rsidRPr="00957229" w:rsidRDefault="00E06368" w:rsidP="00E06368">
      <w:pPr>
        <w:rPr>
          <w:rFonts w:ascii="Calibri" w:hAnsi="Calibri" w:cs="Calibri"/>
          <w:sz w:val="22"/>
        </w:rPr>
      </w:pPr>
      <w:r w:rsidRPr="00957229">
        <w:rPr>
          <w:rFonts w:ascii="Calibri" w:hAnsi="Calibri" w:cs="Calibri"/>
          <w:sz w:val="22"/>
        </w:rPr>
        <w:t xml:space="preserve">Por su parte, </w:t>
      </w:r>
      <w:r w:rsidRPr="00957229">
        <w:rPr>
          <w:rFonts w:ascii="Calibri" w:hAnsi="Calibri" w:cs="Calibri"/>
          <w:b/>
          <w:sz w:val="22"/>
        </w:rPr>
        <w:t>la AP de Barcelona Sección 18ª</w:t>
      </w:r>
      <w:r w:rsidRPr="00957229">
        <w:rPr>
          <w:rFonts w:ascii="Calibri" w:hAnsi="Calibri" w:cs="Calibri"/>
          <w:sz w:val="22"/>
        </w:rPr>
        <w:t>, en Sentencia de fecha 22 de diciembre de 2015, Número Sentencia: 965/2015; Número Recurso: 941/2015; Numroj: SAP B 12529:2015; Ecli: ES:</w:t>
      </w:r>
      <w:r w:rsidR="00442EDF">
        <w:rPr>
          <w:rFonts w:ascii="Calibri" w:hAnsi="Calibri" w:cs="Calibri"/>
          <w:sz w:val="22"/>
        </w:rPr>
        <w:t xml:space="preserve"> </w:t>
      </w:r>
      <w:r w:rsidRPr="00957229">
        <w:rPr>
          <w:rFonts w:ascii="Calibri" w:hAnsi="Calibri" w:cs="Calibri"/>
          <w:sz w:val="22"/>
        </w:rPr>
        <w:t>APB:2015:12529):</w:t>
      </w:r>
    </w:p>
    <w:p w14:paraId="0383DF54" w14:textId="5E310E03" w:rsidR="00E06368" w:rsidRDefault="00E06368" w:rsidP="00E06368">
      <w:pPr>
        <w:pStyle w:val="Quote"/>
        <w:rPr>
          <w:rFonts w:ascii="Calibri" w:hAnsi="Calibri" w:cs="Calibri"/>
          <w:sz w:val="22"/>
          <w:szCs w:val="22"/>
        </w:rPr>
      </w:pPr>
      <w:r w:rsidRPr="00957229">
        <w:rPr>
          <w:rFonts w:ascii="Calibri" w:hAnsi="Calibri" w:cs="Calibri"/>
          <w:sz w:val="22"/>
          <w:szCs w:val="22"/>
        </w:rPr>
        <w:t>“La cuestión no es competencia de la Sala, sino del juez de instancia, funcionalmente competente para resolver sobre las peticiones de ejecución provisional, atendiendo asimismo a la fecha de entrada en vigor de la reforma.</w:t>
      </w:r>
    </w:p>
    <w:p w14:paraId="751B4891"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No obstante, cabe decir que la previsión de que estas resoluciones no se puedan ejecutar provisionalmente tiene su fundamento en que no se produzca un perjuicio irreparable al menor y viene compensado con el carácter preferente que tiene la tramitación del recurso de apelación (art. 753.3 LEC).”</w:t>
      </w:r>
    </w:p>
    <w:p w14:paraId="32BBE594" w14:textId="77777777" w:rsidR="00E06368" w:rsidRPr="00957229" w:rsidRDefault="00E06368" w:rsidP="00E06368">
      <w:pPr>
        <w:rPr>
          <w:rFonts w:ascii="Calibri" w:hAnsi="Calibri" w:cs="Calibri"/>
          <w:sz w:val="22"/>
        </w:rPr>
      </w:pPr>
      <w:r w:rsidRPr="00957229">
        <w:rPr>
          <w:rFonts w:ascii="Calibri" w:hAnsi="Calibri" w:cs="Calibri"/>
          <w:sz w:val="22"/>
        </w:rPr>
        <w:t xml:space="preserve">En igual sentido se resuelve por la </w:t>
      </w:r>
      <w:r w:rsidRPr="00957229">
        <w:rPr>
          <w:rFonts w:ascii="Calibri" w:hAnsi="Calibri" w:cs="Calibri"/>
          <w:b/>
          <w:sz w:val="22"/>
        </w:rPr>
        <w:t>AP León Sección 2ª</w:t>
      </w:r>
      <w:r w:rsidRPr="00957229">
        <w:rPr>
          <w:rFonts w:ascii="Calibri" w:hAnsi="Calibri" w:cs="Calibri"/>
          <w:sz w:val="22"/>
        </w:rPr>
        <w:t>, Auto de f</w:t>
      </w:r>
      <w:r w:rsidRPr="00957229">
        <w:rPr>
          <w:rFonts w:ascii="Calibri" w:hAnsi="Calibri" w:cs="Calibri"/>
          <w:bCs/>
          <w:sz w:val="22"/>
        </w:rPr>
        <w:t>echa 3 de febrero de 2010, Número Recurso:</w:t>
      </w:r>
      <w:r w:rsidRPr="00957229">
        <w:rPr>
          <w:rFonts w:ascii="Calibri" w:hAnsi="Calibri" w:cs="Calibri"/>
          <w:sz w:val="22"/>
        </w:rPr>
        <w:t xml:space="preserve"> 631/2009):</w:t>
      </w:r>
    </w:p>
    <w:p w14:paraId="6D631ED4"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 xml:space="preserve">“Aunque la sentencia sea estimatoria de la oposición a la medida, la situación de la menor no puede alterarse, dado el carácter ejecutivo de medida adoptada por la </w:t>
      </w:r>
      <w:r w:rsidRPr="00957229">
        <w:rPr>
          <w:rFonts w:ascii="Calibri" w:hAnsi="Calibri" w:cs="Calibri"/>
          <w:sz w:val="22"/>
          <w:szCs w:val="22"/>
        </w:rPr>
        <w:lastRenderedPageBreak/>
        <w:t>entidad pública y la imposibilidad, en base al art. 525.1 LEC, de la ejecución provisional de la sentencia estimatoria de la oposición.</w:t>
      </w:r>
    </w:p>
    <w:p w14:paraId="0EA29079" w14:textId="77777777" w:rsidR="00E06368" w:rsidRPr="00957229" w:rsidRDefault="00E06368" w:rsidP="00E06368">
      <w:pPr>
        <w:pStyle w:val="Quote"/>
        <w:rPr>
          <w:rFonts w:ascii="Calibri" w:hAnsi="Calibri" w:cs="Calibri"/>
          <w:sz w:val="22"/>
          <w:szCs w:val="22"/>
        </w:rPr>
      </w:pPr>
      <w:r w:rsidRPr="00957229">
        <w:rPr>
          <w:rFonts w:ascii="Calibri" w:hAnsi="Calibri" w:cs="Calibri"/>
          <w:sz w:val="22"/>
          <w:szCs w:val="22"/>
        </w:rPr>
        <w:t>No obstante, sí cabe que en la propia sentencia o ahora, al resolver el recurso contra la resolución que en su día la denegó, adoptar alguna medida cautelar, al amparo del artículo 158 del Código Civil, si se constatase que la permanencia de la medida protectora declarada improcedente pudiera generar al menor un perjuicio grave.”</w:t>
      </w:r>
    </w:p>
    <w:p w14:paraId="0D8D2357" w14:textId="77777777" w:rsidR="00E06368" w:rsidRPr="00957229" w:rsidRDefault="00E06368" w:rsidP="00E06368">
      <w:pPr>
        <w:rPr>
          <w:rFonts w:ascii="Calibri" w:hAnsi="Calibri" w:cs="Calibri"/>
          <w:sz w:val="22"/>
        </w:rPr>
      </w:pPr>
      <w:r w:rsidRPr="00957229">
        <w:rPr>
          <w:rFonts w:ascii="Calibri" w:hAnsi="Calibri" w:cs="Calibri"/>
          <w:sz w:val="22"/>
        </w:rPr>
        <w:t>La inejecutabilidad provisional de una resolución que revoca una situación de desamparo, en virtud del artículo 525 LEC deja obsoleta la función protectora de la Administración sobre un menor o adolescente, además de hacer ineficiente el servicio de protección, y de suponer una carga en las arcas del estado impertinente e inútil.</w:t>
      </w:r>
    </w:p>
    <w:p w14:paraId="7A91689D" w14:textId="77777777" w:rsidR="00E06368" w:rsidRPr="00957229" w:rsidRDefault="00E06368" w:rsidP="00E06368">
      <w:pPr>
        <w:rPr>
          <w:rFonts w:ascii="Calibri" w:hAnsi="Calibri" w:cs="Calibri"/>
          <w:sz w:val="22"/>
        </w:rPr>
      </w:pPr>
      <w:r w:rsidRPr="00957229">
        <w:rPr>
          <w:rFonts w:ascii="Calibri" w:hAnsi="Calibri" w:cs="Calibri"/>
          <w:sz w:val="22"/>
        </w:rPr>
        <w:t>Pero va más allá. La inejecutabilidad vulnera los derechos fundamentales de los niños, las niñas y los adolescentes que por una causa u otra han sido objeto de protección de la Administración, colisionando consecuentemente con otros derechos fundamentales, como es el de no discriminación. La función protectora de la Administración (el menor como objeto de protección), prima sobre el interés superior del menor (el menor como sujeto de derechos).</w:t>
      </w:r>
    </w:p>
    <w:p w14:paraId="4F65256D" w14:textId="77777777" w:rsidR="00CC22E5" w:rsidRPr="00957229" w:rsidRDefault="00CC22E5" w:rsidP="00E06368">
      <w:pPr>
        <w:rPr>
          <w:rFonts w:ascii="Calibri" w:hAnsi="Calibri" w:cs="Calibri"/>
          <w:sz w:val="22"/>
        </w:rPr>
      </w:pPr>
    </w:p>
    <w:p w14:paraId="210D9901" w14:textId="0150A7F8" w:rsidR="007D4A1C" w:rsidRPr="00957229" w:rsidRDefault="007D4A1C" w:rsidP="00986080">
      <w:pPr>
        <w:pStyle w:val="Heading4"/>
        <w:rPr>
          <w:rFonts w:ascii="Calibri" w:hAnsi="Calibri" w:cs="Calibri"/>
          <w:sz w:val="22"/>
        </w:rPr>
      </w:pPr>
      <w:r w:rsidRPr="00957229">
        <w:rPr>
          <w:rFonts w:ascii="Calibri" w:hAnsi="Calibri" w:cs="Calibri"/>
          <w:sz w:val="22"/>
        </w:rPr>
        <w:t>Incumplimiento del deber de garantizar el derecho a la tutela judicial efectiva. Carencia sobrevenida del objeto del pleito.</w:t>
      </w:r>
    </w:p>
    <w:p w14:paraId="7F126C42" w14:textId="07C50383" w:rsidR="00F10175" w:rsidRPr="00957229" w:rsidRDefault="00F10175" w:rsidP="00F10175">
      <w:pPr>
        <w:rPr>
          <w:rFonts w:ascii="Calibri" w:hAnsi="Calibri" w:cs="Calibri"/>
          <w:sz w:val="22"/>
        </w:rPr>
      </w:pPr>
      <w:r w:rsidRPr="00957229">
        <w:rPr>
          <w:rFonts w:ascii="Calibri" w:hAnsi="Calibri" w:cs="Calibri"/>
          <w:sz w:val="22"/>
        </w:rPr>
        <w:t>En supuestos en los que después de iniciado el proceso judicial de oposición a la medida administrativa de protección, en el ínterin del mismo, y en la fase final, previo a la vista, la administración resuelva finalizar la medida (retornando las funciones tutelares a los progenitores, en caso de resolución de declaración de desamparo; o reestableciendo el régimen de visitas, en caso de resolución de suspensión de las visitas; o en caso de cambio de la medida de acogimiento en centro residencial a familia extensa…); o bien, modificando la medida (de guarda a desamparo, etc</w:t>
      </w:r>
      <w:r w:rsidR="00442EDF">
        <w:rPr>
          <w:rFonts w:ascii="Calibri" w:hAnsi="Calibri" w:cs="Calibri"/>
          <w:sz w:val="22"/>
        </w:rPr>
        <w:t>.</w:t>
      </w:r>
      <w:r w:rsidRPr="00957229">
        <w:rPr>
          <w:rFonts w:ascii="Calibri" w:hAnsi="Calibri" w:cs="Calibri"/>
          <w:sz w:val="22"/>
        </w:rPr>
        <w:t>); está siendo habitual que los tribunales archiven el proceso considerando que ha decaído el objeto del pleito, en virtud del artículo 22 de la LEC.</w:t>
      </w:r>
    </w:p>
    <w:p w14:paraId="74B5F5F2" w14:textId="09034F08" w:rsidR="00F10175" w:rsidRPr="00957229" w:rsidRDefault="00F10175" w:rsidP="007D4A1C">
      <w:pPr>
        <w:rPr>
          <w:rFonts w:ascii="Calibri" w:hAnsi="Calibri" w:cs="Calibri"/>
          <w:sz w:val="22"/>
        </w:rPr>
      </w:pPr>
      <w:r w:rsidRPr="00957229">
        <w:rPr>
          <w:rFonts w:ascii="Calibri" w:hAnsi="Calibri" w:cs="Calibri"/>
          <w:sz w:val="22"/>
        </w:rPr>
        <w:t xml:space="preserve">Archivado el proceso, la resolución no será revisada judicialmente (y por tanto, no se procederá a analizar si la toma de decisión fue conforme a Derecho o no); lo cual supone una vulneración del derecho a la tutela judicial efectiva. </w:t>
      </w:r>
    </w:p>
    <w:p w14:paraId="3319DE1E" w14:textId="7A5ED1A6" w:rsidR="007D4A1C" w:rsidRPr="00957229" w:rsidRDefault="007D4A1C" w:rsidP="007D4A1C">
      <w:pPr>
        <w:rPr>
          <w:rFonts w:ascii="Calibri" w:hAnsi="Calibri" w:cs="Calibri"/>
          <w:sz w:val="22"/>
        </w:rPr>
      </w:pPr>
      <w:r w:rsidRPr="00957229">
        <w:rPr>
          <w:rFonts w:ascii="Calibri" w:hAnsi="Calibri" w:cs="Calibri"/>
          <w:sz w:val="22"/>
          <w:u w:val="single"/>
        </w:rPr>
        <w:t>La Sentencia del TC nº 102/2009, de 27 de abril de 2009</w:t>
      </w:r>
      <w:r w:rsidRPr="00957229">
        <w:rPr>
          <w:rFonts w:ascii="Calibri" w:hAnsi="Calibri" w:cs="Calibri"/>
          <w:sz w:val="22"/>
        </w:rPr>
        <w:t xml:space="preserve">, FJ 7º realizó un análisis pormenorizado de lo que supone la pérdida del interés legítimo, establecido: </w:t>
      </w:r>
    </w:p>
    <w:p w14:paraId="026AEDF5"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 xml:space="preserve">“La causa legal de terminación anticipada de un proceso por pérdida sobrevenida de su objeto, de conformidad a lo establecido en el art. 22 LEC, se conecta con la pérdida del interés legítimo en obtener la tutela judicial en relación a la pretensión ejercitada, y precisamente por ello su sentido es evitar la continuación de un proceso en el cual el demandante haya perdido sobrevenidamente todo el interés jurídico que en él tenía...Ahora bien, tal como propugna el Ministerio público en sus alegaciones, para que la decisión judicial de cierre del proceso por pérdida sobrevenida del objeto resulte respetuosa del derecho fundamental a la tutela judicial efectiva </w:t>
      </w:r>
      <w:r w:rsidRPr="00957229">
        <w:rPr>
          <w:rFonts w:ascii="Calibri" w:hAnsi="Calibri" w:cs="Calibri"/>
          <w:b/>
          <w:bCs/>
          <w:sz w:val="22"/>
          <w:szCs w:val="22"/>
        </w:rPr>
        <w:t>es necesario que la pérdida del interés legítimo sea completa</w:t>
      </w:r>
      <w:r w:rsidRPr="00957229">
        <w:rPr>
          <w:rFonts w:ascii="Calibri" w:hAnsi="Calibri" w:cs="Calibri"/>
          <w:sz w:val="22"/>
          <w:szCs w:val="22"/>
        </w:rPr>
        <w:t>" (igualmente, STC nº 44/2013, de 25 de febrero de 2013 , FJ 6º).</w:t>
      </w:r>
    </w:p>
    <w:p w14:paraId="5B37874D" w14:textId="77777777" w:rsidR="007D4A1C" w:rsidRPr="00957229" w:rsidRDefault="007D4A1C" w:rsidP="007D4A1C">
      <w:pPr>
        <w:rPr>
          <w:rFonts w:ascii="Calibri" w:hAnsi="Calibri" w:cs="Calibri"/>
          <w:sz w:val="22"/>
        </w:rPr>
      </w:pPr>
      <w:r w:rsidRPr="00957229">
        <w:rPr>
          <w:rFonts w:ascii="Calibri" w:hAnsi="Calibri" w:cs="Calibri"/>
          <w:sz w:val="22"/>
        </w:rPr>
        <w:lastRenderedPageBreak/>
        <w:t>Más recientemente, se ha dictado por Sala de lo Contencioso-Administrativo, Sección 5.ª del Tribunal Supremo la Sentencia 956/2023, de 11 de julio de 2022 (Recurso De Casación Núm: 4717/2022) estableció:</w:t>
      </w:r>
    </w:p>
    <w:p w14:paraId="7C4E70C2"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“En el auto de admisión se nos interpela sobre si es compatible con el derecho a la tutela judicial efectiva así como con el respeto al principio de superior interés del menor acordar la pérdida sobrevenida del objeto del recurso tras la revocación por la Administración de la resolución de expulsión impugnada por constatarse la minoría de edad del interesado, sin dar respuesta a la pretensión, también contenida en la demanda, de regularizar la situación del menor con las subsiguientes medidas de protección del mismo.</w:t>
      </w:r>
    </w:p>
    <w:p w14:paraId="6848C6DF"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 xml:space="preserve">La respuesta a esta cuestión aparece nítidamente expuesta en el fundamento anterior. </w:t>
      </w:r>
      <w:r w:rsidRPr="00957229">
        <w:rPr>
          <w:rFonts w:ascii="Calibri" w:hAnsi="Calibri" w:cs="Calibri"/>
          <w:b/>
          <w:bCs/>
          <w:sz w:val="22"/>
          <w:szCs w:val="22"/>
        </w:rPr>
        <w:t>No es posible acordar la pérdida sobrevenida de objeto del recurso en esas circunstancias de manera que, al hacerlo así, se ha vulnerado el derecho fundamental a la tutela judicial efectiva ex art. 24 de la Constitución Española</w:t>
      </w:r>
      <w:r w:rsidRPr="00957229">
        <w:rPr>
          <w:rFonts w:ascii="Calibri" w:hAnsi="Calibri" w:cs="Calibri"/>
          <w:sz w:val="22"/>
          <w:szCs w:val="22"/>
        </w:rPr>
        <w:t>.”</w:t>
      </w:r>
    </w:p>
    <w:p w14:paraId="4B0257B7" w14:textId="77777777" w:rsidR="007D4A1C" w:rsidRPr="00957229" w:rsidRDefault="007D4A1C" w:rsidP="007D4A1C">
      <w:pPr>
        <w:rPr>
          <w:rFonts w:ascii="Calibri" w:hAnsi="Calibri" w:cs="Calibri"/>
          <w:sz w:val="22"/>
        </w:rPr>
      </w:pPr>
      <w:r w:rsidRPr="00957229">
        <w:rPr>
          <w:rFonts w:ascii="Calibri" w:hAnsi="Calibri" w:cs="Calibri"/>
          <w:sz w:val="22"/>
        </w:rPr>
        <w:t xml:space="preserve">El </w:t>
      </w:r>
      <w:r w:rsidRPr="00957229">
        <w:rPr>
          <w:rFonts w:ascii="Calibri" w:hAnsi="Calibri" w:cs="Calibri"/>
          <w:sz w:val="22"/>
          <w:u w:val="single"/>
        </w:rPr>
        <w:t>Tribunal Supremo, Sala Primera, de lo Civil, Sentencia 307/2020 de 16 Jun. 2020, Rec. 2629/2019</w:t>
      </w:r>
      <w:r w:rsidRPr="00957229">
        <w:rPr>
          <w:rFonts w:ascii="Calibri" w:hAnsi="Calibri" w:cs="Calibri"/>
          <w:sz w:val="22"/>
        </w:rPr>
        <w:t xml:space="preserve">, se refiere expresamente a la casuística procesal del caso, pero en este caso, en lugar de por cese de la guarda provisional al acordar el desamparo, por haber alcanzado la mayoría de edad el menor en cuestión (Extracto FJ 3º): </w:t>
      </w:r>
    </w:p>
    <w:p w14:paraId="33EBE73D"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 xml:space="preserve">“No hay carencia sobrevenida de objeto. Conviene precisar, por lo demás, que no procede aplicar el art. 22 LEC y apreciar carencia sobrevenida del objeto puesto que, con independencia de que haya adquirido la mayoría de edad a lo largo de la tramitación de este procedimiento (por lo que, aun de estimarse el recurso y la demanda ya no procedería su tutela inmediata por parte de los servicios de protección de menores de la Comunidad Autónoma de Madrid), </w:t>
      </w:r>
      <w:r w:rsidRPr="00957229">
        <w:rPr>
          <w:rFonts w:ascii="Calibri" w:hAnsi="Calibri" w:cs="Calibri"/>
          <w:b/>
          <w:bCs/>
          <w:sz w:val="22"/>
          <w:szCs w:val="22"/>
        </w:rPr>
        <w:t>el recurrente sigue teniendo un interés legítimo en que se declare que la resolución administrativa que le denegó la declaración de desamparo no fue conforme a derecho, que es lo que solicitó en el primer suplico de su demanda</w:t>
      </w:r>
      <w:r w:rsidRPr="00957229">
        <w:rPr>
          <w:rFonts w:ascii="Calibri" w:hAnsi="Calibri" w:cs="Calibri"/>
          <w:sz w:val="22"/>
          <w:szCs w:val="22"/>
        </w:rPr>
        <w:t>.”</w:t>
      </w:r>
    </w:p>
    <w:p w14:paraId="75C227AA" w14:textId="77777777" w:rsidR="007D4A1C" w:rsidRPr="00957229" w:rsidRDefault="007D4A1C" w:rsidP="007D4A1C">
      <w:pPr>
        <w:rPr>
          <w:rFonts w:ascii="Calibri" w:hAnsi="Calibri" w:cs="Calibri"/>
          <w:sz w:val="22"/>
        </w:rPr>
      </w:pPr>
      <w:r w:rsidRPr="00957229">
        <w:rPr>
          <w:rFonts w:ascii="Calibri" w:hAnsi="Calibri" w:cs="Calibri"/>
          <w:sz w:val="22"/>
        </w:rPr>
        <w:t>Respecto de la carencia sobrevenida del objeto del pleito por haber sido sustituida la medida de guarda provisional por la de desamparo.</w:t>
      </w:r>
    </w:p>
    <w:p w14:paraId="34789E38" w14:textId="77777777" w:rsidR="007D4A1C" w:rsidRPr="00957229" w:rsidRDefault="007D4A1C" w:rsidP="007D4A1C">
      <w:pPr>
        <w:rPr>
          <w:rFonts w:ascii="Calibri" w:hAnsi="Calibri" w:cs="Calibri"/>
          <w:sz w:val="22"/>
        </w:rPr>
      </w:pPr>
      <w:r w:rsidRPr="00957229">
        <w:rPr>
          <w:rFonts w:ascii="Calibri" w:hAnsi="Calibri" w:cs="Calibri"/>
          <w:sz w:val="22"/>
        </w:rPr>
        <w:t>La resolución de 3 de marzo contenía varios pronunciamientos y medidas:</w:t>
      </w:r>
    </w:p>
    <w:p w14:paraId="125A8EC2"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 xml:space="preserve">“1º.- Iniciar el oportuno expediente de protección del/la menor </w:t>
      </w:r>
      <w:r w:rsidRPr="00957229">
        <w:rPr>
          <w:rFonts w:ascii="Calibri" w:hAnsi="Calibri" w:cs="Calibri"/>
          <w:b/>
          <w:sz w:val="22"/>
          <w:szCs w:val="22"/>
        </w:rPr>
        <w:t xml:space="preserve">Nandini Isabella/Surya Ramasubramanian Estrella </w:t>
      </w:r>
      <w:r w:rsidRPr="00957229">
        <w:rPr>
          <w:rFonts w:ascii="Calibri" w:hAnsi="Calibri" w:cs="Calibri"/>
          <w:sz w:val="22"/>
          <w:szCs w:val="22"/>
        </w:rPr>
        <w:t>que queda registrado con el número 23-TU-00385.6/2023.</w:t>
      </w:r>
    </w:p>
    <w:p w14:paraId="372355BC"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 xml:space="preserve">2º.- Asumir la GUARDA PROVISIONAL del/la menor por parte de esta Entidad Pública en tanto se completa la instrucción del expediente. </w:t>
      </w:r>
    </w:p>
    <w:p w14:paraId="619CDC0B"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3º.- La medida se ejercerá bajo la guarda del Director/a del Centro de Primera Acogida.</w:t>
      </w:r>
    </w:p>
    <w:p w14:paraId="59B28E87"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4º.-  Nombrar responsables de la instrucción y seguimiento del expediente a un técnico adscrito a la Zona de Acción Tutelar correspondiente.</w:t>
      </w:r>
    </w:p>
    <w:p w14:paraId="3212A68A"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5º.- Instrúyase el expediente de conformidad con lo dispuesto en el Decreto 121/1988, de 23 de noviembre, modificado por el Decreto 71/1992 de 12 de noviembre y demás normativa vigente.”</w:t>
      </w:r>
    </w:p>
    <w:p w14:paraId="4EBBA261" w14:textId="77777777" w:rsidR="007D4A1C" w:rsidRPr="00957229" w:rsidRDefault="007D4A1C" w:rsidP="007D4A1C">
      <w:pPr>
        <w:rPr>
          <w:rFonts w:ascii="Calibri" w:hAnsi="Calibri" w:cs="Calibri"/>
          <w:b/>
          <w:bCs/>
          <w:sz w:val="22"/>
        </w:rPr>
      </w:pPr>
      <w:r w:rsidRPr="00957229">
        <w:rPr>
          <w:rFonts w:ascii="Calibri" w:hAnsi="Calibri" w:cs="Calibri"/>
          <w:sz w:val="22"/>
        </w:rPr>
        <w:t xml:space="preserve">En nuestro actual estado de derecho, el Juez está obligado a revisar los actos administrativos que se emiten desde cualquier administración; no puede ser válido un sistema jurídico que </w:t>
      </w:r>
      <w:r w:rsidRPr="00957229">
        <w:rPr>
          <w:rFonts w:ascii="Calibri" w:hAnsi="Calibri" w:cs="Calibri"/>
          <w:sz w:val="22"/>
        </w:rPr>
        <w:lastRenderedPageBreak/>
        <w:t xml:space="preserve">permita </w:t>
      </w:r>
      <w:r w:rsidRPr="00957229">
        <w:rPr>
          <w:rFonts w:ascii="Calibri" w:hAnsi="Calibri" w:cs="Calibri"/>
          <w:b/>
          <w:bCs/>
          <w:sz w:val="22"/>
        </w:rPr>
        <w:t>dejar al margen la intervención judicial en función de los sucesivos actos de la administración.</w:t>
      </w:r>
    </w:p>
    <w:p w14:paraId="0F5149E5" w14:textId="77777777" w:rsidR="007D4A1C" w:rsidRPr="00957229" w:rsidRDefault="007D4A1C" w:rsidP="007D4A1C">
      <w:pPr>
        <w:rPr>
          <w:rFonts w:ascii="Calibri" w:hAnsi="Calibri" w:cs="Calibri"/>
          <w:sz w:val="22"/>
        </w:rPr>
      </w:pPr>
      <w:r w:rsidRPr="00957229">
        <w:rPr>
          <w:rFonts w:ascii="Calibri" w:hAnsi="Calibri" w:cs="Calibri"/>
          <w:sz w:val="22"/>
        </w:rPr>
        <w:t xml:space="preserve">Si se ha ingresado a un menor en un centro de menores y posteriormente se modifica su situación y por ejemplo, se determina el acogimiento en familia ajena, </w:t>
      </w:r>
      <w:r w:rsidRPr="00957229">
        <w:rPr>
          <w:rFonts w:ascii="Calibri" w:hAnsi="Calibri" w:cs="Calibri"/>
          <w:b/>
          <w:bCs/>
          <w:sz w:val="22"/>
        </w:rPr>
        <w:t>la primera decisión nunca podría ser revisada en sede judicial</w:t>
      </w:r>
      <w:r w:rsidRPr="00957229">
        <w:rPr>
          <w:rFonts w:ascii="Calibri" w:hAnsi="Calibri" w:cs="Calibri"/>
          <w:sz w:val="22"/>
        </w:rPr>
        <w:t>, precisamente por haber decaído la primera resolución, según la interpretación de la Comisión de Tutela del Menor. Solo sería susceptible de revisión la segunda, hasta que se emitiera una nueva resolución. Y así sucesivamente.</w:t>
      </w:r>
    </w:p>
    <w:p w14:paraId="3C8C83D3" w14:textId="574B27E1" w:rsidR="007D4A1C" w:rsidRPr="00957229" w:rsidRDefault="007D4A1C" w:rsidP="007D4A1C">
      <w:pPr>
        <w:rPr>
          <w:rFonts w:ascii="Calibri" w:hAnsi="Calibri" w:cs="Calibri"/>
          <w:sz w:val="22"/>
        </w:rPr>
      </w:pPr>
      <w:r w:rsidRPr="00957229">
        <w:rPr>
          <w:rFonts w:ascii="Calibri" w:hAnsi="Calibri" w:cs="Calibri"/>
          <w:sz w:val="22"/>
        </w:rPr>
        <w:t xml:space="preserve">Nos encontraríamos pues, con </w:t>
      </w:r>
      <w:r w:rsidRPr="00957229">
        <w:rPr>
          <w:rFonts w:ascii="Calibri" w:hAnsi="Calibri" w:cs="Calibri"/>
          <w:b/>
          <w:sz w:val="22"/>
        </w:rPr>
        <w:t>una administración fuera del control judicial</w:t>
      </w:r>
      <w:r w:rsidRPr="00957229">
        <w:rPr>
          <w:rFonts w:ascii="Calibri" w:hAnsi="Calibri" w:cs="Calibri"/>
          <w:sz w:val="22"/>
        </w:rPr>
        <w:t xml:space="preserve"> y a unos ciudadanos que les sería negado el acceso a una revisión judicial, que implica el derecho a un proceso con garantías, el derecho a la defensa, las garantías procesales</w:t>
      </w:r>
      <w:r w:rsidR="00442EDF">
        <w:rPr>
          <w:rFonts w:ascii="Calibri" w:hAnsi="Calibri" w:cs="Calibri"/>
          <w:sz w:val="22"/>
        </w:rPr>
        <w:t>, e</w:t>
      </w:r>
      <w:r w:rsidRPr="00957229">
        <w:rPr>
          <w:rFonts w:ascii="Calibri" w:hAnsi="Calibri" w:cs="Calibri"/>
          <w:sz w:val="22"/>
        </w:rPr>
        <w:t>tc.</w:t>
      </w:r>
    </w:p>
    <w:p w14:paraId="75AA00E1" w14:textId="77777777" w:rsidR="007D4A1C" w:rsidRPr="00957229" w:rsidRDefault="007D4A1C" w:rsidP="007D4A1C">
      <w:pPr>
        <w:rPr>
          <w:rFonts w:ascii="Calibri" w:hAnsi="Calibri" w:cs="Calibri"/>
          <w:sz w:val="22"/>
        </w:rPr>
      </w:pPr>
      <w:r w:rsidRPr="00957229">
        <w:rPr>
          <w:rFonts w:ascii="Calibri" w:hAnsi="Calibri" w:cs="Calibri"/>
          <w:sz w:val="22"/>
        </w:rPr>
        <w:t>En este sentido se pronunció la Sala Primera del Tribunal al que tengo el honor de dirigirme en la Sentencia de 08 de mayo de 2023 (Número Sentencia: 40/2023 Número Recurso: 5965/2020), por la que estableció:</w:t>
      </w:r>
    </w:p>
    <w:p w14:paraId="15F09FAB" w14:textId="77777777" w:rsidR="007D4A1C" w:rsidRPr="00957229" w:rsidRDefault="007D4A1C" w:rsidP="007D4A1C">
      <w:pPr>
        <w:pStyle w:val="Quote"/>
        <w:rPr>
          <w:rFonts w:ascii="Calibri" w:hAnsi="Calibri" w:cs="Calibri"/>
          <w:sz w:val="22"/>
          <w:szCs w:val="22"/>
        </w:rPr>
      </w:pPr>
      <w:r w:rsidRPr="00957229">
        <w:rPr>
          <w:rFonts w:ascii="Calibri" w:hAnsi="Calibri" w:cs="Calibri"/>
          <w:sz w:val="22"/>
          <w:szCs w:val="22"/>
        </w:rPr>
        <w:t xml:space="preserve">“El auto de 20 de octubre de 2020 de la Audiencia Provincial de Madrid, por su parte, ratifica la aplicación del art. 22.1 LEC, insiste en el argumento de que no es posible examinar el fondo de la pretensión una vez que el demandante ha alcanzado la mayoría de edad, y aduce que solo restaría efectuar una declaración ex post sobre la pertinencia que pudo tener en su momento su petición de protección como menor, dando a entender que sería ya superflua. Concluye haciendo algunas consideraciones sobre la corrección de la determinación de la edad efectuada en el decreto de fiscalía. </w:t>
      </w:r>
      <w:r w:rsidRPr="00957229">
        <w:rPr>
          <w:rFonts w:ascii="Calibri" w:hAnsi="Calibri" w:cs="Calibri"/>
          <w:b/>
          <w:bCs/>
          <w:sz w:val="22"/>
          <w:szCs w:val="22"/>
        </w:rPr>
        <w:t>En cualquier caso, comparte la visión reduccionista del auto del juzgado en virtud de la cual no subsistiría un interés reconocible del demandante en la sustanciación del proceso y en el pronunciamiento de una sentencia de fondo</w:t>
      </w:r>
      <w:r w:rsidRPr="00957229">
        <w:rPr>
          <w:rFonts w:ascii="Calibri" w:hAnsi="Calibri" w:cs="Calibri"/>
          <w:sz w:val="22"/>
          <w:szCs w:val="22"/>
        </w:rPr>
        <w:t>.</w:t>
      </w:r>
    </w:p>
    <w:p w14:paraId="4B2A1433" w14:textId="77777777" w:rsidR="007D4A1C" w:rsidRPr="00957229" w:rsidRDefault="007D4A1C" w:rsidP="007D4A1C">
      <w:pPr>
        <w:pStyle w:val="Quote"/>
        <w:rPr>
          <w:rFonts w:ascii="Calibri" w:hAnsi="Calibri" w:cs="Calibri"/>
          <w:sz w:val="22"/>
          <w:szCs w:val="22"/>
        </w:rPr>
      </w:pPr>
      <w:r w:rsidRPr="00957229">
        <w:rPr>
          <w:rFonts w:ascii="Calibri" w:hAnsi="Calibri" w:cs="Calibri"/>
          <w:b/>
          <w:bCs/>
          <w:sz w:val="22"/>
          <w:szCs w:val="22"/>
        </w:rPr>
        <w:t>Ninguna de estas resoluciones supera el canon constitucional del acceso a la jurisdicción</w:t>
      </w:r>
      <w:r w:rsidRPr="00957229">
        <w:rPr>
          <w:rFonts w:ascii="Calibri" w:hAnsi="Calibri" w:cs="Calibri"/>
          <w:sz w:val="22"/>
          <w:szCs w:val="22"/>
        </w:rPr>
        <w:t>, pues fundamentan la causa de terminación anticipada del procedimiento, por satisfacción extraprocesal del interés legítimo impetrado, prevista en el art. 22.1 LEC, en una errónea y parcial intelección del contenido y alcance de los fundamentos y pedimentos deducidos en la demanda de oposición. Los órganos judiciales verificaron de este modo una interpretación de la norma procesal que no se correspondía con su tenor literal, ni era adecuada y proporcionada a su fin legítimo: evitar procesos vacuos.</w:t>
      </w:r>
    </w:p>
    <w:p w14:paraId="0DE02F68" w14:textId="1294FA0B" w:rsidR="007D4A1C" w:rsidRPr="00957229" w:rsidRDefault="007D4A1C" w:rsidP="00D42F06">
      <w:pPr>
        <w:pStyle w:val="Quote"/>
        <w:rPr>
          <w:rFonts w:ascii="Calibri" w:hAnsi="Calibri" w:cs="Calibri"/>
          <w:sz w:val="22"/>
          <w:szCs w:val="22"/>
        </w:rPr>
      </w:pPr>
      <w:r w:rsidRPr="00957229">
        <w:rPr>
          <w:rFonts w:ascii="Calibri" w:hAnsi="Calibri" w:cs="Calibri"/>
          <w:sz w:val="22"/>
          <w:szCs w:val="22"/>
        </w:rPr>
        <w:t xml:space="preserve">De ello se sigue una </w:t>
      </w:r>
      <w:r w:rsidRPr="00957229">
        <w:rPr>
          <w:rFonts w:ascii="Calibri" w:hAnsi="Calibri" w:cs="Calibri"/>
          <w:b/>
          <w:bCs/>
          <w:sz w:val="22"/>
          <w:szCs w:val="22"/>
        </w:rPr>
        <w:t>consecuencia ulterior y más grave</w:t>
      </w:r>
      <w:r w:rsidRPr="00957229">
        <w:rPr>
          <w:rFonts w:ascii="Calibri" w:hAnsi="Calibri" w:cs="Calibri"/>
          <w:sz w:val="22"/>
          <w:szCs w:val="22"/>
        </w:rPr>
        <w:t xml:space="preserve">, al afectar a principios constitucionales de orden material, pues </w:t>
      </w:r>
      <w:r w:rsidRPr="00957229">
        <w:rPr>
          <w:rFonts w:ascii="Calibri" w:hAnsi="Calibri" w:cs="Calibri"/>
          <w:b/>
          <w:bCs/>
          <w:sz w:val="22"/>
          <w:szCs w:val="22"/>
        </w:rPr>
        <w:t>al quedar abortado el procedimiento especial del art. 780 LEC desde su mismo inicio y prácticamente en su totalidad,</w:t>
      </w:r>
      <w:r w:rsidRPr="00957229">
        <w:rPr>
          <w:rFonts w:ascii="Calibri" w:hAnsi="Calibri" w:cs="Calibri"/>
          <w:sz w:val="22"/>
          <w:szCs w:val="22"/>
        </w:rPr>
        <w:t xml:space="preserve"> sin debate contradictorio y sin prueba, se frustró su función constitucional de garantía de la primacía del interés superior del menor (art. 39.4 CE) y de preservación de su identidad, que era el interés subyacente a la impugnación de la edad declarada en el decreto del fiscal. Estas exigencias constitucionales operan en sentido inverso al seguido en los autos judiciales impugnados, al demandar una interpretación restrictiva de aquellas previsiones de la legalidad ordinaria que puedan obstaculizar la plena sustanciación del mismo.”</w:t>
      </w:r>
    </w:p>
    <w:p w14:paraId="2B91018F" w14:textId="77777777" w:rsidR="00D42F06" w:rsidRPr="00957229" w:rsidRDefault="00D42F06" w:rsidP="00D42F06">
      <w:pPr>
        <w:rPr>
          <w:rFonts w:ascii="Calibri" w:hAnsi="Calibri" w:cs="Calibri"/>
          <w:sz w:val="22"/>
          <w:lang w:val="es-ES_tradnl" w:eastAsia="es-ES"/>
        </w:rPr>
      </w:pPr>
    </w:p>
    <w:p w14:paraId="7FFDAA74" w14:textId="77AF6533" w:rsidR="00CC22E5" w:rsidRPr="00957229" w:rsidRDefault="00CC22E5" w:rsidP="00986080">
      <w:pPr>
        <w:pStyle w:val="Heading4"/>
        <w:rPr>
          <w:rFonts w:ascii="Calibri" w:hAnsi="Calibri" w:cs="Calibri"/>
          <w:sz w:val="22"/>
        </w:rPr>
      </w:pPr>
      <w:r w:rsidRPr="00957229">
        <w:rPr>
          <w:rFonts w:ascii="Calibri" w:hAnsi="Calibri" w:cs="Calibri"/>
          <w:sz w:val="22"/>
        </w:rPr>
        <w:lastRenderedPageBreak/>
        <w:t>Menores tutelados por la Administración con trastorno de conducta</w:t>
      </w:r>
    </w:p>
    <w:p w14:paraId="41812F95" w14:textId="77777777" w:rsidR="00CC22E5" w:rsidRPr="00957229" w:rsidRDefault="00CC22E5" w:rsidP="00CC22E5">
      <w:pPr>
        <w:rPr>
          <w:rFonts w:ascii="Calibri" w:hAnsi="Calibri" w:cs="Calibri"/>
          <w:sz w:val="22"/>
        </w:rPr>
      </w:pPr>
      <w:r w:rsidRPr="00957229">
        <w:rPr>
          <w:rFonts w:ascii="Calibri" w:hAnsi="Calibri" w:cs="Calibri"/>
          <w:sz w:val="22"/>
        </w:rPr>
        <w:t>El número de menores tutelados por la administración con trastornos de conducta está aumentando, mientras que las soluciones legales y de asistencia disponibles son insuficientes. Los centros especializados para estos trastornos están regulados en el Capítulo IV de la Ley Orgánica 1/1996, de Protección Jurídica del Menor.</w:t>
      </w:r>
    </w:p>
    <w:p w14:paraId="140B4252" w14:textId="77777777" w:rsidR="00CC22E5" w:rsidRPr="00957229" w:rsidRDefault="00CC22E5" w:rsidP="00CC22E5">
      <w:pPr>
        <w:rPr>
          <w:rFonts w:ascii="Calibri" w:hAnsi="Calibri" w:cs="Calibri"/>
          <w:sz w:val="22"/>
        </w:rPr>
      </w:pPr>
      <w:r w:rsidRPr="00957229">
        <w:rPr>
          <w:rFonts w:ascii="Calibri" w:hAnsi="Calibri" w:cs="Calibri"/>
          <w:sz w:val="22"/>
        </w:rPr>
        <w:t>En estos centros, se aplican medidas de seguridad y restricción de derechos fundamentales según el artículo 25.1 de la Ley. El ingreso en estos centros está regulado por el artículo 26 de la Ley Orgánica 1/1996 y el artículo 778 bis de la Ley 1/2000 de Enjuiciamiento Civil. El procedimiento judicial de ingreso, especialmente en casos urgentes, es tramitado por el Juzgado de guardia territorialmente competente, sin garantizar la especialización necesaria y sin intervención de un abogado para la defensa y representación del menor, lo que puede afectar sus derechos.</w:t>
      </w:r>
    </w:p>
    <w:p w14:paraId="0EFBF971" w14:textId="77777777" w:rsidR="00CC22E5" w:rsidRPr="00957229" w:rsidRDefault="00CC22E5" w:rsidP="00CC22E5">
      <w:pPr>
        <w:rPr>
          <w:rFonts w:ascii="Calibri" w:hAnsi="Calibri" w:cs="Calibri"/>
          <w:sz w:val="22"/>
        </w:rPr>
      </w:pPr>
      <w:r w:rsidRPr="00957229">
        <w:rPr>
          <w:rFonts w:ascii="Calibri" w:hAnsi="Calibri" w:cs="Calibri"/>
          <w:sz w:val="22"/>
        </w:rPr>
        <w:t>La Ley en los artículos 27 y siguientes regula y autoriza el uso de medidas de seguridad sobre estos menores, el uso de medidas de contención (sujeción), aislamiento, registros personales y materiales y un régimen disciplinario. En el régimen disciplinario es donde únicamente se contempla la asistencia legal de un abogado sorprendentemente, cuando debería el menor ser asistido de abogado desde el inicio del procedimiento para que pueda velar por esas restricciones de libertad y por un procedimiento judicial justo y amigable con la infancia. Cuando se restringe al menor su régimen de visitas o comunicaciones también se prevé la asistencia legal al menor para recurrir las decisiones (artículo 34 y 35 de la Ley).</w:t>
      </w:r>
    </w:p>
    <w:p w14:paraId="739D199F" w14:textId="77777777" w:rsidR="00CC22E5" w:rsidRPr="00957229" w:rsidRDefault="00CC22E5" w:rsidP="00CC22E5">
      <w:pPr>
        <w:rPr>
          <w:rFonts w:ascii="Calibri" w:hAnsi="Calibri" w:cs="Calibri"/>
          <w:sz w:val="22"/>
        </w:rPr>
      </w:pPr>
      <w:r w:rsidRPr="00957229">
        <w:rPr>
          <w:rFonts w:ascii="Calibri" w:hAnsi="Calibri" w:cs="Calibri"/>
          <w:sz w:val="22"/>
        </w:rPr>
        <w:t>La falta de asistencia legal al menor desde el inicio del procedimiento de ingreso en un centro de trastorno de conducta constituye una violación de los derechos reconocidos a nivel internacional y en la legislación española, socavando la protección integral que debe brindarse a los menores en situaciones vulnerables.</w:t>
      </w:r>
    </w:p>
    <w:p w14:paraId="6CECE417" w14:textId="77777777" w:rsidR="00CC22E5" w:rsidRPr="00957229" w:rsidRDefault="00CC22E5" w:rsidP="00CC22E5">
      <w:pPr>
        <w:rPr>
          <w:rFonts w:ascii="Calibri" w:hAnsi="Calibri" w:cs="Calibri"/>
          <w:sz w:val="22"/>
        </w:rPr>
      </w:pPr>
      <w:r w:rsidRPr="00957229">
        <w:rPr>
          <w:rFonts w:ascii="Calibri" w:hAnsi="Calibri" w:cs="Calibri"/>
          <w:sz w:val="22"/>
        </w:rPr>
        <w:t>A nivel internacional, la Convención sobre los Derechos del Niño, ratificada por España en 1990, establece en su artículo 12 el derecho del niño a ser escuchado en cualquier procedimiento judicial o administrativo que le afecte, lo que implica acceso a la asistencia legal desde el inicio del proceso. Además, el artículo 40 garantiza el derecho del niño a contar con asistencia jurídica en los procedimientos judiciales, incluyendo el ingreso en un centro de trastorno de conducta.</w:t>
      </w:r>
    </w:p>
    <w:p w14:paraId="4A94184D" w14:textId="56F745F5" w:rsidR="00275945" w:rsidRPr="00957229" w:rsidRDefault="00CC22E5" w:rsidP="00CC22E5">
      <w:pPr>
        <w:rPr>
          <w:rFonts w:ascii="Calibri" w:hAnsi="Calibri" w:cs="Calibri"/>
          <w:sz w:val="22"/>
        </w:rPr>
      </w:pPr>
      <w:r w:rsidRPr="00957229">
        <w:rPr>
          <w:rFonts w:ascii="Calibri" w:hAnsi="Calibri" w:cs="Calibri"/>
          <w:sz w:val="22"/>
        </w:rPr>
        <w:t>La Convención Internacional sobre los Derechos de las Personas con Discapacidad, adoptada en 2006, reconoce los derechos de las personas con discapacidad, incluidos los niños con trastornos mentales o de conducta, y establece que los Estados deben garantizar su acceso a la justicia en igualdad de condiciones con los demás.</w:t>
      </w:r>
    </w:p>
    <w:p w14:paraId="4AF11355" w14:textId="77777777" w:rsidR="00CC22E5" w:rsidRPr="00957229" w:rsidRDefault="00CC22E5" w:rsidP="002A1F78">
      <w:pPr>
        <w:rPr>
          <w:rFonts w:ascii="Calibri" w:hAnsi="Calibri" w:cs="Calibri"/>
          <w:sz w:val="22"/>
        </w:rPr>
      </w:pPr>
    </w:p>
    <w:p w14:paraId="60790C8C" w14:textId="0195912D" w:rsidR="00275945" w:rsidRPr="00957229" w:rsidRDefault="00B207FB" w:rsidP="00986080">
      <w:pPr>
        <w:pStyle w:val="Heading4"/>
        <w:rPr>
          <w:rFonts w:ascii="Calibri" w:hAnsi="Calibri" w:cs="Calibri"/>
          <w:sz w:val="22"/>
        </w:rPr>
      </w:pPr>
      <w:r w:rsidRPr="00957229">
        <w:rPr>
          <w:rFonts w:ascii="Calibri" w:hAnsi="Calibri" w:cs="Calibri"/>
          <w:sz w:val="22"/>
        </w:rPr>
        <w:t>Conclusiones a la cuestión previa E) sobre niños privados de un entorno familiar.</w:t>
      </w:r>
    </w:p>
    <w:p w14:paraId="07ACCAEE" w14:textId="556F65DF" w:rsidR="000D14C3" w:rsidRPr="00957229" w:rsidRDefault="000D14C3" w:rsidP="00883891">
      <w:pPr>
        <w:pStyle w:val="ListParagraph"/>
        <w:numPr>
          <w:ilvl w:val="0"/>
          <w:numId w:val="7"/>
        </w:numPr>
        <w:rPr>
          <w:rFonts w:ascii="Calibri" w:hAnsi="Calibri" w:cs="Calibri"/>
          <w:sz w:val="22"/>
          <w:szCs w:val="22"/>
        </w:rPr>
      </w:pPr>
      <w:r w:rsidRPr="00957229">
        <w:rPr>
          <w:rFonts w:ascii="Calibri" w:hAnsi="Calibri" w:cs="Calibri"/>
          <w:sz w:val="22"/>
          <w:szCs w:val="22"/>
        </w:rPr>
        <w:t>El actual sistema de protección presenta serias contradicciones con los derechos fundamentales (y constitucionales del Estado Español).</w:t>
      </w:r>
    </w:p>
    <w:p w14:paraId="65FF8B80" w14:textId="19A5C615" w:rsidR="00275945" w:rsidRPr="00957229" w:rsidRDefault="00275945" w:rsidP="00883891">
      <w:pPr>
        <w:pStyle w:val="ListParagraph"/>
        <w:numPr>
          <w:ilvl w:val="0"/>
          <w:numId w:val="7"/>
        </w:numPr>
        <w:rPr>
          <w:rFonts w:ascii="Calibri" w:hAnsi="Calibri" w:cs="Calibri"/>
          <w:sz w:val="22"/>
          <w:szCs w:val="22"/>
        </w:rPr>
      </w:pPr>
      <w:r w:rsidRPr="00957229">
        <w:rPr>
          <w:rFonts w:ascii="Calibri" w:hAnsi="Calibri" w:cs="Calibri"/>
          <w:sz w:val="22"/>
          <w:szCs w:val="22"/>
        </w:rPr>
        <w:t>Siguiendo la recomendación de Naciones Unidas, la declaración de desamparo de un NNA debe ser judicial, bien a través de los Juzgados actuales de menores bien a través de la creación de los juzgados de infancia, familia y capacidad. Las garantías procesales deben llegar a los niños.</w:t>
      </w:r>
    </w:p>
    <w:p w14:paraId="5978060F" w14:textId="6EEB95B7" w:rsidR="00275945" w:rsidRPr="00957229" w:rsidRDefault="00275945" w:rsidP="00883891">
      <w:pPr>
        <w:pStyle w:val="ListParagraph"/>
        <w:numPr>
          <w:ilvl w:val="0"/>
          <w:numId w:val="7"/>
        </w:numPr>
        <w:rPr>
          <w:rFonts w:ascii="Calibri" w:hAnsi="Calibri" w:cs="Calibri"/>
          <w:sz w:val="22"/>
          <w:szCs w:val="22"/>
        </w:rPr>
      </w:pPr>
      <w:r w:rsidRPr="00957229">
        <w:rPr>
          <w:rFonts w:ascii="Calibri" w:hAnsi="Calibri" w:cs="Calibri"/>
          <w:sz w:val="22"/>
          <w:szCs w:val="22"/>
        </w:rPr>
        <w:lastRenderedPageBreak/>
        <w:t>La administración de protección deberá presentar propuesta ante el Juzgado y éste señalará Vista (igual que el procedimiento de capacidad, puede ser un juicio verbal) y si se declara el desamparo, la ejecución quedará en manos de la administración siempre pudiendo acudir a la ejecución civil.</w:t>
      </w:r>
    </w:p>
    <w:p w14:paraId="72487B9B" w14:textId="5C08C58F" w:rsidR="00275945" w:rsidRPr="00957229" w:rsidRDefault="00275945" w:rsidP="00883891">
      <w:pPr>
        <w:pStyle w:val="ListParagraph"/>
        <w:numPr>
          <w:ilvl w:val="0"/>
          <w:numId w:val="7"/>
        </w:numPr>
        <w:rPr>
          <w:rFonts w:ascii="Calibri" w:hAnsi="Calibri" w:cs="Calibri"/>
          <w:sz w:val="22"/>
          <w:szCs w:val="22"/>
        </w:rPr>
      </w:pPr>
      <w:r w:rsidRPr="00957229">
        <w:rPr>
          <w:rFonts w:ascii="Calibri" w:hAnsi="Calibri" w:cs="Calibri"/>
          <w:sz w:val="22"/>
          <w:szCs w:val="22"/>
        </w:rPr>
        <w:t>Los NNA y las familias con las que se inicia un proceso administrativo de riesgo o desamparo, deben tener acceso a un abogado designado por el Turno de Oficio, debidamente especializado con formación inicial y continuada para ello.</w:t>
      </w:r>
    </w:p>
    <w:p w14:paraId="70EA6560" w14:textId="0D35D07A" w:rsidR="00275945" w:rsidRPr="00957229" w:rsidRDefault="00275945" w:rsidP="00883891">
      <w:pPr>
        <w:pStyle w:val="ListParagraph"/>
        <w:numPr>
          <w:ilvl w:val="0"/>
          <w:numId w:val="7"/>
        </w:numPr>
        <w:rPr>
          <w:rFonts w:ascii="Calibri" w:hAnsi="Calibri" w:cs="Calibri"/>
          <w:sz w:val="22"/>
          <w:szCs w:val="22"/>
        </w:rPr>
      </w:pPr>
      <w:r w:rsidRPr="00957229">
        <w:rPr>
          <w:rFonts w:ascii="Calibri" w:hAnsi="Calibri" w:cs="Calibri"/>
          <w:sz w:val="22"/>
          <w:szCs w:val="22"/>
        </w:rPr>
        <w:t>Si la declaración de desamparo fuera judicial, tanto la familia como el menor tendrían designado un abogado para la comparecencia.</w:t>
      </w:r>
    </w:p>
    <w:p w14:paraId="328AC9CD" w14:textId="4A08B17B" w:rsidR="00275945" w:rsidRPr="00957229" w:rsidRDefault="00275945" w:rsidP="00883891">
      <w:pPr>
        <w:pStyle w:val="ListParagraph"/>
        <w:numPr>
          <w:ilvl w:val="0"/>
          <w:numId w:val="7"/>
        </w:numPr>
        <w:rPr>
          <w:rFonts w:ascii="Calibri" w:hAnsi="Calibri" w:cs="Calibri"/>
          <w:sz w:val="22"/>
          <w:szCs w:val="22"/>
        </w:rPr>
      </w:pPr>
      <w:r w:rsidRPr="00957229">
        <w:rPr>
          <w:rFonts w:ascii="Calibri" w:hAnsi="Calibri" w:cs="Calibri"/>
          <w:sz w:val="22"/>
          <w:szCs w:val="22"/>
        </w:rPr>
        <w:t xml:space="preserve">Si no ha existido designa previa, durante el ingreso de un NNA en un centro, el NNA tiene derecho a un abogado designado exclusivamente para él, obligando a la </w:t>
      </w:r>
      <w:r w:rsidR="000D14C3" w:rsidRPr="00957229">
        <w:rPr>
          <w:rFonts w:ascii="Calibri" w:hAnsi="Calibri" w:cs="Calibri"/>
          <w:sz w:val="22"/>
          <w:szCs w:val="22"/>
        </w:rPr>
        <w:t>A</w:t>
      </w:r>
      <w:r w:rsidRPr="00957229">
        <w:rPr>
          <w:rFonts w:ascii="Calibri" w:hAnsi="Calibri" w:cs="Calibri"/>
          <w:sz w:val="22"/>
          <w:szCs w:val="22"/>
        </w:rPr>
        <w:t>dministración a que facilite la relación abogado-cliente en la intimidad. La administración durante el ingreso puede cambiar al menor de residencia, ampliar o restringir las visitas, sus actividades extraescolares y en definitiva actuar sobre la vida del menor y precisamente por ello, el NNA debe tener acceso a un abogado que le ayude a solventar los conflictos que pueda tener con el ente tutelar.</w:t>
      </w:r>
    </w:p>
    <w:p w14:paraId="099509F8" w14:textId="77777777" w:rsidR="000D14C3" w:rsidRPr="00957229" w:rsidRDefault="00275945" w:rsidP="00883891">
      <w:pPr>
        <w:pStyle w:val="ListParagraph"/>
        <w:numPr>
          <w:ilvl w:val="0"/>
          <w:numId w:val="7"/>
        </w:numPr>
        <w:rPr>
          <w:rFonts w:ascii="Calibri" w:hAnsi="Calibri" w:cs="Calibri"/>
          <w:sz w:val="22"/>
          <w:szCs w:val="22"/>
        </w:rPr>
      </w:pPr>
      <w:r w:rsidRPr="00957229">
        <w:rPr>
          <w:rFonts w:ascii="Calibri" w:hAnsi="Calibri" w:cs="Calibri"/>
          <w:sz w:val="22"/>
          <w:szCs w:val="22"/>
        </w:rPr>
        <w:t xml:space="preserve">Es urgente y necesario, como mínimo, modificar el actual </w:t>
      </w:r>
      <w:r w:rsidR="000D14C3" w:rsidRPr="00957229">
        <w:rPr>
          <w:rFonts w:ascii="Calibri" w:hAnsi="Calibri" w:cs="Calibri"/>
          <w:sz w:val="22"/>
          <w:szCs w:val="22"/>
        </w:rPr>
        <w:t>artículo</w:t>
      </w:r>
      <w:r w:rsidRPr="00957229">
        <w:rPr>
          <w:rFonts w:ascii="Calibri" w:hAnsi="Calibri" w:cs="Calibri"/>
          <w:sz w:val="22"/>
          <w:szCs w:val="22"/>
        </w:rPr>
        <w:t xml:space="preserve"> 780.5 de la LEC en concordancia con el artículo 200 del CC </w:t>
      </w:r>
      <w:r w:rsidR="00173425" w:rsidRPr="00957229">
        <w:rPr>
          <w:rFonts w:ascii="Calibri" w:hAnsi="Calibri" w:cs="Calibri"/>
          <w:sz w:val="22"/>
          <w:szCs w:val="22"/>
        </w:rPr>
        <w:t>con el fin de que los progenitores puedan instar medidas urgentes ante la jurisdicción</w:t>
      </w:r>
      <w:r w:rsidR="000D14C3" w:rsidRPr="00957229">
        <w:rPr>
          <w:rFonts w:ascii="Calibri" w:hAnsi="Calibri" w:cs="Calibri"/>
          <w:sz w:val="22"/>
          <w:szCs w:val="22"/>
        </w:rPr>
        <w:t>.</w:t>
      </w:r>
    </w:p>
    <w:p w14:paraId="5BA3BE92" w14:textId="3621E26C" w:rsidR="00275945" w:rsidRPr="00957229" w:rsidRDefault="000D14C3" w:rsidP="00883891">
      <w:pPr>
        <w:pStyle w:val="ListParagraph"/>
        <w:numPr>
          <w:ilvl w:val="0"/>
          <w:numId w:val="7"/>
        </w:numPr>
        <w:rPr>
          <w:rFonts w:ascii="Calibri" w:hAnsi="Calibri" w:cs="Calibri"/>
          <w:sz w:val="22"/>
          <w:szCs w:val="22"/>
        </w:rPr>
      </w:pPr>
      <w:r w:rsidRPr="00957229">
        <w:rPr>
          <w:rFonts w:ascii="Calibri" w:hAnsi="Calibri" w:cs="Calibri"/>
          <w:sz w:val="22"/>
          <w:szCs w:val="22"/>
        </w:rPr>
        <w:t xml:space="preserve">Es urgente y necesaria la </w:t>
      </w:r>
      <w:r w:rsidR="00173425" w:rsidRPr="00957229">
        <w:rPr>
          <w:rFonts w:ascii="Calibri" w:hAnsi="Calibri" w:cs="Calibri"/>
          <w:sz w:val="22"/>
          <w:szCs w:val="22"/>
        </w:rPr>
        <w:t>eliminación de la prohibición de ejecución provisional contenida en el artículo 525 de la LEC para los supuestos de oposición a las medidas de protección (resulta incomprensible que una decisión judicial de revocación de un desamparo no pueda ejecutarse hasta que sea firme, lo que puede conllevar varios años afectando plenamente a la vida del menor). Este artículo es una consecuencia de la falta de credibilidad que se otorga a los jueces en esta materia, si sus sentencias no pueden ser ejecutadas provisionalmente.</w:t>
      </w:r>
    </w:p>
    <w:p w14:paraId="4888C43A" w14:textId="77777777" w:rsidR="004260B2" w:rsidRPr="00957229" w:rsidRDefault="004260B2" w:rsidP="004260B2">
      <w:pPr>
        <w:rPr>
          <w:rFonts w:ascii="Calibri" w:hAnsi="Calibri" w:cs="Calibri"/>
          <w:sz w:val="22"/>
        </w:rPr>
      </w:pPr>
    </w:p>
    <w:p w14:paraId="35B31F26" w14:textId="7C5F9B17" w:rsidR="00E746B2" w:rsidRPr="00957229" w:rsidRDefault="00086D06" w:rsidP="001068AD">
      <w:pPr>
        <w:pStyle w:val="Heading2"/>
        <w:rPr>
          <w:rFonts w:ascii="Calibri" w:hAnsi="Calibri" w:cs="Calibri"/>
          <w:sz w:val="22"/>
        </w:rPr>
      </w:pPr>
      <w:r w:rsidRPr="00957229">
        <w:rPr>
          <w:rFonts w:ascii="Calibri" w:hAnsi="Calibri" w:cs="Calibri"/>
          <w:sz w:val="22"/>
        </w:rPr>
        <w:t>RELATIVO A LA CUESTIÓN F) NIÑOS CON DISCAPACIDAD.</w:t>
      </w:r>
    </w:p>
    <w:p w14:paraId="3AAB5A5F" w14:textId="77777777" w:rsidR="00E746B2" w:rsidRPr="00957229" w:rsidRDefault="00E746B2" w:rsidP="00E746B2">
      <w:pPr>
        <w:rPr>
          <w:rFonts w:ascii="Calibri" w:hAnsi="Calibri" w:cs="Calibri"/>
          <w:sz w:val="22"/>
        </w:rPr>
      </w:pPr>
      <w:r w:rsidRPr="00957229">
        <w:rPr>
          <w:rFonts w:ascii="Calibri" w:hAnsi="Calibri" w:cs="Calibri"/>
          <w:sz w:val="22"/>
        </w:rPr>
        <w:t>En el apartado del menor y la discapacidad, he de reseñar con carácter previo que obviamente tratar este aspecto es trasversal con otro dato y otras cuestiones que se van a plantear en el presente informe, y de este modo la protección a la infancia, el derecho al acceso de la justicia de los niños y niñas, la justicia amigable, los medios con los que se cuenta para una efectiva administración de justicia, la necesidad de formación  especializada de Letrados/as en la defensa de los menores, la creación de Juzgados específicos en materia civil que aborden materias como protección e incapacidad, separados de los Juzgados de familia, la potenciación de la figura del defensor judicial, son aspectos que deben de ser tratados, por cuanto es necesaria una mejora inmediata.</w:t>
      </w:r>
    </w:p>
    <w:p w14:paraId="5AB6C74D" w14:textId="0423C2A6" w:rsidR="00E746B2" w:rsidRPr="00957229" w:rsidRDefault="00E746B2" w:rsidP="00E746B2">
      <w:pPr>
        <w:rPr>
          <w:rFonts w:ascii="Calibri" w:hAnsi="Calibri" w:cs="Calibri"/>
          <w:sz w:val="22"/>
        </w:rPr>
      </w:pPr>
      <w:r w:rsidRPr="00957229">
        <w:rPr>
          <w:rFonts w:ascii="Calibri" w:hAnsi="Calibri" w:cs="Calibri"/>
          <w:sz w:val="22"/>
        </w:rPr>
        <w:t xml:space="preserve">Señalar desde ya que la Justicia española tiene un mal endémico y ese mal  es el retraso y la tardanza en dar una solución eficaz y efectiva al ciudadano en un plazo razonable, lo cual en materia de menores es </w:t>
      </w:r>
      <w:r w:rsidR="00442EDF" w:rsidRPr="00957229">
        <w:rPr>
          <w:rFonts w:ascii="Calibri" w:hAnsi="Calibri" w:cs="Calibri"/>
          <w:sz w:val="22"/>
        </w:rPr>
        <w:t>más</w:t>
      </w:r>
      <w:r w:rsidRPr="00957229">
        <w:rPr>
          <w:rFonts w:ascii="Calibri" w:hAnsi="Calibri" w:cs="Calibri"/>
          <w:sz w:val="22"/>
        </w:rPr>
        <w:t xml:space="preserve"> que necesario, la falta de medios de Juzgados y Tribunales, la falta de especialistas, las plantillas escasas de jueces, fiscales, Letrados de la Administración de Justicia, o funcionarios, la no implementación de medios telemáticos uniformes entre todas las comunidades autónomas, estado y fiscalía, hacen que si la Justicia española sufría un retraso considerable, actualmente y tras la pandemia del COVID 19 se ha acentuado ese retraso. </w:t>
      </w:r>
    </w:p>
    <w:p w14:paraId="3108B82E" w14:textId="75657A28" w:rsidR="00E746B2" w:rsidRPr="00957229" w:rsidRDefault="00E746B2" w:rsidP="00E746B2">
      <w:pPr>
        <w:rPr>
          <w:rFonts w:ascii="Calibri" w:hAnsi="Calibri" w:cs="Calibri"/>
          <w:sz w:val="22"/>
        </w:rPr>
      </w:pPr>
      <w:r w:rsidRPr="00957229">
        <w:rPr>
          <w:rFonts w:ascii="Calibri" w:hAnsi="Calibri" w:cs="Calibri"/>
          <w:sz w:val="22"/>
        </w:rPr>
        <w:t xml:space="preserve">Obviamente estas carencias afectan también a los Derechos de la Infancia, y a los Derechos de Acceso al proceso, si bien no podemos negar los avances efectuados en cuanto a la legislación </w:t>
      </w:r>
      <w:r w:rsidRPr="00957229">
        <w:rPr>
          <w:rFonts w:ascii="Calibri" w:hAnsi="Calibri" w:cs="Calibri"/>
          <w:sz w:val="22"/>
        </w:rPr>
        <w:lastRenderedPageBreak/>
        <w:t xml:space="preserve">nacional como autonómica en materia de derecho de los menores, lo que se ha realizado con las reformas de la Ley 1/1996 de </w:t>
      </w:r>
      <w:r w:rsidR="00086D06" w:rsidRPr="00957229">
        <w:rPr>
          <w:rFonts w:ascii="Calibri" w:hAnsi="Calibri" w:cs="Calibri"/>
          <w:sz w:val="22"/>
        </w:rPr>
        <w:t>Protección</w:t>
      </w:r>
      <w:r w:rsidRPr="00957229">
        <w:rPr>
          <w:rFonts w:ascii="Calibri" w:hAnsi="Calibri" w:cs="Calibri"/>
          <w:sz w:val="22"/>
        </w:rPr>
        <w:t xml:space="preserve"> Jurídica del Menor mediante las Leyes orgánica 8/2015 y ordinaria 26/2015, así como los grandes cambios introducidos por la Ley Orgánica 8/2021, y por la Ley 8/2021 de 2 de junio de reforma de legislación civil y procesal en materia de apoyos a las personas con discapacidad, y las distintas modificaciones llevadas a cabo en las legislaciones autonómicas para adaptar su normativa, no es menos cierto, que se puede afirmar que el problema del Estado Español no es la no existencia de leyes sino al contrario, la implementación de las mismas para que sean eficaces.</w:t>
      </w:r>
    </w:p>
    <w:p w14:paraId="368E8312" w14:textId="77777777" w:rsidR="00E746B2" w:rsidRPr="00957229" w:rsidRDefault="00E746B2" w:rsidP="00E746B2">
      <w:pPr>
        <w:rPr>
          <w:rFonts w:ascii="Calibri" w:hAnsi="Calibri" w:cs="Calibri"/>
          <w:sz w:val="22"/>
        </w:rPr>
      </w:pPr>
    </w:p>
    <w:p w14:paraId="14471286" w14:textId="7ECC2B72" w:rsidR="00E746B2" w:rsidRPr="00957229" w:rsidRDefault="00725889" w:rsidP="00883891">
      <w:pPr>
        <w:pStyle w:val="Heading4"/>
        <w:numPr>
          <w:ilvl w:val="0"/>
          <w:numId w:val="11"/>
        </w:numPr>
        <w:rPr>
          <w:rFonts w:ascii="Calibri" w:hAnsi="Calibri" w:cs="Calibri"/>
          <w:sz w:val="22"/>
        </w:rPr>
      </w:pPr>
      <w:r w:rsidRPr="00957229">
        <w:rPr>
          <w:rFonts w:ascii="Calibri" w:hAnsi="Calibri" w:cs="Calibri"/>
          <w:sz w:val="22"/>
        </w:rPr>
        <w:t>Interés</w:t>
      </w:r>
      <w:r w:rsidR="00086D06" w:rsidRPr="00957229">
        <w:rPr>
          <w:rFonts w:ascii="Calibri" w:hAnsi="Calibri" w:cs="Calibri"/>
          <w:sz w:val="22"/>
        </w:rPr>
        <w:t xml:space="preserve"> superior del menor</w:t>
      </w:r>
      <w:r w:rsidR="00E746B2" w:rsidRPr="00957229">
        <w:rPr>
          <w:rFonts w:ascii="Calibri" w:hAnsi="Calibri" w:cs="Calibri"/>
          <w:sz w:val="22"/>
        </w:rPr>
        <w:t xml:space="preserve"> </w:t>
      </w:r>
      <w:r w:rsidR="00086D06" w:rsidRPr="00957229">
        <w:rPr>
          <w:rFonts w:ascii="Calibri" w:hAnsi="Calibri" w:cs="Calibri"/>
          <w:sz w:val="22"/>
        </w:rPr>
        <w:t>y su aplicación real , derecho a ser oído y escuchado.</w:t>
      </w:r>
    </w:p>
    <w:p w14:paraId="2549DFA3" w14:textId="5BC85FE1" w:rsidR="00E746B2" w:rsidRPr="00957229" w:rsidRDefault="00E746B2" w:rsidP="00E746B2">
      <w:pPr>
        <w:rPr>
          <w:rFonts w:ascii="Calibri" w:hAnsi="Calibri" w:cs="Calibri"/>
          <w:sz w:val="22"/>
        </w:rPr>
      </w:pPr>
      <w:r w:rsidRPr="00957229">
        <w:rPr>
          <w:rFonts w:ascii="Calibri" w:hAnsi="Calibri" w:cs="Calibri"/>
          <w:sz w:val="22"/>
        </w:rPr>
        <w:t xml:space="preserve">La reforma legal producida por la Ley 8/2021 en materia de apoyos a personas con discapacidad, ha supuesto un cambio de paradigma importante en el concepto de tratar y abordar los problemas de discapacidad y ello ha afectado en gran medida a los </w:t>
      </w:r>
      <w:r w:rsidR="00A45164" w:rsidRPr="00957229">
        <w:rPr>
          <w:rFonts w:ascii="Calibri" w:hAnsi="Calibri" w:cs="Calibri"/>
          <w:sz w:val="22"/>
        </w:rPr>
        <w:t>niños con discapacidad</w:t>
      </w:r>
      <w:r w:rsidRPr="00957229">
        <w:rPr>
          <w:rFonts w:ascii="Calibri" w:hAnsi="Calibri" w:cs="Calibri"/>
          <w:sz w:val="22"/>
        </w:rPr>
        <w:t xml:space="preserve">, se ha abandonado la idea de la Incapacidad, de la muerte civil de la persona a la que se le inutilizaba y era el tutor designado el que tomaba todas las decisiones por ella, en palabras del gran Jurista Federico de Castro, la Convención de Nueva York en materia de discapacidad, que se traspone en la actual legislación española, supone un cambio de matiz, del discapacitado no es una persona que no puede tomar decisiones, el discapacitado es un sujeto de derecho al que se debe de apoyar en la toma de decisiones que no pueda tomar por </w:t>
      </w:r>
      <w:r w:rsidR="00442EDF" w:rsidRPr="00957229">
        <w:rPr>
          <w:rFonts w:ascii="Calibri" w:hAnsi="Calibri" w:cs="Calibri"/>
          <w:sz w:val="22"/>
        </w:rPr>
        <w:t>s</w:t>
      </w:r>
      <w:r w:rsidR="00442EDF">
        <w:rPr>
          <w:rFonts w:ascii="Calibri" w:hAnsi="Calibri" w:cs="Calibri"/>
          <w:sz w:val="22"/>
        </w:rPr>
        <w:t>i</w:t>
      </w:r>
      <w:r w:rsidRPr="00957229">
        <w:rPr>
          <w:rFonts w:ascii="Calibri" w:hAnsi="Calibri" w:cs="Calibri"/>
          <w:sz w:val="22"/>
        </w:rPr>
        <w:t xml:space="preserve"> mismo por motivo de la discapacidad física o mental de la que este afecto. </w:t>
      </w:r>
    </w:p>
    <w:p w14:paraId="1E1536E0" w14:textId="45AFD06D" w:rsidR="00E746B2" w:rsidRPr="00957229" w:rsidRDefault="00E746B2" w:rsidP="00E746B2">
      <w:pPr>
        <w:rPr>
          <w:rFonts w:ascii="Calibri" w:hAnsi="Calibri" w:cs="Calibri"/>
          <w:sz w:val="22"/>
        </w:rPr>
      </w:pPr>
      <w:r w:rsidRPr="00957229">
        <w:rPr>
          <w:rFonts w:ascii="Calibri" w:hAnsi="Calibri" w:cs="Calibri"/>
          <w:sz w:val="22"/>
        </w:rPr>
        <w:t xml:space="preserve">En este sentido, se han reformado las figuras legales, no existiendo ya el Tutor sino implementándose figuras como el curador asistencial o representativo, o el guardador de hecho, dando lugar a una doctrina del Tribunal Supremo que, si en principio era favorable </w:t>
      </w:r>
      <w:r w:rsidR="00442EDF" w:rsidRPr="00957229">
        <w:rPr>
          <w:rFonts w:ascii="Calibri" w:hAnsi="Calibri" w:cs="Calibri"/>
          <w:sz w:val="22"/>
        </w:rPr>
        <w:t>más</w:t>
      </w:r>
      <w:r w:rsidRPr="00957229">
        <w:rPr>
          <w:rFonts w:ascii="Calibri" w:hAnsi="Calibri" w:cs="Calibri"/>
          <w:sz w:val="22"/>
        </w:rPr>
        <w:t xml:space="preserve"> al guardador de hecho, entendiendo al caso concreto también es proclive en función de las necesidades de</w:t>
      </w:r>
      <w:r w:rsidR="00A45164" w:rsidRPr="00957229">
        <w:rPr>
          <w:rFonts w:ascii="Calibri" w:hAnsi="Calibri" w:cs="Calibri"/>
          <w:sz w:val="22"/>
        </w:rPr>
        <w:t xml:space="preserve"> las personas con discapacidad</w:t>
      </w:r>
      <w:r w:rsidRPr="00957229">
        <w:rPr>
          <w:rFonts w:ascii="Calibri" w:hAnsi="Calibri" w:cs="Calibri"/>
          <w:sz w:val="22"/>
        </w:rPr>
        <w:t xml:space="preserve"> al nombramiento del curador tanto asistencial como representativo. En este sentido citamos la STS de 20 de octubre de 2023, igualmente debemos de recordar la Sentencia nº 66/2023, de 23 de enero, La Sala aplica la disp. trans. 6.ª de la Ley 8/2021 ("procesos en tramitación"), así como la jurisprudencia establecida por la STS del Pleno 589/2021, de 8 de septiembre. Esta </w:t>
      </w:r>
      <w:r w:rsidR="00A45164" w:rsidRPr="00957229">
        <w:rPr>
          <w:rFonts w:ascii="Calibri" w:hAnsi="Calibri" w:cs="Calibri"/>
          <w:sz w:val="22"/>
        </w:rPr>
        <w:t>última</w:t>
      </w:r>
      <w:r w:rsidRPr="00957229">
        <w:rPr>
          <w:rFonts w:ascii="Calibri" w:hAnsi="Calibri" w:cs="Calibri"/>
          <w:sz w:val="22"/>
        </w:rPr>
        <w:t xml:space="preserve"> aplica por primera vez en un recurso de casación el régimen de provisión de apoyos judiciales introducido por la Ley 8/2021 y lleva a cabo una interpretación de la nueva normativa (FJ 4). En palabras de la sentencia 589/2021: "1. De la propia regulación legal, contenida en los arts. 249 y ss. CC, así como del reseñado art. 12 de la Convención, se extraen los elementos caracterizadores del nuevo régimen legal de provisión de apoyos: i) es aplicable a personas mayores de edad o menores emancipadas que precisen una medida de apoyo para el adecuado ejercicio de su capacidad jurídica; ii) la finalidad de estas medidas de apoyo es "permitir el desarrollo pleno de su personalidad y su desenvolvimiento jurídico en condiciones de igualdad" y han de estar "inspiradas en el respeto a la dignidad de la persona y en la tutela de sus derechos fundamentales"; iii) las medidas judiciales de apoyo tienen un carácter subsidiario respecto de las medidas voluntarias de apoyo, por lo que sólo se acordaran en defecto o insuficiencia de estas últimas; iv) no se precisa ningún previo pronunciamiento sobre la capacidad de la persona; y v) la provisión judicial de apoyos debe ajustarse a los principios de necesidad y proporcionalidad, ha de respetar la máxima autonomía de la persona con discapacidad en el ejercicio de su capacidad jurídica y debe atenderse en todo caso a su voluntad, deseos y preferencias".  A la hora de llevar a cabo esta labor de juzgar sobre la procedencia de las medidas y su contenido, el juez necesariamente ha de tener en cuenta las directrices legales previstas en el art. 268 CC : las medidas tomadas por </w:t>
      </w:r>
      <w:r w:rsidRPr="00957229">
        <w:rPr>
          <w:rFonts w:ascii="Calibri" w:hAnsi="Calibri" w:cs="Calibri"/>
          <w:sz w:val="22"/>
        </w:rPr>
        <w:lastRenderedPageBreak/>
        <w:t>el juez en el procedimiento de provisión de apoyos deben responder a las necesidades de la persona que las precise y ser proporcionadas a esta necesidad, han de respetar "la máxima autonomía de esta en el ejercicio de su capacidad jurídica" y atender "en todo caso a su voluntad, deseos y preferencias". La misma sentencia 589/2021, de 8 de septiembre, advierte que, para proyectar las reseñadas directrices legales del art. 268 CC al caso concreto, hay que evaluar si las medidas de apoyo acordadas responden a las necesidades de la persona y están proporcionadas a esas necesidades; si respetan la máxima autonomía de la persona interesada en el ejercicio de su capacidad jurídica; y si se atiende a su voluntad, deseos y preferencias.</w:t>
      </w:r>
    </w:p>
    <w:p w14:paraId="2EE6EDDE" w14:textId="77777777" w:rsidR="00E746B2" w:rsidRPr="00957229" w:rsidRDefault="00E746B2" w:rsidP="00E746B2">
      <w:pPr>
        <w:rPr>
          <w:rFonts w:ascii="Calibri" w:hAnsi="Calibri" w:cs="Calibri"/>
          <w:sz w:val="22"/>
        </w:rPr>
      </w:pPr>
      <w:r w:rsidRPr="00957229">
        <w:rPr>
          <w:rFonts w:ascii="Calibri" w:hAnsi="Calibri" w:cs="Calibri"/>
          <w:sz w:val="22"/>
        </w:rPr>
        <w:t>Toda esta doctrina entendemos debe de ser traslada a los menores con discapacidad, y si bien la reforma de la meritada Ley 8/2021 trasladadas al Código Civil en los procesos matrimoniales, artículos 91, 92, 94,97 del Código Civil, hacen que sea necesario, enlazar lo expuesto hasta el momento con el interés superior del menor, el cual es un concepto jurídico indeterminado pero determinable, y por tanto definido como manifiesta con acierto el profesor Cardona Llorens en los Derechos reconocidos en la Convención de Derechos del Niño.</w:t>
      </w:r>
    </w:p>
    <w:p w14:paraId="6C4023DB" w14:textId="7E6E504B" w:rsidR="00E746B2" w:rsidRPr="00957229" w:rsidRDefault="00E746B2" w:rsidP="00A45164">
      <w:pPr>
        <w:rPr>
          <w:rFonts w:ascii="Calibri" w:hAnsi="Calibri" w:cs="Calibri"/>
          <w:color w:val="000000"/>
          <w:sz w:val="22"/>
        </w:rPr>
      </w:pPr>
      <w:r w:rsidRPr="00957229">
        <w:rPr>
          <w:rFonts w:ascii="Calibri" w:hAnsi="Calibri" w:cs="Calibri"/>
          <w:sz w:val="22"/>
        </w:rPr>
        <w:t xml:space="preserve">El propio profesor Cardona en su </w:t>
      </w:r>
      <w:r w:rsidR="00442EDF" w:rsidRPr="00957229">
        <w:rPr>
          <w:rFonts w:ascii="Calibri" w:hAnsi="Calibri" w:cs="Calibri"/>
          <w:sz w:val="22"/>
        </w:rPr>
        <w:t>artículo</w:t>
      </w:r>
      <w:r w:rsidRPr="00957229">
        <w:rPr>
          <w:rFonts w:ascii="Calibri" w:hAnsi="Calibri" w:cs="Calibri"/>
          <w:sz w:val="22"/>
        </w:rPr>
        <w:t xml:space="preserve"> sobre la Convención de Derechos del Niño y protección a la Infancia publicado en la publicación presupuesto y gasto publico 2008-2020, de la Secretaria de presupuestos y gastos del Estado Español, converge en manifestar la problemática existencia para el reconocimiento de ese interés superior del menor, y como los tribunales sin oír ni explorar a los menores, dictaminan cual es el interés de los mismos, obviando el derecho a ser oído y escuchado del menor en todos los asuntos que le afecten, el cambio del criterio biologicista por el de la madurez, la configuración del menor como sujeto de derecho y no objeto del mismo y todo ello pese a las reformas introducidas por las Leyes 26/2015 y Ley Orgánica 8/2021 de modificación de la Ley 1/1996 de protección Jurídica del Menor, existen órganos judiciales españoles que niegan sistemáticamente la exploración de los menores en procesos de desamparos o de adopción de tutelas administrativas, no se les escucha en materia de discapacidad, no se utiliza, salvo honrosas excepciones la figura del defensor del menor, y esa escucha en procesos de discapacidad, o en el caso de menores con discapacidad es cuanto menos utópica, infringiéndose ese derecho del menor, de todos es sabido que la convención</w:t>
      </w:r>
      <w:r w:rsidRPr="00957229">
        <w:rPr>
          <w:rFonts w:ascii="Calibri" w:hAnsi="Calibri" w:cs="Calibri"/>
          <w:color w:val="000000"/>
          <w:sz w:val="22"/>
        </w:rPr>
        <w:t xml:space="preserve"> consagra en el plano del derecho la consideración del niño como un sujeto de derecho y otra, muy diferente, que esto se haya conseguido en la práctica. Son muchos los ejemplos que nos demuestran que queda mucho trabajo por realizar para que el plano jurídico se transforme en realidad fáctica. E insisto el problema del Estado español no es la inexistencia de leyes, sino que estas se implementen.</w:t>
      </w:r>
    </w:p>
    <w:p w14:paraId="386A07AA" w14:textId="690B52C4" w:rsidR="00E746B2" w:rsidRPr="00957229" w:rsidRDefault="00E746B2" w:rsidP="00A45164">
      <w:pPr>
        <w:pStyle w:val="Default"/>
        <w:spacing w:after="100" w:afterAutospacing="1"/>
        <w:jc w:val="both"/>
        <w:rPr>
          <w:rFonts w:ascii="Calibri" w:hAnsi="Calibri" w:cs="Calibri"/>
          <w:sz w:val="22"/>
          <w:szCs w:val="22"/>
        </w:rPr>
      </w:pPr>
      <w:r w:rsidRPr="00957229">
        <w:rPr>
          <w:rFonts w:ascii="Calibri" w:hAnsi="Calibri" w:cs="Calibri"/>
          <w:sz w:val="22"/>
          <w:szCs w:val="22"/>
        </w:rPr>
        <w:t xml:space="preserve">En este sentido debemos de recordar la observación general 12 de Naciones Unidas sobre el derecho del menor a ser escuchado, recordado como hace dicha observación general que los Estados partes deben garantizar el derecho a ser escuchado a todo niño "que esté en condiciones de formarse un juicio propio". Estos términos no deben verse como una limitación, sino como una obligación para los Estados partes de evaluar la capacidad del niño de formarse una opinión autónoma en la mayor medida posible. Eso significa que los Estados parte no pueden partir de la premisa de que un niño es incapaz de expresar sus propias opiniones. Al contrario, los Estados parte deben dar por supuesto que el niño tiene capacidad para formarse sus propias opiniones y reconocer que tiene derecho a expresarlas; no corresponde al niño probar primero que tiene esa capacidad. </w:t>
      </w:r>
    </w:p>
    <w:p w14:paraId="749B5BF1" w14:textId="453C6125" w:rsidR="00E746B2" w:rsidRPr="00957229" w:rsidRDefault="00E746B2" w:rsidP="00A45164">
      <w:pPr>
        <w:pStyle w:val="Default"/>
        <w:spacing w:after="100" w:afterAutospacing="1"/>
        <w:jc w:val="both"/>
        <w:rPr>
          <w:rFonts w:ascii="Calibri" w:hAnsi="Calibri" w:cs="Calibri"/>
          <w:sz w:val="22"/>
          <w:szCs w:val="22"/>
        </w:rPr>
      </w:pPr>
      <w:r w:rsidRPr="00957229">
        <w:rPr>
          <w:rFonts w:ascii="Calibri" w:hAnsi="Calibri" w:cs="Calibri"/>
          <w:sz w:val="22"/>
          <w:szCs w:val="22"/>
        </w:rPr>
        <w:t xml:space="preserve">A mayor abundamiento el Convenio de Nueva york de 2006, y su protocolo facultativo en su </w:t>
      </w:r>
      <w:r w:rsidR="00442EDF" w:rsidRPr="00957229">
        <w:rPr>
          <w:rFonts w:ascii="Calibri" w:hAnsi="Calibri" w:cs="Calibri"/>
          <w:sz w:val="22"/>
          <w:szCs w:val="22"/>
        </w:rPr>
        <w:t>artículo</w:t>
      </w:r>
      <w:r w:rsidRPr="00957229">
        <w:rPr>
          <w:rFonts w:ascii="Calibri" w:hAnsi="Calibri" w:cs="Calibri"/>
          <w:sz w:val="22"/>
          <w:szCs w:val="22"/>
        </w:rPr>
        <w:t xml:space="preserve"> 20 reconocen este Derecho a los menores con discapacidad.</w:t>
      </w:r>
    </w:p>
    <w:p w14:paraId="672EAB43" w14:textId="6E0B094B" w:rsidR="00E746B2" w:rsidRPr="00957229" w:rsidRDefault="00E746B2" w:rsidP="00A45164">
      <w:pPr>
        <w:pStyle w:val="Default"/>
        <w:spacing w:after="100" w:afterAutospacing="1"/>
        <w:jc w:val="both"/>
        <w:rPr>
          <w:rFonts w:ascii="Calibri" w:hAnsi="Calibri" w:cs="Calibri"/>
          <w:sz w:val="22"/>
          <w:szCs w:val="22"/>
        </w:rPr>
      </w:pPr>
      <w:r w:rsidRPr="00957229">
        <w:rPr>
          <w:rFonts w:ascii="Calibri" w:hAnsi="Calibri" w:cs="Calibri"/>
          <w:sz w:val="22"/>
          <w:szCs w:val="22"/>
        </w:rPr>
        <w:lastRenderedPageBreak/>
        <w:t xml:space="preserve">Debemos de insistir que en ningún caso se impone ningún límite de edad al derecho del niño a expresar su opinión y desaconseja a los Estados parte que introduzcan por ley o en la práctica límites de edad que restrinjan el derecho del niño a ser escuchado en todos los asuntos que lo afectan.  (informes 5 y 6 al Estado Español) Es más está claramente asentado el concepto del niño como portador de derechos, desde sus primeras etapas de vida, así </w:t>
      </w:r>
      <w:r w:rsidR="00442EDF">
        <w:rPr>
          <w:rFonts w:ascii="Calibri" w:hAnsi="Calibri" w:cs="Calibri"/>
          <w:sz w:val="22"/>
          <w:szCs w:val="22"/>
        </w:rPr>
        <w:t>e</w:t>
      </w:r>
      <w:r w:rsidRPr="00957229">
        <w:rPr>
          <w:rFonts w:ascii="Calibri" w:hAnsi="Calibri" w:cs="Calibri"/>
          <w:sz w:val="22"/>
          <w:szCs w:val="22"/>
        </w:rPr>
        <w:t xml:space="preserve">studios demuestran que el niño es capaz de formarse opiniones desde muy temprana edad, incluso cuando todavía no puede expresarlas verbalmente. Por consiguiente, la plena aplicación del artículo 12 exige el reconocimiento y respeto de las formas no verbales de comunicación, como el juego, la expresión corporal y facial y el dibujo y la pintura, mediante las cuales los niños muy pequeños demuestran capacidad de comprender, elegir y tener preferencias. </w:t>
      </w:r>
    </w:p>
    <w:p w14:paraId="664D9FCD" w14:textId="77777777" w:rsidR="00E746B2" w:rsidRPr="00957229" w:rsidRDefault="00E746B2" w:rsidP="00A45164">
      <w:pPr>
        <w:pStyle w:val="Default"/>
        <w:spacing w:after="100" w:afterAutospacing="1"/>
        <w:jc w:val="both"/>
        <w:rPr>
          <w:rFonts w:ascii="Calibri" w:hAnsi="Calibri" w:cs="Calibri"/>
          <w:sz w:val="22"/>
          <w:szCs w:val="22"/>
        </w:rPr>
      </w:pPr>
      <w:r w:rsidRPr="00957229">
        <w:rPr>
          <w:rFonts w:ascii="Calibri" w:hAnsi="Calibri" w:cs="Calibri"/>
          <w:sz w:val="22"/>
          <w:szCs w:val="22"/>
        </w:rPr>
        <w:t>Aspectos estos últimos a tener en cuenta en este ámbito y a la hora de acordar o no la exploración de los menores, que muchas veces son denegadas por la edad de los mismos y la falta de formación de profesionales para explorar al menor, por medios distintos al verbal.</w:t>
      </w:r>
    </w:p>
    <w:p w14:paraId="380120CA" w14:textId="4FF5BFC4" w:rsidR="00E746B2" w:rsidRPr="00957229" w:rsidRDefault="00E746B2" w:rsidP="00A45164">
      <w:pPr>
        <w:pStyle w:val="Default"/>
        <w:spacing w:after="100" w:afterAutospacing="1"/>
        <w:jc w:val="both"/>
        <w:rPr>
          <w:rFonts w:ascii="Calibri" w:hAnsi="Calibri" w:cs="Calibri"/>
          <w:sz w:val="22"/>
          <w:szCs w:val="22"/>
        </w:rPr>
      </w:pPr>
      <w:r w:rsidRPr="00957229">
        <w:rPr>
          <w:rFonts w:ascii="Calibri" w:hAnsi="Calibri" w:cs="Calibri"/>
          <w:sz w:val="22"/>
          <w:szCs w:val="22"/>
        </w:rPr>
        <w:t xml:space="preserve">Tampoco es necesario un conocimiento exhaustivo del litigio sino una comprensión suficiente de los aspectos que a él le afectan, y así mismo como también dice la Observación número 12 tiene el Estado la obligación garantizar la observancia de este derecho para los niños que experimenten dificultades para hacer oír su opinión. Por ejemplo, los niños con discapacidades deben tener disponibles y poder utilizar los modos de comunicación que necesiten para facilitar la expresión de sus opiniones. También debe hacerse un esfuerzo por reconocer el derecho a la expresión de opiniones para los niños pertenecientes a minorías, niños indígenas y migrantes y otros niños que no hablen el idioma mayoritario.  Estamos hablando de técnicas de braille o lengua de signos, algo que carecen nuestros Tribunales de Justicia, y ello para poder obtener el requisito de Justicia amigable, y llevar a Tribunales modernos, Tribunales del Siglo XXI, utilizando incluso las nuevas tecnologías, y no seguir anclado en un proceso </w:t>
      </w:r>
      <w:r w:rsidR="00442EDF" w:rsidRPr="00957229">
        <w:rPr>
          <w:rFonts w:ascii="Calibri" w:hAnsi="Calibri" w:cs="Calibri"/>
          <w:sz w:val="22"/>
          <w:szCs w:val="22"/>
        </w:rPr>
        <w:t>más</w:t>
      </w:r>
      <w:r w:rsidRPr="00957229">
        <w:rPr>
          <w:rFonts w:ascii="Calibri" w:hAnsi="Calibri" w:cs="Calibri"/>
          <w:sz w:val="22"/>
          <w:szCs w:val="22"/>
        </w:rPr>
        <w:t xml:space="preserve"> propio del siglo XIX que del Siglo XXI, en donde incluso el interviniente en el proceso se encuentre al lado de su defensor, eliminando el sistema de estrado, y estando todo el tribunal junto con el justiciable al mismo nivel. </w:t>
      </w:r>
    </w:p>
    <w:p w14:paraId="0DD31FC5" w14:textId="1913B33A" w:rsidR="00E746B2" w:rsidRPr="00957229" w:rsidRDefault="00E746B2" w:rsidP="00A45164">
      <w:pPr>
        <w:rPr>
          <w:rFonts w:ascii="Calibri" w:hAnsi="Calibri" w:cs="Calibri"/>
          <w:sz w:val="22"/>
        </w:rPr>
      </w:pPr>
      <w:r w:rsidRPr="00957229">
        <w:rPr>
          <w:rFonts w:ascii="Calibri" w:hAnsi="Calibri" w:cs="Calibri"/>
          <w:sz w:val="22"/>
        </w:rPr>
        <w:t xml:space="preserve">Lo expuesto es más que necesario, por cuanto los menores son personas </w:t>
      </w:r>
      <w:r w:rsidR="00442EDF" w:rsidRPr="00957229">
        <w:rPr>
          <w:rFonts w:ascii="Calibri" w:hAnsi="Calibri" w:cs="Calibri"/>
          <w:sz w:val="22"/>
        </w:rPr>
        <w:t>más</w:t>
      </w:r>
      <w:r w:rsidRPr="00957229">
        <w:rPr>
          <w:rFonts w:ascii="Calibri" w:hAnsi="Calibri" w:cs="Calibri"/>
          <w:sz w:val="22"/>
        </w:rPr>
        <w:t xml:space="preserve"> vulnerables, vulneración que aumenta si padecen algún tipo de discapacidad, y se debe de evitar por todos los medios que niños muy pequeños, o discapacitados víctimas de agresiones o abusos no puedan ser oídos ni valorados sus testimonios, en este sentido, y como diremos </w:t>
      </w:r>
      <w:r w:rsidR="00442EDF" w:rsidRPr="00957229">
        <w:rPr>
          <w:rFonts w:ascii="Calibri" w:hAnsi="Calibri" w:cs="Calibri"/>
          <w:sz w:val="22"/>
        </w:rPr>
        <w:t>más</w:t>
      </w:r>
      <w:r w:rsidRPr="00957229">
        <w:rPr>
          <w:rFonts w:ascii="Calibri" w:hAnsi="Calibri" w:cs="Calibri"/>
          <w:sz w:val="22"/>
        </w:rPr>
        <w:t xml:space="preserve"> adelante son fundamentales los Tribunales especializados. </w:t>
      </w:r>
    </w:p>
    <w:p w14:paraId="777687F4" w14:textId="6AADA561" w:rsidR="00E746B2" w:rsidRPr="00957229" w:rsidRDefault="00E746B2" w:rsidP="00E746B2">
      <w:pPr>
        <w:rPr>
          <w:rFonts w:ascii="Calibri" w:hAnsi="Calibri" w:cs="Calibri"/>
          <w:color w:val="000000"/>
          <w:sz w:val="22"/>
        </w:rPr>
      </w:pPr>
      <w:r w:rsidRPr="00957229">
        <w:rPr>
          <w:rFonts w:ascii="Calibri" w:hAnsi="Calibri" w:cs="Calibri"/>
          <w:sz w:val="22"/>
        </w:rPr>
        <w:t xml:space="preserve">Igualmente es básico que la opinión del niño o niña no tiene que coincidir con al del adulto, es su propia opinión, y esta escucha debe de hacerse en un ambiente adecuado, ni intimidatorio, hostil, insensible o inadecuado para su edad. Los procedimientos tienen que ser accesibles y apropiados para los niños. Debe prestarse especial atención al suministro y la transmisión de información adaptada a los niños, la prestación de apoyo adecuado para la defensa de los intereses propios, la debida capacitación del personal, el diseño de las salas de tribunal, la vestimenta de los jueces y abogados y la disponibilidad de pantallas de protección visual y salas de espera separadas, son medios </w:t>
      </w:r>
      <w:r w:rsidR="00442EDF" w:rsidRPr="00957229">
        <w:rPr>
          <w:rFonts w:ascii="Calibri" w:hAnsi="Calibri" w:cs="Calibri"/>
          <w:sz w:val="22"/>
        </w:rPr>
        <w:t>más</w:t>
      </w:r>
      <w:r w:rsidRPr="00957229">
        <w:rPr>
          <w:rFonts w:ascii="Calibri" w:hAnsi="Calibri" w:cs="Calibri"/>
          <w:sz w:val="22"/>
        </w:rPr>
        <w:t xml:space="preserve"> que necesarios.</w:t>
      </w:r>
    </w:p>
    <w:p w14:paraId="194A8F1C" w14:textId="1EF53146" w:rsidR="00E746B2" w:rsidRPr="00957229" w:rsidRDefault="00E746B2" w:rsidP="00E746B2">
      <w:pPr>
        <w:rPr>
          <w:rFonts w:ascii="Calibri" w:hAnsi="Calibri" w:cs="Calibri"/>
          <w:color w:val="000000"/>
          <w:sz w:val="22"/>
        </w:rPr>
      </w:pPr>
      <w:r w:rsidRPr="00957229">
        <w:rPr>
          <w:rFonts w:ascii="Calibri" w:hAnsi="Calibri" w:cs="Calibri"/>
          <w:color w:val="000000"/>
          <w:sz w:val="22"/>
        </w:rPr>
        <w:t xml:space="preserve">Es necesario un cambio social y un cambio profundo, desterrando figuras como la alineación parental, que esta siendo utilizada para la retirada y arrancamiento de los menores de sus familias, y además se utiliza para no oír al menor, bajo el subterfugio de que  este ya ha sido escuchado por los profesionales de la administración, y obviando que estos profesionales en muchas ocasiones no son funcionarios, son trabajadores de entidades privadas, y no se es objeto de ninguna supervisión, todo esto se hace </w:t>
      </w:r>
      <w:r w:rsidR="00442EDF" w:rsidRPr="00957229">
        <w:rPr>
          <w:rFonts w:ascii="Calibri" w:hAnsi="Calibri" w:cs="Calibri"/>
          <w:color w:val="000000"/>
          <w:sz w:val="22"/>
        </w:rPr>
        <w:t>más</w:t>
      </w:r>
      <w:r w:rsidRPr="00957229">
        <w:rPr>
          <w:rFonts w:ascii="Calibri" w:hAnsi="Calibri" w:cs="Calibri"/>
          <w:color w:val="000000"/>
          <w:sz w:val="22"/>
        </w:rPr>
        <w:t xml:space="preserve"> sangrante si hablamos de menores tutelados con </w:t>
      </w:r>
      <w:r w:rsidRPr="00957229">
        <w:rPr>
          <w:rFonts w:ascii="Calibri" w:hAnsi="Calibri" w:cs="Calibri"/>
          <w:color w:val="000000"/>
          <w:sz w:val="22"/>
        </w:rPr>
        <w:lastRenderedPageBreak/>
        <w:t xml:space="preserve">discapacidad. Al menor no se le produce ningún daño por ser escuchado, al menor se le produce </w:t>
      </w:r>
      <w:r w:rsidR="00442EDF" w:rsidRPr="00957229">
        <w:rPr>
          <w:rFonts w:ascii="Calibri" w:hAnsi="Calibri" w:cs="Calibri"/>
          <w:color w:val="000000"/>
          <w:sz w:val="22"/>
        </w:rPr>
        <w:t>más</w:t>
      </w:r>
      <w:r w:rsidRPr="00957229">
        <w:rPr>
          <w:rFonts w:ascii="Calibri" w:hAnsi="Calibri" w:cs="Calibri"/>
          <w:color w:val="000000"/>
          <w:sz w:val="22"/>
        </w:rPr>
        <w:t xml:space="preserve"> daño cuando no se le escucha y lo que es peor cuando se toman decisiones a sus espaldas, pero es más la especialización exige que los actores en todo este proceso, estén dotados de medios suficientes, y de capacidad empática bastante para saber explorar y escuchar al menor, en su torno, de una forma amigable, y en el que se haga ver al menor que la justicia es amigable a ellos y nunca su enemiga, todo lo cual tiene directa relación con lo expuesto anteriormente, pero es más si en España se ha producido un salto de calidad importante con la aprobación de la Ley Orgánica 8/2021 esta Ley debe implementarse con medios, y no aprobarse muchas leyes, sin dotación presupuestaria básica. Los menores en España son </w:t>
      </w:r>
      <w:r w:rsidR="00442EDF" w:rsidRPr="00957229">
        <w:rPr>
          <w:rFonts w:ascii="Calibri" w:hAnsi="Calibri" w:cs="Calibri"/>
          <w:color w:val="000000"/>
          <w:sz w:val="22"/>
        </w:rPr>
        <w:t>Víctimas</w:t>
      </w:r>
      <w:r w:rsidRPr="00957229">
        <w:rPr>
          <w:rFonts w:ascii="Calibri" w:hAnsi="Calibri" w:cs="Calibri"/>
          <w:color w:val="000000"/>
          <w:sz w:val="22"/>
        </w:rPr>
        <w:t xml:space="preserve"> de Violencia de Género desde el año 2015 mediante la aprobación de la Ley Orgánica 8/2015 y evidentemente si existe un clima de violencia contra la mujer, el menor lo sufre y esta violencia no la produce la victima sino el victimario, castigándose en muchas ocasiones y revictimizando a la mujer y al menor con la retirada del seno familiar, en lugar de facilitar </w:t>
      </w:r>
      <w:r w:rsidR="00442EDF" w:rsidRPr="00957229">
        <w:rPr>
          <w:rFonts w:ascii="Calibri" w:hAnsi="Calibri" w:cs="Calibri"/>
          <w:color w:val="000000"/>
          <w:sz w:val="22"/>
        </w:rPr>
        <w:t>más</w:t>
      </w:r>
      <w:r w:rsidRPr="00957229">
        <w:rPr>
          <w:rFonts w:ascii="Calibri" w:hAnsi="Calibri" w:cs="Calibri"/>
          <w:color w:val="000000"/>
          <w:sz w:val="22"/>
        </w:rPr>
        <w:t xml:space="preserve"> medidas de apoyo</w:t>
      </w:r>
    </w:p>
    <w:p w14:paraId="5C60D533" w14:textId="4B0709EE" w:rsidR="00E746B2" w:rsidRPr="00957229" w:rsidRDefault="00E746B2" w:rsidP="00E746B2">
      <w:pPr>
        <w:rPr>
          <w:rFonts w:ascii="Calibri" w:hAnsi="Calibri" w:cs="Calibri"/>
          <w:color w:val="000000"/>
          <w:sz w:val="22"/>
        </w:rPr>
      </w:pPr>
      <w:r w:rsidRPr="00957229">
        <w:rPr>
          <w:rFonts w:ascii="Calibri" w:hAnsi="Calibri" w:cs="Calibri"/>
          <w:color w:val="000000"/>
          <w:sz w:val="22"/>
        </w:rPr>
        <w:t xml:space="preserve">En España se infringe sistemáticamente el </w:t>
      </w:r>
      <w:r w:rsidR="00442EDF" w:rsidRPr="00957229">
        <w:rPr>
          <w:rFonts w:ascii="Calibri" w:hAnsi="Calibri" w:cs="Calibri"/>
          <w:color w:val="000000"/>
          <w:sz w:val="22"/>
        </w:rPr>
        <w:t>artículo</w:t>
      </w:r>
      <w:r w:rsidRPr="00957229">
        <w:rPr>
          <w:rFonts w:ascii="Calibri" w:hAnsi="Calibri" w:cs="Calibri"/>
          <w:color w:val="000000"/>
          <w:sz w:val="22"/>
        </w:rPr>
        <w:t xml:space="preserve"> 172 del Cc, pues no se da la posibilidad del menor con suficiente juicio y en todo caso con 12 años de notificarle sus propias resoluciones de materia de protección y de oponerse a las mismas, infringiéndose claramente la tutela judicial efectiva. Pero es más obviando las recomendaciones del Comité de Derechos del Niño expuestas en la recomendación 12, en donde expresamente se dice:</w:t>
      </w:r>
    </w:p>
    <w:p w14:paraId="6F042E3D" w14:textId="6814C733" w:rsidR="00E746B2" w:rsidRPr="00957229" w:rsidRDefault="00E746B2" w:rsidP="00086D06">
      <w:pPr>
        <w:pStyle w:val="Quote"/>
        <w:rPr>
          <w:rFonts w:ascii="Calibri" w:hAnsi="Calibri" w:cs="Calibri"/>
          <w:sz w:val="22"/>
          <w:szCs w:val="22"/>
        </w:rPr>
      </w:pPr>
      <w:r w:rsidRPr="00957229">
        <w:rPr>
          <w:rFonts w:ascii="Calibri" w:hAnsi="Calibri" w:cs="Calibri"/>
          <w:sz w:val="22"/>
          <w:szCs w:val="22"/>
        </w:rPr>
        <w:t xml:space="preserve">“Deben introducirse mecanismos para garantizar que los niños que se encuentren en todas las modalidades alternativas de acogimiento, en particular en instituciones, puedan expresar sus opiniones y que esas opiniones se tengan debidamente en cuenta en los asuntos relativos a su acogimiento, a las normas relativas al cuidado que reciban en familias u hogares de guarda y a su vida diaria. Entre esos mecanismos cabe mencionar los siguientes: </w:t>
      </w:r>
    </w:p>
    <w:p w14:paraId="0E6EBD85" w14:textId="77777777" w:rsidR="00E746B2" w:rsidRPr="00957229" w:rsidRDefault="00E746B2" w:rsidP="00086D06">
      <w:pPr>
        <w:pStyle w:val="Quote"/>
        <w:rPr>
          <w:rFonts w:ascii="Calibri" w:hAnsi="Calibri" w:cs="Calibri"/>
          <w:sz w:val="22"/>
          <w:szCs w:val="22"/>
        </w:rPr>
      </w:pPr>
      <w:r w:rsidRPr="00957229">
        <w:rPr>
          <w:rFonts w:ascii="Calibri" w:hAnsi="Calibri" w:cs="Calibri"/>
          <w:sz w:val="22"/>
          <w:szCs w:val="22"/>
        </w:rPr>
        <w:t>- Legislación que otorgue al niño el derecho a disponer de información acerca de todo plan de acogimiento, cuidado y/o tratamiento, así como de verdaderas oportunidades de expresar sus opiniones y de que esas opiniones se tengan debidamente en cuenta en todo el proceso de adopción de decisiones.”</w:t>
      </w:r>
    </w:p>
    <w:p w14:paraId="49694566" w14:textId="77777777" w:rsidR="00E746B2" w:rsidRPr="00957229" w:rsidRDefault="00E746B2" w:rsidP="00E746B2">
      <w:pPr>
        <w:rPr>
          <w:rFonts w:ascii="Calibri" w:hAnsi="Calibri" w:cs="Calibri"/>
          <w:color w:val="000000"/>
          <w:sz w:val="22"/>
        </w:rPr>
      </w:pPr>
      <w:r w:rsidRPr="00957229">
        <w:rPr>
          <w:rFonts w:ascii="Calibri" w:hAnsi="Calibri" w:cs="Calibri"/>
          <w:color w:val="000000"/>
          <w:sz w:val="22"/>
        </w:rPr>
        <w:t>En definitiva, la trasposición a nuestro Derecho es la reforma del 172 del Cc y por ello se deben implementar medios para la oposición de los menores a sus resoluciones de desamparo como ejercicio de su derecho a ser oídos y escuchado y tenido en cuenta en nuestros Tribunales de Justicia y en consecuencia desarrollando el derecho a la Tutela Judicial efectiva, porque dicho derecho requiere que esa tutela no solo sea efectiva sino también eficaz.</w:t>
      </w:r>
    </w:p>
    <w:p w14:paraId="669828BA" w14:textId="72BD1710" w:rsidR="00E746B2" w:rsidRPr="00957229" w:rsidRDefault="00086D06" w:rsidP="00E746B2">
      <w:pPr>
        <w:rPr>
          <w:rFonts w:ascii="Calibri" w:hAnsi="Calibri" w:cs="Calibri"/>
          <w:color w:val="000000"/>
          <w:sz w:val="22"/>
        </w:rPr>
      </w:pPr>
      <w:r w:rsidRPr="00957229">
        <w:rPr>
          <w:rFonts w:ascii="Calibri" w:hAnsi="Calibri" w:cs="Calibri"/>
          <w:color w:val="000000"/>
          <w:sz w:val="22"/>
        </w:rPr>
        <w:t>Igualmente,</w:t>
      </w:r>
      <w:r w:rsidR="00E746B2" w:rsidRPr="00957229">
        <w:rPr>
          <w:rFonts w:ascii="Calibri" w:hAnsi="Calibri" w:cs="Calibri"/>
          <w:color w:val="000000"/>
          <w:sz w:val="22"/>
        </w:rPr>
        <w:t xml:space="preserve"> otro dato a tener en cuenta y que debe de contemplar la legislación civil, como se hace ya en países sudamericanos con las </w:t>
      </w:r>
      <w:r w:rsidRPr="00957229">
        <w:rPr>
          <w:rFonts w:ascii="Calibri" w:hAnsi="Calibri" w:cs="Calibri"/>
          <w:color w:val="000000"/>
          <w:sz w:val="22"/>
        </w:rPr>
        <w:t>últimas</w:t>
      </w:r>
      <w:r w:rsidR="00E746B2" w:rsidRPr="00957229">
        <w:rPr>
          <w:rFonts w:ascii="Calibri" w:hAnsi="Calibri" w:cs="Calibri"/>
          <w:color w:val="000000"/>
          <w:sz w:val="22"/>
        </w:rPr>
        <w:t xml:space="preserve"> reformas, es delimitar los conceptos de niño, adolescente, joven, de hecho si acudimos a la Ley Orgánica de Responsabilidad Penal del Menor observamos que se imponen medidas de distinta duración a los menores entre 14 y 16 años y de 16 a 18 años, </w:t>
      </w:r>
      <w:r w:rsidRPr="00957229">
        <w:rPr>
          <w:rFonts w:ascii="Calibri" w:hAnsi="Calibri" w:cs="Calibri"/>
          <w:color w:val="000000"/>
          <w:sz w:val="22"/>
        </w:rPr>
        <w:t>artículo</w:t>
      </w:r>
      <w:r w:rsidR="00E746B2" w:rsidRPr="00957229">
        <w:rPr>
          <w:rFonts w:ascii="Calibri" w:hAnsi="Calibri" w:cs="Calibri"/>
          <w:color w:val="000000"/>
          <w:sz w:val="22"/>
        </w:rPr>
        <w:t xml:space="preserve"> 9 de la norma citada.</w:t>
      </w:r>
    </w:p>
    <w:p w14:paraId="765F5D21" w14:textId="157089E2" w:rsidR="00E746B2" w:rsidRPr="00957229" w:rsidRDefault="00E746B2" w:rsidP="00E746B2">
      <w:pPr>
        <w:rPr>
          <w:rFonts w:ascii="Calibri" w:hAnsi="Calibri" w:cs="Calibri"/>
          <w:color w:val="000000"/>
          <w:sz w:val="22"/>
        </w:rPr>
      </w:pPr>
      <w:r w:rsidRPr="00957229">
        <w:rPr>
          <w:rFonts w:ascii="Calibri" w:hAnsi="Calibri" w:cs="Calibri"/>
          <w:color w:val="000000"/>
          <w:sz w:val="22"/>
        </w:rPr>
        <w:t>Y es que la minoría de edad abarca de 0 años a 18 años, un periodo muy amplio, en lo que las inquietudes, madurez y necesidades del menor van cambiando.</w:t>
      </w:r>
    </w:p>
    <w:p w14:paraId="4384BAF7" w14:textId="77777777" w:rsidR="00E746B2" w:rsidRPr="00957229" w:rsidRDefault="00E746B2" w:rsidP="00E746B2">
      <w:pPr>
        <w:rPr>
          <w:rFonts w:ascii="Calibri" w:hAnsi="Calibri" w:cs="Calibri"/>
          <w:color w:val="000000"/>
          <w:sz w:val="22"/>
        </w:rPr>
      </w:pPr>
    </w:p>
    <w:p w14:paraId="560578DC" w14:textId="60F74D27" w:rsidR="00E746B2" w:rsidRPr="00957229" w:rsidRDefault="00E746B2" w:rsidP="00986080">
      <w:pPr>
        <w:pStyle w:val="Heading4"/>
        <w:rPr>
          <w:rFonts w:ascii="Calibri" w:hAnsi="Calibri" w:cs="Calibri"/>
          <w:sz w:val="22"/>
        </w:rPr>
      </w:pPr>
      <w:r w:rsidRPr="00957229">
        <w:rPr>
          <w:rFonts w:ascii="Calibri" w:hAnsi="Calibri" w:cs="Calibri"/>
          <w:sz w:val="22"/>
        </w:rPr>
        <w:lastRenderedPageBreak/>
        <w:t>Necesidad de Jueces y Juzgados especializados.</w:t>
      </w:r>
    </w:p>
    <w:p w14:paraId="2AFA75AD" w14:textId="3825E13B" w:rsidR="00E746B2" w:rsidRPr="00957229" w:rsidRDefault="00E746B2" w:rsidP="00E746B2">
      <w:pPr>
        <w:rPr>
          <w:rFonts w:ascii="Calibri" w:eastAsia="Times New Roman" w:hAnsi="Calibri" w:cs="Calibri"/>
          <w:sz w:val="22"/>
        </w:rPr>
      </w:pPr>
      <w:r w:rsidRPr="00957229">
        <w:rPr>
          <w:rFonts w:ascii="Calibri" w:hAnsi="Calibri" w:cs="Calibri"/>
          <w:sz w:val="22"/>
        </w:rPr>
        <w:t xml:space="preserve">Otro apartado importante en este punto, es aprovechar las experiencias ya existentes en España en materia de Reforma Juvenil para adaptarlas a la discapacidad de menores, y en este sentido, la Ley Orgánica 8/2021 de protección integral de la Infancia y la Adolescencia, estableció por primera vez, la necesidad de integrar en el temario de la escuela judicial de jueces y ficales  alumnos, de materia de </w:t>
      </w:r>
      <w:r w:rsidR="00442EDF" w:rsidRPr="00957229">
        <w:rPr>
          <w:rFonts w:ascii="Calibri" w:hAnsi="Calibri" w:cs="Calibri"/>
          <w:sz w:val="22"/>
        </w:rPr>
        <w:t>Protección</w:t>
      </w:r>
      <w:r w:rsidRPr="00957229">
        <w:rPr>
          <w:rFonts w:ascii="Calibri" w:hAnsi="Calibri" w:cs="Calibri"/>
          <w:sz w:val="22"/>
        </w:rPr>
        <w:t xml:space="preserve"> de menores y menores con discapacidad, pues bien, esto no solo se trata de que sea traslado a la escuela judicial y a la formación de Jueces y Fiscales, sino que sean implantados en materia de Infancia, </w:t>
      </w:r>
      <w:r w:rsidRPr="00957229">
        <w:rPr>
          <w:rFonts w:ascii="Calibri" w:eastAsia="Times New Roman" w:hAnsi="Calibri" w:cs="Calibri"/>
          <w:sz w:val="22"/>
        </w:rPr>
        <w:t>Se establece la obligatoriedad de esa formación se extiende a las Administraciones públicas en todos sus ámbitos, a los Colegios de abogados y procuradores y en las Disposiciones Finales se establece la obligatoriedad de formación en Derechos de la Infancia en relación con la Carrera Judicial, tanto en el proceso selectivo como en la formación inicial y en el Plan de Formación Continua que cada año se elabora para Jueces y Magistrados. Lo mismo se dispone con relación a miembros de la Carrera Fiscal, el Cuerpo de Letrados y demás personal al servicio de la Administración de Justicia. Pero es más esta especialización que se contemplaba en la Ley Penal del Menor, Ley 5/2000, ha tardado nada menos que 21 años en trasladarse a la legislación civil.</w:t>
      </w:r>
    </w:p>
    <w:p w14:paraId="65813AF2" w14:textId="36F9EF5B" w:rsidR="00E746B2" w:rsidRPr="00957229" w:rsidRDefault="00E746B2" w:rsidP="00E746B2">
      <w:pPr>
        <w:rPr>
          <w:rFonts w:ascii="Calibri" w:hAnsi="Calibri" w:cs="Calibri"/>
          <w:color w:val="000000"/>
          <w:sz w:val="22"/>
        </w:rPr>
      </w:pPr>
      <w:r w:rsidRPr="00957229">
        <w:rPr>
          <w:rFonts w:ascii="Calibri" w:hAnsi="Calibri" w:cs="Calibri"/>
          <w:color w:val="000000"/>
          <w:sz w:val="22"/>
        </w:rPr>
        <w:t xml:space="preserve">De este tenor, actualmente los Jueces de Menores en España solo llevan temas de Reforma Juvenil, cuando incluso en su momento , se intentó mandar de refuerzo a la atención de asuntos bancarios, cuando lo que parece </w:t>
      </w:r>
      <w:r w:rsidR="00442EDF" w:rsidRPr="00957229">
        <w:rPr>
          <w:rFonts w:ascii="Calibri" w:hAnsi="Calibri" w:cs="Calibri"/>
          <w:color w:val="000000"/>
          <w:sz w:val="22"/>
        </w:rPr>
        <w:t>más</w:t>
      </w:r>
      <w:r w:rsidRPr="00957229">
        <w:rPr>
          <w:rFonts w:ascii="Calibri" w:hAnsi="Calibri" w:cs="Calibri"/>
          <w:color w:val="000000"/>
          <w:sz w:val="22"/>
        </w:rPr>
        <w:t xml:space="preserve"> lógico es una modificación de la Ley de Planta Judicial de manera que los Juzgados de Menores, sean mixtos de tal manera que exista un Juez Penal llevando Reforma y un Juez Civil llevando protección de menores y discapacidad, previa realización de los cursos correspondientes, en definitiva tener un cuerpo de jueces especializados en infancia, siendo especialmente cautos en que para preservar la tutela judicial efectiva, se cambie el sistema de tutelas en España, para que sea un juez el que ab initio tome o no la decisión de retirar al menor de su familia, cautela más que necesaria si hablamos de menores con discapacidad, en España tenemos un proceso judicial, previsto en los artículo 778 bis y 778 Ter de la Ley de Enjuiciamiento Civil, internamiento de menores con trastornos de conductas y entrada en domicilio y restantes lugares para la retirada de menores, los cuales pueden ser perfectamente aplicables para el control judicial desde el inicio de las retiradas de los menores por parte de la administración, e insistimos es necesaria una mayor cautela sobre todo cuando estamos en caso de menores con discapacidad.</w:t>
      </w:r>
    </w:p>
    <w:p w14:paraId="29BF5299" w14:textId="6D3BC2B4" w:rsidR="00E746B2" w:rsidRPr="00957229" w:rsidRDefault="00E746B2" w:rsidP="00E746B2">
      <w:pPr>
        <w:rPr>
          <w:rFonts w:ascii="Calibri" w:hAnsi="Calibri" w:cs="Calibri"/>
          <w:color w:val="000000"/>
          <w:sz w:val="22"/>
        </w:rPr>
      </w:pPr>
      <w:r w:rsidRPr="00957229">
        <w:rPr>
          <w:rFonts w:ascii="Calibri" w:hAnsi="Calibri" w:cs="Calibri"/>
          <w:color w:val="000000"/>
          <w:sz w:val="22"/>
        </w:rPr>
        <w:t>La actuaciones preventivas en esta materia</w:t>
      </w:r>
      <w:r w:rsidR="00442EDF">
        <w:rPr>
          <w:rFonts w:ascii="Calibri" w:hAnsi="Calibri" w:cs="Calibri"/>
          <w:color w:val="000000"/>
          <w:sz w:val="22"/>
        </w:rPr>
        <w:t xml:space="preserve"> y</w:t>
      </w:r>
      <w:r w:rsidRPr="00957229">
        <w:rPr>
          <w:rFonts w:ascii="Calibri" w:hAnsi="Calibri" w:cs="Calibri"/>
          <w:color w:val="000000"/>
          <w:sz w:val="22"/>
        </w:rPr>
        <w:t xml:space="preserve"> el apoyo a familias de especial vulnerabilidad también deben de ser piezas claves en esta reforma y en las recomendaciones que deban hacerse desde el alto organismo internacional al que nos dirigimos. </w:t>
      </w:r>
    </w:p>
    <w:p w14:paraId="2BD074A6" w14:textId="77777777" w:rsidR="00E746B2" w:rsidRPr="00957229" w:rsidRDefault="00E746B2" w:rsidP="00E746B2">
      <w:pPr>
        <w:rPr>
          <w:rFonts w:ascii="Calibri" w:hAnsi="Calibri" w:cs="Calibri"/>
          <w:b/>
          <w:bCs/>
          <w:color w:val="000000"/>
          <w:sz w:val="22"/>
          <w:u w:val="single"/>
        </w:rPr>
      </w:pPr>
    </w:p>
    <w:p w14:paraId="7717DF90" w14:textId="4FCA89C0" w:rsidR="00E746B2" w:rsidRPr="00957229" w:rsidRDefault="00086D06" w:rsidP="00986080">
      <w:pPr>
        <w:pStyle w:val="Heading4"/>
        <w:rPr>
          <w:rFonts w:ascii="Calibri" w:hAnsi="Calibri" w:cs="Calibri"/>
          <w:sz w:val="22"/>
        </w:rPr>
      </w:pPr>
      <w:r w:rsidRPr="00957229">
        <w:rPr>
          <w:rFonts w:ascii="Calibri" w:hAnsi="Calibri" w:cs="Calibri"/>
          <w:sz w:val="22"/>
        </w:rPr>
        <w:t>El abogado del niño/a con discapacidad.</w:t>
      </w:r>
    </w:p>
    <w:p w14:paraId="69E8A0A7" w14:textId="057CDA26" w:rsidR="00E746B2" w:rsidRPr="00957229" w:rsidRDefault="00E746B2" w:rsidP="00E746B2">
      <w:pPr>
        <w:rPr>
          <w:rFonts w:ascii="Calibri" w:hAnsi="Calibri" w:cs="Calibri"/>
          <w:color w:val="000000"/>
          <w:sz w:val="22"/>
        </w:rPr>
      </w:pPr>
      <w:r w:rsidRPr="00957229">
        <w:rPr>
          <w:rFonts w:ascii="Calibri" w:hAnsi="Calibri" w:cs="Calibri"/>
          <w:color w:val="000000"/>
          <w:sz w:val="22"/>
        </w:rPr>
        <w:t xml:space="preserve">Estamos ante una figura jurídica fundamental y garantes de los Derechos del Niño y de la Niña, el </w:t>
      </w:r>
      <w:r w:rsidR="00442EDF" w:rsidRPr="00957229">
        <w:rPr>
          <w:rFonts w:ascii="Calibri" w:hAnsi="Calibri" w:cs="Calibri"/>
          <w:color w:val="000000"/>
          <w:sz w:val="22"/>
        </w:rPr>
        <w:t>artículo</w:t>
      </w:r>
      <w:r w:rsidRPr="00957229">
        <w:rPr>
          <w:rFonts w:ascii="Calibri" w:hAnsi="Calibri" w:cs="Calibri"/>
          <w:color w:val="000000"/>
          <w:sz w:val="22"/>
        </w:rPr>
        <w:t xml:space="preserve"> 14 de la Ley Orgánica 8/2021 de protección Integral de la Infancia, establece la posibilidad de justicia gratuita para el niño o la niña y por tanto su derecho a poder designar Abogado/a especialista que lo represente en cuantos procedimientos le afecten y en este sentido tanto los procedimientos sobre su discapacidad como los relativos a las medidas de protección que se adoptan sobre su persona son procedimientos primordiales en los que debe de estar asistido y representado por Letrado, que le asesore en el mejor ejercicio de su Derechos como ciudadano y sujeto de dichos Derechos. </w:t>
      </w:r>
    </w:p>
    <w:p w14:paraId="1C6824ED" w14:textId="66CE72BC" w:rsidR="00E746B2" w:rsidRPr="00957229" w:rsidRDefault="00E746B2" w:rsidP="00E746B2">
      <w:pPr>
        <w:rPr>
          <w:rFonts w:ascii="Calibri" w:hAnsi="Calibri" w:cs="Calibri"/>
          <w:color w:val="000000"/>
          <w:sz w:val="22"/>
        </w:rPr>
      </w:pPr>
      <w:r w:rsidRPr="00957229">
        <w:rPr>
          <w:rFonts w:ascii="Calibri" w:hAnsi="Calibri" w:cs="Calibri"/>
          <w:color w:val="000000"/>
          <w:sz w:val="22"/>
        </w:rPr>
        <w:lastRenderedPageBreak/>
        <w:t xml:space="preserve">La necesidad de la entrevista reservada, la necesidad de formación de los Letrados, la necesidad de ampliación de los turnos especializados de menores, no solo a reforma sino a </w:t>
      </w:r>
      <w:r w:rsidR="00442EDF" w:rsidRPr="00957229">
        <w:rPr>
          <w:rFonts w:ascii="Calibri" w:hAnsi="Calibri" w:cs="Calibri"/>
          <w:color w:val="000000"/>
          <w:sz w:val="22"/>
        </w:rPr>
        <w:t>Protección</w:t>
      </w:r>
      <w:r w:rsidRPr="00957229">
        <w:rPr>
          <w:rFonts w:ascii="Calibri" w:hAnsi="Calibri" w:cs="Calibri"/>
          <w:color w:val="000000"/>
          <w:sz w:val="22"/>
        </w:rPr>
        <w:t xml:space="preserve"> e incapacidad son retos fundamentales y abordables, y no una mera utopía. En este sentido se viene trabajando desde la subcomisión de menores del Consejo General de la Abogacía Española.</w:t>
      </w:r>
    </w:p>
    <w:p w14:paraId="625D4E0B" w14:textId="37BAE163" w:rsidR="00E746B2" w:rsidRPr="00957229" w:rsidRDefault="00E746B2" w:rsidP="00E746B2">
      <w:pPr>
        <w:rPr>
          <w:rFonts w:ascii="Calibri" w:hAnsi="Calibri" w:cs="Calibri"/>
          <w:sz w:val="22"/>
        </w:rPr>
      </w:pPr>
      <w:r w:rsidRPr="00957229">
        <w:rPr>
          <w:rFonts w:ascii="Calibri" w:hAnsi="Calibri" w:cs="Calibri"/>
          <w:color w:val="000000"/>
          <w:sz w:val="22"/>
        </w:rPr>
        <w:t xml:space="preserve">Es parte del Derecho del Menor a ser oído y escuchado en este sentido las Observaciones número 12 de Naciones Unidas deja claro </w:t>
      </w:r>
      <w:r w:rsidRPr="00957229">
        <w:rPr>
          <w:rFonts w:ascii="Calibri" w:hAnsi="Calibri" w:cs="Calibri"/>
          <w:sz w:val="22"/>
        </w:rPr>
        <w:t>El representante deberá ser consciente de que representa exclusivamente los intereses del niño y no los intereses de otras personas (progenitor(es)), instituciones u órganos (por ejemplo, internado, administración o sociedad). Deberán elaborarse códigos de conducta destinados a los representantes que sean designados para representar las opiniones del niño.</w:t>
      </w:r>
    </w:p>
    <w:p w14:paraId="3087F3CF" w14:textId="285114EA" w:rsidR="00E746B2" w:rsidRPr="00957229" w:rsidRDefault="00E746B2" w:rsidP="00E746B2">
      <w:pPr>
        <w:rPr>
          <w:rFonts w:ascii="Calibri" w:hAnsi="Calibri" w:cs="Calibri"/>
          <w:color w:val="000000"/>
          <w:sz w:val="22"/>
        </w:rPr>
      </w:pPr>
      <w:r w:rsidRPr="00957229">
        <w:rPr>
          <w:rFonts w:ascii="Calibri" w:hAnsi="Calibri" w:cs="Calibri"/>
          <w:sz w:val="22"/>
        </w:rPr>
        <w:t>Es por ello que no procede en ningún caso entender la escucha a las entrevistas o manifestaciones de trabajadores sociales, psicólogos o a otro personal que trabaja para la administración</w:t>
      </w:r>
      <w:r w:rsidR="00442EDF">
        <w:rPr>
          <w:rFonts w:ascii="Calibri" w:hAnsi="Calibri" w:cs="Calibri"/>
          <w:sz w:val="22"/>
        </w:rPr>
        <w:t>.</w:t>
      </w:r>
    </w:p>
    <w:p w14:paraId="6AA110AE" w14:textId="2AD255E5" w:rsidR="00E746B2" w:rsidRPr="00957229" w:rsidRDefault="00E746B2" w:rsidP="00E746B2">
      <w:pPr>
        <w:rPr>
          <w:rFonts w:ascii="Calibri" w:hAnsi="Calibri" w:cs="Calibri"/>
          <w:color w:val="000000"/>
          <w:sz w:val="22"/>
        </w:rPr>
      </w:pPr>
      <w:r w:rsidRPr="00957229">
        <w:rPr>
          <w:rFonts w:ascii="Calibri" w:hAnsi="Calibri" w:cs="Calibri"/>
          <w:color w:val="000000"/>
          <w:sz w:val="22"/>
        </w:rPr>
        <w:t xml:space="preserve">Exigir la figura del defensor del menor en todos los procesos judiciales que le afecten para que su voz se escuche de una forma efectiva y eficaz, exigir que sea pedido directamente por los Tribunales de Justicia, que se admitan estas personaciones sin trabas, y que dicha figura prevista legalmente no se convierta solo en una figura decorativa, o una mera mención legal que nunca se utilice y ello por cuanto, en muchas ocasiones no tienen </w:t>
      </w:r>
      <w:r w:rsidR="00442EDF" w:rsidRPr="00957229">
        <w:rPr>
          <w:rFonts w:ascii="Calibri" w:hAnsi="Calibri" w:cs="Calibri"/>
          <w:color w:val="000000"/>
          <w:sz w:val="22"/>
        </w:rPr>
        <w:t>por qué</w:t>
      </w:r>
      <w:r w:rsidRPr="00957229">
        <w:rPr>
          <w:rFonts w:ascii="Calibri" w:hAnsi="Calibri" w:cs="Calibri"/>
          <w:color w:val="000000"/>
          <w:sz w:val="22"/>
        </w:rPr>
        <w:t xml:space="preserve"> coincidir los interés del menor, con el de sus padres o familia de acogida, y porque este, el niño o la niña tienen derecho a tener una opinión distinta y que esta opinión se escuche de forma autónoma e independiente, defendiendo solo el interés del menor, fijando su defensa en los deseos de dicho menor y en la búsqueda de lo mejor para el siendo, parte en su propio proceso, no un convidado de piedra.</w:t>
      </w:r>
    </w:p>
    <w:p w14:paraId="4009E42A" w14:textId="77777777" w:rsidR="00E746B2" w:rsidRPr="00957229" w:rsidRDefault="00E746B2" w:rsidP="00E746B2">
      <w:pPr>
        <w:rPr>
          <w:rFonts w:ascii="Calibri" w:hAnsi="Calibri" w:cs="Calibri"/>
          <w:color w:val="000000"/>
          <w:sz w:val="22"/>
        </w:rPr>
      </w:pPr>
      <w:r w:rsidRPr="00957229">
        <w:rPr>
          <w:rFonts w:ascii="Calibri" w:hAnsi="Calibri" w:cs="Calibri"/>
          <w:color w:val="000000"/>
          <w:sz w:val="22"/>
        </w:rPr>
        <w:t>El Abogado del Menor existe implementado en países como Francia o Chile y España debe de afrontar su creación a la mayor urgencia.</w:t>
      </w:r>
    </w:p>
    <w:p w14:paraId="5682E9E3" w14:textId="77777777" w:rsidR="00E746B2" w:rsidRPr="00957229" w:rsidRDefault="00E746B2" w:rsidP="00E746B2">
      <w:pPr>
        <w:autoSpaceDE w:val="0"/>
        <w:autoSpaceDN w:val="0"/>
        <w:adjustRightInd w:val="0"/>
        <w:spacing w:after="0"/>
        <w:rPr>
          <w:rFonts w:ascii="Calibri" w:hAnsi="Calibri" w:cs="Calibri"/>
          <w:sz w:val="22"/>
          <w:lang w:eastAsia="es-ES"/>
        </w:rPr>
      </w:pPr>
      <w:r w:rsidRPr="00957229">
        <w:rPr>
          <w:rFonts w:ascii="Calibri" w:hAnsi="Calibri" w:cs="Calibri"/>
          <w:sz w:val="22"/>
          <w:lang w:eastAsia="es-ES"/>
        </w:rPr>
        <w:t>El defensor judicial es una medida disponible tanto a menores como a personas con discapacidad como medida de apoyo, regulada en el Código Civil y la Ley de Jurisdicción Voluntaria. Encontramos así en el Código los arts. 235 y 236 para el defensor judicial del menor, y los arts. 295 a 298 para el defensor judicial de la persona con discapacidad. Encontramos también otros artículos dispersos a lo largo del código de relevancia para el defensor judicial, como los arts. 250 o 264.</w:t>
      </w:r>
    </w:p>
    <w:p w14:paraId="59629EB2" w14:textId="77777777" w:rsidR="00E746B2" w:rsidRPr="00957229" w:rsidRDefault="00E746B2" w:rsidP="00E746B2">
      <w:pPr>
        <w:autoSpaceDE w:val="0"/>
        <w:autoSpaceDN w:val="0"/>
        <w:adjustRightInd w:val="0"/>
        <w:spacing w:after="0"/>
        <w:rPr>
          <w:rFonts w:ascii="Calibri" w:hAnsi="Calibri" w:cs="Calibri"/>
          <w:sz w:val="22"/>
          <w:lang w:eastAsia="es-ES"/>
        </w:rPr>
      </w:pPr>
      <w:r w:rsidRPr="00957229">
        <w:rPr>
          <w:rFonts w:ascii="Calibri" w:hAnsi="Calibri" w:cs="Calibri"/>
          <w:sz w:val="22"/>
          <w:lang w:eastAsia="es-ES"/>
        </w:rPr>
        <w:t xml:space="preserve">El defensor es una figura necesaria, y que mejor que este defensor sea un Abogado especializado en Infancia. </w:t>
      </w:r>
    </w:p>
    <w:p w14:paraId="3995B2F2" w14:textId="3792D8D6" w:rsidR="00E746B2" w:rsidRPr="00957229" w:rsidRDefault="00E746B2" w:rsidP="00E746B2">
      <w:pPr>
        <w:autoSpaceDE w:val="0"/>
        <w:autoSpaceDN w:val="0"/>
        <w:adjustRightInd w:val="0"/>
        <w:spacing w:after="0"/>
        <w:rPr>
          <w:rFonts w:ascii="Calibri" w:hAnsi="Calibri" w:cs="Calibri"/>
          <w:sz w:val="22"/>
          <w:lang w:eastAsia="es-ES"/>
        </w:rPr>
      </w:pPr>
      <w:r w:rsidRPr="00957229">
        <w:rPr>
          <w:rFonts w:ascii="Calibri" w:hAnsi="Calibri" w:cs="Calibri"/>
          <w:sz w:val="22"/>
          <w:lang w:eastAsia="es-ES"/>
        </w:rPr>
        <w:t>Por otro lado, deb</w:t>
      </w:r>
      <w:r w:rsidR="00086D06" w:rsidRPr="00957229">
        <w:rPr>
          <w:rFonts w:ascii="Calibri" w:hAnsi="Calibri" w:cs="Calibri"/>
          <w:sz w:val="22"/>
          <w:lang w:eastAsia="es-ES"/>
        </w:rPr>
        <w:t>e</w:t>
      </w:r>
      <w:r w:rsidRPr="00957229">
        <w:rPr>
          <w:rFonts w:ascii="Calibri" w:hAnsi="Calibri" w:cs="Calibri"/>
          <w:sz w:val="22"/>
          <w:lang w:eastAsia="es-ES"/>
        </w:rPr>
        <w:t xml:space="preserve"> hacer</w:t>
      </w:r>
      <w:r w:rsidR="00086D06" w:rsidRPr="00957229">
        <w:rPr>
          <w:rFonts w:ascii="Calibri" w:hAnsi="Calibri" w:cs="Calibri"/>
          <w:sz w:val="22"/>
          <w:lang w:eastAsia="es-ES"/>
        </w:rPr>
        <w:t>se</w:t>
      </w:r>
      <w:r w:rsidRPr="00957229">
        <w:rPr>
          <w:rFonts w:ascii="Calibri" w:hAnsi="Calibri" w:cs="Calibri"/>
          <w:sz w:val="22"/>
          <w:lang w:eastAsia="es-ES"/>
        </w:rPr>
        <w:t xml:space="preserve"> mención a la reforma que se produjo en la Ley Orgánica 8/2021 con respecto a los artículos 779 y 780 de la vigente Ley de Enjuiciamiento Civil, reduciendo a tres meses el plazo de resolución incluso con las acumulaciones, implementar este </w:t>
      </w:r>
      <w:r w:rsidR="00086D06" w:rsidRPr="00957229">
        <w:rPr>
          <w:rFonts w:ascii="Calibri" w:hAnsi="Calibri" w:cs="Calibri"/>
          <w:sz w:val="22"/>
          <w:lang w:eastAsia="es-ES"/>
        </w:rPr>
        <w:t>artículo</w:t>
      </w:r>
      <w:r w:rsidRPr="00957229">
        <w:rPr>
          <w:rFonts w:ascii="Calibri" w:hAnsi="Calibri" w:cs="Calibri"/>
          <w:sz w:val="22"/>
          <w:lang w:eastAsia="es-ES"/>
        </w:rPr>
        <w:t xml:space="preserve"> es imposible y una autentica utopía, sobre todo si además se producen múltiples resoluciones administrativas directamente ejecutables y que deben de verse en un solo procedimiento, Pero es más también la Ley Orgánica 8/2021, contempla la personación del menor, la posibilidad de pedir medidas cautelares, y ello no se encuentra implementado, hasta que no veamos un efectivo reconocimiento del menor a designar Abogado que le defienda, debiendo de extenderse todos estos Derechos, tanto al expediente administrativo como al judicial, pues se comprueba que pese a las modificaciones del riesgo efectuada en el </w:t>
      </w:r>
      <w:r w:rsidR="00086D06" w:rsidRPr="00957229">
        <w:rPr>
          <w:rFonts w:ascii="Calibri" w:hAnsi="Calibri" w:cs="Calibri"/>
          <w:sz w:val="22"/>
          <w:lang w:eastAsia="es-ES"/>
        </w:rPr>
        <w:t>artículo</w:t>
      </w:r>
      <w:r w:rsidRPr="00957229">
        <w:rPr>
          <w:rFonts w:ascii="Calibri" w:hAnsi="Calibri" w:cs="Calibri"/>
          <w:sz w:val="22"/>
          <w:lang w:eastAsia="es-ES"/>
        </w:rPr>
        <w:t xml:space="preserve"> 17 de la Ley 26/2015 que modifico la Ley 1/1996 de protección Jurídica del Menor por la Ley Orgánica </w:t>
      </w:r>
      <w:r w:rsidRPr="00957229">
        <w:rPr>
          <w:rFonts w:ascii="Calibri" w:hAnsi="Calibri" w:cs="Calibri"/>
          <w:sz w:val="22"/>
          <w:lang w:eastAsia="es-ES"/>
        </w:rPr>
        <w:lastRenderedPageBreak/>
        <w:t xml:space="preserve">8/2021, los servicios sociales siguen contemplado la retirada del menor no  como </w:t>
      </w:r>
      <w:r w:rsidR="00086D06" w:rsidRPr="00957229">
        <w:rPr>
          <w:rFonts w:ascii="Calibri" w:hAnsi="Calibri" w:cs="Calibri"/>
          <w:sz w:val="22"/>
          <w:lang w:eastAsia="es-ES"/>
        </w:rPr>
        <w:t>último</w:t>
      </w:r>
      <w:r w:rsidRPr="00957229">
        <w:rPr>
          <w:rFonts w:ascii="Calibri" w:hAnsi="Calibri" w:cs="Calibri"/>
          <w:sz w:val="22"/>
          <w:lang w:eastAsia="es-ES"/>
        </w:rPr>
        <w:t xml:space="preserve"> recurso sino como el primero.</w:t>
      </w:r>
    </w:p>
    <w:p w14:paraId="4C22ECBD" w14:textId="77777777" w:rsidR="00E746B2" w:rsidRPr="00957229" w:rsidRDefault="00E746B2" w:rsidP="00E746B2">
      <w:pPr>
        <w:autoSpaceDE w:val="0"/>
        <w:autoSpaceDN w:val="0"/>
        <w:adjustRightInd w:val="0"/>
        <w:spacing w:after="0"/>
        <w:rPr>
          <w:rFonts w:ascii="Calibri" w:hAnsi="Calibri" w:cs="Calibri"/>
          <w:color w:val="000000"/>
          <w:sz w:val="22"/>
        </w:rPr>
      </w:pPr>
      <w:r w:rsidRPr="00957229">
        <w:rPr>
          <w:rFonts w:ascii="Calibri" w:hAnsi="Calibri" w:cs="Calibri"/>
          <w:sz w:val="22"/>
          <w:lang w:eastAsia="es-ES"/>
        </w:rPr>
        <w:t>Y si todo esto es difícil para un menor sin discapacidad, para un menor con discapacidad y tutelado además por la administración resulta prácticamente inviable.</w:t>
      </w:r>
    </w:p>
    <w:p w14:paraId="72E0E2CD" w14:textId="77777777" w:rsidR="00E746B2" w:rsidRPr="00957229" w:rsidRDefault="00E746B2" w:rsidP="00E746B2">
      <w:pPr>
        <w:rPr>
          <w:rFonts w:ascii="Calibri" w:hAnsi="Calibri" w:cs="Calibri"/>
          <w:color w:val="000000"/>
          <w:sz w:val="22"/>
        </w:rPr>
      </w:pPr>
    </w:p>
    <w:p w14:paraId="01B3B02D" w14:textId="77777777" w:rsidR="00A45164" w:rsidRPr="00957229" w:rsidRDefault="00A45164" w:rsidP="00986080">
      <w:pPr>
        <w:pStyle w:val="Heading4"/>
        <w:rPr>
          <w:rFonts w:ascii="Calibri" w:hAnsi="Calibri" w:cs="Calibri"/>
          <w:sz w:val="22"/>
        </w:rPr>
      </w:pPr>
      <w:r w:rsidRPr="00957229">
        <w:rPr>
          <w:rFonts w:ascii="Calibri" w:hAnsi="Calibri" w:cs="Calibri"/>
          <w:sz w:val="22"/>
        </w:rPr>
        <w:t>El niño con discapacidad y su derecho fundamental a la educación</w:t>
      </w:r>
    </w:p>
    <w:p w14:paraId="1468D583" w14:textId="77777777" w:rsidR="00A45164" w:rsidRPr="00957229" w:rsidRDefault="00A45164" w:rsidP="00A45164">
      <w:pPr>
        <w:rPr>
          <w:rFonts w:ascii="Calibri" w:hAnsi="Calibri" w:cs="Calibri"/>
          <w:color w:val="000000"/>
          <w:sz w:val="22"/>
        </w:rPr>
      </w:pPr>
      <w:r w:rsidRPr="00957229">
        <w:rPr>
          <w:rFonts w:ascii="Calibri" w:hAnsi="Calibri" w:cs="Calibri"/>
          <w:color w:val="000000"/>
          <w:sz w:val="22"/>
        </w:rPr>
        <w:t>Las dificultades para el niño con discapacidad que supone el actuar sistema educativo, la peculiaridad del sistema autonómico español y el hecho de que las comunidades autónomas, tenga competencias para legislar en esta materia, hace que a veces nos encontremos con demasiada legislación, que debe de ser consolidad por una legislación estatal que sirva de base y de guía.</w:t>
      </w:r>
    </w:p>
    <w:p w14:paraId="7113B66E" w14:textId="21640036" w:rsidR="00E746B2" w:rsidRPr="00957229" w:rsidRDefault="00E746B2" w:rsidP="00A45164">
      <w:pPr>
        <w:rPr>
          <w:rFonts w:ascii="Calibri" w:hAnsi="Calibri" w:cs="Calibri"/>
          <w:color w:val="000000"/>
          <w:sz w:val="22"/>
        </w:rPr>
      </w:pPr>
      <w:r w:rsidRPr="00957229">
        <w:rPr>
          <w:rFonts w:ascii="Calibri" w:hAnsi="Calibri" w:cs="Calibri"/>
          <w:color w:val="000000"/>
          <w:sz w:val="22"/>
        </w:rPr>
        <w:t xml:space="preserve">La necesidad del apoyo educativo en la discapacidad, no solo debe de ser dotado de medios, y de profesionales adecuados, la falta de medios, en este ámbito también es notoria, faltan apoyos, equipos psicológicos, equipos de apoyo, clases de apoyo según las discapacidades, es necesario un mayor control de estos alumnos en el sentido de proteger su integridad y sus derechos, la discapacidad provoca vulnerabilidad y esa vulnerabilidad, puede llegar a graves casos de acoso escolar que deben de ser parados desde el primer momento. Son necesarios protocolos en materia de acoso que se implementen y se hagan una realidad, que no de miedo a abordar el problema, precisamente el obviar un conflicto puede llegar a un mayor avance del mismo, convirtiéndose en una gran bola de nieve que sea imposible de derretir, cuando se aborde. </w:t>
      </w:r>
    </w:p>
    <w:p w14:paraId="1C4A82F0" w14:textId="77777777" w:rsidR="00E746B2" w:rsidRPr="00957229" w:rsidRDefault="00E746B2" w:rsidP="00E746B2">
      <w:pPr>
        <w:rPr>
          <w:rFonts w:ascii="Calibri" w:hAnsi="Calibri" w:cs="Calibri"/>
          <w:color w:val="000000"/>
          <w:sz w:val="22"/>
        </w:rPr>
      </w:pPr>
      <w:r w:rsidRPr="00957229">
        <w:rPr>
          <w:rFonts w:ascii="Calibri" w:hAnsi="Calibri" w:cs="Calibri"/>
          <w:color w:val="000000"/>
          <w:sz w:val="22"/>
        </w:rPr>
        <w:t xml:space="preserve">La educación, la puesta en valores de la discapacidad, la igualdad, todo ello debe de ser fomentado desde la familia y por supuesto por la escuela como valor y eje vertebrados de la formación de ciudadanos de todos los países del mundo. </w:t>
      </w:r>
    </w:p>
    <w:p w14:paraId="718DF718" w14:textId="77777777" w:rsidR="00E746B2" w:rsidRPr="00957229" w:rsidRDefault="00E746B2" w:rsidP="00E746B2">
      <w:pPr>
        <w:rPr>
          <w:rFonts w:ascii="Calibri" w:hAnsi="Calibri" w:cs="Calibri"/>
          <w:color w:val="000000"/>
          <w:sz w:val="22"/>
        </w:rPr>
      </w:pPr>
      <w:r w:rsidRPr="00957229">
        <w:rPr>
          <w:rFonts w:ascii="Calibri" w:hAnsi="Calibri" w:cs="Calibri"/>
          <w:color w:val="000000"/>
          <w:sz w:val="22"/>
        </w:rPr>
        <w:t>Debiendo de recordar que la escuela tal y como la familia son contemplada por la Ley Orgánica 8/2021 como espacios seguros para el menor, y por tanto el menor debe de ser protegido ante cualquier situación de violencia, ya provenga de cualquier tipo de acoso, incluido el informático, como las posibles consecuencias de estas actuaciones, y sobre todo cuando afecta a colectivos vulnerables como son los niños y niñas con discapacidad.</w:t>
      </w:r>
    </w:p>
    <w:p w14:paraId="6E4D3F9D" w14:textId="38641181" w:rsidR="00E746B2" w:rsidRPr="00957229" w:rsidRDefault="00E746B2" w:rsidP="00E746B2">
      <w:pPr>
        <w:pStyle w:val="CM67"/>
        <w:spacing w:after="142"/>
        <w:jc w:val="both"/>
        <w:rPr>
          <w:rFonts w:ascii="Calibri" w:hAnsi="Calibri" w:cs="Calibri"/>
          <w:color w:val="000000"/>
          <w:sz w:val="22"/>
          <w:szCs w:val="22"/>
        </w:rPr>
      </w:pPr>
      <w:r w:rsidRPr="00957229">
        <w:rPr>
          <w:rFonts w:ascii="Calibri" w:hAnsi="Calibri" w:cs="Calibri"/>
          <w:color w:val="000000"/>
          <w:sz w:val="22"/>
          <w:szCs w:val="22"/>
        </w:rPr>
        <w:t>La Convención de Derechos del Niño lleva a los Estados a tener obligaciones respecto de niños en que confluyen circunstancias que les colocan en situaciones de múltiple vulnerabilidad, a fin de reducir las mayores barreras para el ejer</w:t>
      </w:r>
      <w:r w:rsidRPr="00957229">
        <w:rPr>
          <w:rFonts w:ascii="Calibri" w:hAnsi="Calibri" w:cs="Calibri"/>
          <w:color w:val="000000"/>
          <w:sz w:val="22"/>
          <w:szCs w:val="22"/>
        </w:rPr>
        <w:softHyphen/>
        <w:t>cicio de sus derechos: es el caso de los niños privados de su ambiente familiar (Artículo 20); de los niños refugiados (Artículo 22); de los niños con discapacidad (Artículo 23); de los niños al cuidado de instituciones públicas (Artículo 25); de los niños de minorías o grupos indígenas (Artículo 30); de los niños que se encuentran en conflictos armados (Artículo 38)</w:t>
      </w:r>
      <w:r w:rsidR="00442EDF">
        <w:rPr>
          <w:rFonts w:ascii="Calibri" w:hAnsi="Calibri" w:cs="Calibri"/>
          <w:color w:val="000000"/>
          <w:sz w:val="22"/>
          <w:szCs w:val="22"/>
        </w:rPr>
        <w:t>.</w:t>
      </w:r>
      <w:r w:rsidRPr="00957229">
        <w:rPr>
          <w:rFonts w:ascii="Calibri" w:hAnsi="Calibri" w:cs="Calibri"/>
          <w:color w:val="000000"/>
          <w:sz w:val="22"/>
          <w:szCs w:val="22"/>
        </w:rPr>
        <w:t xml:space="preserve"> </w:t>
      </w:r>
    </w:p>
    <w:p w14:paraId="248E5975" w14:textId="77777777" w:rsidR="00E746B2" w:rsidRPr="00957229" w:rsidRDefault="00E746B2" w:rsidP="00E746B2">
      <w:pPr>
        <w:pStyle w:val="CM67"/>
        <w:spacing w:after="142"/>
        <w:jc w:val="both"/>
        <w:rPr>
          <w:rFonts w:ascii="Calibri" w:hAnsi="Calibri" w:cs="Calibri"/>
          <w:color w:val="000000"/>
          <w:sz w:val="22"/>
          <w:szCs w:val="22"/>
        </w:rPr>
      </w:pPr>
      <w:r w:rsidRPr="00957229">
        <w:rPr>
          <w:rFonts w:ascii="Calibri" w:hAnsi="Calibri" w:cs="Calibri"/>
          <w:color w:val="000000"/>
          <w:sz w:val="22"/>
          <w:szCs w:val="22"/>
        </w:rPr>
        <w:t>En este sentido, el tiempo para un niño se mide de forma distinta que para un adulto. Si se tarda en llegar al pleno respeto de los derechos de un niño, ese niño deja de ser niño y los daños producidos pueden ser irre</w:t>
      </w:r>
      <w:r w:rsidRPr="00957229">
        <w:rPr>
          <w:rFonts w:ascii="Calibri" w:hAnsi="Calibri" w:cs="Calibri"/>
          <w:color w:val="000000"/>
          <w:sz w:val="22"/>
          <w:szCs w:val="22"/>
        </w:rPr>
        <w:softHyphen/>
        <w:t>parables. La segunda, que lo urgente no debe hacer perder de vista lo importante. Es nece</w:t>
      </w:r>
      <w:r w:rsidRPr="00957229">
        <w:rPr>
          <w:rFonts w:ascii="Calibri" w:hAnsi="Calibri" w:cs="Calibri"/>
          <w:color w:val="000000"/>
          <w:sz w:val="22"/>
          <w:szCs w:val="22"/>
        </w:rPr>
        <w:softHyphen/>
        <w:t xml:space="preserve">sario tener una visión holística de los derechos y comprender que la clave está en conseguir que se acepte el cambio de paradigma que consagró la Convención en 1989. </w:t>
      </w:r>
    </w:p>
    <w:p w14:paraId="0B920601" w14:textId="77777777" w:rsidR="00E746B2" w:rsidRPr="00957229" w:rsidRDefault="00E746B2" w:rsidP="004260B2">
      <w:pPr>
        <w:rPr>
          <w:rFonts w:ascii="Calibri" w:hAnsi="Calibri" w:cs="Calibri"/>
          <w:sz w:val="22"/>
        </w:rPr>
      </w:pPr>
    </w:p>
    <w:p w14:paraId="415567F5" w14:textId="77777777" w:rsidR="00B207FB" w:rsidRPr="00957229" w:rsidRDefault="00B207FB" w:rsidP="001068AD">
      <w:pPr>
        <w:pStyle w:val="Heading2"/>
        <w:rPr>
          <w:rFonts w:ascii="Calibri" w:hAnsi="Calibri" w:cs="Calibri"/>
          <w:sz w:val="22"/>
        </w:rPr>
      </w:pPr>
      <w:r w:rsidRPr="00957229">
        <w:rPr>
          <w:rFonts w:ascii="Calibri" w:hAnsi="Calibri" w:cs="Calibri"/>
          <w:sz w:val="22"/>
        </w:rPr>
        <w:lastRenderedPageBreak/>
        <w:t>Relativo a la cuestión I), sobre las medidas especiales de protección. Niños no acompañados y el Sistema Judicial</w:t>
      </w:r>
    </w:p>
    <w:p w14:paraId="04820477" w14:textId="77777777" w:rsidR="00B207FB" w:rsidRPr="00957229" w:rsidRDefault="00B207FB" w:rsidP="00B207FB">
      <w:pPr>
        <w:rPr>
          <w:rFonts w:ascii="Calibri" w:hAnsi="Calibri" w:cs="Calibri"/>
          <w:sz w:val="22"/>
        </w:rPr>
      </w:pPr>
      <w:r w:rsidRPr="00957229">
        <w:rPr>
          <w:rFonts w:ascii="Calibri" w:hAnsi="Calibri" w:cs="Calibri"/>
          <w:sz w:val="22"/>
        </w:rPr>
        <w:t>Los niños no acompañados plantean preocupaciones significativas, generando desafíos legales, sociales y humanitarios que requieren una atención especial por parte del sistema judicial. En este sentido, el sistema judicial desempeña un papel crucial en la protección y tratamiento de estos menores, garantizando sus derechos y proporcionando soluciones legales adecuadas.</w:t>
      </w:r>
    </w:p>
    <w:p w14:paraId="0AF1F046" w14:textId="77777777" w:rsidR="00B207FB" w:rsidRPr="00957229" w:rsidRDefault="00B207FB" w:rsidP="00883891">
      <w:pPr>
        <w:pStyle w:val="Heading4"/>
        <w:numPr>
          <w:ilvl w:val="0"/>
          <w:numId w:val="12"/>
        </w:numPr>
        <w:rPr>
          <w:rFonts w:ascii="Calibri" w:hAnsi="Calibri" w:cs="Calibri"/>
          <w:sz w:val="22"/>
        </w:rPr>
      </w:pPr>
      <w:r w:rsidRPr="00957229">
        <w:rPr>
          <w:rFonts w:ascii="Calibri" w:hAnsi="Calibri" w:cs="Calibri"/>
          <w:sz w:val="22"/>
        </w:rPr>
        <w:t>Irregularidades e incumplimientos jurídicos y sociales:</w:t>
      </w:r>
    </w:p>
    <w:p w14:paraId="7E9B52E4" w14:textId="77777777" w:rsidR="00B207FB" w:rsidRPr="00957229" w:rsidRDefault="00B207FB" w:rsidP="00B207FB">
      <w:pPr>
        <w:rPr>
          <w:rFonts w:ascii="Calibri" w:hAnsi="Calibri" w:cs="Calibri"/>
          <w:sz w:val="22"/>
        </w:rPr>
      </w:pPr>
      <w:r w:rsidRPr="00957229">
        <w:rPr>
          <w:rFonts w:ascii="Calibri" w:hAnsi="Calibri" w:cs="Calibri"/>
          <w:sz w:val="22"/>
        </w:rPr>
        <w:t>Identificación y Protección: Es fundamental que los sistemas judiciales establezcan procedimientos eficaces para identificar tempranamente a los niños no acompañados y asegurar su protección integral, incluyendo asistencia legal y psicosocial.</w:t>
      </w:r>
    </w:p>
    <w:p w14:paraId="27C7EE24" w14:textId="77777777" w:rsidR="00B207FB" w:rsidRPr="00957229" w:rsidRDefault="00B207FB" w:rsidP="00B207FB">
      <w:pPr>
        <w:rPr>
          <w:rFonts w:ascii="Calibri" w:hAnsi="Calibri" w:cs="Calibri"/>
          <w:sz w:val="22"/>
        </w:rPr>
      </w:pPr>
      <w:r w:rsidRPr="00957229">
        <w:rPr>
          <w:rFonts w:ascii="Calibri" w:hAnsi="Calibri" w:cs="Calibri"/>
          <w:sz w:val="22"/>
        </w:rPr>
        <w:t>Determinación del Estatuto de Residencia: Los niños no acompañados a menudo enfrentan incertidumbre sobre su estatuto legal. Por lo tanto, el sistema judicial debe abordar esta cuestión de manera justa y transparente, garantizando el respeto de sus derechos de acuerdo con las leyes nacionales e internacionales.</w:t>
      </w:r>
    </w:p>
    <w:p w14:paraId="3C07918D" w14:textId="77777777" w:rsidR="00B207FB" w:rsidRPr="00957229" w:rsidRDefault="00B207FB" w:rsidP="00B207FB">
      <w:pPr>
        <w:rPr>
          <w:rFonts w:ascii="Calibri" w:hAnsi="Calibri" w:cs="Calibri"/>
          <w:sz w:val="22"/>
        </w:rPr>
      </w:pPr>
      <w:r w:rsidRPr="00957229">
        <w:rPr>
          <w:rFonts w:ascii="Calibri" w:hAnsi="Calibri" w:cs="Calibri"/>
          <w:sz w:val="22"/>
        </w:rPr>
        <w:t>Reunificación Familiar: La reunificación familiar es un objetivo crucial para muchos niños no acompañados. En consecuencia, el sistema judicial debe facilitar este proceso de manera diligente, considerando siempre el interés superior del menor en todas las decisiones relacionadas.</w:t>
      </w:r>
    </w:p>
    <w:p w14:paraId="0967AA17" w14:textId="77777777" w:rsidR="00B207FB" w:rsidRPr="00957229" w:rsidRDefault="00B207FB" w:rsidP="00B207FB">
      <w:pPr>
        <w:rPr>
          <w:rFonts w:ascii="Calibri" w:hAnsi="Calibri" w:cs="Calibri"/>
          <w:sz w:val="22"/>
        </w:rPr>
      </w:pPr>
      <w:r w:rsidRPr="00957229">
        <w:rPr>
          <w:rFonts w:ascii="Calibri" w:hAnsi="Calibri" w:cs="Calibri"/>
          <w:sz w:val="22"/>
        </w:rPr>
        <w:t>Acceso a la Justicia: Es esencial garantizar que los niños no acompañados tengan acceso efectivo a la justicia, lo que implica proporcionarles información clara sobre sus derechos legales y asegurarles representación legal adecuada durante los procedimientos judiciales.</w:t>
      </w:r>
    </w:p>
    <w:p w14:paraId="68F4DBFE" w14:textId="77777777" w:rsidR="00B207FB" w:rsidRPr="00957229" w:rsidRDefault="00B207FB" w:rsidP="00B207FB">
      <w:pPr>
        <w:rPr>
          <w:rFonts w:ascii="Calibri" w:hAnsi="Calibri" w:cs="Calibri"/>
          <w:sz w:val="22"/>
        </w:rPr>
      </w:pPr>
      <w:r w:rsidRPr="00957229">
        <w:rPr>
          <w:rFonts w:ascii="Calibri" w:hAnsi="Calibri" w:cs="Calibri"/>
          <w:sz w:val="22"/>
        </w:rPr>
        <w:t>Para abordar estas cuestiones de manera efectiva, se requieren respuestas concretas por parte del sistema judicial:</w:t>
      </w:r>
    </w:p>
    <w:p w14:paraId="14A87C7D" w14:textId="77777777" w:rsidR="00B207FB" w:rsidRPr="00957229" w:rsidRDefault="00B207FB" w:rsidP="00B207FB">
      <w:pPr>
        <w:rPr>
          <w:rFonts w:ascii="Calibri" w:hAnsi="Calibri" w:cs="Calibri"/>
          <w:sz w:val="22"/>
        </w:rPr>
      </w:pPr>
      <w:r w:rsidRPr="00957229">
        <w:rPr>
          <w:rFonts w:ascii="Calibri" w:hAnsi="Calibri" w:cs="Calibri"/>
          <w:sz w:val="22"/>
        </w:rPr>
        <w:t>Procedimientos Específicos para niños no acompañados: Los sistemas judiciales deben establecer procedimientos específicos para abordar los casos de niños no acompañados de manera más eficiente y comprensiva. Esto debe incluir la designación de jueces especializados en la materia.</w:t>
      </w:r>
    </w:p>
    <w:p w14:paraId="1EBC7964" w14:textId="77777777" w:rsidR="00B207FB" w:rsidRPr="00957229" w:rsidRDefault="00B207FB" w:rsidP="00B207FB">
      <w:pPr>
        <w:rPr>
          <w:rFonts w:ascii="Calibri" w:hAnsi="Calibri" w:cs="Calibri"/>
          <w:sz w:val="22"/>
        </w:rPr>
      </w:pPr>
      <w:r w:rsidRPr="00957229">
        <w:rPr>
          <w:rFonts w:ascii="Calibri" w:hAnsi="Calibri" w:cs="Calibri"/>
          <w:sz w:val="22"/>
        </w:rPr>
        <w:t>Coordinación Interinstitucional: La colaboración entre el sistema judicial, las autoridades de protección de la infancia, las organizaciones de la sociedad civil y otras partes interesadas es esencial para garantizar una respuesta integral a las necesidades de los niños no acompañados.</w:t>
      </w:r>
    </w:p>
    <w:p w14:paraId="3F89AAB9" w14:textId="77777777" w:rsidR="00B207FB" w:rsidRPr="00957229" w:rsidRDefault="00B207FB" w:rsidP="00B207FB">
      <w:pPr>
        <w:rPr>
          <w:rFonts w:ascii="Calibri" w:hAnsi="Calibri" w:cs="Calibri"/>
          <w:sz w:val="22"/>
        </w:rPr>
      </w:pPr>
      <w:r w:rsidRPr="00957229">
        <w:rPr>
          <w:rFonts w:ascii="Calibri" w:hAnsi="Calibri" w:cs="Calibri"/>
          <w:sz w:val="22"/>
        </w:rPr>
        <w:t>Capacitación y Sensibilización: Es crucial capacitar a los profesionales del sistema judicial sobre los problemas específicos que enfrentan los niños no acompañados y sensibilizar a la comunidad legal sobre la importancia de proteger los derechos de estos menores.</w:t>
      </w:r>
    </w:p>
    <w:p w14:paraId="1F675A4B" w14:textId="77777777" w:rsidR="00B207FB" w:rsidRPr="00957229" w:rsidRDefault="00B207FB" w:rsidP="00B207FB">
      <w:pPr>
        <w:rPr>
          <w:rFonts w:ascii="Calibri" w:hAnsi="Calibri" w:cs="Calibri"/>
          <w:sz w:val="22"/>
        </w:rPr>
      </w:pPr>
      <w:r w:rsidRPr="00957229">
        <w:rPr>
          <w:rFonts w:ascii="Calibri" w:hAnsi="Calibri" w:cs="Calibri"/>
          <w:sz w:val="22"/>
        </w:rPr>
        <w:t>Seguimiento y Evaluación: Los sistemas judiciales deben establecer mecanismos de seguimiento y evaluación para supervisar la implementación de políticas relacionadas con los niños no acompañados y garantizar que se cumplan sus derechos en la práctica.</w:t>
      </w:r>
    </w:p>
    <w:p w14:paraId="5AFFB5FA" w14:textId="77777777" w:rsidR="00B207FB" w:rsidRPr="00957229" w:rsidRDefault="00B207FB" w:rsidP="00986080">
      <w:pPr>
        <w:pStyle w:val="Heading4"/>
        <w:rPr>
          <w:rFonts w:ascii="Calibri" w:hAnsi="Calibri" w:cs="Calibri"/>
          <w:sz w:val="22"/>
        </w:rPr>
      </w:pPr>
      <w:r w:rsidRPr="00957229">
        <w:rPr>
          <w:rFonts w:ascii="Calibri" w:hAnsi="Calibri" w:cs="Calibri"/>
          <w:sz w:val="22"/>
        </w:rPr>
        <w:lastRenderedPageBreak/>
        <w:t>Acceso a la justicia</w:t>
      </w:r>
    </w:p>
    <w:p w14:paraId="1EF523A5" w14:textId="77777777" w:rsidR="00B207FB" w:rsidRPr="00957229" w:rsidRDefault="00B207FB" w:rsidP="00B207FB">
      <w:pPr>
        <w:rPr>
          <w:rFonts w:ascii="Calibri" w:hAnsi="Calibri" w:cs="Calibri"/>
          <w:sz w:val="22"/>
        </w:rPr>
      </w:pPr>
      <w:r w:rsidRPr="00957229">
        <w:rPr>
          <w:rFonts w:ascii="Calibri" w:hAnsi="Calibri" w:cs="Calibri"/>
          <w:sz w:val="22"/>
        </w:rPr>
        <w:t>El acceso a la justicia para niños no acompañados es esencial para proteger sus derechos y bienestar. Las deficiencias y soluciones son las siguientes:</w:t>
      </w:r>
    </w:p>
    <w:p w14:paraId="3D653307" w14:textId="77777777" w:rsidR="00B207FB" w:rsidRPr="00957229" w:rsidRDefault="00B207FB" w:rsidP="00B207FB">
      <w:pPr>
        <w:rPr>
          <w:rFonts w:ascii="Calibri" w:hAnsi="Calibri" w:cs="Calibri"/>
          <w:sz w:val="22"/>
        </w:rPr>
      </w:pPr>
      <w:r w:rsidRPr="00957229">
        <w:rPr>
          <w:rFonts w:ascii="Calibri" w:hAnsi="Calibri" w:cs="Calibri"/>
          <w:sz w:val="22"/>
        </w:rPr>
        <w:t>Falta de Representación Legal: Muchos carecen de acceso a representación legal adecuada debido a barreras económicas o la complejidad del sistema legal, lo que dificulta la comprensión de sus derechos y opciones legales.</w:t>
      </w:r>
    </w:p>
    <w:p w14:paraId="6E637552" w14:textId="77777777" w:rsidR="00B207FB" w:rsidRPr="00957229" w:rsidRDefault="00B207FB" w:rsidP="00B207FB">
      <w:pPr>
        <w:rPr>
          <w:rFonts w:ascii="Calibri" w:hAnsi="Calibri" w:cs="Calibri"/>
          <w:sz w:val="22"/>
        </w:rPr>
      </w:pPr>
      <w:r w:rsidRPr="00957229">
        <w:rPr>
          <w:rFonts w:ascii="Calibri" w:hAnsi="Calibri" w:cs="Calibri"/>
          <w:sz w:val="22"/>
        </w:rPr>
        <w:t>Idioma y Cultura: Los niños no acompañados que no hablan el idioma local se enfrentan dificultades adicionales para acceder a la justicia. La barrera del idioma complica la comunicación con abogados y autoridades judiciales.</w:t>
      </w:r>
    </w:p>
    <w:p w14:paraId="7898CC90" w14:textId="77777777" w:rsidR="00B207FB" w:rsidRPr="00957229" w:rsidRDefault="00B207FB" w:rsidP="00B207FB">
      <w:pPr>
        <w:rPr>
          <w:rFonts w:ascii="Calibri" w:hAnsi="Calibri" w:cs="Calibri"/>
          <w:sz w:val="22"/>
        </w:rPr>
      </w:pPr>
      <w:r w:rsidRPr="00957229">
        <w:rPr>
          <w:rFonts w:ascii="Calibri" w:hAnsi="Calibri" w:cs="Calibri"/>
          <w:sz w:val="22"/>
        </w:rPr>
        <w:t>Falta de Información: A menudo tienen poco conocimiento sobre el sistema legal y recursos disponibles. Esto puede llevar a subutilización de servicios legales y mayor vulnerabilidad.</w:t>
      </w:r>
    </w:p>
    <w:p w14:paraId="18ECA13B" w14:textId="77777777" w:rsidR="00B207FB" w:rsidRPr="00957229" w:rsidRDefault="00B207FB" w:rsidP="00B207FB">
      <w:pPr>
        <w:rPr>
          <w:rFonts w:ascii="Calibri" w:hAnsi="Calibri" w:cs="Calibri"/>
          <w:sz w:val="22"/>
        </w:rPr>
      </w:pPr>
      <w:r w:rsidRPr="00957229">
        <w:rPr>
          <w:rFonts w:ascii="Calibri" w:hAnsi="Calibri" w:cs="Calibri"/>
          <w:sz w:val="22"/>
        </w:rPr>
        <w:t>Procedimientos Inadecuados: Los procedimientos judiciales no consideran las necesidades y circunstancias específicas de los niños no acompañados, careciendo de sensibilidad hacia sus experiencias traumáticas y medidas de protección adecuadas.</w:t>
      </w:r>
    </w:p>
    <w:p w14:paraId="48F22415" w14:textId="77777777" w:rsidR="00B207FB" w:rsidRPr="00957229" w:rsidRDefault="00B207FB" w:rsidP="00B207FB">
      <w:pPr>
        <w:rPr>
          <w:rFonts w:ascii="Calibri" w:hAnsi="Calibri" w:cs="Calibri"/>
          <w:sz w:val="22"/>
        </w:rPr>
      </w:pPr>
      <w:r w:rsidRPr="00957229">
        <w:rPr>
          <w:rFonts w:ascii="Calibri" w:hAnsi="Calibri" w:cs="Calibri"/>
          <w:sz w:val="22"/>
        </w:rPr>
        <w:t>Propuestas de Solución:</w:t>
      </w:r>
    </w:p>
    <w:p w14:paraId="0C5F16B1" w14:textId="77777777" w:rsidR="00B207FB" w:rsidRPr="00957229" w:rsidRDefault="00B207FB" w:rsidP="00B207FB">
      <w:pPr>
        <w:rPr>
          <w:rFonts w:ascii="Calibri" w:hAnsi="Calibri" w:cs="Calibri"/>
          <w:sz w:val="22"/>
        </w:rPr>
      </w:pPr>
      <w:r w:rsidRPr="00957229">
        <w:rPr>
          <w:rFonts w:ascii="Calibri" w:hAnsi="Calibri" w:cs="Calibri"/>
          <w:sz w:val="22"/>
        </w:rPr>
        <w:t>Asistencia Legal Gratuita: Garantizar acceso gratuito a servicios legales de calidad mediante fondos asignados a programas específicos para esta población vulnerable.</w:t>
      </w:r>
    </w:p>
    <w:p w14:paraId="36F64EB5" w14:textId="77777777" w:rsidR="00B207FB" w:rsidRPr="00957229" w:rsidRDefault="00B207FB" w:rsidP="00B207FB">
      <w:pPr>
        <w:rPr>
          <w:rFonts w:ascii="Calibri" w:hAnsi="Calibri" w:cs="Calibri"/>
          <w:sz w:val="22"/>
        </w:rPr>
      </w:pPr>
      <w:r w:rsidRPr="00957229">
        <w:rPr>
          <w:rFonts w:ascii="Calibri" w:hAnsi="Calibri" w:cs="Calibri"/>
          <w:sz w:val="22"/>
        </w:rPr>
        <w:t>Intérpretes y Traductores: Proporcionar servicios profesionales de interpretación y traducción para una comunicación efectiva en el idioma de los niños.</w:t>
      </w:r>
    </w:p>
    <w:p w14:paraId="22363765" w14:textId="77777777" w:rsidR="00B207FB" w:rsidRPr="00957229" w:rsidRDefault="00B207FB" w:rsidP="00B207FB">
      <w:pPr>
        <w:rPr>
          <w:rFonts w:ascii="Calibri" w:hAnsi="Calibri" w:cs="Calibri"/>
          <w:sz w:val="22"/>
        </w:rPr>
      </w:pPr>
      <w:r w:rsidRPr="00957229">
        <w:rPr>
          <w:rFonts w:ascii="Calibri" w:hAnsi="Calibri" w:cs="Calibri"/>
          <w:sz w:val="22"/>
        </w:rPr>
        <w:t>Capacitación para Profesionales del Derecho: Entrenamiento especializado sobre derechos y necesidades de niños no acompañados para abogados, jueces y otros profesionales del derecho, incluyendo sensibilización sobre trauma y enfoques culturalmente sensibles.</w:t>
      </w:r>
    </w:p>
    <w:p w14:paraId="14F7D5AA" w14:textId="77777777" w:rsidR="00B207FB" w:rsidRPr="00957229" w:rsidRDefault="00B207FB" w:rsidP="00B207FB">
      <w:pPr>
        <w:rPr>
          <w:rFonts w:ascii="Calibri" w:hAnsi="Calibri" w:cs="Calibri"/>
          <w:sz w:val="22"/>
        </w:rPr>
      </w:pPr>
      <w:r w:rsidRPr="00957229">
        <w:rPr>
          <w:rFonts w:ascii="Calibri" w:hAnsi="Calibri" w:cs="Calibri"/>
          <w:sz w:val="22"/>
        </w:rPr>
        <w:t>Información Accesible y Comprensible: Desarrollar materiales informativos claros y accesibles sobre el sistema legal y derechos de los niños no acompañados en varios idiomas, disponibles en lugares de llegada y centros de acogida.</w:t>
      </w:r>
    </w:p>
    <w:p w14:paraId="02CCA88A" w14:textId="54C326F0" w:rsidR="00B207FB" w:rsidRDefault="00B207FB" w:rsidP="00B207FB">
      <w:pPr>
        <w:rPr>
          <w:rFonts w:ascii="Calibri" w:hAnsi="Calibri" w:cs="Calibri"/>
          <w:sz w:val="22"/>
        </w:rPr>
      </w:pPr>
      <w:r w:rsidRPr="00957229">
        <w:rPr>
          <w:rFonts w:ascii="Calibri" w:hAnsi="Calibri" w:cs="Calibri"/>
          <w:sz w:val="22"/>
        </w:rPr>
        <w:t>Procedimientos Adaptados: Adaptar los procedimientos judiciales para considerar las necesidades específicas de los niños no acompañados, como realizar entrevistas en entornos seguros y designar abogados para representar sus intereses durante procedimientos legales.</w:t>
      </w:r>
    </w:p>
    <w:p w14:paraId="5DB9979B" w14:textId="77777777" w:rsidR="003359A2" w:rsidRPr="00957229" w:rsidRDefault="003359A2" w:rsidP="00B207FB">
      <w:pPr>
        <w:rPr>
          <w:rFonts w:ascii="Calibri" w:hAnsi="Calibri" w:cs="Calibri"/>
          <w:sz w:val="22"/>
        </w:rPr>
      </w:pPr>
    </w:p>
    <w:p w14:paraId="006A5814" w14:textId="77777777" w:rsidR="00B207FB" w:rsidRPr="00957229" w:rsidRDefault="00B207FB" w:rsidP="00986080">
      <w:pPr>
        <w:pStyle w:val="Heading4"/>
        <w:rPr>
          <w:rFonts w:ascii="Calibri" w:hAnsi="Calibri" w:cs="Calibri"/>
          <w:sz w:val="22"/>
        </w:rPr>
      </w:pPr>
      <w:r w:rsidRPr="00957229">
        <w:rPr>
          <w:rFonts w:ascii="Calibri" w:hAnsi="Calibri" w:cs="Calibri"/>
          <w:sz w:val="22"/>
        </w:rPr>
        <w:t>Justicia amigable</w:t>
      </w:r>
    </w:p>
    <w:p w14:paraId="0AC1B59D" w14:textId="77777777" w:rsidR="00B207FB" w:rsidRPr="00957229" w:rsidRDefault="00B207FB" w:rsidP="00B207FB">
      <w:pPr>
        <w:rPr>
          <w:rFonts w:ascii="Calibri" w:hAnsi="Calibri" w:cs="Calibri"/>
          <w:sz w:val="22"/>
        </w:rPr>
      </w:pPr>
      <w:r w:rsidRPr="00957229">
        <w:rPr>
          <w:rFonts w:ascii="Calibri" w:hAnsi="Calibri" w:cs="Calibri"/>
          <w:sz w:val="22"/>
        </w:rPr>
        <w:t>Para lograr un acceso a la justicia y una justicia amigable con los niños no acompañados, es necesario establecer una serie de objetivos específicos que aborden sus necesidades y circunstancias particulares:</w:t>
      </w:r>
    </w:p>
    <w:p w14:paraId="56081B02" w14:textId="77777777" w:rsidR="00B207FB" w:rsidRPr="00957229" w:rsidRDefault="00B207FB" w:rsidP="00B207FB">
      <w:pPr>
        <w:rPr>
          <w:rFonts w:ascii="Calibri" w:hAnsi="Calibri" w:cs="Calibri"/>
          <w:sz w:val="22"/>
        </w:rPr>
      </w:pPr>
      <w:r w:rsidRPr="00957229">
        <w:rPr>
          <w:rFonts w:ascii="Calibri" w:hAnsi="Calibri" w:cs="Calibri"/>
          <w:sz w:val="22"/>
        </w:rPr>
        <w:t>Acceso Equitativo: Garantizar igual acceso a la justicia para todos los niños no acompañados, eliminando barreras como la falta de recursos económicos, discriminación y barreras lingüísticas.</w:t>
      </w:r>
    </w:p>
    <w:p w14:paraId="1000F665" w14:textId="77777777" w:rsidR="00B207FB" w:rsidRPr="00957229" w:rsidRDefault="00B207FB" w:rsidP="00B207FB">
      <w:pPr>
        <w:rPr>
          <w:rFonts w:ascii="Calibri" w:hAnsi="Calibri" w:cs="Calibri"/>
          <w:sz w:val="22"/>
        </w:rPr>
      </w:pPr>
      <w:r w:rsidRPr="00957229">
        <w:rPr>
          <w:rFonts w:ascii="Calibri" w:hAnsi="Calibri" w:cs="Calibri"/>
          <w:sz w:val="22"/>
        </w:rPr>
        <w:lastRenderedPageBreak/>
        <w:t>Información Accesible y Comprensible: Proporcionar información clara y comprensible sobre el sistema legal y los derechos disponibles en varios idiomas y formatos accesibles.</w:t>
      </w:r>
    </w:p>
    <w:p w14:paraId="0FF92BEE" w14:textId="77777777" w:rsidR="00B207FB" w:rsidRPr="00957229" w:rsidRDefault="00B207FB" w:rsidP="00B207FB">
      <w:pPr>
        <w:rPr>
          <w:rFonts w:ascii="Calibri" w:hAnsi="Calibri" w:cs="Calibri"/>
          <w:sz w:val="22"/>
        </w:rPr>
      </w:pPr>
      <w:r w:rsidRPr="00957229">
        <w:rPr>
          <w:rFonts w:ascii="Calibri" w:hAnsi="Calibri" w:cs="Calibri"/>
          <w:sz w:val="22"/>
        </w:rPr>
        <w:t>Representación Legal Adecuada: Asegurar acceso a representación legal gratuita y de calidad desde las etapas iniciales del proceso, con abogados especializados en derecho de menores y extranjería.</w:t>
      </w:r>
    </w:p>
    <w:p w14:paraId="6516F584" w14:textId="77777777" w:rsidR="00B207FB" w:rsidRPr="00957229" w:rsidRDefault="00B207FB" w:rsidP="00B207FB">
      <w:pPr>
        <w:rPr>
          <w:rFonts w:ascii="Calibri" w:hAnsi="Calibri" w:cs="Calibri"/>
          <w:sz w:val="22"/>
        </w:rPr>
      </w:pPr>
      <w:r w:rsidRPr="00957229">
        <w:rPr>
          <w:rFonts w:ascii="Calibri" w:hAnsi="Calibri" w:cs="Calibri"/>
          <w:sz w:val="22"/>
        </w:rPr>
        <w:t>Procedimientos Sensibles y Adaptados: Desarrollar procedimientos judiciales y administrativos sensibles a las necesidades de los niños no acompañados, protegiéndolos de revictimización y garantizando entornos seguros y comprensivos.</w:t>
      </w:r>
    </w:p>
    <w:p w14:paraId="3CD5C1AA" w14:textId="77777777" w:rsidR="00B207FB" w:rsidRPr="00957229" w:rsidRDefault="00B207FB" w:rsidP="00B207FB">
      <w:pPr>
        <w:rPr>
          <w:rFonts w:ascii="Calibri" w:hAnsi="Calibri" w:cs="Calibri"/>
          <w:sz w:val="22"/>
        </w:rPr>
      </w:pPr>
      <w:r w:rsidRPr="00957229">
        <w:rPr>
          <w:rFonts w:ascii="Calibri" w:hAnsi="Calibri" w:cs="Calibri"/>
          <w:sz w:val="22"/>
        </w:rPr>
        <w:t>Protección de los Derechos del Niño: Asegurar que todos los procedimientos sean consistentes con los estándares internacionales de derechos humanos, priorizando el interés superior del menor y su derecho a ser escuchado.</w:t>
      </w:r>
    </w:p>
    <w:p w14:paraId="6F736222" w14:textId="77777777" w:rsidR="00B207FB" w:rsidRPr="00957229" w:rsidRDefault="00B207FB" w:rsidP="00B207FB">
      <w:pPr>
        <w:rPr>
          <w:rFonts w:ascii="Calibri" w:hAnsi="Calibri" w:cs="Calibri"/>
          <w:sz w:val="22"/>
        </w:rPr>
      </w:pPr>
      <w:r w:rsidRPr="00957229">
        <w:rPr>
          <w:rFonts w:ascii="Calibri" w:hAnsi="Calibri" w:cs="Calibri"/>
          <w:sz w:val="22"/>
        </w:rPr>
        <w:t>Reunificación Familiar: Facilitar el proceso de reunificación con familiares, agilizando procedimientos de identificación y proporcionando apoyo para facilitar la reunificación.</w:t>
      </w:r>
    </w:p>
    <w:p w14:paraId="3888A837" w14:textId="77777777" w:rsidR="00B207FB" w:rsidRPr="00957229" w:rsidRDefault="00B207FB" w:rsidP="00B207FB">
      <w:pPr>
        <w:rPr>
          <w:rFonts w:ascii="Calibri" w:hAnsi="Calibri" w:cs="Calibri"/>
          <w:sz w:val="22"/>
        </w:rPr>
      </w:pPr>
      <w:r w:rsidRPr="00957229">
        <w:rPr>
          <w:rFonts w:ascii="Calibri" w:hAnsi="Calibri" w:cs="Calibri"/>
          <w:sz w:val="22"/>
        </w:rPr>
        <w:t>Prevención de la Explotación y el Abuso: Adoptar medidas para prevenir la explotación, abuso y trata de niños no acompañados, identificando situaciones de riesgo y brindando apoyo psicosocial y legal a las víctimas.</w:t>
      </w:r>
    </w:p>
    <w:p w14:paraId="6A9C108B" w14:textId="77777777" w:rsidR="00725889" w:rsidRPr="00957229" w:rsidRDefault="00725889" w:rsidP="00B207FB">
      <w:pPr>
        <w:rPr>
          <w:rFonts w:ascii="Calibri" w:hAnsi="Calibri" w:cs="Calibri"/>
          <w:sz w:val="22"/>
        </w:rPr>
      </w:pPr>
    </w:p>
    <w:p w14:paraId="6DAA152D" w14:textId="77777777" w:rsidR="00B207FB" w:rsidRPr="00957229" w:rsidRDefault="00B207FB" w:rsidP="00986080">
      <w:pPr>
        <w:pStyle w:val="Heading4"/>
        <w:rPr>
          <w:rFonts w:ascii="Calibri" w:hAnsi="Calibri" w:cs="Calibri"/>
          <w:sz w:val="22"/>
        </w:rPr>
      </w:pPr>
      <w:r w:rsidRPr="00957229">
        <w:rPr>
          <w:rFonts w:ascii="Calibri" w:hAnsi="Calibri" w:cs="Calibri"/>
          <w:sz w:val="22"/>
        </w:rPr>
        <w:t>El interés superior del menor</w:t>
      </w:r>
    </w:p>
    <w:p w14:paraId="30FB5F54" w14:textId="77777777" w:rsidR="00B207FB" w:rsidRPr="00957229" w:rsidRDefault="00B207FB" w:rsidP="00B207FB">
      <w:pPr>
        <w:rPr>
          <w:rFonts w:ascii="Calibri" w:hAnsi="Calibri" w:cs="Calibri"/>
          <w:sz w:val="22"/>
        </w:rPr>
      </w:pPr>
      <w:r w:rsidRPr="00957229">
        <w:rPr>
          <w:rFonts w:ascii="Calibri" w:hAnsi="Calibri" w:cs="Calibri"/>
          <w:sz w:val="22"/>
        </w:rPr>
        <w:t>El principio del interés superior del menor, consagrado en la Convención sobre los Derechos del Niño de las Naciones Unidas, es fundamental en el contexto de los niños no acompañados. Para aplicarlo efectivamente, se deben considerar varios aspectos:</w:t>
      </w:r>
    </w:p>
    <w:p w14:paraId="3684D649" w14:textId="77777777" w:rsidR="00B207FB" w:rsidRPr="00957229" w:rsidRDefault="00B207FB" w:rsidP="00B207FB">
      <w:pPr>
        <w:rPr>
          <w:rFonts w:ascii="Calibri" w:hAnsi="Calibri" w:cs="Calibri"/>
          <w:sz w:val="22"/>
        </w:rPr>
      </w:pPr>
      <w:r w:rsidRPr="00957229">
        <w:rPr>
          <w:rFonts w:ascii="Calibri" w:hAnsi="Calibri" w:cs="Calibri"/>
          <w:sz w:val="22"/>
        </w:rPr>
        <w:t>Protección y Seguridad: Priorizar la seguridad y protección de los niños no acompañados, asegurando que estén en entornos seguros y libres de riesgos.</w:t>
      </w:r>
    </w:p>
    <w:p w14:paraId="211D6DE9" w14:textId="77777777" w:rsidR="00B207FB" w:rsidRPr="00957229" w:rsidRDefault="00B207FB" w:rsidP="00B207FB">
      <w:pPr>
        <w:rPr>
          <w:rFonts w:ascii="Calibri" w:hAnsi="Calibri" w:cs="Calibri"/>
          <w:sz w:val="22"/>
        </w:rPr>
      </w:pPr>
      <w:r w:rsidRPr="00957229">
        <w:rPr>
          <w:rFonts w:ascii="Calibri" w:hAnsi="Calibri" w:cs="Calibri"/>
          <w:sz w:val="22"/>
        </w:rPr>
        <w:t>Derecho a la Vida Familiar: Considerar su derecho a mantener relaciones familiares y facilitar la reunificación con sus familias o la integración en familias de acogida cuando sea posible y apropiado.</w:t>
      </w:r>
    </w:p>
    <w:p w14:paraId="010E50C0" w14:textId="77777777" w:rsidR="00B207FB" w:rsidRPr="00957229" w:rsidRDefault="00B207FB" w:rsidP="00B207FB">
      <w:pPr>
        <w:rPr>
          <w:rFonts w:ascii="Calibri" w:hAnsi="Calibri" w:cs="Calibri"/>
          <w:sz w:val="22"/>
        </w:rPr>
      </w:pPr>
      <w:r w:rsidRPr="00957229">
        <w:rPr>
          <w:rFonts w:ascii="Calibri" w:hAnsi="Calibri" w:cs="Calibri"/>
          <w:sz w:val="22"/>
        </w:rPr>
        <w:t>Acceso a la Educación y Salud: Garantizar su acceso a servicios básicos como la educación y la atención médica para promover su desarrollo integral y bienestar.</w:t>
      </w:r>
    </w:p>
    <w:p w14:paraId="1D3C85B5" w14:textId="77777777" w:rsidR="00B207FB" w:rsidRPr="00957229" w:rsidRDefault="00B207FB" w:rsidP="00B207FB">
      <w:pPr>
        <w:rPr>
          <w:rFonts w:ascii="Calibri" w:hAnsi="Calibri" w:cs="Calibri"/>
          <w:sz w:val="22"/>
        </w:rPr>
      </w:pPr>
      <w:r w:rsidRPr="00957229">
        <w:rPr>
          <w:rFonts w:ascii="Calibri" w:hAnsi="Calibri" w:cs="Calibri"/>
          <w:sz w:val="22"/>
        </w:rPr>
        <w:t>Participación y Escucha: Permitir su participación activa en todos los asuntos que les afecten, asegurando que sus opiniones y deseos sean tenidos en cuenta en la toma de decisiones que les conciernen.</w:t>
      </w:r>
    </w:p>
    <w:p w14:paraId="35E22DD3" w14:textId="77777777" w:rsidR="00B207FB" w:rsidRPr="00957229" w:rsidRDefault="00B207FB" w:rsidP="00B207FB">
      <w:pPr>
        <w:rPr>
          <w:rFonts w:ascii="Calibri" w:hAnsi="Calibri" w:cs="Calibri"/>
          <w:sz w:val="22"/>
        </w:rPr>
      </w:pPr>
      <w:r w:rsidRPr="00957229">
        <w:rPr>
          <w:rFonts w:ascii="Calibri" w:hAnsi="Calibri" w:cs="Calibri"/>
          <w:sz w:val="22"/>
        </w:rPr>
        <w:t>Protección Legal y Asistencia Jurídica: Proporcionar asistencia legal adecuada para proteger sus derechos y asegurar su acceso a recursos legales en caso de necesidad.</w:t>
      </w:r>
    </w:p>
    <w:p w14:paraId="4104B80E" w14:textId="77777777" w:rsidR="00B207FB" w:rsidRPr="00957229" w:rsidRDefault="00B207FB" w:rsidP="00B207FB">
      <w:pPr>
        <w:rPr>
          <w:rFonts w:ascii="Calibri" w:hAnsi="Calibri" w:cs="Calibri"/>
          <w:sz w:val="22"/>
        </w:rPr>
      </w:pPr>
      <w:r w:rsidRPr="00957229">
        <w:rPr>
          <w:rFonts w:ascii="Calibri" w:hAnsi="Calibri" w:cs="Calibri"/>
          <w:sz w:val="22"/>
        </w:rPr>
        <w:t>No Discriminación: Evitar cualquier forma de discriminación basada en su origen étnico, nacionalidad, género u otras características, garantizando su igualdad de derechos y oportunidades.</w:t>
      </w:r>
    </w:p>
    <w:p w14:paraId="6D15BC50" w14:textId="77777777" w:rsidR="00B207FB" w:rsidRPr="00957229" w:rsidRDefault="00B207FB" w:rsidP="00986080">
      <w:pPr>
        <w:pStyle w:val="Heading4"/>
        <w:rPr>
          <w:rFonts w:ascii="Calibri" w:hAnsi="Calibri" w:cs="Calibri"/>
          <w:sz w:val="22"/>
        </w:rPr>
      </w:pPr>
      <w:r w:rsidRPr="00957229">
        <w:rPr>
          <w:rFonts w:ascii="Calibri" w:hAnsi="Calibri" w:cs="Calibri"/>
          <w:sz w:val="22"/>
        </w:rPr>
        <w:lastRenderedPageBreak/>
        <w:t>Incumplimientos relacionados con la determinación de la edad de los niños no acompañados.</w:t>
      </w:r>
    </w:p>
    <w:p w14:paraId="75E630FC" w14:textId="77777777" w:rsidR="00B207FB" w:rsidRPr="00957229" w:rsidRDefault="00B207FB" w:rsidP="00B207FB">
      <w:pPr>
        <w:rPr>
          <w:rFonts w:ascii="Calibri" w:hAnsi="Calibri" w:cs="Calibri"/>
          <w:sz w:val="22"/>
        </w:rPr>
      </w:pPr>
      <w:r w:rsidRPr="00957229">
        <w:rPr>
          <w:rFonts w:ascii="Calibri" w:hAnsi="Calibri" w:cs="Calibri"/>
          <w:sz w:val="22"/>
        </w:rPr>
        <w:t xml:space="preserve">Es un tema sensible que afecta significativamente sus derechos y el tratamiento que reciben por parte de las autoridades y el sistema de justicia. </w:t>
      </w:r>
    </w:p>
    <w:p w14:paraId="1AF2315B" w14:textId="77777777" w:rsidR="00B207FB" w:rsidRPr="00957229" w:rsidRDefault="00B207FB" w:rsidP="00B207FB">
      <w:pPr>
        <w:rPr>
          <w:rFonts w:ascii="Calibri" w:hAnsi="Calibri" w:cs="Calibri"/>
          <w:sz w:val="22"/>
        </w:rPr>
      </w:pPr>
      <w:r w:rsidRPr="00957229">
        <w:rPr>
          <w:rFonts w:ascii="Calibri" w:hAnsi="Calibri" w:cs="Calibri"/>
          <w:sz w:val="22"/>
        </w:rPr>
        <w:t>Importancia de la Determinación de la Edad: La determinación precisa de la edad de los niños no acompañados es crucial, ya que afecta su tratamiento legal y social. Los menores tienen derechos y protecciones especiales que no se aplican a los adultos, por lo que es fundamental establecer si un individuo es menor de edad o no.</w:t>
      </w:r>
    </w:p>
    <w:p w14:paraId="585C22A2" w14:textId="77777777" w:rsidR="00B207FB" w:rsidRPr="00957229" w:rsidRDefault="00B207FB" w:rsidP="00B207FB">
      <w:pPr>
        <w:rPr>
          <w:rFonts w:ascii="Calibri" w:hAnsi="Calibri" w:cs="Calibri"/>
          <w:sz w:val="22"/>
        </w:rPr>
      </w:pPr>
      <w:r w:rsidRPr="00957229">
        <w:rPr>
          <w:rFonts w:ascii="Calibri" w:hAnsi="Calibri" w:cs="Calibri"/>
          <w:sz w:val="22"/>
        </w:rPr>
        <w:t>Métodos de Determinación de la Edad: Los métodos para determinar la edad de los niños no acompañados incluyen exámenes médicos, evaluaciones dentales, entrevistas y documentos de identificación. Sin embargo, es importante tener en cuenta que ningún método es completamente preciso y puede haber margen de error.</w:t>
      </w:r>
    </w:p>
    <w:p w14:paraId="61A991FE" w14:textId="77777777" w:rsidR="00B207FB" w:rsidRPr="00957229" w:rsidRDefault="00B207FB" w:rsidP="00B207FB">
      <w:pPr>
        <w:rPr>
          <w:rFonts w:ascii="Calibri" w:hAnsi="Calibri" w:cs="Calibri"/>
          <w:sz w:val="22"/>
        </w:rPr>
      </w:pPr>
      <w:r w:rsidRPr="00957229">
        <w:rPr>
          <w:rFonts w:ascii="Calibri" w:hAnsi="Calibri" w:cs="Calibri"/>
          <w:sz w:val="22"/>
        </w:rPr>
        <w:t xml:space="preserve">Riesgos de Error y Sus Consecuencias: Los errores en la determinación de la edad pueden tener graves consecuencias para los niños no acompañados. Si se considera erróneamente a un menor como adulto, puede ser tratado como tal y perder acceso a la protección y los servicios destinados a los menores. </w:t>
      </w:r>
    </w:p>
    <w:p w14:paraId="4152A1C1" w14:textId="77777777" w:rsidR="00B207FB" w:rsidRPr="00957229" w:rsidRDefault="00B207FB" w:rsidP="00B207FB">
      <w:pPr>
        <w:rPr>
          <w:rFonts w:ascii="Calibri" w:hAnsi="Calibri" w:cs="Calibri"/>
          <w:sz w:val="22"/>
        </w:rPr>
      </w:pPr>
      <w:r w:rsidRPr="00957229">
        <w:rPr>
          <w:rFonts w:ascii="Calibri" w:hAnsi="Calibri" w:cs="Calibri"/>
          <w:sz w:val="22"/>
        </w:rPr>
        <w:t>Protección de los Derechos del Menor: Es fundamental garantizar que se respeten los derechos del menor durante el proceso de determinación de la edad. Esto incluye el derecho a ser tratado con dignidad y respeto, el derecho a la privacidad y confidencialidad, y el derecho a impugnar los resultados de la evaluación en caso de discrepancias, nuestra legislación deriva esta impugnación a un procedimiento judicial lento y duradero que deriva en consecuencias nefastas como la expulsión previa a su terminación o que el menor alcance la mayoría de edad durante el procedimiento con lo que se produce la carencia sobrevenida del objeto del pleito.</w:t>
      </w:r>
    </w:p>
    <w:p w14:paraId="1A1432D8" w14:textId="33FA0E05" w:rsidR="00B207FB" w:rsidRPr="00957229" w:rsidRDefault="00B207FB" w:rsidP="00B207FB">
      <w:pPr>
        <w:rPr>
          <w:rFonts w:ascii="Calibri" w:hAnsi="Calibri" w:cs="Calibri"/>
          <w:sz w:val="22"/>
        </w:rPr>
      </w:pPr>
      <w:r w:rsidRPr="00957229">
        <w:rPr>
          <w:rFonts w:ascii="Calibri" w:hAnsi="Calibri" w:cs="Calibri"/>
          <w:sz w:val="22"/>
        </w:rPr>
        <w:t>Procedimientos Transparentes y Justos: Los procedimientos para determinar la edad de los niños no acompañados no son transparentes, justos ni basados en evidencia científicas sólida. No garantizan la participación del menor y la posibilidad de presentar pruebas y argumentos en su defensa.</w:t>
      </w:r>
    </w:p>
    <w:p w14:paraId="13EF581F" w14:textId="77777777" w:rsidR="00B207FB" w:rsidRPr="00957229" w:rsidRDefault="00B207FB" w:rsidP="00B207FB">
      <w:pPr>
        <w:rPr>
          <w:rFonts w:ascii="Calibri" w:hAnsi="Calibri" w:cs="Calibri"/>
          <w:sz w:val="22"/>
        </w:rPr>
      </w:pPr>
      <w:r w:rsidRPr="00957229">
        <w:rPr>
          <w:rFonts w:ascii="Calibri" w:hAnsi="Calibri" w:cs="Calibri"/>
          <w:sz w:val="22"/>
        </w:rPr>
        <w:t>Los incumplimientos en la determinación de la edad de los niños no acompañados tienen graves consecuencias para su bienestar y derechos. Es fundamental que las autoridades y el sistema de justicia aborden este tema con la debida diligencia y sensibilidad para garantizar una protección adecuada de los derechos de los menores en todas las circunstancias.</w:t>
      </w:r>
    </w:p>
    <w:p w14:paraId="601453F5" w14:textId="77777777" w:rsidR="00B207FB" w:rsidRPr="00957229" w:rsidRDefault="00B207FB" w:rsidP="00B207FB">
      <w:pPr>
        <w:rPr>
          <w:rFonts w:ascii="Calibri" w:hAnsi="Calibri" w:cs="Calibri"/>
          <w:sz w:val="22"/>
        </w:rPr>
      </w:pPr>
      <w:r w:rsidRPr="00957229">
        <w:rPr>
          <w:rFonts w:ascii="Calibri" w:hAnsi="Calibri" w:cs="Calibri"/>
          <w:sz w:val="22"/>
        </w:rPr>
        <w:t>El procedimiento de determinación de la edad en España debe seguir los siguientes pasos mientras no se modifique la legislación aplicable, lo cual es necesario:</w:t>
      </w:r>
    </w:p>
    <w:p w14:paraId="06E5CEC6" w14:textId="77777777" w:rsidR="00B207FB" w:rsidRPr="00957229" w:rsidRDefault="00B207FB" w:rsidP="00B207FB">
      <w:pPr>
        <w:rPr>
          <w:rFonts w:ascii="Calibri" w:hAnsi="Calibri" w:cs="Calibri"/>
          <w:sz w:val="22"/>
        </w:rPr>
      </w:pPr>
      <w:r w:rsidRPr="00957229">
        <w:rPr>
          <w:rFonts w:ascii="Calibri" w:hAnsi="Calibri" w:cs="Calibri"/>
          <w:sz w:val="22"/>
        </w:rPr>
        <w:t>Entrevista Inicial: Cuando un niño no acompañado llega a territorio español y se presenta ante las autoridades competentes, se realiza una entrevista inicial para recabar información sobre su identidad, nacionalidad, edad y circunstancias personales. Esta entrevista puede realizarse en presencia de un tutor o representante legal si el menor lo solicita o si se considera necesario. Es obligatoria la asistencia legal y en la mayoría de los casos, cuando ya se ha determinado su edad (el 99% de los casos determinado por la Fiscalía de Menores que es mayor de edad) se solicita asistencia letrada para el procedimiento de expulsión, siendo en este procedimiento donde se impugna el proceso de determinación de la edad, determinado por decretos de la Fiscalía que no son susceptibles de recurso.</w:t>
      </w:r>
    </w:p>
    <w:p w14:paraId="393A4391" w14:textId="77777777" w:rsidR="00B207FB" w:rsidRPr="00957229" w:rsidRDefault="00B207FB" w:rsidP="00B207FB">
      <w:pPr>
        <w:rPr>
          <w:rFonts w:ascii="Calibri" w:hAnsi="Calibri" w:cs="Calibri"/>
          <w:sz w:val="22"/>
        </w:rPr>
      </w:pPr>
      <w:r w:rsidRPr="00957229">
        <w:rPr>
          <w:rFonts w:ascii="Calibri" w:hAnsi="Calibri" w:cs="Calibri"/>
          <w:sz w:val="22"/>
        </w:rPr>
        <w:lastRenderedPageBreak/>
        <w:t>Valoración Inicial de la Edad: Basándose en la información proporcionada por el niño no acompañado durante la entrevista inicial y en cualquier documento de identificación disponible, se realiza una valoración preliminar de su edad. Si hay dudas sobre la veracidad de la información proporcionada o si se sospecha que el menor podría ser mayor de edad, se pueden tomar medidas adicionales para determinar su edad de manera más precisa.</w:t>
      </w:r>
    </w:p>
    <w:p w14:paraId="0B3EF004" w14:textId="77777777" w:rsidR="00B207FB" w:rsidRPr="00957229" w:rsidRDefault="00B207FB" w:rsidP="00B207FB">
      <w:pPr>
        <w:rPr>
          <w:rFonts w:ascii="Calibri" w:hAnsi="Calibri" w:cs="Calibri"/>
          <w:sz w:val="22"/>
        </w:rPr>
      </w:pPr>
      <w:r w:rsidRPr="00957229">
        <w:rPr>
          <w:rFonts w:ascii="Calibri" w:hAnsi="Calibri" w:cs="Calibri"/>
          <w:sz w:val="22"/>
        </w:rPr>
        <w:t>Exámenes Médicos: En algunos casos, se pueden realizar exámenes médicos, como radiografías de la muñeca y la mano, pruebas dentales y evaluaciones óseas, para ayudar a determinar la edad del niño no acompañado. Sin embargo, estos exámenes deben realizarse con el consentimiento informado del menor y con la debida consideración de su bienestar y privacidad, no existe ese consentimiento informado.</w:t>
      </w:r>
    </w:p>
    <w:p w14:paraId="088A70DE" w14:textId="77777777" w:rsidR="00B207FB" w:rsidRPr="00957229" w:rsidRDefault="00B207FB" w:rsidP="00B207FB">
      <w:pPr>
        <w:rPr>
          <w:rFonts w:ascii="Calibri" w:hAnsi="Calibri" w:cs="Calibri"/>
          <w:sz w:val="22"/>
        </w:rPr>
      </w:pPr>
      <w:r w:rsidRPr="00957229">
        <w:rPr>
          <w:rFonts w:ascii="Calibri" w:hAnsi="Calibri" w:cs="Calibri"/>
          <w:sz w:val="22"/>
        </w:rPr>
        <w:t>Evaluación Psicosocial: Además de los exámenes médicos, se puede realizar una evaluación psicosocial del menor para determinar su edad. Esta evaluación puede incluir entrevistas con profesionales especializados en trabajo social, psicología o pediatría, así como la revisión de su historial personal y cualquier otra información relevante disponible. No se llevan a cabo estas evaluaciones.</w:t>
      </w:r>
    </w:p>
    <w:p w14:paraId="4218BCF4" w14:textId="1AF8A132" w:rsidR="00B207FB" w:rsidRPr="00957229" w:rsidRDefault="00B207FB" w:rsidP="00B207FB">
      <w:pPr>
        <w:rPr>
          <w:rFonts w:ascii="Calibri" w:hAnsi="Calibri" w:cs="Calibri"/>
          <w:sz w:val="22"/>
        </w:rPr>
      </w:pPr>
      <w:r w:rsidRPr="00957229">
        <w:rPr>
          <w:rFonts w:ascii="Calibri" w:hAnsi="Calibri" w:cs="Calibri"/>
          <w:sz w:val="22"/>
        </w:rPr>
        <w:t>Informe de Determinación de la Edad: Una vez completados todos los pasos anteriores, se elabora un informe de determinación de la edad que resume los hallazgos de la evaluación y recomienda una edad estimada para el niño no acompañado. Este informe por el Instituto de Medicina Legal se utiliza como base para tomar decisiones sobre el tratamiento y la protección del menor.</w:t>
      </w:r>
    </w:p>
    <w:p w14:paraId="4A15C158" w14:textId="77777777" w:rsidR="00B207FB" w:rsidRPr="00957229" w:rsidRDefault="00B207FB" w:rsidP="00B207FB">
      <w:pPr>
        <w:rPr>
          <w:rFonts w:ascii="Calibri" w:hAnsi="Calibri" w:cs="Calibri"/>
          <w:sz w:val="22"/>
        </w:rPr>
      </w:pPr>
      <w:r w:rsidRPr="00957229">
        <w:rPr>
          <w:rFonts w:ascii="Calibri" w:hAnsi="Calibri" w:cs="Calibri"/>
          <w:sz w:val="22"/>
        </w:rPr>
        <w:t xml:space="preserve">Es importante tener en cuenta que el procedimiento de determinación de la edad debe llevarse a cabo con el debido respeto a los derechos y la dignidad del niño no acompañado, garantizando su participación activa en el proceso y proporcionando acceso a asesoramiento legal y representación si es necesario. Además, cualquier decisión tomada en relación con la edad del menor debe ser revisable y estar sujeta a recursos legales en caso de discrepancia. </w:t>
      </w:r>
    </w:p>
    <w:p w14:paraId="3FA72B9B" w14:textId="4F4CCAAA" w:rsidR="00B207FB" w:rsidRPr="00957229" w:rsidRDefault="00B207FB" w:rsidP="00B207FB">
      <w:pPr>
        <w:rPr>
          <w:rFonts w:ascii="Calibri" w:hAnsi="Calibri" w:cs="Calibri"/>
          <w:sz w:val="22"/>
        </w:rPr>
      </w:pPr>
      <w:r w:rsidRPr="00957229">
        <w:rPr>
          <w:rFonts w:ascii="Calibri" w:hAnsi="Calibri" w:cs="Calibri"/>
          <w:sz w:val="22"/>
        </w:rPr>
        <w:t xml:space="preserve">En el procedimiento de determinación de la edad de los niños no acompañados en España, es fundamental garantizar que se respeten los derechos y las normativas nacionales e internacionales que protegen a los menores y su bienestar. Sin embargo, en la mayoría de los casos, de esto es conocedor el CDN, este procedimiento vulnera ciertas normativas: </w:t>
      </w:r>
    </w:p>
    <w:p w14:paraId="0B409C99" w14:textId="77777777" w:rsidR="00B207FB" w:rsidRPr="00957229" w:rsidRDefault="00B207FB" w:rsidP="00B207FB">
      <w:pPr>
        <w:rPr>
          <w:rFonts w:ascii="Calibri" w:hAnsi="Calibri" w:cs="Calibri"/>
          <w:sz w:val="22"/>
        </w:rPr>
      </w:pPr>
      <w:r w:rsidRPr="00957229">
        <w:rPr>
          <w:rFonts w:ascii="Calibri" w:hAnsi="Calibri" w:cs="Calibri"/>
          <w:sz w:val="22"/>
        </w:rPr>
        <w:t>Derecho a la Integridad Personal y Dignidad: Durante el proceso de determinación de la edad, se pueden realizar exámenes médicos invasivos, como pruebas óseas o dentales, que podrían afectar la integridad personal y la dignidad del menor. Si estos exámenes se llevan a cabo sin el consentimiento informado del menor o sin considerar su bienestar y privacidad, se estarían vulnerando sus derechos fundamentales.</w:t>
      </w:r>
    </w:p>
    <w:p w14:paraId="48C45167" w14:textId="77777777" w:rsidR="00B207FB" w:rsidRPr="00957229" w:rsidRDefault="00B207FB" w:rsidP="00B207FB">
      <w:pPr>
        <w:rPr>
          <w:rFonts w:ascii="Calibri" w:hAnsi="Calibri" w:cs="Calibri"/>
          <w:sz w:val="22"/>
        </w:rPr>
      </w:pPr>
      <w:r w:rsidRPr="00957229">
        <w:rPr>
          <w:rFonts w:ascii="Calibri" w:hAnsi="Calibri" w:cs="Calibri"/>
          <w:sz w:val="22"/>
        </w:rPr>
        <w:t>Derecho a la Privacidad y Confidencialidad: La información recopilada durante el proceso de determinación de la edad, incluidos los detalles sobre la historia personal y familiar del menor, debe tratarse con confidencialidad y solo divulgarse a las partes autorizadas de acuerdo con la ley. La violación de la privacidad y la confidencialidad del menor podría constituir una vulneración de sus derechos.</w:t>
      </w:r>
    </w:p>
    <w:p w14:paraId="2E73C29F" w14:textId="77777777" w:rsidR="00B207FB" w:rsidRPr="00957229" w:rsidRDefault="00B207FB" w:rsidP="00B207FB">
      <w:pPr>
        <w:rPr>
          <w:rFonts w:ascii="Calibri" w:hAnsi="Calibri" w:cs="Calibri"/>
          <w:sz w:val="22"/>
        </w:rPr>
      </w:pPr>
      <w:r w:rsidRPr="00957229">
        <w:rPr>
          <w:rFonts w:ascii="Calibri" w:hAnsi="Calibri" w:cs="Calibri"/>
          <w:sz w:val="22"/>
        </w:rPr>
        <w:t>Derecho a la No Discriminación: Todos los menores, independientemente de su origen étnico, nacionalidad o estatus migratorio, tienen derecho a la no discriminación. Si el proceso de determinación de la edad se basa en estereotipos o prejuicios y no se trata a todos los menores de manera justa y equitativa, se estaría vulnerando su derecho a la no discriminación.</w:t>
      </w:r>
    </w:p>
    <w:p w14:paraId="29FE1E50" w14:textId="77777777" w:rsidR="00B207FB" w:rsidRPr="00957229" w:rsidRDefault="00B207FB" w:rsidP="00B207FB">
      <w:pPr>
        <w:rPr>
          <w:rFonts w:ascii="Calibri" w:hAnsi="Calibri" w:cs="Calibri"/>
          <w:sz w:val="22"/>
        </w:rPr>
      </w:pPr>
      <w:r w:rsidRPr="00957229">
        <w:rPr>
          <w:rFonts w:ascii="Calibri" w:hAnsi="Calibri" w:cs="Calibri"/>
          <w:sz w:val="22"/>
        </w:rPr>
        <w:lastRenderedPageBreak/>
        <w:t>Derecho a la Participación y al Consentimiento Informado: Los niños no acompañados tienen derecho a participar activamente en todas las decisiones que les afecten y a dar su consentimiento informado en todos los aspectos relacionados con su atención y tratamiento. Si se les excluye del proceso de determinación de la edad o se les obliga a someterse a exámenes médicos sin su consentimiento informado, se estaría vulnerando su derecho a la participación y autonomía.</w:t>
      </w:r>
    </w:p>
    <w:p w14:paraId="14DDA0A8" w14:textId="77777777" w:rsidR="00B207FB" w:rsidRPr="00957229" w:rsidRDefault="00B207FB" w:rsidP="00B207FB">
      <w:pPr>
        <w:rPr>
          <w:rFonts w:ascii="Calibri" w:hAnsi="Calibri" w:cs="Calibri"/>
          <w:sz w:val="22"/>
        </w:rPr>
      </w:pPr>
      <w:r w:rsidRPr="00957229">
        <w:rPr>
          <w:rFonts w:ascii="Calibri" w:hAnsi="Calibri" w:cs="Calibri"/>
          <w:sz w:val="22"/>
        </w:rPr>
        <w:t>Principio del Interés Superior del Menor: El proceso de determinación de la edad debe llevarse a cabo teniendo en cuenta el interés superior del menor en todas las etapas. Esto implica asegurar su protección y bienestar, así como garantizar que se tomen decisiones que beneficien al menor a largo plazo. Si el proceso se lleva a cabo sin tener en cuenta este principio, se estaría vulnerando el derecho del menor a que se proteja su interés superior.</w:t>
      </w:r>
    </w:p>
    <w:p w14:paraId="2D30B9D2" w14:textId="77777777" w:rsidR="00B207FB" w:rsidRPr="00957229" w:rsidRDefault="00B207FB" w:rsidP="004260B2">
      <w:pPr>
        <w:rPr>
          <w:rFonts w:ascii="Calibri" w:hAnsi="Calibri" w:cs="Calibri"/>
          <w:sz w:val="22"/>
        </w:rPr>
      </w:pPr>
    </w:p>
    <w:p w14:paraId="70D00018" w14:textId="3927B27A" w:rsidR="00507698" w:rsidRPr="00957229" w:rsidRDefault="00507698" w:rsidP="001068AD">
      <w:pPr>
        <w:pStyle w:val="Heading2"/>
        <w:rPr>
          <w:rFonts w:ascii="Calibri" w:hAnsi="Calibri" w:cs="Calibri"/>
          <w:sz w:val="22"/>
        </w:rPr>
      </w:pPr>
      <w:r w:rsidRPr="00957229">
        <w:rPr>
          <w:rFonts w:ascii="Calibri" w:hAnsi="Calibri" w:cs="Calibri"/>
          <w:sz w:val="22"/>
        </w:rPr>
        <w:t>RELATIVO A LAS CUESTIONES A Y B SOBRE MEDIDAS Y PRINCIPIOS GENERALES</w:t>
      </w:r>
    </w:p>
    <w:p w14:paraId="227A038B" w14:textId="513372BF" w:rsidR="00E746B2" w:rsidRPr="00957229" w:rsidRDefault="00E746B2" w:rsidP="00E746B2">
      <w:pPr>
        <w:rPr>
          <w:rFonts w:ascii="Calibri" w:hAnsi="Calibri" w:cs="Calibri"/>
          <w:sz w:val="22"/>
        </w:rPr>
      </w:pPr>
      <w:r w:rsidRPr="00957229">
        <w:rPr>
          <w:rFonts w:ascii="Calibri" w:hAnsi="Calibri" w:cs="Calibri"/>
          <w:sz w:val="22"/>
        </w:rPr>
        <w:t>El presente informe ofrece una visión para establecer un marco para futuras acciones dirigidas a mejorar el sistema y asegurar un tratamiento equitativo y eficaz para los jóvenes en conflicto con la ley y su acceso a la justicia</w:t>
      </w:r>
      <w:r w:rsidR="003359A2">
        <w:rPr>
          <w:rFonts w:ascii="Calibri" w:hAnsi="Calibri" w:cs="Calibri"/>
          <w:sz w:val="22"/>
        </w:rPr>
        <w:t>,</w:t>
      </w:r>
      <w:r w:rsidRPr="00957229">
        <w:rPr>
          <w:rFonts w:ascii="Calibri" w:hAnsi="Calibri" w:cs="Calibri"/>
          <w:sz w:val="22"/>
        </w:rPr>
        <w:t xml:space="preserve"> ya que a pesar de los avances logrados, persisten desafíos en la implementación de una justicia amigable en España. Es necesario aumentar la sensibilización y capacitación de los profesionales del sistema de justicia juvenil en enfoques de justicia amigable, garantizar un acceso equitativo a la justicia para todos los jóvenes y mejorar la coordinación interinstitucional para una respuesta integral y efectiva a las necesidades de los jóvenes.</w:t>
      </w:r>
    </w:p>
    <w:p w14:paraId="3DE6AE08" w14:textId="77777777" w:rsidR="00E746B2" w:rsidRPr="00957229" w:rsidRDefault="00E746B2" w:rsidP="00E746B2">
      <w:pPr>
        <w:rPr>
          <w:rFonts w:ascii="Calibri" w:hAnsi="Calibri" w:cs="Calibri"/>
          <w:sz w:val="22"/>
        </w:rPr>
      </w:pPr>
      <w:r w:rsidRPr="00957229">
        <w:rPr>
          <w:rFonts w:ascii="Calibri" w:hAnsi="Calibri" w:cs="Calibri"/>
          <w:sz w:val="22"/>
        </w:rPr>
        <w:t>Los profesionales del sistema de justicia juvenil deben adoptar una perspectiva centrada en la infancia, reconociendo las necesidades, capacidades y vulnerabilidades únicas de los niños y adolescentes. Es fundamental entender que están en una fase crucial de desarrollo físico, emocional, cognitivo y social, influenciados por diversos factores. Por lo tanto, se requiere tratar a los jóvenes con respeto, empatía y comprensión, considerando siempre sus intereses y bienestar en todas las decisiones y acciones.</w:t>
      </w:r>
    </w:p>
    <w:p w14:paraId="55AF4E22" w14:textId="77777777" w:rsidR="00E746B2" w:rsidRPr="00957229" w:rsidRDefault="00E746B2" w:rsidP="00E746B2">
      <w:pPr>
        <w:rPr>
          <w:rFonts w:ascii="Calibri" w:hAnsi="Calibri" w:cs="Calibri"/>
          <w:sz w:val="22"/>
        </w:rPr>
      </w:pPr>
      <w:r w:rsidRPr="00957229">
        <w:rPr>
          <w:rFonts w:ascii="Calibri" w:hAnsi="Calibri" w:cs="Calibri"/>
          <w:sz w:val="22"/>
        </w:rPr>
        <w:t>Todos los jóvenes tienen derecho a un juicio justo según la legislación internacional y nacional. Esto implica ser informados de los cargos, contar con asistencia legal, presentar pruebas y testimonios en su defensa y apelar decisiones judiciales. Los profesionales del sistema de justicia juvenil deben garantizar plenamente estos derechos, capacitándose en procedimientos y prácticas adecuadas para jóvenes, y proporcionando recursos y apoyo especializado para proteger y respetar sus derechos durante todo el proceso judicial.</w:t>
      </w:r>
    </w:p>
    <w:p w14:paraId="41555767" w14:textId="77777777" w:rsidR="00E746B2" w:rsidRPr="00957229" w:rsidRDefault="00E746B2" w:rsidP="00E746B2">
      <w:pPr>
        <w:rPr>
          <w:rFonts w:ascii="Calibri" w:hAnsi="Calibri" w:cs="Calibri"/>
          <w:sz w:val="22"/>
        </w:rPr>
      </w:pPr>
      <w:r w:rsidRPr="00957229">
        <w:rPr>
          <w:rFonts w:ascii="Calibri" w:hAnsi="Calibri" w:cs="Calibri"/>
          <w:sz w:val="22"/>
        </w:rPr>
        <w:t>Tanto la normativa internacional como la nacional establecen el derecho de los menores a ser tratados con respeto a su dignidad y a sus derechos fundamentales, así como a recibir un juicio justo y equitativo en todos los procedimientos judiciales que les afecten. Es responsabilidad de los profesionales del sistema de justicia juvenil garantizar que estos derechos sean respetados y protegidos en todo momento durante el proceso judicial:</w:t>
      </w:r>
    </w:p>
    <w:p w14:paraId="0206D739" w14:textId="77777777" w:rsidR="00E746B2" w:rsidRPr="00957229" w:rsidRDefault="00E746B2" w:rsidP="00E746B2">
      <w:pPr>
        <w:rPr>
          <w:rFonts w:ascii="Calibri" w:hAnsi="Calibri" w:cs="Calibri"/>
          <w:sz w:val="22"/>
        </w:rPr>
      </w:pPr>
      <w:r w:rsidRPr="00957229">
        <w:rPr>
          <w:rFonts w:ascii="Calibri" w:hAnsi="Calibri" w:cs="Calibri"/>
          <w:sz w:val="22"/>
        </w:rPr>
        <w:t xml:space="preserve">La Convención sobre los Derechos del Niño (CDN) de las Naciones Unidas, establece los derechos fundamentales de todos los niños y adolescentes. Entre estos derechos se incluye el derecho a ser tratado con respeto a la dignidad inherente al ser humano y a su desarrollo como persona (Artículo 3), así como el derecho a un juicio justo y equitativo en todos los procedimientos </w:t>
      </w:r>
      <w:r w:rsidRPr="00957229">
        <w:rPr>
          <w:rFonts w:ascii="Calibri" w:hAnsi="Calibri" w:cs="Calibri"/>
          <w:sz w:val="22"/>
        </w:rPr>
        <w:lastRenderedPageBreak/>
        <w:t>judiciales que les afecten (Artículo 40). Además, la CDN establece que los Estados partes deben tomar todas las medidas apropiadas para garantizar que los niños que estén acusados de cometer un delito tengan acceso a la asistencia legal y a otros recursos legales de manera adecuada y oportuna (Artículo 40).</w:t>
      </w:r>
    </w:p>
    <w:p w14:paraId="5B7B6026" w14:textId="77777777" w:rsidR="00E746B2" w:rsidRPr="00957229" w:rsidRDefault="00E746B2" w:rsidP="00E746B2">
      <w:pPr>
        <w:rPr>
          <w:rFonts w:ascii="Calibri" w:hAnsi="Calibri" w:cs="Calibri"/>
          <w:sz w:val="22"/>
        </w:rPr>
      </w:pPr>
      <w:r w:rsidRPr="00957229">
        <w:rPr>
          <w:rFonts w:ascii="Calibri" w:hAnsi="Calibri" w:cs="Calibri"/>
          <w:sz w:val="22"/>
        </w:rPr>
        <w:t>La Directiva 2016/800/UE del Parlamento Europeo y del Consejo, de 11 de mayo de 2016, relativa a las garantías procesales para los niños sospechosos o acusados en procesos penales, establece una serie de garantías procesales para los niños que son sospechosos o acusados en procesos penales en los Estados miembros de la Unión Europea. Entre estas garantías se incluye el derecho a ser informado de manera comprensible y adaptada a su edad sobre los cargos en su contra y sobre sus derechos en el proceso judicial, el derecho a ser asistido por un abogado defensor en todas las etapas del proceso judicial, y el derecho a ser tratado con respeto a su dignidad y a sus derechos fundamentales.</w:t>
      </w:r>
    </w:p>
    <w:p w14:paraId="272485B9" w14:textId="77777777" w:rsidR="00E746B2" w:rsidRPr="00957229" w:rsidRDefault="00E746B2" w:rsidP="00E746B2">
      <w:pPr>
        <w:rPr>
          <w:rFonts w:ascii="Calibri" w:hAnsi="Calibri" w:cs="Calibri"/>
          <w:sz w:val="22"/>
        </w:rPr>
      </w:pPr>
      <w:r w:rsidRPr="00957229">
        <w:rPr>
          <w:rFonts w:ascii="Calibri" w:hAnsi="Calibri" w:cs="Calibri"/>
          <w:sz w:val="22"/>
        </w:rPr>
        <w:t>La Directiva 2012/29/UE del Parlamento Europeo y del Consejo, de 25 de octubre de 2012, por la que se establecen normas mínimas sobre los derechos, el apoyo y la protección de las víctimas de delitos, y por la que se sustituye la Decisión Marco 2001/220/JAI, aunque se centra principalmente en los derechos y la protección de las víctimas de delitos, también establece algunas disposiciones relevantes para el proceso judicial en relación con los menores. Por ejemplo, reconoce el derecho de los menores a recibir información adaptada a su edad y nivel de comprensión sobre el proceso judicial y sobre los servicios de apoyo disponibles para ellos.</w:t>
      </w:r>
    </w:p>
    <w:p w14:paraId="3F2AD49C" w14:textId="77777777" w:rsidR="00E746B2" w:rsidRPr="00957229" w:rsidRDefault="00E746B2" w:rsidP="00E746B2">
      <w:pPr>
        <w:rPr>
          <w:rFonts w:ascii="Calibri" w:hAnsi="Calibri" w:cs="Calibri"/>
          <w:sz w:val="22"/>
        </w:rPr>
      </w:pPr>
      <w:r w:rsidRPr="00957229">
        <w:rPr>
          <w:rFonts w:ascii="Calibri" w:hAnsi="Calibri" w:cs="Calibri"/>
          <w:sz w:val="22"/>
        </w:rPr>
        <w:t>En España, se han implementado las directivas europeas mencionadas anteriormente a través de diversas medidas legislativas y prácticas judiciales:</w:t>
      </w:r>
    </w:p>
    <w:p w14:paraId="692B4CAC" w14:textId="77777777" w:rsidR="00E746B2" w:rsidRPr="00957229" w:rsidRDefault="00E746B2" w:rsidP="00E746B2">
      <w:pPr>
        <w:rPr>
          <w:rFonts w:ascii="Calibri" w:hAnsi="Calibri" w:cs="Calibri"/>
          <w:sz w:val="22"/>
        </w:rPr>
      </w:pPr>
      <w:r w:rsidRPr="00957229">
        <w:rPr>
          <w:rFonts w:ascii="Calibri" w:hAnsi="Calibri" w:cs="Calibri"/>
          <w:sz w:val="22"/>
        </w:rPr>
        <w:t>Transposición legislativa: Las disposiciones de las directivas europeas se han incorporado en la legislación nacional mediante procesos de transposición legislativa. Por ejemplo, la Directiva 2016/800/UE sobre garantías procesales para los niños sospechosos o acusados en procesos penales se ha transpuesto en España mediante la modificación de la Ley de Enjuiciamiento Criminal y otras normativas relevantes. Esta modificación ha asegurado que los niños en España tengan acceso a las garantías procesales establecidas en la directiva europea.</w:t>
      </w:r>
    </w:p>
    <w:p w14:paraId="3D2940D2" w14:textId="77777777" w:rsidR="00E746B2" w:rsidRPr="00957229" w:rsidRDefault="00E746B2" w:rsidP="00E746B2">
      <w:pPr>
        <w:rPr>
          <w:rFonts w:ascii="Calibri" w:hAnsi="Calibri" w:cs="Calibri"/>
          <w:sz w:val="22"/>
        </w:rPr>
      </w:pPr>
      <w:r w:rsidRPr="00957229">
        <w:rPr>
          <w:rFonts w:ascii="Calibri" w:hAnsi="Calibri" w:cs="Calibri"/>
          <w:sz w:val="22"/>
        </w:rPr>
        <w:t>Adaptación de procedimientos judiciales: Los tribunales españoles han ajustado sus procedimientos para garantizar el cumplimiento de las directivas europeas en relación con los derechos de los niños en el sistema de justicia juvenil. Se han establecido procedimientos específicos para asegurar que los niños sean informados de manera comprensible y adaptada a su edad sobre los cargos en su contra y sobre sus derechos en el proceso judicial. Asimismo, se ha garantizado el acceso de los niños a la asistencia letrada desde el inicio del proceso judicial, conforme a lo dispuesto en la Directiva 2016/800/UE.</w:t>
      </w:r>
    </w:p>
    <w:p w14:paraId="72A88610" w14:textId="77777777" w:rsidR="00E746B2" w:rsidRPr="00957229" w:rsidRDefault="00E746B2" w:rsidP="00E746B2">
      <w:pPr>
        <w:rPr>
          <w:rFonts w:ascii="Calibri" w:hAnsi="Calibri" w:cs="Calibri"/>
          <w:sz w:val="22"/>
        </w:rPr>
      </w:pPr>
      <w:r w:rsidRPr="00957229">
        <w:rPr>
          <w:rFonts w:ascii="Calibri" w:hAnsi="Calibri" w:cs="Calibri"/>
          <w:sz w:val="22"/>
        </w:rPr>
        <w:t>En España, la Ley Orgánica 5/2000, de 12 de enero, reguladora de la responsabilidad penal de los menores, establece el marco legal para la administración de justicia juvenil. Esta ley reconoce y protege los derechos de los menores en conflicto con la ley, asegurando su derecho a un juicio justo y equitativo.</w:t>
      </w:r>
    </w:p>
    <w:p w14:paraId="462C027B" w14:textId="77777777" w:rsidR="00E746B2" w:rsidRPr="00957229" w:rsidRDefault="00E746B2" w:rsidP="00E746B2">
      <w:pPr>
        <w:rPr>
          <w:rFonts w:ascii="Calibri" w:hAnsi="Calibri" w:cs="Calibri"/>
          <w:sz w:val="22"/>
        </w:rPr>
      </w:pPr>
      <w:r w:rsidRPr="00957229">
        <w:rPr>
          <w:rFonts w:ascii="Calibri" w:hAnsi="Calibri" w:cs="Calibri"/>
          <w:sz w:val="22"/>
        </w:rPr>
        <w:t>En particular, el artículo 4 de esta ley garantiza que los menores sean tratados con respeto a su dignidad y a sus derechos fundamentales. Además, se establece que tienen derecho a ser informados de manera comprensible y detallada sobre los cargos en su contra y sobre sus derechos en el proceso judicial.</w:t>
      </w:r>
    </w:p>
    <w:p w14:paraId="21680D77" w14:textId="77777777" w:rsidR="00E746B2" w:rsidRPr="00957229" w:rsidRDefault="00E746B2" w:rsidP="00E746B2">
      <w:pPr>
        <w:rPr>
          <w:rFonts w:ascii="Calibri" w:hAnsi="Calibri" w:cs="Calibri"/>
          <w:sz w:val="22"/>
        </w:rPr>
      </w:pPr>
      <w:r w:rsidRPr="00957229">
        <w:rPr>
          <w:rFonts w:ascii="Calibri" w:hAnsi="Calibri" w:cs="Calibri"/>
          <w:sz w:val="22"/>
        </w:rPr>
        <w:lastRenderedPageBreak/>
        <w:t>Asimismo, el artículo 17 de la ley asegura que los menores tengan acceso a la asistencia letrada desde el momento en que sean privados de libertad o sean citados para comparecer ante un órgano judicial. Esto garantiza su acceso a la defensa legal en todas las etapas del proceso judicial.</w:t>
      </w:r>
    </w:p>
    <w:p w14:paraId="2FD94D79" w14:textId="77777777" w:rsidR="00E746B2" w:rsidRPr="00957229" w:rsidRDefault="00E746B2" w:rsidP="00E746B2">
      <w:pPr>
        <w:rPr>
          <w:rFonts w:ascii="Calibri" w:hAnsi="Calibri" w:cs="Calibri"/>
          <w:sz w:val="22"/>
        </w:rPr>
      </w:pPr>
      <w:r w:rsidRPr="00957229">
        <w:rPr>
          <w:rFonts w:ascii="Calibri" w:hAnsi="Calibri" w:cs="Calibri"/>
          <w:sz w:val="22"/>
        </w:rPr>
        <w:t>El acceso equitativo a la justicia para todos los jóvenes, especialmente aquellos en situación de vulnerabilidad, es un principio fundamental consagrado en numerosos instrumentos jurídicos internacionales y en la legislación nacional de muchos países, incluyendo España. Para garantizar este acceso equitativo, se pueden adoptar medidas adicionales tanto a nivel internacional como nacional:</w:t>
      </w:r>
    </w:p>
    <w:p w14:paraId="3E7DDA1F" w14:textId="77777777" w:rsidR="00E746B2" w:rsidRPr="00957229" w:rsidRDefault="00E746B2" w:rsidP="00E746B2">
      <w:pPr>
        <w:rPr>
          <w:rFonts w:ascii="Calibri" w:hAnsi="Calibri" w:cs="Calibri"/>
          <w:sz w:val="22"/>
        </w:rPr>
      </w:pPr>
      <w:r w:rsidRPr="00957229">
        <w:rPr>
          <w:rFonts w:ascii="Calibri" w:hAnsi="Calibri" w:cs="Calibri"/>
          <w:sz w:val="22"/>
        </w:rPr>
        <w:t>Normativa Internacional:</w:t>
      </w:r>
    </w:p>
    <w:p w14:paraId="7D25B5D1" w14:textId="77777777" w:rsidR="00E746B2" w:rsidRPr="00957229" w:rsidRDefault="00E746B2" w:rsidP="00E746B2">
      <w:pPr>
        <w:rPr>
          <w:rFonts w:ascii="Calibri" w:hAnsi="Calibri" w:cs="Calibri"/>
          <w:sz w:val="22"/>
        </w:rPr>
      </w:pPr>
      <w:r w:rsidRPr="00957229">
        <w:rPr>
          <w:rFonts w:ascii="Calibri" w:hAnsi="Calibri" w:cs="Calibri"/>
          <w:sz w:val="22"/>
        </w:rPr>
        <w:t>Convención sobre los Derechos del Niño (CDN): Este tratado de las Naciones Unidas establece que los Estados Partes deben garantizar que todos los niños tengan acceso a la justicia y a un trato equitativo en todos los aspectos del sistema de justicia juvenil (Artículo 40). Además, la CDN enfatiza la necesidad de proteger a los niños en situaciones de vulnerabilidad, incluidos aquellos pertenecientes a minorías étnicas, comunidades indígenas y niños con discapacidades (Artículo 2).</w:t>
      </w:r>
    </w:p>
    <w:p w14:paraId="2ABD1BF9" w14:textId="77777777" w:rsidR="00E746B2" w:rsidRPr="00957229" w:rsidRDefault="00E746B2" w:rsidP="00E746B2">
      <w:pPr>
        <w:rPr>
          <w:rFonts w:ascii="Calibri" w:hAnsi="Calibri" w:cs="Calibri"/>
          <w:sz w:val="22"/>
        </w:rPr>
      </w:pPr>
      <w:r w:rsidRPr="00957229">
        <w:rPr>
          <w:rFonts w:ascii="Calibri" w:hAnsi="Calibri" w:cs="Calibri"/>
          <w:sz w:val="22"/>
        </w:rPr>
        <w:t>Directrices de las Naciones Unidas para la Prevención de la Delincuencia Juvenil (Directrices de Riad): Estas directrices instan a los Estados a adoptar medidas para prevenir la delincuencia juvenil y garantizar la igualdad de acceso a la justicia para todos los jóvenes, sin discriminación (Principio 4).</w:t>
      </w:r>
    </w:p>
    <w:p w14:paraId="33E6DB7A" w14:textId="77777777" w:rsidR="00E746B2" w:rsidRPr="00957229" w:rsidRDefault="00E746B2" w:rsidP="00E746B2">
      <w:pPr>
        <w:rPr>
          <w:rFonts w:ascii="Calibri" w:hAnsi="Calibri" w:cs="Calibri"/>
          <w:sz w:val="22"/>
        </w:rPr>
      </w:pPr>
      <w:r w:rsidRPr="00957229">
        <w:rPr>
          <w:rFonts w:ascii="Calibri" w:hAnsi="Calibri" w:cs="Calibri"/>
          <w:sz w:val="22"/>
        </w:rPr>
        <w:t>Directrices de las Naciones Unidas para la Administración de Justicia Juvenil (Directrices de Pekín): Estas directrices establecen que los Estados deben asegurar que todos los jóvenes, especialmente aquellos en situación de vulnerabilidad, tengan acceso a la asistencia letrada gratuita y a un juicio justo en el sistema de justicia juvenil (Principio 12).</w:t>
      </w:r>
    </w:p>
    <w:p w14:paraId="3A7E9DC1" w14:textId="77777777" w:rsidR="00E746B2" w:rsidRPr="00957229" w:rsidRDefault="00E746B2" w:rsidP="00E746B2">
      <w:pPr>
        <w:rPr>
          <w:rFonts w:ascii="Calibri" w:hAnsi="Calibri" w:cs="Calibri"/>
          <w:sz w:val="22"/>
        </w:rPr>
      </w:pPr>
      <w:r w:rsidRPr="00957229">
        <w:rPr>
          <w:rFonts w:ascii="Calibri" w:hAnsi="Calibri" w:cs="Calibri"/>
          <w:sz w:val="22"/>
        </w:rPr>
        <w:t>Normativa Nacional (España):</w:t>
      </w:r>
    </w:p>
    <w:p w14:paraId="2676C510" w14:textId="77777777" w:rsidR="00E746B2" w:rsidRPr="00957229" w:rsidRDefault="00E746B2" w:rsidP="00E746B2">
      <w:pPr>
        <w:rPr>
          <w:rFonts w:ascii="Calibri" w:hAnsi="Calibri" w:cs="Calibri"/>
          <w:sz w:val="22"/>
        </w:rPr>
      </w:pPr>
      <w:r w:rsidRPr="00957229">
        <w:rPr>
          <w:rFonts w:ascii="Calibri" w:hAnsi="Calibri" w:cs="Calibri"/>
          <w:sz w:val="22"/>
        </w:rPr>
        <w:t>Ley Orgánica 1/1996, de 15 de enero, de Protección Jurídica del Menor: Esta ley española establece que los niños tienen derecho a recibir protección jurídica integral, incluido el acceso a la justicia, y que esta protección debe adaptarse a sus necesidades específicas y circunstancias personales (Artículo 2).</w:t>
      </w:r>
    </w:p>
    <w:p w14:paraId="3572C962" w14:textId="77777777" w:rsidR="00E746B2" w:rsidRPr="00957229" w:rsidRDefault="00E746B2" w:rsidP="00E746B2">
      <w:pPr>
        <w:rPr>
          <w:rFonts w:ascii="Calibri" w:hAnsi="Calibri" w:cs="Calibri"/>
          <w:sz w:val="22"/>
        </w:rPr>
      </w:pPr>
      <w:r w:rsidRPr="00957229">
        <w:rPr>
          <w:rFonts w:ascii="Calibri" w:hAnsi="Calibri" w:cs="Calibri"/>
          <w:sz w:val="22"/>
        </w:rPr>
        <w:t>Ley 1/1996, de 10 de enero, de Asistencia Jurídica Gratuita: Esta ley garantiza el acceso a la justicia gratuita para aquellas personas que no puedan costearse los servicios de un abogado. Es importante que esta disposición se aplique de manera efectiva para asegurar que todos los jóvenes, especialmente aquellos en situación de vulnerabilidad, tengan acceso a la asistencia letrada gratuita en el sistema de justicia juvenil.</w:t>
      </w:r>
    </w:p>
    <w:p w14:paraId="0FA494E3" w14:textId="77777777" w:rsidR="00E746B2" w:rsidRPr="00957229" w:rsidRDefault="00E746B2" w:rsidP="00E746B2">
      <w:pPr>
        <w:rPr>
          <w:rFonts w:ascii="Calibri" w:hAnsi="Calibri" w:cs="Calibri"/>
          <w:sz w:val="22"/>
        </w:rPr>
      </w:pPr>
      <w:r w:rsidRPr="00957229">
        <w:rPr>
          <w:rFonts w:ascii="Calibri" w:hAnsi="Calibri" w:cs="Calibri"/>
          <w:sz w:val="22"/>
        </w:rPr>
        <w:t>En España, el acceso a la asistencia letrada gratuita para menores infractores está garantizado por la Ley 1/1996, de 10 de enero, de asistencia jurídica gratuita. Esta legislación establece que todos, incluidos los menores de edad, tienen derecho a recibir asistencia legal gratuita en caso de necesidad económica.</w:t>
      </w:r>
    </w:p>
    <w:p w14:paraId="37F08B9A" w14:textId="77777777" w:rsidR="00E746B2" w:rsidRPr="00957229" w:rsidRDefault="00E746B2" w:rsidP="00E746B2">
      <w:pPr>
        <w:rPr>
          <w:rFonts w:ascii="Calibri" w:hAnsi="Calibri" w:cs="Calibri"/>
          <w:sz w:val="22"/>
        </w:rPr>
      </w:pPr>
      <w:r w:rsidRPr="00957229">
        <w:rPr>
          <w:rFonts w:ascii="Calibri" w:hAnsi="Calibri" w:cs="Calibri"/>
          <w:sz w:val="22"/>
        </w:rPr>
        <w:t xml:space="preserve">La Ley de Asistencia Jurídica Gratuita asegura que los menores dispongan de un abogado de oficio desde el momento en que sean privados de libertad o citados para comparecer ante un </w:t>
      </w:r>
      <w:r w:rsidRPr="00957229">
        <w:rPr>
          <w:rFonts w:ascii="Calibri" w:hAnsi="Calibri" w:cs="Calibri"/>
          <w:sz w:val="22"/>
        </w:rPr>
        <w:lastRenderedPageBreak/>
        <w:t>órgano judicial, extendiéndose este derecho a todas las etapas del proceso judicial, incluyendo la fase de instrucción, el juicio y cualquier recurso posterior.</w:t>
      </w:r>
    </w:p>
    <w:p w14:paraId="02723D40" w14:textId="77777777" w:rsidR="00E746B2" w:rsidRPr="00957229" w:rsidRDefault="00E746B2" w:rsidP="00E746B2">
      <w:pPr>
        <w:rPr>
          <w:rFonts w:ascii="Calibri" w:hAnsi="Calibri" w:cs="Calibri"/>
          <w:sz w:val="22"/>
        </w:rPr>
      </w:pPr>
      <w:r w:rsidRPr="00957229">
        <w:rPr>
          <w:rFonts w:ascii="Calibri" w:hAnsi="Calibri" w:cs="Calibri"/>
          <w:sz w:val="22"/>
        </w:rPr>
        <w:t>Para garantizar este acceso efectivo a la justicia gratuita, se establece un sistema de asistencia letrada de oficio administrado por los colegios de abogados y financiado por el Estado y las comunidades autónomas. Las familias pueden solicitar la designación de un abogado de oficio a través de los servicios de asistencia jurídica gratuita, los cuales evalúan la situación económica para determinar la elegibilidad.</w:t>
      </w:r>
    </w:p>
    <w:p w14:paraId="73A469AF" w14:textId="77777777" w:rsidR="00E746B2" w:rsidRPr="00957229" w:rsidRDefault="00E746B2" w:rsidP="00E746B2">
      <w:pPr>
        <w:rPr>
          <w:rFonts w:ascii="Calibri" w:hAnsi="Calibri" w:cs="Calibri"/>
          <w:sz w:val="22"/>
        </w:rPr>
      </w:pPr>
      <w:r w:rsidRPr="00957229">
        <w:rPr>
          <w:rFonts w:ascii="Calibri" w:hAnsi="Calibri" w:cs="Calibri"/>
          <w:sz w:val="22"/>
        </w:rPr>
        <w:t>Además, la ley garantiza este derecho también a los menores que sean víctimas de un delito, asegurando su participación efectiva en el proceso judicial y la protección de sus derechos.</w:t>
      </w:r>
    </w:p>
    <w:p w14:paraId="05774994" w14:textId="77777777" w:rsidR="00E746B2" w:rsidRPr="00957229" w:rsidRDefault="00E746B2" w:rsidP="00E746B2">
      <w:pPr>
        <w:rPr>
          <w:rFonts w:ascii="Calibri" w:hAnsi="Calibri" w:cs="Calibri"/>
          <w:sz w:val="22"/>
        </w:rPr>
      </w:pPr>
      <w:r w:rsidRPr="00957229">
        <w:rPr>
          <w:rFonts w:ascii="Calibri" w:hAnsi="Calibri" w:cs="Calibri"/>
          <w:sz w:val="22"/>
        </w:rPr>
        <w:t>A nivel internacional, varios instrumentos jurídicos, como la Convención sobre los Derechos del Niño (CDN), las Directrices de Riad y las Directrices de Pekín, establecen el derecho de los menores a la justicia gratuita sin requisitos económicos. Estos tratados obligan a los Estados parte a garantizar este acceso en su legislación nacional y práctica judicial.</w:t>
      </w:r>
    </w:p>
    <w:p w14:paraId="4C4E65A4" w14:textId="77777777" w:rsidR="00E746B2" w:rsidRPr="00957229" w:rsidRDefault="00E746B2" w:rsidP="00E746B2">
      <w:pPr>
        <w:rPr>
          <w:rFonts w:ascii="Calibri" w:hAnsi="Calibri" w:cs="Calibri"/>
          <w:sz w:val="22"/>
        </w:rPr>
      </w:pPr>
      <w:r w:rsidRPr="00957229">
        <w:rPr>
          <w:rFonts w:ascii="Calibri" w:hAnsi="Calibri" w:cs="Calibri"/>
          <w:sz w:val="22"/>
        </w:rPr>
        <w:t>Es crucial resaltar los aspectos positivos del sistema de justicia juvenil, como el reconocimiento de la especial vulnerabilidad y necesidades de los jóvenes en conflicto con la ley. Esto se refleja en enfoques centrados en la rehabilitación, reintegración social y prevención del delito, en contraposición a la mera sanción punitiva. Además, la aplicación de medidas basadas en el interés superior del menor y el respeto a sus derechos fundamentales constituye un avance significativo en la protección de la infancia y adolescencia.</w:t>
      </w:r>
    </w:p>
    <w:p w14:paraId="769E2B3A" w14:textId="77777777" w:rsidR="00E746B2" w:rsidRPr="00957229" w:rsidRDefault="00E746B2" w:rsidP="00E746B2">
      <w:pPr>
        <w:rPr>
          <w:rFonts w:ascii="Calibri" w:hAnsi="Calibri" w:cs="Calibri"/>
          <w:sz w:val="22"/>
        </w:rPr>
      </w:pPr>
      <w:r w:rsidRPr="00957229">
        <w:rPr>
          <w:rFonts w:ascii="Calibri" w:hAnsi="Calibri" w:cs="Calibri"/>
          <w:sz w:val="22"/>
        </w:rPr>
        <w:t>A pesar de estos avances, áreas críticas requieren mejoras significativas en el sistema de justicia juvenil. Una de ellas es la falta de acceso equitativo a la justicia para todos los jóvenes, especialmente aquellos pertenecientes a grupos marginados o en situación de vulnerabilidad. En muchos casos, los jóvenes carecen de representación legal adecuada o enfrentan barreras para comprender y participar plenamente en el proceso judicial, lo que puede socavar la equidad y efectividad del sistema.</w:t>
      </w:r>
    </w:p>
    <w:p w14:paraId="2CED4A6E" w14:textId="3DC5F0A3" w:rsidR="00E746B2" w:rsidRDefault="00E746B2" w:rsidP="00E746B2">
      <w:pPr>
        <w:rPr>
          <w:rFonts w:ascii="Calibri" w:hAnsi="Calibri" w:cs="Calibri"/>
          <w:sz w:val="22"/>
        </w:rPr>
      </w:pPr>
      <w:r w:rsidRPr="00957229">
        <w:rPr>
          <w:rFonts w:ascii="Calibri" w:hAnsi="Calibri" w:cs="Calibri"/>
          <w:sz w:val="22"/>
        </w:rPr>
        <w:t>La falta de coordinación interinstitucional entre las diversas entidades involucradas en la justicia juvenil puede resultar en la duplicación de esfuerzos, falta de coherencia en la aplicación de medidas y dificultades para abordar integralmente las necesidades de los jóvenes. Esta carencia de coordinación también puede obstaculizar la implementación efectiva de medidas de prevención y rehabilitación, limitando así el impacto positivo del sistema en la reducción del delito juvenil y la protección de los derechos de los jóvenes.</w:t>
      </w:r>
    </w:p>
    <w:p w14:paraId="6DAD8297" w14:textId="77777777" w:rsidR="003359A2" w:rsidRPr="00957229" w:rsidRDefault="003359A2" w:rsidP="00E746B2">
      <w:pPr>
        <w:rPr>
          <w:rFonts w:ascii="Calibri" w:hAnsi="Calibri" w:cs="Calibri"/>
          <w:sz w:val="22"/>
        </w:rPr>
      </w:pPr>
    </w:p>
    <w:p w14:paraId="264D2944" w14:textId="77777777" w:rsidR="00E746B2" w:rsidRPr="00957229" w:rsidRDefault="00E746B2" w:rsidP="00883891">
      <w:pPr>
        <w:pStyle w:val="Heading4"/>
        <w:numPr>
          <w:ilvl w:val="0"/>
          <w:numId w:val="13"/>
        </w:numPr>
        <w:rPr>
          <w:rFonts w:ascii="Calibri" w:hAnsi="Calibri" w:cs="Calibri"/>
          <w:sz w:val="22"/>
        </w:rPr>
      </w:pPr>
      <w:r w:rsidRPr="00957229">
        <w:rPr>
          <w:rFonts w:ascii="Calibri" w:hAnsi="Calibri" w:cs="Calibri"/>
          <w:sz w:val="22"/>
        </w:rPr>
        <w:t>Áreas que requieren mejoras:</w:t>
      </w:r>
    </w:p>
    <w:p w14:paraId="7934DE3B" w14:textId="77777777" w:rsidR="00E746B2" w:rsidRPr="00957229" w:rsidRDefault="00E746B2" w:rsidP="00E746B2">
      <w:pPr>
        <w:rPr>
          <w:rFonts w:ascii="Calibri" w:hAnsi="Calibri" w:cs="Calibri"/>
          <w:sz w:val="22"/>
        </w:rPr>
      </w:pPr>
      <w:r w:rsidRPr="00957229">
        <w:rPr>
          <w:rFonts w:ascii="Calibri" w:hAnsi="Calibri" w:cs="Calibri"/>
          <w:sz w:val="22"/>
        </w:rPr>
        <w:t>La garantía de los derechos fundamentales de los jóvenes infractores es fundamental y debe asegurarse en todo momento. Esto implica garantizar el acceso a la asistencia letrada, el derecho a un juicio justo y la protección contra el trato inhumano o degradante. Desde una perspectiva jurídica, estos derechos están consagrados en numerosos instrumentos internacionales y nacionales que establecen los estándares mínimos para el tratamiento de los jóvenes en conflicto con la ley.</w:t>
      </w:r>
    </w:p>
    <w:p w14:paraId="7C3E770A" w14:textId="77777777" w:rsidR="00E746B2" w:rsidRPr="00957229" w:rsidRDefault="00E746B2" w:rsidP="00E746B2">
      <w:pPr>
        <w:rPr>
          <w:rFonts w:ascii="Calibri" w:hAnsi="Calibri" w:cs="Calibri"/>
          <w:sz w:val="22"/>
        </w:rPr>
      </w:pPr>
      <w:r w:rsidRPr="00957229">
        <w:rPr>
          <w:rFonts w:ascii="Calibri" w:hAnsi="Calibri" w:cs="Calibri"/>
          <w:sz w:val="22"/>
        </w:rPr>
        <w:t xml:space="preserve">La reducción de la reincidencia entre los jóvenes infractores sigue siendo un desafío importante a pesar de los esfuerzos por rehabilitarlos. Para abordar este problema, se requieren estrategias </w:t>
      </w:r>
      <w:r w:rsidRPr="00957229">
        <w:rPr>
          <w:rFonts w:ascii="Calibri" w:hAnsi="Calibri" w:cs="Calibri"/>
          <w:sz w:val="22"/>
        </w:rPr>
        <w:lastRenderedPageBreak/>
        <w:t>más efectivas que puedan abordar las causas subyacentes del comportamiento delictivo y prevenir la reincidencia. Esto podría implicar una colaboración más estrecha entre las autoridades judiciales, educativas y comunitarias.</w:t>
      </w:r>
    </w:p>
    <w:p w14:paraId="0369B359" w14:textId="77777777" w:rsidR="00E746B2" w:rsidRPr="00957229" w:rsidRDefault="00E746B2" w:rsidP="00E746B2">
      <w:pPr>
        <w:rPr>
          <w:rFonts w:ascii="Calibri" w:hAnsi="Calibri" w:cs="Calibri"/>
          <w:sz w:val="22"/>
        </w:rPr>
      </w:pPr>
      <w:r w:rsidRPr="00957229">
        <w:rPr>
          <w:rFonts w:ascii="Calibri" w:hAnsi="Calibri" w:cs="Calibri"/>
          <w:sz w:val="22"/>
        </w:rPr>
        <w:t>Desde una perspectiva jurídica internacional, varios instrumentos normativos obligan a los Estados a implementar medidas para prevenir la reincidencia entre los jóvenes infractores. Por ejemplo, el Comité de los Derechos del Niño de las Naciones Unidas ha instado a los Estados a establecer programas de rehabilitación y reintegración social que aborden las causas subyacentes del comportamiento delictivo y promuevan el desarrollo personal y social de los jóvenes.</w:t>
      </w:r>
    </w:p>
    <w:p w14:paraId="0912026D" w14:textId="77777777" w:rsidR="00E746B2" w:rsidRPr="00957229" w:rsidRDefault="00E746B2" w:rsidP="00E746B2">
      <w:pPr>
        <w:rPr>
          <w:rFonts w:ascii="Calibri" w:hAnsi="Calibri" w:cs="Calibri"/>
          <w:sz w:val="22"/>
        </w:rPr>
      </w:pPr>
      <w:r w:rsidRPr="00957229">
        <w:rPr>
          <w:rFonts w:ascii="Calibri" w:hAnsi="Calibri" w:cs="Calibri"/>
          <w:sz w:val="22"/>
        </w:rPr>
        <w:t>A nivel nacional, en España, la Ley Orgánica 5/2000, de 12 de enero, de Responsabilidad Penal del Menor, establece el principio de reinserción social como uno de los objetivos fundamentales del sistema de justicia juvenil. Según esta ley, las medidas judiciales deben estar dirigidas hacia la rehabilitación y reintegración social de los jóvenes infractores, con el fin de prevenir la reincidencia y promover su desarrollo integral.</w:t>
      </w:r>
    </w:p>
    <w:p w14:paraId="12F3BFB4" w14:textId="77777777" w:rsidR="00E746B2" w:rsidRPr="00957229" w:rsidRDefault="00E746B2" w:rsidP="00E746B2">
      <w:pPr>
        <w:rPr>
          <w:rFonts w:ascii="Calibri" w:hAnsi="Calibri" w:cs="Calibri"/>
          <w:sz w:val="22"/>
        </w:rPr>
      </w:pPr>
      <w:r w:rsidRPr="00957229">
        <w:rPr>
          <w:rFonts w:ascii="Calibri" w:hAnsi="Calibri" w:cs="Calibri"/>
          <w:sz w:val="22"/>
        </w:rPr>
        <w:t>Sin embargo, a pesar de estas disposiciones legales, el sistema de justicia juvenil en España enfrenta desafíos significativos en la reducción de la reincidencia. La falta de coordinación entre las autoridades judiciales, educativas y comunitarias puede obstaculizar la implementación efectiva de programas de prevención y rehabilitación. Además, la escasez de recursos y la falta de programas específicos dirigidos a las necesidades individuales de los jóvenes infractores pueden limitar la eficacia de las medidas de intervención.</w:t>
      </w:r>
    </w:p>
    <w:p w14:paraId="2C0E2765" w14:textId="77777777" w:rsidR="00E746B2" w:rsidRPr="00957229" w:rsidRDefault="00E746B2" w:rsidP="00E746B2">
      <w:pPr>
        <w:rPr>
          <w:rFonts w:ascii="Calibri" w:hAnsi="Calibri" w:cs="Calibri"/>
          <w:sz w:val="22"/>
        </w:rPr>
      </w:pPr>
      <w:r w:rsidRPr="00957229">
        <w:rPr>
          <w:rFonts w:ascii="Calibri" w:hAnsi="Calibri" w:cs="Calibri"/>
          <w:sz w:val="22"/>
        </w:rPr>
        <w:t>La reducción de la reincidencia entre los jóvenes infractores requiere un enfoque integral y multifacético. Además de establecer las bases jurídicas para la prevención de la reincidencia, es fundamental implementar estrategias efectivas y sostenibles que aborden las causas subyacentes del comportamiento delictivo y promuevan la reintegración social de los jóvenes. A continuación, se presentan algunas recomendaciones y soluciones:</w:t>
      </w:r>
    </w:p>
    <w:p w14:paraId="360A20B6" w14:textId="77777777" w:rsidR="00E746B2" w:rsidRPr="00957229" w:rsidRDefault="00E746B2" w:rsidP="00E746B2">
      <w:pPr>
        <w:rPr>
          <w:rFonts w:ascii="Calibri" w:hAnsi="Calibri" w:cs="Calibri"/>
          <w:sz w:val="22"/>
        </w:rPr>
      </w:pPr>
      <w:r w:rsidRPr="00957229">
        <w:rPr>
          <w:rFonts w:ascii="Calibri" w:hAnsi="Calibri" w:cs="Calibri"/>
          <w:sz w:val="22"/>
        </w:rPr>
        <w:t>Intervención temprana: Identificar y abordar los factores de riesgo desde una etapa temprana en la vida de los jóvenes es crucial. Esto puede implicar programas de prevención del delito en las escuelas, apoyo psicosocial en comunidades desfavorecidas y acceso a servicios de salud mental y bienestar.</w:t>
      </w:r>
    </w:p>
    <w:p w14:paraId="3D95C9D9" w14:textId="77777777" w:rsidR="00E746B2" w:rsidRPr="00957229" w:rsidRDefault="00E746B2" w:rsidP="00E746B2">
      <w:pPr>
        <w:rPr>
          <w:rFonts w:ascii="Calibri" w:hAnsi="Calibri" w:cs="Calibri"/>
          <w:sz w:val="22"/>
        </w:rPr>
      </w:pPr>
      <w:r w:rsidRPr="00957229">
        <w:rPr>
          <w:rFonts w:ascii="Calibri" w:hAnsi="Calibri" w:cs="Calibri"/>
          <w:sz w:val="22"/>
        </w:rPr>
        <w:t>Personalización de las intervenciones: Cada joven infractor tiene necesidades y circunstancias individuales que deben ser consideradas al diseñar programas de rehabilitación y reintegración. Es fundamental ofrecer intervenciones personalizadas que aborden sus necesidades educativas, emocionales, familiares y sociales específicas.</w:t>
      </w:r>
    </w:p>
    <w:p w14:paraId="366D5A9B" w14:textId="77777777" w:rsidR="00E746B2" w:rsidRPr="00957229" w:rsidRDefault="00E746B2" w:rsidP="00E746B2">
      <w:pPr>
        <w:rPr>
          <w:rFonts w:ascii="Calibri" w:hAnsi="Calibri" w:cs="Calibri"/>
          <w:sz w:val="22"/>
        </w:rPr>
      </w:pPr>
      <w:r w:rsidRPr="00957229">
        <w:rPr>
          <w:rFonts w:ascii="Calibri" w:hAnsi="Calibri" w:cs="Calibri"/>
          <w:sz w:val="22"/>
        </w:rPr>
        <w:t>Enfoque en la educación y formación: La educación y la formación son elementos clave para la reintegración social y la prevención de la reincidencia. Es importante garantizar que los jóvenes infractores tengan acceso a oportunidades educativas y de capacitación profesional que les permitan adquirir habilidades y competencias para el empleo y la vida independiente.</w:t>
      </w:r>
    </w:p>
    <w:p w14:paraId="1C39BECF" w14:textId="77777777" w:rsidR="00E746B2" w:rsidRPr="00957229" w:rsidRDefault="00E746B2" w:rsidP="00E746B2">
      <w:pPr>
        <w:rPr>
          <w:rFonts w:ascii="Calibri" w:hAnsi="Calibri" w:cs="Calibri"/>
          <w:sz w:val="22"/>
        </w:rPr>
      </w:pPr>
      <w:r w:rsidRPr="00957229">
        <w:rPr>
          <w:rFonts w:ascii="Calibri" w:hAnsi="Calibri" w:cs="Calibri"/>
          <w:sz w:val="22"/>
        </w:rPr>
        <w:t>Coordinación interinstitucional: La colaboración entre las autoridades judiciales, educativas, de salud, servicios sociales y comunitarias es fundamental para garantizar una respuesta integral y coordinada a las necesidades de los jóvenes infractores. Se deben establecer mecanismos de coordinación efectivos y compartir información relevante para garantizar la coherencia en la prestación de servicios.</w:t>
      </w:r>
    </w:p>
    <w:p w14:paraId="6E59BE26" w14:textId="77777777" w:rsidR="00E746B2" w:rsidRPr="00957229" w:rsidRDefault="00E746B2" w:rsidP="00E746B2">
      <w:pPr>
        <w:rPr>
          <w:rFonts w:ascii="Calibri" w:hAnsi="Calibri" w:cs="Calibri"/>
          <w:sz w:val="22"/>
        </w:rPr>
      </w:pPr>
      <w:r w:rsidRPr="00957229">
        <w:rPr>
          <w:rFonts w:ascii="Calibri" w:hAnsi="Calibri" w:cs="Calibri"/>
          <w:sz w:val="22"/>
        </w:rPr>
        <w:lastRenderedPageBreak/>
        <w:t>Involucración familiar y comunitario: La participación activa de las familias y las comunidades en el proceso de rehabilitación y reintegración puede mejorar significativamente los resultados. Es importante involucrar a los padres, tutores y líderes comunitarios en la planificación y ejecución de programas de apoyo a los jóvenes infractores.</w:t>
      </w:r>
    </w:p>
    <w:p w14:paraId="03E0A56E" w14:textId="3477D1D8" w:rsidR="00E746B2" w:rsidRDefault="00E746B2" w:rsidP="00E746B2">
      <w:pPr>
        <w:rPr>
          <w:rFonts w:ascii="Calibri" w:hAnsi="Calibri" w:cs="Calibri"/>
          <w:sz w:val="22"/>
        </w:rPr>
      </w:pPr>
      <w:r w:rsidRPr="00957229">
        <w:rPr>
          <w:rFonts w:ascii="Calibri" w:hAnsi="Calibri" w:cs="Calibri"/>
          <w:sz w:val="22"/>
        </w:rPr>
        <w:t>Monitoreo y seguimiento: Realizar un seguimiento continuo del progreso de los jóvenes infractores después de su liberación y proporcionar apoyo continuo para facilitar su transición exitosa a la vida fuera del sistema de justicia juvenil es fundamental. Esto puede implicar servicios de apoyo posteriores a la liberación, programas de mentoría y acceso a recursos comunitarios.</w:t>
      </w:r>
    </w:p>
    <w:p w14:paraId="73BA1006" w14:textId="77777777" w:rsidR="003359A2" w:rsidRPr="00957229" w:rsidRDefault="003359A2" w:rsidP="00E746B2">
      <w:pPr>
        <w:rPr>
          <w:rFonts w:ascii="Calibri" w:hAnsi="Calibri" w:cs="Calibri"/>
          <w:sz w:val="22"/>
        </w:rPr>
      </w:pPr>
    </w:p>
    <w:p w14:paraId="5C37168B" w14:textId="77777777" w:rsidR="00E746B2" w:rsidRPr="00957229" w:rsidRDefault="00E746B2" w:rsidP="00986080">
      <w:pPr>
        <w:pStyle w:val="Heading4"/>
        <w:rPr>
          <w:rFonts w:ascii="Calibri" w:hAnsi="Calibri" w:cs="Calibri"/>
          <w:sz w:val="22"/>
        </w:rPr>
      </w:pPr>
      <w:r w:rsidRPr="00957229">
        <w:rPr>
          <w:rFonts w:ascii="Calibri" w:hAnsi="Calibri" w:cs="Calibri"/>
          <w:sz w:val="22"/>
        </w:rPr>
        <w:t>Desinstitucionalización en la Justicia Juvenil: Avanzando hacia un Enfoque Alternativo:</w:t>
      </w:r>
    </w:p>
    <w:p w14:paraId="4868CB6E" w14:textId="77777777" w:rsidR="00E746B2" w:rsidRPr="00957229" w:rsidRDefault="00E746B2" w:rsidP="00E746B2">
      <w:pPr>
        <w:rPr>
          <w:rFonts w:ascii="Calibri" w:hAnsi="Calibri" w:cs="Calibri"/>
          <w:sz w:val="22"/>
        </w:rPr>
      </w:pPr>
      <w:r w:rsidRPr="00957229">
        <w:rPr>
          <w:rFonts w:ascii="Calibri" w:hAnsi="Calibri" w:cs="Calibri"/>
          <w:sz w:val="22"/>
        </w:rPr>
        <w:t>La desinstitucionalización en la justicia juvenil es esencial para promover la reintegración social y reducir la reincidencia entre los jóvenes infractores. A pesar de los avances normativos tanto a nivel internacional como nacional, la implementación efectiva de medidas alternativas sigue siendo un desafío en muchos sistemas judiciales. A continuación, se analiza la situación normativa y se proponen soluciones:</w:t>
      </w:r>
    </w:p>
    <w:p w14:paraId="77511B3E" w14:textId="77777777" w:rsidR="00E746B2" w:rsidRPr="00957229" w:rsidRDefault="00E746B2" w:rsidP="00E746B2">
      <w:pPr>
        <w:rPr>
          <w:rFonts w:ascii="Calibri" w:hAnsi="Calibri" w:cs="Calibri"/>
          <w:sz w:val="22"/>
        </w:rPr>
      </w:pPr>
      <w:r w:rsidRPr="00957229">
        <w:rPr>
          <w:rFonts w:ascii="Calibri" w:hAnsi="Calibri" w:cs="Calibri"/>
          <w:sz w:val="22"/>
        </w:rPr>
        <w:t>Normativa internacional:</w:t>
      </w:r>
    </w:p>
    <w:p w14:paraId="7D8F0305" w14:textId="77777777" w:rsidR="00E746B2" w:rsidRPr="00957229" w:rsidRDefault="00E746B2" w:rsidP="00E746B2">
      <w:pPr>
        <w:rPr>
          <w:rFonts w:ascii="Calibri" w:hAnsi="Calibri" w:cs="Calibri"/>
          <w:sz w:val="22"/>
        </w:rPr>
      </w:pPr>
      <w:r w:rsidRPr="00957229">
        <w:rPr>
          <w:rFonts w:ascii="Calibri" w:hAnsi="Calibri" w:cs="Calibri"/>
          <w:sz w:val="22"/>
        </w:rPr>
        <w:t>La Convención sobre los Derechos del Niño de las Naciones Unidas (CDN) establece el derecho de los niños a ser tratados de manera que se favorezca su bienestar y su reintegración en la sociedad, instando a los Estados a adoptar medidas alternativas a la privación de libertad.</w:t>
      </w:r>
    </w:p>
    <w:p w14:paraId="7273CD6D" w14:textId="77777777" w:rsidR="00E746B2" w:rsidRPr="00957229" w:rsidRDefault="00E746B2" w:rsidP="00E746B2">
      <w:pPr>
        <w:rPr>
          <w:rFonts w:ascii="Calibri" w:hAnsi="Calibri" w:cs="Calibri"/>
          <w:sz w:val="22"/>
        </w:rPr>
      </w:pPr>
      <w:r w:rsidRPr="00957229">
        <w:rPr>
          <w:rFonts w:ascii="Calibri" w:hAnsi="Calibri" w:cs="Calibri"/>
          <w:sz w:val="22"/>
        </w:rPr>
        <w:t>Las Directrices de las Naciones Unidas para la Prevención de la Delincuencia Juvenil (Directrices de Riad) y las Reglas de las Naciones Unidas para la Protección de los Menores Privados de Libertad ofrecen orientación sobre el uso de medidas no privativas de libertad y promueven la justicia restaurativa en el tratamiento de los jóvenes infractores.</w:t>
      </w:r>
    </w:p>
    <w:p w14:paraId="5F9CBD1E" w14:textId="77777777" w:rsidR="00E746B2" w:rsidRPr="00957229" w:rsidRDefault="00E746B2" w:rsidP="00E746B2">
      <w:pPr>
        <w:rPr>
          <w:rFonts w:ascii="Calibri" w:hAnsi="Calibri" w:cs="Calibri"/>
          <w:sz w:val="22"/>
        </w:rPr>
      </w:pPr>
      <w:r w:rsidRPr="00957229">
        <w:rPr>
          <w:rFonts w:ascii="Calibri" w:hAnsi="Calibri" w:cs="Calibri"/>
          <w:sz w:val="22"/>
        </w:rPr>
        <w:t>Normativa nacional (en el caso de España):</w:t>
      </w:r>
    </w:p>
    <w:p w14:paraId="1B0FFEBE" w14:textId="77777777" w:rsidR="00E746B2" w:rsidRPr="00957229" w:rsidRDefault="00E746B2" w:rsidP="00E746B2">
      <w:pPr>
        <w:rPr>
          <w:rFonts w:ascii="Calibri" w:hAnsi="Calibri" w:cs="Calibri"/>
          <w:sz w:val="22"/>
        </w:rPr>
      </w:pPr>
      <w:r w:rsidRPr="00957229">
        <w:rPr>
          <w:rFonts w:ascii="Calibri" w:hAnsi="Calibri" w:cs="Calibri"/>
          <w:sz w:val="22"/>
        </w:rPr>
        <w:t>La Ley Orgánica 5/2000, de 12 de enero, reguladora de la responsabilidad penal de los menores, establece el principio de proporcionalidad en las medidas aplicables a los jóvenes infractores, priorizando las medidas educativas y de reinserción.</w:t>
      </w:r>
    </w:p>
    <w:p w14:paraId="4FAC8681" w14:textId="77777777" w:rsidR="00E746B2" w:rsidRPr="00957229" w:rsidRDefault="00E746B2" w:rsidP="00E746B2">
      <w:pPr>
        <w:rPr>
          <w:rFonts w:ascii="Calibri" w:hAnsi="Calibri" w:cs="Calibri"/>
          <w:sz w:val="22"/>
        </w:rPr>
      </w:pPr>
      <w:r w:rsidRPr="00957229">
        <w:rPr>
          <w:rFonts w:ascii="Calibri" w:hAnsi="Calibri" w:cs="Calibri"/>
          <w:sz w:val="22"/>
        </w:rPr>
        <w:t>El Plan Estratégico Nacional de Justicia Juvenil 2019-2022 de España promueve la implementación de medidas alternativas al internamiento, fomentando la mediación y la justicia restaurativa.</w:t>
      </w:r>
    </w:p>
    <w:p w14:paraId="28B0E7A5" w14:textId="77777777" w:rsidR="00E746B2" w:rsidRPr="00957229" w:rsidRDefault="00E746B2" w:rsidP="00E746B2">
      <w:pPr>
        <w:rPr>
          <w:rFonts w:ascii="Calibri" w:hAnsi="Calibri" w:cs="Calibri"/>
          <w:sz w:val="22"/>
        </w:rPr>
      </w:pPr>
      <w:r w:rsidRPr="00957229">
        <w:rPr>
          <w:rFonts w:ascii="Calibri" w:hAnsi="Calibri" w:cs="Calibri"/>
          <w:sz w:val="22"/>
        </w:rPr>
        <w:t>Análisis de cumplimiento:</w:t>
      </w:r>
    </w:p>
    <w:p w14:paraId="25B3642F" w14:textId="77777777" w:rsidR="00E746B2" w:rsidRPr="00957229" w:rsidRDefault="00E746B2" w:rsidP="00E746B2">
      <w:pPr>
        <w:rPr>
          <w:rFonts w:ascii="Calibri" w:hAnsi="Calibri" w:cs="Calibri"/>
          <w:sz w:val="22"/>
        </w:rPr>
      </w:pPr>
      <w:r w:rsidRPr="00957229">
        <w:rPr>
          <w:rFonts w:ascii="Calibri" w:hAnsi="Calibri" w:cs="Calibri"/>
          <w:sz w:val="22"/>
        </w:rPr>
        <w:t>A pesar de las disposiciones normativas, muchos sistemas judiciales continúan dependiendo en gran medida de la detención y el internamiento juvenil como respuestas a la delincuencia juvenil.</w:t>
      </w:r>
    </w:p>
    <w:p w14:paraId="6E171E3C" w14:textId="77777777" w:rsidR="00E746B2" w:rsidRPr="00957229" w:rsidRDefault="00E746B2" w:rsidP="00E746B2">
      <w:pPr>
        <w:rPr>
          <w:rFonts w:ascii="Calibri" w:hAnsi="Calibri" w:cs="Calibri"/>
          <w:sz w:val="22"/>
        </w:rPr>
      </w:pPr>
      <w:r w:rsidRPr="00957229">
        <w:rPr>
          <w:rFonts w:ascii="Calibri" w:hAnsi="Calibri" w:cs="Calibri"/>
          <w:sz w:val="22"/>
        </w:rPr>
        <w:lastRenderedPageBreak/>
        <w:t>Existen limitaciones en recursos y capacitación para implementar eficazmente alternativas no institucionales y garantizar una respuesta equitativa y efectiva a las necesidades de los jóvenes infractores.</w:t>
      </w:r>
    </w:p>
    <w:p w14:paraId="07EFE8B9" w14:textId="77777777" w:rsidR="00E746B2" w:rsidRPr="00957229" w:rsidRDefault="00E746B2" w:rsidP="00E746B2">
      <w:pPr>
        <w:rPr>
          <w:rFonts w:ascii="Calibri" w:hAnsi="Calibri" w:cs="Calibri"/>
          <w:sz w:val="22"/>
        </w:rPr>
      </w:pPr>
      <w:r w:rsidRPr="00957229">
        <w:rPr>
          <w:rFonts w:ascii="Calibri" w:hAnsi="Calibri" w:cs="Calibri"/>
          <w:sz w:val="22"/>
        </w:rPr>
        <w:t>Propuestas de solución:</w:t>
      </w:r>
    </w:p>
    <w:p w14:paraId="19BFBDAD" w14:textId="77777777" w:rsidR="00E746B2" w:rsidRPr="00957229" w:rsidRDefault="00E746B2" w:rsidP="00E746B2">
      <w:pPr>
        <w:rPr>
          <w:rFonts w:ascii="Calibri" w:hAnsi="Calibri" w:cs="Calibri"/>
          <w:sz w:val="22"/>
        </w:rPr>
      </w:pPr>
      <w:r w:rsidRPr="00957229">
        <w:rPr>
          <w:rFonts w:ascii="Calibri" w:hAnsi="Calibri" w:cs="Calibri"/>
          <w:sz w:val="22"/>
        </w:rPr>
        <w:t>Fortalecimiento de programas de mediación y justicia restaurativa: Invertir en la capacitación de mediadores y facilitadores para promover la resolución pacífica de conflictos y la reparación del daño causado.</w:t>
      </w:r>
    </w:p>
    <w:p w14:paraId="6BDC5FB9" w14:textId="77777777" w:rsidR="00E746B2" w:rsidRPr="00957229" w:rsidRDefault="00E746B2" w:rsidP="00E746B2">
      <w:pPr>
        <w:rPr>
          <w:rFonts w:ascii="Calibri" w:hAnsi="Calibri" w:cs="Calibri"/>
          <w:sz w:val="22"/>
        </w:rPr>
      </w:pPr>
      <w:r w:rsidRPr="00957229">
        <w:rPr>
          <w:rFonts w:ascii="Calibri" w:hAnsi="Calibri" w:cs="Calibri"/>
          <w:sz w:val="22"/>
        </w:rPr>
        <w:t>Desarrollo de programas de intervención comunitaria: Establecer programas basados en la comunidad que brinden apoyo y recursos a los jóvenes y sus familias, facilitando su integración social y previniendo la reincidencia.</w:t>
      </w:r>
    </w:p>
    <w:p w14:paraId="00514029" w14:textId="77777777" w:rsidR="00E746B2" w:rsidRPr="00957229" w:rsidRDefault="00E746B2" w:rsidP="00E746B2">
      <w:pPr>
        <w:rPr>
          <w:rFonts w:ascii="Calibri" w:hAnsi="Calibri" w:cs="Calibri"/>
          <w:sz w:val="22"/>
        </w:rPr>
      </w:pPr>
      <w:r w:rsidRPr="00957229">
        <w:rPr>
          <w:rFonts w:ascii="Calibri" w:hAnsi="Calibri" w:cs="Calibri"/>
          <w:sz w:val="22"/>
        </w:rPr>
        <w:t>Sensibilización y capacitación: Sensibilizar a los actores del sistema sobre los beneficios de las medidas alternativas y proporcionarles la formación necesaria para su implementación efectiva.</w:t>
      </w:r>
    </w:p>
    <w:p w14:paraId="4817136D" w14:textId="77777777" w:rsidR="00E746B2" w:rsidRPr="00957229" w:rsidRDefault="00E746B2" w:rsidP="00E746B2">
      <w:pPr>
        <w:rPr>
          <w:rFonts w:ascii="Calibri" w:hAnsi="Calibri" w:cs="Calibri"/>
          <w:sz w:val="22"/>
        </w:rPr>
      </w:pPr>
      <w:r w:rsidRPr="00957229">
        <w:rPr>
          <w:rFonts w:ascii="Calibri" w:hAnsi="Calibri" w:cs="Calibri"/>
          <w:sz w:val="22"/>
        </w:rPr>
        <w:t>Supervisión y evaluación: Establecer mecanismos de supervisión y evaluación para monitorear el uso de medidas no institucionales y garantizar su eficacia en la reducción de la reincidencia y la promoción de la reintegración social.</w:t>
      </w:r>
    </w:p>
    <w:p w14:paraId="38510EB9" w14:textId="77777777" w:rsidR="00E746B2" w:rsidRPr="00957229" w:rsidRDefault="00E746B2" w:rsidP="00E746B2">
      <w:pPr>
        <w:rPr>
          <w:rFonts w:ascii="Calibri" w:hAnsi="Calibri" w:cs="Calibri"/>
          <w:sz w:val="22"/>
        </w:rPr>
      </w:pPr>
      <w:r w:rsidRPr="00957229">
        <w:rPr>
          <w:rFonts w:ascii="Calibri" w:hAnsi="Calibri" w:cs="Calibri"/>
          <w:sz w:val="22"/>
        </w:rPr>
        <w:t>El problema de la heterogeneidad en la justicia juvenil en España, derivado de las diferencias entre las comunidades autónomas, representa una preocupación significativa en la protección de menores y la administración de justicia. Esta disparidad puede generar desigualdades en el acceso a la justicia y en la aplicación de medidas y políticas destinadas a los menores en conflicto con la ley. Algunos desafíos asociados con esta heterogeneidad incluyen:</w:t>
      </w:r>
    </w:p>
    <w:p w14:paraId="18AE9412" w14:textId="77777777" w:rsidR="00E746B2" w:rsidRPr="00957229" w:rsidRDefault="00E746B2" w:rsidP="00E746B2">
      <w:pPr>
        <w:rPr>
          <w:rFonts w:ascii="Calibri" w:hAnsi="Calibri" w:cs="Calibri"/>
          <w:sz w:val="22"/>
        </w:rPr>
      </w:pPr>
      <w:r w:rsidRPr="00957229">
        <w:rPr>
          <w:rFonts w:ascii="Calibri" w:hAnsi="Calibri" w:cs="Calibri"/>
          <w:sz w:val="22"/>
        </w:rPr>
        <w:t>Disparidad en legislaciones y procedimientos: Cada comunidad autónoma tiene competencia para legislar en ciertas áreas, lo que conduce a diferencias importantes en las leyes y procedimientos aplicables a los menores en cada región, dificultando la coherencia y la equidad en la aplicación de la justicia.</w:t>
      </w:r>
    </w:p>
    <w:p w14:paraId="7C73273D" w14:textId="77777777" w:rsidR="00E746B2" w:rsidRPr="00957229" w:rsidRDefault="00E746B2" w:rsidP="00E746B2">
      <w:pPr>
        <w:rPr>
          <w:rFonts w:ascii="Calibri" w:hAnsi="Calibri" w:cs="Calibri"/>
          <w:sz w:val="22"/>
        </w:rPr>
      </w:pPr>
      <w:r w:rsidRPr="00957229">
        <w:rPr>
          <w:rFonts w:ascii="Calibri" w:hAnsi="Calibri" w:cs="Calibri"/>
          <w:sz w:val="22"/>
        </w:rPr>
        <w:t>Variabilidad en la aplicación de medidas: Las diferencias en la interpretación y aplicación de las leyes pueden resultar en variaciones en las medidas aplicadas a los menores infractores en diferentes comunidades autónomas, generando desigualdad según el lugar de residencia del menor y afectando su acceso a la justicia.</w:t>
      </w:r>
    </w:p>
    <w:p w14:paraId="68B551E8" w14:textId="77777777" w:rsidR="00E746B2" w:rsidRPr="00957229" w:rsidRDefault="00E746B2" w:rsidP="00E746B2">
      <w:pPr>
        <w:rPr>
          <w:rFonts w:ascii="Calibri" w:hAnsi="Calibri" w:cs="Calibri"/>
          <w:sz w:val="22"/>
        </w:rPr>
      </w:pPr>
      <w:r w:rsidRPr="00957229">
        <w:rPr>
          <w:rFonts w:ascii="Calibri" w:hAnsi="Calibri" w:cs="Calibri"/>
          <w:sz w:val="22"/>
        </w:rPr>
        <w:t>Falta de coordinación y colaboración: La falta de coordinación entre las comunidades autónomas puede obstaculizar la colaboración y el intercambio de buenas prácticas en el ámbito de la justicia juvenil, limitando la capacidad de implementar políticas efectivas y garantizar una respuesta adecuada a las necesidades de los menores en conflicto con la ley.</w:t>
      </w:r>
    </w:p>
    <w:p w14:paraId="0F143023" w14:textId="77777777" w:rsidR="00E746B2" w:rsidRPr="00957229" w:rsidRDefault="00E746B2" w:rsidP="00E746B2">
      <w:pPr>
        <w:rPr>
          <w:rFonts w:ascii="Calibri" w:hAnsi="Calibri" w:cs="Calibri"/>
          <w:sz w:val="22"/>
        </w:rPr>
      </w:pPr>
      <w:r w:rsidRPr="00957229">
        <w:rPr>
          <w:rFonts w:ascii="Calibri" w:hAnsi="Calibri" w:cs="Calibri"/>
          <w:sz w:val="22"/>
        </w:rPr>
        <w:t>Desafíos en la atención a menores migrantes: La heterogeneidad en la justicia juvenil puede ser especialmente problemática en el caso de menores migrantes, quienes enfrentan barreras adicionales debido a la falta de coordinación entre las autoridades de diferentes comunidades autónomas y la complejidad de su situación legal.</w:t>
      </w:r>
    </w:p>
    <w:p w14:paraId="1487760D" w14:textId="77777777" w:rsidR="00E746B2" w:rsidRPr="00957229" w:rsidRDefault="00E746B2" w:rsidP="00E746B2">
      <w:pPr>
        <w:rPr>
          <w:rFonts w:ascii="Calibri" w:hAnsi="Calibri" w:cs="Calibri"/>
          <w:sz w:val="22"/>
        </w:rPr>
      </w:pPr>
      <w:r w:rsidRPr="00957229">
        <w:rPr>
          <w:rFonts w:ascii="Calibri" w:hAnsi="Calibri" w:cs="Calibri"/>
          <w:sz w:val="22"/>
        </w:rPr>
        <w:t xml:space="preserve">Para abordar este problema, es fundamental promover la coordinación y cooperación entre las comunidades autónomas en el ámbito de la justicia juvenil. Esto puede lograrse mediante la armonización de las leyes y procedimientos, la creación de mecanismos de colaboración y coordinación interregional, y el intercambio de buenas prácticas entre las diferentes </w:t>
      </w:r>
      <w:r w:rsidRPr="00957229">
        <w:rPr>
          <w:rFonts w:ascii="Calibri" w:hAnsi="Calibri" w:cs="Calibri"/>
          <w:sz w:val="22"/>
        </w:rPr>
        <w:lastRenderedPageBreak/>
        <w:t>administraciones. Además, es importante garantizar la participación de todas las partes interesadas, incluidos los profesionales del sistema de justicia, las organizaciones de la sociedad civil y los propios menores, en el diseño e implementación de políticas y medidas destinadas a mejorar la justicia juvenil en España.</w:t>
      </w:r>
    </w:p>
    <w:p w14:paraId="2BC88134" w14:textId="77777777" w:rsidR="00E746B2" w:rsidRPr="00957229" w:rsidRDefault="00E746B2" w:rsidP="00E746B2">
      <w:pPr>
        <w:rPr>
          <w:rFonts w:ascii="Calibri" w:hAnsi="Calibri" w:cs="Calibri"/>
          <w:sz w:val="22"/>
        </w:rPr>
      </w:pPr>
      <w:r w:rsidRPr="00957229">
        <w:rPr>
          <w:rFonts w:ascii="Calibri" w:hAnsi="Calibri" w:cs="Calibri"/>
          <w:sz w:val="22"/>
        </w:rPr>
        <w:t>Para abordar la heterogeneidad en la justicia juvenil en España, se pueden implementar diversas medidas que promuevan la armonización, la colaboración y la mejora del sistema en todo el país:</w:t>
      </w:r>
    </w:p>
    <w:p w14:paraId="46116F5F" w14:textId="77777777" w:rsidR="00E746B2" w:rsidRPr="00957229" w:rsidRDefault="00E746B2" w:rsidP="00E746B2">
      <w:pPr>
        <w:rPr>
          <w:rFonts w:ascii="Calibri" w:hAnsi="Calibri" w:cs="Calibri"/>
          <w:sz w:val="22"/>
        </w:rPr>
      </w:pPr>
      <w:r w:rsidRPr="00957229">
        <w:rPr>
          <w:rFonts w:ascii="Calibri" w:hAnsi="Calibri" w:cs="Calibri"/>
          <w:sz w:val="22"/>
        </w:rPr>
        <w:t>Armonización legislativa: España podría trabajar hacia la creación de un marco legal común en materia de justicia juvenil entre las comunidades autónomas. Esto garantizaría estándares mínimos de protección de los derechos de los menores en conflicto con la ley y promovería la coherencia y equidad en la aplicación de la justicia juvenil en todo el país.</w:t>
      </w:r>
    </w:p>
    <w:p w14:paraId="25EA744B" w14:textId="77777777" w:rsidR="00E746B2" w:rsidRPr="00957229" w:rsidRDefault="00E746B2" w:rsidP="00E746B2">
      <w:pPr>
        <w:rPr>
          <w:rFonts w:ascii="Calibri" w:hAnsi="Calibri" w:cs="Calibri"/>
          <w:sz w:val="22"/>
        </w:rPr>
      </w:pPr>
      <w:r w:rsidRPr="00957229">
        <w:rPr>
          <w:rFonts w:ascii="Calibri" w:hAnsi="Calibri" w:cs="Calibri"/>
          <w:sz w:val="22"/>
        </w:rPr>
        <w:t>Establecimiento de estándares y directrices comunes: Se podrían desarrollar estándares y directrices comunes para la justicia juvenil que sean aplicables en todas las comunidades autónomas, inspiradas en normativas internacionales relevantes. Estas directrices podrían abordar aspectos como la aplicación de medidas alternativas al encarcelamiento y la protección de los derechos de los menores durante todo el proceso judicial.</w:t>
      </w:r>
    </w:p>
    <w:p w14:paraId="2E7C207D" w14:textId="77777777" w:rsidR="00E746B2" w:rsidRPr="00957229" w:rsidRDefault="00E746B2" w:rsidP="00E746B2">
      <w:pPr>
        <w:rPr>
          <w:rFonts w:ascii="Calibri" w:hAnsi="Calibri" w:cs="Calibri"/>
          <w:sz w:val="22"/>
        </w:rPr>
      </w:pPr>
      <w:r w:rsidRPr="00957229">
        <w:rPr>
          <w:rFonts w:ascii="Calibri" w:hAnsi="Calibri" w:cs="Calibri"/>
          <w:sz w:val="22"/>
        </w:rPr>
        <w:t>Creación de órganos de coordinación interregional: La implementación de órganos de coordinación interregional podría promover la colaboración y el intercambio de información entre las comunidades autónomas en el ámbito de la justicia juvenil. Esto facilitaría la armonización legislativa, la elaboración de políticas comunes y la coordinación de recursos para mejorar la calidad y eficacia de la justicia juvenil en todo el país.</w:t>
      </w:r>
    </w:p>
    <w:p w14:paraId="6AF71A93" w14:textId="77777777" w:rsidR="00E746B2" w:rsidRPr="00957229" w:rsidRDefault="00E746B2" w:rsidP="00E746B2">
      <w:pPr>
        <w:rPr>
          <w:rFonts w:ascii="Calibri" w:hAnsi="Calibri" w:cs="Calibri"/>
          <w:sz w:val="22"/>
        </w:rPr>
      </w:pPr>
      <w:r w:rsidRPr="00957229">
        <w:rPr>
          <w:rFonts w:ascii="Calibri" w:hAnsi="Calibri" w:cs="Calibri"/>
          <w:sz w:val="22"/>
        </w:rPr>
        <w:t>Formación y capacitación especializada: Ofrecer formación y capacitación especializada a los profesionales del sistema de justicia que trabajan con menores sería fundamental. Esto podría abordar temas como la protección de los derechos de los menores y la aplicación de medidas adecuadas para garantizar su rehabilitación y reintegración.</w:t>
      </w:r>
    </w:p>
    <w:p w14:paraId="24C357F7" w14:textId="77777777" w:rsidR="00E746B2" w:rsidRPr="00957229" w:rsidRDefault="00E746B2" w:rsidP="00E746B2">
      <w:pPr>
        <w:rPr>
          <w:rFonts w:ascii="Calibri" w:hAnsi="Calibri" w:cs="Calibri"/>
          <w:sz w:val="22"/>
        </w:rPr>
      </w:pPr>
      <w:r w:rsidRPr="00957229">
        <w:rPr>
          <w:rFonts w:ascii="Calibri" w:hAnsi="Calibri" w:cs="Calibri"/>
          <w:sz w:val="22"/>
        </w:rPr>
        <w:t>Promoción de la participación de las partes interesadas: Es crucial promover la participación activa de las partes interesadas en el diseño, implementación y evaluación de políticas y programas en el ámbito de la justicia juvenil. Esto aseguraría que las voces y necesidades de los menores sean consideradas en todas las etapas del proceso judicial y en la formulación de políticas relacionadas con la justicia juvenil.</w:t>
      </w:r>
    </w:p>
    <w:p w14:paraId="75125B32" w14:textId="77777777" w:rsidR="00E746B2" w:rsidRPr="00957229" w:rsidRDefault="00E746B2" w:rsidP="00E746B2">
      <w:pPr>
        <w:rPr>
          <w:rFonts w:ascii="Calibri" w:hAnsi="Calibri" w:cs="Calibri"/>
          <w:sz w:val="22"/>
        </w:rPr>
      </w:pPr>
      <w:r w:rsidRPr="00957229">
        <w:rPr>
          <w:rFonts w:ascii="Calibri" w:hAnsi="Calibri" w:cs="Calibri"/>
          <w:sz w:val="22"/>
        </w:rPr>
        <w:t>Un gran problema está representado por la delegación establecida en la Ley del Menor a la Entidad Pública de ejecutar las medidas impuestas por los Juzgados de Menores donde la dirección técnica de la intervención socioeducativa y la gestión de los recursos está encomendada a personal funcionario de la administración con el consabido de la falta de provisión de plazas ante bajas laborales o vacaciones, ascensos, descensos y accesos a puesto que nada tiene que ver con la especialización que se requiere del personal involucrado en justicia juvenil. El artículo 45 de la Ley del menor establece el marco de competencia administrativa para la ejecución de las medidas en materia de justicia juvenil, otorgando a las Comunidades Autónomas y a las Ciudades de Ceuta y Melilla la responsabilidad de garantizar su correcta implementación.</w:t>
      </w:r>
    </w:p>
    <w:p w14:paraId="5C417D68" w14:textId="77777777" w:rsidR="00E746B2" w:rsidRPr="00957229" w:rsidRDefault="00E746B2" w:rsidP="00E746B2">
      <w:pPr>
        <w:rPr>
          <w:rFonts w:ascii="Calibri" w:hAnsi="Calibri" w:cs="Calibri"/>
          <w:sz w:val="22"/>
        </w:rPr>
      </w:pPr>
      <w:r w:rsidRPr="00957229">
        <w:rPr>
          <w:rFonts w:ascii="Calibri" w:hAnsi="Calibri" w:cs="Calibri"/>
          <w:sz w:val="22"/>
        </w:rPr>
        <w:t>La ejecución de medidas judiciales en justicia juvenil por parte de funcionarios no especializados puede tener consecuencias negativas significativas para los menores infractores y el sistema de justicia en general. Algunas de estas consecuencias son:</w:t>
      </w:r>
    </w:p>
    <w:p w14:paraId="5774DC84" w14:textId="77777777" w:rsidR="00E746B2" w:rsidRPr="00957229" w:rsidRDefault="00E746B2" w:rsidP="00E746B2">
      <w:pPr>
        <w:rPr>
          <w:rFonts w:ascii="Calibri" w:hAnsi="Calibri" w:cs="Calibri"/>
          <w:sz w:val="22"/>
        </w:rPr>
      </w:pPr>
      <w:r w:rsidRPr="00957229">
        <w:rPr>
          <w:rFonts w:ascii="Calibri" w:hAnsi="Calibri" w:cs="Calibri"/>
          <w:sz w:val="22"/>
        </w:rPr>
        <w:lastRenderedPageBreak/>
        <w:t>Falta de comprensión de las necesidades del menor: Los funcionarios no especializados pueden carecer del conocimiento y la experiencia necesarios para entender las necesidades específicas de los menores infractores, lo que puede llevar a decisiones inadecuadas o ineficaces en la evaluación y planificación de las medidas judiciales.</w:t>
      </w:r>
    </w:p>
    <w:p w14:paraId="393C96B6" w14:textId="77777777" w:rsidR="00E746B2" w:rsidRPr="00957229" w:rsidRDefault="00E746B2" w:rsidP="00E746B2">
      <w:pPr>
        <w:rPr>
          <w:rFonts w:ascii="Calibri" w:hAnsi="Calibri" w:cs="Calibri"/>
          <w:sz w:val="22"/>
        </w:rPr>
      </w:pPr>
      <w:r w:rsidRPr="00957229">
        <w:rPr>
          <w:rFonts w:ascii="Calibri" w:hAnsi="Calibri" w:cs="Calibri"/>
          <w:sz w:val="22"/>
        </w:rPr>
        <w:t>Inadecuada supervisión y seguimiento de las medidas: La falta de capacitación puede resultar en una supervisión y seguimiento inadecuados de los menores infractores, lo que afecta negativamente su rehabilitación y reintegración social al no recibir el apoyo necesario para cumplir con las condiciones de las medidas.</w:t>
      </w:r>
    </w:p>
    <w:p w14:paraId="646E8707" w14:textId="77777777" w:rsidR="00E746B2" w:rsidRPr="00957229" w:rsidRDefault="00E746B2" w:rsidP="00E746B2">
      <w:pPr>
        <w:rPr>
          <w:rFonts w:ascii="Calibri" w:hAnsi="Calibri" w:cs="Calibri"/>
          <w:sz w:val="22"/>
        </w:rPr>
      </w:pPr>
      <w:r w:rsidRPr="00957229">
        <w:rPr>
          <w:rFonts w:ascii="Calibri" w:hAnsi="Calibri" w:cs="Calibri"/>
          <w:sz w:val="22"/>
        </w:rPr>
        <w:t>Riesgo de revictimización: La falta de sensibilidad por parte de los funcionarios no especializados puede aumentar el riesgo de revictimización de los menores, especialmente aquellos que han sufrido abuso o violencia en el hogar, al no abordar adecuadamente las causas subyacentes de su comportamiento delictivo.</w:t>
      </w:r>
    </w:p>
    <w:p w14:paraId="7F3EF93F" w14:textId="77777777" w:rsidR="00E746B2" w:rsidRPr="00957229" w:rsidRDefault="00E746B2" w:rsidP="00E746B2">
      <w:pPr>
        <w:rPr>
          <w:rFonts w:ascii="Calibri" w:hAnsi="Calibri" w:cs="Calibri"/>
          <w:sz w:val="22"/>
        </w:rPr>
      </w:pPr>
      <w:r w:rsidRPr="00957229">
        <w:rPr>
          <w:rFonts w:ascii="Calibri" w:hAnsi="Calibri" w:cs="Calibri"/>
          <w:sz w:val="22"/>
        </w:rPr>
        <w:t>Falta de coordinación con otros servicios: La falta de conocimientos puede dificultar la coordinación con otros servicios y agencias, lo que afecta la provisión de una respuesta integral a las necesidades del menor y su proceso de rehabilitación.</w:t>
      </w:r>
    </w:p>
    <w:p w14:paraId="2DECE0B2" w14:textId="77777777" w:rsidR="00E746B2" w:rsidRPr="00957229" w:rsidRDefault="00E746B2" w:rsidP="00E746B2">
      <w:pPr>
        <w:rPr>
          <w:rFonts w:ascii="Calibri" w:hAnsi="Calibri" w:cs="Calibri"/>
          <w:sz w:val="22"/>
        </w:rPr>
      </w:pPr>
      <w:r w:rsidRPr="00957229">
        <w:rPr>
          <w:rFonts w:ascii="Calibri" w:hAnsi="Calibri" w:cs="Calibri"/>
          <w:sz w:val="22"/>
        </w:rPr>
        <w:t>Riesgo de violación de derechos: La falta de comprensión de los derechos humanos puede aumentar el riesgo de violación de los derechos de los menores, incluidos sus derechos a la privacidad y el debido proceso legal, lo que puede limitar injustamente sus derechos y no estar en su mejor interés.</w:t>
      </w:r>
    </w:p>
    <w:p w14:paraId="7374DB69" w14:textId="77777777" w:rsidR="00E746B2" w:rsidRPr="00957229" w:rsidRDefault="00E746B2" w:rsidP="00E746B2">
      <w:pPr>
        <w:rPr>
          <w:rFonts w:ascii="Calibri" w:hAnsi="Calibri" w:cs="Calibri"/>
          <w:sz w:val="22"/>
        </w:rPr>
      </w:pPr>
      <w:r w:rsidRPr="00957229">
        <w:rPr>
          <w:rFonts w:ascii="Calibri" w:hAnsi="Calibri" w:cs="Calibri"/>
          <w:sz w:val="22"/>
        </w:rPr>
        <w:t>Para abordar estas consecuencias, es esencial que los funcionarios encargados de la ejecución de medidas judiciales en justicia juvenil reciban la capacitación y el apoyo adecuados para realizar su trabajo de manera efectiva y respetuosa de los derechos de los menores. Esto garantizará una respuesta más adecuada y equitativa a las necesidades de los menores infractores y promoverá su rehabilitación y reintegración social de manera efectiva.</w:t>
      </w:r>
    </w:p>
    <w:p w14:paraId="651247AC" w14:textId="77777777" w:rsidR="00E746B2" w:rsidRPr="00957229" w:rsidRDefault="00E746B2" w:rsidP="00E746B2">
      <w:pPr>
        <w:rPr>
          <w:rFonts w:ascii="Calibri" w:hAnsi="Calibri" w:cs="Calibri"/>
          <w:sz w:val="22"/>
        </w:rPr>
      </w:pPr>
      <w:r w:rsidRPr="00957229">
        <w:rPr>
          <w:rFonts w:ascii="Calibri" w:hAnsi="Calibri" w:cs="Calibri"/>
          <w:sz w:val="22"/>
        </w:rPr>
        <w:t>Igual ocurre con los funcionarios destinados en la Fiscalía de Menores como se destaca en la Memoria Anual 2023: necesidad de mejorar tanto la cantidad como la calidad del personal auxiliar en el ámbito de la justicia juvenil. Se destaca la importancia de proporcionar una formación adecuada y previa al funcionariado en áreas específicas, tanto en aspectos técnicos y jurídicos relacionados con la instrucción de los expedientes de reforma de menores, como en el uso efectivo de los sistemas informáticos utilizados en cada comunidad autónoma. En particular, la sección de Araba resalta los problemas de retraso ocasionados por la presencia de un exceso de personal interino que carece de la formación básica necesaria. Esta situación subraya la necesidad de abordar la capacitación del personal de manera integral, asegurando que estén preparados para desempeñar sus funciones de manera efectiva y eficiente, lo que contribuirá a mejorar el funcionamiento del sistema de justicia juvenil.</w:t>
      </w:r>
    </w:p>
    <w:p w14:paraId="0BC4E5DB" w14:textId="77777777" w:rsidR="00E746B2" w:rsidRPr="00957229" w:rsidRDefault="00E746B2" w:rsidP="00986080">
      <w:pPr>
        <w:pStyle w:val="Heading4"/>
        <w:rPr>
          <w:rFonts w:ascii="Calibri" w:hAnsi="Calibri" w:cs="Calibri"/>
          <w:sz w:val="22"/>
        </w:rPr>
      </w:pPr>
      <w:r w:rsidRPr="00957229">
        <w:rPr>
          <w:rFonts w:ascii="Calibri" w:hAnsi="Calibri" w:cs="Calibri"/>
          <w:sz w:val="22"/>
        </w:rPr>
        <w:t>Falta de centros de internamiento:</w:t>
      </w:r>
    </w:p>
    <w:p w14:paraId="1BB2B630" w14:textId="77777777" w:rsidR="00E746B2" w:rsidRPr="00957229" w:rsidRDefault="00E746B2" w:rsidP="00E746B2">
      <w:pPr>
        <w:rPr>
          <w:rFonts w:ascii="Calibri" w:hAnsi="Calibri" w:cs="Calibri"/>
          <w:sz w:val="22"/>
        </w:rPr>
      </w:pPr>
      <w:r w:rsidRPr="00957229">
        <w:rPr>
          <w:rFonts w:ascii="Calibri" w:hAnsi="Calibri" w:cs="Calibri"/>
          <w:sz w:val="22"/>
        </w:rPr>
        <w:t>La escasez de centros de internamiento para menores infractores en España plantea diversos desafíos que afectan tanto al sistema de justicia juvenil como al bienestar de los menores involucrados. Estas son algunas de las repercusiones de esta carencia:</w:t>
      </w:r>
    </w:p>
    <w:p w14:paraId="320408AF" w14:textId="77777777" w:rsidR="00E746B2" w:rsidRPr="00957229" w:rsidRDefault="00E746B2" w:rsidP="00E746B2">
      <w:pPr>
        <w:rPr>
          <w:rFonts w:ascii="Calibri" w:hAnsi="Calibri" w:cs="Calibri"/>
          <w:sz w:val="22"/>
        </w:rPr>
      </w:pPr>
      <w:r w:rsidRPr="00957229">
        <w:rPr>
          <w:rFonts w:ascii="Calibri" w:hAnsi="Calibri" w:cs="Calibri"/>
          <w:sz w:val="22"/>
        </w:rPr>
        <w:t>Sobrepoblación en los centros existentes: La falta de suficientes centros de internamiento puede provocar sobrepoblación en las instalaciones disponibles, lo que resulta en condiciones de vida inadecuadas para los menores, incluyendo hacinamiento y falta de acceso a servicios básicos.</w:t>
      </w:r>
    </w:p>
    <w:p w14:paraId="5FCDF2B8" w14:textId="77777777" w:rsidR="00E746B2" w:rsidRPr="00957229" w:rsidRDefault="00E746B2" w:rsidP="00E746B2">
      <w:pPr>
        <w:rPr>
          <w:rFonts w:ascii="Calibri" w:hAnsi="Calibri" w:cs="Calibri"/>
          <w:sz w:val="22"/>
        </w:rPr>
      </w:pPr>
      <w:r w:rsidRPr="00957229">
        <w:rPr>
          <w:rFonts w:ascii="Calibri" w:hAnsi="Calibri" w:cs="Calibri"/>
          <w:sz w:val="22"/>
        </w:rPr>
        <w:lastRenderedPageBreak/>
        <w:t>Dificultad para cumplir con las medidas judiciales: La escasez de espacio dificulta la capacidad del sistema de justicia para cumplir con las medidas judiciales impuestas a los menores, lo que puede generar retrasos en la ejecución de las medidas y la imposibilidad de ofrecer programas de rehabilitación y tratamiento adecuados.</w:t>
      </w:r>
    </w:p>
    <w:p w14:paraId="7AE5722E" w14:textId="77777777" w:rsidR="00E746B2" w:rsidRPr="00957229" w:rsidRDefault="00E746B2" w:rsidP="00E746B2">
      <w:pPr>
        <w:rPr>
          <w:rFonts w:ascii="Calibri" w:hAnsi="Calibri" w:cs="Calibri"/>
          <w:sz w:val="22"/>
        </w:rPr>
      </w:pPr>
      <w:r w:rsidRPr="00957229">
        <w:rPr>
          <w:rFonts w:ascii="Calibri" w:hAnsi="Calibri" w:cs="Calibri"/>
          <w:sz w:val="22"/>
        </w:rPr>
        <w:t>Limitaciones en la diversificación de programas y servicios: La falta de centros de internamiento limita la capacidad del sistema para ofrecer una gama diversa de programas y servicios destinados a la rehabilitación y reintegración de los menores infractores, incluyendo programas educativos, de formación laboral, de salud mental y de apoyo social.</w:t>
      </w:r>
    </w:p>
    <w:p w14:paraId="4F5A39C8" w14:textId="77777777" w:rsidR="00E746B2" w:rsidRPr="00957229" w:rsidRDefault="00E746B2" w:rsidP="00E746B2">
      <w:pPr>
        <w:rPr>
          <w:rFonts w:ascii="Calibri" w:hAnsi="Calibri" w:cs="Calibri"/>
          <w:sz w:val="22"/>
        </w:rPr>
      </w:pPr>
      <w:r w:rsidRPr="00957229">
        <w:rPr>
          <w:rFonts w:ascii="Calibri" w:hAnsi="Calibri" w:cs="Calibri"/>
          <w:sz w:val="22"/>
        </w:rPr>
        <w:t>Mayor vulnerabilidad de los menores infractores: La escasez de centros adecuados deja a los menores infractores en una situación de mayor vulnerabilidad, especialmente aquellos con necesidades especiales de atención y apoyo, quienes pueden enfrentar mayores riesgos de victimización, explotación y exclusión social.</w:t>
      </w:r>
    </w:p>
    <w:p w14:paraId="53679D39" w14:textId="77777777" w:rsidR="00E746B2" w:rsidRPr="00957229" w:rsidRDefault="00E746B2" w:rsidP="00E746B2">
      <w:pPr>
        <w:rPr>
          <w:rFonts w:ascii="Calibri" w:hAnsi="Calibri" w:cs="Calibri"/>
          <w:sz w:val="22"/>
        </w:rPr>
      </w:pPr>
      <w:r w:rsidRPr="00957229">
        <w:rPr>
          <w:rFonts w:ascii="Calibri" w:hAnsi="Calibri" w:cs="Calibri"/>
          <w:sz w:val="22"/>
        </w:rPr>
        <w:t>Presión sobre otros recursos comunitarios: La falta de centros de internamiento puede aumentar la presión sobre otros recursos comunitarios, como programas de atención social y servicios de salud mental, lo que puede dificultar su capacidad para satisfacer las necesidades de todos los menores infractores que requieren apoyo y asistencia.</w:t>
      </w:r>
    </w:p>
    <w:p w14:paraId="49077F4E" w14:textId="77777777" w:rsidR="00E746B2" w:rsidRPr="00957229" w:rsidRDefault="00E746B2" w:rsidP="00E746B2">
      <w:pPr>
        <w:rPr>
          <w:rFonts w:ascii="Calibri" w:hAnsi="Calibri" w:cs="Calibri"/>
          <w:sz w:val="22"/>
        </w:rPr>
      </w:pPr>
      <w:r w:rsidRPr="00957229">
        <w:rPr>
          <w:rFonts w:ascii="Calibri" w:hAnsi="Calibri" w:cs="Calibri"/>
          <w:sz w:val="22"/>
        </w:rPr>
        <w:t xml:space="preserve">Si bien la mediación penal juvenil puede ser una herramienta valiosa para resolver conflictos de manera pacífica y eficiente, su uso para reducir estadísticas de expedientes en la fiscalía de menores puede tener consecuencias tanto positivas como negativas. Es importante que su implementación se realice de manera equilibrada, teniendo en cuenta los derechos y necesidades de todas las partes involucradas, y asegurando que se mantenga la integridad y la efectividad del sistema de justicia juvenil.  </w:t>
      </w:r>
    </w:p>
    <w:p w14:paraId="3FABA6E2" w14:textId="77777777" w:rsidR="00E746B2" w:rsidRPr="00957229" w:rsidRDefault="00E746B2" w:rsidP="00E746B2">
      <w:pPr>
        <w:rPr>
          <w:rFonts w:ascii="Calibri" w:hAnsi="Calibri" w:cs="Calibri"/>
          <w:sz w:val="22"/>
        </w:rPr>
      </w:pPr>
      <w:r w:rsidRPr="00957229">
        <w:rPr>
          <w:rFonts w:ascii="Calibri" w:hAnsi="Calibri" w:cs="Calibri"/>
          <w:sz w:val="22"/>
        </w:rPr>
        <w:t>La mediación penal juvenil, cuando se emplea indiscriminadamente para reducir la carga de casos en la fiscalía de menores, puede tener varios efectos negativos:</w:t>
      </w:r>
    </w:p>
    <w:p w14:paraId="372DF3E2" w14:textId="77777777" w:rsidR="00E746B2" w:rsidRPr="00957229" w:rsidRDefault="00E746B2" w:rsidP="00E746B2">
      <w:pPr>
        <w:rPr>
          <w:rFonts w:ascii="Calibri" w:hAnsi="Calibri" w:cs="Calibri"/>
          <w:sz w:val="22"/>
        </w:rPr>
      </w:pPr>
      <w:r w:rsidRPr="00957229">
        <w:rPr>
          <w:rFonts w:ascii="Calibri" w:hAnsi="Calibri" w:cs="Calibri"/>
          <w:sz w:val="22"/>
        </w:rPr>
        <w:t>Minimización del impacto del delito: Al resolver casos de manera extrajudicial, puede percibirse que los delitos cometidos por menores son menos graves de lo que realmente son, lo que puede socavar la confianza en el sistema de justicia y disminuir la percepción de la seriedad de ciertos delitos.</w:t>
      </w:r>
    </w:p>
    <w:p w14:paraId="78F1FF63" w14:textId="77777777" w:rsidR="00E746B2" w:rsidRPr="00957229" w:rsidRDefault="00E746B2" w:rsidP="00E746B2">
      <w:pPr>
        <w:rPr>
          <w:rFonts w:ascii="Calibri" w:hAnsi="Calibri" w:cs="Calibri"/>
          <w:sz w:val="22"/>
        </w:rPr>
      </w:pPr>
      <w:r w:rsidRPr="00957229">
        <w:rPr>
          <w:rFonts w:ascii="Calibri" w:hAnsi="Calibri" w:cs="Calibri"/>
          <w:sz w:val="22"/>
        </w:rPr>
        <w:t>Falta de sanciones proporcionales: Los acuerdos de mediación pueden resultar en sanciones menos severas para los menores infractores en comparación con un proceso judicial formal, lo que puede contribuir a la sensación de impunidad y al aumento de la reincidencia delictiva.</w:t>
      </w:r>
    </w:p>
    <w:p w14:paraId="76DF7472" w14:textId="77777777" w:rsidR="00E746B2" w:rsidRPr="00957229" w:rsidRDefault="00E746B2" w:rsidP="00E746B2">
      <w:pPr>
        <w:rPr>
          <w:rFonts w:ascii="Calibri" w:hAnsi="Calibri" w:cs="Calibri"/>
          <w:sz w:val="22"/>
        </w:rPr>
      </w:pPr>
      <w:r w:rsidRPr="00957229">
        <w:rPr>
          <w:rFonts w:ascii="Calibri" w:hAnsi="Calibri" w:cs="Calibri"/>
          <w:sz w:val="22"/>
        </w:rPr>
        <w:t>Perpetuación de desigualdades: La mediación puede no ser igualmente accesible o efectiva para todos los menores infractores, lo que puede perpetuar desigualdades en el sistema de justicia juvenil, favoreciendo a aquellos con recursos o apoyo familiar.</w:t>
      </w:r>
    </w:p>
    <w:p w14:paraId="75832070" w14:textId="77777777" w:rsidR="00E746B2" w:rsidRPr="00957229" w:rsidRDefault="00E746B2" w:rsidP="00E746B2">
      <w:pPr>
        <w:rPr>
          <w:rFonts w:ascii="Calibri" w:hAnsi="Calibri" w:cs="Calibri"/>
          <w:sz w:val="22"/>
        </w:rPr>
      </w:pPr>
      <w:r w:rsidRPr="00957229">
        <w:rPr>
          <w:rFonts w:ascii="Calibri" w:hAnsi="Calibri" w:cs="Calibri"/>
          <w:sz w:val="22"/>
        </w:rPr>
        <w:t>Riesgo de revictimización: Si las víctimas se sienten presionadas para participar en la mediación o si sus preocupaciones no se abordan adecuadamente, existe el riesgo de revictimización, lo que puede tener consecuencias negativas para su recuperación y bienestar emocional.</w:t>
      </w:r>
    </w:p>
    <w:p w14:paraId="42805F99" w14:textId="77777777" w:rsidR="00E746B2" w:rsidRPr="00957229" w:rsidRDefault="00E746B2" w:rsidP="00E746B2">
      <w:pPr>
        <w:rPr>
          <w:rFonts w:ascii="Calibri" w:hAnsi="Calibri" w:cs="Calibri"/>
          <w:sz w:val="22"/>
        </w:rPr>
      </w:pPr>
      <w:r w:rsidRPr="00957229">
        <w:rPr>
          <w:rFonts w:ascii="Calibri" w:hAnsi="Calibri" w:cs="Calibri"/>
          <w:sz w:val="22"/>
        </w:rPr>
        <w:t>Estos aspectos resaltan la importancia de utilizar la mediación penal juvenil de manera cuidadosa y equitativa, considerando siempre el impacto del delito en las víctimas y en la sociedad en general.</w:t>
      </w:r>
    </w:p>
    <w:p w14:paraId="51E0549C" w14:textId="77777777" w:rsidR="00E746B2" w:rsidRPr="00957229" w:rsidRDefault="00E746B2" w:rsidP="00E746B2">
      <w:pPr>
        <w:rPr>
          <w:rFonts w:ascii="Calibri" w:hAnsi="Calibri" w:cs="Calibri"/>
          <w:sz w:val="22"/>
        </w:rPr>
      </w:pPr>
    </w:p>
    <w:p w14:paraId="261AD152" w14:textId="77777777" w:rsidR="00E746B2" w:rsidRPr="00957229" w:rsidRDefault="00E746B2" w:rsidP="00986080">
      <w:pPr>
        <w:pStyle w:val="Heading4"/>
        <w:rPr>
          <w:rFonts w:ascii="Calibri" w:hAnsi="Calibri" w:cs="Calibri"/>
          <w:sz w:val="22"/>
        </w:rPr>
      </w:pPr>
      <w:r w:rsidRPr="00957229">
        <w:rPr>
          <w:rFonts w:ascii="Calibri" w:hAnsi="Calibri" w:cs="Calibri"/>
          <w:sz w:val="22"/>
        </w:rPr>
        <w:t>Abogados no especializados en la jurisdicción penal de menores</w:t>
      </w:r>
    </w:p>
    <w:p w14:paraId="6DDCF8CC" w14:textId="77777777" w:rsidR="00E746B2" w:rsidRPr="00957229" w:rsidRDefault="00E746B2" w:rsidP="00E746B2">
      <w:pPr>
        <w:rPr>
          <w:rFonts w:ascii="Calibri" w:hAnsi="Calibri" w:cs="Calibri"/>
          <w:sz w:val="22"/>
        </w:rPr>
      </w:pPr>
      <w:r w:rsidRPr="00957229">
        <w:rPr>
          <w:rFonts w:ascii="Calibri" w:hAnsi="Calibri" w:cs="Calibri"/>
          <w:sz w:val="22"/>
        </w:rPr>
        <w:t>La Ley Orgánica 5/2000, de 12 de enero, reguladora de la responsabilidad penal de los menores en España, establece disposiciones relevantes sobre la especialización en la defensa jurídica de menores infractores. Aunque la ley no impone específicamente la obligación de que los abogados que representan a estos menores estén especializados, sí subraya la importancia de garantizar una defensa adecuada y de calidad para ellos pero incumple la normativa internacional respecto a la especialización de la defensa letrada.</w:t>
      </w:r>
    </w:p>
    <w:p w14:paraId="5141AB49" w14:textId="77777777" w:rsidR="00E746B2" w:rsidRPr="00957229" w:rsidRDefault="00E746B2" w:rsidP="00E746B2">
      <w:pPr>
        <w:rPr>
          <w:rFonts w:ascii="Calibri" w:hAnsi="Calibri" w:cs="Calibri"/>
          <w:sz w:val="22"/>
        </w:rPr>
      </w:pPr>
      <w:r w:rsidRPr="00957229">
        <w:rPr>
          <w:rFonts w:ascii="Calibri" w:hAnsi="Calibri" w:cs="Calibri"/>
          <w:sz w:val="22"/>
        </w:rPr>
        <w:t>Principales aspectos de la ley en relación con la especialización en la defensa de menores infractores:</w:t>
      </w:r>
    </w:p>
    <w:p w14:paraId="5F54EF0D" w14:textId="77777777" w:rsidR="00E746B2" w:rsidRPr="00957229" w:rsidRDefault="00E746B2" w:rsidP="00E746B2">
      <w:pPr>
        <w:rPr>
          <w:rFonts w:ascii="Calibri" w:hAnsi="Calibri" w:cs="Calibri"/>
          <w:sz w:val="22"/>
        </w:rPr>
      </w:pPr>
      <w:r w:rsidRPr="00957229">
        <w:rPr>
          <w:rFonts w:ascii="Calibri" w:hAnsi="Calibri" w:cs="Calibri"/>
          <w:sz w:val="22"/>
        </w:rPr>
        <w:t>Derecho a la asistencia letrada: La ley asegura que los menores infractores tienen derecho a ser asistidos por un abogado desde el momento en que se les informa de los hechos que se les imputan y durante todo el proceso penal.</w:t>
      </w:r>
    </w:p>
    <w:p w14:paraId="5863B644" w14:textId="77777777" w:rsidR="00E746B2" w:rsidRPr="00957229" w:rsidRDefault="00E746B2" w:rsidP="00E746B2">
      <w:pPr>
        <w:rPr>
          <w:rFonts w:ascii="Calibri" w:hAnsi="Calibri" w:cs="Calibri"/>
          <w:sz w:val="22"/>
        </w:rPr>
      </w:pPr>
      <w:r w:rsidRPr="00957229">
        <w:rPr>
          <w:rFonts w:ascii="Calibri" w:hAnsi="Calibri" w:cs="Calibri"/>
          <w:sz w:val="22"/>
        </w:rPr>
        <w:t>Principio de especialización: Aunque no se requiere expresamente la especialización, se establece el principio de que se debe garantizar una defensa adecuada y de calidad para los menores. Esto implica que los abogados deben tener conocimientos y experiencia para comprender las particularidades de la justicia juvenil y las necesidades específicas de sus clientes menores.</w:t>
      </w:r>
    </w:p>
    <w:p w14:paraId="045421CD" w14:textId="77777777" w:rsidR="00E746B2" w:rsidRPr="00957229" w:rsidRDefault="00E746B2" w:rsidP="00E746B2">
      <w:pPr>
        <w:rPr>
          <w:rFonts w:ascii="Calibri" w:hAnsi="Calibri" w:cs="Calibri"/>
          <w:sz w:val="22"/>
        </w:rPr>
      </w:pPr>
      <w:r w:rsidRPr="00957229">
        <w:rPr>
          <w:rFonts w:ascii="Calibri" w:hAnsi="Calibri" w:cs="Calibri"/>
          <w:sz w:val="22"/>
        </w:rPr>
        <w:t>Asistencia técnica y formación continua: La ley estipula la necesidad de proporcionar asistencia técnica para una defensa eficaz, lo que puede incluir formación continua para los abogados que representan a menores y acceso a recursos especializados en justicia juvenil.</w:t>
      </w:r>
    </w:p>
    <w:p w14:paraId="2AA179CF" w14:textId="77777777" w:rsidR="00E746B2" w:rsidRPr="00957229" w:rsidRDefault="00E746B2" w:rsidP="00E746B2">
      <w:pPr>
        <w:rPr>
          <w:rFonts w:ascii="Calibri" w:hAnsi="Calibri" w:cs="Calibri"/>
          <w:sz w:val="22"/>
        </w:rPr>
      </w:pPr>
      <w:r w:rsidRPr="00957229">
        <w:rPr>
          <w:rFonts w:ascii="Calibri" w:hAnsi="Calibri" w:cs="Calibri"/>
          <w:sz w:val="22"/>
        </w:rPr>
        <w:t>Evaluación de la calidad de la defensa: Se requiere evaluar la calidad de la defensa brindada a los menores infractores, lo que puede incluir revisar la competencia y capacitación de los abogados, así como la satisfacción de los clientes menores con los servicios legales recibidos.</w:t>
      </w:r>
    </w:p>
    <w:p w14:paraId="0FCAC6DB" w14:textId="77777777" w:rsidR="00E746B2" w:rsidRPr="00957229" w:rsidRDefault="00E746B2" w:rsidP="00E746B2">
      <w:pPr>
        <w:rPr>
          <w:rFonts w:ascii="Calibri" w:hAnsi="Calibri" w:cs="Calibri"/>
          <w:sz w:val="22"/>
        </w:rPr>
      </w:pPr>
      <w:r w:rsidRPr="00957229">
        <w:rPr>
          <w:rFonts w:ascii="Calibri" w:hAnsi="Calibri" w:cs="Calibri"/>
          <w:sz w:val="22"/>
        </w:rPr>
        <w:t>Además, el derecho internacional establece varios principios y normas que obligan a garantizar la especialización de los abogados que representan a menores infractores. Algunas de estas normas incluyen:</w:t>
      </w:r>
    </w:p>
    <w:p w14:paraId="713B6C10" w14:textId="77777777" w:rsidR="00E746B2" w:rsidRPr="00957229" w:rsidRDefault="00E746B2" w:rsidP="00E746B2">
      <w:pPr>
        <w:rPr>
          <w:rFonts w:ascii="Calibri" w:hAnsi="Calibri" w:cs="Calibri"/>
          <w:sz w:val="22"/>
        </w:rPr>
      </w:pPr>
      <w:r w:rsidRPr="00957229">
        <w:rPr>
          <w:rFonts w:ascii="Calibri" w:hAnsi="Calibri" w:cs="Calibri"/>
          <w:sz w:val="22"/>
        </w:rPr>
        <w:t>Convención sobre los Derechos del Niño (CDN): Reconoce el derecho de todo menor acusado de delito a ser asistido por un abogado capacitado en defensa de los derechos de los menores, respetando su dignidad y considerando sus necesidades de edad y desarrollo.</w:t>
      </w:r>
    </w:p>
    <w:p w14:paraId="0FAD9DF9" w14:textId="77777777" w:rsidR="00E746B2" w:rsidRPr="00957229" w:rsidRDefault="00E746B2" w:rsidP="00E746B2">
      <w:pPr>
        <w:rPr>
          <w:rFonts w:ascii="Calibri" w:hAnsi="Calibri" w:cs="Calibri"/>
          <w:sz w:val="22"/>
        </w:rPr>
      </w:pPr>
      <w:r w:rsidRPr="00957229">
        <w:rPr>
          <w:rFonts w:ascii="Calibri" w:hAnsi="Calibri" w:cs="Calibri"/>
          <w:sz w:val="22"/>
        </w:rPr>
        <w:t>Directrices de las Naciones Unidas para la Prevención de la Delincuencia Juvenil (Directrices de Riad): Establecen que los Estados deben garantizar que los menores tengan acceso a abogados especializados en defensa de menores y familiarizados con las necesidades específicas de estos.</w:t>
      </w:r>
    </w:p>
    <w:p w14:paraId="12920C30" w14:textId="77777777" w:rsidR="00E746B2" w:rsidRPr="00957229" w:rsidRDefault="00E746B2" w:rsidP="00E746B2">
      <w:pPr>
        <w:rPr>
          <w:rFonts w:ascii="Calibri" w:hAnsi="Calibri" w:cs="Calibri"/>
          <w:sz w:val="22"/>
        </w:rPr>
      </w:pPr>
      <w:r w:rsidRPr="00957229">
        <w:rPr>
          <w:rFonts w:ascii="Calibri" w:hAnsi="Calibri" w:cs="Calibri"/>
          <w:sz w:val="22"/>
        </w:rPr>
        <w:t>Reglas Mínimas de las Naciones Unidas para la Administración de la Justicia de Menores (Reglas de Beijing): Exigen que los menores acusados de delitos tengan acceso a asesoramiento y asistencia legal de abogados especializados en la defensa de menores.</w:t>
      </w:r>
    </w:p>
    <w:p w14:paraId="07EA3FCB" w14:textId="77777777" w:rsidR="00E746B2" w:rsidRPr="00957229" w:rsidRDefault="00E746B2" w:rsidP="00E746B2">
      <w:pPr>
        <w:rPr>
          <w:rFonts w:ascii="Calibri" w:hAnsi="Calibri" w:cs="Calibri"/>
          <w:sz w:val="22"/>
        </w:rPr>
      </w:pPr>
      <w:r w:rsidRPr="00957229">
        <w:rPr>
          <w:rFonts w:ascii="Calibri" w:hAnsi="Calibri" w:cs="Calibri"/>
          <w:sz w:val="22"/>
        </w:rPr>
        <w:t xml:space="preserve">Es fundamental garantizar que los menores infractores reciban asistencia legal de abogados especializados en justicia juvenil. Esto asegura que se respeten sus derechos, se promueva su rehabilitación y reintegración social, y se mantenga la confianza en el sistema de justicia. Cuando </w:t>
      </w:r>
      <w:r w:rsidRPr="00957229">
        <w:rPr>
          <w:rFonts w:ascii="Calibri" w:hAnsi="Calibri" w:cs="Calibri"/>
          <w:sz w:val="22"/>
        </w:rPr>
        <w:lastRenderedPageBreak/>
        <w:t>un abogado no es especialista en justicia juvenil y representa a un menor infractor, pueden surgir una serie de problemas y desafíos que afectan tanto al menor como al proceso judicial en su conjunto.</w:t>
      </w:r>
    </w:p>
    <w:p w14:paraId="409E049F" w14:textId="77777777" w:rsidR="00E746B2" w:rsidRPr="00957229" w:rsidRDefault="00E746B2" w:rsidP="00E746B2">
      <w:pPr>
        <w:rPr>
          <w:rFonts w:ascii="Calibri" w:hAnsi="Calibri" w:cs="Calibri"/>
          <w:sz w:val="22"/>
        </w:rPr>
      </w:pPr>
      <w:r w:rsidRPr="00957229">
        <w:rPr>
          <w:rFonts w:ascii="Calibri" w:hAnsi="Calibri" w:cs="Calibri"/>
          <w:sz w:val="22"/>
        </w:rPr>
        <w:t>Falta de comprensión de las necesidades del menor: El abogado puede tener dificultades para entender las necesidades específicas del menor, como su edad y desarrollo emocional, lo que puede afectar la calidad de la representación legal y la defensa de los mejores intereses del menor.</w:t>
      </w:r>
    </w:p>
    <w:p w14:paraId="0924123E" w14:textId="77777777" w:rsidR="00E746B2" w:rsidRPr="00957229" w:rsidRDefault="00E746B2" w:rsidP="00E746B2">
      <w:pPr>
        <w:rPr>
          <w:rFonts w:ascii="Calibri" w:hAnsi="Calibri" w:cs="Calibri"/>
          <w:sz w:val="22"/>
        </w:rPr>
      </w:pPr>
      <w:r w:rsidRPr="00957229">
        <w:rPr>
          <w:rFonts w:ascii="Calibri" w:hAnsi="Calibri" w:cs="Calibri"/>
          <w:sz w:val="22"/>
        </w:rPr>
        <w:t>Falta de conocimiento de las leyes y procedimientos de justicia juvenil: La falta de familiaridad con las leyes y procedimientos específicos de justicia juvenil puede dificultar al abogado navegar efectivamente el sistema legal en beneficio del menor.</w:t>
      </w:r>
    </w:p>
    <w:p w14:paraId="47DC9D21" w14:textId="77777777" w:rsidR="00E746B2" w:rsidRPr="00957229" w:rsidRDefault="00E746B2" w:rsidP="00E746B2">
      <w:pPr>
        <w:rPr>
          <w:rFonts w:ascii="Calibri" w:hAnsi="Calibri" w:cs="Calibri"/>
          <w:sz w:val="22"/>
        </w:rPr>
      </w:pPr>
      <w:r w:rsidRPr="00957229">
        <w:rPr>
          <w:rFonts w:ascii="Calibri" w:hAnsi="Calibri" w:cs="Calibri"/>
          <w:sz w:val="22"/>
        </w:rPr>
        <w:t>Menor eficacia en la defensa del menor: La falta de experiencia puede resultar en una representación legal deficiente, lo que puede afectar negativamente la capacidad del menor para recibir un juicio justo y proteger sus derechos.</w:t>
      </w:r>
    </w:p>
    <w:p w14:paraId="7584D533" w14:textId="77777777" w:rsidR="00E746B2" w:rsidRPr="00957229" w:rsidRDefault="00E746B2" w:rsidP="00E746B2">
      <w:pPr>
        <w:rPr>
          <w:rFonts w:ascii="Calibri" w:hAnsi="Calibri" w:cs="Calibri"/>
          <w:sz w:val="22"/>
        </w:rPr>
      </w:pPr>
      <w:r w:rsidRPr="00957229">
        <w:rPr>
          <w:rFonts w:ascii="Calibri" w:hAnsi="Calibri" w:cs="Calibri"/>
          <w:sz w:val="22"/>
        </w:rPr>
        <w:t>Riesgo de decisiones desfavorables: La inexperiencia del abogado puede aumentar el riesgo de decisiones desfavorables para el menor, como la imposición de medidas inadecuadas o sanciones perjudiciales para su futuro y rehabilitación.</w:t>
      </w:r>
    </w:p>
    <w:p w14:paraId="3376480C" w14:textId="42F6B2D5" w:rsidR="00E746B2" w:rsidRPr="00957229" w:rsidRDefault="00E746B2" w:rsidP="004260B2">
      <w:pPr>
        <w:rPr>
          <w:rFonts w:ascii="Calibri" w:hAnsi="Calibri" w:cs="Calibri"/>
          <w:sz w:val="22"/>
        </w:rPr>
      </w:pPr>
      <w:r w:rsidRPr="00957229">
        <w:rPr>
          <w:rFonts w:ascii="Calibri" w:hAnsi="Calibri" w:cs="Calibri"/>
          <w:sz w:val="22"/>
        </w:rPr>
        <w:t>Menor confianza del menor y su familia en el sistema de justicia: La percepción de una representación legal deficiente puede erosionar la confianza del menor y su familia en el sistema de justicia, lo que puede tener consecuencias negativas a largo plazo en su disposición a participar en procesos judiciales futuros.</w:t>
      </w:r>
    </w:p>
    <w:sectPr w:rsidR="00E746B2" w:rsidRPr="00957229" w:rsidSect="000C19DB">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D7EE6" w14:textId="77777777" w:rsidR="00E34782" w:rsidRDefault="00E34782" w:rsidP="00333424">
      <w:pPr>
        <w:spacing w:after="0"/>
      </w:pPr>
      <w:r>
        <w:separator/>
      </w:r>
    </w:p>
  </w:endnote>
  <w:endnote w:type="continuationSeparator" w:id="0">
    <w:p w14:paraId="11937E0B" w14:textId="77777777" w:rsidR="00E34782" w:rsidRDefault="00E34782" w:rsidP="003334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ill Sans MT">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CF9C9" w14:textId="77777777" w:rsidR="00FF4325" w:rsidRDefault="00FF43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19DBD" w14:textId="77777777" w:rsidR="00FF4325" w:rsidRDefault="00FF43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196301"/>
      <w:docPartObj>
        <w:docPartGallery w:val="Page Numbers (Bottom of Page)"/>
        <w:docPartUnique/>
      </w:docPartObj>
    </w:sdtPr>
    <w:sdtContent>
      <w:p w14:paraId="1AED95E3" w14:textId="6FB5558A" w:rsidR="00FF4325" w:rsidRDefault="00FF4325">
        <w:pPr>
          <w:pStyle w:val="Footer"/>
          <w:jc w:val="right"/>
        </w:pPr>
        <w:r>
          <w:fldChar w:fldCharType="begin"/>
        </w:r>
        <w:r>
          <w:instrText>PAGE   \* MERGEFORMAT</w:instrText>
        </w:r>
        <w:r>
          <w:fldChar w:fldCharType="separate"/>
        </w:r>
        <w:r>
          <w:t>2</w:t>
        </w:r>
        <w:r>
          <w:fldChar w:fldCharType="end"/>
        </w:r>
      </w:p>
    </w:sdtContent>
  </w:sdt>
  <w:p w14:paraId="0C56DE35" w14:textId="2748478C" w:rsidR="00503029" w:rsidRPr="00503029" w:rsidRDefault="00503029" w:rsidP="00503029">
    <w:pPr>
      <w:pStyle w:val="Footer"/>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E1DA0" w14:textId="77777777" w:rsidR="00E34782" w:rsidRDefault="00E34782" w:rsidP="00333424">
      <w:pPr>
        <w:spacing w:after="0"/>
      </w:pPr>
      <w:r>
        <w:separator/>
      </w:r>
    </w:p>
  </w:footnote>
  <w:footnote w:type="continuationSeparator" w:id="0">
    <w:p w14:paraId="3081EC49" w14:textId="77777777" w:rsidR="00E34782" w:rsidRDefault="00E34782" w:rsidP="00333424">
      <w:pPr>
        <w:spacing w:after="0"/>
      </w:pPr>
      <w:r>
        <w:continuationSeparator/>
      </w:r>
    </w:p>
  </w:footnote>
  <w:footnote w:id="1">
    <w:p w14:paraId="55327B6E" w14:textId="4F367C9A" w:rsidR="00DC3FC3" w:rsidRPr="00A379E8" w:rsidRDefault="00DC3FC3" w:rsidP="00DC3FC3">
      <w:pPr>
        <w:pStyle w:val="FootnoteText"/>
        <w:rPr>
          <w:sz w:val="16"/>
          <w:szCs w:val="16"/>
        </w:rPr>
      </w:pPr>
      <w:r w:rsidRPr="00A379E8">
        <w:rPr>
          <w:rStyle w:val="FootnoteReference"/>
          <w:color w:val="595959" w:themeColor="text1" w:themeTint="A6"/>
        </w:rPr>
        <w:footnoteRef/>
      </w:r>
      <w:r w:rsidRPr="00A379E8">
        <w:rPr>
          <w:color w:val="595959" w:themeColor="text1" w:themeTint="A6"/>
        </w:rPr>
        <w:t xml:space="preserve"> </w:t>
      </w:r>
      <w:r w:rsidRPr="00A379E8">
        <w:rPr>
          <w:color w:val="595959" w:themeColor="text1" w:themeTint="A6"/>
          <w:sz w:val="16"/>
          <w:szCs w:val="16"/>
        </w:rPr>
        <w:t xml:space="preserve">Boletín Estadístico de Medidas de Protección a la infancia y la Adolescencia </w:t>
      </w:r>
      <w:hyperlink r:id="rId1" w:history="1">
        <w:r w:rsidRPr="000D14C3">
          <w:rPr>
            <w:rStyle w:val="Hyperlink"/>
            <w:sz w:val="16"/>
            <w:szCs w:val="16"/>
          </w:rPr>
          <w:t>nº 21</w:t>
        </w:r>
      </w:hyperlink>
      <w:r>
        <w:rPr>
          <w:color w:val="595959" w:themeColor="text1" w:themeTint="A6"/>
          <w:sz w:val="16"/>
          <w:szCs w:val="16"/>
        </w:rPr>
        <w:t xml:space="preserve"> y </w:t>
      </w:r>
      <w:hyperlink r:id="rId2" w:history="1">
        <w:r w:rsidRPr="000D14C3">
          <w:rPr>
            <w:rStyle w:val="Hyperlink"/>
            <w:sz w:val="16"/>
            <w:szCs w:val="16"/>
          </w:rPr>
          <w:t>nº 25</w:t>
        </w:r>
      </w:hyperlink>
      <w:r w:rsidRPr="00A379E8">
        <w:rPr>
          <w:color w:val="595959" w:themeColor="text1" w:themeTint="A6"/>
          <w:sz w:val="16"/>
          <w:szCs w:val="16"/>
        </w:rPr>
        <w:t xml:space="preserve"> Datos </w:t>
      </w:r>
      <w:r>
        <w:rPr>
          <w:color w:val="595959" w:themeColor="text1" w:themeTint="A6"/>
          <w:sz w:val="16"/>
          <w:szCs w:val="16"/>
        </w:rPr>
        <w:t xml:space="preserve">2018 (REVISADO EN 2022)  y </w:t>
      </w:r>
      <w:r w:rsidRPr="00A379E8">
        <w:rPr>
          <w:color w:val="595959" w:themeColor="text1" w:themeTint="A6"/>
          <w:sz w:val="16"/>
          <w:szCs w:val="16"/>
        </w:rPr>
        <w:t>2022 (PROVISIONAL)</w:t>
      </w:r>
    </w:p>
  </w:footnote>
  <w:footnote w:id="2">
    <w:p w14:paraId="0531BB4D" w14:textId="62640336" w:rsidR="00DD6F2A" w:rsidRDefault="00DD6F2A" w:rsidP="00DD6F2A">
      <w:pPr>
        <w:pStyle w:val="FootnoteText"/>
      </w:pPr>
      <w:r>
        <w:rPr>
          <w:rStyle w:val="FootnoteReference"/>
        </w:rPr>
        <w:footnoteRef/>
      </w:r>
      <w:r>
        <w:t xml:space="preserve"> </w:t>
      </w:r>
      <w:hyperlink r:id="rId3" w:history="1">
        <w:r w:rsidRPr="000D14C3">
          <w:rPr>
            <w:rStyle w:val="Hyperlink"/>
          </w:rPr>
          <w:t>Base de datos de la estadística judicial. Boletines trimestrales. Estadística judicial publicada por el Consejo del Poder Judicial.</w:t>
        </w:r>
      </w:hyperlink>
    </w:p>
  </w:footnote>
  <w:footnote w:id="3">
    <w:p w14:paraId="32837366" w14:textId="77777777" w:rsidR="0027428D" w:rsidRDefault="0027428D" w:rsidP="0027428D">
      <w:pPr>
        <w:pStyle w:val="FootnoteText"/>
        <w:jc w:val="left"/>
      </w:pPr>
      <w:r>
        <w:rPr>
          <w:rStyle w:val="FootnoteReference"/>
        </w:rPr>
        <w:footnoteRef/>
      </w:r>
      <w:r>
        <w:t xml:space="preserve"> Desinstitucionalización del sistema de protección a la infancia y la adolescencia noviembre 2023 (</w:t>
      </w:r>
      <w:r w:rsidRPr="00C27EE7">
        <w:t>https://www.sindic.cat/site/unitFiles/9755/Informe%20centros%20de%20proteccion_ok_cast.pdf</w:t>
      </w:r>
      <w:r>
        <w:t>)</w:t>
      </w:r>
    </w:p>
    <w:p w14:paraId="77EECC5E" w14:textId="77777777" w:rsidR="0027428D" w:rsidRDefault="0027428D" w:rsidP="0027428D">
      <w:pPr>
        <w:pStyle w:val="FootnoteText"/>
        <w:jc w:val="left"/>
      </w:pPr>
    </w:p>
  </w:footnote>
  <w:footnote w:id="4">
    <w:p w14:paraId="5D6D8056" w14:textId="77777777" w:rsidR="00333424" w:rsidRDefault="00333424" w:rsidP="00333424">
      <w:pPr>
        <w:pStyle w:val="FootnoteText"/>
      </w:pPr>
      <w:r>
        <w:rPr>
          <w:rStyle w:val="FootnoteReference"/>
        </w:rPr>
        <w:footnoteRef/>
      </w:r>
      <w:r>
        <w:t xml:space="preserve"> </w:t>
      </w:r>
      <w:r w:rsidRPr="00BC2FD6">
        <w:rPr>
          <w:color w:val="595959" w:themeColor="text1" w:themeTint="A6"/>
          <w:sz w:val="16"/>
          <w:szCs w:val="16"/>
        </w:rPr>
        <w:t xml:space="preserve">Boletín Oficial de las Cortes Generales, Congreso De los Diputados, 19 de mayo de 2021 </w:t>
      </w:r>
      <w:hyperlink r:id="rId4" w:history="1">
        <w:r w:rsidRPr="00BC2FD6">
          <w:rPr>
            <w:rStyle w:val="Hyperlink"/>
            <w:color w:val="595959" w:themeColor="text1" w:themeTint="A6"/>
            <w:sz w:val="16"/>
            <w:szCs w:val="16"/>
          </w:rPr>
          <w:t>https://www.congreso.es/public_oficiales/L14/CONG/BOCG/A/BOCG-14-A-22-6.PDF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76959" w14:textId="77777777" w:rsidR="00FF4325" w:rsidRDefault="00FF43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1FDEE" w14:textId="6B390E39" w:rsidR="003E08C5" w:rsidRPr="0021054B" w:rsidRDefault="0021054B" w:rsidP="0021054B">
    <w:pPr>
      <w:pStyle w:val="Header"/>
      <w:jc w:val="center"/>
      <w:rPr>
        <w:color w:val="215E99" w:themeColor="text2" w:themeTint="BF"/>
        <w:sz w:val="20"/>
        <w:szCs w:val="18"/>
        <w:u w:val="single"/>
      </w:rPr>
    </w:pPr>
    <w:r w:rsidRPr="003E08C5">
      <w:rPr>
        <w:color w:val="215E99" w:themeColor="text2" w:themeTint="BF"/>
        <w:sz w:val="20"/>
        <w:szCs w:val="18"/>
        <w:u w:val="single"/>
      </w:rPr>
      <w:t>Informe CGAE a las cuestiones previa a la presentación del séptimo informe periódico de España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F8AB0" w14:textId="77777777" w:rsidR="00FF4325" w:rsidRDefault="00FF43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106D6"/>
    <w:multiLevelType w:val="hybridMultilevel"/>
    <w:tmpl w:val="5E4E72AC"/>
    <w:lvl w:ilvl="0" w:tplc="EC06440E">
      <w:start w:val="22"/>
      <w:numFmt w:val="bullet"/>
      <w:lvlText w:val="-"/>
      <w:lvlJc w:val="left"/>
      <w:pPr>
        <w:ind w:left="720" w:hanging="360"/>
      </w:pPr>
      <w:rPr>
        <w:rFonts w:ascii="Times New Roman" w:eastAsiaTheme="minorHAns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1197532"/>
    <w:multiLevelType w:val="hybridMultilevel"/>
    <w:tmpl w:val="A7D4DB6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2121F71"/>
    <w:multiLevelType w:val="hybridMultilevel"/>
    <w:tmpl w:val="E4BA4646"/>
    <w:lvl w:ilvl="0" w:tplc="61A0B510">
      <w:start w:val="1"/>
      <w:numFmt w:val="ordinalText"/>
      <w:pStyle w:val="Heading1"/>
      <w:lvlText w:val="%1."/>
      <w:lvlJc w:val="left"/>
      <w:pPr>
        <w:ind w:left="720" w:hanging="360"/>
      </w:pPr>
      <w:rPr>
        <w:rFonts w:ascii="Times New Roman" w:hAnsi="Times New Roman" w:hint="default"/>
        <w:b/>
        <w:i w:val="0"/>
        <w:caps/>
        <w:color w:val="auto"/>
        <w:sz w:val="24"/>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F5D1605"/>
    <w:multiLevelType w:val="hybridMultilevel"/>
    <w:tmpl w:val="8572D284"/>
    <w:lvl w:ilvl="0" w:tplc="C20E2C0E">
      <w:start w:val="1"/>
      <w:numFmt w:val="lowerLetter"/>
      <w:pStyle w:val="Heading3"/>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1696984"/>
    <w:multiLevelType w:val="hybridMultilevel"/>
    <w:tmpl w:val="B1383F28"/>
    <w:lvl w:ilvl="0" w:tplc="2B907FAA">
      <w:start w:val="1"/>
      <w:numFmt w:val="decimal"/>
      <w:pStyle w:val="Title"/>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0860D1"/>
    <w:multiLevelType w:val="hybridMultilevel"/>
    <w:tmpl w:val="C9985B2C"/>
    <w:lvl w:ilvl="0" w:tplc="3556814E">
      <w:start w:val="1"/>
      <w:numFmt w:val="upperRoman"/>
      <w:pStyle w:val="Heading4"/>
      <w:lvlText w:val="%1."/>
      <w:lvlJc w:val="right"/>
      <w:pPr>
        <w:ind w:left="717"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2E10F7B"/>
    <w:multiLevelType w:val="hybridMultilevel"/>
    <w:tmpl w:val="54C6B22C"/>
    <w:lvl w:ilvl="0" w:tplc="DF3A33AA">
      <w:start w:val="1"/>
      <w:numFmt w:val="decimal"/>
      <w:pStyle w:val="Heading2"/>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6272D62"/>
    <w:multiLevelType w:val="hybridMultilevel"/>
    <w:tmpl w:val="81E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EB43A94"/>
    <w:multiLevelType w:val="hybridMultilevel"/>
    <w:tmpl w:val="E2E8934C"/>
    <w:lvl w:ilvl="0" w:tplc="29586C8A">
      <w:start w:val="1"/>
      <w:numFmt w:val="decimal"/>
      <w:pStyle w:val="Heading5"/>
      <w:lvlText w:val="%1."/>
      <w:lvlJc w:val="left"/>
      <w:pPr>
        <w:ind w:left="2011" w:hanging="360"/>
      </w:pPr>
    </w:lvl>
    <w:lvl w:ilvl="1" w:tplc="0C0A0019" w:tentative="1">
      <w:start w:val="1"/>
      <w:numFmt w:val="lowerLetter"/>
      <w:lvlText w:val="%2."/>
      <w:lvlJc w:val="left"/>
      <w:pPr>
        <w:ind w:left="2731" w:hanging="360"/>
      </w:pPr>
    </w:lvl>
    <w:lvl w:ilvl="2" w:tplc="0C0A001B" w:tentative="1">
      <w:start w:val="1"/>
      <w:numFmt w:val="lowerRoman"/>
      <w:lvlText w:val="%3."/>
      <w:lvlJc w:val="right"/>
      <w:pPr>
        <w:ind w:left="3451" w:hanging="180"/>
      </w:pPr>
    </w:lvl>
    <w:lvl w:ilvl="3" w:tplc="0C0A000F" w:tentative="1">
      <w:start w:val="1"/>
      <w:numFmt w:val="decimal"/>
      <w:lvlText w:val="%4."/>
      <w:lvlJc w:val="left"/>
      <w:pPr>
        <w:ind w:left="4171" w:hanging="360"/>
      </w:pPr>
    </w:lvl>
    <w:lvl w:ilvl="4" w:tplc="0C0A0019" w:tentative="1">
      <w:start w:val="1"/>
      <w:numFmt w:val="lowerLetter"/>
      <w:lvlText w:val="%5."/>
      <w:lvlJc w:val="left"/>
      <w:pPr>
        <w:ind w:left="4891" w:hanging="360"/>
      </w:pPr>
    </w:lvl>
    <w:lvl w:ilvl="5" w:tplc="0C0A001B" w:tentative="1">
      <w:start w:val="1"/>
      <w:numFmt w:val="lowerRoman"/>
      <w:lvlText w:val="%6."/>
      <w:lvlJc w:val="right"/>
      <w:pPr>
        <w:ind w:left="5611" w:hanging="180"/>
      </w:pPr>
    </w:lvl>
    <w:lvl w:ilvl="6" w:tplc="0C0A000F" w:tentative="1">
      <w:start w:val="1"/>
      <w:numFmt w:val="decimal"/>
      <w:lvlText w:val="%7."/>
      <w:lvlJc w:val="left"/>
      <w:pPr>
        <w:ind w:left="6331" w:hanging="360"/>
      </w:pPr>
    </w:lvl>
    <w:lvl w:ilvl="7" w:tplc="0C0A0019" w:tentative="1">
      <w:start w:val="1"/>
      <w:numFmt w:val="lowerLetter"/>
      <w:lvlText w:val="%8."/>
      <w:lvlJc w:val="left"/>
      <w:pPr>
        <w:ind w:left="7051" w:hanging="360"/>
      </w:pPr>
    </w:lvl>
    <w:lvl w:ilvl="8" w:tplc="0C0A001B" w:tentative="1">
      <w:start w:val="1"/>
      <w:numFmt w:val="lowerRoman"/>
      <w:lvlText w:val="%9."/>
      <w:lvlJc w:val="right"/>
      <w:pPr>
        <w:ind w:left="7771" w:hanging="180"/>
      </w:pPr>
    </w:lvl>
  </w:abstractNum>
  <w:abstractNum w:abstractNumId="9" w15:restartNumberingAfterBreak="0">
    <w:nsid w:val="7BF24B33"/>
    <w:multiLevelType w:val="hybridMultilevel"/>
    <w:tmpl w:val="635E7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00441959">
    <w:abstractNumId w:val="6"/>
  </w:num>
  <w:num w:numId="2" w16cid:durableId="1041707866">
    <w:abstractNumId w:val="8"/>
  </w:num>
  <w:num w:numId="3" w16cid:durableId="1998221600">
    <w:abstractNumId w:val="3"/>
  </w:num>
  <w:num w:numId="4" w16cid:durableId="79059169">
    <w:abstractNumId w:val="2"/>
  </w:num>
  <w:num w:numId="5" w16cid:durableId="685056411">
    <w:abstractNumId w:val="5"/>
  </w:num>
  <w:num w:numId="6" w16cid:durableId="2077050129">
    <w:abstractNumId w:val="0"/>
  </w:num>
  <w:num w:numId="7" w16cid:durableId="364985955">
    <w:abstractNumId w:val="1"/>
  </w:num>
  <w:num w:numId="8" w16cid:durableId="996421343">
    <w:abstractNumId w:val="9"/>
  </w:num>
  <w:num w:numId="9" w16cid:durableId="93867748">
    <w:abstractNumId w:val="7"/>
  </w:num>
  <w:num w:numId="10" w16cid:durableId="1165973712">
    <w:abstractNumId w:val="5"/>
    <w:lvlOverride w:ilvl="0">
      <w:startOverride w:val="1"/>
    </w:lvlOverride>
  </w:num>
  <w:num w:numId="11" w16cid:durableId="2039352475">
    <w:abstractNumId w:val="5"/>
    <w:lvlOverride w:ilvl="0">
      <w:startOverride w:val="1"/>
    </w:lvlOverride>
  </w:num>
  <w:num w:numId="12" w16cid:durableId="1827932771">
    <w:abstractNumId w:val="5"/>
    <w:lvlOverride w:ilvl="0">
      <w:startOverride w:val="1"/>
    </w:lvlOverride>
  </w:num>
  <w:num w:numId="13" w16cid:durableId="374433794">
    <w:abstractNumId w:val="5"/>
    <w:lvlOverride w:ilvl="0">
      <w:startOverride w:val="1"/>
    </w:lvlOverride>
  </w:num>
  <w:num w:numId="14" w16cid:durableId="1160661440">
    <w:abstractNumId w:val="4"/>
  </w:num>
  <w:num w:numId="15" w16cid:durableId="1409615171">
    <w:abstractNumId w:val="5"/>
    <w:lvlOverride w:ilvl="0">
      <w:startOverride w:val="1"/>
    </w:lvlOverride>
  </w:num>
  <w:num w:numId="16" w16cid:durableId="1063066833">
    <w:abstractNumId w:val="5"/>
    <w:lvlOverride w:ilvl="0">
      <w:startOverride w:val="1"/>
    </w:lvlOverride>
  </w:num>
  <w:num w:numId="17" w16cid:durableId="1542982132">
    <w:abstractNumId w:val="6"/>
    <w:lvlOverride w:ilvl="0">
      <w:startOverride w:val="1"/>
    </w:lvlOverride>
  </w:num>
  <w:num w:numId="18" w16cid:durableId="422071646">
    <w:abstractNumId w:val="5"/>
    <w:lvlOverride w:ilvl="0">
      <w:startOverride w:val="1"/>
    </w:lvlOverride>
  </w:num>
  <w:num w:numId="19" w16cid:durableId="313949783">
    <w:abstractNumId w:val="5"/>
    <w:lvlOverride w:ilvl="0">
      <w:startOverride w:val="1"/>
    </w:lvlOverride>
  </w:num>
  <w:num w:numId="20" w16cid:durableId="1882863177">
    <w:abstractNumId w:val="5"/>
    <w:lvlOverride w:ilvl="0">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292"/>
    <w:rsid w:val="00017A6E"/>
    <w:rsid w:val="000202D7"/>
    <w:rsid w:val="0002074F"/>
    <w:rsid w:val="00073BEF"/>
    <w:rsid w:val="00086D06"/>
    <w:rsid w:val="000A11FE"/>
    <w:rsid w:val="000B72F0"/>
    <w:rsid w:val="000C19DB"/>
    <w:rsid w:val="000D14C3"/>
    <w:rsid w:val="000D70D7"/>
    <w:rsid w:val="001068AD"/>
    <w:rsid w:val="0016109A"/>
    <w:rsid w:val="00173425"/>
    <w:rsid w:val="001938C4"/>
    <w:rsid w:val="001C06EC"/>
    <w:rsid w:val="0021054B"/>
    <w:rsid w:val="00222A32"/>
    <w:rsid w:val="00223292"/>
    <w:rsid w:val="00254BDB"/>
    <w:rsid w:val="0027428D"/>
    <w:rsid w:val="00275945"/>
    <w:rsid w:val="002A1F78"/>
    <w:rsid w:val="002A226F"/>
    <w:rsid w:val="002B539B"/>
    <w:rsid w:val="002C7359"/>
    <w:rsid w:val="002D7909"/>
    <w:rsid w:val="00300AB3"/>
    <w:rsid w:val="00306885"/>
    <w:rsid w:val="003132BE"/>
    <w:rsid w:val="00331622"/>
    <w:rsid w:val="00333424"/>
    <w:rsid w:val="003359A2"/>
    <w:rsid w:val="00335CB9"/>
    <w:rsid w:val="00336D07"/>
    <w:rsid w:val="00343FE4"/>
    <w:rsid w:val="00356D09"/>
    <w:rsid w:val="003E08C5"/>
    <w:rsid w:val="00412DC8"/>
    <w:rsid w:val="00423555"/>
    <w:rsid w:val="004260B2"/>
    <w:rsid w:val="00427628"/>
    <w:rsid w:val="0043551F"/>
    <w:rsid w:val="00442EDF"/>
    <w:rsid w:val="00481575"/>
    <w:rsid w:val="004A6BC3"/>
    <w:rsid w:val="004B39AA"/>
    <w:rsid w:val="004C00AB"/>
    <w:rsid w:val="004D435C"/>
    <w:rsid w:val="004E1AB4"/>
    <w:rsid w:val="004E4157"/>
    <w:rsid w:val="00503029"/>
    <w:rsid w:val="00507698"/>
    <w:rsid w:val="00514BBE"/>
    <w:rsid w:val="005976A9"/>
    <w:rsid w:val="005C79CA"/>
    <w:rsid w:val="005D1C36"/>
    <w:rsid w:val="00622766"/>
    <w:rsid w:val="00686F0C"/>
    <w:rsid w:val="006F49A4"/>
    <w:rsid w:val="00725889"/>
    <w:rsid w:val="007655AF"/>
    <w:rsid w:val="00766A42"/>
    <w:rsid w:val="00795760"/>
    <w:rsid w:val="007C1036"/>
    <w:rsid w:val="007D4A1C"/>
    <w:rsid w:val="007F001B"/>
    <w:rsid w:val="00832FBB"/>
    <w:rsid w:val="00883891"/>
    <w:rsid w:val="00912698"/>
    <w:rsid w:val="00915318"/>
    <w:rsid w:val="0092460A"/>
    <w:rsid w:val="009366D9"/>
    <w:rsid w:val="0094006F"/>
    <w:rsid w:val="00944FD3"/>
    <w:rsid w:val="00957229"/>
    <w:rsid w:val="009717E6"/>
    <w:rsid w:val="0097472B"/>
    <w:rsid w:val="00986080"/>
    <w:rsid w:val="009C0FC7"/>
    <w:rsid w:val="009D6D8E"/>
    <w:rsid w:val="009F4E59"/>
    <w:rsid w:val="00A1176A"/>
    <w:rsid w:val="00A41EB7"/>
    <w:rsid w:val="00A45164"/>
    <w:rsid w:val="00A57475"/>
    <w:rsid w:val="00A8083F"/>
    <w:rsid w:val="00AD3BEF"/>
    <w:rsid w:val="00B11419"/>
    <w:rsid w:val="00B207FB"/>
    <w:rsid w:val="00B4081C"/>
    <w:rsid w:val="00B42B77"/>
    <w:rsid w:val="00B54331"/>
    <w:rsid w:val="00B5601C"/>
    <w:rsid w:val="00BA4A1F"/>
    <w:rsid w:val="00BE524E"/>
    <w:rsid w:val="00BF0A6B"/>
    <w:rsid w:val="00C0435E"/>
    <w:rsid w:val="00C27EE7"/>
    <w:rsid w:val="00C525A0"/>
    <w:rsid w:val="00CC03EE"/>
    <w:rsid w:val="00CC22E5"/>
    <w:rsid w:val="00CC68C3"/>
    <w:rsid w:val="00CE1530"/>
    <w:rsid w:val="00D402EB"/>
    <w:rsid w:val="00D42F06"/>
    <w:rsid w:val="00D72482"/>
    <w:rsid w:val="00D8518B"/>
    <w:rsid w:val="00DA5096"/>
    <w:rsid w:val="00DC3FC3"/>
    <w:rsid w:val="00DD6F2A"/>
    <w:rsid w:val="00E06368"/>
    <w:rsid w:val="00E34782"/>
    <w:rsid w:val="00E63B65"/>
    <w:rsid w:val="00E746B2"/>
    <w:rsid w:val="00E9181A"/>
    <w:rsid w:val="00E922A5"/>
    <w:rsid w:val="00EA0643"/>
    <w:rsid w:val="00F10175"/>
    <w:rsid w:val="00F44537"/>
    <w:rsid w:val="00F52936"/>
    <w:rsid w:val="00F548CA"/>
    <w:rsid w:val="00F574EB"/>
    <w:rsid w:val="00F71C6F"/>
    <w:rsid w:val="00F75160"/>
    <w:rsid w:val="00FF432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4FD4A"/>
  <w15:chartTrackingRefBased/>
  <w15:docId w15:val="{E8A3A9C5-207B-4E5A-8DE5-B3503EB53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292"/>
    <w:pPr>
      <w:spacing w:after="100" w:afterAutospacing="1" w:line="240" w:lineRule="auto"/>
      <w:jc w:val="both"/>
    </w:pPr>
    <w:rPr>
      <w:rFonts w:ascii="Times New Roman" w:hAnsi="Times New Roman"/>
      <w:sz w:val="24"/>
      <w14:ligatures w14:val="none"/>
    </w:rPr>
  </w:style>
  <w:style w:type="paragraph" w:styleId="Heading1">
    <w:name w:val="heading 1"/>
    <w:basedOn w:val="Normal"/>
    <w:next w:val="Normal"/>
    <w:link w:val="Heading1Char"/>
    <w:autoRedefine/>
    <w:qFormat/>
    <w:rsid w:val="002A226F"/>
    <w:pPr>
      <w:keepNext/>
      <w:numPr>
        <w:numId w:val="4"/>
      </w:numPr>
      <w:spacing w:line="288" w:lineRule="auto"/>
      <w:ind w:left="0" w:firstLine="0"/>
      <w:outlineLvl w:val="0"/>
    </w:pPr>
    <w:rPr>
      <w:b/>
      <w:caps/>
      <w:spacing w:val="20"/>
      <w:u w:val="single"/>
      <w14:ligatures w14:val="standardContextual"/>
    </w:rPr>
  </w:style>
  <w:style w:type="paragraph" w:styleId="Heading2">
    <w:name w:val="heading 2"/>
    <w:basedOn w:val="Normal"/>
    <w:next w:val="Normal"/>
    <w:link w:val="Heading2Char"/>
    <w:autoRedefine/>
    <w:qFormat/>
    <w:rsid w:val="001068AD"/>
    <w:pPr>
      <w:keepNext/>
      <w:keepLines/>
      <w:numPr>
        <w:numId w:val="1"/>
      </w:numPr>
      <w:tabs>
        <w:tab w:val="left" w:pos="720"/>
      </w:tabs>
      <w:spacing w:line="288" w:lineRule="auto"/>
      <w:outlineLvl w:val="1"/>
    </w:pPr>
    <w:rPr>
      <w:b/>
      <w:caps/>
      <w:spacing w:val="20"/>
      <w:u w:val="single"/>
      <w14:ligatures w14:val="standardContextual"/>
    </w:rPr>
  </w:style>
  <w:style w:type="paragraph" w:styleId="Heading3">
    <w:name w:val="heading 3"/>
    <w:basedOn w:val="Normal"/>
    <w:next w:val="Normal"/>
    <w:link w:val="Heading3Char"/>
    <w:autoRedefine/>
    <w:qFormat/>
    <w:rsid w:val="002A226F"/>
    <w:pPr>
      <w:keepNext/>
      <w:keepLines/>
      <w:numPr>
        <w:numId w:val="3"/>
      </w:numPr>
      <w:spacing w:line="288" w:lineRule="auto"/>
      <w:outlineLvl w:val="2"/>
    </w:pPr>
    <w:rPr>
      <w:b/>
      <w:caps/>
      <w:color w:val="595959" w:themeColor="text1" w:themeTint="A6"/>
      <w:spacing w:val="20"/>
      <w:u w:val="single"/>
      <w14:ligatures w14:val="standardContextual"/>
    </w:rPr>
  </w:style>
  <w:style w:type="paragraph" w:styleId="Heading4">
    <w:name w:val="heading 4"/>
    <w:basedOn w:val="Normal"/>
    <w:next w:val="Normal"/>
    <w:link w:val="Heading4Char"/>
    <w:autoRedefine/>
    <w:qFormat/>
    <w:rsid w:val="00986080"/>
    <w:pPr>
      <w:keepNext/>
      <w:keepLines/>
      <w:numPr>
        <w:numId w:val="5"/>
      </w:numPr>
      <w:outlineLvl w:val="3"/>
    </w:pPr>
    <w:rPr>
      <w:b/>
      <w:color w:val="595959" w:themeColor="text1" w:themeTint="A6"/>
      <w:spacing w:val="20"/>
      <w:sz w:val="20"/>
      <w:u w:val="single"/>
      <w14:ligatures w14:val="standardContextual"/>
    </w:rPr>
  </w:style>
  <w:style w:type="paragraph" w:styleId="Heading5">
    <w:name w:val="heading 5"/>
    <w:basedOn w:val="Normal"/>
    <w:next w:val="Normal"/>
    <w:link w:val="Heading5Char"/>
    <w:autoRedefine/>
    <w:uiPriority w:val="9"/>
    <w:unhideWhenUsed/>
    <w:qFormat/>
    <w:rsid w:val="00A8083F"/>
    <w:pPr>
      <w:keepNext/>
      <w:keepLines/>
      <w:numPr>
        <w:numId w:val="2"/>
      </w:numPr>
      <w:ind w:left="1854"/>
      <w:outlineLvl w:val="4"/>
    </w:pPr>
    <w:rPr>
      <w:rFonts w:eastAsiaTheme="majorEastAsia" w:cstheme="majorBidi"/>
      <w:b/>
      <w:u w:val="single"/>
      <w:lang w:eastAsia="es-ES" w:bidi="bn-IN"/>
      <w14:ligatures w14:val="standardContextual"/>
    </w:rPr>
  </w:style>
  <w:style w:type="paragraph" w:styleId="Heading6">
    <w:name w:val="heading 6"/>
    <w:basedOn w:val="Normal"/>
    <w:next w:val="Normal"/>
    <w:link w:val="Heading6Char"/>
    <w:uiPriority w:val="9"/>
    <w:semiHidden/>
    <w:unhideWhenUsed/>
    <w:qFormat/>
    <w:rsid w:val="0022329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329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329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329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A226F"/>
    <w:rPr>
      <w:rFonts w:ascii="Times New Roman" w:hAnsi="Times New Roman"/>
      <w:b/>
      <w:caps/>
      <w:spacing w:val="20"/>
      <w:sz w:val="24"/>
      <w:u w:val="single"/>
    </w:rPr>
  </w:style>
  <w:style w:type="paragraph" w:styleId="ListParagraph">
    <w:name w:val="List Paragraph"/>
    <w:basedOn w:val="Normal"/>
    <w:autoRedefine/>
    <w:uiPriority w:val="34"/>
    <w:qFormat/>
    <w:rsid w:val="00A41EB7"/>
    <w:pPr>
      <w:ind w:left="720"/>
      <w:contextualSpacing/>
    </w:pPr>
    <w:rPr>
      <w:rFonts w:eastAsia="Times New Roman" w:cs="Times New Roman"/>
      <w:szCs w:val="20"/>
    </w:rPr>
  </w:style>
  <w:style w:type="paragraph" w:styleId="Quote">
    <w:name w:val="Quote"/>
    <w:basedOn w:val="Normal"/>
    <w:next w:val="Normal"/>
    <w:link w:val="QuoteChar"/>
    <w:autoRedefine/>
    <w:qFormat/>
    <w:rsid w:val="00086D06"/>
    <w:pPr>
      <w:overflowPunct w:val="0"/>
      <w:autoSpaceDE w:val="0"/>
      <w:autoSpaceDN w:val="0"/>
      <w:adjustRightInd w:val="0"/>
      <w:ind w:left="567" w:right="567"/>
      <w:contextualSpacing/>
    </w:pPr>
    <w:rPr>
      <w:rFonts w:eastAsia="Times New Roman" w:cs="Times New Roman"/>
      <w:i/>
      <w:iCs/>
      <w:sz w:val="20"/>
      <w:szCs w:val="20"/>
      <w:lang w:val="es-ES_tradnl" w:eastAsia="es-ES"/>
      <w14:ligatures w14:val="standardContextual"/>
    </w:rPr>
  </w:style>
  <w:style w:type="character" w:customStyle="1" w:styleId="QuoteChar">
    <w:name w:val="Quote Char"/>
    <w:basedOn w:val="DefaultParagraphFont"/>
    <w:link w:val="Quote"/>
    <w:rsid w:val="00086D06"/>
    <w:rPr>
      <w:rFonts w:ascii="Times New Roman" w:eastAsia="Times New Roman" w:hAnsi="Times New Roman" w:cs="Times New Roman"/>
      <w:i/>
      <w:iCs/>
      <w:sz w:val="20"/>
      <w:szCs w:val="20"/>
      <w:lang w:val="es-ES_tradnl" w:eastAsia="es-ES"/>
    </w:rPr>
  </w:style>
  <w:style w:type="paragraph" w:styleId="Title">
    <w:name w:val="Title"/>
    <w:basedOn w:val="Normal"/>
    <w:next w:val="Normal"/>
    <w:link w:val="TitleChar"/>
    <w:autoRedefine/>
    <w:qFormat/>
    <w:rsid w:val="001068AD"/>
    <w:pPr>
      <w:numPr>
        <w:numId w:val="14"/>
      </w:numPr>
      <w:spacing w:line="288" w:lineRule="auto"/>
    </w:pPr>
    <w:rPr>
      <w:b/>
      <w:caps/>
      <w:spacing w:val="20"/>
      <w:u w:val="single"/>
      <w14:ligatures w14:val="standardContextual"/>
    </w:rPr>
  </w:style>
  <w:style w:type="character" w:customStyle="1" w:styleId="TitleChar">
    <w:name w:val="Title Char"/>
    <w:basedOn w:val="DefaultParagraphFont"/>
    <w:link w:val="Title"/>
    <w:rsid w:val="001068AD"/>
    <w:rPr>
      <w:rFonts w:ascii="Times New Roman" w:hAnsi="Times New Roman"/>
      <w:b/>
      <w:caps/>
      <w:spacing w:val="20"/>
      <w:sz w:val="24"/>
      <w:u w:val="single"/>
    </w:rPr>
  </w:style>
  <w:style w:type="paragraph" w:styleId="Subtitle">
    <w:name w:val="Subtitle"/>
    <w:aliases w:val="Plan de parentalidad"/>
    <w:basedOn w:val="Normal"/>
    <w:next w:val="Normal"/>
    <w:link w:val="SubtitleChar"/>
    <w:autoRedefine/>
    <w:uiPriority w:val="11"/>
    <w:qFormat/>
    <w:rsid w:val="009F4E59"/>
    <w:pPr>
      <w:ind w:left="1080" w:hanging="360"/>
    </w:pPr>
    <w:rPr>
      <w:b/>
      <w:i/>
      <w:kern w:val="2"/>
      <w:u w:val="single"/>
      <w14:ligatures w14:val="standardContextual"/>
    </w:rPr>
  </w:style>
  <w:style w:type="character" w:customStyle="1" w:styleId="SubtitleChar">
    <w:name w:val="Subtitle Char"/>
    <w:aliases w:val="Plan de parentalidad Char"/>
    <w:basedOn w:val="DefaultParagraphFont"/>
    <w:link w:val="Subtitle"/>
    <w:uiPriority w:val="11"/>
    <w:rsid w:val="009F4E59"/>
    <w:rPr>
      <w:rFonts w:ascii="Times New Roman" w:eastAsia="Arial" w:hAnsi="Times New Roman" w:cs="Arial"/>
      <w:b/>
      <w:i/>
      <w:spacing w:val="20"/>
      <w:sz w:val="24"/>
      <w:u w:val="single"/>
      <w:lang w:eastAsia="es-ES" w:bidi="bn-IN"/>
    </w:rPr>
  </w:style>
  <w:style w:type="character" w:customStyle="1" w:styleId="Heading2Char">
    <w:name w:val="Heading 2 Char"/>
    <w:basedOn w:val="DefaultParagraphFont"/>
    <w:link w:val="Heading2"/>
    <w:rsid w:val="001068AD"/>
    <w:rPr>
      <w:rFonts w:ascii="Times New Roman" w:hAnsi="Times New Roman"/>
      <w:b/>
      <w:caps/>
      <w:spacing w:val="20"/>
      <w:sz w:val="24"/>
      <w:u w:val="single"/>
    </w:rPr>
  </w:style>
  <w:style w:type="character" w:customStyle="1" w:styleId="Heading3Char">
    <w:name w:val="Heading 3 Char"/>
    <w:basedOn w:val="DefaultParagraphFont"/>
    <w:link w:val="Heading3"/>
    <w:rsid w:val="002A226F"/>
    <w:rPr>
      <w:rFonts w:ascii="Times New Roman" w:hAnsi="Times New Roman"/>
      <w:b/>
      <w:caps/>
      <w:color w:val="595959" w:themeColor="text1" w:themeTint="A6"/>
      <w:spacing w:val="20"/>
      <w:sz w:val="24"/>
      <w:u w:val="single"/>
    </w:rPr>
  </w:style>
  <w:style w:type="paragraph" w:styleId="NoSpacing">
    <w:name w:val="No Spacing"/>
    <w:autoRedefine/>
    <w:uiPriority w:val="1"/>
    <w:qFormat/>
    <w:rsid w:val="000202D7"/>
    <w:pPr>
      <w:spacing w:after="100" w:afterAutospacing="1" w:line="288" w:lineRule="auto"/>
      <w:ind w:left="567" w:right="567"/>
      <w:jc w:val="both"/>
    </w:pPr>
    <w:rPr>
      <w:rFonts w:ascii="Times New Roman" w:hAnsi="Times New Roman" w:cs="Arial"/>
      <w:i/>
      <w:color w:val="000000"/>
      <w:szCs w:val="24"/>
      <w:lang w:eastAsia="es-ES"/>
    </w:rPr>
  </w:style>
  <w:style w:type="character" w:customStyle="1" w:styleId="Heading4Char">
    <w:name w:val="Heading 4 Char"/>
    <w:basedOn w:val="DefaultParagraphFont"/>
    <w:link w:val="Heading4"/>
    <w:rsid w:val="00986080"/>
    <w:rPr>
      <w:rFonts w:ascii="Times New Roman" w:hAnsi="Times New Roman"/>
      <w:b/>
      <w:color w:val="595959" w:themeColor="text1" w:themeTint="A6"/>
      <w:spacing w:val="20"/>
      <w:sz w:val="20"/>
      <w:u w:val="single"/>
    </w:rPr>
  </w:style>
  <w:style w:type="paragraph" w:customStyle="1" w:styleId="Estilo1">
    <w:name w:val="Estilo1"/>
    <w:basedOn w:val="Normal"/>
    <w:autoRedefine/>
    <w:qFormat/>
    <w:rsid w:val="00223292"/>
  </w:style>
  <w:style w:type="character" w:customStyle="1" w:styleId="Heading5Char">
    <w:name w:val="Heading 5 Char"/>
    <w:basedOn w:val="DefaultParagraphFont"/>
    <w:link w:val="Heading5"/>
    <w:uiPriority w:val="9"/>
    <w:rsid w:val="00A8083F"/>
    <w:rPr>
      <w:rFonts w:ascii="Times New Roman" w:eastAsiaTheme="majorEastAsia" w:hAnsi="Times New Roman" w:cstheme="majorBidi"/>
      <w:b/>
      <w:sz w:val="24"/>
      <w:u w:val="single"/>
      <w:lang w:eastAsia="es-ES" w:bidi="bn-IN"/>
    </w:rPr>
  </w:style>
  <w:style w:type="character" w:styleId="SubtleEmphasis">
    <w:name w:val="Subtle Emphasis"/>
    <w:aliases w:val="Subtítulo Plan de parentalidad"/>
    <w:uiPriority w:val="19"/>
    <w:qFormat/>
    <w:rsid w:val="009F4E59"/>
    <w:rPr>
      <w:rFonts w:ascii="Times New Roman" w:hAnsi="Times New Roman"/>
      <w:b w:val="0"/>
      <w:i w:val="0"/>
      <w:iCs/>
      <w:color w:val="auto"/>
      <w:sz w:val="24"/>
      <w:u w:val="single"/>
    </w:rPr>
  </w:style>
  <w:style w:type="character" w:customStyle="1" w:styleId="Heading6Char">
    <w:name w:val="Heading 6 Char"/>
    <w:basedOn w:val="DefaultParagraphFont"/>
    <w:link w:val="Heading6"/>
    <w:uiPriority w:val="9"/>
    <w:semiHidden/>
    <w:rsid w:val="00223292"/>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223292"/>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223292"/>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223292"/>
    <w:rPr>
      <w:rFonts w:eastAsiaTheme="majorEastAsia" w:cstheme="majorBidi"/>
      <w:color w:val="272727" w:themeColor="text1" w:themeTint="D8"/>
      <w:sz w:val="24"/>
      <w14:ligatures w14:val="none"/>
    </w:rPr>
  </w:style>
  <w:style w:type="character" w:styleId="IntenseEmphasis">
    <w:name w:val="Intense Emphasis"/>
    <w:basedOn w:val="DefaultParagraphFont"/>
    <w:uiPriority w:val="21"/>
    <w:qFormat/>
    <w:rsid w:val="00223292"/>
    <w:rPr>
      <w:i/>
      <w:iCs/>
      <w:color w:val="0F4761" w:themeColor="accent1" w:themeShade="BF"/>
    </w:rPr>
  </w:style>
  <w:style w:type="paragraph" w:styleId="IntenseQuote">
    <w:name w:val="Intense Quote"/>
    <w:basedOn w:val="Normal"/>
    <w:next w:val="Normal"/>
    <w:link w:val="IntenseQuoteChar"/>
    <w:uiPriority w:val="30"/>
    <w:qFormat/>
    <w:rsid w:val="00223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292"/>
    <w:rPr>
      <w:rFonts w:ascii="Gill Sans MT" w:hAnsi="Gill Sans MT"/>
      <w:i/>
      <w:iCs/>
      <w:color w:val="0F4761" w:themeColor="accent1" w:themeShade="BF"/>
      <w:sz w:val="24"/>
      <w14:ligatures w14:val="none"/>
    </w:rPr>
  </w:style>
  <w:style w:type="character" w:styleId="IntenseReference">
    <w:name w:val="Intense Reference"/>
    <w:basedOn w:val="DefaultParagraphFont"/>
    <w:uiPriority w:val="32"/>
    <w:qFormat/>
    <w:rsid w:val="00223292"/>
    <w:rPr>
      <w:b/>
      <w:bCs/>
      <w:smallCaps/>
      <w:color w:val="0F4761" w:themeColor="accent1" w:themeShade="BF"/>
      <w:spacing w:val="5"/>
    </w:rPr>
  </w:style>
  <w:style w:type="character" w:styleId="Hyperlink">
    <w:name w:val="Hyperlink"/>
    <w:basedOn w:val="DefaultParagraphFont"/>
    <w:uiPriority w:val="99"/>
    <w:unhideWhenUsed/>
    <w:rsid w:val="00333424"/>
    <w:rPr>
      <w:color w:val="467886" w:themeColor="hyperlink"/>
      <w:u w:val="single"/>
    </w:rPr>
  </w:style>
  <w:style w:type="paragraph" w:styleId="FootnoteText">
    <w:name w:val="footnote text"/>
    <w:basedOn w:val="Normal"/>
    <w:link w:val="FootnoteTextChar"/>
    <w:uiPriority w:val="99"/>
    <w:semiHidden/>
    <w:unhideWhenUsed/>
    <w:rsid w:val="00333424"/>
    <w:pPr>
      <w:spacing w:after="0"/>
    </w:pPr>
    <w:rPr>
      <w:rFonts w:eastAsia="Times New Roman" w:cs="Times New Roman"/>
      <w:spacing w:val="20"/>
      <w:sz w:val="20"/>
      <w:szCs w:val="20"/>
    </w:rPr>
  </w:style>
  <w:style w:type="character" w:customStyle="1" w:styleId="FootnoteTextChar">
    <w:name w:val="Footnote Text Char"/>
    <w:basedOn w:val="DefaultParagraphFont"/>
    <w:link w:val="FootnoteText"/>
    <w:uiPriority w:val="99"/>
    <w:semiHidden/>
    <w:rsid w:val="00333424"/>
    <w:rPr>
      <w:rFonts w:ascii="Times New Roman" w:eastAsia="Times New Roman" w:hAnsi="Times New Roman" w:cs="Times New Roman"/>
      <w:spacing w:val="20"/>
      <w:sz w:val="20"/>
      <w:szCs w:val="20"/>
      <w14:ligatures w14:val="none"/>
    </w:rPr>
  </w:style>
  <w:style w:type="character" w:styleId="FootnoteReference">
    <w:name w:val="footnote reference"/>
    <w:basedOn w:val="DefaultParagraphFont"/>
    <w:uiPriority w:val="99"/>
    <w:semiHidden/>
    <w:unhideWhenUsed/>
    <w:rsid w:val="00333424"/>
    <w:rPr>
      <w:vertAlign w:val="superscript"/>
    </w:rPr>
  </w:style>
  <w:style w:type="character" w:styleId="UnresolvedMention">
    <w:name w:val="Unresolved Mention"/>
    <w:basedOn w:val="DefaultParagraphFont"/>
    <w:uiPriority w:val="99"/>
    <w:semiHidden/>
    <w:unhideWhenUsed/>
    <w:rsid w:val="00F52936"/>
    <w:rPr>
      <w:color w:val="605E5C"/>
      <w:shd w:val="clear" w:color="auto" w:fill="E1DFDD"/>
    </w:rPr>
  </w:style>
  <w:style w:type="table" w:styleId="TableGrid">
    <w:name w:val="Table Grid"/>
    <w:basedOn w:val="TableNormal"/>
    <w:uiPriority w:val="39"/>
    <w:rsid w:val="009D6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08C5"/>
    <w:pPr>
      <w:tabs>
        <w:tab w:val="center" w:pos="4252"/>
        <w:tab w:val="right" w:pos="8504"/>
      </w:tabs>
      <w:spacing w:after="0"/>
    </w:pPr>
  </w:style>
  <w:style w:type="character" w:customStyle="1" w:styleId="HeaderChar">
    <w:name w:val="Header Char"/>
    <w:basedOn w:val="DefaultParagraphFont"/>
    <w:link w:val="Header"/>
    <w:uiPriority w:val="99"/>
    <w:rsid w:val="003E08C5"/>
    <w:rPr>
      <w:rFonts w:ascii="Times New Roman" w:hAnsi="Times New Roman"/>
      <w:sz w:val="24"/>
      <w14:ligatures w14:val="none"/>
    </w:rPr>
  </w:style>
  <w:style w:type="paragraph" w:styleId="Footer">
    <w:name w:val="footer"/>
    <w:basedOn w:val="Normal"/>
    <w:link w:val="FooterChar"/>
    <w:uiPriority w:val="99"/>
    <w:unhideWhenUsed/>
    <w:rsid w:val="003E08C5"/>
    <w:pPr>
      <w:tabs>
        <w:tab w:val="center" w:pos="4252"/>
        <w:tab w:val="right" w:pos="8504"/>
      </w:tabs>
      <w:spacing w:after="0"/>
    </w:pPr>
  </w:style>
  <w:style w:type="character" w:customStyle="1" w:styleId="FooterChar">
    <w:name w:val="Footer Char"/>
    <w:basedOn w:val="DefaultParagraphFont"/>
    <w:link w:val="Footer"/>
    <w:uiPriority w:val="99"/>
    <w:rsid w:val="003E08C5"/>
    <w:rPr>
      <w:rFonts w:ascii="Times New Roman" w:hAnsi="Times New Roman"/>
      <w:sz w:val="24"/>
      <w14:ligatures w14:val="none"/>
    </w:rPr>
  </w:style>
  <w:style w:type="paragraph" w:customStyle="1" w:styleId="CM67">
    <w:name w:val="CM67"/>
    <w:basedOn w:val="Normal"/>
    <w:next w:val="Normal"/>
    <w:uiPriority w:val="99"/>
    <w:rsid w:val="00E746B2"/>
    <w:pPr>
      <w:autoSpaceDE w:val="0"/>
      <w:autoSpaceDN w:val="0"/>
      <w:adjustRightInd w:val="0"/>
      <w:spacing w:after="0" w:afterAutospacing="0"/>
      <w:jc w:val="left"/>
    </w:pPr>
    <w:rPr>
      <w:rFonts w:eastAsia="Aptos" w:cs="Times New Roman"/>
      <w:szCs w:val="24"/>
      <w:lang w:eastAsia="es-ES"/>
    </w:rPr>
  </w:style>
  <w:style w:type="paragraph" w:customStyle="1" w:styleId="Default">
    <w:name w:val="Default"/>
    <w:rsid w:val="00E746B2"/>
    <w:pPr>
      <w:autoSpaceDE w:val="0"/>
      <w:autoSpaceDN w:val="0"/>
      <w:adjustRightInd w:val="0"/>
      <w:spacing w:after="0" w:line="240" w:lineRule="auto"/>
    </w:pPr>
    <w:rPr>
      <w:rFonts w:ascii="Times New Roman" w:eastAsia="Aptos" w:hAnsi="Times New Roman" w:cs="Times New Roman"/>
      <w:color w:val="000000"/>
      <w:sz w:val="24"/>
      <w:szCs w:val="24"/>
      <w:lang w:eastAsia="es-ES"/>
      <w14:ligatures w14:val="none"/>
    </w:rPr>
  </w:style>
  <w:style w:type="paragraph" w:styleId="Index1">
    <w:name w:val="index 1"/>
    <w:basedOn w:val="Normal"/>
    <w:next w:val="Normal"/>
    <w:autoRedefine/>
    <w:uiPriority w:val="99"/>
    <w:semiHidden/>
    <w:unhideWhenUsed/>
    <w:rsid w:val="00356D09"/>
    <w:pPr>
      <w:spacing w:after="0"/>
      <w:ind w:left="24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73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indic.cat/site/unitFiles/9755/Informe%20centros%20de%20proteccion_ok_cast.pdf" TargetMode="External"/><Relationship Id="rId4" Type="http://schemas.openxmlformats.org/officeDocument/2006/relationships/settings" Target="settings.xml"/><Relationship Id="rId9" Type="http://schemas.openxmlformats.org/officeDocument/2006/relationships/hyperlink" Target="https://www.poderjudicial.es/search/indexAN.jsp"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poderjudicial.es/cgpj/es/Temas/Estadistica-Judicial/Base-de-datos-de-la-estadistica-judicial--PC-AXIS-/" TargetMode="External"/><Relationship Id="rId2" Type="http://schemas.openxmlformats.org/officeDocument/2006/relationships/hyperlink" Target="https://observatoriodelainfancia.mdsocialesa2030.gob.es/estadisticas/estadisticas/PDF/Boletin_Proteccion_25_PROVISIONAL.pdf" TargetMode="External"/><Relationship Id="rId1" Type="http://schemas.openxmlformats.org/officeDocument/2006/relationships/hyperlink" Target="https://observatoriodelainfancia.mdsocialesa2030.gob.es/estadisticas/estadisticas/PDF/Boletin_PROTECCION_23_DATOS_2020definitivos.pdf" TargetMode="External"/><Relationship Id="rId4" Type="http://schemas.openxmlformats.org/officeDocument/2006/relationships/hyperlink" Target="https://www.congreso.es/public_oficiales/L14/CONG/BOCG/A/BOCG-14-A-22-6.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DE5D9-81A8-482A-A35F-E0CCB4D9677F}">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45</Pages>
  <Words>21238</Words>
  <Characters>121061</Characters>
  <Application>Microsoft Office Word</Application>
  <DocSecurity>0</DocSecurity>
  <Lines>1008</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ABOGADOS SILVIA GIMENEZ SALINAS</dc:creator>
  <cp:keywords/>
  <dc:description/>
  <cp:lastModifiedBy>James Boit</cp:lastModifiedBy>
  <cp:revision>2</cp:revision>
  <dcterms:created xsi:type="dcterms:W3CDTF">2025-11-06T14:17:00Z</dcterms:created>
  <dcterms:modified xsi:type="dcterms:W3CDTF">2025-11-06T14:17:00Z</dcterms:modified>
</cp:coreProperties>
</file>