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0A2AAD">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9"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C6632E">
        <w:rPr>
          <w:b/>
          <w:sz w:val="28"/>
          <w:szCs w:val="28"/>
          <w:u w:val="single"/>
        </w:rPr>
        <w:t>BELARUS</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DD0BFF">
        <w:rPr>
          <w:b/>
          <w:sz w:val="28"/>
          <w:szCs w:val="28"/>
          <w:u w:val="single"/>
        </w:rPr>
        <w:t>21-24 May 2013</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7000A6" w:rsidRPr="00DD0BFF" w:rsidRDefault="000A2AAD"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2F72D5" w:rsidRDefault="008F10FD" w:rsidP="008F10FD">
                  <w:pPr>
                    <w:spacing w:after="120"/>
                    <w:rPr>
                      <w:b/>
                      <w:sz w:val="28"/>
                      <w:szCs w:val="28"/>
                    </w:rPr>
                  </w:pPr>
                  <w:r w:rsidRPr="002F72D5">
                    <w:rPr>
                      <w:b/>
                      <w:sz w:val="28"/>
                      <w:szCs w:val="28"/>
                    </w:rPr>
                    <w:t xml:space="preserve">This briefing describes the legality of corporal punishment of children in </w:t>
                  </w:r>
                  <w:r w:rsidR="00C6632E" w:rsidRPr="002F72D5">
                    <w:rPr>
                      <w:b/>
                      <w:sz w:val="28"/>
                      <w:szCs w:val="28"/>
                    </w:rPr>
                    <w:t>Belarus</w:t>
                  </w:r>
                  <w:r w:rsidRPr="002F72D5">
                    <w:rPr>
                      <w:b/>
                      <w:sz w:val="28"/>
                      <w:szCs w:val="28"/>
                    </w:rPr>
                    <w:t xml:space="preserve">. In light of the obligation under international human rights law to prohibit all corporal punishment of children, the recommendations of the UN Secretary-General’s Study on Violence against Children, the </w:t>
                  </w:r>
                  <w:r w:rsidR="001B2EF0" w:rsidRPr="002F72D5">
                    <w:rPr>
                      <w:b/>
                      <w:sz w:val="28"/>
                      <w:szCs w:val="28"/>
                    </w:rPr>
                    <w:t xml:space="preserve">repeated </w:t>
                  </w:r>
                  <w:r w:rsidRPr="002F72D5">
                    <w:rPr>
                      <w:b/>
                      <w:sz w:val="28"/>
                      <w:szCs w:val="28"/>
                    </w:rPr>
                    <w:t xml:space="preserve">recommendations </w:t>
                  </w:r>
                  <w:r w:rsidR="00DD0BFF" w:rsidRPr="002F72D5">
                    <w:rPr>
                      <w:b/>
                      <w:sz w:val="28"/>
                      <w:szCs w:val="28"/>
                    </w:rPr>
                    <w:t xml:space="preserve">made to </w:t>
                  </w:r>
                  <w:r w:rsidR="001B2EF0" w:rsidRPr="002F72D5">
                    <w:rPr>
                      <w:b/>
                      <w:sz w:val="28"/>
                      <w:szCs w:val="28"/>
                    </w:rPr>
                    <w:t xml:space="preserve">Belarus </w:t>
                  </w:r>
                  <w:r w:rsidR="00DD0BFF" w:rsidRPr="002F72D5">
                    <w:rPr>
                      <w:b/>
                      <w:sz w:val="28"/>
                      <w:szCs w:val="28"/>
                    </w:rPr>
                    <w:t xml:space="preserve">by </w:t>
                  </w:r>
                  <w:r w:rsidR="001B2EF0" w:rsidRPr="002F72D5">
                    <w:rPr>
                      <w:b/>
                      <w:sz w:val="28"/>
                      <w:szCs w:val="28"/>
                    </w:rPr>
                    <w:t xml:space="preserve">the Committee on the Rights of the Child </w:t>
                  </w:r>
                  <w:r w:rsidR="00DD0BFF" w:rsidRPr="002F72D5">
                    <w:rPr>
                      <w:b/>
                      <w:sz w:val="28"/>
                      <w:szCs w:val="28"/>
                    </w:rPr>
                    <w:t xml:space="preserve">and </w:t>
                  </w:r>
                  <w:r w:rsidR="00472D18" w:rsidRPr="002F72D5">
                    <w:rPr>
                      <w:b/>
                      <w:sz w:val="28"/>
                      <w:szCs w:val="28"/>
                    </w:rPr>
                    <w:t xml:space="preserve">the Government’s acceptance of </w:t>
                  </w:r>
                  <w:r w:rsidR="001B2EF0" w:rsidRPr="002F72D5">
                    <w:rPr>
                      <w:b/>
                      <w:sz w:val="28"/>
                      <w:szCs w:val="28"/>
                    </w:rPr>
                    <w:t>the recommendation made</w:t>
                  </w:r>
                  <w:r w:rsidR="00472D18" w:rsidRPr="002F72D5">
                    <w:rPr>
                      <w:b/>
                      <w:sz w:val="28"/>
                      <w:szCs w:val="28"/>
                    </w:rPr>
                    <w:t xml:space="preserve"> </w:t>
                  </w:r>
                  <w:r w:rsidR="00DD0BFF" w:rsidRPr="002F72D5">
                    <w:rPr>
                      <w:b/>
                      <w:sz w:val="28"/>
                      <w:szCs w:val="28"/>
                    </w:rPr>
                    <w:t>during the UPR</w:t>
                  </w:r>
                  <w:r w:rsidRPr="002F72D5">
                    <w:rPr>
                      <w:b/>
                      <w:sz w:val="28"/>
                      <w:szCs w:val="28"/>
                    </w:rPr>
                    <w:t>, we hope the Committee on Economic, Social and Cultural Rights will:</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include the issue of corporal punishment of children in its List of Issues for </w:t>
                  </w:r>
                  <w:r w:rsidR="00C6632E" w:rsidRPr="002F72D5">
                    <w:rPr>
                      <w:b/>
                      <w:sz w:val="28"/>
                      <w:szCs w:val="28"/>
                    </w:rPr>
                    <w:t>Belarus</w:t>
                  </w:r>
                  <w:r w:rsidRPr="002F72D5">
                    <w:rPr>
                      <w:b/>
                      <w:sz w:val="28"/>
                      <w:szCs w:val="28"/>
                    </w:rPr>
                    <w:t xml:space="preserve">, in particular asking what measures have been taken to ensure </w:t>
                  </w:r>
                  <w:r w:rsidR="00A03341" w:rsidRPr="002F72D5">
                    <w:rPr>
                      <w:b/>
                      <w:sz w:val="28"/>
                      <w:szCs w:val="28"/>
                    </w:rPr>
                    <w:t xml:space="preserve">that </w:t>
                  </w:r>
                  <w:r w:rsidRPr="002F72D5">
                    <w:rPr>
                      <w:b/>
                      <w:sz w:val="28"/>
                      <w:szCs w:val="28"/>
                    </w:rPr>
                    <w:t>the law explicitly prohibits corporal punishment in the home</w:t>
                  </w:r>
                  <w:r w:rsidR="00472D18" w:rsidRPr="002F72D5">
                    <w:rPr>
                      <w:b/>
                      <w:sz w:val="28"/>
                      <w:szCs w:val="28"/>
                    </w:rPr>
                    <w:t xml:space="preserve"> and all </w:t>
                  </w:r>
                  <w:r w:rsidRPr="002F72D5">
                    <w:rPr>
                      <w:b/>
                      <w:sz w:val="28"/>
                      <w:szCs w:val="28"/>
                    </w:rPr>
                    <w:t>alternative care</w:t>
                  </w:r>
                  <w:r w:rsidR="00574390" w:rsidRPr="002F72D5">
                    <w:rPr>
                      <w:b/>
                      <w:sz w:val="28"/>
                      <w:szCs w:val="28"/>
                    </w:rPr>
                    <w:t xml:space="preserve"> settings</w:t>
                  </w:r>
                  <w:r w:rsidRPr="002F72D5">
                    <w:rPr>
                      <w:b/>
                      <w:sz w:val="28"/>
                      <w:szCs w:val="28"/>
                    </w:rPr>
                    <w:t>, and</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recommend to </w:t>
                  </w:r>
                  <w:r w:rsidR="001B2EF0" w:rsidRPr="002F72D5">
                    <w:rPr>
                      <w:b/>
                      <w:sz w:val="28"/>
                      <w:szCs w:val="28"/>
                    </w:rPr>
                    <w:t>Belarus</w:t>
                  </w:r>
                  <w:r w:rsidRPr="002F72D5">
                    <w:rPr>
                      <w:b/>
                      <w:sz w:val="28"/>
                      <w:szCs w:val="28"/>
                    </w:rPr>
                    <w:t xml:space="preserve">, in the concluding observations on the </w:t>
                  </w:r>
                  <w:r w:rsidR="001B2EF0" w:rsidRPr="002F72D5">
                    <w:rPr>
                      <w:b/>
                      <w:sz w:val="28"/>
                      <w:szCs w:val="28"/>
                    </w:rPr>
                    <w:t xml:space="preserve">fourth-sixth </w:t>
                  </w:r>
                  <w:r w:rsidRPr="002F72D5">
                    <w:rPr>
                      <w:b/>
                      <w:sz w:val="28"/>
                      <w:szCs w:val="28"/>
                    </w:rPr>
                    <w:t xml:space="preserve">state party report, that legislation is enacted and enforced which explicitly prohibits </w:t>
                  </w:r>
                  <w:r w:rsidR="00472D18" w:rsidRPr="002F72D5">
                    <w:rPr>
                      <w:b/>
                      <w:sz w:val="28"/>
                      <w:szCs w:val="28"/>
                    </w:rPr>
                    <w:t xml:space="preserve">all </w:t>
                  </w:r>
                  <w:r w:rsidRPr="002F72D5">
                    <w:rPr>
                      <w:b/>
                      <w:sz w:val="28"/>
                      <w:szCs w:val="28"/>
                    </w:rPr>
                    <w:t>corporal punishment</w:t>
                  </w:r>
                  <w:r w:rsidR="00472D18" w:rsidRPr="002F72D5">
                    <w:rPr>
                      <w:b/>
                      <w:sz w:val="28"/>
                      <w:szCs w:val="28"/>
                    </w:rPr>
                    <w:t xml:space="preserve"> – without exception – </w:t>
                  </w:r>
                  <w:r w:rsidRPr="002F72D5">
                    <w:rPr>
                      <w:b/>
                      <w:sz w:val="28"/>
                      <w:szCs w:val="28"/>
                    </w:rPr>
                    <w:t xml:space="preserve">in </w:t>
                  </w:r>
                  <w:r w:rsidR="00472D18" w:rsidRPr="002F72D5">
                    <w:rPr>
                      <w:b/>
                      <w:sz w:val="28"/>
                      <w:szCs w:val="28"/>
                    </w:rPr>
                    <w:t xml:space="preserve">the home and </w:t>
                  </w:r>
                  <w:r w:rsidR="00574390" w:rsidRPr="002F72D5">
                    <w:rPr>
                      <w:b/>
                      <w:sz w:val="28"/>
                      <w:szCs w:val="28"/>
                    </w:rPr>
                    <w:t xml:space="preserve">all </w:t>
                  </w:r>
                  <w:r w:rsidR="00472D18" w:rsidRPr="002F72D5">
                    <w:rPr>
                      <w:b/>
                      <w:sz w:val="28"/>
                      <w:szCs w:val="28"/>
                    </w:rPr>
                    <w:t xml:space="preserve">care </w:t>
                  </w:r>
                  <w:r w:rsidR="00574390" w:rsidRPr="002F72D5">
                    <w:rPr>
                      <w:b/>
                      <w:sz w:val="28"/>
                      <w:szCs w:val="28"/>
                    </w:rPr>
                    <w:t xml:space="preserve">settings </w:t>
                  </w:r>
                  <w:r w:rsidRPr="002F72D5">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FF67EA" w:rsidRDefault="00FF67EA" w:rsidP="0057439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C6632E" w:rsidRPr="001B2EF0">
        <w:rPr>
          <w:b/>
          <w:sz w:val="28"/>
          <w:szCs w:val="28"/>
        </w:rPr>
        <w:t>Belarus’</w:t>
      </w:r>
      <w:r w:rsidR="008467B3" w:rsidRPr="001B2EF0">
        <w:rPr>
          <w:b/>
          <w:sz w:val="28"/>
          <w:szCs w:val="28"/>
        </w:rPr>
        <w:t xml:space="preserve"> report to the Committee on Economic, Social and Cultural Rights</w:t>
      </w:r>
    </w:p>
    <w:p w:rsidR="00C6632E" w:rsidRPr="001B2EF0" w:rsidRDefault="008C188E" w:rsidP="001B2EF0">
      <w:pPr>
        <w:pStyle w:val="Header"/>
        <w:spacing w:after="120"/>
        <w:ind w:left="482" w:hanging="482"/>
        <w:rPr>
          <w:sz w:val="26"/>
          <w:szCs w:val="26"/>
        </w:rPr>
      </w:pPr>
      <w:r w:rsidRPr="001B2EF0">
        <w:rPr>
          <w:sz w:val="26"/>
          <w:szCs w:val="26"/>
        </w:rPr>
        <w:t xml:space="preserve">1.1 </w:t>
      </w:r>
      <w:r w:rsidR="008467B3" w:rsidRPr="001B2EF0">
        <w:rPr>
          <w:sz w:val="26"/>
          <w:szCs w:val="26"/>
        </w:rPr>
        <w:t>The</w:t>
      </w:r>
      <w:r w:rsidR="00ED1459" w:rsidRPr="001B2EF0">
        <w:rPr>
          <w:sz w:val="26"/>
          <w:szCs w:val="26"/>
        </w:rPr>
        <w:t xml:space="preserve"> </w:t>
      </w:r>
      <w:r w:rsidR="00C6632E" w:rsidRPr="001B2EF0">
        <w:rPr>
          <w:sz w:val="26"/>
          <w:szCs w:val="26"/>
        </w:rPr>
        <w:t>fourth-sixth</w:t>
      </w:r>
      <w:r w:rsidR="008467B3" w:rsidRPr="001B2EF0">
        <w:rPr>
          <w:sz w:val="26"/>
          <w:szCs w:val="26"/>
        </w:rPr>
        <w:t xml:space="preserve"> state party report to the Committee on Economic, Social and Cultural Rights</w:t>
      </w:r>
      <w:r w:rsidR="00483F29" w:rsidRPr="001B2EF0">
        <w:rPr>
          <w:sz w:val="26"/>
          <w:szCs w:val="26"/>
        </w:rPr>
        <w:t xml:space="preserve"> </w:t>
      </w:r>
      <w:r w:rsidR="00C6632E" w:rsidRPr="001B2EF0">
        <w:rPr>
          <w:sz w:val="26"/>
          <w:szCs w:val="26"/>
        </w:rPr>
        <w:t>describes efforts to address domestic violence</w:t>
      </w:r>
      <w:r w:rsidR="0041585F" w:rsidRPr="001B2EF0">
        <w:rPr>
          <w:sz w:val="26"/>
          <w:szCs w:val="26"/>
        </w:rPr>
        <w:t>, but makes no reference to any legal or other measures to address corporal pun</w:t>
      </w:r>
      <w:r w:rsidR="002F72D5">
        <w:rPr>
          <w:sz w:val="26"/>
          <w:szCs w:val="26"/>
        </w:rPr>
        <w:t>ishment of children in the home</w:t>
      </w:r>
      <w:r w:rsidR="0041585F" w:rsidRPr="001B2EF0">
        <w:rPr>
          <w:sz w:val="26"/>
          <w:szCs w:val="26"/>
        </w:rPr>
        <w:t xml:space="preserve"> or in any </w:t>
      </w:r>
      <w:r w:rsidR="0041585F" w:rsidRPr="001B2EF0">
        <w:rPr>
          <w:sz w:val="26"/>
          <w:szCs w:val="26"/>
        </w:rPr>
        <w:lastRenderedPageBreak/>
        <w:t>setting.</w:t>
      </w:r>
      <w:r w:rsidR="00C6632E" w:rsidRPr="001B2EF0">
        <w:rPr>
          <w:rStyle w:val="FootnoteReference"/>
          <w:sz w:val="26"/>
          <w:szCs w:val="26"/>
        </w:rPr>
        <w:footnoteReference w:id="1"/>
      </w:r>
      <w:r w:rsidR="0041585F" w:rsidRPr="001B2EF0">
        <w:rPr>
          <w:sz w:val="26"/>
          <w:szCs w:val="26"/>
        </w:rPr>
        <w:t xml:space="preserve"> The source of information on protection of children from violence to which the report refers the Committee states only that corporal punishment is prohibited in education regulations (but gives no details) and that the negative impact of corporal punishment is on the agenda of parents’ meetings.</w:t>
      </w:r>
      <w:r w:rsidR="0041585F" w:rsidRPr="001B2EF0">
        <w:rPr>
          <w:rStyle w:val="FootnoteReference"/>
          <w:sz w:val="26"/>
          <w:szCs w:val="26"/>
        </w:rPr>
        <w:footnoteReference w:id="2"/>
      </w:r>
    </w:p>
    <w:p w:rsidR="008467B3" w:rsidRPr="001B2EF0" w:rsidRDefault="008467B3" w:rsidP="001B2EF0">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41585F" w:rsidRPr="001B2EF0">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41585F" w:rsidRPr="001B2EF0">
        <w:rPr>
          <w:b/>
          <w:sz w:val="28"/>
          <w:szCs w:val="28"/>
        </w:rPr>
        <w:t>Belarus</w:t>
      </w:r>
    </w:p>
    <w:p w:rsidR="003F0720" w:rsidRPr="001B2EF0" w:rsidRDefault="001B2EF0" w:rsidP="001B2EF0">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Pr>
          <w:sz w:val="26"/>
          <w:szCs w:val="26"/>
        </w:rPr>
        <w:t>2</w:t>
      </w:r>
      <w:r w:rsidR="003F0720" w:rsidRPr="001B2EF0">
        <w:rPr>
          <w:sz w:val="26"/>
          <w:szCs w:val="26"/>
        </w:rPr>
        <w:t>.1</w:t>
      </w:r>
      <w:r w:rsidR="002F72D5">
        <w:rPr>
          <w:sz w:val="26"/>
          <w:szCs w:val="26"/>
        </w:rPr>
        <w:t xml:space="preserve"> </w:t>
      </w:r>
      <w:r w:rsidR="002F72D5">
        <w:rPr>
          <w:i/>
          <w:sz w:val="26"/>
          <w:szCs w:val="26"/>
        </w:rPr>
        <w:t>Summary:</w:t>
      </w:r>
      <w:bookmarkStart w:id="2" w:name="_GoBack"/>
      <w:bookmarkEnd w:id="2"/>
      <w:r w:rsidR="003F0720" w:rsidRPr="001B2EF0">
        <w:rPr>
          <w:sz w:val="26"/>
          <w:szCs w:val="26"/>
        </w:rPr>
        <w:t xml:space="preserve"> </w:t>
      </w:r>
      <w:r w:rsidR="0041585F" w:rsidRPr="001B2EF0">
        <w:rPr>
          <w:sz w:val="26"/>
          <w:szCs w:val="26"/>
        </w:rPr>
        <w:t xml:space="preserve">In Belarus, corporal punishment is unlawful as a sentence for crime. </w:t>
      </w:r>
      <w:r w:rsidR="003F0720" w:rsidRPr="001B2EF0">
        <w:rPr>
          <w:sz w:val="26"/>
          <w:szCs w:val="26"/>
        </w:rPr>
        <w:t>It is considered unlawful in schools and penal institutions</w:t>
      </w:r>
      <w:r w:rsidR="0025469F" w:rsidRPr="001B2EF0">
        <w:rPr>
          <w:sz w:val="26"/>
          <w:szCs w:val="26"/>
        </w:rPr>
        <w:t>, though</w:t>
      </w:r>
      <w:r w:rsidR="003F0720" w:rsidRPr="001B2EF0">
        <w:rPr>
          <w:sz w:val="26"/>
          <w:szCs w:val="26"/>
        </w:rPr>
        <w:t xml:space="preserve"> it is not explicitly prohibited. </w:t>
      </w:r>
      <w:r w:rsidR="0025469F" w:rsidRPr="001B2EF0">
        <w:rPr>
          <w:sz w:val="26"/>
          <w:szCs w:val="26"/>
        </w:rPr>
        <w:t xml:space="preserve">It is not prohibited </w:t>
      </w:r>
      <w:r w:rsidR="003F0720" w:rsidRPr="001B2EF0">
        <w:rPr>
          <w:sz w:val="26"/>
          <w:szCs w:val="26"/>
        </w:rPr>
        <w:t>in the home and alternative care settings.</w:t>
      </w:r>
    </w:p>
    <w:p w:rsidR="0041585F" w:rsidRPr="001B2EF0" w:rsidRDefault="001B2EF0" w:rsidP="001B2EF0">
      <w:pPr>
        <w:spacing w:after="120"/>
        <w:ind w:left="482" w:hanging="482"/>
        <w:rPr>
          <w:sz w:val="26"/>
          <w:szCs w:val="26"/>
        </w:rPr>
      </w:pPr>
      <w:r>
        <w:rPr>
          <w:sz w:val="26"/>
          <w:szCs w:val="26"/>
        </w:rPr>
        <w:t>2</w:t>
      </w:r>
      <w:r w:rsidR="003F0720" w:rsidRPr="001B2EF0">
        <w:rPr>
          <w:sz w:val="26"/>
          <w:szCs w:val="26"/>
        </w:rPr>
        <w:t xml:space="preserve">.2 </w:t>
      </w:r>
      <w:r w:rsidR="003F0720" w:rsidRPr="001B2EF0">
        <w:rPr>
          <w:i/>
          <w:sz w:val="26"/>
          <w:szCs w:val="26"/>
        </w:rPr>
        <w:t>Home (</w:t>
      </w:r>
      <w:r w:rsidR="003F0720" w:rsidRPr="001B2EF0">
        <w:rPr>
          <w:i/>
          <w:sz w:val="26"/>
          <w:szCs w:val="26"/>
          <w:u w:val="single"/>
        </w:rPr>
        <w:t>lawful</w:t>
      </w:r>
      <w:r w:rsidR="003F0720" w:rsidRPr="001B2EF0">
        <w:rPr>
          <w:i/>
          <w:sz w:val="26"/>
          <w:szCs w:val="26"/>
        </w:rPr>
        <w:t xml:space="preserve">): </w:t>
      </w:r>
      <w:r w:rsidR="0041585F" w:rsidRPr="001B2EF0">
        <w:rPr>
          <w:sz w:val="26"/>
          <w:szCs w:val="26"/>
        </w:rPr>
        <w:t>Article 9 of the Law on the Rights of the Child 1993 states (unofficial translation): “Every child has the right to protect their identity against all types of exploitation and abuse. The State shall ensure the inviolability of the child, it shall be protected from all forms of exploitation, including sexual exploitation, from physical and mental abuse, cruel or degrading treatment, humiliation, and sexual harassment, including on the part of the parents (or guardians) and relatives ….” The Code on Marriage and the Family 1999 states in article 65 that the family is responsible for the education, maintenance and protection of children and has “the pre-emptive right and duty to determine the forms, means and methods of childrearing”; articles 66-1, 67 and 80 protect the child from cruel treatment. The Code confirms the right of children “to live in peace, security and dignity” (article 184) and “to defend their person, honour and dignity against all forms of exploitation and violence” (article 189). Neither these provisions nor the protections for children in the Criminal Code</w:t>
      </w:r>
      <w:r>
        <w:rPr>
          <w:sz w:val="26"/>
          <w:szCs w:val="26"/>
        </w:rPr>
        <w:t xml:space="preserve"> 1999</w:t>
      </w:r>
      <w:r w:rsidR="0041585F" w:rsidRPr="001B2EF0">
        <w:rPr>
          <w:sz w:val="26"/>
          <w:szCs w:val="26"/>
        </w:rPr>
        <w:t xml:space="preserve">, </w:t>
      </w:r>
      <w:r w:rsidRPr="001B2EF0">
        <w:rPr>
          <w:sz w:val="26"/>
          <w:szCs w:val="26"/>
        </w:rPr>
        <w:t>the Code on Administrative Offences 2003</w:t>
      </w:r>
      <w:r>
        <w:rPr>
          <w:sz w:val="26"/>
          <w:szCs w:val="26"/>
        </w:rPr>
        <w:t xml:space="preserve"> and </w:t>
      </w:r>
      <w:r w:rsidR="0041585F" w:rsidRPr="001B2EF0">
        <w:rPr>
          <w:sz w:val="26"/>
          <w:szCs w:val="26"/>
        </w:rPr>
        <w:t xml:space="preserve">the Constitution </w:t>
      </w:r>
      <w:r>
        <w:rPr>
          <w:sz w:val="26"/>
          <w:szCs w:val="26"/>
        </w:rPr>
        <w:t>1994</w:t>
      </w:r>
      <w:r w:rsidR="0041585F" w:rsidRPr="001B2EF0">
        <w:rPr>
          <w:sz w:val="26"/>
          <w:szCs w:val="26"/>
        </w:rPr>
        <w:t>, are interpreted as prohibiting all corporal punishment in childrearing.</w:t>
      </w:r>
    </w:p>
    <w:p w:rsidR="001B2EF0" w:rsidRPr="001B2EF0" w:rsidRDefault="001B2EF0" w:rsidP="001B2EF0">
      <w:pPr>
        <w:spacing w:after="120"/>
        <w:ind w:left="482" w:hanging="482"/>
        <w:rPr>
          <w:sz w:val="26"/>
          <w:szCs w:val="26"/>
        </w:rPr>
      </w:pPr>
      <w:r>
        <w:rPr>
          <w:sz w:val="26"/>
          <w:szCs w:val="26"/>
        </w:rPr>
        <w:t xml:space="preserve">2.3 </w:t>
      </w:r>
      <w:r w:rsidRPr="001B2EF0">
        <w:rPr>
          <w:sz w:val="26"/>
          <w:szCs w:val="26"/>
        </w:rPr>
        <w:t>According to UNICEF’s major analysis in 2010, 84% of 2-14 year olds in Belarus experienced violent “discipline” (physical punishment and/or psychological aggression) in 2005-2006.</w:t>
      </w:r>
      <w:r w:rsidRPr="001B2EF0">
        <w:rPr>
          <w:rStyle w:val="FootnoteReference"/>
          <w:sz w:val="26"/>
          <w:szCs w:val="26"/>
        </w:rPr>
        <w:footnoteReference w:id="3"/>
      </w:r>
    </w:p>
    <w:p w:rsidR="0041585F" w:rsidRPr="001B2EF0" w:rsidRDefault="001B2EF0" w:rsidP="001B2EF0">
      <w:pPr>
        <w:spacing w:after="120"/>
        <w:ind w:left="482" w:hanging="482"/>
        <w:rPr>
          <w:sz w:val="26"/>
          <w:szCs w:val="26"/>
        </w:rPr>
      </w:pPr>
      <w:r>
        <w:rPr>
          <w:sz w:val="26"/>
          <w:szCs w:val="26"/>
        </w:rPr>
        <w:t>2.4</w:t>
      </w:r>
      <w:r w:rsidR="003F0720" w:rsidRPr="001B2EF0">
        <w:rPr>
          <w:sz w:val="26"/>
          <w:szCs w:val="26"/>
        </w:rPr>
        <w:t xml:space="preserve"> </w:t>
      </w:r>
      <w:r w:rsidR="003F0720" w:rsidRPr="001B2EF0">
        <w:rPr>
          <w:i/>
          <w:sz w:val="26"/>
          <w:szCs w:val="26"/>
        </w:rPr>
        <w:t>Schools (</w:t>
      </w:r>
      <w:r w:rsidR="0041585F" w:rsidRPr="001B2EF0">
        <w:rPr>
          <w:i/>
          <w:sz w:val="26"/>
          <w:szCs w:val="26"/>
        </w:rPr>
        <w:t>?</w:t>
      </w:r>
      <w:r w:rsidR="0025469F" w:rsidRPr="001B2EF0">
        <w:rPr>
          <w:i/>
          <w:sz w:val="26"/>
          <w:szCs w:val="26"/>
          <w:u w:val="single"/>
        </w:rPr>
        <w:t>unlawful</w:t>
      </w:r>
      <w:r w:rsidR="003F0720" w:rsidRPr="001B2EF0">
        <w:rPr>
          <w:i/>
          <w:sz w:val="26"/>
          <w:szCs w:val="26"/>
        </w:rPr>
        <w:t>):</w:t>
      </w:r>
      <w:r w:rsidR="0041585F" w:rsidRPr="001B2EF0">
        <w:rPr>
          <w:i/>
          <w:sz w:val="26"/>
          <w:szCs w:val="26"/>
        </w:rPr>
        <w:t xml:space="preserve"> </w:t>
      </w:r>
      <w:r w:rsidR="0041585F" w:rsidRPr="001B2EF0">
        <w:rPr>
          <w:sz w:val="26"/>
          <w:szCs w:val="26"/>
        </w:rPr>
        <w:t>Corporal punishment is considered unlawful under article 9 of the Law on the Rights of the Child (see above), but there appears to be no explicit prohibition. There is no authorisation for corporal punishment in the Code on Education 2011: students are entitled to “protection of life and health in the educational process” (articles 31(1.7) and 31(4.6)); teaching staff have the right to “choose pedagogically sound forms and methods of training and education” (articles 52 and 89(1.4)) and must “respect the honour and dignity of students” (article 53). The Government has stated that corporal punishment is prohibited in educational establishment regulations</w:t>
      </w:r>
      <w:r w:rsidR="0041585F" w:rsidRPr="001B2EF0">
        <w:rPr>
          <w:rStyle w:val="FootnoteReference"/>
          <w:sz w:val="26"/>
          <w:szCs w:val="26"/>
        </w:rPr>
        <w:footnoteReference w:id="4"/>
      </w:r>
      <w:r w:rsidR="0041585F" w:rsidRPr="001B2EF0">
        <w:rPr>
          <w:sz w:val="26"/>
          <w:szCs w:val="26"/>
        </w:rPr>
        <w:t xml:space="preserve"> but we have been unable to identify explicit prohibition in regulations or law.</w:t>
      </w:r>
    </w:p>
    <w:p w:rsidR="0025469F" w:rsidRPr="001B2EF0" w:rsidRDefault="001B2EF0" w:rsidP="001B2EF0">
      <w:pPr>
        <w:spacing w:after="120"/>
        <w:ind w:left="482" w:hanging="482"/>
        <w:rPr>
          <w:sz w:val="26"/>
          <w:szCs w:val="26"/>
        </w:rPr>
      </w:pPr>
      <w:r>
        <w:rPr>
          <w:sz w:val="26"/>
          <w:szCs w:val="26"/>
        </w:rPr>
        <w:t>2.5</w:t>
      </w:r>
      <w:r w:rsidR="003F0720" w:rsidRPr="001B2EF0">
        <w:rPr>
          <w:sz w:val="26"/>
          <w:szCs w:val="26"/>
        </w:rPr>
        <w:t xml:space="preserve"> </w:t>
      </w:r>
      <w:r w:rsidR="003F0720" w:rsidRPr="001B2EF0">
        <w:rPr>
          <w:i/>
          <w:sz w:val="26"/>
          <w:szCs w:val="26"/>
        </w:rPr>
        <w:t>Penal system – sentence (</w:t>
      </w:r>
      <w:r w:rsidR="003F0720" w:rsidRPr="001B2EF0">
        <w:rPr>
          <w:i/>
          <w:sz w:val="26"/>
          <w:szCs w:val="26"/>
          <w:u w:val="single"/>
        </w:rPr>
        <w:t>unlawful</w:t>
      </w:r>
      <w:r w:rsidR="003F0720" w:rsidRPr="001B2EF0">
        <w:rPr>
          <w:i/>
          <w:sz w:val="26"/>
          <w:szCs w:val="26"/>
        </w:rPr>
        <w:t xml:space="preserve">): </w:t>
      </w:r>
      <w:r w:rsidR="0025469F" w:rsidRPr="001B2EF0">
        <w:rPr>
          <w:sz w:val="26"/>
          <w:szCs w:val="26"/>
        </w:rPr>
        <w:t xml:space="preserve">There is no provision for judicial corporal punishment in </w:t>
      </w:r>
      <w:r w:rsidR="0041585F" w:rsidRPr="001B2EF0">
        <w:rPr>
          <w:sz w:val="26"/>
          <w:szCs w:val="26"/>
        </w:rPr>
        <w:t xml:space="preserve">criminal law. </w:t>
      </w:r>
    </w:p>
    <w:p w:rsidR="001B2EF0" w:rsidRPr="001B2EF0" w:rsidRDefault="001B2EF0" w:rsidP="001B2EF0">
      <w:pPr>
        <w:spacing w:after="120"/>
        <w:ind w:left="482" w:hanging="482"/>
        <w:rPr>
          <w:sz w:val="26"/>
          <w:szCs w:val="26"/>
        </w:rPr>
      </w:pPr>
      <w:r>
        <w:rPr>
          <w:sz w:val="26"/>
          <w:szCs w:val="26"/>
        </w:rPr>
        <w:t>2.6</w:t>
      </w:r>
      <w:r w:rsidR="003F0720" w:rsidRPr="001B2EF0">
        <w:rPr>
          <w:sz w:val="26"/>
          <w:szCs w:val="26"/>
        </w:rPr>
        <w:t xml:space="preserve"> </w:t>
      </w:r>
      <w:r w:rsidR="003F0720" w:rsidRPr="001B2EF0">
        <w:rPr>
          <w:i/>
          <w:sz w:val="26"/>
          <w:szCs w:val="26"/>
        </w:rPr>
        <w:t>Penal system – disciplinary measure in penal institutions (</w:t>
      </w:r>
      <w:r w:rsidRPr="001B2EF0">
        <w:rPr>
          <w:i/>
          <w:sz w:val="26"/>
          <w:szCs w:val="26"/>
        </w:rPr>
        <w:t>?</w:t>
      </w:r>
      <w:r w:rsidR="00FF67EA" w:rsidRPr="001B2EF0">
        <w:rPr>
          <w:i/>
          <w:sz w:val="26"/>
          <w:szCs w:val="26"/>
          <w:u w:val="single"/>
        </w:rPr>
        <w:t>unlawful</w:t>
      </w:r>
      <w:r w:rsidR="003F0720" w:rsidRPr="001B2EF0">
        <w:rPr>
          <w:i/>
          <w:sz w:val="26"/>
          <w:szCs w:val="26"/>
        </w:rPr>
        <w:t xml:space="preserve">): </w:t>
      </w:r>
      <w:r w:rsidR="0025469F" w:rsidRPr="001B2EF0">
        <w:rPr>
          <w:sz w:val="26"/>
          <w:szCs w:val="26"/>
        </w:rPr>
        <w:t xml:space="preserve">Corporal punishment is </w:t>
      </w:r>
      <w:r w:rsidRPr="001B2EF0">
        <w:rPr>
          <w:sz w:val="26"/>
          <w:szCs w:val="26"/>
        </w:rPr>
        <w:t xml:space="preserve">considered unlawful under article 9 of the Law on the Rights of the Child </w:t>
      </w:r>
      <w:r w:rsidRPr="001B2EF0">
        <w:rPr>
          <w:sz w:val="26"/>
          <w:szCs w:val="26"/>
        </w:rPr>
        <w:lastRenderedPageBreak/>
        <w:t>(see above), but it is not explicitly prohibited. The Criminal and Executive Code 2000 does not include corporal punishment among permitted disciplinary measures in penal institutions (articles 55, 61, 129, 130 and 185)</w:t>
      </w:r>
      <w:r>
        <w:rPr>
          <w:sz w:val="26"/>
          <w:szCs w:val="26"/>
        </w:rPr>
        <w:t xml:space="preserve"> but </w:t>
      </w:r>
      <w:r w:rsidRPr="001B2EF0">
        <w:rPr>
          <w:sz w:val="26"/>
          <w:szCs w:val="26"/>
        </w:rPr>
        <w:t xml:space="preserve">it does provide for the use of physical force, including for “the prevention and suppression of offences” and with implements including “rubber sticks” (articles 78 and 79). </w:t>
      </w:r>
    </w:p>
    <w:p w:rsidR="001B2EF0" w:rsidRPr="001B2EF0" w:rsidRDefault="001B2EF0" w:rsidP="001B2EF0">
      <w:pPr>
        <w:spacing w:after="120"/>
        <w:ind w:left="482" w:hanging="482"/>
        <w:rPr>
          <w:sz w:val="26"/>
          <w:szCs w:val="26"/>
        </w:rPr>
      </w:pPr>
      <w:r>
        <w:rPr>
          <w:sz w:val="26"/>
          <w:szCs w:val="26"/>
        </w:rPr>
        <w:t>2.7</w:t>
      </w:r>
      <w:r w:rsidR="003F0720" w:rsidRPr="001B2EF0">
        <w:rPr>
          <w:sz w:val="26"/>
          <w:szCs w:val="26"/>
        </w:rPr>
        <w:t xml:space="preserve"> </w:t>
      </w:r>
      <w:r w:rsidR="003F0720" w:rsidRPr="001B2EF0">
        <w:rPr>
          <w:i/>
          <w:sz w:val="26"/>
          <w:szCs w:val="26"/>
        </w:rPr>
        <w:t>Alternative care settings (</w:t>
      </w:r>
      <w:r w:rsidR="003F0720" w:rsidRPr="001B2EF0">
        <w:rPr>
          <w:i/>
          <w:sz w:val="26"/>
          <w:szCs w:val="26"/>
          <w:u w:val="single"/>
        </w:rPr>
        <w:t>lawful</w:t>
      </w:r>
      <w:r w:rsidR="003F0720" w:rsidRPr="001B2EF0">
        <w:rPr>
          <w:i/>
          <w:sz w:val="26"/>
          <w:szCs w:val="26"/>
        </w:rPr>
        <w:t xml:space="preserve">): </w:t>
      </w:r>
      <w:r w:rsidRPr="001B2EF0">
        <w:rPr>
          <w:sz w:val="26"/>
          <w:szCs w:val="26"/>
        </w:rPr>
        <w:t>The Law on the Rights of the Child offers protection from some violent punishment (see above) and under the Code on Marriage and</w:t>
      </w:r>
      <w:r>
        <w:rPr>
          <w:sz w:val="26"/>
          <w:szCs w:val="26"/>
        </w:rPr>
        <w:t xml:space="preserve"> the</w:t>
      </w:r>
      <w:r w:rsidRPr="001B2EF0">
        <w:rPr>
          <w:sz w:val="26"/>
          <w:szCs w:val="26"/>
        </w:rPr>
        <w:t xml:space="preserve"> Family 1999, orphans and children left without parental care have the right to “respect for their human dignity, protection of rights and legitimate interests” (article 177), to “live in peace, security and dignity” (article 184) and to “defend their person, honour and dignity against all forms of exploitation and violence” (article 189). However, there is no explicit prohibition of all corporal punishment in all alternative care settings.</w:t>
      </w:r>
    </w:p>
    <w:p w:rsidR="00892F1D" w:rsidRPr="001B2EF0" w:rsidRDefault="00892F1D" w:rsidP="001B2EF0">
      <w:pPr>
        <w:spacing w:after="120"/>
        <w:ind w:left="482" w:hanging="482"/>
        <w:rPr>
          <w:b/>
          <w:sz w:val="26"/>
          <w:szCs w:val="26"/>
          <w:u w:val="single"/>
        </w:rPr>
      </w:pPr>
    </w:p>
    <w:bookmarkEnd w:id="0"/>
    <w:bookmarkEnd w:id="1"/>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r w:rsidR="00B902F0" w:rsidRPr="001B2EF0">
        <w:rPr>
          <w:b/>
          <w:sz w:val="28"/>
          <w:szCs w:val="28"/>
        </w:rPr>
        <w:t xml:space="preserve"> and during the UPR</w:t>
      </w:r>
    </w:p>
    <w:p w:rsidR="001B2EF0" w:rsidRPr="001B2EF0" w:rsidRDefault="00FF67EA" w:rsidP="001B2EF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3" w:name="OLE_LINK16"/>
      <w:bookmarkStart w:id="4" w:name="OLE_LINK17"/>
      <w:r w:rsidRPr="001B2EF0">
        <w:rPr>
          <w:sz w:val="26"/>
          <w:szCs w:val="26"/>
        </w:rPr>
        <w:t>3</w:t>
      </w:r>
      <w:r w:rsidR="003F0720" w:rsidRPr="001B2EF0">
        <w:rPr>
          <w:sz w:val="26"/>
          <w:szCs w:val="26"/>
        </w:rPr>
        <w:t xml:space="preserve">.1 </w:t>
      </w:r>
      <w:r w:rsidRPr="001B2EF0">
        <w:rPr>
          <w:i/>
          <w:sz w:val="26"/>
          <w:szCs w:val="26"/>
        </w:rPr>
        <w:t>CRC:</w:t>
      </w:r>
      <w:r w:rsidRPr="001B2EF0">
        <w:rPr>
          <w:sz w:val="26"/>
          <w:szCs w:val="26"/>
        </w:rPr>
        <w:t xml:space="preserve"> </w:t>
      </w:r>
      <w:r w:rsidR="001B2EF0" w:rsidRPr="001B2EF0">
        <w:rPr>
          <w:sz w:val="26"/>
          <w:szCs w:val="26"/>
        </w:rPr>
        <w:t>The Committee on the Rights of the Child has twice recommended that corporal punishment of children be prohibited in the home, schools and other institutions in Belarus – in its concluding observations on the state party’s second report in 2002</w:t>
      </w:r>
      <w:r w:rsidR="001B2EF0" w:rsidRPr="001B2EF0">
        <w:rPr>
          <w:rStyle w:val="FootnoteReference"/>
          <w:sz w:val="26"/>
          <w:szCs w:val="26"/>
        </w:rPr>
        <w:footnoteReference w:id="5"/>
      </w:r>
      <w:r w:rsidR="001B2EF0" w:rsidRPr="001B2EF0">
        <w:rPr>
          <w:sz w:val="26"/>
          <w:szCs w:val="26"/>
        </w:rPr>
        <w:t xml:space="preserve"> and on the third/fourth report in 2011.</w:t>
      </w:r>
      <w:r w:rsidR="001B2EF0" w:rsidRPr="001B2EF0">
        <w:rPr>
          <w:rStyle w:val="FootnoteReference"/>
          <w:sz w:val="26"/>
          <w:szCs w:val="26"/>
        </w:rPr>
        <w:footnoteReference w:id="6"/>
      </w:r>
    </w:p>
    <w:p w:rsidR="001B2EF0" w:rsidRPr="001B2EF0" w:rsidRDefault="00FF67EA" w:rsidP="001B2EF0">
      <w:pPr>
        <w:spacing w:after="120"/>
        <w:ind w:left="482" w:hanging="482"/>
        <w:rPr>
          <w:sz w:val="26"/>
          <w:szCs w:val="26"/>
        </w:rPr>
      </w:pPr>
      <w:r w:rsidRPr="001B2EF0">
        <w:rPr>
          <w:sz w:val="26"/>
          <w:szCs w:val="26"/>
        </w:rPr>
        <w:t>3</w:t>
      </w:r>
      <w:r w:rsidR="003F0720" w:rsidRPr="001B2EF0">
        <w:rPr>
          <w:sz w:val="26"/>
          <w:szCs w:val="26"/>
        </w:rPr>
        <w:t xml:space="preserve">.2 </w:t>
      </w:r>
      <w:r w:rsidRPr="001B2EF0">
        <w:rPr>
          <w:i/>
          <w:sz w:val="26"/>
          <w:szCs w:val="26"/>
        </w:rPr>
        <w:t>UPR:</w:t>
      </w:r>
      <w:r w:rsidRPr="001B2EF0">
        <w:rPr>
          <w:sz w:val="26"/>
          <w:szCs w:val="26"/>
        </w:rPr>
        <w:t xml:space="preserve"> </w:t>
      </w:r>
      <w:r w:rsidR="001B2EF0" w:rsidRPr="001B2EF0">
        <w:rPr>
          <w:sz w:val="26"/>
          <w:szCs w:val="26"/>
        </w:rPr>
        <w:t>Belarus was examined in the first cycle of the Universal Periodic Review in 2010 (session 8). The Government accepted the recommendation to “forbid corporal punishment of children and take order in that matter”, misleading</w:t>
      </w:r>
      <w:r w:rsidR="001B2EF0">
        <w:rPr>
          <w:sz w:val="26"/>
          <w:szCs w:val="26"/>
        </w:rPr>
        <w:t>ly</w:t>
      </w:r>
      <w:r w:rsidR="001B2EF0" w:rsidRPr="001B2EF0">
        <w:rPr>
          <w:sz w:val="26"/>
          <w:szCs w:val="26"/>
        </w:rPr>
        <w:t xml:space="preserve"> stating that it was already implemented and </w:t>
      </w:r>
      <w:r w:rsidR="001B2EF0">
        <w:rPr>
          <w:sz w:val="26"/>
          <w:szCs w:val="26"/>
        </w:rPr>
        <w:t xml:space="preserve">that </w:t>
      </w:r>
      <w:r w:rsidR="001B2EF0" w:rsidRPr="001B2EF0">
        <w:rPr>
          <w:sz w:val="26"/>
          <w:szCs w:val="26"/>
        </w:rPr>
        <w:t>existing legislation adequately protects children from corporal punishment.</w:t>
      </w:r>
      <w:r w:rsidR="001B2EF0" w:rsidRPr="001B2EF0">
        <w:rPr>
          <w:rStyle w:val="FootnoteReference"/>
          <w:sz w:val="26"/>
          <w:szCs w:val="26"/>
        </w:rPr>
        <w:footnoteReference w:id="7"/>
      </w:r>
    </w:p>
    <w:p w:rsidR="00DD0BFF" w:rsidRPr="001B2EF0" w:rsidRDefault="00DD0BFF" w:rsidP="001B2EF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0A2AAD"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3"/>
      <w:bookmarkEnd w:id="4"/>
    </w:p>
    <w:p w:rsidR="005E798C" w:rsidRPr="005E798C" w:rsidRDefault="00DD0BFF" w:rsidP="005E798C">
      <w:pPr>
        <w:rPr>
          <w:i/>
        </w:rPr>
      </w:pPr>
      <w:r>
        <w:rPr>
          <w:i/>
        </w:rPr>
        <w:t>March 2013</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AAD" w:rsidRDefault="000A2AAD">
      <w:r>
        <w:separator/>
      </w:r>
    </w:p>
  </w:endnote>
  <w:endnote w:type="continuationSeparator" w:id="0">
    <w:p w:rsidR="000A2AAD" w:rsidRDefault="000A2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AAD" w:rsidRDefault="000A2AAD">
      <w:r>
        <w:separator/>
      </w:r>
    </w:p>
  </w:footnote>
  <w:footnote w:type="continuationSeparator" w:id="0">
    <w:p w:rsidR="000A2AAD" w:rsidRDefault="000A2AAD">
      <w:r>
        <w:continuationSeparator/>
      </w:r>
    </w:p>
  </w:footnote>
  <w:footnote w:id="1">
    <w:p w:rsidR="00C6632E" w:rsidRPr="001B2EF0" w:rsidRDefault="00C6632E" w:rsidP="00C6632E">
      <w:pPr>
        <w:rPr>
          <w:sz w:val="20"/>
          <w:szCs w:val="20"/>
        </w:rPr>
      </w:pPr>
      <w:r w:rsidRPr="001B2EF0">
        <w:rPr>
          <w:rStyle w:val="FootnoteReference"/>
          <w:sz w:val="20"/>
          <w:szCs w:val="20"/>
        </w:rPr>
        <w:footnoteRef/>
      </w:r>
      <w:r w:rsidRPr="001B2EF0">
        <w:rPr>
          <w:sz w:val="20"/>
          <w:szCs w:val="20"/>
        </w:rPr>
        <w:t xml:space="preserve"> 29 October 2012, E/C.12/BLR/4-6, Fourth-sixth state party report, paras. 39-45</w:t>
      </w:r>
    </w:p>
  </w:footnote>
  <w:footnote w:id="2">
    <w:p w:rsidR="0041585F" w:rsidRPr="001B2EF0" w:rsidRDefault="0041585F">
      <w:pPr>
        <w:pStyle w:val="FootnoteText"/>
        <w:rPr>
          <w:lang w:val="en-GB"/>
        </w:rPr>
      </w:pPr>
      <w:r w:rsidRPr="001B2EF0">
        <w:rPr>
          <w:rStyle w:val="FootnoteReference"/>
        </w:rPr>
        <w:footnoteRef/>
      </w:r>
      <w:r w:rsidRPr="001B2EF0">
        <w:rPr>
          <w:lang w:val="en-GB"/>
        </w:rPr>
        <w:t xml:space="preserve"> 29 October 2012, E/C.12/BLR/4-6, Fourth-sixth state party report, para. 258; 23 March 2010, CRC/C/BLR/3-4, Third/fourth state party report to the Committee on the Rights of the Child, paras. 213 and 214</w:t>
      </w:r>
    </w:p>
  </w:footnote>
  <w:footnote w:id="3">
    <w:p w:rsidR="001B2EF0" w:rsidRPr="001B2EF0" w:rsidRDefault="001B2EF0">
      <w:pPr>
        <w:pStyle w:val="FootnoteText"/>
        <w:rPr>
          <w:lang w:val="en-GB"/>
        </w:rPr>
      </w:pPr>
      <w:r w:rsidRPr="001B2EF0">
        <w:rPr>
          <w:rStyle w:val="FootnoteReference"/>
        </w:rPr>
        <w:footnoteRef/>
      </w:r>
      <w:r w:rsidRPr="001B2EF0">
        <w:rPr>
          <w:lang w:val="en-GB"/>
        </w:rPr>
        <w:t xml:space="preserve"> </w:t>
      </w:r>
      <w:r w:rsidRPr="001B2EF0">
        <w:rPr>
          <w:lang w:val="en-GB" w:eastAsia="en-GB"/>
        </w:rPr>
        <w:t xml:space="preserve">UNICEF (2010), </w:t>
      </w:r>
      <w:r w:rsidRPr="001B2EF0">
        <w:rPr>
          <w:i/>
          <w:lang w:val="en-GB" w:eastAsia="en-GB"/>
        </w:rPr>
        <w:t>Child Disciplinary Practices at Home: Evidence from a Range of Low- and Middle-Income Countries</w:t>
      </w:r>
      <w:r w:rsidRPr="001B2EF0">
        <w:rPr>
          <w:lang w:val="en-GB" w:eastAsia="en-GB"/>
        </w:rPr>
        <w:t>, NY: UNICEF</w:t>
      </w:r>
    </w:p>
  </w:footnote>
  <w:footnote w:id="4">
    <w:p w:rsidR="0041585F" w:rsidRPr="001B2EF0" w:rsidRDefault="0041585F">
      <w:pPr>
        <w:pStyle w:val="FootnoteText"/>
        <w:rPr>
          <w:lang w:val="en-GB"/>
        </w:rPr>
      </w:pPr>
      <w:r w:rsidRPr="001B2EF0">
        <w:rPr>
          <w:rStyle w:val="FootnoteReference"/>
        </w:rPr>
        <w:footnoteRef/>
      </w:r>
      <w:r w:rsidRPr="001B2EF0">
        <w:rPr>
          <w:lang w:val="en-GB"/>
        </w:rPr>
        <w:t xml:space="preserve"> 23 March 2010, CRC/C/BLR/3-4, Third/fourth state party report to the Committee on the Rights of the Child, para. 213</w:t>
      </w:r>
    </w:p>
  </w:footnote>
  <w:footnote w:id="5">
    <w:p w:rsidR="001B2EF0" w:rsidRPr="001B2EF0" w:rsidRDefault="001B2EF0">
      <w:pPr>
        <w:pStyle w:val="FootnoteText"/>
        <w:rPr>
          <w:lang w:val="en-GB"/>
        </w:rPr>
      </w:pPr>
      <w:r w:rsidRPr="001B2EF0">
        <w:rPr>
          <w:rStyle w:val="FootnoteReference"/>
        </w:rPr>
        <w:footnoteRef/>
      </w:r>
      <w:r w:rsidRPr="001B2EF0">
        <w:rPr>
          <w:lang w:val="en-GB"/>
        </w:rPr>
        <w:t xml:space="preserve"> 13 June 2002, CRC/C/15/Add.180, Concluding observations on second report, paras. </w:t>
      </w:r>
      <w:r w:rsidRPr="002F72D5">
        <w:rPr>
          <w:lang w:val="en-GB"/>
        </w:rPr>
        <w:t>39 and 40</w:t>
      </w:r>
    </w:p>
  </w:footnote>
  <w:footnote w:id="6">
    <w:p w:rsidR="001B2EF0" w:rsidRPr="001B2EF0" w:rsidRDefault="001B2EF0">
      <w:pPr>
        <w:pStyle w:val="FootnoteText"/>
        <w:rPr>
          <w:lang w:val="en-GB"/>
        </w:rPr>
      </w:pPr>
      <w:r w:rsidRPr="001B2EF0">
        <w:rPr>
          <w:rStyle w:val="FootnoteReference"/>
        </w:rPr>
        <w:footnoteRef/>
      </w:r>
      <w:r w:rsidRPr="001B2EF0">
        <w:rPr>
          <w:lang w:val="en-GB"/>
        </w:rPr>
        <w:t xml:space="preserve"> </w:t>
      </w:r>
      <w:r w:rsidRPr="001B2EF0">
        <w:rPr>
          <w:bCs/>
          <w:lang w:val="en-GB"/>
        </w:rPr>
        <w:t>8 April 2011, CRC/C/BLR/CO/3-4, Concluding observations on third/fourth report, paras. 39 and 40</w:t>
      </w:r>
    </w:p>
  </w:footnote>
  <w:footnote w:id="7">
    <w:p w:rsidR="001B2EF0" w:rsidRPr="001B2EF0" w:rsidRDefault="001B2EF0">
      <w:pPr>
        <w:pStyle w:val="FootnoteText"/>
        <w:rPr>
          <w:lang w:val="en-GB"/>
        </w:rPr>
      </w:pPr>
      <w:r w:rsidRPr="001B2EF0">
        <w:rPr>
          <w:rStyle w:val="FootnoteReference"/>
        </w:rPr>
        <w:footnoteRef/>
      </w:r>
      <w:r w:rsidRPr="001B2EF0">
        <w:rPr>
          <w:lang w:val="en-GB"/>
        </w:rPr>
        <w:t xml:space="preserve"> 21 June 2010, A/HRC/15/16, Report of the working group, para. 98(24) ; 15 September 2010, A/HRC/15/16/Add.1, Report of the working group: Addendum, paras. </w:t>
      </w:r>
      <w:r w:rsidRPr="001B2EF0">
        <w:t>65, 66 and 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A2AAD"/>
    <w:rsid w:val="000B2E34"/>
    <w:rsid w:val="000C718C"/>
    <w:rsid w:val="0010682F"/>
    <w:rsid w:val="00107CF6"/>
    <w:rsid w:val="00117F0F"/>
    <w:rsid w:val="00145B7A"/>
    <w:rsid w:val="001A7CC5"/>
    <w:rsid w:val="001B0E10"/>
    <w:rsid w:val="001B2EF0"/>
    <w:rsid w:val="001D3BCB"/>
    <w:rsid w:val="002049D3"/>
    <w:rsid w:val="002153F5"/>
    <w:rsid w:val="00241FF5"/>
    <w:rsid w:val="0025469F"/>
    <w:rsid w:val="00265C98"/>
    <w:rsid w:val="002826D8"/>
    <w:rsid w:val="00293A27"/>
    <w:rsid w:val="00294720"/>
    <w:rsid w:val="002A3C6B"/>
    <w:rsid w:val="002C6060"/>
    <w:rsid w:val="002C63DF"/>
    <w:rsid w:val="002E6075"/>
    <w:rsid w:val="002F0254"/>
    <w:rsid w:val="002F13CD"/>
    <w:rsid w:val="002F4423"/>
    <w:rsid w:val="002F72D5"/>
    <w:rsid w:val="00305613"/>
    <w:rsid w:val="00310B2B"/>
    <w:rsid w:val="00356038"/>
    <w:rsid w:val="003637F7"/>
    <w:rsid w:val="00364B41"/>
    <w:rsid w:val="00381083"/>
    <w:rsid w:val="003B5172"/>
    <w:rsid w:val="003D059E"/>
    <w:rsid w:val="003F0720"/>
    <w:rsid w:val="003F671F"/>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5055FC"/>
    <w:rsid w:val="00514287"/>
    <w:rsid w:val="005243C9"/>
    <w:rsid w:val="0053166A"/>
    <w:rsid w:val="00574390"/>
    <w:rsid w:val="0058326F"/>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6009"/>
    <w:rsid w:val="00AA09E7"/>
    <w:rsid w:val="00AC502E"/>
    <w:rsid w:val="00AE243C"/>
    <w:rsid w:val="00AE5677"/>
    <w:rsid w:val="00AE737E"/>
    <w:rsid w:val="00B55303"/>
    <w:rsid w:val="00B868FE"/>
    <w:rsid w:val="00B902F0"/>
    <w:rsid w:val="00B958DF"/>
    <w:rsid w:val="00BC4562"/>
    <w:rsid w:val="00BE5640"/>
    <w:rsid w:val="00C1753A"/>
    <w:rsid w:val="00C40886"/>
    <w:rsid w:val="00C6632E"/>
    <w:rsid w:val="00C930FA"/>
    <w:rsid w:val="00C95DFD"/>
    <w:rsid w:val="00C978D4"/>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617"/>
    <w:rsid w:val="00EC6CBB"/>
    <w:rsid w:val="00ED1459"/>
    <w:rsid w:val="00ED7D40"/>
    <w:rsid w:val="00EF11F9"/>
    <w:rsid w:val="00EF3961"/>
    <w:rsid w:val="00EF4A2B"/>
    <w:rsid w:val="00F01E45"/>
    <w:rsid w:val="00F052B2"/>
    <w:rsid w:val="00F2218E"/>
    <w:rsid w:val="00F640B3"/>
    <w:rsid w:val="00F812AD"/>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BAAAB-67A6-46BA-A9BA-983286B1F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5725</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6</cp:revision>
  <cp:lastPrinted>2008-04-11T08:34:00Z</cp:lastPrinted>
  <dcterms:created xsi:type="dcterms:W3CDTF">2013-03-27T07:21:00Z</dcterms:created>
  <dcterms:modified xsi:type="dcterms:W3CDTF">2013-03-27T13:21:00Z</dcterms:modified>
</cp:coreProperties>
</file>