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3C" w:rsidRDefault="003D023C" w:rsidP="006B2080">
      <w:pPr>
        <w:spacing w:after="0" w:line="240" w:lineRule="auto"/>
        <w:jc w:val="both"/>
        <w:rPr>
          <w:rFonts w:ascii="Tahoma" w:hAnsi="Tahoma" w:cs="Tahoma"/>
          <w:b/>
          <w:sz w:val="24"/>
          <w:szCs w:val="24"/>
        </w:rPr>
      </w:pPr>
      <w:r w:rsidRPr="003D023C">
        <w:rPr>
          <w:rFonts w:ascii="Tahoma" w:hAnsi="Tahoma" w:cs="Tahoma"/>
          <w:b/>
          <w:noProof/>
          <w:sz w:val="24"/>
          <w:szCs w:val="24"/>
          <w:lang w:eastAsia="es-ES"/>
        </w:rPr>
        <w:drawing>
          <wp:anchor distT="0" distB="0" distL="114300" distR="114300" simplePos="0" relativeHeight="251659264" behindDoc="1" locked="1" layoutInCell="1" allowOverlap="1">
            <wp:simplePos x="0" y="0"/>
            <wp:positionH relativeFrom="column">
              <wp:posOffset>-1118235</wp:posOffset>
            </wp:positionH>
            <wp:positionV relativeFrom="paragraph">
              <wp:posOffset>-566420</wp:posOffset>
            </wp:positionV>
            <wp:extent cx="7747000" cy="10029825"/>
            <wp:effectExtent l="19050" t="0" r="6350" b="0"/>
            <wp:wrapNone/>
            <wp:docPr id="1" name="Placeholder" descr="HOJA MEMBRETADA INFOR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HOJA MEMBRETADA INFORMES.jpg"/>
                    <pic:cNvPicPr>
                      <a:picLocks noChangeAspect="1" noChangeArrowheads="1"/>
                    </pic:cNvPicPr>
                  </pic:nvPicPr>
                  <pic:blipFill>
                    <a:blip r:embed="rId8" cstate="print"/>
                    <a:srcRect/>
                    <a:stretch>
                      <a:fillRect/>
                    </a:stretch>
                  </pic:blipFill>
                  <pic:spPr bwMode="auto">
                    <a:xfrm>
                      <a:off x="0" y="0"/>
                      <a:ext cx="7747000" cy="10029825"/>
                    </a:xfrm>
                    <a:prstGeom prst="rect">
                      <a:avLst/>
                    </a:prstGeom>
                    <a:noFill/>
                    <a:ln w="9525">
                      <a:noFill/>
                      <a:miter lim="800000"/>
                      <a:headEnd/>
                      <a:tailEnd/>
                    </a:ln>
                  </pic:spPr>
                </pic:pic>
              </a:graphicData>
            </a:graphic>
          </wp:anchor>
        </w:drawing>
      </w: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E65AB1" w:rsidRDefault="00E65AB1" w:rsidP="006B2080">
      <w:pPr>
        <w:spacing w:after="0" w:line="240" w:lineRule="auto"/>
        <w:jc w:val="both"/>
        <w:rPr>
          <w:rFonts w:ascii="Tahoma" w:hAnsi="Tahoma" w:cs="Tahoma"/>
          <w:b/>
          <w:sz w:val="24"/>
          <w:szCs w:val="24"/>
        </w:rPr>
      </w:pPr>
    </w:p>
    <w:p w:rsidR="002816A9" w:rsidRPr="006A45F0" w:rsidRDefault="002816A9" w:rsidP="00DB12B3">
      <w:pPr>
        <w:pStyle w:val="HChG"/>
        <w:ind w:left="0" w:right="49" w:firstLine="0"/>
        <w:jc w:val="center"/>
        <w:rPr>
          <w:rFonts w:ascii="Tahoma" w:eastAsia="Calibri" w:hAnsi="Tahoma" w:cs="Tahoma"/>
          <w:sz w:val="24"/>
          <w:szCs w:val="24"/>
          <w:lang w:eastAsia="en-US"/>
        </w:rPr>
      </w:pPr>
      <w:r w:rsidRPr="006A45F0">
        <w:rPr>
          <w:rFonts w:ascii="Tahoma" w:hAnsi="Tahoma" w:cs="Tahoma"/>
          <w:sz w:val="24"/>
          <w:szCs w:val="24"/>
        </w:rPr>
        <w:t xml:space="preserve">Observaciones del Estado de Guatemala al informe final presentado por el Comité contra la Tortura sobre los informes periódicos quinto y sexto combinados </w:t>
      </w:r>
      <w:r w:rsidR="00346810">
        <w:rPr>
          <w:rFonts w:ascii="Tahoma" w:eastAsia="Calibri" w:hAnsi="Tahoma" w:cs="Tahoma"/>
          <w:sz w:val="24"/>
          <w:szCs w:val="24"/>
          <w:lang w:eastAsia="en-US"/>
        </w:rPr>
        <w:t>de Guatemala, adoptado</w:t>
      </w:r>
      <w:r w:rsidRPr="006A45F0">
        <w:rPr>
          <w:rFonts w:ascii="Tahoma" w:eastAsia="Calibri" w:hAnsi="Tahoma" w:cs="Tahoma"/>
          <w:sz w:val="24"/>
          <w:szCs w:val="24"/>
          <w:lang w:eastAsia="en-US"/>
        </w:rPr>
        <w:t>s por el Comité en su 50º periodo de sesiones (6 al 31 de mayo de 2013)</w:t>
      </w:r>
    </w:p>
    <w:p w:rsidR="002816A9" w:rsidRPr="006A45F0" w:rsidRDefault="002816A9" w:rsidP="00DB12B3">
      <w:pPr>
        <w:pStyle w:val="H1G"/>
        <w:ind w:left="0" w:right="49" w:firstLine="0"/>
        <w:jc w:val="center"/>
        <w:rPr>
          <w:rFonts w:ascii="Tahoma" w:eastAsia="Calibri" w:hAnsi="Tahoma" w:cs="Tahoma"/>
          <w:szCs w:val="24"/>
          <w:lang w:eastAsia="en-US"/>
        </w:rPr>
      </w:pPr>
      <w:r w:rsidRPr="006A45F0">
        <w:rPr>
          <w:rFonts w:ascii="Tahoma" w:eastAsia="Calibri" w:hAnsi="Tahoma" w:cs="Tahoma"/>
          <w:szCs w:val="24"/>
          <w:lang w:eastAsia="en-US"/>
        </w:rPr>
        <w:t>VERSION AVANZADA NO EDITADA</w:t>
      </w: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B32229" w:rsidRDefault="00B32229" w:rsidP="00E65AB1">
      <w:pPr>
        <w:spacing w:after="0" w:line="240" w:lineRule="auto"/>
        <w:jc w:val="center"/>
        <w:rPr>
          <w:rFonts w:ascii="Tahoma" w:hAnsi="Tahoma" w:cs="Tahoma"/>
          <w:b/>
          <w:sz w:val="24"/>
          <w:szCs w:val="24"/>
        </w:rPr>
      </w:pPr>
    </w:p>
    <w:p w:rsidR="00E65AB1" w:rsidRDefault="00A314A5" w:rsidP="00E65AB1">
      <w:pPr>
        <w:spacing w:after="0" w:line="240" w:lineRule="auto"/>
        <w:jc w:val="center"/>
        <w:rPr>
          <w:rFonts w:ascii="Tahoma" w:hAnsi="Tahoma" w:cs="Tahoma"/>
          <w:b/>
          <w:sz w:val="24"/>
          <w:szCs w:val="24"/>
        </w:rPr>
      </w:pPr>
      <w:r>
        <w:rPr>
          <w:rFonts w:ascii="Tahoma" w:hAnsi="Tahoma" w:cs="Tahoma"/>
          <w:b/>
          <w:sz w:val="24"/>
          <w:szCs w:val="24"/>
        </w:rPr>
        <w:t>Mayo, 2013</w:t>
      </w:r>
    </w:p>
    <w:p w:rsidR="003D023C" w:rsidRDefault="003D023C" w:rsidP="006B2080">
      <w:pPr>
        <w:spacing w:after="0" w:line="240" w:lineRule="auto"/>
        <w:jc w:val="both"/>
        <w:rPr>
          <w:rFonts w:ascii="Tahoma" w:hAnsi="Tahoma" w:cs="Tahoma"/>
          <w:b/>
          <w:sz w:val="24"/>
          <w:szCs w:val="24"/>
        </w:rPr>
      </w:pPr>
    </w:p>
    <w:p w:rsidR="003D023C" w:rsidRDefault="003D023C" w:rsidP="006B2080">
      <w:pPr>
        <w:spacing w:after="0" w:line="240" w:lineRule="auto"/>
        <w:jc w:val="both"/>
        <w:rPr>
          <w:rFonts w:ascii="Tahoma" w:hAnsi="Tahoma" w:cs="Tahoma"/>
          <w:b/>
          <w:sz w:val="24"/>
          <w:szCs w:val="24"/>
        </w:rPr>
      </w:pPr>
    </w:p>
    <w:p w:rsidR="003D023C" w:rsidRPr="003D023C" w:rsidRDefault="003D023C" w:rsidP="003D023C">
      <w:pPr>
        <w:spacing w:after="0" w:line="240" w:lineRule="auto"/>
        <w:ind w:left="851"/>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Default="00E65AB1" w:rsidP="00E65AB1">
      <w:pPr>
        <w:spacing w:after="0" w:line="240" w:lineRule="auto"/>
        <w:ind w:left="360"/>
        <w:jc w:val="both"/>
        <w:rPr>
          <w:rFonts w:ascii="Tahoma" w:hAnsi="Tahoma" w:cs="Tahoma"/>
          <w:b/>
          <w:sz w:val="24"/>
          <w:szCs w:val="24"/>
        </w:rPr>
      </w:pPr>
    </w:p>
    <w:p w:rsidR="00E65AB1" w:rsidRPr="00572E0B" w:rsidRDefault="00E65AB1" w:rsidP="00E65AB1">
      <w:pPr>
        <w:spacing w:after="0" w:line="240" w:lineRule="auto"/>
        <w:ind w:left="360"/>
        <w:jc w:val="both"/>
        <w:rPr>
          <w:rFonts w:ascii="Arial" w:hAnsi="Arial" w:cs="Arial"/>
          <w:b/>
          <w:sz w:val="24"/>
          <w:szCs w:val="24"/>
        </w:rPr>
      </w:pPr>
    </w:p>
    <w:p w:rsidR="00631811" w:rsidRPr="00572E0B" w:rsidRDefault="00631811" w:rsidP="00336E63">
      <w:pPr>
        <w:spacing w:after="0" w:line="240" w:lineRule="auto"/>
        <w:jc w:val="both"/>
        <w:rPr>
          <w:rFonts w:ascii="Arial" w:hAnsi="Arial" w:cs="Arial"/>
          <w:b/>
          <w:sz w:val="24"/>
          <w:szCs w:val="24"/>
        </w:rPr>
      </w:pPr>
    </w:p>
    <w:p w:rsidR="00631811" w:rsidRPr="00572E0B" w:rsidRDefault="00631811" w:rsidP="00631811">
      <w:pPr>
        <w:spacing w:after="0" w:line="240" w:lineRule="auto"/>
        <w:ind w:left="851"/>
        <w:jc w:val="both"/>
        <w:rPr>
          <w:rFonts w:ascii="Arial" w:hAnsi="Arial" w:cs="Arial"/>
          <w:b/>
          <w:sz w:val="24"/>
          <w:szCs w:val="24"/>
        </w:rPr>
      </w:pPr>
    </w:p>
    <w:p w:rsidR="00336E63" w:rsidRPr="00572E0B" w:rsidRDefault="00631811" w:rsidP="00336E63">
      <w:pPr>
        <w:autoSpaceDE w:val="0"/>
        <w:autoSpaceDN w:val="0"/>
        <w:adjustRightInd w:val="0"/>
        <w:spacing w:line="240" w:lineRule="auto"/>
        <w:jc w:val="both"/>
        <w:rPr>
          <w:rFonts w:ascii="Arial" w:eastAsia="Calibri" w:hAnsi="Arial" w:cs="Arial"/>
          <w:bCs/>
          <w:sz w:val="24"/>
          <w:szCs w:val="24"/>
        </w:rPr>
      </w:pPr>
      <w:r w:rsidRPr="00572E0B">
        <w:rPr>
          <w:rFonts w:ascii="Arial" w:eastAsia="Calibri" w:hAnsi="Arial" w:cs="Arial"/>
          <w:bCs/>
          <w:sz w:val="24"/>
          <w:szCs w:val="24"/>
        </w:rPr>
        <w:t xml:space="preserve">El Estado de Guatemala </w:t>
      </w:r>
      <w:r w:rsidR="00E02882" w:rsidRPr="00572E0B">
        <w:rPr>
          <w:rFonts w:ascii="Arial" w:eastAsia="Calibri" w:hAnsi="Arial" w:cs="Arial"/>
          <w:bCs/>
          <w:color w:val="000000" w:themeColor="text1"/>
          <w:sz w:val="24"/>
          <w:szCs w:val="24"/>
        </w:rPr>
        <w:t xml:space="preserve">en atención a </w:t>
      </w:r>
      <w:r w:rsidR="00E02882" w:rsidRPr="00572E0B">
        <w:rPr>
          <w:rFonts w:ascii="Arial" w:eastAsia="Calibri" w:hAnsi="Arial" w:cs="Arial"/>
          <w:bCs/>
          <w:sz w:val="24"/>
          <w:szCs w:val="24"/>
        </w:rPr>
        <w:t>la solicitud</w:t>
      </w:r>
      <w:r w:rsidRPr="00572E0B">
        <w:rPr>
          <w:rFonts w:ascii="Arial" w:eastAsia="Calibri" w:hAnsi="Arial" w:cs="Arial"/>
          <w:bCs/>
          <w:sz w:val="24"/>
          <w:szCs w:val="24"/>
        </w:rPr>
        <w:t xml:space="preserve"> de la </w:t>
      </w:r>
      <w:r w:rsidR="00E02882" w:rsidRPr="00572E0B">
        <w:rPr>
          <w:rFonts w:ascii="Arial" w:eastAsia="Calibri" w:hAnsi="Arial" w:cs="Arial"/>
          <w:bCs/>
          <w:sz w:val="24"/>
          <w:szCs w:val="24"/>
        </w:rPr>
        <w:t>Secretaría del Comité contra la Tortura para realizar comentarios y observaciones sobre errores factuales contenidos en el informe de</w:t>
      </w:r>
      <w:r w:rsidRPr="00572E0B">
        <w:rPr>
          <w:rFonts w:ascii="Arial" w:eastAsia="Calibri" w:hAnsi="Arial" w:cs="Arial"/>
          <w:bCs/>
          <w:sz w:val="24"/>
          <w:szCs w:val="24"/>
        </w:rPr>
        <w:t xml:space="preserve"> las </w:t>
      </w:r>
      <w:r w:rsidR="00930F23" w:rsidRPr="00572E0B">
        <w:rPr>
          <w:rFonts w:ascii="Arial" w:eastAsia="Calibri" w:hAnsi="Arial" w:cs="Arial"/>
          <w:bCs/>
          <w:sz w:val="24"/>
          <w:szCs w:val="24"/>
        </w:rPr>
        <w:t>r</w:t>
      </w:r>
      <w:r w:rsidR="00E02882" w:rsidRPr="00572E0B">
        <w:rPr>
          <w:rFonts w:ascii="Arial" w:eastAsia="Calibri" w:hAnsi="Arial" w:cs="Arial"/>
          <w:bCs/>
          <w:sz w:val="24"/>
          <w:szCs w:val="24"/>
        </w:rPr>
        <w:t>e</w:t>
      </w:r>
      <w:r w:rsidR="00930F23" w:rsidRPr="00572E0B">
        <w:rPr>
          <w:rFonts w:ascii="Arial" w:eastAsia="Calibri" w:hAnsi="Arial" w:cs="Arial"/>
          <w:bCs/>
          <w:sz w:val="24"/>
          <w:szCs w:val="24"/>
        </w:rPr>
        <w:t>comendaciones finales de dicho C</w:t>
      </w:r>
      <w:r w:rsidR="00E02882" w:rsidRPr="00572E0B">
        <w:rPr>
          <w:rFonts w:ascii="Arial" w:eastAsia="Calibri" w:hAnsi="Arial" w:cs="Arial"/>
          <w:bCs/>
          <w:sz w:val="24"/>
          <w:szCs w:val="24"/>
        </w:rPr>
        <w:t>omité</w:t>
      </w:r>
      <w:r w:rsidR="00333E08" w:rsidRPr="00572E0B">
        <w:rPr>
          <w:rFonts w:ascii="Arial" w:eastAsia="Calibri" w:hAnsi="Arial" w:cs="Arial"/>
          <w:bCs/>
          <w:sz w:val="24"/>
          <w:szCs w:val="24"/>
        </w:rPr>
        <w:t xml:space="preserve"> al país</w:t>
      </w:r>
      <w:r w:rsidR="00346810">
        <w:rPr>
          <w:rFonts w:ascii="Arial" w:eastAsia="Calibri" w:hAnsi="Arial" w:cs="Arial"/>
          <w:bCs/>
          <w:sz w:val="24"/>
          <w:szCs w:val="24"/>
        </w:rPr>
        <w:t>, presenta el</w:t>
      </w:r>
      <w:r w:rsidR="00336E63" w:rsidRPr="00572E0B">
        <w:rPr>
          <w:rFonts w:ascii="Arial" w:eastAsia="Calibri" w:hAnsi="Arial" w:cs="Arial"/>
          <w:bCs/>
          <w:sz w:val="24"/>
          <w:szCs w:val="24"/>
        </w:rPr>
        <w:t xml:space="preserve"> siguiente documento que contiene come</w:t>
      </w:r>
      <w:r w:rsidR="0054534F">
        <w:rPr>
          <w:rFonts w:ascii="Arial" w:eastAsia="Calibri" w:hAnsi="Arial" w:cs="Arial"/>
          <w:bCs/>
          <w:sz w:val="24"/>
          <w:szCs w:val="24"/>
        </w:rPr>
        <w:t xml:space="preserve">ntarios generales y específicos </w:t>
      </w:r>
      <w:r w:rsidR="00336E63" w:rsidRPr="00572E0B">
        <w:rPr>
          <w:rFonts w:ascii="Arial" w:eastAsia="Calibri" w:hAnsi="Arial" w:cs="Arial"/>
          <w:bCs/>
          <w:sz w:val="24"/>
          <w:szCs w:val="24"/>
        </w:rPr>
        <w:t>sobre el informe en referencia.</w:t>
      </w:r>
    </w:p>
    <w:p w:rsidR="00336E63" w:rsidRPr="00572E0B" w:rsidRDefault="00336E63" w:rsidP="00336E63">
      <w:pPr>
        <w:autoSpaceDE w:val="0"/>
        <w:autoSpaceDN w:val="0"/>
        <w:adjustRightInd w:val="0"/>
        <w:spacing w:line="240" w:lineRule="auto"/>
        <w:jc w:val="both"/>
        <w:rPr>
          <w:rFonts w:ascii="Arial" w:eastAsia="Calibri" w:hAnsi="Arial" w:cs="Arial"/>
          <w:bCs/>
          <w:sz w:val="24"/>
          <w:szCs w:val="24"/>
        </w:rPr>
      </w:pPr>
    </w:p>
    <w:p w:rsidR="00336E63" w:rsidRPr="00572E0B" w:rsidRDefault="00336E63" w:rsidP="00336E63">
      <w:pPr>
        <w:pStyle w:val="Prrafodelista"/>
        <w:numPr>
          <w:ilvl w:val="0"/>
          <w:numId w:val="24"/>
        </w:numPr>
        <w:autoSpaceDE w:val="0"/>
        <w:autoSpaceDN w:val="0"/>
        <w:adjustRightInd w:val="0"/>
        <w:spacing w:line="240" w:lineRule="auto"/>
        <w:jc w:val="both"/>
        <w:rPr>
          <w:rFonts w:ascii="Arial" w:eastAsia="Calibri" w:hAnsi="Arial" w:cs="Arial"/>
          <w:b/>
          <w:bCs/>
          <w:sz w:val="24"/>
          <w:szCs w:val="24"/>
        </w:rPr>
      </w:pPr>
      <w:r w:rsidRPr="00572E0B">
        <w:rPr>
          <w:rFonts w:ascii="Arial" w:eastAsia="Calibri" w:hAnsi="Arial" w:cs="Arial"/>
          <w:b/>
          <w:bCs/>
          <w:sz w:val="24"/>
          <w:szCs w:val="24"/>
        </w:rPr>
        <w:t>Comentarios Generales:</w:t>
      </w:r>
    </w:p>
    <w:p w:rsidR="0008207F" w:rsidRPr="00572E0B" w:rsidRDefault="00336E63" w:rsidP="00336E63">
      <w:pPr>
        <w:autoSpaceDE w:val="0"/>
        <w:autoSpaceDN w:val="0"/>
        <w:adjustRightInd w:val="0"/>
        <w:spacing w:line="240" w:lineRule="auto"/>
        <w:jc w:val="both"/>
        <w:rPr>
          <w:rFonts w:ascii="Arial" w:eastAsia="Calibri" w:hAnsi="Arial" w:cs="Arial"/>
          <w:bCs/>
          <w:sz w:val="24"/>
          <w:szCs w:val="24"/>
        </w:rPr>
      </w:pPr>
      <w:r w:rsidRPr="00572E0B">
        <w:rPr>
          <w:rFonts w:ascii="Arial" w:eastAsia="Calibri" w:hAnsi="Arial" w:cs="Arial"/>
          <w:bCs/>
          <w:sz w:val="24"/>
          <w:szCs w:val="24"/>
        </w:rPr>
        <w:t xml:space="preserve">- El Estado de Guatemala solicita a la Secretaría del Comité </w:t>
      </w:r>
      <w:r w:rsidR="0008207F" w:rsidRPr="00572E0B">
        <w:rPr>
          <w:rFonts w:ascii="Arial" w:eastAsia="Calibri" w:hAnsi="Arial" w:cs="Arial"/>
          <w:bCs/>
          <w:sz w:val="24"/>
          <w:szCs w:val="24"/>
        </w:rPr>
        <w:t xml:space="preserve">que </w:t>
      </w:r>
      <w:r w:rsidRPr="00572E0B">
        <w:rPr>
          <w:rFonts w:ascii="Arial" w:eastAsia="Calibri" w:hAnsi="Arial" w:cs="Arial"/>
          <w:bCs/>
          <w:sz w:val="24"/>
          <w:szCs w:val="24"/>
        </w:rPr>
        <w:t>en las recomendaciones a las que se hace referencia sobre la existencia d</w:t>
      </w:r>
      <w:r w:rsidR="00346810">
        <w:rPr>
          <w:rFonts w:ascii="Arial" w:eastAsia="Calibri" w:hAnsi="Arial" w:cs="Arial"/>
          <w:bCs/>
          <w:sz w:val="24"/>
          <w:szCs w:val="24"/>
        </w:rPr>
        <w:t xml:space="preserve">e un “conflicto armado interno”, ésta debe emplear el término </w:t>
      </w:r>
      <w:r w:rsidR="001D39C5" w:rsidRPr="00572E0B">
        <w:rPr>
          <w:rFonts w:ascii="Arial" w:eastAsia="Calibri" w:hAnsi="Arial" w:cs="Arial"/>
          <w:bCs/>
          <w:sz w:val="24"/>
          <w:szCs w:val="24"/>
        </w:rPr>
        <w:t>“enfrentamiento armado interno”, tomando en consideración que</w:t>
      </w:r>
      <w:r w:rsidR="00346810">
        <w:rPr>
          <w:rFonts w:ascii="Arial" w:eastAsia="Calibri" w:hAnsi="Arial" w:cs="Arial"/>
          <w:bCs/>
          <w:sz w:val="24"/>
          <w:szCs w:val="24"/>
        </w:rPr>
        <w:t xml:space="preserve"> en el Protocolo II Adicional a los Convenios de Ginebra</w:t>
      </w:r>
      <w:r w:rsidR="00222368">
        <w:rPr>
          <w:rFonts w:ascii="Arial" w:eastAsia="Calibri" w:hAnsi="Arial" w:cs="Arial"/>
          <w:bCs/>
          <w:sz w:val="24"/>
          <w:szCs w:val="24"/>
        </w:rPr>
        <w:t xml:space="preserve"> se define que un conflicto de carácter no internacional es aquel “</w:t>
      </w:r>
      <w:r w:rsidR="00222368" w:rsidRPr="00222368">
        <w:rPr>
          <w:rFonts w:ascii="Arial" w:eastAsia="Calibri" w:hAnsi="Arial" w:cs="Arial"/>
          <w:bCs/>
          <w:i/>
          <w:sz w:val="24"/>
          <w:szCs w:val="24"/>
        </w:rPr>
        <w:t xml:space="preserve">que se desarrollen en el territorio de una Alta Parte contratante entre sus fuerzas armadas y fuerzas armadas disidentes o grupos armados organizados que, bajo la dirección </w:t>
      </w:r>
      <w:r w:rsidR="00222368" w:rsidRPr="00222368">
        <w:rPr>
          <w:rFonts w:ascii="Arial" w:eastAsia="Calibri" w:hAnsi="Arial" w:cs="Arial"/>
          <w:b/>
          <w:bCs/>
          <w:i/>
          <w:sz w:val="24"/>
          <w:szCs w:val="24"/>
        </w:rPr>
        <w:t>de un mando responsable</w:t>
      </w:r>
      <w:r w:rsidR="00222368" w:rsidRPr="00222368">
        <w:rPr>
          <w:rFonts w:ascii="Arial" w:eastAsia="Calibri" w:hAnsi="Arial" w:cs="Arial"/>
          <w:bCs/>
          <w:i/>
          <w:sz w:val="24"/>
          <w:szCs w:val="24"/>
        </w:rPr>
        <w:t xml:space="preserve">, </w:t>
      </w:r>
      <w:r w:rsidR="00222368" w:rsidRPr="00222368">
        <w:rPr>
          <w:rFonts w:ascii="Arial" w:eastAsia="Calibri" w:hAnsi="Arial" w:cs="Arial"/>
          <w:b/>
          <w:bCs/>
          <w:i/>
          <w:sz w:val="24"/>
          <w:szCs w:val="24"/>
        </w:rPr>
        <w:t>ejerzan sobre una parte de dicho territorio un control tal</w:t>
      </w:r>
      <w:r w:rsidR="00222368" w:rsidRPr="00222368">
        <w:rPr>
          <w:rFonts w:ascii="Arial" w:eastAsia="Calibri" w:hAnsi="Arial" w:cs="Arial"/>
          <w:bCs/>
          <w:i/>
          <w:sz w:val="24"/>
          <w:szCs w:val="24"/>
        </w:rPr>
        <w:t xml:space="preserve"> que les permita realizar operaciones militares sostenidas y concertadas y aplicar el presente Protocolo</w:t>
      </w:r>
      <w:r w:rsidR="00222368">
        <w:rPr>
          <w:rFonts w:ascii="Arial" w:eastAsia="Calibri" w:hAnsi="Arial" w:cs="Arial"/>
          <w:bCs/>
          <w:sz w:val="24"/>
          <w:szCs w:val="24"/>
        </w:rPr>
        <w:t xml:space="preserve">” (el resaltado es propio). Asimismo, de conformidad con el Acuerdo Global sobre Derechos Humanos, suscrito entre el Gobierno de Guatemala y la Unidad Revolucionaria Guatemalteca (URNG) las partes lo definieron como enfrentamiento armado interno. </w:t>
      </w:r>
    </w:p>
    <w:p w:rsidR="00336E63" w:rsidRPr="00572E0B" w:rsidRDefault="00336E63" w:rsidP="00336E63">
      <w:pPr>
        <w:autoSpaceDE w:val="0"/>
        <w:autoSpaceDN w:val="0"/>
        <w:adjustRightInd w:val="0"/>
        <w:spacing w:line="240" w:lineRule="auto"/>
        <w:jc w:val="both"/>
        <w:rPr>
          <w:rFonts w:ascii="Arial" w:eastAsia="Calibri" w:hAnsi="Arial" w:cs="Arial"/>
          <w:bCs/>
          <w:sz w:val="24"/>
          <w:szCs w:val="24"/>
        </w:rPr>
      </w:pPr>
    </w:p>
    <w:p w:rsidR="00336E63" w:rsidRPr="00572E0B" w:rsidRDefault="0008207F" w:rsidP="00336E63">
      <w:pPr>
        <w:pStyle w:val="Prrafodelista"/>
        <w:numPr>
          <w:ilvl w:val="0"/>
          <w:numId w:val="24"/>
        </w:numPr>
        <w:autoSpaceDE w:val="0"/>
        <w:autoSpaceDN w:val="0"/>
        <w:adjustRightInd w:val="0"/>
        <w:spacing w:line="240" w:lineRule="auto"/>
        <w:jc w:val="both"/>
        <w:rPr>
          <w:rFonts w:ascii="Arial" w:eastAsia="Calibri" w:hAnsi="Arial" w:cs="Arial"/>
          <w:b/>
          <w:bCs/>
          <w:sz w:val="24"/>
          <w:szCs w:val="24"/>
        </w:rPr>
      </w:pPr>
      <w:r w:rsidRPr="00572E0B">
        <w:rPr>
          <w:rFonts w:ascii="Arial" w:eastAsia="Calibri" w:hAnsi="Arial" w:cs="Arial"/>
          <w:b/>
          <w:bCs/>
          <w:sz w:val="24"/>
          <w:szCs w:val="24"/>
        </w:rPr>
        <w:t>Comentarios Específicos:</w:t>
      </w:r>
    </w:p>
    <w:p w:rsidR="00DB12B3" w:rsidRPr="00B71A68" w:rsidRDefault="00B71A68" w:rsidP="00B71A68">
      <w:pPr>
        <w:pStyle w:val="SingleTxtG"/>
        <w:ind w:left="284" w:right="49"/>
        <w:rPr>
          <w:rFonts w:ascii="Arial" w:hAnsi="Arial" w:cs="Arial"/>
          <w:i/>
          <w:sz w:val="24"/>
          <w:szCs w:val="24"/>
          <w:lang w:val="es-ES_tradnl" w:eastAsia="en-US"/>
        </w:rPr>
      </w:pPr>
      <w:r w:rsidRPr="00B71A68">
        <w:rPr>
          <w:rFonts w:ascii="Arial" w:hAnsi="Arial" w:cs="Arial"/>
          <w:i/>
          <w:sz w:val="24"/>
          <w:szCs w:val="24"/>
          <w:lang w:val="es-ES_tradnl" w:eastAsia="en-US"/>
        </w:rPr>
        <w:t>Recomendación al párrafo 8:</w:t>
      </w:r>
    </w:p>
    <w:p w:rsidR="00985AB2" w:rsidRPr="00572E0B" w:rsidRDefault="00985AB2" w:rsidP="00B71A68">
      <w:pPr>
        <w:pStyle w:val="SingleTxtG"/>
        <w:ind w:left="0" w:right="49"/>
        <w:rPr>
          <w:rFonts w:ascii="Arial" w:hAnsi="Arial" w:cs="Arial"/>
          <w:b/>
          <w:sz w:val="24"/>
          <w:szCs w:val="24"/>
          <w:lang w:val="es-ES_tradnl" w:eastAsia="en-US"/>
        </w:rPr>
      </w:pPr>
      <w:r w:rsidRPr="00572E0B">
        <w:rPr>
          <w:rFonts w:ascii="Arial" w:hAnsi="Arial" w:cs="Arial"/>
          <w:b/>
          <w:sz w:val="24"/>
          <w:szCs w:val="24"/>
          <w:lang w:val="es-ES_tradnl" w:eastAsia="en-US"/>
        </w:rPr>
        <w:t xml:space="preserve">El Comité reitera su anterior recomendación (CAT/C/GTM/CO/4, párr. 10) e insta al Estado parte a enmendar, con carácter prioritario, las disposiciones pertinentes del Código Penal, en particular los artículos 201 </w:t>
      </w:r>
      <w:r w:rsidRPr="00572E0B">
        <w:rPr>
          <w:rFonts w:ascii="Arial" w:hAnsi="Arial" w:cs="Arial"/>
          <w:b/>
          <w:i/>
          <w:sz w:val="24"/>
          <w:szCs w:val="24"/>
          <w:lang w:val="es-ES_tradnl" w:eastAsia="en-US"/>
        </w:rPr>
        <w:t>bis</w:t>
      </w:r>
      <w:r w:rsidRPr="00572E0B">
        <w:rPr>
          <w:rFonts w:ascii="Arial" w:hAnsi="Arial" w:cs="Arial"/>
          <w:b/>
          <w:sz w:val="24"/>
          <w:szCs w:val="24"/>
          <w:lang w:val="es-ES_tradnl" w:eastAsia="en-US"/>
        </w:rPr>
        <w:t xml:space="preserve"> y 425, con miras a tipificar penalmente la tortura según se define en el artículo 1 de la Convención y considerarla delito punible de conformidad con el artículo 4, párrafo 2, de la Convención. </w:t>
      </w:r>
      <w:r w:rsidRPr="00572E0B">
        <w:rPr>
          <w:rFonts w:ascii="Arial" w:hAnsi="Arial" w:cs="Arial"/>
          <w:b/>
          <w:bCs/>
          <w:sz w:val="24"/>
          <w:szCs w:val="24"/>
          <w:lang w:eastAsia="en-US"/>
        </w:rPr>
        <w:t xml:space="preserve">El Comité recomienda además que el Estado parte garantice que los actos de tortura no </w:t>
      </w:r>
      <w:r w:rsidRPr="00572E0B">
        <w:rPr>
          <w:rFonts w:ascii="Arial" w:hAnsi="Arial" w:cs="Arial"/>
          <w:b/>
          <w:bCs/>
          <w:sz w:val="24"/>
          <w:szCs w:val="24"/>
          <w:lang w:val="es-ES_tradnl" w:eastAsia="en-US"/>
        </w:rPr>
        <w:t>queden sujetos a ningún régimen de prescripción</w:t>
      </w:r>
      <w:r w:rsidRPr="00572E0B">
        <w:rPr>
          <w:rFonts w:ascii="Arial" w:hAnsi="Arial" w:cs="Arial"/>
          <w:b/>
          <w:bCs/>
          <w:sz w:val="24"/>
          <w:szCs w:val="24"/>
          <w:lang w:eastAsia="en-US"/>
        </w:rPr>
        <w:t>.</w:t>
      </w:r>
      <w:r w:rsidRPr="00572E0B">
        <w:rPr>
          <w:rFonts w:ascii="Arial" w:hAnsi="Arial" w:cs="Arial"/>
          <w:b/>
          <w:sz w:val="24"/>
          <w:szCs w:val="24"/>
          <w:lang w:val="es-ES_tradnl" w:eastAsia="en-US"/>
        </w:rPr>
        <w:t xml:space="preserve"> </w:t>
      </w:r>
    </w:p>
    <w:p w:rsidR="00985AB2" w:rsidRPr="00B71A68" w:rsidRDefault="00222368" w:rsidP="00B71A6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Al respecto el Estado de Guatemala reitera que n</w:t>
      </w:r>
      <w:r w:rsidR="00985AB2" w:rsidRPr="00B71A68">
        <w:rPr>
          <w:rFonts w:ascii="Arial" w:eastAsia="Calibri" w:hAnsi="Arial" w:cs="Arial"/>
          <w:bCs/>
          <w:sz w:val="24"/>
          <w:szCs w:val="24"/>
        </w:rPr>
        <w:t xml:space="preserve">o es potestad </w:t>
      </w:r>
      <w:r>
        <w:rPr>
          <w:rFonts w:ascii="Arial" w:eastAsia="Calibri" w:hAnsi="Arial" w:cs="Arial"/>
          <w:bCs/>
          <w:sz w:val="24"/>
          <w:szCs w:val="24"/>
        </w:rPr>
        <w:t>d</w:t>
      </w:r>
      <w:r w:rsidR="00985AB2" w:rsidRPr="00B71A68">
        <w:rPr>
          <w:rFonts w:ascii="Arial" w:eastAsia="Calibri" w:hAnsi="Arial" w:cs="Arial"/>
          <w:bCs/>
          <w:sz w:val="24"/>
          <w:szCs w:val="24"/>
        </w:rPr>
        <w:t xml:space="preserve">el </w:t>
      </w:r>
      <w:r>
        <w:rPr>
          <w:rFonts w:ascii="Arial" w:eastAsia="Calibri" w:hAnsi="Arial" w:cs="Arial"/>
          <w:bCs/>
          <w:sz w:val="24"/>
          <w:szCs w:val="24"/>
        </w:rPr>
        <w:t xml:space="preserve">Organismo </w:t>
      </w:r>
      <w:r w:rsidR="00985AB2" w:rsidRPr="00B71A68">
        <w:rPr>
          <w:rFonts w:ascii="Arial" w:eastAsia="Calibri" w:hAnsi="Arial" w:cs="Arial"/>
          <w:bCs/>
          <w:sz w:val="24"/>
          <w:szCs w:val="24"/>
        </w:rPr>
        <w:t>Ejecutivo establecer que los actos de tortura no quedaran sujetos a régimen</w:t>
      </w:r>
      <w:r w:rsidR="00795CC3">
        <w:rPr>
          <w:rFonts w:ascii="Arial" w:eastAsia="Calibri" w:hAnsi="Arial" w:cs="Arial"/>
          <w:bCs/>
          <w:sz w:val="24"/>
          <w:szCs w:val="24"/>
        </w:rPr>
        <w:t xml:space="preserve"> alguno</w:t>
      </w:r>
      <w:r w:rsidR="00985AB2" w:rsidRPr="00B71A68">
        <w:rPr>
          <w:rFonts w:ascii="Arial" w:eastAsia="Calibri" w:hAnsi="Arial" w:cs="Arial"/>
          <w:bCs/>
          <w:sz w:val="24"/>
          <w:szCs w:val="24"/>
        </w:rPr>
        <w:t xml:space="preserve"> de prescripción</w:t>
      </w:r>
      <w:r w:rsidR="0008207F" w:rsidRPr="00B71A68">
        <w:rPr>
          <w:rFonts w:ascii="Arial" w:eastAsia="Calibri" w:hAnsi="Arial" w:cs="Arial"/>
          <w:bCs/>
          <w:sz w:val="24"/>
          <w:szCs w:val="24"/>
        </w:rPr>
        <w:t>,</w:t>
      </w:r>
      <w:r w:rsidR="00985AB2" w:rsidRPr="00B71A68">
        <w:rPr>
          <w:rFonts w:ascii="Arial" w:eastAsia="Calibri" w:hAnsi="Arial" w:cs="Arial"/>
          <w:bCs/>
          <w:sz w:val="24"/>
          <w:szCs w:val="24"/>
        </w:rPr>
        <w:t xml:space="preserve"> sin embargo</w:t>
      </w:r>
      <w:r w:rsidR="0008207F" w:rsidRPr="00B71A68">
        <w:rPr>
          <w:rFonts w:ascii="Arial" w:eastAsia="Calibri" w:hAnsi="Arial" w:cs="Arial"/>
          <w:bCs/>
          <w:sz w:val="24"/>
          <w:szCs w:val="24"/>
        </w:rPr>
        <w:t>,</w:t>
      </w:r>
      <w:r w:rsidR="00985AB2" w:rsidRPr="00B71A68">
        <w:rPr>
          <w:rFonts w:ascii="Arial" w:eastAsia="Calibri" w:hAnsi="Arial" w:cs="Arial"/>
          <w:bCs/>
          <w:sz w:val="24"/>
          <w:szCs w:val="24"/>
        </w:rPr>
        <w:t xml:space="preserve"> como el </w:t>
      </w:r>
      <w:r w:rsidR="0008207F" w:rsidRPr="00B71A68">
        <w:rPr>
          <w:rFonts w:ascii="Arial" w:eastAsia="Calibri" w:hAnsi="Arial" w:cs="Arial"/>
          <w:bCs/>
          <w:sz w:val="24"/>
          <w:szCs w:val="24"/>
        </w:rPr>
        <w:t>C</w:t>
      </w:r>
      <w:r w:rsidR="00985AB2" w:rsidRPr="00B71A68">
        <w:rPr>
          <w:rFonts w:ascii="Arial" w:eastAsia="Calibri" w:hAnsi="Arial" w:cs="Arial"/>
          <w:bCs/>
          <w:sz w:val="24"/>
          <w:szCs w:val="24"/>
        </w:rPr>
        <w:t>omité podrá apreciar</w:t>
      </w:r>
      <w:r w:rsidR="00795CC3">
        <w:rPr>
          <w:rFonts w:ascii="Arial" w:eastAsia="Calibri" w:hAnsi="Arial" w:cs="Arial"/>
          <w:bCs/>
          <w:sz w:val="24"/>
          <w:szCs w:val="24"/>
        </w:rPr>
        <w:t>,</w:t>
      </w:r>
      <w:r w:rsidR="00985AB2" w:rsidRPr="00B71A68">
        <w:rPr>
          <w:rFonts w:ascii="Arial" w:eastAsia="Calibri" w:hAnsi="Arial" w:cs="Arial"/>
          <w:bCs/>
          <w:sz w:val="24"/>
          <w:szCs w:val="24"/>
        </w:rPr>
        <w:t xml:space="preserve"> luego de la ratificaci</w:t>
      </w:r>
      <w:r w:rsidR="0008207F" w:rsidRPr="00B71A68">
        <w:rPr>
          <w:rFonts w:ascii="Arial" w:eastAsia="Calibri" w:hAnsi="Arial" w:cs="Arial"/>
          <w:bCs/>
          <w:sz w:val="24"/>
          <w:szCs w:val="24"/>
        </w:rPr>
        <w:t>ón del Estatuto de R</w:t>
      </w:r>
      <w:r w:rsidR="00985AB2" w:rsidRPr="00B71A68">
        <w:rPr>
          <w:rFonts w:ascii="Arial" w:eastAsia="Calibri" w:hAnsi="Arial" w:cs="Arial"/>
          <w:bCs/>
          <w:sz w:val="24"/>
          <w:szCs w:val="24"/>
        </w:rPr>
        <w:t>oma</w:t>
      </w:r>
      <w:r w:rsidR="00795CC3">
        <w:rPr>
          <w:rFonts w:ascii="Arial" w:eastAsia="Calibri" w:hAnsi="Arial" w:cs="Arial"/>
          <w:bCs/>
          <w:sz w:val="24"/>
          <w:szCs w:val="24"/>
        </w:rPr>
        <w:t xml:space="preserve"> el Estado</w:t>
      </w:r>
      <w:r w:rsidR="00F142F6" w:rsidRPr="00B71A68">
        <w:rPr>
          <w:rFonts w:ascii="Arial" w:eastAsia="Calibri" w:hAnsi="Arial" w:cs="Arial"/>
          <w:bCs/>
          <w:sz w:val="24"/>
          <w:szCs w:val="24"/>
        </w:rPr>
        <w:t xml:space="preserve"> h</w:t>
      </w:r>
      <w:r w:rsidR="00795CC3">
        <w:rPr>
          <w:rFonts w:ascii="Arial" w:eastAsia="Calibri" w:hAnsi="Arial" w:cs="Arial"/>
          <w:bCs/>
          <w:sz w:val="24"/>
          <w:szCs w:val="24"/>
        </w:rPr>
        <w:t>a subsanado este extremo</w:t>
      </w:r>
      <w:r w:rsidR="00F142F6" w:rsidRPr="00B71A68">
        <w:rPr>
          <w:rFonts w:ascii="Arial" w:eastAsia="Calibri" w:hAnsi="Arial" w:cs="Arial"/>
          <w:bCs/>
          <w:sz w:val="24"/>
          <w:szCs w:val="24"/>
        </w:rPr>
        <w:t xml:space="preserve"> </w:t>
      </w:r>
      <w:r w:rsidR="00795CC3">
        <w:rPr>
          <w:rFonts w:ascii="Arial" w:eastAsia="Calibri" w:hAnsi="Arial" w:cs="Arial"/>
          <w:bCs/>
          <w:sz w:val="24"/>
          <w:szCs w:val="24"/>
        </w:rPr>
        <w:t xml:space="preserve">en lo referente a la imprescriptibilidad </w:t>
      </w:r>
      <w:r w:rsidR="0008207F" w:rsidRPr="00B71A68">
        <w:rPr>
          <w:rFonts w:ascii="Arial" w:eastAsia="Calibri" w:hAnsi="Arial" w:cs="Arial"/>
          <w:bCs/>
          <w:sz w:val="24"/>
          <w:szCs w:val="24"/>
        </w:rPr>
        <w:t xml:space="preserve"> </w:t>
      </w:r>
      <w:r w:rsidR="00795CC3">
        <w:rPr>
          <w:rFonts w:ascii="Arial" w:eastAsia="Calibri" w:hAnsi="Arial" w:cs="Arial"/>
          <w:bCs/>
          <w:sz w:val="24"/>
          <w:szCs w:val="24"/>
        </w:rPr>
        <w:t>d</w:t>
      </w:r>
      <w:r w:rsidR="0008207F" w:rsidRPr="00B71A68">
        <w:rPr>
          <w:rFonts w:ascii="Arial" w:eastAsia="Calibri" w:hAnsi="Arial" w:cs="Arial"/>
          <w:bCs/>
          <w:sz w:val="24"/>
          <w:szCs w:val="24"/>
        </w:rPr>
        <w:t>el delito de tortura.</w:t>
      </w:r>
    </w:p>
    <w:p w:rsidR="00B71A68" w:rsidRPr="00B71A68" w:rsidRDefault="00B71A68" w:rsidP="00B71A68">
      <w:pPr>
        <w:pStyle w:val="SingleTxtG"/>
        <w:ind w:left="0"/>
        <w:rPr>
          <w:rFonts w:ascii="Arial" w:hAnsi="Arial" w:cs="Arial"/>
          <w:i/>
          <w:sz w:val="24"/>
          <w:szCs w:val="24"/>
          <w:lang w:val="es-ES_tradnl"/>
        </w:rPr>
      </w:pPr>
      <w:r w:rsidRPr="00B71A68">
        <w:rPr>
          <w:rFonts w:ascii="Arial" w:hAnsi="Arial" w:cs="Arial"/>
          <w:i/>
          <w:sz w:val="24"/>
          <w:szCs w:val="24"/>
          <w:lang w:val="es-ES_tradnl"/>
        </w:rPr>
        <w:t>Inciso b) del párrafo 9:</w:t>
      </w:r>
    </w:p>
    <w:p w:rsidR="006E4306" w:rsidRPr="00FD7F50" w:rsidRDefault="006E4306" w:rsidP="00FD7F50">
      <w:pPr>
        <w:pStyle w:val="SingleTxtG"/>
        <w:ind w:left="0" w:right="49"/>
        <w:rPr>
          <w:rFonts w:ascii="Arial" w:hAnsi="Arial" w:cs="Arial"/>
          <w:b/>
          <w:sz w:val="24"/>
          <w:szCs w:val="24"/>
          <w:lang w:val="es-ES_tradnl"/>
        </w:rPr>
      </w:pPr>
      <w:r w:rsidRPr="00572E0B">
        <w:rPr>
          <w:rFonts w:ascii="Arial" w:hAnsi="Arial" w:cs="Arial"/>
          <w:b/>
          <w:sz w:val="24"/>
          <w:szCs w:val="24"/>
          <w:lang w:val="es-ES_tradnl"/>
        </w:rPr>
        <w:lastRenderedPageBreak/>
        <w:t>b)</w:t>
      </w:r>
      <w:r w:rsidRPr="00572E0B">
        <w:rPr>
          <w:rFonts w:ascii="Arial" w:hAnsi="Arial" w:cs="Arial"/>
          <w:b/>
          <w:sz w:val="24"/>
          <w:szCs w:val="24"/>
          <w:lang w:val="es-ES_tradnl"/>
        </w:rPr>
        <w:tab/>
        <w:t>Velar por que, en los casos de presuntos actos de tortura y malos tratos, se suspenda inmediatamente de sus funciones a los sospechosos mientras dure la investigación;</w:t>
      </w:r>
    </w:p>
    <w:p w:rsidR="006E4306" w:rsidRPr="00FD7F50" w:rsidRDefault="006E4306" w:rsidP="00FD7F50">
      <w:pPr>
        <w:autoSpaceDE w:val="0"/>
        <w:autoSpaceDN w:val="0"/>
        <w:adjustRightInd w:val="0"/>
        <w:spacing w:line="240" w:lineRule="auto"/>
        <w:jc w:val="both"/>
        <w:rPr>
          <w:rFonts w:ascii="Arial" w:eastAsia="Calibri" w:hAnsi="Arial" w:cs="Arial"/>
          <w:bCs/>
          <w:sz w:val="24"/>
          <w:szCs w:val="24"/>
          <w:lang w:val="es-ES_tradnl"/>
        </w:rPr>
      </w:pPr>
      <w:r w:rsidRPr="00FD7F50">
        <w:rPr>
          <w:rFonts w:ascii="Arial" w:eastAsia="Calibri" w:hAnsi="Arial" w:cs="Arial"/>
          <w:bCs/>
          <w:sz w:val="24"/>
          <w:szCs w:val="24"/>
          <w:lang w:val="es-ES_tradnl"/>
        </w:rPr>
        <w:t xml:space="preserve">El Estado </w:t>
      </w:r>
      <w:r w:rsidR="00094244">
        <w:rPr>
          <w:rFonts w:ascii="Arial" w:eastAsia="Calibri" w:hAnsi="Arial" w:cs="Arial"/>
          <w:bCs/>
          <w:sz w:val="24"/>
          <w:szCs w:val="24"/>
          <w:lang w:val="es-ES_tradnl"/>
        </w:rPr>
        <w:t xml:space="preserve">reitera al Comité que </w:t>
      </w:r>
      <w:r w:rsidRPr="00FD7F50">
        <w:rPr>
          <w:rFonts w:ascii="Arial" w:eastAsia="Calibri" w:hAnsi="Arial" w:cs="Arial"/>
          <w:bCs/>
          <w:sz w:val="24"/>
          <w:szCs w:val="24"/>
          <w:lang w:val="es-ES_tradnl"/>
        </w:rPr>
        <w:t>no pue</w:t>
      </w:r>
      <w:r w:rsidR="00EA50FB">
        <w:rPr>
          <w:rFonts w:ascii="Arial" w:eastAsia="Calibri" w:hAnsi="Arial" w:cs="Arial"/>
          <w:bCs/>
          <w:sz w:val="24"/>
          <w:szCs w:val="24"/>
          <w:lang w:val="es-ES_tradnl"/>
        </w:rPr>
        <w:t>de suspender</w:t>
      </w:r>
      <w:r w:rsidR="00094244">
        <w:rPr>
          <w:rFonts w:ascii="Arial" w:eastAsia="Calibri" w:hAnsi="Arial" w:cs="Arial"/>
          <w:bCs/>
          <w:sz w:val="24"/>
          <w:szCs w:val="24"/>
          <w:lang w:val="es-ES_tradnl"/>
        </w:rPr>
        <w:t>se</w:t>
      </w:r>
      <w:r w:rsidR="00EA50FB">
        <w:rPr>
          <w:rFonts w:ascii="Arial" w:eastAsia="Calibri" w:hAnsi="Arial" w:cs="Arial"/>
          <w:bCs/>
          <w:sz w:val="24"/>
          <w:szCs w:val="24"/>
          <w:lang w:val="es-ES_tradnl"/>
        </w:rPr>
        <w:t xml:space="preserve"> de sus funciones</w:t>
      </w:r>
      <w:r w:rsidR="00094244" w:rsidRPr="00094244">
        <w:rPr>
          <w:rFonts w:ascii="Arial" w:eastAsia="Calibri" w:hAnsi="Arial" w:cs="Arial"/>
          <w:bCs/>
          <w:sz w:val="24"/>
          <w:szCs w:val="24"/>
          <w:lang w:val="es-ES_tradnl"/>
        </w:rPr>
        <w:t xml:space="preserve"> </w:t>
      </w:r>
      <w:r w:rsidR="00094244">
        <w:rPr>
          <w:rFonts w:ascii="Arial" w:eastAsia="Calibri" w:hAnsi="Arial" w:cs="Arial"/>
          <w:bCs/>
          <w:sz w:val="24"/>
          <w:szCs w:val="24"/>
          <w:lang w:val="es-ES_tradnl"/>
        </w:rPr>
        <w:t>durante</w:t>
      </w:r>
      <w:r w:rsidR="00094244" w:rsidRPr="00FD7F50">
        <w:rPr>
          <w:rFonts w:ascii="Arial" w:eastAsia="Calibri" w:hAnsi="Arial" w:cs="Arial"/>
          <w:bCs/>
          <w:sz w:val="24"/>
          <w:szCs w:val="24"/>
          <w:lang w:val="es-ES_tradnl"/>
        </w:rPr>
        <w:t xml:space="preserve"> </w:t>
      </w:r>
      <w:r w:rsidR="00094244">
        <w:rPr>
          <w:rFonts w:ascii="Arial" w:eastAsia="Calibri" w:hAnsi="Arial" w:cs="Arial"/>
          <w:bCs/>
          <w:sz w:val="24"/>
          <w:szCs w:val="24"/>
          <w:lang w:val="es-ES_tradnl"/>
        </w:rPr>
        <w:t xml:space="preserve">el tiempo que </w:t>
      </w:r>
      <w:r w:rsidR="00094244" w:rsidRPr="00FD7F50">
        <w:rPr>
          <w:rFonts w:ascii="Arial" w:eastAsia="Calibri" w:hAnsi="Arial" w:cs="Arial"/>
          <w:bCs/>
          <w:sz w:val="24"/>
          <w:szCs w:val="24"/>
          <w:lang w:val="es-ES_tradnl"/>
        </w:rPr>
        <w:t>dure la investigaci</w:t>
      </w:r>
      <w:r w:rsidR="00094244">
        <w:rPr>
          <w:rFonts w:ascii="Arial" w:eastAsia="Calibri" w:hAnsi="Arial" w:cs="Arial"/>
          <w:bCs/>
          <w:sz w:val="24"/>
          <w:szCs w:val="24"/>
          <w:lang w:val="es-ES_tradnl"/>
        </w:rPr>
        <w:t>ón</w:t>
      </w:r>
      <w:r w:rsidR="00EA50FB">
        <w:rPr>
          <w:rFonts w:ascii="Arial" w:eastAsia="Calibri" w:hAnsi="Arial" w:cs="Arial"/>
          <w:bCs/>
          <w:sz w:val="24"/>
          <w:szCs w:val="24"/>
          <w:lang w:val="es-ES_tradnl"/>
        </w:rPr>
        <w:t xml:space="preserve"> a</w:t>
      </w:r>
      <w:r w:rsidRPr="00FD7F50">
        <w:rPr>
          <w:rFonts w:ascii="Arial" w:eastAsia="Calibri" w:hAnsi="Arial" w:cs="Arial"/>
          <w:bCs/>
          <w:sz w:val="24"/>
          <w:szCs w:val="24"/>
          <w:lang w:val="es-ES_tradnl"/>
        </w:rPr>
        <w:t xml:space="preserve"> los </w:t>
      </w:r>
      <w:r w:rsidR="00094244">
        <w:rPr>
          <w:rFonts w:ascii="Arial" w:eastAsia="Calibri" w:hAnsi="Arial" w:cs="Arial"/>
          <w:bCs/>
          <w:sz w:val="24"/>
          <w:szCs w:val="24"/>
          <w:lang w:val="es-ES_tradnl"/>
        </w:rPr>
        <w:t>presuntos responsables</w:t>
      </w:r>
      <w:r w:rsidRPr="00FD7F50">
        <w:rPr>
          <w:rFonts w:ascii="Arial" w:eastAsia="Calibri" w:hAnsi="Arial" w:cs="Arial"/>
          <w:bCs/>
          <w:sz w:val="24"/>
          <w:szCs w:val="24"/>
          <w:lang w:val="es-ES_tradnl"/>
        </w:rPr>
        <w:t xml:space="preserve"> </w:t>
      </w:r>
      <w:r w:rsidR="00094244">
        <w:rPr>
          <w:rFonts w:ascii="Arial" w:eastAsia="Calibri" w:hAnsi="Arial" w:cs="Arial"/>
          <w:bCs/>
          <w:sz w:val="24"/>
          <w:szCs w:val="24"/>
          <w:lang w:val="es-ES_tradnl"/>
        </w:rPr>
        <w:t>de la comisión de todo tipo de  delitos</w:t>
      </w:r>
      <w:r w:rsidR="000109DA">
        <w:rPr>
          <w:rFonts w:ascii="Arial" w:eastAsia="Calibri" w:hAnsi="Arial" w:cs="Arial"/>
          <w:bCs/>
          <w:sz w:val="24"/>
          <w:szCs w:val="24"/>
          <w:lang w:val="es-ES_tradnl"/>
        </w:rPr>
        <w:t xml:space="preserve">, ya que </w:t>
      </w:r>
      <w:r w:rsidR="00094244">
        <w:rPr>
          <w:rFonts w:ascii="Arial" w:eastAsia="Calibri" w:hAnsi="Arial" w:cs="Arial"/>
          <w:bCs/>
          <w:sz w:val="24"/>
          <w:szCs w:val="24"/>
          <w:lang w:val="es-ES_tradnl"/>
        </w:rPr>
        <w:t xml:space="preserve">estaría violando el principio constitucional de   </w:t>
      </w:r>
      <w:r w:rsidRPr="00FD7F50">
        <w:rPr>
          <w:rFonts w:ascii="Arial" w:eastAsia="Calibri" w:hAnsi="Arial" w:cs="Arial"/>
          <w:bCs/>
          <w:sz w:val="24"/>
          <w:szCs w:val="24"/>
          <w:lang w:val="es-ES_tradnl"/>
        </w:rPr>
        <w:t xml:space="preserve"> presunción de inocencia</w:t>
      </w:r>
      <w:r w:rsidR="00094244">
        <w:rPr>
          <w:rFonts w:ascii="Arial" w:eastAsia="Calibri" w:hAnsi="Arial" w:cs="Arial"/>
          <w:bCs/>
          <w:sz w:val="24"/>
          <w:szCs w:val="24"/>
          <w:lang w:val="es-ES_tradnl"/>
        </w:rPr>
        <w:t xml:space="preserve">, el cual </w:t>
      </w:r>
      <w:r w:rsidR="00DD74EC">
        <w:rPr>
          <w:rFonts w:ascii="Arial" w:eastAsia="Calibri" w:hAnsi="Arial" w:cs="Arial"/>
          <w:bCs/>
          <w:sz w:val="24"/>
          <w:szCs w:val="24"/>
          <w:lang w:val="es-ES_tradnl"/>
        </w:rPr>
        <w:t xml:space="preserve">se </w:t>
      </w:r>
      <w:r w:rsidR="002F74BF" w:rsidRPr="00FD7F50">
        <w:rPr>
          <w:rFonts w:ascii="Arial" w:eastAsia="Calibri" w:hAnsi="Arial" w:cs="Arial"/>
          <w:bCs/>
          <w:sz w:val="24"/>
          <w:szCs w:val="24"/>
          <w:lang w:val="es-ES_tradnl"/>
        </w:rPr>
        <w:t>encuentra consagrado</w:t>
      </w:r>
      <w:r w:rsidRPr="00FD7F50">
        <w:rPr>
          <w:rFonts w:ascii="Arial" w:eastAsia="Calibri" w:hAnsi="Arial" w:cs="Arial"/>
          <w:bCs/>
          <w:sz w:val="24"/>
          <w:szCs w:val="24"/>
          <w:lang w:val="es-ES_tradnl"/>
        </w:rPr>
        <w:t xml:space="preserve"> en el </w:t>
      </w:r>
      <w:r w:rsidR="00F35273" w:rsidRPr="00FD7F50">
        <w:rPr>
          <w:rFonts w:ascii="Arial" w:eastAsia="Calibri" w:hAnsi="Arial" w:cs="Arial"/>
          <w:bCs/>
          <w:sz w:val="24"/>
          <w:szCs w:val="24"/>
          <w:lang w:val="es-ES_tradnl"/>
        </w:rPr>
        <w:t>artículo</w:t>
      </w:r>
      <w:r w:rsidRPr="00FD7F50">
        <w:rPr>
          <w:rFonts w:ascii="Arial" w:eastAsia="Calibri" w:hAnsi="Arial" w:cs="Arial"/>
          <w:bCs/>
          <w:sz w:val="24"/>
          <w:szCs w:val="24"/>
          <w:lang w:val="es-ES_tradnl"/>
        </w:rPr>
        <w:t xml:space="preserve"> </w:t>
      </w:r>
      <w:r w:rsidR="002F74BF" w:rsidRPr="00FD7F50">
        <w:rPr>
          <w:rFonts w:ascii="Arial" w:eastAsia="Calibri" w:hAnsi="Arial" w:cs="Arial"/>
          <w:bCs/>
          <w:sz w:val="24"/>
          <w:szCs w:val="24"/>
          <w:lang w:val="es-ES_tradnl"/>
        </w:rPr>
        <w:t xml:space="preserve">14 </w:t>
      </w:r>
      <w:r w:rsidRPr="00FD7F50">
        <w:rPr>
          <w:rFonts w:ascii="Arial" w:eastAsia="Calibri" w:hAnsi="Arial" w:cs="Arial"/>
          <w:bCs/>
          <w:sz w:val="24"/>
          <w:szCs w:val="24"/>
          <w:lang w:val="es-ES_tradnl"/>
        </w:rPr>
        <w:t xml:space="preserve">de la </w:t>
      </w:r>
      <w:r w:rsidR="00B95428" w:rsidRPr="00FD7F50">
        <w:rPr>
          <w:rFonts w:ascii="Arial" w:eastAsia="Calibri" w:hAnsi="Arial" w:cs="Arial"/>
          <w:bCs/>
          <w:sz w:val="24"/>
          <w:szCs w:val="24"/>
          <w:lang w:val="es-ES_tradnl"/>
        </w:rPr>
        <w:t>Constitución</w:t>
      </w:r>
      <w:r w:rsidR="002F74BF" w:rsidRPr="00FD7F50">
        <w:rPr>
          <w:rFonts w:ascii="Arial" w:eastAsia="Calibri" w:hAnsi="Arial" w:cs="Arial"/>
          <w:bCs/>
          <w:sz w:val="24"/>
          <w:szCs w:val="24"/>
          <w:lang w:val="es-ES_tradnl"/>
        </w:rPr>
        <w:t xml:space="preserve"> Política </w:t>
      </w:r>
      <w:r w:rsidR="00094244">
        <w:rPr>
          <w:rFonts w:ascii="Arial" w:eastAsia="Calibri" w:hAnsi="Arial" w:cs="Arial"/>
          <w:bCs/>
          <w:sz w:val="24"/>
          <w:szCs w:val="24"/>
          <w:lang w:val="es-ES_tradnl"/>
        </w:rPr>
        <w:t>de Guatemala;</w:t>
      </w:r>
      <w:r w:rsidR="00DD74EC">
        <w:rPr>
          <w:rFonts w:ascii="Arial" w:eastAsia="Calibri" w:hAnsi="Arial" w:cs="Arial"/>
          <w:bCs/>
          <w:sz w:val="24"/>
          <w:szCs w:val="24"/>
          <w:lang w:val="es-ES_tradnl"/>
        </w:rPr>
        <w:t xml:space="preserve"> </w:t>
      </w:r>
      <w:r w:rsidR="00B95428" w:rsidRPr="00FD7F50">
        <w:rPr>
          <w:rFonts w:ascii="Arial" w:eastAsia="Calibri" w:hAnsi="Arial" w:cs="Arial"/>
          <w:bCs/>
          <w:sz w:val="24"/>
          <w:szCs w:val="24"/>
          <w:lang w:val="es-ES_tradnl"/>
        </w:rPr>
        <w:t>aunado</w:t>
      </w:r>
      <w:r w:rsidRPr="00FD7F50">
        <w:rPr>
          <w:rFonts w:ascii="Arial" w:eastAsia="Calibri" w:hAnsi="Arial" w:cs="Arial"/>
          <w:bCs/>
          <w:sz w:val="24"/>
          <w:szCs w:val="24"/>
          <w:lang w:val="es-ES_tradnl"/>
        </w:rPr>
        <w:t xml:space="preserve"> </w:t>
      </w:r>
      <w:r w:rsidR="00DD74EC">
        <w:rPr>
          <w:rFonts w:ascii="Arial" w:eastAsia="Calibri" w:hAnsi="Arial" w:cs="Arial"/>
          <w:bCs/>
          <w:sz w:val="24"/>
          <w:szCs w:val="24"/>
          <w:lang w:val="es-ES_tradnl"/>
        </w:rPr>
        <w:t xml:space="preserve">a ello, </w:t>
      </w:r>
      <w:r w:rsidRPr="00FD7F50">
        <w:rPr>
          <w:rFonts w:ascii="Arial" w:eastAsia="Calibri" w:hAnsi="Arial" w:cs="Arial"/>
          <w:bCs/>
          <w:sz w:val="24"/>
          <w:szCs w:val="24"/>
          <w:lang w:val="es-ES_tradnl"/>
        </w:rPr>
        <w:t>algunos funcionarios</w:t>
      </w:r>
      <w:r w:rsidR="00DD74EC">
        <w:rPr>
          <w:rFonts w:ascii="Arial" w:eastAsia="Calibri" w:hAnsi="Arial" w:cs="Arial"/>
          <w:bCs/>
          <w:sz w:val="24"/>
          <w:szCs w:val="24"/>
          <w:lang w:val="es-ES_tradnl"/>
        </w:rPr>
        <w:t xml:space="preserve"> de acuerdo </w:t>
      </w:r>
      <w:r w:rsidR="00623752">
        <w:rPr>
          <w:rFonts w:ascii="Arial" w:eastAsia="Calibri" w:hAnsi="Arial" w:cs="Arial"/>
          <w:bCs/>
          <w:sz w:val="24"/>
          <w:szCs w:val="24"/>
          <w:lang w:val="es-ES_tradnl"/>
        </w:rPr>
        <w:t>a las funciones que realizan</w:t>
      </w:r>
      <w:r w:rsidR="00094244">
        <w:rPr>
          <w:rFonts w:ascii="Arial" w:eastAsia="Calibri" w:hAnsi="Arial" w:cs="Arial"/>
          <w:bCs/>
          <w:sz w:val="24"/>
          <w:szCs w:val="24"/>
          <w:lang w:val="es-ES_tradnl"/>
        </w:rPr>
        <w:t>,</w:t>
      </w:r>
      <w:r w:rsidR="00623752">
        <w:rPr>
          <w:rFonts w:ascii="Arial" w:eastAsia="Calibri" w:hAnsi="Arial" w:cs="Arial"/>
          <w:bCs/>
          <w:sz w:val="24"/>
          <w:szCs w:val="24"/>
          <w:lang w:val="es-ES_tradnl"/>
        </w:rPr>
        <w:t xml:space="preserve"> cuentan con </w:t>
      </w:r>
      <w:r w:rsidRPr="00FD7F50">
        <w:rPr>
          <w:rFonts w:ascii="Arial" w:eastAsia="Calibri" w:hAnsi="Arial" w:cs="Arial"/>
          <w:bCs/>
          <w:sz w:val="24"/>
          <w:szCs w:val="24"/>
          <w:lang w:val="es-ES_tradnl"/>
        </w:rPr>
        <w:t xml:space="preserve">protección adicional </w:t>
      </w:r>
      <w:r w:rsidR="00623752">
        <w:rPr>
          <w:rFonts w:ascii="Arial" w:eastAsia="Calibri" w:hAnsi="Arial" w:cs="Arial"/>
          <w:bCs/>
          <w:sz w:val="24"/>
          <w:szCs w:val="24"/>
          <w:lang w:val="es-ES_tradnl"/>
        </w:rPr>
        <w:t xml:space="preserve">de </w:t>
      </w:r>
      <w:r w:rsidRPr="00FD7F50">
        <w:rPr>
          <w:rFonts w:ascii="Arial" w:eastAsia="Calibri" w:hAnsi="Arial" w:cs="Arial"/>
          <w:bCs/>
          <w:sz w:val="24"/>
          <w:szCs w:val="24"/>
          <w:lang w:val="es-ES_tradnl"/>
        </w:rPr>
        <w:t>antejuicio</w:t>
      </w:r>
      <w:r w:rsidR="00623752">
        <w:rPr>
          <w:rFonts w:ascii="Arial" w:eastAsia="Calibri" w:hAnsi="Arial" w:cs="Arial"/>
          <w:bCs/>
          <w:sz w:val="24"/>
          <w:szCs w:val="24"/>
          <w:lang w:val="es-ES_tradnl"/>
        </w:rPr>
        <w:t>.</w:t>
      </w:r>
    </w:p>
    <w:p w:rsidR="004710CE" w:rsidRPr="004710CE" w:rsidRDefault="0077353F" w:rsidP="00E360F4">
      <w:pPr>
        <w:pStyle w:val="SingleTxtG"/>
        <w:ind w:left="0" w:right="49"/>
        <w:rPr>
          <w:rFonts w:ascii="Arial" w:hAnsi="Arial" w:cs="Arial"/>
          <w:i/>
          <w:sz w:val="24"/>
          <w:szCs w:val="24"/>
          <w:lang w:val="es-ES_tradnl"/>
        </w:rPr>
      </w:pPr>
      <w:r>
        <w:rPr>
          <w:rFonts w:ascii="Arial" w:hAnsi="Arial" w:cs="Arial"/>
          <w:i/>
          <w:sz w:val="24"/>
          <w:szCs w:val="24"/>
          <w:lang w:val="es-ES_tradnl"/>
        </w:rPr>
        <w:t xml:space="preserve">Recomendación al </w:t>
      </w:r>
      <w:r w:rsidR="004710CE" w:rsidRPr="004710CE">
        <w:rPr>
          <w:rFonts w:ascii="Arial" w:hAnsi="Arial" w:cs="Arial"/>
          <w:i/>
          <w:sz w:val="24"/>
          <w:szCs w:val="24"/>
          <w:lang w:val="es-ES_tradnl"/>
        </w:rPr>
        <w:t>Párrafo 10:</w:t>
      </w:r>
    </w:p>
    <w:p w:rsidR="0077353F" w:rsidRPr="00851B2B" w:rsidRDefault="0077353F" w:rsidP="00851B2B">
      <w:pPr>
        <w:pStyle w:val="SingleTxtG"/>
        <w:ind w:left="0" w:right="49"/>
        <w:rPr>
          <w:rFonts w:ascii="Arial" w:hAnsi="Arial" w:cs="Arial"/>
          <w:b/>
          <w:sz w:val="24"/>
          <w:szCs w:val="24"/>
        </w:rPr>
      </w:pPr>
      <w:r w:rsidRPr="00851B2B">
        <w:rPr>
          <w:rFonts w:ascii="Arial" w:hAnsi="Arial" w:cs="Arial"/>
          <w:b/>
          <w:sz w:val="24"/>
          <w:szCs w:val="24"/>
        </w:rPr>
        <w:t xml:space="preserve">El Comité reitera su anterior recomendación (párr. 15) según la cual el Estado parte debe aplicar plenamente la Ley de Reconciliación Nacional que, </w:t>
      </w:r>
      <w:r w:rsidRPr="00851B2B">
        <w:rPr>
          <w:rFonts w:ascii="Arial" w:hAnsi="Arial" w:cs="Arial"/>
          <w:b/>
          <w:i/>
          <w:sz w:val="24"/>
          <w:szCs w:val="24"/>
        </w:rPr>
        <w:t>inter alia</w:t>
      </w:r>
      <w:r w:rsidRPr="00851B2B">
        <w:rPr>
          <w:rFonts w:ascii="Arial" w:hAnsi="Arial" w:cs="Arial"/>
          <w:b/>
          <w:sz w:val="24"/>
          <w:szCs w:val="24"/>
        </w:rPr>
        <w:t>, deniega explícitamente la amnistía a los autores de los delitos de genocidio, tortura y desaparición forzada, así como de aquellos delitos que sean imprescriptibles o que no admitan la extinción de la responsabilidad penal, de conformidad con el derecho interno o los tratados internacionales ratificados por Guatemala. Asimismo, el Comité recomienda que el Estado parte:</w:t>
      </w:r>
      <w:r w:rsidR="00851B2B" w:rsidRPr="00851B2B">
        <w:rPr>
          <w:rFonts w:ascii="Arial" w:hAnsi="Arial" w:cs="Arial"/>
          <w:b/>
          <w:sz w:val="24"/>
          <w:szCs w:val="24"/>
        </w:rPr>
        <w:t>…</w:t>
      </w:r>
    </w:p>
    <w:p w:rsidR="00163ED2" w:rsidRPr="00572E0B" w:rsidRDefault="00163ED2" w:rsidP="00163ED2">
      <w:pPr>
        <w:pStyle w:val="SingleTxtG"/>
        <w:ind w:left="0"/>
        <w:rPr>
          <w:rFonts w:ascii="Arial" w:hAnsi="Arial" w:cs="Arial"/>
          <w:b/>
          <w:sz w:val="24"/>
          <w:szCs w:val="24"/>
          <w:lang w:val="es-ES_tradnl"/>
        </w:rPr>
      </w:pPr>
    </w:p>
    <w:p w:rsidR="00835A0D" w:rsidRPr="00572E0B" w:rsidRDefault="00163ED2" w:rsidP="00E360F4">
      <w:pPr>
        <w:pStyle w:val="SingleTxtG"/>
        <w:ind w:left="0" w:right="49"/>
        <w:rPr>
          <w:rFonts w:ascii="Arial" w:hAnsi="Arial" w:cs="Arial"/>
          <w:sz w:val="24"/>
          <w:szCs w:val="24"/>
          <w:lang w:val="es-ES_tradnl"/>
        </w:rPr>
      </w:pPr>
      <w:r w:rsidRPr="00572E0B">
        <w:rPr>
          <w:rFonts w:ascii="Arial" w:hAnsi="Arial" w:cs="Arial"/>
          <w:sz w:val="24"/>
          <w:szCs w:val="24"/>
          <w:lang w:val="es-ES_tradnl"/>
        </w:rPr>
        <w:t>El gobierno de Guatemala reitera al Comit</w:t>
      </w:r>
      <w:r w:rsidR="00520E09">
        <w:rPr>
          <w:rFonts w:ascii="Arial" w:hAnsi="Arial" w:cs="Arial"/>
          <w:sz w:val="24"/>
          <w:szCs w:val="24"/>
          <w:lang w:val="es-ES_tradnl"/>
        </w:rPr>
        <w:t>é que corresponde a los T</w:t>
      </w:r>
      <w:r w:rsidRPr="00572E0B">
        <w:rPr>
          <w:rFonts w:ascii="Arial" w:hAnsi="Arial" w:cs="Arial"/>
          <w:sz w:val="24"/>
          <w:szCs w:val="24"/>
          <w:lang w:val="es-ES_tradnl"/>
        </w:rPr>
        <w:t xml:space="preserve">ribunales de </w:t>
      </w:r>
      <w:r w:rsidR="00565B11">
        <w:rPr>
          <w:rFonts w:ascii="Arial" w:hAnsi="Arial" w:cs="Arial"/>
          <w:sz w:val="24"/>
          <w:szCs w:val="24"/>
          <w:lang w:val="es-ES_tradnl"/>
        </w:rPr>
        <w:t>J</w:t>
      </w:r>
      <w:r w:rsidR="00835A0D" w:rsidRPr="00572E0B">
        <w:rPr>
          <w:rFonts w:ascii="Arial" w:hAnsi="Arial" w:cs="Arial"/>
          <w:sz w:val="24"/>
          <w:szCs w:val="24"/>
          <w:lang w:val="es-ES_tradnl"/>
        </w:rPr>
        <w:t>usticia</w:t>
      </w:r>
      <w:r w:rsidRPr="00572E0B">
        <w:rPr>
          <w:rFonts w:ascii="Arial" w:hAnsi="Arial" w:cs="Arial"/>
          <w:sz w:val="24"/>
          <w:szCs w:val="24"/>
          <w:lang w:val="es-ES_tradnl"/>
        </w:rPr>
        <w:t xml:space="preserve"> resolver sobre la aplicaci</w:t>
      </w:r>
      <w:r w:rsidR="00D4345A">
        <w:rPr>
          <w:rFonts w:ascii="Arial" w:hAnsi="Arial" w:cs="Arial"/>
          <w:sz w:val="24"/>
          <w:szCs w:val="24"/>
          <w:lang w:val="es-ES_tradnl"/>
        </w:rPr>
        <w:t xml:space="preserve">ón de </w:t>
      </w:r>
      <w:r w:rsidRPr="00572E0B">
        <w:rPr>
          <w:rFonts w:ascii="Arial" w:hAnsi="Arial" w:cs="Arial"/>
          <w:sz w:val="24"/>
          <w:szCs w:val="24"/>
          <w:lang w:val="es-ES_tradnl"/>
        </w:rPr>
        <w:t>amnistías vigentes a h</w:t>
      </w:r>
      <w:r w:rsidR="00D4345A">
        <w:rPr>
          <w:rFonts w:ascii="Arial" w:hAnsi="Arial" w:cs="Arial"/>
          <w:sz w:val="24"/>
          <w:szCs w:val="24"/>
          <w:lang w:val="es-ES_tradnl"/>
        </w:rPr>
        <w:t>echos ocurridos durante</w:t>
      </w:r>
      <w:r w:rsidRPr="00572E0B">
        <w:rPr>
          <w:rFonts w:ascii="Arial" w:hAnsi="Arial" w:cs="Arial"/>
          <w:sz w:val="24"/>
          <w:szCs w:val="24"/>
          <w:lang w:val="es-ES_tradnl"/>
        </w:rPr>
        <w:t xml:space="preserve"> el enfrentamiento armado interno,</w:t>
      </w:r>
      <w:r w:rsidR="00835A0D" w:rsidRPr="00572E0B">
        <w:rPr>
          <w:rFonts w:ascii="Arial" w:hAnsi="Arial" w:cs="Arial"/>
          <w:sz w:val="24"/>
          <w:szCs w:val="24"/>
          <w:lang w:val="es-ES_tradnl"/>
        </w:rPr>
        <w:t xml:space="preserve"> así </w:t>
      </w:r>
      <w:r w:rsidRPr="00572E0B">
        <w:rPr>
          <w:rFonts w:ascii="Arial" w:hAnsi="Arial" w:cs="Arial"/>
          <w:sz w:val="24"/>
          <w:szCs w:val="24"/>
          <w:lang w:val="es-ES_tradnl"/>
        </w:rPr>
        <w:t>como</w:t>
      </w:r>
      <w:r w:rsidR="00094244">
        <w:rPr>
          <w:rFonts w:ascii="Arial" w:hAnsi="Arial" w:cs="Arial"/>
          <w:sz w:val="24"/>
          <w:szCs w:val="24"/>
          <w:lang w:val="es-ES_tradnl"/>
        </w:rPr>
        <w:t>,</w:t>
      </w:r>
      <w:r w:rsidRPr="00572E0B">
        <w:rPr>
          <w:rFonts w:ascii="Arial" w:hAnsi="Arial" w:cs="Arial"/>
          <w:sz w:val="24"/>
          <w:szCs w:val="24"/>
          <w:lang w:val="es-ES_tradnl"/>
        </w:rPr>
        <w:t xml:space="preserve"> resolver sobre </w:t>
      </w:r>
      <w:r w:rsidR="00565B11">
        <w:rPr>
          <w:rFonts w:ascii="Arial" w:hAnsi="Arial" w:cs="Arial"/>
          <w:sz w:val="24"/>
          <w:szCs w:val="24"/>
          <w:lang w:val="es-ES_tradnl"/>
        </w:rPr>
        <w:t xml:space="preserve">la </w:t>
      </w:r>
      <w:r w:rsidR="00835A0D" w:rsidRPr="00572E0B">
        <w:rPr>
          <w:rFonts w:ascii="Arial" w:hAnsi="Arial" w:cs="Arial"/>
          <w:sz w:val="24"/>
          <w:szCs w:val="24"/>
          <w:lang w:val="es-ES_tradnl"/>
        </w:rPr>
        <w:t>irretroactividad</w:t>
      </w:r>
      <w:r w:rsidRPr="00572E0B">
        <w:rPr>
          <w:rFonts w:ascii="Arial" w:hAnsi="Arial" w:cs="Arial"/>
          <w:sz w:val="24"/>
          <w:szCs w:val="24"/>
          <w:lang w:val="es-ES_tradnl"/>
        </w:rPr>
        <w:t xml:space="preserve"> o </w:t>
      </w:r>
      <w:r w:rsidR="00835A0D" w:rsidRPr="00572E0B">
        <w:rPr>
          <w:rFonts w:ascii="Arial" w:hAnsi="Arial" w:cs="Arial"/>
          <w:sz w:val="24"/>
          <w:szCs w:val="24"/>
          <w:lang w:val="es-ES_tradnl"/>
        </w:rPr>
        <w:t>prescripción</w:t>
      </w:r>
      <w:r w:rsidRPr="00572E0B">
        <w:rPr>
          <w:rFonts w:ascii="Arial" w:hAnsi="Arial" w:cs="Arial"/>
          <w:sz w:val="24"/>
          <w:szCs w:val="24"/>
          <w:lang w:val="es-ES_tradnl"/>
        </w:rPr>
        <w:t xml:space="preserve"> de la responsabilidad penal</w:t>
      </w:r>
      <w:r w:rsidR="00245083" w:rsidRPr="00572E0B">
        <w:rPr>
          <w:rFonts w:ascii="Arial" w:hAnsi="Arial" w:cs="Arial"/>
          <w:sz w:val="24"/>
          <w:szCs w:val="24"/>
          <w:lang w:val="es-ES_tradnl"/>
        </w:rPr>
        <w:t>.</w:t>
      </w:r>
      <w:r w:rsidRPr="00572E0B">
        <w:rPr>
          <w:rFonts w:ascii="Arial" w:hAnsi="Arial" w:cs="Arial"/>
          <w:sz w:val="24"/>
          <w:szCs w:val="24"/>
          <w:lang w:val="es-ES_tradnl"/>
        </w:rPr>
        <w:t xml:space="preserve"> </w:t>
      </w:r>
    </w:p>
    <w:p w:rsidR="00827173" w:rsidRPr="00572E0B" w:rsidRDefault="00C24161" w:rsidP="00252E28">
      <w:pPr>
        <w:autoSpaceDE w:val="0"/>
        <w:autoSpaceDN w:val="0"/>
        <w:adjustRightInd w:val="0"/>
        <w:spacing w:line="240" w:lineRule="auto"/>
        <w:jc w:val="both"/>
        <w:rPr>
          <w:rFonts w:ascii="Arial" w:eastAsia="Calibri" w:hAnsi="Arial" w:cs="Arial"/>
          <w:bCs/>
          <w:sz w:val="24"/>
          <w:szCs w:val="24"/>
        </w:rPr>
      </w:pPr>
      <w:r w:rsidRPr="00572E0B">
        <w:rPr>
          <w:rFonts w:ascii="Arial" w:eastAsia="Calibri" w:hAnsi="Arial" w:cs="Arial"/>
          <w:bCs/>
          <w:sz w:val="24"/>
          <w:szCs w:val="24"/>
        </w:rPr>
        <w:t xml:space="preserve">Guatemala </w:t>
      </w:r>
      <w:r w:rsidR="00E360F4">
        <w:rPr>
          <w:rFonts w:ascii="Arial" w:eastAsia="Calibri" w:hAnsi="Arial" w:cs="Arial"/>
          <w:bCs/>
          <w:sz w:val="24"/>
          <w:szCs w:val="24"/>
        </w:rPr>
        <w:t>h</w:t>
      </w:r>
      <w:r w:rsidRPr="00572E0B">
        <w:rPr>
          <w:rFonts w:ascii="Arial" w:eastAsia="Calibri" w:hAnsi="Arial" w:cs="Arial"/>
          <w:bCs/>
          <w:sz w:val="24"/>
          <w:szCs w:val="24"/>
        </w:rPr>
        <w:t xml:space="preserve">a aceptado responsabilidad como Estado por violaciones a los derechos </w:t>
      </w:r>
      <w:r w:rsidR="00292B43">
        <w:rPr>
          <w:rFonts w:ascii="Arial" w:eastAsia="Calibri" w:hAnsi="Arial" w:cs="Arial"/>
          <w:bCs/>
          <w:sz w:val="24"/>
          <w:szCs w:val="24"/>
        </w:rPr>
        <w:t xml:space="preserve">humanos, contando así mismo </w:t>
      </w:r>
      <w:r w:rsidR="001A70EE">
        <w:rPr>
          <w:rFonts w:ascii="Arial" w:eastAsia="Calibri" w:hAnsi="Arial" w:cs="Arial"/>
          <w:bCs/>
          <w:sz w:val="24"/>
          <w:szCs w:val="24"/>
        </w:rPr>
        <w:t>con un Programa Nacional de R</w:t>
      </w:r>
      <w:r w:rsidRPr="00572E0B">
        <w:rPr>
          <w:rFonts w:ascii="Arial" w:eastAsia="Calibri" w:hAnsi="Arial" w:cs="Arial"/>
          <w:bCs/>
          <w:sz w:val="24"/>
          <w:szCs w:val="24"/>
        </w:rPr>
        <w:t>esarcimiento</w:t>
      </w:r>
      <w:r w:rsidR="00292B43">
        <w:rPr>
          <w:rFonts w:ascii="Arial" w:eastAsia="Calibri" w:hAnsi="Arial" w:cs="Arial"/>
          <w:bCs/>
          <w:sz w:val="24"/>
          <w:szCs w:val="24"/>
        </w:rPr>
        <w:t xml:space="preserve"> a favor de las victimas del enfrentamiento armado interno</w:t>
      </w:r>
      <w:r w:rsidRPr="00572E0B">
        <w:rPr>
          <w:rFonts w:ascii="Arial" w:eastAsia="Calibri" w:hAnsi="Arial" w:cs="Arial"/>
          <w:bCs/>
          <w:sz w:val="24"/>
          <w:szCs w:val="24"/>
        </w:rPr>
        <w:t>. El Gobierno rechaza que se califique</w:t>
      </w:r>
      <w:r w:rsidR="00565B11">
        <w:rPr>
          <w:rFonts w:ascii="Arial" w:eastAsia="Calibri" w:hAnsi="Arial" w:cs="Arial"/>
          <w:bCs/>
          <w:sz w:val="24"/>
          <w:szCs w:val="24"/>
        </w:rPr>
        <w:t xml:space="preserve"> como impunidad el que no existan </w:t>
      </w:r>
      <w:r w:rsidRPr="00572E0B">
        <w:rPr>
          <w:rFonts w:ascii="Arial" w:eastAsia="Calibri" w:hAnsi="Arial" w:cs="Arial"/>
          <w:bCs/>
          <w:sz w:val="24"/>
          <w:szCs w:val="24"/>
        </w:rPr>
        <w:t xml:space="preserve">procesos penales por hechos en los que los tribunales, de conformidad con los tratados de derechos humanos </w:t>
      </w:r>
      <w:r w:rsidR="00ED7C09">
        <w:rPr>
          <w:rFonts w:ascii="Arial" w:eastAsia="Calibri" w:hAnsi="Arial" w:cs="Arial"/>
          <w:bCs/>
          <w:sz w:val="24"/>
          <w:szCs w:val="24"/>
        </w:rPr>
        <w:t>y la Ley N</w:t>
      </w:r>
      <w:r w:rsidR="00827173" w:rsidRPr="00572E0B">
        <w:rPr>
          <w:rFonts w:ascii="Arial" w:eastAsia="Calibri" w:hAnsi="Arial" w:cs="Arial"/>
          <w:bCs/>
          <w:sz w:val="24"/>
          <w:szCs w:val="24"/>
        </w:rPr>
        <w:t>acional</w:t>
      </w:r>
      <w:r w:rsidR="00565B11">
        <w:rPr>
          <w:rFonts w:ascii="Arial" w:eastAsia="Calibri" w:hAnsi="Arial" w:cs="Arial"/>
          <w:bCs/>
          <w:sz w:val="24"/>
          <w:szCs w:val="24"/>
        </w:rPr>
        <w:t>,</w:t>
      </w:r>
      <w:r w:rsidR="00827173" w:rsidRPr="00572E0B">
        <w:rPr>
          <w:rFonts w:ascii="Arial" w:eastAsia="Calibri" w:hAnsi="Arial" w:cs="Arial"/>
          <w:bCs/>
          <w:sz w:val="24"/>
          <w:szCs w:val="24"/>
        </w:rPr>
        <w:t xml:space="preserve"> </w:t>
      </w:r>
      <w:r w:rsidR="00ED7C09">
        <w:rPr>
          <w:rFonts w:ascii="Arial" w:eastAsia="Calibri" w:hAnsi="Arial" w:cs="Arial"/>
          <w:bCs/>
          <w:sz w:val="24"/>
          <w:szCs w:val="24"/>
        </w:rPr>
        <w:t>se resuelva</w:t>
      </w:r>
      <w:r w:rsidR="00827173" w:rsidRPr="00572E0B">
        <w:rPr>
          <w:rFonts w:ascii="Arial" w:eastAsia="Calibri" w:hAnsi="Arial" w:cs="Arial"/>
          <w:bCs/>
          <w:sz w:val="24"/>
          <w:szCs w:val="24"/>
        </w:rPr>
        <w:t xml:space="preserve"> la aplicación</w:t>
      </w:r>
      <w:r w:rsidR="00E83AA8" w:rsidRPr="00572E0B">
        <w:rPr>
          <w:rFonts w:ascii="Arial" w:eastAsia="Calibri" w:hAnsi="Arial" w:cs="Arial"/>
          <w:bCs/>
          <w:sz w:val="24"/>
          <w:szCs w:val="24"/>
        </w:rPr>
        <w:t xml:space="preserve"> </w:t>
      </w:r>
      <w:r w:rsidR="00827173" w:rsidRPr="00572E0B">
        <w:rPr>
          <w:rFonts w:ascii="Arial" w:eastAsia="Calibri" w:hAnsi="Arial" w:cs="Arial"/>
          <w:bCs/>
          <w:sz w:val="24"/>
          <w:szCs w:val="24"/>
        </w:rPr>
        <w:t xml:space="preserve">de la amnistía, irretroactividad de la ley penal o prescripción. </w:t>
      </w:r>
    </w:p>
    <w:p w:rsidR="0016141B" w:rsidRPr="00572E0B" w:rsidRDefault="00292B43" w:rsidP="00252E2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De igual forma e</w:t>
      </w:r>
      <w:r w:rsidR="00827173" w:rsidRPr="00572E0B">
        <w:rPr>
          <w:rFonts w:ascii="Arial" w:eastAsia="Calibri" w:hAnsi="Arial" w:cs="Arial"/>
          <w:bCs/>
          <w:sz w:val="24"/>
          <w:szCs w:val="24"/>
        </w:rPr>
        <w:t>l gobierno de Guatemala</w:t>
      </w:r>
      <w:r>
        <w:rPr>
          <w:rFonts w:ascii="Arial" w:eastAsia="Calibri" w:hAnsi="Arial" w:cs="Arial"/>
          <w:bCs/>
          <w:sz w:val="24"/>
          <w:szCs w:val="24"/>
        </w:rPr>
        <w:t xml:space="preserve"> por este medio</w:t>
      </w:r>
      <w:r w:rsidR="00827173" w:rsidRPr="00572E0B">
        <w:rPr>
          <w:rFonts w:ascii="Arial" w:eastAsia="Calibri" w:hAnsi="Arial" w:cs="Arial"/>
          <w:bCs/>
          <w:sz w:val="24"/>
          <w:szCs w:val="24"/>
        </w:rPr>
        <w:t xml:space="preserve"> reitera</w:t>
      </w:r>
      <w:r>
        <w:rPr>
          <w:rFonts w:ascii="Arial" w:eastAsia="Calibri" w:hAnsi="Arial" w:cs="Arial"/>
          <w:bCs/>
          <w:sz w:val="24"/>
          <w:szCs w:val="24"/>
        </w:rPr>
        <w:t xml:space="preserve"> </w:t>
      </w:r>
      <w:r w:rsidR="004B5213">
        <w:rPr>
          <w:rFonts w:ascii="Arial" w:eastAsia="Calibri" w:hAnsi="Arial" w:cs="Arial"/>
          <w:bCs/>
          <w:sz w:val="24"/>
          <w:szCs w:val="24"/>
        </w:rPr>
        <w:t xml:space="preserve">su rechazo a que el criterio del gobierno sobre que  </w:t>
      </w:r>
      <w:r w:rsidR="00827173" w:rsidRPr="00572E0B">
        <w:rPr>
          <w:rFonts w:ascii="Arial" w:eastAsia="Calibri" w:hAnsi="Arial" w:cs="Arial"/>
          <w:bCs/>
          <w:sz w:val="24"/>
          <w:szCs w:val="24"/>
        </w:rPr>
        <w:t xml:space="preserve">en Guatemala </w:t>
      </w:r>
      <w:r w:rsidR="004B5213">
        <w:rPr>
          <w:rFonts w:ascii="Arial" w:eastAsia="Calibri" w:hAnsi="Arial" w:cs="Arial"/>
          <w:bCs/>
          <w:sz w:val="24"/>
          <w:szCs w:val="24"/>
        </w:rPr>
        <w:t xml:space="preserve">no hubo </w:t>
      </w:r>
      <w:r w:rsidR="00827173" w:rsidRPr="00572E0B">
        <w:rPr>
          <w:rFonts w:ascii="Arial" w:eastAsia="Calibri" w:hAnsi="Arial" w:cs="Arial"/>
          <w:bCs/>
          <w:sz w:val="24"/>
          <w:szCs w:val="24"/>
        </w:rPr>
        <w:t>genocidio</w:t>
      </w:r>
      <w:r w:rsidR="00BF492E">
        <w:rPr>
          <w:rFonts w:ascii="Arial" w:eastAsia="Calibri" w:hAnsi="Arial" w:cs="Arial"/>
          <w:bCs/>
          <w:sz w:val="24"/>
          <w:szCs w:val="24"/>
        </w:rPr>
        <w:t>,</w:t>
      </w:r>
      <w:r w:rsidR="004B5213">
        <w:rPr>
          <w:rFonts w:ascii="Arial" w:eastAsia="Calibri" w:hAnsi="Arial" w:cs="Arial"/>
          <w:bCs/>
          <w:sz w:val="24"/>
          <w:szCs w:val="24"/>
        </w:rPr>
        <w:t xml:space="preserve"> se entienda</w:t>
      </w:r>
      <w:r w:rsidR="00827173" w:rsidRPr="00572E0B">
        <w:rPr>
          <w:rFonts w:ascii="Arial" w:eastAsia="Calibri" w:hAnsi="Arial" w:cs="Arial"/>
          <w:bCs/>
          <w:sz w:val="24"/>
          <w:szCs w:val="24"/>
        </w:rPr>
        <w:t xml:space="preserve"> como </w:t>
      </w:r>
      <w:r w:rsidR="00E83AA8" w:rsidRPr="00572E0B">
        <w:rPr>
          <w:rFonts w:ascii="Arial" w:eastAsia="Calibri" w:hAnsi="Arial" w:cs="Arial"/>
          <w:bCs/>
          <w:sz w:val="24"/>
          <w:szCs w:val="24"/>
        </w:rPr>
        <w:t>pretensión</w:t>
      </w:r>
      <w:r w:rsidR="00827173" w:rsidRPr="00572E0B">
        <w:rPr>
          <w:rFonts w:ascii="Arial" w:eastAsia="Calibri" w:hAnsi="Arial" w:cs="Arial"/>
          <w:bCs/>
          <w:sz w:val="24"/>
          <w:szCs w:val="24"/>
        </w:rPr>
        <w:t xml:space="preserve"> de influir en la decisión de los jueces. Los funci</w:t>
      </w:r>
      <w:r>
        <w:rPr>
          <w:rFonts w:ascii="Arial" w:eastAsia="Calibri" w:hAnsi="Arial" w:cs="Arial"/>
          <w:bCs/>
          <w:sz w:val="24"/>
          <w:szCs w:val="24"/>
        </w:rPr>
        <w:t>onarios que han manifestado</w:t>
      </w:r>
      <w:r w:rsidR="00E83AA8" w:rsidRPr="00572E0B">
        <w:rPr>
          <w:rFonts w:ascii="Arial" w:eastAsia="Calibri" w:hAnsi="Arial" w:cs="Arial"/>
          <w:bCs/>
          <w:sz w:val="24"/>
          <w:szCs w:val="24"/>
        </w:rPr>
        <w:t xml:space="preserve"> su opinión</w:t>
      </w:r>
      <w:r w:rsidR="00FD57A8">
        <w:rPr>
          <w:rFonts w:ascii="Arial" w:eastAsia="Calibri" w:hAnsi="Arial" w:cs="Arial"/>
          <w:bCs/>
          <w:sz w:val="24"/>
          <w:szCs w:val="24"/>
        </w:rPr>
        <w:t xml:space="preserve"> </w:t>
      </w:r>
      <w:r>
        <w:rPr>
          <w:rFonts w:ascii="Arial" w:eastAsia="Calibri" w:hAnsi="Arial" w:cs="Arial"/>
          <w:bCs/>
          <w:sz w:val="24"/>
          <w:szCs w:val="24"/>
        </w:rPr>
        <w:t>lo han hecho</w:t>
      </w:r>
      <w:r w:rsidR="00BF492E">
        <w:rPr>
          <w:rFonts w:ascii="Arial" w:eastAsia="Calibri" w:hAnsi="Arial" w:cs="Arial"/>
          <w:bCs/>
          <w:sz w:val="24"/>
          <w:szCs w:val="24"/>
        </w:rPr>
        <w:t xml:space="preserve"> en ejercicio legí</w:t>
      </w:r>
      <w:r w:rsidR="00827173" w:rsidRPr="00572E0B">
        <w:rPr>
          <w:rFonts w:ascii="Arial" w:eastAsia="Calibri" w:hAnsi="Arial" w:cs="Arial"/>
          <w:bCs/>
          <w:sz w:val="24"/>
          <w:szCs w:val="24"/>
        </w:rPr>
        <w:t>ti</w:t>
      </w:r>
      <w:r>
        <w:rPr>
          <w:rFonts w:ascii="Arial" w:eastAsia="Calibri" w:hAnsi="Arial" w:cs="Arial"/>
          <w:bCs/>
          <w:sz w:val="24"/>
          <w:szCs w:val="24"/>
        </w:rPr>
        <w:t>mo de su libertad de expresión, por lo que</w:t>
      </w:r>
      <w:r w:rsidR="00827173" w:rsidRPr="00572E0B">
        <w:rPr>
          <w:rFonts w:ascii="Arial" w:eastAsia="Calibri" w:hAnsi="Arial" w:cs="Arial"/>
          <w:bCs/>
          <w:sz w:val="24"/>
          <w:szCs w:val="24"/>
        </w:rPr>
        <w:t xml:space="preserve"> de ninguna manera puede interpretarse</w:t>
      </w:r>
      <w:r>
        <w:rPr>
          <w:rFonts w:ascii="Arial" w:eastAsia="Calibri" w:hAnsi="Arial" w:cs="Arial"/>
          <w:bCs/>
          <w:sz w:val="24"/>
          <w:szCs w:val="24"/>
        </w:rPr>
        <w:t xml:space="preserve"> que los posibles</w:t>
      </w:r>
      <w:r w:rsidR="00827173" w:rsidRPr="00572E0B">
        <w:rPr>
          <w:rFonts w:ascii="Arial" w:eastAsia="Calibri" w:hAnsi="Arial" w:cs="Arial"/>
          <w:bCs/>
          <w:sz w:val="24"/>
          <w:szCs w:val="24"/>
        </w:rPr>
        <w:t xml:space="preserve"> alcances</w:t>
      </w:r>
      <w:r>
        <w:rPr>
          <w:rFonts w:ascii="Arial" w:eastAsia="Calibri" w:hAnsi="Arial" w:cs="Arial"/>
          <w:bCs/>
          <w:sz w:val="24"/>
          <w:szCs w:val="24"/>
        </w:rPr>
        <w:t xml:space="preserve"> de tales manifestaciones </w:t>
      </w:r>
      <w:r w:rsidR="00827173" w:rsidRPr="00572E0B">
        <w:rPr>
          <w:rFonts w:ascii="Arial" w:eastAsia="Calibri" w:hAnsi="Arial" w:cs="Arial"/>
          <w:bCs/>
          <w:sz w:val="24"/>
          <w:szCs w:val="24"/>
        </w:rPr>
        <w:t xml:space="preserve"> estarían reñidos con la ley</w:t>
      </w:r>
      <w:r w:rsidR="0016141B" w:rsidRPr="00572E0B">
        <w:rPr>
          <w:rFonts w:ascii="Arial" w:eastAsia="Calibri" w:hAnsi="Arial" w:cs="Arial"/>
          <w:bCs/>
          <w:sz w:val="24"/>
          <w:szCs w:val="24"/>
        </w:rPr>
        <w:t>.</w:t>
      </w:r>
    </w:p>
    <w:p w:rsidR="00292B43" w:rsidRDefault="00292B43" w:rsidP="0015730B">
      <w:pPr>
        <w:pStyle w:val="SingleTxtG"/>
        <w:ind w:left="0" w:right="49"/>
        <w:rPr>
          <w:rFonts w:ascii="Arial" w:eastAsia="Calibri" w:hAnsi="Arial" w:cs="Arial"/>
          <w:b/>
          <w:bCs/>
          <w:i/>
          <w:sz w:val="24"/>
          <w:szCs w:val="24"/>
        </w:rPr>
      </w:pPr>
    </w:p>
    <w:p w:rsidR="0015730B" w:rsidRPr="00292B43" w:rsidRDefault="0015730B" w:rsidP="0015730B">
      <w:pPr>
        <w:pStyle w:val="SingleTxtG"/>
        <w:ind w:left="0" w:right="49"/>
        <w:rPr>
          <w:rFonts w:ascii="Arial" w:eastAsia="Calibri" w:hAnsi="Arial" w:cs="Arial"/>
          <w:b/>
          <w:bCs/>
          <w:i/>
          <w:sz w:val="24"/>
          <w:szCs w:val="24"/>
        </w:rPr>
      </w:pPr>
      <w:r w:rsidRPr="00292B43">
        <w:rPr>
          <w:rFonts w:ascii="Arial" w:eastAsia="Calibri" w:hAnsi="Arial" w:cs="Arial"/>
          <w:b/>
          <w:bCs/>
          <w:i/>
          <w:sz w:val="24"/>
          <w:szCs w:val="24"/>
        </w:rPr>
        <w:t>Inciso</w:t>
      </w:r>
      <w:r w:rsidR="004B0560" w:rsidRPr="00292B43">
        <w:rPr>
          <w:rFonts w:ascii="Arial" w:eastAsia="Calibri" w:hAnsi="Arial" w:cs="Arial"/>
          <w:b/>
          <w:bCs/>
          <w:i/>
          <w:sz w:val="24"/>
          <w:szCs w:val="24"/>
        </w:rPr>
        <w:t>s</w:t>
      </w:r>
      <w:r w:rsidRPr="00292B43">
        <w:rPr>
          <w:rFonts w:ascii="Arial" w:eastAsia="Calibri" w:hAnsi="Arial" w:cs="Arial"/>
          <w:b/>
          <w:bCs/>
          <w:i/>
          <w:sz w:val="24"/>
          <w:szCs w:val="24"/>
        </w:rPr>
        <w:t xml:space="preserve"> a)</w:t>
      </w:r>
      <w:r w:rsidR="004B0560" w:rsidRPr="00292B43">
        <w:rPr>
          <w:rFonts w:ascii="Arial" w:eastAsia="Calibri" w:hAnsi="Arial" w:cs="Arial"/>
          <w:b/>
          <w:bCs/>
          <w:i/>
          <w:sz w:val="24"/>
          <w:szCs w:val="24"/>
        </w:rPr>
        <w:t>, b) y e)</w:t>
      </w:r>
      <w:r w:rsidRPr="00292B43">
        <w:rPr>
          <w:rFonts w:ascii="Arial" w:eastAsia="Calibri" w:hAnsi="Arial" w:cs="Arial"/>
          <w:b/>
          <w:bCs/>
          <w:i/>
          <w:sz w:val="24"/>
          <w:szCs w:val="24"/>
        </w:rPr>
        <w:t xml:space="preserve"> del párrafo 10:</w:t>
      </w:r>
      <w:r w:rsidR="00827173" w:rsidRPr="00292B43">
        <w:rPr>
          <w:rFonts w:ascii="Arial" w:eastAsia="Calibri" w:hAnsi="Arial" w:cs="Arial"/>
          <w:b/>
          <w:bCs/>
          <w:i/>
          <w:sz w:val="24"/>
          <w:szCs w:val="24"/>
        </w:rPr>
        <w:t xml:space="preserve"> </w:t>
      </w:r>
    </w:p>
    <w:p w:rsidR="0015730B" w:rsidRPr="00292B43" w:rsidRDefault="0015730B" w:rsidP="0015730B">
      <w:pPr>
        <w:pStyle w:val="SingleTxtG"/>
        <w:ind w:left="0" w:right="49"/>
        <w:rPr>
          <w:rFonts w:ascii="Arial" w:hAnsi="Arial" w:cs="Arial"/>
          <w:b/>
          <w:sz w:val="24"/>
          <w:szCs w:val="24"/>
        </w:rPr>
      </w:pPr>
    </w:p>
    <w:p w:rsidR="003948F3" w:rsidRPr="00572E0B" w:rsidRDefault="003948F3" w:rsidP="0015730B">
      <w:pPr>
        <w:pStyle w:val="SingleTxtG"/>
        <w:ind w:left="0" w:right="49"/>
        <w:rPr>
          <w:rFonts w:ascii="Arial" w:hAnsi="Arial" w:cs="Arial"/>
          <w:b/>
          <w:sz w:val="24"/>
          <w:szCs w:val="24"/>
        </w:rPr>
      </w:pPr>
      <w:r w:rsidRPr="00572E0B">
        <w:rPr>
          <w:rFonts w:ascii="Arial" w:hAnsi="Arial" w:cs="Arial"/>
          <w:b/>
          <w:sz w:val="24"/>
          <w:szCs w:val="24"/>
        </w:rPr>
        <w:lastRenderedPageBreak/>
        <w:t>a)</w:t>
      </w:r>
      <w:r w:rsidRPr="00572E0B">
        <w:rPr>
          <w:rFonts w:ascii="Arial" w:hAnsi="Arial" w:cs="Arial"/>
          <w:b/>
          <w:sz w:val="24"/>
          <w:szCs w:val="24"/>
        </w:rPr>
        <w:tab/>
        <w:t>Redoble sus esfuerzos con miras a asegurar que se investiguen las graves violaciones a los derechos humanos cometidas durante el conflicto armado interno, en particular las masacres y los actos de tortura y desaparición forzada, así como para llevar ante la justicia a los autores de esos actos, incluyendo la cadena de mando;</w:t>
      </w:r>
    </w:p>
    <w:p w:rsidR="00565AC1" w:rsidRDefault="00565AC1" w:rsidP="004920C2">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El Estado</w:t>
      </w:r>
      <w:r w:rsidR="003948F3" w:rsidRPr="00572E0B">
        <w:rPr>
          <w:rFonts w:ascii="Arial" w:eastAsia="Calibri" w:hAnsi="Arial" w:cs="Arial"/>
          <w:bCs/>
          <w:sz w:val="24"/>
          <w:szCs w:val="24"/>
        </w:rPr>
        <w:t xml:space="preserve"> </w:t>
      </w:r>
      <w:r w:rsidR="00A74DE2">
        <w:rPr>
          <w:rFonts w:ascii="Arial" w:eastAsia="Calibri" w:hAnsi="Arial" w:cs="Arial"/>
          <w:bCs/>
          <w:sz w:val="24"/>
          <w:szCs w:val="24"/>
        </w:rPr>
        <w:t>manifiesta que sobre el tema de investigar las violaciones</w:t>
      </w:r>
      <w:r w:rsidR="006F5551">
        <w:rPr>
          <w:rFonts w:ascii="Arial" w:eastAsia="Calibri" w:hAnsi="Arial" w:cs="Arial"/>
          <w:bCs/>
          <w:sz w:val="24"/>
          <w:szCs w:val="24"/>
        </w:rPr>
        <w:t xml:space="preserve"> a los derechos humanos cometida</w:t>
      </w:r>
      <w:r>
        <w:rPr>
          <w:rFonts w:ascii="Arial" w:eastAsia="Calibri" w:hAnsi="Arial" w:cs="Arial"/>
          <w:bCs/>
          <w:sz w:val="24"/>
          <w:szCs w:val="24"/>
        </w:rPr>
        <w:t>s durante el “Conflicto</w:t>
      </w:r>
      <w:r w:rsidR="00A74DE2">
        <w:rPr>
          <w:rFonts w:ascii="Arial" w:eastAsia="Calibri" w:hAnsi="Arial" w:cs="Arial"/>
          <w:bCs/>
          <w:sz w:val="24"/>
          <w:szCs w:val="24"/>
        </w:rPr>
        <w:t xml:space="preserve"> Armado</w:t>
      </w:r>
      <w:r w:rsidR="006F5551">
        <w:rPr>
          <w:rFonts w:ascii="Arial" w:eastAsia="Calibri" w:hAnsi="Arial" w:cs="Arial"/>
          <w:bCs/>
          <w:sz w:val="24"/>
          <w:szCs w:val="24"/>
        </w:rPr>
        <w:t xml:space="preserve"> Interno</w:t>
      </w:r>
      <w:r>
        <w:rPr>
          <w:rFonts w:ascii="Arial" w:eastAsia="Calibri" w:hAnsi="Arial" w:cs="Arial"/>
          <w:bCs/>
          <w:sz w:val="24"/>
          <w:szCs w:val="24"/>
        </w:rPr>
        <w:t>”</w:t>
      </w:r>
      <w:r w:rsidR="00A74DE2">
        <w:rPr>
          <w:rFonts w:ascii="Arial" w:eastAsia="Calibri" w:hAnsi="Arial" w:cs="Arial"/>
          <w:bCs/>
          <w:sz w:val="24"/>
          <w:szCs w:val="24"/>
        </w:rPr>
        <w:t>,</w:t>
      </w:r>
      <w:r>
        <w:rPr>
          <w:rFonts w:ascii="Arial" w:eastAsia="Calibri" w:hAnsi="Arial" w:cs="Arial"/>
          <w:bCs/>
          <w:sz w:val="24"/>
          <w:szCs w:val="24"/>
        </w:rPr>
        <w:t xml:space="preserve"> se</w:t>
      </w:r>
      <w:r w:rsidR="00A74DE2">
        <w:rPr>
          <w:rFonts w:ascii="Arial" w:eastAsia="Calibri" w:hAnsi="Arial" w:cs="Arial"/>
          <w:bCs/>
          <w:sz w:val="24"/>
          <w:szCs w:val="24"/>
        </w:rPr>
        <w:t xml:space="preserve"> </w:t>
      </w:r>
      <w:r w:rsidR="006F5551">
        <w:rPr>
          <w:rFonts w:ascii="Arial" w:eastAsia="Calibri" w:hAnsi="Arial" w:cs="Arial"/>
          <w:bCs/>
          <w:sz w:val="24"/>
          <w:szCs w:val="24"/>
        </w:rPr>
        <w:t>reitera que en Guatemala lo que existió fue un enfrentamiento armado interno</w:t>
      </w:r>
      <w:r>
        <w:rPr>
          <w:rFonts w:ascii="Arial" w:eastAsia="Calibri" w:hAnsi="Arial" w:cs="Arial"/>
          <w:bCs/>
          <w:sz w:val="24"/>
          <w:szCs w:val="24"/>
        </w:rPr>
        <w:t>, por lo que así debe de entenderse.</w:t>
      </w:r>
    </w:p>
    <w:p w:rsidR="00017360" w:rsidRDefault="00565AC1" w:rsidP="004920C2">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Por otra parte, no es posible encuadrar en la norma tipo penal</w:t>
      </w:r>
      <w:r w:rsidR="006F5551" w:rsidRPr="00572E0B">
        <w:rPr>
          <w:rFonts w:ascii="Arial" w:eastAsia="Calibri" w:hAnsi="Arial" w:cs="Arial"/>
          <w:bCs/>
          <w:sz w:val="24"/>
          <w:szCs w:val="24"/>
        </w:rPr>
        <w:t xml:space="preserve"> los supuestos hechos</w:t>
      </w:r>
      <w:r>
        <w:rPr>
          <w:rFonts w:ascii="Arial" w:eastAsia="Calibri" w:hAnsi="Arial" w:cs="Arial"/>
          <w:bCs/>
          <w:sz w:val="24"/>
          <w:szCs w:val="24"/>
        </w:rPr>
        <w:t xml:space="preserve"> denunciados como</w:t>
      </w:r>
      <w:r w:rsidR="006F5551" w:rsidRPr="00572E0B">
        <w:rPr>
          <w:rFonts w:ascii="Arial" w:eastAsia="Calibri" w:hAnsi="Arial" w:cs="Arial"/>
          <w:bCs/>
          <w:sz w:val="24"/>
          <w:szCs w:val="24"/>
        </w:rPr>
        <w:t xml:space="preserve"> delitos</w:t>
      </w:r>
      <w:r>
        <w:rPr>
          <w:rFonts w:ascii="Arial" w:eastAsia="Calibri" w:hAnsi="Arial" w:cs="Arial"/>
          <w:bCs/>
          <w:sz w:val="24"/>
          <w:szCs w:val="24"/>
        </w:rPr>
        <w:t xml:space="preserve"> de</w:t>
      </w:r>
      <w:r w:rsidR="006F5551" w:rsidRPr="00572E0B">
        <w:rPr>
          <w:rFonts w:ascii="Arial" w:eastAsia="Calibri" w:hAnsi="Arial" w:cs="Arial"/>
          <w:bCs/>
          <w:sz w:val="24"/>
          <w:szCs w:val="24"/>
        </w:rPr>
        <w:t xml:space="preserve"> desaparición forzada</w:t>
      </w:r>
      <w:r>
        <w:rPr>
          <w:rFonts w:ascii="Arial" w:eastAsia="Calibri" w:hAnsi="Arial" w:cs="Arial"/>
          <w:bCs/>
          <w:sz w:val="24"/>
          <w:szCs w:val="24"/>
        </w:rPr>
        <w:t xml:space="preserve">, debido a que los mismos ocurrieron con anterioridad a la vigencia al Decreto 33-96, esto en atención y plena observancia a la garantía procesal referente a la irretroactividad de la Ley Penal. </w:t>
      </w:r>
    </w:p>
    <w:p w:rsidR="009B13E5" w:rsidRPr="00572E0B" w:rsidRDefault="009B13E5" w:rsidP="004B0560">
      <w:pPr>
        <w:pStyle w:val="SingleTxtG"/>
        <w:ind w:left="0" w:right="49"/>
        <w:rPr>
          <w:rFonts w:ascii="Arial" w:hAnsi="Arial" w:cs="Arial"/>
          <w:b/>
          <w:sz w:val="24"/>
          <w:szCs w:val="24"/>
        </w:rPr>
      </w:pPr>
      <w:r w:rsidRPr="00572E0B">
        <w:rPr>
          <w:rFonts w:ascii="Arial" w:hAnsi="Arial" w:cs="Arial"/>
          <w:b/>
          <w:sz w:val="24"/>
          <w:szCs w:val="24"/>
        </w:rPr>
        <w:t>b)</w:t>
      </w:r>
      <w:r w:rsidRPr="00572E0B">
        <w:rPr>
          <w:rFonts w:ascii="Arial" w:hAnsi="Arial" w:cs="Arial"/>
          <w:b/>
          <w:sz w:val="24"/>
          <w:szCs w:val="24"/>
        </w:rPr>
        <w:tab/>
        <w:t>Asegure que las personas acusadas de tortura u otros actos equivalentes no se beneficien de un plazo de prescripción;</w:t>
      </w:r>
    </w:p>
    <w:p w:rsidR="0022763D" w:rsidRDefault="00565AC1" w:rsidP="00252E2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El Estado de Guatemala ratifica que n</w:t>
      </w:r>
      <w:r w:rsidR="009B13E5" w:rsidRPr="00572E0B">
        <w:rPr>
          <w:rFonts w:ascii="Arial" w:eastAsia="Calibri" w:hAnsi="Arial" w:cs="Arial"/>
          <w:bCs/>
          <w:sz w:val="24"/>
          <w:szCs w:val="24"/>
        </w:rPr>
        <w:t>o es potestad del Ejecutivo</w:t>
      </w:r>
      <w:r>
        <w:rPr>
          <w:rFonts w:ascii="Arial" w:eastAsia="Calibri" w:hAnsi="Arial" w:cs="Arial"/>
          <w:bCs/>
          <w:sz w:val="24"/>
          <w:szCs w:val="24"/>
        </w:rPr>
        <w:t>,</w:t>
      </w:r>
      <w:r w:rsidR="009B13E5" w:rsidRPr="00572E0B">
        <w:rPr>
          <w:rFonts w:ascii="Arial" w:eastAsia="Calibri" w:hAnsi="Arial" w:cs="Arial"/>
          <w:bCs/>
          <w:sz w:val="24"/>
          <w:szCs w:val="24"/>
        </w:rPr>
        <w:t xml:space="preserve"> ni de jueces el </w:t>
      </w:r>
      <w:r w:rsidR="0022763D">
        <w:rPr>
          <w:rFonts w:ascii="Arial" w:eastAsia="Calibri" w:hAnsi="Arial" w:cs="Arial"/>
          <w:bCs/>
          <w:sz w:val="24"/>
          <w:szCs w:val="24"/>
        </w:rPr>
        <w:t>decidi</w:t>
      </w:r>
      <w:r w:rsidR="009B13E5" w:rsidRPr="00572E0B">
        <w:rPr>
          <w:rFonts w:ascii="Arial" w:eastAsia="Calibri" w:hAnsi="Arial" w:cs="Arial"/>
          <w:bCs/>
          <w:sz w:val="24"/>
          <w:szCs w:val="24"/>
        </w:rPr>
        <w:t>r</w:t>
      </w:r>
      <w:r w:rsidR="0022763D">
        <w:rPr>
          <w:rFonts w:ascii="Arial" w:eastAsia="Calibri" w:hAnsi="Arial" w:cs="Arial"/>
          <w:bCs/>
          <w:sz w:val="24"/>
          <w:szCs w:val="24"/>
        </w:rPr>
        <w:t xml:space="preserve"> si se va aplicar o no una </w:t>
      </w:r>
      <w:r w:rsidR="009B13E5" w:rsidRPr="00572E0B">
        <w:rPr>
          <w:rFonts w:ascii="Arial" w:eastAsia="Calibri" w:hAnsi="Arial" w:cs="Arial"/>
          <w:bCs/>
          <w:sz w:val="24"/>
          <w:szCs w:val="24"/>
        </w:rPr>
        <w:t>ley.</w:t>
      </w:r>
      <w:r w:rsidR="00783010" w:rsidRPr="00572E0B">
        <w:rPr>
          <w:rFonts w:ascii="Arial" w:eastAsia="Calibri" w:hAnsi="Arial" w:cs="Arial"/>
          <w:bCs/>
          <w:sz w:val="24"/>
          <w:szCs w:val="24"/>
        </w:rPr>
        <w:t xml:space="preserve"> </w:t>
      </w:r>
    </w:p>
    <w:p w:rsidR="009B13E5" w:rsidRPr="00572E0B" w:rsidRDefault="00E742CC" w:rsidP="00252E2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En Guatemala ha</w:t>
      </w:r>
      <w:r w:rsidR="00565AC1">
        <w:rPr>
          <w:rFonts w:ascii="Arial" w:eastAsia="Calibri" w:hAnsi="Arial" w:cs="Arial"/>
          <w:bCs/>
          <w:sz w:val="24"/>
          <w:szCs w:val="24"/>
        </w:rPr>
        <w:t>s</w:t>
      </w:r>
      <w:r>
        <w:rPr>
          <w:rFonts w:ascii="Arial" w:eastAsia="Calibri" w:hAnsi="Arial" w:cs="Arial"/>
          <w:bCs/>
          <w:sz w:val="24"/>
          <w:szCs w:val="24"/>
        </w:rPr>
        <w:t>ta</w:t>
      </w:r>
      <w:r w:rsidR="0022763D">
        <w:rPr>
          <w:rFonts w:ascii="Arial" w:eastAsia="Calibri" w:hAnsi="Arial" w:cs="Arial"/>
          <w:bCs/>
          <w:sz w:val="24"/>
          <w:szCs w:val="24"/>
        </w:rPr>
        <w:t xml:space="preserve"> el mes de</w:t>
      </w:r>
      <w:r>
        <w:rPr>
          <w:rFonts w:ascii="Arial" w:eastAsia="Calibri" w:hAnsi="Arial" w:cs="Arial"/>
          <w:bCs/>
          <w:sz w:val="24"/>
          <w:szCs w:val="24"/>
        </w:rPr>
        <w:t xml:space="preserve"> </w:t>
      </w:r>
      <w:r w:rsidR="00783010" w:rsidRPr="00572E0B">
        <w:rPr>
          <w:rFonts w:ascii="Arial" w:eastAsia="Calibri" w:hAnsi="Arial" w:cs="Arial"/>
          <w:bCs/>
          <w:sz w:val="24"/>
          <w:szCs w:val="24"/>
        </w:rPr>
        <w:t>julio del</w:t>
      </w:r>
      <w:r w:rsidR="0022763D">
        <w:rPr>
          <w:rFonts w:ascii="Arial" w:eastAsia="Calibri" w:hAnsi="Arial" w:cs="Arial"/>
          <w:bCs/>
          <w:sz w:val="24"/>
          <w:szCs w:val="24"/>
        </w:rPr>
        <w:t xml:space="preserve"> año 2012 era prescriptible la responsabilidad proveniente de la comisión del delito de</w:t>
      </w:r>
      <w:r w:rsidR="00783010" w:rsidRPr="00572E0B">
        <w:rPr>
          <w:rFonts w:ascii="Arial" w:eastAsia="Calibri" w:hAnsi="Arial" w:cs="Arial"/>
          <w:bCs/>
          <w:sz w:val="24"/>
          <w:szCs w:val="24"/>
        </w:rPr>
        <w:t xml:space="preserve"> tortura</w:t>
      </w:r>
      <w:r w:rsidR="0022763D">
        <w:rPr>
          <w:rFonts w:ascii="Arial" w:eastAsia="Calibri" w:hAnsi="Arial" w:cs="Arial"/>
          <w:bCs/>
          <w:sz w:val="24"/>
          <w:szCs w:val="24"/>
        </w:rPr>
        <w:t>;</w:t>
      </w:r>
      <w:r>
        <w:rPr>
          <w:rFonts w:ascii="Arial" w:eastAsia="Calibri" w:hAnsi="Arial" w:cs="Arial"/>
          <w:bCs/>
          <w:sz w:val="24"/>
          <w:szCs w:val="24"/>
        </w:rPr>
        <w:t xml:space="preserve"> sin embargo, como se manifestó al inicio de este documento a partir de la adhesión del país al Estatuto de Roma,</w:t>
      </w:r>
      <w:r w:rsidR="0022763D">
        <w:rPr>
          <w:rFonts w:ascii="Arial" w:eastAsia="Calibri" w:hAnsi="Arial" w:cs="Arial"/>
          <w:bCs/>
          <w:sz w:val="24"/>
          <w:szCs w:val="24"/>
        </w:rPr>
        <w:t xml:space="preserve"> la responsabilidad por la comisión de</w:t>
      </w:r>
      <w:r>
        <w:rPr>
          <w:rFonts w:ascii="Arial" w:eastAsia="Calibri" w:hAnsi="Arial" w:cs="Arial"/>
          <w:bCs/>
          <w:sz w:val="24"/>
          <w:szCs w:val="24"/>
        </w:rPr>
        <w:t xml:space="preserve"> dicho delito es imprescriptible.</w:t>
      </w:r>
    </w:p>
    <w:p w:rsidR="00357848" w:rsidRPr="00572E0B" w:rsidRDefault="00357848" w:rsidP="004920C2">
      <w:pPr>
        <w:pStyle w:val="SingleTxtG"/>
        <w:ind w:left="0" w:right="49"/>
        <w:rPr>
          <w:rFonts w:ascii="Arial" w:hAnsi="Arial" w:cs="Arial"/>
          <w:b/>
          <w:sz w:val="24"/>
          <w:szCs w:val="24"/>
        </w:rPr>
      </w:pPr>
      <w:r w:rsidRPr="00572E0B">
        <w:rPr>
          <w:rFonts w:ascii="Arial" w:hAnsi="Arial" w:cs="Arial"/>
          <w:b/>
          <w:sz w:val="24"/>
          <w:szCs w:val="24"/>
        </w:rPr>
        <w:t>e)</w:t>
      </w:r>
      <w:r w:rsidRPr="00572E0B">
        <w:rPr>
          <w:rFonts w:ascii="Arial" w:hAnsi="Arial" w:cs="Arial"/>
          <w:b/>
          <w:sz w:val="24"/>
          <w:szCs w:val="24"/>
        </w:rPr>
        <w:tab/>
        <w:t>Evite que agentes estatales realicen actos o declaraciones públicas que puedan tener el efecto de influir negativamente sobre la independencia del Organismo Judicial; y</w:t>
      </w:r>
    </w:p>
    <w:p w:rsidR="00B52AF9" w:rsidRDefault="00357848" w:rsidP="00252E28">
      <w:pPr>
        <w:autoSpaceDE w:val="0"/>
        <w:autoSpaceDN w:val="0"/>
        <w:adjustRightInd w:val="0"/>
        <w:spacing w:line="240" w:lineRule="auto"/>
        <w:jc w:val="both"/>
        <w:rPr>
          <w:rFonts w:ascii="Arial" w:eastAsia="Calibri" w:hAnsi="Arial" w:cs="Arial"/>
          <w:bCs/>
          <w:sz w:val="24"/>
          <w:szCs w:val="24"/>
        </w:rPr>
      </w:pPr>
      <w:r w:rsidRPr="00572E0B">
        <w:rPr>
          <w:rFonts w:ascii="Arial" w:eastAsia="Calibri" w:hAnsi="Arial" w:cs="Arial"/>
          <w:bCs/>
          <w:sz w:val="24"/>
          <w:szCs w:val="24"/>
        </w:rPr>
        <w:t>El Estado</w:t>
      </w:r>
      <w:r w:rsidR="0022763D">
        <w:rPr>
          <w:rFonts w:ascii="Arial" w:eastAsia="Calibri" w:hAnsi="Arial" w:cs="Arial"/>
          <w:bCs/>
          <w:sz w:val="24"/>
          <w:szCs w:val="24"/>
        </w:rPr>
        <w:t xml:space="preserve"> manifiesta al Comité que</w:t>
      </w:r>
      <w:r w:rsidRPr="00572E0B">
        <w:rPr>
          <w:rFonts w:ascii="Arial" w:eastAsia="Calibri" w:hAnsi="Arial" w:cs="Arial"/>
          <w:bCs/>
          <w:sz w:val="24"/>
          <w:szCs w:val="24"/>
        </w:rPr>
        <w:t xml:space="preserve"> respeta</w:t>
      </w:r>
      <w:r w:rsidR="0022763D">
        <w:rPr>
          <w:rFonts w:ascii="Arial" w:eastAsia="Calibri" w:hAnsi="Arial" w:cs="Arial"/>
          <w:bCs/>
          <w:sz w:val="24"/>
          <w:szCs w:val="24"/>
        </w:rPr>
        <w:t xml:space="preserve"> y garantiza </w:t>
      </w:r>
      <w:r w:rsidRPr="00572E0B">
        <w:rPr>
          <w:rFonts w:ascii="Arial" w:eastAsia="Calibri" w:hAnsi="Arial" w:cs="Arial"/>
          <w:bCs/>
          <w:sz w:val="24"/>
          <w:szCs w:val="24"/>
        </w:rPr>
        <w:t xml:space="preserve"> el derecho huma</w:t>
      </w:r>
      <w:r w:rsidR="0022763D">
        <w:rPr>
          <w:rFonts w:ascii="Arial" w:eastAsia="Calibri" w:hAnsi="Arial" w:cs="Arial"/>
          <w:bCs/>
          <w:sz w:val="24"/>
          <w:szCs w:val="24"/>
        </w:rPr>
        <w:t>no de l</w:t>
      </w:r>
      <w:r w:rsidRPr="00572E0B">
        <w:rPr>
          <w:rFonts w:ascii="Arial" w:eastAsia="Calibri" w:hAnsi="Arial" w:cs="Arial"/>
          <w:bCs/>
          <w:sz w:val="24"/>
          <w:szCs w:val="24"/>
        </w:rPr>
        <w:t>ibertad de expresión</w:t>
      </w:r>
      <w:r w:rsidR="0022763D">
        <w:rPr>
          <w:rFonts w:ascii="Arial" w:eastAsia="Calibri" w:hAnsi="Arial" w:cs="Arial"/>
          <w:bCs/>
          <w:sz w:val="24"/>
          <w:szCs w:val="24"/>
        </w:rPr>
        <w:t xml:space="preserve"> y libre emisión del pensamiento de todos sus habitantes, independientemente de la calidad o investidura que estos ostenten, por lo que la prohibición o limitación a tales derechos constituirían graves vulneraciones en este sentido.</w:t>
      </w:r>
    </w:p>
    <w:p w:rsidR="003948F3" w:rsidRPr="007C3C59" w:rsidRDefault="004E2C5E" w:rsidP="00252E28">
      <w:pPr>
        <w:autoSpaceDE w:val="0"/>
        <w:autoSpaceDN w:val="0"/>
        <w:adjustRightInd w:val="0"/>
        <w:spacing w:line="240" w:lineRule="auto"/>
        <w:jc w:val="both"/>
        <w:rPr>
          <w:rFonts w:ascii="Arial" w:eastAsia="Calibri" w:hAnsi="Arial" w:cs="Arial"/>
          <w:b/>
          <w:bCs/>
          <w:i/>
          <w:sz w:val="24"/>
          <w:szCs w:val="24"/>
        </w:rPr>
      </w:pPr>
      <w:r w:rsidRPr="007C3C59">
        <w:rPr>
          <w:rFonts w:ascii="Arial" w:eastAsia="Calibri" w:hAnsi="Arial" w:cs="Arial"/>
          <w:b/>
          <w:bCs/>
          <w:i/>
          <w:sz w:val="24"/>
          <w:szCs w:val="24"/>
        </w:rPr>
        <w:t xml:space="preserve">Recomendación al </w:t>
      </w:r>
      <w:r w:rsidR="00B52AF9" w:rsidRPr="007C3C59">
        <w:rPr>
          <w:rFonts w:ascii="Arial" w:eastAsia="Calibri" w:hAnsi="Arial" w:cs="Arial"/>
          <w:b/>
          <w:bCs/>
          <w:i/>
          <w:sz w:val="24"/>
          <w:szCs w:val="24"/>
        </w:rPr>
        <w:t>Párrafo 11:</w:t>
      </w:r>
      <w:r w:rsidR="00357848" w:rsidRPr="007C3C59">
        <w:rPr>
          <w:rFonts w:ascii="Arial" w:eastAsia="Calibri" w:hAnsi="Arial" w:cs="Arial"/>
          <w:b/>
          <w:bCs/>
          <w:i/>
          <w:sz w:val="24"/>
          <w:szCs w:val="24"/>
        </w:rPr>
        <w:t xml:space="preserve"> </w:t>
      </w:r>
    </w:p>
    <w:p w:rsidR="004E2C5E" w:rsidRPr="00572E0B" w:rsidRDefault="004E2C5E" w:rsidP="004E2C5E">
      <w:pPr>
        <w:widowControl w:val="0"/>
        <w:autoSpaceDE w:val="0"/>
        <w:autoSpaceDN w:val="0"/>
        <w:adjustRightInd w:val="0"/>
        <w:spacing w:before="240" w:after="120" w:line="240" w:lineRule="exact"/>
        <w:ind w:right="49"/>
        <w:jc w:val="both"/>
        <w:rPr>
          <w:rFonts w:ascii="Arial" w:hAnsi="Arial" w:cs="Arial"/>
          <w:b/>
          <w:sz w:val="24"/>
          <w:szCs w:val="24"/>
          <w:lang w:val="es-ES_tradnl"/>
        </w:rPr>
      </w:pPr>
      <w:r w:rsidRPr="00572E0B">
        <w:rPr>
          <w:rFonts w:ascii="Arial" w:hAnsi="Arial" w:cs="Arial"/>
          <w:b/>
          <w:bCs/>
          <w:sz w:val="24"/>
          <w:szCs w:val="24"/>
          <w:lang w:val="es-ES_tradnl"/>
        </w:rPr>
        <w:t>El Comité recomienda que el Estado parte establezca una comisión independiente para la búsqueda de las personas víctimas de desaparición forzada durante el conflicto armado interno, que se ajuste a los estándares internacionales de derechos humanos y posea facultades y recursos suficientes para llevar adelante sus funciones de manera efectiva. Asimismo, le recomienda que cree un registro nacional de personas desaparecidas para facilitar dicha búsqueda y que vele por que todas las personas involucradas en el proceso reciban apoyo adecuado.</w:t>
      </w:r>
    </w:p>
    <w:p w:rsidR="004E2C5E" w:rsidRDefault="004E2C5E" w:rsidP="00252E28">
      <w:pPr>
        <w:autoSpaceDE w:val="0"/>
        <w:autoSpaceDN w:val="0"/>
        <w:adjustRightInd w:val="0"/>
        <w:spacing w:line="240" w:lineRule="auto"/>
        <w:jc w:val="both"/>
        <w:rPr>
          <w:rFonts w:ascii="Arial" w:eastAsia="Calibri" w:hAnsi="Arial" w:cs="Arial"/>
          <w:bCs/>
          <w:sz w:val="24"/>
          <w:szCs w:val="24"/>
          <w:lang w:val="es-ES_tradnl"/>
        </w:rPr>
      </w:pPr>
    </w:p>
    <w:p w:rsidR="00F86E31" w:rsidRDefault="00E81D94" w:rsidP="007C3C59">
      <w:pPr>
        <w:pStyle w:val="SingleTxtG"/>
        <w:spacing w:after="0" w:line="240" w:lineRule="auto"/>
        <w:ind w:left="0" w:right="0"/>
        <w:contextualSpacing/>
        <w:rPr>
          <w:rFonts w:ascii="Arial" w:eastAsia="Calibri" w:hAnsi="Arial" w:cs="Arial"/>
          <w:bCs/>
          <w:sz w:val="24"/>
          <w:szCs w:val="24"/>
          <w:lang w:val="es-ES_tradnl"/>
        </w:rPr>
      </w:pPr>
      <w:r>
        <w:rPr>
          <w:rFonts w:ascii="Arial" w:eastAsia="Calibri" w:hAnsi="Arial" w:cs="Arial"/>
          <w:bCs/>
          <w:sz w:val="24"/>
          <w:szCs w:val="24"/>
          <w:lang w:val="es-ES_tradnl"/>
        </w:rPr>
        <w:lastRenderedPageBreak/>
        <w:t>El E</w:t>
      </w:r>
      <w:r w:rsidR="007C3C59">
        <w:rPr>
          <w:rFonts w:ascii="Arial" w:eastAsia="Calibri" w:hAnsi="Arial" w:cs="Arial"/>
          <w:bCs/>
          <w:sz w:val="24"/>
          <w:szCs w:val="24"/>
          <w:lang w:val="es-ES_tradnl"/>
        </w:rPr>
        <w:t>stado vuelve a manifestar al Comité</w:t>
      </w:r>
      <w:r w:rsidR="00B3433F" w:rsidRPr="00572E0B">
        <w:rPr>
          <w:rFonts w:ascii="Arial" w:eastAsia="Calibri" w:hAnsi="Arial" w:cs="Arial"/>
          <w:bCs/>
          <w:sz w:val="24"/>
          <w:szCs w:val="24"/>
          <w:lang w:val="es-ES_tradnl"/>
        </w:rPr>
        <w:t xml:space="preserve"> que</w:t>
      </w:r>
      <w:r w:rsidR="007C3C59">
        <w:rPr>
          <w:rFonts w:ascii="Arial" w:eastAsia="Calibri" w:hAnsi="Arial" w:cs="Arial"/>
          <w:bCs/>
          <w:sz w:val="24"/>
          <w:szCs w:val="24"/>
          <w:lang w:val="es-ES_tradnl"/>
        </w:rPr>
        <w:t xml:space="preserve"> actualmente</w:t>
      </w:r>
      <w:r w:rsidR="00B3433F" w:rsidRPr="00572E0B">
        <w:rPr>
          <w:rFonts w:ascii="Arial" w:eastAsia="Calibri" w:hAnsi="Arial" w:cs="Arial"/>
          <w:bCs/>
          <w:sz w:val="24"/>
          <w:szCs w:val="24"/>
          <w:lang w:val="es-ES_tradnl"/>
        </w:rPr>
        <w:t xml:space="preserve"> se encuentra en el Congreso </w:t>
      </w:r>
      <w:r>
        <w:rPr>
          <w:rFonts w:ascii="Arial" w:eastAsia="Calibri" w:hAnsi="Arial" w:cs="Arial"/>
          <w:bCs/>
          <w:sz w:val="24"/>
          <w:szCs w:val="24"/>
          <w:lang w:val="es-ES_tradnl"/>
        </w:rPr>
        <w:t xml:space="preserve">de la República </w:t>
      </w:r>
      <w:r w:rsidR="00B3433F" w:rsidRPr="00572E0B">
        <w:rPr>
          <w:rFonts w:ascii="Arial" w:eastAsia="Calibri" w:hAnsi="Arial" w:cs="Arial"/>
          <w:bCs/>
          <w:sz w:val="24"/>
          <w:szCs w:val="24"/>
          <w:lang w:val="es-ES_tradnl"/>
        </w:rPr>
        <w:t>la iniciativa de ley</w:t>
      </w:r>
      <w:r w:rsidR="00E55406">
        <w:rPr>
          <w:rFonts w:ascii="Arial" w:eastAsia="Calibri" w:hAnsi="Arial" w:cs="Arial"/>
          <w:bCs/>
          <w:sz w:val="24"/>
          <w:szCs w:val="24"/>
          <w:lang w:val="es-ES_tradnl"/>
        </w:rPr>
        <w:t xml:space="preserve"> sobre la creación de una comisión de búsqueda de personas</w:t>
      </w:r>
      <w:r w:rsidR="007C3C59">
        <w:rPr>
          <w:rFonts w:ascii="Arial" w:eastAsia="Calibri" w:hAnsi="Arial" w:cs="Arial"/>
          <w:bCs/>
          <w:sz w:val="24"/>
          <w:szCs w:val="24"/>
          <w:lang w:val="es-ES_tradnl"/>
        </w:rPr>
        <w:t xml:space="preserve"> desaparecidas;</w:t>
      </w:r>
      <w:r w:rsidR="00B3433F" w:rsidRPr="00572E0B">
        <w:rPr>
          <w:rFonts w:ascii="Arial" w:eastAsia="Calibri" w:hAnsi="Arial" w:cs="Arial"/>
          <w:bCs/>
          <w:sz w:val="24"/>
          <w:szCs w:val="24"/>
          <w:lang w:val="es-ES_tradnl"/>
        </w:rPr>
        <w:t xml:space="preserve"> sin embargo</w:t>
      </w:r>
      <w:r w:rsidR="00E55406">
        <w:rPr>
          <w:rFonts w:ascii="Arial" w:eastAsia="Calibri" w:hAnsi="Arial" w:cs="Arial"/>
          <w:bCs/>
          <w:sz w:val="24"/>
          <w:szCs w:val="24"/>
          <w:lang w:val="es-ES_tradnl"/>
        </w:rPr>
        <w:t>, el E</w:t>
      </w:r>
      <w:r w:rsidR="007B27BD" w:rsidRPr="00572E0B">
        <w:rPr>
          <w:rFonts w:ascii="Arial" w:eastAsia="Calibri" w:hAnsi="Arial" w:cs="Arial"/>
          <w:bCs/>
          <w:sz w:val="24"/>
          <w:szCs w:val="24"/>
          <w:lang w:val="es-ES_tradnl"/>
        </w:rPr>
        <w:t>stado de Gua</w:t>
      </w:r>
      <w:r w:rsidR="005D70A3" w:rsidRPr="00572E0B">
        <w:rPr>
          <w:rFonts w:ascii="Arial" w:eastAsia="Calibri" w:hAnsi="Arial" w:cs="Arial"/>
          <w:bCs/>
          <w:sz w:val="24"/>
          <w:szCs w:val="24"/>
          <w:lang w:val="es-ES_tradnl"/>
        </w:rPr>
        <w:t>t</w:t>
      </w:r>
      <w:r w:rsidR="007B27BD" w:rsidRPr="00572E0B">
        <w:rPr>
          <w:rFonts w:ascii="Arial" w:eastAsia="Calibri" w:hAnsi="Arial" w:cs="Arial"/>
          <w:bCs/>
          <w:sz w:val="24"/>
          <w:szCs w:val="24"/>
          <w:lang w:val="es-ES_tradnl"/>
        </w:rPr>
        <w:t>e</w:t>
      </w:r>
      <w:r w:rsidR="005D70A3" w:rsidRPr="00572E0B">
        <w:rPr>
          <w:rFonts w:ascii="Arial" w:eastAsia="Calibri" w:hAnsi="Arial" w:cs="Arial"/>
          <w:bCs/>
          <w:sz w:val="24"/>
          <w:szCs w:val="24"/>
          <w:lang w:val="es-ES_tradnl"/>
        </w:rPr>
        <w:t xml:space="preserve">mala aclara que no pueden ser considerados desapariciones forzadas aquellos hechos acontecidos con anterioridad a la entrada en </w:t>
      </w:r>
      <w:r w:rsidR="00E55406">
        <w:rPr>
          <w:rFonts w:ascii="Arial" w:eastAsia="Calibri" w:hAnsi="Arial" w:cs="Arial"/>
          <w:bCs/>
          <w:sz w:val="24"/>
          <w:szCs w:val="24"/>
          <w:lang w:val="es-ES_tradnl"/>
        </w:rPr>
        <w:t xml:space="preserve">vigencia </w:t>
      </w:r>
      <w:r w:rsidR="00E55406" w:rsidRPr="0079183B">
        <w:rPr>
          <w:rFonts w:ascii="Arial" w:eastAsia="Calibri" w:hAnsi="Arial" w:cs="Arial"/>
          <w:bCs/>
          <w:sz w:val="24"/>
          <w:szCs w:val="24"/>
          <w:lang w:val="es-ES_tradnl"/>
        </w:rPr>
        <w:t>del decreto 33-96</w:t>
      </w:r>
      <w:r w:rsidR="005D70A3" w:rsidRPr="0079183B">
        <w:rPr>
          <w:rFonts w:ascii="Arial" w:eastAsia="Calibri" w:hAnsi="Arial" w:cs="Arial"/>
          <w:bCs/>
          <w:sz w:val="24"/>
          <w:szCs w:val="24"/>
          <w:lang w:val="es-ES_tradnl"/>
        </w:rPr>
        <w:t xml:space="preserve">, por las razones anteriormente expuestas. </w:t>
      </w:r>
    </w:p>
    <w:p w:rsidR="007C3C59" w:rsidRDefault="007C3C59" w:rsidP="007C3C59">
      <w:pPr>
        <w:pStyle w:val="SingleTxtG"/>
        <w:spacing w:after="0" w:line="240" w:lineRule="auto"/>
        <w:ind w:left="0" w:right="0"/>
        <w:contextualSpacing/>
        <w:rPr>
          <w:rFonts w:ascii="Arial" w:eastAsia="Calibri" w:hAnsi="Arial" w:cs="Arial"/>
          <w:bCs/>
          <w:sz w:val="24"/>
          <w:szCs w:val="24"/>
          <w:lang w:val="es-ES_tradnl"/>
        </w:rPr>
      </w:pPr>
    </w:p>
    <w:p w:rsidR="004C033D" w:rsidRPr="007C3C59" w:rsidRDefault="004C033D" w:rsidP="00252E28">
      <w:pPr>
        <w:autoSpaceDE w:val="0"/>
        <w:autoSpaceDN w:val="0"/>
        <w:adjustRightInd w:val="0"/>
        <w:spacing w:line="240" w:lineRule="auto"/>
        <w:jc w:val="both"/>
        <w:rPr>
          <w:rFonts w:ascii="Arial" w:eastAsia="Calibri" w:hAnsi="Arial" w:cs="Arial"/>
          <w:b/>
          <w:bCs/>
          <w:i/>
          <w:sz w:val="24"/>
          <w:szCs w:val="24"/>
          <w:lang w:val="es-ES_tradnl"/>
        </w:rPr>
      </w:pPr>
      <w:r w:rsidRPr="007C3C59">
        <w:rPr>
          <w:rFonts w:ascii="Arial" w:eastAsia="Calibri" w:hAnsi="Arial" w:cs="Arial"/>
          <w:b/>
          <w:bCs/>
          <w:i/>
          <w:sz w:val="24"/>
          <w:szCs w:val="24"/>
          <w:lang w:val="es-ES_tradnl"/>
        </w:rPr>
        <w:t>Recomendación párrafo 12:</w:t>
      </w:r>
    </w:p>
    <w:p w:rsidR="003E4857" w:rsidRDefault="00F86E31" w:rsidP="007C3C59">
      <w:pPr>
        <w:widowControl w:val="0"/>
        <w:tabs>
          <w:tab w:val="right" w:pos="851"/>
        </w:tabs>
        <w:spacing w:before="240" w:after="120" w:line="240" w:lineRule="exact"/>
        <w:ind w:right="49"/>
        <w:jc w:val="both"/>
        <w:rPr>
          <w:rFonts w:ascii="Arial" w:hAnsi="Arial" w:cs="Arial"/>
          <w:b/>
          <w:bCs/>
          <w:sz w:val="24"/>
          <w:szCs w:val="24"/>
        </w:rPr>
      </w:pPr>
      <w:r w:rsidRPr="00572E0B">
        <w:rPr>
          <w:rFonts w:ascii="Arial" w:hAnsi="Arial" w:cs="Arial"/>
          <w:b/>
          <w:sz w:val="24"/>
          <w:szCs w:val="24"/>
        </w:rPr>
        <w:t>El Estado parte debería redoblar sus esfuerzos para garantizar que todas las víctimas de violaciones a los derechos humanos perpetradas durante el conflicto</w:t>
      </w:r>
      <w:r w:rsidR="007C3C59">
        <w:rPr>
          <w:rFonts w:ascii="Arial" w:hAnsi="Arial" w:cs="Arial"/>
          <w:b/>
          <w:sz w:val="24"/>
          <w:szCs w:val="24"/>
        </w:rPr>
        <w:t xml:space="preserve"> (sic) </w:t>
      </w:r>
      <w:r w:rsidRPr="00572E0B">
        <w:rPr>
          <w:rFonts w:ascii="Arial" w:hAnsi="Arial" w:cs="Arial"/>
          <w:b/>
          <w:sz w:val="24"/>
          <w:szCs w:val="24"/>
        </w:rPr>
        <w:t xml:space="preserve"> armado interno reciban una reparación adecuada </w:t>
      </w:r>
      <w:r w:rsidRPr="00572E0B">
        <w:rPr>
          <w:rFonts w:ascii="Arial" w:hAnsi="Arial" w:cs="Arial"/>
          <w:b/>
          <w:bCs/>
          <w:sz w:val="24"/>
          <w:szCs w:val="24"/>
          <w:lang w:val="es-ES_tradnl"/>
        </w:rPr>
        <w:t>que incluya los medios para su rehabilitación física y psicológica</w:t>
      </w:r>
      <w:r w:rsidRPr="00572E0B">
        <w:rPr>
          <w:rFonts w:ascii="Arial" w:hAnsi="Arial" w:cs="Arial"/>
          <w:b/>
          <w:sz w:val="24"/>
          <w:szCs w:val="24"/>
        </w:rPr>
        <w:t xml:space="preserve"> y sea sensible a aspectos culturales y cuestiones de género. En ese sentido, el Estado parte debería asegurar la continuidad del PNR hasta que todas las víctimas hayan recibido una reparación adecuada; garantizar que las medidas legislativas o de otra índole que se adopten al respecto se ajusten a los estándares internacionales en materia de reparación, incluido al artículo 14 de la Convención; y dotarlo de los recursos suficientes para garantizar la implementación plena de todas las formas de reparación, ya sean de naturaleza individual o colectiva. E</w:t>
      </w:r>
      <w:r w:rsidRPr="00572E0B">
        <w:rPr>
          <w:rFonts w:ascii="Arial" w:hAnsi="Arial" w:cs="Arial"/>
          <w:b/>
          <w:bCs/>
          <w:sz w:val="24"/>
          <w:szCs w:val="24"/>
        </w:rPr>
        <w:t>l Comité señala a la atención del Estado parte su Observación General No. 3 (2012), relativa a la aplicación del artículo 14 de la Convención.</w:t>
      </w:r>
    </w:p>
    <w:p w:rsidR="007C3C59" w:rsidRPr="007C3C59" w:rsidRDefault="007C3C59" w:rsidP="007C3C59">
      <w:pPr>
        <w:widowControl w:val="0"/>
        <w:tabs>
          <w:tab w:val="right" w:pos="851"/>
        </w:tabs>
        <w:spacing w:before="240" w:after="120" w:line="240" w:lineRule="exact"/>
        <w:ind w:right="49"/>
        <w:jc w:val="both"/>
        <w:rPr>
          <w:rFonts w:ascii="Arial" w:hAnsi="Arial" w:cs="Arial"/>
          <w:b/>
          <w:bCs/>
          <w:sz w:val="24"/>
          <w:szCs w:val="24"/>
        </w:rPr>
      </w:pPr>
    </w:p>
    <w:p w:rsidR="00BA17D5" w:rsidRPr="00572E0B" w:rsidRDefault="00871AC3" w:rsidP="00252E28">
      <w:pPr>
        <w:autoSpaceDE w:val="0"/>
        <w:autoSpaceDN w:val="0"/>
        <w:adjustRightInd w:val="0"/>
        <w:spacing w:line="240" w:lineRule="auto"/>
        <w:jc w:val="both"/>
        <w:rPr>
          <w:rFonts w:ascii="Arial" w:eastAsia="Calibri" w:hAnsi="Arial" w:cs="Arial"/>
          <w:bCs/>
          <w:sz w:val="24"/>
          <w:szCs w:val="24"/>
        </w:rPr>
      </w:pPr>
      <w:r w:rsidRPr="00572E0B">
        <w:rPr>
          <w:rFonts w:ascii="Arial" w:eastAsia="Calibri" w:hAnsi="Arial" w:cs="Arial"/>
          <w:bCs/>
          <w:sz w:val="24"/>
          <w:szCs w:val="24"/>
        </w:rPr>
        <w:t>El Estado reitera</w:t>
      </w:r>
      <w:r w:rsidR="007C3C59">
        <w:rPr>
          <w:rFonts w:ascii="Arial" w:eastAsia="Calibri" w:hAnsi="Arial" w:cs="Arial"/>
          <w:bCs/>
          <w:sz w:val="24"/>
          <w:szCs w:val="24"/>
        </w:rPr>
        <w:t xml:space="preserve"> que</w:t>
      </w:r>
      <w:r w:rsidRPr="00572E0B">
        <w:rPr>
          <w:rFonts w:ascii="Arial" w:eastAsia="Calibri" w:hAnsi="Arial" w:cs="Arial"/>
          <w:bCs/>
          <w:sz w:val="24"/>
          <w:szCs w:val="24"/>
        </w:rPr>
        <w:t xml:space="preserve"> de conform</w:t>
      </w:r>
      <w:r w:rsidR="007C3C59">
        <w:rPr>
          <w:rFonts w:ascii="Arial" w:eastAsia="Calibri" w:hAnsi="Arial" w:cs="Arial"/>
          <w:bCs/>
          <w:sz w:val="24"/>
          <w:szCs w:val="24"/>
        </w:rPr>
        <w:t>idad a lo informado</w:t>
      </w:r>
      <w:r w:rsidR="007C3C59" w:rsidRPr="007C3C59">
        <w:rPr>
          <w:rFonts w:ascii="Arial" w:eastAsia="Calibri" w:hAnsi="Arial" w:cs="Arial"/>
          <w:bCs/>
          <w:sz w:val="24"/>
          <w:szCs w:val="24"/>
        </w:rPr>
        <w:t xml:space="preserve"> </w:t>
      </w:r>
      <w:r w:rsidR="007C3C59">
        <w:rPr>
          <w:rFonts w:ascii="Arial" w:eastAsia="Calibri" w:hAnsi="Arial" w:cs="Arial"/>
          <w:bCs/>
          <w:sz w:val="24"/>
          <w:szCs w:val="24"/>
        </w:rPr>
        <w:t>al</w:t>
      </w:r>
      <w:r w:rsidR="007C3C59" w:rsidRPr="00572E0B">
        <w:rPr>
          <w:rFonts w:ascii="Arial" w:eastAsia="Calibri" w:hAnsi="Arial" w:cs="Arial"/>
          <w:bCs/>
          <w:sz w:val="24"/>
          <w:szCs w:val="24"/>
        </w:rPr>
        <w:t xml:space="preserve"> </w:t>
      </w:r>
      <w:r w:rsidR="007C3C59">
        <w:rPr>
          <w:rFonts w:ascii="Arial" w:eastAsia="Calibri" w:hAnsi="Arial" w:cs="Arial"/>
          <w:bCs/>
          <w:sz w:val="24"/>
          <w:szCs w:val="24"/>
        </w:rPr>
        <w:t>C</w:t>
      </w:r>
      <w:r w:rsidR="007C3C59" w:rsidRPr="00572E0B">
        <w:rPr>
          <w:rFonts w:ascii="Arial" w:eastAsia="Calibri" w:hAnsi="Arial" w:cs="Arial"/>
          <w:bCs/>
          <w:sz w:val="24"/>
          <w:szCs w:val="24"/>
        </w:rPr>
        <w:t>omité</w:t>
      </w:r>
      <w:r w:rsidR="007C3C59" w:rsidRPr="007C3C59">
        <w:rPr>
          <w:rFonts w:ascii="Arial" w:eastAsia="Calibri" w:hAnsi="Arial" w:cs="Arial"/>
          <w:bCs/>
          <w:sz w:val="24"/>
          <w:szCs w:val="24"/>
        </w:rPr>
        <w:t xml:space="preserve"> </w:t>
      </w:r>
      <w:r w:rsidR="007C3C59" w:rsidRPr="00572E0B">
        <w:rPr>
          <w:rFonts w:ascii="Arial" w:eastAsia="Calibri" w:hAnsi="Arial" w:cs="Arial"/>
          <w:bCs/>
          <w:sz w:val="24"/>
          <w:szCs w:val="24"/>
        </w:rPr>
        <w:t>en su oportunidad</w:t>
      </w:r>
      <w:r w:rsidR="009C62C9" w:rsidRPr="00572E0B">
        <w:rPr>
          <w:rFonts w:ascii="Arial" w:eastAsia="Calibri" w:hAnsi="Arial" w:cs="Arial"/>
          <w:bCs/>
          <w:sz w:val="24"/>
          <w:szCs w:val="24"/>
        </w:rPr>
        <w:t>,</w:t>
      </w:r>
      <w:r w:rsidRPr="00572E0B">
        <w:rPr>
          <w:rFonts w:ascii="Arial" w:eastAsia="Calibri" w:hAnsi="Arial" w:cs="Arial"/>
          <w:bCs/>
          <w:sz w:val="24"/>
          <w:szCs w:val="24"/>
        </w:rPr>
        <w:t xml:space="preserve"> la decisión de prorrogar el Programa </w:t>
      </w:r>
      <w:r w:rsidR="007C3C59">
        <w:rPr>
          <w:rFonts w:ascii="Arial" w:eastAsia="Calibri" w:hAnsi="Arial" w:cs="Arial"/>
          <w:bCs/>
          <w:sz w:val="24"/>
          <w:szCs w:val="24"/>
        </w:rPr>
        <w:t xml:space="preserve">Nacional de Resarcimiento </w:t>
      </w:r>
      <w:r w:rsidRPr="00572E0B">
        <w:rPr>
          <w:rFonts w:ascii="Arial" w:eastAsia="Calibri" w:hAnsi="Arial" w:cs="Arial"/>
          <w:bCs/>
          <w:sz w:val="24"/>
          <w:szCs w:val="24"/>
        </w:rPr>
        <w:t xml:space="preserve"> </w:t>
      </w:r>
      <w:r w:rsidR="009C62C9" w:rsidRPr="00572E0B">
        <w:rPr>
          <w:rFonts w:ascii="Arial" w:eastAsia="Calibri" w:hAnsi="Arial" w:cs="Arial"/>
          <w:bCs/>
          <w:sz w:val="24"/>
          <w:szCs w:val="24"/>
        </w:rPr>
        <w:t>ha</w:t>
      </w:r>
      <w:r w:rsidRPr="00572E0B">
        <w:rPr>
          <w:rFonts w:ascii="Arial" w:eastAsia="Calibri" w:hAnsi="Arial" w:cs="Arial"/>
          <w:bCs/>
          <w:sz w:val="24"/>
          <w:szCs w:val="24"/>
        </w:rPr>
        <w:t xml:space="preserve"> </w:t>
      </w:r>
      <w:r w:rsidR="009C62C9" w:rsidRPr="00572E0B">
        <w:rPr>
          <w:rFonts w:ascii="Arial" w:eastAsia="Calibri" w:hAnsi="Arial" w:cs="Arial"/>
          <w:bCs/>
          <w:sz w:val="24"/>
          <w:szCs w:val="24"/>
        </w:rPr>
        <w:t xml:space="preserve">sido tomada </w:t>
      </w:r>
      <w:r w:rsidR="007C3C59">
        <w:rPr>
          <w:rFonts w:ascii="Arial" w:eastAsia="Calibri" w:hAnsi="Arial" w:cs="Arial"/>
          <w:bCs/>
          <w:sz w:val="24"/>
          <w:szCs w:val="24"/>
        </w:rPr>
        <w:t>por u</w:t>
      </w:r>
      <w:r w:rsidR="007C3C59" w:rsidRPr="00572E0B">
        <w:rPr>
          <w:rFonts w:ascii="Arial" w:eastAsia="Calibri" w:hAnsi="Arial" w:cs="Arial"/>
          <w:bCs/>
          <w:sz w:val="24"/>
          <w:szCs w:val="24"/>
        </w:rPr>
        <w:t>n plazo de 10 años</w:t>
      </w:r>
      <w:r w:rsidR="007C3C59">
        <w:rPr>
          <w:rFonts w:ascii="Arial" w:eastAsia="Calibri" w:hAnsi="Arial" w:cs="Arial"/>
          <w:bCs/>
          <w:sz w:val="24"/>
          <w:szCs w:val="24"/>
        </w:rPr>
        <w:t xml:space="preserve">, </w:t>
      </w:r>
      <w:r w:rsidR="009C62C9" w:rsidRPr="00572E0B">
        <w:rPr>
          <w:rFonts w:ascii="Arial" w:eastAsia="Calibri" w:hAnsi="Arial" w:cs="Arial"/>
          <w:bCs/>
          <w:sz w:val="24"/>
          <w:szCs w:val="24"/>
        </w:rPr>
        <w:t>por lo que actualmente se realizan las</w:t>
      </w:r>
      <w:r w:rsidR="007C3C59">
        <w:rPr>
          <w:rFonts w:ascii="Arial" w:eastAsia="Calibri" w:hAnsi="Arial" w:cs="Arial"/>
          <w:bCs/>
          <w:sz w:val="24"/>
          <w:szCs w:val="24"/>
        </w:rPr>
        <w:t xml:space="preserve"> gestiones para su oficialización.</w:t>
      </w:r>
      <w:r w:rsidR="009C62C9" w:rsidRPr="00572E0B">
        <w:rPr>
          <w:rFonts w:ascii="Arial" w:eastAsia="Calibri" w:hAnsi="Arial" w:cs="Arial"/>
          <w:bCs/>
          <w:sz w:val="24"/>
          <w:szCs w:val="24"/>
        </w:rPr>
        <w:t>.</w:t>
      </w:r>
    </w:p>
    <w:p w:rsidR="009B2F3F" w:rsidRDefault="009B2F3F" w:rsidP="003E4857">
      <w:pPr>
        <w:pStyle w:val="SingleTxtG"/>
        <w:tabs>
          <w:tab w:val="left" w:pos="8789"/>
        </w:tabs>
        <w:ind w:left="0" w:right="49"/>
        <w:rPr>
          <w:rFonts w:ascii="Arial" w:hAnsi="Arial" w:cs="Arial"/>
          <w:b/>
          <w:i/>
          <w:sz w:val="24"/>
          <w:szCs w:val="24"/>
          <w:lang w:val="es-ES_tradnl"/>
        </w:rPr>
      </w:pPr>
      <w:r w:rsidRPr="007C3C59">
        <w:rPr>
          <w:rFonts w:ascii="Arial" w:hAnsi="Arial" w:cs="Arial"/>
          <w:b/>
          <w:i/>
          <w:sz w:val="24"/>
          <w:szCs w:val="24"/>
          <w:lang w:val="es-ES_tradnl"/>
        </w:rPr>
        <w:t>2do. Párrafo del párrafo 14:</w:t>
      </w:r>
    </w:p>
    <w:p w:rsidR="007C3C59" w:rsidRPr="007C3C59" w:rsidRDefault="007C3C59" w:rsidP="003E4857">
      <w:pPr>
        <w:pStyle w:val="SingleTxtG"/>
        <w:tabs>
          <w:tab w:val="left" w:pos="8789"/>
        </w:tabs>
        <w:ind w:left="0" w:right="49"/>
        <w:rPr>
          <w:rFonts w:ascii="Arial" w:hAnsi="Arial" w:cs="Arial"/>
          <w:b/>
          <w:i/>
          <w:sz w:val="24"/>
          <w:szCs w:val="24"/>
          <w:lang w:val="es-ES_tradnl"/>
        </w:rPr>
      </w:pPr>
    </w:p>
    <w:p w:rsidR="00BA17D5" w:rsidRDefault="00BA17D5" w:rsidP="003E4857">
      <w:pPr>
        <w:pStyle w:val="SingleTxtG"/>
        <w:tabs>
          <w:tab w:val="left" w:pos="8789"/>
        </w:tabs>
        <w:ind w:left="0" w:right="49"/>
        <w:rPr>
          <w:rFonts w:ascii="Arial" w:hAnsi="Arial" w:cs="Arial"/>
          <w:b/>
          <w:sz w:val="24"/>
          <w:szCs w:val="24"/>
          <w:lang w:val="es-ES_tradnl"/>
        </w:rPr>
      </w:pPr>
      <w:r w:rsidRPr="003E4857">
        <w:rPr>
          <w:rFonts w:ascii="Arial" w:hAnsi="Arial" w:cs="Arial"/>
          <w:b/>
          <w:sz w:val="24"/>
          <w:szCs w:val="24"/>
          <w:lang w:val="es-ES_tradnl"/>
        </w:rPr>
        <w:t xml:space="preserve">Asimismo, el Comité nota con preocupación las informaciones que dan cuenta de las campañas de desacreditación de sus actividades, incluso a través de los medios de comunicación, y del uso del sistema penal para perseguirles (arts. 2, 12, 13 y 16). </w:t>
      </w:r>
    </w:p>
    <w:p w:rsidR="007C3C59" w:rsidRPr="003E4857" w:rsidRDefault="007C3C59" w:rsidP="003E4857">
      <w:pPr>
        <w:pStyle w:val="SingleTxtG"/>
        <w:tabs>
          <w:tab w:val="left" w:pos="8789"/>
        </w:tabs>
        <w:ind w:left="0" w:right="49"/>
        <w:rPr>
          <w:rFonts w:ascii="Arial" w:hAnsi="Arial" w:cs="Arial"/>
          <w:b/>
          <w:sz w:val="24"/>
          <w:szCs w:val="24"/>
          <w:lang w:val="es-ES_tradnl"/>
        </w:rPr>
      </w:pPr>
    </w:p>
    <w:p w:rsidR="00BE299C" w:rsidRDefault="00BE299C" w:rsidP="00BE299C">
      <w:pPr>
        <w:autoSpaceDE w:val="0"/>
        <w:autoSpaceDN w:val="0"/>
        <w:adjustRightInd w:val="0"/>
        <w:spacing w:line="240" w:lineRule="auto"/>
        <w:jc w:val="both"/>
        <w:rPr>
          <w:rFonts w:ascii="Arial" w:eastAsia="Calibri" w:hAnsi="Arial" w:cs="Arial"/>
          <w:b/>
          <w:bCs/>
          <w:i/>
          <w:sz w:val="24"/>
          <w:szCs w:val="24"/>
        </w:rPr>
      </w:pPr>
      <w:r w:rsidRPr="007C3C59">
        <w:rPr>
          <w:rFonts w:ascii="Arial" w:eastAsia="Calibri" w:hAnsi="Arial" w:cs="Arial"/>
          <w:b/>
          <w:bCs/>
          <w:i/>
          <w:sz w:val="24"/>
          <w:szCs w:val="24"/>
        </w:rPr>
        <w:t>Recomendación al párrafo 14:</w:t>
      </w:r>
    </w:p>
    <w:p w:rsidR="007C3C59" w:rsidRPr="007C3C59" w:rsidRDefault="007C3C59" w:rsidP="00BE299C">
      <w:pPr>
        <w:autoSpaceDE w:val="0"/>
        <w:autoSpaceDN w:val="0"/>
        <w:adjustRightInd w:val="0"/>
        <w:spacing w:line="240" w:lineRule="auto"/>
        <w:jc w:val="both"/>
        <w:rPr>
          <w:rFonts w:ascii="Arial" w:eastAsia="Calibri" w:hAnsi="Arial" w:cs="Arial"/>
          <w:b/>
          <w:bCs/>
          <w:i/>
          <w:sz w:val="24"/>
          <w:szCs w:val="24"/>
        </w:rPr>
      </w:pPr>
    </w:p>
    <w:p w:rsidR="00BE299C" w:rsidRPr="00572E0B" w:rsidRDefault="00BE299C" w:rsidP="00BE299C">
      <w:pPr>
        <w:widowControl w:val="0"/>
        <w:tabs>
          <w:tab w:val="right" w:pos="851"/>
        </w:tabs>
        <w:spacing w:before="240" w:after="120" w:line="240" w:lineRule="exact"/>
        <w:ind w:right="49"/>
        <w:jc w:val="both"/>
        <w:rPr>
          <w:rFonts w:ascii="Arial" w:hAnsi="Arial" w:cs="Arial"/>
          <w:b/>
          <w:bCs/>
          <w:sz w:val="24"/>
          <w:szCs w:val="24"/>
          <w:lang w:val="es-ES_tradnl"/>
        </w:rPr>
      </w:pPr>
      <w:r w:rsidRPr="00572E0B">
        <w:rPr>
          <w:rFonts w:ascii="Arial" w:hAnsi="Arial" w:cs="Arial"/>
          <w:b/>
          <w:bCs/>
          <w:sz w:val="24"/>
          <w:szCs w:val="24"/>
          <w:lang w:val="es-ES_tradnl"/>
        </w:rPr>
        <w:t>b)</w:t>
      </w:r>
      <w:r>
        <w:rPr>
          <w:rFonts w:ascii="Arial" w:hAnsi="Arial" w:cs="Arial"/>
          <w:b/>
          <w:bCs/>
          <w:sz w:val="24"/>
          <w:szCs w:val="24"/>
          <w:lang w:val="es-ES_tradnl"/>
        </w:rPr>
        <w:t xml:space="preserve"> </w:t>
      </w:r>
      <w:r w:rsidRPr="00572E0B">
        <w:rPr>
          <w:rFonts w:ascii="Arial" w:hAnsi="Arial" w:cs="Arial"/>
          <w:b/>
          <w:bCs/>
          <w:sz w:val="24"/>
          <w:szCs w:val="24"/>
          <w:lang w:val="es-ES_tradnl"/>
        </w:rPr>
        <w:tab/>
        <w:t>Asegurar la investigación pronta, exhaustiva y eficaz de todas las amenazas y ataques cometidos contra defensores de derechos humanos, y que los responsables sean enjuiciados y castigados con sanciones acordes</w:t>
      </w:r>
      <w:r>
        <w:rPr>
          <w:rFonts w:ascii="Arial" w:hAnsi="Arial" w:cs="Arial"/>
          <w:b/>
          <w:bCs/>
          <w:sz w:val="24"/>
          <w:szCs w:val="24"/>
          <w:lang w:val="es-ES_tradnl"/>
        </w:rPr>
        <w:t xml:space="preserve"> con la gravedad de sus actos; </w:t>
      </w:r>
    </w:p>
    <w:p w:rsidR="00C126E5" w:rsidRPr="00BE299C" w:rsidRDefault="00C126E5" w:rsidP="00252E28">
      <w:pPr>
        <w:autoSpaceDE w:val="0"/>
        <w:autoSpaceDN w:val="0"/>
        <w:adjustRightInd w:val="0"/>
        <w:spacing w:line="240" w:lineRule="auto"/>
        <w:jc w:val="both"/>
        <w:rPr>
          <w:rFonts w:ascii="Arial" w:eastAsia="Calibri" w:hAnsi="Arial" w:cs="Arial"/>
          <w:bCs/>
          <w:sz w:val="24"/>
          <w:szCs w:val="24"/>
          <w:lang w:val="es-ES_tradnl"/>
        </w:rPr>
      </w:pPr>
    </w:p>
    <w:p w:rsidR="00A947F2" w:rsidRDefault="00CB2C20" w:rsidP="00252E2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lastRenderedPageBreak/>
        <w:t xml:space="preserve">El Estado </w:t>
      </w:r>
      <w:r w:rsidR="005E7255" w:rsidRPr="00572E0B">
        <w:rPr>
          <w:rFonts w:ascii="Arial" w:eastAsia="Calibri" w:hAnsi="Arial" w:cs="Arial"/>
          <w:bCs/>
          <w:sz w:val="24"/>
          <w:szCs w:val="24"/>
        </w:rPr>
        <w:t xml:space="preserve">Guatemala </w:t>
      </w:r>
      <w:r>
        <w:rPr>
          <w:rFonts w:ascii="Arial" w:eastAsia="Calibri" w:hAnsi="Arial" w:cs="Arial"/>
          <w:bCs/>
          <w:sz w:val="24"/>
          <w:szCs w:val="24"/>
        </w:rPr>
        <w:t xml:space="preserve">es firme </w:t>
      </w:r>
      <w:r w:rsidR="007C3C59">
        <w:rPr>
          <w:rFonts w:ascii="Arial" w:eastAsia="Calibri" w:hAnsi="Arial" w:cs="Arial"/>
          <w:bCs/>
          <w:sz w:val="24"/>
          <w:szCs w:val="24"/>
        </w:rPr>
        <w:t xml:space="preserve">en su postura </w:t>
      </w:r>
      <w:r>
        <w:rPr>
          <w:rFonts w:ascii="Arial" w:eastAsia="Calibri" w:hAnsi="Arial" w:cs="Arial"/>
          <w:bCs/>
          <w:sz w:val="24"/>
          <w:szCs w:val="24"/>
        </w:rPr>
        <w:t xml:space="preserve">al indicar que </w:t>
      </w:r>
      <w:r w:rsidR="005E7255" w:rsidRPr="00572E0B">
        <w:rPr>
          <w:rFonts w:ascii="Arial" w:eastAsia="Calibri" w:hAnsi="Arial" w:cs="Arial"/>
          <w:bCs/>
          <w:sz w:val="24"/>
          <w:szCs w:val="24"/>
        </w:rPr>
        <w:t>no ha</w:t>
      </w:r>
      <w:r>
        <w:rPr>
          <w:rFonts w:ascii="Arial" w:eastAsia="Calibri" w:hAnsi="Arial" w:cs="Arial"/>
          <w:bCs/>
          <w:sz w:val="24"/>
          <w:szCs w:val="24"/>
        </w:rPr>
        <w:t xml:space="preserve"> participado en </w:t>
      </w:r>
      <w:r w:rsidR="005E7255" w:rsidRPr="00572E0B">
        <w:rPr>
          <w:rFonts w:ascii="Arial" w:eastAsia="Calibri" w:hAnsi="Arial" w:cs="Arial"/>
          <w:bCs/>
          <w:sz w:val="24"/>
          <w:szCs w:val="24"/>
        </w:rPr>
        <w:t xml:space="preserve"> campañas de desacreditación de </w:t>
      </w:r>
      <w:r w:rsidR="009B2F3F">
        <w:rPr>
          <w:rFonts w:ascii="Arial" w:eastAsia="Calibri" w:hAnsi="Arial" w:cs="Arial"/>
          <w:bCs/>
          <w:sz w:val="24"/>
          <w:szCs w:val="24"/>
        </w:rPr>
        <w:t xml:space="preserve">las </w:t>
      </w:r>
      <w:r w:rsidR="005E7255" w:rsidRPr="00572E0B">
        <w:rPr>
          <w:rFonts w:ascii="Arial" w:eastAsia="Calibri" w:hAnsi="Arial" w:cs="Arial"/>
          <w:bCs/>
          <w:sz w:val="24"/>
          <w:szCs w:val="24"/>
        </w:rPr>
        <w:t>actividades</w:t>
      </w:r>
      <w:r w:rsidR="00A947F2">
        <w:rPr>
          <w:rFonts w:ascii="Arial" w:eastAsia="Calibri" w:hAnsi="Arial" w:cs="Arial"/>
          <w:bCs/>
          <w:sz w:val="24"/>
          <w:szCs w:val="24"/>
        </w:rPr>
        <w:t xml:space="preserve"> realizadas por</w:t>
      </w:r>
      <w:r w:rsidR="009B2F3F">
        <w:rPr>
          <w:rFonts w:ascii="Arial" w:eastAsia="Calibri" w:hAnsi="Arial" w:cs="Arial"/>
          <w:bCs/>
          <w:sz w:val="24"/>
          <w:szCs w:val="24"/>
        </w:rPr>
        <w:t xml:space="preserve"> defensoras y defensores de derechos humanos</w:t>
      </w:r>
      <w:r w:rsidR="005E7255" w:rsidRPr="00572E0B">
        <w:rPr>
          <w:rFonts w:ascii="Arial" w:eastAsia="Calibri" w:hAnsi="Arial" w:cs="Arial"/>
          <w:bCs/>
          <w:sz w:val="24"/>
          <w:szCs w:val="24"/>
        </w:rPr>
        <w:t xml:space="preserve">, </w:t>
      </w:r>
      <w:r>
        <w:rPr>
          <w:rFonts w:ascii="Arial" w:eastAsia="Calibri" w:hAnsi="Arial" w:cs="Arial"/>
          <w:bCs/>
          <w:sz w:val="24"/>
          <w:szCs w:val="24"/>
        </w:rPr>
        <w:t>en todo caso</w:t>
      </w:r>
      <w:r w:rsidR="00A947F2">
        <w:rPr>
          <w:rFonts w:ascii="Arial" w:eastAsia="Calibri" w:hAnsi="Arial" w:cs="Arial"/>
          <w:bCs/>
          <w:sz w:val="24"/>
          <w:szCs w:val="24"/>
        </w:rPr>
        <w:t xml:space="preserve"> si existen tales situaciones,</w:t>
      </w:r>
      <w:r w:rsidR="00D45299" w:rsidRPr="00572E0B">
        <w:rPr>
          <w:rFonts w:ascii="Arial" w:eastAsia="Calibri" w:hAnsi="Arial" w:cs="Arial"/>
          <w:bCs/>
          <w:sz w:val="24"/>
          <w:szCs w:val="24"/>
        </w:rPr>
        <w:t xml:space="preserve"> las mismas </w:t>
      </w:r>
      <w:r w:rsidR="00A947F2">
        <w:rPr>
          <w:rFonts w:ascii="Arial" w:eastAsia="Calibri" w:hAnsi="Arial" w:cs="Arial"/>
          <w:bCs/>
          <w:sz w:val="24"/>
          <w:szCs w:val="24"/>
        </w:rPr>
        <w:t>han sido realizadas por</w:t>
      </w:r>
      <w:r w:rsidR="00D45299" w:rsidRPr="00572E0B">
        <w:rPr>
          <w:rFonts w:ascii="Arial" w:eastAsia="Calibri" w:hAnsi="Arial" w:cs="Arial"/>
          <w:bCs/>
          <w:sz w:val="24"/>
          <w:szCs w:val="24"/>
        </w:rPr>
        <w:t xml:space="preserve"> personas </w:t>
      </w:r>
      <w:r w:rsidR="00A947F2">
        <w:rPr>
          <w:rFonts w:ascii="Arial" w:eastAsia="Calibri" w:hAnsi="Arial" w:cs="Arial"/>
          <w:bCs/>
          <w:sz w:val="24"/>
          <w:szCs w:val="24"/>
        </w:rPr>
        <w:t xml:space="preserve">ajenas </w:t>
      </w:r>
      <w:r w:rsidR="00D45299" w:rsidRPr="00572E0B">
        <w:rPr>
          <w:rFonts w:ascii="Arial" w:eastAsia="Calibri" w:hAnsi="Arial" w:cs="Arial"/>
          <w:bCs/>
          <w:sz w:val="24"/>
          <w:szCs w:val="24"/>
        </w:rPr>
        <w:t>al aparato estatal</w:t>
      </w:r>
      <w:r>
        <w:rPr>
          <w:rFonts w:ascii="Arial" w:eastAsia="Calibri" w:hAnsi="Arial" w:cs="Arial"/>
          <w:bCs/>
          <w:sz w:val="24"/>
          <w:szCs w:val="24"/>
        </w:rPr>
        <w:t xml:space="preserve">. </w:t>
      </w:r>
    </w:p>
    <w:p w:rsidR="00D45299" w:rsidRPr="00572E0B" w:rsidRDefault="00C126E5" w:rsidP="00252E28">
      <w:pPr>
        <w:autoSpaceDE w:val="0"/>
        <w:autoSpaceDN w:val="0"/>
        <w:adjustRightInd w:val="0"/>
        <w:spacing w:line="240" w:lineRule="auto"/>
        <w:jc w:val="both"/>
        <w:rPr>
          <w:rFonts w:ascii="Arial" w:eastAsia="Calibri" w:hAnsi="Arial" w:cs="Arial"/>
          <w:bCs/>
          <w:sz w:val="24"/>
          <w:szCs w:val="24"/>
        </w:rPr>
      </w:pPr>
      <w:r>
        <w:rPr>
          <w:rFonts w:ascii="Arial" w:eastAsia="Calibri" w:hAnsi="Arial" w:cs="Arial"/>
          <w:bCs/>
          <w:sz w:val="24"/>
          <w:szCs w:val="24"/>
        </w:rPr>
        <w:t>El Estado rechaza</w:t>
      </w:r>
      <w:r w:rsidR="00D45299" w:rsidRPr="00572E0B">
        <w:rPr>
          <w:rFonts w:ascii="Arial" w:eastAsia="Calibri" w:hAnsi="Arial" w:cs="Arial"/>
          <w:bCs/>
          <w:sz w:val="24"/>
          <w:szCs w:val="24"/>
        </w:rPr>
        <w:t xml:space="preserve"> dicha </w:t>
      </w:r>
      <w:r>
        <w:rPr>
          <w:rFonts w:ascii="Arial" w:eastAsia="Calibri" w:hAnsi="Arial" w:cs="Arial"/>
          <w:bCs/>
          <w:sz w:val="24"/>
          <w:szCs w:val="24"/>
        </w:rPr>
        <w:t>afirmación,</w:t>
      </w:r>
      <w:r w:rsidR="00D45299" w:rsidRPr="00572E0B">
        <w:rPr>
          <w:rFonts w:ascii="Arial" w:eastAsia="Calibri" w:hAnsi="Arial" w:cs="Arial"/>
          <w:bCs/>
          <w:sz w:val="24"/>
          <w:szCs w:val="24"/>
        </w:rPr>
        <w:t xml:space="preserve"> </w:t>
      </w:r>
      <w:r>
        <w:rPr>
          <w:rFonts w:ascii="Arial" w:eastAsia="Calibri" w:hAnsi="Arial" w:cs="Arial"/>
          <w:bCs/>
          <w:sz w:val="24"/>
          <w:szCs w:val="24"/>
        </w:rPr>
        <w:t xml:space="preserve">tomando en cuenta que se han establecido </w:t>
      </w:r>
      <w:r w:rsidR="00D45299" w:rsidRPr="00572E0B">
        <w:rPr>
          <w:rFonts w:ascii="Arial" w:eastAsia="Calibri" w:hAnsi="Arial" w:cs="Arial"/>
          <w:bCs/>
          <w:sz w:val="24"/>
          <w:szCs w:val="24"/>
        </w:rPr>
        <w:t>mecanismo</w:t>
      </w:r>
      <w:r>
        <w:rPr>
          <w:rFonts w:ascii="Arial" w:eastAsia="Calibri" w:hAnsi="Arial" w:cs="Arial"/>
          <w:bCs/>
          <w:sz w:val="24"/>
          <w:szCs w:val="24"/>
        </w:rPr>
        <w:t>s</w:t>
      </w:r>
      <w:r w:rsidR="00D45299" w:rsidRPr="00572E0B">
        <w:rPr>
          <w:rFonts w:ascii="Arial" w:eastAsia="Calibri" w:hAnsi="Arial" w:cs="Arial"/>
          <w:bCs/>
          <w:sz w:val="24"/>
          <w:szCs w:val="24"/>
        </w:rPr>
        <w:t xml:space="preserve"> de garantía y protección </w:t>
      </w:r>
      <w:r>
        <w:rPr>
          <w:rFonts w:ascii="Arial" w:eastAsia="Calibri" w:hAnsi="Arial" w:cs="Arial"/>
          <w:bCs/>
          <w:sz w:val="24"/>
          <w:szCs w:val="24"/>
        </w:rPr>
        <w:t>a los derechos de la</w:t>
      </w:r>
      <w:r w:rsidR="00D45299" w:rsidRPr="00572E0B">
        <w:rPr>
          <w:rFonts w:ascii="Arial" w:eastAsia="Calibri" w:hAnsi="Arial" w:cs="Arial"/>
          <w:bCs/>
          <w:sz w:val="24"/>
          <w:szCs w:val="24"/>
        </w:rPr>
        <w:t xml:space="preserve">s </w:t>
      </w:r>
      <w:r>
        <w:rPr>
          <w:rFonts w:ascii="Arial" w:eastAsia="Calibri" w:hAnsi="Arial" w:cs="Arial"/>
          <w:bCs/>
          <w:sz w:val="24"/>
          <w:szCs w:val="24"/>
        </w:rPr>
        <w:t xml:space="preserve">defensoras y </w:t>
      </w:r>
      <w:r w:rsidR="00D45299" w:rsidRPr="00572E0B">
        <w:rPr>
          <w:rFonts w:ascii="Arial" w:eastAsia="Calibri" w:hAnsi="Arial" w:cs="Arial"/>
          <w:bCs/>
          <w:sz w:val="24"/>
          <w:szCs w:val="24"/>
        </w:rPr>
        <w:t>defensores d</w:t>
      </w:r>
      <w:r>
        <w:rPr>
          <w:rFonts w:ascii="Arial" w:eastAsia="Calibri" w:hAnsi="Arial" w:cs="Arial"/>
          <w:bCs/>
          <w:sz w:val="24"/>
          <w:szCs w:val="24"/>
        </w:rPr>
        <w:t>e derechos humanos, por medio de la creación de</w:t>
      </w:r>
      <w:r w:rsidR="00D45299" w:rsidRPr="00572E0B">
        <w:rPr>
          <w:rFonts w:ascii="Arial" w:eastAsia="Calibri" w:hAnsi="Arial" w:cs="Arial"/>
          <w:bCs/>
          <w:sz w:val="24"/>
          <w:szCs w:val="24"/>
        </w:rPr>
        <w:t xml:space="preserve"> fiscalías especializadas denominadas, </w:t>
      </w:r>
      <w:r w:rsidR="004146CB" w:rsidRPr="004146CB">
        <w:rPr>
          <w:rFonts w:ascii="Arial" w:eastAsia="Calibri" w:hAnsi="Arial" w:cs="Arial"/>
          <w:bCs/>
          <w:i/>
          <w:sz w:val="24"/>
          <w:szCs w:val="24"/>
        </w:rPr>
        <w:t>“</w:t>
      </w:r>
      <w:r w:rsidR="00D45299" w:rsidRPr="004146CB">
        <w:rPr>
          <w:rFonts w:ascii="Arial" w:eastAsia="Calibri" w:hAnsi="Arial" w:cs="Arial"/>
          <w:bCs/>
          <w:i/>
          <w:sz w:val="24"/>
          <w:szCs w:val="24"/>
        </w:rPr>
        <w:t>Fiscalías de delitos cometidos en contra de activistas de derechos humanos</w:t>
      </w:r>
      <w:r w:rsidR="004146CB">
        <w:rPr>
          <w:rFonts w:ascii="Arial" w:eastAsia="Calibri" w:hAnsi="Arial" w:cs="Arial"/>
          <w:bCs/>
          <w:sz w:val="24"/>
          <w:szCs w:val="24"/>
        </w:rPr>
        <w:t>”, en donde se pueden presentar las denuncias correspondientes.</w:t>
      </w:r>
    </w:p>
    <w:p w:rsidR="001626CE" w:rsidRPr="001626CE" w:rsidRDefault="00A947F2" w:rsidP="001626CE">
      <w:pPr>
        <w:pStyle w:val="SingleTxtG"/>
        <w:spacing w:after="0" w:line="240" w:lineRule="auto"/>
        <w:ind w:left="0" w:right="0"/>
        <w:contextualSpacing/>
        <w:rPr>
          <w:rFonts w:ascii="Arial" w:hAnsi="Arial" w:cs="Arial"/>
          <w:i/>
          <w:sz w:val="24"/>
          <w:szCs w:val="24"/>
          <w:lang w:val="es-GT"/>
        </w:rPr>
      </w:pPr>
      <w:r>
        <w:rPr>
          <w:rFonts w:ascii="Arial" w:eastAsia="Calibri" w:hAnsi="Arial" w:cs="Arial"/>
          <w:bCs/>
          <w:sz w:val="24"/>
          <w:szCs w:val="24"/>
        </w:rPr>
        <w:t>Aunado a ello, e</w:t>
      </w:r>
      <w:r w:rsidR="001626CE">
        <w:rPr>
          <w:rFonts w:ascii="Arial" w:eastAsia="Calibri" w:hAnsi="Arial" w:cs="Arial"/>
          <w:bCs/>
          <w:sz w:val="24"/>
          <w:szCs w:val="24"/>
        </w:rPr>
        <w:t>l Estado reitera la información proporcionada en la actualización a la lista de Cuestiones en donde</w:t>
      </w:r>
      <w:r>
        <w:rPr>
          <w:rFonts w:ascii="Arial" w:eastAsia="Calibri" w:hAnsi="Arial" w:cs="Arial"/>
          <w:bCs/>
          <w:sz w:val="24"/>
          <w:szCs w:val="24"/>
        </w:rPr>
        <w:t xml:space="preserve"> se establece</w:t>
      </w:r>
      <w:r w:rsidR="001626CE">
        <w:rPr>
          <w:rFonts w:ascii="Arial" w:eastAsia="Calibri" w:hAnsi="Arial" w:cs="Arial"/>
          <w:bCs/>
          <w:sz w:val="24"/>
          <w:szCs w:val="24"/>
        </w:rPr>
        <w:t xml:space="preserve"> que: “</w:t>
      </w:r>
      <w:r w:rsidR="001626CE" w:rsidRPr="001626CE">
        <w:rPr>
          <w:rFonts w:ascii="Arial" w:hAnsi="Arial" w:cs="Arial"/>
          <w:i/>
          <w:sz w:val="24"/>
          <w:szCs w:val="24"/>
          <w:lang w:val="es-GT"/>
        </w:rPr>
        <w:t>Por medio del Acuerdo Ministerial 09-2012, el 10 de enero 2012, se creó la Instancia de Análisis de ataques contra defensores de Derechos Humanos en Guatemala, integrada por un representante del Ministerio de Gobernación, que coordina la instancia; un representante de la Fiscal General del Ministerio Público; y, un representante de la Comisión Presidencial de Derechos Humanos –COPREDEH-. Dentro de las funciones de la Instancia se encuentran: a) Análisis de casos para determinar patrones de agresión en contra de defensores de derechos humanos; b) Elaborar recomendaciones para la investigación de estos casos a las unidades competentes; c) Recomendar la aplicación de criterios técnicos para la determinación de riesgos, grado de amenaza y vulnerabilidad de los defensores de derechos humanos; y d) Recopilar información sobre el cumplimiento de las medidas de prevención y protección, y la efectividad de las mismas para la disminución de riesgo. Adicionalmente, se logró la suscripción de un Convenio Interinstitucional en el que Ministerio Público, Ministerio de Gobernación y COPREDEH manifiestan su compromiso de participar en ese espacio de diálogo fomentando su institucionalización</w:t>
      </w:r>
      <w:r w:rsidR="001626CE">
        <w:rPr>
          <w:rFonts w:ascii="Arial" w:hAnsi="Arial" w:cs="Arial"/>
          <w:i/>
          <w:sz w:val="24"/>
          <w:szCs w:val="24"/>
          <w:lang w:val="es-GT"/>
        </w:rPr>
        <w:t>.”</w:t>
      </w:r>
    </w:p>
    <w:p w:rsidR="001626CE" w:rsidRDefault="001626CE" w:rsidP="00252E28">
      <w:pPr>
        <w:autoSpaceDE w:val="0"/>
        <w:autoSpaceDN w:val="0"/>
        <w:adjustRightInd w:val="0"/>
        <w:spacing w:line="240" w:lineRule="auto"/>
        <w:jc w:val="both"/>
        <w:rPr>
          <w:rFonts w:ascii="Arial" w:eastAsia="Calibri" w:hAnsi="Arial" w:cs="Arial"/>
          <w:bCs/>
          <w:sz w:val="24"/>
          <w:szCs w:val="24"/>
        </w:rPr>
      </w:pPr>
    </w:p>
    <w:p w:rsidR="00097133" w:rsidRPr="00A947F2" w:rsidRDefault="00BE299C" w:rsidP="00252E28">
      <w:pPr>
        <w:autoSpaceDE w:val="0"/>
        <w:autoSpaceDN w:val="0"/>
        <w:adjustRightInd w:val="0"/>
        <w:spacing w:line="240" w:lineRule="auto"/>
        <w:jc w:val="both"/>
        <w:rPr>
          <w:rFonts w:ascii="Arial" w:eastAsia="Calibri" w:hAnsi="Arial" w:cs="Arial"/>
          <w:b/>
          <w:bCs/>
          <w:i/>
          <w:sz w:val="24"/>
          <w:szCs w:val="24"/>
          <w:lang w:val="es-ES_tradnl"/>
        </w:rPr>
      </w:pPr>
      <w:r w:rsidRPr="00A947F2">
        <w:rPr>
          <w:rFonts w:ascii="Arial" w:eastAsia="Calibri" w:hAnsi="Arial" w:cs="Arial"/>
          <w:b/>
          <w:bCs/>
          <w:i/>
          <w:sz w:val="24"/>
          <w:szCs w:val="24"/>
          <w:lang w:val="es-ES_tradnl"/>
        </w:rPr>
        <w:t>Párrafo 16:</w:t>
      </w:r>
    </w:p>
    <w:p w:rsidR="00DD7593" w:rsidRPr="00D72424" w:rsidRDefault="00DD7593" w:rsidP="00BE299C">
      <w:pPr>
        <w:pStyle w:val="SingleTxtG"/>
        <w:ind w:left="0" w:right="49"/>
        <w:rPr>
          <w:rFonts w:ascii="Arial" w:hAnsi="Arial" w:cs="Arial"/>
          <w:b/>
          <w:sz w:val="24"/>
          <w:szCs w:val="24"/>
          <w:u w:val="single"/>
          <w:lang w:val="es-ES_tradnl"/>
        </w:rPr>
      </w:pPr>
      <w:r w:rsidRPr="00D72424">
        <w:rPr>
          <w:rFonts w:ascii="Arial" w:hAnsi="Arial" w:cs="Arial"/>
          <w:b/>
          <w:sz w:val="24"/>
          <w:szCs w:val="24"/>
          <w:lang w:val="es-ES_tradnl"/>
        </w:rPr>
        <w:t>16.</w:t>
      </w:r>
      <w:r w:rsidRPr="00D72424">
        <w:rPr>
          <w:rFonts w:ascii="Arial" w:hAnsi="Arial" w:cs="Arial"/>
          <w:b/>
          <w:sz w:val="24"/>
          <w:szCs w:val="24"/>
          <w:lang w:val="es-ES_tradnl"/>
        </w:rPr>
        <w:tab/>
        <w:t xml:space="preserve">El Comité nota con preocupación que, no obstante sus recomendaciones anteriores y los esfuerzos realizados por el Estado parte para reforzarla, la Policía Nacional Civil (PNC) aún no cuenta con recursos suficientes para cumplir con sus funciones de manera eficaz. Preocupa también al Comité la información que da cuenta de que la presencia del Ejército en tareas de seguridad ciudadana se ha incrementado; que ha sido utilizado incluso en relación con conflictos sociales relacionados </w:t>
      </w:r>
      <w:r w:rsidRPr="00D72424">
        <w:rPr>
          <w:rFonts w:ascii="Arial" w:hAnsi="Arial" w:cs="Arial"/>
          <w:b/>
          <w:i/>
          <w:sz w:val="24"/>
          <w:szCs w:val="24"/>
          <w:lang w:val="es-ES_tradnl"/>
        </w:rPr>
        <w:t>inter alia</w:t>
      </w:r>
      <w:r w:rsidRPr="00D72424">
        <w:rPr>
          <w:rFonts w:ascii="Arial" w:hAnsi="Arial" w:cs="Arial"/>
          <w:b/>
          <w:sz w:val="24"/>
          <w:szCs w:val="24"/>
          <w:lang w:val="es-ES_tradnl"/>
        </w:rPr>
        <w:t xml:space="preserve"> con reclamos de comunidades indígenas, y que en algunos casos su intervención ha culminado con personas privadas de su vida o con heridas. </w:t>
      </w:r>
      <w:r w:rsidRPr="00D72424">
        <w:rPr>
          <w:rFonts w:ascii="Arial" w:hAnsi="Arial" w:cs="Arial"/>
          <w:b/>
          <w:sz w:val="24"/>
          <w:szCs w:val="24"/>
          <w:u w:val="single"/>
          <w:lang w:val="es-ES_tradnl"/>
        </w:rPr>
        <w:t xml:space="preserve">En ese sentido, el Comité deplora los acontecimientos que tuvieron lugar en octubre de 2012 en Totonicapán, en los que miembros del Ejército dispararon contra un grupo de manifestantes indígenas que habían cortado una carretera, matando a seis de ellos e hiriendo a más de 30, y espera que se avance en el esclarecimiento y enjuiciamiento de los responsables de </w:t>
      </w:r>
      <w:r w:rsidRPr="00D72424">
        <w:rPr>
          <w:rFonts w:ascii="Arial" w:hAnsi="Arial" w:cs="Arial"/>
          <w:b/>
          <w:sz w:val="24"/>
          <w:szCs w:val="24"/>
          <w:u w:val="single"/>
          <w:lang w:val="es-ES_tradnl"/>
        </w:rPr>
        <w:lastRenderedPageBreak/>
        <w:t>estos hechos. El Comité toma nota de la afirmación de la delegación de que la cooperación del Ejército con la PNC continuará en tanto no se logre alcanzar el número de efectivos que ésta requiere. Asimismo, el Comité está preocupado por el creciente número de agentes de seguridad privada, que superaría al de la PNC (art. 2).</w:t>
      </w:r>
    </w:p>
    <w:p w:rsidR="00D72424" w:rsidRDefault="00D72424" w:rsidP="00252E28">
      <w:pPr>
        <w:autoSpaceDE w:val="0"/>
        <w:autoSpaceDN w:val="0"/>
        <w:adjustRightInd w:val="0"/>
        <w:spacing w:line="240" w:lineRule="auto"/>
        <w:jc w:val="both"/>
        <w:rPr>
          <w:rFonts w:ascii="Arial" w:eastAsia="Calibri" w:hAnsi="Arial" w:cs="Arial"/>
          <w:bCs/>
          <w:sz w:val="24"/>
          <w:szCs w:val="24"/>
          <w:lang w:val="es-ES_tradnl"/>
        </w:rPr>
      </w:pPr>
    </w:p>
    <w:p w:rsidR="00A05200" w:rsidRPr="00A05200" w:rsidRDefault="00A947F2" w:rsidP="00A05200">
      <w:pPr>
        <w:spacing w:line="240" w:lineRule="auto"/>
        <w:jc w:val="both"/>
        <w:rPr>
          <w:rFonts w:ascii="Tahoma" w:hAnsi="Tahoma" w:cs="Tahoma"/>
          <w:i/>
          <w:sz w:val="24"/>
          <w:szCs w:val="24"/>
        </w:rPr>
      </w:pPr>
      <w:r>
        <w:rPr>
          <w:rFonts w:ascii="Arial" w:eastAsia="Calibri" w:hAnsi="Arial" w:cs="Arial"/>
          <w:bCs/>
          <w:sz w:val="24"/>
          <w:szCs w:val="24"/>
          <w:lang w:val="es-ES_tradnl"/>
        </w:rPr>
        <w:t>El Estado rechaza que el</w:t>
      </w:r>
      <w:r w:rsidR="00DD7593" w:rsidRPr="00572E0B">
        <w:rPr>
          <w:rFonts w:ascii="Arial" w:eastAsia="Calibri" w:hAnsi="Arial" w:cs="Arial"/>
          <w:bCs/>
          <w:sz w:val="24"/>
          <w:szCs w:val="24"/>
          <w:lang w:val="es-ES_tradnl"/>
        </w:rPr>
        <w:t xml:space="preserve"> </w:t>
      </w:r>
      <w:r w:rsidR="00D72424">
        <w:rPr>
          <w:rFonts w:ascii="Arial" w:eastAsia="Calibri" w:hAnsi="Arial" w:cs="Arial"/>
          <w:bCs/>
          <w:sz w:val="24"/>
          <w:szCs w:val="24"/>
          <w:lang w:val="es-ES_tradnl"/>
        </w:rPr>
        <w:t>C</w:t>
      </w:r>
      <w:r w:rsidR="00DD7593" w:rsidRPr="00572E0B">
        <w:rPr>
          <w:rFonts w:ascii="Arial" w:eastAsia="Calibri" w:hAnsi="Arial" w:cs="Arial"/>
          <w:bCs/>
          <w:sz w:val="24"/>
          <w:szCs w:val="24"/>
          <w:lang w:val="es-ES_tradnl"/>
        </w:rPr>
        <w:t>omité prejuzgue y emita opinión sobre un asunto que se encuentra bajo investigación judicial</w:t>
      </w:r>
      <w:r w:rsidR="00D72424">
        <w:rPr>
          <w:rFonts w:ascii="Arial" w:eastAsia="Calibri" w:hAnsi="Arial" w:cs="Arial"/>
          <w:bCs/>
          <w:sz w:val="24"/>
          <w:szCs w:val="24"/>
          <w:lang w:val="es-ES_tradnl"/>
        </w:rPr>
        <w:t>.</w:t>
      </w:r>
      <w:r w:rsidR="00A05200">
        <w:rPr>
          <w:rFonts w:ascii="Arial" w:eastAsia="Calibri" w:hAnsi="Arial" w:cs="Arial"/>
          <w:bCs/>
          <w:sz w:val="24"/>
          <w:szCs w:val="24"/>
          <w:lang w:val="es-ES_tradnl"/>
        </w:rPr>
        <w:t xml:space="preserve"> El Estado reitera lo informado en las respuestas escritas entregadas a dicho Comité en donde indica que: </w:t>
      </w:r>
      <w:r w:rsidR="00A05200" w:rsidRPr="00A05200">
        <w:rPr>
          <w:rFonts w:ascii="Arial" w:eastAsia="Calibri" w:hAnsi="Arial" w:cs="Arial"/>
          <w:bCs/>
          <w:i/>
          <w:sz w:val="24"/>
          <w:szCs w:val="24"/>
          <w:lang w:val="es-ES_tradnl"/>
        </w:rPr>
        <w:t>“</w:t>
      </w:r>
      <w:r w:rsidR="00A05200" w:rsidRPr="00A05200">
        <w:rPr>
          <w:rFonts w:ascii="Tahoma" w:hAnsi="Tahoma" w:cs="Tahoma"/>
          <w:i/>
          <w:sz w:val="24"/>
          <w:szCs w:val="24"/>
        </w:rPr>
        <w:t xml:space="preserve">En apoyo de la policía nacional, el Ministerio de Gobernación solicitó cooperación al Ministerio de la Defensa, Unidades del ejército se dirigieron al lugar para evitar el cierre de una de las carreteras más importantes del país. Estas unidades del ejército fueron interceptadas y confrontadas por manifestantes y se produjo el incidente en el que ocurrieron varias muertes. El proceso penal se  inició por ejecución extrajudicial y continúa actualmente por diferente delito. Están siendo procesados un coronel por incumplimiento de deberes y 6 soldados por homicidio en estado de emoción violenta. </w:t>
      </w:r>
    </w:p>
    <w:p w:rsidR="00A05200" w:rsidRPr="00A05200" w:rsidRDefault="00A05200" w:rsidP="00A05200">
      <w:pPr>
        <w:spacing w:line="240" w:lineRule="auto"/>
        <w:jc w:val="both"/>
        <w:rPr>
          <w:rFonts w:ascii="Tahoma" w:hAnsi="Tahoma" w:cs="Tahoma"/>
          <w:i/>
          <w:sz w:val="24"/>
          <w:szCs w:val="24"/>
        </w:rPr>
      </w:pPr>
      <w:r w:rsidRPr="00A05200">
        <w:rPr>
          <w:rFonts w:ascii="Tahoma" w:hAnsi="Tahoma" w:cs="Tahoma"/>
          <w:i/>
          <w:sz w:val="24"/>
          <w:szCs w:val="24"/>
        </w:rPr>
        <w:t>Con motivo del incidente se reformaron las disposiciones legales que norman la cooperación del ejército con la policía, la cual continuará en tanto no se logre alcanzar el número de efectivos que requiere la policía nacional civil. El Gobierno se ha propuesto elevarlo a 35,000 para el fin del mandato de gobierno, en enero del 2016.”</w:t>
      </w:r>
    </w:p>
    <w:p w:rsidR="0056390B" w:rsidRDefault="0056390B" w:rsidP="00D662ED">
      <w:pPr>
        <w:pStyle w:val="SingleTxtG"/>
        <w:ind w:left="0" w:right="49"/>
        <w:rPr>
          <w:rFonts w:ascii="Arial" w:hAnsi="Arial" w:cs="Arial"/>
          <w:b/>
          <w:i/>
          <w:sz w:val="24"/>
          <w:szCs w:val="24"/>
          <w:lang w:val="es-ES_tradnl"/>
        </w:rPr>
      </w:pPr>
      <w:r w:rsidRPr="00A947F2">
        <w:rPr>
          <w:rFonts w:ascii="Arial" w:hAnsi="Arial" w:cs="Arial"/>
          <w:b/>
          <w:i/>
          <w:sz w:val="24"/>
          <w:szCs w:val="24"/>
          <w:lang w:val="es-ES_tradnl"/>
        </w:rPr>
        <w:t>Recomendación párrafo 16:</w:t>
      </w:r>
    </w:p>
    <w:p w:rsidR="00A947F2" w:rsidRPr="00A947F2" w:rsidRDefault="00A947F2" w:rsidP="00D662ED">
      <w:pPr>
        <w:pStyle w:val="SingleTxtG"/>
        <w:ind w:left="0" w:right="49"/>
        <w:rPr>
          <w:rFonts w:ascii="Arial" w:hAnsi="Arial" w:cs="Arial"/>
          <w:b/>
          <w:i/>
          <w:sz w:val="24"/>
          <w:szCs w:val="24"/>
          <w:lang w:val="es-ES_tradnl"/>
        </w:rPr>
      </w:pPr>
    </w:p>
    <w:p w:rsidR="009447E4" w:rsidRDefault="009447E4" w:rsidP="00D662ED">
      <w:pPr>
        <w:pStyle w:val="SingleTxtG"/>
        <w:ind w:left="0" w:right="49"/>
        <w:rPr>
          <w:rFonts w:ascii="Arial" w:hAnsi="Arial" w:cs="Arial"/>
          <w:b/>
          <w:sz w:val="24"/>
          <w:szCs w:val="24"/>
          <w:lang w:val="es-ES_tradnl"/>
        </w:rPr>
      </w:pPr>
      <w:r w:rsidRPr="00572E0B">
        <w:rPr>
          <w:rFonts w:ascii="Arial" w:hAnsi="Arial" w:cs="Arial"/>
          <w:b/>
          <w:sz w:val="24"/>
          <w:szCs w:val="24"/>
          <w:lang w:val="es-ES_tradnl"/>
        </w:rPr>
        <w:t>a)</w:t>
      </w:r>
      <w:r w:rsidRPr="00572E0B">
        <w:rPr>
          <w:rFonts w:ascii="Arial" w:hAnsi="Arial" w:cs="Arial"/>
          <w:b/>
          <w:sz w:val="24"/>
          <w:szCs w:val="24"/>
          <w:lang w:val="es-ES_tradnl"/>
        </w:rPr>
        <w:tab/>
        <w:t>Reiterando su anterior recomendación (párr. 11), insta al Estado parte a redoblar sus esfuerzos con miras a reforzar la PNC a la mayor brevedad posible, en particular dotándola de recursos humanos y financieros adecuados, con miras a asegurar el pronto término de la intervención del Ejército en actividades relacionadas con la seguridad pública; y a garantizar que no subsistan disposiciones legales que autoricen al Ejército a intervenir en actividades netamente policiales y de prevención de la criminalidad común que corresponden únicamente a la PNC;</w:t>
      </w:r>
    </w:p>
    <w:p w:rsidR="00A947F2" w:rsidRPr="00572E0B" w:rsidRDefault="00A947F2" w:rsidP="00D662ED">
      <w:pPr>
        <w:pStyle w:val="SingleTxtG"/>
        <w:ind w:left="0" w:right="49"/>
        <w:rPr>
          <w:rFonts w:ascii="Arial" w:hAnsi="Arial" w:cs="Arial"/>
          <w:b/>
          <w:sz w:val="24"/>
          <w:szCs w:val="24"/>
          <w:lang w:val="es-ES_tradnl"/>
        </w:rPr>
      </w:pPr>
    </w:p>
    <w:p w:rsidR="002D6B28" w:rsidRDefault="00B62949" w:rsidP="00252E28">
      <w:pPr>
        <w:autoSpaceDE w:val="0"/>
        <w:autoSpaceDN w:val="0"/>
        <w:adjustRightInd w:val="0"/>
        <w:spacing w:line="240" w:lineRule="auto"/>
        <w:jc w:val="both"/>
        <w:rPr>
          <w:rFonts w:ascii="Arial" w:eastAsia="Calibri" w:hAnsi="Arial" w:cs="Arial"/>
          <w:bCs/>
          <w:sz w:val="24"/>
          <w:szCs w:val="24"/>
          <w:lang w:val="es-ES_tradnl"/>
        </w:rPr>
      </w:pPr>
      <w:r>
        <w:rPr>
          <w:rFonts w:ascii="Arial" w:eastAsia="Calibri" w:hAnsi="Arial" w:cs="Arial"/>
          <w:bCs/>
          <w:sz w:val="24"/>
          <w:szCs w:val="24"/>
          <w:lang w:val="es-ES_tradnl"/>
        </w:rPr>
        <w:t>E</w:t>
      </w:r>
      <w:r w:rsidR="00A947F2">
        <w:rPr>
          <w:rFonts w:ascii="Arial" w:eastAsia="Calibri" w:hAnsi="Arial" w:cs="Arial"/>
          <w:bCs/>
          <w:sz w:val="24"/>
          <w:szCs w:val="24"/>
          <w:lang w:val="es-ES_tradnl"/>
        </w:rPr>
        <w:t>n este sentido e</w:t>
      </w:r>
      <w:r>
        <w:rPr>
          <w:rFonts w:ascii="Arial" w:eastAsia="Calibri" w:hAnsi="Arial" w:cs="Arial"/>
          <w:bCs/>
          <w:sz w:val="24"/>
          <w:szCs w:val="24"/>
          <w:lang w:val="es-ES_tradnl"/>
        </w:rPr>
        <w:t>l Estado de Guatemala</w:t>
      </w:r>
      <w:r w:rsidR="00A947F2">
        <w:rPr>
          <w:rFonts w:ascii="Arial" w:eastAsia="Calibri" w:hAnsi="Arial" w:cs="Arial"/>
          <w:bCs/>
          <w:sz w:val="24"/>
          <w:szCs w:val="24"/>
          <w:lang w:val="es-ES_tradnl"/>
        </w:rPr>
        <w:t xml:space="preserve"> de igual forma se permite reiterar</w:t>
      </w:r>
      <w:r>
        <w:rPr>
          <w:rFonts w:ascii="Arial" w:eastAsia="Calibri" w:hAnsi="Arial" w:cs="Arial"/>
          <w:bCs/>
          <w:sz w:val="24"/>
          <w:szCs w:val="24"/>
          <w:lang w:val="es-ES_tradnl"/>
        </w:rPr>
        <w:t xml:space="preserve"> lo informado</w:t>
      </w:r>
      <w:r w:rsidR="00A947F2">
        <w:rPr>
          <w:rFonts w:ascii="Arial" w:eastAsia="Calibri" w:hAnsi="Arial" w:cs="Arial"/>
          <w:bCs/>
          <w:sz w:val="24"/>
          <w:szCs w:val="24"/>
          <w:lang w:val="es-ES_tradnl"/>
        </w:rPr>
        <w:t xml:space="preserve"> oportunamente</w:t>
      </w:r>
      <w:r>
        <w:rPr>
          <w:rFonts w:ascii="Arial" w:eastAsia="Calibri" w:hAnsi="Arial" w:cs="Arial"/>
          <w:bCs/>
          <w:sz w:val="24"/>
          <w:szCs w:val="24"/>
          <w:lang w:val="es-ES_tradnl"/>
        </w:rPr>
        <w:t xml:space="preserve"> en la actualización de </w:t>
      </w:r>
      <w:r w:rsidR="00A947F2">
        <w:rPr>
          <w:rFonts w:ascii="Arial" w:eastAsia="Calibri" w:hAnsi="Arial" w:cs="Arial"/>
          <w:bCs/>
          <w:sz w:val="24"/>
          <w:szCs w:val="24"/>
          <w:lang w:val="es-ES_tradnl"/>
        </w:rPr>
        <w:t xml:space="preserve">la Lista de Cuestiones en lo referente </w:t>
      </w:r>
      <w:r>
        <w:rPr>
          <w:rFonts w:ascii="Arial" w:eastAsia="Calibri" w:hAnsi="Arial" w:cs="Arial"/>
          <w:bCs/>
          <w:sz w:val="24"/>
          <w:szCs w:val="24"/>
          <w:lang w:val="es-ES_tradnl"/>
        </w:rPr>
        <w:t xml:space="preserve"> a:</w:t>
      </w:r>
    </w:p>
    <w:p w:rsidR="00B62949" w:rsidRPr="00B62949" w:rsidRDefault="00B62949" w:rsidP="00B62949">
      <w:pPr>
        <w:pStyle w:val="SingleTxtG"/>
        <w:spacing w:after="0" w:line="240" w:lineRule="auto"/>
        <w:ind w:left="0" w:right="0"/>
        <w:contextualSpacing/>
        <w:rPr>
          <w:rFonts w:ascii="Arial" w:hAnsi="Arial" w:cs="Arial"/>
          <w:bCs/>
          <w:i/>
          <w:sz w:val="24"/>
          <w:szCs w:val="24"/>
        </w:rPr>
      </w:pPr>
      <w:r>
        <w:rPr>
          <w:rFonts w:ascii="Arial" w:hAnsi="Arial" w:cs="Arial"/>
          <w:bCs/>
          <w:i/>
          <w:sz w:val="24"/>
          <w:szCs w:val="24"/>
        </w:rPr>
        <w:t>“</w:t>
      </w:r>
      <w:r w:rsidRPr="00B62949">
        <w:rPr>
          <w:rFonts w:ascii="Arial" w:hAnsi="Arial" w:cs="Arial"/>
          <w:bCs/>
          <w:i/>
          <w:sz w:val="24"/>
          <w:szCs w:val="24"/>
        </w:rPr>
        <w:t xml:space="preserve">El  Ejército de Guatemala en ningún momento ha ejercido funciones propias de la Policía Nacional Civil. El Estado ha regulado la forma de colaboración y participación del ejército en actividades de apoyo, y, bajo supervisión de la Policía Nacional Civil, a modo de establecer límites claros y las excepciones que deben darse para que se justifique su actuación. Lo anterior se establece en la normativa </w:t>
      </w:r>
      <w:r w:rsidRPr="00B62949">
        <w:rPr>
          <w:rFonts w:ascii="Arial" w:hAnsi="Arial" w:cs="Arial"/>
          <w:bCs/>
          <w:i/>
          <w:sz w:val="24"/>
          <w:szCs w:val="24"/>
        </w:rPr>
        <w:lastRenderedPageBreak/>
        <w:t xml:space="preserve">nacional a través del artículo 249 de la Constitución Política de la República de Guatemala, Decreto Legislativo 40-2000, Acuerdo Gubernativo 285-2012, que el Ejecutivo aprobó, conocido como “Protocolo de Actuación Interinstitucional: Apoyo del Ejército a las Fuerzas de Seguridad Civil”. Dicho protocolo busca regular la asistencia y apoyo de las unidades del Ejército a las fuerzas de seguridad civil. </w:t>
      </w:r>
    </w:p>
    <w:p w:rsidR="00B62949" w:rsidRPr="00B62949" w:rsidRDefault="00B62949" w:rsidP="00B62949">
      <w:pPr>
        <w:pStyle w:val="SingleTxtG"/>
        <w:spacing w:after="0" w:line="240" w:lineRule="auto"/>
        <w:ind w:left="0" w:right="0"/>
        <w:contextualSpacing/>
        <w:rPr>
          <w:rFonts w:ascii="Arial" w:hAnsi="Arial" w:cs="Arial"/>
          <w:bCs/>
          <w:i/>
          <w:sz w:val="24"/>
          <w:szCs w:val="24"/>
        </w:rPr>
      </w:pPr>
    </w:p>
    <w:p w:rsidR="00B62949" w:rsidRPr="00B62949" w:rsidRDefault="00B62949" w:rsidP="00B62949">
      <w:pPr>
        <w:pStyle w:val="SingleTxtG"/>
        <w:ind w:left="0" w:right="49"/>
        <w:rPr>
          <w:rFonts w:ascii="Arial" w:hAnsi="Arial" w:cs="Arial"/>
          <w:b/>
          <w:i/>
          <w:sz w:val="24"/>
          <w:szCs w:val="24"/>
          <w:lang w:val="es-ES_tradnl"/>
        </w:rPr>
      </w:pPr>
      <w:r w:rsidRPr="00B62949">
        <w:rPr>
          <w:rFonts w:ascii="Arial" w:hAnsi="Arial" w:cs="Arial"/>
          <w:bCs/>
          <w:i/>
          <w:sz w:val="24"/>
          <w:szCs w:val="24"/>
        </w:rPr>
        <w:t>El objetivo de la normativa es establecer reglas de colaboración, cooperación y coordinación en apoyo a las fuerzas policiales por parte de unidades del Ejército, delimitando el marco de acción de cada una, y contemplando el fundamento legal sobre el tipo de apoyo que las unidades del Ejército deben brindar a las fuerzas de seguridad civil, así como el comportamiento que deben observar quienes intervengan en las operaciones conjuntas y las responsabilidades de mando y control que deben asumir las fuerzas policiales</w:t>
      </w:r>
      <w:r>
        <w:rPr>
          <w:rFonts w:ascii="Arial" w:hAnsi="Arial" w:cs="Arial"/>
          <w:bCs/>
          <w:i/>
          <w:sz w:val="24"/>
          <w:szCs w:val="24"/>
        </w:rPr>
        <w:t>”.</w:t>
      </w:r>
    </w:p>
    <w:p w:rsidR="00B62949" w:rsidRDefault="00B62949" w:rsidP="00A0067A">
      <w:pPr>
        <w:pStyle w:val="SingleTxtG"/>
        <w:ind w:left="0" w:right="49"/>
        <w:rPr>
          <w:rFonts w:ascii="Arial" w:hAnsi="Arial" w:cs="Arial"/>
          <w:b/>
          <w:sz w:val="24"/>
          <w:szCs w:val="24"/>
          <w:lang w:val="es-ES_tradnl"/>
        </w:rPr>
      </w:pPr>
    </w:p>
    <w:p w:rsidR="00721969" w:rsidRDefault="00721969" w:rsidP="00A0067A">
      <w:pPr>
        <w:pStyle w:val="SingleTxtG"/>
        <w:ind w:left="0" w:right="49"/>
        <w:rPr>
          <w:rFonts w:ascii="Arial" w:hAnsi="Arial" w:cs="Arial"/>
          <w:b/>
          <w:sz w:val="24"/>
          <w:szCs w:val="24"/>
          <w:lang w:val="es-ES_tradnl"/>
        </w:rPr>
      </w:pPr>
      <w:r w:rsidRPr="00572E0B">
        <w:rPr>
          <w:rFonts w:ascii="Arial" w:hAnsi="Arial" w:cs="Arial"/>
          <w:b/>
          <w:sz w:val="24"/>
          <w:szCs w:val="24"/>
          <w:lang w:val="es-ES_tradnl"/>
        </w:rPr>
        <w:t>b)</w:t>
      </w:r>
      <w:r w:rsidRPr="00572E0B">
        <w:rPr>
          <w:rFonts w:ascii="Arial" w:hAnsi="Arial" w:cs="Arial"/>
          <w:b/>
          <w:sz w:val="24"/>
          <w:szCs w:val="24"/>
          <w:lang w:val="es-ES_tradnl"/>
        </w:rPr>
        <w:tab/>
        <w:t>Recomienda que el Estado parte asegure que todas las empresas de seguridad privada cumplan con el registro obligatorio establecido por la legislación vigente y que sus actividades estén sujetas a una adecuada superv</w:t>
      </w:r>
      <w:r w:rsidR="00A947F2">
        <w:rPr>
          <w:rFonts w:ascii="Arial" w:hAnsi="Arial" w:cs="Arial"/>
          <w:b/>
          <w:sz w:val="24"/>
          <w:szCs w:val="24"/>
          <w:lang w:val="es-ES_tradnl"/>
        </w:rPr>
        <w:t xml:space="preserve">isión y rendición de cuentas; </w:t>
      </w:r>
    </w:p>
    <w:p w:rsidR="00A947F2" w:rsidRPr="00572E0B" w:rsidRDefault="00A947F2" w:rsidP="00A0067A">
      <w:pPr>
        <w:pStyle w:val="SingleTxtG"/>
        <w:ind w:left="0" w:right="49"/>
        <w:rPr>
          <w:rFonts w:ascii="Arial" w:hAnsi="Arial" w:cs="Arial"/>
          <w:b/>
          <w:sz w:val="24"/>
          <w:szCs w:val="24"/>
          <w:lang w:val="es-ES_tradnl"/>
        </w:rPr>
      </w:pPr>
    </w:p>
    <w:p w:rsidR="00516C35" w:rsidRDefault="00A0067A" w:rsidP="00516C35">
      <w:pPr>
        <w:shd w:val="clear" w:color="auto" w:fill="FFFFFF"/>
        <w:spacing w:line="240" w:lineRule="auto"/>
        <w:contextualSpacing/>
        <w:jc w:val="both"/>
        <w:rPr>
          <w:rFonts w:ascii="Arial" w:hAnsi="Arial" w:cs="Arial"/>
          <w:sz w:val="24"/>
          <w:szCs w:val="24"/>
        </w:rPr>
      </w:pPr>
      <w:r>
        <w:rPr>
          <w:rFonts w:ascii="Arial" w:eastAsia="Calibri" w:hAnsi="Arial" w:cs="Arial"/>
          <w:bCs/>
          <w:sz w:val="24"/>
          <w:szCs w:val="24"/>
          <w:lang w:val="es-ES_tradnl"/>
        </w:rPr>
        <w:t>El Estado de Guatemala reitera lo informado en la actualización de la Lista de Cuestiones, en la que indica</w:t>
      </w:r>
      <w:r w:rsidR="00516C35">
        <w:rPr>
          <w:rFonts w:ascii="Arial" w:eastAsia="Calibri" w:hAnsi="Arial" w:cs="Arial"/>
          <w:bCs/>
          <w:sz w:val="24"/>
          <w:szCs w:val="24"/>
          <w:lang w:val="es-ES_tradnl"/>
        </w:rPr>
        <w:t xml:space="preserve"> que si existe un registro obligatorio establecido por la legislación vigente y que sus actividades se encuentra sujetas a supervisión y a una eventual rendición de cuentas, prueba de ello es que</w:t>
      </w:r>
      <w:r w:rsidR="00516C35" w:rsidRPr="00516C35">
        <w:rPr>
          <w:rFonts w:ascii="Arial" w:hAnsi="Arial" w:cs="Arial"/>
          <w:i/>
          <w:sz w:val="24"/>
          <w:szCs w:val="24"/>
        </w:rPr>
        <w:t xml:space="preserve"> </w:t>
      </w:r>
      <w:r w:rsidR="00516C35" w:rsidRPr="00516C35">
        <w:rPr>
          <w:rFonts w:ascii="Arial" w:hAnsi="Arial" w:cs="Arial"/>
          <w:sz w:val="24"/>
          <w:szCs w:val="24"/>
        </w:rPr>
        <w:t>la Dirección de Empresas Privadas de Seguridad, cuenta con registros de  141 Empresas instituidas con ac</w:t>
      </w:r>
      <w:r w:rsidR="00516C35">
        <w:rPr>
          <w:rFonts w:ascii="Arial" w:hAnsi="Arial" w:cs="Arial"/>
          <w:sz w:val="24"/>
          <w:szCs w:val="24"/>
        </w:rPr>
        <w:t>uerdo gubernativo o ministerial.</w:t>
      </w:r>
    </w:p>
    <w:p w:rsidR="00A0067A" w:rsidRPr="00516C35" w:rsidRDefault="00516C35" w:rsidP="00516C35">
      <w:pPr>
        <w:shd w:val="clear" w:color="auto" w:fill="FFFFFF"/>
        <w:spacing w:line="240" w:lineRule="auto"/>
        <w:contextualSpacing/>
        <w:jc w:val="both"/>
        <w:rPr>
          <w:rFonts w:ascii="Arial" w:hAnsi="Arial" w:cs="Arial"/>
          <w:sz w:val="24"/>
          <w:szCs w:val="24"/>
        </w:rPr>
      </w:pPr>
      <w:r w:rsidRPr="00516C35">
        <w:rPr>
          <w:rFonts w:ascii="Arial" w:hAnsi="Arial" w:cs="Arial"/>
          <w:sz w:val="24"/>
          <w:szCs w:val="24"/>
        </w:rPr>
        <w:t>.</w:t>
      </w:r>
    </w:p>
    <w:p w:rsidR="00A0067A" w:rsidRPr="00516C35" w:rsidRDefault="00415ED9" w:rsidP="00415ED9">
      <w:pPr>
        <w:pStyle w:val="H23G"/>
        <w:ind w:left="0" w:firstLine="0"/>
        <w:jc w:val="both"/>
        <w:rPr>
          <w:rFonts w:ascii="Arial" w:hAnsi="Arial" w:cs="Arial"/>
          <w:bCs/>
          <w:i/>
          <w:sz w:val="24"/>
          <w:szCs w:val="24"/>
        </w:rPr>
      </w:pPr>
      <w:r w:rsidRPr="00516C35">
        <w:rPr>
          <w:rFonts w:ascii="Arial" w:hAnsi="Arial" w:cs="Arial"/>
          <w:bCs/>
          <w:i/>
          <w:sz w:val="24"/>
          <w:szCs w:val="24"/>
        </w:rPr>
        <w:t>Párrafo 20:</w:t>
      </w:r>
    </w:p>
    <w:p w:rsidR="00516C35" w:rsidRDefault="00516C35" w:rsidP="00415ED9">
      <w:pPr>
        <w:pStyle w:val="H23G"/>
        <w:ind w:left="0" w:right="49" w:firstLine="0"/>
        <w:jc w:val="both"/>
        <w:rPr>
          <w:rFonts w:ascii="Arial" w:hAnsi="Arial" w:cs="Arial"/>
          <w:bCs/>
          <w:sz w:val="24"/>
          <w:szCs w:val="24"/>
        </w:rPr>
      </w:pPr>
    </w:p>
    <w:p w:rsidR="00415ED9" w:rsidRDefault="005F4536" w:rsidP="00415ED9">
      <w:pPr>
        <w:pStyle w:val="H23G"/>
        <w:ind w:left="0" w:right="49" w:firstLine="0"/>
        <w:jc w:val="both"/>
        <w:rPr>
          <w:rFonts w:ascii="Arial" w:hAnsi="Arial" w:cs="Arial"/>
          <w:bCs/>
          <w:sz w:val="24"/>
          <w:szCs w:val="24"/>
        </w:rPr>
      </w:pPr>
      <w:r w:rsidRPr="00415ED9">
        <w:rPr>
          <w:rFonts w:ascii="Arial" w:hAnsi="Arial" w:cs="Arial"/>
          <w:bCs/>
          <w:sz w:val="24"/>
          <w:szCs w:val="24"/>
        </w:rPr>
        <w:t>20.</w:t>
      </w:r>
      <w:r w:rsidRPr="00415ED9">
        <w:rPr>
          <w:rFonts w:ascii="Arial" w:hAnsi="Arial" w:cs="Arial"/>
          <w:bCs/>
          <w:sz w:val="24"/>
          <w:szCs w:val="24"/>
        </w:rPr>
        <w:tab/>
      </w:r>
      <w:r w:rsidR="00415ED9">
        <w:rPr>
          <w:rFonts w:ascii="Arial" w:hAnsi="Arial" w:cs="Arial"/>
          <w:bCs/>
          <w:sz w:val="24"/>
          <w:szCs w:val="24"/>
        </w:rPr>
        <w:t xml:space="preserve"> </w:t>
      </w:r>
      <w:r w:rsidRPr="00415ED9">
        <w:rPr>
          <w:rFonts w:ascii="Arial" w:hAnsi="Arial" w:cs="Arial"/>
          <w:bCs/>
          <w:sz w:val="24"/>
          <w:szCs w:val="24"/>
        </w:rPr>
        <w:t>El Comité nota con preocupación la información recibida sobre las malas condiciones existentes en los centros privados de rehabilitación de drogas así como sobre los malos tratos a los que serían sometidas las personas ingresadas en los mismos. El Comité observa con satisfacción el compromiso del Estado parte de realizar las investigaciones pertinentes, tal como lo señalara en la información adicional presentada (arts. 2, 11, 12 y 16).</w:t>
      </w:r>
    </w:p>
    <w:p w:rsidR="00516C35" w:rsidRPr="00516C35" w:rsidRDefault="00516C35" w:rsidP="00516C35">
      <w:pPr>
        <w:rPr>
          <w:lang w:eastAsia="es-ES"/>
        </w:rPr>
      </w:pPr>
    </w:p>
    <w:p w:rsidR="00415ED9" w:rsidRPr="00415ED9" w:rsidRDefault="00415ED9" w:rsidP="00415ED9">
      <w:pPr>
        <w:autoSpaceDE w:val="0"/>
        <w:autoSpaceDN w:val="0"/>
        <w:adjustRightInd w:val="0"/>
        <w:spacing w:line="240" w:lineRule="auto"/>
        <w:jc w:val="both"/>
        <w:rPr>
          <w:rFonts w:ascii="Arial" w:eastAsia="Calibri" w:hAnsi="Arial" w:cs="Arial"/>
          <w:bCs/>
          <w:sz w:val="24"/>
          <w:szCs w:val="24"/>
          <w:lang w:val="es-ES_tradnl"/>
        </w:rPr>
      </w:pPr>
      <w:r>
        <w:rPr>
          <w:rFonts w:ascii="Arial" w:eastAsia="Calibri" w:hAnsi="Arial" w:cs="Arial"/>
          <w:bCs/>
          <w:sz w:val="24"/>
          <w:szCs w:val="24"/>
          <w:lang w:val="es-ES_tradnl"/>
        </w:rPr>
        <w:t>El Estado de Guatemala reitera lo manifestado en las respuestas escritas entregadas a dicho Comité, en relación a:</w:t>
      </w:r>
    </w:p>
    <w:p w:rsidR="00516C35" w:rsidRDefault="00516C35" w:rsidP="00415ED9">
      <w:pPr>
        <w:spacing w:after="0" w:line="240" w:lineRule="auto"/>
        <w:jc w:val="both"/>
        <w:rPr>
          <w:rFonts w:ascii="Arial" w:hAnsi="Arial" w:cs="Arial"/>
          <w:i/>
          <w:sz w:val="24"/>
          <w:szCs w:val="24"/>
          <w:lang w:val="es-ES_tradnl"/>
        </w:rPr>
      </w:pPr>
    </w:p>
    <w:p w:rsidR="00415ED9" w:rsidRPr="00415ED9" w:rsidRDefault="00415ED9" w:rsidP="00415ED9">
      <w:pPr>
        <w:spacing w:after="0" w:line="240" w:lineRule="auto"/>
        <w:jc w:val="both"/>
        <w:rPr>
          <w:rFonts w:ascii="Arial" w:hAnsi="Arial" w:cs="Arial"/>
          <w:i/>
          <w:sz w:val="24"/>
          <w:szCs w:val="24"/>
        </w:rPr>
      </w:pPr>
      <w:r w:rsidRPr="00415ED9">
        <w:rPr>
          <w:rFonts w:ascii="Arial" w:hAnsi="Arial" w:cs="Arial"/>
          <w:i/>
          <w:sz w:val="24"/>
          <w:szCs w:val="24"/>
        </w:rPr>
        <w:t xml:space="preserve">“Tomamos nota de las denuncias sobre centros de las iglesias pentecostales, donde se presta tratamiento a jóvenes con adicciones.  En los cuales podrían </w:t>
      </w:r>
      <w:r w:rsidRPr="00415ED9">
        <w:rPr>
          <w:rFonts w:ascii="Arial" w:hAnsi="Arial" w:cs="Arial"/>
          <w:i/>
          <w:sz w:val="24"/>
          <w:szCs w:val="24"/>
        </w:rPr>
        <w:lastRenderedPageBreak/>
        <w:t>darse abusos.  La denuncia no ofrece datos o nombres, pero pediremos al Ministerio de Gobernación que se investigue y presentaremos la denuncia al Ministerio Público para que se determine algún indicio de delito, y se inicie la persecución penal que corresponde.”</w:t>
      </w:r>
    </w:p>
    <w:p w:rsidR="00415ED9" w:rsidRPr="00415ED9" w:rsidRDefault="00415ED9" w:rsidP="00252E28">
      <w:pPr>
        <w:autoSpaceDE w:val="0"/>
        <w:autoSpaceDN w:val="0"/>
        <w:adjustRightInd w:val="0"/>
        <w:spacing w:line="240" w:lineRule="auto"/>
        <w:jc w:val="both"/>
        <w:rPr>
          <w:rFonts w:ascii="Arial" w:eastAsia="Calibri" w:hAnsi="Arial" w:cs="Arial"/>
          <w:bCs/>
          <w:sz w:val="24"/>
          <w:szCs w:val="24"/>
        </w:rPr>
      </w:pPr>
    </w:p>
    <w:p w:rsidR="00A664BE" w:rsidRPr="00572E0B" w:rsidRDefault="00A664BE" w:rsidP="00A664BE">
      <w:pPr>
        <w:jc w:val="both"/>
        <w:rPr>
          <w:rFonts w:ascii="Arial" w:hAnsi="Arial" w:cs="Arial"/>
          <w:b/>
          <w:sz w:val="24"/>
          <w:szCs w:val="24"/>
        </w:rPr>
      </w:pPr>
    </w:p>
    <w:p w:rsidR="00A664BE" w:rsidRPr="00572E0B" w:rsidRDefault="00A664BE" w:rsidP="00A664BE">
      <w:pPr>
        <w:jc w:val="both"/>
        <w:rPr>
          <w:rFonts w:ascii="Arial" w:hAnsi="Arial" w:cs="Arial"/>
          <w:b/>
          <w:sz w:val="24"/>
          <w:szCs w:val="24"/>
        </w:rPr>
      </w:pPr>
    </w:p>
    <w:p w:rsidR="00A664BE" w:rsidRPr="00572E0B" w:rsidRDefault="00A664BE" w:rsidP="00A664BE">
      <w:pPr>
        <w:jc w:val="both"/>
        <w:rPr>
          <w:rFonts w:ascii="Arial" w:hAnsi="Arial" w:cs="Arial"/>
          <w:b/>
          <w:sz w:val="24"/>
          <w:szCs w:val="24"/>
        </w:rPr>
      </w:pPr>
    </w:p>
    <w:p w:rsidR="00A664BE" w:rsidRPr="00572E0B" w:rsidRDefault="00A664BE" w:rsidP="00A664BE">
      <w:pPr>
        <w:jc w:val="both"/>
        <w:rPr>
          <w:rFonts w:ascii="Arial" w:hAnsi="Arial" w:cs="Arial"/>
          <w:b/>
          <w:sz w:val="24"/>
          <w:szCs w:val="24"/>
        </w:rPr>
      </w:pPr>
    </w:p>
    <w:p w:rsidR="00A664BE" w:rsidRPr="00572E0B" w:rsidRDefault="00A664BE" w:rsidP="00A664BE">
      <w:pPr>
        <w:jc w:val="both"/>
        <w:rPr>
          <w:rFonts w:ascii="Arial" w:hAnsi="Arial" w:cs="Arial"/>
          <w:b/>
          <w:sz w:val="24"/>
          <w:szCs w:val="24"/>
        </w:rPr>
      </w:pPr>
    </w:p>
    <w:p w:rsidR="00A664BE" w:rsidRPr="00572E0B" w:rsidRDefault="00A664BE" w:rsidP="00361A78">
      <w:pPr>
        <w:tabs>
          <w:tab w:val="left" w:pos="1708"/>
        </w:tabs>
        <w:jc w:val="both"/>
        <w:rPr>
          <w:rFonts w:ascii="Arial" w:hAnsi="Arial" w:cs="Arial"/>
          <w:b/>
          <w:sz w:val="24"/>
          <w:szCs w:val="24"/>
        </w:rPr>
      </w:pPr>
    </w:p>
    <w:p w:rsidR="00361A78" w:rsidRPr="00572E0B" w:rsidRDefault="00361A78" w:rsidP="00361A78">
      <w:pPr>
        <w:tabs>
          <w:tab w:val="left" w:pos="1708"/>
        </w:tabs>
        <w:jc w:val="both"/>
        <w:rPr>
          <w:rFonts w:ascii="Arial" w:hAnsi="Arial" w:cs="Arial"/>
          <w:sz w:val="24"/>
          <w:szCs w:val="24"/>
        </w:rPr>
      </w:pPr>
    </w:p>
    <w:p w:rsidR="00361A78" w:rsidRPr="00572E0B" w:rsidRDefault="00361A78" w:rsidP="00361A78">
      <w:pPr>
        <w:tabs>
          <w:tab w:val="left" w:pos="1708"/>
        </w:tabs>
        <w:jc w:val="both"/>
        <w:rPr>
          <w:rFonts w:ascii="Arial" w:hAnsi="Arial" w:cs="Arial"/>
          <w:sz w:val="24"/>
          <w:szCs w:val="24"/>
        </w:rPr>
      </w:pPr>
    </w:p>
    <w:p w:rsidR="00B64A9E" w:rsidRPr="00CE168D" w:rsidRDefault="00B64A9E" w:rsidP="00CE168D">
      <w:pPr>
        <w:jc w:val="both"/>
        <w:rPr>
          <w:rFonts w:ascii="Arial" w:hAnsi="Arial" w:cs="Arial"/>
          <w:b/>
          <w:sz w:val="24"/>
          <w:szCs w:val="24"/>
        </w:rPr>
      </w:pPr>
    </w:p>
    <w:sectPr w:rsidR="00B64A9E" w:rsidRPr="00CE168D" w:rsidSect="00965A19">
      <w:footerReference w:type="even" r:id="rId9"/>
      <w:footerReference w:type="default" r:id="rId10"/>
      <w:pgSz w:w="12240" w:h="15840" w:code="1"/>
      <w:pgMar w:top="1417" w:right="1701" w:bottom="1417"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BAC" w:rsidRDefault="00CF6BAC" w:rsidP="00C21ACC">
      <w:pPr>
        <w:spacing w:after="0" w:line="240" w:lineRule="auto"/>
      </w:pPr>
      <w:r>
        <w:separator/>
      </w:r>
    </w:p>
  </w:endnote>
  <w:endnote w:type="continuationSeparator" w:id="1">
    <w:p w:rsidR="00CF6BAC" w:rsidRDefault="00CF6BAC" w:rsidP="00C21A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ff0">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0E1" w:rsidRDefault="001D04EE" w:rsidP="00CC47F9">
    <w:pPr>
      <w:pStyle w:val="Piedepgina"/>
      <w:framePr w:wrap="around" w:vAnchor="text" w:hAnchor="margin" w:xAlign="center" w:y="1"/>
      <w:rPr>
        <w:rStyle w:val="Nmerodepgina"/>
      </w:rPr>
    </w:pPr>
    <w:r>
      <w:rPr>
        <w:rStyle w:val="Nmerodepgina"/>
      </w:rPr>
      <w:fldChar w:fldCharType="begin"/>
    </w:r>
    <w:r w:rsidR="000740E1">
      <w:rPr>
        <w:rStyle w:val="Nmerodepgina"/>
      </w:rPr>
      <w:instrText xml:space="preserve">PAGE  </w:instrText>
    </w:r>
    <w:r>
      <w:rPr>
        <w:rStyle w:val="Nmerodepgina"/>
      </w:rPr>
      <w:fldChar w:fldCharType="end"/>
    </w:r>
  </w:p>
  <w:p w:rsidR="000740E1" w:rsidRDefault="000740E1" w:rsidP="00CC47F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0E1" w:rsidRPr="006749CA" w:rsidRDefault="000740E1" w:rsidP="00CC47F9">
    <w:pPr>
      <w:pStyle w:val="Piedepgina"/>
      <w:framePr w:wrap="around" w:vAnchor="text" w:hAnchor="margin" w:xAlign="center" w:y="1"/>
      <w:rPr>
        <w:rStyle w:val="Nmerodepgina"/>
        <w:rFonts w:ascii="Tahoma" w:hAnsi="Tahoma" w:cs="Tahoma"/>
        <w:sz w:val="20"/>
        <w:szCs w:val="20"/>
      </w:rPr>
    </w:pPr>
    <w:r w:rsidRPr="008A6ED0">
      <w:rPr>
        <w:rStyle w:val="Nmerodepgina"/>
        <w:rFonts w:ascii="Tahoma" w:hAnsi="Tahoma" w:cs="Tahoma"/>
        <w:sz w:val="20"/>
        <w:szCs w:val="20"/>
      </w:rPr>
      <w:t xml:space="preserve">Página </w:t>
    </w:r>
    <w:r w:rsidR="001D04EE" w:rsidRPr="008A6ED0">
      <w:rPr>
        <w:rStyle w:val="Nmerodepgina"/>
        <w:rFonts w:ascii="Tahoma" w:hAnsi="Tahoma" w:cs="Tahoma"/>
        <w:sz w:val="20"/>
        <w:szCs w:val="20"/>
      </w:rPr>
      <w:fldChar w:fldCharType="begin"/>
    </w:r>
    <w:r w:rsidRPr="008A6ED0">
      <w:rPr>
        <w:rStyle w:val="Nmerodepgina"/>
        <w:rFonts w:ascii="Tahoma" w:hAnsi="Tahoma" w:cs="Tahoma"/>
        <w:sz w:val="20"/>
        <w:szCs w:val="20"/>
      </w:rPr>
      <w:instrText xml:space="preserve"> PAGE </w:instrText>
    </w:r>
    <w:r w:rsidR="001D04EE" w:rsidRPr="008A6ED0">
      <w:rPr>
        <w:rStyle w:val="Nmerodepgina"/>
        <w:rFonts w:ascii="Tahoma" w:hAnsi="Tahoma" w:cs="Tahoma"/>
        <w:sz w:val="20"/>
        <w:szCs w:val="20"/>
      </w:rPr>
      <w:fldChar w:fldCharType="separate"/>
    </w:r>
    <w:r w:rsidR="0054534F">
      <w:rPr>
        <w:rStyle w:val="Nmerodepgina"/>
        <w:rFonts w:ascii="Tahoma" w:hAnsi="Tahoma" w:cs="Tahoma"/>
        <w:noProof/>
        <w:sz w:val="20"/>
        <w:szCs w:val="20"/>
      </w:rPr>
      <w:t>3</w:t>
    </w:r>
    <w:r w:rsidR="001D04EE" w:rsidRPr="008A6ED0">
      <w:rPr>
        <w:rStyle w:val="Nmerodepgina"/>
        <w:rFonts w:ascii="Tahoma" w:hAnsi="Tahoma" w:cs="Tahoma"/>
        <w:sz w:val="20"/>
        <w:szCs w:val="20"/>
      </w:rPr>
      <w:fldChar w:fldCharType="end"/>
    </w:r>
    <w:r w:rsidRPr="008A6ED0">
      <w:rPr>
        <w:rStyle w:val="Nmerodepgina"/>
        <w:rFonts w:ascii="Tahoma" w:hAnsi="Tahoma" w:cs="Tahoma"/>
        <w:sz w:val="20"/>
        <w:szCs w:val="20"/>
      </w:rPr>
      <w:t xml:space="preserve"> de </w:t>
    </w:r>
    <w:r w:rsidR="001D04EE" w:rsidRPr="008A6ED0">
      <w:rPr>
        <w:rStyle w:val="Nmerodepgina"/>
        <w:rFonts w:ascii="Tahoma" w:hAnsi="Tahoma" w:cs="Tahoma"/>
        <w:sz w:val="20"/>
        <w:szCs w:val="20"/>
      </w:rPr>
      <w:fldChar w:fldCharType="begin"/>
    </w:r>
    <w:r w:rsidRPr="008A6ED0">
      <w:rPr>
        <w:rStyle w:val="Nmerodepgina"/>
        <w:rFonts w:ascii="Tahoma" w:hAnsi="Tahoma" w:cs="Tahoma"/>
        <w:sz w:val="20"/>
        <w:szCs w:val="20"/>
      </w:rPr>
      <w:instrText xml:space="preserve"> NUMPAGES </w:instrText>
    </w:r>
    <w:r w:rsidR="001D04EE" w:rsidRPr="008A6ED0">
      <w:rPr>
        <w:rStyle w:val="Nmerodepgina"/>
        <w:rFonts w:ascii="Tahoma" w:hAnsi="Tahoma" w:cs="Tahoma"/>
        <w:sz w:val="20"/>
        <w:szCs w:val="20"/>
      </w:rPr>
      <w:fldChar w:fldCharType="separate"/>
    </w:r>
    <w:r w:rsidR="0054534F">
      <w:rPr>
        <w:rStyle w:val="Nmerodepgina"/>
        <w:rFonts w:ascii="Tahoma" w:hAnsi="Tahoma" w:cs="Tahoma"/>
        <w:noProof/>
        <w:sz w:val="20"/>
        <w:szCs w:val="20"/>
      </w:rPr>
      <w:t>9</w:t>
    </w:r>
    <w:r w:rsidR="001D04EE" w:rsidRPr="008A6ED0">
      <w:rPr>
        <w:rStyle w:val="Nmerodepgina"/>
        <w:rFonts w:ascii="Tahoma" w:hAnsi="Tahoma" w:cs="Tahoma"/>
        <w:sz w:val="20"/>
        <w:szCs w:val="20"/>
      </w:rPr>
      <w:fldChar w:fldCharType="end"/>
    </w:r>
  </w:p>
  <w:p w:rsidR="000740E1" w:rsidRDefault="000740E1" w:rsidP="00CC47F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BAC" w:rsidRDefault="00CF6BAC" w:rsidP="00C21ACC">
      <w:pPr>
        <w:spacing w:after="0" w:line="240" w:lineRule="auto"/>
      </w:pPr>
      <w:r>
        <w:separator/>
      </w:r>
    </w:p>
  </w:footnote>
  <w:footnote w:type="continuationSeparator" w:id="1">
    <w:p w:rsidR="00CF6BAC" w:rsidRDefault="00CF6BAC" w:rsidP="00C21A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E0101"/>
    <w:multiLevelType w:val="hybridMultilevel"/>
    <w:tmpl w:val="60F4FA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586E2E"/>
    <w:multiLevelType w:val="multilevel"/>
    <w:tmpl w:val="68D42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A676E2"/>
    <w:multiLevelType w:val="multilevel"/>
    <w:tmpl w:val="5590D0F6"/>
    <w:lvl w:ilvl="0">
      <w:start w:val="1"/>
      <w:numFmt w:val="upperRoman"/>
      <w:lvlText w:val="%1."/>
      <w:lvlJc w:val="left"/>
      <w:pPr>
        <w:ind w:left="720" w:hanging="720"/>
      </w:pPr>
      <w:rPr>
        <w:rFonts w:hint="default"/>
      </w:rPr>
    </w:lvl>
    <w:lvl w:ilvl="1">
      <w:start w:val="1"/>
      <w:numFmt w:val="decimal"/>
      <w:isLgl/>
      <w:lvlText w:val="%1.%2"/>
      <w:lvlJc w:val="left"/>
      <w:pPr>
        <w:ind w:left="36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
    <w:nsid w:val="11521B1B"/>
    <w:multiLevelType w:val="multilevel"/>
    <w:tmpl w:val="2A7EA7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90467C"/>
    <w:multiLevelType w:val="hybridMultilevel"/>
    <w:tmpl w:val="ACD01818"/>
    <w:lvl w:ilvl="0" w:tplc="B6D6DDCC">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DE40EC"/>
    <w:multiLevelType w:val="multilevel"/>
    <w:tmpl w:val="AACE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87C67"/>
    <w:multiLevelType w:val="hybridMultilevel"/>
    <w:tmpl w:val="A82C4C9A"/>
    <w:lvl w:ilvl="0" w:tplc="76B204A4">
      <w:start w:val="13"/>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CF94118"/>
    <w:multiLevelType w:val="multilevel"/>
    <w:tmpl w:val="DB6E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EA578F"/>
    <w:multiLevelType w:val="hybridMultilevel"/>
    <w:tmpl w:val="BF3E2B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74F3A5F"/>
    <w:multiLevelType w:val="hybridMultilevel"/>
    <w:tmpl w:val="32A2E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8A340C8"/>
    <w:multiLevelType w:val="hybridMultilevel"/>
    <w:tmpl w:val="AB9042B6"/>
    <w:lvl w:ilvl="0" w:tplc="100A0017">
      <w:start w:val="1"/>
      <w:numFmt w:val="lowerLetter"/>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1">
    <w:nsid w:val="29625DB3"/>
    <w:multiLevelType w:val="multilevel"/>
    <w:tmpl w:val="BE10252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311D542C"/>
    <w:multiLevelType w:val="hybridMultilevel"/>
    <w:tmpl w:val="DE726052"/>
    <w:lvl w:ilvl="0" w:tplc="7004AA8C">
      <w:start w:val="3"/>
      <w:numFmt w:val="bullet"/>
      <w:lvlText w:val="-"/>
      <w:lvlJc w:val="left"/>
      <w:pPr>
        <w:ind w:left="360" w:hanging="360"/>
      </w:pPr>
      <w:rPr>
        <w:rFonts w:ascii="Tahoma" w:eastAsia="Calibri" w:hAnsi="Tahoma" w:cs="Tahom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3A290772"/>
    <w:multiLevelType w:val="multilevel"/>
    <w:tmpl w:val="A5BA53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nsid w:val="4B5A0905"/>
    <w:multiLevelType w:val="hybridMultilevel"/>
    <w:tmpl w:val="5E0C7E78"/>
    <w:lvl w:ilvl="0" w:tplc="76B204A4">
      <w:start w:val="13"/>
      <w:numFmt w:val="bullet"/>
      <w:lvlText w:val="-"/>
      <w:lvlJc w:val="left"/>
      <w:pPr>
        <w:ind w:left="1854" w:hanging="360"/>
      </w:pPr>
      <w:rPr>
        <w:rFonts w:ascii="Tahoma" w:eastAsia="Calibri" w:hAnsi="Tahoma" w:cs="Tahoma"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nsid w:val="4B8A3E0B"/>
    <w:multiLevelType w:val="hybridMultilevel"/>
    <w:tmpl w:val="AAE213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E486699"/>
    <w:multiLevelType w:val="hybridMultilevel"/>
    <w:tmpl w:val="3934F49C"/>
    <w:lvl w:ilvl="0" w:tplc="8BF0D7E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73007D6"/>
    <w:multiLevelType w:val="multilevel"/>
    <w:tmpl w:val="CC44F5D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440" w:hanging="1080"/>
      </w:pPr>
      <w:rPr>
        <w:rFonts w:hint="default"/>
        <w:b w:val="0"/>
        <w:i w:val="0"/>
      </w:rPr>
    </w:lvl>
    <w:lvl w:ilvl="3">
      <w:start w:val="1"/>
      <w:numFmt w:val="decimal"/>
      <w:isLgl/>
      <w:lvlText w:val="%1.%2.%3.%4."/>
      <w:lvlJc w:val="left"/>
      <w:pPr>
        <w:ind w:left="1800" w:hanging="1440"/>
      </w:pPr>
      <w:rPr>
        <w:rFonts w:hint="default"/>
        <w:b w:val="0"/>
        <w:i w:val="0"/>
      </w:rPr>
    </w:lvl>
    <w:lvl w:ilvl="4">
      <w:start w:val="1"/>
      <w:numFmt w:val="decimal"/>
      <w:isLgl/>
      <w:lvlText w:val="%1.%2.%3.%4.%5."/>
      <w:lvlJc w:val="left"/>
      <w:pPr>
        <w:ind w:left="1800" w:hanging="1440"/>
      </w:pPr>
      <w:rPr>
        <w:rFonts w:hint="default"/>
        <w:b w:val="0"/>
        <w:i w:val="0"/>
      </w:rPr>
    </w:lvl>
    <w:lvl w:ilvl="5">
      <w:start w:val="1"/>
      <w:numFmt w:val="decimal"/>
      <w:isLgl/>
      <w:lvlText w:val="%1.%2.%3.%4.%5.%6."/>
      <w:lvlJc w:val="left"/>
      <w:pPr>
        <w:ind w:left="2160" w:hanging="1800"/>
      </w:pPr>
      <w:rPr>
        <w:rFonts w:hint="default"/>
        <w:b w:val="0"/>
        <w:i w:val="0"/>
      </w:rPr>
    </w:lvl>
    <w:lvl w:ilvl="6">
      <w:start w:val="1"/>
      <w:numFmt w:val="decimal"/>
      <w:isLgl/>
      <w:lvlText w:val="%1.%2.%3.%4.%5.%6.%7."/>
      <w:lvlJc w:val="left"/>
      <w:pPr>
        <w:ind w:left="2520" w:hanging="2160"/>
      </w:pPr>
      <w:rPr>
        <w:rFonts w:hint="default"/>
        <w:b w:val="0"/>
        <w:i w:val="0"/>
      </w:rPr>
    </w:lvl>
    <w:lvl w:ilvl="7">
      <w:start w:val="1"/>
      <w:numFmt w:val="decimal"/>
      <w:isLgl/>
      <w:lvlText w:val="%1.%2.%3.%4.%5.%6.%7.%8."/>
      <w:lvlJc w:val="left"/>
      <w:pPr>
        <w:ind w:left="2880" w:hanging="2520"/>
      </w:pPr>
      <w:rPr>
        <w:rFonts w:hint="default"/>
        <w:b w:val="0"/>
        <w:i w:val="0"/>
      </w:rPr>
    </w:lvl>
    <w:lvl w:ilvl="8">
      <w:start w:val="1"/>
      <w:numFmt w:val="decimal"/>
      <w:isLgl/>
      <w:lvlText w:val="%1.%2.%3.%4.%5.%6.%7.%8.%9."/>
      <w:lvlJc w:val="left"/>
      <w:pPr>
        <w:ind w:left="2880" w:hanging="2520"/>
      </w:pPr>
      <w:rPr>
        <w:rFonts w:hint="default"/>
        <w:b w:val="0"/>
        <w:i w:val="0"/>
      </w:rPr>
    </w:lvl>
  </w:abstractNum>
  <w:abstractNum w:abstractNumId="18">
    <w:nsid w:val="61611779"/>
    <w:multiLevelType w:val="multilevel"/>
    <w:tmpl w:val="D0DA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096DFA"/>
    <w:multiLevelType w:val="hybridMultilevel"/>
    <w:tmpl w:val="92EE5928"/>
    <w:lvl w:ilvl="0" w:tplc="7AB29C6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C66526D"/>
    <w:multiLevelType w:val="hybridMultilevel"/>
    <w:tmpl w:val="8760D482"/>
    <w:lvl w:ilvl="0" w:tplc="76B204A4">
      <w:start w:val="13"/>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31A7777"/>
    <w:multiLevelType w:val="hybridMultilevel"/>
    <w:tmpl w:val="B994D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FF64382"/>
    <w:multiLevelType w:val="hybridMultilevel"/>
    <w:tmpl w:val="3D02D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
  </w:num>
  <w:num w:numId="4">
    <w:abstractNumId w:val="4"/>
  </w:num>
  <w:num w:numId="5">
    <w:abstractNumId w:val="11"/>
  </w:num>
  <w:num w:numId="6">
    <w:abstractNumId w:val="17"/>
  </w:num>
  <w:num w:numId="7">
    <w:abstractNumId w:val="3"/>
  </w:num>
  <w:num w:numId="8">
    <w:abstractNumId w:val="13"/>
  </w:num>
  <w:num w:numId="9">
    <w:abstractNumId w:val="5"/>
  </w:num>
  <w:num w:numId="10">
    <w:abstractNumId w:val="0"/>
  </w:num>
  <w:num w:numId="11">
    <w:abstractNumId w:val="9"/>
  </w:num>
  <w:num w:numId="12">
    <w:abstractNumId w:val="8"/>
  </w:num>
  <w:num w:numId="13">
    <w:abstractNumId w:val="2"/>
  </w:num>
  <w:num w:numId="14">
    <w:abstractNumId w:val="19"/>
  </w:num>
  <w:num w:numId="15">
    <w:abstractNumId w:val="15"/>
  </w:num>
  <w:num w:numId="16">
    <w:abstractNumId w:val="2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21"/>
  </w:num>
  <w:num w:numId="21">
    <w:abstractNumId w:val="20"/>
  </w:num>
  <w:num w:numId="22">
    <w:abstractNumId w:val="14"/>
  </w:num>
  <w:num w:numId="23">
    <w:abstractNumId w:val="6"/>
  </w:num>
  <w:num w:numId="24">
    <w:abstractNumId w:val="16"/>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966A2D"/>
    <w:rsid w:val="0000061A"/>
    <w:rsid w:val="000019A4"/>
    <w:rsid w:val="00001A41"/>
    <w:rsid w:val="00001B01"/>
    <w:rsid w:val="00004351"/>
    <w:rsid w:val="00007635"/>
    <w:rsid w:val="0001068B"/>
    <w:rsid w:val="000109DA"/>
    <w:rsid w:val="00012F97"/>
    <w:rsid w:val="00013DE4"/>
    <w:rsid w:val="0001541A"/>
    <w:rsid w:val="00015FCD"/>
    <w:rsid w:val="00017360"/>
    <w:rsid w:val="000179BC"/>
    <w:rsid w:val="0002136D"/>
    <w:rsid w:val="000230E4"/>
    <w:rsid w:val="000258C8"/>
    <w:rsid w:val="000322C3"/>
    <w:rsid w:val="00037856"/>
    <w:rsid w:val="0004597A"/>
    <w:rsid w:val="0004789B"/>
    <w:rsid w:val="00050771"/>
    <w:rsid w:val="00053BDC"/>
    <w:rsid w:val="00054CBE"/>
    <w:rsid w:val="00054D8F"/>
    <w:rsid w:val="00055C35"/>
    <w:rsid w:val="00055ED4"/>
    <w:rsid w:val="00061D89"/>
    <w:rsid w:val="00062A2C"/>
    <w:rsid w:val="000740E1"/>
    <w:rsid w:val="00081284"/>
    <w:rsid w:val="0008207F"/>
    <w:rsid w:val="000826D6"/>
    <w:rsid w:val="000869F9"/>
    <w:rsid w:val="00090968"/>
    <w:rsid w:val="00091431"/>
    <w:rsid w:val="00094244"/>
    <w:rsid w:val="00094926"/>
    <w:rsid w:val="00094EE6"/>
    <w:rsid w:val="00097133"/>
    <w:rsid w:val="000A7F6A"/>
    <w:rsid w:val="000B1D0D"/>
    <w:rsid w:val="000C0768"/>
    <w:rsid w:val="000C3012"/>
    <w:rsid w:val="000C4966"/>
    <w:rsid w:val="000D18F5"/>
    <w:rsid w:val="000E29D0"/>
    <w:rsid w:val="000E325F"/>
    <w:rsid w:val="000E4F39"/>
    <w:rsid w:val="000F662F"/>
    <w:rsid w:val="000F6EFA"/>
    <w:rsid w:val="000F7E48"/>
    <w:rsid w:val="00101BED"/>
    <w:rsid w:val="0010319E"/>
    <w:rsid w:val="00107FB2"/>
    <w:rsid w:val="0011358E"/>
    <w:rsid w:val="001155B5"/>
    <w:rsid w:val="001155D9"/>
    <w:rsid w:val="0011767D"/>
    <w:rsid w:val="00122BFA"/>
    <w:rsid w:val="00122D9E"/>
    <w:rsid w:val="001255AD"/>
    <w:rsid w:val="001339BC"/>
    <w:rsid w:val="00134D3C"/>
    <w:rsid w:val="00137C69"/>
    <w:rsid w:val="00144635"/>
    <w:rsid w:val="00146DAE"/>
    <w:rsid w:val="00151F0E"/>
    <w:rsid w:val="0015730B"/>
    <w:rsid w:val="00161288"/>
    <w:rsid w:val="0016141B"/>
    <w:rsid w:val="001626CE"/>
    <w:rsid w:val="00163ED2"/>
    <w:rsid w:val="00166607"/>
    <w:rsid w:val="00166B56"/>
    <w:rsid w:val="00170889"/>
    <w:rsid w:val="00170FBB"/>
    <w:rsid w:val="001764DA"/>
    <w:rsid w:val="001764FD"/>
    <w:rsid w:val="00186322"/>
    <w:rsid w:val="00191237"/>
    <w:rsid w:val="00191856"/>
    <w:rsid w:val="00192E21"/>
    <w:rsid w:val="00196D8D"/>
    <w:rsid w:val="001A5C1F"/>
    <w:rsid w:val="001A6426"/>
    <w:rsid w:val="001A70EE"/>
    <w:rsid w:val="001A79B4"/>
    <w:rsid w:val="001B0912"/>
    <w:rsid w:val="001B13CC"/>
    <w:rsid w:val="001B29E2"/>
    <w:rsid w:val="001B3A3F"/>
    <w:rsid w:val="001B514D"/>
    <w:rsid w:val="001C08F8"/>
    <w:rsid w:val="001C21E6"/>
    <w:rsid w:val="001C4474"/>
    <w:rsid w:val="001D04EE"/>
    <w:rsid w:val="001D2201"/>
    <w:rsid w:val="001D39C5"/>
    <w:rsid w:val="001D5F5A"/>
    <w:rsid w:val="001D6993"/>
    <w:rsid w:val="001D723F"/>
    <w:rsid w:val="001E1323"/>
    <w:rsid w:val="001E16F1"/>
    <w:rsid w:val="001E3D16"/>
    <w:rsid w:val="001E7EFF"/>
    <w:rsid w:val="001F3391"/>
    <w:rsid w:val="001F4024"/>
    <w:rsid w:val="001F59A8"/>
    <w:rsid w:val="00206B4A"/>
    <w:rsid w:val="00207284"/>
    <w:rsid w:val="00207771"/>
    <w:rsid w:val="00207DB6"/>
    <w:rsid w:val="00210EB7"/>
    <w:rsid w:val="00217E88"/>
    <w:rsid w:val="00221F66"/>
    <w:rsid w:val="00222368"/>
    <w:rsid w:val="00223F90"/>
    <w:rsid w:val="00226744"/>
    <w:rsid w:val="0022763D"/>
    <w:rsid w:val="00234C4D"/>
    <w:rsid w:val="00242157"/>
    <w:rsid w:val="002422AF"/>
    <w:rsid w:val="0024359C"/>
    <w:rsid w:val="00245083"/>
    <w:rsid w:val="00252BC7"/>
    <w:rsid w:val="00252E28"/>
    <w:rsid w:val="0026394C"/>
    <w:rsid w:val="0026419A"/>
    <w:rsid w:val="00266CE6"/>
    <w:rsid w:val="0027093F"/>
    <w:rsid w:val="00277869"/>
    <w:rsid w:val="00280070"/>
    <w:rsid w:val="002816A9"/>
    <w:rsid w:val="002820C1"/>
    <w:rsid w:val="00284084"/>
    <w:rsid w:val="002858FE"/>
    <w:rsid w:val="00290781"/>
    <w:rsid w:val="00292B43"/>
    <w:rsid w:val="0029306F"/>
    <w:rsid w:val="0029314B"/>
    <w:rsid w:val="00295AFD"/>
    <w:rsid w:val="002975DF"/>
    <w:rsid w:val="002A12FF"/>
    <w:rsid w:val="002A213E"/>
    <w:rsid w:val="002A226F"/>
    <w:rsid w:val="002A3EB4"/>
    <w:rsid w:val="002A4292"/>
    <w:rsid w:val="002A47F6"/>
    <w:rsid w:val="002A72BC"/>
    <w:rsid w:val="002A7D23"/>
    <w:rsid w:val="002B3618"/>
    <w:rsid w:val="002B3EBD"/>
    <w:rsid w:val="002B60FC"/>
    <w:rsid w:val="002C5683"/>
    <w:rsid w:val="002D0043"/>
    <w:rsid w:val="002D4A0E"/>
    <w:rsid w:val="002D6B28"/>
    <w:rsid w:val="002E29D7"/>
    <w:rsid w:val="002E7432"/>
    <w:rsid w:val="002F0049"/>
    <w:rsid w:val="002F74BF"/>
    <w:rsid w:val="00300A77"/>
    <w:rsid w:val="00307CE0"/>
    <w:rsid w:val="0031300C"/>
    <w:rsid w:val="00315B1D"/>
    <w:rsid w:val="0031711A"/>
    <w:rsid w:val="00322270"/>
    <w:rsid w:val="00333C81"/>
    <w:rsid w:val="00333E08"/>
    <w:rsid w:val="0033457A"/>
    <w:rsid w:val="003368C0"/>
    <w:rsid w:val="00336E63"/>
    <w:rsid w:val="00340683"/>
    <w:rsid w:val="00341068"/>
    <w:rsid w:val="00341288"/>
    <w:rsid w:val="00342E07"/>
    <w:rsid w:val="0034589E"/>
    <w:rsid w:val="00346810"/>
    <w:rsid w:val="00347321"/>
    <w:rsid w:val="00353696"/>
    <w:rsid w:val="00357848"/>
    <w:rsid w:val="00357BA7"/>
    <w:rsid w:val="00360755"/>
    <w:rsid w:val="00361A78"/>
    <w:rsid w:val="003626A6"/>
    <w:rsid w:val="00363799"/>
    <w:rsid w:val="0036601A"/>
    <w:rsid w:val="003718D8"/>
    <w:rsid w:val="00371D5D"/>
    <w:rsid w:val="00371EC7"/>
    <w:rsid w:val="0037243F"/>
    <w:rsid w:val="00381A4A"/>
    <w:rsid w:val="00386D1C"/>
    <w:rsid w:val="0038771A"/>
    <w:rsid w:val="00393713"/>
    <w:rsid w:val="003948F3"/>
    <w:rsid w:val="003950DD"/>
    <w:rsid w:val="003A1378"/>
    <w:rsid w:val="003B2773"/>
    <w:rsid w:val="003B294C"/>
    <w:rsid w:val="003B3B82"/>
    <w:rsid w:val="003B69F9"/>
    <w:rsid w:val="003B7C56"/>
    <w:rsid w:val="003C0379"/>
    <w:rsid w:val="003C30E0"/>
    <w:rsid w:val="003C35A3"/>
    <w:rsid w:val="003D023C"/>
    <w:rsid w:val="003D61D1"/>
    <w:rsid w:val="003E0249"/>
    <w:rsid w:val="003E374D"/>
    <w:rsid w:val="003E4857"/>
    <w:rsid w:val="003E76B0"/>
    <w:rsid w:val="003F0182"/>
    <w:rsid w:val="003F09D2"/>
    <w:rsid w:val="003F4AED"/>
    <w:rsid w:val="003F61CC"/>
    <w:rsid w:val="003F7171"/>
    <w:rsid w:val="00403C23"/>
    <w:rsid w:val="00406DA3"/>
    <w:rsid w:val="0040786C"/>
    <w:rsid w:val="004116E8"/>
    <w:rsid w:val="004146CB"/>
    <w:rsid w:val="00414B58"/>
    <w:rsid w:val="00415ED9"/>
    <w:rsid w:val="004172D4"/>
    <w:rsid w:val="00420C05"/>
    <w:rsid w:val="004406E2"/>
    <w:rsid w:val="00442D0E"/>
    <w:rsid w:val="004453E3"/>
    <w:rsid w:val="00447368"/>
    <w:rsid w:val="004530CA"/>
    <w:rsid w:val="004545A2"/>
    <w:rsid w:val="004557C8"/>
    <w:rsid w:val="0045678B"/>
    <w:rsid w:val="0046212E"/>
    <w:rsid w:val="004637E7"/>
    <w:rsid w:val="00465D2B"/>
    <w:rsid w:val="004707A7"/>
    <w:rsid w:val="004710CE"/>
    <w:rsid w:val="004715E2"/>
    <w:rsid w:val="004720CA"/>
    <w:rsid w:val="00473256"/>
    <w:rsid w:val="00473B0E"/>
    <w:rsid w:val="00482227"/>
    <w:rsid w:val="00491393"/>
    <w:rsid w:val="004920C2"/>
    <w:rsid w:val="00493C23"/>
    <w:rsid w:val="00494F4A"/>
    <w:rsid w:val="004A01E2"/>
    <w:rsid w:val="004A0D49"/>
    <w:rsid w:val="004A21E2"/>
    <w:rsid w:val="004B011C"/>
    <w:rsid w:val="004B0560"/>
    <w:rsid w:val="004B141E"/>
    <w:rsid w:val="004B31FB"/>
    <w:rsid w:val="004B5213"/>
    <w:rsid w:val="004C00ED"/>
    <w:rsid w:val="004C033D"/>
    <w:rsid w:val="004C38B7"/>
    <w:rsid w:val="004C521C"/>
    <w:rsid w:val="004C566B"/>
    <w:rsid w:val="004D1BF6"/>
    <w:rsid w:val="004D368C"/>
    <w:rsid w:val="004D40B5"/>
    <w:rsid w:val="004E0D62"/>
    <w:rsid w:val="004E2C5E"/>
    <w:rsid w:val="004E5EDC"/>
    <w:rsid w:val="004F08EF"/>
    <w:rsid w:val="004F5505"/>
    <w:rsid w:val="00500670"/>
    <w:rsid w:val="00501594"/>
    <w:rsid w:val="0050551D"/>
    <w:rsid w:val="00506227"/>
    <w:rsid w:val="0051277F"/>
    <w:rsid w:val="00516C35"/>
    <w:rsid w:val="00520E09"/>
    <w:rsid w:val="005214DA"/>
    <w:rsid w:val="00522283"/>
    <w:rsid w:val="005248AB"/>
    <w:rsid w:val="00525A9B"/>
    <w:rsid w:val="005264A6"/>
    <w:rsid w:val="00532F33"/>
    <w:rsid w:val="0053338C"/>
    <w:rsid w:val="005368F3"/>
    <w:rsid w:val="0054534F"/>
    <w:rsid w:val="005475D0"/>
    <w:rsid w:val="0055027A"/>
    <w:rsid w:val="0055368F"/>
    <w:rsid w:val="00554240"/>
    <w:rsid w:val="00555E4E"/>
    <w:rsid w:val="00560304"/>
    <w:rsid w:val="005636E3"/>
    <w:rsid w:val="0056390B"/>
    <w:rsid w:val="00565306"/>
    <w:rsid w:val="00565AC1"/>
    <w:rsid w:val="00565B11"/>
    <w:rsid w:val="005674F0"/>
    <w:rsid w:val="00572E0B"/>
    <w:rsid w:val="00580D03"/>
    <w:rsid w:val="00585BB2"/>
    <w:rsid w:val="00590B0D"/>
    <w:rsid w:val="00592484"/>
    <w:rsid w:val="00594EBC"/>
    <w:rsid w:val="005965D7"/>
    <w:rsid w:val="00597D80"/>
    <w:rsid w:val="005A11B6"/>
    <w:rsid w:val="005A1D0C"/>
    <w:rsid w:val="005A1F0D"/>
    <w:rsid w:val="005A3F1F"/>
    <w:rsid w:val="005B01B1"/>
    <w:rsid w:val="005B7AA7"/>
    <w:rsid w:val="005C1551"/>
    <w:rsid w:val="005C1989"/>
    <w:rsid w:val="005C5755"/>
    <w:rsid w:val="005C6B8B"/>
    <w:rsid w:val="005D1A51"/>
    <w:rsid w:val="005D4B46"/>
    <w:rsid w:val="005D5675"/>
    <w:rsid w:val="005D70A3"/>
    <w:rsid w:val="005E045B"/>
    <w:rsid w:val="005E53EA"/>
    <w:rsid w:val="005E7255"/>
    <w:rsid w:val="005E7CFE"/>
    <w:rsid w:val="005F1E98"/>
    <w:rsid w:val="005F21A1"/>
    <w:rsid w:val="005F4536"/>
    <w:rsid w:val="00600741"/>
    <w:rsid w:val="00603293"/>
    <w:rsid w:val="00604B9B"/>
    <w:rsid w:val="0060710F"/>
    <w:rsid w:val="00613F0F"/>
    <w:rsid w:val="00614CA2"/>
    <w:rsid w:val="00622860"/>
    <w:rsid w:val="00623752"/>
    <w:rsid w:val="00631811"/>
    <w:rsid w:val="00631D05"/>
    <w:rsid w:val="0063315D"/>
    <w:rsid w:val="0063447A"/>
    <w:rsid w:val="006353F7"/>
    <w:rsid w:val="00636516"/>
    <w:rsid w:val="006445F1"/>
    <w:rsid w:val="00645720"/>
    <w:rsid w:val="006458C3"/>
    <w:rsid w:val="00645C99"/>
    <w:rsid w:val="00651013"/>
    <w:rsid w:val="006517B7"/>
    <w:rsid w:val="0065281D"/>
    <w:rsid w:val="00653DDE"/>
    <w:rsid w:val="00654928"/>
    <w:rsid w:val="00655191"/>
    <w:rsid w:val="00657F40"/>
    <w:rsid w:val="00665925"/>
    <w:rsid w:val="00667FF9"/>
    <w:rsid w:val="006724B2"/>
    <w:rsid w:val="00672C00"/>
    <w:rsid w:val="006749CA"/>
    <w:rsid w:val="00674BE5"/>
    <w:rsid w:val="006750A0"/>
    <w:rsid w:val="00677F11"/>
    <w:rsid w:val="00685AA7"/>
    <w:rsid w:val="00685BC8"/>
    <w:rsid w:val="00690E30"/>
    <w:rsid w:val="00692681"/>
    <w:rsid w:val="00693BB3"/>
    <w:rsid w:val="006A06A7"/>
    <w:rsid w:val="006A3D1A"/>
    <w:rsid w:val="006A45F0"/>
    <w:rsid w:val="006A460A"/>
    <w:rsid w:val="006A7853"/>
    <w:rsid w:val="006B2080"/>
    <w:rsid w:val="006B30D3"/>
    <w:rsid w:val="006B39B0"/>
    <w:rsid w:val="006C4033"/>
    <w:rsid w:val="006C4A89"/>
    <w:rsid w:val="006C4D18"/>
    <w:rsid w:val="006C59B5"/>
    <w:rsid w:val="006D3E07"/>
    <w:rsid w:val="006D58E8"/>
    <w:rsid w:val="006D610C"/>
    <w:rsid w:val="006D6A6D"/>
    <w:rsid w:val="006E21C3"/>
    <w:rsid w:val="006E4306"/>
    <w:rsid w:val="006E46CE"/>
    <w:rsid w:val="006F42A6"/>
    <w:rsid w:val="006F5028"/>
    <w:rsid w:val="006F5551"/>
    <w:rsid w:val="00701949"/>
    <w:rsid w:val="00702498"/>
    <w:rsid w:val="007043C7"/>
    <w:rsid w:val="00706A5E"/>
    <w:rsid w:val="0071253A"/>
    <w:rsid w:val="00714E1C"/>
    <w:rsid w:val="007162A3"/>
    <w:rsid w:val="00721969"/>
    <w:rsid w:val="00732E7E"/>
    <w:rsid w:val="007331D2"/>
    <w:rsid w:val="00735E36"/>
    <w:rsid w:val="00737F48"/>
    <w:rsid w:val="007428FB"/>
    <w:rsid w:val="00744FA6"/>
    <w:rsid w:val="007453E0"/>
    <w:rsid w:val="0074570C"/>
    <w:rsid w:val="007528A1"/>
    <w:rsid w:val="007549C3"/>
    <w:rsid w:val="00754E4A"/>
    <w:rsid w:val="00760011"/>
    <w:rsid w:val="0076780B"/>
    <w:rsid w:val="00770FFB"/>
    <w:rsid w:val="007720E8"/>
    <w:rsid w:val="0077353F"/>
    <w:rsid w:val="00780264"/>
    <w:rsid w:val="00783010"/>
    <w:rsid w:val="00783678"/>
    <w:rsid w:val="00785BD6"/>
    <w:rsid w:val="0079183B"/>
    <w:rsid w:val="0079246A"/>
    <w:rsid w:val="00793287"/>
    <w:rsid w:val="00795CC3"/>
    <w:rsid w:val="0079694A"/>
    <w:rsid w:val="007A2BB7"/>
    <w:rsid w:val="007B0D16"/>
    <w:rsid w:val="007B1949"/>
    <w:rsid w:val="007B27BD"/>
    <w:rsid w:val="007B3693"/>
    <w:rsid w:val="007C19AA"/>
    <w:rsid w:val="007C2310"/>
    <w:rsid w:val="007C2BC1"/>
    <w:rsid w:val="007C3C59"/>
    <w:rsid w:val="007C46B9"/>
    <w:rsid w:val="007C5C1D"/>
    <w:rsid w:val="007D2338"/>
    <w:rsid w:val="007D4BCD"/>
    <w:rsid w:val="007D5FBB"/>
    <w:rsid w:val="007E2694"/>
    <w:rsid w:val="007E54A4"/>
    <w:rsid w:val="007F14F0"/>
    <w:rsid w:val="007F25FF"/>
    <w:rsid w:val="007F4FFD"/>
    <w:rsid w:val="007F66E2"/>
    <w:rsid w:val="00801926"/>
    <w:rsid w:val="00801C9B"/>
    <w:rsid w:val="00803165"/>
    <w:rsid w:val="00804036"/>
    <w:rsid w:val="00805DD8"/>
    <w:rsid w:val="00812C7D"/>
    <w:rsid w:val="008153F7"/>
    <w:rsid w:val="00815CBE"/>
    <w:rsid w:val="00825202"/>
    <w:rsid w:val="00827173"/>
    <w:rsid w:val="008331DD"/>
    <w:rsid w:val="00834C2B"/>
    <w:rsid w:val="00835A0D"/>
    <w:rsid w:val="00835BFB"/>
    <w:rsid w:val="0083697A"/>
    <w:rsid w:val="00836D66"/>
    <w:rsid w:val="00837E39"/>
    <w:rsid w:val="00840CF5"/>
    <w:rsid w:val="00842BC4"/>
    <w:rsid w:val="00851B1C"/>
    <w:rsid w:val="00851B2B"/>
    <w:rsid w:val="008524C2"/>
    <w:rsid w:val="00855A96"/>
    <w:rsid w:val="00860268"/>
    <w:rsid w:val="008617DF"/>
    <w:rsid w:val="008627F2"/>
    <w:rsid w:val="008628A0"/>
    <w:rsid w:val="00862CFC"/>
    <w:rsid w:val="008645F1"/>
    <w:rsid w:val="00866686"/>
    <w:rsid w:val="00871AC3"/>
    <w:rsid w:val="008727C0"/>
    <w:rsid w:val="00872CFB"/>
    <w:rsid w:val="00884717"/>
    <w:rsid w:val="00885ABF"/>
    <w:rsid w:val="00886ED3"/>
    <w:rsid w:val="00893202"/>
    <w:rsid w:val="008936D7"/>
    <w:rsid w:val="008A4FF9"/>
    <w:rsid w:val="008A6ED0"/>
    <w:rsid w:val="008B0699"/>
    <w:rsid w:val="008B3744"/>
    <w:rsid w:val="008B55F0"/>
    <w:rsid w:val="008B768D"/>
    <w:rsid w:val="008C4CA9"/>
    <w:rsid w:val="008C530B"/>
    <w:rsid w:val="008D176B"/>
    <w:rsid w:val="008D5854"/>
    <w:rsid w:val="008E3149"/>
    <w:rsid w:val="008E34D9"/>
    <w:rsid w:val="008F080E"/>
    <w:rsid w:val="008F0F47"/>
    <w:rsid w:val="008F2964"/>
    <w:rsid w:val="008F2B8C"/>
    <w:rsid w:val="008F2D74"/>
    <w:rsid w:val="008F5BC6"/>
    <w:rsid w:val="008F6496"/>
    <w:rsid w:val="008F74CD"/>
    <w:rsid w:val="008F7A61"/>
    <w:rsid w:val="009051AA"/>
    <w:rsid w:val="00905846"/>
    <w:rsid w:val="009118E2"/>
    <w:rsid w:val="00915567"/>
    <w:rsid w:val="00916EB5"/>
    <w:rsid w:val="00922043"/>
    <w:rsid w:val="00923032"/>
    <w:rsid w:val="009246B7"/>
    <w:rsid w:val="00925013"/>
    <w:rsid w:val="00927834"/>
    <w:rsid w:val="00930F23"/>
    <w:rsid w:val="00942681"/>
    <w:rsid w:val="009447E4"/>
    <w:rsid w:val="00944A20"/>
    <w:rsid w:val="009516C8"/>
    <w:rsid w:val="0095389B"/>
    <w:rsid w:val="00956B30"/>
    <w:rsid w:val="00956C47"/>
    <w:rsid w:val="00963C36"/>
    <w:rsid w:val="00965A19"/>
    <w:rsid w:val="00966A2D"/>
    <w:rsid w:val="00971769"/>
    <w:rsid w:val="0097232E"/>
    <w:rsid w:val="0097356D"/>
    <w:rsid w:val="00973A14"/>
    <w:rsid w:val="0098019A"/>
    <w:rsid w:val="00981343"/>
    <w:rsid w:val="00982F83"/>
    <w:rsid w:val="009835A2"/>
    <w:rsid w:val="00983A3B"/>
    <w:rsid w:val="00984DD3"/>
    <w:rsid w:val="00985AB2"/>
    <w:rsid w:val="009974B9"/>
    <w:rsid w:val="009A135E"/>
    <w:rsid w:val="009A3D1F"/>
    <w:rsid w:val="009A6D72"/>
    <w:rsid w:val="009A7AFE"/>
    <w:rsid w:val="009B13E5"/>
    <w:rsid w:val="009B1879"/>
    <w:rsid w:val="009B2620"/>
    <w:rsid w:val="009B2F3F"/>
    <w:rsid w:val="009C17BE"/>
    <w:rsid w:val="009C1C4C"/>
    <w:rsid w:val="009C51A0"/>
    <w:rsid w:val="009C62C9"/>
    <w:rsid w:val="009D39FA"/>
    <w:rsid w:val="009D447C"/>
    <w:rsid w:val="009D7FAA"/>
    <w:rsid w:val="009E2097"/>
    <w:rsid w:val="009E29AA"/>
    <w:rsid w:val="009F09E5"/>
    <w:rsid w:val="009F1249"/>
    <w:rsid w:val="009F2D67"/>
    <w:rsid w:val="009F529B"/>
    <w:rsid w:val="00A0067A"/>
    <w:rsid w:val="00A04D71"/>
    <w:rsid w:val="00A05200"/>
    <w:rsid w:val="00A07A14"/>
    <w:rsid w:val="00A13A3B"/>
    <w:rsid w:val="00A15B80"/>
    <w:rsid w:val="00A16BA4"/>
    <w:rsid w:val="00A16C66"/>
    <w:rsid w:val="00A20E20"/>
    <w:rsid w:val="00A27CDD"/>
    <w:rsid w:val="00A314A5"/>
    <w:rsid w:val="00A31D49"/>
    <w:rsid w:val="00A329D3"/>
    <w:rsid w:val="00A32DBB"/>
    <w:rsid w:val="00A33ECB"/>
    <w:rsid w:val="00A34D9C"/>
    <w:rsid w:val="00A366E4"/>
    <w:rsid w:val="00A36CCA"/>
    <w:rsid w:val="00A44322"/>
    <w:rsid w:val="00A52C9E"/>
    <w:rsid w:val="00A54691"/>
    <w:rsid w:val="00A55724"/>
    <w:rsid w:val="00A562DF"/>
    <w:rsid w:val="00A575FE"/>
    <w:rsid w:val="00A61600"/>
    <w:rsid w:val="00A649A9"/>
    <w:rsid w:val="00A654F6"/>
    <w:rsid w:val="00A664BE"/>
    <w:rsid w:val="00A727E0"/>
    <w:rsid w:val="00A73E90"/>
    <w:rsid w:val="00A74C1B"/>
    <w:rsid w:val="00A74DE2"/>
    <w:rsid w:val="00A77360"/>
    <w:rsid w:val="00A77CCF"/>
    <w:rsid w:val="00A8485F"/>
    <w:rsid w:val="00A907F8"/>
    <w:rsid w:val="00A947F2"/>
    <w:rsid w:val="00A958B0"/>
    <w:rsid w:val="00AA0494"/>
    <w:rsid w:val="00AA7E20"/>
    <w:rsid w:val="00AA7E72"/>
    <w:rsid w:val="00AB1520"/>
    <w:rsid w:val="00AB385E"/>
    <w:rsid w:val="00AB3F98"/>
    <w:rsid w:val="00AB7C0E"/>
    <w:rsid w:val="00AC0846"/>
    <w:rsid w:val="00AC1E56"/>
    <w:rsid w:val="00AD0C58"/>
    <w:rsid w:val="00AD0DC2"/>
    <w:rsid w:val="00AD7A88"/>
    <w:rsid w:val="00AD7C69"/>
    <w:rsid w:val="00AE0E3A"/>
    <w:rsid w:val="00AE5E2A"/>
    <w:rsid w:val="00AE642F"/>
    <w:rsid w:val="00AE70F1"/>
    <w:rsid w:val="00AE7365"/>
    <w:rsid w:val="00AE7E4C"/>
    <w:rsid w:val="00AF52C1"/>
    <w:rsid w:val="00AF5C52"/>
    <w:rsid w:val="00AF74A9"/>
    <w:rsid w:val="00B01A42"/>
    <w:rsid w:val="00B041E6"/>
    <w:rsid w:val="00B04266"/>
    <w:rsid w:val="00B10FA0"/>
    <w:rsid w:val="00B11FC2"/>
    <w:rsid w:val="00B148CD"/>
    <w:rsid w:val="00B150D6"/>
    <w:rsid w:val="00B1533F"/>
    <w:rsid w:val="00B17AA1"/>
    <w:rsid w:val="00B17AC4"/>
    <w:rsid w:val="00B31290"/>
    <w:rsid w:val="00B32229"/>
    <w:rsid w:val="00B3433F"/>
    <w:rsid w:val="00B41198"/>
    <w:rsid w:val="00B43E0F"/>
    <w:rsid w:val="00B510F0"/>
    <w:rsid w:val="00B512DA"/>
    <w:rsid w:val="00B52AF9"/>
    <w:rsid w:val="00B539B4"/>
    <w:rsid w:val="00B53ACC"/>
    <w:rsid w:val="00B574AD"/>
    <w:rsid w:val="00B57AB3"/>
    <w:rsid w:val="00B57EB0"/>
    <w:rsid w:val="00B6154B"/>
    <w:rsid w:val="00B62949"/>
    <w:rsid w:val="00B63AF4"/>
    <w:rsid w:val="00B64985"/>
    <w:rsid w:val="00B64A9E"/>
    <w:rsid w:val="00B67F76"/>
    <w:rsid w:val="00B7048E"/>
    <w:rsid w:val="00B71A68"/>
    <w:rsid w:val="00B756E2"/>
    <w:rsid w:val="00B768AF"/>
    <w:rsid w:val="00B831E2"/>
    <w:rsid w:val="00B840AA"/>
    <w:rsid w:val="00B95428"/>
    <w:rsid w:val="00B95D72"/>
    <w:rsid w:val="00B9776E"/>
    <w:rsid w:val="00B97A41"/>
    <w:rsid w:val="00BA0E51"/>
    <w:rsid w:val="00BA17D5"/>
    <w:rsid w:val="00BA2598"/>
    <w:rsid w:val="00BA66CB"/>
    <w:rsid w:val="00BB1BC6"/>
    <w:rsid w:val="00BB37DD"/>
    <w:rsid w:val="00BB4B1A"/>
    <w:rsid w:val="00BB677D"/>
    <w:rsid w:val="00BB79A5"/>
    <w:rsid w:val="00BC014F"/>
    <w:rsid w:val="00BC0B86"/>
    <w:rsid w:val="00BC74E4"/>
    <w:rsid w:val="00BD06B1"/>
    <w:rsid w:val="00BD14B7"/>
    <w:rsid w:val="00BD2DDC"/>
    <w:rsid w:val="00BE299C"/>
    <w:rsid w:val="00BE5F35"/>
    <w:rsid w:val="00BF02C3"/>
    <w:rsid w:val="00BF125F"/>
    <w:rsid w:val="00BF492E"/>
    <w:rsid w:val="00BF65CD"/>
    <w:rsid w:val="00C00275"/>
    <w:rsid w:val="00C0215F"/>
    <w:rsid w:val="00C126E5"/>
    <w:rsid w:val="00C13675"/>
    <w:rsid w:val="00C13790"/>
    <w:rsid w:val="00C15403"/>
    <w:rsid w:val="00C178FE"/>
    <w:rsid w:val="00C215A7"/>
    <w:rsid w:val="00C21ACC"/>
    <w:rsid w:val="00C21B41"/>
    <w:rsid w:val="00C24161"/>
    <w:rsid w:val="00C3074B"/>
    <w:rsid w:val="00C54029"/>
    <w:rsid w:val="00C574E9"/>
    <w:rsid w:val="00C60EFD"/>
    <w:rsid w:val="00C62602"/>
    <w:rsid w:val="00C62FF9"/>
    <w:rsid w:val="00C64D7A"/>
    <w:rsid w:val="00C834B1"/>
    <w:rsid w:val="00C85AFF"/>
    <w:rsid w:val="00C863E4"/>
    <w:rsid w:val="00C92992"/>
    <w:rsid w:val="00C929F6"/>
    <w:rsid w:val="00CA7566"/>
    <w:rsid w:val="00CB129C"/>
    <w:rsid w:val="00CB2C20"/>
    <w:rsid w:val="00CB4B79"/>
    <w:rsid w:val="00CC0C6A"/>
    <w:rsid w:val="00CC43C7"/>
    <w:rsid w:val="00CC47F9"/>
    <w:rsid w:val="00CC6DC7"/>
    <w:rsid w:val="00CC6F29"/>
    <w:rsid w:val="00CE168D"/>
    <w:rsid w:val="00CE27B2"/>
    <w:rsid w:val="00CE3CE0"/>
    <w:rsid w:val="00CF4C5F"/>
    <w:rsid w:val="00CF6BAC"/>
    <w:rsid w:val="00D01254"/>
    <w:rsid w:val="00D028A4"/>
    <w:rsid w:val="00D03695"/>
    <w:rsid w:val="00D140B6"/>
    <w:rsid w:val="00D14ADF"/>
    <w:rsid w:val="00D22814"/>
    <w:rsid w:val="00D235B7"/>
    <w:rsid w:val="00D25F3F"/>
    <w:rsid w:val="00D267D5"/>
    <w:rsid w:val="00D4345A"/>
    <w:rsid w:val="00D438B3"/>
    <w:rsid w:val="00D44E7F"/>
    <w:rsid w:val="00D45299"/>
    <w:rsid w:val="00D458AB"/>
    <w:rsid w:val="00D506CC"/>
    <w:rsid w:val="00D57C41"/>
    <w:rsid w:val="00D62A49"/>
    <w:rsid w:val="00D65BF9"/>
    <w:rsid w:val="00D662ED"/>
    <w:rsid w:val="00D715A2"/>
    <w:rsid w:val="00D72424"/>
    <w:rsid w:val="00D776F5"/>
    <w:rsid w:val="00D77A9E"/>
    <w:rsid w:val="00D81AC8"/>
    <w:rsid w:val="00D87A00"/>
    <w:rsid w:val="00DA1EDD"/>
    <w:rsid w:val="00DA4EF1"/>
    <w:rsid w:val="00DA4F60"/>
    <w:rsid w:val="00DA6F6A"/>
    <w:rsid w:val="00DB12B3"/>
    <w:rsid w:val="00DC1479"/>
    <w:rsid w:val="00DC154C"/>
    <w:rsid w:val="00DC248D"/>
    <w:rsid w:val="00DC3783"/>
    <w:rsid w:val="00DC37CB"/>
    <w:rsid w:val="00DC457F"/>
    <w:rsid w:val="00DC4D5B"/>
    <w:rsid w:val="00DC6EDE"/>
    <w:rsid w:val="00DD4156"/>
    <w:rsid w:val="00DD74EC"/>
    <w:rsid w:val="00DD7593"/>
    <w:rsid w:val="00DE2353"/>
    <w:rsid w:val="00DE38BD"/>
    <w:rsid w:val="00DE4970"/>
    <w:rsid w:val="00DF0236"/>
    <w:rsid w:val="00E02882"/>
    <w:rsid w:val="00E03B90"/>
    <w:rsid w:val="00E05781"/>
    <w:rsid w:val="00E111DD"/>
    <w:rsid w:val="00E167F1"/>
    <w:rsid w:val="00E169CC"/>
    <w:rsid w:val="00E21B2F"/>
    <w:rsid w:val="00E22DC1"/>
    <w:rsid w:val="00E23931"/>
    <w:rsid w:val="00E30905"/>
    <w:rsid w:val="00E360F4"/>
    <w:rsid w:val="00E40601"/>
    <w:rsid w:val="00E44DC7"/>
    <w:rsid w:val="00E45F5E"/>
    <w:rsid w:val="00E46479"/>
    <w:rsid w:val="00E465AA"/>
    <w:rsid w:val="00E51A85"/>
    <w:rsid w:val="00E55406"/>
    <w:rsid w:val="00E560BA"/>
    <w:rsid w:val="00E61490"/>
    <w:rsid w:val="00E626DC"/>
    <w:rsid w:val="00E65AB1"/>
    <w:rsid w:val="00E65F3B"/>
    <w:rsid w:val="00E6687E"/>
    <w:rsid w:val="00E6691F"/>
    <w:rsid w:val="00E70A1E"/>
    <w:rsid w:val="00E7186E"/>
    <w:rsid w:val="00E73D83"/>
    <w:rsid w:val="00E742CC"/>
    <w:rsid w:val="00E77EC7"/>
    <w:rsid w:val="00E81D94"/>
    <w:rsid w:val="00E83AA8"/>
    <w:rsid w:val="00E83C1A"/>
    <w:rsid w:val="00E85367"/>
    <w:rsid w:val="00E85623"/>
    <w:rsid w:val="00E91112"/>
    <w:rsid w:val="00E93E25"/>
    <w:rsid w:val="00EA052C"/>
    <w:rsid w:val="00EA3867"/>
    <w:rsid w:val="00EA50FB"/>
    <w:rsid w:val="00EB1A54"/>
    <w:rsid w:val="00EB2CA7"/>
    <w:rsid w:val="00EB5516"/>
    <w:rsid w:val="00EB7EB9"/>
    <w:rsid w:val="00ED0DC2"/>
    <w:rsid w:val="00ED360A"/>
    <w:rsid w:val="00ED7C09"/>
    <w:rsid w:val="00EE0354"/>
    <w:rsid w:val="00EE1646"/>
    <w:rsid w:val="00EE1982"/>
    <w:rsid w:val="00EF1F3D"/>
    <w:rsid w:val="00EF29BA"/>
    <w:rsid w:val="00EF2F72"/>
    <w:rsid w:val="00F01661"/>
    <w:rsid w:val="00F07DBB"/>
    <w:rsid w:val="00F142F6"/>
    <w:rsid w:val="00F14A23"/>
    <w:rsid w:val="00F22AFF"/>
    <w:rsid w:val="00F323AD"/>
    <w:rsid w:val="00F35273"/>
    <w:rsid w:val="00F35A99"/>
    <w:rsid w:val="00F364CF"/>
    <w:rsid w:val="00F41BC9"/>
    <w:rsid w:val="00F41D56"/>
    <w:rsid w:val="00F463CB"/>
    <w:rsid w:val="00F46BA1"/>
    <w:rsid w:val="00F509BC"/>
    <w:rsid w:val="00F642AF"/>
    <w:rsid w:val="00F67A07"/>
    <w:rsid w:val="00F77290"/>
    <w:rsid w:val="00F77336"/>
    <w:rsid w:val="00F84745"/>
    <w:rsid w:val="00F86E31"/>
    <w:rsid w:val="00F91863"/>
    <w:rsid w:val="00F95BDC"/>
    <w:rsid w:val="00F961C0"/>
    <w:rsid w:val="00F97E70"/>
    <w:rsid w:val="00FA0043"/>
    <w:rsid w:val="00FA3BB2"/>
    <w:rsid w:val="00FA3FAD"/>
    <w:rsid w:val="00FA54B4"/>
    <w:rsid w:val="00FA7D67"/>
    <w:rsid w:val="00FB1A09"/>
    <w:rsid w:val="00FB587C"/>
    <w:rsid w:val="00FC24D6"/>
    <w:rsid w:val="00FC3E2F"/>
    <w:rsid w:val="00FC4650"/>
    <w:rsid w:val="00FC4C31"/>
    <w:rsid w:val="00FC6B51"/>
    <w:rsid w:val="00FC6BA2"/>
    <w:rsid w:val="00FC715F"/>
    <w:rsid w:val="00FD04C6"/>
    <w:rsid w:val="00FD1035"/>
    <w:rsid w:val="00FD57A8"/>
    <w:rsid w:val="00FD64B7"/>
    <w:rsid w:val="00FD778A"/>
    <w:rsid w:val="00FD7F50"/>
    <w:rsid w:val="00FE33BB"/>
    <w:rsid w:val="00FE438A"/>
    <w:rsid w:val="00FE6566"/>
    <w:rsid w:val="00FE74FF"/>
    <w:rsid w:val="00FF5BE2"/>
    <w:rsid w:val="00FF5F83"/>
    <w:rsid w:val="00FF68B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F5A"/>
  </w:style>
  <w:style w:type="paragraph" w:styleId="Ttulo1">
    <w:name w:val="heading 1"/>
    <w:basedOn w:val="Normal"/>
    <w:link w:val="Ttulo1Car"/>
    <w:uiPriority w:val="9"/>
    <w:qFormat/>
    <w:rsid w:val="00234C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234C4D"/>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ongtext">
    <w:name w:val="long_text"/>
    <w:basedOn w:val="Fuentedeprrafopredeter"/>
    <w:rsid w:val="00966A2D"/>
  </w:style>
  <w:style w:type="paragraph" w:styleId="NormalWeb">
    <w:name w:val="Normal (Web)"/>
    <w:basedOn w:val="Normal"/>
    <w:uiPriority w:val="99"/>
    <w:unhideWhenUsed/>
    <w:rsid w:val="00146DAE"/>
    <w:pPr>
      <w:spacing w:before="171" w:after="257"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4F5505"/>
    <w:pPr>
      <w:ind w:left="720"/>
      <w:contextualSpacing/>
    </w:pPr>
  </w:style>
  <w:style w:type="paragraph" w:customStyle="1" w:styleId="Default">
    <w:name w:val="Default"/>
    <w:rsid w:val="007C19AA"/>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uiPriority w:val="9"/>
    <w:rsid w:val="00234C4D"/>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234C4D"/>
    <w:rPr>
      <w:rFonts w:ascii="Times New Roman" w:eastAsia="Times New Roman" w:hAnsi="Times New Roman" w:cs="Times New Roman"/>
      <w:b/>
      <w:bCs/>
      <w:sz w:val="36"/>
      <w:szCs w:val="36"/>
      <w:lang w:eastAsia="es-ES"/>
    </w:rPr>
  </w:style>
  <w:style w:type="character" w:customStyle="1" w:styleId="apple-style-span">
    <w:name w:val="apple-style-span"/>
    <w:basedOn w:val="Fuentedeprrafopredeter"/>
    <w:rsid w:val="00234C4D"/>
  </w:style>
  <w:style w:type="paragraph" w:styleId="Textodeglobo">
    <w:name w:val="Balloon Text"/>
    <w:basedOn w:val="Normal"/>
    <w:link w:val="TextodegloboCar"/>
    <w:uiPriority w:val="99"/>
    <w:semiHidden/>
    <w:unhideWhenUsed/>
    <w:rsid w:val="00580D0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0D03"/>
    <w:rPr>
      <w:rFonts w:ascii="Tahoma" w:hAnsi="Tahoma" w:cs="Tahoma"/>
      <w:sz w:val="16"/>
      <w:szCs w:val="16"/>
    </w:rPr>
  </w:style>
  <w:style w:type="paragraph" w:styleId="Encabezado">
    <w:name w:val="header"/>
    <w:basedOn w:val="Normal"/>
    <w:link w:val="EncabezadoCar"/>
    <w:uiPriority w:val="99"/>
    <w:rsid w:val="006B30D3"/>
    <w:pPr>
      <w:tabs>
        <w:tab w:val="center" w:pos="4252"/>
        <w:tab w:val="right" w:pos="8504"/>
      </w:tabs>
      <w:spacing w:after="0" w:line="240" w:lineRule="auto"/>
      <w:jc w:val="right"/>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6B30D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6B30D3"/>
    <w:pPr>
      <w:tabs>
        <w:tab w:val="center" w:pos="4252"/>
        <w:tab w:val="right" w:pos="8504"/>
      </w:tabs>
      <w:spacing w:after="0" w:line="240" w:lineRule="auto"/>
      <w:ind w:right="360"/>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6B30D3"/>
    <w:rPr>
      <w:rFonts w:ascii="Times New Roman" w:eastAsia="Times New Roman" w:hAnsi="Times New Roman" w:cs="Times New Roman"/>
      <w:sz w:val="24"/>
      <w:szCs w:val="24"/>
      <w:lang w:eastAsia="es-ES"/>
    </w:rPr>
  </w:style>
  <w:style w:type="character" w:styleId="Nmerodepgina">
    <w:name w:val="page number"/>
    <w:basedOn w:val="Fuentedeprrafopredeter"/>
    <w:rsid w:val="006B30D3"/>
  </w:style>
  <w:style w:type="character" w:styleId="Hipervnculo">
    <w:name w:val="Hyperlink"/>
    <w:basedOn w:val="Fuentedeprrafopredeter"/>
    <w:uiPriority w:val="99"/>
    <w:semiHidden/>
    <w:unhideWhenUsed/>
    <w:rsid w:val="00645720"/>
    <w:rPr>
      <w:color w:val="2200C1"/>
      <w:u w:val="single"/>
    </w:rPr>
  </w:style>
  <w:style w:type="character" w:styleId="nfasis">
    <w:name w:val="Emphasis"/>
    <w:basedOn w:val="Fuentedeprrafopredeter"/>
    <w:uiPriority w:val="20"/>
    <w:qFormat/>
    <w:rsid w:val="00645720"/>
    <w:rPr>
      <w:b/>
      <w:bCs/>
      <w:i w:val="0"/>
      <w:iCs w:val="0"/>
    </w:rPr>
  </w:style>
  <w:style w:type="character" w:styleId="Refdecomentario">
    <w:name w:val="annotation reference"/>
    <w:basedOn w:val="Fuentedeprrafopredeter"/>
    <w:uiPriority w:val="99"/>
    <w:semiHidden/>
    <w:unhideWhenUsed/>
    <w:rsid w:val="00A27CDD"/>
    <w:rPr>
      <w:sz w:val="16"/>
      <w:szCs w:val="16"/>
    </w:rPr>
  </w:style>
  <w:style w:type="paragraph" w:styleId="Textocomentario">
    <w:name w:val="annotation text"/>
    <w:basedOn w:val="Normal"/>
    <w:link w:val="TextocomentarioCar"/>
    <w:unhideWhenUsed/>
    <w:rsid w:val="00A27CDD"/>
    <w:pPr>
      <w:spacing w:line="240" w:lineRule="auto"/>
    </w:pPr>
    <w:rPr>
      <w:sz w:val="20"/>
      <w:szCs w:val="20"/>
    </w:rPr>
  </w:style>
  <w:style w:type="character" w:customStyle="1" w:styleId="TextocomentarioCar">
    <w:name w:val="Texto comentario Car"/>
    <w:basedOn w:val="Fuentedeprrafopredeter"/>
    <w:link w:val="Textocomentario"/>
    <w:rsid w:val="00A27CDD"/>
    <w:rPr>
      <w:sz w:val="20"/>
      <w:szCs w:val="20"/>
    </w:rPr>
  </w:style>
  <w:style w:type="paragraph" w:styleId="Asuntodelcomentario">
    <w:name w:val="annotation subject"/>
    <w:basedOn w:val="Textocomentario"/>
    <w:next w:val="Textocomentario"/>
    <w:link w:val="AsuntodelcomentarioCar"/>
    <w:uiPriority w:val="99"/>
    <w:semiHidden/>
    <w:unhideWhenUsed/>
    <w:rsid w:val="00A27CDD"/>
    <w:rPr>
      <w:b/>
      <w:bCs/>
    </w:rPr>
  </w:style>
  <w:style w:type="character" w:customStyle="1" w:styleId="AsuntodelcomentarioCar">
    <w:name w:val="Asunto del comentario Car"/>
    <w:basedOn w:val="TextocomentarioCar"/>
    <w:link w:val="Asuntodelcomentario"/>
    <w:uiPriority w:val="99"/>
    <w:semiHidden/>
    <w:rsid w:val="00A27CDD"/>
    <w:rPr>
      <w:b/>
      <w:bCs/>
    </w:rPr>
  </w:style>
  <w:style w:type="paragraph" w:styleId="Textonotapie">
    <w:name w:val="footnote text"/>
    <w:aliases w:val="FA Fu,Footnote Text Char Char Char Char Char,Footnote Text Char Char Char Char,Footnote reference,Footnote Text Char Char Char,Footnote Text Cha,FA Fußnotentext,FA Fuﬂnotentext,Footnote Text Char Char,FA Fu?notentext,Ca,ﬂnotentext"/>
    <w:basedOn w:val="Normal"/>
    <w:link w:val="TextonotapieCar"/>
    <w:unhideWhenUsed/>
    <w:rsid w:val="004406E2"/>
    <w:pPr>
      <w:spacing w:after="0" w:line="240" w:lineRule="auto"/>
    </w:pPr>
    <w:rPr>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ootnote Text Cha Car,FA Fußnotentext Car,FA Fuﬂnotentext Car,FA Fu?notentext Car"/>
    <w:basedOn w:val="Fuentedeprrafopredeter"/>
    <w:link w:val="Textonotapie"/>
    <w:rsid w:val="004406E2"/>
    <w:rPr>
      <w:sz w:val="20"/>
      <w:szCs w:val="20"/>
    </w:rPr>
  </w:style>
  <w:style w:type="character" w:styleId="Refdenotaalpie">
    <w:name w:val="footnote reference"/>
    <w:aliases w:val="Texto de nota al pie,Appel note de bas de page,Footnotes refss,f,Footnote number,referencia nota al pie,BVI fnr"/>
    <w:basedOn w:val="Fuentedeprrafopredeter"/>
    <w:unhideWhenUsed/>
    <w:rsid w:val="004406E2"/>
    <w:rPr>
      <w:vertAlign w:val="superscript"/>
    </w:rPr>
  </w:style>
  <w:style w:type="character" w:customStyle="1" w:styleId="st1">
    <w:name w:val="st1"/>
    <w:basedOn w:val="Fuentedeprrafopredeter"/>
    <w:rsid w:val="003B294C"/>
  </w:style>
  <w:style w:type="paragraph" w:styleId="HTMLconformatoprevio">
    <w:name w:val="HTML Preformatted"/>
    <w:basedOn w:val="Normal"/>
    <w:link w:val="HTMLconformatoprevioCar"/>
    <w:uiPriority w:val="99"/>
    <w:semiHidden/>
    <w:unhideWhenUsed/>
    <w:rsid w:val="00D77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75" w:lineRule="atLeast"/>
    </w:pPr>
    <w:rPr>
      <w:rFonts w:ascii="Verdana" w:eastAsia="Times New Roman" w:hAnsi="Verdana" w:cs="Courier New"/>
      <w:b/>
      <w:bCs/>
      <w:lang w:eastAsia="es-ES"/>
    </w:rPr>
  </w:style>
  <w:style w:type="character" w:customStyle="1" w:styleId="HTMLconformatoprevioCar">
    <w:name w:val="HTML con formato previo Car"/>
    <w:basedOn w:val="Fuentedeprrafopredeter"/>
    <w:link w:val="HTMLconformatoprevio"/>
    <w:uiPriority w:val="99"/>
    <w:semiHidden/>
    <w:rsid w:val="00D776F5"/>
    <w:rPr>
      <w:rFonts w:ascii="Verdana" w:eastAsia="Times New Roman" w:hAnsi="Verdana" w:cs="Courier New"/>
      <w:b/>
      <w:bCs/>
      <w:lang w:eastAsia="es-ES"/>
    </w:rPr>
  </w:style>
  <w:style w:type="paragraph" w:customStyle="1" w:styleId="Prrafodelista1">
    <w:name w:val="Párrafo de lista1"/>
    <w:basedOn w:val="Normal"/>
    <w:uiPriority w:val="99"/>
    <w:qFormat/>
    <w:rsid w:val="00F323AD"/>
    <w:pPr>
      <w:ind w:left="720"/>
      <w:contextualSpacing/>
    </w:pPr>
    <w:rPr>
      <w:rFonts w:ascii="Calibri" w:eastAsia="Calibri" w:hAnsi="Calibri" w:cs="Times New Roman"/>
      <w:lang w:val="es-GT"/>
    </w:rPr>
  </w:style>
  <w:style w:type="character" w:customStyle="1" w:styleId="ff01">
    <w:name w:val="ff01"/>
    <w:basedOn w:val="Fuentedeprrafopredeter"/>
    <w:rsid w:val="0046212E"/>
    <w:rPr>
      <w:rFonts w:ascii="ff0" w:hAnsi="ff0" w:hint="default"/>
    </w:rPr>
  </w:style>
  <w:style w:type="character" w:customStyle="1" w:styleId="object">
    <w:name w:val="object"/>
    <w:basedOn w:val="Fuentedeprrafopredeter"/>
    <w:rsid w:val="00657F40"/>
  </w:style>
  <w:style w:type="paragraph" w:customStyle="1" w:styleId="SingleTxtG">
    <w:name w:val="_ Single Txt_G"/>
    <w:basedOn w:val="Normal"/>
    <w:link w:val="SingleTxtGChar"/>
    <w:rsid w:val="00985AB2"/>
    <w:pPr>
      <w:spacing w:after="120" w:line="240" w:lineRule="atLeast"/>
      <w:ind w:left="1134" w:right="1134"/>
      <w:jc w:val="both"/>
    </w:pPr>
    <w:rPr>
      <w:rFonts w:ascii="Times New Roman" w:eastAsia="Times New Roman" w:hAnsi="Times New Roman" w:cs="Times New Roman"/>
      <w:sz w:val="20"/>
      <w:szCs w:val="20"/>
      <w:lang w:eastAsia="es-ES"/>
    </w:rPr>
  </w:style>
  <w:style w:type="paragraph" w:customStyle="1" w:styleId="H23G">
    <w:name w:val="_ H_2/3_G"/>
    <w:basedOn w:val="Normal"/>
    <w:next w:val="Normal"/>
    <w:rsid w:val="005F4536"/>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s-ES"/>
    </w:rPr>
  </w:style>
  <w:style w:type="paragraph" w:customStyle="1" w:styleId="HChG">
    <w:name w:val="_ H _Ch_G"/>
    <w:basedOn w:val="Normal"/>
    <w:next w:val="Normal"/>
    <w:rsid w:val="002816A9"/>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s-ES"/>
    </w:rPr>
  </w:style>
  <w:style w:type="paragraph" w:customStyle="1" w:styleId="H1G">
    <w:name w:val="_ H_1_G"/>
    <w:basedOn w:val="Normal"/>
    <w:next w:val="Normal"/>
    <w:rsid w:val="002816A9"/>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s-ES"/>
    </w:rPr>
  </w:style>
  <w:style w:type="character" w:customStyle="1" w:styleId="SingleTxtGChar">
    <w:name w:val="_ Single Txt_G Char"/>
    <w:link w:val="SingleTxtG"/>
    <w:uiPriority w:val="99"/>
    <w:locked/>
    <w:rsid w:val="0079183B"/>
    <w:rPr>
      <w:rFonts w:ascii="Times New Roman" w:eastAsia="Times New Roman" w:hAnsi="Times New Roman" w:cs="Times New Roman"/>
      <w:sz w:val="20"/>
      <w:szCs w:val="20"/>
      <w:lang w:eastAsia="es-ES"/>
    </w:rPr>
  </w:style>
  <w:style w:type="character" w:styleId="AcrnimoHTML">
    <w:name w:val="HTML Acronym"/>
    <w:uiPriority w:val="99"/>
    <w:semiHidden/>
    <w:rsid w:val="00B62949"/>
    <w:rPr>
      <w:rFonts w:cs="Times New Roman"/>
    </w:rPr>
  </w:style>
</w:styles>
</file>

<file path=word/webSettings.xml><?xml version="1.0" encoding="utf-8"?>
<w:webSettings xmlns:r="http://schemas.openxmlformats.org/officeDocument/2006/relationships" xmlns:w="http://schemas.openxmlformats.org/wordprocessingml/2006/main">
  <w:divs>
    <w:div w:id="269701128">
      <w:bodyDiv w:val="1"/>
      <w:marLeft w:val="0"/>
      <w:marRight w:val="0"/>
      <w:marTop w:val="45"/>
      <w:marBottom w:val="45"/>
      <w:divBdr>
        <w:top w:val="none" w:sz="0" w:space="0" w:color="auto"/>
        <w:left w:val="none" w:sz="0" w:space="0" w:color="auto"/>
        <w:bottom w:val="none" w:sz="0" w:space="0" w:color="auto"/>
        <w:right w:val="none" w:sz="0" w:space="0" w:color="auto"/>
      </w:divBdr>
      <w:divsChild>
        <w:div w:id="722141808">
          <w:marLeft w:val="0"/>
          <w:marRight w:val="0"/>
          <w:marTop w:val="0"/>
          <w:marBottom w:val="0"/>
          <w:divBdr>
            <w:top w:val="none" w:sz="0" w:space="0" w:color="auto"/>
            <w:left w:val="none" w:sz="0" w:space="0" w:color="auto"/>
            <w:bottom w:val="none" w:sz="0" w:space="0" w:color="auto"/>
            <w:right w:val="none" w:sz="0" w:space="0" w:color="auto"/>
          </w:divBdr>
          <w:divsChild>
            <w:div w:id="513884372">
              <w:marLeft w:val="0"/>
              <w:marRight w:val="0"/>
              <w:marTop w:val="0"/>
              <w:marBottom w:val="0"/>
              <w:divBdr>
                <w:top w:val="none" w:sz="0" w:space="0" w:color="auto"/>
                <w:left w:val="none" w:sz="0" w:space="0" w:color="auto"/>
                <w:bottom w:val="none" w:sz="0" w:space="0" w:color="auto"/>
                <w:right w:val="none" w:sz="0" w:space="0" w:color="auto"/>
              </w:divBdr>
              <w:divsChild>
                <w:div w:id="322125062">
                  <w:marLeft w:val="0"/>
                  <w:marRight w:val="0"/>
                  <w:marTop w:val="0"/>
                  <w:marBottom w:val="0"/>
                  <w:divBdr>
                    <w:top w:val="none" w:sz="0" w:space="0" w:color="auto"/>
                    <w:left w:val="none" w:sz="0" w:space="0" w:color="auto"/>
                    <w:bottom w:val="none" w:sz="0" w:space="0" w:color="auto"/>
                    <w:right w:val="none" w:sz="0" w:space="0" w:color="auto"/>
                  </w:divBdr>
                  <w:divsChild>
                    <w:div w:id="556942364">
                      <w:marLeft w:val="0"/>
                      <w:marRight w:val="0"/>
                      <w:marTop w:val="0"/>
                      <w:marBottom w:val="0"/>
                      <w:divBdr>
                        <w:top w:val="none" w:sz="0" w:space="0" w:color="auto"/>
                        <w:left w:val="none" w:sz="0" w:space="0" w:color="auto"/>
                        <w:bottom w:val="none" w:sz="0" w:space="0" w:color="auto"/>
                        <w:right w:val="none" w:sz="0" w:space="0" w:color="auto"/>
                      </w:divBdr>
                      <w:divsChild>
                        <w:div w:id="1788814373">
                          <w:marLeft w:val="2385"/>
                          <w:marRight w:val="3960"/>
                          <w:marTop w:val="0"/>
                          <w:marBottom w:val="0"/>
                          <w:divBdr>
                            <w:top w:val="none" w:sz="0" w:space="0" w:color="auto"/>
                            <w:left w:val="single" w:sz="6" w:space="0" w:color="D3E1F9"/>
                            <w:bottom w:val="none" w:sz="0" w:space="0" w:color="auto"/>
                            <w:right w:val="none" w:sz="0" w:space="0" w:color="auto"/>
                          </w:divBdr>
                          <w:divsChild>
                            <w:div w:id="1224872407">
                              <w:marLeft w:val="0"/>
                              <w:marRight w:val="0"/>
                              <w:marTop w:val="0"/>
                              <w:marBottom w:val="0"/>
                              <w:divBdr>
                                <w:top w:val="none" w:sz="0" w:space="0" w:color="auto"/>
                                <w:left w:val="none" w:sz="0" w:space="0" w:color="auto"/>
                                <w:bottom w:val="none" w:sz="0" w:space="0" w:color="auto"/>
                                <w:right w:val="none" w:sz="0" w:space="0" w:color="auto"/>
                              </w:divBdr>
                              <w:divsChild>
                                <w:div w:id="813565387">
                                  <w:marLeft w:val="0"/>
                                  <w:marRight w:val="0"/>
                                  <w:marTop w:val="0"/>
                                  <w:marBottom w:val="0"/>
                                  <w:divBdr>
                                    <w:top w:val="none" w:sz="0" w:space="0" w:color="auto"/>
                                    <w:left w:val="none" w:sz="0" w:space="0" w:color="auto"/>
                                    <w:bottom w:val="none" w:sz="0" w:space="0" w:color="auto"/>
                                    <w:right w:val="none" w:sz="0" w:space="0" w:color="auto"/>
                                  </w:divBdr>
                                  <w:divsChild>
                                    <w:div w:id="731464763">
                                      <w:marLeft w:val="0"/>
                                      <w:marRight w:val="0"/>
                                      <w:marTop w:val="0"/>
                                      <w:marBottom w:val="0"/>
                                      <w:divBdr>
                                        <w:top w:val="none" w:sz="0" w:space="0" w:color="auto"/>
                                        <w:left w:val="none" w:sz="0" w:space="0" w:color="auto"/>
                                        <w:bottom w:val="none" w:sz="0" w:space="0" w:color="auto"/>
                                        <w:right w:val="none" w:sz="0" w:space="0" w:color="auto"/>
                                      </w:divBdr>
                                      <w:divsChild>
                                        <w:div w:id="72248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1797063">
      <w:bodyDiv w:val="1"/>
      <w:marLeft w:val="0"/>
      <w:marRight w:val="0"/>
      <w:marTop w:val="0"/>
      <w:marBottom w:val="0"/>
      <w:divBdr>
        <w:top w:val="none" w:sz="0" w:space="0" w:color="auto"/>
        <w:left w:val="none" w:sz="0" w:space="0" w:color="auto"/>
        <w:bottom w:val="none" w:sz="0" w:space="0" w:color="auto"/>
        <w:right w:val="none" w:sz="0" w:space="0" w:color="auto"/>
      </w:divBdr>
      <w:divsChild>
        <w:div w:id="123622171">
          <w:marLeft w:val="0"/>
          <w:marRight w:val="0"/>
          <w:marTop w:val="0"/>
          <w:marBottom w:val="0"/>
          <w:divBdr>
            <w:top w:val="none" w:sz="0" w:space="0" w:color="auto"/>
            <w:left w:val="none" w:sz="0" w:space="0" w:color="auto"/>
            <w:bottom w:val="none" w:sz="0" w:space="0" w:color="auto"/>
            <w:right w:val="none" w:sz="0" w:space="0" w:color="auto"/>
          </w:divBdr>
        </w:div>
        <w:div w:id="427427435">
          <w:marLeft w:val="0"/>
          <w:marRight w:val="0"/>
          <w:marTop w:val="0"/>
          <w:marBottom w:val="0"/>
          <w:divBdr>
            <w:top w:val="none" w:sz="0" w:space="0" w:color="auto"/>
            <w:left w:val="none" w:sz="0" w:space="0" w:color="auto"/>
            <w:bottom w:val="none" w:sz="0" w:space="0" w:color="auto"/>
            <w:right w:val="none" w:sz="0" w:space="0" w:color="auto"/>
          </w:divBdr>
        </w:div>
        <w:div w:id="495926113">
          <w:marLeft w:val="0"/>
          <w:marRight w:val="0"/>
          <w:marTop w:val="0"/>
          <w:marBottom w:val="0"/>
          <w:divBdr>
            <w:top w:val="none" w:sz="0" w:space="0" w:color="auto"/>
            <w:left w:val="none" w:sz="0" w:space="0" w:color="auto"/>
            <w:bottom w:val="none" w:sz="0" w:space="0" w:color="auto"/>
            <w:right w:val="none" w:sz="0" w:space="0" w:color="auto"/>
          </w:divBdr>
        </w:div>
        <w:div w:id="554631571">
          <w:marLeft w:val="0"/>
          <w:marRight w:val="0"/>
          <w:marTop w:val="0"/>
          <w:marBottom w:val="0"/>
          <w:divBdr>
            <w:top w:val="none" w:sz="0" w:space="0" w:color="auto"/>
            <w:left w:val="none" w:sz="0" w:space="0" w:color="auto"/>
            <w:bottom w:val="none" w:sz="0" w:space="0" w:color="auto"/>
            <w:right w:val="none" w:sz="0" w:space="0" w:color="auto"/>
          </w:divBdr>
        </w:div>
        <w:div w:id="787504011">
          <w:marLeft w:val="0"/>
          <w:marRight w:val="0"/>
          <w:marTop w:val="0"/>
          <w:marBottom w:val="0"/>
          <w:divBdr>
            <w:top w:val="none" w:sz="0" w:space="0" w:color="auto"/>
            <w:left w:val="none" w:sz="0" w:space="0" w:color="auto"/>
            <w:bottom w:val="none" w:sz="0" w:space="0" w:color="auto"/>
            <w:right w:val="none" w:sz="0" w:space="0" w:color="auto"/>
          </w:divBdr>
        </w:div>
        <w:div w:id="814103055">
          <w:marLeft w:val="0"/>
          <w:marRight w:val="0"/>
          <w:marTop w:val="0"/>
          <w:marBottom w:val="0"/>
          <w:divBdr>
            <w:top w:val="none" w:sz="0" w:space="0" w:color="auto"/>
            <w:left w:val="none" w:sz="0" w:space="0" w:color="auto"/>
            <w:bottom w:val="none" w:sz="0" w:space="0" w:color="auto"/>
            <w:right w:val="none" w:sz="0" w:space="0" w:color="auto"/>
          </w:divBdr>
        </w:div>
        <w:div w:id="999961478">
          <w:marLeft w:val="0"/>
          <w:marRight w:val="0"/>
          <w:marTop w:val="0"/>
          <w:marBottom w:val="0"/>
          <w:divBdr>
            <w:top w:val="none" w:sz="0" w:space="0" w:color="auto"/>
            <w:left w:val="none" w:sz="0" w:space="0" w:color="auto"/>
            <w:bottom w:val="none" w:sz="0" w:space="0" w:color="auto"/>
            <w:right w:val="none" w:sz="0" w:space="0" w:color="auto"/>
          </w:divBdr>
        </w:div>
        <w:div w:id="1409111597">
          <w:marLeft w:val="0"/>
          <w:marRight w:val="0"/>
          <w:marTop w:val="0"/>
          <w:marBottom w:val="0"/>
          <w:divBdr>
            <w:top w:val="none" w:sz="0" w:space="0" w:color="auto"/>
            <w:left w:val="none" w:sz="0" w:space="0" w:color="auto"/>
            <w:bottom w:val="none" w:sz="0" w:space="0" w:color="auto"/>
            <w:right w:val="none" w:sz="0" w:space="0" w:color="auto"/>
          </w:divBdr>
        </w:div>
        <w:div w:id="1539274205">
          <w:marLeft w:val="0"/>
          <w:marRight w:val="0"/>
          <w:marTop w:val="0"/>
          <w:marBottom w:val="0"/>
          <w:divBdr>
            <w:top w:val="none" w:sz="0" w:space="0" w:color="auto"/>
            <w:left w:val="none" w:sz="0" w:space="0" w:color="auto"/>
            <w:bottom w:val="none" w:sz="0" w:space="0" w:color="auto"/>
            <w:right w:val="none" w:sz="0" w:space="0" w:color="auto"/>
          </w:divBdr>
        </w:div>
        <w:div w:id="1950693741">
          <w:marLeft w:val="0"/>
          <w:marRight w:val="0"/>
          <w:marTop w:val="0"/>
          <w:marBottom w:val="0"/>
          <w:divBdr>
            <w:top w:val="none" w:sz="0" w:space="0" w:color="auto"/>
            <w:left w:val="none" w:sz="0" w:space="0" w:color="auto"/>
            <w:bottom w:val="none" w:sz="0" w:space="0" w:color="auto"/>
            <w:right w:val="none" w:sz="0" w:space="0" w:color="auto"/>
          </w:divBdr>
        </w:div>
      </w:divsChild>
    </w:div>
    <w:div w:id="484467756">
      <w:bodyDiv w:val="1"/>
      <w:marLeft w:val="0"/>
      <w:marRight w:val="0"/>
      <w:marTop w:val="45"/>
      <w:marBottom w:val="45"/>
      <w:divBdr>
        <w:top w:val="none" w:sz="0" w:space="0" w:color="auto"/>
        <w:left w:val="none" w:sz="0" w:space="0" w:color="auto"/>
        <w:bottom w:val="none" w:sz="0" w:space="0" w:color="auto"/>
        <w:right w:val="none" w:sz="0" w:space="0" w:color="auto"/>
      </w:divBdr>
      <w:divsChild>
        <w:div w:id="95172943">
          <w:marLeft w:val="0"/>
          <w:marRight w:val="0"/>
          <w:marTop w:val="0"/>
          <w:marBottom w:val="0"/>
          <w:divBdr>
            <w:top w:val="none" w:sz="0" w:space="0" w:color="auto"/>
            <w:left w:val="none" w:sz="0" w:space="0" w:color="auto"/>
            <w:bottom w:val="none" w:sz="0" w:space="0" w:color="auto"/>
            <w:right w:val="none" w:sz="0" w:space="0" w:color="auto"/>
          </w:divBdr>
          <w:divsChild>
            <w:div w:id="806509554">
              <w:marLeft w:val="0"/>
              <w:marRight w:val="0"/>
              <w:marTop w:val="0"/>
              <w:marBottom w:val="0"/>
              <w:divBdr>
                <w:top w:val="none" w:sz="0" w:space="0" w:color="auto"/>
                <w:left w:val="none" w:sz="0" w:space="0" w:color="auto"/>
                <w:bottom w:val="none" w:sz="0" w:space="0" w:color="auto"/>
                <w:right w:val="none" w:sz="0" w:space="0" w:color="auto"/>
              </w:divBdr>
              <w:divsChild>
                <w:div w:id="1574437502">
                  <w:marLeft w:val="0"/>
                  <w:marRight w:val="0"/>
                  <w:marTop w:val="0"/>
                  <w:marBottom w:val="0"/>
                  <w:divBdr>
                    <w:top w:val="none" w:sz="0" w:space="0" w:color="auto"/>
                    <w:left w:val="none" w:sz="0" w:space="0" w:color="auto"/>
                    <w:bottom w:val="none" w:sz="0" w:space="0" w:color="auto"/>
                    <w:right w:val="none" w:sz="0" w:space="0" w:color="auto"/>
                  </w:divBdr>
                  <w:divsChild>
                    <w:div w:id="1573153615">
                      <w:marLeft w:val="0"/>
                      <w:marRight w:val="0"/>
                      <w:marTop w:val="0"/>
                      <w:marBottom w:val="0"/>
                      <w:divBdr>
                        <w:top w:val="none" w:sz="0" w:space="0" w:color="auto"/>
                        <w:left w:val="none" w:sz="0" w:space="0" w:color="auto"/>
                        <w:bottom w:val="none" w:sz="0" w:space="0" w:color="auto"/>
                        <w:right w:val="none" w:sz="0" w:space="0" w:color="auto"/>
                      </w:divBdr>
                      <w:divsChild>
                        <w:div w:id="1349791653">
                          <w:marLeft w:val="2385"/>
                          <w:marRight w:val="3960"/>
                          <w:marTop w:val="0"/>
                          <w:marBottom w:val="0"/>
                          <w:divBdr>
                            <w:top w:val="none" w:sz="0" w:space="0" w:color="auto"/>
                            <w:left w:val="single" w:sz="6" w:space="0" w:color="D3E1F9"/>
                            <w:bottom w:val="none" w:sz="0" w:space="0" w:color="auto"/>
                            <w:right w:val="none" w:sz="0" w:space="0" w:color="auto"/>
                          </w:divBdr>
                          <w:divsChild>
                            <w:div w:id="983504262">
                              <w:marLeft w:val="0"/>
                              <w:marRight w:val="0"/>
                              <w:marTop w:val="0"/>
                              <w:marBottom w:val="0"/>
                              <w:divBdr>
                                <w:top w:val="none" w:sz="0" w:space="0" w:color="auto"/>
                                <w:left w:val="none" w:sz="0" w:space="0" w:color="auto"/>
                                <w:bottom w:val="none" w:sz="0" w:space="0" w:color="auto"/>
                                <w:right w:val="none" w:sz="0" w:space="0" w:color="auto"/>
                              </w:divBdr>
                              <w:divsChild>
                                <w:div w:id="1281260878">
                                  <w:marLeft w:val="0"/>
                                  <w:marRight w:val="0"/>
                                  <w:marTop w:val="0"/>
                                  <w:marBottom w:val="0"/>
                                  <w:divBdr>
                                    <w:top w:val="none" w:sz="0" w:space="0" w:color="auto"/>
                                    <w:left w:val="none" w:sz="0" w:space="0" w:color="auto"/>
                                    <w:bottom w:val="none" w:sz="0" w:space="0" w:color="auto"/>
                                    <w:right w:val="none" w:sz="0" w:space="0" w:color="auto"/>
                                  </w:divBdr>
                                  <w:divsChild>
                                    <w:div w:id="620692152">
                                      <w:marLeft w:val="0"/>
                                      <w:marRight w:val="0"/>
                                      <w:marTop w:val="0"/>
                                      <w:marBottom w:val="0"/>
                                      <w:divBdr>
                                        <w:top w:val="none" w:sz="0" w:space="0" w:color="auto"/>
                                        <w:left w:val="none" w:sz="0" w:space="0" w:color="auto"/>
                                        <w:bottom w:val="none" w:sz="0" w:space="0" w:color="auto"/>
                                        <w:right w:val="none" w:sz="0" w:space="0" w:color="auto"/>
                                      </w:divBdr>
                                      <w:divsChild>
                                        <w:div w:id="92688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4642392">
      <w:bodyDiv w:val="1"/>
      <w:marLeft w:val="0"/>
      <w:marRight w:val="0"/>
      <w:marTop w:val="0"/>
      <w:marBottom w:val="0"/>
      <w:divBdr>
        <w:top w:val="none" w:sz="0" w:space="0" w:color="auto"/>
        <w:left w:val="none" w:sz="0" w:space="0" w:color="auto"/>
        <w:bottom w:val="none" w:sz="0" w:space="0" w:color="auto"/>
        <w:right w:val="none" w:sz="0" w:space="0" w:color="auto"/>
      </w:divBdr>
      <w:divsChild>
        <w:div w:id="15814657">
          <w:marLeft w:val="0"/>
          <w:marRight w:val="0"/>
          <w:marTop w:val="0"/>
          <w:marBottom w:val="0"/>
          <w:divBdr>
            <w:top w:val="none" w:sz="0" w:space="0" w:color="auto"/>
            <w:left w:val="none" w:sz="0" w:space="0" w:color="auto"/>
            <w:bottom w:val="none" w:sz="0" w:space="0" w:color="auto"/>
            <w:right w:val="none" w:sz="0" w:space="0" w:color="auto"/>
          </w:divBdr>
          <w:divsChild>
            <w:div w:id="1177187533">
              <w:marLeft w:val="0"/>
              <w:marRight w:val="0"/>
              <w:marTop w:val="0"/>
              <w:marBottom w:val="0"/>
              <w:divBdr>
                <w:top w:val="none" w:sz="0" w:space="0" w:color="auto"/>
                <w:left w:val="none" w:sz="0" w:space="0" w:color="auto"/>
                <w:bottom w:val="none" w:sz="0" w:space="0" w:color="auto"/>
                <w:right w:val="none" w:sz="0" w:space="0" w:color="auto"/>
              </w:divBdr>
              <w:divsChild>
                <w:div w:id="1912109920">
                  <w:marLeft w:val="0"/>
                  <w:marRight w:val="0"/>
                  <w:marTop w:val="0"/>
                  <w:marBottom w:val="0"/>
                  <w:divBdr>
                    <w:top w:val="none" w:sz="0" w:space="0" w:color="auto"/>
                    <w:left w:val="none" w:sz="0" w:space="0" w:color="auto"/>
                    <w:bottom w:val="none" w:sz="0" w:space="0" w:color="auto"/>
                    <w:right w:val="none" w:sz="0" w:space="0" w:color="auto"/>
                  </w:divBdr>
                  <w:divsChild>
                    <w:div w:id="8329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572435">
      <w:bodyDiv w:val="1"/>
      <w:marLeft w:val="0"/>
      <w:marRight w:val="0"/>
      <w:marTop w:val="0"/>
      <w:marBottom w:val="0"/>
      <w:divBdr>
        <w:top w:val="none" w:sz="0" w:space="0" w:color="auto"/>
        <w:left w:val="none" w:sz="0" w:space="0" w:color="auto"/>
        <w:bottom w:val="none" w:sz="0" w:space="0" w:color="auto"/>
        <w:right w:val="none" w:sz="0" w:space="0" w:color="auto"/>
      </w:divBdr>
    </w:div>
    <w:div w:id="1518423771">
      <w:bodyDiv w:val="1"/>
      <w:marLeft w:val="0"/>
      <w:marRight w:val="0"/>
      <w:marTop w:val="0"/>
      <w:marBottom w:val="0"/>
      <w:divBdr>
        <w:top w:val="none" w:sz="0" w:space="0" w:color="auto"/>
        <w:left w:val="none" w:sz="0" w:space="0" w:color="auto"/>
        <w:bottom w:val="none" w:sz="0" w:space="0" w:color="auto"/>
        <w:right w:val="none" w:sz="0" w:space="0" w:color="auto"/>
      </w:divBdr>
      <w:divsChild>
        <w:div w:id="1563717082">
          <w:marLeft w:val="0"/>
          <w:marRight w:val="0"/>
          <w:marTop w:val="0"/>
          <w:marBottom w:val="0"/>
          <w:divBdr>
            <w:top w:val="none" w:sz="0" w:space="0" w:color="auto"/>
            <w:left w:val="none" w:sz="0" w:space="0" w:color="auto"/>
            <w:bottom w:val="none" w:sz="0" w:space="0" w:color="auto"/>
            <w:right w:val="none" w:sz="0" w:space="0" w:color="auto"/>
          </w:divBdr>
          <w:divsChild>
            <w:div w:id="281112256">
              <w:marLeft w:val="0"/>
              <w:marRight w:val="0"/>
              <w:marTop w:val="0"/>
              <w:marBottom w:val="0"/>
              <w:divBdr>
                <w:top w:val="none" w:sz="0" w:space="0" w:color="auto"/>
                <w:left w:val="none" w:sz="0" w:space="0" w:color="auto"/>
                <w:bottom w:val="none" w:sz="0" w:space="0" w:color="auto"/>
                <w:right w:val="none" w:sz="0" w:space="0" w:color="auto"/>
              </w:divBdr>
              <w:divsChild>
                <w:div w:id="1881823719">
                  <w:marLeft w:val="0"/>
                  <w:marRight w:val="0"/>
                  <w:marTop w:val="0"/>
                  <w:marBottom w:val="0"/>
                  <w:divBdr>
                    <w:top w:val="none" w:sz="0" w:space="0" w:color="auto"/>
                    <w:left w:val="none" w:sz="0" w:space="0" w:color="auto"/>
                    <w:bottom w:val="none" w:sz="0" w:space="0" w:color="auto"/>
                    <w:right w:val="none" w:sz="0" w:space="0" w:color="auto"/>
                  </w:divBdr>
                  <w:divsChild>
                    <w:div w:id="1230187015">
                      <w:marLeft w:val="0"/>
                      <w:marRight w:val="0"/>
                      <w:marTop w:val="0"/>
                      <w:marBottom w:val="0"/>
                      <w:divBdr>
                        <w:top w:val="none" w:sz="0" w:space="0" w:color="auto"/>
                        <w:left w:val="none" w:sz="0" w:space="0" w:color="auto"/>
                        <w:bottom w:val="none" w:sz="0" w:space="0" w:color="auto"/>
                        <w:right w:val="none" w:sz="0" w:space="0" w:color="auto"/>
                      </w:divBdr>
                      <w:divsChild>
                        <w:div w:id="870803492">
                          <w:marLeft w:val="0"/>
                          <w:marRight w:val="0"/>
                          <w:marTop w:val="0"/>
                          <w:marBottom w:val="0"/>
                          <w:divBdr>
                            <w:top w:val="none" w:sz="0" w:space="0" w:color="auto"/>
                            <w:left w:val="none" w:sz="0" w:space="0" w:color="auto"/>
                            <w:bottom w:val="none" w:sz="0" w:space="0" w:color="auto"/>
                            <w:right w:val="none" w:sz="0" w:space="0" w:color="auto"/>
                          </w:divBdr>
                          <w:divsChild>
                            <w:div w:id="837696254">
                              <w:marLeft w:val="0"/>
                              <w:marRight w:val="0"/>
                              <w:marTop w:val="0"/>
                              <w:marBottom w:val="0"/>
                              <w:divBdr>
                                <w:top w:val="none" w:sz="0" w:space="0" w:color="auto"/>
                                <w:left w:val="none" w:sz="0" w:space="0" w:color="auto"/>
                                <w:bottom w:val="none" w:sz="0" w:space="0" w:color="auto"/>
                                <w:right w:val="none" w:sz="0" w:space="0" w:color="auto"/>
                              </w:divBdr>
                              <w:divsChild>
                                <w:div w:id="1510094359">
                                  <w:marLeft w:val="0"/>
                                  <w:marRight w:val="0"/>
                                  <w:marTop w:val="0"/>
                                  <w:marBottom w:val="0"/>
                                  <w:divBdr>
                                    <w:top w:val="none" w:sz="0" w:space="0" w:color="auto"/>
                                    <w:left w:val="none" w:sz="0" w:space="0" w:color="auto"/>
                                    <w:bottom w:val="none" w:sz="0" w:space="0" w:color="auto"/>
                                    <w:right w:val="none" w:sz="0" w:space="0" w:color="auto"/>
                                  </w:divBdr>
                                  <w:divsChild>
                                    <w:div w:id="528177404">
                                      <w:marLeft w:val="0"/>
                                      <w:marRight w:val="0"/>
                                      <w:marTop w:val="0"/>
                                      <w:marBottom w:val="0"/>
                                      <w:divBdr>
                                        <w:top w:val="none" w:sz="0" w:space="0" w:color="auto"/>
                                        <w:left w:val="none" w:sz="0" w:space="0" w:color="auto"/>
                                        <w:bottom w:val="none" w:sz="0" w:space="0" w:color="auto"/>
                                        <w:right w:val="none" w:sz="0" w:space="0" w:color="auto"/>
                                      </w:divBdr>
                                      <w:divsChild>
                                        <w:div w:id="1698312490">
                                          <w:marLeft w:val="0"/>
                                          <w:marRight w:val="0"/>
                                          <w:marTop w:val="0"/>
                                          <w:marBottom w:val="0"/>
                                          <w:divBdr>
                                            <w:top w:val="none" w:sz="0" w:space="0" w:color="auto"/>
                                            <w:left w:val="none" w:sz="0" w:space="0" w:color="auto"/>
                                            <w:bottom w:val="none" w:sz="0" w:space="0" w:color="auto"/>
                                            <w:right w:val="none" w:sz="0" w:space="0" w:color="auto"/>
                                          </w:divBdr>
                                          <w:divsChild>
                                            <w:div w:id="1370957189">
                                              <w:marLeft w:val="-4800"/>
                                              <w:marRight w:val="0"/>
                                              <w:marTop w:val="0"/>
                                              <w:marBottom w:val="0"/>
                                              <w:divBdr>
                                                <w:top w:val="none" w:sz="0" w:space="0" w:color="auto"/>
                                                <w:left w:val="none" w:sz="0" w:space="0" w:color="auto"/>
                                                <w:bottom w:val="none" w:sz="0" w:space="0" w:color="auto"/>
                                                <w:right w:val="none" w:sz="0" w:space="0" w:color="auto"/>
                                              </w:divBdr>
                                              <w:divsChild>
                                                <w:div w:id="609969188">
                                                  <w:marLeft w:val="0"/>
                                                  <w:marRight w:val="0"/>
                                                  <w:marTop w:val="0"/>
                                                  <w:marBottom w:val="0"/>
                                                  <w:divBdr>
                                                    <w:top w:val="none" w:sz="0" w:space="0" w:color="auto"/>
                                                    <w:left w:val="none" w:sz="0" w:space="0" w:color="auto"/>
                                                    <w:bottom w:val="none" w:sz="0" w:space="0" w:color="auto"/>
                                                    <w:right w:val="none" w:sz="0" w:space="0" w:color="auto"/>
                                                  </w:divBdr>
                                                  <w:divsChild>
                                                    <w:div w:id="1243368287">
                                                      <w:marLeft w:val="0"/>
                                                      <w:marRight w:val="0"/>
                                                      <w:marTop w:val="0"/>
                                                      <w:marBottom w:val="0"/>
                                                      <w:divBdr>
                                                        <w:top w:val="none" w:sz="0" w:space="0" w:color="auto"/>
                                                        <w:left w:val="none" w:sz="0" w:space="0" w:color="auto"/>
                                                        <w:bottom w:val="none" w:sz="0" w:space="0" w:color="auto"/>
                                                        <w:right w:val="none" w:sz="0" w:space="0" w:color="auto"/>
                                                      </w:divBdr>
                                                      <w:divsChild>
                                                        <w:div w:id="1688560225">
                                                          <w:marLeft w:val="4800"/>
                                                          <w:marRight w:val="0"/>
                                                          <w:marTop w:val="0"/>
                                                          <w:marBottom w:val="0"/>
                                                          <w:divBdr>
                                                            <w:top w:val="none" w:sz="0" w:space="0" w:color="auto"/>
                                                            <w:left w:val="none" w:sz="0" w:space="0" w:color="auto"/>
                                                            <w:bottom w:val="none" w:sz="0" w:space="0" w:color="auto"/>
                                                            <w:right w:val="none" w:sz="0" w:space="0" w:color="auto"/>
                                                          </w:divBdr>
                                                          <w:divsChild>
                                                            <w:div w:id="546723442">
                                                              <w:marLeft w:val="0"/>
                                                              <w:marRight w:val="0"/>
                                                              <w:marTop w:val="0"/>
                                                              <w:marBottom w:val="0"/>
                                                              <w:divBdr>
                                                                <w:top w:val="none" w:sz="0" w:space="0" w:color="auto"/>
                                                                <w:left w:val="none" w:sz="0" w:space="0" w:color="auto"/>
                                                                <w:bottom w:val="none" w:sz="0" w:space="0" w:color="auto"/>
                                                                <w:right w:val="none" w:sz="0" w:space="0" w:color="auto"/>
                                                              </w:divBdr>
                                                              <w:divsChild>
                                                                <w:div w:id="1258909668">
                                                                  <w:marLeft w:val="0"/>
                                                                  <w:marRight w:val="0"/>
                                                                  <w:marTop w:val="0"/>
                                                                  <w:marBottom w:val="0"/>
                                                                  <w:divBdr>
                                                                    <w:top w:val="none" w:sz="0" w:space="0" w:color="auto"/>
                                                                    <w:left w:val="none" w:sz="0" w:space="0" w:color="auto"/>
                                                                    <w:bottom w:val="none" w:sz="0" w:space="0" w:color="auto"/>
                                                                    <w:right w:val="none" w:sz="0" w:space="0" w:color="auto"/>
                                                                  </w:divBdr>
                                                                  <w:divsChild>
                                                                    <w:div w:id="1201355218">
                                                                      <w:marLeft w:val="0"/>
                                                                      <w:marRight w:val="0"/>
                                                                      <w:marTop w:val="0"/>
                                                                      <w:marBottom w:val="0"/>
                                                                      <w:divBdr>
                                                                        <w:top w:val="none" w:sz="0" w:space="0" w:color="auto"/>
                                                                        <w:left w:val="none" w:sz="0" w:space="0" w:color="auto"/>
                                                                        <w:bottom w:val="none" w:sz="0" w:space="0" w:color="auto"/>
                                                                        <w:right w:val="none" w:sz="0" w:space="0" w:color="auto"/>
                                                                      </w:divBdr>
                                                                      <w:divsChild>
                                                                        <w:div w:id="978919091">
                                                                          <w:marLeft w:val="0"/>
                                                                          <w:marRight w:val="0"/>
                                                                          <w:marTop w:val="0"/>
                                                                          <w:marBottom w:val="0"/>
                                                                          <w:divBdr>
                                                                            <w:top w:val="none" w:sz="0" w:space="0" w:color="auto"/>
                                                                            <w:left w:val="none" w:sz="0" w:space="0" w:color="auto"/>
                                                                            <w:bottom w:val="none" w:sz="0" w:space="0" w:color="auto"/>
                                                                            <w:right w:val="none" w:sz="0" w:space="0" w:color="auto"/>
                                                                          </w:divBdr>
                                                                          <w:divsChild>
                                                                            <w:div w:id="2092583596">
                                                                              <w:marLeft w:val="0"/>
                                                                              <w:marRight w:val="0"/>
                                                                              <w:marTop w:val="0"/>
                                                                              <w:marBottom w:val="0"/>
                                                                              <w:divBdr>
                                                                                <w:top w:val="none" w:sz="0" w:space="0" w:color="auto"/>
                                                                                <w:left w:val="none" w:sz="0" w:space="0" w:color="auto"/>
                                                                                <w:bottom w:val="none" w:sz="0" w:space="0" w:color="auto"/>
                                                                                <w:right w:val="none" w:sz="0" w:space="0" w:color="auto"/>
                                                                              </w:divBdr>
                                                                              <w:divsChild>
                                                                                <w:div w:id="15609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0302710">
      <w:bodyDiv w:val="1"/>
      <w:marLeft w:val="0"/>
      <w:marRight w:val="0"/>
      <w:marTop w:val="0"/>
      <w:marBottom w:val="0"/>
      <w:divBdr>
        <w:top w:val="none" w:sz="0" w:space="0" w:color="auto"/>
        <w:left w:val="none" w:sz="0" w:space="0" w:color="auto"/>
        <w:bottom w:val="none" w:sz="0" w:space="0" w:color="auto"/>
        <w:right w:val="none" w:sz="0" w:space="0" w:color="auto"/>
      </w:divBdr>
      <w:divsChild>
        <w:div w:id="874150356">
          <w:marLeft w:val="0"/>
          <w:marRight w:val="0"/>
          <w:marTop w:val="0"/>
          <w:marBottom w:val="0"/>
          <w:divBdr>
            <w:top w:val="none" w:sz="0" w:space="0" w:color="auto"/>
            <w:left w:val="none" w:sz="0" w:space="0" w:color="auto"/>
            <w:bottom w:val="none" w:sz="0" w:space="0" w:color="auto"/>
            <w:right w:val="none" w:sz="0" w:space="0" w:color="auto"/>
          </w:divBdr>
          <w:divsChild>
            <w:div w:id="1486240280">
              <w:marLeft w:val="0"/>
              <w:marRight w:val="0"/>
              <w:marTop w:val="0"/>
              <w:marBottom w:val="0"/>
              <w:divBdr>
                <w:top w:val="none" w:sz="0" w:space="0" w:color="auto"/>
                <w:left w:val="none" w:sz="0" w:space="0" w:color="auto"/>
                <w:bottom w:val="none" w:sz="0" w:space="0" w:color="auto"/>
                <w:right w:val="none" w:sz="0" w:space="0" w:color="auto"/>
              </w:divBdr>
              <w:divsChild>
                <w:div w:id="584534420">
                  <w:marLeft w:val="-3005"/>
                  <w:marRight w:val="0"/>
                  <w:marTop w:val="0"/>
                  <w:marBottom w:val="0"/>
                  <w:divBdr>
                    <w:top w:val="none" w:sz="0" w:space="0" w:color="auto"/>
                    <w:left w:val="none" w:sz="0" w:space="0" w:color="auto"/>
                    <w:bottom w:val="none" w:sz="0" w:space="0" w:color="auto"/>
                    <w:right w:val="none" w:sz="0" w:space="0" w:color="auto"/>
                  </w:divBdr>
                  <w:divsChild>
                    <w:div w:id="1427654095">
                      <w:marLeft w:val="0"/>
                      <w:marRight w:val="0"/>
                      <w:marTop w:val="0"/>
                      <w:marBottom w:val="0"/>
                      <w:divBdr>
                        <w:top w:val="none" w:sz="0" w:space="0" w:color="auto"/>
                        <w:left w:val="none" w:sz="0" w:space="0" w:color="auto"/>
                        <w:bottom w:val="none" w:sz="0" w:space="0" w:color="auto"/>
                        <w:right w:val="none" w:sz="0" w:space="0" w:color="auto"/>
                      </w:divBdr>
                      <w:divsChild>
                        <w:div w:id="847450342">
                          <w:marLeft w:val="0"/>
                          <w:marRight w:val="0"/>
                          <w:marTop w:val="0"/>
                          <w:marBottom w:val="0"/>
                          <w:divBdr>
                            <w:top w:val="none" w:sz="0" w:space="0" w:color="auto"/>
                            <w:left w:val="none" w:sz="0" w:space="0" w:color="auto"/>
                            <w:bottom w:val="none" w:sz="0" w:space="0" w:color="auto"/>
                            <w:right w:val="none" w:sz="0" w:space="0" w:color="auto"/>
                          </w:divBdr>
                          <w:divsChild>
                            <w:div w:id="19809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566002">
      <w:bodyDiv w:val="1"/>
      <w:marLeft w:val="0"/>
      <w:marRight w:val="0"/>
      <w:marTop w:val="0"/>
      <w:marBottom w:val="0"/>
      <w:divBdr>
        <w:top w:val="none" w:sz="0" w:space="0" w:color="auto"/>
        <w:left w:val="none" w:sz="0" w:space="0" w:color="auto"/>
        <w:bottom w:val="none" w:sz="0" w:space="0" w:color="auto"/>
        <w:right w:val="none" w:sz="0" w:space="0" w:color="auto"/>
      </w:divBdr>
      <w:divsChild>
        <w:div w:id="841435034">
          <w:marLeft w:val="0"/>
          <w:marRight w:val="0"/>
          <w:marTop w:val="0"/>
          <w:marBottom w:val="0"/>
          <w:divBdr>
            <w:top w:val="none" w:sz="0" w:space="0" w:color="auto"/>
            <w:left w:val="none" w:sz="0" w:space="0" w:color="auto"/>
            <w:bottom w:val="none" w:sz="0" w:space="0" w:color="auto"/>
            <w:right w:val="none" w:sz="0" w:space="0" w:color="auto"/>
          </w:divBdr>
          <w:divsChild>
            <w:div w:id="14039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05ACE-BE01-4CAC-91AD-76608275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2815</Words>
  <Characters>15484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COPREDEH</Company>
  <LinksUpToDate>false</LinksUpToDate>
  <CharactersWithSpaces>18263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claudias</dc:creator>
  <cp:keywords/>
  <dc:description/>
  <cp:lastModifiedBy>Admon</cp:lastModifiedBy>
  <cp:revision>3</cp:revision>
  <cp:lastPrinted>2012-12-21T18:50:00Z</cp:lastPrinted>
  <dcterms:created xsi:type="dcterms:W3CDTF">2013-05-31T04:23:00Z</dcterms:created>
  <dcterms:modified xsi:type="dcterms:W3CDTF">2013-05-31T04:23:00Z</dcterms:modified>
</cp:coreProperties>
</file>