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2DDD393" w14:textId="77777777" w:rsidR="005921B4" w:rsidRPr="005921B4" w:rsidRDefault="005921B4" w:rsidP="006C6CB8">
      <w:pPr>
        <w:pBdr>
          <w:bottom w:val="single" w:sz="4" w:space="1" w:color="auto"/>
        </w:pBdr>
        <w:jc w:val="center"/>
        <w:rPr>
          <w:b/>
          <w:bCs/>
        </w:rPr>
      </w:pPr>
      <w:r w:rsidRPr="005921B4">
        <w:rPr>
          <w:b/>
          <w:bCs/>
        </w:rPr>
        <w:t>Report submitted to the Committee on the Elimination of Racial Discrimination (</w:t>
      </w:r>
      <w:proofErr w:type="spellStart"/>
      <w:r w:rsidRPr="005921B4">
        <w:rPr>
          <w:b/>
          <w:bCs/>
        </w:rPr>
        <w:t>CERD</w:t>
      </w:r>
      <w:proofErr w:type="spellEnd"/>
      <w:r w:rsidRPr="005921B4">
        <w:rPr>
          <w:b/>
          <w:bCs/>
        </w:rPr>
        <w:t>) regarding Kuwait’s review</w:t>
      </w:r>
    </w:p>
    <w:p w14:paraId="543858B4" w14:textId="77777777" w:rsidR="003D7609" w:rsidRDefault="005921B4" w:rsidP="005921B4">
      <w:pPr>
        <w:jc w:val="both"/>
      </w:pPr>
      <w:r w:rsidRPr="005921B4">
        <w:rPr>
          <w:b/>
          <w:bCs/>
        </w:rPr>
        <w:t>Submitted to:</w:t>
      </w:r>
      <w:r w:rsidRPr="005921B4">
        <w:t xml:space="preserve"> Committee on the Elimination of Racial Discrimination (</w:t>
      </w:r>
      <w:proofErr w:type="spellStart"/>
      <w:r w:rsidRPr="005921B4">
        <w:t>CERD</w:t>
      </w:r>
      <w:proofErr w:type="spellEnd"/>
      <w:r w:rsidRPr="005921B4">
        <w:t>)</w:t>
      </w:r>
    </w:p>
    <w:p w14:paraId="620A7497" w14:textId="7C473E92" w:rsidR="003D7609" w:rsidRDefault="005921B4" w:rsidP="005921B4">
      <w:pPr>
        <w:jc w:val="both"/>
      </w:pPr>
      <w:r w:rsidRPr="005921B4">
        <w:rPr>
          <w:b/>
          <w:bCs/>
        </w:rPr>
        <w:t>Submitted by:</w:t>
      </w:r>
      <w:r w:rsidRPr="005921B4">
        <w:t xml:space="preserve"> </w:t>
      </w:r>
      <w:r w:rsidR="003D7609">
        <w:t>Partners for Transparency</w:t>
      </w:r>
      <w:r w:rsidRPr="005921B4">
        <w:t xml:space="preserve"> (holding consultative status with the United Nations Economic and Social Council)</w:t>
      </w:r>
    </w:p>
    <w:p w14:paraId="030A8699" w14:textId="706B5E38" w:rsidR="005921B4" w:rsidRPr="005921B4" w:rsidRDefault="005921B4" w:rsidP="005921B4">
      <w:pPr>
        <w:jc w:val="both"/>
      </w:pPr>
      <w:r w:rsidRPr="005921B4">
        <w:rPr>
          <w:b/>
          <w:bCs/>
        </w:rPr>
        <w:t>Date:</w:t>
      </w:r>
      <w:r w:rsidRPr="005921B4">
        <w:t xml:space="preserve"> May 2026</w:t>
      </w:r>
    </w:p>
    <w:p w14:paraId="45DA470A" w14:textId="77777777" w:rsidR="005921B4" w:rsidRPr="005921B4" w:rsidRDefault="005921B4" w:rsidP="006C6CB8">
      <w:pPr>
        <w:shd w:val="clear" w:color="auto" w:fill="00B0F0"/>
        <w:jc w:val="both"/>
        <w:rPr>
          <w:b/>
          <w:bCs/>
        </w:rPr>
      </w:pPr>
      <w:r w:rsidRPr="005921B4">
        <w:rPr>
          <w:b/>
          <w:bCs/>
        </w:rPr>
        <w:t>Introduction</w:t>
      </w:r>
    </w:p>
    <w:p w14:paraId="61E431F6" w14:textId="390F4F67" w:rsidR="005921B4" w:rsidRPr="005921B4" w:rsidRDefault="005921B4" w:rsidP="005D6C6A">
      <w:pPr>
        <w:jc w:val="both"/>
      </w:pPr>
      <w:r w:rsidRPr="005921B4">
        <w:t xml:space="preserve">The State of Kuwait ratified the International Convention on the Elimination of All Forms of Racial Discrimination </w:t>
      </w:r>
      <w:r w:rsidR="005D6C6A" w:rsidRPr="005D6C6A">
        <w:t>(</w:t>
      </w:r>
      <w:proofErr w:type="spellStart"/>
      <w:r w:rsidR="005D6C6A" w:rsidRPr="005D6C6A">
        <w:t>ICERD</w:t>
      </w:r>
      <w:proofErr w:type="spellEnd"/>
      <w:r w:rsidR="005D6C6A" w:rsidRPr="005D6C6A">
        <w:t>)</w:t>
      </w:r>
      <w:r w:rsidR="005D6C6A">
        <w:t xml:space="preserve"> </w:t>
      </w:r>
      <w:r w:rsidRPr="005921B4">
        <w:t xml:space="preserve">in December 1968. Accordingly, Kuwait is bound to take all legislative and policy measures to give effect to the provisions of the Convention. In practice, Kuwait has taken commendable legal steps to align its domestic legislation with the </w:t>
      </w:r>
      <w:proofErr w:type="spellStart"/>
      <w:r w:rsidR="005D6C6A" w:rsidRPr="005D6C6A">
        <w:t>ICERD</w:t>
      </w:r>
      <w:proofErr w:type="spellEnd"/>
      <w:r w:rsidRPr="005921B4">
        <w:t xml:space="preserve">. Current Kuwaiti law includes many provisions that prohibit all forms of racial discrimination and </w:t>
      </w:r>
      <w:r w:rsidR="002146C6">
        <w:t>provide</w:t>
      </w:r>
      <w:r w:rsidRPr="005921B4">
        <w:t xml:space="preserve"> a meaningful basis for ensuring that all individuals enjoy all fundamental human rights without discrimination.</w:t>
      </w:r>
    </w:p>
    <w:p w14:paraId="0A5D875B" w14:textId="535B6F2B" w:rsidR="005921B4" w:rsidRPr="005921B4" w:rsidRDefault="005921B4" w:rsidP="005921B4">
      <w:pPr>
        <w:jc w:val="both"/>
      </w:pPr>
      <w:r w:rsidRPr="005921B4">
        <w:t xml:space="preserve">However, Partners for Transparency </w:t>
      </w:r>
      <w:r w:rsidR="002146C6">
        <w:t>(</w:t>
      </w:r>
      <w:r w:rsidR="002146C6">
        <w:t>Partners</w:t>
      </w:r>
      <w:r w:rsidR="002146C6">
        <w:t xml:space="preserve">) </w:t>
      </w:r>
      <w:r w:rsidRPr="005921B4">
        <w:t>has observed that a broad spectrum of individuals in the State of Kuwait</w:t>
      </w:r>
      <w:r w:rsidR="002146C6">
        <w:t xml:space="preserve">, </w:t>
      </w:r>
      <w:r w:rsidRPr="005921B4">
        <w:t>including migrant workers, stateless persons (“</w:t>
      </w:r>
      <w:r w:rsidR="00F4457C" w:rsidRPr="00F4457C">
        <w:t>Bedoon</w:t>
      </w:r>
      <w:r w:rsidRPr="005921B4">
        <w:t>”), migrants, and other racial minority communities</w:t>
      </w:r>
      <w:r w:rsidR="002146C6">
        <w:t xml:space="preserve">, </w:t>
      </w:r>
      <w:r w:rsidRPr="005921B4">
        <w:t>continue to face various forms of discrimination and inequality in enjoying all fundamental human rights. They are also subjected to serious violations across the full range of civil and political, as well as economic, social</w:t>
      </w:r>
      <w:r w:rsidR="002146C6">
        <w:t>,</w:t>
      </w:r>
      <w:r w:rsidRPr="005921B4">
        <w:t xml:space="preserve"> and cultural rights.</w:t>
      </w:r>
    </w:p>
    <w:p w14:paraId="47F4DAE5" w14:textId="319BE83E" w:rsidR="005921B4" w:rsidRPr="005921B4" w:rsidRDefault="005921B4" w:rsidP="00EA4005">
      <w:pPr>
        <w:jc w:val="both"/>
      </w:pPr>
      <w:r w:rsidRPr="005921B4">
        <w:t xml:space="preserve">In light of the above, </w:t>
      </w:r>
      <w:r w:rsidR="003D7609">
        <w:t>Partners</w:t>
      </w:r>
      <w:r w:rsidRPr="005921B4">
        <w:t xml:space="preserve">, in this report, </w:t>
      </w:r>
      <w:r w:rsidR="002146C6">
        <w:t>present</w:t>
      </w:r>
      <w:r w:rsidRPr="005921B4">
        <w:t xml:space="preserve"> an overview and detailed observations on the extent of Kuwait’s compliance with the provisions of the </w:t>
      </w:r>
      <w:proofErr w:type="spellStart"/>
      <w:r w:rsidR="00EA4005" w:rsidRPr="00EA4005">
        <w:t>ICERD</w:t>
      </w:r>
      <w:proofErr w:type="spellEnd"/>
      <w:r w:rsidR="00EA4005">
        <w:t xml:space="preserve"> </w:t>
      </w:r>
      <w:r w:rsidRPr="005921B4">
        <w:t xml:space="preserve">in connection with Kuwait’s review before the Committee on the Elimination of Racial Discrimination in its 118th session. The report focuses on the most important articles of the Convention that raise specific human-rights concerns for </w:t>
      </w:r>
      <w:r w:rsidR="002146C6">
        <w:t>Partners</w:t>
      </w:r>
      <w:r w:rsidRPr="005921B4">
        <w:t>, as set out in greater detail below.</w:t>
      </w:r>
    </w:p>
    <w:p w14:paraId="177E6127" w14:textId="0B4E210C" w:rsidR="005921B4" w:rsidRPr="005921B4" w:rsidRDefault="005921B4" w:rsidP="006C6CB8">
      <w:pPr>
        <w:shd w:val="clear" w:color="auto" w:fill="00B0F0"/>
        <w:jc w:val="both"/>
        <w:rPr>
          <w:b/>
          <w:bCs/>
        </w:rPr>
      </w:pPr>
      <w:r w:rsidRPr="005921B4">
        <w:rPr>
          <w:b/>
          <w:bCs/>
        </w:rPr>
        <w:t xml:space="preserve">Racial </w:t>
      </w:r>
      <w:r w:rsidR="006C6CB8" w:rsidRPr="005921B4">
        <w:rPr>
          <w:b/>
          <w:bCs/>
        </w:rPr>
        <w:t xml:space="preserve">Discrimination </w:t>
      </w:r>
      <w:r w:rsidRPr="005921B4">
        <w:rPr>
          <w:b/>
          <w:bCs/>
        </w:rPr>
        <w:t xml:space="preserve">against </w:t>
      </w:r>
      <w:r w:rsidR="006C6CB8" w:rsidRPr="005921B4">
        <w:rPr>
          <w:b/>
          <w:bCs/>
        </w:rPr>
        <w:t xml:space="preserve">Migrant Workers </w:t>
      </w:r>
      <w:r w:rsidRPr="005921B4">
        <w:rPr>
          <w:b/>
          <w:bCs/>
        </w:rPr>
        <w:t xml:space="preserve">in the </w:t>
      </w:r>
      <w:r w:rsidR="006C6CB8" w:rsidRPr="005921B4">
        <w:rPr>
          <w:b/>
          <w:bCs/>
        </w:rPr>
        <w:t xml:space="preserve">Enjoyment </w:t>
      </w:r>
      <w:r w:rsidRPr="005921B4">
        <w:rPr>
          <w:b/>
          <w:bCs/>
        </w:rPr>
        <w:t xml:space="preserve">of </w:t>
      </w:r>
      <w:r w:rsidR="006C6CB8" w:rsidRPr="005921B4">
        <w:rPr>
          <w:b/>
          <w:bCs/>
        </w:rPr>
        <w:t>Economic Rights</w:t>
      </w:r>
      <w:r w:rsidRPr="005921B4">
        <w:rPr>
          <w:b/>
          <w:bCs/>
        </w:rPr>
        <w:t xml:space="preserve">, the </w:t>
      </w:r>
      <w:r w:rsidR="006C6CB8" w:rsidRPr="005921B4">
        <w:rPr>
          <w:b/>
          <w:bCs/>
        </w:rPr>
        <w:t xml:space="preserve">Right </w:t>
      </w:r>
      <w:r w:rsidRPr="005921B4">
        <w:rPr>
          <w:b/>
          <w:bCs/>
        </w:rPr>
        <w:t xml:space="preserve">to </w:t>
      </w:r>
      <w:r w:rsidR="006C6CB8" w:rsidRPr="005921B4">
        <w:rPr>
          <w:b/>
          <w:bCs/>
        </w:rPr>
        <w:t xml:space="preserve">Freedom </w:t>
      </w:r>
      <w:r w:rsidRPr="005921B4">
        <w:rPr>
          <w:b/>
          <w:bCs/>
        </w:rPr>
        <w:t xml:space="preserve">of </w:t>
      </w:r>
      <w:r w:rsidR="006C6CB8" w:rsidRPr="005921B4">
        <w:rPr>
          <w:b/>
          <w:bCs/>
        </w:rPr>
        <w:t>Movement</w:t>
      </w:r>
      <w:r w:rsidRPr="005921B4">
        <w:rPr>
          <w:b/>
          <w:bCs/>
        </w:rPr>
        <w:t xml:space="preserve">, and </w:t>
      </w:r>
      <w:r w:rsidR="006C6CB8" w:rsidRPr="005921B4">
        <w:rPr>
          <w:b/>
          <w:bCs/>
        </w:rPr>
        <w:t>Personal Security</w:t>
      </w:r>
    </w:p>
    <w:p w14:paraId="6661E677" w14:textId="193CA03A" w:rsidR="005921B4" w:rsidRPr="005921B4" w:rsidRDefault="005921B4" w:rsidP="00EA4005">
      <w:pPr>
        <w:jc w:val="both"/>
      </w:pPr>
      <w:r w:rsidRPr="005921B4">
        <w:t xml:space="preserve">Article (5)(e) of the </w:t>
      </w:r>
      <w:proofErr w:type="spellStart"/>
      <w:r w:rsidR="00EA4005" w:rsidRPr="00EA4005">
        <w:t>ICERD</w:t>
      </w:r>
      <w:proofErr w:type="spellEnd"/>
      <w:r w:rsidRPr="005921B4">
        <w:t xml:space="preserve"> requires States Parties to guarantee, without distinction of race, colour, or national or ethnic origin, the enjoyment by everyone of economic, social and cultural rights, including the right to work, health, housing and social security. Article (5)(b) further requires States Parties to ensure the right of every person, without </w:t>
      </w:r>
      <w:r w:rsidRPr="005921B4">
        <w:lastRenderedPageBreak/>
        <w:t>discrimination, to personal security and to protection by the State against violence or bodily harm.</w:t>
      </w:r>
    </w:p>
    <w:p w14:paraId="54D34024" w14:textId="30E6D7B8" w:rsidR="005921B4" w:rsidRPr="005921B4" w:rsidRDefault="005921B4" w:rsidP="00EA4005">
      <w:pPr>
        <w:jc w:val="both"/>
      </w:pPr>
      <w:r w:rsidRPr="005921B4">
        <w:t xml:space="preserve">Although Kuwait is obligated under these two provisions to ensure that all individuals enjoy economic, social and cultural rights and the right to personal security without discrimination, </w:t>
      </w:r>
      <w:r w:rsidR="002146C6">
        <w:t xml:space="preserve">Partners </w:t>
      </w:r>
      <w:r w:rsidRPr="005921B4">
        <w:t>has noted that migrant workers</w:t>
      </w:r>
      <w:r w:rsidR="008810BF">
        <w:t xml:space="preserve">, </w:t>
      </w:r>
      <w:r w:rsidRPr="005921B4">
        <w:t>particularly domestic workers from South and South-East Asia</w:t>
      </w:r>
      <w:r w:rsidR="008810BF">
        <w:t xml:space="preserve">, </w:t>
      </w:r>
      <w:r w:rsidRPr="005921B4">
        <w:t xml:space="preserve">continue to experience multiple forms of discrimination, exploitation, and abuse that are closely linked to their national and ethnic origin and to their legal status as migrants. This adversely affects their enjoyment of the fundamental rights guaranteed under the </w:t>
      </w:r>
      <w:proofErr w:type="spellStart"/>
      <w:r w:rsidR="00EA4005" w:rsidRPr="00EA4005">
        <w:t>ICERD</w:t>
      </w:r>
      <w:proofErr w:type="spellEnd"/>
      <w:r w:rsidRPr="005921B4">
        <w:t>.</w:t>
      </w:r>
    </w:p>
    <w:p w14:paraId="777ABF85" w14:textId="2EC6991E" w:rsidR="005921B4" w:rsidRPr="005921B4" w:rsidRDefault="005921B4" w:rsidP="00C2540D">
      <w:pPr>
        <w:jc w:val="both"/>
      </w:pPr>
      <w:r w:rsidRPr="005921B4">
        <w:t xml:space="preserve">In this regard, domestic workers are among the groups most vulnerable to violations and discrimination in Kuwait. Large numbers of them work in conditions that are akin to forced labour under the </w:t>
      </w:r>
      <w:r w:rsidRPr="005921B4">
        <w:rPr>
          <w:i/>
          <w:iCs/>
        </w:rPr>
        <w:t>kafala</w:t>
      </w:r>
      <w:r w:rsidRPr="005921B4">
        <w:t xml:space="preserve"> (sponsorship) system. They face multiple abuses, including: confinement inside their employers’ homes; denial of wages or deductions from wages; working extremely long hours without adequate rest periods; and exposure to physical and sexual assaults. Domestic workers also encounter major obstacles in accessing appropriate psychological support and healthcare, despite the prevalence of depression, anxiety</w:t>
      </w:r>
      <w:r w:rsidR="008810BF">
        <w:t>,</w:t>
      </w:r>
      <w:r w:rsidRPr="005921B4">
        <w:t xml:space="preserve"> and psychological trauma among them, in a context characterized by the near-total absence of effective mechanisms for remedy and legal protection.</w:t>
      </w:r>
      <w:r w:rsidR="00C2540D">
        <w:t xml:space="preserve"> </w:t>
      </w:r>
      <w:r w:rsidRPr="005921B4">
        <w:t>In this context, data indicate that the Nepalese Embassy in Kuwait receives more than 30 cases per week of exploitation and abuse committed against domestic workers. In addition, 81% of the domestic workers who were admitted to Kuwait’s main psychiatric hospital were returned to their countries of origin or deported before their employment contracts had ended. This points to the precarious nature of their situation and their effective deprivation of equal access to protection and appropriate healthcare.</w:t>
      </w:r>
      <w:r w:rsidR="00C2540D">
        <w:rPr>
          <w:rStyle w:val="FootnoteReference"/>
        </w:rPr>
        <w:footnoteReference w:id="1"/>
      </w:r>
    </w:p>
    <w:p w14:paraId="165FD55E" w14:textId="74C45D5C" w:rsidR="005921B4" w:rsidRPr="005921B4" w:rsidRDefault="005921B4" w:rsidP="005921B4">
      <w:pPr>
        <w:jc w:val="both"/>
      </w:pPr>
      <w:r w:rsidRPr="005921B4">
        <w:t>Despite the Kuwaiti authorities taking, over the past few years, certain commendable steps to improve the situation of domestic workers</w:t>
      </w:r>
      <w:r w:rsidR="008810BF">
        <w:t xml:space="preserve">, </w:t>
      </w:r>
      <w:r w:rsidRPr="005921B4">
        <w:t>including issuing Ministerial Decision No. 22 of 2022 concerning the implementing regulations of Law No. 68 of 2015 on domestic workers, which sets out the rights and duties of the domestic worker and the employer, wages, working hours, annual leave, and procedures for transferring a worker from one employer to another</w:t>
      </w:r>
      <w:r w:rsidR="008810BF">
        <w:t xml:space="preserve">, </w:t>
      </w:r>
      <w:r w:rsidRPr="005921B4">
        <w:t xml:space="preserve">migrant workers in Kuwait remain broadly vulnerable to exploitation and violations. This is due to the continued kafala (sponsorship) system, which links a worker’s residence to their employer and restricts the worker’s ability to change jobs or leave the country without prior permission. This, in practice, entrenches </w:t>
      </w:r>
      <w:r w:rsidRPr="005921B4">
        <w:lastRenderedPageBreak/>
        <w:t>an inherently unequal relationship that is based primarily on the workers’ national and ethnic origin.</w:t>
      </w:r>
      <w:r w:rsidR="00C2540D">
        <w:rPr>
          <w:rStyle w:val="FootnoteReference"/>
        </w:rPr>
        <w:footnoteReference w:id="2"/>
      </w:r>
    </w:p>
    <w:p w14:paraId="758945E5" w14:textId="61D14656" w:rsidR="005921B4" w:rsidRPr="005921B4" w:rsidRDefault="005921B4" w:rsidP="005921B4">
      <w:pPr>
        <w:jc w:val="both"/>
      </w:pPr>
      <w:r w:rsidRPr="005921B4">
        <w:t xml:space="preserve">In this context, </w:t>
      </w:r>
      <w:r w:rsidR="003D7609">
        <w:t xml:space="preserve">Partners </w:t>
      </w:r>
      <w:r w:rsidRPr="005921B4">
        <w:t>has been following with concern the exposure of migrants</w:t>
      </w:r>
      <w:r w:rsidR="008810BF">
        <w:t xml:space="preserve">, </w:t>
      </w:r>
      <w:r w:rsidRPr="005921B4">
        <w:t>particularly those working in the construction and sanitation sectors</w:t>
      </w:r>
      <w:r w:rsidR="008810BF">
        <w:t xml:space="preserve">, </w:t>
      </w:r>
      <w:r w:rsidRPr="005921B4">
        <w:t>to forced labour, non-payment of wages, long working hours, and restrictions on movement through the confiscation of passports or detention within workplaces. Domestic female workers continue to face persistent physical, sexual, and gender-based violence. In January 2025, a Kuwaiti citizen turned himself in to the police after confessing to killing a Filipino domestic worker and burying her body in the garden of his home in the Al-Jahra area. Investigations indicated that he assaulted her violently during an argument, then hid the body for two months before admitting the crime.</w:t>
      </w:r>
      <w:r w:rsidR="00C2540D">
        <w:rPr>
          <w:rStyle w:val="FootnoteReference"/>
        </w:rPr>
        <w:footnoteReference w:id="3"/>
      </w:r>
      <w:r w:rsidRPr="005921B4">
        <w:t xml:space="preserve"> In April 2026, </w:t>
      </w:r>
      <w:r w:rsidR="003D7609">
        <w:t xml:space="preserve">Partners </w:t>
      </w:r>
      <w:r w:rsidRPr="005921B4">
        <w:t>further monitored the Court of Appeal’s decision to uphold a 14-year prison sentence against a Kuwaiti citizen following his conviction for killing an Asian domestic worker and burying her body in the garden of his home in the Saad Al-Abdullah area. This reflects the seriousness of grave violations to which domestic workers in Kuwait continue to be subjected, in light of weak legal protections and ineffective accountability mechanisms.</w:t>
      </w:r>
      <w:r w:rsidR="00C2540D">
        <w:rPr>
          <w:rStyle w:val="FootnoteReference"/>
        </w:rPr>
        <w:footnoteReference w:id="4"/>
      </w:r>
    </w:p>
    <w:p w14:paraId="2E4B5EB9" w14:textId="0AD04185" w:rsidR="005921B4" w:rsidRPr="005921B4" w:rsidRDefault="005921B4" w:rsidP="005921B4">
      <w:pPr>
        <w:jc w:val="both"/>
      </w:pPr>
      <w:r w:rsidRPr="005921B4">
        <w:t>Moreover, legislation and policies related to the residence and mobility of migrants in Kuwait still include discriminatory restrictions that, in practice, increase their precarity and expose them to exploitation. In January 2025, Foreigners’ Residence Law No. 114 of 2024 entered into force—a decree-law governing migrants’ entry and residence. It grants employers and authorities wide powers that increase migrants’ dependency and expose them to abuses. Article 19 of the law prohibits migrants from working for any entity other than their original employer without obtaining permission from that employer or a license from the Ministry of Interior. Meanwhile, Article 20 grants the Ministry of Interior broad powers to deport migrants based on loosely defined justifications such as “public interest,” “public security,” or “public morals,” without judicial oversight or an effective guarantee of the right to challenge and appeal. This opens the door to arbitrary deportations of migrants based on their national and ethnic status.</w:t>
      </w:r>
      <w:r w:rsidR="00C2540D">
        <w:rPr>
          <w:rStyle w:val="FootnoteReference"/>
        </w:rPr>
        <w:footnoteReference w:id="5"/>
      </w:r>
    </w:p>
    <w:p w14:paraId="1C7DB4DA" w14:textId="5FB15984" w:rsidR="005921B4" w:rsidRPr="005921B4" w:rsidRDefault="003D7609" w:rsidP="00EA4005">
      <w:pPr>
        <w:jc w:val="both"/>
      </w:pPr>
      <w:r>
        <w:lastRenderedPageBreak/>
        <w:t>Partners</w:t>
      </w:r>
      <w:r w:rsidR="005921B4" w:rsidRPr="005921B4">
        <w:t xml:space="preserve"> has also followed with concern the forced deportation of approximately 40,000 migrants from Kuwait during 2025, as part of broad security campaigns targeting migrants based on their national origin. Thousands of migrants were arrested and deported either through judicial procedures or administrative orders issued by the Ministry of Interior.</w:t>
      </w:r>
      <w:r w:rsidR="009B219B">
        <w:rPr>
          <w:rStyle w:val="FootnoteReference"/>
        </w:rPr>
        <w:footnoteReference w:id="6"/>
      </w:r>
      <w:r w:rsidR="005921B4" w:rsidRPr="005921B4">
        <w:t xml:space="preserve"> Two-thirds of Kuwait’s population</w:t>
      </w:r>
      <w:r w:rsidR="008810BF">
        <w:t xml:space="preserve">, </w:t>
      </w:r>
      <w:r w:rsidR="005921B4" w:rsidRPr="005921B4">
        <w:t>migrant workers</w:t>
      </w:r>
      <w:r w:rsidR="008810BF">
        <w:t xml:space="preserve">, </w:t>
      </w:r>
      <w:r w:rsidR="005921B4" w:rsidRPr="005921B4">
        <w:t xml:space="preserve">remain vulnerable to multiple violations due to the kafala system, which links a worker’s legal residence to their employer and restricts their freedom of movement and employment. Domestic female workers, in particular, face additional forms of abuse, including forced confinement, verbal, physical, and sexual mistreatment. This reflects Kuwait’s failure to ensure that migrant workers and domestic workers enjoy economic, social, and cultural rights and the right to personal security on an equal basis, without discrimination based on national or ethnic origin. This contravenes the obligations incumbent upon the State of Kuwait under Articles (5)(e) and (5)(d) of the </w:t>
      </w:r>
      <w:proofErr w:type="spellStart"/>
      <w:r w:rsidR="00EA4005" w:rsidRPr="00EA4005">
        <w:t>ICERD</w:t>
      </w:r>
      <w:proofErr w:type="spellEnd"/>
      <w:r w:rsidR="005921B4" w:rsidRPr="005921B4">
        <w:t>.</w:t>
      </w:r>
    </w:p>
    <w:p w14:paraId="2AB00408" w14:textId="77777777" w:rsidR="005921B4" w:rsidRPr="005921B4" w:rsidRDefault="005921B4" w:rsidP="006C6CB8">
      <w:pPr>
        <w:shd w:val="clear" w:color="auto" w:fill="00B0F0"/>
        <w:jc w:val="both"/>
      </w:pPr>
      <w:r w:rsidRPr="005921B4">
        <w:rPr>
          <w:b/>
          <w:bCs/>
        </w:rPr>
        <w:t>Racial Discrimination Against the Bedoon Group in the Enjoyment of Economic and Cultural Rights and the Right to Citizenship</w:t>
      </w:r>
    </w:p>
    <w:p w14:paraId="3D976A58" w14:textId="2B4388E1" w:rsidR="005921B4" w:rsidRPr="005921B4" w:rsidRDefault="005921B4" w:rsidP="00EA4005">
      <w:pPr>
        <w:jc w:val="both"/>
      </w:pPr>
      <w:r w:rsidRPr="005921B4">
        <w:t xml:space="preserve">Article (5)(d) of the </w:t>
      </w:r>
      <w:proofErr w:type="spellStart"/>
      <w:r w:rsidR="00EA4005" w:rsidRPr="00EA4005">
        <w:t>ICERD</w:t>
      </w:r>
      <w:proofErr w:type="spellEnd"/>
      <w:r w:rsidRPr="005921B4">
        <w:t xml:space="preserve"> requires States Parties to ensure that everyone enjoys civil rights, without discrimination </w:t>
      </w:r>
      <w:r w:rsidR="008810BF">
        <w:t>based on</w:t>
      </w:r>
      <w:r w:rsidRPr="005921B4">
        <w:t xml:space="preserve"> race, </w:t>
      </w:r>
      <w:proofErr w:type="spellStart"/>
      <w:r w:rsidRPr="005921B4">
        <w:t>color</w:t>
      </w:r>
      <w:proofErr w:type="spellEnd"/>
      <w:r w:rsidRPr="005921B4">
        <w:t>, national origin, or ethnic origin, including the right to nationality, as well as freedom of movement and residence. Article (5)(e) further requires States Parties to ensure that all individuals enjoy economic, social, and cultural rights without discrimination, including the right to work, education, healthcare, housing, and social security.</w:t>
      </w:r>
    </w:p>
    <w:p w14:paraId="74D777B9" w14:textId="0E65E25A" w:rsidR="005921B4" w:rsidRPr="005921B4" w:rsidRDefault="005921B4" w:rsidP="005921B4">
      <w:pPr>
        <w:jc w:val="both"/>
      </w:pPr>
      <w:r w:rsidRPr="005921B4">
        <w:t xml:space="preserve">Although the State of Kuwait is bound by these two provisions to guarantee that all individuals enjoy civil, economic, social, and cultural rights without discrimination, </w:t>
      </w:r>
      <w:r w:rsidR="003D7609">
        <w:t xml:space="preserve">Partners </w:t>
      </w:r>
      <w:r w:rsidRPr="005921B4">
        <w:t>has observed that persons belonging to the Bedoon communities continue to face unjust discrimination in accessing fundamental civil rights</w:t>
      </w:r>
      <w:r w:rsidR="008810BF">
        <w:t xml:space="preserve">, </w:t>
      </w:r>
      <w:r w:rsidRPr="005921B4">
        <w:t>particularly the right to nationality and freedom of movement and mobility. They also experience discrimination in relation to economic and social rights, including access to education and housing.</w:t>
      </w:r>
    </w:p>
    <w:p w14:paraId="0918F889" w14:textId="70EFB182" w:rsidR="005921B4" w:rsidRPr="005921B4" w:rsidRDefault="005921B4" w:rsidP="005921B4">
      <w:pPr>
        <w:jc w:val="both"/>
      </w:pPr>
      <w:r w:rsidRPr="005921B4">
        <w:t>In this regard, at least 85,000 Bedoon individuals in Kuwait face precarious legal and living conditions as a result of the continued denial of Kuwaiti nationality and the absence of full legal recognition of their status.</w:t>
      </w:r>
      <w:r w:rsidR="009B219B">
        <w:rPr>
          <w:rStyle w:val="FootnoteReference"/>
        </w:rPr>
        <w:footnoteReference w:id="7"/>
      </w:r>
      <w:r w:rsidRPr="005921B4">
        <w:t xml:space="preserve"> This directly affects their ability to access rights and essential services on an equal basis with Kuwaiti citizens. During 2024 and 2025, Kuwaiti authorities revoked the nationality of nearly 50,000 persons without judicial oversight or </w:t>
      </w:r>
      <w:r w:rsidRPr="005921B4">
        <w:lastRenderedPageBreak/>
        <w:t>public consultation, and without enabling those affected to challenge those decisions or appeal them before the courts.</w:t>
      </w:r>
      <w:r w:rsidR="00FD3293">
        <w:rPr>
          <w:rStyle w:val="FootnoteReference"/>
        </w:rPr>
        <w:footnoteReference w:id="8"/>
      </w:r>
    </w:p>
    <w:p w14:paraId="1E034ADB" w14:textId="18E214CE" w:rsidR="005921B4" w:rsidRPr="005921B4" w:rsidRDefault="005921B4" w:rsidP="005921B4">
      <w:pPr>
        <w:jc w:val="both"/>
      </w:pPr>
      <w:r w:rsidRPr="005921B4">
        <w:t xml:space="preserve">In addition, </w:t>
      </w:r>
      <w:r w:rsidR="003D7609">
        <w:t xml:space="preserve">Partners </w:t>
      </w:r>
      <w:r w:rsidRPr="005921B4">
        <w:t xml:space="preserve">documented several measures taken by Kuwaiti authorities that have served to further tighten restrictions on the Bedoon community and deepen discrimination against them. In this context, the Kuwaiti Ministry of Interior suspended the use of passport No. (17) issued to Bedoon persons residing illegally, </w:t>
      </w:r>
      <w:r w:rsidR="003D7609">
        <w:t>except for</w:t>
      </w:r>
      <w:r w:rsidRPr="005921B4">
        <w:t xml:space="preserve"> a limited number of humanitarian cases</w:t>
      </w:r>
      <w:r w:rsidR="003D7609">
        <w:t>,</w:t>
      </w:r>
      <w:r w:rsidRPr="005921B4">
        <w:t xml:space="preserve"> such as treatment or study. It also withdrew the passports held by Bedoon individuals even when they were still valid. This has increased restrictions on their freedom of movement and intensified their sense of inequality and discrimination. Moreover, the authorities transferred the residents of the areas of </w:t>
      </w:r>
      <w:proofErr w:type="spellStart"/>
      <w:r w:rsidRPr="005921B4">
        <w:t>Tima</w:t>
      </w:r>
      <w:proofErr w:type="spellEnd"/>
      <w:r w:rsidRPr="005921B4">
        <w:t>’ and Al-</w:t>
      </w:r>
      <w:proofErr w:type="spellStart"/>
      <w:r w:rsidRPr="005921B4">
        <w:t>Sulaybiyya</w:t>
      </w:r>
      <w:proofErr w:type="spellEnd"/>
      <w:r w:rsidRPr="005921B4">
        <w:t xml:space="preserve"> in Al-Jahra Governorate</w:t>
      </w:r>
      <w:r w:rsidR="003D7609">
        <w:t xml:space="preserve">, </w:t>
      </w:r>
      <w:r w:rsidRPr="005921B4">
        <w:t>where a significant number of Bedoon have lived for decades</w:t>
      </w:r>
      <w:r w:rsidR="008810BF">
        <w:t xml:space="preserve">, </w:t>
      </w:r>
      <w:r w:rsidRPr="005921B4">
        <w:t>an action that constitutes a clear violation of their right to adequate housing and to family and living stability.</w:t>
      </w:r>
      <w:r w:rsidR="00FD3293">
        <w:rPr>
          <w:rStyle w:val="FootnoteReference"/>
        </w:rPr>
        <w:footnoteReference w:id="9"/>
      </w:r>
    </w:p>
    <w:p w14:paraId="7F5B780A" w14:textId="20EA8734" w:rsidR="005921B4" w:rsidRPr="005921B4" w:rsidRDefault="005921B4" w:rsidP="005921B4">
      <w:pPr>
        <w:jc w:val="both"/>
      </w:pPr>
      <w:r w:rsidRPr="005921B4">
        <w:t xml:space="preserve">The Bedoon community also continues to face restrictions and clear discrimination in access to education. </w:t>
      </w:r>
      <w:r w:rsidR="003D7609">
        <w:t xml:space="preserve">Partners </w:t>
      </w:r>
      <w:r w:rsidRPr="005921B4">
        <w:t xml:space="preserve">followed the continued intransigence of Kuwaiti authorities in registering Bedoon children in public schools on an equal basis with Kuwaiti citizens. </w:t>
      </w:r>
      <w:r w:rsidR="003D7609">
        <w:t xml:space="preserve">Partners </w:t>
      </w:r>
      <w:r w:rsidRPr="005921B4">
        <w:t xml:space="preserve">also documented the imposition of 22 conditions for registering Bedoon students in public schools, which constitutes a clear violation of the right to education. </w:t>
      </w:r>
      <w:r w:rsidR="003D7609">
        <w:t xml:space="preserve">Partners </w:t>
      </w:r>
      <w:r w:rsidRPr="005921B4">
        <w:t>further notes that a circular issued by the Kuwaiti Minister of Education in September 2024</w:t>
      </w:r>
      <w:r w:rsidR="003D7609">
        <w:t xml:space="preserve">, </w:t>
      </w:r>
      <w:r w:rsidRPr="005921B4">
        <w:t>requiring Bedoon students’ admission to be contingent upon the possession of a valid card issued by the Central Apparatus</w:t>
      </w:r>
      <w:r w:rsidR="003D7609">
        <w:t xml:space="preserve">, </w:t>
      </w:r>
      <w:r w:rsidRPr="005921B4">
        <w:t>has exacerbated the hardship faced by Bedoon children and resulted in large numbers of them being denied access to education. This threatens to increase rates of illiteracy and social marginalization within this community.</w:t>
      </w:r>
      <w:r w:rsidR="00FD3293">
        <w:rPr>
          <w:rStyle w:val="FootnoteReference"/>
        </w:rPr>
        <w:footnoteReference w:id="10"/>
      </w:r>
    </w:p>
    <w:p w14:paraId="73191895" w14:textId="2A14AA81" w:rsidR="005921B4" w:rsidRPr="005921B4" w:rsidRDefault="005921B4" w:rsidP="00EA4005">
      <w:pPr>
        <w:jc w:val="both"/>
      </w:pPr>
      <w:r w:rsidRPr="005921B4">
        <w:t xml:space="preserve">The continued denial of nationality to the Bedoon, the imposition of restrictions on their freedom of movement, and discrimination against them in access to housing, education, and essential services reflect the failure of Kuwaiti authorities to ensure that the Bedoon community enjoys civil, economic, social, and cultural rights on an equal basis and without discrimination based on national or ethnic origin, contrary to Kuwait’s obligations under Articles (5)(d) and (5)(e) of the </w:t>
      </w:r>
      <w:proofErr w:type="spellStart"/>
      <w:r w:rsidR="00EA4005" w:rsidRPr="00EA4005">
        <w:t>ICERD</w:t>
      </w:r>
      <w:proofErr w:type="spellEnd"/>
      <w:r w:rsidRPr="005921B4">
        <w:t>.</w:t>
      </w:r>
    </w:p>
    <w:p w14:paraId="232DB744" w14:textId="77777777" w:rsidR="005921B4" w:rsidRPr="005921B4" w:rsidRDefault="005921B4" w:rsidP="006C6CB8">
      <w:pPr>
        <w:shd w:val="clear" w:color="auto" w:fill="00B0F0"/>
        <w:jc w:val="both"/>
        <w:rPr>
          <w:b/>
          <w:bCs/>
        </w:rPr>
      </w:pPr>
      <w:r w:rsidRPr="005921B4">
        <w:rPr>
          <w:b/>
          <w:bCs/>
        </w:rPr>
        <w:lastRenderedPageBreak/>
        <w:t>Recommendations</w:t>
      </w:r>
    </w:p>
    <w:p w14:paraId="2BDC5F41" w14:textId="161D6824" w:rsidR="005921B4" w:rsidRPr="005921B4" w:rsidRDefault="005921B4" w:rsidP="005921B4">
      <w:pPr>
        <w:jc w:val="both"/>
      </w:pPr>
      <w:r w:rsidRPr="005921B4">
        <w:t xml:space="preserve">In light of the foregoing, </w:t>
      </w:r>
      <w:r w:rsidR="003D7609">
        <w:t xml:space="preserve">Partners </w:t>
      </w:r>
      <w:r w:rsidRPr="005921B4">
        <w:t>submits the following recommendations to the Kuwaiti Government:</w:t>
      </w:r>
    </w:p>
    <w:p w14:paraId="403F1941" w14:textId="77777777" w:rsidR="005921B4" w:rsidRPr="005921B4" w:rsidRDefault="005921B4" w:rsidP="005921B4">
      <w:pPr>
        <w:numPr>
          <w:ilvl w:val="0"/>
          <w:numId w:val="1"/>
        </w:numPr>
        <w:tabs>
          <w:tab w:val="clear" w:pos="360"/>
          <w:tab w:val="num" w:pos="720"/>
        </w:tabs>
        <w:jc w:val="both"/>
      </w:pPr>
      <w:r w:rsidRPr="005921B4">
        <w:t>Take serious and immediate steps to remedy the situation of the Bedoon by establishing a clear and fair legal pathway to resolve their status and grant them Kuwaiti citizenship, and by ensuring their full enjoyment of civil, economic, social, and cultural rights without discrimination.</w:t>
      </w:r>
    </w:p>
    <w:p w14:paraId="4FB8A7E2" w14:textId="77777777" w:rsidR="005921B4" w:rsidRPr="005921B4" w:rsidRDefault="005921B4" w:rsidP="005921B4">
      <w:pPr>
        <w:numPr>
          <w:ilvl w:val="0"/>
          <w:numId w:val="1"/>
        </w:numPr>
        <w:tabs>
          <w:tab w:val="clear" w:pos="360"/>
          <w:tab w:val="num" w:pos="720"/>
        </w:tabs>
        <w:jc w:val="both"/>
      </w:pPr>
      <w:r w:rsidRPr="005921B4">
        <w:t>Repeal restrictions on the Bedoon’s freedom of movement and ensure their right to travel and relocate without discrimination.</w:t>
      </w:r>
    </w:p>
    <w:p w14:paraId="7A0D57B3" w14:textId="4A5D222E" w:rsidR="005921B4" w:rsidRPr="005921B4" w:rsidRDefault="005921B4" w:rsidP="005921B4">
      <w:pPr>
        <w:numPr>
          <w:ilvl w:val="0"/>
          <w:numId w:val="1"/>
        </w:numPr>
        <w:tabs>
          <w:tab w:val="clear" w:pos="360"/>
          <w:tab w:val="num" w:pos="720"/>
        </w:tabs>
        <w:jc w:val="both"/>
      </w:pPr>
      <w:r w:rsidRPr="005921B4">
        <w:t xml:space="preserve">Ensure that Bedoon children enjoy the right to education on an equal basis with Kuwaiti citizens, eliminate discriminatory conditions imposed on their </w:t>
      </w:r>
      <w:proofErr w:type="spellStart"/>
      <w:r w:rsidRPr="005921B4">
        <w:t>enrollment</w:t>
      </w:r>
      <w:proofErr w:type="spellEnd"/>
      <w:r w:rsidRPr="005921B4">
        <w:t xml:space="preserve"> in public schools, and ensure that no child is denied access to education </w:t>
      </w:r>
      <w:r w:rsidR="003D7609">
        <w:t>based on</w:t>
      </w:r>
      <w:r w:rsidRPr="005921B4">
        <w:t xml:space="preserve"> their legal status or lack of nationality.</w:t>
      </w:r>
    </w:p>
    <w:p w14:paraId="6CEA5C9E" w14:textId="77777777" w:rsidR="005921B4" w:rsidRPr="005921B4" w:rsidRDefault="005921B4" w:rsidP="005921B4">
      <w:pPr>
        <w:numPr>
          <w:ilvl w:val="0"/>
          <w:numId w:val="1"/>
        </w:numPr>
        <w:tabs>
          <w:tab w:val="clear" w:pos="360"/>
          <w:tab w:val="num" w:pos="720"/>
        </w:tabs>
        <w:jc w:val="both"/>
      </w:pPr>
      <w:r w:rsidRPr="005921B4">
        <w:t>Adopt effective measures to ensure that the Bedoon have access to essential services, including education and housing, without any discrimination based on national origin or legal status.</w:t>
      </w:r>
    </w:p>
    <w:p w14:paraId="75F01D7E" w14:textId="77777777" w:rsidR="005921B4" w:rsidRPr="005921B4" w:rsidRDefault="005921B4" w:rsidP="005921B4">
      <w:pPr>
        <w:numPr>
          <w:ilvl w:val="0"/>
          <w:numId w:val="1"/>
        </w:numPr>
        <w:tabs>
          <w:tab w:val="clear" w:pos="360"/>
          <w:tab w:val="num" w:pos="720"/>
        </w:tabs>
        <w:jc w:val="both"/>
      </w:pPr>
      <w:r w:rsidRPr="005921B4">
        <w:t xml:space="preserve">Improve the situation of migrant workers by abolishing the kafala (sponsorship) system that entrenches discrimination against migrant workers and increases their exposure to exploitation and forced </w:t>
      </w:r>
      <w:proofErr w:type="spellStart"/>
      <w:r w:rsidRPr="005921B4">
        <w:t>labor</w:t>
      </w:r>
      <w:proofErr w:type="spellEnd"/>
      <w:r w:rsidRPr="005921B4">
        <w:t>, and by ensuring freedom of movement and the right to change jobs without the employer’s prior approval.</w:t>
      </w:r>
    </w:p>
    <w:p w14:paraId="17A873F8" w14:textId="77777777" w:rsidR="005921B4" w:rsidRPr="005921B4" w:rsidRDefault="005921B4" w:rsidP="005921B4">
      <w:pPr>
        <w:numPr>
          <w:ilvl w:val="0"/>
          <w:numId w:val="1"/>
        </w:numPr>
        <w:tabs>
          <w:tab w:val="clear" w:pos="360"/>
          <w:tab w:val="num" w:pos="720"/>
        </w:tabs>
        <w:jc w:val="both"/>
      </w:pPr>
      <w:r w:rsidRPr="005921B4">
        <w:t>Review Foreigners’ Residence Law No. 114 of 2024 to limit the broad powers granted to employers and administrative authorities, and to ensure that deportation or administrative detention is not used arbitrarily or in a discriminatory manner against migrants.</w:t>
      </w:r>
    </w:p>
    <w:p w14:paraId="3C86D55C" w14:textId="4134D167" w:rsidR="005921B4" w:rsidRPr="005921B4" w:rsidRDefault="005921B4" w:rsidP="005921B4">
      <w:pPr>
        <w:numPr>
          <w:ilvl w:val="0"/>
          <w:numId w:val="1"/>
        </w:numPr>
        <w:jc w:val="both"/>
      </w:pPr>
      <w:r w:rsidRPr="005921B4">
        <w:t>Stop mass deportation campaigns targeting migrants and ensure respect for their human and legal rights, while providing effective safeguards to prevent arbitrary deportation or discrimination based on national or ethnic origin.</w:t>
      </w:r>
    </w:p>
    <w:sectPr w:rsidR="005921B4" w:rsidRPr="005921B4">
      <w:headerReference w:type="default" r:id="rId7"/>
      <w:footerReference w:type="default" r:id="rId8"/>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29CF45E" w14:textId="77777777" w:rsidR="000E6919" w:rsidRDefault="000E6919" w:rsidP="00F4457C">
      <w:pPr>
        <w:spacing w:after="0" w:line="240" w:lineRule="auto"/>
      </w:pPr>
      <w:r>
        <w:separator/>
      </w:r>
    </w:p>
  </w:endnote>
  <w:endnote w:type="continuationSeparator" w:id="0">
    <w:p w14:paraId="65B0F4D5" w14:textId="77777777" w:rsidR="000E6919" w:rsidRDefault="000E6919" w:rsidP="00F4457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9974" w:type="dxa"/>
      <w:tblInd w:w="106" w:type="dxa"/>
      <w:tblBorders>
        <w:insideV w:val="single" w:sz="12" w:space="0" w:color="000000"/>
      </w:tblBorders>
      <w:tblLook w:val="04A0" w:firstRow="1" w:lastRow="0" w:firstColumn="1" w:lastColumn="0" w:noHBand="0" w:noVBand="1"/>
    </w:tblPr>
    <w:tblGrid>
      <w:gridCol w:w="1842"/>
      <w:gridCol w:w="1843"/>
      <w:gridCol w:w="1843"/>
      <w:gridCol w:w="1843"/>
      <w:gridCol w:w="2603"/>
    </w:tblGrid>
    <w:tr w:rsidR="00FD3293" w:rsidRPr="00FD3293" w14:paraId="68D1A3BC" w14:textId="77777777" w:rsidTr="00FD3293">
      <w:trPr>
        <w:trHeight w:val="510"/>
      </w:trPr>
      <w:tc>
        <w:tcPr>
          <w:tcW w:w="9974" w:type="dxa"/>
          <w:gridSpan w:val="5"/>
          <w:vAlign w:val="center"/>
          <w:hideMark/>
        </w:tcPr>
        <w:p w14:paraId="0C25C135" w14:textId="569EC50E" w:rsidR="00FD3293" w:rsidRPr="00FD3293" w:rsidRDefault="00FD3293" w:rsidP="00FD3293">
          <w:pPr>
            <w:spacing w:after="0" w:line="240" w:lineRule="auto"/>
            <w:jc w:val="both"/>
            <w:rPr>
              <w:rFonts w:ascii="Times New Roman" w:hAnsi="Times New Roman" w:cs="Times New Roman"/>
              <w:b/>
              <w:bCs/>
              <w:color w:val="E48527"/>
              <w:sz w:val="28"/>
              <w:szCs w:val="28"/>
            </w:rPr>
          </w:pPr>
          <w:r w:rsidRPr="00FD3293">
            <w:rPr>
              <w:noProof/>
              <w:sz w:val="22"/>
              <w:szCs w:val="22"/>
            </w:rPr>
            <mc:AlternateContent>
              <mc:Choice Requires="wps">
                <w:drawing>
                  <wp:anchor distT="0" distB="0" distL="114300" distR="114300" simplePos="0" relativeHeight="251659264" behindDoc="0" locked="0" layoutInCell="1" allowOverlap="1" wp14:anchorId="22FE2D8A" wp14:editId="72D0FDA0">
                    <wp:simplePos x="0" y="0"/>
                    <wp:positionH relativeFrom="column">
                      <wp:posOffset>-864870</wp:posOffset>
                    </wp:positionH>
                    <wp:positionV relativeFrom="paragraph">
                      <wp:posOffset>12065</wp:posOffset>
                    </wp:positionV>
                    <wp:extent cx="7919720" cy="0"/>
                    <wp:effectExtent l="0" t="0" r="0" b="0"/>
                    <wp:wrapNone/>
                    <wp:docPr id="3" name="Straight Arrow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919720" cy="0"/>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10894C7E" id="_x0000_t32" coordsize="21600,21600" o:spt="32" o:oned="t" path="m,l21600,21600e" filled="f">
                    <v:path arrowok="t" fillok="f" o:connecttype="none"/>
                    <o:lock v:ext="edit" shapetype="t"/>
                  </v:shapetype>
                  <v:shape id="Straight Arrow Connector 3" o:spid="_x0000_s1026" type="#_x0000_t32" style="position:absolute;margin-left:-68.1pt;margin-top:.95pt;width:623.6pt;height:0;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" strokeweight="1.5pt"/>
                </w:pict>
              </mc:Fallback>
            </mc:AlternateContent>
          </w:r>
          <w:r w:rsidRPr="00FD3293">
            <w:rPr>
              <w:rFonts w:ascii="Times New Roman" w:hAnsi="Times New Roman" w:cs="Times New Roman"/>
              <w:b/>
              <w:bCs/>
              <w:color w:val="E48527"/>
            </w:rPr>
            <w:t>A</w:t>
          </w:r>
          <w:r w:rsidRPr="00FD3293">
            <w:rPr>
              <w:rFonts w:ascii="Times New Roman" w:hAnsi="Times New Roman" w:cs="Times New Roman"/>
              <w:b/>
              <w:bCs/>
              <w:color w:val="E48527"/>
              <w:sz w:val="28"/>
              <w:szCs w:val="28"/>
            </w:rPr>
            <w:t>.</w:t>
          </w:r>
        </w:p>
        <w:p w14:paraId="1F71B8F7" w14:textId="77777777" w:rsidR="00FD3293" w:rsidRPr="00FD3293" w:rsidRDefault="00FD3293" w:rsidP="00FD3293">
          <w:pPr>
            <w:spacing w:after="0" w:line="240" w:lineRule="auto"/>
            <w:jc w:val="both"/>
            <w:rPr>
              <w:rStyle w:val="apple-style-span"/>
              <w:color w:val="006B86"/>
              <w:sz w:val="18"/>
              <w:szCs w:val="18"/>
            </w:rPr>
          </w:pPr>
          <w:r w:rsidRPr="00FD3293">
            <w:rPr>
              <w:rFonts w:ascii="Times New Roman" w:hAnsi="Times New Roman" w:cs="Times New Roman"/>
              <w:b/>
              <w:bCs/>
              <w:color w:val="006B86"/>
              <w:sz w:val="18"/>
              <w:szCs w:val="18"/>
            </w:rPr>
            <w:t xml:space="preserve">148 </w:t>
          </w:r>
          <w:proofErr w:type="spellStart"/>
          <w:r w:rsidRPr="00FD3293">
            <w:rPr>
              <w:rFonts w:ascii="Times New Roman" w:hAnsi="Times New Roman" w:cs="Times New Roman"/>
              <w:b/>
              <w:bCs/>
              <w:color w:val="006B86"/>
              <w:sz w:val="18"/>
              <w:szCs w:val="18"/>
            </w:rPr>
            <w:t>Misr</w:t>
          </w:r>
          <w:proofErr w:type="spellEnd"/>
          <w:r w:rsidRPr="00FD3293">
            <w:rPr>
              <w:rFonts w:ascii="Times New Roman" w:hAnsi="Times New Roman" w:cs="Times New Roman"/>
              <w:b/>
              <w:bCs/>
              <w:color w:val="006B86"/>
              <w:sz w:val="18"/>
              <w:szCs w:val="18"/>
            </w:rPr>
            <w:t xml:space="preserve"> Helwan El-</w:t>
          </w:r>
          <w:proofErr w:type="spellStart"/>
          <w:r w:rsidRPr="00FD3293">
            <w:rPr>
              <w:rFonts w:ascii="Times New Roman" w:hAnsi="Times New Roman" w:cs="Times New Roman"/>
              <w:b/>
              <w:bCs/>
              <w:color w:val="006B86"/>
              <w:sz w:val="18"/>
              <w:szCs w:val="18"/>
            </w:rPr>
            <w:t>Zyrae</w:t>
          </w:r>
          <w:proofErr w:type="spellEnd"/>
          <w:r w:rsidRPr="00FD3293">
            <w:rPr>
              <w:rFonts w:ascii="Times New Roman" w:hAnsi="Times New Roman" w:cs="Times New Roman"/>
              <w:b/>
              <w:bCs/>
              <w:color w:val="006B86"/>
              <w:sz w:val="18"/>
              <w:szCs w:val="18"/>
            </w:rPr>
            <w:t xml:space="preserve"> </w:t>
          </w:r>
          <w:proofErr w:type="gramStart"/>
          <w:r w:rsidRPr="00FD3293">
            <w:rPr>
              <w:rFonts w:ascii="Times New Roman" w:hAnsi="Times New Roman" w:cs="Times New Roman"/>
              <w:b/>
              <w:bCs/>
              <w:color w:val="006B86"/>
              <w:sz w:val="18"/>
              <w:szCs w:val="18"/>
            </w:rPr>
            <w:t>Road ,</w:t>
          </w:r>
          <w:proofErr w:type="gramEnd"/>
          <w:r w:rsidRPr="00FD3293">
            <w:rPr>
              <w:rFonts w:ascii="Times New Roman" w:hAnsi="Times New Roman" w:cs="Times New Roman"/>
              <w:b/>
              <w:bCs/>
              <w:color w:val="006B86"/>
              <w:sz w:val="18"/>
              <w:szCs w:val="18"/>
            </w:rPr>
            <w:t xml:space="preserve"> El </w:t>
          </w:r>
          <w:proofErr w:type="spellStart"/>
          <w:r w:rsidRPr="00FD3293">
            <w:rPr>
              <w:rFonts w:ascii="Times New Roman" w:hAnsi="Times New Roman" w:cs="Times New Roman"/>
              <w:b/>
              <w:bCs/>
              <w:color w:val="006B86"/>
              <w:sz w:val="18"/>
              <w:szCs w:val="18"/>
            </w:rPr>
            <w:t>Matbaa</w:t>
          </w:r>
          <w:proofErr w:type="spellEnd"/>
          <w:r w:rsidRPr="00FD3293">
            <w:rPr>
              <w:rFonts w:ascii="Times New Roman" w:hAnsi="Times New Roman" w:cs="Times New Roman"/>
              <w:b/>
              <w:bCs/>
              <w:color w:val="006B86"/>
              <w:sz w:val="18"/>
              <w:szCs w:val="18"/>
            </w:rPr>
            <w:t xml:space="preserve"> </w:t>
          </w:r>
          <w:proofErr w:type="spellStart"/>
          <w:r w:rsidRPr="00FD3293">
            <w:rPr>
              <w:rFonts w:ascii="Times New Roman" w:hAnsi="Times New Roman" w:cs="Times New Roman"/>
              <w:b/>
              <w:bCs/>
              <w:color w:val="006B86"/>
              <w:sz w:val="18"/>
              <w:szCs w:val="18"/>
            </w:rPr>
            <w:t>Sq</w:t>
          </w:r>
          <w:proofErr w:type="spellEnd"/>
          <w:r w:rsidRPr="00FD3293">
            <w:rPr>
              <w:rFonts w:ascii="Times New Roman" w:hAnsi="Times New Roman" w:cs="Times New Roman"/>
              <w:b/>
              <w:bCs/>
              <w:color w:val="006B86"/>
              <w:sz w:val="18"/>
              <w:szCs w:val="18"/>
            </w:rPr>
            <w:t xml:space="preserve">, </w:t>
          </w:r>
          <w:proofErr w:type="spellStart"/>
          <w:r w:rsidRPr="00FD3293">
            <w:rPr>
              <w:rFonts w:ascii="Times New Roman" w:hAnsi="Times New Roman" w:cs="Times New Roman"/>
              <w:b/>
              <w:bCs/>
              <w:color w:val="006B86"/>
              <w:sz w:val="18"/>
              <w:szCs w:val="18"/>
            </w:rPr>
            <w:t>H.El</w:t>
          </w:r>
          <w:proofErr w:type="spellEnd"/>
          <w:r w:rsidRPr="00FD3293">
            <w:rPr>
              <w:rFonts w:ascii="Times New Roman" w:hAnsi="Times New Roman" w:cs="Times New Roman"/>
              <w:b/>
              <w:bCs/>
              <w:color w:val="006B86"/>
              <w:sz w:val="18"/>
              <w:szCs w:val="18"/>
            </w:rPr>
            <w:t xml:space="preserve"> Maadi, Cairo, Egypt</w:t>
          </w:r>
        </w:p>
      </w:tc>
    </w:tr>
    <w:tr w:rsidR="00FD3293" w:rsidRPr="00FD3293" w14:paraId="3071ADF2" w14:textId="77777777" w:rsidTr="00FD3293">
      <w:trPr>
        <w:trHeight w:val="510"/>
      </w:trPr>
      <w:tc>
        <w:tcPr>
          <w:tcW w:w="1842" w:type="dxa"/>
          <w:tcBorders>
            <w:top w:val="nil"/>
            <w:left w:val="nil"/>
            <w:bottom w:val="nil"/>
            <w:right w:val="single" w:sz="12" w:space="0" w:color="auto"/>
          </w:tcBorders>
          <w:vAlign w:val="center"/>
          <w:hideMark/>
        </w:tcPr>
        <w:p w14:paraId="4D83527D" w14:textId="77777777" w:rsidR="00FD3293" w:rsidRPr="00FD3293" w:rsidRDefault="00FD3293" w:rsidP="00FD3293">
          <w:pPr>
            <w:spacing w:after="0" w:line="240" w:lineRule="auto"/>
            <w:rPr>
              <w:rStyle w:val="apple-style-span"/>
              <w:rFonts w:ascii="Times New Roman" w:hAnsi="Times New Roman" w:cs="Times New Roman"/>
              <w:b/>
              <w:bCs/>
              <w:color w:val="E48527"/>
              <w:sz w:val="28"/>
              <w:szCs w:val="28"/>
            </w:rPr>
          </w:pPr>
          <w:r w:rsidRPr="00FD3293">
            <w:rPr>
              <w:rStyle w:val="apple-style-span"/>
              <w:rFonts w:ascii="Times New Roman" w:hAnsi="Times New Roman" w:cs="Times New Roman"/>
              <w:b/>
              <w:bCs/>
              <w:color w:val="E48527"/>
            </w:rPr>
            <w:t>M</w:t>
          </w:r>
          <w:r w:rsidRPr="00FD3293">
            <w:rPr>
              <w:rStyle w:val="apple-style-span"/>
              <w:rFonts w:ascii="Times New Roman" w:hAnsi="Times New Roman" w:cs="Times New Roman"/>
              <w:b/>
              <w:bCs/>
              <w:color w:val="E48527"/>
              <w:sz w:val="22"/>
              <w:szCs w:val="22"/>
            </w:rPr>
            <w:t>.</w:t>
          </w:r>
        </w:p>
        <w:p w14:paraId="42007487" w14:textId="77777777" w:rsidR="00FD3293" w:rsidRPr="00FD3293" w:rsidRDefault="00FD3293" w:rsidP="00FD3293">
          <w:pPr>
            <w:spacing w:after="0" w:line="240" w:lineRule="auto"/>
            <w:rPr>
              <w:rStyle w:val="apple-style-span"/>
              <w:rFonts w:ascii="Times New Roman" w:hAnsi="Times New Roman" w:cs="Times New Roman"/>
              <w:b/>
              <w:bCs/>
              <w:color w:val="006B86"/>
              <w:sz w:val="16"/>
              <w:szCs w:val="16"/>
              <w:lang w:bidi="ar-EG"/>
            </w:rPr>
          </w:pPr>
          <w:r w:rsidRPr="00FD3293">
            <w:rPr>
              <w:rStyle w:val="apple-style-span"/>
              <w:rFonts w:ascii="Times New Roman" w:hAnsi="Times New Roman" w:cs="Times New Roman"/>
              <w:b/>
              <w:bCs/>
              <w:color w:val="006B86"/>
              <w:sz w:val="16"/>
              <w:szCs w:val="16"/>
            </w:rPr>
            <w:t xml:space="preserve"> </w:t>
          </w:r>
          <w:r w:rsidRPr="00FD3293">
            <w:rPr>
              <w:rStyle w:val="apple-style-span"/>
              <w:b/>
              <w:bCs/>
              <w:color w:val="006B86"/>
              <w:sz w:val="16"/>
              <w:szCs w:val="16"/>
            </w:rPr>
            <w:t>+ 20 1</w:t>
          </w:r>
          <w:r w:rsidRPr="00FD3293">
            <w:rPr>
              <w:rStyle w:val="apple-style-span"/>
              <w:b/>
              <w:bCs/>
              <w:color w:val="006B86"/>
              <w:sz w:val="16"/>
              <w:szCs w:val="16"/>
              <w:rtl/>
            </w:rPr>
            <w:t>277050886</w:t>
          </w:r>
        </w:p>
      </w:tc>
      <w:tc>
        <w:tcPr>
          <w:tcW w:w="1843" w:type="dxa"/>
          <w:tcBorders>
            <w:top w:val="nil"/>
            <w:left w:val="single" w:sz="12" w:space="0" w:color="auto"/>
            <w:bottom w:val="nil"/>
            <w:right w:val="single" w:sz="12" w:space="0" w:color="auto"/>
          </w:tcBorders>
          <w:vAlign w:val="center"/>
          <w:hideMark/>
        </w:tcPr>
        <w:p w14:paraId="26834732" w14:textId="77777777" w:rsidR="00FD3293" w:rsidRPr="00FD3293" w:rsidRDefault="00FD3293" w:rsidP="00FD3293">
          <w:pPr>
            <w:spacing w:after="0" w:line="240" w:lineRule="auto"/>
            <w:rPr>
              <w:rStyle w:val="apple-style-span"/>
              <w:rFonts w:ascii="Times New Roman" w:hAnsi="Times New Roman" w:cs="Times New Roman"/>
              <w:b/>
              <w:bCs/>
              <w:color w:val="E48527"/>
              <w:sz w:val="28"/>
              <w:szCs w:val="28"/>
              <w:rtl/>
            </w:rPr>
          </w:pPr>
          <w:proofErr w:type="spellStart"/>
          <w:r w:rsidRPr="00FD3293">
            <w:rPr>
              <w:rStyle w:val="apple-style-span"/>
              <w:rFonts w:ascii="Times New Roman" w:hAnsi="Times New Roman" w:cs="Times New Roman"/>
              <w:b/>
              <w:bCs/>
              <w:color w:val="E48527"/>
            </w:rPr>
            <w:t>T</w:t>
          </w:r>
          <w:r w:rsidRPr="00FD3293">
            <w:rPr>
              <w:rStyle w:val="apple-style-span"/>
              <w:rFonts w:ascii="Times New Roman" w:hAnsi="Times New Roman" w:cs="Times New Roman"/>
              <w:b/>
              <w:bCs/>
              <w:color w:val="E48527"/>
              <w:sz w:val="22"/>
              <w:szCs w:val="22"/>
            </w:rPr>
            <w:t>.</w:t>
          </w:r>
          <w:r w:rsidRPr="00FD3293">
            <w:rPr>
              <w:rStyle w:val="apple-style-span"/>
              <w:rFonts w:ascii="Times New Roman" w:hAnsi="Times New Roman" w:cs="Times New Roman"/>
              <w:b/>
              <w:bCs/>
              <w:color w:val="E48527"/>
            </w:rPr>
            <w:t>F</w:t>
          </w:r>
          <w:proofErr w:type="spellEnd"/>
        </w:p>
        <w:p w14:paraId="154F0F13" w14:textId="77777777" w:rsidR="00FD3293" w:rsidRPr="00FD3293" w:rsidRDefault="00FD3293" w:rsidP="00FD3293">
          <w:pPr>
            <w:spacing w:after="0" w:line="240" w:lineRule="auto"/>
            <w:rPr>
              <w:rStyle w:val="apple-style-span"/>
              <w:rFonts w:ascii="Times New Roman" w:hAnsi="Times New Roman" w:cs="Times New Roman"/>
              <w:b/>
              <w:bCs/>
              <w:color w:val="006B86"/>
              <w:sz w:val="18"/>
              <w:szCs w:val="18"/>
              <w:lang w:bidi="ar-EG"/>
            </w:rPr>
          </w:pPr>
          <w:r w:rsidRPr="00FD3293">
            <w:rPr>
              <w:rStyle w:val="apple-style-span"/>
              <w:b/>
              <w:bCs/>
              <w:color w:val="006B86"/>
              <w:sz w:val="16"/>
              <w:szCs w:val="16"/>
            </w:rPr>
            <w:t>+ (20) (2)253 44 704</w:t>
          </w:r>
        </w:p>
      </w:tc>
      <w:tc>
        <w:tcPr>
          <w:tcW w:w="1843" w:type="dxa"/>
          <w:tcBorders>
            <w:top w:val="nil"/>
            <w:left w:val="single" w:sz="12" w:space="0" w:color="auto"/>
            <w:bottom w:val="nil"/>
            <w:right w:val="single" w:sz="12" w:space="0" w:color="auto"/>
          </w:tcBorders>
          <w:vAlign w:val="center"/>
          <w:hideMark/>
        </w:tcPr>
        <w:p w14:paraId="15021170" w14:textId="77777777" w:rsidR="00FD3293" w:rsidRPr="00FD3293" w:rsidRDefault="00FD3293" w:rsidP="00FD3293">
          <w:pPr>
            <w:spacing w:after="0" w:line="240" w:lineRule="auto"/>
            <w:rPr>
              <w:rStyle w:val="apple-style-span"/>
              <w:rFonts w:ascii="Times New Roman" w:hAnsi="Times New Roman" w:cs="Times New Roman"/>
              <w:b/>
              <w:bCs/>
              <w:color w:val="E48527"/>
              <w:sz w:val="28"/>
              <w:szCs w:val="28"/>
              <w:rtl/>
            </w:rPr>
          </w:pPr>
          <w:r w:rsidRPr="00FD3293">
            <w:rPr>
              <w:rStyle w:val="apple-style-span"/>
              <w:rFonts w:ascii="Times New Roman" w:hAnsi="Times New Roman" w:cs="Times New Roman"/>
              <w:b/>
              <w:bCs/>
              <w:color w:val="E48527"/>
            </w:rPr>
            <w:t>T</w:t>
          </w:r>
          <w:r w:rsidRPr="00FD3293">
            <w:rPr>
              <w:rStyle w:val="apple-style-span"/>
              <w:rFonts w:ascii="Times New Roman" w:hAnsi="Times New Roman" w:cs="Times New Roman"/>
              <w:b/>
              <w:bCs/>
              <w:color w:val="E48527"/>
              <w:sz w:val="22"/>
              <w:szCs w:val="22"/>
            </w:rPr>
            <w:t>.</w:t>
          </w:r>
        </w:p>
        <w:p w14:paraId="0B63BEBF" w14:textId="77777777" w:rsidR="00FD3293" w:rsidRPr="00FD3293" w:rsidRDefault="00FD3293" w:rsidP="00FD3293">
          <w:pPr>
            <w:spacing w:after="0" w:line="240" w:lineRule="auto"/>
            <w:rPr>
              <w:rStyle w:val="apple-style-span"/>
              <w:rFonts w:ascii="Times New Roman" w:hAnsi="Times New Roman" w:cs="Times New Roman"/>
              <w:b/>
              <w:bCs/>
              <w:color w:val="006B86"/>
              <w:sz w:val="18"/>
              <w:szCs w:val="18"/>
              <w:lang w:bidi="ar-EG"/>
            </w:rPr>
          </w:pPr>
          <w:r w:rsidRPr="00FD3293">
            <w:rPr>
              <w:rStyle w:val="apple-style-span"/>
              <w:b/>
              <w:bCs/>
              <w:color w:val="006B86"/>
              <w:sz w:val="16"/>
              <w:szCs w:val="16"/>
            </w:rPr>
            <w:t>+(20) (2)253 44 705</w:t>
          </w:r>
        </w:p>
      </w:tc>
      <w:tc>
        <w:tcPr>
          <w:tcW w:w="1843" w:type="dxa"/>
          <w:tcBorders>
            <w:top w:val="nil"/>
            <w:left w:val="single" w:sz="12" w:space="0" w:color="auto"/>
            <w:bottom w:val="nil"/>
            <w:right w:val="single" w:sz="12" w:space="0" w:color="auto"/>
          </w:tcBorders>
          <w:vAlign w:val="center"/>
          <w:hideMark/>
        </w:tcPr>
        <w:p w14:paraId="0C995CB0" w14:textId="77777777" w:rsidR="00FD3293" w:rsidRPr="00FD3293" w:rsidRDefault="00FD3293" w:rsidP="00FD3293">
          <w:pPr>
            <w:spacing w:after="0" w:line="240" w:lineRule="auto"/>
            <w:rPr>
              <w:color w:val="E48527"/>
              <w:sz w:val="28"/>
              <w:szCs w:val="28"/>
              <w:rtl/>
            </w:rPr>
          </w:pPr>
          <w:r w:rsidRPr="00FD3293">
            <w:rPr>
              <w:rFonts w:ascii="Times New Roman" w:hAnsi="Times New Roman" w:cs="Times New Roman"/>
              <w:b/>
              <w:bCs/>
              <w:color w:val="E48527"/>
            </w:rPr>
            <w:t>E</w:t>
          </w:r>
          <w:r w:rsidRPr="00FD3293">
            <w:rPr>
              <w:rFonts w:ascii="Times New Roman" w:hAnsi="Times New Roman" w:cs="Times New Roman"/>
              <w:b/>
              <w:bCs/>
              <w:color w:val="E48527"/>
              <w:sz w:val="28"/>
              <w:szCs w:val="28"/>
            </w:rPr>
            <w:t>.</w:t>
          </w:r>
        </w:p>
        <w:p w14:paraId="7285815C" w14:textId="77777777" w:rsidR="00FD3293" w:rsidRPr="00FD3293" w:rsidRDefault="00FD3293" w:rsidP="00FD3293">
          <w:pPr>
            <w:spacing w:after="0" w:line="240" w:lineRule="auto"/>
            <w:rPr>
              <w:rStyle w:val="apple-style-span"/>
              <w:color w:val="006B86"/>
              <w:sz w:val="18"/>
              <w:szCs w:val="18"/>
              <w:lang w:bidi="ar-EG"/>
            </w:rPr>
          </w:pPr>
          <w:r w:rsidRPr="00FD3293">
            <w:rPr>
              <w:rStyle w:val="apple-style-span"/>
              <w:rFonts w:ascii="Times New Roman" w:hAnsi="Times New Roman" w:cs="Times New Roman"/>
              <w:b/>
              <w:bCs/>
              <w:color w:val="006B86"/>
              <w:sz w:val="18"/>
              <w:szCs w:val="18"/>
            </w:rPr>
            <w:t xml:space="preserve"> </w:t>
          </w:r>
          <w:proofErr w:type="spellStart"/>
          <w:r w:rsidRPr="00FD3293">
            <w:rPr>
              <w:rStyle w:val="apple-style-span"/>
              <w:b/>
              <w:bCs/>
              <w:color w:val="006B86"/>
              <w:sz w:val="16"/>
              <w:szCs w:val="16"/>
            </w:rPr>
            <w:t>info@pfort.org</w:t>
          </w:r>
          <w:proofErr w:type="spellEnd"/>
        </w:p>
      </w:tc>
      <w:tc>
        <w:tcPr>
          <w:tcW w:w="1843" w:type="dxa"/>
          <w:tcBorders>
            <w:top w:val="nil"/>
            <w:left w:val="single" w:sz="12" w:space="0" w:color="auto"/>
            <w:bottom w:val="nil"/>
            <w:right w:val="nil"/>
          </w:tcBorders>
          <w:vAlign w:val="center"/>
          <w:hideMark/>
        </w:tcPr>
        <w:p w14:paraId="06C093D2" w14:textId="77777777" w:rsidR="00FD3293" w:rsidRPr="00FD3293" w:rsidRDefault="00FD3293" w:rsidP="00FD3293">
          <w:pPr>
            <w:spacing w:after="0" w:line="240" w:lineRule="auto"/>
            <w:rPr>
              <w:color w:val="E48527"/>
              <w:sz w:val="28"/>
              <w:szCs w:val="28"/>
              <w:rtl/>
            </w:rPr>
          </w:pPr>
          <w:r w:rsidRPr="00FD3293">
            <w:rPr>
              <w:rFonts w:ascii="Times New Roman" w:hAnsi="Times New Roman" w:cs="Times New Roman"/>
              <w:b/>
              <w:bCs/>
              <w:color w:val="E48527"/>
            </w:rPr>
            <w:t>W</w:t>
          </w:r>
          <w:r w:rsidRPr="00FD3293">
            <w:rPr>
              <w:rFonts w:ascii="Times New Roman" w:hAnsi="Times New Roman" w:cs="Times New Roman"/>
              <w:b/>
              <w:bCs/>
              <w:color w:val="E48527"/>
              <w:sz w:val="28"/>
              <w:szCs w:val="28"/>
            </w:rPr>
            <w:t>.</w:t>
          </w:r>
        </w:p>
        <w:p w14:paraId="24F39A42" w14:textId="77777777" w:rsidR="00FD3293" w:rsidRPr="00FD3293" w:rsidRDefault="00FD3293" w:rsidP="00FD3293">
          <w:pPr>
            <w:spacing w:after="0" w:line="240" w:lineRule="auto"/>
            <w:rPr>
              <w:rStyle w:val="apple-style-span"/>
              <w:color w:val="006B86"/>
              <w:sz w:val="18"/>
              <w:szCs w:val="18"/>
              <w:lang w:bidi="ar-EG"/>
            </w:rPr>
          </w:pPr>
          <w:proofErr w:type="spellStart"/>
          <w:r w:rsidRPr="00FD3293">
            <w:rPr>
              <w:rStyle w:val="apple-style-span"/>
              <w:b/>
              <w:bCs/>
              <w:color w:val="006B86"/>
              <w:sz w:val="16"/>
              <w:szCs w:val="16"/>
            </w:rPr>
            <w:t>www.pfort.org</w:t>
          </w:r>
          <w:proofErr w:type="spellEnd"/>
          <w:r w:rsidRPr="00FD3293">
            <w:rPr>
              <w:rFonts w:ascii="Times New Roman" w:hAnsi="Times New Roman" w:cs="Times New Roman"/>
              <w:b/>
              <w:bCs/>
              <w:color w:val="006B86"/>
              <w:sz w:val="18"/>
              <w:szCs w:val="18"/>
            </w:rPr>
            <w:t> </w:t>
          </w:r>
        </w:p>
      </w:tc>
    </w:tr>
  </w:tbl>
  <w:p w14:paraId="31E5421F" w14:textId="77777777" w:rsidR="00FD3293" w:rsidRPr="00FD3293" w:rsidRDefault="00FD3293">
    <w:pPr>
      <w:pStyle w:val="Footer"/>
      <w:rPr>
        <w:sz w:val="22"/>
        <w:szCs w:val="2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98BD740" w14:textId="77777777" w:rsidR="000E6919" w:rsidRDefault="000E6919" w:rsidP="00F4457C">
      <w:pPr>
        <w:spacing w:after="0" w:line="240" w:lineRule="auto"/>
      </w:pPr>
      <w:r>
        <w:separator/>
      </w:r>
    </w:p>
  </w:footnote>
  <w:footnote w:type="continuationSeparator" w:id="0">
    <w:p w14:paraId="0BE04767" w14:textId="77777777" w:rsidR="000E6919" w:rsidRDefault="000E6919" w:rsidP="00F4457C">
      <w:pPr>
        <w:spacing w:after="0" w:line="240" w:lineRule="auto"/>
      </w:pPr>
      <w:r>
        <w:continuationSeparator/>
      </w:r>
    </w:p>
  </w:footnote>
  <w:footnote w:id="1">
    <w:p w14:paraId="13ECEF9D" w14:textId="7E8216FF" w:rsidR="00C2540D" w:rsidRDefault="00C2540D">
      <w:pPr>
        <w:pStyle w:val="FootnoteText"/>
      </w:pPr>
      <w:r>
        <w:rPr>
          <w:rStyle w:val="FootnoteReference"/>
        </w:rPr>
        <w:footnoteRef/>
      </w:r>
      <w:r>
        <w:t xml:space="preserve"> </w:t>
      </w:r>
      <w:r w:rsidR="00FD3293" w:rsidRPr="00FD3293">
        <w:t xml:space="preserve">Sexual assaults, torture, and withholding of salaries for domestic workers in the Gulf... where is the psychological </w:t>
      </w:r>
      <w:r w:rsidR="00FD3293" w:rsidRPr="00FD3293">
        <w:t>support?</w:t>
      </w:r>
      <w:r w:rsidR="00FD3293" w:rsidRPr="00FD3293">
        <w:t xml:space="preserve"> </w:t>
      </w:r>
      <w:proofErr w:type="spellStart"/>
      <w:r w:rsidR="00FD3293" w:rsidRPr="00FD3293">
        <w:t>Muwatin</w:t>
      </w:r>
      <w:proofErr w:type="spellEnd"/>
      <w:r w:rsidR="00FD3293" w:rsidRPr="00FD3293">
        <w:t xml:space="preserve">, January 30, 2024, link: </w:t>
      </w:r>
      <w:hyperlink r:id="rId1" w:history="1">
        <w:r w:rsidR="00FD3293" w:rsidRPr="00E85D8F">
          <w:rPr>
            <w:rStyle w:val="Hyperlink"/>
          </w:rPr>
          <w:t>https://</w:t>
        </w:r>
        <w:proofErr w:type="spellStart"/>
        <w:r w:rsidR="00FD3293" w:rsidRPr="00E85D8F">
          <w:rPr>
            <w:rStyle w:val="Hyperlink"/>
          </w:rPr>
          <w:t>tinyl.co</w:t>
        </w:r>
        <w:proofErr w:type="spellEnd"/>
        <w:r w:rsidR="00FD3293" w:rsidRPr="00E85D8F">
          <w:rPr>
            <w:rStyle w:val="Hyperlink"/>
          </w:rPr>
          <w:t>/</w:t>
        </w:r>
        <w:proofErr w:type="spellStart"/>
        <w:r w:rsidR="00FD3293" w:rsidRPr="00E85D8F">
          <w:rPr>
            <w:rStyle w:val="Hyperlink"/>
          </w:rPr>
          <w:t>3VJh</w:t>
        </w:r>
        <w:proofErr w:type="spellEnd"/>
      </w:hyperlink>
      <w:r w:rsidR="00FD3293">
        <w:t xml:space="preserve"> </w:t>
      </w:r>
    </w:p>
  </w:footnote>
  <w:footnote w:id="2">
    <w:p w14:paraId="2C3E793A" w14:textId="1837976D" w:rsidR="00C2540D" w:rsidRDefault="00C2540D">
      <w:pPr>
        <w:pStyle w:val="FootnoteText"/>
      </w:pPr>
      <w:r>
        <w:rPr>
          <w:rStyle w:val="FootnoteReference"/>
        </w:rPr>
        <w:footnoteRef/>
      </w:r>
      <w:r>
        <w:t xml:space="preserve"> </w:t>
      </w:r>
      <w:r w:rsidR="00FD3293" w:rsidRPr="00FD3293">
        <w:t xml:space="preserve">Implementation of the executive regulations of Law No. 68 of 2015 regarding domestic workers begins today, </w:t>
      </w:r>
      <w:r w:rsidR="00FD3293" w:rsidRPr="00FD3293">
        <w:t>numbers.</w:t>
      </w:r>
      <w:r w:rsidR="00FD3293" w:rsidRPr="00FD3293">
        <w:t xml:space="preserve"> Al-</w:t>
      </w:r>
      <w:proofErr w:type="spellStart"/>
      <w:r w:rsidR="00FD3293" w:rsidRPr="00FD3293">
        <w:t>Anbaa</w:t>
      </w:r>
      <w:proofErr w:type="spellEnd"/>
      <w:r w:rsidR="00FD3293" w:rsidRPr="00FD3293">
        <w:t xml:space="preserve"> Al-</w:t>
      </w:r>
      <w:proofErr w:type="spellStart"/>
      <w:r w:rsidR="00FD3293" w:rsidRPr="00FD3293">
        <w:t>Kuwaitiya</w:t>
      </w:r>
      <w:proofErr w:type="spellEnd"/>
      <w:r w:rsidR="00FD3293" w:rsidRPr="00FD3293">
        <w:t xml:space="preserve">, May 8, 2022, link: </w:t>
      </w:r>
      <w:hyperlink r:id="rId2" w:history="1">
        <w:r w:rsidR="00FD3293" w:rsidRPr="00E85D8F">
          <w:rPr>
            <w:rStyle w:val="Hyperlink"/>
          </w:rPr>
          <w:t>https://</w:t>
        </w:r>
        <w:proofErr w:type="spellStart"/>
        <w:r w:rsidR="00FD3293" w:rsidRPr="00E85D8F">
          <w:rPr>
            <w:rStyle w:val="Hyperlink"/>
          </w:rPr>
          <w:t>tinyl.io</w:t>
        </w:r>
        <w:proofErr w:type="spellEnd"/>
        <w:r w:rsidR="00FD3293" w:rsidRPr="00E85D8F">
          <w:rPr>
            <w:rStyle w:val="Hyperlink"/>
          </w:rPr>
          <w:t>/</w:t>
        </w:r>
        <w:proofErr w:type="spellStart"/>
        <w:r w:rsidR="00FD3293" w:rsidRPr="00E85D8F">
          <w:rPr>
            <w:rStyle w:val="Hyperlink"/>
          </w:rPr>
          <w:t>BS5J</w:t>
        </w:r>
        <w:proofErr w:type="spellEnd"/>
      </w:hyperlink>
      <w:r w:rsidR="00FD3293">
        <w:t xml:space="preserve"> </w:t>
      </w:r>
    </w:p>
  </w:footnote>
  <w:footnote w:id="3">
    <w:p w14:paraId="4970F0F9" w14:textId="10EFAFEE" w:rsidR="00C2540D" w:rsidRDefault="00C2540D">
      <w:pPr>
        <w:pStyle w:val="FootnoteText"/>
      </w:pPr>
      <w:r>
        <w:rPr>
          <w:rStyle w:val="FootnoteReference"/>
        </w:rPr>
        <w:footnoteRef/>
      </w:r>
      <w:r>
        <w:t xml:space="preserve"> </w:t>
      </w:r>
      <w:r w:rsidR="00FD3293" w:rsidRPr="000D349F">
        <w:t>Kuwaiti turns himself in after killing Filipina maid and burying her body in backyard</w:t>
      </w:r>
      <w:r w:rsidR="00FD3293">
        <w:t xml:space="preserve">. </w:t>
      </w:r>
      <w:r w:rsidR="00FD3293" w:rsidRPr="000D349F">
        <w:t>Gulf</w:t>
      </w:r>
      <w:r w:rsidR="00FD3293">
        <w:t xml:space="preserve"> </w:t>
      </w:r>
      <w:r w:rsidR="00FD3293" w:rsidRPr="000D349F">
        <w:t>news</w:t>
      </w:r>
      <w:r w:rsidR="00FD3293">
        <w:t xml:space="preserve"> . </w:t>
      </w:r>
      <w:r w:rsidR="00FD3293" w:rsidRPr="000D349F">
        <w:t xml:space="preserve">January </w:t>
      </w:r>
      <w:r w:rsidR="00FD3293">
        <w:t>1</w:t>
      </w:r>
      <w:r w:rsidR="00FD3293" w:rsidRPr="000D349F">
        <w:t>, 2025</w:t>
      </w:r>
      <w:r w:rsidR="00FD3293">
        <w:t xml:space="preserve">. Link: </w:t>
      </w:r>
      <w:hyperlink r:id="rId3" w:history="1">
        <w:r w:rsidR="00FD3293" w:rsidRPr="005D37A6">
          <w:rPr>
            <w:rStyle w:val="Hyperlink"/>
          </w:rPr>
          <w:t>https://tinyurl.com/2xlm2fnw</w:t>
        </w:r>
      </w:hyperlink>
    </w:p>
  </w:footnote>
  <w:footnote w:id="4">
    <w:p w14:paraId="34843366" w14:textId="21C58C71" w:rsidR="00C2540D" w:rsidRDefault="00C2540D">
      <w:pPr>
        <w:pStyle w:val="FootnoteText"/>
      </w:pPr>
      <w:r>
        <w:rPr>
          <w:rStyle w:val="FootnoteReference"/>
        </w:rPr>
        <w:footnoteRef/>
      </w:r>
      <w:r>
        <w:t xml:space="preserve"> </w:t>
      </w:r>
      <w:r w:rsidR="00FD3293" w:rsidRPr="008D3E67">
        <w:t>Kuwaiti jailed 14 years in violent maid murder</w:t>
      </w:r>
      <w:r w:rsidR="00FD3293">
        <w:t xml:space="preserve">. </w:t>
      </w:r>
      <w:r w:rsidR="00FD3293" w:rsidRPr="008D3E67">
        <w:t>Arab</w:t>
      </w:r>
      <w:r w:rsidR="00FD3293">
        <w:t xml:space="preserve"> </w:t>
      </w:r>
      <w:r w:rsidR="00FD3293" w:rsidRPr="008D3E67">
        <w:t>times</w:t>
      </w:r>
      <w:r w:rsidR="00FD3293">
        <w:t xml:space="preserve"> </w:t>
      </w:r>
      <w:r w:rsidR="00FD3293" w:rsidRPr="008D3E67">
        <w:t>online</w:t>
      </w:r>
      <w:r w:rsidR="00FD3293">
        <w:t xml:space="preserve">. </w:t>
      </w:r>
      <w:r w:rsidR="00FD3293" w:rsidRPr="008D3E67">
        <w:t>April 24, 2026</w:t>
      </w:r>
      <w:r w:rsidR="00FD3293">
        <w:t xml:space="preserve">. Link: </w:t>
      </w:r>
      <w:hyperlink r:id="rId4" w:history="1">
        <w:r w:rsidR="00FD3293" w:rsidRPr="005D37A6">
          <w:rPr>
            <w:rStyle w:val="Hyperlink"/>
          </w:rPr>
          <w:t>https://tinyurl.com/2af45p5j</w:t>
        </w:r>
      </w:hyperlink>
    </w:p>
  </w:footnote>
  <w:footnote w:id="5">
    <w:p w14:paraId="726E4FCC" w14:textId="48A69BD7" w:rsidR="00C2540D" w:rsidRDefault="00C2540D">
      <w:pPr>
        <w:pStyle w:val="FootnoteText"/>
      </w:pPr>
      <w:r>
        <w:rPr>
          <w:rStyle w:val="FootnoteReference"/>
        </w:rPr>
        <w:footnoteRef/>
      </w:r>
      <w:r>
        <w:t xml:space="preserve"> </w:t>
      </w:r>
      <w:r w:rsidR="00FD3293" w:rsidRPr="00FD3293">
        <w:t xml:space="preserve">Law No. 114 of 2024 regarding the Foreigners’ Residence Law, link: </w:t>
      </w:r>
      <w:hyperlink r:id="rId5" w:history="1">
        <w:r w:rsidR="00FD3293" w:rsidRPr="00E85D8F">
          <w:rPr>
            <w:rStyle w:val="Hyperlink"/>
          </w:rPr>
          <w:t>https://</w:t>
        </w:r>
        <w:proofErr w:type="spellStart"/>
        <w:r w:rsidR="00FD3293" w:rsidRPr="00E85D8F">
          <w:rPr>
            <w:rStyle w:val="Hyperlink"/>
          </w:rPr>
          <w:t>tinyurl.com</w:t>
        </w:r>
        <w:proofErr w:type="spellEnd"/>
        <w:r w:rsidR="00FD3293" w:rsidRPr="00E85D8F">
          <w:rPr>
            <w:rStyle w:val="Hyperlink"/>
          </w:rPr>
          <w:t>/</w:t>
        </w:r>
        <w:proofErr w:type="spellStart"/>
        <w:r w:rsidR="00FD3293" w:rsidRPr="00E85D8F">
          <w:rPr>
            <w:rStyle w:val="Hyperlink"/>
          </w:rPr>
          <w:t>25kq9uqv</w:t>
        </w:r>
        <w:proofErr w:type="spellEnd"/>
      </w:hyperlink>
      <w:r w:rsidR="00FD3293">
        <w:t xml:space="preserve"> </w:t>
      </w:r>
    </w:p>
  </w:footnote>
  <w:footnote w:id="6">
    <w:p w14:paraId="31C40FF8" w14:textId="67A0E9EE" w:rsidR="009B219B" w:rsidRDefault="009B219B">
      <w:pPr>
        <w:pStyle w:val="FootnoteText"/>
      </w:pPr>
      <w:r>
        <w:rPr>
          <w:rStyle w:val="FootnoteReference"/>
        </w:rPr>
        <w:footnoteRef/>
      </w:r>
      <w:r>
        <w:t xml:space="preserve"> </w:t>
      </w:r>
      <w:r w:rsidR="00FD3293" w:rsidRPr="00BC52D8">
        <w:t>Kuwait deports thousands of foreign workers in nationality crackdown</w:t>
      </w:r>
      <w:r w:rsidR="00FD3293">
        <w:rPr>
          <w:lang w:bidi="ar-EG"/>
        </w:rPr>
        <w:t xml:space="preserve">. </w:t>
      </w:r>
      <w:r w:rsidR="00FD3293" w:rsidRPr="00BC52D8">
        <w:rPr>
          <w:lang w:bidi="ar-EG"/>
        </w:rPr>
        <w:t>January 7, 2026</w:t>
      </w:r>
      <w:r w:rsidR="00FD3293">
        <w:rPr>
          <w:lang w:bidi="ar-EG"/>
        </w:rPr>
        <w:t xml:space="preserve">. Link: </w:t>
      </w:r>
      <w:hyperlink r:id="rId6" w:history="1">
        <w:r w:rsidR="00FD3293" w:rsidRPr="005D37A6">
          <w:rPr>
            <w:rStyle w:val="Hyperlink"/>
            <w:lang w:bidi="ar-EG"/>
          </w:rPr>
          <w:t>https://tinyurl.com/24p37f9k</w:t>
        </w:r>
      </w:hyperlink>
    </w:p>
  </w:footnote>
  <w:footnote w:id="7">
    <w:p w14:paraId="1397236A" w14:textId="7701F1DB" w:rsidR="009B219B" w:rsidRDefault="009B219B">
      <w:pPr>
        <w:pStyle w:val="FootnoteText"/>
      </w:pPr>
      <w:r>
        <w:rPr>
          <w:rStyle w:val="FootnoteReference"/>
        </w:rPr>
        <w:footnoteRef/>
      </w:r>
      <w:r>
        <w:t xml:space="preserve"> </w:t>
      </w:r>
      <w:r w:rsidR="00FD3293" w:rsidRPr="00FD3293">
        <w:t xml:space="preserve">How many Bedoons are there in Kuwait in 2025. Gulf Weekly. May 4, 2025. Link: </w:t>
      </w:r>
      <w:hyperlink r:id="rId7" w:history="1">
        <w:r w:rsidR="00FD3293" w:rsidRPr="00E85D8F">
          <w:rPr>
            <w:rStyle w:val="Hyperlink"/>
          </w:rPr>
          <w:t>https://</w:t>
        </w:r>
        <w:proofErr w:type="spellStart"/>
        <w:r w:rsidR="00FD3293" w:rsidRPr="00E85D8F">
          <w:rPr>
            <w:rStyle w:val="Hyperlink"/>
          </w:rPr>
          <w:t>tinyl.co</w:t>
        </w:r>
        <w:proofErr w:type="spellEnd"/>
        <w:r w:rsidR="00FD3293" w:rsidRPr="00E85D8F">
          <w:rPr>
            <w:rStyle w:val="Hyperlink"/>
          </w:rPr>
          <w:t>/</w:t>
        </w:r>
        <w:proofErr w:type="spellStart"/>
        <w:r w:rsidR="00FD3293" w:rsidRPr="00E85D8F">
          <w:rPr>
            <w:rStyle w:val="Hyperlink"/>
          </w:rPr>
          <w:t>3VOJ</w:t>
        </w:r>
        <w:proofErr w:type="spellEnd"/>
      </w:hyperlink>
      <w:r w:rsidR="00FD3293">
        <w:t xml:space="preserve"> </w:t>
      </w:r>
    </w:p>
  </w:footnote>
  <w:footnote w:id="8">
    <w:p w14:paraId="3679B88C" w14:textId="6F95EB4E" w:rsidR="00FD3293" w:rsidRDefault="00FD3293">
      <w:pPr>
        <w:pStyle w:val="FootnoteText"/>
      </w:pPr>
      <w:r>
        <w:rPr>
          <w:rStyle w:val="FootnoteReference"/>
        </w:rPr>
        <w:footnoteRef/>
      </w:r>
      <w:r>
        <w:t xml:space="preserve"> </w:t>
      </w:r>
      <w:r w:rsidRPr="00F71BED">
        <w:t>The Resurgence of Large-scale Deprivation of Nationality: The Case of Kuwait</w:t>
      </w:r>
      <w:r>
        <w:t xml:space="preserve">. </w:t>
      </w:r>
      <w:proofErr w:type="spellStart"/>
      <w:r w:rsidRPr="00F71BED">
        <w:t>Opiniojuris</w:t>
      </w:r>
      <w:proofErr w:type="spellEnd"/>
      <w:r>
        <w:t xml:space="preserve">. </w:t>
      </w:r>
      <w:r w:rsidRPr="00F71BED">
        <w:t>October 21, 2025</w:t>
      </w:r>
      <w:r>
        <w:t xml:space="preserve">. Link: </w:t>
      </w:r>
      <w:hyperlink r:id="rId8" w:history="1">
        <w:r w:rsidRPr="005D37A6">
          <w:rPr>
            <w:rStyle w:val="Hyperlink"/>
          </w:rPr>
          <w:t>https://tinyurl.com/27l85ypx</w:t>
        </w:r>
      </w:hyperlink>
    </w:p>
  </w:footnote>
  <w:footnote w:id="9">
    <w:p w14:paraId="3444E838" w14:textId="0B2EDB00" w:rsidR="00FD3293" w:rsidRDefault="00FD3293">
      <w:pPr>
        <w:pStyle w:val="FootnoteText"/>
      </w:pPr>
      <w:r>
        <w:rPr>
          <w:rStyle w:val="FootnoteReference"/>
        </w:rPr>
        <w:footnoteRef/>
      </w:r>
      <w:r>
        <w:t xml:space="preserve"> </w:t>
      </w:r>
      <w:r w:rsidRPr="00FD3293">
        <w:t xml:space="preserve">Human Rights in Arab Countries 2024: Evaluation of Situations and Challenges in Light of Continuing Conflicts, link: </w:t>
      </w:r>
      <w:hyperlink r:id="rId9" w:history="1">
        <w:r w:rsidRPr="00E85D8F">
          <w:rPr>
            <w:rStyle w:val="Hyperlink"/>
          </w:rPr>
          <w:t>https://</w:t>
        </w:r>
        <w:proofErr w:type="spellStart"/>
        <w:r w:rsidRPr="00E85D8F">
          <w:rPr>
            <w:rStyle w:val="Hyperlink"/>
          </w:rPr>
          <w:t>tinyurl.com</w:t>
        </w:r>
        <w:proofErr w:type="spellEnd"/>
        <w:r w:rsidRPr="00E85D8F">
          <w:rPr>
            <w:rStyle w:val="Hyperlink"/>
          </w:rPr>
          <w:t>/</w:t>
        </w:r>
        <w:proofErr w:type="spellStart"/>
        <w:r w:rsidRPr="00E85D8F">
          <w:rPr>
            <w:rStyle w:val="Hyperlink"/>
          </w:rPr>
          <w:t>2cdgega2</w:t>
        </w:r>
        <w:proofErr w:type="spellEnd"/>
      </w:hyperlink>
      <w:r>
        <w:t xml:space="preserve"> </w:t>
      </w:r>
    </w:p>
  </w:footnote>
  <w:footnote w:id="10">
    <w:p w14:paraId="605193B4" w14:textId="6050F6FE" w:rsidR="00FD3293" w:rsidRDefault="00FD3293">
      <w:pPr>
        <w:pStyle w:val="FootnoteText"/>
      </w:pPr>
      <w:r>
        <w:rPr>
          <w:rStyle w:val="FootnoteReference"/>
        </w:rPr>
        <w:footnoteRef/>
      </w:r>
      <w:r>
        <w:t xml:space="preserve"> Ibid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0740E9" w14:textId="2EE8BA6F" w:rsidR="00FD3293" w:rsidRPr="00FD3293" w:rsidRDefault="00FD3293" w:rsidP="00FD3293">
    <w:pPr>
      <w:pStyle w:val="Header"/>
    </w:pPr>
    <w:r>
      <w:rPr>
        <w:noProof/>
      </w:rPr>
      <w:drawing>
        <wp:inline distT="0" distB="0" distL="0" distR="0" wp14:anchorId="3144FB82" wp14:editId="3464715B">
          <wp:extent cx="871870" cy="902438"/>
          <wp:effectExtent l="0" t="0" r="4445" b="0"/>
          <wp:docPr id="195200959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5422" cy="906114"/>
                  </a:xfrm>
                  <a:prstGeom prst="rect">
                    <a:avLst/>
                  </a:prstGeom>
                  <a:noFill/>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B4F24EE"/>
    <w:multiLevelType w:val="multilevel"/>
    <w:tmpl w:val="F39A16A4"/>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num w:numId="1" w16cid:durableId="11010173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921B4"/>
    <w:rsid w:val="000E6919"/>
    <w:rsid w:val="002146C6"/>
    <w:rsid w:val="003D7609"/>
    <w:rsid w:val="005921B4"/>
    <w:rsid w:val="005D6C6A"/>
    <w:rsid w:val="006C6CB8"/>
    <w:rsid w:val="008810BF"/>
    <w:rsid w:val="009B219B"/>
    <w:rsid w:val="00B34CF6"/>
    <w:rsid w:val="00C2540D"/>
    <w:rsid w:val="00EA4005"/>
    <w:rsid w:val="00F4457C"/>
    <w:rsid w:val="00FD3293"/>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776C1CB"/>
  <w15:chartTrackingRefBased/>
  <w15:docId w15:val="{24C37149-8FC6-4A34-A82B-53CE156E5C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921B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921B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921B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921B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921B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921B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921B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921B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921B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921B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921B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921B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921B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921B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921B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921B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921B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921B4"/>
    <w:rPr>
      <w:rFonts w:eastAsiaTheme="majorEastAsia" w:cstheme="majorBidi"/>
      <w:color w:val="272727" w:themeColor="text1" w:themeTint="D8"/>
    </w:rPr>
  </w:style>
  <w:style w:type="paragraph" w:styleId="Title">
    <w:name w:val="Title"/>
    <w:basedOn w:val="Normal"/>
    <w:next w:val="Normal"/>
    <w:link w:val="TitleChar"/>
    <w:uiPriority w:val="10"/>
    <w:qFormat/>
    <w:rsid w:val="005921B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921B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921B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921B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921B4"/>
    <w:pPr>
      <w:spacing w:before="160"/>
      <w:jc w:val="center"/>
    </w:pPr>
    <w:rPr>
      <w:i/>
      <w:iCs/>
      <w:color w:val="404040" w:themeColor="text1" w:themeTint="BF"/>
    </w:rPr>
  </w:style>
  <w:style w:type="character" w:customStyle="1" w:styleId="QuoteChar">
    <w:name w:val="Quote Char"/>
    <w:basedOn w:val="DefaultParagraphFont"/>
    <w:link w:val="Quote"/>
    <w:uiPriority w:val="29"/>
    <w:rsid w:val="005921B4"/>
    <w:rPr>
      <w:i/>
      <w:iCs/>
      <w:color w:val="404040" w:themeColor="text1" w:themeTint="BF"/>
    </w:rPr>
  </w:style>
  <w:style w:type="paragraph" w:styleId="ListParagraph">
    <w:name w:val="List Paragraph"/>
    <w:basedOn w:val="Normal"/>
    <w:uiPriority w:val="34"/>
    <w:qFormat/>
    <w:rsid w:val="005921B4"/>
    <w:pPr>
      <w:ind w:left="720"/>
      <w:contextualSpacing/>
    </w:pPr>
  </w:style>
  <w:style w:type="character" w:styleId="IntenseEmphasis">
    <w:name w:val="Intense Emphasis"/>
    <w:basedOn w:val="DefaultParagraphFont"/>
    <w:uiPriority w:val="21"/>
    <w:qFormat/>
    <w:rsid w:val="005921B4"/>
    <w:rPr>
      <w:i/>
      <w:iCs/>
      <w:color w:val="0F4761" w:themeColor="accent1" w:themeShade="BF"/>
    </w:rPr>
  </w:style>
  <w:style w:type="paragraph" w:styleId="IntenseQuote">
    <w:name w:val="Intense Quote"/>
    <w:basedOn w:val="Normal"/>
    <w:next w:val="Normal"/>
    <w:link w:val="IntenseQuoteChar"/>
    <w:uiPriority w:val="30"/>
    <w:qFormat/>
    <w:rsid w:val="005921B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921B4"/>
    <w:rPr>
      <w:i/>
      <w:iCs/>
      <w:color w:val="0F4761" w:themeColor="accent1" w:themeShade="BF"/>
    </w:rPr>
  </w:style>
  <w:style w:type="character" w:styleId="IntenseReference">
    <w:name w:val="Intense Reference"/>
    <w:basedOn w:val="DefaultParagraphFont"/>
    <w:uiPriority w:val="32"/>
    <w:qFormat/>
    <w:rsid w:val="005921B4"/>
    <w:rPr>
      <w:b/>
      <w:bCs/>
      <w:smallCaps/>
      <w:color w:val="0F4761" w:themeColor="accent1" w:themeShade="BF"/>
      <w:spacing w:val="5"/>
    </w:rPr>
  </w:style>
  <w:style w:type="paragraph" w:styleId="FootnoteText">
    <w:name w:val="footnote text"/>
    <w:basedOn w:val="Normal"/>
    <w:link w:val="FootnoteTextChar"/>
    <w:uiPriority w:val="99"/>
    <w:semiHidden/>
    <w:unhideWhenUsed/>
    <w:rsid w:val="00F4457C"/>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F4457C"/>
    <w:rPr>
      <w:sz w:val="20"/>
      <w:szCs w:val="20"/>
    </w:rPr>
  </w:style>
  <w:style w:type="character" w:styleId="FootnoteReference">
    <w:name w:val="footnote reference"/>
    <w:basedOn w:val="DefaultParagraphFont"/>
    <w:uiPriority w:val="99"/>
    <w:semiHidden/>
    <w:unhideWhenUsed/>
    <w:rsid w:val="00F4457C"/>
    <w:rPr>
      <w:vertAlign w:val="superscript"/>
    </w:rPr>
  </w:style>
  <w:style w:type="character" w:styleId="Hyperlink">
    <w:name w:val="Hyperlink"/>
    <w:basedOn w:val="DefaultParagraphFont"/>
    <w:uiPriority w:val="99"/>
    <w:unhideWhenUsed/>
    <w:rsid w:val="00FD3293"/>
    <w:rPr>
      <w:color w:val="467886" w:themeColor="hyperlink"/>
      <w:u w:val="single"/>
    </w:rPr>
  </w:style>
  <w:style w:type="character" w:styleId="UnresolvedMention">
    <w:name w:val="Unresolved Mention"/>
    <w:basedOn w:val="DefaultParagraphFont"/>
    <w:uiPriority w:val="99"/>
    <w:semiHidden/>
    <w:unhideWhenUsed/>
    <w:rsid w:val="00FD3293"/>
    <w:rPr>
      <w:color w:val="605E5C"/>
      <w:shd w:val="clear" w:color="auto" w:fill="E1DFDD"/>
    </w:rPr>
  </w:style>
  <w:style w:type="paragraph" w:styleId="Header">
    <w:name w:val="header"/>
    <w:basedOn w:val="Normal"/>
    <w:link w:val="HeaderChar"/>
    <w:uiPriority w:val="99"/>
    <w:unhideWhenUsed/>
    <w:rsid w:val="00FD3293"/>
    <w:pPr>
      <w:tabs>
        <w:tab w:val="center" w:pos="4513"/>
        <w:tab w:val="right" w:pos="9026"/>
      </w:tabs>
      <w:spacing w:after="0" w:line="240" w:lineRule="auto"/>
    </w:pPr>
  </w:style>
  <w:style w:type="character" w:customStyle="1" w:styleId="HeaderChar">
    <w:name w:val="Header Char"/>
    <w:basedOn w:val="DefaultParagraphFont"/>
    <w:link w:val="Header"/>
    <w:uiPriority w:val="99"/>
    <w:rsid w:val="00FD3293"/>
  </w:style>
  <w:style w:type="paragraph" w:styleId="Footer">
    <w:name w:val="footer"/>
    <w:basedOn w:val="Normal"/>
    <w:link w:val="FooterChar"/>
    <w:uiPriority w:val="99"/>
    <w:unhideWhenUsed/>
    <w:rsid w:val="00FD3293"/>
    <w:pPr>
      <w:tabs>
        <w:tab w:val="center" w:pos="4513"/>
        <w:tab w:val="right" w:pos="9026"/>
      </w:tabs>
      <w:spacing w:after="0" w:line="240" w:lineRule="auto"/>
    </w:pPr>
  </w:style>
  <w:style w:type="character" w:customStyle="1" w:styleId="FooterChar">
    <w:name w:val="Footer Char"/>
    <w:basedOn w:val="DefaultParagraphFont"/>
    <w:link w:val="Footer"/>
    <w:uiPriority w:val="99"/>
    <w:rsid w:val="00FD3293"/>
  </w:style>
  <w:style w:type="character" w:customStyle="1" w:styleId="apple-style-span">
    <w:name w:val="apple-style-span"/>
    <w:basedOn w:val="DefaultParagraphFont"/>
    <w:rsid w:val="00FD329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9757870">
      <w:bodyDiv w:val="1"/>
      <w:marLeft w:val="0"/>
      <w:marRight w:val="0"/>
      <w:marTop w:val="0"/>
      <w:marBottom w:val="0"/>
      <w:divBdr>
        <w:top w:val="none" w:sz="0" w:space="0" w:color="auto"/>
        <w:left w:val="none" w:sz="0" w:space="0" w:color="auto"/>
        <w:bottom w:val="none" w:sz="0" w:space="0" w:color="auto"/>
        <w:right w:val="none" w:sz="0" w:space="0" w:color="auto"/>
      </w:divBdr>
    </w:div>
    <w:div w:id="387345823">
      <w:bodyDiv w:val="1"/>
      <w:marLeft w:val="0"/>
      <w:marRight w:val="0"/>
      <w:marTop w:val="0"/>
      <w:marBottom w:val="0"/>
      <w:divBdr>
        <w:top w:val="none" w:sz="0" w:space="0" w:color="auto"/>
        <w:left w:val="none" w:sz="0" w:space="0" w:color="auto"/>
        <w:bottom w:val="none" w:sz="0" w:space="0" w:color="auto"/>
        <w:right w:val="none" w:sz="0" w:space="0" w:color="auto"/>
      </w:divBdr>
    </w:div>
    <w:div w:id="465512453">
      <w:bodyDiv w:val="1"/>
      <w:marLeft w:val="0"/>
      <w:marRight w:val="0"/>
      <w:marTop w:val="0"/>
      <w:marBottom w:val="0"/>
      <w:divBdr>
        <w:top w:val="none" w:sz="0" w:space="0" w:color="auto"/>
        <w:left w:val="none" w:sz="0" w:space="0" w:color="auto"/>
        <w:bottom w:val="none" w:sz="0" w:space="0" w:color="auto"/>
        <w:right w:val="none" w:sz="0" w:space="0" w:color="auto"/>
      </w:divBdr>
      <w:divsChild>
        <w:div w:id="2125533816">
          <w:marLeft w:val="0"/>
          <w:marRight w:val="0"/>
          <w:marTop w:val="0"/>
          <w:marBottom w:val="0"/>
          <w:divBdr>
            <w:top w:val="none" w:sz="0" w:space="0" w:color="auto"/>
            <w:left w:val="none" w:sz="0" w:space="0" w:color="auto"/>
            <w:bottom w:val="none" w:sz="0" w:space="0" w:color="auto"/>
            <w:right w:val="none" w:sz="0" w:space="0" w:color="auto"/>
          </w:divBdr>
        </w:div>
      </w:divsChild>
    </w:div>
    <w:div w:id="713893083">
      <w:bodyDiv w:val="1"/>
      <w:marLeft w:val="0"/>
      <w:marRight w:val="0"/>
      <w:marTop w:val="0"/>
      <w:marBottom w:val="0"/>
      <w:divBdr>
        <w:top w:val="none" w:sz="0" w:space="0" w:color="auto"/>
        <w:left w:val="none" w:sz="0" w:space="0" w:color="auto"/>
        <w:bottom w:val="none" w:sz="0" w:space="0" w:color="auto"/>
        <w:right w:val="none" w:sz="0" w:space="0" w:color="auto"/>
      </w:divBdr>
      <w:divsChild>
        <w:div w:id="191037918">
          <w:marLeft w:val="0"/>
          <w:marRight w:val="0"/>
          <w:marTop w:val="0"/>
          <w:marBottom w:val="0"/>
          <w:divBdr>
            <w:top w:val="none" w:sz="0" w:space="0" w:color="auto"/>
            <w:left w:val="none" w:sz="0" w:space="0" w:color="auto"/>
            <w:bottom w:val="none" w:sz="0" w:space="0" w:color="auto"/>
            <w:right w:val="none" w:sz="0" w:space="0" w:color="auto"/>
          </w:divBdr>
        </w:div>
      </w:divsChild>
    </w:div>
    <w:div w:id="928082656">
      <w:bodyDiv w:val="1"/>
      <w:marLeft w:val="0"/>
      <w:marRight w:val="0"/>
      <w:marTop w:val="0"/>
      <w:marBottom w:val="0"/>
      <w:divBdr>
        <w:top w:val="none" w:sz="0" w:space="0" w:color="auto"/>
        <w:left w:val="none" w:sz="0" w:space="0" w:color="auto"/>
        <w:bottom w:val="none" w:sz="0" w:space="0" w:color="auto"/>
        <w:right w:val="none" w:sz="0" w:space="0" w:color="auto"/>
      </w:divBdr>
    </w:div>
    <w:div w:id="937298551">
      <w:bodyDiv w:val="1"/>
      <w:marLeft w:val="0"/>
      <w:marRight w:val="0"/>
      <w:marTop w:val="0"/>
      <w:marBottom w:val="0"/>
      <w:divBdr>
        <w:top w:val="none" w:sz="0" w:space="0" w:color="auto"/>
        <w:left w:val="none" w:sz="0" w:space="0" w:color="auto"/>
        <w:bottom w:val="none" w:sz="0" w:space="0" w:color="auto"/>
        <w:right w:val="none" w:sz="0" w:space="0" w:color="auto"/>
      </w:divBdr>
      <w:divsChild>
        <w:div w:id="419063129">
          <w:marLeft w:val="0"/>
          <w:marRight w:val="0"/>
          <w:marTop w:val="0"/>
          <w:marBottom w:val="0"/>
          <w:divBdr>
            <w:top w:val="none" w:sz="0" w:space="0" w:color="auto"/>
            <w:left w:val="none" w:sz="0" w:space="0" w:color="auto"/>
            <w:bottom w:val="none" w:sz="0" w:space="0" w:color="auto"/>
            <w:right w:val="none" w:sz="0" w:space="0" w:color="auto"/>
          </w:divBdr>
        </w:div>
      </w:divsChild>
    </w:div>
    <w:div w:id="1213736747">
      <w:bodyDiv w:val="1"/>
      <w:marLeft w:val="0"/>
      <w:marRight w:val="0"/>
      <w:marTop w:val="0"/>
      <w:marBottom w:val="0"/>
      <w:divBdr>
        <w:top w:val="none" w:sz="0" w:space="0" w:color="auto"/>
        <w:left w:val="none" w:sz="0" w:space="0" w:color="auto"/>
        <w:bottom w:val="none" w:sz="0" w:space="0" w:color="auto"/>
        <w:right w:val="none" w:sz="0" w:space="0" w:color="auto"/>
      </w:divBdr>
    </w:div>
    <w:div w:id="1283610773">
      <w:bodyDiv w:val="1"/>
      <w:marLeft w:val="0"/>
      <w:marRight w:val="0"/>
      <w:marTop w:val="0"/>
      <w:marBottom w:val="0"/>
      <w:divBdr>
        <w:top w:val="none" w:sz="0" w:space="0" w:color="auto"/>
        <w:left w:val="none" w:sz="0" w:space="0" w:color="auto"/>
        <w:bottom w:val="none" w:sz="0" w:space="0" w:color="auto"/>
        <w:right w:val="none" w:sz="0" w:space="0" w:color="auto"/>
      </w:divBdr>
      <w:divsChild>
        <w:div w:id="1499079241">
          <w:marLeft w:val="0"/>
          <w:marRight w:val="0"/>
          <w:marTop w:val="0"/>
          <w:marBottom w:val="0"/>
          <w:divBdr>
            <w:top w:val="none" w:sz="0" w:space="0" w:color="auto"/>
            <w:left w:val="none" w:sz="0" w:space="0" w:color="auto"/>
            <w:bottom w:val="none" w:sz="0" w:space="0" w:color="auto"/>
            <w:right w:val="none" w:sz="0" w:space="0" w:color="auto"/>
          </w:divBdr>
        </w:div>
      </w:divsChild>
    </w:div>
    <w:div w:id="1287393469">
      <w:bodyDiv w:val="1"/>
      <w:marLeft w:val="0"/>
      <w:marRight w:val="0"/>
      <w:marTop w:val="0"/>
      <w:marBottom w:val="0"/>
      <w:divBdr>
        <w:top w:val="none" w:sz="0" w:space="0" w:color="auto"/>
        <w:left w:val="none" w:sz="0" w:space="0" w:color="auto"/>
        <w:bottom w:val="none" w:sz="0" w:space="0" w:color="auto"/>
        <w:right w:val="none" w:sz="0" w:space="0" w:color="auto"/>
      </w:divBdr>
      <w:divsChild>
        <w:div w:id="1755397580">
          <w:marLeft w:val="0"/>
          <w:marRight w:val="0"/>
          <w:marTop w:val="0"/>
          <w:marBottom w:val="0"/>
          <w:divBdr>
            <w:top w:val="none" w:sz="0" w:space="0" w:color="auto"/>
            <w:left w:val="none" w:sz="0" w:space="0" w:color="auto"/>
            <w:bottom w:val="none" w:sz="0" w:space="0" w:color="auto"/>
            <w:right w:val="none" w:sz="0" w:space="0" w:color="auto"/>
          </w:divBdr>
        </w:div>
      </w:divsChild>
    </w:div>
    <w:div w:id="1416629030">
      <w:bodyDiv w:val="1"/>
      <w:marLeft w:val="0"/>
      <w:marRight w:val="0"/>
      <w:marTop w:val="0"/>
      <w:marBottom w:val="0"/>
      <w:divBdr>
        <w:top w:val="none" w:sz="0" w:space="0" w:color="auto"/>
        <w:left w:val="none" w:sz="0" w:space="0" w:color="auto"/>
        <w:bottom w:val="none" w:sz="0" w:space="0" w:color="auto"/>
        <w:right w:val="none" w:sz="0" w:space="0" w:color="auto"/>
      </w:divBdr>
      <w:divsChild>
        <w:div w:id="1899128164">
          <w:marLeft w:val="0"/>
          <w:marRight w:val="0"/>
          <w:marTop w:val="0"/>
          <w:marBottom w:val="0"/>
          <w:divBdr>
            <w:top w:val="none" w:sz="0" w:space="0" w:color="auto"/>
            <w:left w:val="none" w:sz="0" w:space="0" w:color="auto"/>
            <w:bottom w:val="none" w:sz="0" w:space="0" w:color="auto"/>
            <w:right w:val="none" w:sz="0" w:space="0" w:color="auto"/>
          </w:divBdr>
        </w:div>
      </w:divsChild>
    </w:div>
    <w:div w:id="1479497568">
      <w:bodyDiv w:val="1"/>
      <w:marLeft w:val="0"/>
      <w:marRight w:val="0"/>
      <w:marTop w:val="0"/>
      <w:marBottom w:val="0"/>
      <w:divBdr>
        <w:top w:val="none" w:sz="0" w:space="0" w:color="auto"/>
        <w:left w:val="none" w:sz="0" w:space="0" w:color="auto"/>
        <w:bottom w:val="none" w:sz="0" w:space="0" w:color="auto"/>
        <w:right w:val="none" w:sz="0" w:space="0" w:color="auto"/>
      </w:divBdr>
      <w:divsChild>
        <w:div w:id="1168667518">
          <w:marLeft w:val="0"/>
          <w:marRight w:val="0"/>
          <w:marTop w:val="0"/>
          <w:marBottom w:val="0"/>
          <w:divBdr>
            <w:top w:val="none" w:sz="0" w:space="0" w:color="auto"/>
            <w:left w:val="none" w:sz="0" w:space="0" w:color="auto"/>
            <w:bottom w:val="none" w:sz="0" w:space="0" w:color="auto"/>
            <w:right w:val="none" w:sz="0" w:space="0" w:color="auto"/>
          </w:divBdr>
        </w:div>
      </w:divsChild>
    </w:div>
    <w:div w:id="1485201537">
      <w:bodyDiv w:val="1"/>
      <w:marLeft w:val="0"/>
      <w:marRight w:val="0"/>
      <w:marTop w:val="0"/>
      <w:marBottom w:val="0"/>
      <w:divBdr>
        <w:top w:val="none" w:sz="0" w:space="0" w:color="auto"/>
        <w:left w:val="none" w:sz="0" w:space="0" w:color="auto"/>
        <w:bottom w:val="none" w:sz="0" w:space="0" w:color="auto"/>
        <w:right w:val="none" w:sz="0" w:space="0" w:color="auto"/>
      </w:divBdr>
    </w:div>
    <w:div w:id="2027827149">
      <w:bodyDiv w:val="1"/>
      <w:marLeft w:val="0"/>
      <w:marRight w:val="0"/>
      <w:marTop w:val="0"/>
      <w:marBottom w:val="0"/>
      <w:divBdr>
        <w:top w:val="none" w:sz="0" w:space="0" w:color="auto"/>
        <w:left w:val="none" w:sz="0" w:space="0" w:color="auto"/>
        <w:bottom w:val="none" w:sz="0" w:space="0" w:color="auto"/>
        <w:right w:val="none" w:sz="0" w:space="0" w:color="auto"/>
      </w:divBdr>
      <w:divsChild>
        <w:div w:id="78993729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notes.xml.rels><?xml version="1.0" encoding="UTF-8" standalone="yes"?>
<Relationships xmlns="http://schemas.openxmlformats.org/package/2006/relationships"><Relationship Id="rId8" Type="http://schemas.openxmlformats.org/officeDocument/2006/relationships/hyperlink" Target="https://tinyurl.com/27l85ypx" TargetMode="External"/><Relationship Id="rId3" Type="http://schemas.openxmlformats.org/officeDocument/2006/relationships/hyperlink" Target="https://tinyurl.com/2xlm2fnw" TargetMode="External"/><Relationship Id="rId7" Type="http://schemas.openxmlformats.org/officeDocument/2006/relationships/hyperlink" Target="https://tinyl.co/3VOJ" TargetMode="External"/><Relationship Id="rId2" Type="http://schemas.openxmlformats.org/officeDocument/2006/relationships/hyperlink" Target="https://tinyl.io/BS5J" TargetMode="External"/><Relationship Id="rId1" Type="http://schemas.openxmlformats.org/officeDocument/2006/relationships/hyperlink" Target="https://tinyl.co/3VJh" TargetMode="External"/><Relationship Id="rId6" Type="http://schemas.openxmlformats.org/officeDocument/2006/relationships/hyperlink" Target="https://tinyurl.com/24p37f9k" TargetMode="External"/><Relationship Id="rId5" Type="http://schemas.openxmlformats.org/officeDocument/2006/relationships/hyperlink" Target="https://tinyurl.com/25kq9uqv" TargetMode="External"/><Relationship Id="rId4" Type="http://schemas.openxmlformats.org/officeDocument/2006/relationships/hyperlink" Target="https://tinyurl.com/2af45p5j" TargetMode="External"/><Relationship Id="rId9" Type="http://schemas.openxmlformats.org/officeDocument/2006/relationships/hyperlink" Target="https://tinyurl.com/2cdgega2"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16</TotalTime>
  <Pages>6</Pages>
  <Words>2133</Words>
  <Characters>12162</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14267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Manar Ibrahim</dc:creator>
  <cp:keywords/>
  <dc:description/>
  <cp:lastModifiedBy>Manar Ibrahim</cp:lastModifiedBy>
  <cp:revision>1</cp:revision>
  <dcterms:created xsi:type="dcterms:W3CDTF">2026-05-12T23:25:00Z</dcterms:created>
  <dcterms:modified xsi:type="dcterms:W3CDTF">2026-05-12T23:42:00Z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17fb3b77-2660-4d34-a1ac-7ed9265a33e5</vt:lpwstr>
  </property>
</Properties>
</file>