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5A5579" w:rsidRDefault="005A5579">
      <w:pPr>
        <w:widowControl w:val="0"/>
        <w:pBdr>
          <w:top w:val="nil"/>
          <w:left w:val="nil"/>
          <w:bottom w:val="nil"/>
          <w:right w:val="nil"/>
          <w:between w:val="nil"/>
        </w:pBdr>
        <w:spacing w:line="276" w:lineRule="auto"/>
        <w:rPr>
          <w:rFonts w:ascii="Arial" w:eastAsia="Arial" w:hAnsi="Arial" w:cs="Arial"/>
          <w:color w:val="000000"/>
          <w:sz w:val="22"/>
          <w:szCs w:val="22"/>
        </w:rPr>
      </w:pPr>
    </w:p>
    <w:tbl>
      <w:tblPr>
        <w:tblStyle w:val="a"/>
        <w:tblW w:w="88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41"/>
        <w:gridCol w:w="2400"/>
        <w:gridCol w:w="4315"/>
      </w:tblGrid>
      <w:tr w:rsidR="005A5579" w14:paraId="54CC4CAB" w14:textId="77777777">
        <w:tc>
          <w:tcPr>
            <w:tcW w:w="4541" w:type="dxa"/>
            <w:gridSpan w:val="2"/>
          </w:tcPr>
          <w:p w14:paraId="00000002" w14:textId="77777777" w:rsidR="005A5579" w:rsidRDefault="00FD3209">
            <w:pPr>
              <w:rPr>
                <w:rFonts w:ascii="Times New Roman" w:eastAsia="Times New Roman" w:hAnsi="Times New Roman" w:cs="Times New Roman"/>
              </w:rPr>
            </w:pPr>
            <w:bookmarkStart w:id="0" w:name="_heading=h.gjdgxs" w:colFirst="0" w:colLast="0"/>
            <w:bookmarkEnd w:id="0"/>
            <w:r>
              <w:rPr>
                <w:noProof/>
              </w:rPr>
              <w:drawing>
                <wp:anchor distT="0" distB="0" distL="114300" distR="114300" simplePos="0" relativeHeight="251658240" behindDoc="0" locked="0" layoutInCell="1" hidden="0" allowOverlap="1" wp14:anchorId="23E71060" wp14:editId="726BE693">
                  <wp:simplePos x="0" y="0"/>
                  <wp:positionH relativeFrom="column">
                    <wp:posOffset>1015637</wp:posOffset>
                  </wp:positionH>
                  <wp:positionV relativeFrom="paragraph">
                    <wp:posOffset>0</wp:posOffset>
                  </wp:positionV>
                  <wp:extent cx="898525" cy="887095"/>
                  <wp:effectExtent l="0" t="0" r="0" b="0"/>
                  <wp:wrapSquare wrapText="bothSides" distT="0" distB="0" distL="114300" distR="11430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898525" cy="887095"/>
                          </a:xfrm>
                          <a:prstGeom prst="rect">
                            <a:avLst/>
                          </a:prstGeom>
                          <a:ln/>
                        </pic:spPr>
                      </pic:pic>
                    </a:graphicData>
                  </a:graphic>
                </wp:anchor>
              </w:drawing>
            </w:r>
          </w:p>
          <w:p w14:paraId="00000003" w14:textId="77777777" w:rsidR="005A5579" w:rsidRDefault="005A5579">
            <w:pPr>
              <w:rPr>
                <w:rFonts w:ascii="Times New Roman" w:eastAsia="Times New Roman" w:hAnsi="Times New Roman" w:cs="Times New Roman"/>
              </w:rPr>
            </w:pPr>
          </w:p>
          <w:p w14:paraId="00000004" w14:textId="77777777" w:rsidR="005A5579" w:rsidRDefault="005A5579">
            <w:pPr>
              <w:rPr>
                <w:rFonts w:ascii="Times New Roman" w:eastAsia="Times New Roman" w:hAnsi="Times New Roman" w:cs="Times New Roman"/>
              </w:rPr>
            </w:pPr>
          </w:p>
        </w:tc>
        <w:tc>
          <w:tcPr>
            <w:tcW w:w="4315" w:type="dxa"/>
          </w:tcPr>
          <w:p w14:paraId="00000009" w14:textId="77777777" w:rsidR="005A5579" w:rsidRDefault="00FD3209">
            <w:pPr>
              <w:rPr>
                <w:rFonts w:ascii="Times New Roman" w:eastAsia="Times New Roman" w:hAnsi="Times New Roman" w:cs="Times New Roman"/>
                <w:b/>
              </w:rPr>
            </w:pPr>
            <w:r>
              <w:rPr>
                <w:rFonts w:ascii="Times New Roman" w:eastAsia="Times New Roman" w:hAnsi="Times New Roman" w:cs="Times New Roman"/>
                <w:b/>
              </w:rPr>
              <w:t>CRC # Session</w:t>
            </w:r>
          </w:p>
          <w:p w14:paraId="0000000A" w14:textId="77777777" w:rsidR="005A5579" w:rsidRDefault="00FD3209">
            <w:pPr>
              <w:rPr>
                <w:rFonts w:ascii="Times New Roman" w:eastAsia="Times New Roman" w:hAnsi="Times New Roman" w:cs="Times New Roman"/>
              </w:rPr>
            </w:pPr>
            <w:r>
              <w:rPr>
                <w:rFonts w:ascii="Times New Roman" w:eastAsia="Times New Roman" w:hAnsi="Times New Roman" w:cs="Times New Roman"/>
              </w:rPr>
              <w:t>Country name:</w:t>
            </w:r>
          </w:p>
          <w:p w14:paraId="0000000B" w14:textId="4F6EE931" w:rsidR="005A5579" w:rsidRDefault="008F2BE5">
            <w:pPr>
              <w:rPr>
                <w:rFonts w:ascii="Times New Roman" w:eastAsia="Times New Roman" w:hAnsi="Times New Roman" w:cs="Times New Roman"/>
              </w:rPr>
            </w:pPr>
            <w:r>
              <w:rPr>
                <w:rFonts w:ascii="Times New Roman" w:eastAsia="Times New Roman" w:hAnsi="Times New Roman" w:cs="Times New Roman"/>
              </w:rPr>
              <w:t>Spain</w:t>
            </w:r>
          </w:p>
        </w:tc>
      </w:tr>
      <w:tr w:rsidR="005A5579" w14:paraId="7B03D074" w14:textId="77777777">
        <w:tc>
          <w:tcPr>
            <w:tcW w:w="8856" w:type="dxa"/>
            <w:gridSpan w:val="3"/>
          </w:tcPr>
          <w:p w14:paraId="0000000F" w14:textId="77777777" w:rsidR="005A5579" w:rsidRDefault="005A5579">
            <w:pPr>
              <w:jc w:val="both"/>
              <w:rPr>
                <w:rFonts w:ascii="Times New Roman" w:eastAsia="Times New Roman" w:hAnsi="Times New Roman" w:cs="Times New Roman"/>
                <w:color w:val="222222"/>
                <w:highlight w:val="white"/>
              </w:rPr>
            </w:pPr>
          </w:p>
          <w:p w14:paraId="00000010" w14:textId="77777777" w:rsidR="005A5579" w:rsidRDefault="00FD3209">
            <w:pPr>
              <w:jc w:val="center"/>
              <w:rPr>
                <w:rFonts w:ascii="Times New Roman" w:eastAsia="Times New Roman" w:hAnsi="Times New Roman" w:cs="Times New Roman"/>
                <w:b/>
                <w:color w:val="222222"/>
                <w:highlight w:val="white"/>
              </w:rPr>
            </w:pPr>
            <w:r>
              <w:rPr>
                <w:rFonts w:ascii="Times New Roman" w:eastAsia="Times New Roman" w:hAnsi="Times New Roman" w:cs="Times New Roman"/>
                <w:b/>
                <w:color w:val="222222"/>
                <w:highlight w:val="white"/>
              </w:rPr>
              <w:t>Appropriate pre-trial detention times for children</w:t>
            </w:r>
          </w:p>
          <w:p w14:paraId="00000011" w14:textId="77777777" w:rsidR="005A5579" w:rsidRDefault="005A5579">
            <w:pPr>
              <w:jc w:val="both"/>
              <w:rPr>
                <w:rFonts w:ascii="Times New Roman" w:eastAsia="Times New Roman" w:hAnsi="Times New Roman" w:cs="Times New Roman"/>
                <w:color w:val="222222"/>
                <w:highlight w:val="white"/>
              </w:rPr>
            </w:pPr>
          </w:p>
          <w:p w14:paraId="00000012" w14:textId="77777777" w:rsidR="005A5579" w:rsidRDefault="00FD3209">
            <w:pPr>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Cluster of rights:</w:t>
            </w:r>
          </w:p>
          <w:p w14:paraId="00000013" w14:textId="77777777" w:rsidR="005A5579" w:rsidRDefault="00FD3209">
            <w:pPr>
              <w:pBdr>
                <w:top w:val="nil"/>
                <w:left w:val="nil"/>
                <w:bottom w:val="nil"/>
                <w:right w:val="nil"/>
                <w:between w:val="nil"/>
              </w:pBdr>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Convention on the Rights of the Child Article 37(b): No child shall be deprived of his or her liberty unlawfully or arbitrarily. The arrest, detention or imprisonment of a child shall be in conformity with the law and shall be used only as a measure of last resort and for the shortest appropriate period of time; </w:t>
            </w:r>
          </w:p>
          <w:p w14:paraId="00000014" w14:textId="77777777" w:rsidR="005A5579" w:rsidRDefault="00FD3209">
            <w:pPr>
              <w:pBdr>
                <w:top w:val="nil"/>
                <w:left w:val="nil"/>
                <w:bottom w:val="nil"/>
                <w:right w:val="nil"/>
                <w:between w:val="nil"/>
              </w:pBdr>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Convention Against Torture Article 2</w:t>
            </w:r>
          </w:p>
          <w:p w14:paraId="00000015" w14:textId="77777777" w:rsidR="005A5579" w:rsidRDefault="00FD3209">
            <w:pPr>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Areas of concern:</w:t>
            </w:r>
          </w:p>
          <w:p w14:paraId="00000016" w14:textId="77777777" w:rsidR="005A5579" w:rsidRDefault="005A5579">
            <w:pPr>
              <w:jc w:val="both"/>
              <w:rPr>
                <w:rFonts w:ascii="Times New Roman" w:eastAsia="Times New Roman" w:hAnsi="Times New Roman" w:cs="Times New Roman"/>
                <w:color w:val="222222"/>
                <w:highlight w:val="white"/>
              </w:rPr>
            </w:pPr>
          </w:p>
          <w:p w14:paraId="00000017" w14:textId="77777777" w:rsidR="005A5579" w:rsidRDefault="00FD3209">
            <w:pPr>
              <w:jc w:val="both"/>
              <w:rPr>
                <w:rFonts w:ascii="Times New Roman" w:eastAsia="Times New Roman" w:hAnsi="Times New Roman" w:cs="Times New Roman"/>
              </w:rPr>
            </w:pPr>
            <w:bookmarkStart w:id="1" w:name="_heading=h.30j0zll" w:colFirst="0" w:colLast="0"/>
            <w:bookmarkEnd w:id="1"/>
            <w:r>
              <w:rPr>
                <w:rFonts w:ascii="Times New Roman" w:eastAsia="Times New Roman" w:hAnsi="Times New Roman" w:cs="Times New Roman"/>
              </w:rPr>
              <w:t>The international human rights community needs to adopt stricter time limits for children in pretrial detention. International law strictly limits the circumstances in which children can be placed in detention while awaiting trial or while under investigation pre-charge. Pretrial detention should only be used in exceptional circumstances, where it is necessary to ensure the child’s appearance at the court proceedings, or where the child is an immediate danger to himself/herself or others.</w:t>
            </w:r>
            <w:r>
              <w:rPr>
                <w:rFonts w:ascii="Times New Roman" w:eastAsia="Times New Roman" w:hAnsi="Times New Roman" w:cs="Times New Roman"/>
                <w:vertAlign w:val="superscript"/>
              </w:rPr>
              <w:footnoteReference w:id="1"/>
            </w:r>
            <w:r>
              <w:rPr>
                <w:rFonts w:ascii="Times New Roman" w:eastAsia="Times New Roman" w:hAnsi="Times New Roman" w:cs="Times New Roman"/>
              </w:rPr>
              <w:t xml:space="preserve"> Pretrial detention is only permitted as a measure of last resort and for “</w:t>
            </w:r>
            <w:r>
              <w:rPr>
                <w:rFonts w:ascii="Times New Roman" w:eastAsia="Times New Roman" w:hAnsi="Times New Roman" w:cs="Times New Roman"/>
                <w:i/>
              </w:rPr>
              <w:t>the shortest appropriate period of time</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2"/>
            </w:r>
            <w:r>
              <w:rPr>
                <w:rFonts w:ascii="Times New Roman" w:eastAsia="Times New Roman" w:hAnsi="Times New Roman" w:cs="Times New Roman"/>
              </w:rPr>
              <w:t> However, there is no clarity around what is meant by an “</w:t>
            </w:r>
            <w:r>
              <w:rPr>
                <w:rFonts w:ascii="Times New Roman" w:eastAsia="Times New Roman" w:hAnsi="Times New Roman" w:cs="Times New Roman"/>
                <w:i/>
              </w:rPr>
              <w:t>appropriate period of time</w:t>
            </w:r>
            <w:r>
              <w:rPr>
                <w:rFonts w:ascii="Times New Roman" w:eastAsia="Times New Roman" w:hAnsi="Times New Roman" w:cs="Times New Roman"/>
              </w:rPr>
              <w:t>.” The Committee on the Rights of the Child, in General Comment 10, recommended that children who are detained should be formally charged within 30 days and once charged, that a final decision should be made by the court within six months.</w:t>
            </w:r>
            <w:r>
              <w:rPr>
                <w:rFonts w:ascii="Times New Roman" w:eastAsia="Times New Roman" w:hAnsi="Times New Roman" w:cs="Times New Roman"/>
                <w:vertAlign w:val="superscript"/>
              </w:rPr>
              <w:footnoteReference w:id="3"/>
            </w:r>
            <w:r>
              <w:rPr>
                <w:rFonts w:ascii="Times New Roman" w:eastAsia="Times New Roman" w:hAnsi="Times New Roman" w:cs="Times New Roman"/>
              </w:rPr>
              <w:t xml:space="preserve"> The Committee additionally recommended that any such detention should be reviewed regularly by a competent body</w:t>
            </w:r>
            <w:r>
              <w:rPr>
                <w:rFonts w:ascii="Times New Roman" w:eastAsia="Times New Roman" w:hAnsi="Times New Roman" w:cs="Times New Roman"/>
                <w:vertAlign w:val="superscript"/>
              </w:rPr>
              <w:footnoteReference w:id="4"/>
            </w:r>
            <w:r>
              <w:rPr>
                <w:rFonts w:ascii="Times New Roman" w:eastAsia="Times New Roman" w:hAnsi="Times New Roman" w:cs="Times New Roman"/>
              </w:rPr>
              <w:t xml:space="preserve"> These recommendations can and should be strengthened.</w:t>
            </w:r>
          </w:p>
          <w:p w14:paraId="00000018" w14:textId="77777777" w:rsidR="005A5579" w:rsidRDefault="005A5579">
            <w:pPr>
              <w:jc w:val="both"/>
              <w:rPr>
                <w:rFonts w:ascii="Times New Roman" w:eastAsia="Times New Roman" w:hAnsi="Times New Roman" w:cs="Times New Roman"/>
              </w:rPr>
            </w:pPr>
          </w:p>
          <w:p w14:paraId="00000019" w14:textId="77777777" w:rsidR="005A5579" w:rsidRDefault="00FD3209">
            <w:pPr>
              <w:jc w:val="both"/>
              <w:rPr>
                <w:rFonts w:ascii="Times New Roman" w:eastAsia="Times New Roman" w:hAnsi="Times New Roman" w:cs="Times New Roman"/>
              </w:rPr>
            </w:pPr>
            <w:bookmarkStart w:id="2" w:name="_heading=h.1fob9te" w:colFirst="0" w:colLast="0"/>
            <w:bookmarkEnd w:id="2"/>
            <w:r>
              <w:rPr>
                <w:rFonts w:ascii="Times New Roman" w:eastAsia="Times New Roman" w:hAnsi="Times New Roman" w:cs="Times New Roman"/>
              </w:rPr>
              <w:t>Defendants in pretrial detention are more likely to be abused, mistreated and tortured,</w:t>
            </w:r>
            <w:r>
              <w:rPr>
                <w:rFonts w:ascii="Times New Roman" w:eastAsia="Times New Roman" w:hAnsi="Times New Roman" w:cs="Times New Roman"/>
                <w:vertAlign w:val="superscript"/>
              </w:rPr>
              <w:footnoteReference w:id="5"/>
            </w:r>
            <w:r>
              <w:rPr>
                <w:rFonts w:ascii="Times New Roman" w:eastAsia="Times New Roman" w:hAnsi="Times New Roman" w:cs="Times New Roman"/>
              </w:rPr>
              <w:t xml:space="preserve"> and children are particularly vulnerable. In many countries, the lack of adequate facilities, food and sanitation, insufficient access to education and training, and compromised contact with family and friends makes even short periods of time in pretrial detention traumatic for children. Detention has been shown to significantly increase the risk of depression, suicide, </w:t>
            </w:r>
            <w:r>
              <w:rPr>
                <w:rFonts w:ascii="Times New Roman" w:eastAsia="Times New Roman" w:hAnsi="Times New Roman" w:cs="Times New Roman"/>
              </w:rPr>
              <w:lastRenderedPageBreak/>
              <w:t>school drop-out, and drug use among children.</w:t>
            </w:r>
            <w:r>
              <w:rPr>
                <w:rFonts w:ascii="Times New Roman" w:eastAsia="Times New Roman" w:hAnsi="Times New Roman" w:cs="Times New Roman"/>
                <w:vertAlign w:val="superscript"/>
              </w:rPr>
              <w:footnoteReference w:id="6"/>
            </w:r>
            <w:r>
              <w:rPr>
                <w:rFonts w:ascii="Times New Roman" w:eastAsia="Times New Roman" w:hAnsi="Times New Roman" w:cs="Times New Roman"/>
              </w:rPr>
              <w:t xml:space="preserve"> Research shows that children’s sense of time is significantly different than adults, making even short periods of detention particularly harmful.</w:t>
            </w:r>
            <w:r>
              <w:rPr>
                <w:rFonts w:ascii="Times New Roman" w:eastAsia="Times New Roman" w:hAnsi="Times New Roman" w:cs="Times New Roman"/>
                <w:vertAlign w:val="superscript"/>
              </w:rPr>
              <w:footnoteReference w:id="7"/>
            </w:r>
            <w:r>
              <w:rPr>
                <w:rFonts w:ascii="Times New Roman" w:eastAsia="Times New Roman" w:hAnsi="Times New Roman" w:cs="Times New Roman"/>
              </w:rPr>
              <w:t xml:space="preserve"> Unfortunately, in many countries the majority of children in detention are awaiting trial and may spend months or years behind bars before having their cases resolved. As a result, it is critical that children’s rights organizations advocate for significant reductions in the use of pretrial detention as well as speedier trials in order to reduce the duration of pretrial detention. </w:t>
            </w:r>
          </w:p>
          <w:p w14:paraId="0000001A" w14:textId="77777777" w:rsidR="005A5579" w:rsidRDefault="005A5579">
            <w:pPr>
              <w:jc w:val="both"/>
              <w:rPr>
                <w:rFonts w:ascii="Times New Roman" w:eastAsia="Times New Roman" w:hAnsi="Times New Roman" w:cs="Times New Roman"/>
              </w:rPr>
            </w:pPr>
          </w:p>
          <w:p w14:paraId="0000001B" w14:textId="77777777" w:rsidR="005A5579" w:rsidRDefault="00FD3209">
            <w:pPr>
              <w:jc w:val="both"/>
              <w:rPr>
                <w:rFonts w:ascii="Times New Roman" w:eastAsia="Times New Roman" w:hAnsi="Times New Roman" w:cs="Times New Roman"/>
              </w:rPr>
            </w:pPr>
            <w:bookmarkStart w:id="3" w:name="_heading=h.3znysh7" w:colFirst="0" w:colLast="0"/>
            <w:bookmarkEnd w:id="3"/>
            <w:r>
              <w:rPr>
                <w:rFonts w:ascii="Times New Roman" w:eastAsia="Times New Roman" w:hAnsi="Times New Roman" w:cs="Times New Roman"/>
              </w:rPr>
              <w:t>While significant research, documentation, and best practices exist for monitoring detention conditions and implementing alternatives to detention, there is very little international research that documents the duration of child pretrial detention. Some organizations advocate for a maximum of 30 days for children in pretrial detention, and many countries have clear legal maximums.</w:t>
            </w:r>
            <w:r>
              <w:rPr>
                <w:rFonts w:ascii="Times New Roman" w:eastAsia="Times New Roman" w:hAnsi="Times New Roman" w:cs="Times New Roman"/>
                <w:vertAlign w:val="superscript"/>
              </w:rPr>
              <w:footnoteReference w:id="8"/>
            </w:r>
            <w:r>
              <w:rPr>
                <w:rFonts w:ascii="Times New Roman" w:eastAsia="Times New Roman" w:hAnsi="Times New Roman" w:cs="Times New Roman"/>
              </w:rPr>
              <w:t xml:space="preserve"> Yet it is unclear which nations are in fact adhering to a statutory maximum, what the average pretrial duration is, or what emerging good practices may be for reducing the duration of pretrial detention. </w:t>
            </w:r>
          </w:p>
          <w:p w14:paraId="0000001C" w14:textId="77777777" w:rsidR="005A5579" w:rsidRDefault="005A5579">
            <w:pPr>
              <w:jc w:val="both"/>
              <w:rPr>
                <w:rFonts w:ascii="Times New Roman" w:eastAsia="Times New Roman" w:hAnsi="Times New Roman" w:cs="Times New Roman"/>
              </w:rPr>
            </w:pPr>
          </w:p>
          <w:p w14:paraId="0000001D" w14:textId="77777777" w:rsidR="005A5579" w:rsidRDefault="00FD3209">
            <w:pPr>
              <w:jc w:val="both"/>
              <w:rPr>
                <w:rFonts w:ascii="Times New Roman" w:eastAsia="Times New Roman" w:hAnsi="Times New Roman" w:cs="Times New Roman"/>
              </w:rPr>
            </w:pPr>
            <w:r>
              <w:rPr>
                <w:rFonts w:ascii="Times New Roman" w:eastAsia="Times New Roman" w:hAnsi="Times New Roman" w:cs="Times New Roman"/>
              </w:rPr>
              <w:t>Criminal justice procedures for children vary widely throughout the world, and it appears that international and regional human rights bodies have, to date, been reticent to prescribe what constitutes the “</w:t>
            </w:r>
            <w:r>
              <w:rPr>
                <w:rFonts w:ascii="Times New Roman" w:eastAsia="Times New Roman" w:hAnsi="Times New Roman" w:cs="Times New Roman"/>
                <w:i/>
              </w:rPr>
              <w:t>shortest appropriate time</w:t>
            </w:r>
            <w:r>
              <w:rPr>
                <w:rFonts w:ascii="Times New Roman" w:eastAsia="Times New Roman" w:hAnsi="Times New Roman" w:cs="Times New Roman"/>
              </w:rPr>
              <w:t>” for pretrial detention for children. Clarification is desperately needed since children in many countries are suffering irreversible harm from spending excessive periods of time in pretrial detention. Even in jurisdictions that have successfully implemented alternatives to detention, children still spend months or years in pretrial detention, often longer than any sentence they might receive on conviction. It is reportedly common for children to receive conditional release or diversion after months of pretrial detention</w:t>
            </w:r>
            <w:r>
              <w:rPr>
                <w:rFonts w:ascii="Times New Roman" w:eastAsia="Times New Roman" w:hAnsi="Times New Roman" w:cs="Times New Roman"/>
                <w:vertAlign w:val="superscript"/>
              </w:rPr>
              <w:footnoteReference w:id="9"/>
            </w:r>
            <w:r>
              <w:rPr>
                <w:rFonts w:ascii="Times New Roman" w:eastAsia="Times New Roman" w:hAnsi="Times New Roman" w:cs="Times New Roman"/>
              </w:rPr>
              <w:t xml:space="preserve">. This means that the most significant time spent deprived of liberty is while awaiting trial, when children are ostensibly presumed innocent. </w:t>
            </w:r>
          </w:p>
          <w:p w14:paraId="0000001E" w14:textId="77777777" w:rsidR="005A5579" w:rsidRDefault="005A5579">
            <w:pPr>
              <w:jc w:val="both"/>
              <w:rPr>
                <w:rFonts w:ascii="Times New Roman" w:eastAsia="Times New Roman" w:hAnsi="Times New Roman" w:cs="Times New Roman"/>
              </w:rPr>
            </w:pPr>
          </w:p>
          <w:p w14:paraId="0000001F" w14:textId="77777777" w:rsidR="005A5579" w:rsidRDefault="00FD3209">
            <w:pPr>
              <w:jc w:val="both"/>
              <w:rPr>
                <w:rFonts w:ascii="Times New Roman" w:eastAsia="Times New Roman" w:hAnsi="Times New Roman" w:cs="Times New Roman"/>
              </w:rPr>
            </w:pPr>
            <w:r>
              <w:rPr>
                <w:rFonts w:ascii="Times New Roman" w:eastAsia="Times New Roman" w:hAnsi="Times New Roman" w:cs="Times New Roman"/>
              </w:rPr>
              <w:t xml:space="preserve">The </w:t>
            </w:r>
            <w:r>
              <w:rPr>
                <w:rFonts w:ascii="Times New Roman" w:eastAsia="Times New Roman" w:hAnsi="Times New Roman" w:cs="Times New Roman"/>
                <w:i/>
              </w:rPr>
              <w:t>Children in Pretrial Detention: Promoting Stronger International Time Limits</w:t>
            </w:r>
            <w:r>
              <w:rPr>
                <w:rFonts w:ascii="Times New Roman" w:eastAsia="Times New Roman" w:hAnsi="Times New Roman" w:cs="Times New Roman"/>
              </w:rPr>
              <w:t xml:space="preserve"> report serves as a baseline for the committee to expand on country practices regarding times of pre-trial detention of children. </w:t>
            </w:r>
          </w:p>
          <w:p w14:paraId="00000020" w14:textId="77777777" w:rsidR="005A5579" w:rsidRDefault="005A5579">
            <w:pPr>
              <w:jc w:val="both"/>
              <w:rPr>
                <w:rFonts w:ascii="Times New Roman" w:eastAsia="Times New Roman" w:hAnsi="Times New Roman" w:cs="Times New Roman"/>
              </w:rPr>
            </w:pPr>
          </w:p>
          <w:p w14:paraId="00000021" w14:textId="77777777" w:rsidR="005A5579" w:rsidRDefault="00FD3209">
            <w:pPr>
              <w:jc w:val="both"/>
              <w:rPr>
                <w:rFonts w:ascii="Times New Roman" w:eastAsia="Times New Roman" w:hAnsi="Times New Roman" w:cs="Times New Roman"/>
              </w:rPr>
            </w:pPr>
            <w:r>
              <w:rPr>
                <w:rFonts w:ascii="Times New Roman" w:eastAsia="Times New Roman" w:hAnsi="Times New Roman" w:cs="Times New Roman"/>
              </w:rPr>
              <w:t xml:space="preserve">State actors and civil society should be made aware that reducing the duration of pretrial detention for children is an urgent priority, and they need the tools to understand both </w:t>
            </w:r>
            <w:r>
              <w:rPr>
                <w:rFonts w:ascii="Times New Roman" w:eastAsia="Times New Roman" w:hAnsi="Times New Roman" w:cs="Times New Roman"/>
              </w:rPr>
              <w:lastRenderedPageBreak/>
              <w:t>effective practices which can reduce pretrial detention, as well as the governing international standards. This report represents an important step toward these goals.</w:t>
            </w:r>
          </w:p>
          <w:p w14:paraId="00000022" w14:textId="77777777" w:rsidR="005A5579" w:rsidRDefault="005A5579">
            <w:pPr>
              <w:rPr>
                <w:rFonts w:ascii="Times New Roman" w:eastAsia="Times New Roman" w:hAnsi="Times New Roman" w:cs="Times New Roman"/>
              </w:rPr>
            </w:pPr>
          </w:p>
          <w:p w14:paraId="00000023" w14:textId="77777777" w:rsidR="005A5579" w:rsidRDefault="005A5579">
            <w:pPr>
              <w:rPr>
                <w:rFonts w:ascii="Times New Roman" w:eastAsia="Times New Roman" w:hAnsi="Times New Roman" w:cs="Times New Roman"/>
              </w:rPr>
            </w:pPr>
            <w:bookmarkStart w:id="4" w:name="_heading=h.2et92p0" w:colFirst="0" w:colLast="0"/>
            <w:bookmarkEnd w:id="4"/>
          </w:p>
          <w:p w14:paraId="00000024" w14:textId="77777777" w:rsidR="005A5579" w:rsidRDefault="005A5579">
            <w:pPr>
              <w:jc w:val="both"/>
              <w:rPr>
                <w:rFonts w:ascii="Times New Roman" w:eastAsia="Times New Roman" w:hAnsi="Times New Roman" w:cs="Times New Roman"/>
                <w:color w:val="222222"/>
                <w:highlight w:val="white"/>
              </w:rPr>
            </w:pPr>
          </w:p>
          <w:p w14:paraId="00000025" w14:textId="77777777" w:rsidR="005A5579" w:rsidRDefault="00FD3209">
            <w:pPr>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Methodology:</w:t>
            </w:r>
          </w:p>
          <w:p w14:paraId="00000026" w14:textId="77777777" w:rsidR="005A5579" w:rsidRDefault="005A5579">
            <w:pPr>
              <w:jc w:val="both"/>
              <w:rPr>
                <w:rFonts w:ascii="Times New Roman" w:eastAsia="Times New Roman" w:hAnsi="Times New Roman" w:cs="Times New Roman"/>
                <w:color w:val="222222"/>
                <w:highlight w:val="white"/>
              </w:rPr>
            </w:pPr>
          </w:p>
          <w:p w14:paraId="00000027" w14:textId="77777777" w:rsidR="005A5579" w:rsidRDefault="00FD3209">
            <w:pPr>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This alternative report is based on a previous global report on pre-trial detention times of 119 CRC State parties. Such report was conducted by reviewing the respective current statutes or court rules in force at the time that the data was collected. When the actual statute or court rule could not be directly examined, when unavailable, secondary sources such as UN reports, Concluding Observations from the CRC Committee, or other IGO or NGO reports, were used to determine the content of the statute.</w:t>
            </w:r>
          </w:p>
          <w:p w14:paraId="00000028" w14:textId="77777777" w:rsidR="005A5579" w:rsidRDefault="005A5579">
            <w:pPr>
              <w:jc w:val="both"/>
              <w:rPr>
                <w:rFonts w:ascii="Times New Roman" w:eastAsia="Times New Roman" w:hAnsi="Times New Roman" w:cs="Times New Roman"/>
                <w:color w:val="222222"/>
                <w:highlight w:val="white"/>
              </w:rPr>
            </w:pPr>
          </w:p>
          <w:p w14:paraId="00000029" w14:textId="77777777" w:rsidR="005A5579" w:rsidRDefault="00FD3209">
            <w:pPr>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In defining the statutory time period of pretrial detention, when possible, the report applied the statutory maximum for pretrial detention based on the time allowed in detention from arrest until a sentence was established. However, varying jurisdictions defined pretrial detention differently or set limits based on alternative procedural milestones. Where the statute did not provide a length of days or it was unclear, the number of days was based on the national law’s definition of pretrial detention. </w:t>
            </w:r>
          </w:p>
          <w:p w14:paraId="0000002A" w14:textId="77777777" w:rsidR="005A5579" w:rsidRDefault="005A5579">
            <w:pPr>
              <w:jc w:val="both"/>
              <w:rPr>
                <w:rFonts w:ascii="Times New Roman" w:eastAsia="Times New Roman" w:hAnsi="Times New Roman" w:cs="Times New Roman"/>
                <w:color w:val="222222"/>
                <w:highlight w:val="white"/>
              </w:rPr>
            </w:pPr>
          </w:p>
          <w:p w14:paraId="0000002B" w14:textId="77777777" w:rsidR="005A5579" w:rsidRDefault="00FD3209">
            <w:pPr>
              <w:rPr>
                <w:rFonts w:ascii="Times New Roman" w:eastAsia="Times New Roman" w:hAnsi="Times New Roman" w:cs="Times New Roman"/>
              </w:rPr>
            </w:pPr>
            <w:r>
              <w:rPr>
                <w:rFonts w:ascii="Times New Roman" w:eastAsia="Times New Roman" w:hAnsi="Times New Roman" w:cs="Times New Roman"/>
                <w:color w:val="222222"/>
                <w:highlight w:val="white"/>
              </w:rPr>
              <w:t xml:space="preserve">The number of days were calculated at 30 days per month when the statue used a number of months rather than days for durations shorter than one year. Monthly durations beyond one year are added to a 365-day period. </w:t>
            </w:r>
            <w:r>
              <w:rPr>
                <w:rFonts w:ascii="Times New Roman" w:eastAsia="Times New Roman" w:hAnsi="Times New Roman" w:cs="Times New Roman"/>
              </w:rPr>
              <w:t>For example, 18 months was calculated as one year (365 days) plus six months (six 30-day periods, or180 days) to be 545 days. All time limits and averages were rounded to the closest whole day.</w:t>
            </w:r>
          </w:p>
          <w:p w14:paraId="0000002C" w14:textId="77777777" w:rsidR="005A5579" w:rsidRDefault="005A5579">
            <w:pPr>
              <w:rPr>
                <w:rFonts w:ascii="Times New Roman" w:eastAsia="Times New Roman" w:hAnsi="Times New Roman" w:cs="Times New Roman"/>
              </w:rPr>
            </w:pPr>
          </w:p>
          <w:p w14:paraId="0000002D" w14:textId="77777777" w:rsidR="005A5579" w:rsidRDefault="00FD3209">
            <w:pPr>
              <w:jc w:val="both"/>
              <w:rPr>
                <w:rFonts w:ascii="Times New Roman" w:eastAsia="Times New Roman" w:hAnsi="Times New Roman" w:cs="Times New Roman"/>
              </w:rPr>
            </w:pPr>
            <w:r>
              <w:rPr>
                <w:rFonts w:ascii="Times New Roman" w:eastAsia="Times New Roman" w:hAnsi="Times New Roman" w:cs="Times New Roman"/>
              </w:rPr>
              <w:t xml:space="preserve">If a statute referenced another law or calculation, such as a portion of time based on the possible sentence, such calculation was made. However, when sufficient information could not be found to calculate the time, a maximum limit was not included. </w:t>
            </w:r>
          </w:p>
          <w:p w14:paraId="0000002E" w14:textId="77777777" w:rsidR="005A5579" w:rsidRDefault="005A5579">
            <w:pPr>
              <w:rPr>
                <w:rFonts w:ascii="Times New Roman" w:eastAsia="Times New Roman" w:hAnsi="Times New Roman" w:cs="Times New Roman"/>
              </w:rPr>
            </w:pPr>
          </w:p>
          <w:p w14:paraId="0000002F" w14:textId="77777777" w:rsidR="005A5579" w:rsidRDefault="00FD3209">
            <w:pPr>
              <w:rPr>
                <w:rFonts w:ascii="Times New Roman" w:eastAsia="Times New Roman" w:hAnsi="Times New Roman" w:cs="Times New Roman"/>
              </w:rPr>
            </w:pPr>
            <w:r>
              <w:rPr>
                <w:rFonts w:ascii="Times New Roman" w:eastAsia="Times New Roman" w:hAnsi="Times New Roman" w:cs="Times New Roman"/>
              </w:rPr>
              <w:t xml:space="preserve">If the pretrial detention time limit was defined based on multiple procedural steps, such as X days from arrest to arraignment and Y number of days from arraignment until sentencing, then the longest possible number of days allowed were added for each step to establish the pretrial detention time limit. Most countries do not include in their limits the time held before first hearing or initial charge </w:t>
            </w:r>
          </w:p>
          <w:p w14:paraId="00000030" w14:textId="77777777" w:rsidR="005A5579" w:rsidRDefault="005A5579">
            <w:pPr>
              <w:rPr>
                <w:rFonts w:ascii="Times New Roman" w:eastAsia="Times New Roman" w:hAnsi="Times New Roman" w:cs="Times New Roman"/>
              </w:rPr>
            </w:pPr>
          </w:p>
          <w:p w14:paraId="00000031" w14:textId="77777777" w:rsidR="005A5579" w:rsidRDefault="00FD3209">
            <w:pPr>
              <w:rPr>
                <w:rFonts w:ascii="Times New Roman" w:eastAsia="Times New Roman" w:hAnsi="Times New Roman" w:cs="Times New Roman"/>
                <w:color w:val="222222"/>
                <w:highlight w:val="white"/>
              </w:rPr>
            </w:pPr>
            <w:r>
              <w:rPr>
                <w:rFonts w:ascii="Times New Roman" w:eastAsia="Times New Roman" w:hAnsi="Times New Roman" w:cs="Times New Roman"/>
              </w:rPr>
              <w:t xml:space="preserve">Most jurisdictions did not indicate any time limit for children in pretrial detention pending appeals. For the sake of uniformity, only limits based on pretrial detention before the first adjudication were used. State practices are unclear when a case is appealed, and the child is in pretrial detention, such as if the clock is suspended or if the time limit still applies. </w:t>
            </w:r>
          </w:p>
          <w:p w14:paraId="00000032" w14:textId="77777777" w:rsidR="005A5579" w:rsidRDefault="005A5579">
            <w:pPr>
              <w:jc w:val="both"/>
              <w:rPr>
                <w:rFonts w:ascii="Times New Roman" w:eastAsia="Times New Roman" w:hAnsi="Times New Roman" w:cs="Times New Roman"/>
                <w:color w:val="222222"/>
                <w:highlight w:val="white"/>
              </w:rPr>
            </w:pPr>
          </w:p>
          <w:p w14:paraId="00000033" w14:textId="77777777" w:rsidR="005A5579" w:rsidRDefault="005A5579">
            <w:pPr>
              <w:jc w:val="both"/>
              <w:rPr>
                <w:rFonts w:ascii="Times New Roman" w:eastAsia="Times New Roman" w:hAnsi="Times New Roman" w:cs="Times New Roman"/>
                <w:color w:val="222222"/>
                <w:highlight w:val="white"/>
              </w:rPr>
            </w:pPr>
          </w:p>
        </w:tc>
      </w:tr>
      <w:tr w:rsidR="005A5579" w14:paraId="1EF6770F" w14:textId="77777777">
        <w:tc>
          <w:tcPr>
            <w:tcW w:w="8856" w:type="dxa"/>
            <w:gridSpan w:val="3"/>
          </w:tcPr>
          <w:p w14:paraId="43102C7C" w14:textId="77777777" w:rsidR="004C3769" w:rsidRDefault="004C3769">
            <w:pPr>
              <w:jc w:val="center"/>
              <w:rPr>
                <w:rFonts w:ascii="Times New Roman" w:eastAsia="Times New Roman" w:hAnsi="Times New Roman" w:cs="Times New Roman"/>
              </w:rPr>
            </w:pPr>
          </w:p>
          <w:p w14:paraId="0000004E" w14:textId="1CCEC2B4" w:rsidR="005A5579" w:rsidRDefault="004C3769">
            <w:pPr>
              <w:jc w:val="center"/>
              <w:rPr>
                <w:rFonts w:ascii="Times New Roman" w:eastAsia="Times New Roman" w:hAnsi="Times New Roman" w:cs="Times New Roman"/>
              </w:rPr>
            </w:pPr>
            <w:r>
              <w:rPr>
                <w:rFonts w:ascii="Times New Roman" w:eastAsia="Times New Roman" w:hAnsi="Times New Roman" w:cs="Times New Roman"/>
              </w:rPr>
              <w:lastRenderedPageBreak/>
              <w:t>Spain has a child specific blanket pretrial detention limit of 180 days with extensions that can amount to a maximum of 270 for children</w:t>
            </w:r>
            <w:r w:rsidR="008F2BE5">
              <w:rPr>
                <w:rFonts w:ascii="Times New Roman" w:eastAsia="Times New Roman" w:hAnsi="Times New Roman" w:cs="Times New Roman"/>
              </w:rPr>
              <w:t xml:space="preserve"> </w:t>
            </w:r>
          </w:p>
        </w:tc>
      </w:tr>
      <w:tr w:rsidR="005A5579" w:rsidRPr="009527F5" w14:paraId="70423E1B" w14:textId="77777777">
        <w:tc>
          <w:tcPr>
            <w:tcW w:w="2141" w:type="dxa"/>
          </w:tcPr>
          <w:p w14:paraId="00000057" w14:textId="77777777" w:rsidR="005A5579" w:rsidRDefault="00FD3209">
            <w:pPr>
              <w:rPr>
                <w:rFonts w:ascii="Times New Roman" w:eastAsia="Times New Roman" w:hAnsi="Times New Roman" w:cs="Times New Roman"/>
              </w:rPr>
            </w:pPr>
            <w:r>
              <w:rPr>
                <w:rFonts w:ascii="Times New Roman" w:eastAsia="Times New Roman" w:hAnsi="Times New Roman" w:cs="Times New Roman"/>
              </w:rPr>
              <w:lastRenderedPageBreak/>
              <w:t>Statute Citation</w:t>
            </w:r>
          </w:p>
        </w:tc>
        <w:tc>
          <w:tcPr>
            <w:tcW w:w="6715" w:type="dxa"/>
            <w:gridSpan w:val="2"/>
          </w:tcPr>
          <w:p w14:paraId="05C7C02C" w14:textId="77777777" w:rsidR="008F2BE5" w:rsidRPr="008F2BE5" w:rsidRDefault="008F2BE5">
            <w:pPr>
              <w:rPr>
                <w:rFonts w:ascii="Times New Roman" w:eastAsia="Times New Roman" w:hAnsi="Times New Roman" w:cs="Times New Roman"/>
              </w:rPr>
            </w:pPr>
          </w:p>
          <w:p w14:paraId="37D3E455" w14:textId="4B5205E9" w:rsidR="008F2BE5" w:rsidRPr="008F2BE5" w:rsidRDefault="008F2BE5" w:rsidP="008F2BE5">
            <w:pPr>
              <w:pStyle w:val="NormalWeb"/>
              <w:rPr>
                <w:color w:val="3A3A3A"/>
                <w:spacing w:val="2"/>
              </w:rPr>
            </w:pPr>
            <w:r w:rsidRPr="008F2BE5">
              <w:rPr>
                <w:color w:val="3A3A3A"/>
                <w:spacing w:val="2"/>
              </w:rPr>
              <w:t xml:space="preserve">Article </w:t>
            </w:r>
            <w:r w:rsidR="004C3769">
              <w:rPr>
                <w:color w:val="3A3A3A"/>
                <w:spacing w:val="2"/>
              </w:rPr>
              <w:t>28</w:t>
            </w:r>
            <w:r w:rsidRPr="008F2BE5">
              <w:rPr>
                <w:color w:val="3A3A3A"/>
                <w:spacing w:val="2"/>
              </w:rPr>
              <w:t xml:space="preserve"> of the Basic Act on Juvenile Criminal Liability (AJCL) (</w:t>
            </w:r>
            <w:r w:rsidRPr="008F2BE5">
              <w:rPr>
                <w:rStyle w:val="Emphasis"/>
                <w:color w:val="3A3A3A"/>
                <w:spacing w:val="2"/>
              </w:rPr>
              <w:t xml:space="preserve">Ley </w:t>
            </w:r>
            <w:proofErr w:type="spellStart"/>
            <w:r w:rsidRPr="008F2BE5">
              <w:rPr>
                <w:rStyle w:val="Emphasis"/>
                <w:color w:val="3A3A3A"/>
                <w:spacing w:val="2"/>
              </w:rPr>
              <w:t>Orgánica</w:t>
            </w:r>
            <w:proofErr w:type="spellEnd"/>
            <w:r w:rsidRPr="008F2BE5">
              <w:rPr>
                <w:rStyle w:val="Emphasis"/>
                <w:color w:val="3A3A3A"/>
                <w:spacing w:val="2"/>
              </w:rPr>
              <w:t xml:space="preserve"> 5/2000, de 12 de </w:t>
            </w:r>
            <w:proofErr w:type="spellStart"/>
            <w:r w:rsidRPr="008F2BE5">
              <w:rPr>
                <w:rStyle w:val="Emphasis"/>
                <w:color w:val="3A3A3A"/>
                <w:spacing w:val="2"/>
              </w:rPr>
              <w:t>enero</w:t>
            </w:r>
            <w:proofErr w:type="spellEnd"/>
            <w:r w:rsidRPr="008F2BE5">
              <w:rPr>
                <w:rStyle w:val="Emphasis"/>
                <w:color w:val="3A3A3A"/>
                <w:spacing w:val="2"/>
              </w:rPr>
              <w:t xml:space="preserve">, </w:t>
            </w:r>
            <w:proofErr w:type="spellStart"/>
            <w:r w:rsidRPr="008F2BE5">
              <w:rPr>
                <w:rStyle w:val="Emphasis"/>
                <w:color w:val="3A3A3A"/>
                <w:spacing w:val="2"/>
              </w:rPr>
              <w:t>reguladora</w:t>
            </w:r>
            <w:proofErr w:type="spellEnd"/>
            <w:r w:rsidRPr="008F2BE5">
              <w:rPr>
                <w:rStyle w:val="Emphasis"/>
                <w:color w:val="3A3A3A"/>
                <w:spacing w:val="2"/>
              </w:rPr>
              <w:t xml:space="preserve"> de la </w:t>
            </w:r>
            <w:proofErr w:type="spellStart"/>
            <w:r w:rsidRPr="008F2BE5">
              <w:rPr>
                <w:rStyle w:val="Emphasis"/>
                <w:color w:val="3A3A3A"/>
                <w:spacing w:val="2"/>
              </w:rPr>
              <w:t>responsabilidad</w:t>
            </w:r>
            <w:proofErr w:type="spellEnd"/>
            <w:r w:rsidRPr="008F2BE5">
              <w:rPr>
                <w:rStyle w:val="Emphasis"/>
                <w:color w:val="3A3A3A"/>
                <w:spacing w:val="2"/>
              </w:rPr>
              <w:t xml:space="preserve"> penal de los </w:t>
            </w:r>
            <w:proofErr w:type="spellStart"/>
            <w:r w:rsidRPr="008F2BE5">
              <w:rPr>
                <w:rStyle w:val="Emphasis"/>
                <w:color w:val="3A3A3A"/>
                <w:spacing w:val="2"/>
              </w:rPr>
              <w:t>menores</w:t>
            </w:r>
            <w:proofErr w:type="spellEnd"/>
            <w:r w:rsidRPr="008F2BE5">
              <w:rPr>
                <w:color w:val="3A3A3A"/>
                <w:spacing w:val="2"/>
              </w:rPr>
              <w:t>) (document available only in Spanish language): </w:t>
            </w:r>
          </w:p>
          <w:p w14:paraId="46DC4788" w14:textId="77777777" w:rsidR="004C3769" w:rsidRPr="009527F5" w:rsidRDefault="004C3769" w:rsidP="004C3769">
            <w:pPr>
              <w:rPr>
                <w:rFonts w:ascii="Times New Roman" w:eastAsia="Times New Roman" w:hAnsi="Times New Roman" w:cs="Times New Roman"/>
                <w:lang w:val="es-ES"/>
              </w:rPr>
            </w:pPr>
            <w:r w:rsidRPr="009527F5">
              <w:rPr>
                <w:rFonts w:ascii="Times New Roman" w:eastAsia="Times New Roman" w:hAnsi="Times New Roman" w:cs="Times New Roman"/>
                <w:lang w:val="es-ES"/>
              </w:rPr>
              <w:t>3. El tiempo máximo de la medida cautelar de internamiento será de seis meses, y podrá prorrogarse, a instancia del Ministerio Fiscal, previa audiencia del letrado del menor y mediante auto motivado, por otros tres meses como máximo</w:t>
            </w:r>
          </w:p>
          <w:p w14:paraId="7C9A7F62" w14:textId="77777777" w:rsidR="004C3769" w:rsidRPr="009527F5" w:rsidRDefault="004C3769" w:rsidP="008F2BE5">
            <w:pPr>
              <w:pStyle w:val="NormalWeb"/>
              <w:rPr>
                <w:lang w:val="es-ES"/>
              </w:rPr>
            </w:pPr>
          </w:p>
          <w:p w14:paraId="00000058" w14:textId="35FAEDAE" w:rsidR="008F2BE5" w:rsidRPr="009527F5" w:rsidRDefault="008F2BE5">
            <w:pPr>
              <w:rPr>
                <w:rFonts w:ascii="Times New Roman" w:eastAsia="Times New Roman" w:hAnsi="Times New Roman" w:cs="Times New Roman"/>
                <w:lang w:val="es-ES"/>
              </w:rPr>
            </w:pPr>
          </w:p>
        </w:tc>
      </w:tr>
      <w:tr w:rsidR="005A5579" w14:paraId="385592D6" w14:textId="77777777">
        <w:tc>
          <w:tcPr>
            <w:tcW w:w="2141" w:type="dxa"/>
          </w:tcPr>
          <w:p w14:paraId="00000060" w14:textId="77777777" w:rsidR="005A5579" w:rsidRDefault="00FD3209">
            <w:pPr>
              <w:rPr>
                <w:rFonts w:ascii="Times New Roman" w:eastAsia="Times New Roman" w:hAnsi="Times New Roman" w:cs="Times New Roman"/>
              </w:rPr>
            </w:pPr>
            <w:r>
              <w:rPr>
                <w:rFonts w:ascii="Times New Roman" w:eastAsia="Times New Roman" w:hAnsi="Times New Roman" w:cs="Times New Roman"/>
              </w:rPr>
              <w:t>JJI Recommendation</w:t>
            </w:r>
          </w:p>
        </w:tc>
        <w:tc>
          <w:tcPr>
            <w:tcW w:w="6715" w:type="dxa"/>
            <w:gridSpan w:val="2"/>
          </w:tcPr>
          <w:p w14:paraId="00000061" w14:textId="2C30ED25" w:rsidR="005A5579" w:rsidRDefault="00FD3209">
            <w:pPr>
              <w:rPr>
                <w:rFonts w:ascii="Times New Roman" w:eastAsia="Times New Roman" w:hAnsi="Times New Roman" w:cs="Times New Roman"/>
              </w:rPr>
            </w:pPr>
            <w:r>
              <w:rPr>
                <w:rFonts w:ascii="Times New Roman" w:eastAsia="Times New Roman" w:hAnsi="Times New Roman" w:cs="Times New Roman"/>
              </w:rPr>
              <w:t xml:space="preserve">Clarifying purpose and length of </w:t>
            </w:r>
            <w:proofErr w:type="spellStart"/>
            <w:r>
              <w:rPr>
                <w:rFonts w:ascii="Times New Roman" w:eastAsia="Times New Roman" w:hAnsi="Times New Roman" w:cs="Times New Roman"/>
              </w:rPr>
              <w:t>pre trial</w:t>
            </w:r>
            <w:proofErr w:type="spellEnd"/>
            <w:r>
              <w:rPr>
                <w:rFonts w:ascii="Times New Roman" w:eastAsia="Times New Roman" w:hAnsi="Times New Roman" w:cs="Times New Roman"/>
              </w:rPr>
              <w:t xml:space="preserve"> detention</w:t>
            </w:r>
          </w:p>
        </w:tc>
      </w:tr>
      <w:tr w:rsidR="005A5579" w14:paraId="45EEED7D" w14:textId="77777777">
        <w:tc>
          <w:tcPr>
            <w:tcW w:w="2141" w:type="dxa"/>
          </w:tcPr>
          <w:p w14:paraId="00000069" w14:textId="77777777" w:rsidR="005A5579" w:rsidRDefault="00FD3209">
            <w:pPr>
              <w:rPr>
                <w:rFonts w:ascii="Times New Roman" w:eastAsia="Times New Roman" w:hAnsi="Times New Roman" w:cs="Times New Roman"/>
              </w:rPr>
            </w:pPr>
            <w:r>
              <w:rPr>
                <w:rFonts w:ascii="Times New Roman" w:eastAsia="Times New Roman" w:hAnsi="Times New Roman" w:cs="Times New Roman"/>
              </w:rPr>
              <w:t>Additional Information on the country</w:t>
            </w:r>
          </w:p>
        </w:tc>
        <w:tc>
          <w:tcPr>
            <w:tcW w:w="6715" w:type="dxa"/>
            <w:gridSpan w:val="2"/>
          </w:tcPr>
          <w:p w14:paraId="2F01EAC5" w14:textId="77777777" w:rsidR="005A5579" w:rsidRDefault="008F2BE5" w:rsidP="008F2BE5">
            <w:pPr>
              <w:pStyle w:val="ListParagraph"/>
              <w:numPr>
                <w:ilvl w:val="0"/>
                <w:numId w:val="2"/>
              </w:numPr>
              <w:rPr>
                <w:rFonts w:ascii="Times New Roman" w:eastAsia="Times New Roman" w:hAnsi="Times New Roman" w:cs="Times New Roman"/>
              </w:rPr>
            </w:pPr>
            <w:r>
              <w:rPr>
                <w:rFonts w:ascii="Times New Roman" w:eastAsia="Times New Roman" w:hAnsi="Times New Roman" w:cs="Times New Roman"/>
              </w:rPr>
              <w:t>JJI recommends that Spain establish a maximum period of pretrial detention of juveniles at 30 days.</w:t>
            </w:r>
          </w:p>
          <w:p w14:paraId="23A3E7DE" w14:textId="77777777" w:rsidR="008F2BE5" w:rsidRDefault="008F2BE5" w:rsidP="008F2BE5">
            <w:pPr>
              <w:pStyle w:val="ListParagraph"/>
              <w:numPr>
                <w:ilvl w:val="0"/>
                <w:numId w:val="2"/>
              </w:numPr>
              <w:rPr>
                <w:rFonts w:ascii="Times New Roman" w:eastAsia="Times New Roman" w:hAnsi="Times New Roman" w:cs="Times New Roman"/>
              </w:rPr>
            </w:pPr>
            <w:r>
              <w:rPr>
                <w:rFonts w:ascii="Times New Roman" w:eastAsia="Times New Roman" w:hAnsi="Times New Roman" w:cs="Times New Roman"/>
              </w:rPr>
              <w:t>JJI recommends that Spain establish that the maximum 30-day period for pretrial detention of minors can be extended only once by another 30-day period.</w:t>
            </w:r>
          </w:p>
          <w:p w14:paraId="69619E80" w14:textId="77777777" w:rsidR="008F2BE5" w:rsidRDefault="008F2BE5" w:rsidP="008F2BE5">
            <w:pPr>
              <w:pStyle w:val="ListParagraph"/>
              <w:numPr>
                <w:ilvl w:val="0"/>
                <w:numId w:val="2"/>
              </w:numPr>
              <w:rPr>
                <w:rFonts w:ascii="Times New Roman" w:eastAsia="Times New Roman" w:hAnsi="Times New Roman" w:cs="Times New Roman"/>
              </w:rPr>
            </w:pPr>
            <w:r>
              <w:rPr>
                <w:rFonts w:ascii="Times New Roman" w:eastAsia="Times New Roman" w:hAnsi="Times New Roman" w:cs="Times New Roman"/>
              </w:rPr>
              <w:t>JJI recommends that Spain clarify that detention of juveniles before trial should only be used in exceptional situations.</w:t>
            </w:r>
          </w:p>
          <w:p w14:paraId="43F9DE64" w14:textId="77777777" w:rsidR="008F2BE5" w:rsidRDefault="008F2BE5" w:rsidP="008F2BE5">
            <w:pPr>
              <w:pStyle w:val="ListParagraph"/>
              <w:numPr>
                <w:ilvl w:val="0"/>
                <w:numId w:val="2"/>
              </w:numPr>
              <w:rPr>
                <w:rFonts w:ascii="Times New Roman" w:eastAsia="Times New Roman" w:hAnsi="Times New Roman" w:cs="Times New Roman"/>
              </w:rPr>
            </w:pPr>
            <w:r>
              <w:rPr>
                <w:rFonts w:ascii="Times New Roman" w:eastAsia="Times New Roman" w:hAnsi="Times New Roman" w:cs="Times New Roman"/>
              </w:rPr>
              <w:t>JJI recommends that Spain establish that juveniles cannot be detained in the same facilities as adults.</w:t>
            </w:r>
          </w:p>
          <w:p w14:paraId="0000006A" w14:textId="41CB00B6" w:rsidR="008F2BE5" w:rsidRPr="008F2BE5" w:rsidRDefault="008F2BE5" w:rsidP="008F2BE5">
            <w:pPr>
              <w:pStyle w:val="ListParagraph"/>
              <w:numPr>
                <w:ilvl w:val="0"/>
                <w:numId w:val="2"/>
              </w:numPr>
              <w:rPr>
                <w:rFonts w:ascii="Times New Roman" w:eastAsia="Times New Roman" w:hAnsi="Times New Roman" w:cs="Times New Roman"/>
              </w:rPr>
            </w:pPr>
            <w:r>
              <w:rPr>
                <w:rFonts w:ascii="Times New Roman" w:eastAsia="Times New Roman" w:hAnsi="Times New Roman" w:cs="Times New Roman"/>
              </w:rPr>
              <w:t xml:space="preserve">JJI recommends Spain develop policy clarifying the purpose and scope of pretrial detention of juveniles. </w:t>
            </w:r>
          </w:p>
        </w:tc>
      </w:tr>
      <w:tr w:rsidR="005A5579" w14:paraId="7A19B4C4" w14:textId="77777777">
        <w:tc>
          <w:tcPr>
            <w:tcW w:w="2141" w:type="dxa"/>
          </w:tcPr>
          <w:p w14:paraId="00000072" w14:textId="77777777" w:rsidR="005A5579" w:rsidRDefault="00FD3209">
            <w:pPr>
              <w:rPr>
                <w:rFonts w:ascii="Times New Roman" w:eastAsia="Times New Roman" w:hAnsi="Times New Roman" w:cs="Times New Roman"/>
              </w:rPr>
            </w:pPr>
            <w:r>
              <w:rPr>
                <w:rFonts w:ascii="Times New Roman" w:eastAsia="Times New Roman" w:hAnsi="Times New Roman" w:cs="Times New Roman"/>
              </w:rPr>
              <w:t xml:space="preserve">Lines of Inquiry related to children </w:t>
            </w:r>
            <w:proofErr w:type="spellStart"/>
            <w:r>
              <w:rPr>
                <w:rFonts w:ascii="Times New Roman" w:eastAsia="Times New Roman" w:hAnsi="Times New Roman" w:cs="Times New Roman"/>
              </w:rPr>
              <w:t>pre trial</w:t>
            </w:r>
            <w:proofErr w:type="spellEnd"/>
            <w:r>
              <w:rPr>
                <w:rFonts w:ascii="Times New Roman" w:eastAsia="Times New Roman" w:hAnsi="Times New Roman" w:cs="Times New Roman"/>
              </w:rPr>
              <w:t xml:space="preserve"> detention </w:t>
            </w:r>
          </w:p>
        </w:tc>
        <w:tc>
          <w:tcPr>
            <w:tcW w:w="6715" w:type="dxa"/>
            <w:gridSpan w:val="2"/>
          </w:tcPr>
          <w:p w14:paraId="00000073" w14:textId="77777777" w:rsidR="005A5579" w:rsidRDefault="00FD3209">
            <w:pPr>
              <w:pBdr>
                <w:top w:val="nil"/>
                <w:left w:val="nil"/>
                <w:bottom w:val="nil"/>
                <w:right w:val="nil"/>
                <w:between w:val="nil"/>
              </w:pBdr>
              <w:jc w:val="both"/>
              <w:rPr>
                <w:rFonts w:ascii="Times New Roman" w:eastAsia="Times New Roman" w:hAnsi="Times New Roman" w:cs="Times New Roman"/>
              </w:rPr>
            </w:pPr>
            <w:r>
              <w:rPr>
                <w:rFonts w:ascii="Times New Roman" w:eastAsia="Times New Roman" w:hAnsi="Times New Roman" w:cs="Times New Roman"/>
              </w:rPr>
              <w:t>One or more if not already available:</w:t>
            </w:r>
          </w:p>
          <w:p w14:paraId="00000074" w14:textId="77777777" w:rsidR="005A5579" w:rsidRDefault="00FD3209">
            <w:pPr>
              <w:numPr>
                <w:ilvl w:val="1"/>
                <w:numId w:val="1"/>
              </w:numPr>
              <w:pBdr>
                <w:top w:val="nil"/>
                <w:left w:val="nil"/>
                <w:bottom w:val="nil"/>
                <w:right w:val="nil"/>
                <w:between w:val="nil"/>
              </w:pBd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Data on the average time children actually spend in pretrial detention.</w:t>
            </w:r>
          </w:p>
          <w:p w14:paraId="00000075" w14:textId="77777777" w:rsidR="005A5579" w:rsidRDefault="00FD3209">
            <w:pPr>
              <w:numPr>
                <w:ilvl w:val="1"/>
                <w:numId w:val="1"/>
              </w:numPr>
              <w:pBdr>
                <w:top w:val="nil"/>
                <w:left w:val="nil"/>
                <w:bottom w:val="nil"/>
                <w:right w:val="nil"/>
                <w:between w:val="nil"/>
              </w:pBd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Data on the number of children who spend longer than the maximum time in pretrial detention.</w:t>
            </w:r>
          </w:p>
          <w:p w14:paraId="00000076" w14:textId="77777777" w:rsidR="005A5579" w:rsidRDefault="00FD3209">
            <w:pPr>
              <w:numPr>
                <w:ilvl w:val="1"/>
                <w:numId w:val="1"/>
              </w:numPr>
              <w:pBdr>
                <w:top w:val="nil"/>
                <w:left w:val="nil"/>
                <w:bottom w:val="nil"/>
                <w:right w:val="nil"/>
                <w:between w:val="nil"/>
              </w:pBd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Data on duration of pretrial detention as it varies by race, gender, religion or other relevant characteristics.</w:t>
            </w:r>
          </w:p>
          <w:p w14:paraId="00000077" w14:textId="77777777" w:rsidR="005A5579" w:rsidRDefault="00FD3209">
            <w:pPr>
              <w:numPr>
                <w:ilvl w:val="1"/>
                <w:numId w:val="1"/>
              </w:numPr>
              <w:pBdr>
                <w:top w:val="nil"/>
                <w:left w:val="nil"/>
                <w:bottom w:val="nil"/>
                <w:right w:val="nil"/>
                <w:between w:val="nil"/>
              </w:pBd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Data on efforts to reduce the length of pretrial detention and expedite cases.</w:t>
            </w:r>
          </w:p>
          <w:p w14:paraId="00000078" w14:textId="77777777" w:rsidR="005A5579" w:rsidRDefault="00FD3209">
            <w:pPr>
              <w:numPr>
                <w:ilvl w:val="1"/>
                <w:numId w:val="1"/>
              </w:numPr>
              <w:pBdr>
                <w:top w:val="nil"/>
                <w:left w:val="nil"/>
                <w:bottom w:val="nil"/>
                <w:right w:val="nil"/>
                <w:between w:val="nil"/>
              </w:pBd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Information on how appeals and other challenges affect duration of pretrial detention.</w:t>
            </w:r>
          </w:p>
          <w:p w14:paraId="00000079" w14:textId="77777777" w:rsidR="005A5579" w:rsidRDefault="00FD3209">
            <w:pPr>
              <w:numPr>
                <w:ilvl w:val="1"/>
                <w:numId w:val="1"/>
              </w:numPr>
              <w:pBdr>
                <w:top w:val="nil"/>
                <w:left w:val="nil"/>
                <w:bottom w:val="nil"/>
                <w:right w:val="nil"/>
                <w:between w:val="nil"/>
              </w:pBd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Information on standards related to initial court appearance, determination of legality of initial detention, and judicial control over detention of children.</w:t>
            </w:r>
          </w:p>
          <w:p w14:paraId="0000007A" w14:textId="77777777" w:rsidR="005A5579" w:rsidRDefault="00FD3209">
            <w:pPr>
              <w:numPr>
                <w:ilvl w:val="1"/>
                <w:numId w:val="1"/>
              </w:numPr>
              <w:pBdr>
                <w:top w:val="nil"/>
                <w:left w:val="nil"/>
                <w:bottom w:val="nil"/>
                <w:right w:val="nil"/>
                <w:between w:val="nil"/>
              </w:pBdr>
              <w:spacing w:after="160" w:line="259"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Data on oversight and children’s access to legal counsel within pretrial detention.</w:t>
            </w:r>
          </w:p>
          <w:p w14:paraId="0000007B" w14:textId="77777777" w:rsidR="005A5579" w:rsidRDefault="005A5579">
            <w:pPr>
              <w:rPr>
                <w:rFonts w:ascii="Times New Roman" w:eastAsia="Times New Roman" w:hAnsi="Times New Roman" w:cs="Times New Roman"/>
              </w:rPr>
            </w:pPr>
          </w:p>
        </w:tc>
      </w:tr>
      <w:tr w:rsidR="005A5579" w14:paraId="4738B3AC" w14:textId="77777777">
        <w:tc>
          <w:tcPr>
            <w:tcW w:w="2141" w:type="dxa"/>
          </w:tcPr>
          <w:p w14:paraId="00000083" w14:textId="77777777" w:rsidR="005A5579" w:rsidRDefault="00FD3209">
            <w:pPr>
              <w:rPr>
                <w:rFonts w:ascii="Times New Roman" w:eastAsia="Times New Roman" w:hAnsi="Times New Roman" w:cs="Times New Roman"/>
              </w:rPr>
            </w:pPr>
            <w:r>
              <w:rPr>
                <w:rFonts w:ascii="Times New Roman" w:eastAsia="Times New Roman" w:hAnsi="Times New Roman" w:cs="Times New Roman"/>
              </w:rPr>
              <w:lastRenderedPageBreak/>
              <w:t>Link to Global Study</w:t>
            </w:r>
          </w:p>
        </w:tc>
        <w:tc>
          <w:tcPr>
            <w:tcW w:w="6715" w:type="dxa"/>
            <w:gridSpan w:val="2"/>
          </w:tcPr>
          <w:p w14:paraId="00000084" w14:textId="77777777" w:rsidR="005A5579" w:rsidRDefault="009527F5">
            <w:pPr>
              <w:shd w:val="clear" w:color="auto" w:fill="FFFFFF"/>
              <w:rPr>
                <w:rFonts w:ascii="Arial" w:eastAsia="Arial" w:hAnsi="Arial" w:cs="Arial"/>
                <w:color w:val="222222"/>
              </w:rPr>
            </w:pPr>
            <w:hyperlink r:id="rId9">
              <w:r w:rsidR="00FD3209">
                <w:rPr>
                  <w:rFonts w:ascii="Arial" w:eastAsia="Arial" w:hAnsi="Arial" w:cs="Arial"/>
                  <w:color w:val="1155CC"/>
                  <w:u w:val="single"/>
                </w:rPr>
                <w:br/>
                <w:t>https://jjimexico.org/ptd-report/</w:t>
              </w:r>
            </w:hyperlink>
          </w:p>
          <w:p w14:paraId="00000085" w14:textId="77777777" w:rsidR="005A5579" w:rsidRDefault="005A5579">
            <w:pPr>
              <w:rPr>
                <w:rFonts w:ascii="Times New Roman" w:eastAsia="Times New Roman" w:hAnsi="Times New Roman" w:cs="Times New Roman"/>
              </w:rPr>
            </w:pPr>
          </w:p>
        </w:tc>
      </w:tr>
    </w:tbl>
    <w:p w14:paraId="0000008D" w14:textId="77777777" w:rsidR="005A5579" w:rsidRDefault="005A5579">
      <w:pPr>
        <w:rPr>
          <w:rFonts w:ascii="Times New Roman" w:eastAsia="Times New Roman" w:hAnsi="Times New Roman" w:cs="Times New Roman"/>
        </w:rPr>
      </w:pPr>
    </w:p>
    <w:sectPr w:rsidR="005A5579">
      <w:pgSz w:w="12240" w:h="15840"/>
      <w:pgMar w:top="1440" w:right="1800" w:bottom="1440" w:left="18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A91915" w14:textId="77777777" w:rsidR="002D6CC2" w:rsidRDefault="002D6CC2">
      <w:r>
        <w:separator/>
      </w:r>
    </w:p>
  </w:endnote>
  <w:endnote w:type="continuationSeparator" w:id="0">
    <w:p w14:paraId="4B9173C7" w14:textId="77777777" w:rsidR="002D6CC2" w:rsidRDefault="002D6C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Lucida Grande">
    <w:charset w:val="00"/>
    <w:family w:val="swiss"/>
    <w:pitch w:val="variable"/>
    <w:sig w:usb0="E1000AEF" w:usb1="5000A1FF" w:usb2="00000000" w:usb3="00000000" w:csb0="000001B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4C4936" w14:textId="77777777" w:rsidR="002D6CC2" w:rsidRDefault="002D6CC2">
      <w:r>
        <w:separator/>
      </w:r>
    </w:p>
  </w:footnote>
  <w:footnote w:type="continuationSeparator" w:id="0">
    <w:p w14:paraId="777C468B" w14:textId="77777777" w:rsidR="002D6CC2" w:rsidRDefault="002D6CC2">
      <w:r>
        <w:continuationSeparator/>
      </w:r>
    </w:p>
  </w:footnote>
  <w:footnote w:id="1">
    <w:p w14:paraId="0000008E" w14:textId="77777777" w:rsidR="005A5579" w:rsidRDefault="00FD3209">
      <w:pPr>
        <w:rPr>
          <w:sz w:val="20"/>
          <w:szCs w:val="20"/>
        </w:rPr>
      </w:pPr>
      <w:r>
        <w:rPr>
          <w:rStyle w:val="FootnoteReference"/>
        </w:rPr>
        <w:footnoteRef/>
      </w:r>
      <w:r>
        <w:rPr>
          <w:sz w:val="20"/>
          <w:szCs w:val="20"/>
        </w:rPr>
        <w:t xml:space="preserve"> Patrick Webb &amp; William Allen </w:t>
      </w:r>
      <w:proofErr w:type="spellStart"/>
      <w:r>
        <w:rPr>
          <w:sz w:val="20"/>
          <w:szCs w:val="20"/>
        </w:rPr>
        <w:t>Kritsonis</w:t>
      </w:r>
      <w:proofErr w:type="spellEnd"/>
      <w:r>
        <w:rPr>
          <w:sz w:val="20"/>
          <w:szCs w:val="20"/>
        </w:rPr>
        <w:t xml:space="preserve">, </w:t>
      </w:r>
      <w:r>
        <w:rPr>
          <w:i/>
          <w:sz w:val="20"/>
          <w:szCs w:val="20"/>
        </w:rPr>
        <w:t>Controlling those Kids: Social Control and the Use of Pretrial Detention among Youth in the United States of America: National Implications</w:t>
      </w:r>
      <w:r>
        <w:rPr>
          <w:sz w:val="20"/>
          <w:szCs w:val="20"/>
        </w:rPr>
        <w:t xml:space="preserve">, </w:t>
      </w:r>
      <w:r>
        <w:rPr>
          <w:smallCaps/>
          <w:sz w:val="20"/>
          <w:szCs w:val="20"/>
        </w:rPr>
        <w:t xml:space="preserve">ERIC </w:t>
      </w:r>
      <w:r>
        <w:rPr>
          <w:sz w:val="20"/>
          <w:szCs w:val="20"/>
        </w:rPr>
        <w:t xml:space="preserve">(Oct. 2006), https://eric.ed.gov/?id=ED493565. </w:t>
      </w:r>
    </w:p>
  </w:footnote>
  <w:footnote w:id="2">
    <w:p w14:paraId="0000008F" w14:textId="77777777" w:rsidR="005A5579" w:rsidRDefault="00FD3209">
      <w:pPr>
        <w:rPr>
          <w:sz w:val="20"/>
          <w:szCs w:val="20"/>
        </w:rPr>
      </w:pPr>
      <w:r>
        <w:rPr>
          <w:rStyle w:val="FootnoteReference"/>
        </w:rPr>
        <w:footnoteRef/>
      </w:r>
      <w:r>
        <w:rPr>
          <w:sz w:val="20"/>
          <w:szCs w:val="20"/>
        </w:rPr>
        <w:t xml:space="preserve"> G.A. Res. 44/25, Convention on the Rights of the Child, art. 37(b) (Nov. 20, 1989) [hereinafter CRC].</w:t>
      </w:r>
    </w:p>
  </w:footnote>
  <w:footnote w:id="3">
    <w:p w14:paraId="00000090" w14:textId="77777777" w:rsidR="005A5579" w:rsidRDefault="00FD3209">
      <w:pPr>
        <w:pBdr>
          <w:top w:val="nil"/>
          <w:left w:val="nil"/>
          <w:bottom w:val="nil"/>
          <w:right w:val="nil"/>
          <w:between w:val="nil"/>
        </w:pBdr>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Comm. on the Rights of the Child, General Comment 10: Children's Rights in Juvenile Justice, § 80, U.N. Doc. CRC/C/GC/10 (Apr. 25, 2007) [hereinafter CRC General Comment 10].</w:t>
      </w:r>
    </w:p>
  </w:footnote>
  <w:footnote w:id="4">
    <w:p w14:paraId="00000091" w14:textId="77777777" w:rsidR="005A5579" w:rsidRDefault="00FD3209">
      <w:pPr>
        <w:pBdr>
          <w:top w:val="nil"/>
          <w:left w:val="nil"/>
          <w:bottom w:val="nil"/>
          <w:right w:val="nil"/>
          <w:between w:val="nil"/>
        </w:pBdr>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 xml:space="preserve">Id. </w:t>
      </w:r>
      <w:r>
        <w:rPr>
          <w:rFonts w:ascii="Times New Roman" w:eastAsia="Times New Roman" w:hAnsi="Times New Roman" w:cs="Times New Roman"/>
          <w:color w:val="000000"/>
          <w:sz w:val="20"/>
          <w:szCs w:val="20"/>
        </w:rPr>
        <w:t>¶ 83 (specifying that regular review is “preferably every two weeks”).</w:t>
      </w:r>
    </w:p>
  </w:footnote>
  <w:footnote w:id="5">
    <w:p w14:paraId="00000092" w14:textId="77777777" w:rsidR="005A5579" w:rsidRDefault="00FD3209">
      <w:pPr>
        <w:rPr>
          <w:sz w:val="20"/>
          <w:szCs w:val="20"/>
        </w:rPr>
      </w:pPr>
      <w:r>
        <w:rPr>
          <w:rStyle w:val="FootnoteReference"/>
        </w:rPr>
        <w:footnoteRef/>
      </w:r>
      <w:r>
        <w:rPr>
          <w:sz w:val="20"/>
          <w:szCs w:val="20"/>
        </w:rPr>
        <w:t xml:space="preserve"> Moritz </w:t>
      </w:r>
      <w:proofErr w:type="spellStart"/>
      <w:r>
        <w:rPr>
          <w:sz w:val="20"/>
          <w:szCs w:val="20"/>
        </w:rPr>
        <w:t>Birk</w:t>
      </w:r>
      <w:proofErr w:type="spellEnd"/>
      <w:r>
        <w:rPr>
          <w:sz w:val="20"/>
          <w:szCs w:val="20"/>
        </w:rPr>
        <w:t xml:space="preserve"> et. al., </w:t>
      </w:r>
      <w:r>
        <w:rPr>
          <w:i/>
          <w:sz w:val="20"/>
          <w:szCs w:val="20"/>
        </w:rPr>
        <w:t>Pretrial Detention and Torture: Why Pretrial Detainees Face the Greatest Risk</w:t>
      </w:r>
      <w:r>
        <w:rPr>
          <w:sz w:val="20"/>
          <w:szCs w:val="20"/>
        </w:rPr>
        <w:t xml:space="preserve">, 27, </w:t>
      </w:r>
      <w:r>
        <w:rPr>
          <w:smallCaps/>
          <w:sz w:val="20"/>
          <w:szCs w:val="20"/>
        </w:rPr>
        <w:t>Open Soc’y Found</w:t>
      </w:r>
      <w:r>
        <w:rPr>
          <w:sz w:val="20"/>
          <w:szCs w:val="20"/>
        </w:rPr>
        <w:t xml:space="preserve">. (2011)), </w:t>
      </w:r>
      <w:hyperlink r:id="rId1">
        <w:r>
          <w:rPr>
            <w:color w:val="000000"/>
            <w:sz w:val="20"/>
            <w:szCs w:val="20"/>
            <w:u w:val="single"/>
          </w:rPr>
          <w:t>https://www.opensocietyfoundations.org/sites/default/files/pretrial-detention-and-torture-06222011.pdf</w:t>
        </w:r>
      </w:hyperlink>
      <w:r>
        <w:rPr>
          <w:sz w:val="20"/>
          <w:szCs w:val="20"/>
        </w:rPr>
        <w:t xml:space="preserve">. </w:t>
      </w:r>
    </w:p>
  </w:footnote>
  <w:footnote w:id="6">
    <w:p w14:paraId="00000093" w14:textId="77777777" w:rsidR="005A5579" w:rsidRDefault="00FD3209">
      <w:pPr>
        <w:rPr>
          <w:sz w:val="20"/>
          <w:szCs w:val="20"/>
        </w:rPr>
      </w:pPr>
      <w:r>
        <w:rPr>
          <w:rStyle w:val="FootnoteReference"/>
        </w:rPr>
        <w:footnoteRef/>
      </w:r>
      <w:r>
        <w:rPr>
          <w:sz w:val="20"/>
          <w:szCs w:val="20"/>
        </w:rPr>
        <w:t xml:space="preserve"> Barry Holman &amp; Jason </w:t>
      </w:r>
      <w:proofErr w:type="spellStart"/>
      <w:r>
        <w:rPr>
          <w:sz w:val="20"/>
          <w:szCs w:val="20"/>
        </w:rPr>
        <w:t>Ziedenberg</w:t>
      </w:r>
      <w:proofErr w:type="spellEnd"/>
      <w:r>
        <w:rPr>
          <w:sz w:val="20"/>
          <w:szCs w:val="20"/>
        </w:rPr>
        <w:t xml:space="preserve">. </w:t>
      </w:r>
      <w:r>
        <w:rPr>
          <w:i/>
          <w:sz w:val="20"/>
          <w:szCs w:val="20"/>
        </w:rPr>
        <w:t>The Dangers of Detention: The Impact of Incarcerating Youth in Detention and Other Secure Facilities</w:t>
      </w:r>
      <w:r>
        <w:rPr>
          <w:sz w:val="20"/>
          <w:szCs w:val="20"/>
        </w:rPr>
        <w:t xml:space="preserve">, 3–10, </w:t>
      </w:r>
      <w:r>
        <w:rPr>
          <w:smallCaps/>
          <w:sz w:val="20"/>
          <w:szCs w:val="20"/>
        </w:rPr>
        <w:t xml:space="preserve">Just. </w:t>
      </w:r>
      <w:proofErr w:type="spellStart"/>
      <w:r>
        <w:rPr>
          <w:smallCaps/>
          <w:sz w:val="20"/>
          <w:szCs w:val="20"/>
        </w:rPr>
        <w:t>Pol’y</w:t>
      </w:r>
      <w:proofErr w:type="spellEnd"/>
      <w:r>
        <w:rPr>
          <w:smallCaps/>
          <w:sz w:val="20"/>
          <w:szCs w:val="20"/>
        </w:rPr>
        <w:t xml:space="preserve"> Inst.</w:t>
      </w:r>
      <w:r>
        <w:rPr>
          <w:sz w:val="20"/>
          <w:szCs w:val="20"/>
        </w:rPr>
        <w:t xml:space="preserve"> (Nov. 28, 2006), </w:t>
      </w:r>
      <w:hyperlink r:id="rId2">
        <w:r>
          <w:rPr>
            <w:color w:val="000000"/>
            <w:sz w:val="20"/>
            <w:szCs w:val="20"/>
            <w:u w:val="single"/>
          </w:rPr>
          <w:t>http://www.justicepolicy.org/images/upload/06-11_rep_dangersofdetention_jj.pdf</w:t>
        </w:r>
      </w:hyperlink>
      <w:r>
        <w:rPr>
          <w:sz w:val="20"/>
          <w:szCs w:val="20"/>
        </w:rPr>
        <w:t xml:space="preserve">. </w:t>
      </w:r>
    </w:p>
  </w:footnote>
  <w:footnote w:id="7">
    <w:p w14:paraId="00000094" w14:textId="77777777" w:rsidR="005A5579" w:rsidRDefault="00FD3209">
      <w:pPr>
        <w:pBdr>
          <w:top w:val="nil"/>
          <w:left w:val="nil"/>
          <w:bottom w:val="nil"/>
          <w:right w:val="nil"/>
          <w:between w:val="nil"/>
        </w:pBdr>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David E. Arredondo, </w:t>
      </w:r>
      <w:r>
        <w:rPr>
          <w:rFonts w:ascii="Times New Roman" w:eastAsia="Times New Roman" w:hAnsi="Times New Roman" w:cs="Times New Roman"/>
          <w:i/>
          <w:color w:val="000000"/>
          <w:sz w:val="20"/>
          <w:szCs w:val="20"/>
        </w:rPr>
        <w:t>Child Development, Children's Mental Health and the Juvenile Justice System: Principles for Effective Decision-Making</w:t>
      </w:r>
      <w:r>
        <w:rPr>
          <w:rFonts w:ascii="Times New Roman" w:eastAsia="Times New Roman" w:hAnsi="Times New Roman" w:cs="Times New Roman"/>
          <w:color w:val="000000"/>
          <w:sz w:val="20"/>
          <w:szCs w:val="20"/>
        </w:rPr>
        <w:t xml:space="preserve">, 14 </w:t>
      </w:r>
      <w:r>
        <w:rPr>
          <w:rFonts w:ascii="Times New Roman" w:eastAsia="Times New Roman" w:hAnsi="Times New Roman" w:cs="Times New Roman"/>
          <w:smallCaps/>
          <w:color w:val="000000"/>
          <w:sz w:val="20"/>
          <w:szCs w:val="20"/>
        </w:rPr>
        <w:t xml:space="preserve">Stan. L. &amp; </w:t>
      </w:r>
      <w:proofErr w:type="spellStart"/>
      <w:r>
        <w:rPr>
          <w:rFonts w:ascii="Times New Roman" w:eastAsia="Times New Roman" w:hAnsi="Times New Roman" w:cs="Times New Roman"/>
          <w:smallCaps/>
          <w:color w:val="000000"/>
          <w:sz w:val="20"/>
          <w:szCs w:val="20"/>
        </w:rPr>
        <w:t>Pol'y</w:t>
      </w:r>
      <w:proofErr w:type="spellEnd"/>
      <w:r>
        <w:rPr>
          <w:rFonts w:ascii="Times New Roman" w:eastAsia="Times New Roman" w:hAnsi="Times New Roman" w:cs="Times New Roman"/>
          <w:smallCaps/>
          <w:color w:val="000000"/>
          <w:sz w:val="20"/>
          <w:szCs w:val="20"/>
        </w:rPr>
        <w:t xml:space="preserve"> Rev</w:t>
      </w:r>
      <w:r>
        <w:rPr>
          <w:rFonts w:ascii="Times New Roman" w:eastAsia="Times New Roman" w:hAnsi="Times New Roman" w:cs="Times New Roman"/>
          <w:color w:val="000000"/>
          <w:sz w:val="20"/>
          <w:szCs w:val="20"/>
        </w:rPr>
        <w:t>. 13, 18–19 (2003).</w:t>
      </w:r>
    </w:p>
  </w:footnote>
  <w:footnote w:id="8">
    <w:p w14:paraId="00000095" w14:textId="77777777" w:rsidR="005A5579" w:rsidRDefault="00FD3209">
      <w:pPr>
        <w:rPr>
          <w:i/>
          <w:sz w:val="20"/>
          <w:szCs w:val="20"/>
        </w:rPr>
      </w:pPr>
      <w:r>
        <w:rPr>
          <w:rStyle w:val="FootnoteReference"/>
        </w:rPr>
        <w:footnoteRef/>
      </w:r>
      <w:r>
        <w:rPr>
          <w:sz w:val="20"/>
          <w:szCs w:val="20"/>
        </w:rPr>
        <w:t xml:space="preserve"> </w:t>
      </w:r>
      <w:r>
        <w:rPr>
          <w:i/>
          <w:sz w:val="20"/>
          <w:szCs w:val="20"/>
        </w:rPr>
        <w:t>E.g</w:t>
      </w:r>
      <w:r>
        <w:rPr>
          <w:sz w:val="20"/>
          <w:szCs w:val="20"/>
        </w:rPr>
        <w:t xml:space="preserve">. Marina </w:t>
      </w:r>
      <w:proofErr w:type="spellStart"/>
      <w:r>
        <w:rPr>
          <w:sz w:val="20"/>
          <w:szCs w:val="20"/>
        </w:rPr>
        <w:t>Ilminska</w:t>
      </w:r>
      <w:proofErr w:type="spellEnd"/>
      <w:r>
        <w:rPr>
          <w:sz w:val="20"/>
          <w:szCs w:val="20"/>
        </w:rPr>
        <w:t xml:space="preserve">, </w:t>
      </w:r>
      <w:r>
        <w:rPr>
          <w:i/>
          <w:sz w:val="20"/>
          <w:szCs w:val="20"/>
        </w:rPr>
        <w:t>Pretrial Detention of Juveniles: As Common as It Is Wrong</w:t>
      </w:r>
      <w:r>
        <w:rPr>
          <w:sz w:val="20"/>
          <w:szCs w:val="20"/>
        </w:rPr>
        <w:t xml:space="preserve">, </w:t>
      </w:r>
      <w:r>
        <w:rPr>
          <w:smallCaps/>
          <w:sz w:val="20"/>
          <w:szCs w:val="20"/>
        </w:rPr>
        <w:t>Open Soc’y Found.: Voices</w:t>
      </w:r>
      <w:r>
        <w:rPr>
          <w:sz w:val="20"/>
          <w:szCs w:val="20"/>
        </w:rPr>
        <w:t xml:space="preserve"> (Sept. 1, 2015), </w:t>
      </w:r>
      <w:hyperlink r:id="rId3">
        <w:r>
          <w:rPr>
            <w:color w:val="000000"/>
            <w:sz w:val="20"/>
            <w:szCs w:val="20"/>
            <w:u w:val="single"/>
          </w:rPr>
          <w:t>https://www.opensocietyfoundations.org/voices/pretrial-detention-juveniles-common-it-wrong</w:t>
        </w:r>
      </w:hyperlink>
      <w:r>
        <w:rPr>
          <w:sz w:val="20"/>
          <w:szCs w:val="20"/>
        </w:rPr>
        <w:t xml:space="preserve">. </w:t>
      </w:r>
    </w:p>
  </w:footnote>
  <w:footnote w:id="9">
    <w:p w14:paraId="00000096" w14:textId="77777777" w:rsidR="005A5579" w:rsidRDefault="00FD3209">
      <w:pPr>
        <w:rPr>
          <w:sz w:val="20"/>
          <w:szCs w:val="20"/>
        </w:rPr>
      </w:pPr>
      <w:r>
        <w:rPr>
          <w:rStyle w:val="FootnoteReference"/>
        </w:rPr>
        <w:footnoteRef/>
      </w:r>
      <w:r>
        <w:rPr>
          <w:sz w:val="20"/>
          <w:szCs w:val="20"/>
        </w:rPr>
        <w:t xml:space="preserve"> </w:t>
      </w:r>
      <w:r>
        <w:rPr>
          <w:i/>
          <w:sz w:val="20"/>
          <w:szCs w:val="20"/>
        </w:rPr>
        <w:t>E.g.</w:t>
      </w:r>
      <w:r>
        <w:rPr>
          <w:sz w:val="20"/>
          <w:szCs w:val="20"/>
        </w:rPr>
        <w:t xml:space="preserve">, </w:t>
      </w:r>
      <w:proofErr w:type="spellStart"/>
      <w:r>
        <w:rPr>
          <w:i/>
          <w:sz w:val="20"/>
          <w:szCs w:val="20"/>
        </w:rPr>
        <w:t>Diagnóstico</w:t>
      </w:r>
      <w:proofErr w:type="spellEnd"/>
      <w:r>
        <w:rPr>
          <w:i/>
          <w:sz w:val="20"/>
          <w:szCs w:val="20"/>
        </w:rPr>
        <w:t xml:space="preserve"> del Sistema de Justicia Para </w:t>
      </w:r>
      <w:proofErr w:type="spellStart"/>
      <w:r>
        <w:rPr>
          <w:i/>
          <w:sz w:val="20"/>
          <w:szCs w:val="20"/>
        </w:rPr>
        <w:t>Adolescentes</w:t>
      </w:r>
      <w:proofErr w:type="spellEnd"/>
      <w:r>
        <w:rPr>
          <w:i/>
          <w:sz w:val="20"/>
          <w:szCs w:val="20"/>
        </w:rPr>
        <w:t xml:space="preserve"> del Estado de Chihuahua: “</w:t>
      </w:r>
      <w:proofErr w:type="spellStart"/>
      <w:r>
        <w:rPr>
          <w:i/>
          <w:sz w:val="20"/>
          <w:szCs w:val="20"/>
        </w:rPr>
        <w:t>Buenas</w:t>
      </w:r>
      <w:proofErr w:type="spellEnd"/>
      <w:r>
        <w:rPr>
          <w:i/>
          <w:sz w:val="20"/>
          <w:szCs w:val="20"/>
        </w:rPr>
        <w:t xml:space="preserve"> </w:t>
      </w:r>
      <w:proofErr w:type="spellStart"/>
      <w:r>
        <w:rPr>
          <w:i/>
          <w:sz w:val="20"/>
          <w:szCs w:val="20"/>
        </w:rPr>
        <w:t>Prácticas</w:t>
      </w:r>
      <w:proofErr w:type="spellEnd"/>
      <w:r>
        <w:rPr>
          <w:i/>
          <w:sz w:val="20"/>
          <w:szCs w:val="20"/>
        </w:rPr>
        <w:t xml:space="preserve"> para las </w:t>
      </w:r>
      <w:proofErr w:type="spellStart"/>
      <w:r>
        <w:rPr>
          <w:i/>
          <w:sz w:val="20"/>
          <w:szCs w:val="20"/>
        </w:rPr>
        <w:t>Alternativas</w:t>
      </w:r>
      <w:proofErr w:type="spellEnd"/>
      <w:r>
        <w:rPr>
          <w:i/>
          <w:sz w:val="20"/>
          <w:szCs w:val="20"/>
        </w:rPr>
        <w:t xml:space="preserve"> a la </w:t>
      </w:r>
      <w:proofErr w:type="spellStart"/>
      <w:r>
        <w:rPr>
          <w:i/>
          <w:sz w:val="20"/>
          <w:szCs w:val="20"/>
        </w:rPr>
        <w:t>Detención</w:t>
      </w:r>
      <w:proofErr w:type="spellEnd"/>
      <w:r>
        <w:rPr>
          <w:i/>
          <w:sz w:val="20"/>
          <w:szCs w:val="20"/>
        </w:rPr>
        <w:t>”</w:t>
      </w:r>
      <w:r>
        <w:rPr>
          <w:sz w:val="20"/>
          <w:szCs w:val="20"/>
        </w:rPr>
        <w:t xml:space="preserve">, 8–10, </w:t>
      </w:r>
      <w:r>
        <w:rPr>
          <w:smallCaps/>
          <w:sz w:val="20"/>
          <w:szCs w:val="20"/>
        </w:rPr>
        <w:t xml:space="preserve">Justicia </w:t>
      </w:r>
      <w:proofErr w:type="spellStart"/>
      <w:r>
        <w:rPr>
          <w:smallCaps/>
          <w:sz w:val="20"/>
          <w:szCs w:val="20"/>
        </w:rPr>
        <w:t>Juvenil</w:t>
      </w:r>
      <w:proofErr w:type="spellEnd"/>
      <w:r>
        <w:rPr>
          <w:smallCaps/>
          <w:sz w:val="20"/>
          <w:szCs w:val="20"/>
        </w:rPr>
        <w:t xml:space="preserve"> Int’l</w:t>
      </w:r>
      <w:r>
        <w:rPr>
          <w:sz w:val="20"/>
          <w:szCs w:val="20"/>
        </w:rPr>
        <w:t xml:space="preserve"> (Sept. 2017) https://jjimexico.org/projects/chihuahua</w:t>
      </w:r>
      <w:r>
        <w:rPr>
          <w:color w:val="FF0000"/>
          <w:sz w:val="20"/>
          <w:szCs w:val="20"/>
        </w:rPr>
        <w:t xml:space="preserve"> </w:t>
      </w:r>
      <w:r>
        <w:rPr>
          <w:sz w:val="20"/>
          <w:szCs w:val="20"/>
        </w:rPr>
        <w:t xml:space="preserve">[hereinafter </w:t>
      </w:r>
      <w:proofErr w:type="spellStart"/>
      <w:r>
        <w:rPr>
          <w:i/>
          <w:sz w:val="20"/>
          <w:szCs w:val="20"/>
        </w:rPr>
        <w:t>Diagnóstico</w:t>
      </w:r>
      <w:proofErr w:type="spellEnd"/>
      <w:r>
        <w:rPr>
          <w:i/>
          <w:sz w:val="20"/>
          <w:szCs w:val="20"/>
        </w:rPr>
        <w:t xml:space="preserve"> 2017</w:t>
      </w:r>
      <w:r>
        <w:rPr>
          <w:sz w:val="20"/>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55D4022"/>
    <w:multiLevelType w:val="hybridMultilevel"/>
    <w:tmpl w:val="53A43ACA"/>
    <w:lvl w:ilvl="0" w:tplc="04090001">
      <w:start w:val="545"/>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0F702FC"/>
    <w:multiLevelType w:val="multilevel"/>
    <w:tmpl w:val="649C1186"/>
    <w:lvl w:ilvl="0">
      <w:start w:val="1"/>
      <w:numFmt w:val="decimal"/>
      <w:lvlText w:val="%1."/>
      <w:lvlJc w:val="left"/>
      <w:pPr>
        <w:ind w:left="720" w:hanging="360"/>
      </w:pPr>
    </w:lvl>
    <w:lvl w:ilvl="1">
      <w:start w:val="1"/>
      <w:numFmt w:val="bullet"/>
      <w:lvlText w:val="●"/>
      <w:lvlJc w:val="left"/>
      <w:pPr>
        <w:ind w:left="72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5579"/>
    <w:rsid w:val="002D6CC2"/>
    <w:rsid w:val="004C3769"/>
    <w:rsid w:val="005A5579"/>
    <w:rsid w:val="008F2BE5"/>
    <w:rsid w:val="009527F5"/>
    <w:rsid w:val="00C8322E"/>
    <w:rsid w:val="00EB4599"/>
    <w:rsid w:val="00FD32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1AC53"/>
  <w15:docId w15:val="{7225E621-BE98-A94A-8DD9-74F0E48F5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mbria" w:eastAsia="Cambria" w:hAnsi="Cambria" w:cs="Cambria"/>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59"/>
    <w:rsid w:val="00C23A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23A9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3A9F"/>
    <w:rPr>
      <w:rFonts w:ascii="Lucida Grande" w:hAnsi="Lucida Grande" w:cs="Lucida Grande"/>
      <w:sz w:val="18"/>
      <w:szCs w:val="18"/>
    </w:rPr>
  </w:style>
  <w:style w:type="paragraph" w:styleId="ListParagraph">
    <w:name w:val="List Paragraph"/>
    <w:basedOn w:val="Normal"/>
    <w:uiPriority w:val="34"/>
    <w:qFormat/>
    <w:rsid w:val="007641BC"/>
    <w:pPr>
      <w:spacing w:after="160" w:line="259" w:lineRule="auto"/>
      <w:ind w:left="720"/>
      <w:contextualSpacing/>
    </w:pPr>
    <w:rPr>
      <w:rFonts w:eastAsiaTheme="minorHAnsi"/>
      <w:sz w:val="22"/>
      <w:szCs w:val="22"/>
      <w:lang w:val="es-MX"/>
    </w:rPr>
  </w:style>
  <w:style w:type="character" w:styleId="CommentReference">
    <w:name w:val="annotation reference"/>
    <w:basedOn w:val="DefaultParagraphFont"/>
    <w:uiPriority w:val="99"/>
    <w:semiHidden/>
    <w:unhideWhenUsed/>
    <w:rsid w:val="0090460C"/>
    <w:rPr>
      <w:sz w:val="18"/>
      <w:szCs w:val="18"/>
    </w:rPr>
  </w:style>
  <w:style w:type="paragraph" w:styleId="CommentText">
    <w:name w:val="annotation text"/>
    <w:basedOn w:val="Normal"/>
    <w:link w:val="CommentTextChar"/>
    <w:uiPriority w:val="99"/>
    <w:semiHidden/>
    <w:unhideWhenUsed/>
    <w:rsid w:val="0090460C"/>
  </w:style>
  <w:style w:type="character" w:customStyle="1" w:styleId="CommentTextChar">
    <w:name w:val="Comment Text Char"/>
    <w:basedOn w:val="DefaultParagraphFont"/>
    <w:link w:val="CommentText"/>
    <w:uiPriority w:val="99"/>
    <w:semiHidden/>
    <w:rsid w:val="0090460C"/>
  </w:style>
  <w:style w:type="paragraph" w:styleId="CommentSubject">
    <w:name w:val="annotation subject"/>
    <w:basedOn w:val="CommentText"/>
    <w:next w:val="CommentText"/>
    <w:link w:val="CommentSubjectChar"/>
    <w:uiPriority w:val="99"/>
    <w:semiHidden/>
    <w:unhideWhenUsed/>
    <w:rsid w:val="0090460C"/>
    <w:rPr>
      <w:b/>
      <w:bCs/>
      <w:sz w:val="20"/>
      <w:szCs w:val="20"/>
    </w:rPr>
  </w:style>
  <w:style w:type="character" w:customStyle="1" w:styleId="CommentSubjectChar">
    <w:name w:val="Comment Subject Char"/>
    <w:basedOn w:val="CommentTextChar"/>
    <w:link w:val="CommentSubject"/>
    <w:uiPriority w:val="99"/>
    <w:semiHidden/>
    <w:rsid w:val="0090460C"/>
    <w:rPr>
      <w:b/>
      <w:bCs/>
      <w:sz w:val="20"/>
      <w:szCs w:val="20"/>
    </w:rPr>
  </w:style>
  <w:style w:type="paragraph" w:styleId="NormalWeb">
    <w:name w:val="Normal (Web)"/>
    <w:basedOn w:val="Normal"/>
    <w:uiPriority w:val="99"/>
    <w:unhideWhenUsed/>
    <w:rsid w:val="00312FED"/>
    <w:pPr>
      <w:spacing w:before="100" w:beforeAutospacing="1" w:after="100" w:afterAutospacing="1"/>
    </w:pPr>
    <w:rPr>
      <w:rFonts w:ascii="Times New Roman" w:eastAsia="Times New Roman" w:hAnsi="Times New Roman" w:cs="Times New Roman"/>
    </w:rPr>
  </w:style>
  <w:style w:type="paragraph" w:styleId="FootnoteText">
    <w:name w:val="footnote text"/>
    <w:basedOn w:val="Normal"/>
    <w:link w:val="FootnoteTextChar"/>
    <w:uiPriority w:val="99"/>
    <w:unhideWhenUsed/>
    <w:rsid w:val="000A296B"/>
    <w:pPr>
      <w:pBdr>
        <w:top w:val="nil"/>
        <w:left w:val="nil"/>
        <w:bottom w:val="nil"/>
        <w:right w:val="nil"/>
        <w:between w:val="nil"/>
      </w:pBdr>
      <w:jc w:val="both"/>
    </w:pPr>
    <w:rPr>
      <w:rFonts w:ascii="Times New Roman" w:eastAsia="Times New Roman" w:hAnsi="Times New Roman" w:cs="Times New Roman"/>
      <w:color w:val="000000"/>
      <w:sz w:val="20"/>
      <w:szCs w:val="20"/>
    </w:rPr>
  </w:style>
  <w:style w:type="character" w:customStyle="1" w:styleId="FootnoteTextChar">
    <w:name w:val="Footnote Text Char"/>
    <w:basedOn w:val="DefaultParagraphFont"/>
    <w:link w:val="FootnoteText"/>
    <w:uiPriority w:val="99"/>
    <w:rsid w:val="000A296B"/>
    <w:rPr>
      <w:rFonts w:ascii="Times New Roman" w:eastAsia="Times New Roman" w:hAnsi="Times New Roman" w:cs="Times New Roman"/>
      <w:color w:val="000000"/>
      <w:sz w:val="20"/>
      <w:szCs w:val="20"/>
    </w:rPr>
  </w:style>
  <w:style w:type="character" w:styleId="FootnoteReference">
    <w:name w:val="footnote reference"/>
    <w:basedOn w:val="DefaultParagraphFont"/>
    <w:uiPriority w:val="99"/>
    <w:unhideWhenUsed/>
    <w:rsid w:val="000A296B"/>
    <w:rPr>
      <w:vertAlign w:val="superscript"/>
    </w:rPr>
  </w:style>
  <w:style w:type="character" w:styleId="Hyperlink">
    <w:name w:val="Hyperlink"/>
    <w:basedOn w:val="DefaultParagraphFont"/>
    <w:uiPriority w:val="99"/>
    <w:unhideWhenUsed/>
    <w:rsid w:val="00F249ED"/>
    <w:rPr>
      <w:color w:val="auto"/>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character" w:styleId="UnresolvedMention">
    <w:name w:val="Unresolved Mention"/>
    <w:basedOn w:val="DefaultParagraphFont"/>
    <w:uiPriority w:val="99"/>
    <w:semiHidden/>
    <w:unhideWhenUsed/>
    <w:rsid w:val="008F2BE5"/>
    <w:rPr>
      <w:color w:val="605E5C"/>
      <w:shd w:val="clear" w:color="auto" w:fill="E1DFDD"/>
    </w:rPr>
  </w:style>
  <w:style w:type="character" w:styleId="Emphasis">
    <w:name w:val="Emphasis"/>
    <w:basedOn w:val="DefaultParagraphFont"/>
    <w:uiPriority w:val="20"/>
    <w:qFormat/>
    <w:rsid w:val="008F2BE5"/>
    <w:rPr>
      <w:i/>
      <w:iCs/>
    </w:rPr>
  </w:style>
  <w:style w:type="character" w:styleId="FollowedHyperlink">
    <w:name w:val="FollowedHyperlink"/>
    <w:basedOn w:val="DefaultParagraphFont"/>
    <w:uiPriority w:val="99"/>
    <w:semiHidden/>
    <w:unhideWhenUsed/>
    <w:rsid w:val="004C376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1497176">
      <w:bodyDiv w:val="1"/>
      <w:marLeft w:val="0"/>
      <w:marRight w:val="0"/>
      <w:marTop w:val="0"/>
      <w:marBottom w:val="0"/>
      <w:divBdr>
        <w:top w:val="none" w:sz="0" w:space="0" w:color="auto"/>
        <w:left w:val="none" w:sz="0" w:space="0" w:color="auto"/>
        <w:bottom w:val="none" w:sz="0" w:space="0" w:color="auto"/>
        <w:right w:val="none" w:sz="0" w:space="0" w:color="auto"/>
      </w:divBdr>
    </w:div>
    <w:div w:id="7741352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jjimexico.org/ptd-report/" TargetMode="Externa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www.opensocietyfoundations.org/voices/pretrial-detention-juveniles-common-it-wrong" TargetMode="External"/><Relationship Id="rId2" Type="http://schemas.openxmlformats.org/officeDocument/2006/relationships/hyperlink" Target="http://www.justicepolicy.org/images/upload/06-11_rep_dangersofdetention_jj.pdf" TargetMode="External"/><Relationship Id="rId1" Type="http://schemas.openxmlformats.org/officeDocument/2006/relationships/hyperlink" Target="https://www.opensocietyfoundations.org/sites/default/files/pretrial-detention-and-torture-062220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LxltQtMEjDTEkgOtDz2+3YpS97g==">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</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63367E2-997B-42B8-9565-F4724D66D5F5}"/>
</file>

<file path=customXml/itemProps3.xml><?xml version="1.0" encoding="utf-8"?>
<ds:datastoreItem xmlns:ds="http://schemas.openxmlformats.org/officeDocument/2006/customXml" ds:itemID="{1DF1600C-2D8B-402C-A85E-56DAF3960FC6}"/>
</file>

<file path=customXml/itemProps4.xml><?xml version="1.0" encoding="utf-8"?>
<ds:datastoreItem xmlns:ds="http://schemas.openxmlformats.org/officeDocument/2006/customXml" ds:itemID="{CCC3FF2D-BEA9-4C20-B3B4-CDB32CF8FB3B}"/>
</file>

<file path=docProps/app.xml><?xml version="1.0" encoding="utf-8"?>
<Properties xmlns="http://schemas.openxmlformats.org/officeDocument/2006/extended-properties" xmlns:vt="http://schemas.openxmlformats.org/officeDocument/2006/docPropsVTypes">
  <Template>Normal.dotm</Template>
  <TotalTime>1</TotalTime>
  <Pages>5</Pages>
  <Words>1396</Words>
  <Characters>7963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Sarahi Garcia</dc:creator>
  <cp:lastModifiedBy>FLECHE Isabelle</cp:lastModifiedBy>
  <cp:revision>2</cp:revision>
  <dcterms:created xsi:type="dcterms:W3CDTF">2022-11-11T16:38:00Z</dcterms:created>
  <dcterms:modified xsi:type="dcterms:W3CDTF">2022-11-11T16:38:00Z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