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89C611" w14:textId="2B30A7AA" w:rsidR="00BE6811" w:rsidRPr="00E150F4" w:rsidRDefault="00BE6811" w:rsidP="00041F19">
      <w:pPr>
        <w:jc w:val="both"/>
        <w:rPr>
          <w:rFonts w:asciiTheme="majorBidi" w:hAnsiTheme="majorBidi" w:cstheme="majorBidi"/>
          <w:b/>
          <w:bCs/>
          <w:sz w:val="28"/>
          <w:szCs w:val="28"/>
        </w:rPr>
      </w:pPr>
      <w:r w:rsidRPr="00E150F4">
        <w:rPr>
          <w:rFonts w:asciiTheme="majorBidi" w:hAnsiTheme="majorBidi" w:cstheme="majorBidi"/>
          <w:noProof/>
          <w:sz w:val="28"/>
          <w:szCs w:val="28"/>
        </w:rPr>
        <w:drawing>
          <wp:anchor distT="0" distB="0" distL="114300" distR="114300" simplePos="0" relativeHeight="251658240" behindDoc="0" locked="0" layoutInCell="1" allowOverlap="1" wp14:anchorId="6548AEA9" wp14:editId="773927D3">
            <wp:simplePos x="0" y="0"/>
            <wp:positionH relativeFrom="margin">
              <wp:posOffset>4762914</wp:posOffset>
            </wp:positionH>
            <wp:positionV relativeFrom="paragraph">
              <wp:posOffset>563</wp:posOffset>
            </wp:positionV>
            <wp:extent cx="1253447" cy="1253447"/>
            <wp:effectExtent l="0" t="0" r="4445" b="4445"/>
            <wp:wrapSquare wrapText="bothSides"/>
            <wp:docPr id="19706820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53447" cy="1253447"/>
                    </a:xfrm>
                    <a:prstGeom prst="rect">
                      <a:avLst/>
                    </a:prstGeom>
                    <a:noFill/>
                    <a:ln>
                      <a:noFill/>
                    </a:ln>
                  </pic:spPr>
                </pic:pic>
              </a:graphicData>
            </a:graphic>
            <wp14:sizeRelH relativeFrom="page">
              <wp14:pctWidth>0</wp14:pctWidth>
            </wp14:sizeRelH>
            <wp14:sizeRelV relativeFrom="page">
              <wp14:pctHeight>0</wp14:pctHeight>
            </wp14:sizeRelV>
          </wp:anchor>
        </w:drawing>
      </w:r>
      <w:r w:rsidRPr="00E150F4">
        <w:rPr>
          <w:rFonts w:asciiTheme="majorBidi" w:hAnsiTheme="majorBidi" w:cstheme="majorBidi"/>
          <w:b/>
          <w:bCs/>
          <w:sz w:val="28"/>
          <w:szCs w:val="28"/>
        </w:rPr>
        <w:t>Organization for Defending Victims of Violence</w:t>
      </w:r>
    </w:p>
    <w:p w14:paraId="1208F17D" w14:textId="05424E88" w:rsidR="00BE6811" w:rsidRPr="00E150F4" w:rsidRDefault="00BE6811" w:rsidP="00BE6811">
      <w:pPr>
        <w:jc w:val="both"/>
        <w:rPr>
          <w:rFonts w:asciiTheme="majorBidi" w:hAnsiTheme="majorBidi" w:cstheme="majorBidi"/>
          <w:b/>
          <w:bCs/>
        </w:rPr>
      </w:pPr>
      <w:r w:rsidRPr="00E150F4">
        <w:rPr>
          <w:rFonts w:asciiTheme="majorBidi" w:hAnsiTheme="majorBidi" w:cstheme="majorBidi"/>
          <w:b/>
          <w:bCs/>
        </w:rPr>
        <w:t xml:space="preserve">Email Address: </w:t>
      </w:r>
      <w:hyperlink r:id="rId6" w:history="1">
        <w:r w:rsidRPr="00E150F4">
          <w:rPr>
            <w:rStyle w:val="Hyperlink"/>
            <w:rFonts w:asciiTheme="majorBidi" w:hAnsiTheme="majorBidi" w:cstheme="majorBidi"/>
            <w:b/>
            <w:bCs/>
          </w:rPr>
          <w:t>info@odvv.org</w:t>
        </w:r>
      </w:hyperlink>
    </w:p>
    <w:p w14:paraId="480257F1" w14:textId="4E26DAAC" w:rsidR="00BE6811" w:rsidRPr="00E150F4" w:rsidRDefault="00BE6811" w:rsidP="00041F19">
      <w:pPr>
        <w:jc w:val="both"/>
        <w:rPr>
          <w:rFonts w:asciiTheme="majorBidi" w:hAnsiTheme="majorBidi" w:cstheme="majorBidi"/>
          <w:b/>
          <w:bCs/>
        </w:rPr>
      </w:pPr>
    </w:p>
    <w:p w14:paraId="6BA6EEC2" w14:textId="54359B22" w:rsidR="00BE6811" w:rsidRPr="00E150F4" w:rsidRDefault="00BE6811" w:rsidP="00041F19">
      <w:pPr>
        <w:jc w:val="both"/>
        <w:rPr>
          <w:rFonts w:asciiTheme="majorBidi" w:hAnsiTheme="majorBidi" w:cstheme="majorBidi"/>
          <w:b/>
          <w:bCs/>
        </w:rPr>
      </w:pPr>
    </w:p>
    <w:p w14:paraId="0D4713F2" w14:textId="77777777" w:rsidR="00BE6811" w:rsidRPr="00E150F4" w:rsidRDefault="00BE6811" w:rsidP="00041F19">
      <w:pPr>
        <w:jc w:val="both"/>
        <w:rPr>
          <w:rFonts w:asciiTheme="majorBidi" w:hAnsiTheme="majorBidi" w:cstheme="majorBidi"/>
          <w:b/>
          <w:bCs/>
        </w:rPr>
      </w:pPr>
    </w:p>
    <w:p w14:paraId="1A3FAA74" w14:textId="10FCC5ED" w:rsidR="00DF715B" w:rsidRPr="00E150F4" w:rsidRDefault="00DF715B" w:rsidP="00041F19">
      <w:pPr>
        <w:jc w:val="both"/>
        <w:rPr>
          <w:rFonts w:asciiTheme="majorBidi" w:hAnsiTheme="majorBidi" w:cstheme="majorBidi"/>
          <w:b/>
          <w:bCs/>
        </w:rPr>
      </w:pPr>
      <w:r w:rsidRPr="00E150F4">
        <w:rPr>
          <w:rFonts w:asciiTheme="majorBidi" w:hAnsiTheme="majorBidi" w:cstheme="majorBidi"/>
          <w:b/>
          <w:bCs/>
        </w:rPr>
        <w:t>Report on Violations of Refugees' Rights, Workers' Rights, Discrimination, and Islamophobia in the United Kingdom</w:t>
      </w:r>
    </w:p>
    <w:p w14:paraId="177ADB37" w14:textId="78901D68" w:rsidR="00DF715B" w:rsidRPr="00E150F4" w:rsidRDefault="00DF715B" w:rsidP="00041F19">
      <w:pPr>
        <w:jc w:val="both"/>
        <w:rPr>
          <w:rFonts w:asciiTheme="majorBidi" w:hAnsiTheme="majorBidi" w:cstheme="majorBidi"/>
        </w:rPr>
      </w:pPr>
      <w:r w:rsidRPr="00E150F4">
        <w:rPr>
          <w:rFonts w:asciiTheme="majorBidi" w:hAnsiTheme="majorBidi" w:cstheme="majorBidi"/>
        </w:rPr>
        <w:t>Introduction The 77th session of the International Covenant on Economic, Social, and Cultural Rights (ICESCR) is a crucial platform for evaluating member states' adherence to their commitments under the covenant. This report, submitted on behalf of the Association for the Defense of Violence Victims, examines the United Kingdom’s track record concerning violations of refugees' rights, workers' rights, discrimination, and Islamophobia. Despite being a party to the ICESCR, the UK’s actions often fall short of meeting the covenant’s principles. This report is informed by the latest data from reputable sources, with an emphasis on rectifying these issues in line with ICESCR’s provisions. [1]</w:t>
      </w:r>
    </w:p>
    <w:p w14:paraId="5F3893DC" w14:textId="4973E809" w:rsidR="00DF715B" w:rsidRPr="00E150F4" w:rsidRDefault="00DF715B" w:rsidP="00041F19">
      <w:pPr>
        <w:jc w:val="both"/>
        <w:rPr>
          <w:rFonts w:asciiTheme="majorBidi" w:hAnsiTheme="majorBidi" w:cstheme="majorBidi"/>
          <w:b/>
          <w:bCs/>
        </w:rPr>
      </w:pPr>
    </w:p>
    <w:p w14:paraId="188D58AF" w14:textId="77777777" w:rsidR="00DF715B" w:rsidRPr="00E150F4" w:rsidRDefault="00DF715B" w:rsidP="00041F19">
      <w:pPr>
        <w:jc w:val="both"/>
        <w:rPr>
          <w:rFonts w:asciiTheme="majorBidi" w:hAnsiTheme="majorBidi" w:cstheme="majorBidi"/>
          <w:b/>
          <w:bCs/>
        </w:rPr>
      </w:pPr>
      <w:r w:rsidRPr="00E150F4">
        <w:rPr>
          <w:rFonts w:asciiTheme="majorBidi" w:hAnsiTheme="majorBidi" w:cstheme="majorBidi"/>
          <w:b/>
          <w:bCs/>
        </w:rPr>
        <w:t>Violations of Refugees' Rights</w:t>
      </w:r>
    </w:p>
    <w:p w14:paraId="018FEB6C" w14:textId="77777777" w:rsidR="00DF715B" w:rsidRPr="00E150F4" w:rsidRDefault="00DF715B" w:rsidP="00041F19">
      <w:pPr>
        <w:jc w:val="both"/>
        <w:rPr>
          <w:rFonts w:asciiTheme="majorBidi" w:hAnsiTheme="majorBidi" w:cstheme="majorBidi"/>
        </w:rPr>
      </w:pPr>
      <w:r w:rsidRPr="00E150F4">
        <w:rPr>
          <w:rFonts w:asciiTheme="majorBidi" w:hAnsiTheme="majorBidi" w:cstheme="majorBidi"/>
        </w:rPr>
        <w:t>The United Kingdom’s treatment of refugees has been a subject of significant criticism. The government’s 2024 policy of outsourcing asylum claims to Rwanda has sparked widespread condemnation. According to Amnesty International, the policy violates international human rights standards by exposing asylum seekers to potential harm and depriving them of fair processes. [2] The ICESCR guarantees the right to an adequate standard of living (Article 11), which includes housing, food, and social protections—rights often denied to refugees in the UK.</w:t>
      </w:r>
    </w:p>
    <w:p w14:paraId="09474A68" w14:textId="77777777" w:rsidR="00DF715B" w:rsidRPr="00E150F4" w:rsidRDefault="00DF715B" w:rsidP="00041F19">
      <w:pPr>
        <w:jc w:val="both"/>
        <w:rPr>
          <w:rFonts w:asciiTheme="majorBidi" w:hAnsiTheme="majorBidi" w:cstheme="majorBidi"/>
        </w:rPr>
      </w:pPr>
      <w:r w:rsidRPr="00E150F4">
        <w:rPr>
          <w:rFonts w:asciiTheme="majorBidi" w:hAnsiTheme="majorBidi" w:cstheme="majorBidi"/>
        </w:rPr>
        <w:t>Statistics from the UK Home Office reveal that, as of mid-2024, over 130,000 asylum seekers were housed in substandard accommodations, including repurposed barracks and overcrowded detention centers. [3] Reports from Human Rights Watch highlight inadequate access to healthcare and education for refugee children, undermining their right to physical and mental well-being (Article 12) and education (Article 13). [4] Furthermore, restrictive policies such as the "Illegal Migration Bill" criminalize asylum seekers arriving via unauthorized routes, in direct contradiction to the principle of non-refoulement. [5]</w:t>
      </w:r>
    </w:p>
    <w:p w14:paraId="0EFE25CB" w14:textId="77777777" w:rsidR="00DF715B" w:rsidRPr="00E150F4" w:rsidRDefault="00DF715B" w:rsidP="00041F19">
      <w:pPr>
        <w:jc w:val="both"/>
        <w:rPr>
          <w:rFonts w:asciiTheme="majorBidi" w:hAnsiTheme="majorBidi" w:cstheme="majorBidi"/>
        </w:rPr>
      </w:pPr>
      <w:r w:rsidRPr="00E150F4">
        <w:rPr>
          <w:rFonts w:asciiTheme="majorBidi" w:hAnsiTheme="majorBidi" w:cstheme="majorBidi"/>
        </w:rPr>
        <w:t>The UK must overhaul its refugee policies, ensuring compliance with ICESCR by providing safe, adequate housing and access to essential services, while refraining from punitive measures that exacerbate refugees' suffering.</w:t>
      </w:r>
    </w:p>
    <w:p w14:paraId="46FC8997" w14:textId="7E9981B3" w:rsidR="00DF715B" w:rsidRPr="00E150F4" w:rsidRDefault="00DF715B" w:rsidP="00041F19">
      <w:pPr>
        <w:jc w:val="both"/>
        <w:rPr>
          <w:rFonts w:asciiTheme="majorBidi" w:hAnsiTheme="majorBidi" w:cstheme="majorBidi"/>
          <w:b/>
          <w:bCs/>
        </w:rPr>
      </w:pPr>
    </w:p>
    <w:p w14:paraId="613747D3" w14:textId="77777777" w:rsidR="00DF715B" w:rsidRPr="00E150F4" w:rsidRDefault="00DF715B" w:rsidP="00041F19">
      <w:pPr>
        <w:jc w:val="both"/>
        <w:rPr>
          <w:rFonts w:asciiTheme="majorBidi" w:hAnsiTheme="majorBidi" w:cstheme="majorBidi"/>
          <w:b/>
          <w:bCs/>
        </w:rPr>
      </w:pPr>
      <w:r w:rsidRPr="00E150F4">
        <w:rPr>
          <w:rFonts w:asciiTheme="majorBidi" w:hAnsiTheme="majorBidi" w:cstheme="majorBidi"/>
          <w:b/>
          <w:bCs/>
        </w:rPr>
        <w:t>Workers' Rights Violations</w:t>
      </w:r>
    </w:p>
    <w:p w14:paraId="20CB4345" w14:textId="77777777" w:rsidR="00DF715B" w:rsidRPr="00E150F4" w:rsidRDefault="00DF715B" w:rsidP="00041F19">
      <w:pPr>
        <w:jc w:val="both"/>
        <w:rPr>
          <w:rFonts w:asciiTheme="majorBidi" w:hAnsiTheme="majorBidi" w:cstheme="majorBidi"/>
        </w:rPr>
      </w:pPr>
      <w:r w:rsidRPr="00E150F4">
        <w:rPr>
          <w:rFonts w:asciiTheme="majorBidi" w:hAnsiTheme="majorBidi" w:cstheme="majorBidi"/>
        </w:rPr>
        <w:t>Despite being an economic powerhouse, the United Kingdom’s record on workers’ rights has deteriorated in recent years. Provisions under Article 7 of the ICESCR, which ensure just and favorable conditions of work, are undermined by systemic issues such as wage stagnation, inadequate protections for gig economy workers, and barriers to unionization. [6]</w:t>
      </w:r>
    </w:p>
    <w:p w14:paraId="30E06AD6" w14:textId="77777777" w:rsidR="00DF715B" w:rsidRPr="00E150F4" w:rsidRDefault="00DF715B" w:rsidP="00041F19">
      <w:pPr>
        <w:jc w:val="both"/>
        <w:rPr>
          <w:rFonts w:asciiTheme="majorBidi" w:hAnsiTheme="majorBidi" w:cstheme="majorBidi"/>
        </w:rPr>
      </w:pPr>
      <w:r w:rsidRPr="00E150F4">
        <w:rPr>
          <w:rFonts w:asciiTheme="majorBidi" w:hAnsiTheme="majorBidi" w:cstheme="majorBidi"/>
        </w:rPr>
        <w:lastRenderedPageBreak/>
        <w:t>The Trades Union Congress (TUC) reported that in 2024, real wages in the UK fell by an average of 4.2%, as documented in their annual report, "State of Pay 2024," which highlighted the impact of inflation on workers’ incomes. [7] According to Amnesty International, nearly 20% of workers in the gig economy, including delivery drivers and care workers, lack basic protections such as paid leave, sick pay, and job security. [8] This precariousness directly contravenes Article 7’s guarantee of safe and equitable working conditions.</w:t>
      </w:r>
    </w:p>
    <w:p w14:paraId="2C6F5322" w14:textId="0667986E" w:rsidR="00DF715B" w:rsidRPr="00E150F4" w:rsidRDefault="00DF715B" w:rsidP="00041F19">
      <w:pPr>
        <w:jc w:val="both"/>
        <w:rPr>
          <w:rFonts w:asciiTheme="majorBidi" w:hAnsiTheme="majorBidi" w:cstheme="majorBidi"/>
        </w:rPr>
      </w:pPr>
      <w:r w:rsidRPr="00E150F4">
        <w:rPr>
          <w:rFonts w:asciiTheme="majorBidi" w:hAnsiTheme="majorBidi" w:cstheme="majorBidi"/>
        </w:rPr>
        <w:t xml:space="preserve">Additionally, the UK’s anti-strike legislation, passed in 2023, restricts workers' right to collective action, undermining Article 8 of the ICESCR. The International </w:t>
      </w:r>
      <w:r w:rsidR="00554868" w:rsidRPr="00E150F4">
        <w:rPr>
          <w:rFonts w:asciiTheme="majorBidi" w:hAnsiTheme="majorBidi" w:cstheme="majorBidi"/>
        </w:rPr>
        <w:t>Labor</w:t>
      </w:r>
      <w:r w:rsidRPr="00E150F4">
        <w:rPr>
          <w:rFonts w:asciiTheme="majorBidi" w:hAnsiTheme="majorBidi" w:cstheme="majorBidi"/>
        </w:rPr>
        <w:t xml:space="preserve"> Organization (ILO) criticized these laws, noting their chilling effect on workers’ ability to negotiate fair wages and conditions. [9]</w:t>
      </w:r>
    </w:p>
    <w:p w14:paraId="45D50C74" w14:textId="77777777" w:rsidR="00DF715B" w:rsidRPr="00E150F4" w:rsidRDefault="00DF715B" w:rsidP="00041F19">
      <w:pPr>
        <w:jc w:val="both"/>
        <w:rPr>
          <w:rFonts w:asciiTheme="majorBidi" w:hAnsiTheme="majorBidi" w:cstheme="majorBidi"/>
        </w:rPr>
      </w:pPr>
      <w:r w:rsidRPr="00E150F4">
        <w:rPr>
          <w:rFonts w:asciiTheme="majorBidi" w:hAnsiTheme="majorBidi" w:cstheme="majorBidi"/>
        </w:rPr>
        <w:t>To align with ICESCR, the UK government must legislate robust protections for all workers, including those in the gig economy, and repeal restrictive anti-union laws to uphold the right to collective bargaining.</w:t>
      </w:r>
    </w:p>
    <w:p w14:paraId="194B9476" w14:textId="6211A776" w:rsidR="00DF715B" w:rsidRPr="00E150F4" w:rsidRDefault="00DF715B" w:rsidP="00041F19">
      <w:pPr>
        <w:jc w:val="both"/>
        <w:rPr>
          <w:rFonts w:asciiTheme="majorBidi" w:hAnsiTheme="majorBidi" w:cstheme="majorBidi"/>
          <w:b/>
          <w:bCs/>
        </w:rPr>
      </w:pPr>
    </w:p>
    <w:p w14:paraId="038B2FF0" w14:textId="77777777" w:rsidR="00DF715B" w:rsidRPr="00E150F4" w:rsidRDefault="00DF715B" w:rsidP="00041F19">
      <w:pPr>
        <w:jc w:val="both"/>
        <w:rPr>
          <w:rFonts w:asciiTheme="majorBidi" w:hAnsiTheme="majorBidi" w:cstheme="majorBidi"/>
          <w:b/>
          <w:bCs/>
        </w:rPr>
      </w:pPr>
      <w:r w:rsidRPr="00E150F4">
        <w:rPr>
          <w:rFonts w:asciiTheme="majorBidi" w:hAnsiTheme="majorBidi" w:cstheme="majorBidi"/>
          <w:b/>
          <w:bCs/>
        </w:rPr>
        <w:t>Discrimination in the United Kingdom</w:t>
      </w:r>
    </w:p>
    <w:p w14:paraId="0DBABF17" w14:textId="77777777" w:rsidR="00DF715B" w:rsidRPr="00E150F4" w:rsidRDefault="00DF715B" w:rsidP="00041F19">
      <w:pPr>
        <w:jc w:val="both"/>
        <w:rPr>
          <w:rFonts w:asciiTheme="majorBidi" w:hAnsiTheme="majorBidi" w:cstheme="majorBidi"/>
        </w:rPr>
      </w:pPr>
      <w:r w:rsidRPr="00E150F4">
        <w:rPr>
          <w:rFonts w:asciiTheme="majorBidi" w:hAnsiTheme="majorBidi" w:cstheme="majorBidi"/>
        </w:rPr>
        <w:t>Discrimination remains a pervasive issue in the UK, violating Articles 2 and 3 of the ICESCR, which call for non-discrimination and equal rights for men and women. Ethnic minorities and women, in particular, face systemic inequities across various sectors. [10]</w:t>
      </w:r>
    </w:p>
    <w:p w14:paraId="504191F9" w14:textId="77777777" w:rsidR="00DF715B" w:rsidRPr="00E150F4" w:rsidRDefault="00DF715B" w:rsidP="00041F19">
      <w:pPr>
        <w:jc w:val="both"/>
        <w:rPr>
          <w:rFonts w:asciiTheme="majorBidi" w:hAnsiTheme="majorBidi" w:cstheme="majorBidi"/>
        </w:rPr>
      </w:pPr>
      <w:r w:rsidRPr="00E150F4">
        <w:rPr>
          <w:rFonts w:asciiTheme="majorBidi" w:hAnsiTheme="majorBidi" w:cstheme="majorBidi"/>
        </w:rPr>
        <w:t>According to the 2024 Equality and Human Rights Commission report, ethnic minorities in the UK earn, on average, 10% less than their white counterparts in equivalent roles. [11] Disparities in employment rates are also stark, with Black and South Asian workers experiencing higher unemployment rates (8.5% and 7.3%, respectively) compared to the national average of 3.9%. [12]</w:t>
      </w:r>
    </w:p>
    <w:p w14:paraId="7E89D545" w14:textId="77777777" w:rsidR="00DF715B" w:rsidRPr="00E150F4" w:rsidRDefault="00DF715B" w:rsidP="00041F19">
      <w:pPr>
        <w:jc w:val="both"/>
        <w:rPr>
          <w:rFonts w:asciiTheme="majorBidi" w:hAnsiTheme="majorBidi" w:cstheme="majorBidi"/>
        </w:rPr>
      </w:pPr>
      <w:r w:rsidRPr="00E150F4">
        <w:rPr>
          <w:rFonts w:asciiTheme="majorBidi" w:hAnsiTheme="majorBidi" w:cstheme="majorBidi"/>
        </w:rPr>
        <w:t>Women, particularly single mothers, remain disproportionately affected by poverty, earning 17% less than men on average. Limited access to affordable childcare and persistent gender biases in the workplace hinder their economic participation, contravening their right to an adequate standard of living (Article 11) and equal opportunities (Article 3). [13]</w:t>
      </w:r>
    </w:p>
    <w:p w14:paraId="08C7B3C7" w14:textId="77777777" w:rsidR="00DF715B" w:rsidRPr="00E150F4" w:rsidRDefault="00DF715B" w:rsidP="00041F19">
      <w:pPr>
        <w:jc w:val="both"/>
        <w:rPr>
          <w:rFonts w:asciiTheme="majorBidi" w:hAnsiTheme="majorBidi" w:cstheme="majorBidi"/>
        </w:rPr>
      </w:pPr>
      <w:r w:rsidRPr="00E150F4">
        <w:rPr>
          <w:rFonts w:asciiTheme="majorBidi" w:hAnsiTheme="majorBidi" w:cstheme="majorBidi"/>
        </w:rPr>
        <w:t>Addressing these disparities requires comprehensive measures, including enforcement of anti-discrimination laws, targeted policies to close wage gaps, and expanded access to affordable childcare and education.</w:t>
      </w:r>
    </w:p>
    <w:p w14:paraId="70488892" w14:textId="5A524863" w:rsidR="00DF715B" w:rsidRPr="00E150F4" w:rsidRDefault="00DF715B" w:rsidP="00041F19">
      <w:pPr>
        <w:jc w:val="both"/>
        <w:rPr>
          <w:rFonts w:asciiTheme="majorBidi" w:hAnsiTheme="majorBidi" w:cstheme="majorBidi"/>
          <w:b/>
          <w:bCs/>
        </w:rPr>
      </w:pPr>
    </w:p>
    <w:p w14:paraId="29AC3A7B" w14:textId="77777777" w:rsidR="00DF715B" w:rsidRPr="00E150F4" w:rsidRDefault="00DF715B" w:rsidP="00041F19">
      <w:pPr>
        <w:jc w:val="both"/>
        <w:rPr>
          <w:rFonts w:asciiTheme="majorBidi" w:hAnsiTheme="majorBidi" w:cstheme="majorBidi"/>
          <w:b/>
          <w:bCs/>
        </w:rPr>
      </w:pPr>
      <w:r w:rsidRPr="00E150F4">
        <w:rPr>
          <w:rFonts w:asciiTheme="majorBidi" w:hAnsiTheme="majorBidi" w:cstheme="majorBidi"/>
          <w:b/>
          <w:bCs/>
        </w:rPr>
        <w:t>Islamophobia in the United Kingdom</w:t>
      </w:r>
    </w:p>
    <w:p w14:paraId="4F4C5AD2" w14:textId="77777777" w:rsidR="00DF715B" w:rsidRPr="00E150F4" w:rsidRDefault="00DF715B" w:rsidP="00041F19">
      <w:pPr>
        <w:jc w:val="both"/>
        <w:rPr>
          <w:rFonts w:asciiTheme="majorBidi" w:hAnsiTheme="majorBidi" w:cstheme="majorBidi"/>
        </w:rPr>
      </w:pPr>
      <w:r w:rsidRPr="00E150F4">
        <w:rPr>
          <w:rFonts w:asciiTheme="majorBidi" w:hAnsiTheme="majorBidi" w:cstheme="majorBidi"/>
        </w:rPr>
        <w:t>Islamophobia has emerged as a significant form of discrimination in the UK, exacerbated by inflammatory rhetoric and discriminatory policies. Article 2 of the ICESCR mandates non-discrimination in the enjoyment of economic, social, and cultural rights, yet Muslims in the UK frequently face barriers to accessing these rights. [14]</w:t>
      </w:r>
    </w:p>
    <w:p w14:paraId="3F4517D6" w14:textId="77777777" w:rsidR="00DF715B" w:rsidRPr="00E150F4" w:rsidRDefault="00DF715B" w:rsidP="00041F19">
      <w:pPr>
        <w:jc w:val="both"/>
        <w:rPr>
          <w:rFonts w:asciiTheme="majorBidi" w:hAnsiTheme="majorBidi" w:cstheme="majorBidi"/>
        </w:rPr>
      </w:pPr>
      <w:r w:rsidRPr="00E150F4">
        <w:rPr>
          <w:rFonts w:asciiTheme="majorBidi" w:hAnsiTheme="majorBidi" w:cstheme="majorBidi"/>
        </w:rPr>
        <w:t>A 2024 study by the Muslim Council of Britain revealed that 47% of British Muslims reported experiencing discrimination in the workplace, with many citing barriers to promotions and unfair treatment. [15] Additionally, hate crimes against Muslims increased by 15% between 2023 and 2024, according to the UK Home Office. [16] These incidents, ranging from verbal abuse to physical violence, create an environment of fear and marginalization.</w:t>
      </w:r>
    </w:p>
    <w:p w14:paraId="58B035A5" w14:textId="77777777" w:rsidR="00DF715B" w:rsidRPr="00E150F4" w:rsidRDefault="00DF715B" w:rsidP="00041F19">
      <w:pPr>
        <w:jc w:val="both"/>
        <w:rPr>
          <w:rFonts w:asciiTheme="majorBidi" w:hAnsiTheme="majorBidi" w:cstheme="majorBidi"/>
        </w:rPr>
      </w:pPr>
      <w:r w:rsidRPr="00E150F4">
        <w:rPr>
          <w:rFonts w:asciiTheme="majorBidi" w:hAnsiTheme="majorBidi" w:cstheme="majorBidi"/>
        </w:rPr>
        <w:lastRenderedPageBreak/>
        <w:t>Moreover, the Prevent strategy, designed to counter terrorism, disproportionately targets Muslim communities, fostering mistrust and stigmatization. This undermines their ability to fully participate in society and enjoy cultural freedoms guaranteed under Article 15 of the ICESCR. [17]</w:t>
      </w:r>
    </w:p>
    <w:p w14:paraId="7B06F106" w14:textId="77777777" w:rsidR="00DF715B" w:rsidRPr="00E150F4" w:rsidRDefault="00DF715B" w:rsidP="00041F19">
      <w:pPr>
        <w:jc w:val="both"/>
        <w:rPr>
          <w:rFonts w:asciiTheme="majorBidi" w:hAnsiTheme="majorBidi" w:cstheme="majorBidi"/>
        </w:rPr>
      </w:pPr>
      <w:r w:rsidRPr="00E150F4">
        <w:rPr>
          <w:rFonts w:asciiTheme="majorBidi" w:hAnsiTheme="majorBidi" w:cstheme="majorBidi"/>
        </w:rPr>
        <w:t>The UK must take decisive action to combat Islamophobia by strengthening hate crime legislation, promoting interfaith dialogue, and reforming policies that disproportionately affect Muslim communities.</w:t>
      </w:r>
    </w:p>
    <w:p w14:paraId="54597D92" w14:textId="21AFD4BC" w:rsidR="00DF715B" w:rsidRPr="00E150F4" w:rsidRDefault="00DF715B" w:rsidP="00041F19">
      <w:pPr>
        <w:jc w:val="both"/>
        <w:rPr>
          <w:rFonts w:asciiTheme="majorBidi" w:hAnsiTheme="majorBidi" w:cstheme="majorBidi"/>
          <w:b/>
          <w:bCs/>
        </w:rPr>
      </w:pPr>
    </w:p>
    <w:p w14:paraId="083336C4" w14:textId="77777777" w:rsidR="00DF715B" w:rsidRPr="00E150F4" w:rsidRDefault="00DF715B" w:rsidP="00041F19">
      <w:pPr>
        <w:jc w:val="both"/>
        <w:rPr>
          <w:rFonts w:asciiTheme="majorBidi" w:hAnsiTheme="majorBidi" w:cstheme="majorBidi"/>
          <w:b/>
          <w:bCs/>
        </w:rPr>
      </w:pPr>
      <w:r w:rsidRPr="00E150F4">
        <w:rPr>
          <w:rFonts w:asciiTheme="majorBidi" w:hAnsiTheme="majorBidi" w:cstheme="majorBidi"/>
          <w:b/>
          <w:bCs/>
        </w:rPr>
        <w:t>Conclusion</w:t>
      </w:r>
    </w:p>
    <w:p w14:paraId="2FC89FD2" w14:textId="612EA77A" w:rsidR="00DF715B" w:rsidRPr="00E150F4" w:rsidRDefault="00DF715B" w:rsidP="00516A8C">
      <w:pPr>
        <w:jc w:val="both"/>
        <w:rPr>
          <w:rFonts w:asciiTheme="majorBidi" w:hAnsiTheme="majorBidi" w:cstheme="majorBidi"/>
        </w:rPr>
      </w:pPr>
      <w:r w:rsidRPr="00E150F4">
        <w:rPr>
          <w:rFonts w:asciiTheme="majorBidi" w:hAnsiTheme="majorBidi" w:cstheme="majorBidi"/>
        </w:rPr>
        <w:t xml:space="preserve">The United Kingdom’s actions in the areas of refugees' rights, workers' rights, discrimination, and Islamophobia reveal significant gaps in its adherence to the ICESCR. </w:t>
      </w:r>
    </w:p>
    <w:p w14:paraId="3EA811FB" w14:textId="77777777" w:rsidR="00DF715B" w:rsidRPr="00E150F4" w:rsidRDefault="00DF715B" w:rsidP="00041F19">
      <w:pPr>
        <w:jc w:val="both"/>
        <w:rPr>
          <w:rFonts w:asciiTheme="majorBidi" w:hAnsiTheme="majorBidi" w:cstheme="majorBidi"/>
        </w:rPr>
      </w:pPr>
      <w:r w:rsidRPr="00E150F4">
        <w:rPr>
          <w:rFonts w:asciiTheme="majorBidi" w:hAnsiTheme="majorBidi" w:cstheme="majorBidi"/>
        </w:rPr>
        <w:t>To address these issues, the UK government must prioritize policies that protect the rights of vulnerable populations, enforce anti-discrimination laws, and promote equity and inclusion. The ICESCR serves as a vital framework for achieving these goals, and the upcoming 77th session presents an opportunity for the UK to recommit to its obligations and take meaningful steps toward realizing the rights enshrined in the covenant.</w:t>
      </w:r>
    </w:p>
    <w:p w14:paraId="70782160" w14:textId="77777777" w:rsidR="00DF715B" w:rsidRPr="00E150F4" w:rsidRDefault="00DF715B" w:rsidP="00041F19">
      <w:pPr>
        <w:jc w:val="both"/>
        <w:rPr>
          <w:rFonts w:asciiTheme="majorBidi" w:hAnsiTheme="majorBidi" w:cstheme="majorBidi"/>
          <w:b/>
          <w:bCs/>
        </w:rPr>
      </w:pPr>
      <w:r w:rsidRPr="00E150F4">
        <w:rPr>
          <w:rFonts w:asciiTheme="majorBidi" w:hAnsiTheme="majorBidi" w:cstheme="majorBidi"/>
          <w:b/>
          <w:bCs/>
        </w:rPr>
        <w:t>References</w:t>
      </w:r>
    </w:p>
    <w:p w14:paraId="4BA544BA" w14:textId="77777777" w:rsidR="00DF715B" w:rsidRPr="00E150F4" w:rsidRDefault="00DF715B" w:rsidP="00041F19">
      <w:pPr>
        <w:numPr>
          <w:ilvl w:val="0"/>
          <w:numId w:val="1"/>
        </w:numPr>
        <w:jc w:val="both"/>
        <w:rPr>
          <w:rFonts w:asciiTheme="majorBidi" w:hAnsiTheme="majorBidi" w:cstheme="majorBidi"/>
        </w:rPr>
      </w:pPr>
      <w:r w:rsidRPr="00E150F4">
        <w:rPr>
          <w:rFonts w:asciiTheme="majorBidi" w:hAnsiTheme="majorBidi" w:cstheme="majorBidi"/>
        </w:rPr>
        <w:t>Amnesty International. (2024). Annual Report 2024.</w:t>
      </w:r>
    </w:p>
    <w:p w14:paraId="1E4A804B" w14:textId="77777777" w:rsidR="00DF715B" w:rsidRPr="00E150F4" w:rsidRDefault="00DF715B" w:rsidP="00041F19">
      <w:pPr>
        <w:numPr>
          <w:ilvl w:val="0"/>
          <w:numId w:val="1"/>
        </w:numPr>
        <w:jc w:val="both"/>
        <w:rPr>
          <w:rFonts w:asciiTheme="majorBidi" w:hAnsiTheme="majorBidi" w:cstheme="majorBidi"/>
        </w:rPr>
      </w:pPr>
      <w:r w:rsidRPr="00E150F4">
        <w:rPr>
          <w:rFonts w:asciiTheme="majorBidi" w:hAnsiTheme="majorBidi" w:cstheme="majorBidi"/>
        </w:rPr>
        <w:t>Amnesty International. (2024). "Rwanda Asylum Plan: A Breach of Human Rights."</w:t>
      </w:r>
    </w:p>
    <w:p w14:paraId="2B28863A" w14:textId="77777777" w:rsidR="00DF715B" w:rsidRPr="00E150F4" w:rsidRDefault="00DF715B" w:rsidP="00041F19">
      <w:pPr>
        <w:numPr>
          <w:ilvl w:val="0"/>
          <w:numId w:val="1"/>
        </w:numPr>
        <w:jc w:val="both"/>
        <w:rPr>
          <w:rFonts w:asciiTheme="majorBidi" w:hAnsiTheme="majorBidi" w:cstheme="majorBidi"/>
        </w:rPr>
      </w:pPr>
      <w:r w:rsidRPr="00E150F4">
        <w:rPr>
          <w:rFonts w:asciiTheme="majorBidi" w:hAnsiTheme="majorBidi" w:cstheme="majorBidi"/>
        </w:rPr>
        <w:t>UK Home Office. (2024). "Accommodation Standards for Asylum Seekers."</w:t>
      </w:r>
    </w:p>
    <w:p w14:paraId="4CB235C3" w14:textId="77777777" w:rsidR="00DF715B" w:rsidRPr="00E150F4" w:rsidRDefault="00DF715B" w:rsidP="00041F19">
      <w:pPr>
        <w:numPr>
          <w:ilvl w:val="0"/>
          <w:numId w:val="1"/>
        </w:numPr>
        <w:jc w:val="both"/>
        <w:rPr>
          <w:rFonts w:asciiTheme="majorBidi" w:hAnsiTheme="majorBidi" w:cstheme="majorBidi"/>
        </w:rPr>
      </w:pPr>
      <w:r w:rsidRPr="00E150F4">
        <w:rPr>
          <w:rFonts w:asciiTheme="majorBidi" w:hAnsiTheme="majorBidi" w:cstheme="majorBidi"/>
        </w:rPr>
        <w:t>Human Rights Watch. (2024). "Children on the Margins: Refugees in the UK."</w:t>
      </w:r>
    </w:p>
    <w:p w14:paraId="6BC559BF" w14:textId="77777777" w:rsidR="00DF715B" w:rsidRPr="00E150F4" w:rsidRDefault="00DF715B" w:rsidP="00041F19">
      <w:pPr>
        <w:numPr>
          <w:ilvl w:val="0"/>
          <w:numId w:val="1"/>
        </w:numPr>
        <w:jc w:val="both"/>
        <w:rPr>
          <w:rFonts w:asciiTheme="majorBidi" w:hAnsiTheme="majorBidi" w:cstheme="majorBidi"/>
        </w:rPr>
      </w:pPr>
      <w:r w:rsidRPr="00E150F4">
        <w:rPr>
          <w:rFonts w:asciiTheme="majorBidi" w:hAnsiTheme="majorBidi" w:cstheme="majorBidi"/>
        </w:rPr>
        <w:t>Amnesty International. (2024). "The Illegal Migration Bill Analysis."</w:t>
      </w:r>
    </w:p>
    <w:p w14:paraId="0D10E169" w14:textId="77777777" w:rsidR="00DF715B" w:rsidRPr="00E150F4" w:rsidRDefault="00DF715B" w:rsidP="00041F19">
      <w:pPr>
        <w:numPr>
          <w:ilvl w:val="0"/>
          <w:numId w:val="1"/>
        </w:numPr>
        <w:jc w:val="both"/>
        <w:rPr>
          <w:rFonts w:asciiTheme="majorBidi" w:hAnsiTheme="majorBidi" w:cstheme="majorBidi"/>
        </w:rPr>
      </w:pPr>
      <w:r w:rsidRPr="00E150F4">
        <w:rPr>
          <w:rFonts w:asciiTheme="majorBidi" w:hAnsiTheme="majorBidi" w:cstheme="majorBidi"/>
        </w:rPr>
        <w:t xml:space="preserve">International </w:t>
      </w:r>
      <w:proofErr w:type="spellStart"/>
      <w:r w:rsidRPr="00E150F4">
        <w:rPr>
          <w:rFonts w:asciiTheme="majorBidi" w:hAnsiTheme="majorBidi" w:cstheme="majorBidi"/>
        </w:rPr>
        <w:t>Labour</w:t>
      </w:r>
      <w:proofErr w:type="spellEnd"/>
      <w:r w:rsidRPr="00E150F4">
        <w:rPr>
          <w:rFonts w:asciiTheme="majorBidi" w:hAnsiTheme="majorBidi" w:cstheme="majorBidi"/>
        </w:rPr>
        <w:t xml:space="preserve"> Organization. (2024). "UK </w:t>
      </w:r>
      <w:proofErr w:type="spellStart"/>
      <w:r w:rsidRPr="00E150F4">
        <w:rPr>
          <w:rFonts w:asciiTheme="majorBidi" w:hAnsiTheme="majorBidi" w:cstheme="majorBidi"/>
        </w:rPr>
        <w:t>Labour</w:t>
      </w:r>
      <w:proofErr w:type="spellEnd"/>
      <w:r w:rsidRPr="00E150F4">
        <w:rPr>
          <w:rFonts w:asciiTheme="majorBidi" w:hAnsiTheme="majorBidi" w:cstheme="majorBidi"/>
        </w:rPr>
        <w:t xml:space="preserve"> Conditions Review."</w:t>
      </w:r>
    </w:p>
    <w:p w14:paraId="5BA437B5" w14:textId="77777777" w:rsidR="00DF715B" w:rsidRPr="00E150F4" w:rsidRDefault="00DF715B" w:rsidP="00041F19">
      <w:pPr>
        <w:numPr>
          <w:ilvl w:val="0"/>
          <w:numId w:val="1"/>
        </w:numPr>
        <w:jc w:val="both"/>
        <w:rPr>
          <w:rFonts w:asciiTheme="majorBidi" w:hAnsiTheme="majorBidi" w:cstheme="majorBidi"/>
        </w:rPr>
      </w:pPr>
      <w:r w:rsidRPr="00E150F4">
        <w:rPr>
          <w:rFonts w:asciiTheme="majorBidi" w:hAnsiTheme="majorBidi" w:cstheme="majorBidi"/>
        </w:rPr>
        <w:t>Trades Union Congress. (2024). "State of Pay 2024."</w:t>
      </w:r>
    </w:p>
    <w:p w14:paraId="45FA0E4B" w14:textId="77777777" w:rsidR="00DF715B" w:rsidRPr="00E150F4" w:rsidRDefault="00DF715B" w:rsidP="00041F19">
      <w:pPr>
        <w:numPr>
          <w:ilvl w:val="0"/>
          <w:numId w:val="1"/>
        </w:numPr>
        <w:jc w:val="both"/>
        <w:rPr>
          <w:rFonts w:asciiTheme="majorBidi" w:hAnsiTheme="majorBidi" w:cstheme="majorBidi"/>
        </w:rPr>
      </w:pPr>
      <w:r w:rsidRPr="00E150F4">
        <w:rPr>
          <w:rFonts w:asciiTheme="majorBidi" w:hAnsiTheme="majorBidi" w:cstheme="majorBidi"/>
        </w:rPr>
        <w:t xml:space="preserve">Amnesty International. (2024). "Gig Economy: The New </w:t>
      </w:r>
      <w:proofErr w:type="spellStart"/>
      <w:r w:rsidRPr="00E150F4">
        <w:rPr>
          <w:rFonts w:asciiTheme="majorBidi" w:hAnsiTheme="majorBidi" w:cstheme="majorBidi"/>
        </w:rPr>
        <w:t>Labour</w:t>
      </w:r>
      <w:proofErr w:type="spellEnd"/>
      <w:r w:rsidRPr="00E150F4">
        <w:rPr>
          <w:rFonts w:asciiTheme="majorBidi" w:hAnsiTheme="majorBidi" w:cstheme="majorBidi"/>
        </w:rPr>
        <w:t xml:space="preserve"> Exploitation."</w:t>
      </w:r>
    </w:p>
    <w:p w14:paraId="25033089" w14:textId="77777777" w:rsidR="00DF715B" w:rsidRPr="00E150F4" w:rsidRDefault="00DF715B" w:rsidP="00041F19">
      <w:pPr>
        <w:numPr>
          <w:ilvl w:val="0"/>
          <w:numId w:val="1"/>
        </w:numPr>
        <w:jc w:val="both"/>
        <w:rPr>
          <w:rFonts w:asciiTheme="majorBidi" w:hAnsiTheme="majorBidi" w:cstheme="majorBidi"/>
        </w:rPr>
      </w:pPr>
      <w:r w:rsidRPr="00E150F4">
        <w:rPr>
          <w:rFonts w:asciiTheme="majorBidi" w:hAnsiTheme="majorBidi" w:cstheme="majorBidi"/>
        </w:rPr>
        <w:t xml:space="preserve">International </w:t>
      </w:r>
      <w:proofErr w:type="spellStart"/>
      <w:r w:rsidRPr="00E150F4">
        <w:rPr>
          <w:rFonts w:asciiTheme="majorBidi" w:hAnsiTheme="majorBidi" w:cstheme="majorBidi"/>
        </w:rPr>
        <w:t>Labour</w:t>
      </w:r>
      <w:proofErr w:type="spellEnd"/>
      <w:r w:rsidRPr="00E150F4">
        <w:rPr>
          <w:rFonts w:asciiTheme="majorBidi" w:hAnsiTheme="majorBidi" w:cstheme="majorBidi"/>
        </w:rPr>
        <w:t xml:space="preserve"> Organization. (2023). "UK’s Anti-Strike Legislation Review."</w:t>
      </w:r>
    </w:p>
    <w:p w14:paraId="0669B0B8" w14:textId="77777777" w:rsidR="00DF715B" w:rsidRPr="00E150F4" w:rsidRDefault="00DF715B" w:rsidP="00041F19">
      <w:pPr>
        <w:numPr>
          <w:ilvl w:val="0"/>
          <w:numId w:val="1"/>
        </w:numPr>
        <w:jc w:val="both"/>
        <w:rPr>
          <w:rFonts w:asciiTheme="majorBidi" w:hAnsiTheme="majorBidi" w:cstheme="majorBidi"/>
        </w:rPr>
      </w:pPr>
      <w:r w:rsidRPr="00E150F4">
        <w:rPr>
          <w:rFonts w:asciiTheme="majorBidi" w:hAnsiTheme="majorBidi" w:cstheme="majorBidi"/>
        </w:rPr>
        <w:t>Equality and Human Rights Commission. (2024). "State of Equality in the UK."</w:t>
      </w:r>
    </w:p>
    <w:p w14:paraId="1FAD381F" w14:textId="77777777" w:rsidR="00DF715B" w:rsidRPr="00E150F4" w:rsidRDefault="00DF715B" w:rsidP="00041F19">
      <w:pPr>
        <w:numPr>
          <w:ilvl w:val="0"/>
          <w:numId w:val="1"/>
        </w:numPr>
        <w:jc w:val="both"/>
        <w:rPr>
          <w:rFonts w:asciiTheme="majorBidi" w:hAnsiTheme="majorBidi" w:cstheme="majorBidi"/>
        </w:rPr>
      </w:pPr>
      <w:r w:rsidRPr="00E150F4">
        <w:rPr>
          <w:rFonts w:asciiTheme="majorBidi" w:hAnsiTheme="majorBidi" w:cstheme="majorBidi"/>
        </w:rPr>
        <w:t>Equality and Human Rights Commission. (2024). "Ethnic Wage Gaps in the UK."</w:t>
      </w:r>
    </w:p>
    <w:p w14:paraId="534EB65B" w14:textId="77777777" w:rsidR="00DF715B" w:rsidRPr="00E150F4" w:rsidRDefault="00DF715B" w:rsidP="00041F19">
      <w:pPr>
        <w:numPr>
          <w:ilvl w:val="0"/>
          <w:numId w:val="1"/>
        </w:numPr>
        <w:jc w:val="both"/>
        <w:rPr>
          <w:rFonts w:asciiTheme="majorBidi" w:hAnsiTheme="majorBidi" w:cstheme="majorBidi"/>
        </w:rPr>
      </w:pPr>
      <w:r w:rsidRPr="00E150F4">
        <w:rPr>
          <w:rFonts w:asciiTheme="majorBidi" w:hAnsiTheme="majorBidi" w:cstheme="majorBidi"/>
        </w:rPr>
        <w:t>UK Office for National Statistics. (2024). "</w:t>
      </w:r>
      <w:proofErr w:type="spellStart"/>
      <w:r w:rsidRPr="00E150F4">
        <w:rPr>
          <w:rFonts w:asciiTheme="majorBidi" w:hAnsiTheme="majorBidi" w:cstheme="majorBidi"/>
        </w:rPr>
        <w:t>Labour</w:t>
      </w:r>
      <w:proofErr w:type="spellEnd"/>
      <w:r w:rsidRPr="00E150F4">
        <w:rPr>
          <w:rFonts w:asciiTheme="majorBidi" w:hAnsiTheme="majorBidi" w:cstheme="majorBidi"/>
        </w:rPr>
        <w:t xml:space="preserve"> Market Disparities."</w:t>
      </w:r>
    </w:p>
    <w:p w14:paraId="0DB6AAA3" w14:textId="77777777" w:rsidR="00DF715B" w:rsidRPr="00E150F4" w:rsidRDefault="00DF715B" w:rsidP="00041F19">
      <w:pPr>
        <w:numPr>
          <w:ilvl w:val="0"/>
          <w:numId w:val="1"/>
        </w:numPr>
        <w:jc w:val="both"/>
        <w:rPr>
          <w:rFonts w:asciiTheme="majorBidi" w:hAnsiTheme="majorBidi" w:cstheme="majorBidi"/>
        </w:rPr>
      </w:pPr>
      <w:r w:rsidRPr="00E150F4">
        <w:rPr>
          <w:rFonts w:asciiTheme="majorBidi" w:hAnsiTheme="majorBidi" w:cstheme="majorBidi"/>
        </w:rPr>
        <w:t>Equality and Human Rights Commission. (2024). "Gender Pay Gap Report."</w:t>
      </w:r>
    </w:p>
    <w:p w14:paraId="33BCE012" w14:textId="77777777" w:rsidR="00DF715B" w:rsidRPr="00E150F4" w:rsidRDefault="00DF715B" w:rsidP="00041F19">
      <w:pPr>
        <w:numPr>
          <w:ilvl w:val="0"/>
          <w:numId w:val="1"/>
        </w:numPr>
        <w:jc w:val="both"/>
        <w:rPr>
          <w:rFonts w:asciiTheme="majorBidi" w:hAnsiTheme="majorBidi" w:cstheme="majorBidi"/>
        </w:rPr>
      </w:pPr>
      <w:r w:rsidRPr="00E150F4">
        <w:rPr>
          <w:rFonts w:asciiTheme="majorBidi" w:hAnsiTheme="majorBidi" w:cstheme="majorBidi"/>
        </w:rPr>
        <w:t>Muslim Council of Britain. (2024). "Islamophobia in the UK: A Statistical Analysis."</w:t>
      </w:r>
    </w:p>
    <w:p w14:paraId="6FECD67F" w14:textId="77777777" w:rsidR="00DF715B" w:rsidRPr="00E150F4" w:rsidRDefault="00DF715B" w:rsidP="00041F19">
      <w:pPr>
        <w:numPr>
          <w:ilvl w:val="0"/>
          <w:numId w:val="1"/>
        </w:numPr>
        <w:jc w:val="both"/>
        <w:rPr>
          <w:rFonts w:asciiTheme="majorBidi" w:hAnsiTheme="majorBidi" w:cstheme="majorBidi"/>
        </w:rPr>
      </w:pPr>
      <w:r w:rsidRPr="00E150F4">
        <w:rPr>
          <w:rFonts w:asciiTheme="majorBidi" w:hAnsiTheme="majorBidi" w:cstheme="majorBidi"/>
        </w:rPr>
        <w:t>Muslim Council of Britain. (2024). "Workplace Discrimination Against Muslims."</w:t>
      </w:r>
    </w:p>
    <w:p w14:paraId="6BEDBCAC" w14:textId="77777777" w:rsidR="00DF715B" w:rsidRPr="00E150F4" w:rsidRDefault="00DF715B" w:rsidP="00041F19">
      <w:pPr>
        <w:numPr>
          <w:ilvl w:val="0"/>
          <w:numId w:val="1"/>
        </w:numPr>
        <w:jc w:val="both"/>
        <w:rPr>
          <w:rFonts w:asciiTheme="majorBidi" w:hAnsiTheme="majorBidi" w:cstheme="majorBidi"/>
        </w:rPr>
      </w:pPr>
      <w:r w:rsidRPr="00E150F4">
        <w:rPr>
          <w:rFonts w:asciiTheme="majorBidi" w:hAnsiTheme="majorBidi" w:cstheme="majorBidi"/>
        </w:rPr>
        <w:t>UK Home Office. (2024). "Hate Crime Statistics 2024."</w:t>
      </w:r>
    </w:p>
    <w:p w14:paraId="77DBD3B9" w14:textId="76400435" w:rsidR="00974E0B" w:rsidRPr="00E150F4" w:rsidRDefault="00DF715B" w:rsidP="00EF4B3A">
      <w:pPr>
        <w:numPr>
          <w:ilvl w:val="0"/>
          <w:numId w:val="1"/>
        </w:numPr>
        <w:jc w:val="both"/>
        <w:rPr>
          <w:rFonts w:asciiTheme="majorBidi" w:hAnsiTheme="majorBidi" w:cstheme="majorBidi"/>
        </w:rPr>
      </w:pPr>
      <w:r w:rsidRPr="00E150F4">
        <w:rPr>
          <w:rFonts w:asciiTheme="majorBidi" w:hAnsiTheme="majorBidi" w:cstheme="majorBidi"/>
        </w:rPr>
        <w:t>Amnesty International. (2024). "The Prevent Strategy: A Critique."</w:t>
      </w:r>
    </w:p>
    <w:sectPr w:rsidR="00974E0B" w:rsidRPr="00E150F4" w:rsidSect="00D30E35">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bidi/>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A2449E"/>
    <w:multiLevelType w:val="multilevel"/>
    <w:tmpl w:val="673843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defaultTabStop w:val="720"/>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715B"/>
    <w:rsid w:val="00041F19"/>
    <w:rsid w:val="002C3F84"/>
    <w:rsid w:val="002E3B9B"/>
    <w:rsid w:val="00420D78"/>
    <w:rsid w:val="00516A8C"/>
    <w:rsid w:val="00554868"/>
    <w:rsid w:val="00603016"/>
    <w:rsid w:val="00757880"/>
    <w:rsid w:val="00974E0B"/>
    <w:rsid w:val="00BE6811"/>
    <w:rsid w:val="00C36152"/>
    <w:rsid w:val="00D30E35"/>
    <w:rsid w:val="00DA37E0"/>
    <w:rsid w:val="00DF715B"/>
    <w:rsid w:val="00E150F4"/>
    <w:rsid w:val="00E16AFF"/>
    <w:rsid w:val="00F4443E"/>
    <w:rsid w:val="00FE61C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BF7F0"/>
  <w15:chartTrackingRefBased/>
  <w15:docId w15:val="{5578C52A-F1CA-4D74-B10C-5D63E2538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715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F715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F715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F715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F715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F715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715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715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715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715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F715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F715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F715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F715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F715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715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715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715B"/>
    <w:rPr>
      <w:rFonts w:eastAsiaTheme="majorEastAsia" w:cstheme="majorBidi"/>
      <w:color w:val="272727" w:themeColor="text1" w:themeTint="D8"/>
    </w:rPr>
  </w:style>
  <w:style w:type="paragraph" w:styleId="Title">
    <w:name w:val="Title"/>
    <w:basedOn w:val="Normal"/>
    <w:next w:val="Normal"/>
    <w:link w:val="TitleChar"/>
    <w:uiPriority w:val="10"/>
    <w:qFormat/>
    <w:rsid w:val="00DF715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71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715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71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715B"/>
    <w:pPr>
      <w:spacing w:before="160"/>
      <w:jc w:val="center"/>
    </w:pPr>
    <w:rPr>
      <w:i/>
      <w:iCs/>
      <w:color w:val="404040" w:themeColor="text1" w:themeTint="BF"/>
    </w:rPr>
  </w:style>
  <w:style w:type="character" w:customStyle="1" w:styleId="QuoteChar">
    <w:name w:val="Quote Char"/>
    <w:basedOn w:val="DefaultParagraphFont"/>
    <w:link w:val="Quote"/>
    <w:uiPriority w:val="29"/>
    <w:rsid w:val="00DF715B"/>
    <w:rPr>
      <w:i/>
      <w:iCs/>
      <w:color w:val="404040" w:themeColor="text1" w:themeTint="BF"/>
    </w:rPr>
  </w:style>
  <w:style w:type="paragraph" w:styleId="ListParagraph">
    <w:name w:val="List Paragraph"/>
    <w:basedOn w:val="Normal"/>
    <w:uiPriority w:val="34"/>
    <w:qFormat/>
    <w:rsid w:val="00DF715B"/>
    <w:pPr>
      <w:ind w:left="720"/>
      <w:contextualSpacing/>
    </w:pPr>
  </w:style>
  <w:style w:type="character" w:styleId="IntenseEmphasis">
    <w:name w:val="Intense Emphasis"/>
    <w:basedOn w:val="DefaultParagraphFont"/>
    <w:uiPriority w:val="21"/>
    <w:qFormat/>
    <w:rsid w:val="00DF715B"/>
    <w:rPr>
      <w:i/>
      <w:iCs/>
      <w:color w:val="2F5496" w:themeColor="accent1" w:themeShade="BF"/>
    </w:rPr>
  </w:style>
  <w:style w:type="paragraph" w:styleId="IntenseQuote">
    <w:name w:val="Intense Quote"/>
    <w:basedOn w:val="Normal"/>
    <w:next w:val="Normal"/>
    <w:link w:val="IntenseQuoteChar"/>
    <w:uiPriority w:val="30"/>
    <w:qFormat/>
    <w:rsid w:val="00DF715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F715B"/>
    <w:rPr>
      <w:i/>
      <w:iCs/>
      <w:color w:val="2F5496" w:themeColor="accent1" w:themeShade="BF"/>
    </w:rPr>
  </w:style>
  <w:style w:type="character" w:styleId="IntenseReference">
    <w:name w:val="Intense Reference"/>
    <w:basedOn w:val="DefaultParagraphFont"/>
    <w:uiPriority w:val="32"/>
    <w:qFormat/>
    <w:rsid w:val="00DF715B"/>
    <w:rPr>
      <w:b/>
      <w:bCs/>
      <w:smallCaps/>
      <w:color w:val="2F5496" w:themeColor="accent1" w:themeShade="BF"/>
      <w:spacing w:val="5"/>
    </w:rPr>
  </w:style>
  <w:style w:type="character" w:styleId="Hyperlink">
    <w:name w:val="Hyperlink"/>
    <w:basedOn w:val="DefaultParagraphFont"/>
    <w:uiPriority w:val="99"/>
    <w:unhideWhenUsed/>
    <w:rsid w:val="00BE6811"/>
    <w:rPr>
      <w:color w:val="0563C1" w:themeColor="hyperlink"/>
      <w:u w:val="single"/>
    </w:rPr>
  </w:style>
  <w:style w:type="character" w:styleId="UnresolvedMention">
    <w:name w:val="Unresolved Mention"/>
    <w:basedOn w:val="DefaultParagraphFont"/>
    <w:uiPriority w:val="99"/>
    <w:semiHidden/>
    <w:unhideWhenUsed/>
    <w:rsid w:val="00BE68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843885">
      <w:bodyDiv w:val="1"/>
      <w:marLeft w:val="0"/>
      <w:marRight w:val="0"/>
      <w:marTop w:val="0"/>
      <w:marBottom w:val="0"/>
      <w:divBdr>
        <w:top w:val="none" w:sz="0" w:space="0" w:color="auto"/>
        <w:left w:val="none" w:sz="0" w:space="0" w:color="auto"/>
        <w:bottom w:val="none" w:sz="0" w:space="0" w:color="auto"/>
        <w:right w:val="none" w:sz="0" w:space="0" w:color="auto"/>
      </w:divBdr>
      <w:divsChild>
        <w:div w:id="783765984">
          <w:marLeft w:val="0"/>
          <w:marRight w:val="0"/>
          <w:marTop w:val="0"/>
          <w:marBottom w:val="0"/>
          <w:divBdr>
            <w:top w:val="none" w:sz="0" w:space="0" w:color="auto"/>
            <w:left w:val="none" w:sz="0" w:space="0" w:color="auto"/>
            <w:bottom w:val="none" w:sz="0" w:space="0" w:color="auto"/>
            <w:right w:val="none" w:sz="0" w:space="0" w:color="auto"/>
          </w:divBdr>
        </w:div>
        <w:div w:id="347222223">
          <w:marLeft w:val="0"/>
          <w:marRight w:val="0"/>
          <w:marTop w:val="0"/>
          <w:marBottom w:val="0"/>
          <w:divBdr>
            <w:top w:val="none" w:sz="0" w:space="0" w:color="auto"/>
            <w:left w:val="none" w:sz="0" w:space="0" w:color="auto"/>
            <w:bottom w:val="none" w:sz="0" w:space="0" w:color="auto"/>
            <w:right w:val="none" w:sz="0" w:space="0" w:color="auto"/>
          </w:divBdr>
        </w:div>
        <w:div w:id="513497518">
          <w:marLeft w:val="0"/>
          <w:marRight w:val="0"/>
          <w:marTop w:val="0"/>
          <w:marBottom w:val="0"/>
          <w:divBdr>
            <w:top w:val="none" w:sz="0" w:space="0" w:color="auto"/>
            <w:left w:val="none" w:sz="0" w:space="0" w:color="auto"/>
            <w:bottom w:val="none" w:sz="0" w:space="0" w:color="auto"/>
            <w:right w:val="none" w:sz="0" w:space="0" w:color="auto"/>
          </w:divBdr>
        </w:div>
        <w:div w:id="193661184">
          <w:marLeft w:val="0"/>
          <w:marRight w:val="0"/>
          <w:marTop w:val="0"/>
          <w:marBottom w:val="0"/>
          <w:divBdr>
            <w:top w:val="none" w:sz="0" w:space="0" w:color="auto"/>
            <w:left w:val="none" w:sz="0" w:space="0" w:color="auto"/>
            <w:bottom w:val="none" w:sz="0" w:space="0" w:color="auto"/>
            <w:right w:val="none" w:sz="0" w:space="0" w:color="auto"/>
          </w:divBdr>
        </w:div>
        <w:div w:id="1651714061">
          <w:marLeft w:val="0"/>
          <w:marRight w:val="0"/>
          <w:marTop w:val="0"/>
          <w:marBottom w:val="0"/>
          <w:divBdr>
            <w:top w:val="none" w:sz="0" w:space="0" w:color="auto"/>
            <w:left w:val="none" w:sz="0" w:space="0" w:color="auto"/>
            <w:bottom w:val="none" w:sz="0" w:space="0" w:color="auto"/>
            <w:right w:val="none" w:sz="0" w:space="0" w:color="auto"/>
          </w:divBdr>
        </w:div>
      </w:divsChild>
    </w:div>
    <w:div w:id="478234838">
      <w:bodyDiv w:val="1"/>
      <w:marLeft w:val="0"/>
      <w:marRight w:val="0"/>
      <w:marTop w:val="0"/>
      <w:marBottom w:val="0"/>
      <w:divBdr>
        <w:top w:val="none" w:sz="0" w:space="0" w:color="auto"/>
        <w:left w:val="none" w:sz="0" w:space="0" w:color="auto"/>
        <w:bottom w:val="none" w:sz="0" w:space="0" w:color="auto"/>
        <w:right w:val="none" w:sz="0" w:space="0" w:color="auto"/>
      </w:divBdr>
      <w:divsChild>
        <w:div w:id="1936816473">
          <w:marLeft w:val="0"/>
          <w:marRight w:val="0"/>
          <w:marTop w:val="0"/>
          <w:marBottom w:val="0"/>
          <w:divBdr>
            <w:top w:val="none" w:sz="0" w:space="0" w:color="auto"/>
            <w:left w:val="none" w:sz="0" w:space="0" w:color="auto"/>
            <w:bottom w:val="none" w:sz="0" w:space="0" w:color="auto"/>
            <w:right w:val="none" w:sz="0" w:space="0" w:color="auto"/>
          </w:divBdr>
        </w:div>
        <w:div w:id="1789817601">
          <w:marLeft w:val="0"/>
          <w:marRight w:val="0"/>
          <w:marTop w:val="0"/>
          <w:marBottom w:val="0"/>
          <w:divBdr>
            <w:top w:val="none" w:sz="0" w:space="0" w:color="auto"/>
            <w:left w:val="none" w:sz="0" w:space="0" w:color="auto"/>
            <w:bottom w:val="none" w:sz="0" w:space="0" w:color="auto"/>
            <w:right w:val="none" w:sz="0" w:space="0" w:color="auto"/>
          </w:divBdr>
        </w:div>
        <w:div w:id="633759097">
          <w:marLeft w:val="0"/>
          <w:marRight w:val="0"/>
          <w:marTop w:val="0"/>
          <w:marBottom w:val="0"/>
          <w:divBdr>
            <w:top w:val="none" w:sz="0" w:space="0" w:color="auto"/>
            <w:left w:val="none" w:sz="0" w:space="0" w:color="auto"/>
            <w:bottom w:val="none" w:sz="0" w:space="0" w:color="auto"/>
            <w:right w:val="none" w:sz="0" w:space="0" w:color="auto"/>
          </w:divBdr>
        </w:div>
        <w:div w:id="1755735643">
          <w:marLeft w:val="0"/>
          <w:marRight w:val="0"/>
          <w:marTop w:val="0"/>
          <w:marBottom w:val="0"/>
          <w:divBdr>
            <w:top w:val="none" w:sz="0" w:space="0" w:color="auto"/>
            <w:left w:val="none" w:sz="0" w:space="0" w:color="auto"/>
            <w:bottom w:val="none" w:sz="0" w:space="0" w:color="auto"/>
            <w:right w:val="none" w:sz="0" w:space="0" w:color="auto"/>
          </w:divBdr>
        </w:div>
        <w:div w:id="1745833995">
          <w:marLeft w:val="0"/>
          <w:marRight w:val="0"/>
          <w:marTop w:val="0"/>
          <w:marBottom w:val="0"/>
          <w:divBdr>
            <w:top w:val="none" w:sz="0" w:space="0" w:color="auto"/>
            <w:left w:val="none" w:sz="0" w:space="0" w:color="auto"/>
            <w:bottom w:val="none" w:sz="0" w:space="0" w:color="auto"/>
            <w:right w:val="none" w:sz="0" w:space="0" w:color="auto"/>
          </w:divBdr>
        </w:div>
        <w:div w:id="1644383579">
          <w:marLeft w:val="0"/>
          <w:marRight w:val="0"/>
          <w:marTop w:val="0"/>
          <w:marBottom w:val="0"/>
          <w:divBdr>
            <w:top w:val="none" w:sz="0" w:space="0" w:color="auto"/>
            <w:left w:val="none" w:sz="0" w:space="0" w:color="auto"/>
            <w:bottom w:val="none" w:sz="0" w:space="0" w:color="auto"/>
            <w:right w:val="none" w:sz="0" w:space="0" w:color="auto"/>
          </w:divBdr>
        </w:div>
      </w:divsChild>
    </w:div>
    <w:div w:id="1412459632">
      <w:bodyDiv w:val="1"/>
      <w:marLeft w:val="0"/>
      <w:marRight w:val="0"/>
      <w:marTop w:val="0"/>
      <w:marBottom w:val="0"/>
      <w:divBdr>
        <w:top w:val="none" w:sz="0" w:space="0" w:color="auto"/>
        <w:left w:val="none" w:sz="0" w:space="0" w:color="auto"/>
        <w:bottom w:val="none" w:sz="0" w:space="0" w:color="auto"/>
        <w:right w:val="none" w:sz="0" w:space="0" w:color="auto"/>
      </w:divBdr>
      <w:divsChild>
        <w:div w:id="987444639">
          <w:marLeft w:val="0"/>
          <w:marRight w:val="0"/>
          <w:marTop w:val="0"/>
          <w:marBottom w:val="0"/>
          <w:divBdr>
            <w:top w:val="none" w:sz="0" w:space="0" w:color="auto"/>
            <w:left w:val="none" w:sz="0" w:space="0" w:color="auto"/>
            <w:bottom w:val="none" w:sz="0" w:space="0" w:color="auto"/>
            <w:right w:val="none" w:sz="0" w:space="0" w:color="auto"/>
          </w:divBdr>
        </w:div>
        <w:div w:id="859200491">
          <w:marLeft w:val="0"/>
          <w:marRight w:val="0"/>
          <w:marTop w:val="0"/>
          <w:marBottom w:val="0"/>
          <w:divBdr>
            <w:top w:val="none" w:sz="0" w:space="0" w:color="auto"/>
            <w:left w:val="none" w:sz="0" w:space="0" w:color="auto"/>
            <w:bottom w:val="none" w:sz="0" w:space="0" w:color="auto"/>
            <w:right w:val="none" w:sz="0" w:space="0" w:color="auto"/>
          </w:divBdr>
        </w:div>
        <w:div w:id="1766995007">
          <w:marLeft w:val="0"/>
          <w:marRight w:val="0"/>
          <w:marTop w:val="0"/>
          <w:marBottom w:val="0"/>
          <w:divBdr>
            <w:top w:val="none" w:sz="0" w:space="0" w:color="auto"/>
            <w:left w:val="none" w:sz="0" w:space="0" w:color="auto"/>
            <w:bottom w:val="none" w:sz="0" w:space="0" w:color="auto"/>
            <w:right w:val="none" w:sz="0" w:space="0" w:color="auto"/>
          </w:divBdr>
        </w:div>
        <w:div w:id="2033922285">
          <w:marLeft w:val="0"/>
          <w:marRight w:val="0"/>
          <w:marTop w:val="0"/>
          <w:marBottom w:val="0"/>
          <w:divBdr>
            <w:top w:val="none" w:sz="0" w:space="0" w:color="auto"/>
            <w:left w:val="none" w:sz="0" w:space="0" w:color="auto"/>
            <w:bottom w:val="none" w:sz="0" w:space="0" w:color="auto"/>
            <w:right w:val="none" w:sz="0" w:space="0" w:color="auto"/>
          </w:divBdr>
        </w:div>
        <w:div w:id="2025664077">
          <w:marLeft w:val="0"/>
          <w:marRight w:val="0"/>
          <w:marTop w:val="0"/>
          <w:marBottom w:val="0"/>
          <w:divBdr>
            <w:top w:val="none" w:sz="0" w:space="0" w:color="auto"/>
            <w:left w:val="none" w:sz="0" w:space="0" w:color="auto"/>
            <w:bottom w:val="none" w:sz="0" w:space="0" w:color="auto"/>
            <w:right w:val="none" w:sz="0" w:space="0" w:color="auto"/>
          </w:divBdr>
        </w:div>
      </w:divsChild>
    </w:div>
    <w:div w:id="1840071715">
      <w:bodyDiv w:val="1"/>
      <w:marLeft w:val="0"/>
      <w:marRight w:val="0"/>
      <w:marTop w:val="0"/>
      <w:marBottom w:val="0"/>
      <w:divBdr>
        <w:top w:val="none" w:sz="0" w:space="0" w:color="auto"/>
        <w:left w:val="none" w:sz="0" w:space="0" w:color="auto"/>
        <w:bottom w:val="none" w:sz="0" w:space="0" w:color="auto"/>
        <w:right w:val="none" w:sz="0" w:space="0" w:color="auto"/>
      </w:divBdr>
      <w:divsChild>
        <w:div w:id="1924684751">
          <w:marLeft w:val="0"/>
          <w:marRight w:val="0"/>
          <w:marTop w:val="0"/>
          <w:marBottom w:val="0"/>
          <w:divBdr>
            <w:top w:val="none" w:sz="0" w:space="0" w:color="auto"/>
            <w:left w:val="none" w:sz="0" w:space="0" w:color="auto"/>
            <w:bottom w:val="none" w:sz="0" w:space="0" w:color="auto"/>
            <w:right w:val="none" w:sz="0" w:space="0" w:color="auto"/>
          </w:divBdr>
        </w:div>
        <w:div w:id="850879360">
          <w:marLeft w:val="0"/>
          <w:marRight w:val="0"/>
          <w:marTop w:val="0"/>
          <w:marBottom w:val="0"/>
          <w:divBdr>
            <w:top w:val="none" w:sz="0" w:space="0" w:color="auto"/>
            <w:left w:val="none" w:sz="0" w:space="0" w:color="auto"/>
            <w:bottom w:val="none" w:sz="0" w:space="0" w:color="auto"/>
            <w:right w:val="none" w:sz="0" w:space="0" w:color="auto"/>
          </w:divBdr>
        </w:div>
        <w:div w:id="1023017715">
          <w:marLeft w:val="0"/>
          <w:marRight w:val="0"/>
          <w:marTop w:val="0"/>
          <w:marBottom w:val="0"/>
          <w:divBdr>
            <w:top w:val="none" w:sz="0" w:space="0" w:color="auto"/>
            <w:left w:val="none" w:sz="0" w:space="0" w:color="auto"/>
            <w:bottom w:val="none" w:sz="0" w:space="0" w:color="auto"/>
            <w:right w:val="none" w:sz="0" w:space="0" w:color="auto"/>
          </w:divBdr>
        </w:div>
        <w:div w:id="728042547">
          <w:marLeft w:val="0"/>
          <w:marRight w:val="0"/>
          <w:marTop w:val="0"/>
          <w:marBottom w:val="0"/>
          <w:divBdr>
            <w:top w:val="none" w:sz="0" w:space="0" w:color="auto"/>
            <w:left w:val="none" w:sz="0" w:space="0" w:color="auto"/>
            <w:bottom w:val="none" w:sz="0" w:space="0" w:color="auto"/>
            <w:right w:val="none" w:sz="0" w:space="0" w:color="auto"/>
          </w:divBdr>
        </w:div>
        <w:div w:id="2115784232">
          <w:marLeft w:val="0"/>
          <w:marRight w:val="0"/>
          <w:marTop w:val="0"/>
          <w:marBottom w:val="0"/>
          <w:divBdr>
            <w:top w:val="none" w:sz="0" w:space="0" w:color="auto"/>
            <w:left w:val="none" w:sz="0" w:space="0" w:color="auto"/>
            <w:bottom w:val="none" w:sz="0" w:space="0" w:color="auto"/>
            <w:right w:val="none" w:sz="0" w:space="0" w:color="auto"/>
          </w:divBdr>
        </w:div>
        <w:div w:id="20296763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fo@odvv.org" TargetMode="External"/><Relationship Id="rId5" Type="http://schemas.openxmlformats.org/officeDocument/2006/relationships/image" Target="media/image1.tif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3</Pages>
  <Words>1216</Words>
  <Characters>6937</Characters>
  <Application>Microsoft Office Word</Application>
  <DocSecurity>0</DocSecurity>
  <Lines>57</Lines>
  <Paragraphs>16</Paragraphs>
  <ScaleCrop>false</ScaleCrop>
  <Company/>
  <LinksUpToDate>false</LinksUpToDate>
  <CharactersWithSpaces>8137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لیلا عنایتی</dc:creator>
  <cp:keywords/>
  <dc:description/>
  <cp:lastModifiedBy>Mahdi Mohebirad</cp:lastModifiedBy>
  <cp:revision>13</cp:revision>
  <cp:lastPrinted>2025-01-13T12:09:00Z</cp:lastPrinted>
  <dcterms:created xsi:type="dcterms:W3CDTF">2025-01-12T11:59:00Z</dcterms:created>
  <dcterms:modified xsi:type="dcterms:W3CDTF">2025-01-13T12:11:00Z</dcterms:modified>
</cp:coreProperties>
</file>