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5E005" w14:textId="77777777" w:rsidR="00D43A1B" w:rsidRPr="00D43A1B" w:rsidRDefault="00D43A1B" w:rsidP="00D43A1B">
      <w:pPr>
        <w:snapToGrid w:val="0"/>
        <w:spacing w:before="120" w:line="240" w:lineRule="auto"/>
        <w:jc w:val="both"/>
        <w:rPr>
          <w:rFonts w:ascii="Calibri" w:hAnsi="Calibri" w:cs="Calibri"/>
          <w:b/>
          <w:bCs/>
          <w:sz w:val="22"/>
          <w:szCs w:val="22"/>
        </w:rPr>
      </w:pPr>
    </w:p>
    <w:p w14:paraId="6E0020C4" w14:textId="542137BF" w:rsidR="00D43A1B" w:rsidRPr="00D43A1B" w:rsidRDefault="00D43A1B" w:rsidP="00D43A1B">
      <w:pPr>
        <w:snapToGrid w:val="0"/>
        <w:spacing w:before="120" w:line="240" w:lineRule="auto"/>
        <w:jc w:val="right"/>
        <w:rPr>
          <w:rFonts w:ascii="Calibri" w:hAnsi="Calibri" w:cs="Calibri"/>
          <w:sz w:val="22"/>
          <w:szCs w:val="22"/>
          <w:lang w:val="es-ES_tradnl"/>
        </w:rPr>
      </w:pPr>
      <w:r>
        <w:rPr>
          <w:rFonts w:ascii="Calibri" w:hAnsi="Calibri" w:cs="Calibri"/>
          <w:sz w:val="22"/>
          <w:szCs w:val="22"/>
          <w:lang w:val="es-ES_tradnl"/>
        </w:rPr>
        <w:t>Washington, D.C.</w:t>
      </w:r>
      <w:r w:rsidRPr="00D43A1B">
        <w:rPr>
          <w:rFonts w:ascii="Calibri" w:hAnsi="Calibri" w:cs="Calibri"/>
          <w:sz w:val="22"/>
          <w:szCs w:val="22"/>
          <w:lang w:val="es-ES_tradnl"/>
        </w:rPr>
        <w:t xml:space="preserve">, </w:t>
      </w:r>
      <w:r w:rsidR="00A00BFC">
        <w:rPr>
          <w:rFonts w:ascii="Calibri" w:hAnsi="Calibri" w:cs="Calibri"/>
          <w:sz w:val="22"/>
          <w:szCs w:val="22"/>
          <w:lang w:val="es-ES_tradnl"/>
        </w:rPr>
        <w:t>29 de junio</w:t>
      </w:r>
      <w:r w:rsidRPr="00D43A1B">
        <w:rPr>
          <w:rFonts w:ascii="Calibri" w:hAnsi="Calibri" w:cs="Calibri"/>
          <w:sz w:val="22"/>
          <w:szCs w:val="22"/>
          <w:lang w:val="es-ES_tradnl"/>
        </w:rPr>
        <w:t xml:space="preserve"> de 2026</w:t>
      </w:r>
    </w:p>
    <w:p w14:paraId="15F5F046" w14:textId="784D06C7" w:rsidR="00D43A1B" w:rsidRPr="00D43A1B" w:rsidRDefault="00D43A1B" w:rsidP="00D43A1B">
      <w:pPr>
        <w:snapToGrid w:val="0"/>
        <w:spacing w:after="0" w:line="240" w:lineRule="auto"/>
        <w:jc w:val="both"/>
        <w:rPr>
          <w:rFonts w:ascii="Calibri" w:hAnsi="Calibri" w:cs="Calibri"/>
          <w:sz w:val="22"/>
          <w:szCs w:val="22"/>
          <w:lang w:val="es-ES_tradnl"/>
        </w:rPr>
      </w:pPr>
      <w:r w:rsidRPr="00D43A1B">
        <w:rPr>
          <w:rFonts w:ascii="Calibri" w:hAnsi="Calibri" w:cs="Calibri"/>
          <w:sz w:val="22"/>
          <w:szCs w:val="22"/>
          <w:lang w:val="es-ES_tradnl"/>
        </w:rPr>
        <w:t xml:space="preserve">Sr. </w:t>
      </w:r>
      <w:r>
        <w:rPr>
          <w:rFonts w:ascii="Calibri" w:hAnsi="Calibri" w:cs="Calibri"/>
          <w:sz w:val="22"/>
          <w:szCs w:val="22"/>
          <w:lang w:val="es-ES_tradnl"/>
        </w:rPr>
        <w:t>Juan Pablo A</w:t>
      </w:r>
      <w:r w:rsidRPr="00D43A1B">
        <w:rPr>
          <w:rFonts w:ascii="Calibri" w:hAnsi="Calibri" w:cs="Calibri"/>
          <w:sz w:val="22"/>
          <w:szCs w:val="22"/>
          <w:lang w:val="es-ES_tradnl"/>
        </w:rPr>
        <w:t>l</w:t>
      </w:r>
      <w:r>
        <w:rPr>
          <w:rFonts w:ascii="Calibri" w:hAnsi="Calibri" w:cs="Calibri"/>
          <w:sz w:val="22"/>
          <w:szCs w:val="22"/>
          <w:lang w:val="es-ES_tradnl"/>
        </w:rPr>
        <w:t>ban</w:t>
      </w:r>
    </w:p>
    <w:p w14:paraId="170F64A8" w14:textId="2B6AA436" w:rsidR="00D43A1B" w:rsidRDefault="00D43A1B" w:rsidP="00D43A1B">
      <w:pPr>
        <w:snapToGrid w:val="0"/>
        <w:spacing w:after="0" w:line="240" w:lineRule="auto"/>
        <w:jc w:val="both"/>
        <w:rPr>
          <w:rFonts w:ascii="Calibri" w:hAnsi="Calibri" w:cs="Calibri"/>
          <w:sz w:val="22"/>
          <w:szCs w:val="22"/>
          <w:lang w:val="es-ES_tradnl"/>
        </w:rPr>
      </w:pPr>
      <w:r w:rsidRPr="00D43A1B">
        <w:rPr>
          <w:rFonts w:ascii="Calibri" w:hAnsi="Calibri" w:cs="Calibri"/>
          <w:sz w:val="22"/>
          <w:szCs w:val="22"/>
          <w:lang w:val="es-ES_tradnl"/>
        </w:rPr>
        <w:t xml:space="preserve">Presidente </w:t>
      </w:r>
    </w:p>
    <w:p w14:paraId="3B93A813" w14:textId="05242462" w:rsidR="00D43A1B" w:rsidRPr="00D43A1B" w:rsidRDefault="00D43A1B" w:rsidP="00D43A1B">
      <w:pPr>
        <w:snapToGrid w:val="0"/>
        <w:spacing w:after="0" w:line="240" w:lineRule="auto"/>
        <w:jc w:val="both"/>
        <w:rPr>
          <w:rFonts w:ascii="Calibri" w:hAnsi="Calibri" w:cs="Calibri"/>
          <w:sz w:val="22"/>
          <w:szCs w:val="22"/>
          <w:lang w:val="es-ES_tradnl"/>
        </w:rPr>
      </w:pPr>
      <w:r w:rsidRPr="00D43A1B">
        <w:rPr>
          <w:rFonts w:ascii="Calibri" w:hAnsi="Calibri" w:cs="Calibri"/>
          <w:sz w:val="22"/>
          <w:szCs w:val="22"/>
          <w:lang w:val="es-ES_tradnl"/>
        </w:rPr>
        <w:t xml:space="preserve">Comité </w:t>
      </w:r>
      <w:r>
        <w:rPr>
          <w:rFonts w:ascii="Calibri" w:hAnsi="Calibri" w:cs="Calibri"/>
          <w:sz w:val="22"/>
          <w:szCs w:val="22"/>
          <w:lang w:val="es-ES_tradnl"/>
        </w:rPr>
        <w:t>contra la Desaparición Forzada</w:t>
      </w:r>
    </w:p>
    <w:p w14:paraId="44952F7D" w14:textId="77777777" w:rsidR="00D43A1B" w:rsidRPr="00D43A1B" w:rsidRDefault="00D43A1B" w:rsidP="00D43A1B">
      <w:pPr>
        <w:snapToGrid w:val="0"/>
        <w:spacing w:before="120" w:line="240" w:lineRule="auto"/>
        <w:jc w:val="both"/>
        <w:rPr>
          <w:rFonts w:ascii="Calibri" w:hAnsi="Calibri" w:cs="Calibri"/>
          <w:b/>
          <w:bCs/>
          <w:sz w:val="22"/>
          <w:szCs w:val="22"/>
          <w:lang w:val="es-ES_tradnl"/>
        </w:rPr>
      </w:pPr>
      <w:r w:rsidRPr="00D43A1B">
        <w:rPr>
          <w:rFonts w:ascii="Calibri" w:hAnsi="Calibri" w:cs="Calibri"/>
          <w:b/>
          <w:bCs/>
          <w:sz w:val="22"/>
          <w:szCs w:val="22"/>
          <w:lang w:val="es-ES_tradnl"/>
        </w:rPr>
        <w:t xml:space="preserve"> </w:t>
      </w:r>
    </w:p>
    <w:p w14:paraId="2A4B9991" w14:textId="1B2BC405" w:rsidR="00D43A1B" w:rsidRPr="00D43A1B" w:rsidRDefault="00D43A1B" w:rsidP="00D43A1B">
      <w:pPr>
        <w:snapToGrid w:val="0"/>
        <w:spacing w:before="120" w:line="240" w:lineRule="auto"/>
        <w:jc w:val="right"/>
        <w:rPr>
          <w:rFonts w:ascii="Calibri" w:hAnsi="Calibri" w:cs="Calibri"/>
          <w:b/>
          <w:bCs/>
          <w:sz w:val="22"/>
          <w:szCs w:val="22"/>
          <w:lang w:val="es-ES_tradnl"/>
        </w:rPr>
      </w:pPr>
      <w:r w:rsidRPr="00D43A1B">
        <w:rPr>
          <w:rFonts w:ascii="Calibri" w:hAnsi="Calibri" w:cs="Calibri"/>
          <w:b/>
          <w:bCs/>
          <w:sz w:val="22"/>
          <w:szCs w:val="22"/>
          <w:lang w:val="es-ES_tradnl"/>
        </w:rPr>
        <w:t xml:space="preserve">Ref.: </w:t>
      </w:r>
      <w:r>
        <w:rPr>
          <w:rFonts w:ascii="Calibri" w:hAnsi="Calibri" w:cs="Calibri"/>
          <w:b/>
          <w:bCs/>
          <w:sz w:val="22"/>
          <w:szCs w:val="22"/>
          <w:lang w:val="es-ES_tradnl"/>
        </w:rPr>
        <w:t xml:space="preserve">Lista de temas prioritarios – Art. </w:t>
      </w:r>
      <w:r w:rsidRPr="00D43A1B">
        <w:rPr>
          <w:rFonts w:ascii="Calibri" w:hAnsi="Calibri" w:cs="Calibri"/>
          <w:b/>
          <w:bCs/>
          <w:sz w:val="22"/>
          <w:szCs w:val="22"/>
          <w:lang w:val="es-ES_tradnl"/>
        </w:rPr>
        <w:t>29(3) y (4)</w:t>
      </w:r>
      <w:r>
        <w:rPr>
          <w:rFonts w:ascii="Calibri" w:hAnsi="Calibri" w:cs="Calibri"/>
          <w:b/>
          <w:bCs/>
          <w:sz w:val="22"/>
          <w:szCs w:val="22"/>
          <w:lang w:val="es-ES_tradnl"/>
        </w:rPr>
        <w:t xml:space="preserve"> </w:t>
      </w:r>
    </w:p>
    <w:p w14:paraId="4049D48E" w14:textId="76A9250F" w:rsidR="00D43A1B" w:rsidRPr="00D43A1B" w:rsidRDefault="00D43A1B" w:rsidP="00D43A1B">
      <w:pPr>
        <w:snapToGrid w:val="0"/>
        <w:spacing w:before="120" w:line="240" w:lineRule="auto"/>
        <w:jc w:val="right"/>
        <w:rPr>
          <w:rFonts w:ascii="Calibri" w:hAnsi="Calibri" w:cs="Calibri"/>
          <w:b/>
          <w:bCs/>
          <w:sz w:val="22"/>
          <w:szCs w:val="22"/>
          <w:lang w:val="es-ES_tradnl"/>
        </w:rPr>
      </w:pPr>
      <w:r>
        <w:rPr>
          <w:rFonts w:ascii="Calibri" w:hAnsi="Calibri" w:cs="Calibri"/>
          <w:b/>
          <w:bCs/>
          <w:sz w:val="22"/>
          <w:szCs w:val="22"/>
          <w:lang w:val="es-ES_tradnl"/>
        </w:rPr>
        <w:t>Cuba</w:t>
      </w:r>
    </w:p>
    <w:p w14:paraId="6B6C1D1B" w14:textId="77777777" w:rsidR="00D43A1B" w:rsidRPr="00D43A1B" w:rsidRDefault="00D43A1B" w:rsidP="00D43A1B">
      <w:pPr>
        <w:snapToGrid w:val="0"/>
        <w:spacing w:before="120" w:line="240" w:lineRule="auto"/>
        <w:jc w:val="both"/>
        <w:rPr>
          <w:rFonts w:ascii="Calibri" w:hAnsi="Calibri" w:cs="Calibri"/>
          <w:b/>
          <w:bCs/>
          <w:sz w:val="22"/>
          <w:szCs w:val="22"/>
          <w:lang w:val="es-ES_tradnl"/>
        </w:rPr>
      </w:pPr>
      <w:r w:rsidRPr="00D43A1B">
        <w:rPr>
          <w:rFonts w:ascii="Calibri" w:hAnsi="Calibri" w:cs="Calibri"/>
          <w:b/>
          <w:bCs/>
          <w:sz w:val="22"/>
          <w:szCs w:val="22"/>
          <w:lang w:val="es-ES_tradnl"/>
        </w:rPr>
        <w:t xml:space="preserve"> </w:t>
      </w:r>
    </w:p>
    <w:p w14:paraId="2DA586A0" w14:textId="77777777" w:rsidR="00D43A1B" w:rsidRPr="00D43A1B" w:rsidRDefault="00D43A1B" w:rsidP="00D43A1B">
      <w:pPr>
        <w:snapToGrid w:val="0"/>
        <w:spacing w:before="120" w:line="240" w:lineRule="auto"/>
        <w:jc w:val="both"/>
        <w:rPr>
          <w:rFonts w:ascii="Calibri" w:hAnsi="Calibri" w:cs="Calibri"/>
          <w:sz w:val="22"/>
          <w:szCs w:val="22"/>
          <w:lang w:val="es-ES_tradnl"/>
        </w:rPr>
      </w:pPr>
      <w:r w:rsidRPr="00D43A1B">
        <w:rPr>
          <w:rFonts w:ascii="Calibri" w:hAnsi="Calibri" w:cs="Calibri"/>
          <w:sz w:val="22"/>
          <w:szCs w:val="22"/>
          <w:lang w:val="es-ES_tradnl"/>
        </w:rPr>
        <w:t xml:space="preserve"> </w:t>
      </w:r>
    </w:p>
    <w:p w14:paraId="422A7EAB" w14:textId="1E9AFB2C" w:rsidR="00D43A1B" w:rsidRPr="00D43A1B" w:rsidRDefault="00D43A1B" w:rsidP="00D43A1B">
      <w:pPr>
        <w:snapToGrid w:val="0"/>
        <w:spacing w:before="120" w:line="240" w:lineRule="auto"/>
        <w:jc w:val="both"/>
        <w:rPr>
          <w:rFonts w:ascii="Calibri" w:hAnsi="Calibri" w:cs="Calibri"/>
          <w:sz w:val="22"/>
          <w:szCs w:val="22"/>
          <w:lang w:val="es-ES_tradnl"/>
        </w:rPr>
      </w:pPr>
      <w:r w:rsidRPr="00D43A1B">
        <w:rPr>
          <w:rFonts w:ascii="Calibri" w:hAnsi="Calibri" w:cs="Calibri"/>
          <w:sz w:val="22"/>
          <w:szCs w:val="22"/>
          <w:lang w:val="es-ES_tradnl"/>
        </w:rPr>
        <w:t xml:space="preserve">Sr. </w:t>
      </w:r>
      <w:r>
        <w:rPr>
          <w:rFonts w:ascii="Calibri" w:hAnsi="Calibri" w:cs="Calibri"/>
          <w:sz w:val="22"/>
          <w:szCs w:val="22"/>
          <w:lang w:val="es-ES_tradnl"/>
        </w:rPr>
        <w:t>Alban</w:t>
      </w:r>
      <w:r w:rsidRPr="00D43A1B">
        <w:rPr>
          <w:rFonts w:ascii="Calibri" w:hAnsi="Calibri" w:cs="Calibri"/>
          <w:sz w:val="22"/>
          <w:szCs w:val="22"/>
          <w:lang w:val="es-ES_tradnl"/>
        </w:rPr>
        <w:t>,</w:t>
      </w:r>
    </w:p>
    <w:p w14:paraId="73403BD4" w14:textId="62DBC3C0" w:rsidR="00F77E53" w:rsidRDefault="00D43A1B" w:rsidP="00D43A1B">
      <w:pPr>
        <w:jc w:val="both"/>
        <w:rPr>
          <w:rFonts w:ascii="Calibri" w:hAnsi="Calibri" w:cs="Calibri"/>
          <w:sz w:val="22"/>
          <w:szCs w:val="22"/>
          <w:lang w:val="es-ES_tradnl"/>
        </w:rPr>
      </w:pPr>
      <w:r>
        <w:rPr>
          <w:rFonts w:ascii="Calibri" w:hAnsi="Calibri" w:cs="Calibri"/>
          <w:sz w:val="22"/>
          <w:szCs w:val="22"/>
          <w:lang w:val="es-ES_tradnl"/>
        </w:rPr>
        <w:t>E</w:t>
      </w:r>
      <w:r w:rsidRPr="00D43A1B">
        <w:rPr>
          <w:rFonts w:ascii="Calibri" w:hAnsi="Calibri" w:cs="Calibri"/>
          <w:sz w:val="22"/>
          <w:szCs w:val="22"/>
          <w:lang w:val="es-ES_tradnl"/>
        </w:rPr>
        <w:t xml:space="preserve">l Instituto sobre Raza, Igualdad y Derechos Humanos (Raza e Igualdad), </w:t>
      </w:r>
      <w:r>
        <w:rPr>
          <w:rFonts w:ascii="Calibri" w:hAnsi="Calibri" w:cs="Calibri"/>
          <w:sz w:val="22"/>
          <w:szCs w:val="22"/>
          <w:lang w:val="es-ES_tradnl"/>
        </w:rPr>
        <w:t>se dirige</w:t>
      </w:r>
      <w:r w:rsidRPr="00D43A1B">
        <w:rPr>
          <w:rFonts w:ascii="Calibri" w:hAnsi="Calibri" w:cs="Calibri"/>
          <w:sz w:val="22"/>
          <w:szCs w:val="22"/>
          <w:lang w:val="es-ES_tradnl"/>
        </w:rPr>
        <w:t xml:space="preserve"> a usted, y, por su intermedio, al Comité </w:t>
      </w:r>
      <w:r>
        <w:rPr>
          <w:rFonts w:ascii="Calibri" w:hAnsi="Calibri" w:cs="Calibri"/>
          <w:sz w:val="22"/>
          <w:szCs w:val="22"/>
          <w:lang w:val="es-ES_tradnl"/>
        </w:rPr>
        <w:t xml:space="preserve">contra la Desaparición Forzada </w:t>
      </w:r>
      <w:r w:rsidRPr="00D43A1B">
        <w:rPr>
          <w:rFonts w:ascii="Calibri" w:hAnsi="Calibri" w:cs="Calibri"/>
          <w:sz w:val="22"/>
          <w:szCs w:val="22"/>
          <w:lang w:val="es-ES_tradnl"/>
        </w:rPr>
        <w:t xml:space="preserve">(en adelante, “el Comité” o “CED”) con el fin de </w:t>
      </w:r>
      <w:r>
        <w:rPr>
          <w:rFonts w:ascii="Calibri" w:hAnsi="Calibri" w:cs="Calibri"/>
          <w:sz w:val="22"/>
          <w:szCs w:val="22"/>
          <w:lang w:val="es-ES_tradnl"/>
        </w:rPr>
        <w:t>aportar insumos para la definición de la lista de temas prioritarios sobre los que se va a evaluar al Estado cubano</w:t>
      </w:r>
      <w:r w:rsidRPr="00D43A1B">
        <w:rPr>
          <w:rFonts w:ascii="Calibri" w:hAnsi="Calibri" w:cs="Calibri"/>
          <w:sz w:val="22"/>
          <w:szCs w:val="22"/>
          <w:lang w:val="es-ES_tradnl"/>
        </w:rPr>
        <w:t>.</w:t>
      </w:r>
    </w:p>
    <w:p w14:paraId="2D6C4CD3" w14:textId="0177F71C" w:rsidR="0015604C" w:rsidRPr="00D43A1B" w:rsidRDefault="0015604C" w:rsidP="00D43A1B">
      <w:pPr>
        <w:jc w:val="both"/>
        <w:rPr>
          <w:rFonts w:ascii="Calibri" w:hAnsi="Calibri" w:cs="Calibri"/>
          <w:sz w:val="22"/>
          <w:szCs w:val="22"/>
          <w:lang w:val="es-ES_tradnl"/>
        </w:rPr>
      </w:pPr>
      <w:r>
        <w:rPr>
          <w:rFonts w:ascii="Calibri" w:hAnsi="Calibri" w:cs="Calibri"/>
          <w:sz w:val="22"/>
          <w:szCs w:val="22"/>
          <w:lang w:val="es-ES_tradnl"/>
        </w:rPr>
        <w:t>A continuación, se desarrollarán y debidamente justificarán los temas que Raza e Igualdad considera prioritarios para ser incluidos en la lista de temas para el Estado cubano.</w:t>
      </w:r>
    </w:p>
    <w:p w14:paraId="6B5D8C22" w14:textId="77777777" w:rsidR="00D43A1B" w:rsidRPr="00D43A1B" w:rsidRDefault="00D43A1B" w:rsidP="00D43A1B">
      <w:pPr>
        <w:jc w:val="both"/>
        <w:rPr>
          <w:rFonts w:ascii="Calibri" w:hAnsi="Calibri" w:cs="Calibri"/>
          <w:sz w:val="22"/>
          <w:szCs w:val="22"/>
          <w:lang w:val="es-ES_tradnl"/>
        </w:rPr>
      </w:pPr>
    </w:p>
    <w:p w14:paraId="0D85BAAA" w14:textId="1C010BA3" w:rsidR="00F77E53" w:rsidRPr="0015604C" w:rsidRDefault="00F77E53" w:rsidP="00D43A1B">
      <w:pPr>
        <w:pStyle w:val="ListParagraph"/>
        <w:numPr>
          <w:ilvl w:val="0"/>
          <w:numId w:val="1"/>
        </w:numPr>
        <w:jc w:val="both"/>
        <w:rPr>
          <w:rFonts w:ascii="Calibri" w:hAnsi="Calibri" w:cs="Calibri"/>
          <w:b/>
          <w:bCs/>
          <w:sz w:val="22"/>
          <w:szCs w:val="22"/>
          <w:lang w:val="es-ES_tradnl"/>
        </w:rPr>
      </w:pPr>
      <w:r w:rsidRPr="0015604C">
        <w:rPr>
          <w:rFonts w:ascii="Calibri" w:hAnsi="Calibri" w:cs="Calibri"/>
          <w:b/>
          <w:bCs/>
          <w:sz w:val="22"/>
          <w:szCs w:val="22"/>
          <w:lang w:val="es-ES_tradnl"/>
        </w:rPr>
        <w:t>Desaparición forzada</w:t>
      </w:r>
    </w:p>
    <w:p w14:paraId="0AD707E0" w14:textId="77777777" w:rsidR="005E35C6" w:rsidRPr="00D43A1B" w:rsidRDefault="005E35C6" w:rsidP="00D43A1B">
      <w:pPr>
        <w:snapToGrid w:val="0"/>
        <w:jc w:val="both"/>
        <w:rPr>
          <w:rFonts w:ascii="Calibri" w:hAnsi="Calibri" w:cs="Calibri"/>
          <w:sz w:val="22"/>
          <w:szCs w:val="22"/>
          <w:lang w:val="es-ES"/>
        </w:rPr>
      </w:pPr>
      <w:r w:rsidRPr="00D43A1B">
        <w:rPr>
          <w:rFonts w:ascii="Calibri" w:hAnsi="Calibri" w:cs="Calibri"/>
          <w:sz w:val="22"/>
          <w:szCs w:val="22"/>
          <w:lang w:val="es-ES_tradnl"/>
        </w:rPr>
        <w:t>La</w:t>
      </w:r>
      <w:r w:rsidRPr="00D43A1B">
        <w:rPr>
          <w:rFonts w:ascii="Calibri" w:hAnsi="Calibri" w:cs="Calibri"/>
          <w:sz w:val="22"/>
          <w:szCs w:val="22"/>
          <w:lang w:val="es-ES"/>
        </w:rPr>
        <w:t xml:space="preserve"> Comisión Interamericana de Derechos Humanos (en adelante, “CIDH”) ha advertido recientemente que “existe en Cuba una sistemática represión por parte de agentes estatales y grupos afines al oficialismo, que buscaría impedir reuniones pacíficas</w:t>
      </w:r>
      <w:r w:rsidRPr="00D43A1B">
        <w:rPr>
          <w:rFonts w:ascii="Calibri" w:hAnsi="Calibri" w:cs="Calibri"/>
          <w:sz w:val="22"/>
          <w:szCs w:val="22"/>
          <w:lang w:val="es-ES_tradnl"/>
        </w:rPr>
        <w:t xml:space="preserve"> </w:t>
      </w:r>
      <w:r w:rsidRPr="00D43A1B">
        <w:rPr>
          <w:rFonts w:ascii="Calibri" w:hAnsi="Calibri" w:cs="Calibri"/>
          <w:sz w:val="22"/>
          <w:szCs w:val="22"/>
          <w:lang w:val="es-ES"/>
        </w:rPr>
        <w:t>y protestas organizadas por personas que disiden de las líneas impuestas por el oficialismo en el país”</w:t>
      </w:r>
      <w:r w:rsidRPr="00D43A1B">
        <w:rPr>
          <w:rStyle w:val="FootnoteReference"/>
          <w:rFonts w:ascii="Calibri" w:hAnsi="Calibri" w:cs="Calibri"/>
          <w:sz w:val="22"/>
          <w:szCs w:val="22"/>
          <w:lang w:val="es-ES"/>
        </w:rPr>
        <w:footnoteReference w:id="1"/>
      </w:r>
      <w:r w:rsidRPr="00D43A1B">
        <w:rPr>
          <w:rFonts w:ascii="Calibri" w:hAnsi="Calibri" w:cs="Calibri"/>
          <w:sz w:val="22"/>
          <w:szCs w:val="22"/>
          <w:lang w:val="es-ES"/>
        </w:rPr>
        <w:t>. Al respecto, la CIDH entendió que la discrepancia político-ideológica sigue siendo el principal motivo para silenciar, reprimir y judicializar a quienes expresan su pensamiento u opinión de forma crítica o diversa a las líneas impuestas por el oficialismo estatal en Cuba</w:t>
      </w:r>
      <w:r w:rsidRPr="00D43A1B">
        <w:rPr>
          <w:rStyle w:val="FootnoteReference"/>
          <w:rFonts w:ascii="Calibri" w:hAnsi="Calibri" w:cs="Calibri"/>
          <w:sz w:val="22"/>
          <w:szCs w:val="22"/>
          <w:lang w:val="es-ES"/>
        </w:rPr>
        <w:footnoteReference w:id="2"/>
      </w:r>
      <w:r w:rsidRPr="00D43A1B">
        <w:rPr>
          <w:rFonts w:ascii="Calibri" w:hAnsi="Calibri" w:cs="Calibri"/>
          <w:sz w:val="22"/>
          <w:szCs w:val="22"/>
          <w:lang w:val="es-ES"/>
        </w:rPr>
        <w:t>.</w:t>
      </w:r>
    </w:p>
    <w:p w14:paraId="47A94F62" w14:textId="68C5E45F" w:rsidR="005E35C6" w:rsidRPr="00D43A1B" w:rsidRDefault="005E35C6" w:rsidP="00D43A1B">
      <w:pPr>
        <w:snapToGrid w:val="0"/>
        <w:jc w:val="both"/>
        <w:rPr>
          <w:rFonts w:ascii="Calibri" w:hAnsi="Calibri" w:cs="Calibri"/>
          <w:sz w:val="22"/>
          <w:szCs w:val="22"/>
          <w:lang w:val="es-ES"/>
        </w:rPr>
      </w:pPr>
      <w:r w:rsidRPr="00D43A1B">
        <w:rPr>
          <w:rFonts w:ascii="Calibri" w:hAnsi="Calibri" w:cs="Calibri"/>
          <w:sz w:val="22"/>
          <w:szCs w:val="22"/>
          <w:lang w:val="es-ES"/>
        </w:rPr>
        <w:t>Estas prácticas estatales constituyen, de acuerdo con la CIDH, “violaciones masivas, graves y sistemáticas de derechos humanos”</w:t>
      </w:r>
      <w:r w:rsidRPr="00D43A1B">
        <w:rPr>
          <w:rStyle w:val="FootnoteReference"/>
          <w:rFonts w:ascii="Calibri" w:hAnsi="Calibri" w:cs="Calibri"/>
          <w:sz w:val="22"/>
          <w:szCs w:val="22"/>
          <w:lang w:val="es-ES"/>
        </w:rPr>
        <w:footnoteReference w:id="3"/>
      </w:r>
      <w:r w:rsidRPr="00D43A1B">
        <w:rPr>
          <w:rFonts w:ascii="Calibri" w:hAnsi="Calibri" w:cs="Calibri"/>
          <w:sz w:val="22"/>
          <w:szCs w:val="22"/>
          <w:lang w:val="es-ES"/>
        </w:rPr>
        <w:t xml:space="preserve">. Esta conclusión está basada en la gran cantidad de víctimas, la gravedad de las </w:t>
      </w:r>
      <w:r w:rsidRPr="00D43A1B">
        <w:rPr>
          <w:rFonts w:ascii="Calibri" w:hAnsi="Calibri" w:cs="Calibri"/>
          <w:sz w:val="22"/>
          <w:szCs w:val="22"/>
          <w:lang w:val="es-ES"/>
        </w:rPr>
        <w:lastRenderedPageBreak/>
        <w:t>acciones, y la existencia de ciertos patrones de conducta llevados a cabo con recursos del Estado que responden a una política definida y avalada desde la cúspide del poder estatal</w:t>
      </w:r>
      <w:r w:rsidRPr="00D43A1B">
        <w:rPr>
          <w:rStyle w:val="FootnoteReference"/>
          <w:rFonts w:ascii="Calibri" w:hAnsi="Calibri" w:cs="Calibri"/>
          <w:sz w:val="22"/>
          <w:szCs w:val="22"/>
          <w:lang w:val="es-ES"/>
        </w:rPr>
        <w:footnoteReference w:id="4"/>
      </w:r>
      <w:r w:rsidRPr="00D43A1B">
        <w:rPr>
          <w:rFonts w:ascii="Calibri" w:hAnsi="Calibri" w:cs="Calibri"/>
          <w:sz w:val="22"/>
          <w:szCs w:val="22"/>
          <w:lang w:val="es-ES"/>
        </w:rPr>
        <w:t>.</w:t>
      </w:r>
    </w:p>
    <w:p w14:paraId="571BF875" w14:textId="4E72E01E" w:rsidR="005E35C6" w:rsidRPr="00D43A1B" w:rsidRDefault="005E35C6" w:rsidP="00D43A1B">
      <w:pPr>
        <w:snapToGrid w:val="0"/>
        <w:jc w:val="both"/>
        <w:rPr>
          <w:rFonts w:ascii="Calibri" w:hAnsi="Calibri" w:cs="Calibri"/>
          <w:sz w:val="22"/>
          <w:szCs w:val="22"/>
          <w:lang w:val="es-ES_tradnl"/>
        </w:rPr>
      </w:pPr>
      <w:r w:rsidRPr="00D43A1B">
        <w:rPr>
          <w:rFonts w:ascii="Calibri" w:hAnsi="Calibri" w:cs="Calibri"/>
          <w:sz w:val="22"/>
          <w:szCs w:val="22"/>
          <w:lang w:val="es-ES"/>
        </w:rPr>
        <w:t xml:space="preserve">Este Honorable Comité </w:t>
      </w:r>
      <w:r w:rsidRPr="00D43A1B">
        <w:rPr>
          <w:rFonts w:ascii="Calibri" w:hAnsi="Calibri" w:cs="Calibri"/>
          <w:sz w:val="22"/>
          <w:szCs w:val="22"/>
          <w:lang w:val="es-ES_tradnl"/>
        </w:rPr>
        <w:t xml:space="preserve">ha </w:t>
      </w:r>
      <w:r w:rsidR="008C1E41" w:rsidRPr="00D43A1B">
        <w:rPr>
          <w:rFonts w:ascii="Calibri" w:hAnsi="Calibri" w:cs="Calibri"/>
          <w:sz w:val="22"/>
          <w:szCs w:val="22"/>
          <w:lang w:val="es-ES_tradnl"/>
        </w:rPr>
        <w:t>explicado</w:t>
      </w:r>
      <w:r w:rsidRPr="00D43A1B">
        <w:rPr>
          <w:rFonts w:ascii="Calibri" w:hAnsi="Calibri" w:cs="Calibri"/>
          <w:sz w:val="22"/>
          <w:szCs w:val="22"/>
          <w:lang w:val="es-ES_tradnl"/>
        </w:rPr>
        <w:t xml:space="preserve"> en su “Declaración conjunta sobre las denominadas ´desapariciones forzadas de corta duración” que</w:t>
      </w:r>
      <w:r w:rsidR="008C1E41" w:rsidRPr="00D43A1B">
        <w:rPr>
          <w:rFonts w:ascii="Calibri" w:hAnsi="Calibri" w:cs="Calibri"/>
          <w:sz w:val="22"/>
          <w:szCs w:val="22"/>
          <w:lang w:val="es-ES_tradnl"/>
        </w:rPr>
        <w:t xml:space="preserve"> no existe ningún elemento de duración en la definición de desaparición forzada</w:t>
      </w:r>
      <w:r w:rsidR="008C1E41" w:rsidRPr="00D43A1B">
        <w:rPr>
          <w:rStyle w:val="FootnoteReference"/>
          <w:rFonts w:ascii="Calibri" w:hAnsi="Calibri" w:cs="Calibri"/>
          <w:sz w:val="22"/>
          <w:szCs w:val="22"/>
          <w:lang w:val="es-ES_tradnl"/>
        </w:rPr>
        <w:footnoteReference w:id="5"/>
      </w:r>
      <w:r w:rsidR="008C1E41" w:rsidRPr="00D43A1B">
        <w:rPr>
          <w:rFonts w:ascii="Calibri" w:hAnsi="Calibri" w:cs="Calibri"/>
          <w:sz w:val="22"/>
          <w:szCs w:val="22"/>
          <w:lang w:val="es-ES_tradnl"/>
        </w:rPr>
        <w:t xml:space="preserve"> y que, por lo tanto,</w:t>
      </w:r>
      <w:r w:rsidRPr="00D43A1B">
        <w:rPr>
          <w:rFonts w:ascii="Calibri" w:hAnsi="Calibri" w:cs="Calibri"/>
          <w:sz w:val="22"/>
          <w:szCs w:val="22"/>
          <w:lang w:val="es-ES_tradnl"/>
        </w:rPr>
        <w:t xml:space="preserve"> las desapariciones forzadas de personas que duran un período limitado, incluso de unas pocas horas</w:t>
      </w:r>
      <w:r w:rsidR="008C1E41" w:rsidRPr="00D43A1B">
        <w:rPr>
          <w:rFonts w:ascii="Calibri" w:hAnsi="Calibri" w:cs="Calibri"/>
          <w:sz w:val="22"/>
          <w:szCs w:val="22"/>
          <w:lang w:val="es-ES_tradnl"/>
        </w:rPr>
        <w:t>,</w:t>
      </w:r>
      <w:r w:rsidRPr="00D43A1B">
        <w:rPr>
          <w:rFonts w:ascii="Calibri" w:hAnsi="Calibri" w:cs="Calibri"/>
          <w:sz w:val="22"/>
          <w:szCs w:val="22"/>
          <w:lang w:val="es-ES_tradnl"/>
        </w:rPr>
        <w:t xml:space="preserve"> deben ser consideradas como desapariciones forzadas según la definición del preámbulo de la Declaración y del artículo 2 de la Convención, así como según la jurisprudencia del Comité de Derechos Humanos, siempre que cumplan con los elementos constitutivos de la definición</w:t>
      </w:r>
      <w:r w:rsidRPr="00D43A1B">
        <w:rPr>
          <w:rStyle w:val="FootnoteReference"/>
          <w:rFonts w:ascii="Calibri" w:hAnsi="Calibri" w:cs="Calibri"/>
          <w:sz w:val="22"/>
          <w:szCs w:val="22"/>
          <w:lang w:val="es-ES_tradnl"/>
        </w:rPr>
        <w:footnoteReference w:id="6"/>
      </w:r>
      <w:r w:rsidRPr="00D43A1B">
        <w:rPr>
          <w:rFonts w:ascii="Calibri" w:hAnsi="Calibri" w:cs="Calibri"/>
          <w:sz w:val="22"/>
          <w:szCs w:val="22"/>
          <w:lang w:val="es-ES_tradnl"/>
        </w:rPr>
        <w:t>.</w:t>
      </w:r>
    </w:p>
    <w:p w14:paraId="59A5D2AD" w14:textId="300C2C26" w:rsidR="005E35C6" w:rsidRPr="00D43A1B" w:rsidRDefault="008C1E41" w:rsidP="00D43A1B">
      <w:pPr>
        <w:snapToGrid w:val="0"/>
        <w:jc w:val="both"/>
        <w:rPr>
          <w:rFonts w:ascii="Calibri" w:hAnsi="Calibri" w:cs="Calibri"/>
          <w:sz w:val="22"/>
          <w:szCs w:val="22"/>
          <w:lang w:val="es-ES"/>
        </w:rPr>
      </w:pPr>
      <w:r w:rsidRPr="00D43A1B">
        <w:rPr>
          <w:rFonts w:ascii="Calibri" w:hAnsi="Calibri" w:cs="Calibri"/>
          <w:sz w:val="22"/>
          <w:szCs w:val="22"/>
          <w:lang w:val="es-ES"/>
        </w:rPr>
        <w:t>Desde Raza e Igualdad hemos venido denunciando ante este Honorable Comité y ante la CIDH la existencia de un patrón sistemático de desapariciones forzadas en Cuba en contra de un grupo de mujeres defensoras de derechos humanos que forman la organización Damas de Blanco.</w:t>
      </w:r>
    </w:p>
    <w:p w14:paraId="3A5264D7" w14:textId="752D3D18" w:rsidR="008C1E41" w:rsidRPr="00D43A1B" w:rsidRDefault="008C1E41" w:rsidP="00D43A1B">
      <w:pPr>
        <w:snapToGrid w:val="0"/>
        <w:jc w:val="both"/>
        <w:rPr>
          <w:rFonts w:ascii="Calibri" w:hAnsi="Calibri" w:cs="Calibri"/>
          <w:sz w:val="22"/>
          <w:szCs w:val="22"/>
          <w:lang w:val="es-ES"/>
        </w:rPr>
      </w:pPr>
      <w:r w:rsidRPr="00D43A1B">
        <w:rPr>
          <w:rFonts w:ascii="Calibri" w:hAnsi="Calibri" w:cs="Calibri"/>
          <w:sz w:val="22"/>
          <w:szCs w:val="22"/>
          <w:lang w:val="es-ES"/>
        </w:rPr>
        <w:t xml:space="preserve">Como explicamos en otras comunicaciones, </w:t>
      </w:r>
      <w:r w:rsidRPr="00D43A1B">
        <w:rPr>
          <w:rFonts w:ascii="Calibri" w:hAnsi="Calibri" w:cs="Calibri"/>
          <w:sz w:val="22"/>
          <w:szCs w:val="22"/>
          <w:lang w:val="es-ES_tradnl"/>
        </w:rPr>
        <w:t xml:space="preserve">las Damas de Blanco es una organización </w:t>
      </w:r>
      <w:r w:rsidRPr="00D43A1B">
        <w:rPr>
          <w:rFonts w:ascii="Calibri" w:hAnsi="Calibri" w:cs="Calibri"/>
          <w:sz w:val="22"/>
          <w:szCs w:val="22"/>
          <w:lang w:val="es-ES"/>
        </w:rPr>
        <w:t xml:space="preserve">compuesta por esposas, madres e hijas de aquellos hombres </w:t>
      </w:r>
      <w:r w:rsidRPr="00D43A1B">
        <w:rPr>
          <w:rFonts w:ascii="Calibri" w:hAnsi="Calibri" w:cs="Calibri"/>
          <w:sz w:val="22"/>
          <w:szCs w:val="22"/>
          <w:lang w:val="es-ES_tradnl"/>
        </w:rPr>
        <w:t>que fueron detenidos en lo que se conoció como</w:t>
      </w:r>
      <w:r w:rsidRPr="00D43A1B">
        <w:rPr>
          <w:rFonts w:ascii="Calibri" w:hAnsi="Calibri" w:cs="Calibri"/>
          <w:sz w:val="22"/>
          <w:szCs w:val="22"/>
          <w:lang w:val="es-ES"/>
        </w:rPr>
        <w:t xml:space="preserve"> la “Primavera Negra” en el año 2003</w:t>
      </w:r>
      <w:r w:rsidRPr="00D43A1B">
        <w:rPr>
          <w:rStyle w:val="FootnoteReference"/>
          <w:rFonts w:ascii="Calibri" w:hAnsi="Calibri" w:cs="Calibri"/>
          <w:sz w:val="22"/>
          <w:szCs w:val="22"/>
          <w:lang w:val="es-ES"/>
        </w:rPr>
        <w:footnoteReference w:id="7"/>
      </w:r>
      <w:r w:rsidRPr="00D43A1B">
        <w:rPr>
          <w:rFonts w:ascii="Calibri" w:hAnsi="Calibri" w:cs="Calibri"/>
          <w:sz w:val="22"/>
          <w:szCs w:val="22"/>
          <w:lang w:val="es-ES"/>
        </w:rPr>
        <w:t xml:space="preserve">. Desde su fundación en 2003 </w:t>
      </w:r>
      <w:r w:rsidRPr="00D43A1B">
        <w:rPr>
          <w:rFonts w:ascii="Calibri" w:hAnsi="Calibri" w:cs="Calibri"/>
          <w:sz w:val="22"/>
          <w:szCs w:val="22"/>
          <w:lang w:val="es-ES_tradnl"/>
        </w:rPr>
        <w:t>constante y regularmente han sido detenidas cuando intentan concurrir a misa los días domingo</w:t>
      </w:r>
      <w:r w:rsidRPr="00D43A1B">
        <w:rPr>
          <w:rStyle w:val="FootnoteReference"/>
          <w:rFonts w:ascii="Calibri" w:hAnsi="Calibri" w:cs="Calibri"/>
          <w:sz w:val="22"/>
          <w:szCs w:val="22"/>
          <w:lang w:val="es-ES_tradnl"/>
        </w:rPr>
        <w:footnoteReference w:id="8"/>
      </w:r>
      <w:r w:rsidRPr="00D43A1B">
        <w:rPr>
          <w:rFonts w:ascii="Calibri" w:hAnsi="Calibri" w:cs="Calibri"/>
          <w:sz w:val="22"/>
          <w:szCs w:val="22"/>
          <w:lang w:val="es-ES_tradnl"/>
        </w:rPr>
        <w:t>. La mayoría de estas desapariciones forzadas de estas mujeres, que desde el registro que se lleva desde 2013 a la fecha, superan las 4.000 privaciones de libertad de 50 integrantes, se prolongan por entre una y dos horas, aunque algunas de sus miembros permanecen detenidas, en promedio, entre 12 y 16 horas.</w:t>
      </w:r>
    </w:p>
    <w:p w14:paraId="3D255A76" w14:textId="32F60AB7" w:rsidR="008C1E41" w:rsidRPr="00D43A1B" w:rsidRDefault="008C1E41" w:rsidP="00D43A1B">
      <w:pPr>
        <w:snapToGrid w:val="0"/>
        <w:jc w:val="both"/>
        <w:rPr>
          <w:rFonts w:ascii="Calibri" w:hAnsi="Calibri" w:cs="Calibri"/>
          <w:sz w:val="22"/>
          <w:szCs w:val="22"/>
          <w:lang w:val="es-ES"/>
        </w:rPr>
      </w:pPr>
      <w:r w:rsidRPr="00D43A1B">
        <w:rPr>
          <w:rFonts w:ascii="Calibri" w:hAnsi="Calibri" w:cs="Calibri"/>
          <w:sz w:val="22"/>
          <w:szCs w:val="22"/>
          <w:lang w:val="es-ES_tradnl"/>
        </w:rPr>
        <w:t>Sin embargo, como ha sucedido en los hechos conocidos por este Honorable Comité en el marco de la acción urgente 1896/2024, algunas se han prolongado por hasta más de 72 horas. Berta Soler Fernández, representante de las Damas de Blanco, ha declarado que si se contabilizan las horas que ha pasado detenida arbitrariamente desde 2013 llegarían casi a los 6 años.</w:t>
      </w:r>
    </w:p>
    <w:p w14:paraId="672363F9" w14:textId="23922090" w:rsidR="005E35C6" w:rsidRPr="00D43A1B" w:rsidRDefault="005E35C6" w:rsidP="00D43A1B">
      <w:pPr>
        <w:jc w:val="both"/>
        <w:rPr>
          <w:rFonts w:ascii="Calibri" w:eastAsia="Times New Roman" w:hAnsi="Calibri" w:cs="Calibri"/>
          <w:sz w:val="22"/>
          <w:szCs w:val="22"/>
          <w:lang w:val="es-ES" w:eastAsia="es-MX"/>
        </w:rPr>
      </w:pPr>
      <w:r w:rsidRPr="00D43A1B">
        <w:rPr>
          <w:rFonts w:ascii="Calibri" w:eastAsia="Times New Roman" w:hAnsi="Calibri" w:cs="Calibri"/>
          <w:sz w:val="22"/>
          <w:szCs w:val="22"/>
          <w:lang w:val="es-ES" w:eastAsia="es-MX"/>
        </w:rPr>
        <w:t xml:space="preserve">Luego de la amenaza recibida el 15 de septiembre de 2024 de que si volvía a salir a manifestar sería llevada directamente a prisión, el domingo 22 de septiembre de 2024 la Sra. Berta Soler Fernández fue detenida como un domingo cualquiera en su vida. Sin embargo, esta vez no fue liberada dentro de las 24 horas, como es una práctica del Estado cubano, sino que esta fue desaparecida durante 67 horas. La práctica de la desaparición forzada de la Sra. Berta Soler Fernández se repitió los días 10 de noviembre de 2024 y 1 de </w:t>
      </w:r>
      <w:r w:rsidRPr="00D43A1B">
        <w:rPr>
          <w:rFonts w:ascii="Calibri" w:eastAsia="Times New Roman" w:hAnsi="Calibri" w:cs="Calibri"/>
          <w:sz w:val="22"/>
          <w:szCs w:val="22"/>
          <w:lang w:val="es-ES" w:eastAsia="es-MX"/>
        </w:rPr>
        <w:lastRenderedPageBreak/>
        <w:t>diciembre de 2024 en las que su familia no tuvo información sobre su paradero durante 77 y 69 horas, respectivamente.</w:t>
      </w:r>
    </w:p>
    <w:p w14:paraId="490923A4" w14:textId="4D69EE1B" w:rsidR="005E35C6" w:rsidRPr="00D43A1B" w:rsidRDefault="005E35C6" w:rsidP="00D43A1B">
      <w:pPr>
        <w:jc w:val="both"/>
        <w:rPr>
          <w:rFonts w:ascii="Calibri" w:eastAsia="Times New Roman" w:hAnsi="Calibri" w:cs="Calibri"/>
          <w:sz w:val="22"/>
          <w:szCs w:val="22"/>
          <w:lang w:val="es-ES" w:eastAsia="es-MX"/>
        </w:rPr>
      </w:pPr>
      <w:r w:rsidRPr="00D43A1B">
        <w:rPr>
          <w:rFonts w:ascii="Calibri" w:eastAsia="Times New Roman" w:hAnsi="Calibri" w:cs="Calibri"/>
          <w:sz w:val="22"/>
          <w:szCs w:val="22"/>
          <w:lang w:val="es-ES" w:eastAsia="es-MX"/>
        </w:rPr>
        <w:t>Estos hechos fueron denunciados a</w:t>
      </w:r>
      <w:r w:rsidR="008C1E41" w:rsidRPr="00D43A1B">
        <w:rPr>
          <w:rFonts w:ascii="Calibri" w:eastAsia="Times New Roman" w:hAnsi="Calibri" w:cs="Calibri"/>
          <w:sz w:val="22"/>
          <w:szCs w:val="22"/>
          <w:lang w:val="es-ES" w:eastAsia="es-MX"/>
        </w:rPr>
        <w:t xml:space="preserve">nte este Honorable Comité </w:t>
      </w:r>
      <w:r w:rsidRPr="00D43A1B">
        <w:rPr>
          <w:rFonts w:ascii="Calibri" w:eastAsia="Times New Roman" w:hAnsi="Calibri" w:cs="Calibri"/>
          <w:sz w:val="22"/>
          <w:szCs w:val="22"/>
          <w:lang w:val="es-ES" w:eastAsia="es-MX"/>
        </w:rPr>
        <w:t>y se solicitó en los 3 casos cuando todavía la Sra. Berta Soler Fernández se solicitaron acciones urgentes. El Comité diligentemente se dirigió al Estado cubano en cada una de las ocasiones solicitando información sobre el paradero de la Sra. Berta Soler Fernández y manifestando su preocupación ante los hechos denunciados.</w:t>
      </w:r>
      <w:r w:rsidR="008C1E41" w:rsidRPr="00D43A1B">
        <w:rPr>
          <w:rFonts w:ascii="Calibri" w:eastAsia="Times New Roman" w:hAnsi="Calibri" w:cs="Calibri"/>
          <w:sz w:val="22"/>
          <w:szCs w:val="22"/>
          <w:lang w:val="es-ES" w:eastAsia="es-MX"/>
        </w:rPr>
        <w:t xml:space="preserve"> </w:t>
      </w:r>
      <w:r w:rsidRPr="00D43A1B">
        <w:rPr>
          <w:rFonts w:ascii="Calibri" w:eastAsia="Times New Roman" w:hAnsi="Calibri" w:cs="Calibri"/>
          <w:sz w:val="22"/>
          <w:szCs w:val="22"/>
          <w:lang w:val="es-ES" w:eastAsia="es-MX"/>
        </w:rPr>
        <w:t>El Estado cubano respondió sobre 2 de las 3 desapariciones con argumentos evidentemente falaces y esta representación le hizo saber al Comité que carecían de toda cercanía con la realidad.</w:t>
      </w:r>
    </w:p>
    <w:p w14:paraId="246289AD" w14:textId="2474C065" w:rsidR="008C1E41" w:rsidRPr="00D43A1B" w:rsidRDefault="008C1E41" w:rsidP="00D43A1B">
      <w:pPr>
        <w:jc w:val="both"/>
        <w:rPr>
          <w:rFonts w:ascii="Calibri" w:hAnsi="Calibri" w:cs="Calibri"/>
          <w:sz w:val="22"/>
          <w:szCs w:val="22"/>
          <w:lang w:val="es-ES_tradnl"/>
        </w:rPr>
      </w:pPr>
      <w:r w:rsidRPr="00D43A1B">
        <w:rPr>
          <w:rFonts w:ascii="Calibri" w:hAnsi="Calibri" w:cs="Calibri"/>
          <w:sz w:val="22"/>
          <w:szCs w:val="22"/>
          <w:lang w:val="es-ES_tradnl"/>
        </w:rPr>
        <w:t xml:space="preserve">Otro dato importante </w:t>
      </w:r>
      <w:proofErr w:type="gramStart"/>
      <w:r w:rsidRPr="00D43A1B">
        <w:rPr>
          <w:rFonts w:ascii="Calibri" w:hAnsi="Calibri" w:cs="Calibri"/>
          <w:sz w:val="22"/>
          <w:szCs w:val="22"/>
          <w:lang w:val="es-ES_tradnl"/>
        </w:rPr>
        <w:t>a</w:t>
      </w:r>
      <w:proofErr w:type="gramEnd"/>
      <w:r w:rsidRPr="00D43A1B">
        <w:rPr>
          <w:rFonts w:ascii="Calibri" w:hAnsi="Calibri" w:cs="Calibri"/>
          <w:sz w:val="22"/>
          <w:szCs w:val="22"/>
          <w:lang w:val="es-ES_tradnl"/>
        </w:rPr>
        <w:t xml:space="preserve"> tener en cuenta es que, en ninguno de los casos de las mujeres de Damas de Blanco detenidas, ni en las privaciones de libertad de entre una y dos horas, ni en las de hasta 72 horas, quedan registradas en registros oficiales. </w:t>
      </w:r>
      <w:r w:rsidRPr="00D43A1B">
        <w:rPr>
          <w:rFonts w:ascii="Calibri" w:eastAsia="Times New Roman" w:hAnsi="Calibri" w:cs="Calibri"/>
          <w:sz w:val="22"/>
          <w:szCs w:val="22"/>
          <w:lang w:val="es-ES_tradnl"/>
        </w:rPr>
        <w:t>En la audiencia del 29 de octubre de 2013, las Damas</w:t>
      </w:r>
      <w:r w:rsidRPr="00D43A1B">
        <w:rPr>
          <w:rFonts w:ascii="Calibri" w:hAnsi="Calibri" w:cs="Calibri"/>
          <w:sz w:val="22"/>
          <w:szCs w:val="22"/>
          <w:lang w:val="es-ES"/>
        </w:rPr>
        <w:t xml:space="preserve"> de Blanco informaron a la Comisión Interamericana de Derechos Humanos (en adelante, CIDH), en el marco de una audiencia de caso, que al momento de ser detenidas no se registra su entrada ni permanencia en las estaciones policiales ni se levantan actas de detención</w:t>
      </w:r>
      <w:r w:rsidRPr="00D43A1B">
        <w:rPr>
          <w:rStyle w:val="FootnoteReference"/>
          <w:rFonts w:ascii="Calibri" w:hAnsi="Calibri" w:cs="Calibri"/>
          <w:sz w:val="22"/>
          <w:szCs w:val="22"/>
          <w:lang w:val="es-ES"/>
        </w:rPr>
        <w:footnoteReference w:id="9"/>
      </w:r>
      <w:r w:rsidRPr="00D43A1B">
        <w:rPr>
          <w:rFonts w:ascii="Calibri" w:hAnsi="Calibri" w:cs="Calibri"/>
          <w:sz w:val="22"/>
          <w:szCs w:val="22"/>
          <w:lang w:val="es-ES"/>
        </w:rPr>
        <w:t>.</w:t>
      </w:r>
      <w:r w:rsidRPr="00D43A1B">
        <w:rPr>
          <w:rFonts w:ascii="Calibri" w:hAnsi="Calibri" w:cs="Calibri"/>
          <w:sz w:val="22"/>
          <w:szCs w:val="22"/>
          <w:lang w:val="es-ES_tradnl"/>
        </w:rPr>
        <w:t xml:space="preserve"> Asimismo, el IIREHR ha aportado evidencia en el caso de la acción urgente 1896/2024 de la Sra. Berta Soler Fernández de que las fuerzas de seguridad negaban el paradero de la representante de Damas de Blanco mientras esta se encontraba desaparecida, siendo esto último un elemento para determinar que se trata de una desaparición forzada. </w:t>
      </w:r>
      <w:r w:rsidRPr="00D43A1B">
        <w:rPr>
          <w:rFonts w:ascii="Calibri" w:eastAsia="Times New Roman" w:hAnsi="Calibri" w:cs="Calibri"/>
          <w:sz w:val="22"/>
          <w:szCs w:val="22"/>
          <w:lang w:val="es-ES" w:eastAsia="es-MX"/>
        </w:rPr>
        <w:t>Producto de estas denuncias, que forman parte de la acción urgente 1896/2024 que hasta el día de la fecha se encuentra abierta, el CED incluyó el caso de la Sra. Berta Soler Fernández en su informe público sobre acciones urgentes publicado el 4 de abril de 2025</w:t>
      </w:r>
      <w:r w:rsidRPr="00D43A1B">
        <w:rPr>
          <w:rStyle w:val="FootnoteReference"/>
          <w:rFonts w:ascii="Calibri" w:eastAsia="Times New Roman" w:hAnsi="Calibri" w:cs="Calibri"/>
          <w:sz w:val="22"/>
          <w:szCs w:val="22"/>
          <w:lang w:val="es-ES" w:eastAsia="es-MX"/>
        </w:rPr>
        <w:footnoteReference w:id="10"/>
      </w:r>
    </w:p>
    <w:p w14:paraId="576D724D" w14:textId="5D7C2624" w:rsidR="005E35C6" w:rsidRPr="00D43A1B" w:rsidRDefault="005E35C6" w:rsidP="00D43A1B">
      <w:pPr>
        <w:jc w:val="both"/>
        <w:rPr>
          <w:rFonts w:ascii="Calibri" w:eastAsia="Times New Roman" w:hAnsi="Calibri" w:cs="Calibri"/>
          <w:sz w:val="22"/>
          <w:szCs w:val="22"/>
          <w:lang w:val="es-ES" w:eastAsia="es-MX"/>
        </w:rPr>
      </w:pPr>
      <w:r w:rsidRPr="00D43A1B">
        <w:rPr>
          <w:rFonts w:ascii="Calibri" w:eastAsia="Times New Roman" w:hAnsi="Calibri" w:cs="Calibri"/>
          <w:sz w:val="22"/>
          <w:szCs w:val="22"/>
          <w:lang w:val="es-ES" w:eastAsia="es-MX"/>
        </w:rPr>
        <w:t>El Consejo de Derechos Humanos ha reconocido que la detención prolongada en régimen de incomunicación constituye una detención arbitraria que viola la libertad individual, contraria al artículo 9 del Pacto</w:t>
      </w:r>
      <w:r w:rsidRPr="00D43A1B">
        <w:rPr>
          <w:rStyle w:val="FootnoteReference"/>
          <w:rFonts w:ascii="Calibri" w:hAnsi="Calibri" w:cs="Calibri"/>
          <w:sz w:val="22"/>
          <w:szCs w:val="22"/>
        </w:rPr>
        <w:footnoteReference w:id="11"/>
      </w:r>
      <w:r w:rsidRPr="00D43A1B">
        <w:rPr>
          <w:rFonts w:ascii="Calibri" w:eastAsia="Times New Roman" w:hAnsi="Calibri" w:cs="Calibri"/>
          <w:sz w:val="22"/>
          <w:szCs w:val="22"/>
          <w:lang w:val="es-ES" w:eastAsia="es-MX"/>
        </w:rPr>
        <w:t>, una forma de tortura que viola el artículo 7 del Pacto</w:t>
      </w:r>
      <w:r w:rsidRPr="00D43A1B">
        <w:rPr>
          <w:rStyle w:val="FootnoteReference"/>
          <w:rFonts w:ascii="Calibri" w:hAnsi="Calibri" w:cs="Calibri"/>
          <w:sz w:val="22"/>
          <w:szCs w:val="22"/>
        </w:rPr>
        <w:footnoteReference w:id="12"/>
      </w:r>
      <w:r w:rsidRPr="00D43A1B">
        <w:rPr>
          <w:rFonts w:ascii="Calibri" w:hAnsi="Calibri" w:cs="Calibri"/>
          <w:sz w:val="22"/>
          <w:szCs w:val="22"/>
          <w:lang w:val="es-ES_tradnl"/>
        </w:rPr>
        <w:t xml:space="preserve"> </w:t>
      </w:r>
      <w:r w:rsidRPr="00D43A1B">
        <w:rPr>
          <w:rFonts w:ascii="Calibri" w:eastAsia="Times New Roman" w:hAnsi="Calibri" w:cs="Calibri"/>
          <w:sz w:val="22"/>
          <w:szCs w:val="22"/>
          <w:lang w:val="es-ES" w:eastAsia="es-MX"/>
        </w:rPr>
        <w:t>y que también puede propiciar la desaparición forzada. La detención secreta siempre equivale a una desaparición forzada y, como tal, está prohibida (artículo 17 del Convenio; artículo 10 de la Declaración), independientemente de su duración</w:t>
      </w:r>
      <w:r w:rsidRPr="00D43A1B">
        <w:rPr>
          <w:rStyle w:val="FootnoteReference"/>
          <w:rFonts w:ascii="Calibri" w:hAnsi="Calibri" w:cs="Calibri"/>
          <w:sz w:val="22"/>
          <w:szCs w:val="22"/>
        </w:rPr>
        <w:footnoteReference w:id="13"/>
      </w:r>
      <w:r w:rsidRPr="00D43A1B">
        <w:rPr>
          <w:rFonts w:ascii="Calibri" w:eastAsia="Times New Roman" w:hAnsi="Calibri" w:cs="Calibri"/>
          <w:sz w:val="22"/>
          <w:szCs w:val="22"/>
          <w:lang w:val="es-ES" w:eastAsia="es-MX"/>
        </w:rPr>
        <w:t>.</w:t>
      </w:r>
    </w:p>
    <w:p w14:paraId="18AE99E1" w14:textId="134F34C8" w:rsidR="008C1E41" w:rsidRPr="00D43A1B" w:rsidRDefault="008C1E41" w:rsidP="00D43A1B">
      <w:pPr>
        <w:jc w:val="both"/>
        <w:rPr>
          <w:rFonts w:ascii="Calibri" w:hAnsi="Calibri" w:cs="Calibri"/>
          <w:sz w:val="22"/>
          <w:szCs w:val="22"/>
          <w:lang w:val="es-ES"/>
        </w:rPr>
      </w:pPr>
      <w:r w:rsidRPr="00D43A1B">
        <w:rPr>
          <w:rFonts w:ascii="Calibri" w:hAnsi="Calibri" w:cs="Calibri"/>
          <w:sz w:val="22"/>
          <w:szCs w:val="22"/>
          <w:lang w:val="es-ES_tradnl"/>
        </w:rPr>
        <w:lastRenderedPageBreak/>
        <w:t>Por otra parte, diferentes organismos internacionales como el Comité contra la Tortura</w:t>
      </w:r>
      <w:r w:rsidRPr="00D43A1B">
        <w:rPr>
          <w:rStyle w:val="FootnoteReference"/>
          <w:rFonts w:ascii="Calibri" w:hAnsi="Calibri" w:cs="Calibri"/>
          <w:sz w:val="22"/>
          <w:szCs w:val="22"/>
          <w:lang w:val="es-ES_tradnl"/>
        </w:rPr>
        <w:footnoteReference w:id="14"/>
      </w:r>
      <w:r w:rsidRPr="00D43A1B">
        <w:rPr>
          <w:rFonts w:ascii="Calibri" w:hAnsi="Calibri" w:cs="Calibri"/>
          <w:sz w:val="22"/>
          <w:szCs w:val="22"/>
          <w:lang w:val="es-ES_tradnl"/>
        </w:rPr>
        <w:t xml:space="preserve"> y la </w:t>
      </w:r>
      <w:r w:rsidRPr="00D43A1B">
        <w:rPr>
          <w:rFonts w:ascii="Calibri" w:hAnsi="Calibri" w:cs="Calibri"/>
          <w:sz w:val="22"/>
          <w:szCs w:val="22"/>
          <w:lang w:val="es-ES"/>
        </w:rPr>
        <w:t>Comisión Interamericana de Derechos Humanos</w:t>
      </w:r>
      <w:r w:rsidRPr="00D43A1B">
        <w:rPr>
          <w:rStyle w:val="FootnoteReference"/>
          <w:rFonts w:ascii="Calibri" w:hAnsi="Calibri" w:cs="Calibri"/>
          <w:sz w:val="22"/>
          <w:szCs w:val="22"/>
          <w:lang w:val="es-ES"/>
        </w:rPr>
        <w:footnoteReference w:id="15"/>
      </w:r>
      <w:r w:rsidRPr="00D43A1B">
        <w:rPr>
          <w:rFonts w:ascii="Calibri" w:hAnsi="Calibri" w:cs="Calibri"/>
          <w:sz w:val="22"/>
          <w:szCs w:val="22"/>
          <w:lang w:val="es-ES"/>
        </w:rPr>
        <w:t xml:space="preserve"> han advertido al Estado cubano sobre la necesidad de garantizar que las personas privadas de libertad sean inscritas en el lugar de detención.</w:t>
      </w:r>
    </w:p>
    <w:p w14:paraId="010FA5CC" w14:textId="5EF5E051" w:rsidR="00BB28FB" w:rsidRPr="00D43A1B" w:rsidRDefault="00BB28FB" w:rsidP="00D43A1B">
      <w:pPr>
        <w:jc w:val="both"/>
        <w:rPr>
          <w:rFonts w:ascii="Calibri" w:hAnsi="Calibri" w:cs="Calibri"/>
          <w:sz w:val="22"/>
          <w:szCs w:val="22"/>
          <w:lang w:val="es-ES_tradnl"/>
        </w:rPr>
      </w:pPr>
      <w:r w:rsidRPr="00D43A1B">
        <w:rPr>
          <w:rFonts w:ascii="Calibri" w:hAnsi="Calibri" w:cs="Calibri"/>
          <w:sz w:val="22"/>
          <w:szCs w:val="22"/>
          <w:lang w:val="es-ES_tradnl"/>
        </w:rPr>
        <w:t>La desaparición forzada de las mujeres, en este caso, de las mujeres integrantes de Damas de Blanco, responde a dinámicas específicas que la distinguen de la desaparición de los hombres y tiene un impacto diferenciado.</w:t>
      </w:r>
    </w:p>
    <w:p w14:paraId="50582E58" w14:textId="77777777" w:rsidR="00BB28FB" w:rsidRPr="00D43A1B" w:rsidRDefault="00BB28FB" w:rsidP="00D43A1B">
      <w:pPr>
        <w:jc w:val="both"/>
        <w:rPr>
          <w:rFonts w:ascii="Calibri" w:hAnsi="Calibri" w:cs="Calibri"/>
          <w:sz w:val="22"/>
          <w:szCs w:val="22"/>
          <w:lang w:val="es-ES_tradnl"/>
        </w:rPr>
      </w:pPr>
      <w:r w:rsidRPr="00D43A1B">
        <w:rPr>
          <w:rFonts w:ascii="Calibri" w:hAnsi="Calibri" w:cs="Calibri"/>
          <w:sz w:val="22"/>
          <w:szCs w:val="22"/>
          <w:lang w:val="es-ES_tradnl"/>
        </w:rPr>
        <w:t>Las privaciones arbitrarias de la libertad que sufren las mujeres integrantes de las Damas de Blanco presentan un patrón de trato sexualizado que incluye desde insultos sexualizados al momento de la privación de libertad hasta amenazas diferenciadas y estrategias que buscan generar temores en las mujeres a la hora de su liberación que tienen un impacto diferenciado frente a las desapariciones forzadas de hombres.</w:t>
      </w:r>
    </w:p>
    <w:p w14:paraId="61F6B864" w14:textId="77777777" w:rsidR="00BB28FB" w:rsidRPr="00D43A1B" w:rsidRDefault="00BB28FB" w:rsidP="00D43A1B">
      <w:pPr>
        <w:jc w:val="both"/>
        <w:rPr>
          <w:rFonts w:ascii="Calibri" w:hAnsi="Calibri" w:cs="Calibri"/>
          <w:sz w:val="22"/>
          <w:szCs w:val="22"/>
          <w:lang w:val="es-ES"/>
        </w:rPr>
      </w:pPr>
      <w:r w:rsidRPr="00D43A1B">
        <w:rPr>
          <w:rFonts w:ascii="Calibri" w:hAnsi="Calibri" w:cs="Calibri"/>
          <w:sz w:val="22"/>
          <w:szCs w:val="22"/>
          <w:lang w:val="es-ES_tradnl"/>
        </w:rPr>
        <w:t xml:space="preserve">Si bien la falta de registro de las privaciones arbitrarias de libertad en Cuba no puede decirse que sea privativo de las mujeres o de las Damas de Blanco, son esos espacios en los que se las amenaza a las Damas de Blanco de manera diferenciada, incluyendo </w:t>
      </w:r>
      <w:r w:rsidRPr="00D43A1B">
        <w:rPr>
          <w:rFonts w:ascii="Calibri" w:hAnsi="Calibri" w:cs="Calibri"/>
          <w:sz w:val="22"/>
          <w:szCs w:val="22"/>
          <w:lang w:val="es-ES"/>
        </w:rPr>
        <w:t>amenazas con que sus familiares recibirán represalias en escuelas u hospitales, o incluso que serán detenidas</w:t>
      </w:r>
      <w:r w:rsidRPr="00D43A1B">
        <w:rPr>
          <w:rStyle w:val="FootnoteReference"/>
          <w:rFonts w:ascii="Calibri" w:hAnsi="Calibri" w:cs="Calibri"/>
          <w:sz w:val="22"/>
          <w:szCs w:val="22"/>
          <w:lang w:val="es-ES"/>
        </w:rPr>
        <w:footnoteReference w:id="16"/>
      </w:r>
      <w:r w:rsidRPr="00D43A1B">
        <w:rPr>
          <w:rFonts w:ascii="Calibri" w:hAnsi="Calibri" w:cs="Calibri"/>
          <w:sz w:val="22"/>
          <w:szCs w:val="22"/>
          <w:lang w:val="es-ES"/>
        </w:rPr>
        <w:t>.  O también son amenazadas con que si no adoptan determinado comportamiento permanecerán detenidas toda la noche, impidiéndoles regresar a sus hogares para realizar las tareas de cuidados de personas a su cargo. En algunos casos, las amenazas han escalado hasta con quitarles la custodia de sus hijos o hijas menores de edad</w:t>
      </w:r>
      <w:r w:rsidRPr="00D43A1B">
        <w:rPr>
          <w:rStyle w:val="FootnoteReference"/>
          <w:rFonts w:ascii="Calibri" w:hAnsi="Calibri" w:cs="Calibri"/>
          <w:sz w:val="22"/>
          <w:szCs w:val="22"/>
          <w:lang w:val="es-ES"/>
        </w:rPr>
        <w:footnoteReference w:id="17"/>
      </w:r>
      <w:r w:rsidRPr="00D43A1B">
        <w:rPr>
          <w:rFonts w:ascii="Calibri" w:hAnsi="Calibri" w:cs="Calibri"/>
          <w:sz w:val="22"/>
          <w:szCs w:val="22"/>
          <w:lang w:val="es-ES"/>
        </w:rPr>
        <w:t>. Estas amenazas, que en su gran mayoría provienen de agentes masculinos de agencias de inteligencia, como es la Seguridad del Estado en Cuba, buscan presionar a las activistas para que prioricen el acceso a las oportunidades para sus hijos por encima de su trabajo como defensora de derechos humanos. Este tipo de amenazas sexualizadas fueron debidamente identificados en la audiencia “Nuevos patrones de persecución a personas defensoras de derechos humanos y la situación de las mujeres defensoras en Cuba” que tuvo lugar el 25 de junio de 2021 ante la CIDH</w:t>
      </w:r>
      <w:r w:rsidRPr="00D43A1B">
        <w:rPr>
          <w:rStyle w:val="FootnoteReference"/>
          <w:rFonts w:ascii="Calibri" w:hAnsi="Calibri" w:cs="Calibri"/>
          <w:sz w:val="22"/>
          <w:szCs w:val="22"/>
          <w:lang w:val="es-ES"/>
        </w:rPr>
        <w:footnoteReference w:id="18"/>
      </w:r>
      <w:r w:rsidRPr="00D43A1B">
        <w:rPr>
          <w:rFonts w:ascii="Calibri" w:hAnsi="Calibri" w:cs="Calibri"/>
          <w:sz w:val="22"/>
          <w:szCs w:val="22"/>
          <w:lang w:val="es-ES"/>
        </w:rPr>
        <w:t>.</w:t>
      </w:r>
    </w:p>
    <w:p w14:paraId="510CB223" w14:textId="77777777" w:rsidR="00BB28FB" w:rsidRPr="00D43A1B" w:rsidRDefault="00BB28FB" w:rsidP="00D43A1B">
      <w:pPr>
        <w:jc w:val="both"/>
        <w:rPr>
          <w:rFonts w:ascii="Calibri" w:hAnsi="Calibri" w:cs="Calibri"/>
          <w:b/>
          <w:bCs/>
          <w:sz w:val="22"/>
          <w:szCs w:val="22"/>
          <w:lang w:val="es-ES"/>
        </w:rPr>
      </w:pPr>
      <w:r w:rsidRPr="00D43A1B">
        <w:rPr>
          <w:rFonts w:ascii="Calibri" w:hAnsi="Calibri" w:cs="Calibri"/>
          <w:sz w:val="22"/>
          <w:szCs w:val="22"/>
          <w:lang w:val="es-ES"/>
        </w:rPr>
        <w:t xml:space="preserve">Así, el Estado cubano aprovecha de esos deberes de cuidado para amenazar e intimidar con tipos de amenazas que no realizan a otros hombres privados de libertad por motivos políticos. En este sentido, </w:t>
      </w:r>
      <w:r w:rsidRPr="00D43A1B">
        <w:rPr>
          <w:rFonts w:ascii="Calibri" w:hAnsi="Calibri" w:cs="Calibri"/>
          <w:sz w:val="22"/>
          <w:szCs w:val="22"/>
          <w:lang w:val="es-AR"/>
        </w:rPr>
        <w:t>el Subcomité para la Prevención de la Tortura y Otros Tratos o Penas Crueles, Inhumanos o Degradantes (SPT) ha advertido</w:t>
      </w:r>
      <w:r w:rsidRPr="00D43A1B">
        <w:rPr>
          <w:rFonts w:ascii="Calibri" w:hAnsi="Calibri" w:cs="Calibri"/>
          <w:spacing w:val="-12"/>
          <w:sz w:val="22"/>
          <w:szCs w:val="22"/>
          <w:lang w:val="es-AR"/>
        </w:rPr>
        <w:t xml:space="preserve"> </w:t>
      </w:r>
      <w:r w:rsidRPr="00D43A1B">
        <w:rPr>
          <w:rFonts w:ascii="Calibri" w:hAnsi="Calibri" w:cs="Calibri"/>
          <w:sz w:val="22"/>
          <w:szCs w:val="22"/>
          <w:lang w:val="es-AR"/>
        </w:rPr>
        <w:t>que</w:t>
      </w:r>
      <w:r w:rsidRPr="00D43A1B">
        <w:rPr>
          <w:rFonts w:ascii="Calibri" w:hAnsi="Calibri" w:cs="Calibri"/>
          <w:spacing w:val="-12"/>
          <w:sz w:val="22"/>
          <w:szCs w:val="22"/>
          <w:lang w:val="es-AR"/>
        </w:rPr>
        <w:t xml:space="preserve"> </w:t>
      </w:r>
      <w:r w:rsidRPr="00D43A1B">
        <w:rPr>
          <w:rFonts w:ascii="Calibri" w:hAnsi="Calibri" w:cs="Calibri"/>
          <w:sz w:val="22"/>
          <w:szCs w:val="22"/>
          <w:lang w:val="es-AR"/>
        </w:rPr>
        <w:t>“la</w:t>
      </w:r>
      <w:r w:rsidRPr="00D43A1B">
        <w:rPr>
          <w:rFonts w:ascii="Calibri" w:hAnsi="Calibri" w:cs="Calibri"/>
          <w:spacing w:val="-12"/>
          <w:sz w:val="22"/>
          <w:szCs w:val="22"/>
          <w:lang w:val="es-AR"/>
        </w:rPr>
        <w:t xml:space="preserve"> </w:t>
      </w:r>
      <w:r w:rsidRPr="00D43A1B">
        <w:rPr>
          <w:rFonts w:ascii="Calibri" w:hAnsi="Calibri" w:cs="Calibri"/>
          <w:sz w:val="22"/>
          <w:szCs w:val="22"/>
          <w:lang w:val="es-AR"/>
        </w:rPr>
        <w:t>prevalencia</w:t>
      </w:r>
      <w:r w:rsidRPr="00D43A1B">
        <w:rPr>
          <w:rFonts w:ascii="Calibri" w:hAnsi="Calibri" w:cs="Calibri"/>
          <w:spacing w:val="-13"/>
          <w:sz w:val="22"/>
          <w:szCs w:val="22"/>
          <w:lang w:val="es-AR"/>
        </w:rPr>
        <w:t xml:space="preserve"> </w:t>
      </w:r>
      <w:r w:rsidRPr="00D43A1B">
        <w:rPr>
          <w:rFonts w:ascii="Calibri" w:hAnsi="Calibri" w:cs="Calibri"/>
          <w:sz w:val="22"/>
          <w:szCs w:val="22"/>
          <w:lang w:val="es-AR"/>
        </w:rPr>
        <w:t>del</w:t>
      </w:r>
      <w:r w:rsidRPr="00D43A1B">
        <w:rPr>
          <w:rFonts w:ascii="Calibri" w:hAnsi="Calibri" w:cs="Calibri"/>
          <w:spacing w:val="-12"/>
          <w:sz w:val="22"/>
          <w:szCs w:val="22"/>
          <w:lang w:val="es-AR"/>
        </w:rPr>
        <w:t xml:space="preserve"> </w:t>
      </w:r>
      <w:r w:rsidRPr="00D43A1B">
        <w:rPr>
          <w:rFonts w:ascii="Calibri" w:hAnsi="Calibri" w:cs="Calibri"/>
          <w:sz w:val="22"/>
          <w:szCs w:val="22"/>
          <w:lang w:val="es-AR"/>
        </w:rPr>
        <w:t>rol</w:t>
      </w:r>
      <w:r w:rsidRPr="00D43A1B">
        <w:rPr>
          <w:rFonts w:ascii="Calibri" w:hAnsi="Calibri" w:cs="Calibri"/>
          <w:spacing w:val="-12"/>
          <w:sz w:val="22"/>
          <w:szCs w:val="22"/>
          <w:lang w:val="es-AR"/>
        </w:rPr>
        <w:t xml:space="preserve"> </w:t>
      </w:r>
      <w:r w:rsidRPr="00D43A1B">
        <w:rPr>
          <w:rFonts w:ascii="Calibri" w:hAnsi="Calibri" w:cs="Calibri"/>
          <w:sz w:val="22"/>
          <w:szCs w:val="22"/>
          <w:lang w:val="es-AR"/>
        </w:rPr>
        <w:t>de</w:t>
      </w:r>
      <w:r w:rsidRPr="00D43A1B">
        <w:rPr>
          <w:rFonts w:ascii="Calibri" w:hAnsi="Calibri" w:cs="Calibri"/>
          <w:spacing w:val="-11"/>
          <w:sz w:val="22"/>
          <w:szCs w:val="22"/>
          <w:lang w:val="es-AR"/>
        </w:rPr>
        <w:t xml:space="preserve"> </w:t>
      </w:r>
      <w:r w:rsidRPr="00D43A1B">
        <w:rPr>
          <w:rFonts w:ascii="Calibri" w:hAnsi="Calibri" w:cs="Calibri"/>
          <w:sz w:val="22"/>
          <w:szCs w:val="22"/>
          <w:lang w:val="es-AR"/>
        </w:rPr>
        <w:t>cuidadoras</w:t>
      </w:r>
      <w:r w:rsidRPr="00D43A1B">
        <w:rPr>
          <w:rFonts w:ascii="Calibri" w:hAnsi="Calibri" w:cs="Calibri"/>
          <w:spacing w:val="-12"/>
          <w:sz w:val="22"/>
          <w:szCs w:val="22"/>
          <w:lang w:val="es-AR"/>
        </w:rPr>
        <w:t xml:space="preserve"> </w:t>
      </w:r>
      <w:r w:rsidRPr="00D43A1B">
        <w:rPr>
          <w:rFonts w:ascii="Calibri" w:hAnsi="Calibri" w:cs="Calibri"/>
          <w:sz w:val="22"/>
          <w:szCs w:val="22"/>
          <w:lang w:val="es-AR"/>
        </w:rPr>
        <w:t>marcado</w:t>
      </w:r>
      <w:r w:rsidRPr="00D43A1B">
        <w:rPr>
          <w:rFonts w:ascii="Calibri" w:hAnsi="Calibri" w:cs="Calibri"/>
          <w:spacing w:val="-12"/>
          <w:sz w:val="22"/>
          <w:szCs w:val="22"/>
          <w:lang w:val="es-AR"/>
        </w:rPr>
        <w:t xml:space="preserve"> </w:t>
      </w:r>
      <w:r w:rsidRPr="00D43A1B">
        <w:rPr>
          <w:rFonts w:ascii="Calibri" w:hAnsi="Calibri" w:cs="Calibri"/>
          <w:sz w:val="22"/>
          <w:szCs w:val="22"/>
          <w:lang w:val="es-AR"/>
        </w:rPr>
        <w:t>por</w:t>
      </w:r>
      <w:r w:rsidRPr="00D43A1B">
        <w:rPr>
          <w:rFonts w:ascii="Calibri" w:hAnsi="Calibri" w:cs="Calibri"/>
          <w:spacing w:val="-12"/>
          <w:sz w:val="22"/>
          <w:szCs w:val="22"/>
          <w:lang w:val="es-AR"/>
        </w:rPr>
        <w:t xml:space="preserve"> </w:t>
      </w:r>
      <w:r w:rsidRPr="00D43A1B">
        <w:rPr>
          <w:rFonts w:ascii="Calibri" w:hAnsi="Calibri" w:cs="Calibri"/>
          <w:sz w:val="22"/>
          <w:szCs w:val="22"/>
          <w:lang w:val="es-AR"/>
        </w:rPr>
        <w:t>las</w:t>
      </w:r>
      <w:r w:rsidRPr="00D43A1B">
        <w:rPr>
          <w:rFonts w:ascii="Calibri" w:hAnsi="Calibri" w:cs="Calibri"/>
          <w:spacing w:val="-13"/>
          <w:sz w:val="22"/>
          <w:szCs w:val="22"/>
          <w:lang w:val="es-AR"/>
        </w:rPr>
        <w:t xml:space="preserve"> </w:t>
      </w:r>
      <w:r w:rsidRPr="00D43A1B">
        <w:rPr>
          <w:rFonts w:ascii="Calibri" w:hAnsi="Calibri" w:cs="Calibri"/>
          <w:sz w:val="22"/>
          <w:szCs w:val="22"/>
          <w:lang w:val="es-AR"/>
        </w:rPr>
        <w:t>construcciones</w:t>
      </w:r>
      <w:r w:rsidRPr="00D43A1B">
        <w:rPr>
          <w:rFonts w:ascii="Calibri" w:hAnsi="Calibri" w:cs="Calibri"/>
          <w:spacing w:val="-12"/>
          <w:sz w:val="22"/>
          <w:szCs w:val="22"/>
          <w:lang w:val="es-AR"/>
        </w:rPr>
        <w:t xml:space="preserve"> </w:t>
      </w:r>
      <w:r w:rsidRPr="00D43A1B">
        <w:rPr>
          <w:rFonts w:ascii="Calibri" w:hAnsi="Calibri" w:cs="Calibri"/>
          <w:sz w:val="22"/>
          <w:szCs w:val="22"/>
          <w:lang w:val="es-AR"/>
        </w:rPr>
        <w:t>de</w:t>
      </w:r>
      <w:r w:rsidRPr="00D43A1B">
        <w:rPr>
          <w:rFonts w:ascii="Calibri" w:hAnsi="Calibri" w:cs="Calibri"/>
          <w:spacing w:val="-11"/>
          <w:sz w:val="22"/>
          <w:szCs w:val="22"/>
          <w:lang w:val="es-AR"/>
        </w:rPr>
        <w:t xml:space="preserve"> </w:t>
      </w:r>
      <w:r w:rsidRPr="00D43A1B">
        <w:rPr>
          <w:rFonts w:ascii="Calibri" w:hAnsi="Calibri" w:cs="Calibri"/>
          <w:sz w:val="22"/>
          <w:szCs w:val="22"/>
          <w:lang w:val="es-AR"/>
        </w:rPr>
        <w:t>género</w:t>
      </w:r>
      <w:r w:rsidRPr="00D43A1B">
        <w:rPr>
          <w:rFonts w:ascii="Calibri" w:hAnsi="Calibri" w:cs="Calibri"/>
          <w:spacing w:val="-15"/>
          <w:sz w:val="22"/>
          <w:szCs w:val="22"/>
          <w:lang w:val="es-AR"/>
        </w:rPr>
        <w:t xml:space="preserve"> </w:t>
      </w:r>
      <w:r w:rsidRPr="00D43A1B">
        <w:rPr>
          <w:rFonts w:ascii="Calibri" w:hAnsi="Calibri" w:cs="Calibri"/>
          <w:sz w:val="22"/>
          <w:szCs w:val="22"/>
          <w:lang w:val="es-AR"/>
        </w:rPr>
        <w:t>implica que</w:t>
      </w:r>
      <w:r w:rsidRPr="00D43A1B">
        <w:rPr>
          <w:rFonts w:ascii="Calibri" w:hAnsi="Calibri" w:cs="Calibri"/>
          <w:spacing w:val="-13"/>
          <w:sz w:val="22"/>
          <w:szCs w:val="22"/>
          <w:lang w:val="es-AR"/>
        </w:rPr>
        <w:t xml:space="preserve"> </w:t>
      </w:r>
      <w:r w:rsidRPr="00D43A1B">
        <w:rPr>
          <w:rFonts w:ascii="Calibri" w:hAnsi="Calibri" w:cs="Calibri"/>
          <w:sz w:val="22"/>
          <w:szCs w:val="22"/>
          <w:lang w:val="es-AR"/>
        </w:rPr>
        <w:t>la</w:t>
      </w:r>
      <w:r w:rsidRPr="00D43A1B">
        <w:rPr>
          <w:rFonts w:ascii="Calibri" w:hAnsi="Calibri" w:cs="Calibri"/>
          <w:spacing w:val="-13"/>
          <w:sz w:val="22"/>
          <w:szCs w:val="22"/>
          <w:lang w:val="es-AR"/>
        </w:rPr>
        <w:t xml:space="preserve"> </w:t>
      </w:r>
      <w:r w:rsidRPr="00D43A1B">
        <w:rPr>
          <w:rFonts w:ascii="Calibri" w:hAnsi="Calibri" w:cs="Calibri"/>
          <w:sz w:val="22"/>
          <w:szCs w:val="22"/>
          <w:lang w:val="es-AR"/>
        </w:rPr>
        <w:t>ausencia</w:t>
      </w:r>
      <w:r w:rsidRPr="00D43A1B">
        <w:rPr>
          <w:rFonts w:ascii="Calibri" w:hAnsi="Calibri" w:cs="Calibri"/>
          <w:spacing w:val="-13"/>
          <w:sz w:val="22"/>
          <w:szCs w:val="22"/>
          <w:lang w:val="es-AR"/>
        </w:rPr>
        <w:t xml:space="preserve"> </w:t>
      </w:r>
      <w:r w:rsidRPr="00D43A1B">
        <w:rPr>
          <w:rFonts w:ascii="Calibri" w:hAnsi="Calibri" w:cs="Calibri"/>
          <w:sz w:val="22"/>
          <w:szCs w:val="22"/>
          <w:lang w:val="es-AR"/>
        </w:rPr>
        <w:t>de</w:t>
      </w:r>
      <w:r w:rsidRPr="00D43A1B">
        <w:rPr>
          <w:rFonts w:ascii="Calibri" w:hAnsi="Calibri" w:cs="Calibri"/>
          <w:spacing w:val="-12"/>
          <w:sz w:val="22"/>
          <w:szCs w:val="22"/>
          <w:lang w:val="es-AR"/>
        </w:rPr>
        <w:t xml:space="preserve"> </w:t>
      </w:r>
      <w:r w:rsidRPr="00D43A1B">
        <w:rPr>
          <w:rFonts w:ascii="Calibri" w:hAnsi="Calibri" w:cs="Calibri"/>
          <w:sz w:val="22"/>
          <w:szCs w:val="22"/>
          <w:lang w:val="es-AR"/>
        </w:rPr>
        <w:t>la</w:t>
      </w:r>
      <w:r w:rsidRPr="00D43A1B">
        <w:rPr>
          <w:rFonts w:ascii="Calibri" w:hAnsi="Calibri" w:cs="Calibri"/>
          <w:spacing w:val="-14"/>
          <w:sz w:val="22"/>
          <w:szCs w:val="22"/>
          <w:lang w:val="es-AR"/>
        </w:rPr>
        <w:t xml:space="preserve"> </w:t>
      </w:r>
      <w:r w:rsidRPr="00D43A1B">
        <w:rPr>
          <w:rFonts w:ascii="Calibri" w:hAnsi="Calibri" w:cs="Calibri"/>
          <w:sz w:val="22"/>
          <w:szCs w:val="22"/>
          <w:lang w:val="es-AR"/>
        </w:rPr>
        <w:t>mujer</w:t>
      </w:r>
      <w:r w:rsidRPr="00D43A1B">
        <w:rPr>
          <w:rFonts w:ascii="Calibri" w:hAnsi="Calibri" w:cs="Calibri"/>
          <w:spacing w:val="-13"/>
          <w:sz w:val="22"/>
          <w:szCs w:val="22"/>
          <w:lang w:val="es-AR"/>
        </w:rPr>
        <w:t xml:space="preserve"> </w:t>
      </w:r>
      <w:r w:rsidRPr="00D43A1B">
        <w:rPr>
          <w:rFonts w:ascii="Calibri" w:hAnsi="Calibri" w:cs="Calibri"/>
          <w:sz w:val="22"/>
          <w:szCs w:val="22"/>
          <w:lang w:val="es-AR"/>
        </w:rPr>
        <w:t>traiga</w:t>
      </w:r>
      <w:r w:rsidRPr="00D43A1B">
        <w:rPr>
          <w:rFonts w:ascii="Calibri" w:hAnsi="Calibri" w:cs="Calibri"/>
          <w:spacing w:val="-13"/>
          <w:sz w:val="22"/>
          <w:szCs w:val="22"/>
          <w:lang w:val="es-AR"/>
        </w:rPr>
        <w:t xml:space="preserve"> </w:t>
      </w:r>
      <w:r w:rsidRPr="00D43A1B">
        <w:rPr>
          <w:rFonts w:ascii="Calibri" w:hAnsi="Calibri" w:cs="Calibri"/>
          <w:sz w:val="22"/>
          <w:szCs w:val="22"/>
          <w:lang w:val="es-AR"/>
        </w:rPr>
        <w:t>como</w:t>
      </w:r>
      <w:r w:rsidRPr="00D43A1B">
        <w:rPr>
          <w:rFonts w:ascii="Calibri" w:hAnsi="Calibri" w:cs="Calibri"/>
          <w:spacing w:val="-13"/>
          <w:sz w:val="22"/>
          <w:szCs w:val="22"/>
          <w:lang w:val="es-AR"/>
        </w:rPr>
        <w:t xml:space="preserve"> </w:t>
      </w:r>
      <w:r w:rsidRPr="00D43A1B">
        <w:rPr>
          <w:rFonts w:ascii="Calibri" w:hAnsi="Calibri" w:cs="Calibri"/>
          <w:sz w:val="22"/>
          <w:szCs w:val="22"/>
          <w:lang w:val="es-AR"/>
        </w:rPr>
        <w:t>consecuencia</w:t>
      </w:r>
      <w:r w:rsidRPr="00D43A1B">
        <w:rPr>
          <w:rFonts w:ascii="Calibri" w:hAnsi="Calibri" w:cs="Calibri"/>
          <w:spacing w:val="-14"/>
          <w:sz w:val="22"/>
          <w:szCs w:val="22"/>
          <w:lang w:val="es-AR"/>
        </w:rPr>
        <w:t xml:space="preserve"> </w:t>
      </w:r>
      <w:r w:rsidRPr="00D43A1B">
        <w:rPr>
          <w:rFonts w:ascii="Calibri" w:hAnsi="Calibri" w:cs="Calibri"/>
          <w:sz w:val="22"/>
          <w:szCs w:val="22"/>
          <w:lang w:val="es-AR"/>
        </w:rPr>
        <w:t>situaciones</w:t>
      </w:r>
      <w:r w:rsidRPr="00D43A1B">
        <w:rPr>
          <w:rFonts w:ascii="Calibri" w:hAnsi="Calibri" w:cs="Calibri"/>
          <w:spacing w:val="-12"/>
          <w:sz w:val="22"/>
          <w:szCs w:val="22"/>
          <w:lang w:val="es-AR"/>
        </w:rPr>
        <w:t xml:space="preserve"> </w:t>
      </w:r>
      <w:r w:rsidRPr="00D43A1B">
        <w:rPr>
          <w:rFonts w:ascii="Calibri" w:hAnsi="Calibri" w:cs="Calibri"/>
          <w:sz w:val="22"/>
          <w:szCs w:val="22"/>
          <w:lang w:val="es-AR"/>
        </w:rPr>
        <w:t>de</w:t>
      </w:r>
      <w:r w:rsidRPr="00D43A1B">
        <w:rPr>
          <w:rFonts w:ascii="Calibri" w:hAnsi="Calibri" w:cs="Calibri"/>
          <w:spacing w:val="-12"/>
          <w:sz w:val="22"/>
          <w:szCs w:val="22"/>
          <w:lang w:val="es-AR"/>
        </w:rPr>
        <w:t xml:space="preserve"> </w:t>
      </w:r>
      <w:r w:rsidRPr="00D43A1B">
        <w:rPr>
          <w:rFonts w:ascii="Calibri" w:hAnsi="Calibri" w:cs="Calibri"/>
          <w:sz w:val="22"/>
          <w:szCs w:val="22"/>
          <w:lang w:val="es-AR"/>
        </w:rPr>
        <w:t>desprotección</w:t>
      </w:r>
      <w:r w:rsidRPr="00D43A1B">
        <w:rPr>
          <w:rFonts w:ascii="Calibri" w:hAnsi="Calibri" w:cs="Calibri"/>
          <w:spacing w:val="-12"/>
          <w:sz w:val="22"/>
          <w:szCs w:val="22"/>
          <w:lang w:val="es-AR"/>
        </w:rPr>
        <w:t xml:space="preserve"> </w:t>
      </w:r>
      <w:r w:rsidRPr="00D43A1B">
        <w:rPr>
          <w:rFonts w:ascii="Calibri" w:hAnsi="Calibri" w:cs="Calibri"/>
          <w:sz w:val="22"/>
          <w:szCs w:val="22"/>
          <w:lang w:val="es-AR"/>
        </w:rPr>
        <w:t>de</w:t>
      </w:r>
      <w:r w:rsidRPr="00D43A1B">
        <w:rPr>
          <w:rFonts w:ascii="Calibri" w:hAnsi="Calibri" w:cs="Calibri"/>
          <w:spacing w:val="-12"/>
          <w:sz w:val="22"/>
          <w:szCs w:val="22"/>
          <w:lang w:val="es-AR"/>
        </w:rPr>
        <w:t xml:space="preserve"> </w:t>
      </w:r>
      <w:r w:rsidRPr="00D43A1B">
        <w:rPr>
          <w:rFonts w:ascii="Calibri" w:hAnsi="Calibri" w:cs="Calibri"/>
          <w:sz w:val="22"/>
          <w:szCs w:val="22"/>
          <w:lang w:val="es-AR"/>
        </w:rPr>
        <w:t>sus</w:t>
      </w:r>
      <w:r w:rsidRPr="00D43A1B">
        <w:rPr>
          <w:rFonts w:ascii="Calibri" w:hAnsi="Calibri" w:cs="Calibri"/>
          <w:spacing w:val="-14"/>
          <w:sz w:val="22"/>
          <w:szCs w:val="22"/>
          <w:lang w:val="es-AR"/>
        </w:rPr>
        <w:t xml:space="preserve"> </w:t>
      </w:r>
      <w:r w:rsidRPr="00D43A1B">
        <w:rPr>
          <w:rFonts w:ascii="Calibri" w:hAnsi="Calibri" w:cs="Calibri"/>
          <w:sz w:val="22"/>
          <w:szCs w:val="22"/>
          <w:lang w:val="es-AR"/>
        </w:rPr>
        <w:t>hijos”</w:t>
      </w:r>
      <w:r w:rsidRPr="00D43A1B">
        <w:rPr>
          <w:rStyle w:val="FootnoteReference"/>
          <w:rFonts w:ascii="Calibri" w:hAnsi="Calibri" w:cs="Calibri"/>
          <w:sz w:val="22"/>
          <w:szCs w:val="22"/>
          <w:lang w:val="es-AR"/>
        </w:rPr>
        <w:footnoteReference w:id="19"/>
      </w:r>
      <w:r w:rsidRPr="00D43A1B">
        <w:rPr>
          <w:rFonts w:ascii="Calibri" w:hAnsi="Calibri" w:cs="Calibri"/>
          <w:sz w:val="22"/>
          <w:szCs w:val="22"/>
          <w:lang w:val="es-AR"/>
        </w:rPr>
        <w:t xml:space="preserve">. </w:t>
      </w:r>
      <w:r w:rsidRPr="00D43A1B">
        <w:rPr>
          <w:rFonts w:ascii="Calibri" w:eastAsiaTheme="minorEastAsia" w:hAnsi="Calibri" w:cs="Calibri"/>
          <w:sz w:val="22"/>
          <w:szCs w:val="22"/>
          <w:lang w:val="es"/>
        </w:rPr>
        <w:t xml:space="preserve">La CIDH </w:t>
      </w:r>
      <w:r w:rsidRPr="00D43A1B">
        <w:rPr>
          <w:rFonts w:ascii="Calibri" w:eastAsiaTheme="minorEastAsia" w:hAnsi="Calibri" w:cs="Calibri"/>
          <w:sz w:val="22"/>
          <w:szCs w:val="22"/>
          <w:lang w:val="es"/>
        </w:rPr>
        <w:lastRenderedPageBreak/>
        <w:t xml:space="preserve">reconoció haber sido informada sobre la situación de </w:t>
      </w:r>
      <w:r w:rsidRPr="00D43A1B">
        <w:rPr>
          <w:rFonts w:ascii="Calibri" w:hAnsi="Calibri" w:cs="Calibri"/>
          <w:sz w:val="22"/>
          <w:szCs w:val="22"/>
          <w:lang w:val="es-ES"/>
        </w:rPr>
        <w:t>integrantes de Damas de Blanco que siendo madres y que manifestando junto a sus hijos menores de edad son igualmente privadas de libertad, y las niñas y niños son impedidos de asistir a clases mientras dura la detención</w:t>
      </w:r>
      <w:r w:rsidRPr="00D43A1B">
        <w:rPr>
          <w:rStyle w:val="FootnoteReference"/>
          <w:rFonts w:ascii="Calibri" w:hAnsi="Calibri" w:cs="Calibri"/>
          <w:sz w:val="22"/>
          <w:szCs w:val="22"/>
          <w:lang w:val="es-ES"/>
        </w:rPr>
        <w:footnoteReference w:id="20"/>
      </w:r>
      <w:r w:rsidRPr="00D43A1B">
        <w:rPr>
          <w:rFonts w:ascii="Calibri" w:hAnsi="Calibri" w:cs="Calibri"/>
          <w:sz w:val="22"/>
          <w:szCs w:val="22"/>
          <w:lang w:val="es-ES"/>
        </w:rPr>
        <w:t xml:space="preserve">. </w:t>
      </w:r>
      <w:r w:rsidRPr="00D43A1B">
        <w:rPr>
          <w:rFonts w:ascii="Calibri" w:hAnsi="Calibri" w:cs="Calibri"/>
          <w:sz w:val="22"/>
          <w:szCs w:val="22"/>
          <w:lang w:val="es-AR"/>
        </w:rPr>
        <w:t>Es así que el Estado se aprovecha de estos roles sociales asignados para buscar desarticular la organización Damas de Blanco.</w:t>
      </w:r>
    </w:p>
    <w:p w14:paraId="6F1AD270" w14:textId="77777777" w:rsidR="00BB28FB" w:rsidRPr="00D43A1B" w:rsidRDefault="00BB28FB" w:rsidP="00D43A1B">
      <w:pPr>
        <w:jc w:val="both"/>
        <w:rPr>
          <w:rFonts w:ascii="Calibri" w:hAnsi="Calibri" w:cs="Calibri"/>
          <w:sz w:val="22"/>
          <w:szCs w:val="22"/>
          <w:lang w:val="es-ES"/>
        </w:rPr>
      </w:pPr>
      <w:r w:rsidRPr="00D43A1B">
        <w:rPr>
          <w:rFonts w:ascii="Calibri" w:hAnsi="Calibri" w:cs="Calibri"/>
          <w:sz w:val="22"/>
          <w:szCs w:val="22"/>
          <w:lang w:val="es-ES"/>
        </w:rPr>
        <w:t>En muchos casos, estas amenazas han surtido efecto en las Damas de Blanco, lo que ha llevado una drástica reducción en el número de integrantes, pasando de tener 243 mujeres en 2013</w:t>
      </w:r>
      <w:r w:rsidRPr="00D43A1B">
        <w:rPr>
          <w:rStyle w:val="FootnoteReference"/>
          <w:rFonts w:ascii="Calibri" w:hAnsi="Calibri" w:cs="Calibri"/>
          <w:sz w:val="22"/>
          <w:szCs w:val="22"/>
          <w:lang w:val="es-ES"/>
        </w:rPr>
        <w:footnoteReference w:id="21"/>
      </w:r>
      <w:r w:rsidRPr="00D43A1B">
        <w:rPr>
          <w:rFonts w:ascii="Calibri" w:hAnsi="Calibri" w:cs="Calibri"/>
          <w:sz w:val="22"/>
          <w:szCs w:val="22"/>
          <w:lang w:val="es-ES"/>
        </w:rPr>
        <w:t>, a actualmente contar con 50 integrantes. Estas formas diferenciadas de represión buscan acabar con la organización e impedir la expresión tanto de sus integrantes como de la organización a través del ejercicio de su libertad religiosa.</w:t>
      </w:r>
    </w:p>
    <w:p w14:paraId="7307F7D7" w14:textId="77777777" w:rsidR="00BB28FB" w:rsidRPr="00D43A1B" w:rsidRDefault="00BB28FB" w:rsidP="00D43A1B">
      <w:pPr>
        <w:jc w:val="both"/>
        <w:rPr>
          <w:rFonts w:ascii="Calibri" w:hAnsi="Calibri" w:cs="Calibri"/>
          <w:sz w:val="22"/>
          <w:szCs w:val="22"/>
          <w:lang w:val="es-AR"/>
        </w:rPr>
      </w:pPr>
      <w:r w:rsidRPr="00D43A1B">
        <w:rPr>
          <w:rFonts w:ascii="Calibri" w:hAnsi="Calibri" w:cs="Calibri"/>
          <w:sz w:val="22"/>
          <w:szCs w:val="22"/>
          <w:lang w:val="es-ES"/>
        </w:rPr>
        <w:t xml:space="preserve">Por último, otra característica del modus operandi de las privaciones arbitrarias de libertad que se vienen describiendo es que, en algunos casos, las mujeres son liberadas en zonas alejadas, a veces por la noche, exponiéndolas a riesgos relacionados con su seguridad y explotando intencionalmente el miedo que esta situación produce como una forma de represalia o como antesala para una futura amenaza. </w:t>
      </w:r>
    </w:p>
    <w:p w14:paraId="2CB6EFCE" w14:textId="13BBD531" w:rsidR="00BB28FB" w:rsidRPr="00D43A1B" w:rsidRDefault="00BB28FB" w:rsidP="00D43A1B">
      <w:pPr>
        <w:jc w:val="both"/>
        <w:rPr>
          <w:rFonts w:ascii="Calibri" w:eastAsia="Times New Roman" w:hAnsi="Calibri" w:cs="Calibri"/>
          <w:sz w:val="22"/>
          <w:szCs w:val="22"/>
          <w:lang w:val="es-ES" w:eastAsia="es-MX"/>
        </w:rPr>
      </w:pPr>
      <w:r w:rsidRPr="00D43A1B">
        <w:rPr>
          <w:rFonts w:ascii="Calibri" w:hAnsi="Calibri" w:cs="Calibri"/>
          <w:sz w:val="22"/>
          <w:szCs w:val="22"/>
          <w:lang w:val="es-ES"/>
        </w:rPr>
        <w:t>El mencionado patrón de trato sexualizado también se observa, por ejemplo, en los insultos proferidos en su contra al momento en que son aprehendidas, llamándolas “prostitutas”</w:t>
      </w:r>
      <w:r w:rsidRPr="00D43A1B">
        <w:rPr>
          <w:rStyle w:val="FootnoteReference"/>
          <w:rFonts w:ascii="Calibri" w:hAnsi="Calibri" w:cs="Calibri"/>
          <w:sz w:val="22"/>
          <w:szCs w:val="22"/>
        </w:rPr>
        <w:footnoteReference w:id="22"/>
      </w:r>
      <w:r w:rsidRPr="00D43A1B">
        <w:rPr>
          <w:rFonts w:ascii="Calibri" w:hAnsi="Calibri" w:cs="Calibri"/>
          <w:sz w:val="22"/>
          <w:szCs w:val="22"/>
          <w:lang w:val="es-ES"/>
        </w:rPr>
        <w:t xml:space="preserve"> o en las agresiones físicas que estas sufren que consisten, entre otras, en tirones de pelo</w:t>
      </w:r>
      <w:r w:rsidRPr="00D43A1B">
        <w:rPr>
          <w:rFonts w:ascii="Calibri" w:hAnsi="Calibri" w:cs="Calibri"/>
          <w:sz w:val="22"/>
          <w:szCs w:val="22"/>
          <w:lang w:val="es-ES_tradnl"/>
        </w:rPr>
        <w:t xml:space="preserve">. </w:t>
      </w:r>
      <w:r w:rsidRPr="00D43A1B">
        <w:rPr>
          <w:rFonts w:ascii="Calibri" w:hAnsi="Calibri" w:cs="Calibri"/>
          <w:sz w:val="22"/>
          <w:szCs w:val="22"/>
          <w:lang w:val="es-ES"/>
        </w:rPr>
        <w:t>Incluso, se aprecia en la respuesta del Estado del 26 de marzo de 2012 a los Procedimientos Especiales donde para desacreditar su labor de defensoras de derechos humanos el Estado utiliza la expresión “´blancas señoras”</w:t>
      </w:r>
      <w:r w:rsidRPr="00D43A1B">
        <w:rPr>
          <w:rStyle w:val="FootnoteReference"/>
          <w:rFonts w:ascii="Calibri" w:hAnsi="Calibri" w:cs="Calibri"/>
          <w:sz w:val="22"/>
          <w:szCs w:val="22"/>
        </w:rPr>
        <w:footnoteReference w:id="23"/>
      </w:r>
      <w:r w:rsidRPr="00D43A1B">
        <w:rPr>
          <w:rFonts w:ascii="Calibri" w:hAnsi="Calibri" w:cs="Calibri"/>
          <w:sz w:val="22"/>
          <w:szCs w:val="22"/>
          <w:lang w:val="es-ES"/>
        </w:rPr>
        <w:t>. En este sentido, la Corte Interamericana de Derechos Humanos ya ha señalado que las formas altamente groseras y sexistas en que los policías se dirigieron a las víctimas es evidencia de estereotipos profundamente machistas, que buscaban reducir a las mujeres a una función sexual o doméstica, y donde el salir de estos roles, para manifestar, protestar, estudiar o documentar lo que estaba pasando, es decir, su simple presencia y actuación en la esfera pública, era motivo suficiente para castigarlas con distintas formas de abuso</w:t>
      </w:r>
      <w:r w:rsidRPr="00D43A1B">
        <w:rPr>
          <w:rStyle w:val="FootnoteReference"/>
          <w:rFonts w:ascii="Calibri" w:hAnsi="Calibri" w:cs="Calibri"/>
          <w:sz w:val="22"/>
          <w:szCs w:val="22"/>
          <w:lang w:val="es-ES"/>
        </w:rPr>
        <w:footnoteReference w:id="24"/>
      </w:r>
      <w:r w:rsidRPr="00D43A1B">
        <w:rPr>
          <w:rFonts w:ascii="Calibri" w:hAnsi="Calibri" w:cs="Calibri"/>
          <w:sz w:val="22"/>
          <w:szCs w:val="22"/>
          <w:lang w:val="es-ES"/>
        </w:rPr>
        <w:t>.</w:t>
      </w:r>
    </w:p>
    <w:p w14:paraId="0FE460B7" w14:textId="3D022807" w:rsidR="005E35C6" w:rsidRPr="00D43A1B" w:rsidRDefault="005E35C6" w:rsidP="00D43A1B">
      <w:pPr>
        <w:jc w:val="both"/>
        <w:rPr>
          <w:rFonts w:ascii="Calibri" w:eastAsia="Times New Roman" w:hAnsi="Calibri" w:cs="Calibri"/>
          <w:sz w:val="22"/>
          <w:szCs w:val="22"/>
          <w:lang w:val="es-ES" w:eastAsia="es-MX"/>
        </w:rPr>
      </w:pPr>
      <w:r w:rsidRPr="00D43A1B">
        <w:rPr>
          <w:rFonts w:ascii="Calibri" w:eastAsia="Calibri" w:hAnsi="Calibri" w:cs="Calibri"/>
          <w:sz w:val="22"/>
          <w:szCs w:val="22"/>
          <w:lang w:val="es-ES_tradnl"/>
        </w:rPr>
        <w:t xml:space="preserve">Por último, </w:t>
      </w:r>
      <w:r w:rsidR="00FF6724" w:rsidRPr="00D43A1B">
        <w:rPr>
          <w:rFonts w:ascii="Calibri" w:eastAsia="Calibri" w:hAnsi="Calibri" w:cs="Calibri"/>
          <w:sz w:val="22"/>
          <w:szCs w:val="22"/>
          <w:lang w:val="es-ES_tradnl"/>
        </w:rPr>
        <w:t>una desaparición forzada que no fue puesta aún en conocimiento de este Honorable Comité ocurrió el 25 de febrero de 2026.</w:t>
      </w:r>
      <w:r w:rsidRPr="00D43A1B">
        <w:rPr>
          <w:rFonts w:ascii="Calibri" w:eastAsia="Calibri" w:hAnsi="Calibri" w:cs="Calibri"/>
          <w:sz w:val="22"/>
          <w:szCs w:val="22"/>
          <w:lang w:val="es-ES_tradnl"/>
        </w:rPr>
        <w:t xml:space="preserve"> </w:t>
      </w:r>
      <w:r w:rsidR="00FF6724" w:rsidRPr="00D43A1B">
        <w:rPr>
          <w:rFonts w:ascii="Calibri" w:eastAsia="Calibri" w:hAnsi="Calibri" w:cs="Calibri"/>
          <w:sz w:val="22"/>
          <w:szCs w:val="22"/>
          <w:lang w:val="es-ES_tradnl"/>
        </w:rPr>
        <w:t xml:space="preserve">Esta desaparición forzada fue utilizada por el Estado cubano como </w:t>
      </w:r>
      <w:r w:rsidRPr="00D43A1B">
        <w:rPr>
          <w:rFonts w:ascii="Calibri" w:eastAsia="Calibri" w:hAnsi="Calibri" w:cs="Calibri"/>
          <w:sz w:val="22"/>
          <w:szCs w:val="22"/>
          <w:lang w:val="es-ES_tradnl"/>
        </w:rPr>
        <w:t xml:space="preserve">una represalia </w:t>
      </w:r>
      <w:r w:rsidR="00FF6724" w:rsidRPr="00D43A1B">
        <w:rPr>
          <w:rFonts w:ascii="Calibri" w:eastAsia="Calibri" w:hAnsi="Calibri" w:cs="Calibri"/>
          <w:sz w:val="22"/>
          <w:szCs w:val="22"/>
          <w:lang w:val="es-ES_tradnl"/>
        </w:rPr>
        <w:t>contra una de las Damas de Blanco que había sido previamente forzada a permanecer en el exilio</w:t>
      </w:r>
      <w:r w:rsidRPr="00D43A1B">
        <w:rPr>
          <w:rFonts w:ascii="Calibri" w:eastAsia="Calibri" w:hAnsi="Calibri" w:cs="Calibri"/>
          <w:sz w:val="22"/>
          <w:szCs w:val="22"/>
          <w:lang w:val="es-ES_tradnl"/>
        </w:rPr>
        <w:t>. Randy Montes de Oca Ramos es el único hijo de Leticia Ramos Herrería que queda en Cuba. El 9 de febrero de 2026 cuando se hacía pública la noticia de que a la Sra. Ramos Herrería se le había prohibido el ingreso a Cuba, Randy, de 23 años advertía: “mi mamá es el eslabón fundamental de nuestra familia y yo sé que ahora tendremos más represión, sobre todo yo, pues conmigo son las mayores represalias”</w:t>
      </w:r>
      <w:r w:rsidRPr="00D43A1B">
        <w:rPr>
          <w:rFonts w:ascii="Calibri" w:eastAsia="Calibri" w:hAnsi="Calibri" w:cs="Calibri"/>
          <w:sz w:val="22"/>
          <w:szCs w:val="22"/>
          <w:vertAlign w:val="superscript"/>
        </w:rPr>
        <w:footnoteReference w:id="25"/>
      </w:r>
      <w:r w:rsidRPr="00D43A1B">
        <w:rPr>
          <w:rFonts w:ascii="Calibri" w:eastAsia="Calibri" w:hAnsi="Calibri" w:cs="Calibri"/>
          <w:sz w:val="22"/>
          <w:szCs w:val="22"/>
          <w:lang w:val="es-ES_tradnl"/>
        </w:rPr>
        <w:t>.</w:t>
      </w:r>
    </w:p>
    <w:p w14:paraId="2054A059" w14:textId="471317B2" w:rsidR="005E35C6" w:rsidRPr="00D43A1B" w:rsidRDefault="005E35C6" w:rsidP="00D43A1B">
      <w:pPr>
        <w:jc w:val="both"/>
        <w:rPr>
          <w:rFonts w:ascii="Calibri" w:eastAsia="Calibri" w:hAnsi="Calibri" w:cs="Calibri"/>
          <w:sz w:val="22"/>
          <w:szCs w:val="22"/>
          <w:lang w:val="es-ES_tradnl"/>
        </w:rPr>
      </w:pPr>
      <w:r w:rsidRPr="00D43A1B">
        <w:rPr>
          <w:rFonts w:ascii="Calibri" w:eastAsia="Calibri" w:hAnsi="Calibri" w:cs="Calibri"/>
          <w:sz w:val="22"/>
          <w:szCs w:val="22"/>
          <w:lang w:val="es-ES_tradnl"/>
        </w:rPr>
        <w:lastRenderedPageBreak/>
        <w:t>El 25 de febrero de 2026 Randy fue desaparecido forzadamente por 3 días, permaneciendo en total 7 días privado arbitrariamente de libertad, para interrogarlo por la relación que su madre, Leticia Ramos Herrería, tenía con alguna de las personas de la lancha que fueron detenidas luego de, según versiones oficiales cubanas, intercambiar disparos con la guardia costera cubana el 24 de febrero de 2026. Durante el interrogatorio lo amenazaron con penas de 40 años o pena de muertes con vínculos con terroristas, sin embargo,</w:t>
      </w:r>
      <w:r w:rsidR="00FF6724" w:rsidRPr="00D43A1B">
        <w:rPr>
          <w:rFonts w:ascii="Calibri" w:eastAsia="Calibri" w:hAnsi="Calibri" w:cs="Calibri"/>
          <w:sz w:val="22"/>
          <w:szCs w:val="22"/>
          <w:lang w:val="es-ES_tradnl"/>
        </w:rPr>
        <w:t xml:space="preserve"> en esa ocasión</w:t>
      </w:r>
      <w:r w:rsidRPr="00D43A1B">
        <w:rPr>
          <w:rFonts w:ascii="Calibri" w:eastAsia="Calibri" w:hAnsi="Calibri" w:cs="Calibri"/>
          <w:sz w:val="22"/>
          <w:szCs w:val="22"/>
          <w:lang w:val="es-ES_tradnl"/>
        </w:rPr>
        <w:t xml:space="preserve"> fue liberado sin cargo y sin investigación.</w:t>
      </w:r>
      <w:r w:rsidR="00FF6724" w:rsidRPr="00D43A1B">
        <w:rPr>
          <w:rFonts w:ascii="Calibri" w:eastAsia="Calibri" w:hAnsi="Calibri" w:cs="Calibri"/>
          <w:sz w:val="22"/>
          <w:szCs w:val="22"/>
          <w:lang w:val="es-ES_tradnl"/>
        </w:rPr>
        <w:t xml:space="preserve"> Sin embargo, al mes fue nuevamente detenido y permanece privado de libertad hasta la actualidad.</w:t>
      </w:r>
    </w:p>
    <w:p w14:paraId="5D006E54" w14:textId="77777777" w:rsidR="005E35C6" w:rsidRPr="00D43A1B" w:rsidRDefault="005E35C6" w:rsidP="00D43A1B">
      <w:pPr>
        <w:jc w:val="both"/>
        <w:rPr>
          <w:rFonts w:ascii="Calibri" w:hAnsi="Calibri" w:cs="Calibri"/>
          <w:sz w:val="22"/>
          <w:szCs w:val="22"/>
          <w:lang w:val="es-ES_tradnl"/>
        </w:rPr>
      </w:pPr>
    </w:p>
    <w:p w14:paraId="718E1862" w14:textId="3D295BAF" w:rsidR="00F77E53" w:rsidRPr="0015604C" w:rsidRDefault="00F77E53" w:rsidP="00D43A1B">
      <w:pPr>
        <w:pStyle w:val="ListParagraph"/>
        <w:numPr>
          <w:ilvl w:val="0"/>
          <w:numId w:val="1"/>
        </w:numPr>
        <w:jc w:val="both"/>
        <w:rPr>
          <w:rFonts w:ascii="Calibri" w:hAnsi="Calibri" w:cs="Calibri"/>
          <w:b/>
          <w:bCs/>
          <w:sz w:val="22"/>
          <w:szCs w:val="22"/>
          <w:lang w:val="es-ES_tradnl"/>
        </w:rPr>
      </w:pPr>
      <w:r w:rsidRPr="0015604C">
        <w:rPr>
          <w:rFonts w:ascii="Calibri" w:hAnsi="Calibri" w:cs="Calibri"/>
          <w:b/>
          <w:bCs/>
          <w:sz w:val="22"/>
          <w:szCs w:val="22"/>
          <w:lang w:val="es-ES_tradnl"/>
        </w:rPr>
        <w:t>Falta de tipificación como delito de lesa humanidad</w:t>
      </w:r>
    </w:p>
    <w:p w14:paraId="3466D51C" w14:textId="73D9E3BE" w:rsidR="00F77E53" w:rsidRPr="00D43A1B" w:rsidRDefault="00F77E53" w:rsidP="00D43A1B">
      <w:pPr>
        <w:jc w:val="both"/>
        <w:rPr>
          <w:rFonts w:ascii="Calibri" w:hAnsi="Calibri" w:cs="Calibri"/>
          <w:sz w:val="22"/>
          <w:szCs w:val="22"/>
          <w:lang w:val="es-ES_tradnl"/>
        </w:rPr>
      </w:pPr>
      <w:r w:rsidRPr="00D43A1B">
        <w:rPr>
          <w:rFonts w:ascii="Calibri" w:hAnsi="Calibri" w:cs="Calibri"/>
          <w:sz w:val="22"/>
          <w:szCs w:val="22"/>
          <w:lang w:val="es-ES_tradnl"/>
        </w:rPr>
        <w:t>El CED recomendó al Estado se tipificar como crimen de lesa humanidad de conformidad con el artículo 5 de la Convención</w:t>
      </w:r>
      <w:r w:rsidRPr="00D43A1B">
        <w:rPr>
          <w:rStyle w:val="FootnoteReference"/>
          <w:rFonts w:ascii="Calibri" w:hAnsi="Calibri" w:cs="Calibri"/>
          <w:sz w:val="22"/>
          <w:szCs w:val="22"/>
          <w:lang w:val="es-ES_tradnl"/>
        </w:rPr>
        <w:footnoteReference w:id="26"/>
      </w:r>
      <w:r w:rsidRPr="00D43A1B">
        <w:rPr>
          <w:rFonts w:ascii="Calibri" w:hAnsi="Calibri" w:cs="Calibri"/>
          <w:sz w:val="22"/>
          <w:szCs w:val="22"/>
          <w:lang w:val="es-ES_tradnl"/>
        </w:rPr>
        <w:t xml:space="preserve"> y el propio Estado reconoce en su información complementaria que Código Penal cubano no hace mención </w:t>
      </w:r>
      <w:proofErr w:type="gramStart"/>
      <w:r w:rsidRPr="00D43A1B">
        <w:rPr>
          <w:rFonts w:ascii="Calibri" w:hAnsi="Calibri" w:cs="Calibri"/>
          <w:sz w:val="22"/>
          <w:szCs w:val="22"/>
          <w:lang w:val="es-ES_tradnl"/>
        </w:rPr>
        <w:t>a</w:t>
      </w:r>
      <w:proofErr w:type="gramEnd"/>
      <w:r w:rsidRPr="00D43A1B">
        <w:rPr>
          <w:rFonts w:ascii="Calibri" w:hAnsi="Calibri" w:cs="Calibri"/>
          <w:sz w:val="22"/>
          <w:szCs w:val="22"/>
          <w:lang w:val="es-ES_tradnl"/>
        </w:rPr>
        <w:t xml:space="preserve"> la desaparición forzada como crimen de lesa humanidad</w:t>
      </w:r>
      <w:r w:rsidRPr="00D43A1B">
        <w:rPr>
          <w:rStyle w:val="FootnoteReference"/>
          <w:rFonts w:ascii="Calibri" w:hAnsi="Calibri" w:cs="Calibri"/>
          <w:sz w:val="22"/>
          <w:szCs w:val="22"/>
          <w:lang w:val="es-ES_tradnl"/>
        </w:rPr>
        <w:footnoteReference w:id="27"/>
      </w:r>
      <w:r w:rsidRPr="00D43A1B">
        <w:rPr>
          <w:rFonts w:ascii="Calibri" w:hAnsi="Calibri" w:cs="Calibri"/>
          <w:sz w:val="22"/>
          <w:szCs w:val="22"/>
          <w:lang w:val="es-ES_tradnl"/>
        </w:rPr>
        <w:t>. La justificación del Estado, falaz como ya se ha demostrado, es que “la desaparición forzada no es un fenómeno que ocurra en Cuba, ni siquiera de manera aislada”</w:t>
      </w:r>
      <w:r w:rsidRPr="00D43A1B">
        <w:rPr>
          <w:rStyle w:val="FootnoteReference"/>
          <w:rFonts w:ascii="Calibri" w:hAnsi="Calibri" w:cs="Calibri"/>
          <w:sz w:val="22"/>
          <w:szCs w:val="22"/>
          <w:lang w:val="es-ES_tradnl"/>
        </w:rPr>
        <w:footnoteReference w:id="28"/>
      </w:r>
      <w:r w:rsidRPr="00D43A1B">
        <w:rPr>
          <w:rFonts w:ascii="Calibri" w:hAnsi="Calibri" w:cs="Calibri"/>
          <w:sz w:val="22"/>
          <w:szCs w:val="22"/>
          <w:lang w:val="es-ES_tradnl"/>
        </w:rPr>
        <w:t>.</w:t>
      </w:r>
    </w:p>
    <w:p w14:paraId="24F07327" w14:textId="68B400FF" w:rsidR="00F77E53" w:rsidRPr="00D43A1B" w:rsidRDefault="00F77E53" w:rsidP="00D43A1B">
      <w:pPr>
        <w:jc w:val="both"/>
        <w:rPr>
          <w:rFonts w:ascii="Calibri" w:hAnsi="Calibri" w:cs="Calibri"/>
          <w:sz w:val="22"/>
          <w:szCs w:val="22"/>
          <w:lang w:val="es-ES_tradnl"/>
        </w:rPr>
      </w:pPr>
      <w:r w:rsidRPr="00D43A1B">
        <w:rPr>
          <w:rFonts w:ascii="Calibri" w:hAnsi="Calibri" w:cs="Calibri"/>
          <w:sz w:val="22"/>
          <w:szCs w:val="22"/>
          <w:lang w:val="es-ES_tradnl"/>
        </w:rPr>
        <w:t>Queda claro que lo que indica el Estado a continuación justificando que Código Penal cubano tipifica los delitos de Genocidio y Crimen de Apartheid en los artículos 134 y 136, respectivamente, en los que se establecen conductas delictivas que dan respuesta a posibles actos de desaparición forzada, no es suficiente para dar cumplimiento a la obligación del artículo 5 de la Convención toda vez que esos delitos incluyen elementos adicionales que el crimen de lesa humanidad de desaparición forzada no tiene.</w:t>
      </w:r>
    </w:p>
    <w:p w14:paraId="2EB29834" w14:textId="77777777" w:rsidR="00F77E53" w:rsidRPr="00D43A1B" w:rsidRDefault="00F77E53" w:rsidP="00D43A1B">
      <w:pPr>
        <w:jc w:val="both"/>
        <w:rPr>
          <w:rFonts w:ascii="Calibri" w:hAnsi="Calibri" w:cs="Calibri"/>
          <w:sz w:val="22"/>
          <w:szCs w:val="22"/>
          <w:lang w:val="es-ES_tradnl"/>
        </w:rPr>
      </w:pPr>
    </w:p>
    <w:p w14:paraId="6C527C0C" w14:textId="08AAB7BE" w:rsidR="00F77E53" w:rsidRPr="0015604C" w:rsidRDefault="00F77E53" w:rsidP="00D43A1B">
      <w:pPr>
        <w:pStyle w:val="ListParagraph"/>
        <w:numPr>
          <w:ilvl w:val="0"/>
          <w:numId w:val="1"/>
        </w:numPr>
        <w:jc w:val="both"/>
        <w:rPr>
          <w:rFonts w:ascii="Calibri" w:hAnsi="Calibri" w:cs="Calibri"/>
          <w:b/>
          <w:bCs/>
          <w:sz w:val="22"/>
          <w:szCs w:val="22"/>
          <w:lang w:val="es-ES_tradnl"/>
        </w:rPr>
      </w:pPr>
      <w:r w:rsidRPr="0015604C">
        <w:rPr>
          <w:rFonts w:ascii="Calibri" w:hAnsi="Calibri" w:cs="Calibri"/>
          <w:b/>
          <w:bCs/>
          <w:sz w:val="22"/>
          <w:szCs w:val="22"/>
          <w:lang w:val="es-ES_tradnl"/>
        </w:rPr>
        <w:t>Prescripción de la acción penal de desaparición forzada</w:t>
      </w:r>
    </w:p>
    <w:p w14:paraId="6874B89F" w14:textId="596A0615" w:rsidR="00F77E53" w:rsidRPr="00D43A1B" w:rsidRDefault="00F77E53" w:rsidP="00D43A1B">
      <w:pPr>
        <w:jc w:val="both"/>
        <w:rPr>
          <w:rFonts w:ascii="Calibri" w:hAnsi="Calibri" w:cs="Calibri"/>
          <w:sz w:val="22"/>
          <w:szCs w:val="22"/>
          <w:lang w:val="es-ES_tradnl"/>
        </w:rPr>
      </w:pPr>
      <w:r w:rsidRPr="00D43A1B">
        <w:rPr>
          <w:rFonts w:ascii="Calibri" w:hAnsi="Calibri" w:cs="Calibri"/>
          <w:sz w:val="22"/>
          <w:szCs w:val="22"/>
          <w:lang w:val="es-ES_tradnl"/>
        </w:rPr>
        <w:t xml:space="preserve">El CED recomendó al Estado establecer de manera expresa que, de conformidad con el artículo 8, párrafo 1, apartado b), de la Convención, el plazo de prescripción de la acción penal en el caso de la desaparición forzada —o de otros delitos de carácter continuo que se imputen en su lugar mientras no se haya tipificado </w:t>
      </w:r>
      <w:r w:rsidRPr="00D43A1B">
        <w:rPr>
          <w:rFonts w:ascii="Calibri" w:hAnsi="Calibri" w:cs="Calibri"/>
          <w:sz w:val="22"/>
          <w:szCs w:val="22"/>
          <w:lang w:val="es-ES_tradnl"/>
        </w:rPr>
        <w:lastRenderedPageBreak/>
        <w:t>específicamente el delito de desaparición forzada— se cuente a partir del momento en que cesa la desaparición forzada</w:t>
      </w:r>
      <w:r w:rsidRPr="00D43A1B">
        <w:rPr>
          <w:rStyle w:val="FootnoteReference"/>
          <w:rFonts w:ascii="Calibri" w:hAnsi="Calibri" w:cs="Calibri"/>
          <w:sz w:val="22"/>
          <w:szCs w:val="22"/>
          <w:lang w:val="es-ES_tradnl"/>
        </w:rPr>
        <w:footnoteReference w:id="29"/>
      </w:r>
      <w:r w:rsidRPr="00D43A1B">
        <w:rPr>
          <w:rFonts w:ascii="Calibri" w:hAnsi="Calibri" w:cs="Calibri"/>
          <w:sz w:val="22"/>
          <w:szCs w:val="22"/>
          <w:lang w:val="es-ES_tradnl"/>
        </w:rPr>
        <w:t>.</w:t>
      </w:r>
    </w:p>
    <w:p w14:paraId="04AB3051" w14:textId="20F1EBB5" w:rsidR="00F77E53" w:rsidRPr="00D43A1B" w:rsidRDefault="00F77E53" w:rsidP="00D43A1B">
      <w:pPr>
        <w:jc w:val="both"/>
        <w:rPr>
          <w:rFonts w:ascii="Calibri" w:hAnsi="Calibri" w:cs="Calibri"/>
          <w:sz w:val="22"/>
          <w:szCs w:val="22"/>
          <w:lang w:val="es-ES_tradnl"/>
        </w:rPr>
      </w:pPr>
      <w:r w:rsidRPr="00D43A1B">
        <w:rPr>
          <w:rFonts w:ascii="Calibri" w:hAnsi="Calibri" w:cs="Calibri"/>
          <w:sz w:val="22"/>
          <w:szCs w:val="22"/>
          <w:lang w:val="es-ES_tradnl"/>
        </w:rPr>
        <w:t>Como consecuencia de la decisión de no tipificar la desaparición forzada como crimen de lesa humanidad, el Estado intenta justificar que en los casos en los que se cometan desapariciones forzadas como parte de los crímenes de Genocidio o Apartheid, se estaría dando cumplimiento a lo recomendado por el Comité</w:t>
      </w:r>
      <w:r w:rsidRPr="00D43A1B">
        <w:rPr>
          <w:rStyle w:val="FootnoteReference"/>
          <w:rFonts w:ascii="Calibri" w:hAnsi="Calibri" w:cs="Calibri"/>
          <w:sz w:val="22"/>
          <w:szCs w:val="22"/>
          <w:lang w:val="es-ES_tradnl"/>
        </w:rPr>
        <w:footnoteReference w:id="30"/>
      </w:r>
      <w:r w:rsidRPr="00D43A1B">
        <w:rPr>
          <w:rFonts w:ascii="Calibri" w:hAnsi="Calibri" w:cs="Calibri"/>
          <w:sz w:val="22"/>
          <w:szCs w:val="22"/>
          <w:lang w:val="es-ES_tradnl"/>
        </w:rPr>
        <w:t>.</w:t>
      </w:r>
    </w:p>
    <w:p w14:paraId="076BCE3B" w14:textId="77777777" w:rsidR="000B090F" w:rsidRPr="00D43A1B" w:rsidRDefault="000B090F" w:rsidP="00D43A1B">
      <w:pPr>
        <w:jc w:val="both"/>
        <w:rPr>
          <w:rFonts w:ascii="Calibri" w:hAnsi="Calibri" w:cs="Calibri"/>
          <w:sz w:val="22"/>
          <w:szCs w:val="22"/>
          <w:lang w:val="es-ES_tradnl"/>
        </w:rPr>
      </w:pPr>
    </w:p>
    <w:p w14:paraId="4347A4A6" w14:textId="312B9654" w:rsidR="000B090F" w:rsidRPr="0015604C" w:rsidRDefault="000B090F" w:rsidP="00D43A1B">
      <w:pPr>
        <w:pStyle w:val="ListParagraph"/>
        <w:numPr>
          <w:ilvl w:val="0"/>
          <w:numId w:val="1"/>
        </w:numPr>
        <w:jc w:val="both"/>
        <w:rPr>
          <w:rFonts w:ascii="Calibri" w:hAnsi="Calibri" w:cs="Calibri"/>
          <w:b/>
          <w:bCs/>
          <w:sz w:val="22"/>
          <w:szCs w:val="22"/>
          <w:lang w:val="es-ES_tradnl"/>
        </w:rPr>
      </w:pPr>
      <w:r w:rsidRPr="0015604C">
        <w:rPr>
          <w:rFonts w:ascii="Calibri" w:hAnsi="Calibri" w:cs="Calibri"/>
          <w:b/>
          <w:bCs/>
          <w:sz w:val="22"/>
          <w:szCs w:val="22"/>
          <w:lang w:val="es-ES_tradnl"/>
        </w:rPr>
        <w:t>Independencia de la judicatura</w:t>
      </w:r>
    </w:p>
    <w:p w14:paraId="6C64F0F0" w14:textId="68AED142" w:rsidR="000B090F" w:rsidRPr="00D43A1B" w:rsidRDefault="000B090F" w:rsidP="00D43A1B">
      <w:pPr>
        <w:jc w:val="both"/>
        <w:rPr>
          <w:rFonts w:ascii="Calibri" w:hAnsi="Calibri" w:cs="Calibri"/>
          <w:sz w:val="22"/>
          <w:szCs w:val="22"/>
          <w:lang w:val="es-ES_tradnl"/>
        </w:rPr>
      </w:pPr>
      <w:r w:rsidRPr="00D43A1B">
        <w:rPr>
          <w:rFonts w:ascii="Calibri" w:hAnsi="Calibri" w:cs="Calibri"/>
          <w:sz w:val="22"/>
          <w:szCs w:val="22"/>
          <w:lang w:val="es-ES_tradnl"/>
        </w:rPr>
        <w:t>En sus observaciones finales del año 2017, este Honorable Comité expresó su preocupación de que la subordinación de los tribunales a otros órganos del Estado pueda afectar la garantía de independencia de los tribunales que requiere la Convención para conocer casos de desaparición forzada</w:t>
      </w:r>
      <w:r w:rsidRPr="00D43A1B">
        <w:rPr>
          <w:rStyle w:val="FootnoteReference"/>
          <w:rFonts w:ascii="Calibri" w:hAnsi="Calibri" w:cs="Calibri"/>
          <w:sz w:val="22"/>
          <w:szCs w:val="22"/>
          <w:lang w:val="es-ES_tradnl"/>
        </w:rPr>
        <w:footnoteReference w:id="31"/>
      </w:r>
      <w:r w:rsidRPr="00D43A1B">
        <w:rPr>
          <w:rFonts w:ascii="Calibri" w:hAnsi="Calibri" w:cs="Calibri"/>
          <w:sz w:val="22"/>
          <w:szCs w:val="22"/>
          <w:lang w:val="es-ES_tradnl"/>
        </w:rPr>
        <w:t>.</w:t>
      </w:r>
    </w:p>
    <w:p w14:paraId="170F3009" w14:textId="5E47A998" w:rsidR="000B090F" w:rsidRPr="00D43A1B" w:rsidRDefault="000B090F" w:rsidP="00D43A1B">
      <w:pPr>
        <w:jc w:val="both"/>
        <w:rPr>
          <w:rFonts w:ascii="Calibri" w:hAnsi="Calibri" w:cs="Calibri"/>
          <w:sz w:val="22"/>
          <w:szCs w:val="22"/>
          <w:lang w:val="es-ES_tradnl"/>
        </w:rPr>
      </w:pPr>
      <w:r w:rsidRPr="00D43A1B">
        <w:rPr>
          <w:rFonts w:ascii="Calibri" w:hAnsi="Calibri" w:cs="Calibri"/>
          <w:sz w:val="22"/>
          <w:szCs w:val="22"/>
          <w:lang w:val="es-ES_tradnl"/>
        </w:rPr>
        <w:t>Si bien el Estado modificó su constitución en el año 2019, existen numerosos pronunciamientos de organismos internacionales de protección de derechos humanos que comprobaron la falta de independencia con posterioridad a dicha reforma y que se perpetúa hasta la actualidad.</w:t>
      </w:r>
    </w:p>
    <w:p w14:paraId="136B3397" w14:textId="77777777" w:rsidR="003D25DA" w:rsidRPr="00D43A1B" w:rsidRDefault="000B090F" w:rsidP="00D43A1B">
      <w:pPr>
        <w:jc w:val="both"/>
        <w:rPr>
          <w:rFonts w:ascii="Calibri" w:hAnsi="Calibri" w:cs="Calibri"/>
          <w:sz w:val="22"/>
          <w:szCs w:val="22"/>
          <w:lang w:val="es-ES_tradnl"/>
        </w:rPr>
      </w:pPr>
      <w:r w:rsidRPr="00D43A1B">
        <w:rPr>
          <w:rFonts w:ascii="Calibri" w:hAnsi="Calibri" w:cs="Calibri"/>
          <w:sz w:val="22"/>
          <w:szCs w:val="22"/>
          <w:lang w:val="es-ES_tradnl"/>
        </w:rPr>
        <w:t>Sólo por poner algunos ejemplos, en su más reciente informe anual, la Comisión Interamericana de Derechos Humanos (en adelante, “CIDH) consideró “que existe en Cuba una violación grave de los elementos fundamentales y las instituciones de la democracia representativa, entre ellos, un ejercicio abusivo del poder que contraría el Estado de Derecho ante la infracción sistemática de la independencia del Poder Judicial”</w:t>
      </w:r>
      <w:r w:rsidRPr="00D43A1B">
        <w:rPr>
          <w:rStyle w:val="FootnoteReference"/>
          <w:rFonts w:ascii="Calibri" w:hAnsi="Calibri" w:cs="Calibri"/>
          <w:sz w:val="22"/>
          <w:szCs w:val="22"/>
          <w:lang w:val="es-ES_tradnl"/>
        </w:rPr>
        <w:footnoteReference w:id="32"/>
      </w:r>
      <w:r w:rsidRPr="00D43A1B">
        <w:rPr>
          <w:rFonts w:ascii="Calibri" w:hAnsi="Calibri" w:cs="Calibri"/>
          <w:sz w:val="22"/>
          <w:szCs w:val="22"/>
          <w:lang w:val="es-ES_tradnl"/>
        </w:rPr>
        <w:t>.</w:t>
      </w:r>
      <w:r w:rsidR="00BF501D" w:rsidRPr="00D43A1B">
        <w:rPr>
          <w:rFonts w:ascii="Calibri" w:hAnsi="Calibri" w:cs="Calibri"/>
          <w:sz w:val="22"/>
          <w:szCs w:val="22"/>
          <w:lang w:val="es-ES_tradnl"/>
        </w:rPr>
        <w:t xml:space="preserve"> </w:t>
      </w:r>
    </w:p>
    <w:p w14:paraId="4930D99E" w14:textId="1430CB4B" w:rsidR="000B090F" w:rsidRPr="00D43A1B" w:rsidRDefault="00BF501D" w:rsidP="00D43A1B">
      <w:pPr>
        <w:jc w:val="both"/>
        <w:rPr>
          <w:rFonts w:ascii="Calibri" w:hAnsi="Calibri" w:cs="Calibri"/>
          <w:sz w:val="22"/>
          <w:szCs w:val="22"/>
          <w:lang w:val="es-ES_tradnl"/>
        </w:rPr>
      </w:pPr>
      <w:r w:rsidRPr="00D43A1B">
        <w:rPr>
          <w:rFonts w:ascii="Calibri" w:hAnsi="Calibri" w:cs="Calibri"/>
          <w:sz w:val="22"/>
          <w:szCs w:val="22"/>
          <w:lang w:val="es-ES_tradnl"/>
        </w:rPr>
        <w:t>Para llegar a la anterior conclusión, explicó que si bien el artículo 150 de la Constitución de 2019 establece que: “los magistrados y jueces, en su función de impartir justicia, son independientes y no deben obediencia más que a la ley”</w:t>
      </w:r>
      <w:r w:rsidRPr="00D43A1B">
        <w:rPr>
          <w:rStyle w:val="FootnoteReference"/>
          <w:rFonts w:ascii="Calibri" w:hAnsi="Calibri" w:cs="Calibri"/>
          <w:sz w:val="22"/>
          <w:szCs w:val="22"/>
          <w:lang w:val="es-ES_tradnl"/>
        </w:rPr>
        <w:footnoteReference w:id="33"/>
      </w:r>
      <w:r w:rsidRPr="00D43A1B">
        <w:rPr>
          <w:rFonts w:ascii="Calibri" w:hAnsi="Calibri" w:cs="Calibri"/>
          <w:sz w:val="22"/>
          <w:szCs w:val="22"/>
          <w:lang w:val="es-ES_tradnl"/>
        </w:rPr>
        <w:t>, testimonios recabados por la CIDH de exmiembros del Sistema Judicial cubano indicaron que, en la práctica, la independencia judicial no es respetada</w:t>
      </w:r>
      <w:r w:rsidRPr="00D43A1B">
        <w:rPr>
          <w:rStyle w:val="FootnoteReference"/>
          <w:rFonts w:ascii="Calibri" w:hAnsi="Calibri" w:cs="Calibri"/>
          <w:sz w:val="22"/>
          <w:szCs w:val="22"/>
          <w:lang w:val="es-ES_tradnl"/>
        </w:rPr>
        <w:footnoteReference w:id="34"/>
      </w:r>
      <w:r w:rsidRPr="00D43A1B">
        <w:rPr>
          <w:rFonts w:ascii="Calibri" w:hAnsi="Calibri" w:cs="Calibri"/>
          <w:sz w:val="22"/>
          <w:szCs w:val="22"/>
          <w:lang w:val="es-ES_tradnl"/>
        </w:rPr>
        <w:t>.</w:t>
      </w:r>
      <w:r w:rsidR="003D25DA" w:rsidRPr="00D43A1B">
        <w:rPr>
          <w:rFonts w:ascii="Calibri" w:hAnsi="Calibri" w:cs="Calibri"/>
          <w:sz w:val="22"/>
          <w:szCs w:val="22"/>
          <w:lang w:val="es-ES_tradnl"/>
        </w:rPr>
        <w:t xml:space="preserve"> La Comisión también observó que las Asambleas de Poder Popular tienen alta injerencia en el nombramiento de jueces, a la que deben rendirles cuentas de sus actos y pueden ser revocados por el órgano que los elige</w:t>
      </w:r>
      <w:r w:rsidR="003D25DA" w:rsidRPr="00D43A1B">
        <w:rPr>
          <w:rStyle w:val="FootnoteReference"/>
          <w:rFonts w:ascii="Calibri" w:hAnsi="Calibri" w:cs="Calibri"/>
          <w:sz w:val="22"/>
          <w:szCs w:val="22"/>
          <w:lang w:val="es-ES_tradnl"/>
        </w:rPr>
        <w:footnoteReference w:id="35"/>
      </w:r>
      <w:r w:rsidR="003D25DA" w:rsidRPr="00D43A1B">
        <w:rPr>
          <w:rFonts w:ascii="Calibri" w:hAnsi="Calibri" w:cs="Calibri"/>
          <w:sz w:val="22"/>
          <w:szCs w:val="22"/>
          <w:lang w:val="es-ES_tradnl"/>
        </w:rPr>
        <w:t xml:space="preserve">. De esta </w:t>
      </w:r>
      <w:r w:rsidR="003D25DA" w:rsidRPr="00D43A1B">
        <w:rPr>
          <w:rFonts w:ascii="Calibri" w:hAnsi="Calibri" w:cs="Calibri"/>
          <w:sz w:val="22"/>
          <w:szCs w:val="22"/>
          <w:lang w:val="es-ES_tradnl"/>
        </w:rPr>
        <w:lastRenderedPageBreak/>
        <w:t xml:space="preserve">forma, los jueces que no se alinean con la ideología del gobierno son perseguidos y retirados de sus cargos, socavando la integridad del sistema judicial. </w:t>
      </w:r>
    </w:p>
    <w:p w14:paraId="0154A254" w14:textId="6EE78182" w:rsidR="008E62E2" w:rsidRPr="00D43A1B" w:rsidRDefault="008E62E2" w:rsidP="00D43A1B">
      <w:pPr>
        <w:jc w:val="both"/>
        <w:rPr>
          <w:rFonts w:ascii="Calibri" w:hAnsi="Calibri" w:cs="Calibri"/>
          <w:sz w:val="22"/>
          <w:szCs w:val="22"/>
          <w:lang w:val="es-ES_tradnl"/>
        </w:rPr>
      </w:pPr>
      <w:r w:rsidRPr="00D43A1B">
        <w:rPr>
          <w:rFonts w:ascii="Calibri" w:hAnsi="Calibri" w:cs="Calibri"/>
          <w:sz w:val="22"/>
          <w:szCs w:val="22"/>
          <w:lang w:val="es-ES_tradnl"/>
        </w:rPr>
        <w:t xml:space="preserve">En igual sentido, en sus observaciones finales del año 2022 el Comité contra la Tortura (en adelante, “CAT”) recomendó al Estado “velar por la plena independencia, imparcialidad y eficacia de la </w:t>
      </w:r>
      <w:proofErr w:type="gramStart"/>
      <w:r w:rsidRPr="00D43A1B">
        <w:rPr>
          <w:rFonts w:ascii="Calibri" w:hAnsi="Calibri" w:cs="Calibri"/>
          <w:sz w:val="22"/>
          <w:szCs w:val="22"/>
          <w:lang w:val="es-ES_tradnl"/>
        </w:rPr>
        <w:t>Fiscalía General</w:t>
      </w:r>
      <w:proofErr w:type="gramEnd"/>
      <w:r w:rsidRPr="00D43A1B">
        <w:rPr>
          <w:rFonts w:ascii="Calibri" w:hAnsi="Calibri" w:cs="Calibri"/>
          <w:sz w:val="22"/>
          <w:szCs w:val="22"/>
          <w:lang w:val="es-ES_tradnl"/>
        </w:rPr>
        <w:t xml:space="preserve"> y del Poder Judicial, en particular asegurándose de que el nombramiento de los jueces se ajuste a las normas internacionales pertinentes, incluidos los Principios Básicos relativos a la Independencia de la Judicatura”</w:t>
      </w:r>
      <w:r w:rsidRPr="00D43A1B">
        <w:rPr>
          <w:rStyle w:val="FootnoteReference"/>
          <w:rFonts w:ascii="Calibri" w:hAnsi="Calibri" w:cs="Calibri"/>
          <w:sz w:val="22"/>
          <w:szCs w:val="22"/>
          <w:lang w:val="es-ES_tradnl"/>
        </w:rPr>
        <w:footnoteReference w:id="36"/>
      </w:r>
      <w:r w:rsidRPr="00D43A1B">
        <w:rPr>
          <w:rFonts w:ascii="Calibri" w:hAnsi="Calibri" w:cs="Calibri"/>
          <w:sz w:val="22"/>
          <w:szCs w:val="22"/>
          <w:lang w:val="es-ES_tradnl"/>
        </w:rPr>
        <w:t>.</w:t>
      </w:r>
    </w:p>
    <w:p w14:paraId="549F5938" w14:textId="77777777" w:rsidR="00F77E53" w:rsidRDefault="00F77E53" w:rsidP="00D43A1B">
      <w:pPr>
        <w:jc w:val="both"/>
        <w:rPr>
          <w:rFonts w:ascii="Calibri" w:hAnsi="Calibri" w:cs="Calibri"/>
          <w:sz w:val="22"/>
          <w:szCs w:val="22"/>
          <w:lang w:val="es-ES_tradnl"/>
        </w:rPr>
      </w:pPr>
    </w:p>
    <w:p w14:paraId="0AEE7A60" w14:textId="48726249" w:rsidR="0015604C" w:rsidRPr="0015604C" w:rsidRDefault="0015604C" w:rsidP="0015604C">
      <w:pPr>
        <w:pStyle w:val="ListParagraph"/>
        <w:numPr>
          <w:ilvl w:val="0"/>
          <w:numId w:val="1"/>
        </w:numPr>
        <w:jc w:val="both"/>
        <w:rPr>
          <w:rFonts w:ascii="Calibri" w:hAnsi="Calibri" w:cs="Calibri"/>
          <w:b/>
          <w:bCs/>
          <w:sz w:val="22"/>
          <w:szCs w:val="22"/>
          <w:lang w:val="es-ES_tradnl"/>
        </w:rPr>
      </w:pPr>
      <w:r w:rsidRPr="0015604C">
        <w:rPr>
          <w:rFonts w:ascii="Calibri" w:hAnsi="Calibri" w:cs="Calibri"/>
          <w:b/>
          <w:bCs/>
          <w:sz w:val="22"/>
          <w:szCs w:val="22"/>
          <w:lang w:val="es-ES_tradnl"/>
        </w:rPr>
        <w:t>Conclusión</w:t>
      </w:r>
    </w:p>
    <w:p w14:paraId="4C65A541" w14:textId="7D1B0F50" w:rsidR="00F77E53" w:rsidRDefault="00F77E53" w:rsidP="00D43A1B">
      <w:pPr>
        <w:jc w:val="both"/>
        <w:rPr>
          <w:rFonts w:ascii="Calibri" w:hAnsi="Calibri" w:cs="Calibri"/>
          <w:sz w:val="22"/>
          <w:szCs w:val="22"/>
          <w:lang w:val="es-ES_tradnl"/>
        </w:rPr>
      </w:pPr>
      <w:r w:rsidRPr="00D43A1B">
        <w:rPr>
          <w:rFonts w:ascii="Calibri" w:hAnsi="Calibri" w:cs="Calibri"/>
          <w:sz w:val="22"/>
          <w:szCs w:val="22"/>
          <w:lang w:val="es-ES_tradnl"/>
        </w:rPr>
        <w:t>Por lo</w:t>
      </w:r>
      <w:r w:rsidR="0015604C">
        <w:rPr>
          <w:rFonts w:ascii="Calibri" w:hAnsi="Calibri" w:cs="Calibri"/>
          <w:sz w:val="22"/>
          <w:szCs w:val="22"/>
          <w:lang w:val="es-ES_tradnl"/>
        </w:rPr>
        <w:t>s motivos antes expuestos</w:t>
      </w:r>
      <w:r w:rsidRPr="00D43A1B">
        <w:rPr>
          <w:rFonts w:ascii="Calibri" w:hAnsi="Calibri" w:cs="Calibri"/>
          <w:sz w:val="22"/>
          <w:szCs w:val="22"/>
          <w:lang w:val="es-ES_tradnl"/>
        </w:rPr>
        <w:t>, se solicita respetuosamente a este</w:t>
      </w:r>
      <w:r w:rsidR="0015604C">
        <w:rPr>
          <w:rFonts w:ascii="Calibri" w:hAnsi="Calibri" w:cs="Calibri"/>
          <w:sz w:val="22"/>
          <w:szCs w:val="22"/>
          <w:lang w:val="es-ES_tradnl"/>
        </w:rPr>
        <w:t xml:space="preserve"> Honorable</w:t>
      </w:r>
      <w:r w:rsidRPr="00D43A1B">
        <w:rPr>
          <w:rFonts w:ascii="Calibri" w:hAnsi="Calibri" w:cs="Calibri"/>
          <w:sz w:val="22"/>
          <w:szCs w:val="22"/>
          <w:lang w:val="es-ES_tradnl"/>
        </w:rPr>
        <w:t xml:space="preserve"> Comité que considere estos temas como partes de las medidas que el Estado Parte debe abordar para prevenir y erradicar a las desapariciones forzadas y promover los derechos de las víctimas.</w:t>
      </w:r>
    </w:p>
    <w:p w14:paraId="7FFD2051" w14:textId="276BF4FC" w:rsidR="0015604C" w:rsidRPr="0015604C" w:rsidRDefault="0015604C" w:rsidP="0015604C">
      <w:pPr>
        <w:jc w:val="both"/>
        <w:rPr>
          <w:rFonts w:ascii="Calibri" w:eastAsia="Calibri" w:hAnsi="Calibri" w:cs="Calibri"/>
          <w:sz w:val="22"/>
          <w:szCs w:val="22"/>
          <w:lang w:val="es-ES_tradnl"/>
        </w:rPr>
      </w:pPr>
      <w:r w:rsidRPr="0015604C">
        <w:rPr>
          <w:rFonts w:ascii="Calibri" w:eastAsia="Calibri" w:hAnsi="Calibri" w:cs="Calibri"/>
          <w:sz w:val="22"/>
          <w:szCs w:val="22"/>
          <w:lang w:val="es-ES_tradnl"/>
        </w:rPr>
        <w:t xml:space="preserve">Sin otro particular, aprovechamos la oportunidad para expresarle las muestras de nuestra más alta consideración y estima. </w:t>
      </w:r>
    </w:p>
    <w:p w14:paraId="2CCDAD60" w14:textId="77777777" w:rsidR="0015604C" w:rsidRPr="00AD3AC1" w:rsidRDefault="0015604C" w:rsidP="0015604C">
      <w:pPr>
        <w:jc w:val="both"/>
        <w:rPr>
          <w:rFonts w:ascii="Calibri" w:eastAsia="Calibri" w:hAnsi="Calibri" w:cs="Calibri"/>
          <w:sz w:val="22"/>
          <w:szCs w:val="22"/>
          <w:lang w:val="es-ES_tradnl"/>
        </w:rPr>
      </w:pPr>
      <w:r w:rsidRPr="00AD3AC1">
        <w:rPr>
          <w:rFonts w:ascii="Calibri" w:eastAsia="Calibri" w:hAnsi="Calibri" w:cs="Calibri"/>
          <w:sz w:val="22"/>
          <w:szCs w:val="22"/>
          <w:lang w:val="es-ES_tradnl"/>
        </w:rPr>
        <w:t xml:space="preserve">Atentamente, </w:t>
      </w:r>
    </w:p>
    <w:p w14:paraId="69810F91" w14:textId="77777777" w:rsidR="0015604C" w:rsidRDefault="0015604C" w:rsidP="0015604C">
      <w:pPr>
        <w:jc w:val="both"/>
        <w:rPr>
          <w:rFonts w:ascii="Calibri" w:eastAsia="Calibri" w:hAnsi="Calibri" w:cs="Calibri"/>
          <w:sz w:val="22"/>
          <w:szCs w:val="22"/>
        </w:rPr>
      </w:pPr>
    </w:p>
    <w:p w14:paraId="173F29C3" w14:textId="77777777" w:rsidR="0015604C" w:rsidRDefault="0015604C" w:rsidP="0015604C">
      <w:pPr>
        <w:jc w:val="both"/>
        <w:rPr>
          <w:rFonts w:ascii="Calibri" w:eastAsia="Calibri" w:hAnsi="Calibri" w:cs="Calibri"/>
          <w:sz w:val="22"/>
          <w:szCs w:val="22"/>
        </w:rPr>
      </w:pPr>
    </w:p>
    <w:p w14:paraId="6D31C985" w14:textId="77777777" w:rsidR="0015604C" w:rsidRDefault="0015604C" w:rsidP="0015604C">
      <w:pPr>
        <w:jc w:val="both"/>
        <w:rPr>
          <w:rFonts w:ascii="Calibri" w:eastAsia="Calibri" w:hAnsi="Calibri" w:cs="Calibri"/>
          <w:sz w:val="22"/>
          <w:szCs w:val="22"/>
        </w:rPr>
      </w:pPr>
      <w:r>
        <w:rPr>
          <w:noProof/>
        </w:rPr>
        <w:drawing>
          <wp:anchor distT="0" distB="0" distL="0" distR="0" simplePos="0" relativeHeight="251659264" behindDoc="1" locked="0" layoutInCell="1" hidden="0" allowOverlap="1" wp14:anchorId="1A693918" wp14:editId="51C0181F">
            <wp:simplePos x="0" y="0"/>
            <wp:positionH relativeFrom="column">
              <wp:posOffset>4678045</wp:posOffset>
            </wp:positionH>
            <wp:positionV relativeFrom="paragraph">
              <wp:posOffset>93304</wp:posOffset>
            </wp:positionV>
            <wp:extent cx="550545" cy="739140"/>
            <wp:effectExtent l="0" t="0" r="0" b="0"/>
            <wp:wrapNone/>
            <wp:docPr id="5" name="image6.png" descr="A black line drawing of a symbol&#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6.png" descr="A black line drawing of a symbol&#10;&#10;Description automatically generated with medium confidence"/>
                    <pic:cNvPicPr preferRelativeResize="0"/>
                  </pic:nvPicPr>
                  <pic:blipFill>
                    <a:blip r:embed="rId8"/>
                    <a:srcRect/>
                    <a:stretch>
                      <a:fillRect/>
                    </a:stretch>
                  </pic:blipFill>
                  <pic:spPr>
                    <a:xfrm>
                      <a:off x="0" y="0"/>
                      <a:ext cx="550545" cy="739140"/>
                    </a:xfrm>
                    <a:prstGeom prst="rect">
                      <a:avLst/>
                    </a:prstGeom>
                    <a:ln/>
                  </pic:spPr>
                </pic:pic>
              </a:graphicData>
            </a:graphic>
          </wp:anchor>
        </w:drawing>
      </w:r>
    </w:p>
    <w:p w14:paraId="2A0CEF8D" w14:textId="77777777" w:rsidR="0015604C" w:rsidRDefault="0015604C" w:rsidP="0015604C">
      <w:pPr>
        <w:jc w:val="both"/>
        <w:rPr>
          <w:rFonts w:ascii="Calibri" w:eastAsia="Calibri" w:hAnsi="Calibri" w:cs="Calibri"/>
          <w:sz w:val="22"/>
          <w:szCs w:val="22"/>
        </w:rPr>
      </w:pPr>
    </w:p>
    <w:p w14:paraId="4D4EADD8" w14:textId="77777777" w:rsidR="0015604C" w:rsidRDefault="0015604C" w:rsidP="0015604C">
      <w:pPr>
        <w:ind w:left="2160" w:firstLine="720"/>
        <w:jc w:val="both"/>
        <w:rPr>
          <w:rFonts w:ascii="Calibri" w:eastAsia="Calibri" w:hAnsi="Calibri" w:cs="Calibri"/>
          <w:sz w:val="22"/>
          <w:szCs w:val="22"/>
        </w:rPr>
      </w:pPr>
      <w:r w:rsidRPr="00715D2C">
        <w:rPr>
          <w:rFonts w:ascii="Calibri" w:hAnsi="Calibri" w:cs="Calibri"/>
          <w:noProof/>
          <w:sz w:val="22"/>
          <w:szCs w:val="22"/>
          <w:lang w:val="es-ES"/>
        </w:rPr>
        <w:drawing>
          <wp:inline distT="0" distB="0" distL="0" distR="0" wp14:anchorId="516A4543" wp14:editId="74EFF9AC">
            <wp:extent cx="2286000" cy="749300"/>
            <wp:effectExtent l="0" t="0" r="0" b="0"/>
            <wp:docPr id="1301946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946927" name=""/>
                    <pic:cNvPicPr/>
                  </pic:nvPicPr>
                  <pic:blipFill>
                    <a:blip r:embed="rId9"/>
                    <a:stretch>
                      <a:fillRect/>
                    </a:stretch>
                  </pic:blipFill>
                  <pic:spPr>
                    <a:xfrm>
                      <a:off x="0" y="0"/>
                      <a:ext cx="2286000" cy="749300"/>
                    </a:xfrm>
                    <a:prstGeom prst="rect">
                      <a:avLst/>
                    </a:prstGeom>
                  </pic:spPr>
                </pic:pic>
              </a:graphicData>
            </a:graphic>
          </wp:inline>
        </w:drawing>
      </w:r>
      <w:r>
        <w:rPr>
          <w:noProof/>
        </w:rPr>
        <w:drawing>
          <wp:anchor distT="0" distB="0" distL="0" distR="0" simplePos="0" relativeHeight="251660288" behindDoc="1" locked="0" layoutInCell="1" hidden="0" allowOverlap="1" wp14:anchorId="354A2FA0" wp14:editId="78FD45CE">
            <wp:simplePos x="0" y="0"/>
            <wp:positionH relativeFrom="column">
              <wp:posOffset>182063</wp:posOffset>
            </wp:positionH>
            <wp:positionV relativeFrom="paragraph">
              <wp:posOffset>-338725</wp:posOffset>
            </wp:positionV>
            <wp:extent cx="1106501" cy="760719"/>
            <wp:effectExtent l="0" t="0" r="0" b="0"/>
            <wp:wrapNone/>
            <wp:docPr id="3" name="image3.png" descr="A close-up of a scribble&#10;&#10;AI-generated content may be incorrect."/>
            <wp:cNvGraphicFramePr/>
            <a:graphic xmlns:a="http://schemas.openxmlformats.org/drawingml/2006/main">
              <a:graphicData uri="http://schemas.openxmlformats.org/drawingml/2006/picture">
                <pic:pic xmlns:pic="http://schemas.openxmlformats.org/drawingml/2006/picture">
                  <pic:nvPicPr>
                    <pic:cNvPr id="3" name="image3.png" descr="A close-up of a scribble&#10;&#10;AI-generated content may be incorrect."/>
                    <pic:cNvPicPr preferRelativeResize="0"/>
                  </pic:nvPicPr>
                  <pic:blipFill>
                    <a:blip r:embed="rId10"/>
                    <a:srcRect r="9947" b="17664"/>
                    <a:stretch>
                      <a:fillRect/>
                    </a:stretch>
                  </pic:blipFill>
                  <pic:spPr>
                    <a:xfrm>
                      <a:off x="0" y="0"/>
                      <a:ext cx="1106501" cy="760719"/>
                    </a:xfrm>
                    <a:prstGeom prst="rect">
                      <a:avLst/>
                    </a:prstGeom>
                    <a:ln/>
                  </pic:spPr>
                </pic:pic>
              </a:graphicData>
            </a:graphic>
          </wp:anchor>
        </w:drawing>
      </w:r>
    </w:p>
    <w:p w14:paraId="5E700518" w14:textId="77777777" w:rsidR="0015604C" w:rsidRDefault="0015604C" w:rsidP="0015604C">
      <w:pPr>
        <w:spacing w:after="120"/>
        <w:jc w:val="both"/>
        <w:rPr>
          <w:rFonts w:ascii="Calibri" w:eastAsia="Calibri" w:hAnsi="Calibri" w:cs="Calibri"/>
          <w:sz w:val="22"/>
          <w:szCs w:val="22"/>
        </w:rPr>
      </w:pPr>
    </w:p>
    <w:p w14:paraId="0A804A74" w14:textId="77777777" w:rsidR="0015604C" w:rsidRPr="0015604C" w:rsidRDefault="0015604C" w:rsidP="0015604C">
      <w:pPr>
        <w:rPr>
          <w:rFonts w:ascii="Calibri" w:eastAsia="Calibri" w:hAnsi="Calibri" w:cs="Calibri"/>
          <w:sz w:val="22"/>
          <w:szCs w:val="22"/>
          <w:lang w:val="es-ES_tradnl"/>
        </w:rPr>
      </w:pPr>
      <w:r w:rsidRPr="0015604C">
        <w:rPr>
          <w:rFonts w:ascii="Calibri" w:eastAsia="Calibri" w:hAnsi="Calibri" w:cs="Calibri"/>
          <w:sz w:val="22"/>
          <w:szCs w:val="22"/>
          <w:lang w:val="es-ES_tradnl"/>
        </w:rPr>
        <w:t>Carlos Quesada</w:t>
      </w:r>
      <w:r w:rsidRPr="0015604C">
        <w:rPr>
          <w:rFonts w:ascii="Calibri" w:eastAsia="Calibri" w:hAnsi="Calibri" w:cs="Calibri"/>
          <w:sz w:val="22"/>
          <w:szCs w:val="22"/>
          <w:lang w:val="es-ES_tradnl"/>
        </w:rPr>
        <w:tab/>
      </w:r>
      <w:r w:rsidRPr="0015604C">
        <w:rPr>
          <w:rFonts w:ascii="Calibri" w:eastAsia="Calibri" w:hAnsi="Calibri" w:cs="Calibri"/>
          <w:sz w:val="22"/>
          <w:szCs w:val="22"/>
          <w:lang w:val="es-ES_tradnl"/>
        </w:rPr>
        <w:tab/>
      </w:r>
      <w:r w:rsidRPr="0015604C">
        <w:rPr>
          <w:rFonts w:ascii="Calibri" w:eastAsia="Calibri" w:hAnsi="Calibri" w:cs="Calibri"/>
          <w:sz w:val="22"/>
          <w:szCs w:val="22"/>
          <w:lang w:val="es-ES_tradnl"/>
        </w:rPr>
        <w:tab/>
        <w:t>Christina Fetterhoff</w:t>
      </w:r>
      <w:r w:rsidRPr="0015604C">
        <w:rPr>
          <w:rFonts w:ascii="Calibri" w:eastAsia="Calibri" w:hAnsi="Calibri" w:cs="Calibri"/>
          <w:sz w:val="22"/>
          <w:szCs w:val="22"/>
          <w:lang w:val="es-ES_tradnl"/>
        </w:rPr>
        <w:tab/>
      </w:r>
      <w:r w:rsidRPr="0015604C">
        <w:rPr>
          <w:rFonts w:ascii="Calibri" w:eastAsia="Calibri" w:hAnsi="Calibri" w:cs="Calibri"/>
          <w:sz w:val="22"/>
          <w:szCs w:val="22"/>
          <w:lang w:val="es-ES_tradnl"/>
        </w:rPr>
        <w:tab/>
      </w:r>
      <w:r w:rsidRPr="0015604C">
        <w:rPr>
          <w:rFonts w:ascii="Calibri" w:eastAsia="Calibri" w:hAnsi="Calibri" w:cs="Calibri"/>
          <w:sz w:val="22"/>
          <w:szCs w:val="22"/>
          <w:lang w:val="es-ES_tradnl"/>
        </w:rPr>
        <w:tab/>
        <w:t>Fernando Goldar</w:t>
      </w:r>
    </w:p>
    <w:p w14:paraId="76B50AB8" w14:textId="77777777" w:rsidR="0015604C" w:rsidRPr="0015604C" w:rsidRDefault="0015604C" w:rsidP="0015604C">
      <w:pPr>
        <w:rPr>
          <w:rFonts w:ascii="Calibri" w:eastAsia="Calibri" w:hAnsi="Calibri" w:cs="Calibri"/>
          <w:sz w:val="22"/>
          <w:szCs w:val="22"/>
          <w:lang w:val="es-ES_tradnl"/>
        </w:rPr>
      </w:pPr>
      <w:r w:rsidRPr="0015604C">
        <w:rPr>
          <w:rFonts w:ascii="Calibri" w:eastAsia="Calibri" w:hAnsi="Calibri" w:cs="Calibri"/>
          <w:sz w:val="22"/>
          <w:szCs w:val="22"/>
          <w:lang w:val="es-ES_tradnl"/>
        </w:rPr>
        <w:t>Director Ejecutivo</w:t>
      </w:r>
      <w:r w:rsidRPr="0015604C">
        <w:rPr>
          <w:rFonts w:ascii="Calibri" w:eastAsia="Calibri" w:hAnsi="Calibri" w:cs="Calibri"/>
          <w:sz w:val="22"/>
          <w:szCs w:val="22"/>
          <w:lang w:val="es-ES_tradnl"/>
        </w:rPr>
        <w:tab/>
      </w:r>
      <w:r w:rsidRPr="0015604C">
        <w:rPr>
          <w:rFonts w:ascii="Calibri" w:eastAsia="Calibri" w:hAnsi="Calibri" w:cs="Calibri"/>
          <w:sz w:val="22"/>
          <w:szCs w:val="22"/>
          <w:lang w:val="es-ES_tradnl"/>
        </w:rPr>
        <w:tab/>
      </w:r>
      <w:proofErr w:type="gramStart"/>
      <w:r w:rsidRPr="0015604C">
        <w:rPr>
          <w:rFonts w:ascii="Calibri" w:eastAsia="Calibri" w:hAnsi="Calibri" w:cs="Calibri"/>
          <w:sz w:val="22"/>
          <w:szCs w:val="22"/>
          <w:lang w:val="es-ES_tradnl"/>
        </w:rPr>
        <w:t>Directora</w:t>
      </w:r>
      <w:proofErr w:type="gramEnd"/>
      <w:r w:rsidRPr="0015604C">
        <w:rPr>
          <w:rFonts w:ascii="Calibri" w:eastAsia="Calibri" w:hAnsi="Calibri" w:cs="Calibri"/>
          <w:sz w:val="22"/>
          <w:szCs w:val="22"/>
          <w:lang w:val="es-ES_tradnl"/>
        </w:rPr>
        <w:t xml:space="preserve"> de Programas</w:t>
      </w:r>
      <w:r w:rsidRPr="0015604C">
        <w:rPr>
          <w:rFonts w:ascii="Calibri" w:eastAsia="Calibri" w:hAnsi="Calibri" w:cs="Calibri"/>
          <w:sz w:val="22"/>
          <w:szCs w:val="22"/>
          <w:lang w:val="es-ES_tradnl"/>
        </w:rPr>
        <w:tab/>
      </w:r>
      <w:r w:rsidRPr="0015604C">
        <w:rPr>
          <w:rFonts w:ascii="Calibri" w:eastAsia="Calibri" w:hAnsi="Calibri" w:cs="Calibri"/>
          <w:sz w:val="22"/>
          <w:szCs w:val="22"/>
          <w:lang w:val="es-ES_tradnl"/>
        </w:rPr>
        <w:tab/>
      </w:r>
      <w:r w:rsidRPr="0015604C">
        <w:rPr>
          <w:rFonts w:ascii="Calibri" w:eastAsia="Calibri" w:hAnsi="Calibri" w:cs="Calibri"/>
          <w:sz w:val="22"/>
          <w:szCs w:val="22"/>
          <w:lang w:val="es-ES_tradnl"/>
        </w:rPr>
        <w:tab/>
        <w:t>Consultor legal senior</w:t>
      </w:r>
    </w:p>
    <w:p w14:paraId="6576514C" w14:textId="77777777" w:rsidR="0015604C" w:rsidRPr="00D43A1B" w:rsidRDefault="0015604C" w:rsidP="00D43A1B">
      <w:pPr>
        <w:jc w:val="both"/>
        <w:rPr>
          <w:rFonts w:ascii="Calibri" w:hAnsi="Calibri" w:cs="Calibri"/>
          <w:sz w:val="22"/>
          <w:szCs w:val="22"/>
          <w:lang w:val="es-ES_tradnl"/>
        </w:rPr>
      </w:pPr>
    </w:p>
    <w:sectPr w:rsidR="0015604C" w:rsidRPr="00D43A1B">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7C61AC" w14:textId="77777777" w:rsidR="00B26361" w:rsidRDefault="00B26361" w:rsidP="00F77E53">
      <w:pPr>
        <w:spacing w:after="0" w:line="240" w:lineRule="auto"/>
      </w:pPr>
      <w:r>
        <w:separator/>
      </w:r>
    </w:p>
  </w:endnote>
  <w:endnote w:type="continuationSeparator" w:id="0">
    <w:p w14:paraId="772A7B41" w14:textId="77777777" w:rsidR="00B26361" w:rsidRDefault="00B26361" w:rsidP="00F77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E72979" w14:textId="77777777" w:rsidR="00B26361" w:rsidRDefault="00B26361" w:rsidP="00F77E53">
      <w:pPr>
        <w:spacing w:after="0" w:line="240" w:lineRule="auto"/>
      </w:pPr>
      <w:r>
        <w:separator/>
      </w:r>
    </w:p>
  </w:footnote>
  <w:footnote w:type="continuationSeparator" w:id="0">
    <w:p w14:paraId="3438C3D7" w14:textId="77777777" w:rsidR="00B26361" w:rsidRDefault="00B26361" w:rsidP="00F77E53">
      <w:pPr>
        <w:spacing w:after="0" w:line="240" w:lineRule="auto"/>
      </w:pPr>
      <w:r>
        <w:continuationSeparator/>
      </w:r>
    </w:p>
  </w:footnote>
  <w:footnote w:id="1">
    <w:p w14:paraId="1B70301C" w14:textId="77777777" w:rsidR="005E35C6" w:rsidRPr="0015604C" w:rsidRDefault="005E35C6" w:rsidP="0015604C">
      <w:pPr>
        <w:pStyle w:val="FootnoteText"/>
        <w:adjustRightInd w:val="0"/>
        <w:snapToGrid w:val="0"/>
        <w:jc w:val="both"/>
        <w:rPr>
          <w:rFonts w:ascii="Calibri" w:hAnsi="Calibri" w:cs="Calibri"/>
          <w:sz w:val="18"/>
          <w:szCs w:val="18"/>
          <w:lang w:val="es-ES_tradnl"/>
        </w:rPr>
      </w:pPr>
      <w:r w:rsidRPr="0015604C">
        <w:rPr>
          <w:rStyle w:val="FootnoteReference"/>
          <w:rFonts w:ascii="Calibri" w:hAnsi="Calibri" w:cs="Calibri"/>
          <w:sz w:val="18"/>
          <w:szCs w:val="18"/>
        </w:rPr>
        <w:footnoteRef/>
      </w:r>
      <w:r w:rsidRPr="0015604C">
        <w:rPr>
          <w:rFonts w:ascii="Calibri" w:hAnsi="Calibri" w:cs="Calibri"/>
          <w:sz w:val="18"/>
          <w:szCs w:val="18"/>
          <w:lang w:val="es-ES_tradnl"/>
        </w:rPr>
        <w:t xml:space="preserve"> CIDH, Informe anual 2024, Capítulo IV B Cuba, párr. 42.</w:t>
      </w:r>
    </w:p>
  </w:footnote>
  <w:footnote w:id="2">
    <w:p w14:paraId="39F2678E" w14:textId="77777777" w:rsidR="005E35C6" w:rsidRPr="0015604C" w:rsidRDefault="005E35C6" w:rsidP="0015604C">
      <w:pPr>
        <w:pStyle w:val="FootnoteText"/>
        <w:adjustRightInd w:val="0"/>
        <w:snapToGrid w:val="0"/>
        <w:jc w:val="both"/>
        <w:rPr>
          <w:rFonts w:ascii="Calibri" w:hAnsi="Calibri" w:cs="Calibri"/>
          <w:sz w:val="18"/>
          <w:szCs w:val="18"/>
          <w:lang w:val="es-ES"/>
        </w:rPr>
      </w:pPr>
      <w:r w:rsidRPr="0015604C">
        <w:rPr>
          <w:rStyle w:val="FootnoteReference"/>
          <w:rFonts w:ascii="Calibri" w:hAnsi="Calibri" w:cs="Calibri"/>
          <w:sz w:val="18"/>
          <w:szCs w:val="18"/>
        </w:rPr>
        <w:footnoteRef/>
      </w:r>
      <w:r w:rsidRPr="0015604C">
        <w:rPr>
          <w:rFonts w:ascii="Calibri" w:hAnsi="Calibri" w:cs="Calibri"/>
          <w:sz w:val="18"/>
          <w:szCs w:val="18"/>
          <w:lang w:val="es-ES"/>
        </w:rPr>
        <w:t xml:space="preserve"> CIDH, Informe anual 2022, Capítulo IV B Cuba, párr. 41</w:t>
      </w:r>
    </w:p>
  </w:footnote>
  <w:footnote w:id="3">
    <w:p w14:paraId="237B9412" w14:textId="77777777" w:rsidR="005E35C6" w:rsidRPr="0015604C" w:rsidRDefault="005E35C6" w:rsidP="0015604C">
      <w:pPr>
        <w:pStyle w:val="FootnoteText"/>
        <w:adjustRightInd w:val="0"/>
        <w:snapToGrid w:val="0"/>
        <w:jc w:val="both"/>
        <w:rPr>
          <w:rFonts w:ascii="Calibri" w:hAnsi="Calibri" w:cs="Calibri"/>
          <w:sz w:val="18"/>
          <w:szCs w:val="18"/>
          <w:lang w:val="es-ES"/>
        </w:rPr>
      </w:pPr>
      <w:r w:rsidRPr="0015604C">
        <w:rPr>
          <w:rStyle w:val="FootnoteReference"/>
          <w:rFonts w:ascii="Calibri" w:hAnsi="Calibri" w:cs="Calibri"/>
          <w:sz w:val="18"/>
          <w:szCs w:val="18"/>
        </w:rPr>
        <w:footnoteRef/>
      </w:r>
      <w:r w:rsidRPr="0015604C">
        <w:rPr>
          <w:rFonts w:ascii="Calibri" w:hAnsi="Calibri" w:cs="Calibri"/>
          <w:sz w:val="18"/>
          <w:szCs w:val="18"/>
          <w:lang w:val="es-ES"/>
        </w:rPr>
        <w:t xml:space="preserve"> CIDH, Informe anual 2024, Capítulo IV B Cuba, párr. 43.</w:t>
      </w:r>
    </w:p>
  </w:footnote>
  <w:footnote w:id="4">
    <w:p w14:paraId="56EC3614" w14:textId="77777777" w:rsidR="005E35C6" w:rsidRPr="00A00BFC" w:rsidRDefault="005E35C6" w:rsidP="0015604C">
      <w:pPr>
        <w:pStyle w:val="FootnoteText"/>
        <w:adjustRightInd w:val="0"/>
        <w:snapToGrid w:val="0"/>
        <w:jc w:val="both"/>
        <w:rPr>
          <w:rFonts w:ascii="Calibri" w:hAnsi="Calibri" w:cs="Calibri"/>
          <w:sz w:val="18"/>
          <w:szCs w:val="18"/>
          <w:lang w:val="es-ES_tradnl"/>
        </w:rPr>
      </w:pPr>
      <w:r w:rsidRPr="0015604C">
        <w:rPr>
          <w:rStyle w:val="FootnoteReference"/>
          <w:rFonts w:ascii="Calibri" w:hAnsi="Calibri" w:cs="Calibri"/>
          <w:sz w:val="18"/>
          <w:szCs w:val="18"/>
        </w:rPr>
        <w:footnoteRef/>
      </w:r>
      <w:r w:rsidRPr="0015604C">
        <w:rPr>
          <w:rFonts w:ascii="Calibri" w:hAnsi="Calibri" w:cs="Calibri"/>
          <w:sz w:val="18"/>
          <w:szCs w:val="18"/>
          <w:lang w:val="es-ES"/>
        </w:rPr>
        <w:t xml:space="preserve"> CIDH, Informe anual 2024, Capítulo IV B Cuba, párr. </w:t>
      </w:r>
      <w:r w:rsidRPr="00A00BFC">
        <w:rPr>
          <w:rFonts w:ascii="Calibri" w:hAnsi="Calibri" w:cs="Calibri"/>
          <w:sz w:val="18"/>
          <w:szCs w:val="18"/>
          <w:lang w:val="es-ES_tradnl"/>
        </w:rPr>
        <w:t>43.</w:t>
      </w:r>
    </w:p>
  </w:footnote>
  <w:footnote w:id="5">
    <w:p w14:paraId="7E8BA62C" w14:textId="0D3FE381" w:rsidR="008C1E41" w:rsidRPr="0015604C" w:rsidRDefault="008C1E41" w:rsidP="0015604C">
      <w:pPr>
        <w:pStyle w:val="FootnoteText"/>
        <w:adjustRightInd w:val="0"/>
        <w:snapToGrid w:val="0"/>
        <w:jc w:val="both"/>
        <w:rPr>
          <w:rFonts w:ascii="Calibri" w:hAnsi="Calibri" w:cs="Calibri"/>
          <w:sz w:val="18"/>
          <w:szCs w:val="18"/>
          <w:lang w:val="es-ES_tradnl"/>
        </w:rPr>
      </w:pPr>
      <w:r w:rsidRPr="0015604C">
        <w:rPr>
          <w:rStyle w:val="FootnoteReference"/>
          <w:rFonts w:ascii="Calibri" w:hAnsi="Calibri" w:cs="Calibri"/>
          <w:sz w:val="18"/>
          <w:szCs w:val="18"/>
        </w:rPr>
        <w:footnoteRef/>
      </w:r>
      <w:r w:rsidRPr="0015604C">
        <w:rPr>
          <w:rFonts w:ascii="Calibri" w:hAnsi="Calibri" w:cs="Calibri"/>
          <w:sz w:val="18"/>
          <w:szCs w:val="18"/>
          <w:lang w:val="es-ES_tradnl"/>
        </w:rPr>
        <w:t xml:space="preserve"> CED, Declaración conjunta sobre las denominadas “desapariciones forzadas de corta duración”. CED/C/11. 18 de octubre de 2024, párr. 6.</w:t>
      </w:r>
    </w:p>
  </w:footnote>
  <w:footnote w:id="6">
    <w:p w14:paraId="5F1E5BB1" w14:textId="77777777" w:rsidR="005E35C6" w:rsidRPr="0015604C" w:rsidRDefault="005E35C6" w:rsidP="0015604C">
      <w:pPr>
        <w:pStyle w:val="FootnoteText"/>
        <w:adjustRightInd w:val="0"/>
        <w:snapToGrid w:val="0"/>
        <w:jc w:val="both"/>
        <w:rPr>
          <w:rFonts w:ascii="Calibri" w:hAnsi="Calibri" w:cs="Calibri"/>
          <w:sz w:val="18"/>
          <w:szCs w:val="18"/>
          <w:lang w:val="es-ES_tradnl"/>
        </w:rPr>
      </w:pPr>
      <w:r w:rsidRPr="0015604C">
        <w:rPr>
          <w:rStyle w:val="FootnoteReference"/>
          <w:rFonts w:ascii="Calibri" w:hAnsi="Calibri" w:cs="Calibri"/>
          <w:sz w:val="18"/>
          <w:szCs w:val="18"/>
        </w:rPr>
        <w:footnoteRef/>
      </w:r>
      <w:r w:rsidRPr="0015604C">
        <w:rPr>
          <w:rFonts w:ascii="Calibri" w:hAnsi="Calibri" w:cs="Calibri"/>
          <w:sz w:val="18"/>
          <w:szCs w:val="18"/>
          <w:lang w:val="es-ES_tradnl"/>
        </w:rPr>
        <w:t xml:space="preserve"> CED, Declaración conjunta sobre las denominadas “desapariciones forzadas de corta duración”. CED/C/11. 18 de octubre de 2024, párr. 1.</w:t>
      </w:r>
    </w:p>
  </w:footnote>
  <w:footnote w:id="7">
    <w:p w14:paraId="304FADF4" w14:textId="77777777" w:rsidR="008C1E41" w:rsidRPr="0015604C" w:rsidRDefault="008C1E41" w:rsidP="0015604C">
      <w:pPr>
        <w:pStyle w:val="FootnoteText"/>
        <w:adjustRightInd w:val="0"/>
        <w:snapToGrid w:val="0"/>
        <w:jc w:val="both"/>
        <w:rPr>
          <w:rFonts w:ascii="Calibri" w:hAnsi="Calibri" w:cs="Calibri"/>
          <w:sz w:val="18"/>
          <w:szCs w:val="18"/>
          <w:lang w:val="es-AR"/>
        </w:rPr>
      </w:pPr>
      <w:r w:rsidRPr="0015604C">
        <w:rPr>
          <w:rStyle w:val="FootnoteReference"/>
          <w:rFonts w:ascii="Calibri" w:hAnsi="Calibri" w:cs="Calibri"/>
          <w:sz w:val="18"/>
          <w:szCs w:val="18"/>
        </w:rPr>
        <w:footnoteRef/>
      </w:r>
      <w:r w:rsidRPr="0015604C">
        <w:rPr>
          <w:rFonts w:ascii="Calibri" w:hAnsi="Calibri" w:cs="Calibri"/>
          <w:sz w:val="18"/>
          <w:szCs w:val="18"/>
          <w:lang w:val="es-ES_tradnl"/>
        </w:rPr>
        <w:t xml:space="preserve"> </w:t>
      </w:r>
      <w:r w:rsidRPr="0015604C">
        <w:rPr>
          <w:rFonts w:ascii="Calibri" w:hAnsi="Calibri" w:cs="Calibri"/>
          <w:sz w:val="18"/>
          <w:szCs w:val="18"/>
          <w:lang w:val="es-ES"/>
        </w:rPr>
        <w:t xml:space="preserve">Las Damas de Blanco, ¿Quiénes son las Damas de Blanco?, disponible en </w:t>
      </w:r>
      <w:hyperlink r:id="rId1" w:history="1">
        <w:r w:rsidRPr="0015604C">
          <w:rPr>
            <w:rFonts w:ascii="Calibri" w:hAnsi="Calibri" w:cs="Calibri"/>
            <w:sz w:val="18"/>
            <w:szCs w:val="18"/>
            <w:lang w:val="es-ES"/>
          </w:rPr>
          <w:t>https://www.damasdeblanco.com/</w:t>
        </w:r>
      </w:hyperlink>
      <w:r w:rsidRPr="0015604C">
        <w:rPr>
          <w:rFonts w:ascii="Calibri" w:hAnsi="Calibri" w:cs="Calibri"/>
          <w:sz w:val="18"/>
          <w:szCs w:val="18"/>
          <w:lang w:val="es-ES"/>
        </w:rPr>
        <w:t>.</w:t>
      </w:r>
    </w:p>
  </w:footnote>
  <w:footnote w:id="8">
    <w:p w14:paraId="350836DB" w14:textId="77777777" w:rsidR="008C1E41" w:rsidRPr="0015604C" w:rsidRDefault="008C1E41" w:rsidP="0015604C">
      <w:pPr>
        <w:pStyle w:val="FootnoteText"/>
        <w:adjustRightInd w:val="0"/>
        <w:snapToGrid w:val="0"/>
        <w:jc w:val="both"/>
        <w:rPr>
          <w:rFonts w:ascii="Calibri" w:hAnsi="Calibri" w:cs="Calibri"/>
          <w:sz w:val="18"/>
          <w:szCs w:val="18"/>
          <w:lang w:val="pt-BR"/>
        </w:rPr>
      </w:pPr>
      <w:r w:rsidRPr="0015604C">
        <w:rPr>
          <w:rStyle w:val="FootnoteReference"/>
          <w:rFonts w:ascii="Calibri" w:hAnsi="Calibri" w:cs="Calibri"/>
          <w:sz w:val="18"/>
          <w:szCs w:val="18"/>
        </w:rPr>
        <w:footnoteRef/>
      </w:r>
      <w:r w:rsidRPr="0015604C">
        <w:rPr>
          <w:rFonts w:ascii="Calibri" w:hAnsi="Calibri" w:cs="Calibri"/>
          <w:sz w:val="18"/>
          <w:szCs w:val="18"/>
          <w:lang w:val="es-ES_tradnl"/>
        </w:rPr>
        <w:t xml:space="preserve"> </w:t>
      </w:r>
      <w:r w:rsidRPr="0015604C">
        <w:rPr>
          <w:rFonts w:ascii="Calibri" w:hAnsi="Calibri" w:cs="Calibri"/>
          <w:sz w:val="18"/>
          <w:szCs w:val="18"/>
          <w:lang w:val="pt-BR"/>
        </w:rPr>
        <w:t>CIDH, Informe Anual 2010, Capítulo IV Cuba; CIDH, Informe Anual 2011, Capítulo IV Cuba; CIDH, Informe Anual 2012, Capítulo IV Cuba; CIDH, Informe Anual 2013, Capítulo IV.B Cuba; CIDH, Informe Anual 2014, Capítulo IV.B Cuba; CIDH, Informe Anual 2015, Capítulo IV.B Cuba; CIDH, Informe Anual 2018, Capítulo IV.B Cuba; CIDH, Informe Anual 2020, Capítulo IV.B Cuba; CIDH, Informe Anual 2022, Capítulo IV.B Cuba; y CIDH, Informe Anual 2023, Capítulo IV.B Cuba.</w:t>
      </w:r>
    </w:p>
  </w:footnote>
  <w:footnote w:id="9">
    <w:p w14:paraId="0E0375EB" w14:textId="77777777" w:rsidR="008C1E41" w:rsidRPr="0015604C" w:rsidRDefault="008C1E41" w:rsidP="0015604C">
      <w:pPr>
        <w:pStyle w:val="FootnoteText"/>
        <w:adjustRightInd w:val="0"/>
        <w:snapToGrid w:val="0"/>
        <w:jc w:val="both"/>
        <w:rPr>
          <w:rFonts w:ascii="Calibri" w:hAnsi="Calibri" w:cs="Calibri"/>
          <w:sz w:val="18"/>
          <w:szCs w:val="18"/>
          <w:lang w:val="pt-BR"/>
        </w:rPr>
      </w:pPr>
      <w:r w:rsidRPr="0015604C">
        <w:rPr>
          <w:rStyle w:val="FootnoteReference"/>
          <w:rFonts w:ascii="Calibri" w:hAnsi="Calibri" w:cs="Calibri"/>
          <w:sz w:val="18"/>
          <w:szCs w:val="18"/>
        </w:rPr>
        <w:footnoteRef/>
      </w:r>
      <w:r w:rsidRPr="0015604C">
        <w:rPr>
          <w:rFonts w:ascii="Calibri" w:hAnsi="Calibri" w:cs="Calibri"/>
          <w:sz w:val="18"/>
          <w:szCs w:val="18"/>
          <w:lang w:val="pt-BR"/>
        </w:rPr>
        <w:t xml:space="preserve"> Cfr. CIDH, Informe Anual 2013, Capítulo IV B Cuba, </w:t>
      </w:r>
      <w:proofErr w:type="spellStart"/>
      <w:r w:rsidRPr="0015604C">
        <w:rPr>
          <w:rFonts w:ascii="Calibri" w:hAnsi="Calibri" w:cs="Calibri"/>
          <w:sz w:val="18"/>
          <w:szCs w:val="18"/>
          <w:lang w:val="pt-BR"/>
        </w:rPr>
        <w:t>párr</w:t>
      </w:r>
      <w:proofErr w:type="spellEnd"/>
      <w:r w:rsidRPr="0015604C">
        <w:rPr>
          <w:rFonts w:ascii="Calibri" w:hAnsi="Calibri" w:cs="Calibri"/>
          <w:sz w:val="18"/>
          <w:szCs w:val="18"/>
          <w:lang w:val="pt-BR"/>
        </w:rPr>
        <w:t>. 149.</w:t>
      </w:r>
    </w:p>
  </w:footnote>
  <w:footnote w:id="10">
    <w:p w14:paraId="2E05968B" w14:textId="77777777" w:rsidR="008C1E41" w:rsidRPr="0015604C" w:rsidRDefault="008C1E41" w:rsidP="0015604C">
      <w:pPr>
        <w:pStyle w:val="FootnoteText"/>
        <w:adjustRightInd w:val="0"/>
        <w:snapToGrid w:val="0"/>
        <w:jc w:val="both"/>
        <w:rPr>
          <w:rFonts w:ascii="Calibri" w:hAnsi="Calibri" w:cs="Calibri"/>
          <w:sz w:val="18"/>
          <w:szCs w:val="18"/>
        </w:rPr>
      </w:pPr>
      <w:r w:rsidRPr="0015604C">
        <w:rPr>
          <w:rStyle w:val="FootnoteReference"/>
          <w:rFonts w:ascii="Calibri" w:hAnsi="Calibri" w:cs="Calibri"/>
          <w:sz w:val="18"/>
          <w:szCs w:val="18"/>
        </w:rPr>
        <w:footnoteRef/>
      </w:r>
      <w:r w:rsidRPr="0015604C">
        <w:rPr>
          <w:rFonts w:ascii="Calibri" w:hAnsi="Calibri" w:cs="Calibri"/>
          <w:sz w:val="18"/>
          <w:szCs w:val="18"/>
        </w:rPr>
        <w:t xml:space="preserve"> Anexo I. CED, Report on requests for urgent action submitted under article 30 of the Convention. 4 de </w:t>
      </w:r>
      <w:proofErr w:type="spellStart"/>
      <w:r w:rsidRPr="0015604C">
        <w:rPr>
          <w:rFonts w:ascii="Calibri" w:hAnsi="Calibri" w:cs="Calibri"/>
          <w:sz w:val="18"/>
          <w:szCs w:val="18"/>
        </w:rPr>
        <w:t>abril</w:t>
      </w:r>
      <w:proofErr w:type="spellEnd"/>
      <w:r w:rsidRPr="0015604C">
        <w:rPr>
          <w:rFonts w:ascii="Calibri" w:hAnsi="Calibri" w:cs="Calibri"/>
          <w:sz w:val="18"/>
          <w:szCs w:val="18"/>
        </w:rPr>
        <w:t xml:space="preserve"> de 2025.</w:t>
      </w:r>
    </w:p>
  </w:footnote>
  <w:footnote w:id="11">
    <w:p w14:paraId="7A3F96AC" w14:textId="346DB673" w:rsidR="005E35C6" w:rsidRPr="0015604C" w:rsidRDefault="005E35C6" w:rsidP="0015604C">
      <w:pPr>
        <w:pStyle w:val="FootnoteText"/>
        <w:adjustRightInd w:val="0"/>
        <w:snapToGrid w:val="0"/>
        <w:jc w:val="both"/>
        <w:rPr>
          <w:rFonts w:ascii="Calibri" w:hAnsi="Calibri" w:cs="Calibri"/>
          <w:sz w:val="18"/>
          <w:szCs w:val="18"/>
        </w:rPr>
      </w:pPr>
      <w:r w:rsidRPr="0015604C">
        <w:rPr>
          <w:rStyle w:val="FootnoteReference"/>
          <w:rFonts w:ascii="Calibri" w:hAnsi="Calibri" w:cs="Calibri"/>
          <w:sz w:val="18"/>
          <w:szCs w:val="18"/>
        </w:rPr>
        <w:footnoteRef/>
      </w:r>
      <w:r w:rsidRPr="0015604C">
        <w:rPr>
          <w:rFonts w:ascii="Calibri" w:hAnsi="Calibri" w:cs="Calibri"/>
          <w:sz w:val="18"/>
          <w:szCs w:val="18"/>
        </w:rPr>
        <w:t xml:space="preserve">  </w:t>
      </w:r>
      <w:r w:rsidRPr="0015604C">
        <w:rPr>
          <w:rFonts w:ascii="Calibri" w:hAnsi="Calibri" w:cs="Calibri"/>
          <w:sz w:val="18"/>
          <w:szCs w:val="18"/>
          <w:lang w:eastAsia="es-ES"/>
        </w:rPr>
        <w:t>Human</w:t>
      </w:r>
      <w:r w:rsidRPr="0015604C">
        <w:rPr>
          <w:rFonts w:ascii="Calibri" w:hAnsi="Calibri" w:cs="Calibri"/>
          <w:sz w:val="18"/>
          <w:szCs w:val="18"/>
        </w:rPr>
        <w:t xml:space="preserve"> Rights Committee, general comment No. 35 (2014), para. 56.</w:t>
      </w:r>
    </w:p>
  </w:footnote>
  <w:footnote w:id="12">
    <w:p w14:paraId="3C1C5899" w14:textId="5CC6A7B2" w:rsidR="005E35C6" w:rsidRPr="00A00BFC" w:rsidRDefault="005E35C6" w:rsidP="0015604C">
      <w:pPr>
        <w:pStyle w:val="FootnoteText"/>
        <w:adjustRightInd w:val="0"/>
        <w:snapToGrid w:val="0"/>
        <w:jc w:val="both"/>
        <w:rPr>
          <w:rFonts w:ascii="Calibri" w:hAnsi="Calibri" w:cs="Calibri"/>
          <w:sz w:val="18"/>
          <w:szCs w:val="18"/>
          <w:lang w:val="es-ES_tradnl"/>
        </w:rPr>
      </w:pPr>
      <w:r w:rsidRPr="0015604C">
        <w:rPr>
          <w:rStyle w:val="FootnoteReference"/>
          <w:rFonts w:ascii="Calibri" w:hAnsi="Calibri" w:cs="Calibri"/>
          <w:sz w:val="18"/>
          <w:szCs w:val="18"/>
        </w:rPr>
        <w:footnoteRef/>
      </w:r>
      <w:r w:rsidRPr="0015604C">
        <w:rPr>
          <w:rFonts w:ascii="Calibri" w:hAnsi="Calibri" w:cs="Calibri"/>
          <w:sz w:val="18"/>
          <w:szCs w:val="18"/>
        </w:rPr>
        <w:t xml:space="preserve"> </w:t>
      </w:r>
      <w:r w:rsidRPr="0015604C">
        <w:rPr>
          <w:rFonts w:ascii="Calibri" w:hAnsi="Calibri" w:cs="Calibri"/>
          <w:sz w:val="18"/>
          <w:szCs w:val="18"/>
          <w:lang w:eastAsia="es-ES"/>
        </w:rPr>
        <w:t>Human</w:t>
      </w:r>
      <w:r w:rsidRPr="0015604C">
        <w:rPr>
          <w:rFonts w:ascii="Calibri" w:hAnsi="Calibri" w:cs="Calibri"/>
          <w:sz w:val="18"/>
          <w:szCs w:val="18"/>
        </w:rPr>
        <w:t xml:space="preserve"> Rights Committee, </w:t>
      </w:r>
      <w:r w:rsidRPr="0015604C">
        <w:rPr>
          <w:rFonts w:ascii="Calibri" w:hAnsi="Calibri" w:cs="Calibri"/>
          <w:i/>
          <w:iCs/>
          <w:sz w:val="18"/>
          <w:szCs w:val="18"/>
        </w:rPr>
        <w:t xml:space="preserve">Albert </w:t>
      </w:r>
      <w:proofErr w:type="spellStart"/>
      <w:r w:rsidRPr="0015604C">
        <w:rPr>
          <w:rFonts w:ascii="Calibri" w:hAnsi="Calibri" w:cs="Calibri"/>
          <w:i/>
          <w:iCs/>
          <w:sz w:val="18"/>
          <w:szCs w:val="18"/>
        </w:rPr>
        <w:t>Womah</w:t>
      </w:r>
      <w:proofErr w:type="spellEnd"/>
      <w:r w:rsidRPr="0015604C">
        <w:rPr>
          <w:rFonts w:ascii="Calibri" w:hAnsi="Calibri" w:cs="Calibri"/>
          <w:i/>
          <w:iCs/>
          <w:sz w:val="18"/>
          <w:szCs w:val="18"/>
        </w:rPr>
        <w:t xml:space="preserve"> Mukong v. Cameroon</w:t>
      </w:r>
      <w:r w:rsidRPr="0015604C">
        <w:rPr>
          <w:rFonts w:ascii="Calibri" w:hAnsi="Calibri" w:cs="Calibri"/>
          <w:sz w:val="18"/>
          <w:szCs w:val="18"/>
        </w:rPr>
        <w:t>, Communication No. 458/1991, (</w:t>
      </w:r>
      <w:hyperlink r:id="rId2" w:anchor=":~:text=CCPR/C/51/D/458/1991%20%D8%A7%D9%84%D8%B9%D8%B1%D8%A8%D9%8A%D8%A9%20%E4%B8%AD%E6%96%87%20English%20Fran%C3%A7ais%20%D0%A0%D1%83%D1%81%D1%81%D0%BA%D0%B8%D0%B9%20Espa%C3%B1ol%20%E4%B8%AD%E6%96%87%20English%20Fran%C3%A7ais" w:history="1">
        <w:r w:rsidRPr="0015604C">
          <w:rPr>
            <w:rStyle w:val="Hyperlink"/>
            <w:rFonts w:ascii="Calibri" w:hAnsi="Calibri" w:cs="Calibri"/>
            <w:sz w:val="18"/>
            <w:szCs w:val="18"/>
          </w:rPr>
          <w:t>CCPR/C/51/D/458/1991</w:t>
        </w:r>
      </w:hyperlink>
      <w:r w:rsidRPr="0015604C">
        <w:rPr>
          <w:rFonts w:ascii="Calibri" w:hAnsi="Calibri" w:cs="Calibri"/>
          <w:sz w:val="18"/>
          <w:szCs w:val="18"/>
        </w:rPr>
        <w:t xml:space="preserve">), 21 July 1994, para. 9.4; </w:t>
      </w:r>
      <w:r w:rsidRPr="0015604C">
        <w:rPr>
          <w:rFonts w:ascii="Calibri" w:hAnsi="Calibri" w:cs="Calibri"/>
          <w:sz w:val="18"/>
          <w:szCs w:val="18"/>
          <w:lang w:eastAsia="es-ES"/>
        </w:rPr>
        <w:t>Human</w:t>
      </w:r>
      <w:r w:rsidRPr="0015604C">
        <w:rPr>
          <w:rFonts w:ascii="Calibri" w:hAnsi="Calibri" w:cs="Calibri"/>
          <w:sz w:val="18"/>
          <w:szCs w:val="18"/>
        </w:rPr>
        <w:t xml:space="preserve"> Rights Committee, </w:t>
      </w:r>
      <w:r w:rsidRPr="0015604C">
        <w:rPr>
          <w:rFonts w:ascii="Calibri" w:hAnsi="Calibri" w:cs="Calibri"/>
          <w:i/>
          <w:iCs/>
          <w:sz w:val="18"/>
          <w:szCs w:val="18"/>
        </w:rPr>
        <w:t>El-</w:t>
      </w:r>
      <w:proofErr w:type="spellStart"/>
      <w:r w:rsidRPr="0015604C">
        <w:rPr>
          <w:rFonts w:ascii="Calibri" w:hAnsi="Calibri" w:cs="Calibri"/>
          <w:i/>
          <w:iCs/>
          <w:sz w:val="18"/>
          <w:szCs w:val="18"/>
        </w:rPr>
        <w:t>Megreisi</w:t>
      </w:r>
      <w:proofErr w:type="spellEnd"/>
      <w:r w:rsidRPr="0015604C">
        <w:rPr>
          <w:rFonts w:ascii="Calibri" w:hAnsi="Calibri" w:cs="Calibri"/>
          <w:i/>
          <w:iCs/>
          <w:sz w:val="18"/>
          <w:szCs w:val="18"/>
        </w:rPr>
        <w:t xml:space="preserve"> v. Libyan Arab Jamahiriya</w:t>
      </w:r>
      <w:r w:rsidRPr="0015604C">
        <w:rPr>
          <w:rFonts w:ascii="Calibri" w:hAnsi="Calibri" w:cs="Calibri"/>
          <w:sz w:val="18"/>
          <w:szCs w:val="18"/>
        </w:rPr>
        <w:t>, Communication No. 440/1990, (</w:t>
      </w:r>
      <w:hyperlink r:id="rId3" w:history="1">
        <w:r w:rsidRPr="0015604C">
          <w:rPr>
            <w:rStyle w:val="Hyperlink"/>
            <w:rFonts w:ascii="Calibri" w:hAnsi="Calibri" w:cs="Calibri"/>
            <w:sz w:val="18"/>
            <w:szCs w:val="18"/>
          </w:rPr>
          <w:t>CCPR/C/50/D/440/1990</w:t>
        </w:r>
      </w:hyperlink>
      <w:r w:rsidRPr="0015604C">
        <w:rPr>
          <w:rFonts w:ascii="Calibri" w:hAnsi="Calibri" w:cs="Calibri"/>
          <w:sz w:val="18"/>
          <w:szCs w:val="18"/>
        </w:rPr>
        <w:t xml:space="preserve">), 23 March 1994, para. 5.4; Human Rights Committee, General Comment 20 (2009), para.11; See also General Assembly resolution </w:t>
      </w:r>
      <w:hyperlink r:id="rId4" w:history="1">
        <w:r w:rsidRPr="0015604C">
          <w:rPr>
            <w:rStyle w:val="Hyperlink"/>
            <w:rFonts w:ascii="Calibri" w:hAnsi="Calibri" w:cs="Calibri"/>
            <w:sz w:val="18"/>
            <w:szCs w:val="18"/>
          </w:rPr>
          <w:t>68/156</w:t>
        </w:r>
      </w:hyperlink>
      <w:r w:rsidRPr="0015604C">
        <w:rPr>
          <w:rFonts w:ascii="Calibri" w:hAnsi="Calibri" w:cs="Calibri"/>
          <w:sz w:val="18"/>
          <w:szCs w:val="18"/>
        </w:rPr>
        <w:t xml:space="preserve">, para. </w:t>
      </w:r>
      <w:r w:rsidRPr="00A00BFC">
        <w:rPr>
          <w:rFonts w:ascii="Calibri" w:hAnsi="Calibri" w:cs="Calibri"/>
          <w:sz w:val="18"/>
          <w:szCs w:val="18"/>
          <w:lang w:val="es-ES_tradnl"/>
        </w:rPr>
        <w:t>27.</w:t>
      </w:r>
    </w:p>
  </w:footnote>
  <w:footnote w:id="13">
    <w:p w14:paraId="7ED017DA" w14:textId="4C1C2E5B" w:rsidR="005E35C6" w:rsidRPr="00A00BFC" w:rsidRDefault="005E35C6" w:rsidP="0015604C">
      <w:pPr>
        <w:pStyle w:val="FootnoteText"/>
        <w:adjustRightInd w:val="0"/>
        <w:snapToGrid w:val="0"/>
        <w:jc w:val="both"/>
        <w:rPr>
          <w:rFonts w:ascii="Calibri" w:hAnsi="Calibri" w:cs="Calibri"/>
          <w:sz w:val="18"/>
          <w:szCs w:val="18"/>
          <w:lang w:val="es-ES_tradnl"/>
        </w:rPr>
      </w:pPr>
      <w:r w:rsidRPr="0015604C">
        <w:rPr>
          <w:rStyle w:val="FootnoteReference"/>
          <w:rFonts w:ascii="Calibri" w:hAnsi="Calibri" w:cs="Calibri"/>
          <w:sz w:val="18"/>
          <w:szCs w:val="18"/>
        </w:rPr>
        <w:footnoteRef/>
      </w:r>
      <w:r w:rsidRPr="00A00BFC">
        <w:rPr>
          <w:rFonts w:ascii="Calibri" w:hAnsi="Calibri" w:cs="Calibri"/>
          <w:sz w:val="18"/>
          <w:szCs w:val="18"/>
          <w:lang w:val="es-ES_tradnl"/>
        </w:rPr>
        <w:t xml:space="preserve"> </w:t>
      </w:r>
      <w:hyperlink r:id="rId5" w:history="1">
        <w:r w:rsidRPr="00A00BFC">
          <w:rPr>
            <w:rStyle w:val="Hyperlink"/>
            <w:rFonts w:ascii="Calibri" w:hAnsi="Calibri" w:cs="Calibri"/>
            <w:sz w:val="18"/>
            <w:szCs w:val="18"/>
            <w:lang w:val="es-ES_tradnl"/>
          </w:rPr>
          <w:t>A/HRC/13/42</w:t>
        </w:r>
      </w:hyperlink>
      <w:r w:rsidRPr="00A00BFC">
        <w:rPr>
          <w:rFonts w:ascii="Calibri" w:hAnsi="Calibri" w:cs="Calibri"/>
          <w:sz w:val="18"/>
          <w:szCs w:val="18"/>
          <w:lang w:val="es-ES_tradnl"/>
        </w:rPr>
        <w:t>, para. 28.</w:t>
      </w:r>
    </w:p>
  </w:footnote>
  <w:footnote w:id="14">
    <w:p w14:paraId="18DB8C33" w14:textId="77777777" w:rsidR="008C1E41" w:rsidRPr="0015604C" w:rsidRDefault="008C1E41" w:rsidP="0015604C">
      <w:pPr>
        <w:pStyle w:val="FootnoteText"/>
        <w:adjustRightInd w:val="0"/>
        <w:snapToGrid w:val="0"/>
        <w:jc w:val="both"/>
        <w:rPr>
          <w:rFonts w:ascii="Calibri" w:hAnsi="Calibri" w:cs="Calibri"/>
          <w:sz w:val="18"/>
          <w:szCs w:val="18"/>
          <w:lang w:val="es-ES"/>
        </w:rPr>
      </w:pPr>
      <w:r w:rsidRPr="0015604C">
        <w:rPr>
          <w:rStyle w:val="FootnoteReference"/>
          <w:rFonts w:ascii="Calibri" w:hAnsi="Calibri" w:cs="Calibri"/>
          <w:sz w:val="18"/>
          <w:szCs w:val="18"/>
        </w:rPr>
        <w:footnoteRef/>
      </w:r>
      <w:r w:rsidRPr="0015604C">
        <w:rPr>
          <w:rFonts w:ascii="Calibri" w:hAnsi="Calibri" w:cs="Calibri"/>
          <w:sz w:val="18"/>
          <w:szCs w:val="18"/>
          <w:lang w:val="es-ES_tradnl"/>
        </w:rPr>
        <w:t xml:space="preserve"> CAT, Observaciones finales sobre el tercer informe periódico de Cuba. CAT/C/CUB/CO/3. 9 de junio de 2022, párr. </w:t>
      </w:r>
      <w:r w:rsidRPr="0015604C">
        <w:rPr>
          <w:rFonts w:ascii="Calibri" w:hAnsi="Calibri" w:cs="Calibri"/>
          <w:sz w:val="18"/>
          <w:szCs w:val="18"/>
          <w:lang w:val="es-ES"/>
        </w:rPr>
        <w:t>19.</w:t>
      </w:r>
    </w:p>
  </w:footnote>
  <w:footnote w:id="15">
    <w:p w14:paraId="399E3368" w14:textId="77777777" w:rsidR="008C1E41" w:rsidRPr="0015604C" w:rsidRDefault="008C1E41" w:rsidP="0015604C">
      <w:pPr>
        <w:pStyle w:val="FootnoteText"/>
        <w:adjustRightInd w:val="0"/>
        <w:snapToGrid w:val="0"/>
        <w:jc w:val="both"/>
        <w:rPr>
          <w:rFonts w:ascii="Calibri" w:hAnsi="Calibri" w:cs="Calibri"/>
          <w:sz w:val="18"/>
          <w:szCs w:val="18"/>
          <w:lang w:val="es-ES_tradnl"/>
        </w:rPr>
      </w:pPr>
      <w:r w:rsidRPr="0015604C">
        <w:rPr>
          <w:rStyle w:val="FootnoteReference"/>
          <w:rFonts w:ascii="Calibri" w:hAnsi="Calibri" w:cs="Calibri"/>
          <w:sz w:val="18"/>
          <w:szCs w:val="18"/>
        </w:rPr>
        <w:footnoteRef/>
      </w:r>
      <w:r w:rsidRPr="0015604C">
        <w:rPr>
          <w:rFonts w:ascii="Calibri" w:hAnsi="Calibri" w:cs="Calibri"/>
          <w:sz w:val="18"/>
          <w:szCs w:val="18"/>
          <w:lang w:val="es-ES_tradnl"/>
        </w:rPr>
        <w:t xml:space="preserve"> Cfr. CIDH, Informe anual 2024, Capítulo IV B Cuba, recomendación 13.</w:t>
      </w:r>
    </w:p>
  </w:footnote>
  <w:footnote w:id="16">
    <w:p w14:paraId="27EE6370" w14:textId="77777777" w:rsidR="00BB28FB" w:rsidRPr="0015604C" w:rsidRDefault="00BB28FB" w:rsidP="0015604C">
      <w:pPr>
        <w:pStyle w:val="FootnoteText"/>
        <w:adjustRightInd w:val="0"/>
        <w:snapToGrid w:val="0"/>
        <w:jc w:val="both"/>
        <w:rPr>
          <w:rFonts w:ascii="Calibri" w:hAnsi="Calibri" w:cs="Calibri"/>
          <w:sz w:val="18"/>
          <w:szCs w:val="18"/>
          <w:lang w:val="es-ES_tradnl"/>
        </w:rPr>
      </w:pPr>
      <w:r w:rsidRPr="0015604C">
        <w:rPr>
          <w:rStyle w:val="FootnoteReference"/>
          <w:rFonts w:ascii="Calibri" w:hAnsi="Calibri" w:cs="Calibri"/>
          <w:sz w:val="18"/>
          <w:szCs w:val="18"/>
        </w:rPr>
        <w:footnoteRef/>
      </w:r>
      <w:r w:rsidRPr="0015604C">
        <w:rPr>
          <w:rFonts w:ascii="Calibri" w:hAnsi="Calibri" w:cs="Calibri"/>
          <w:sz w:val="18"/>
          <w:szCs w:val="18"/>
          <w:lang w:val="es-ES_tradnl"/>
        </w:rPr>
        <w:t xml:space="preserve"> Cfr. CIDH, Informe anual 2024, Capítulo IV B Cuba, párr. 69.</w:t>
      </w:r>
    </w:p>
  </w:footnote>
  <w:footnote w:id="17">
    <w:p w14:paraId="7F6980B9" w14:textId="77777777" w:rsidR="00BB28FB" w:rsidRPr="0015604C" w:rsidRDefault="00BB28FB" w:rsidP="0015604C">
      <w:pPr>
        <w:pStyle w:val="FootnoteText"/>
        <w:adjustRightInd w:val="0"/>
        <w:snapToGrid w:val="0"/>
        <w:jc w:val="both"/>
        <w:rPr>
          <w:rFonts w:ascii="Calibri" w:hAnsi="Calibri" w:cs="Calibri"/>
          <w:sz w:val="18"/>
          <w:szCs w:val="18"/>
          <w:lang w:val="es-ES_tradnl"/>
        </w:rPr>
      </w:pPr>
      <w:r w:rsidRPr="0015604C">
        <w:rPr>
          <w:rStyle w:val="FootnoteReference"/>
          <w:rFonts w:ascii="Calibri" w:hAnsi="Calibri" w:cs="Calibri"/>
          <w:sz w:val="18"/>
          <w:szCs w:val="18"/>
        </w:rPr>
        <w:footnoteRef/>
      </w:r>
      <w:r w:rsidRPr="0015604C">
        <w:rPr>
          <w:rFonts w:ascii="Calibri" w:hAnsi="Calibri" w:cs="Calibri"/>
          <w:sz w:val="18"/>
          <w:szCs w:val="18"/>
          <w:lang w:val="es-ES_tradnl"/>
        </w:rPr>
        <w:t xml:space="preserve"> </w:t>
      </w:r>
      <w:r w:rsidRPr="0015604C">
        <w:rPr>
          <w:rFonts w:ascii="Calibri" w:hAnsi="Calibri" w:cs="Calibri"/>
          <w:sz w:val="18"/>
          <w:szCs w:val="18"/>
          <w:lang w:val="es-ES"/>
        </w:rPr>
        <w:t>CIDH, Informe anual 2023, Capítulo IV B Cuba, párr. 138.</w:t>
      </w:r>
    </w:p>
  </w:footnote>
  <w:footnote w:id="18">
    <w:p w14:paraId="0D7C2C86" w14:textId="77777777" w:rsidR="00BB28FB" w:rsidRPr="0015604C" w:rsidRDefault="00BB28FB" w:rsidP="0015604C">
      <w:pPr>
        <w:pStyle w:val="FootnoteText"/>
        <w:adjustRightInd w:val="0"/>
        <w:snapToGrid w:val="0"/>
        <w:jc w:val="both"/>
        <w:rPr>
          <w:rFonts w:ascii="Calibri" w:hAnsi="Calibri" w:cs="Calibri"/>
          <w:sz w:val="18"/>
          <w:szCs w:val="18"/>
          <w:lang w:val="es-ES_tradnl"/>
        </w:rPr>
      </w:pPr>
      <w:r w:rsidRPr="0015604C">
        <w:rPr>
          <w:rStyle w:val="FootnoteReference"/>
          <w:rFonts w:ascii="Calibri" w:hAnsi="Calibri" w:cs="Calibri"/>
          <w:sz w:val="18"/>
          <w:szCs w:val="18"/>
        </w:rPr>
        <w:footnoteRef/>
      </w:r>
      <w:r w:rsidRPr="0015604C">
        <w:rPr>
          <w:rFonts w:ascii="Calibri" w:hAnsi="Calibri" w:cs="Calibri"/>
          <w:sz w:val="18"/>
          <w:szCs w:val="18"/>
          <w:lang w:val="es-ES_tradnl"/>
        </w:rPr>
        <w:t xml:space="preserve"> </w:t>
      </w:r>
      <w:r w:rsidRPr="0015604C">
        <w:rPr>
          <w:rFonts w:ascii="Calibri" w:hAnsi="Calibri" w:cs="Calibri"/>
          <w:sz w:val="18"/>
          <w:szCs w:val="18"/>
          <w:lang w:val="es-ES"/>
        </w:rPr>
        <w:t>CIDH, Audiencia pública: “Nuevos patrones de persecución a personas defensoras de derechos humanos y la situación de las mujeres defensoras en Cuba”, 25 de junio de 2021.</w:t>
      </w:r>
    </w:p>
  </w:footnote>
  <w:footnote w:id="19">
    <w:p w14:paraId="6FC4D922" w14:textId="77777777" w:rsidR="00BB28FB" w:rsidRPr="0015604C" w:rsidRDefault="00BB28FB" w:rsidP="0015604C">
      <w:pPr>
        <w:pStyle w:val="FootnoteText"/>
        <w:adjustRightInd w:val="0"/>
        <w:snapToGrid w:val="0"/>
        <w:jc w:val="both"/>
        <w:rPr>
          <w:rFonts w:ascii="Calibri" w:hAnsi="Calibri" w:cs="Calibri"/>
          <w:sz w:val="18"/>
          <w:szCs w:val="18"/>
          <w:lang w:val="es-ES_tradnl"/>
        </w:rPr>
      </w:pPr>
      <w:r w:rsidRPr="0015604C">
        <w:rPr>
          <w:rStyle w:val="FootnoteReference"/>
          <w:rFonts w:ascii="Calibri" w:hAnsi="Calibri" w:cs="Calibri"/>
          <w:sz w:val="18"/>
          <w:szCs w:val="18"/>
        </w:rPr>
        <w:footnoteRef/>
      </w:r>
      <w:r w:rsidRPr="0015604C">
        <w:rPr>
          <w:rFonts w:ascii="Calibri" w:hAnsi="Calibri" w:cs="Calibri"/>
          <w:sz w:val="18"/>
          <w:szCs w:val="18"/>
          <w:lang w:val="es-ES_tradnl"/>
        </w:rPr>
        <w:t xml:space="preserve"> SPT, Prevención de la tortura y los malos tratos contra mujeres privadas de libertad, CAT/OP/27/1, párr. 31.</w:t>
      </w:r>
    </w:p>
  </w:footnote>
  <w:footnote w:id="20">
    <w:p w14:paraId="6DCADFFD" w14:textId="77777777" w:rsidR="00BB28FB" w:rsidRPr="0015604C" w:rsidRDefault="00BB28FB" w:rsidP="0015604C">
      <w:pPr>
        <w:pStyle w:val="FootnoteText"/>
        <w:adjustRightInd w:val="0"/>
        <w:snapToGrid w:val="0"/>
        <w:jc w:val="both"/>
        <w:rPr>
          <w:rFonts w:ascii="Calibri" w:hAnsi="Calibri" w:cs="Calibri"/>
          <w:sz w:val="18"/>
          <w:szCs w:val="18"/>
          <w:lang w:val="es-ES"/>
        </w:rPr>
      </w:pPr>
      <w:r w:rsidRPr="0015604C">
        <w:rPr>
          <w:rStyle w:val="FootnoteReference"/>
          <w:rFonts w:ascii="Calibri" w:hAnsi="Calibri" w:cs="Calibri"/>
          <w:sz w:val="18"/>
          <w:szCs w:val="18"/>
        </w:rPr>
        <w:footnoteRef/>
      </w:r>
      <w:r w:rsidRPr="0015604C">
        <w:rPr>
          <w:rFonts w:ascii="Calibri" w:hAnsi="Calibri" w:cs="Calibri"/>
          <w:sz w:val="18"/>
          <w:szCs w:val="18"/>
          <w:lang w:val="es-ES_tradnl"/>
        </w:rPr>
        <w:t xml:space="preserve"> </w:t>
      </w:r>
      <w:r w:rsidRPr="0015604C">
        <w:rPr>
          <w:rFonts w:ascii="Calibri" w:hAnsi="Calibri" w:cs="Calibri"/>
          <w:sz w:val="18"/>
          <w:szCs w:val="18"/>
          <w:lang w:val="es-ES"/>
        </w:rPr>
        <w:t>CIDH, Políticas integrales de protección de personas defensoras, pág. 88</w:t>
      </w:r>
    </w:p>
  </w:footnote>
  <w:footnote w:id="21">
    <w:p w14:paraId="1AFFE9AB" w14:textId="77777777" w:rsidR="00BB28FB" w:rsidRPr="0015604C" w:rsidRDefault="00BB28FB" w:rsidP="0015604C">
      <w:pPr>
        <w:pStyle w:val="FootnoteText"/>
        <w:adjustRightInd w:val="0"/>
        <w:snapToGrid w:val="0"/>
        <w:jc w:val="both"/>
        <w:rPr>
          <w:rFonts w:ascii="Calibri" w:hAnsi="Calibri" w:cs="Calibri"/>
          <w:sz w:val="18"/>
          <w:szCs w:val="18"/>
          <w:lang w:val="es-AR"/>
        </w:rPr>
      </w:pPr>
      <w:r w:rsidRPr="0015604C">
        <w:rPr>
          <w:rStyle w:val="FootnoteReference"/>
          <w:rFonts w:ascii="Calibri" w:hAnsi="Calibri" w:cs="Calibri"/>
          <w:sz w:val="18"/>
          <w:szCs w:val="18"/>
        </w:rPr>
        <w:footnoteRef/>
      </w:r>
      <w:r w:rsidRPr="0015604C">
        <w:rPr>
          <w:rFonts w:ascii="Calibri" w:hAnsi="Calibri" w:cs="Calibri"/>
          <w:sz w:val="18"/>
          <w:szCs w:val="18"/>
          <w:lang w:val="es-ES_tradnl"/>
        </w:rPr>
        <w:t xml:space="preserve"> </w:t>
      </w:r>
      <w:r w:rsidRPr="0015604C">
        <w:rPr>
          <w:rFonts w:ascii="Calibri" w:hAnsi="Calibri" w:cs="Calibri"/>
          <w:sz w:val="18"/>
          <w:szCs w:val="18"/>
          <w:lang w:val="es-ES"/>
        </w:rPr>
        <w:t>CIDH. Medida cautelar No. 264-13, resolución 06/2013. Damas de Blanco respecto de Cuba. 28 de octubre de 2013.</w:t>
      </w:r>
    </w:p>
  </w:footnote>
  <w:footnote w:id="22">
    <w:p w14:paraId="66B4093B" w14:textId="77777777" w:rsidR="00BB28FB" w:rsidRPr="0015604C" w:rsidRDefault="00BB28FB" w:rsidP="0015604C">
      <w:pPr>
        <w:pStyle w:val="FootnoteText"/>
        <w:adjustRightInd w:val="0"/>
        <w:snapToGrid w:val="0"/>
        <w:jc w:val="both"/>
        <w:rPr>
          <w:rFonts w:ascii="Calibri" w:hAnsi="Calibri" w:cs="Calibri"/>
          <w:sz w:val="18"/>
          <w:szCs w:val="18"/>
          <w:lang w:val="es-ES"/>
        </w:rPr>
      </w:pPr>
      <w:r w:rsidRPr="0015604C">
        <w:rPr>
          <w:rStyle w:val="FootnoteReference"/>
          <w:rFonts w:ascii="Calibri" w:hAnsi="Calibri" w:cs="Calibri"/>
          <w:sz w:val="18"/>
          <w:szCs w:val="18"/>
        </w:rPr>
        <w:footnoteRef/>
      </w:r>
      <w:r w:rsidRPr="0015604C">
        <w:rPr>
          <w:rFonts w:ascii="Calibri" w:hAnsi="Calibri" w:cs="Calibri"/>
          <w:sz w:val="18"/>
          <w:szCs w:val="18"/>
          <w:lang w:val="es-ES"/>
        </w:rPr>
        <w:t xml:space="preserve"> Cfr. CIDH, Informe Anual 2008, párr. 233.</w:t>
      </w:r>
    </w:p>
  </w:footnote>
  <w:footnote w:id="23">
    <w:p w14:paraId="23D2FA8C" w14:textId="77777777" w:rsidR="00BB28FB" w:rsidRPr="0015604C" w:rsidRDefault="00BB28FB" w:rsidP="0015604C">
      <w:pPr>
        <w:pStyle w:val="FootnoteText"/>
        <w:adjustRightInd w:val="0"/>
        <w:snapToGrid w:val="0"/>
        <w:jc w:val="both"/>
        <w:rPr>
          <w:rFonts w:ascii="Calibri" w:hAnsi="Calibri" w:cs="Calibri"/>
          <w:sz w:val="18"/>
          <w:szCs w:val="18"/>
          <w:lang w:val="es-ES"/>
        </w:rPr>
      </w:pPr>
      <w:r w:rsidRPr="0015604C">
        <w:rPr>
          <w:rStyle w:val="FootnoteReference"/>
          <w:rFonts w:ascii="Calibri" w:hAnsi="Calibri" w:cs="Calibri"/>
          <w:sz w:val="18"/>
          <w:szCs w:val="18"/>
        </w:rPr>
        <w:footnoteRef/>
      </w:r>
      <w:r w:rsidRPr="0015604C">
        <w:rPr>
          <w:rFonts w:ascii="Calibri" w:hAnsi="Calibri" w:cs="Calibri"/>
          <w:sz w:val="18"/>
          <w:szCs w:val="18"/>
          <w:lang w:val="es-ES"/>
        </w:rPr>
        <w:t xml:space="preserve"> </w:t>
      </w:r>
      <w:hyperlink r:id="rId6" w:history="1">
        <w:r w:rsidRPr="0015604C">
          <w:rPr>
            <w:rStyle w:val="Hyperlink"/>
            <w:rFonts w:ascii="Calibri" w:hAnsi="Calibri" w:cs="Calibri"/>
            <w:sz w:val="18"/>
            <w:szCs w:val="18"/>
            <w:lang w:val="es-ES"/>
          </w:rPr>
          <w:t>Nota 155/12,</w:t>
        </w:r>
      </w:hyperlink>
      <w:r w:rsidRPr="0015604C">
        <w:rPr>
          <w:rFonts w:ascii="Calibri" w:hAnsi="Calibri" w:cs="Calibri"/>
          <w:sz w:val="18"/>
          <w:szCs w:val="18"/>
          <w:lang w:val="es-ES"/>
        </w:rPr>
        <w:t xml:space="preserve"> del 26 de marzo de 2012. </w:t>
      </w:r>
    </w:p>
  </w:footnote>
  <w:footnote w:id="24">
    <w:p w14:paraId="6FE285BA" w14:textId="77777777" w:rsidR="00BB28FB" w:rsidRPr="0015604C" w:rsidRDefault="00BB28FB" w:rsidP="0015604C">
      <w:pPr>
        <w:pStyle w:val="FootnoteText"/>
        <w:adjustRightInd w:val="0"/>
        <w:snapToGrid w:val="0"/>
        <w:jc w:val="both"/>
        <w:rPr>
          <w:rFonts w:ascii="Calibri" w:hAnsi="Calibri" w:cs="Calibri"/>
          <w:sz w:val="18"/>
          <w:szCs w:val="18"/>
          <w:lang w:val="es-ES"/>
        </w:rPr>
      </w:pPr>
      <w:r w:rsidRPr="0015604C">
        <w:rPr>
          <w:rStyle w:val="FootnoteReference"/>
          <w:rFonts w:ascii="Calibri" w:hAnsi="Calibri" w:cs="Calibri"/>
          <w:sz w:val="18"/>
          <w:szCs w:val="18"/>
        </w:rPr>
        <w:footnoteRef/>
      </w:r>
      <w:r w:rsidRPr="0015604C">
        <w:rPr>
          <w:rFonts w:ascii="Calibri" w:hAnsi="Calibri" w:cs="Calibri"/>
          <w:sz w:val="18"/>
          <w:szCs w:val="18"/>
          <w:lang w:val="es-ES"/>
        </w:rPr>
        <w:t xml:space="preserve"> Corte IDH. Caso Mujeres </w:t>
      </w:r>
      <w:proofErr w:type="spellStart"/>
      <w:r w:rsidRPr="0015604C">
        <w:rPr>
          <w:rFonts w:ascii="Calibri" w:hAnsi="Calibri" w:cs="Calibri"/>
          <w:sz w:val="18"/>
          <w:szCs w:val="18"/>
          <w:lang w:val="es-ES"/>
        </w:rPr>
        <w:t>Víctimas</w:t>
      </w:r>
      <w:proofErr w:type="spellEnd"/>
      <w:r w:rsidRPr="0015604C">
        <w:rPr>
          <w:rFonts w:ascii="Calibri" w:hAnsi="Calibri" w:cs="Calibri"/>
          <w:sz w:val="18"/>
          <w:szCs w:val="18"/>
          <w:lang w:val="es-ES"/>
        </w:rPr>
        <w:t xml:space="preserve"> de Tortura Sexual en Atenco Vs. </w:t>
      </w:r>
      <w:proofErr w:type="spellStart"/>
      <w:r w:rsidRPr="0015604C">
        <w:rPr>
          <w:rFonts w:ascii="Calibri" w:hAnsi="Calibri" w:cs="Calibri"/>
          <w:sz w:val="18"/>
          <w:szCs w:val="18"/>
          <w:lang w:val="es-ES"/>
        </w:rPr>
        <w:t>México</w:t>
      </w:r>
      <w:proofErr w:type="spellEnd"/>
      <w:r w:rsidRPr="0015604C">
        <w:rPr>
          <w:rFonts w:ascii="Calibri" w:hAnsi="Calibri" w:cs="Calibri"/>
          <w:sz w:val="18"/>
          <w:szCs w:val="18"/>
          <w:lang w:val="es-ES"/>
        </w:rPr>
        <w:t>. Sentencia de 28 de noviembre de 2018.</w:t>
      </w:r>
    </w:p>
  </w:footnote>
  <w:footnote w:id="25">
    <w:p w14:paraId="25068F3A" w14:textId="77777777" w:rsidR="005E35C6" w:rsidRPr="0015604C" w:rsidRDefault="005E35C6" w:rsidP="0015604C">
      <w:pPr>
        <w:pBdr>
          <w:top w:val="nil"/>
          <w:left w:val="nil"/>
          <w:bottom w:val="nil"/>
          <w:right w:val="nil"/>
          <w:between w:val="nil"/>
        </w:pBdr>
        <w:adjustRightInd w:val="0"/>
        <w:snapToGrid w:val="0"/>
        <w:spacing w:after="0" w:line="240" w:lineRule="auto"/>
        <w:jc w:val="both"/>
        <w:rPr>
          <w:rFonts w:ascii="Calibri" w:eastAsia="Calibri" w:hAnsi="Calibri" w:cs="Calibri"/>
          <w:color w:val="000000"/>
          <w:sz w:val="18"/>
          <w:szCs w:val="18"/>
          <w:lang w:val="es-ES_tradnl"/>
        </w:rPr>
      </w:pPr>
      <w:r w:rsidRPr="0015604C">
        <w:rPr>
          <w:rFonts w:ascii="Calibri" w:hAnsi="Calibri" w:cs="Calibri"/>
          <w:sz w:val="18"/>
          <w:szCs w:val="18"/>
          <w:vertAlign w:val="superscript"/>
        </w:rPr>
        <w:footnoteRef/>
      </w:r>
      <w:r w:rsidRPr="0015604C">
        <w:rPr>
          <w:rFonts w:ascii="Calibri" w:eastAsia="Calibri" w:hAnsi="Calibri" w:cs="Calibri"/>
          <w:color w:val="000000"/>
          <w:sz w:val="18"/>
          <w:szCs w:val="18"/>
          <w:lang w:val="es-ES_tradnl"/>
        </w:rPr>
        <w:t xml:space="preserve"> Radio Martí, Régimen cubano impide entrada al país a la Dama de Blanco Leticia Ramos. 9 de febrero de 2026. Disponible en: </w:t>
      </w:r>
      <w:hyperlink r:id="rId7">
        <w:r w:rsidRPr="0015604C">
          <w:rPr>
            <w:rFonts w:ascii="Calibri" w:eastAsia="Calibri" w:hAnsi="Calibri" w:cs="Calibri"/>
            <w:color w:val="467886"/>
            <w:sz w:val="18"/>
            <w:szCs w:val="18"/>
            <w:u w:val="single"/>
            <w:lang w:val="es-ES_tradnl"/>
          </w:rPr>
          <w:t>https://www.martinoticias.com/a/regimen-cubano-impide-entrada-a-la-dama-de-blanco-leticia-r</w:t>
        </w:r>
      </w:hyperlink>
      <w:hyperlink r:id="rId8">
        <w:r w:rsidRPr="0015604C">
          <w:rPr>
            <w:rFonts w:ascii="Calibri" w:eastAsia="Calibri" w:hAnsi="Calibri" w:cs="Calibri"/>
            <w:color w:val="467886"/>
            <w:sz w:val="18"/>
            <w:szCs w:val="18"/>
            <w:u w:val="single"/>
            <w:lang w:val="es-ES_tradnl"/>
          </w:rPr>
          <w:t xml:space="preserve">Así, el Estado cubano continúa criminalizando a las integrantes de Damas de Blanco, repitiendo patrones sistemáticos y generalizados de represión, como los que se detallaron en la solicitud de estas medidas cautelares y en la petición </w:t>
        </w:r>
        <w:proofErr w:type="spellStart"/>
        <w:r w:rsidRPr="0015604C">
          <w:rPr>
            <w:rFonts w:ascii="Calibri" w:eastAsia="Calibri" w:hAnsi="Calibri" w:cs="Calibri"/>
            <w:color w:val="467886"/>
            <w:sz w:val="18"/>
            <w:szCs w:val="18"/>
            <w:u w:val="single"/>
            <w:lang w:val="es-ES_tradnl"/>
          </w:rPr>
          <w:t>inicial.</w:t>
        </w:r>
      </w:hyperlink>
      <w:hyperlink r:id="rId9">
        <w:r w:rsidRPr="0015604C">
          <w:rPr>
            <w:rFonts w:ascii="Calibri" w:eastAsia="Calibri" w:hAnsi="Calibri" w:cs="Calibri"/>
            <w:color w:val="467886"/>
            <w:sz w:val="18"/>
            <w:szCs w:val="18"/>
            <w:u w:val="single"/>
            <w:lang w:val="es-ES_tradnl"/>
          </w:rPr>
          <w:t>amos</w:t>
        </w:r>
        <w:proofErr w:type="spellEnd"/>
        <w:r w:rsidRPr="0015604C">
          <w:rPr>
            <w:rFonts w:ascii="Calibri" w:eastAsia="Calibri" w:hAnsi="Calibri" w:cs="Calibri"/>
            <w:color w:val="467886"/>
            <w:sz w:val="18"/>
            <w:szCs w:val="18"/>
            <w:u w:val="single"/>
            <w:lang w:val="es-ES_tradnl"/>
          </w:rPr>
          <w:t>/447892.html</w:t>
        </w:r>
      </w:hyperlink>
      <w:r w:rsidRPr="0015604C">
        <w:rPr>
          <w:rFonts w:ascii="Calibri" w:eastAsia="Calibri" w:hAnsi="Calibri" w:cs="Calibri"/>
          <w:color w:val="000000"/>
          <w:sz w:val="18"/>
          <w:szCs w:val="18"/>
          <w:lang w:val="es-ES_tradnl"/>
        </w:rPr>
        <w:t xml:space="preserve"> </w:t>
      </w:r>
    </w:p>
  </w:footnote>
  <w:footnote w:id="26">
    <w:p w14:paraId="2973D1EB" w14:textId="2E0AEC8E" w:rsidR="00F77E53" w:rsidRPr="0015604C" w:rsidRDefault="00F77E53" w:rsidP="0015604C">
      <w:pPr>
        <w:pStyle w:val="FootnoteText"/>
        <w:adjustRightInd w:val="0"/>
        <w:snapToGrid w:val="0"/>
        <w:jc w:val="both"/>
        <w:rPr>
          <w:rFonts w:ascii="Calibri" w:hAnsi="Calibri" w:cs="Calibri"/>
          <w:sz w:val="18"/>
          <w:szCs w:val="18"/>
          <w:lang w:val="es-ES_tradnl"/>
        </w:rPr>
      </w:pPr>
      <w:r w:rsidRPr="0015604C">
        <w:rPr>
          <w:rStyle w:val="FootnoteReference"/>
          <w:rFonts w:ascii="Calibri" w:hAnsi="Calibri" w:cs="Calibri"/>
          <w:sz w:val="18"/>
          <w:szCs w:val="18"/>
        </w:rPr>
        <w:footnoteRef/>
      </w:r>
      <w:r w:rsidRPr="0015604C">
        <w:rPr>
          <w:rFonts w:ascii="Calibri" w:hAnsi="Calibri" w:cs="Calibri"/>
          <w:sz w:val="18"/>
          <w:szCs w:val="18"/>
          <w:lang w:val="es-ES_tradnl"/>
        </w:rPr>
        <w:t xml:space="preserve"> CED, Observaciones finales sobre el informe presentado por Cuba en virtud del artículo 29, párrafo </w:t>
      </w:r>
      <w:proofErr w:type="gramStart"/>
      <w:r w:rsidRPr="0015604C">
        <w:rPr>
          <w:rFonts w:ascii="Calibri" w:hAnsi="Calibri" w:cs="Calibri"/>
          <w:sz w:val="18"/>
          <w:szCs w:val="18"/>
          <w:lang w:val="es-ES_tradnl"/>
        </w:rPr>
        <w:t>1,  de</w:t>
      </w:r>
      <w:proofErr w:type="gramEnd"/>
      <w:r w:rsidRPr="0015604C">
        <w:rPr>
          <w:rFonts w:ascii="Calibri" w:hAnsi="Calibri" w:cs="Calibri"/>
          <w:sz w:val="18"/>
          <w:szCs w:val="18"/>
          <w:lang w:val="es-ES_tradnl"/>
        </w:rPr>
        <w:t xml:space="preserve"> la Convención. CED/C/CUB/CO/1. 19 de abril de 2017, párr. 12.b).</w:t>
      </w:r>
    </w:p>
  </w:footnote>
  <w:footnote w:id="27">
    <w:p w14:paraId="0A21FBE0" w14:textId="7B1AC2E1" w:rsidR="00F77E53" w:rsidRPr="0015604C" w:rsidRDefault="00F77E53" w:rsidP="0015604C">
      <w:pPr>
        <w:pStyle w:val="FootnoteText"/>
        <w:adjustRightInd w:val="0"/>
        <w:snapToGrid w:val="0"/>
        <w:jc w:val="both"/>
        <w:rPr>
          <w:rFonts w:ascii="Calibri" w:hAnsi="Calibri" w:cs="Calibri"/>
          <w:sz w:val="18"/>
          <w:szCs w:val="18"/>
          <w:lang w:val="es-ES_tradnl"/>
        </w:rPr>
      </w:pPr>
      <w:r w:rsidRPr="0015604C">
        <w:rPr>
          <w:rStyle w:val="FootnoteReference"/>
          <w:rFonts w:ascii="Calibri" w:hAnsi="Calibri" w:cs="Calibri"/>
          <w:sz w:val="18"/>
          <w:szCs w:val="18"/>
        </w:rPr>
        <w:footnoteRef/>
      </w:r>
      <w:r w:rsidRPr="0015604C">
        <w:rPr>
          <w:rFonts w:ascii="Calibri" w:hAnsi="Calibri" w:cs="Calibri"/>
          <w:sz w:val="18"/>
          <w:szCs w:val="18"/>
          <w:lang w:val="es-ES_tradnl"/>
        </w:rPr>
        <w:t xml:space="preserve"> CED, Información complementaria presentada por Cuba con arreglo al artículo 29, párrafo 4, de la Convención. CED/C/CUB/AI/1. 18 de septiembre de 2024, párr. 27. </w:t>
      </w:r>
    </w:p>
  </w:footnote>
  <w:footnote w:id="28">
    <w:p w14:paraId="64DEC7DD" w14:textId="77777777" w:rsidR="00F77E53" w:rsidRPr="0015604C" w:rsidRDefault="00F77E53" w:rsidP="0015604C">
      <w:pPr>
        <w:pStyle w:val="FootnoteText"/>
        <w:adjustRightInd w:val="0"/>
        <w:snapToGrid w:val="0"/>
        <w:jc w:val="both"/>
        <w:rPr>
          <w:rFonts w:ascii="Calibri" w:hAnsi="Calibri" w:cs="Calibri"/>
          <w:sz w:val="18"/>
          <w:szCs w:val="18"/>
          <w:lang w:val="es-ES_tradnl"/>
        </w:rPr>
      </w:pPr>
      <w:r w:rsidRPr="0015604C">
        <w:rPr>
          <w:rStyle w:val="FootnoteReference"/>
          <w:rFonts w:ascii="Calibri" w:hAnsi="Calibri" w:cs="Calibri"/>
          <w:sz w:val="18"/>
          <w:szCs w:val="18"/>
        </w:rPr>
        <w:footnoteRef/>
      </w:r>
      <w:r w:rsidRPr="0015604C">
        <w:rPr>
          <w:rFonts w:ascii="Calibri" w:hAnsi="Calibri" w:cs="Calibri"/>
          <w:sz w:val="18"/>
          <w:szCs w:val="18"/>
          <w:lang w:val="es-ES_tradnl"/>
        </w:rPr>
        <w:t xml:space="preserve"> CED, Información complementaria presentada por Cuba con arreglo al artículo 29, párrafo 4, de la Convención. CED/C/CUB/AI/1. 18 de septiembre de 2024, párr. 27. </w:t>
      </w:r>
    </w:p>
  </w:footnote>
  <w:footnote w:id="29">
    <w:p w14:paraId="5378460B" w14:textId="0797E66A" w:rsidR="00F77E53" w:rsidRPr="0015604C" w:rsidRDefault="00F77E53" w:rsidP="0015604C">
      <w:pPr>
        <w:pStyle w:val="FootnoteText"/>
        <w:adjustRightInd w:val="0"/>
        <w:snapToGrid w:val="0"/>
        <w:jc w:val="both"/>
        <w:rPr>
          <w:rFonts w:ascii="Calibri" w:hAnsi="Calibri" w:cs="Calibri"/>
          <w:sz w:val="18"/>
          <w:szCs w:val="18"/>
          <w:lang w:val="es-ES_tradnl"/>
        </w:rPr>
      </w:pPr>
      <w:r w:rsidRPr="0015604C">
        <w:rPr>
          <w:rStyle w:val="FootnoteReference"/>
          <w:rFonts w:ascii="Calibri" w:hAnsi="Calibri" w:cs="Calibri"/>
          <w:sz w:val="18"/>
          <w:szCs w:val="18"/>
        </w:rPr>
        <w:footnoteRef/>
      </w:r>
      <w:r w:rsidRPr="0015604C">
        <w:rPr>
          <w:rFonts w:ascii="Calibri" w:hAnsi="Calibri" w:cs="Calibri"/>
          <w:sz w:val="18"/>
          <w:szCs w:val="18"/>
          <w:lang w:val="es-ES_tradnl"/>
        </w:rPr>
        <w:t xml:space="preserve"> CED, Observaciones finales sobre el informe presentado por Cuba en virtud del artículo 29, párrafo </w:t>
      </w:r>
      <w:proofErr w:type="gramStart"/>
      <w:r w:rsidRPr="0015604C">
        <w:rPr>
          <w:rFonts w:ascii="Calibri" w:hAnsi="Calibri" w:cs="Calibri"/>
          <w:sz w:val="18"/>
          <w:szCs w:val="18"/>
          <w:lang w:val="es-ES_tradnl"/>
        </w:rPr>
        <w:t>1,  de</w:t>
      </w:r>
      <w:proofErr w:type="gramEnd"/>
      <w:r w:rsidRPr="0015604C">
        <w:rPr>
          <w:rFonts w:ascii="Calibri" w:hAnsi="Calibri" w:cs="Calibri"/>
          <w:sz w:val="18"/>
          <w:szCs w:val="18"/>
          <w:lang w:val="es-ES_tradnl"/>
        </w:rPr>
        <w:t xml:space="preserve"> la Convención. CED/C/CUB/CO/1. 19 de abril de 2017, párr. 16.</w:t>
      </w:r>
    </w:p>
  </w:footnote>
  <w:footnote w:id="30">
    <w:p w14:paraId="7BEC3D77" w14:textId="6281DCFD" w:rsidR="00F77E53" w:rsidRPr="0015604C" w:rsidRDefault="00F77E53" w:rsidP="0015604C">
      <w:pPr>
        <w:pStyle w:val="FootnoteText"/>
        <w:adjustRightInd w:val="0"/>
        <w:snapToGrid w:val="0"/>
        <w:jc w:val="both"/>
        <w:rPr>
          <w:rFonts w:ascii="Calibri" w:hAnsi="Calibri" w:cs="Calibri"/>
          <w:sz w:val="18"/>
          <w:szCs w:val="18"/>
          <w:lang w:val="es-ES_tradnl"/>
        </w:rPr>
      </w:pPr>
      <w:r w:rsidRPr="0015604C">
        <w:rPr>
          <w:rStyle w:val="FootnoteReference"/>
          <w:rFonts w:ascii="Calibri" w:hAnsi="Calibri" w:cs="Calibri"/>
          <w:sz w:val="18"/>
          <w:szCs w:val="18"/>
        </w:rPr>
        <w:footnoteRef/>
      </w:r>
      <w:r w:rsidRPr="0015604C">
        <w:rPr>
          <w:rFonts w:ascii="Calibri" w:hAnsi="Calibri" w:cs="Calibri"/>
          <w:sz w:val="18"/>
          <w:szCs w:val="18"/>
          <w:lang w:val="es-ES_tradnl"/>
        </w:rPr>
        <w:t xml:space="preserve"> CED, Información complementaria presentada por Cuba con arreglo al artículo 29, párrafo 4, de la Convención. CED/C/CUB/AI/1. 18 de septiembre de 2024, </w:t>
      </w:r>
      <w:proofErr w:type="spellStart"/>
      <w:r w:rsidRPr="0015604C">
        <w:rPr>
          <w:rFonts w:ascii="Calibri" w:hAnsi="Calibri" w:cs="Calibri"/>
          <w:sz w:val="18"/>
          <w:szCs w:val="18"/>
          <w:lang w:val="es-ES_tradnl"/>
        </w:rPr>
        <w:t>párrs</w:t>
      </w:r>
      <w:proofErr w:type="spellEnd"/>
      <w:r w:rsidRPr="0015604C">
        <w:rPr>
          <w:rFonts w:ascii="Calibri" w:hAnsi="Calibri" w:cs="Calibri"/>
          <w:sz w:val="18"/>
          <w:szCs w:val="18"/>
          <w:lang w:val="es-ES_tradnl"/>
        </w:rPr>
        <w:t xml:space="preserve">. 46 y 47. </w:t>
      </w:r>
    </w:p>
  </w:footnote>
  <w:footnote w:id="31">
    <w:p w14:paraId="16FC50A7" w14:textId="2F2C25F6" w:rsidR="000B090F" w:rsidRPr="0015604C" w:rsidRDefault="000B090F" w:rsidP="0015604C">
      <w:pPr>
        <w:pStyle w:val="FootnoteText"/>
        <w:adjustRightInd w:val="0"/>
        <w:snapToGrid w:val="0"/>
        <w:jc w:val="both"/>
        <w:rPr>
          <w:rFonts w:ascii="Calibri" w:hAnsi="Calibri" w:cs="Calibri"/>
          <w:sz w:val="18"/>
          <w:szCs w:val="18"/>
          <w:lang w:val="es-ES_tradnl"/>
        </w:rPr>
      </w:pPr>
      <w:r w:rsidRPr="0015604C">
        <w:rPr>
          <w:rStyle w:val="FootnoteReference"/>
          <w:rFonts w:ascii="Calibri" w:hAnsi="Calibri" w:cs="Calibri"/>
          <w:sz w:val="18"/>
          <w:szCs w:val="18"/>
        </w:rPr>
        <w:footnoteRef/>
      </w:r>
      <w:r w:rsidRPr="0015604C">
        <w:rPr>
          <w:rFonts w:ascii="Calibri" w:hAnsi="Calibri" w:cs="Calibri"/>
          <w:sz w:val="18"/>
          <w:szCs w:val="18"/>
          <w:lang w:val="es-ES_tradnl"/>
        </w:rPr>
        <w:t xml:space="preserve"> CED, Observaciones finales sobre el informe presentado por Cuba en virtud del artículo 29, párrafo </w:t>
      </w:r>
      <w:proofErr w:type="gramStart"/>
      <w:r w:rsidRPr="0015604C">
        <w:rPr>
          <w:rFonts w:ascii="Calibri" w:hAnsi="Calibri" w:cs="Calibri"/>
          <w:sz w:val="18"/>
          <w:szCs w:val="18"/>
          <w:lang w:val="es-ES_tradnl"/>
        </w:rPr>
        <w:t>1,  de</w:t>
      </w:r>
      <w:proofErr w:type="gramEnd"/>
      <w:r w:rsidRPr="0015604C">
        <w:rPr>
          <w:rFonts w:ascii="Calibri" w:hAnsi="Calibri" w:cs="Calibri"/>
          <w:sz w:val="18"/>
          <w:szCs w:val="18"/>
          <w:lang w:val="es-ES_tradnl"/>
        </w:rPr>
        <w:t xml:space="preserve"> la Convención. CED/C/CUB/CO/1. 19 de abril de 2017, párr. 17.</w:t>
      </w:r>
    </w:p>
  </w:footnote>
  <w:footnote w:id="32">
    <w:p w14:paraId="7F6E45B3" w14:textId="55BFCF96" w:rsidR="000B090F" w:rsidRPr="0015604C" w:rsidRDefault="000B090F" w:rsidP="0015604C">
      <w:pPr>
        <w:pStyle w:val="FootnoteText"/>
        <w:adjustRightInd w:val="0"/>
        <w:snapToGrid w:val="0"/>
        <w:jc w:val="both"/>
        <w:rPr>
          <w:rFonts w:ascii="Calibri" w:hAnsi="Calibri" w:cs="Calibri"/>
          <w:sz w:val="18"/>
          <w:szCs w:val="18"/>
          <w:lang w:val="es-ES_tradnl"/>
        </w:rPr>
      </w:pPr>
      <w:r w:rsidRPr="0015604C">
        <w:rPr>
          <w:rStyle w:val="FootnoteReference"/>
          <w:rFonts w:ascii="Calibri" w:hAnsi="Calibri" w:cs="Calibri"/>
          <w:sz w:val="18"/>
          <w:szCs w:val="18"/>
        </w:rPr>
        <w:footnoteRef/>
      </w:r>
      <w:r w:rsidRPr="0015604C">
        <w:rPr>
          <w:rFonts w:ascii="Calibri" w:hAnsi="Calibri" w:cs="Calibri"/>
          <w:sz w:val="18"/>
          <w:szCs w:val="18"/>
          <w:lang w:val="es-ES_tradnl"/>
        </w:rPr>
        <w:t xml:space="preserve"> CIDH, Informe anual 2025, Capítulo IV B Cuba, párr. 19.</w:t>
      </w:r>
    </w:p>
  </w:footnote>
  <w:footnote w:id="33">
    <w:p w14:paraId="224F7A3B" w14:textId="6FA7D7BE" w:rsidR="00BF501D" w:rsidRPr="0015604C" w:rsidRDefault="00BF501D" w:rsidP="0015604C">
      <w:pPr>
        <w:pStyle w:val="FootnoteText"/>
        <w:adjustRightInd w:val="0"/>
        <w:snapToGrid w:val="0"/>
        <w:jc w:val="both"/>
        <w:rPr>
          <w:rFonts w:ascii="Calibri" w:hAnsi="Calibri" w:cs="Calibri"/>
          <w:sz w:val="18"/>
          <w:szCs w:val="18"/>
          <w:lang w:val="es-ES_tradnl"/>
        </w:rPr>
      </w:pPr>
      <w:r w:rsidRPr="0015604C">
        <w:rPr>
          <w:rStyle w:val="FootnoteReference"/>
          <w:rFonts w:ascii="Calibri" w:hAnsi="Calibri" w:cs="Calibri"/>
          <w:sz w:val="18"/>
          <w:szCs w:val="18"/>
        </w:rPr>
        <w:footnoteRef/>
      </w:r>
      <w:r w:rsidRPr="0015604C">
        <w:rPr>
          <w:rFonts w:ascii="Calibri" w:hAnsi="Calibri" w:cs="Calibri"/>
          <w:sz w:val="18"/>
          <w:szCs w:val="18"/>
          <w:lang w:val="es-ES_tradnl"/>
        </w:rPr>
        <w:t xml:space="preserve"> Cuba, Gaceta Oficial, Constitución de la República (GOC-2019-406-EX5), 10 de abril de 2019. Disponible en: </w:t>
      </w:r>
      <w:hyperlink r:id="rId10" w:history="1">
        <w:r w:rsidRPr="0015604C">
          <w:rPr>
            <w:rStyle w:val="Hyperlink"/>
            <w:rFonts w:ascii="Calibri" w:hAnsi="Calibri" w:cs="Calibri"/>
            <w:sz w:val="18"/>
            <w:szCs w:val="18"/>
            <w:lang w:val="es-ES_tradnl"/>
          </w:rPr>
          <w:t>https://www.gacetaoficial.gob.cu/sites/default/files/goc-2019-ex5_0.pdf. Artículo 150</w:t>
        </w:r>
      </w:hyperlink>
      <w:r w:rsidRPr="0015604C">
        <w:rPr>
          <w:rFonts w:ascii="Calibri" w:hAnsi="Calibri" w:cs="Calibri"/>
          <w:sz w:val="18"/>
          <w:szCs w:val="18"/>
          <w:lang w:val="es-ES_tradnl"/>
        </w:rPr>
        <w:t xml:space="preserve">. </w:t>
      </w:r>
    </w:p>
  </w:footnote>
  <w:footnote w:id="34">
    <w:p w14:paraId="2BAF2037" w14:textId="4D98CEB1" w:rsidR="00BF501D" w:rsidRPr="0015604C" w:rsidRDefault="00BF501D" w:rsidP="0015604C">
      <w:pPr>
        <w:pStyle w:val="FootnoteText"/>
        <w:adjustRightInd w:val="0"/>
        <w:snapToGrid w:val="0"/>
        <w:jc w:val="both"/>
        <w:rPr>
          <w:rFonts w:ascii="Calibri" w:hAnsi="Calibri" w:cs="Calibri"/>
          <w:sz w:val="18"/>
          <w:szCs w:val="18"/>
          <w:lang w:val="es-ES_tradnl"/>
        </w:rPr>
      </w:pPr>
      <w:r w:rsidRPr="0015604C">
        <w:rPr>
          <w:rStyle w:val="FootnoteReference"/>
          <w:rFonts w:ascii="Calibri" w:hAnsi="Calibri" w:cs="Calibri"/>
          <w:sz w:val="18"/>
          <w:szCs w:val="18"/>
        </w:rPr>
        <w:footnoteRef/>
      </w:r>
      <w:r w:rsidRPr="0015604C">
        <w:rPr>
          <w:rFonts w:ascii="Calibri" w:hAnsi="Calibri" w:cs="Calibri"/>
          <w:sz w:val="18"/>
          <w:szCs w:val="18"/>
          <w:lang w:val="es-ES_tradnl"/>
        </w:rPr>
        <w:t xml:space="preserve"> CIDH, Informe anual 2025, Capítulo IV B Cuba, párr. 38.</w:t>
      </w:r>
    </w:p>
  </w:footnote>
  <w:footnote w:id="35">
    <w:p w14:paraId="1F974690" w14:textId="25CDF8E3" w:rsidR="003D25DA" w:rsidRPr="0015604C" w:rsidRDefault="003D25DA" w:rsidP="0015604C">
      <w:pPr>
        <w:pStyle w:val="FootnoteText"/>
        <w:adjustRightInd w:val="0"/>
        <w:snapToGrid w:val="0"/>
        <w:jc w:val="both"/>
        <w:rPr>
          <w:rFonts w:ascii="Calibri" w:hAnsi="Calibri" w:cs="Calibri"/>
          <w:sz w:val="18"/>
          <w:szCs w:val="18"/>
          <w:lang w:val="es-ES_tradnl"/>
        </w:rPr>
      </w:pPr>
      <w:r w:rsidRPr="0015604C">
        <w:rPr>
          <w:rStyle w:val="FootnoteReference"/>
          <w:rFonts w:ascii="Calibri" w:hAnsi="Calibri" w:cs="Calibri"/>
          <w:sz w:val="18"/>
          <w:szCs w:val="18"/>
        </w:rPr>
        <w:footnoteRef/>
      </w:r>
      <w:r w:rsidRPr="0015604C">
        <w:rPr>
          <w:rFonts w:ascii="Calibri" w:hAnsi="Calibri" w:cs="Calibri"/>
          <w:sz w:val="18"/>
          <w:szCs w:val="18"/>
          <w:lang w:val="es-ES_tradnl"/>
        </w:rPr>
        <w:t xml:space="preserve"> Cuba, Gaceta Oficial, Constitución de la República (GOC-2019-406-EX5), 10 de abril de 2019. Disponible en: </w:t>
      </w:r>
      <w:hyperlink r:id="rId11" w:history="1">
        <w:r w:rsidRPr="0015604C">
          <w:rPr>
            <w:rStyle w:val="Hyperlink"/>
            <w:rFonts w:ascii="Calibri" w:hAnsi="Calibri" w:cs="Calibri"/>
            <w:sz w:val="18"/>
            <w:szCs w:val="18"/>
            <w:lang w:val="es-ES_tradnl"/>
          </w:rPr>
          <w:t>https://www.gacetaoficial.gob.cu/sites/default/files/goc-2019-ex5_0.pdf</w:t>
        </w:r>
      </w:hyperlink>
      <w:r w:rsidRPr="0015604C">
        <w:rPr>
          <w:rFonts w:ascii="Calibri" w:hAnsi="Calibri" w:cs="Calibri"/>
          <w:sz w:val="18"/>
          <w:szCs w:val="18"/>
          <w:lang w:val="es-ES_tradnl"/>
        </w:rPr>
        <w:t xml:space="preserve">, artículos 149, 154-155 </w:t>
      </w:r>
    </w:p>
  </w:footnote>
  <w:footnote w:id="36">
    <w:p w14:paraId="42604E63" w14:textId="67C54D49" w:rsidR="008E62E2" w:rsidRPr="0015604C" w:rsidRDefault="008E62E2" w:rsidP="0015604C">
      <w:pPr>
        <w:pStyle w:val="FootnoteText"/>
        <w:adjustRightInd w:val="0"/>
        <w:snapToGrid w:val="0"/>
        <w:jc w:val="both"/>
        <w:rPr>
          <w:rFonts w:ascii="Calibri" w:hAnsi="Calibri" w:cs="Calibri"/>
          <w:sz w:val="18"/>
          <w:szCs w:val="18"/>
          <w:lang w:val="es-ES_tradnl"/>
        </w:rPr>
      </w:pPr>
      <w:r w:rsidRPr="0015604C">
        <w:rPr>
          <w:rStyle w:val="FootnoteReference"/>
          <w:rFonts w:ascii="Calibri" w:hAnsi="Calibri" w:cs="Calibri"/>
          <w:sz w:val="18"/>
          <w:szCs w:val="18"/>
        </w:rPr>
        <w:footnoteRef/>
      </w:r>
      <w:r w:rsidRPr="0015604C">
        <w:rPr>
          <w:rFonts w:ascii="Calibri" w:hAnsi="Calibri" w:cs="Calibri"/>
          <w:sz w:val="18"/>
          <w:szCs w:val="18"/>
          <w:lang w:val="es-ES_tradnl"/>
        </w:rPr>
        <w:t xml:space="preserve"> CAT, Observaciones finales sobre el tercer informe periódico de Cuba. CAT/C/CUB/CO/3. 9 de junio de 2022, párr. 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9F992" w14:textId="7ABEF83B" w:rsidR="00D43A1B" w:rsidRDefault="00D43A1B" w:rsidP="00D43A1B">
    <w:pPr>
      <w:pStyle w:val="Header"/>
      <w:jc w:val="center"/>
    </w:pPr>
    <w:r>
      <w:rPr>
        <w:noProof/>
        <w:color w:val="000000"/>
      </w:rPr>
      <w:drawing>
        <wp:inline distT="0" distB="0" distL="0" distR="0" wp14:anchorId="0B45E5AD" wp14:editId="1388C317">
          <wp:extent cx="2212282" cy="1264161"/>
          <wp:effectExtent l="0" t="0" r="0" b="0"/>
          <wp:docPr id="6" name="image4.png" descr="A group of circles with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4.png" descr="A group of circles with text&#10;&#10;AI-generated content may be incorrect."/>
                  <pic:cNvPicPr preferRelativeResize="0"/>
                </pic:nvPicPr>
                <pic:blipFill>
                  <a:blip r:embed="rId1"/>
                  <a:srcRect/>
                  <a:stretch>
                    <a:fillRect/>
                  </a:stretch>
                </pic:blipFill>
                <pic:spPr>
                  <a:xfrm>
                    <a:off x="0" y="0"/>
                    <a:ext cx="2212282" cy="1264161"/>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AC5681"/>
    <w:multiLevelType w:val="hybridMultilevel"/>
    <w:tmpl w:val="CB2872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79745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E53"/>
    <w:rsid w:val="000B090F"/>
    <w:rsid w:val="000B4FAA"/>
    <w:rsid w:val="0015604C"/>
    <w:rsid w:val="00170A36"/>
    <w:rsid w:val="00362BEE"/>
    <w:rsid w:val="003D25DA"/>
    <w:rsid w:val="005400ED"/>
    <w:rsid w:val="005E35C6"/>
    <w:rsid w:val="006D09C3"/>
    <w:rsid w:val="0078446E"/>
    <w:rsid w:val="00807466"/>
    <w:rsid w:val="008C1E41"/>
    <w:rsid w:val="008E62E2"/>
    <w:rsid w:val="0094238A"/>
    <w:rsid w:val="00A00BFC"/>
    <w:rsid w:val="00AD3AC1"/>
    <w:rsid w:val="00B26361"/>
    <w:rsid w:val="00BB28FB"/>
    <w:rsid w:val="00BF501D"/>
    <w:rsid w:val="00D43A1B"/>
    <w:rsid w:val="00DA462D"/>
    <w:rsid w:val="00EB0694"/>
    <w:rsid w:val="00F77E53"/>
    <w:rsid w:val="00FA01FB"/>
    <w:rsid w:val="00FF672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CB691"/>
  <w15:chartTrackingRefBased/>
  <w15:docId w15:val="{E5A6C52E-AAE8-4046-BE62-3A8DF1A65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7E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7E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7E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7E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7E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7E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7E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7E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7E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E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7E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7E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7E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7E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7E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7E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7E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7E53"/>
    <w:rPr>
      <w:rFonts w:eastAsiaTheme="majorEastAsia" w:cstheme="majorBidi"/>
      <w:color w:val="272727" w:themeColor="text1" w:themeTint="D8"/>
    </w:rPr>
  </w:style>
  <w:style w:type="paragraph" w:styleId="Title">
    <w:name w:val="Title"/>
    <w:basedOn w:val="Normal"/>
    <w:next w:val="Normal"/>
    <w:link w:val="TitleChar"/>
    <w:uiPriority w:val="10"/>
    <w:qFormat/>
    <w:rsid w:val="00F77E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7E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7E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7E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7E53"/>
    <w:pPr>
      <w:spacing w:before="160"/>
      <w:jc w:val="center"/>
    </w:pPr>
    <w:rPr>
      <w:i/>
      <w:iCs/>
      <w:color w:val="404040" w:themeColor="text1" w:themeTint="BF"/>
    </w:rPr>
  </w:style>
  <w:style w:type="character" w:customStyle="1" w:styleId="QuoteChar">
    <w:name w:val="Quote Char"/>
    <w:basedOn w:val="DefaultParagraphFont"/>
    <w:link w:val="Quote"/>
    <w:uiPriority w:val="29"/>
    <w:rsid w:val="00F77E53"/>
    <w:rPr>
      <w:i/>
      <w:iCs/>
      <w:color w:val="404040" w:themeColor="text1" w:themeTint="BF"/>
    </w:rPr>
  </w:style>
  <w:style w:type="paragraph" w:styleId="ListParagraph">
    <w:name w:val="List Paragraph"/>
    <w:basedOn w:val="Normal"/>
    <w:uiPriority w:val="34"/>
    <w:qFormat/>
    <w:rsid w:val="00F77E53"/>
    <w:pPr>
      <w:ind w:left="720"/>
      <w:contextualSpacing/>
    </w:pPr>
  </w:style>
  <w:style w:type="character" w:styleId="IntenseEmphasis">
    <w:name w:val="Intense Emphasis"/>
    <w:basedOn w:val="DefaultParagraphFont"/>
    <w:uiPriority w:val="21"/>
    <w:qFormat/>
    <w:rsid w:val="00F77E53"/>
    <w:rPr>
      <w:i/>
      <w:iCs/>
      <w:color w:val="0F4761" w:themeColor="accent1" w:themeShade="BF"/>
    </w:rPr>
  </w:style>
  <w:style w:type="paragraph" w:styleId="IntenseQuote">
    <w:name w:val="Intense Quote"/>
    <w:basedOn w:val="Normal"/>
    <w:next w:val="Normal"/>
    <w:link w:val="IntenseQuoteChar"/>
    <w:uiPriority w:val="30"/>
    <w:qFormat/>
    <w:rsid w:val="00F77E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7E53"/>
    <w:rPr>
      <w:i/>
      <w:iCs/>
      <w:color w:val="0F4761" w:themeColor="accent1" w:themeShade="BF"/>
    </w:rPr>
  </w:style>
  <w:style w:type="character" w:styleId="IntenseReference">
    <w:name w:val="Intense Reference"/>
    <w:basedOn w:val="DefaultParagraphFont"/>
    <w:uiPriority w:val="32"/>
    <w:qFormat/>
    <w:rsid w:val="00F77E53"/>
    <w:rPr>
      <w:b/>
      <w:bCs/>
      <w:smallCaps/>
      <w:color w:val="0F4761" w:themeColor="accent1" w:themeShade="BF"/>
      <w:spacing w:val="5"/>
    </w:rPr>
  </w:style>
  <w:style w:type="paragraph" w:styleId="FootnoteText">
    <w:name w:val="footnote text"/>
    <w:aliases w:val="Footnote Text Char Char Char Char Char,Footnote Text Char Char Char Char,Footnote reference,FA Fu,Footnote Text Char Char Char,Footnote Text Cha,FA Fußnotentext,FA Fuﬂnotentext,Footnote Text Char Char,FA Fu?notentext,Ca,FA Fu?notente,C,ft"/>
    <w:basedOn w:val="Normal"/>
    <w:link w:val="FootnoteTextChar"/>
    <w:uiPriority w:val="99"/>
    <w:unhideWhenUsed/>
    <w:qFormat/>
    <w:rsid w:val="00F77E53"/>
    <w:pPr>
      <w:spacing w:after="0" w:line="240" w:lineRule="auto"/>
    </w:pPr>
    <w:rPr>
      <w:sz w:val="20"/>
      <w:szCs w:val="20"/>
    </w:rPr>
  </w:style>
  <w:style w:type="character" w:customStyle="1" w:styleId="FootnoteTextChar">
    <w:name w:val="Footnote Text Char"/>
    <w:aliases w:val="Footnote Text Char Char Char Char Char Char,Footnote Text Char Char Char Char Char1,Footnote reference Char,FA Fu Char,Footnote Text Char Char Char Char1,Footnote Text Cha Char,FA Fußnotentext Char,FA Fuﬂnotentext Char,Ca Char,C Char"/>
    <w:basedOn w:val="DefaultParagraphFont"/>
    <w:link w:val="FootnoteText"/>
    <w:uiPriority w:val="99"/>
    <w:qFormat/>
    <w:rsid w:val="00F77E53"/>
    <w:rPr>
      <w:sz w:val="20"/>
      <w:szCs w:val="20"/>
    </w:rPr>
  </w:style>
  <w:style w:type="character" w:styleId="FootnoteReference">
    <w:name w:val="footnote reference"/>
    <w:aliases w:val="Footnotes refss,Texto de nota al pie,Appel note de bas de page,referencia nota al pie,BVI fnr,Footnote number,f,Ref. de nota al pie.,Footnote symbol,Footnote,4_G,16 Point,Superscript 6 Point,Texto nota al pie,Ref. de nota al pi,Ref,7"/>
    <w:basedOn w:val="DefaultParagraphFont"/>
    <w:link w:val="BVIfnr"/>
    <w:uiPriority w:val="99"/>
    <w:unhideWhenUsed/>
    <w:qFormat/>
    <w:rsid w:val="00F77E53"/>
    <w:rPr>
      <w:vertAlign w:val="superscript"/>
    </w:rPr>
  </w:style>
  <w:style w:type="character" w:styleId="Hyperlink">
    <w:name w:val="Hyperlink"/>
    <w:basedOn w:val="DefaultParagraphFont"/>
    <w:uiPriority w:val="99"/>
    <w:unhideWhenUsed/>
    <w:rsid w:val="00BF501D"/>
    <w:rPr>
      <w:color w:val="467886" w:themeColor="hyperlink"/>
      <w:u w:val="single"/>
    </w:rPr>
  </w:style>
  <w:style w:type="character" w:styleId="UnresolvedMention">
    <w:name w:val="Unresolved Mention"/>
    <w:basedOn w:val="DefaultParagraphFont"/>
    <w:uiPriority w:val="99"/>
    <w:semiHidden/>
    <w:unhideWhenUsed/>
    <w:rsid w:val="00BF501D"/>
    <w:rPr>
      <w:color w:val="605E5C"/>
      <w:shd w:val="clear" w:color="auto" w:fill="E1DFDD"/>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link w:val="FootnoteReference"/>
    <w:uiPriority w:val="99"/>
    <w:rsid w:val="005E35C6"/>
    <w:pPr>
      <w:spacing w:line="240" w:lineRule="exact"/>
      <w:jc w:val="both"/>
    </w:pPr>
    <w:rPr>
      <w:vertAlign w:val="superscript"/>
    </w:rPr>
  </w:style>
  <w:style w:type="paragraph" w:styleId="Header">
    <w:name w:val="header"/>
    <w:basedOn w:val="Normal"/>
    <w:link w:val="HeaderChar"/>
    <w:uiPriority w:val="99"/>
    <w:unhideWhenUsed/>
    <w:rsid w:val="00D43A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3A1B"/>
  </w:style>
  <w:style w:type="paragraph" w:styleId="Footer">
    <w:name w:val="footer"/>
    <w:basedOn w:val="Normal"/>
    <w:link w:val="FooterChar"/>
    <w:uiPriority w:val="99"/>
    <w:unhideWhenUsed/>
    <w:rsid w:val="00D43A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3A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s>
</file>

<file path=word/_rels/footnotes.xml.rels><?xml version="1.0" encoding="UTF-8" standalone="yes"?>
<Relationships xmlns="http://schemas.openxmlformats.org/package/2006/relationships"><Relationship Id="rId8" Type="http://schemas.openxmlformats.org/officeDocument/2006/relationships/hyperlink" Target="https://www.martinoticias.com/a/regimen-cubano-impide-entrada-a-la-dama-de-blanco-leticia-ramos/447892.html" TargetMode="External"/><Relationship Id="rId3" Type="http://schemas.openxmlformats.org/officeDocument/2006/relationships/hyperlink" Target="https://undocs.org/Home/Mobile?FinalSymbol=CCPR%2FC%2F50%2FD%2F440%2F1990&amp;Language=E&amp;DeviceType=Desktop&amp;LangRequested=False" TargetMode="External"/><Relationship Id="rId7" Type="http://schemas.openxmlformats.org/officeDocument/2006/relationships/hyperlink" Target="https://www.martinoticias.com/a/regimen-cubano-impide-entrada-a-la-dama-de-blanco-leticia-ramos/447892.html" TargetMode="External"/><Relationship Id="rId2" Type="http://schemas.openxmlformats.org/officeDocument/2006/relationships/hyperlink" Target="https://undocs.org/Home/Mobile?FinalSymbol=CCPR%2FC%2F51%2FD%2F458%2F1991&amp;Language=E&amp;DeviceType=Desktop&amp;LangRequested=False" TargetMode="External"/><Relationship Id="rId1" Type="http://schemas.openxmlformats.org/officeDocument/2006/relationships/hyperlink" Target="https://www.damasdeblanco.com/" TargetMode="External"/><Relationship Id="rId6" Type="http://schemas.openxmlformats.org/officeDocument/2006/relationships/hyperlink" Target="https://spcommreports.ohchr.org/TMResultsBase/DownLoadFile?gId=31696" TargetMode="External"/><Relationship Id="rId11" Type="http://schemas.openxmlformats.org/officeDocument/2006/relationships/hyperlink" Target="https://www.gacetaoficial.gob.cu/sites/default/files/goc-2019-ex5_0.pdf" TargetMode="External"/><Relationship Id="rId5" Type="http://schemas.openxmlformats.org/officeDocument/2006/relationships/hyperlink" Target="https://undocs.org/Home/Mobile?FinalSymbol=A%2FHRC%2F13%2F42&amp;Language=E&amp;DeviceType=Desktop&amp;LangRequested=False" TargetMode="External"/><Relationship Id="rId10" Type="http://schemas.openxmlformats.org/officeDocument/2006/relationships/hyperlink" Target="https://www.gacetaoficial.gob.cu/sites/default/files/goc-2019-ex5_0.pdf.%20Art&#237;culo%20150" TargetMode="External"/><Relationship Id="rId4" Type="http://schemas.openxmlformats.org/officeDocument/2006/relationships/hyperlink" Target="https://undocs.org/Home/Mobile?FinalSymbol=A%2FRES%2F68%2F156&amp;Language=E&amp;DeviceType=Desktop&amp;LangRequested=False" TargetMode="External"/><Relationship Id="rId9" Type="http://schemas.openxmlformats.org/officeDocument/2006/relationships/hyperlink" Target="https://www.martinoticias.com/a/regimen-cubano-impide-entrada-a-la-dama-de-blanco-leticia-ramos/447892.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8AD120-D512-C147-A413-B96485B87B5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8</Pages>
  <Words>2602</Words>
  <Characters>14835</Characters>
  <Application>Microsoft Office Word</Application>
  <DocSecurity>0</DocSecurity>
  <Lines>123</Lines>
  <Paragraphs>34</Paragraphs>
  <ScaleCrop>false</ScaleCrop>
  <Company/>
  <LinksUpToDate>false</LinksUpToDate>
  <CharactersWithSpaces>17403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Goldar</dc:creator>
  <cp:keywords/>
  <dc:description/>
  <cp:lastModifiedBy>Perrine Deja</cp:lastModifiedBy>
  <cp:revision>2</cp:revision>
  <dcterms:created xsi:type="dcterms:W3CDTF">2026-07-06T12:55:00Z</dcterms:created>
  <dcterms:modified xsi:type="dcterms:W3CDTF">2026-07-06T12:55:00Z</dcterms:modified>
</cp:coreProperties>
</file>