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DC8" w:rsidRDefault="00845DC8" w:rsidP="00852CC0">
      <w:pPr>
        <w:tabs>
          <w:tab w:val="left" w:pos="3240"/>
        </w:tabs>
        <w:spacing w:after="0" w:line="240" w:lineRule="auto"/>
        <w:outlineLvl w:val="0"/>
        <w:rPr>
          <w:rFonts w:ascii="Arial" w:hAnsi="Arial"/>
          <w:b/>
          <w:sz w:val="28"/>
          <w:szCs w:val="28"/>
        </w:rPr>
      </w:pPr>
    </w:p>
    <w:p w:rsidR="00845DC8" w:rsidRDefault="00845DC8" w:rsidP="00852CC0">
      <w:pPr>
        <w:tabs>
          <w:tab w:val="left" w:pos="3240"/>
        </w:tabs>
        <w:spacing w:after="0" w:line="240" w:lineRule="auto"/>
        <w:outlineLvl w:val="0"/>
        <w:rPr>
          <w:rFonts w:ascii="Arial" w:hAnsi="Arial"/>
          <w:b/>
          <w:sz w:val="28"/>
          <w:szCs w:val="28"/>
        </w:rPr>
      </w:pPr>
    </w:p>
    <w:p w:rsidR="00087F6A" w:rsidRDefault="00087F6A" w:rsidP="00852CC0">
      <w:pPr>
        <w:tabs>
          <w:tab w:val="left" w:pos="3240"/>
        </w:tabs>
        <w:spacing w:after="0" w:line="240" w:lineRule="auto"/>
        <w:outlineLvl w:val="0"/>
        <w:rPr>
          <w:rFonts w:ascii="Arial" w:hAnsi="Arial"/>
          <w:b/>
          <w:sz w:val="28"/>
          <w:szCs w:val="28"/>
        </w:rPr>
      </w:pPr>
    </w:p>
    <w:p w:rsidR="00087F6A" w:rsidRDefault="00087F6A" w:rsidP="00852CC0">
      <w:pPr>
        <w:tabs>
          <w:tab w:val="left" w:pos="3240"/>
        </w:tabs>
        <w:spacing w:after="0" w:line="240" w:lineRule="auto"/>
        <w:outlineLvl w:val="0"/>
        <w:rPr>
          <w:rFonts w:ascii="Arial" w:hAnsi="Arial"/>
          <w:b/>
          <w:sz w:val="28"/>
          <w:szCs w:val="28"/>
        </w:rPr>
      </w:pPr>
    </w:p>
    <w:p w:rsidR="00845DC8" w:rsidRDefault="00845DC8" w:rsidP="00852CC0">
      <w:pPr>
        <w:tabs>
          <w:tab w:val="left" w:pos="3240"/>
        </w:tabs>
        <w:spacing w:after="0" w:line="240" w:lineRule="auto"/>
        <w:outlineLvl w:val="0"/>
        <w:rPr>
          <w:rFonts w:ascii="Arial" w:hAnsi="Arial"/>
          <w:b/>
          <w:sz w:val="28"/>
          <w:szCs w:val="28"/>
        </w:rPr>
      </w:pPr>
    </w:p>
    <w:p w:rsidR="00087F6A" w:rsidRDefault="00087F6A" w:rsidP="00852CC0">
      <w:pPr>
        <w:tabs>
          <w:tab w:val="left" w:pos="3240"/>
        </w:tabs>
        <w:spacing w:after="0" w:line="240" w:lineRule="auto"/>
        <w:outlineLvl w:val="0"/>
        <w:rPr>
          <w:rFonts w:ascii="Arial" w:hAnsi="Arial"/>
          <w:b/>
          <w:sz w:val="28"/>
          <w:szCs w:val="28"/>
        </w:rPr>
      </w:pPr>
    </w:p>
    <w:p w:rsidR="00845DC8" w:rsidRDefault="00845DC8" w:rsidP="00852CC0">
      <w:pPr>
        <w:tabs>
          <w:tab w:val="left" w:pos="3240"/>
        </w:tabs>
        <w:spacing w:after="0" w:line="240" w:lineRule="auto"/>
        <w:outlineLvl w:val="0"/>
        <w:rPr>
          <w:rFonts w:ascii="Arial" w:hAnsi="Arial"/>
          <w:b/>
          <w:sz w:val="28"/>
          <w:szCs w:val="28"/>
        </w:rPr>
      </w:pPr>
    </w:p>
    <w:p w:rsidR="00087F6A" w:rsidRDefault="00087F6A" w:rsidP="00852CC0">
      <w:pPr>
        <w:tabs>
          <w:tab w:val="left" w:pos="3240"/>
        </w:tabs>
        <w:spacing w:after="0" w:line="240" w:lineRule="auto"/>
        <w:outlineLvl w:val="0"/>
        <w:rPr>
          <w:rFonts w:ascii="Arial" w:hAnsi="Arial"/>
          <w:b/>
          <w:sz w:val="28"/>
          <w:szCs w:val="28"/>
        </w:rPr>
      </w:pPr>
    </w:p>
    <w:p w:rsidR="00845DC8" w:rsidRDefault="00845DC8" w:rsidP="00852CC0">
      <w:pPr>
        <w:tabs>
          <w:tab w:val="left" w:pos="3240"/>
        </w:tabs>
        <w:spacing w:after="0" w:line="240" w:lineRule="auto"/>
        <w:outlineLvl w:val="0"/>
        <w:rPr>
          <w:rFonts w:ascii="Arial" w:hAnsi="Arial"/>
          <w:b/>
          <w:sz w:val="28"/>
          <w:szCs w:val="28"/>
        </w:rPr>
      </w:pPr>
    </w:p>
    <w:p w:rsidR="00852CC0" w:rsidRDefault="00852CC0" w:rsidP="00852CC0">
      <w:pPr>
        <w:tabs>
          <w:tab w:val="left" w:pos="3240"/>
        </w:tabs>
        <w:spacing w:after="0" w:line="240" w:lineRule="auto"/>
        <w:outlineLvl w:val="0"/>
        <w:rPr>
          <w:rFonts w:ascii="Arial" w:hAnsi="Arial"/>
          <w:b/>
          <w:sz w:val="28"/>
          <w:szCs w:val="28"/>
        </w:rPr>
      </w:pPr>
    </w:p>
    <w:p w:rsidR="00845DC8" w:rsidRPr="00090CCF" w:rsidRDefault="00181D44" w:rsidP="00852CC0">
      <w:pPr>
        <w:tabs>
          <w:tab w:val="left" w:pos="3240"/>
        </w:tabs>
        <w:spacing w:after="0" w:line="240" w:lineRule="auto"/>
        <w:outlineLvl w:val="0"/>
        <w:rPr>
          <w:rFonts w:ascii="Arial" w:hAnsi="Arial"/>
          <w:b/>
          <w:sz w:val="28"/>
          <w:szCs w:val="28"/>
        </w:rPr>
      </w:pPr>
      <w:r>
        <w:rPr>
          <w:rFonts w:ascii="Arial" w:hAnsi="Arial"/>
          <w:b/>
          <w:noProof/>
          <w:sz w:val="28"/>
          <w:szCs w:val="28"/>
          <w:lang w:eastAsia="en-CA"/>
        </w:rPr>
        <w:pict>
          <v:line id="_x0000_s1026" style="position:absolute;z-index:251659264;mso-position-horizontal-relative:margin" from="-17.85pt,6.2pt" to="450.15pt,6.2pt" strokecolor="#020000" strokeweight="3pt">
            <w10:wrap anchorx="margin"/>
          </v:line>
        </w:pict>
      </w:r>
    </w:p>
    <w:p w:rsidR="00852CC0" w:rsidRPr="00090CCF" w:rsidRDefault="00852CC0" w:rsidP="00852CC0">
      <w:pPr>
        <w:pStyle w:val="BodyText"/>
        <w:jc w:val="center"/>
        <w:rPr>
          <w:rFonts w:ascii="Arial" w:hAnsi="Arial" w:cs="Arial"/>
          <w:b/>
          <w:sz w:val="28"/>
          <w:szCs w:val="28"/>
        </w:rPr>
      </w:pPr>
    </w:p>
    <w:p w:rsidR="00845DC8" w:rsidRPr="00090CCF" w:rsidRDefault="00845DC8" w:rsidP="00852CC0">
      <w:pPr>
        <w:pStyle w:val="BodyText"/>
        <w:jc w:val="center"/>
        <w:rPr>
          <w:rFonts w:ascii="Arial" w:hAnsi="Arial" w:cs="Arial"/>
          <w:b/>
          <w:sz w:val="56"/>
        </w:rPr>
      </w:pPr>
      <w:r w:rsidRPr="00090CCF">
        <w:rPr>
          <w:rFonts w:ascii="Arial" w:hAnsi="Arial" w:cs="Arial"/>
          <w:b/>
          <w:sz w:val="56"/>
        </w:rPr>
        <w:t xml:space="preserve">Convention </w:t>
      </w:r>
      <w:r w:rsidR="00D47712" w:rsidRPr="00090CCF">
        <w:rPr>
          <w:rFonts w:ascii="Arial" w:hAnsi="Arial" w:cs="Arial"/>
          <w:b/>
          <w:sz w:val="56"/>
        </w:rPr>
        <w:t>a</w:t>
      </w:r>
      <w:r w:rsidRPr="00090CCF">
        <w:rPr>
          <w:rFonts w:ascii="Arial" w:hAnsi="Arial" w:cs="Arial"/>
          <w:b/>
          <w:sz w:val="56"/>
        </w:rPr>
        <w:t>gainst Torture and Other Cruel, Inhuman or Degrading Treatment or Punishment</w:t>
      </w:r>
    </w:p>
    <w:p w:rsidR="00852CC0" w:rsidRPr="00090CCF" w:rsidRDefault="00852CC0" w:rsidP="00852CC0">
      <w:pPr>
        <w:pStyle w:val="BodyText"/>
        <w:jc w:val="center"/>
        <w:rPr>
          <w:rFonts w:ascii="Arial" w:hAnsi="Arial" w:cs="Arial"/>
          <w:b/>
          <w:sz w:val="28"/>
          <w:szCs w:val="28"/>
        </w:rPr>
      </w:pPr>
    </w:p>
    <w:p w:rsidR="00845DC8" w:rsidRPr="00090CCF" w:rsidRDefault="00181D44" w:rsidP="00852CC0">
      <w:pPr>
        <w:pStyle w:val="BodyText"/>
        <w:jc w:val="center"/>
        <w:rPr>
          <w:rFonts w:ascii="Arial" w:hAnsi="Arial" w:cs="Arial"/>
          <w:b/>
          <w:sz w:val="56"/>
        </w:rPr>
      </w:pPr>
      <w:r>
        <w:rPr>
          <w:rFonts w:ascii="Arial" w:hAnsi="Arial" w:cs="Arial"/>
          <w:b/>
          <w:noProof/>
          <w:sz w:val="56"/>
          <w:lang w:eastAsia="en-CA"/>
        </w:rPr>
        <w:pict>
          <v:line id="_x0000_s1027" style="position:absolute;left:0;text-align:left;z-index:251660288;mso-position-horizontal-relative:margin" from="-18pt,.15pt" to="450pt,.15pt" strokecolor="#020000" strokeweight="3pt">
            <w10:wrap anchorx="margin"/>
          </v:line>
        </w:pict>
      </w:r>
    </w:p>
    <w:p w:rsidR="00845DC8" w:rsidRPr="00090CCF" w:rsidRDefault="00845DC8"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p>
    <w:p w:rsidR="00087F6A" w:rsidRPr="00090CCF" w:rsidRDefault="00087F6A"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r w:rsidRPr="00090CCF">
        <w:rPr>
          <w:rFonts w:ascii="Arial" w:hAnsi="Arial"/>
          <w:b/>
          <w:sz w:val="28"/>
          <w:szCs w:val="28"/>
        </w:rPr>
        <w:t xml:space="preserve">Interim Report in follow-up to the review of </w:t>
      </w:r>
    </w:p>
    <w:p w:rsidR="00845DC8" w:rsidRPr="00090CCF" w:rsidRDefault="00CA3CA2" w:rsidP="00852CC0">
      <w:pPr>
        <w:tabs>
          <w:tab w:val="left" w:pos="3240"/>
        </w:tabs>
        <w:spacing w:after="0" w:line="240" w:lineRule="auto"/>
        <w:jc w:val="center"/>
        <w:outlineLvl w:val="0"/>
        <w:rPr>
          <w:rFonts w:ascii="Arial" w:hAnsi="Arial"/>
          <w:b/>
          <w:sz w:val="28"/>
          <w:szCs w:val="28"/>
        </w:rPr>
      </w:pPr>
      <w:r w:rsidRPr="00090CCF">
        <w:rPr>
          <w:rFonts w:ascii="Arial" w:hAnsi="Arial"/>
          <w:b/>
          <w:sz w:val="28"/>
          <w:szCs w:val="28"/>
        </w:rPr>
        <w:t>Canada’s Sixth Report</w:t>
      </w:r>
    </w:p>
    <w:p w:rsidR="00845DC8" w:rsidRPr="00090CCF" w:rsidRDefault="00845DC8"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p>
    <w:p w:rsidR="00087F6A" w:rsidRPr="00090CCF" w:rsidRDefault="00087F6A" w:rsidP="00852CC0">
      <w:pPr>
        <w:tabs>
          <w:tab w:val="left" w:pos="3240"/>
        </w:tabs>
        <w:spacing w:after="0" w:line="240" w:lineRule="auto"/>
        <w:jc w:val="center"/>
        <w:outlineLvl w:val="0"/>
        <w:rPr>
          <w:rFonts w:ascii="Arial" w:hAnsi="Arial"/>
          <w:b/>
          <w:sz w:val="28"/>
          <w:szCs w:val="28"/>
        </w:rPr>
      </w:pPr>
    </w:p>
    <w:p w:rsidR="00087F6A" w:rsidRPr="00090CCF" w:rsidRDefault="00087F6A" w:rsidP="00852CC0">
      <w:pPr>
        <w:tabs>
          <w:tab w:val="left" w:pos="3240"/>
        </w:tabs>
        <w:spacing w:after="0" w:line="240" w:lineRule="auto"/>
        <w:jc w:val="center"/>
        <w:outlineLvl w:val="0"/>
        <w:rPr>
          <w:rFonts w:ascii="Arial" w:hAnsi="Arial"/>
          <w:b/>
          <w:sz w:val="28"/>
          <w:szCs w:val="28"/>
        </w:rPr>
      </w:pPr>
    </w:p>
    <w:p w:rsidR="00845DC8" w:rsidRPr="00090CCF" w:rsidRDefault="00845DC8" w:rsidP="00852CC0">
      <w:pPr>
        <w:tabs>
          <w:tab w:val="left" w:pos="3240"/>
        </w:tabs>
        <w:spacing w:after="0" w:line="240" w:lineRule="auto"/>
        <w:jc w:val="center"/>
        <w:outlineLvl w:val="0"/>
        <w:rPr>
          <w:rFonts w:ascii="Arial" w:hAnsi="Arial"/>
          <w:b/>
          <w:sz w:val="28"/>
          <w:szCs w:val="28"/>
        </w:rPr>
      </w:pPr>
      <w:r w:rsidRPr="00090CCF">
        <w:rPr>
          <w:rFonts w:ascii="Arial" w:hAnsi="Arial"/>
          <w:b/>
          <w:sz w:val="28"/>
          <w:szCs w:val="28"/>
        </w:rPr>
        <w:t xml:space="preserve"> </w:t>
      </w:r>
      <w:r w:rsidR="00181D44">
        <w:rPr>
          <w:rFonts w:ascii="Arial" w:hAnsi="Arial"/>
          <w:b/>
          <w:sz w:val="28"/>
          <w:szCs w:val="28"/>
        </w:rPr>
        <w:t>August</w:t>
      </w:r>
      <w:r w:rsidRPr="00090CCF">
        <w:rPr>
          <w:rFonts w:ascii="Arial" w:hAnsi="Arial"/>
          <w:b/>
          <w:sz w:val="28"/>
          <w:szCs w:val="28"/>
        </w:rPr>
        <w:t xml:space="preserve"> 2013</w:t>
      </w:r>
    </w:p>
    <w:p w:rsidR="00845DC8" w:rsidRPr="00090CCF" w:rsidRDefault="00845DC8" w:rsidP="00852CC0">
      <w:pPr>
        <w:tabs>
          <w:tab w:val="left" w:pos="3240"/>
        </w:tabs>
        <w:spacing w:after="0" w:line="240" w:lineRule="auto"/>
        <w:outlineLvl w:val="0"/>
        <w:rPr>
          <w:rFonts w:ascii="Arial" w:hAnsi="Arial"/>
          <w:b/>
          <w:sz w:val="28"/>
          <w:szCs w:val="28"/>
        </w:rPr>
      </w:pPr>
    </w:p>
    <w:p w:rsidR="00845DC8" w:rsidRPr="00090CCF" w:rsidRDefault="00845DC8" w:rsidP="00852CC0">
      <w:pPr>
        <w:tabs>
          <w:tab w:val="left" w:pos="3240"/>
        </w:tabs>
        <w:spacing w:after="0" w:line="240" w:lineRule="auto"/>
        <w:outlineLvl w:val="0"/>
        <w:rPr>
          <w:rFonts w:ascii="Arial" w:hAnsi="Arial"/>
          <w:b/>
          <w:sz w:val="28"/>
          <w:szCs w:val="28"/>
        </w:rPr>
      </w:pPr>
    </w:p>
    <w:p w:rsidR="00845DC8" w:rsidRPr="00090CCF" w:rsidRDefault="00845DC8" w:rsidP="00852CC0">
      <w:pPr>
        <w:tabs>
          <w:tab w:val="left" w:pos="3240"/>
        </w:tabs>
        <w:spacing w:after="0" w:line="240" w:lineRule="auto"/>
        <w:outlineLvl w:val="0"/>
        <w:rPr>
          <w:rFonts w:ascii="Arial" w:hAnsi="Arial"/>
          <w:b/>
          <w:sz w:val="28"/>
          <w:szCs w:val="28"/>
        </w:rPr>
      </w:pPr>
    </w:p>
    <w:p w:rsidR="007F0D14" w:rsidRPr="00090CCF" w:rsidRDefault="007F0D14" w:rsidP="00852CC0">
      <w:pPr>
        <w:spacing w:after="0" w:line="240" w:lineRule="auto"/>
        <w:jc w:val="center"/>
        <w:rPr>
          <w:b/>
        </w:rPr>
      </w:pPr>
    </w:p>
    <w:p w:rsidR="0024312C" w:rsidRPr="00090CCF" w:rsidRDefault="0024312C" w:rsidP="00852CC0">
      <w:pPr>
        <w:spacing w:after="0" w:line="240" w:lineRule="auto"/>
        <w:rPr>
          <w:b/>
        </w:rPr>
        <w:sectPr w:rsidR="0024312C" w:rsidRPr="00090CCF" w:rsidSect="00F60C8E">
          <w:footerReference w:type="default" r:id="rId9"/>
          <w:pgSz w:w="12240" w:h="15840"/>
          <w:pgMar w:top="1440" w:right="1440" w:bottom="1440" w:left="1440" w:header="706" w:footer="706" w:gutter="0"/>
          <w:cols w:space="708"/>
          <w:docGrid w:linePitch="360"/>
        </w:sectPr>
      </w:pPr>
    </w:p>
    <w:p w:rsidR="00D35329" w:rsidRPr="00090CCF" w:rsidRDefault="005B6D2B" w:rsidP="00852CC0">
      <w:pPr>
        <w:pStyle w:val="Heading1"/>
        <w:spacing w:before="0" w:line="240" w:lineRule="auto"/>
        <w:rPr>
          <w:rFonts w:ascii="Arial" w:hAnsi="Arial" w:cs="Arial"/>
          <w:color w:val="auto"/>
        </w:rPr>
      </w:pPr>
      <w:bookmarkStart w:id="0" w:name="_Toc349752629"/>
      <w:r w:rsidRPr="00090CCF">
        <w:rPr>
          <w:rFonts w:ascii="Arial" w:hAnsi="Arial" w:cs="Arial"/>
          <w:color w:val="auto"/>
        </w:rPr>
        <w:lastRenderedPageBreak/>
        <w:t>Introduction</w:t>
      </w:r>
      <w:bookmarkEnd w:id="0"/>
    </w:p>
    <w:p w:rsidR="00852CC0" w:rsidRPr="00090CCF" w:rsidRDefault="00852CC0" w:rsidP="00852CC0">
      <w:pPr>
        <w:spacing w:after="0" w:line="240" w:lineRule="auto"/>
        <w:jc w:val="both"/>
      </w:pPr>
    </w:p>
    <w:p w:rsidR="000F59E0" w:rsidRPr="00090CCF" w:rsidRDefault="000F59E0" w:rsidP="00852CC0">
      <w:pPr>
        <w:numPr>
          <w:ilvl w:val="0"/>
          <w:numId w:val="28"/>
        </w:numPr>
        <w:tabs>
          <w:tab w:val="num" w:pos="567"/>
        </w:tabs>
        <w:spacing w:after="0" w:line="240" w:lineRule="auto"/>
        <w:ind w:left="567" w:hanging="567"/>
      </w:pPr>
      <w:r w:rsidRPr="00090CCF">
        <w:t>On May</w:t>
      </w:r>
      <w:r w:rsidR="00EF34BC" w:rsidRPr="00090CCF">
        <w:t xml:space="preserve"> 21 and 22,</w:t>
      </w:r>
      <w:r w:rsidRPr="00090CCF">
        <w:t xml:space="preserve"> 2012, Canada appeared before the United Nations Committee against Torture (“the Committee”), for the review of Canada’s sixth periodic report on the </w:t>
      </w:r>
      <w:r w:rsidR="00D47712" w:rsidRPr="00090CCF">
        <w:rPr>
          <w:i/>
        </w:rPr>
        <w:t>Convention a</w:t>
      </w:r>
      <w:r w:rsidRPr="00090CCF">
        <w:rPr>
          <w:i/>
        </w:rPr>
        <w:t>gainst Torture and Other Cruel, Inhuman or Degrading Treatment o</w:t>
      </w:r>
      <w:r w:rsidR="00852CC0" w:rsidRPr="00090CCF">
        <w:rPr>
          <w:i/>
        </w:rPr>
        <w:t>r</w:t>
      </w:r>
      <w:r w:rsidRPr="00090CCF">
        <w:rPr>
          <w:i/>
        </w:rPr>
        <w:t xml:space="preserve"> Punishment</w:t>
      </w:r>
      <w:r w:rsidR="00B55CB6" w:rsidRPr="00090CCF">
        <w:rPr>
          <w:i/>
        </w:rPr>
        <w:t xml:space="preserve"> </w:t>
      </w:r>
      <w:r w:rsidR="00B55CB6" w:rsidRPr="00090CCF">
        <w:t xml:space="preserve">(“the </w:t>
      </w:r>
      <w:r w:rsidR="00B55CB6" w:rsidRPr="00090CCF">
        <w:rPr>
          <w:i/>
        </w:rPr>
        <w:t>Convention</w:t>
      </w:r>
      <w:r w:rsidR="00B55CB6" w:rsidRPr="00090CCF">
        <w:t>”)</w:t>
      </w:r>
      <w:r w:rsidRPr="00090CCF">
        <w:t xml:space="preserve">. The Committee issued its Concluding Observations for Canada on </w:t>
      </w:r>
      <w:r w:rsidR="00EF34BC" w:rsidRPr="00090CCF">
        <w:t>June 25,</w:t>
      </w:r>
      <w:r w:rsidRPr="00090CCF">
        <w:t xml:space="preserve"> 2012</w:t>
      </w:r>
      <w:r w:rsidR="000A07FC" w:rsidRPr="00090CCF">
        <w:t>.</w:t>
      </w:r>
      <w:r w:rsidR="000A07FC" w:rsidRPr="00090CCF">
        <w:rPr>
          <w:rStyle w:val="FootnoteReference"/>
        </w:rPr>
        <w:footnoteReference w:id="1"/>
      </w:r>
      <w:r w:rsidR="003C2574" w:rsidRPr="00090CCF">
        <w:t xml:space="preserve"> </w:t>
      </w:r>
    </w:p>
    <w:p w:rsidR="00852CC0" w:rsidRPr="00090CCF" w:rsidRDefault="00852CC0" w:rsidP="00852CC0">
      <w:pPr>
        <w:spacing w:after="0" w:line="240" w:lineRule="auto"/>
        <w:jc w:val="both"/>
      </w:pPr>
    </w:p>
    <w:p w:rsidR="003C2574" w:rsidRPr="00090CCF" w:rsidRDefault="003C2574" w:rsidP="00852CC0">
      <w:pPr>
        <w:numPr>
          <w:ilvl w:val="0"/>
          <w:numId w:val="28"/>
        </w:numPr>
        <w:tabs>
          <w:tab w:val="num" w:pos="567"/>
        </w:tabs>
        <w:spacing w:after="0" w:line="240" w:lineRule="auto"/>
        <w:ind w:left="567" w:hanging="567"/>
      </w:pPr>
      <w:r w:rsidRPr="00090CCF">
        <w:t xml:space="preserve">Canada accepts the Committee’s invitation, in paragraph 30 of its Concluding Observations, to submit its seventh periodic report under the Committee’s optional reporting procedure by </w:t>
      </w:r>
      <w:r w:rsidR="00EF34BC" w:rsidRPr="00090CCF">
        <w:t>June 1,</w:t>
      </w:r>
      <w:r w:rsidRPr="00090CCF">
        <w:t xml:space="preserve"> 2016.</w:t>
      </w:r>
    </w:p>
    <w:p w:rsidR="00852CC0" w:rsidRPr="00090CCF" w:rsidRDefault="00852CC0" w:rsidP="00852CC0">
      <w:pPr>
        <w:spacing w:after="0" w:line="240" w:lineRule="auto"/>
      </w:pPr>
    </w:p>
    <w:p w:rsidR="000A07FC" w:rsidRPr="00090CCF" w:rsidRDefault="000F59E0" w:rsidP="00852CC0">
      <w:pPr>
        <w:numPr>
          <w:ilvl w:val="0"/>
          <w:numId w:val="28"/>
        </w:numPr>
        <w:tabs>
          <w:tab w:val="num" w:pos="567"/>
        </w:tabs>
        <w:spacing w:after="0" w:line="240" w:lineRule="auto"/>
        <w:ind w:left="567" w:hanging="567"/>
      </w:pPr>
      <w:r w:rsidRPr="00090CCF">
        <w:t>At paragraph 29 of its</w:t>
      </w:r>
      <w:r w:rsidR="000A07FC" w:rsidRPr="00090CCF">
        <w:t xml:space="preserve"> Concluding Observations, the Committee requested </w:t>
      </w:r>
      <w:r w:rsidR="0004095A" w:rsidRPr="00090CCF">
        <w:t>follow-up information in</w:t>
      </w:r>
      <w:r w:rsidR="000A07FC" w:rsidRPr="00090CCF">
        <w:t xml:space="preserve"> response to the observations and</w:t>
      </w:r>
      <w:r w:rsidR="00D35329" w:rsidRPr="00090CCF">
        <w:t xml:space="preserve"> recommendations</w:t>
      </w:r>
      <w:r w:rsidR="000A07FC" w:rsidRPr="00090CCF">
        <w:t xml:space="preserve"> </w:t>
      </w:r>
      <w:r w:rsidR="0004095A" w:rsidRPr="00090CCF">
        <w:t>contained in</w:t>
      </w:r>
      <w:r w:rsidR="00D35329" w:rsidRPr="00090CCF">
        <w:t xml:space="preserve"> paragraphs</w:t>
      </w:r>
      <w:r w:rsidR="00CA3CA2" w:rsidRPr="00090CCF">
        <w:t> </w:t>
      </w:r>
      <w:r w:rsidR="00D35329" w:rsidRPr="00090CCF">
        <w:t>12, 13, 16, and 17</w:t>
      </w:r>
      <w:r w:rsidR="000A07FC" w:rsidRPr="00090CCF">
        <w:t>.</w:t>
      </w:r>
      <w:r w:rsidR="003C2574" w:rsidRPr="00090CCF">
        <w:t xml:space="preserve"> </w:t>
      </w:r>
      <w:r w:rsidR="00D35329" w:rsidRPr="00090CCF">
        <w:t>Canada provides the fo</w:t>
      </w:r>
      <w:r w:rsidR="003C2574" w:rsidRPr="00090CCF">
        <w:t>llowing information in response.</w:t>
      </w:r>
    </w:p>
    <w:p w:rsidR="00D47712" w:rsidRPr="00090CCF" w:rsidRDefault="00D47712" w:rsidP="00D47712">
      <w:pPr>
        <w:pStyle w:val="ListParagraph"/>
      </w:pPr>
    </w:p>
    <w:p w:rsidR="00AD71B8" w:rsidRPr="00090CCF" w:rsidRDefault="00D47712" w:rsidP="00AD71B8">
      <w:pPr>
        <w:spacing w:after="0" w:line="240" w:lineRule="auto"/>
        <w:jc w:val="center"/>
        <w:rPr>
          <w:rFonts w:ascii="Arial" w:hAnsi="Arial" w:cs="Arial"/>
          <w:b/>
          <w:sz w:val="28"/>
          <w:szCs w:val="28"/>
        </w:rPr>
      </w:pPr>
      <w:r w:rsidRPr="00090CCF">
        <w:rPr>
          <w:rFonts w:ascii="Arial" w:hAnsi="Arial" w:cs="Arial"/>
          <w:b/>
          <w:sz w:val="28"/>
          <w:szCs w:val="28"/>
        </w:rPr>
        <w:t>Recommendation 12</w:t>
      </w:r>
    </w:p>
    <w:p w:rsidR="00AD71B8" w:rsidRPr="00090CCF" w:rsidRDefault="00AD71B8" w:rsidP="00AD71B8">
      <w:pPr>
        <w:spacing w:after="0" w:line="240" w:lineRule="auto"/>
        <w:jc w:val="center"/>
        <w:rPr>
          <w:rFonts w:ascii="Arial" w:hAnsi="Arial" w:cs="Arial"/>
          <w:b/>
          <w:sz w:val="28"/>
          <w:szCs w:val="28"/>
        </w:rPr>
      </w:pPr>
    </w:p>
    <w:p w:rsidR="00AD71B8" w:rsidRPr="00090CCF" w:rsidRDefault="00D47712" w:rsidP="00AD71B8">
      <w:pPr>
        <w:spacing w:after="0" w:line="240" w:lineRule="auto"/>
        <w:jc w:val="center"/>
        <w:rPr>
          <w:rFonts w:ascii="Arial" w:hAnsi="Arial" w:cs="Arial"/>
          <w:b/>
          <w:sz w:val="28"/>
          <w:szCs w:val="28"/>
        </w:rPr>
      </w:pPr>
      <w:r w:rsidRPr="00090CCF">
        <w:rPr>
          <w:rFonts w:ascii="Arial" w:hAnsi="Arial" w:cs="Arial"/>
          <w:b/>
          <w:sz w:val="28"/>
          <w:szCs w:val="28"/>
        </w:rPr>
        <w:t xml:space="preserve">Security Certificates under the Immigration and </w:t>
      </w:r>
    </w:p>
    <w:p w:rsidR="00D47712" w:rsidRPr="00090CCF" w:rsidRDefault="00D47712" w:rsidP="00AD71B8">
      <w:pPr>
        <w:spacing w:after="0" w:line="240" w:lineRule="auto"/>
        <w:jc w:val="center"/>
        <w:rPr>
          <w:rFonts w:ascii="Arial" w:hAnsi="Arial" w:cs="Arial"/>
          <w:b/>
          <w:sz w:val="28"/>
          <w:szCs w:val="28"/>
        </w:rPr>
      </w:pPr>
      <w:r w:rsidRPr="00090CCF">
        <w:rPr>
          <w:rFonts w:ascii="Arial" w:hAnsi="Arial" w:cs="Arial"/>
          <w:b/>
          <w:sz w:val="28"/>
          <w:szCs w:val="28"/>
        </w:rPr>
        <w:t>Refugee Protection Act</w:t>
      </w:r>
    </w:p>
    <w:p w:rsidR="00AD71B8" w:rsidRPr="00090CCF" w:rsidRDefault="00AD71B8" w:rsidP="00852CC0">
      <w:pPr>
        <w:spacing w:after="0" w:line="240" w:lineRule="auto"/>
        <w:ind w:left="851"/>
        <w:jc w:val="both"/>
        <w:rPr>
          <w:i/>
        </w:rPr>
      </w:pPr>
    </w:p>
    <w:p w:rsidR="00D35329" w:rsidRPr="00090CCF" w:rsidRDefault="00E27A45" w:rsidP="00CA3CA2">
      <w:pPr>
        <w:spacing w:after="0" w:line="240" w:lineRule="auto"/>
        <w:ind w:left="567"/>
        <w:rPr>
          <w:i/>
        </w:rPr>
      </w:pPr>
      <w:r w:rsidRPr="00090CCF">
        <w:rPr>
          <w:i/>
        </w:rPr>
        <w:t xml:space="preserve">The Committee recommends that the State party reconsider its policy of using administrative detention and immigration legislation to detain and remove non-citizens on the ground of national security, inter alia, by extensively reviewing the use of the security certificates and ensuring the prohibition of the use of information obtained by torture, in line with relevant domestic and international law. In that regard, the State party should implement the outstanding recommendations made by the Working Group on Arbitrary Detention following its mission to Canada in 2005, in particular that detention of terrorism suspects be imposed in the framework of criminal procedure and in accordance with the corresponding safeguards enshrined in the relevant international law (E/CN.4/2006/7/Add.2, para. 92). </w:t>
      </w:r>
    </w:p>
    <w:p w:rsidR="00D47712" w:rsidRPr="00090CCF" w:rsidRDefault="00D47712" w:rsidP="00852CC0">
      <w:pPr>
        <w:spacing w:after="0" w:line="240" w:lineRule="auto"/>
        <w:jc w:val="both"/>
        <w:rPr>
          <w:b/>
          <w:i/>
        </w:rPr>
      </w:pPr>
    </w:p>
    <w:p w:rsidR="000555D1" w:rsidRPr="00090CCF" w:rsidRDefault="000555D1" w:rsidP="00852CC0">
      <w:pPr>
        <w:spacing w:after="0" w:line="240" w:lineRule="auto"/>
        <w:jc w:val="both"/>
        <w:rPr>
          <w:rFonts w:ascii="Arial" w:hAnsi="Arial" w:cs="Arial"/>
          <w:b/>
        </w:rPr>
      </w:pPr>
      <w:r w:rsidRPr="00090CCF">
        <w:rPr>
          <w:rFonts w:ascii="Arial" w:hAnsi="Arial" w:cs="Arial"/>
          <w:b/>
        </w:rPr>
        <w:t>Use of Security Certificates</w:t>
      </w:r>
    </w:p>
    <w:p w:rsidR="00AD71B8" w:rsidRPr="00090CCF" w:rsidRDefault="00AD71B8" w:rsidP="00852CC0">
      <w:pPr>
        <w:spacing w:after="0" w:line="240" w:lineRule="auto"/>
        <w:jc w:val="both"/>
      </w:pPr>
    </w:p>
    <w:p w:rsidR="00AD71B8" w:rsidRPr="00090CCF" w:rsidRDefault="000555D1" w:rsidP="00AD71B8">
      <w:pPr>
        <w:numPr>
          <w:ilvl w:val="0"/>
          <w:numId w:val="28"/>
        </w:numPr>
        <w:tabs>
          <w:tab w:val="num" w:pos="567"/>
        </w:tabs>
        <w:spacing w:after="0" w:line="240" w:lineRule="auto"/>
        <w:ind w:left="567" w:hanging="567"/>
      </w:pPr>
      <w:r w:rsidRPr="00090CCF">
        <w:t xml:space="preserve">The use of security certificates is exceptional. Currently there are only three individuals who are subject to a security certificate. Canada uses security certificates in exceptional circumstances when a permanent resident or foreign national is inadmissible on grounds of security, violating human or international rights, serious criminality or organized criminality, and when classified information is required to establish allegations </w:t>
      </w:r>
      <w:r w:rsidR="00DE4D14" w:rsidRPr="00090CCF">
        <w:t>of that</w:t>
      </w:r>
      <w:r w:rsidRPr="00090CCF">
        <w:t xml:space="preserve"> individual’s inadmissibility.</w:t>
      </w:r>
      <w:r w:rsidR="00EC2F9E">
        <w:t xml:space="preserve"> </w:t>
      </w:r>
      <w:r w:rsidR="00EC2F9E" w:rsidRPr="00090CCF">
        <w:t xml:space="preserve">For further details, Canada refers the Committee to the </w:t>
      </w:r>
      <w:r w:rsidR="00EC2F9E" w:rsidRPr="00090CCF">
        <w:lastRenderedPageBreak/>
        <w:t>information provided at paragraphs 56-69 and 132-133 of Canada’s 2012 Response to the Committee’s List of Issues (“Canada’s 2012 Response to the Committee”).</w:t>
      </w:r>
      <w:r w:rsidR="00EC2F9E" w:rsidRPr="00090CCF">
        <w:rPr>
          <w:rStyle w:val="FootnoteReference"/>
        </w:rPr>
        <w:footnoteReference w:id="2"/>
      </w:r>
    </w:p>
    <w:p w:rsidR="00AD71B8" w:rsidRPr="00090CCF" w:rsidRDefault="00AD71B8" w:rsidP="00EC2F9E">
      <w:pPr>
        <w:spacing w:after="0" w:line="240" w:lineRule="auto"/>
      </w:pPr>
    </w:p>
    <w:p w:rsidR="000555D1" w:rsidRPr="00090CCF" w:rsidRDefault="00EC2F9E" w:rsidP="008B5855">
      <w:pPr>
        <w:numPr>
          <w:ilvl w:val="0"/>
          <w:numId w:val="28"/>
        </w:numPr>
        <w:tabs>
          <w:tab w:val="num" w:pos="567"/>
        </w:tabs>
        <w:spacing w:after="0" w:line="240" w:lineRule="auto"/>
        <w:ind w:left="567" w:hanging="567"/>
      </w:pPr>
      <w:r w:rsidRPr="00EC2F9E">
        <w:rPr>
          <w:rFonts w:eastAsia="Times New Roman"/>
          <w:lang w:eastAsia="fr-CA"/>
        </w:rPr>
        <w:t xml:space="preserve">In a notable new development, as the Committee is aware, in </w:t>
      </w:r>
      <w:r w:rsidRPr="00EC2F9E">
        <w:rPr>
          <w:rFonts w:eastAsia="Times New Roman"/>
          <w:i/>
          <w:iCs/>
          <w:lang w:eastAsia="fr-CA"/>
        </w:rPr>
        <w:t>Re Harkat</w:t>
      </w:r>
      <w:r w:rsidRPr="00EC2F9E">
        <w:rPr>
          <w:rFonts w:eastAsia="Times New Roman"/>
          <w:lang w:eastAsia="fr-CA"/>
        </w:rPr>
        <w:t xml:space="preserve">, </w:t>
      </w:r>
      <w:r w:rsidRPr="00EC2F9E">
        <w:rPr>
          <w:rFonts w:eastAsia="Times New Roman"/>
          <w:color w:val="000000"/>
          <w:lang w:eastAsia="fr-CA"/>
        </w:rPr>
        <w:t>Mr. Mohamed Harkat has challenged the constitutionality of the new security certificate regime. The Federal Court dismissed the constitu</w:t>
      </w:r>
      <w:r>
        <w:rPr>
          <w:rFonts w:eastAsia="Times New Roman"/>
          <w:color w:val="000000"/>
          <w:lang w:eastAsia="fr-CA"/>
        </w:rPr>
        <w:t xml:space="preserve">tional challenge. Since </w:t>
      </w:r>
      <w:r w:rsidR="008B5855">
        <w:rPr>
          <w:rFonts w:eastAsia="Times New Roman"/>
          <w:color w:val="000000"/>
          <w:lang w:eastAsia="fr-CA"/>
        </w:rPr>
        <w:t xml:space="preserve">the submission </w:t>
      </w:r>
      <w:r w:rsidR="008B5855">
        <w:t xml:space="preserve">of </w:t>
      </w:r>
      <w:r w:rsidR="008B5855" w:rsidRPr="008B5855">
        <w:rPr>
          <w:rFonts w:eastAsia="Times New Roman"/>
          <w:color w:val="000000"/>
          <w:lang w:eastAsia="fr-CA"/>
        </w:rPr>
        <w:t>Canada’s 2012 Response to the Committee</w:t>
      </w:r>
      <w:r w:rsidRPr="00EC2F9E">
        <w:rPr>
          <w:rFonts w:eastAsia="Times New Roman"/>
          <w:color w:val="000000"/>
          <w:lang w:eastAsia="fr-CA"/>
        </w:rPr>
        <w:t xml:space="preserve">, the </w:t>
      </w:r>
      <w:r w:rsidRPr="00EC2F9E">
        <w:rPr>
          <w:rFonts w:eastAsia="Times New Roman"/>
          <w:lang w:eastAsia="fr-CA"/>
        </w:rPr>
        <w:t>Federal Court of Appeal also dismissed the constitutional challenge, and specifically, concluded that the enhanced procedures in the new regime ensure a fair process and that the scheme is constitutional.</w:t>
      </w:r>
      <w:r w:rsidR="00806B87" w:rsidRPr="00090CCF">
        <w:rPr>
          <w:rStyle w:val="FootnoteReference"/>
        </w:rPr>
        <w:footnoteReference w:id="3"/>
      </w:r>
      <w:r w:rsidR="000555D1" w:rsidRPr="00090CCF">
        <w:t xml:space="preserve"> </w:t>
      </w:r>
      <w:r w:rsidR="000555D1" w:rsidRPr="00090CCF">
        <w:rPr>
          <w:rFonts w:eastAsia="Times New Roman"/>
          <w:lang w:eastAsia="en-CA"/>
        </w:rPr>
        <w:t xml:space="preserve">The Supreme Court of Canada will </w:t>
      </w:r>
      <w:r w:rsidR="004D17D7" w:rsidRPr="00090CCF">
        <w:rPr>
          <w:rFonts w:eastAsia="Times New Roman"/>
          <w:lang w:eastAsia="en-CA"/>
        </w:rPr>
        <w:t xml:space="preserve">consider </w:t>
      </w:r>
      <w:r w:rsidR="000555D1" w:rsidRPr="00090CCF">
        <w:rPr>
          <w:rFonts w:eastAsia="Times New Roman"/>
          <w:lang w:eastAsia="en-CA"/>
        </w:rPr>
        <w:t xml:space="preserve">the </w:t>
      </w:r>
      <w:r w:rsidR="000555D1" w:rsidRPr="00090CCF">
        <w:rPr>
          <w:rFonts w:eastAsia="Times New Roman"/>
          <w:i/>
          <w:lang w:eastAsia="en-CA"/>
        </w:rPr>
        <w:t xml:space="preserve">Harkat </w:t>
      </w:r>
      <w:r w:rsidR="000555D1" w:rsidRPr="00090CCF">
        <w:rPr>
          <w:rFonts w:eastAsia="Times New Roman"/>
          <w:lang w:eastAsia="en-CA"/>
        </w:rPr>
        <w:t>case</w:t>
      </w:r>
      <w:r w:rsidR="000555D1" w:rsidRPr="00090CCF">
        <w:rPr>
          <w:rFonts w:eastAsia="Times New Roman"/>
          <w:i/>
          <w:lang w:eastAsia="en-CA"/>
        </w:rPr>
        <w:t xml:space="preserve"> </w:t>
      </w:r>
      <w:r w:rsidR="000555D1" w:rsidRPr="00090CCF">
        <w:rPr>
          <w:rFonts w:eastAsia="Times New Roman"/>
          <w:lang w:eastAsia="en-CA"/>
        </w:rPr>
        <w:t>in the</w:t>
      </w:r>
      <w:r w:rsidR="000555D1" w:rsidRPr="00090CCF">
        <w:rPr>
          <w:lang w:val="en-US"/>
        </w:rPr>
        <w:t xml:space="preserve"> </w:t>
      </w:r>
      <w:r w:rsidR="002A18D9" w:rsidRPr="00090CCF">
        <w:rPr>
          <w:lang w:val="en-US"/>
        </w:rPr>
        <w:t>fall</w:t>
      </w:r>
      <w:r w:rsidR="00A25718" w:rsidRPr="00090CCF">
        <w:rPr>
          <w:lang w:val="en-US"/>
        </w:rPr>
        <w:t> </w:t>
      </w:r>
      <w:r w:rsidR="000555D1" w:rsidRPr="00090CCF">
        <w:rPr>
          <w:lang w:val="en-US"/>
        </w:rPr>
        <w:t>of</w:t>
      </w:r>
      <w:r w:rsidR="00A25718" w:rsidRPr="00090CCF">
        <w:rPr>
          <w:lang w:val="en-US"/>
        </w:rPr>
        <w:t> </w:t>
      </w:r>
      <w:r w:rsidR="000555D1" w:rsidRPr="00090CCF">
        <w:rPr>
          <w:lang w:val="en-US"/>
        </w:rPr>
        <w:t xml:space="preserve">2013.  </w:t>
      </w:r>
    </w:p>
    <w:p w:rsidR="00754FCE" w:rsidRPr="00090CCF" w:rsidRDefault="00754FCE" w:rsidP="00852CC0">
      <w:pPr>
        <w:keepNext/>
        <w:spacing w:after="0" w:line="240" w:lineRule="auto"/>
        <w:rPr>
          <w:rFonts w:ascii="Arial" w:hAnsi="Arial" w:cs="Arial"/>
          <w:b/>
        </w:rPr>
      </w:pPr>
    </w:p>
    <w:p w:rsidR="000555D1" w:rsidRPr="00090CCF" w:rsidRDefault="002A18D9" w:rsidP="00852CC0">
      <w:pPr>
        <w:keepNext/>
        <w:spacing w:after="0" w:line="240" w:lineRule="auto"/>
        <w:rPr>
          <w:rFonts w:ascii="Arial" w:hAnsi="Arial" w:cs="Arial"/>
          <w:b/>
        </w:rPr>
      </w:pPr>
      <w:r w:rsidRPr="00090CCF">
        <w:rPr>
          <w:rFonts w:ascii="Arial" w:hAnsi="Arial" w:cs="Arial"/>
          <w:b/>
        </w:rPr>
        <w:t>Ensuring the p</w:t>
      </w:r>
      <w:r w:rsidR="000555D1" w:rsidRPr="00090CCF">
        <w:rPr>
          <w:rFonts w:ascii="Arial" w:hAnsi="Arial" w:cs="Arial"/>
          <w:b/>
        </w:rPr>
        <w:t>rohibition of the use of information obtained by torture, in line with relevant domestic and international law</w:t>
      </w:r>
    </w:p>
    <w:p w:rsidR="00AD71B8" w:rsidRPr="00090CCF" w:rsidRDefault="00AD71B8" w:rsidP="00852CC0">
      <w:pPr>
        <w:spacing w:after="0" w:line="240" w:lineRule="auto"/>
        <w:jc w:val="both"/>
      </w:pPr>
    </w:p>
    <w:p w:rsidR="000555D1" w:rsidRPr="00090CCF" w:rsidRDefault="000555D1" w:rsidP="002D52C2">
      <w:pPr>
        <w:numPr>
          <w:ilvl w:val="0"/>
          <w:numId w:val="28"/>
        </w:numPr>
        <w:tabs>
          <w:tab w:val="num" w:pos="567"/>
        </w:tabs>
        <w:spacing w:after="0" w:line="240" w:lineRule="auto"/>
        <w:ind w:left="567" w:hanging="567"/>
        <w:rPr>
          <w:lang w:val="en-GB"/>
        </w:rPr>
      </w:pPr>
      <w:r w:rsidRPr="00090CCF">
        <w:t xml:space="preserve">Canada refers the Committee to the information provided at paragraphs 7 and 65 of </w:t>
      </w:r>
      <w:r w:rsidR="002A18D9" w:rsidRPr="00090CCF">
        <w:t>Canada’s 2012 Response to the Committee, specifically</w:t>
      </w:r>
      <w:r w:rsidRPr="00090CCF">
        <w:t xml:space="preserve"> </w:t>
      </w:r>
      <w:r w:rsidR="00A25718" w:rsidRPr="00090CCF">
        <w:t xml:space="preserve">explaining </w:t>
      </w:r>
      <w:r w:rsidRPr="00090CCF">
        <w:t>that the Federal</w:t>
      </w:r>
      <w:r w:rsidRPr="00090CCF">
        <w:rPr>
          <w:lang w:val="en-GB"/>
        </w:rPr>
        <w:t xml:space="preserve"> Court is responsible for determining whether a security certificate has been issued on a reasonable basis by the Ministers of Citizenship and Immigration and Public Safety</w:t>
      </w:r>
      <w:r w:rsidR="002A18D9" w:rsidRPr="00090CCF">
        <w:rPr>
          <w:lang w:val="en-GB"/>
        </w:rPr>
        <w:t>.</w:t>
      </w:r>
      <w:r w:rsidRPr="00090CCF">
        <w:rPr>
          <w:lang w:val="en-GB"/>
        </w:rPr>
        <w:t xml:space="preserve"> The Federal Court reviews the decision in relation to all t</w:t>
      </w:r>
      <w:r w:rsidR="002A18D9" w:rsidRPr="00090CCF">
        <w:rPr>
          <w:lang w:val="en-GB"/>
        </w:rPr>
        <w:t>he information presented to it.</w:t>
      </w:r>
      <w:r w:rsidRPr="00090CCF">
        <w:rPr>
          <w:lang w:val="en-GB"/>
        </w:rPr>
        <w:t xml:space="preserve"> This includes “reliable and appropriate” informa</w:t>
      </w:r>
      <w:r w:rsidR="002A18D9" w:rsidRPr="00090CCF">
        <w:rPr>
          <w:lang w:val="en-GB"/>
        </w:rPr>
        <w:t xml:space="preserve">tion presented by the Ministers. However, pursuant to section 83(1.1) of the </w:t>
      </w:r>
      <w:r w:rsidR="002D52C2" w:rsidRPr="002D52C2">
        <w:rPr>
          <w:i/>
          <w:lang w:val="en-GB"/>
        </w:rPr>
        <w:t>Immigration and Refugee Protection Act</w:t>
      </w:r>
      <w:r w:rsidR="002D52C2" w:rsidRPr="002D52C2">
        <w:rPr>
          <w:lang w:val="en-GB"/>
        </w:rPr>
        <w:t xml:space="preserve"> (“IRPA”)</w:t>
      </w:r>
      <w:r w:rsidR="002D52C2">
        <w:rPr>
          <w:lang w:val="en-GB"/>
        </w:rPr>
        <w:t>,</w:t>
      </w:r>
      <w:r w:rsidR="002A18D9" w:rsidRPr="00090CCF">
        <w:rPr>
          <w:lang w:val="en-GB"/>
        </w:rPr>
        <w:t xml:space="preserve"> s</w:t>
      </w:r>
      <w:r w:rsidRPr="00090CCF">
        <w:rPr>
          <w:lang w:val="en-GB"/>
        </w:rPr>
        <w:t xml:space="preserve">uch information does not include “information that is believed on reasonable grounds to have been obtained as a result of the use of torture within the meaning of section 269.1 of the </w:t>
      </w:r>
      <w:r w:rsidRPr="00090CCF">
        <w:rPr>
          <w:i/>
          <w:lang w:val="en-GB"/>
        </w:rPr>
        <w:t>Criminal Code</w:t>
      </w:r>
      <w:r w:rsidRPr="00090CCF">
        <w:rPr>
          <w:lang w:val="en-GB"/>
        </w:rPr>
        <w:t>, or cruel, inhuman or degrading treatment or punishment within</w:t>
      </w:r>
      <w:r w:rsidR="002A18D9" w:rsidRPr="00090CCF">
        <w:rPr>
          <w:lang w:val="en-GB"/>
        </w:rPr>
        <w:t xml:space="preserve"> the meaning of the Convention Against Torture”.</w:t>
      </w:r>
    </w:p>
    <w:p w:rsidR="00AD71B8" w:rsidRPr="00090CCF" w:rsidRDefault="00AD71B8" w:rsidP="00AD71B8">
      <w:pPr>
        <w:spacing w:after="0" w:line="240" w:lineRule="auto"/>
        <w:ind w:left="567"/>
        <w:rPr>
          <w:lang w:val="en-GB"/>
        </w:rPr>
      </w:pPr>
    </w:p>
    <w:p w:rsidR="000555D1" w:rsidRPr="00090CCF" w:rsidRDefault="002A18D9" w:rsidP="00852CC0">
      <w:pPr>
        <w:spacing w:after="0" w:line="240" w:lineRule="auto"/>
        <w:rPr>
          <w:rFonts w:ascii="Arial" w:hAnsi="Arial" w:cs="Arial"/>
          <w:b/>
        </w:rPr>
      </w:pPr>
      <w:r w:rsidRPr="00090CCF">
        <w:rPr>
          <w:rFonts w:ascii="Arial" w:hAnsi="Arial" w:cs="Arial"/>
          <w:b/>
        </w:rPr>
        <w:t>Procedural safeguards relating to detention under the security certificate regime</w:t>
      </w:r>
    </w:p>
    <w:p w:rsidR="00AD71B8" w:rsidRPr="00090CCF" w:rsidRDefault="00AD71B8" w:rsidP="00852CC0">
      <w:pPr>
        <w:spacing w:after="0" w:line="240" w:lineRule="auto"/>
        <w:jc w:val="both"/>
      </w:pPr>
    </w:p>
    <w:p w:rsidR="00AD71B8" w:rsidRPr="00090CCF" w:rsidRDefault="000555D1" w:rsidP="00AD71B8">
      <w:pPr>
        <w:numPr>
          <w:ilvl w:val="0"/>
          <w:numId w:val="28"/>
        </w:numPr>
        <w:tabs>
          <w:tab w:val="num" w:pos="567"/>
        </w:tabs>
        <w:spacing w:after="0" w:line="240" w:lineRule="auto"/>
        <w:ind w:left="567" w:hanging="567"/>
      </w:pPr>
      <w:r w:rsidRPr="00090CCF">
        <w:t>Detention under the security certificate regime is only sought if a certificate has been issued and if there are reasonable grounds to believe that the person is a danger to national security or to the safety of any person, or</w:t>
      </w:r>
      <w:r w:rsidR="003E48A8" w:rsidRPr="00090CCF">
        <w:t xml:space="preserve"> that the person</w:t>
      </w:r>
      <w:r w:rsidRPr="00090CCF">
        <w:t xml:space="preserve"> is unlikely to appear a</w:t>
      </w:r>
      <w:r w:rsidR="00794665" w:rsidRPr="00090CCF">
        <w:t xml:space="preserve">t a proceeding or for removal. </w:t>
      </w:r>
      <w:r w:rsidRPr="00090CCF">
        <w:t>Detention procedures are subject to appropriate procedural safeguards</w:t>
      </w:r>
      <w:r w:rsidR="00794665" w:rsidRPr="00090CCF">
        <w:t>,</w:t>
      </w:r>
      <w:r w:rsidRPr="00090CCF">
        <w:t xml:space="preserve"> enacted by statute</w:t>
      </w:r>
      <w:r w:rsidR="00794665" w:rsidRPr="00090CCF">
        <w:t>,</w:t>
      </w:r>
      <w:r w:rsidRPr="00090CCF">
        <w:t xml:space="preserve"> that ensure that Canada complies with its international obligations. </w:t>
      </w:r>
    </w:p>
    <w:p w:rsidR="00AD71B8" w:rsidRPr="00090CCF" w:rsidRDefault="00AD71B8" w:rsidP="00AD71B8">
      <w:pPr>
        <w:spacing w:after="0" w:line="240" w:lineRule="auto"/>
        <w:ind w:left="567"/>
      </w:pPr>
    </w:p>
    <w:p w:rsidR="000555D1" w:rsidRPr="00090CCF" w:rsidRDefault="0023608A" w:rsidP="00AD71B8">
      <w:pPr>
        <w:numPr>
          <w:ilvl w:val="0"/>
          <w:numId w:val="28"/>
        </w:numPr>
        <w:tabs>
          <w:tab w:val="num" w:pos="567"/>
        </w:tabs>
        <w:spacing w:after="0" w:line="240" w:lineRule="auto"/>
        <w:ind w:left="567" w:hanging="567"/>
      </w:pPr>
      <w:r w:rsidRPr="00090CCF">
        <w:t>T</w:t>
      </w:r>
      <w:r w:rsidR="000555D1" w:rsidRPr="00090CCF">
        <w:t>here are effective mechanisms for regular and meaningful judicial review, set out in the IRPA, to ensure that individuals’ liberty is constrained to the minimal extent necessary.</w:t>
      </w:r>
      <w:r w:rsidR="00010986" w:rsidRPr="00090CCF">
        <w:t xml:space="preserve"> </w:t>
      </w:r>
      <w:r w:rsidRPr="00090CCF">
        <w:t xml:space="preserve">Review of the detention of an individual subject to a security certificate is conducted by a judge of the Federal Court. </w:t>
      </w:r>
      <w:r w:rsidR="00010986" w:rsidRPr="00090CCF">
        <w:t xml:space="preserve">The judge will only order an individual's continued detention under the security certificate regime if the judge is satisfied that the individual’s release with conditions would be injurious to national security, that it would endanger the safety of any person, or that the person is unlikely to appear at a proceeding or for removal. </w:t>
      </w:r>
      <w:r w:rsidR="000555D1" w:rsidRPr="00090CCF">
        <w:t>Detention is not a punitive measure.</w:t>
      </w:r>
    </w:p>
    <w:p w:rsidR="00AD71B8" w:rsidRPr="00090CCF" w:rsidRDefault="00AD71B8" w:rsidP="00AD71B8">
      <w:pPr>
        <w:spacing w:after="0" w:line="240" w:lineRule="auto"/>
      </w:pPr>
    </w:p>
    <w:p w:rsidR="00AD71B8" w:rsidRPr="00090CCF" w:rsidRDefault="0023608A" w:rsidP="00AD71B8">
      <w:pPr>
        <w:numPr>
          <w:ilvl w:val="0"/>
          <w:numId w:val="28"/>
        </w:numPr>
        <w:tabs>
          <w:tab w:val="num" w:pos="567"/>
        </w:tabs>
        <w:spacing w:after="0" w:line="240" w:lineRule="auto"/>
        <w:ind w:left="567" w:hanging="567"/>
      </w:pPr>
      <w:r w:rsidRPr="00090CCF">
        <w:t xml:space="preserve">The first review is conducted 48 hours after initial arrest and subsequently at least once every 6 months. The </w:t>
      </w:r>
      <w:r w:rsidR="004E51D5" w:rsidRPr="00090CCF">
        <w:t xml:space="preserve">Federal Court </w:t>
      </w:r>
      <w:r w:rsidRPr="00090CCF">
        <w:t xml:space="preserve">judge takes into consideration the specific circumstances of each individual in determining which conditions should be imposed upon release (and subsequently, which conditions remain appropriate upon review), based on an individualized assessment of the level of danger the individual poses and/or if they are unlikely to appear for proceedings or for </w:t>
      </w:r>
      <w:r w:rsidR="00AD71B8" w:rsidRPr="00090CCF">
        <w:t xml:space="preserve">removal. </w:t>
      </w:r>
    </w:p>
    <w:p w:rsidR="00AD71B8" w:rsidRPr="00090CCF" w:rsidRDefault="00AD71B8" w:rsidP="00AD71B8">
      <w:pPr>
        <w:pStyle w:val="ListParagraph"/>
        <w:spacing w:after="0" w:line="240" w:lineRule="auto"/>
      </w:pPr>
    </w:p>
    <w:p w:rsidR="0023608A" w:rsidRPr="00090CCF" w:rsidRDefault="0023608A" w:rsidP="00AD71B8">
      <w:pPr>
        <w:numPr>
          <w:ilvl w:val="0"/>
          <w:numId w:val="28"/>
        </w:numPr>
        <w:tabs>
          <w:tab w:val="num" w:pos="567"/>
        </w:tabs>
        <w:spacing w:after="0" w:line="240" w:lineRule="auto"/>
        <w:ind w:left="567" w:hanging="567"/>
      </w:pPr>
      <w:r w:rsidRPr="00090CCF">
        <w:t>Currently, all three individuals who are subject to a certificate are on release with conditions, which have been significantly reduced over time by judges of the Federal Court.</w:t>
      </w:r>
    </w:p>
    <w:p w:rsidR="00AD71B8" w:rsidRPr="00090CCF" w:rsidRDefault="00AD71B8" w:rsidP="00852CC0">
      <w:pPr>
        <w:spacing w:after="0" w:line="240" w:lineRule="auto"/>
        <w:jc w:val="both"/>
        <w:rPr>
          <w:lang w:val="en-GB"/>
        </w:rPr>
      </w:pPr>
    </w:p>
    <w:p w:rsidR="0023608A" w:rsidRPr="00090CCF" w:rsidRDefault="00DD4E90" w:rsidP="00AD71B8">
      <w:pPr>
        <w:numPr>
          <w:ilvl w:val="0"/>
          <w:numId w:val="28"/>
        </w:numPr>
        <w:tabs>
          <w:tab w:val="num" w:pos="567"/>
        </w:tabs>
        <w:spacing w:after="0" w:line="240" w:lineRule="auto"/>
        <w:ind w:left="567" w:hanging="567"/>
      </w:pPr>
      <w:r w:rsidRPr="00090CCF">
        <w:t xml:space="preserve">No Canadian court has found that an individual’s detention under the security certificate regime amounted to cruel or unusual treatment or punishment </w:t>
      </w:r>
      <w:r w:rsidR="00794665" w:rsidRPr="00090CCF">
        <w:t xml:space="preserve">contrary to section 12 of the </w:t>
      </w:r>
      <w:r w:rsidR="00794665" w:rsidRPr="00090CCF">
        <w:rPr>
          <w:i/>
        </w:rPr>
        <w:t>Canadian Charter of Rights and Freedoms</w:t>
      </w:r>
      <w:r w:rsidR="0023608A" w:rsidRPr="00090CCF">
        <w:t>.</w:t>
      </w:r>
      <w:r w:rsidR="000555D1" w:rsidRPr="00090CCF">
        <w:t xml:space="preserve"> Canada refers the Committee to the </w:t>
      </w:r>
      <w:r w:rsidR="00794665" w:rsidRPr="00090CCF">
        <w:t>information provided at paragraphs 60-61 of Canada’s 2012 Response to the Committee, conce</w:t>
      </w:r>
      <w:r w:rsidR="000555D1" w:rsidRPr="00090CCF">
        <w:t>rning detention in th</w:t>
      </w:r>
      <w:r w:rsidR="00794665" w:rsidRPr="00090CCF">
        <w:t>e security certificate context.</w:t>
      </w:r>
      <w:r w:rsidR="000555D1" w:rsidRPr="00090CCF">
        <w:t xml:space="preserve"> </w:t>
      </w:r>
    </w:p>
    <w:p w:rsidR="00AD71B8" w:rsidRPr="00090CCF" w:rsidRDefault="00AD71B8" w:rsidP="00AD71B8">
      <w:pPr>
        <w:pStyle w:val="ListParagraph"/>
      </w:pPr>
    </w:p>
    <w:p w:rsidR="00AD71B8" w:rsidRPr="00090CCF" w:rsidRDefault="00AD71B8" w:rsidP="00090CCF">
      <w:pPr>
        <w:keepNext/>
        <w:spacing w:after="0" w:line="240" w:lineRule="auto"/>
        <w:jc w:val="center"/>
        <w:rPr>
          <w:rFonts w:ascii="Arial" w:hAnsi="Arial" w:cs="Arial"/>
          <w:b/>
          <w:sz w:val="28"/>
          <w:szCs w:val="28"/>
        </w:rPr>
      </w:pPr>
      <w:r w:rsidRPr="00090CCF">
        <w:rPr>
          <w:rFonts w:ascii="Arial" w:hAnsi="Arial" w:cs="Arial"/>
          <w:b/>
          <w:sz w:val="28"/>
          <w:szCs w:val="28"/>
        </w:rPr>
        <w:t>Recommendation 13</w:t>
      </w:r>
    </w:p>
    <w:p w:rsidR="00AD71B8" w:rsidRPr="00090CCF" w:rsidRDefault="00AD71B8" w:rsidP="00090CCF">
      <w:pPr>
        <w:keepNext/>
        <w:spacing w:after="0" w:line="240" w:lineRule="auto"/>
        <w:jc w:val="center"/>
        <w:rPr>
          <w:rFonts w:ascii="Arial" w:hAnsi="Arial" w:cs="Arial"/>
          <w:b/>
          <w:sz w:val="28"/>
          <w:szCs w:val="28"/>
        </w:rPr>
      </w:pPr>
    </w:p>
    <w:p w:rsidR="00AD71B8" w:rsidRPr="00090CCF" w:rsidRDefault="00AD71B8" w:rsidP="00090CCF">
      <w:pPr>
        <w:keepNext/>
        <w:spacing w:after="0" w:line="240" w:lineRule="auto"/>
        <w:jc w:val="center"/>
        <w:rPr>
          <w:rFonts w:ascii="Arial" w:hAnsi="Arial" w:cs="Arial"/>
          <w:b/>
          <w:sz w:val="28"/>
          <w:szCs w:val="28"/>
        </w:rPr>
      </w:pPr>
      <w:r w:rsidRPr="00090CCF">
        <w:rPr>
          <w:rFonts w:ascii="Arial" w:hAnsi="Arial" w:cs="Arial"/>
          <w:b/>
          <w:sz w:val="28"/>
          <w:szCs w:val="28"/>
        </w:rPr>
        <w:t>Immigration detention</w:t>
      </w:r>
    </w:p>
    <w:p w:rsidR="00AD71B8" w:rsidRPr="00090CCF" w:rsidRDefault="00AD71B8" w:rsidP="00AD71B8">
      <w:pPr>
        <w:spacing w:after="0" w:line="240" w:lineRule="auto"/>
      </w:pPr>
    </w:p>
    <w:p w:rsidR="008623F8" w:rsidRPr="00090CCF" w:rsidRDefault="008623F8" w:rsidP="00CA3CA2">
      <w:pPr>
        <w:spacing w:after="0" w:line="240" w:lineRule="auto"/>
        <w:ind w:left="567"/>
        <w:rPr>
          <w:bCs/>
          <w:i/>
        </w:rPr>
      </w:pPr>
      <w:r w:rsidRPr="00090CCF">
        <w:rPr>
          <w:bCs/>
          <w:i/>
        </w:rPr>
        <w:t xml:space="preserve">The Committee recommends the State party to modify Bill C-31, in particular its provisions regulating mandatory detention and denial of appeal rights, given the potential violation of rights protected by the Convention. Furthermore, the State party should ensure that: </w:t>
      </w:r>
    </w:p>
    <w:p w:rsidR="00AD71B8" w:rsidRPr="00090CCF" w:rsidRDefault="00AD71B8" w:rsidP="00CA3CA2">
      <w:pPr>
        <w:spacing w:after="0" w:line="240" w:lineRule="auto"/>
        <w:ind w:left="567"/>
        <w:rPr>
          <w:i/>
        </w:rPr>
      </w:pPr>
    </w:p>
    <w:p w:rsidR="008623F8" w:rsidRPr="00090CCF" w:rsidRDefault="008623F8" w:rsidP="00CA3CA2">
      <w:pPr>
        <w:pStyle w:val="ListParagraph"/>
        <w:numPr>
          <w:ilvl w:val="0"/>
          <w:numId w:val="5"/>
        </w:numPr>
        <w:spacing w:after="0" w:line="240" w:lineRule="auto"/>
        <w:rPr>
          <w:i/>
        </w:rPr>
      </w:pPr>
      <w:r w:rsidRPr="00090CCF">
        <w:rPr>
          <w:bCs/>
          <w:i/>
        </w:rPr>
        <w:t xml:space="preserve">Detention is used as a measure of last resort, a reasonable time limit for detention is set, and non-custodial measures and alternatives to detention are made available to persons in immigration detention; and </w:t>
      </w:r>
    </w:p>
    <w:p w:rsidR="00AD71B8" w:rsidRPr="00090CCF" w:rsidRDefault="00AD71B8" w:rsidP="00CA3CA2">
      <w:pPr>
        <w:pStyle w:val="ListParagraph"/>
        <w:spacing w:after="0" w:line="240" w:lineRule="auto"/>
        <w:ind w:left="1080"/>
        <w:rPr>
          <w:i/>
        </w:rPr>
      </w:pPr>
    </w:p>
    <w:p w:rsidR="008623F8" w:rsidRPr="00090CCF" w:rsidRDefault="008623F8" w:rsidP="00CA3CA2">
      <w:pPr>
        <w:pStyle w:val="ListParagraph"/>
        <w:numPr>
          <w:ilvl w:val="0"/>
          <w:numId w:val="5"/>
        </w:numPr>
        <w:spacing w:after="0" w:line="240" w:lineRule="auto"/>
        <w:contextualSpacing w:val="0"/>
        <w:rPr>
          <w:i/>
        </w:rPr>
      </w:pPr>
      <w:r w:rsidRPr="00090CCF">
        <w:rPr>
          <w:bCs/>
          <w:i/>
        </w:rPr>
        <w:t xml:space="preserve">All refugee claimants are provided with access to a full appeal hearing before the Refugee Appeal Division. </w:t>
      </w:r>
    </w:p>
    <w:p w:rsidR="00AD71B8" w:rsidRPr="00090CCF" w:rsidRDefault="00AD71B8" w:rsidP="00852CC0">
      <w:pPr>
        <w:spacing w:after="0" w:line="240" w:lineRule="auto"/>
        <w:jc w:val="both"/>
        <w:rPr>
          <w:b/>
          <w:bCs/>
          <w:i/>
        </w:rPr>
      </w:pPr>
    </w:p>
    <w:p w:rsidR="00CC2125" w:rsidRPr="00090CCF" w:rsidRDefault="00CC2125" w:rsidP="00852CC0">
      <w:pPr>
        <w:spacing w:after="0" w:line="240" w:lineRule="auto"/>
        <w:jc w:val="both"/>
        <w:rPr>
          <w:rFonts w:ascii="Arial" w:hAnsi="Arial" w:cs="Arial"/>
          <w:b/>
          <w:bCs/>
        </w:rPr>
      </w:pPr>
    </w:p>
    <w:p w:rsidR="0024312C" w:rsidRPr="00090CCF" w:rsidRDefault="0024312C" w:rsidP="00852CC0">
      <w:pPr>
        <w:spacing w:after="0" w:line="240" w:lineRule="auto"/>
        <w:jc w:val="both"/>
        <w:rPr>
          <w:rFonts w:ascii="Arial" w:hAnsi="Arial" w:cs="Arial"/>
          <w:b/>
          <w:bCs/>
        </w:rPr>
      </w:pPr>
      <w:r w:rsidRPr="00090CCF">
        <w:rPr>
          <w:rFonts w:ascii="Arial" w:hAnsi="Arial" w:cs="Arial"/>
          <w:b/>
          <w:bCs/>
        </w:rPr>
        <w:t xml:space="preserve">Detention </w:t>
      </w:r>
      <w:r w:rsidR="004D383B" w:rsidRPr="00090CCF">
        <w:rPr>
          <w:rFonts w:ascii="Arial" w:hAnsi="Arial" w:cs="Arial"/>
          <w:b/>
          <w:bCs/>
        </w:rPr>
        <w:t>in the immigration context</w:t>
      </w:r>
    </w:p>
    <w:p w:rsidR="0024312C" w:rsidRPr="00090CCF" w:rsidRDefault="0024312C" w:rsidP="00852CC0">
      <w:pPr>
        <w:spacing w:after="0" w:line="240" w:lineRule="auto"/>
        <w:jc w:val="both"/>
        <w:rPr>
          <w:bCs/>
        </w:rPr>
      </w:pPr>
    </w:p>
    <w:p w:rsidR="0024312C" w:rsidRPr="00090CCF" w:rsidRDefault="0024312C" w:rsidP="00AD71B8">
      <w:pPr>
        <w:numPr>
          <w:ilvl w:val="0"/>
          <w:numId w:val="28"/>
        </w:numPr>
        <w:tabs>
          <w:tab w:val="num" w:pos="567"/>
        </w:tabs>
        <w:spacing w:after="0" w:line="240" w:lineRule="auto"/>
        <w:ind w:left="567" w:hanging="567"/>
        <w:rPr>
          <w:b/>
        </w:rPr>
      </w:pPr>
      <w:r w:rsidRPr="00090CCF">
        <w:rPr>
          <w:iCs/>
        </w:rPr>
        <w:t xml:space="preserve">Bill C-31, the </w:t>
      </w:r>
      <w:r w:rsidRPr="00090CCF">
        <w:rPr>
          <w:i/>
          <w:iCs/>
        </w:rPr>
        <w:t>Protecting Canada’s Immigration System Act</w:t>
      </w:r>
      <w:r w:rsidRPr="00090CCF">
        <w:t xml:space="preserve"> (</w:t>
      </w:r>
      <w:r w:rsidR="00C314A8" w:rsidRPr="00090CCF">
        <w:t>“</w:t>
      </w:r>
      <w:r w:rsidRPr="00090CCF">
        <w:rPr>
          <w:iCs/>
        </w:rPr>
        <w:t>PCISA</w:t>
      </w:r>
      <w:r w:rsidR="00C314A8" w:rsidRPr="00090CCF">
        <w:rPr>
          <w:iCs/>
        </w:rPr>
        <w:t>”</w:t>
      </w:r>
      <w:r w:rsidR="004D383B" w:rsidRPr="00090CCF">
        <w:t>)</w:t>
      </w:r>
      <w:r w:rsidR="00C314A8" w:rsidRPr="00090CCF">
        <w:t>,</w:t>
      </w:r>
      <w:r w:rsidR="00C314A8" w:rsidRPr="00090CCF">
        <w:rPr>
          <w:rStyle w:val="FootnoteReference"/>
        </w:rPr>
        <w:footnoteReference w:id="4"/>
      </w:r>
      <w:r w:rsidRPr="00090CCF">
        <w:t xml:space="preserve"> received Royal Assent on June 28, 2012. </w:t>
      </w:r>
      <w:r w:rsidRPr="00090CCF">
        <w:rPr>
          <w:bCs/>
        </w:rPr>
        <w:t>The PCISA does not significantly change the detention regime that</w:t>
      </w:r>
      <w:r w:rsidR="00E95259" w:rsidRPr="00090CCF">
        <w:rPr>
          <w:bCs/>
        </w:rPr>
        <w:t xml:space="preserve"> applies in</w:t>
      </w:r>
      <w:r w:rsidRPr="00090CCF">
        <w:rPr>
          <w:bCs/>
        </w:rPr>
        <w:t xml:space="preserve"> the vast majority of cases. An explanation of the regular regime is available online: www.cbsa-asfc.gc.ca/media/facts-faits/007-eng.html </w:t>
      </w:r>
    </w:p>
    <w:p w:rsidR="00AD71B8" w:rsidRPr="00090CCF" w:rsidRDefault="00AD71B8" w:rsidP="00852CC0">
      <w:pPr>
        <w:spacing w:after="0" w:line="240" w:lineRule="auto"/>
        <w:jc w:val="both"/>
        <w:rPr>
          <w:bCs/>
        </w:rPr>
      </w:pPr>
    </w:p>
    <w:p w:rsidR="0024312C" w:rsidRPr="00090CCF" w:rsidRDefault="0024312C" w:rsidP="00AD71B8">
      <w:pPr>
        <w:numPr>
          <w:ilvl w:val="0"/>
          <w:numId w:val="28"/>
        </w:numPr>
        <w:tabs>
          <w:tab w:val="num" w:pos="567"/>
        </w:tabs>
        <w:spacing w:after="0" w:line="240" w:lineRule="auto"/>
        <w:ind w:left="567" w:hanging="567"/>
        <w:rPr>
          <w:u w:val="single"/>
        </w:rPr>
      </w:pPr>
      <w:r w:rsidRPr="00090CCF">
        <w:rPr>
          <w:bCs/>
        </w:rPr>
        <w:t xml:space="preserve">The PCISA provisions relating to immigration detention affect only a small and exceptional subset of foreign nationals: “designated foreign nationals”. </w:t>
      </w:r>
      <w:r w:rsidRPr="00090CCF">
        <w:rPr>
          <w:lang w:val="en-GB"/>
        </w:rPr>
        <w:t xml:space="preserve">The PCISA </w:t>
      </w:r>
      <w:r w:rsidRPr="00090CCF">
        <w:rPr>
          <w:lang w:val="en-GB"/>
        </w:rPr>
        <w:lastRenderedPageBreak/>
        <w:t>authorizes the Minister of Public Safety to designate an arrival as irregular only in specific circumstances where the use of immig</w:t>
      </w:r>
      <w:r w:rsidR="00C314A8" w:rsidRPr="00090CCF">
        <w:rPr>
          <w:lang w:val="en-GB"/>
        </w:rPr>
        <w:t xml:space="preserve">ration detention is necessary. </w:t>
      </w:r>
      <w:r w:rsidRPr="00090CCF">
        <w:rPr>
          <w:lang w:val="en-GB"/>
        </w:rPr>
        <w:t>In particular, the Minister may make a designation when, having regard to the public interest, the Minister:</w:t>
      </w:r>
    </w:p>
    <w:p w:rsidR="00CC2125" w:rsidRPr="00090CCF" w:rsidRDefault="00CC2125" w:rsidP="00CC2125">
      <w:pPr>
        <w:spacing w:after="0" w:line="240" w:lineRule="auto"/>
        <w:rPr>
          <w:u w:val="single"/>
        </w:rPr>
      </w:pPr>
    </w:p>
    <w:p w:rsidR="0024312C" w:rsidRPr="00090CCF" w:rsidRDefault="0024312C" w:rsidP="00CA3CA2">
      <w:pPr>
        <w:pStyle w:val="ListParagraph"/>
        <w:numPr>
          <w:ilvl w:val="0"/>
          <w:numId w:val="26"/>
        </w:numPr>
        <w:spacing w:after="0" w:line="240" w:lineRule="auto"/>
        <w:ind w:left="1134" w:hanging="567"/>
        <w:rPr>
          <w:u w:val="single"/>
        </w:rPr>
      </w:pPr>
      <w:r w:rsidRPr="00090CCF">
        <w:rPr>
          <w:lang w:val="en-GB"/>
        </w:rPr>
        <w:t>is of the opinion that the assessment of the claims of the foreign nationals in the group cannot be conducted in a timely manner (including because of challenges in determining the identities or admissib</w:t>
      </w:r>
      <w:r w:rsidR="00C314A8" w:rsidRPr="00090CCF">
        <w:rPr>
          <w:lang w:val="en-GB"/>
        </w:rPr>
        <w:t>ility of the foreign nationals);</w:t>
      </w:r>
      <w:r w:rsidRPr="00090CCF">
        <w:rPr>
          <w:lang w:val="en-GB"/>
        </w:rPr>
        <w:t xml:space="preserve"> or</w:t>
      </w:r>
    </w:p>
    <w:p w:rsidR="00CC2125" w:rsidRPr="00090CCF" w:rsidRDefault="00CC2125" w:rsidP="00CA3CA2">
      <w:pPr>
        <w:spacing w:after="0" w:line="240" w:lineRule="auto"/>
        <w:ind w:left="567"/>
        <w:rPr>
          <w:u w:val="single"/>
        </w:rPr>
      </w:pPr>
    </w:p>
    <w:p w:rsidR="0024312C" w:rsidRPr="00090CCF" w:rsidRDefault="0024312C" w:rsidP="00CA3CA2">
      <w:pPr>
        <w:pStyle w:val="ListParagraph"/>
        <w:numPr>
          <w:ilvl w:val="0"/>
          <w:numId w:val="26"/>
        </w:numPr>
        <w:spacing w:after="0" w:line="240" w:lineRule="auto"/>
        <w:ind w:left="1134" w:hanging="567"/>
        <w:contextualSpacing w:val="0"/>
        <w:rPr>
          <w:u w:val="single"/>
        </w:rPr>
      </w:pPr>
      <w:proofErr w:type="gramStart"/>
      <w:r w:rsidRPr="00090CCF">
        <w:rPr>
          <w:lang w:val="en-GB"/>
        </w:rPr>
        <w:t>has</w:t>
      </w:r>
      <w:proofErr w:type="gramEnd"/>
      <w:r w:rsidRPr="00090CCF">
        <w:rPr>
          <w:lang w:val="en-GB"/>
        </w:rPr>
        <w:t xml:space="preserve"> reasonable grounds to suspect that their arrival results from a human smuggling offence committed </w:t>
      </w:r>
      <w:r w:rsidRPr="00090CCF">
        <w:rPr>
          <w:rFonts w:eastAsia="Calibri"/>
        </w:rPr>
        <w:t>for profit, or for the benefit of, at the direction of or in association with a criminal organization or terrorist group.</w:t>
      </w:r>
    </w:p>
    <w:p w:rsidR="00CC2125" w:rsidRPr="00090CCF" w:rsidRDefault="00CC2125" w:rsidP="00852CC0">
      <w:pPr>
        <w:spacing w:after="0" w:line="240" w:lineRule="auto"/>
        <w:jc w:val="both"/>
      </w:pPr>
    </w:p>
    <w:p w:rsidR="0024312C" w:rsidRPr="00090CCF" w:rsidRDefault="0024312C" w:rsidP="00CC2125">
      <w:pPr>
        <w:numPr>
          <w:ilvl w:val="0"/>
          <w:numId w:val="28"/>
        </w:numPr>
        <w:tabs>
          <w:tab w:val="num" w:pos="567"/>
        </w:tabs>
        <w:spacing w:after="0" w:line="240" w:lineRule="auto"/>
        <w:ind w:left="567" w:hanging="567"/>
        <w:rPr>
          <w:lang w:val="en-GB"/>
        </w:rPr>
      </w:pPr>
      <w:r w:rsidRPr="00090CCF">
        <w:rPr>
          <w:lang w:val="en-GB"/>
        </w:rPr>
        <w:t>If the Minister designates an arrival</w:t>
      </w:r>
      <w:r w:rsidR="00012F31" w:rsidRPr="00090CCF">
        <w:rPr>
          <w:lang w:val="en-GB"/>
        </w:rPr>
        <w:t xml:space="preserve"> as irregular</w:t>
      </w:r>
      <w:r w:rsidRPr="00090CCF">
        <w:rPr>
          <w:lang w:val="en-GB"/>
        </w:rPr>
        <w:t>, those foreign nationals who entered Canada as part of the group become “</w:t>
      </w:r>
      <w:r w:rsidR="00C314A8" w:rsidRPr="00090CCF">
        <w:rPr>
          <w:lang w:val="en-GB"/>
        </w:rPr>
        <w:t xml:space="preserve">designated foreign nationals”. </w:t>
      </w:r>
      <w:r w:rsidRPr="00090CCF">
        <w:rPr>
          <w:lang w:val="en-GB"/>
        </w:rPr>
        <w:t xml:space="preserve">Designated foreign nationals who are 16 years or older at the time of arrival are subject to mandatory initial arrest and detention in order to give border authorities sufficient time to conduct investigations into the identity and admissibility of those who have arrived.  </w:t>
      </w:r>
    </w:p>
    <w:p w:rsidR="00CC2125" w:rsidRPr="00090CCF" w:rsidRDefault="00CC2125" w:rsidP="00852CC0">
      <w:pPr>
        <w:spacing w:after="0" w:line="240" w:lineRule="auto"/>
        <w:jc w:val="both"/>
        <w:rPr>
          <w:lang w:val="en-GB"/>
        </w:rPr>
      </w:pPr>
    </w:p>
    <w:p w:rsidR="0024312C" w:rsidRPr="00090CCF" w:rsidRDefault="0024312C" w:rsidP="00CC2125">
      <w:pPr>
        <w:numPr>
          <w:ilvl w:val="0"/>
          <w:numId w:val="28"/>
        </w:numPr>
        <w:tabs>
          <w:tab w:val="num" w:pos="567"/>
        </w:tabs>
        <w:spacing w:after="0" w:line="240" w:lineRule="auto"/>
        <w:ind w:left="567" w:hanging="567"/>
      </w:pPr>
      <w:r w:rsidRPr="00090CCF">
        <w:rPr>
          <w:lang w:val="en-GB"/>
        </w:rPr>
        <w:t>There are a number of safeguards to ensure that detention in such cases continues no longer than is necessary</w:t>
      </w:r>
      <w:r w:rsidR="00E95259" w:rsidRPr="00090CCF">
        <w:rPr>
          <w:lang w:val="en-GB"/>
        </w:rPr>
        <w:t>, including</w:t>
      </w:r>
      <w:r w:rsidRPr="00090CCF">
        <w:rPr>
          <w:lang w:val="en-GB"/>
        </w:rPr>
        <w:t>:</w:t>
      </w:r>
    </w:p>
    <w:p w:rsidR="00CC2125" w:rsidRPr="00090CCF" w:rsidRDefault="00CC2125" w:rsidP="00CC2125">
      <w:pPr>
        <w:spacing w:after="0" w:line="240" w:lineRule="auto"/>
      </w:pPr>
    </w:p>
    <w:p w:rsidR="0024312C" w:rsidRPr="00090CCF" w:rsidRDefault="0024312C" w:rsidP="00CA3CA2">
      <w:pPr>
        <w:pStyle w:val="ListParagraph"/>
        <w:numPr>
          <w:ilvl w:val="0"/>
          <w:numId w:val="26"/>
        </w:numPr>
        <w:spacing w:after="0" w:line="240" w:lineRule="auto"/>
        <w:ind w:left="1134" w:hanging="567"/>
      </w:pPr>
      <w:r w:rsidRPr="00090CCF">
        <w:rPr>
          <w:lang w:val="en-GB"/>
        </w:rPr>
        <w:t>Regular detention reviews before the quasi-judicial and independent Immigration Division of the Immigration and Refugee Board (</w:t>
      </w:r>
      <w:r w:rsidR="00C314A8" w:rsidRPr="00090CCF">
        <w:rPr>
          <w:lang w:val="en-GB"/>
        </w:rPr>
        <w:t>“</w:t>
      </w:r>
      <w:r w:rsidRPr="00090CCF">
        <w:rPr>
          <w:lang w:val="en-GB"/>
        </w:rPr>
        <w:t>IRB</w:t>
      </w:r>
      <w:r w:rsidR="00C314A8" w:rsidRPr="00090CCF">
        <w:rPr>
          <w:lang w:val="en-GB"/>
        </w:rPr>
        <w:t>”). These reviews</w:t>
      </w:r>
      <w:r w:rsidRPr="00090CCF">
        <w:rPr>
          <w:lang w:val="en-GB"/>
        </w:rPr>
        <w:t xml:space="preserve"> must be held within 14 days of initial detention and subsequently at intervals of 6 months from the previous review. At these reviews, the Immigration Division can order release if satisfied that grounds for detention no longer exist. </w:t>
      </w:r>
      <w:r w:rsidRPr="00090CCF">
        <w:rPr>
          <w:color w:val="000000"/>
        </w:rPr>
        <w:t>The burden is on the Minister to demonstrate, on a balance of probabilities, that there are reasons warranting</w:t>
      </w:r>
      <w:r w:rsidR="00C314A8" w:rsidRPr="00090CCF">
        <w:rPr>
          <w:color w:val="000000"/>
        </w:rPr>
        <w:t xml:space="preserve"> continued detention.</w:t>
      </w:r>
      <w:r w:rsidRPr="00090CCF">
        <w:rPr>
          <w:color w:val="000000"/>
        </w:rPr>
        <w:t xml:space="preserve"> </w:t>
      </w:r>
      <w:r w:rsidRPr="00090CCF">
        <w:t>On all reviews after the initial 14-day review, the Immigration Division must consider whether alternatives to detention are available</w:t>
      </w:r>
      <w:r w:rsidRPr="00090CCF">
        <w:rPr>
          <w:lang w:val="en-GB"/>
        </w:rPr>
        <w:t xml:space="preserve">;  </w:t>
      </w:r>
    </w:p>
    <w:p w:rsidR="00CC2125" w:rsidRPr="00090CCF" w:rsidRDefault="00CC2125" w:rsidP="00CA3CA2">
      <w:pPr>
        <w:pStyle w:val="ListParagraph"/>
        <w:spacing w:after="0" w:line="240" w:lineRule="auto"/>
      </w:pPr>
    </w:p>
    <w:p w:rsidR="0024312C" w:rsidRPr="00090CCF" w:rsidRDefault="0024312C" w:rsidP="00CA3CA2">
      <w:pPr>
        <w:pStyle w:val="ListParagraph"/>
        <w:numPr>
          <w:ilvl w:val="0"/>
          <w:numId w:val="26"/>
        </w:numPr>
        <w:spacing w:after="0" w:line="240" w:lineRule="auto"/>
        <w:ind w:left="1134" w:hanging="567"/>
      </w:pPr>
      <w:r w:rsidRPr="00090CCF">
        <w:rPr>
          <w:lang w:val="en-GB"/>
        </w:rPr>
        <w:t xml:space="preserve">The Minister’s authority to grant release to a designated foreign national on application by the detainee if the Minister is satisfied that exceptional circumstances exist, or on the Minister’s own initiative if he or she is satisfied that the grounds for detention have ceased to exist; </w:t>
      </w:r>
    </w:p>
    <w:p w:rsidR="00CC2125" w:rsidRPr="00090CCF" w:rsidRDefault="00CC2125" w:rsidP="00CA3CA2">
      <w:pPr>
        <w:spacing w:after="0" w:line="240" w:lineRule="auto"/>
      </w:pPr>
    </w:p>
    <w:p w:rsidR="0024312C" w:rsidRPr="00090CCF" w:rsidRDefault="0024312C" w:rsidP="00CA3CA2">
      <w:pPr>
        <w:pStyle w:val="ListParagraph"/>
        <w:numPr>
          <w:ilvl w:val="0"/>
          <w:numId w:val="26"/>
        </w:numPr>
        <w:spacing w:after="0" w:line="240" w:lineRule="auto"/>
        <w:ind w:left="1134" w:hanging="567"/>
      </w:pPr>
      <w:r w:rsidRPr="00090CCF">
        <w:rPr>
          <w:lang w:val="en-GB"/>
        </w:rPr>
        <w:t xml:space="preserve">Legislative provision for release where a foreign national is determined to be a refugee or person in need of protection by the </w:t>
      </w:r>
      <w:r w:rsidR="00662328" w:rsidRPr="00090CCF">
        <w:rPr>
          <w:lang w:val="en-GB"/>
        </w:rPr>
        <w:t>IRB</w:t>
      </w:r>
      <w:r w:rsidRPr="00090CCF">
        <w:rPr>
          <w:lang w:val="en-GB"/>
        </w:rPr>
        <w:t>; and</w:t>
      </w:r>
    </w:p>
    <w:p w:rsidR="00CC2125" w:rsidRPr="00090CCF" w:rsidRDefault="00CC2125" w:rsidP="00CA3CA2">
      <w:pPr>
        <w:spacing w:after="0" w:line="240" w:lineRule="auto"/>
      </w:pPr>
    </w:p>
    <w:p w:rsidR="0024312C" w:rsidRPr="00090CCF" w:rsidRDefault="0024312C" w:rsidP="00CA3CA2">
      <w:pPr>
        <w:pStyle w:val="ListParagraph"/>
        <w:numPr>
          <w:ilvl w:val="0"/>
          <w:numId w:val="26"/>
        </w:numPr>
        <w:spacing w:after="0" w:line="240" w:lineRule="auto"/>
        <w:ind w:left="1134" w:hanging="567"/>
      </w:pPr>
      <w:r w:rsidRPr="00090CCF">
        <w:t>The availability of judicial review in Federal Court to challenge decisions, either of the Immigration Division ordering continued detention or of the Minister declining to grant release.</w:t>
      </w:r>
      <w:r w:rsidRPr="00090CCF">
        <w:rPr>
          <w:lang w:val="en-GB"/>
        </w:rPr>
        <w:t xml:space="preserve">  </w:t>
      </w:r>
    </w:p>
    <w:p w:rsidR="00CC2125" w:rsidRPr="00090CCF" w:rsidRDefault="00CC2125" w:rsidP="00852CC0">
      <w:pPr>
        <w:spacing w:after="0" w:line="240" w:lineRule="auto"/>
        <w:jc w:val="both"/>
      </w:pPr>
    </w:p>
    <w:p w:rsidR="0024312C" w:rsidRPr="00090CCF" w:rsidRDefault="0024312C" w:rsidP="00CC2125">
      <w:pPr>
        <w:numPr>
          <w:ilvl w:val="0"/>
          <w:numId w:val="28"/>
        </w:numPr>
        <w:tabs>
          <w:tab w:val="num" w:pos="567"/>
        </w:tabs>
        <w:spacing w:after="0" w:line="240" w:lineRule="auto"/>
        <w:ind w:left="567" w:hanging="567"/>
      </w:pPr>
      <w:r w:rsidRPr="00090CCF">
        <w:t xml:space="preserve">Canada does not set time limits for immigration detention. In </w:t>
      </w:r>
      <w:r w:rsidRPr="00090CCF">
        <w:rPr>
          <w:i/>
          <w:lang w:val="en-US"/>
        </w:rPr>
        <w:t xml:space="preserve">Charkaoui </w:t>
      </w:r>
      <w:r w:rsidRPr="00090CCF">
        <w:rPr>
          <w:i/>
          <w:iCs/>
          <w:lang w:val="en-US"/>
        </w:rPr>
        <w:t>v.</w:t>
      </w:r>
      <w:r w:rsidRPr="00090CCF">
        <w:rPr>
          <w:i/>
          <w:lang w:val="en-US"/>
        </w:rPr>
        <w:t xml:space="preserve"> Canada (Citizenship and Immigration)</w:t>
      </w:r>
      <w:r w:rsidRPr="00090CCF">
        <w:rPr>
          <w:lang w:val="en-US"/>
        </w:rPr>
        <w:t>,</w:t>
      </w:r>
      <w:r w:rsidRPr="00090CCF">
        <w:rPr>
          <w:rStyle w:val="FootnoteReference"/>
          <w:lang w:val="en-US"/>
        </w:rPr>
        <w:footnoteReference w:id="5"/>
      </w:r>
      <w:r w:rsidRPr="00090CCF">
        <w:rPr>
          <w:i/>
          <w:lang w:val="en-US"/>
        </w:rPr>
        <w:t xml:space="preserve"> </w:t>
      </w:r>
      <w:r w:rsidRPr="00090CCF">
        <w:t xml:space="preserve">the Supreme Court of Canada implicitly rejected the </w:t>
      </w:r>
      <w:r w:rsidR="00C314A8" w:rsidRPr="00090CCF">
        <w:lastRenderedPageBreak/>
        <w:t>necessity</w:t>
      </w:r>
      <w:r w:rsidRPr="00090CCF">
        <w:t xml:space="preserve"> of imposing strict timelines for immigration detention and instead emphasized the need for regular, ongoing and meaningful review to ensure that immigration detention only occurs when</w:t>
      </w:r>
      <w:r w:rsidR="00C314A8" w:rsidRPr="00090CCF">
        <w:t xml:space="preserve"> it is necessary and justified.</w:t>
      </w:r>
      <w:r w:rsidRPr="00090CCF">
        <w:t xml:space="preserve"> Furthermore, Canada views the timelines for detention reviews before the Immigration Division as reasonable. </w:t>
      </w:r>
    </w:p>
    <w:p w:rsidR="00CC2125" w:rsidRPr="00090CCF" w:rsidRDefault="00CC2125" w:rsidP="00CC2125">
      <w:pPr>
        <w:spacing w:after="0" w:line="240" w:lineRule="auto"/>
        <w:rPr>
          <w:b/>
          <w:u w:val="single"/>
          <w:lang w:val="en-GB"/>
        </w:rPr>
      </w:pPr>
    </w:p>
    <w:p w:rsidR="0024312C" w:rsidRPr="00090CCF" w:rsidRDefault="00C314A8" w:rsidP="00852CC0">
      <w:pPr>
        <w:spacing w:after="0" w:line="240" w:lineRule="auto"/>
        <w:jc w:val="both"/>
        <w:rPr>
          <w:rFonts w:ascii="Arial" w:hAnsi="Arial" w:cs="Arial"/>
          <w:b/>
          <w:bCs/>
        </w:rPr>
      </w:pPr>
      <w:r w:rsidRPr="00090CCF">
        <w:rPr>
          <w:rFonts w:ascii="Arial" w:hAnsi="Arial" w:cs="Arial"/>
          <w:b/>
          <w:bCs/>
        </w:rPr>
        <w:t xml:space="preserve">Access to the </w:t>
      </w:r>
      <w:r w:rsidR="0024312C" w:rsidRPr="00090CCF">
        <w:rPr>
          <w:rFonts w:ascii="Arial" w:hAnsi="Arial" w:cs="Arial"/>
          <w:b/>
          <w:bCs/>
        </w:rPr>
        <w:t>Refugee Appeal Division</w:t>
      </w:r>
    </w:p>
    <w:p w:rsidR="00CC2125" w:rsidRPr="00090CCF" w:rsidRDefault="00CC2125" w:rsidP="00852CC0">
      <w:pPr>
        <w:shd w:val="clear" w:color="auto" w:fill="FFFFFF"/>
        <w:spacing w:after="0" w:line="240" w:lineRule="auto"/>
        <w:jc w:val="both"/>
        <w:textAlignment w:val="top"/>
        <w:rPr>
          <w:rFonts w:eastAsia="Times New Roman"/>
          <w:lang w:eastAsia="en-CA"/>
        </w:rPr>
      </w:pPr>
    </w:p>
    <w:p w:rsidR="0024312C" w:rsidRPr="00090CCF" w:rsidRDefault="0024312C" w:rsidP="00CC2125">
      <w:pPr>
        <w:numPr>
          <w:ilvl w:val="0"/>
          <w:numId w:val="28"/>
        </w:numPr>
        <w:tabs>
          <w:tab w:val="num" w:pos="567"/>
        </w:tabs>
        <w:spacing w:after="0" w:line="240" w:lineRule="auto"/>
        <w:ind w:left="567" w:hanging="567"/>
      </w:pPr>
      <w:r w:rsidRPr="00090CCF">
        <w:rPr>
          <w:rFonts w:eastAsia="Times New Roman"/>
          <w:lang w:eastAsia="en-CA"/>
        </w:rPr>
        <w:t>PCISA established a Refugee Appeal Division (RAD) within the IRB. The RAD will provide an opportunity for most failed claimants to appeal a negative decision of the Refugee Protection Division (RPD). Proceedings in the RAD will primarily occur through written submissions with decisions typically made by a single member panel.</w:t>
      </w:r>
      <w:r w:rsidRPr="00090CCF">
        <w:rPr>
          <w:rStyle w:val="FootnoteReference"/>
          <w:rFonts w:eastAsia="Times New Roman"/>
          <w:lang w:eastAsia="en-CA"/>
        </w:rPr>
        <w:footnoteReference w:id="6"/>
      </w:r>
      <w:r w:rsidR="00C314A8" w:rsidRPr="00090CCF">
        <w:rPr>
          <w:rFonts w:eastAsia="Times New Roman"/>
          <w:lang w:eastAsia="en-CA"/>
        </w:rPr>
        <w:t> </w:t>
      </w:r>
      <w:r w:rsidRPr="00090CCF">
        <w:rPr>
          <w:rFonts w:eastAsia="Times New Roman"/>
          <w:lang w:eastAsia="en-CA"/>
        </w:rPr>
        <w:t>Claimants with a right of appeal will be able to ask the Federal Court to review a RAD decision. More information on the RAD is available online:</w:t>
      </w:r>
      <w:r w:rsidRPr="00090CCF">
        <w:t xml:space="preserve"> www.irb-cisr.gc.ca/Eng/reform/Pages/rac31sr-radsar.aspx </w:t>
      </w:r>
    </w:p>
    <w:p w:rsidR="00CC2125" w:rsidRPr="00090CCF" w:rsidRDefault="00CC2125" w:rsidP="00852CC0">
      <w:pPr>
        <w:spacing w:after="0" w:line="240" w:lineRule="auto"/>
        <w:jc w:val="both"/>
        <w:rPr>
          <w:bCs/>
        </w:rPr>
      </w:pPr>
    </w:p>
    <w:p w:rsidR="0024312C" w:rsidRPr="00090CCF" w:rsidRDefault="0024312C" w:rsidP="00CC2125">
      <w:pPr>
        <w:numPr>
          <w:ilvl w:val="0"/>
          <w:numId w:val="28"/>
        </w:numPr>
        <w:tabs>
          <w:tab w:val="num" w:pos="567"/>
        </w:tabs>
        <w:spacing w:after="0" w:line="240" w:lineRule="auto"/>
        <w:ind w:left="567" w:hanging="567"/>
      </w:pPr>
      <w:r w:rsidRPr="00090CCF">
        <w:rPr>
          <w:bCs/>
        </w:rPr>
        <w:t>There will be no access to the RAD for</w:t>
      </w:r>
      <w:r w:rsidR="00C314A8" w:rsidRPr="00090CCF">
        <w:rPr>
          <w:bCs/>
        </w:rPr>
        <w:t xml:space="preserve"> a number of specified groups. </w:t>
      </w:r>
      <w:r w:rsidRPr="00090CCF">
        <w:rPr>
          <w:bCs/>
        </w:rPr>
        <w:t>This, coupled with</w:t>
      </w:r>
      <w:r w:rsidRPr="00090CCF">
        <w:t xml:space="preserve"> faster processing timelines which would lead to faster removals, is intended to deter abuse of the system. For the most part, these groups of claimants will have come to Canada either from a </w:t>
      </w:r>
      <w:r w:rsidR="00516BEC" w:rsidRPr="00090CCF">
        <w:t xml:space="preserve">Designated Country of Origin, which is </w:t>
      </w:r>
      <w:r w:rsidRPr="00090CCF">
        <w:t xml:space="preserve">generally </w:t>
      </w:r>
      <w:r w:rsidR="00C77169" w:rsidRPr="00090CCF">
        <w:t xml:space="preserve">a </w:t>
      </w:r>
      <w:r w:rsidRPr="00090CCF">
        <w:t>non-refugee producing country such as those in the EU</w:t>
      </w:r>
      <w:r w:rsidR="00C314A8" w:rsidRPr="00090CCF">
        <w:t>,</w:t>
      </w:r>
      <w:r w:rsidRPr="00090CCF">
        <w:t xml:space="preserve"> or via a country with which Canada has a Safe Third Country Agreement (i.e., the United States). Also excluded from accessing the RAD would be individuals whose claims have no credible basis or are manifestly unfounded, as determined by the IRB, and those who arrive as part of a designated irregular arrival.</w:t>
      </w:r>
    </w:p>
    <w:p w:rsidR="0024312C" w:rsidRPr="00090CCF" w:rsidRDefault="0024312C" w:rsidP="00852CC0">
      <w:pPr>
        <w:spacing w:after="0" w:line="240" w:lineRule="auto"/>
        <w:jc w:val="both"/>
      </w:pPr>
    </w:p>
    <w:p w:rsidR="00662328" w:rsidRPr="00090CCF" w:rsidRDefault="0024312C" w:rsidP="00CC2125">
      <w:pPr>
        <w:numPr>
          <w:ilvl w:val="0"/>
          <w:numId w:val="28"/>
        </w:numPr>
        <w:tabs>
          <w:tab w:val="num" w:pos="567"/>
        </w:tabs>
        <w:spacing w:after="0" w:line="240" w:lineRule="auto"/>
        <w:ind w:left="567" w:hanging="567"/>
      </w:pPr>
      <w:r w:rsidRPr="00090CCF">
        <w:t xml:space="preserve">Canada emphasizes that despite these limited </w:t>
      </w:r>
      <w:r w:rsidR="00516BEC" w:rsidRPr="00090CCF">
        <w:t>restrictions on</w:t>
      </w:r>
      <w:r w:rsidRPr="00090CCF">
        <w:t xml:space="preserve"> access to the RAD, refugee claimants in Canada have access to effective remedial review processes</w:t>
      </w:r>
      <w:r w:rsidR="00516BEC" w:rsidRPr="00090CCF">
        <w:t xml:space="preserve"> as outlined below</w:t>
      </w:r>
      <w:r w:rsidRPr="00090CCF">
        <w:t xml:space="preserve">. These processes ensure that Canada fulfills its international obligations to provide effective remedial processes for the prevention of </w:t>
      </w:r>
      <w:r w:rsidRPr="00090CCF">
        <w:rPr>
          <w:i/>
        </w:rPr>
        <w:t>refoulement</w:t>
      </w:r>
      <w:r w:rsidRPr="00090CCF">
        <w:t>.</w:t>
      </w:r>
      <w:r w:rsidR="00662328" w:rsidRPr="00090CCF">
        <w:t xml:space="preserve"> </w:t>
      </w:r>
    </w:p>
    <w:p w:rsidR="00CC2125" w:rsidRPr="00090CCF" w:rsidRDefault="00CC2125" w:rsidP="00852CC0">
      <w:pPr>
        <w:spacing w:after="0" w:line="240" w:lineRule="auto"/>
        <w:jc w:val="both"/>
      </w:pPr>
    </w:p>
    <w:p w:rsidR="00662328" w:rsidRPr="00090CCF" w:rsidRDefault="0024312C" w:rsidP="00CC2125">
      <w:pPr>
        <w:numPr>
          <w:ilvl w:val="0"/>
          <w:numId w:val="28"/>
        </w:numPr>
        <w:tabs>
          <w:tab w:val="num" w:pos="567"/>
        </w:tabs>
        <w:spacing w:after="0" w:line="240" w:lineRule="auto"/>
        <w:ind w:left="567" w:hanging="567"/>
      </w:pPr>
      <w:r w:rsidRPr="00090CCF">
        <w:t xml:space="preserve">Subject to certain </w:t>
      </w:r>
      <w:r w:rsidR="00627913" w:rsidRPr="00090CCF">
        <w:t>ineligibility periods</w:t>
      </w:r>
      <w:r w:rsidRPr="00090CCF">
        <w:t>, failed refugee claimants have the right to apply for a pre-removal risk assessment, in order to present new evidence that arose after the RPD’s refusal decision or that the claimant could not reasonably have been expected to present at the administrative tribunal stage. The Minister has the authority to exempt</w:t>
      </w:r>
      <w:r w:rsidR="00186827" w:rsidRPr="00090CCF">
        <w:t xml:space="preserve"> foreign</w:t>
      </w:r>
      <w:r w:rsidRPr="00090CCF">
        <w:t xml:space="preserve"> nationals from the </w:t>
      </w:r>
      <w:r w:rsidR="00627913" w:rsidRPr="00090CCF">
        <w:t>ineligibility periods</w:t>
      </w:r>
      <w:r w:rsidRPr="00090CCF">
        <w:t xml:space="preserve"> in appropriate circumstances.</w:t>
      </w:r>
      <w:r w:rsidR="00627913" w:rsidRPr="00090CCF">
        <w:rPr>
          <w:rStyle w:val="FootnoteReference"/>
        </w:rPr>
        <w:footnoteReference w:id="7"/>
      </w:r>
      <w:r w:rsidR="00662328" w:rsidRPr="00090CCF">
        <w:t xml:space="preserve"> </w:t>
      </w:r>
    </w:p>
    <w:p w:rsidR="00CC2125" w:rsidRPr="00090CCF" w:rsidRDefault="00CC2125" w:rsidP="00852CC0">
      <w:pPr>
        <w:spacing w:after="0" w:line="240" w:lineRule="auto"/>
        <w:jc w:val="both"/>
      </w:pPr>
    </w:p>
    <w:p w:rsidR="0024312C" w:rsidRPr="00090CCF" w:rsidRDefault="00662328" w:rsidP="00CC2125">
      <w:pPr>
        <w:numPr>
          <w:ilvl w:val="0"/>
          <w:numId w:val="28"/>
        </w:numPr>
        <w:tabs>
          <w:tab w:val="num" w:pos="567"/>
        </w:tabs>
        <w:spacing w:after="0" w:line="240" w:lineRule="auto"/>
        <w:ind w:left="567" w:hanging="567"/>
      </w:pPr>
      <w:r w:rsidRPr="00090CCF">
        <w:t>Furthermore, a</w:t>
      </w:r>
      <w:r w:rsidR="0024312C" w:rsidRPr="00090CCF">
        <w:t>ll claimants can ask the Federal Court to judicially review a negative administrative tribunal decision. Failed claimants can also apply to the Federal Court for a stay of removal pending the determination of their application to the Federal Court for leave and for judicial review</w:t>
      </w:r>
      <w:r w:rsidR="00516BEC" w:rsidRPr="00090CCF">
        <w:t>, as was the case prior to the creation of the RAD under PCISA</w:t>
      </w:r>
      <w:r w:rsidR="0024312C" w:rsidRPr="00090CCF">
        <w:t xml:space="preserve">. </w:t>
      </w:r>
    </w:p>
    <w:p w:rsidR="00CC2125" w:rsidRDefault="00CC2125" w:rsidP="00CC2125">
      <w:pPr>
        <w:spacing w:after="0" w:line="240" w:lineRule="auto"/>
      </w:pPr>
    </w:p>
    <w:p w:rsidR="005A62B0" w:rsidRPr="00090CCF" w:rsidRDefault="005A62B0" w:rsidP="00CC2125">
      <w:pPr>
        <w:spacing w:after="0" w:line="240" w:lineRule="auto"/>
      </w:pPr>
    </w:p>
    <w:p w:rsidR="00CC2125" w:rsidRPr="00090CCF" w:rsidRDefault="00CC2125" w:rsidP="00CC2125">
      <w:pPr>
        <w:spacing w:after="0" w:line="240" w:lineRule="auto"/>
        <w:jc w:val="center"/>
        <w:rPr>
          <w:rFonts w:ascii="Arial" w:hAnsi="Arial" w:cs="Arial"/>
          <w:b/>
          <w:sz w:val="28"/>
          <w:szCs w:val="28"/>
        </w:rPr>
      </w:pPr>
      <w:r w:rsidRPr="00090CCF">
        <w:rPr>
          <w:rFonts w:ascii="Arial" w:hAnsi="Arial" w:cs="Arial"/>
          <w:b/>
          <w:sz w:val="28"/>
          <w:szCs w:val="28"/>
        </w:rPr>
        <w:lastRenderedPageBreak/>
        <w:t>Recommendation 16</w:t>
      </w:r>
    </w:p>
    <w:p w:rsidR="00CC2125" w:rsidRPr="00090CCF" w:rsidRDefault="00CC2125" w:rsidP="00CC2125">
      <w:pPr>
        <w:spacing w:after="0" w:line="240" w:lineRule="auto"/>
        <w:jc w:val="center"/>
        <w:rPr>
          <w:rFonts w:ascii="Arial" w:hAnsi="Arial" w:cs="Arial"/>
          <w:b/>
          <w:sz w:val="28"/>
          <w:szCs w:val="28"/>
        </w:rPr>
      </w:pPr>
    </w:p>
    <w:p w:rsidR="00CC2125" w:rsidRPr="00090CCF" w:rsidRDefault="00CC2125" w:rsidP="00CC2125">
      <w:pPr>
        <w:spacing w:after="0" w:line="240" w:lineRule="auto"/>
        <w:jc w:val="center"/>
        <w:rPr>
          <w:rFonts w:ascii="Arial" w:hAnsi="Arial" w:cs="Arial"/>
          <w:b/>
          <w:sz w:val="28"/>
          <w:szCs w:val="28"/>
        </w:rPr>
      </w:pPr>
      <w:r w:rsidRPr="00090CCF">
        <w:rPr>
          <w:rFonts w:ascii="Arial" w:hAnsi="Arial" w:cs="Arial"/>
          <w:b/>
          <w:sz w:val="28"/>
          <w:szCs w:val="28"/>
        </w:rPr>
        <w:t>Torture and ill-treatment of Canadians detained abroad</w:t>
      </w:r>
    </w:p>
    <w:p w:rsidR="00CC2125" w:rsidRPr="00090CCF" w:rsidRDefault="00CC2125" w:rsidP="00852CC0">
      <w:pPr>
        <w:spacing w:after="0" w:line="240" w:lineRule="auto"/>
        <w:ind w:left="851"/>
        <w:jc w:val="both"/>
        <w:rPr>
          <w:bCs/>
          <w:i/>
        </w:rPr>
      </w:pPr>
    </w:p>
    <w:p w:rsidR="003E12A1" w:rsidRPr="00090CCF" w:rsidRDefault="008623F8" w:rsidP="00CA3CA2">
      <w:pPr>
        <w:spacing w:after="0" w:line="240" w:lineRule="auto"/>
        <w:ind w:left="567"/>
        <w:rPr>
          <w:bCs/>
          <w:i/>
        </w:rPr>
      </w:pPr>
      <w:r w:rsidRPr="00090CCF">
        <w:rPr>
          <w:bCs/>
          <w:i/>
        </w:rPr>
        <w:t>In the light of the findings of the Iacobucci Inquiry, the Committee recommends that the State party take immediate steps to ensure that Abdullah Almalki, Ahmad Abou Elmaati and Muayyed Nureddin receive redress, including adequate compensation and rehabilitation. Furthermore, the Committee urges the State party to promptly approve Omar Khadr’s transfer application and ensure that he receives appropriate redress for human rights violations that the Canadian Supreme Court has ruled he experienced.</w:t>
      </w:r>
    </w:p>
    <w:p w:rsidR="00CC2125" w:rsidRPr="00090CCF" w:rsidRDefault="00CC2125" w:rsidP="00852CC0">
      <w:pPr>
        <w:spacing w:after="0" w:line="240" w:lineRule="auto"/>
        <w:jc w:val="both"/>
        <w:rPr>
          <w:b/>
          <w:bCs/>
          <w:i/>
        </w:rPr>
      </w:pPr>
    </w:p>
    <w:p w:rsidR="003E12A1" w:rsidRPr="00090CCF" w:rsidRDefault="003E12A1" w:rsidP="00852CC0">
      <w:pPr>
        <w:spacing w:after="0" w:line="240" w:lineRule="auto"/>
        <w:jc w:val="both"/>
        <w:rPr>
          <w:rFonts w:ascii="Arial" w:hAnsi="Arial" w:cs="Arial"/>
          <w:b/>
        </w:rPr>
      </w:pPr>
      <w:r w:rsidRPr="00090CCF">
        <w:rPr>
          <w:rFonts w:ascii="Arial" w:hAnsi="Arial" w:cs="Arial"/>
          <w:b/>
          <w:bCs/>
        </w:rPr>
        <w:t>Abdullah Almalki, Ahmad Abou Elmaati and Muayyed Nureddin</w:t>
      </w:r>
    </w:p>
    <w:p w:rsidR="00CC2125" w:rsidRPr="00090CCF" w:rsidRDefault="00CC2125" w:rsidP="00852CC0">
      <w:pPr>
        <w:spacing w:after="0" w:line="240" w:lineRule="auto"/>
        <w:jc w:val="both"/>
      </w:pPr>
    </w:p>
    <w:p w:rsidR="00AC64F2" w:rsidRPr="00090CCF" w:rsidRDefault="003E12A1" w:rsidP="00CC2125">
      <w:pPr>
        <w:numPr>
          <w:ilvl w:val="0"/>
          <w:numId w:val="28"/>
        </w:numPr>
        <w:tabs>
          <w:tab w:val="num" w:pos="567"/>
        </w:tabs>
        <w:spacing w:after="0" w:line="240" w:lineRule="auto"/>
        <w:ind w:left="567" w:hanging="567"/>
      </w:pPr>
      <w:r w:rsidRPr="00090CCF">
        <w:t xml:space="preserve">Canada provided information on </w:t>
      </w:r>
      <w:r w:rsidR="00AC64F2" w:rsidRPr="00090CCF">
        <w:t>the Iacobucci Inquiry</w:t>
      </w:r>
      <w:r w:rsidR="00AC64F2" w:rsidRPr="00090CCF">
        <w:rPr>
          <w:rStyle w:val="FootnoteReference"/>
        </w:rPr>
        <w:footnoteReference w:id="8"/>
      </w:r>
      <w:r w:rsidR="00AC64F2" w:rsidRPr="00090CCF">
        <w:t xml:space="preserve"> at paragraphs </w:t>
      </w:r>
      <w:r w:rsidRPr="00090CCF">
        <w:t>325-327 of its 2012</w:t>
      </w:r>
      <w:r w:rsidR="009A799F" w:rsidRPr="00090CCF">
        <w:t> </w:t>
      </w:r>
      <w:r w:rsidRPr="00090CCF">
        <w:t xml:space="preserve">Response to the Committee. </w:t>
      </w:r>
      <w:r w:rsidR="003C2574" w:rsidRPr="00090CCF">
        <w:t xml:space="preserve">In recent years, </w:t>
      </w:r>
      <w:r w:rsidR="00AC64F2" w:rsidRPr="00090CCF">
        <w:t>Canada has made a number of changes to guidelines and policies regarding information sharing among different age</w:t>
      </w:r>
      <w:r w:rsidR="003C2574" w:rsidRPr="00090CCF">
        <w:t xml:space="preserve">ncies, and it has enhanced </w:t>
      </w:r>
      <w:r w:rsidR="00AC64F2" w:rsidRPr="00090CCF">
        <w:t xml:space="preserve">training for consular officials. These changes respond </w:t>
      </w:r>
      <w:proofErr w:type="gramStart"/>
      <w:r w:rsidR="00AC64F2" w:rsidRPr="00090CCF">
        <w:t>to</w:t>
      </w:r>
      <w:proofErr w:type="gramEnd"/>
      <w:r w:rsidR="00AC64F2" w:rsidRPr="00090CCF">
        <w:t xml:space="preserve"> many of the concerns raised in both the O’Connor Commission</w:t>
      </w:r>
      <w:r w:rsidR="00D57301" w:rsidRPr="00090CCF">
        <w:rPr>
          <w:rStyle w:val="FootnoteReference"/>
        </w:rPr>
        <w:footnoteReference w:id="9"/>
      </w:r>
      <w:r w:rsidR="00AC64F2" w:rsidRPr="00090CCF">
        <w:t xml:space="preserve"> and Iacobucci Inquiry reports.</w:t>
      </w:r>
    </w:p>
    <w:p w:rsidR="00CC2125" w:rsidRPr="00090CCF" w:rsidRDefault="00CC2125" w:rsidP="00852CC0">
      <w:pPr>
        <w:spacing w:after="0" w:line="240" w:lineRule="auto"/>
        <w:jc w:val="both"/>
      </w:pPr>
    </w:p>
    <w:p w:rsidR="003C2574" w:rsidRPr="00090CCF" w:rsidRDefault="00AC64F2" w:rsidP="00CC2125">
      <w:pPr>
        <w:numPr>
          <w:ilvl w:val="0"/>
          <w:numId w:val="28"/>
        </w:numPr>
        <w:tabs>
          <w:tab w:val="num" w:pos="567"/>
        </w:tabs>
        <w:spacing w:after="0" w:line="240" w:lineRule="auto"/>
        <w:ind w:left="567" w:hanging="567"/>
      </w:pPr>
      <w:r w:rsidRPr="00090CCF">
        <w:t>With respect to Messrs. Almalki, Elmaati and Nureddin</w:t>
      </w:r>
      <w:r w:rsidR="003C12E0" w:rsidRPr="00090CCF">
        <w:t xml:space="preserve"> specifically</w:t>
      </w:r>
      <w:r w:rsidRPr="00090CCF">
        <w:t xml:space="preserve">, these matters </w:t>
      </w:r>
      <w:r w:rsidR="003E12A1" w:rsidRPr="00090CCF">
        <w:t>are currently the subject of litigation before Canadian courts</w:t>
      </w:r>
      <w:r w:rsidR="003C12E0" w:rsidRPr="00090CCF">
        <w:t xml:space="preserve">, </w:t>
      </w:r>
      <w:r w:rsidR="003E12A1" w:rsidRPr="00090CCF">
        <w:t>so Canada is unable at this time to provide further information on its response to Commissioner Iacobucci’s findings in relation to</w:t>
      </w:r>
      <w:r w:rsidRPr="00090CCF">
        <w:t xml:space="preserve"> them</w:t>
      </w:r>
      <w:r w:rsidR="003E12A1" w:rsidRPr="00090CCF">
        <w:t>.</w:t>
      </w:r>
    </w:p>
    <w:p w:rsidR="00CC2125" w:rsidRPr="00090CCF" w:rsidRDefault="00CC2125" w:rsidP="00852CC0">
      <w:pPr>
        <w:tabs>
          <w:tab w:val="left" w:pos="1245"/>
        </w:tabs>
        <w:spacing w:after="0" w:line="240" w:lineRule="auto"/>
        <w:rPr>
          <w:b/>
          <w:i/>
        </w:rPr>
      </w:pPr>
    </w:p>
    <w:p w:rsidR="003E12A1" w:rsidRPr="00090CCF" w:rsidRDefault="003E12A1" w:rsidP="00852CC0">
      <w:pPr>
        <w:tabs>
          <w:tab w:val="left" w:pos="1245"/>
        </w:tabs>
        <w:spacing w:after="0" w:line="240" w:lineRule="auto"/>
        <w:rPr>
          <w:rFonts w:ascii="Arial" w:hAnsi="Arial" w:cs="Arial"/>
          <w:b/>
        </w:rPr>
      </w:pPr>
      <w:r w:rsidRPr="00090CCF">
        <w:rPr>
          <w:rFonts w:ascii="Arial" w:hAnsi="Arial" w:cs="Arial"/>
          <w:b/>
        </w:rPr>
        <w:t>Omar Khadr</w:t>
      </w:r>
    </w:p>
    <w:p w:rsidR="00CC2125" w:rsidRPr="00090CCF" w:rsidRDefault="00CC2125" w:rsidP="00852CC0">
      <w:pPr>
        <w:tabs>
          <w:tab w:val="left" w:pos="1245"/>
        </w:tabs>
        <w:spacing w:after="0" w:line="240" w:lineRule="auto"/>
        <w:jc w:val="both"/>
      </w:pPr>
    </w:p>
    <w:p w:rsidR="003E12A1" w:rsidRPr="00090CCF" w:rsidRDefault="003E12A1" w:rsidP="001423DC">
      <w:pPr>
        <w:numPr>
          <w:ilvl w:val="0"/>
          <w:numId w:val="28"/>
        </w:numPr>
        <w:tabs>
          <w:tab w:val="num" w:pos="567"/>
        </w:tabs>
        <w:spacing w:after="0" w:line="240" w:lineRule="auto"/>
        <w:ind w:left="567" w:hanging="567"/>
      </w:pPr>
      <w:r w:rsidRPr="00090CCF">
        <w:t>On September 29, 2012, Mr. Omar Khadr, a Canadian citizen, was transferred from Guantanamo Bay, Cuba, into Canadian custody by the Unit</w:t>
      </w:r>
      <w:r w:rsidR="00EF34BC" w:rsidRPr="00090CCF">
        <w:t>ed States (U.S.) pursuant to Canada’s</w:t>
      </w:r>
      <w:r w:rsidRPr="00090CCF">
        <w:t xml:space="preserve"> </w:t>
      </w:r>
      <w:r w:rsidRPr="00090CCF">
        <w:rPr>
          <w:i/>
        </w:rPr>
        <w:t>International Transfer of Offenders Act</w:t>
      </w:r>
      <w:r w:rsidRPr="00090CCF">
        <w:t>.</w:t>
      </w:r>
      <w:r w:rsidR="0088332D" w:rsidRPr="00090CCF">
        <w:rPr>
          <w:rStyle w:val="FootnoteReference"/>
        </w:rPr>
        <w:footnoteReference w:id="10"/>
      </w:r>
      <w:r w:rsidR="00EF34BC" w:rsidRPr="00090CCF">
        <w:t xml:space="preserve"> </w:t>
      </w:r>
    </w:p>
    <w:p w:rsidR="00CA3CA2" w:rsidRPr="00090CCF" w:rsidRDefault="00CA3CA2" w:rsidP="00CA3CA2">
      <w:pPr>
        <w:spacing w:after="0" w:line="240" w:lineRule="auto"/>
        <w:jc w:val="center"/>
        <w:rPr>
          <w:rFonts w:ascii="Arial" w:hAnsi="Arial" w:cs="Arial"/>
          <w:b/>
          <w:sz w:val="28"/>
          <w:szCs w:val="28"/>
        </w:rPr>
      </w:pPr>
    </w:p>
    <w:p w:rsidR="00CA3CA2" w:rsidRPr="00090CCF" w:rsidRDefault="00CA3CA2" w:rsidP="00CA3CA2">
      <w:pPr>
        <w:spacing w:after="0" w:line="240" w:lineRule="auto"/>
        <w:jc w:val="center"/>
        <w:rPr>
          <w:rFonts w:ascii="Arial" w:hAnsi="Arial" w:cs="Arial"/>
          <w:b/>
          <w:sz w:val="28"/>
          <w:szCs w:val="28"/>
        </w:rPr>
      </w:pPr>
      <w:r w:rsidRPr="00090CCF">
        <w:rPr>
          <w:rFonts w:ascii="Arial" w:hAnsi="Arial" w:cs="Arial"/>
          <w:b/>
          <w:sz w:val="28"/>
          <w:szCs w:val="28"/>
        </w:rPr>
        <w:t>Recommendation 17</w:t>
      </w:r>
    </w:p>
    <w:p w:rsidR="00CA3CA2" w:rsidRPr="00090CCF" w:rsidRDefault="00CA3CA2" w:rsidP="00CA3CA2">
      <w:pPr>
        <w:spacing w:after="0" w:line="240" w:lineRule="auto"/>
        <w:jc w:val="center"/>
        <w:rPr>
          <w:rFonts w:ascii="Arial" w:hAnsi="Arial" w:cs="Arial"/>
          <w:b/>
          <w:sz w:val="28"/>
          <w:szCs w:val="28"/>
        </w:rPr>
      </w:pPr>
    </w:p>
    <w:p w:rsidR="00CA3CA2" w:rsidRPr="00090CCF" w:rsidRDefault="00CA3CA2" w:rsidP="00CA3CA2">
      <w:pPr>
        <w:spacing w:after="0" w:line="240" w:lineRule="auto"/>
        <w:jc w:val="center"/>
        <w:rPr>
          <w:rFonts w:ascii="Arial" w:hAnsi="Arial" w:cs="Arial"/>
          <w:b/>
          <w:sz w:val="28"/>
          <w:szCs w:val="28"/>
        </w:rPr>
      </w:pPr>
      <w:r w:rsidRPr="00090CCF">
        <w:rPr>
          <w:rFonts w:ascii="Arial" w:hAnsi="Arial" w:cs="Arial"/>
          <w:b/>
          <w:sz w:val="28"/>
          <w:szCs w:val="28"/>
        </w:rPr>
        <w:t>Intelligence information obtained by torture</w:t>
      </w:r>
    </w:p>
    <w:p w:rsidR="00CA3CA2" w:rsidRPr="00090CCF" w:rsidRDefault="00CA3CA2" w:rsidP="00852CC0">
      <w:pPr>
        <w:spacing w:after="0" w:line="240" w:lineRule="auto"/>
        <w:ind w:left="851"/>
        <w:jc w:val="both"/>
        <w:rPr>
          <w:bCs/>
          <w:i/>
        </w:rPr>
      </w:pPr>
    </w:p>
    <w:p w:rsidR="008623F8" w:rsidRPr="00090CCF" w:rsidRDefault="008623F8" w:rsidP="00CA3CA2">
      <w:pPr>
        <w:spacing w:after="0" w:line="240" w:lineRule="auto"/>
        <w:ind w:left="567"/>
        <w:jc w:val="both"/>
        <w:rPr>
          <w:bCs/>
          <w:i/>
        </w:rPr>
      </w:pPr>
      <w:r w:rsidRPr="00090CCF">
        <w:rPr>
          <w:bCs/>
          <w:i/>
        </w:rPr>
        <w:t xml:space="preserve">The Committee recommends that the State party modify the Ministerial Direction to CSIS to bring it in line with Canada’s obligations under the Convention. The State party should </w:t>
      </w:r>
      <w:r w:rsidRPr="00090CCF">
        <w:rPr>
          <w:bCs/>
          <w:i/>
        </w:rPr>
        <w:lastRenderedPageBreak/>
        <w:t>strengthen its provision of training on the absolute prohibition of torture in the context of the activities of intelligence services.</w:t>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Canada remains firmly committed to implementing its obligations with respect to the prevention and prosecution of torture and cruel, inhuman or degrading treatment. This extends to concerns with respect to information sharing with foreign entities.</w:t>
      </w:r>
      <w:r w:rsidR="00A74196" w:rsidRPr="00090CCF">
        <w:rPr>
          <w:bCs/>
        </w:rPr>
        <w:t xml:space="preserve"> </w:t>
      </w:r>
      <w:r w:rsidR="003C12E0" w:rsidRPr="00090CCF">
        <w:rPr>
          <w:bCs/>
        </w:rPr>
        <w:t>Canadian law prohibits the use of any statements established to have been made as a result of torture as evidence in any proceedings, except against a person accused of torture as evidence that the statement was made</w:t>
      </w:r>
      <w:r w:rsidR="00DD4E90" w:rsidRPr="00090CCF">
        <w:rPr>
          <w:bCs/>
        </w:rPr>
        <w:t>.</w:t>
      </w:r>
      <w:r w:rsidR="003C12E0" w:rsidRPr="00090CCF">
        <w:rPr>
          <w:rStyle w:val="FootnoteReference"/>
          <w:bCs/>
        </w:rPr>
        <w:footnoteReference w:id="11"/>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 xml:space="preserve">As discussed in Canada’s original submission, two Commissions of Inquiry – the 2006 </w:t>
      </w:r>
      <w:r w:rsidR="00D57301" w:rsidRPr="00090CCF">
        <w:rPr>
          <w:bCs/>
        </w:rPr>
        <w:t>O’Connor Commission</w:t>
      </w:r>
      <w:r w:rsidRPr="00090CCF">
        <w:rPr>
          <w:bCs/>
        </w:rPr>
        <w:t xml:space="preserve"> and the 2008 </w:t>
      </w:r>
      <w:r w:rsidR="00FC2184" w:rsidRPr="00090CCF">
        <w:rPr>
          <w:bCs/>
        </w:rPr>
        <w:t>Iacobucci Inquiry</w:t>
      </w:r>
      <w:r w:rsidRPr="00090CCF">
        <w:rPr>
          <w:bCs/>
        </w:rPr>
        <w:t xml:space="preserve"> – raised concerns about the Government of Canada’s information sharing practices with foreign entities. </w:t>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226C38" w:rsidP="00CA3CA2">
      <w:pPr>
        <w:numPr>
          <w:ilvl w:val="0"/>
          <w:numId w:val="28"/>
        </w:numPr>
        <w:tabs>
          <w:tab w:val="num" w:pos="567"/>
        </w:tabs>
        <w:spacing w:after="0" w:line="240" w:lineRule="auto"/>
        <w:ind w:left="567" w:hanging="567"/>
        <w:rPr>
          <w:bCs/>
        </w:rPr>
      </w:pPr>
      <w:r w:rsidRPr="00090CCF">
        <w:rPr>
          <w:bCs/>
        </w:rPr>
        <w:t>In 2011 t</w:t>
      </w:r>
      <w:r w:rsidR="00794BD5" w:rsidRPr="00090CCF">
        <w:rPr>
          <w:bCs/>
        </w:rPr>
        <w:t>he Minister of Public Safety issued Ministerial Direction</w:t>
      </w:r>
      <w:r w:rsidR="001F1E41" w:rsidRPr="00090CCF">
        <w:rPr>
          <w:bCs/>
        </w:rPr>
        <w:t>s</w:t>
      </w:r>
      <w:r w:rsidR="00794BD5" w:rsidRPr="00090CCF">
        <w:rPr>
          <w:bCs/>
        </w:rPr>
        <w:t xml:space="preserve"> (</w:t>
      </w:r>
      <w:r w:rsidR="00AA6036" w:rsidRPr="00090CCF">
        <w:rPr>
          <w:bCs/>
        </w:rPr>
        <w:t>“</w:t>
      </w:r>
      <w:r w:rsidR="00794BD5" w:rsidRPr="00090CCF">
        <w:rPr>
          <w:bCs/>
        </w:rPr>
        <w:t>MD</w:t>
      </w:r>
      <w:r w:rsidR="001F1E41" w:rsidRPr="00090CCF">
        <w:rPr>
          <w:bCs/>
        </w:rPr>
        <w:t>s</w:t>
      </w:r>
      <w:r w:rsidR="00AA6036" w:rsidRPr="00090CCF">
        <w:rPr>
          <w:bCs/>
        </w:rPr>
        <w:t>”</w:t>
      </w:r>
      <w:r w:rsidR="00794BD5" w:rsidRPr="00090CCF">
        <w:rPr>
          <w:bCs/>
        </w:rPr>
        <w:t>) on “Information Sharing with Foreign Entities” to the Canadian Security Intelligence Service (CSIS), Royal Canadian Mounted Police (RCMP), and Canada Border Services Agency (CBSA). The intent of the MD</w:t>
      </w:r>
      <w:r w:rsidR="001F1E41" w:rsidRPr="00090CCF">
        <w:rPr>
          <w:bCs/>
        </w:rPr>
        <w:t>s</w:t>
      </w:r>
      <w:r w:rsidR="00794BD5" w:rsidRPr="00090CCF">
        <w:rPr>
          <w:bCs/>
        </w:rPr>
        <w:t xml:space="preserve"> was to establish a coherent and consistent policy on decision-making processes regarding information sharing where there may be a risk of mistreatment. No changes to the MD</w:t>
      </w:r>
      <w:r w:rsidR="001F1E41" w:rsidRPr="00090CCF">
        <w:rPr>
          <w:bCs/>
        </w:rPr>
        <w:t>s</w:t>
      </w:r>
      <w:r w:rsidR="00794BD5" w:rsidRPr="00090CCF">
        <w:rPr>
          <w:bCs/>
        </w:rPr>
        <w:t xml:space="preserve"> are anticipated. </w:t>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As is clearly stated in the MD</w:t>
      </w:r>
      <w:r w:rsidR="001F1E41" w:rsidRPr="00090CCF">
        <w:rPr>
          <w:bCs/>
        </w:rPr>
        <w:t>s</w:t>
      </w:r>
      <w:r w:rsidRPr="00090CCF">
        <w:rPr>
          <w:bCs/>
        </w:rPr>
        <w:t>, Canada neither promotes nor condones the use of torture or other unlawful methods of investigation, and opposes in the strongest possible terms the mistreatment of any individual by any foreign entity for any purpose.</w:t>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The MD</w:t>
      </w:r>
      <w:r w:rsidR="001F1E41" w:rsidRPr="00090CCF">
        <w:rPr>
          <w:bCs/>
        </w:rPr>
        <w:t>s reference</w:t>
      </w:r>
      <w:r w:rsidRPr="00090CCF">
        <w:rPr>
          <w:bCs/>
        </w:rPr>
        <w:t xml:space="preserve"> Canada’s legal obligations regarding information</w:t>
      </w:r>
      <w:r w:rsidR="00226C38" w:rsidRPr="00090CCF">
        <w:rPr>
          <w:bCs/>
        </w:rPr>
        <w:t xml:space="preserve"> sharing with foreign partners. </w:t>
      </w:r>
      <w:r w:rsidRPr="00090CCF">
        <w:rPr>
          <w:bCs/>
        </w:rPr>
        <w:t>As the MD</w:t>
      </w:r>
      <w:r w:rsidR="001F1E41" w:rsidRPr="00090CCF">
        <w:rPr>
          <w:bCs/>
        </w:rPr>
        <w:t>s make</w:t>
      </w:r>
      <w:r w:rsidRPr="00090CCF">
        <w:rPr>
          <w:bCs/>
        </w:rPr>
        <w:t xml:space="preserve"> clear, Canada is aware of and meets its obligations under international law, including under the </w:t>
      </w:r>
      <w:r w:rsidR="00226C38" w:rsidRPr="00090CCF">
        <w:rPr>
          <w:bCs/>
          <w:i/>
        </w:rPr>
        <w:t>Convention</w:t>
      </w:r>
      <w:r w:rsidRPr="00090CCF">
        <w:rPr>
          <w:bCs/>
        </w:rPr>
        <w:t xml:space="preserve"> and the </w:t>
      </w:r>
      <w:r w:rsidRPr="00090CCF">
        <w:rPr>
          <w:bCs/>
          <w:i/>
        </w:rPr>
        <w:t>International Covenant on Civil and Political Rights</w:t>
      </w:r>
      <w:r w:rsidR="00226C38" w:rsidRPr="00090CCF">
        <w:rPr>
          <w:bCs/>
        </w:rPr>
        <w:t xml:space="preserve">. </w:t>
      </w:r>
      <w:r w:rsidRPr="00090CCF">
        <w:rPr>
          <w:bCs/>
        </w:rPr>
        <w:t>Additionally, the MD</w:t>
      </w:r>
      <w:r w:rsidR="001F1E41" w:rsidRPr="00090CCF">
        <w:rPr>
          <w:bCs/>
        </w:rPr>
        <w:t>s emphasize</w:t>
      </w:r>
      <w:r w:rsidRPr="00090CCF">
        <w:rPr>
          <w:bCs/>
        </w:rPr>
        <w:t xml:space="preserve"> that torture is an explicit offence under the </w:t>
      </w:r>
      <w:r w:rsidRPr="00090CCF">
        <w:rPr>
          <w:bCs/>
          <w:i/>
        </w:rPr>
        <w:t>Criminal Code</w:t>
      </w:r>
      <w:r w:rsidRPr="00090CCF">
        <w:rPr>
          <w:bCs/>
        </w:rPr>
        <w:t xml:space="preserve"> of Canada, and that the </w:t>
      </w:r>
      <w:r w:rsidRPr="00090CCF">
        <w:rPr>
          <w:bCs/>
          <w:i/>
        </w:rPr>
        <w:t>Canadian Charter of Rights and Freedoms</w:t>
      </w:r>
      <w:r w:rsidRPr="00090CCF">
        <w:rPr>
          <w:bCs/>
        </w:rPr>
        <w:t xml:space="preserve"> affords strong protections against torture and other cruel, inhuman, or degrading treatment. The MD</w:t>
      </w:r>
      <w:r w:rsidR="001F1E41" w:rsidRPr="00090CCF">
        <w:rPr>
          <w:bCs/>
        </w:rPr>
        <w:t>s reinforce</w:t>
      </w:r>
      <w:r w:rsidRPr="00090CCF">
        <w:rPr>
          <w:bCs/>
        </w:rPr>
        <w:t xml:space="preserve"> that Canadian officials must and do comply with all of these legal obligations.</w:t>
      </w:r>
    </w:p>
    <w:p w:rsidR="00CA3CA2" w:rsidRPr="00090CCF" w:rsidRDefault="00CA3CA2" w:rsidP="00852CC0">
      <w:pPr>
        <w:widowControl w:val="0"/>
        <w:autoSpaceDE w:val="0"/>
        <w:autoSpaceDN w:val="0"/>
        <w:adjustRightInd w:val="0"/>
        <w:spacing w:after="0" w:line="240" w:lineRule="auto"/>
        <w:jc w:val="both"/>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The MD</w:t>
      </w:r>
      <w:r w:rsidR="001F1E41" w:rsidRPr="00090CCF">
        <w:rPr>
          <w:bCs/>
        </w:rPr>
        <w:t>s stipulate</w:t>
      </w:r>
      <w:r w:rsidRPr="00090CCF">
        <w:rPr>
          <w:bCs/>
        </w:rPr>
        <w:t xml:space="preserve"> important procedural safeguards that </w:t>
      </w:r>
      <w:r w:rsidR="001F1E41" w:rsidRPr="00090CCF">
        <w:rPr>
          <w:bCs/>
        </w:rPr>
        <w:t>agencies</w:t>
      </w:r>
      <w:r w:rsidRPr="00090CCF">
        <w:rPr>
          <w:bCs/>
        </w:rPr>
        <w:t xml:space="preserve"> must have in place in order to share and use foreign entity information. First, agencies must take all reasonable measures to reduce the risk that any action on </w:t>
      </w:r>
      <w:r w:rsidR="004D17D7" w:rsidRPr="00090CCF">
        <w:rPr>
          <w:bCs/>
        </w:rPr>
        <w:t>their</w:t>
      </w:r>
      <w:r w:rsidRPr="00090CCF">
        <w:rPr>
          <w:bCs/>
        </w:rPr>
        <w:t xml:space="preserve"> part might promote or condone the use of mistreatment. Second, they must have in place reasonable and appropriate measures to identify foreign entity information that is likely to have been derived from mistreatment, and must properly characterize this information in any further dissemination of it. </w:t>
      </w:r>
    </w:p>
    <w:p w:rsidR="00CA3CA2" w:rsidRPr="00090CCF" w:rsidRDefault="00CA3CA2" w:rsidP="00CA3CA2">
      <w:pPr>
        <w:spacing w:after="0" w:line="240" w:lineRule="auto"/>
        <w:ind w:left="567"/>
        <w:rPr>
          <w:bCs/>
        </w:rPr>
      </w:pPr>
    </w:p>
    <w:p w:rsidR="00794BD5" w:rsidRPr="00090CCF" w:rsidRDefault="00794BD5" w:rsidP="00CA3CA2">
      <w:pPr>
        <w:numPr>
          <w:ilvl w:val="0"/>
          <w:numId w:val="28"/>
        </w:numPr>
        <w:tabs>
          <w:tab w:val="num" w:pos="567"/>
        </w:tabs>
        <w:spacing w:after="0" w:line="240" w:lineRule="auto"/>
        <w:ind w:left="567" w:hanging="567"/>
        <w:rPr>
          <w:bCs/>
        </w:rPr>
      </w:pPr>
      <w:r w:rsidRPr="00090CCF">
        <w:rPr>
          <w:bCs/>
        </w:rPr>
        <w:t xml:space="preserve">In recognition of the seriousness with which Canada </w:t>
      </w:r>
      <w:r w:rsidR="004D17D7" w:rsidRPr="00090CCF">
        <w:rPr>
          <w:bCs/>
        </w:rPr>
        <w:t xml:space="preserve">views </w:t>
      </w:r>
      <w:r w:rsidRPr="00090CCF">
        <w:rPr>
          <w:bCs/>
        </w:rPr>
        <w:t>this issue, the MD</w:t>
      </w:r>
      <w:r w:rsidR="001F1E41" w:rsidRPr="00090CCF">
        <w:rPr>
          <w:bCs/>
        </w:rPr>
        <w:t>s ensure</w:t>
      </w:r>
      <w:r w:rsidRPr="00090CCF">
        <w:rPr>
          <w:bCs/>
        </w:rPr>
        <w:t xml:space="preserve"> that senior officials become involved in the decision making process when there is a potential </w:t>
      </w:r>
      <w:r w:rsidRPr="00090CCF">
        <w:rPr>
          <w:bCs/>
        </w:rPr>
        <w:lastRenderedPageBreak/>
        <w:t>risk associated with sharing information. The greater the risk, the higher the level of approval required. In the most serious cases, the matter must be referred to the Deputy</w:t>
      </w:r>
      <w:r w:rsidR="009D177B" w:rsidRPr="00090CCF">
        <w:rPr>
          <w:bCs/>
        </w:rPr>
        <w:t> </w:t>
      </w:r>
      <w:r w:rsidRPr="00090CCF">
        <w:rPr>
          <w:bCs/>
        </w:rPr>
        <w:t>Head; and at his or her discretion, to the Minister. As the MD</w:t>
      </w:r>
      <w:r w:rsidR="001F1E41" w:rsidRPr="00090CCF">
        <w:rPr>
          <w:bCs/>
        </w:rPr>
        <w:t>s state</w:t>
      </w:r>
      <w:r w:rsidRPr="00090CCF">
        <w:rPr>
          <w:bCs/>
        </w:rPr>
        <w:t>, while a broad range of factors will be considered, decisions will be made only in accordance with “Canada’s legal obligations”.</w:t>
      </w:r>
    </w:p>
    <w:p w:rsidR="00CA3CA2" w:rsidRPr="00090CCF" w:rsidRDefault="00CA3CA2" w:rsidP="00CA3CA2">
      <w:pPr>
        <w:spacing w:after="0" w:line="240" w:lineRule="auto"/>
        <w:ind w:left="567"/>
        <w:rPr>
          <w:bCs/>
        </w:rPr>
      </w:pPr>
    </w:p>
    <w:p w:rsidR="00BC0408" w:rsidRPr="00090CCF" w:rsidRDefault="00794BD5" w:rsidP="00BC0408">
      <w:pPr>
        <w:numPr>
          <w:ilvl w:val="0"/>
          <w:numId w:val="28"/>
        </w:numPr>
        <w:tabs>
          <w:tab w:val="num" w:pos="567"/>
        </w:tabs>
        <w:spacing w:after="240" w:line="240" w:lineRule="auto"/>
        <w:ind w:left="567" w:hanging="567"/>
        <w:rPr>
          <w:bCs/>
        </w:rPr>
      </w:pPr>
      <w:r w:rsidRPr="00090CCF">
        <w:rPr>
          <w:bCs/>
        </w:rPr>
        <w:t>As such, in Canada’s view, the MD</w:t>
      </w:r>
      <w:r w:rsidR="001F1E41" w:rsidRPr="00090CCF">
        <w:rPr>
          <w:bCs/>
        </w:rPr>
        <w:t>s</w:t>
      </w:r>
      <w:r w:rsidRPr="00090CCF">
        <w:rPr>
          <w:bCs/>
        </w:rPr>
        <w:t xml:space="preserve"> provided to CSIS, RCMP and the CBSA </w:t>
      </w:r>
      <w:r w:rsidR="001F1E41" w:rsidRPr="00090CCF">
        <w:rPr>
          <w:bCs/>
        </w:rPr>
        <w:t>are</w:t>
      </w:r>
      <w:r w:rsidRPr="00090CCF">
        <w:rPr>
          <w:bCs/>
        </w:rPr>
        <w:t xml:space="preserve"> fully consistent with Canada’s domestic and internati</w:t>
      </w:r>
      <w:r w:rsidR="001F1E41" w:rsidRPr="00090CCF">
        <w:rPr>
          <w:bCs/>
        </w:rPr>
        <w:t>onal obligations, and represent</w:t>
      </w:r>
      <w:r w:rsidRPr="00090CCF">
        <w:rPr>
          <w:bCs/>
        </w:rPr>
        <w:t xml:space="preserve"> a principled and proportionate response to terrorism and other threats to national security, while at the same time promoting and upholding the values Canada seeks to protect.  </w:t>
      </w:r>
    </w:p>
    <w:p w:rsidR="00BC0408" w:rsidRPr="00090CCF" w:rsidRDefault="00BC0408" w:rsidP="00CA3CA2">
      <w:pPr>
        <w:numPr>
          <w:ilvl w:val="0"/>
          <w:numId w:val="28"/>
        </w:numPr>
        <w:tabs>
          <w:tab w:val="num" w:pos="567"/>
        </w:tabs>
        <w:spacing w:after="0" w:line="240" w:lineRule="auto"/>
        <w:ind w:left="567" w:hanging="567"/>
        <w:rPr>
          <w:bCs/>
        </w:rPr>
      </w:pPr>
      <w:r w:rsidRPr="00090CCF">
        <w:rPr>
          <w:bCs/>
        </w:rPr>
        <w:t>The Committee may also wish to note that both the MD</w:t>
      </w:r>
      <w:r w:rsidR="001F1E41" w:rsidRPr="00090CCF">
        <w:rPr>
          <w:bCs/>
        </w:rPr>
        <w:t>s</w:t>
      </w:r>
      <w:r w:rsidRPr="00090CCF">
        <w:rPr>
          <w:bCs/>
        </w:rPr>
        <w:t xml:space="preserve"> and actual information sharing practices are subject to review as a matter of ongoing practice. For example the Security Intelligence Review Committee may, on its own initiative, review all CSIS activities and access any information held by it, with the exception of Cabinet documents. The Canadian government has also recently tabled Bill C-42, the </w:t>
      </w:r>
      <w:r w:rsidRPr="00090CCF">
        <w:rPr>
          <w:bCs/>
          <w:i/>
        </w:rPr>
        <w:t>Enhancing Royal Canadian Mounted Police Accountability Act</w:t>
      </w:r>
      <w:r w:rsidRPr="00090CCF">
        <w:rPr>
          <w:bCs/>
        </w:rPr>
        <w:t>, which proposes to replace the existing Commission for Public Complaints against the Royal Canadian Mounted Police with the proposed Civilian Review and Complaints Commission. This independent Commission would have new powers and authorities, strengthening the review of the activities conducted by the RCMP.</w:t>
      </w:r>
    </w:p>
    <w:p w:rsidR="00CA3CA2" w:rsidRPr="00090CCF" w:rsidRDefault="00CA3CA2" w:rsidP="00CA3CA2">
      <w:pPr>
        <w:spacing w:after="0" w:line="240" w:lineRule="auto"/>
        <w:ind w:left="567"/>
        <w:rPr>
          <w:bCs/>
        </w:rPr>
      </w:pPr>
    </w:p>
    <w:p w:rsidR="008623F8" w:rsidRPr="00090CCF" w:rsidRDefault="001F1E41" w:rsidP="00CA3CA2">
      <w:pPr>
        <w:numPr>
          <w:ilvl w:val="0"/>
          <w:numId w:val="28"/>
        </w:numPr>
        <w:tabs>
          <w:tab w:val="num" w:pos="567"/>
        </w:tabs>
        <w:spacing w:after="0" w:line="240" w:lineRule="auto"/>
        <w:ind w:left="567" w:hanging="567"/>
        <w:rPr>
          <w:bCs/>
        </w:rPr>
      </w:pPr>
      <w:r w:rsidRPr="00090CCF">
        <w:rPr>
          <w:bCs/>
        </w:rPr>
        <w:t>With respect to human rights training in the context of the activities of intelligence services, t</w:t>
      </w:r>
      <w:r w:rsidR="00AA6036" w:rsidRPr="00090CCF">
        <w:rPr>
          <w:bCs/>
        </w:rPr>
        <w:t xml:space="preserve">he Department of Justice </w:t>
      </w:r>
      <w:r w:rsidR="00794BD5" w:rsidRPr="00090CCF">
        <w:rPr>
          <w:bCs/>
        </w:rPr>
        <w:t xml:space="preserve">provides </w:t>
      </w:r>
      <w:r w:rsidR="00181D44">
        <w:rPr>
          <w:bCs/>
        </w:rPr>
        <w:t>training to officials at CSIS</w:t>
      </w:r>
      <w:bookmarkStart w:id="1" w:name="_GoBack"/>
      <w:bookmarkEnd w:id="1"/>
      <w:r w:rsidR="00794BD5" w:rsidRPr="00090CCF">
        <w:rPr>
          <w:bCs/>
        </w:rPr>
        <w:t xml:space="preserve"> </w:t>
      </w:r>
      <w:r w:rsidR="00B321E1">
        <w:rPr>
          <w:bCs/>
        </w:rPr>
        <w:t>on Canada’s</w:t>
      </w:r>
      <w:r w:rsidR="00794BD5" w:rsidRPr="00090CCF">
        <w:rPr>
          <w:bCs/>
        </w:rPr>
        <w:t xml:space="preserve"> international human rights </w:t>
      </w:r>
      <w:r w:rsidR="00805E8C" w:rsidRPr="00090CCF">
        <w:rPr>
          <w:bCs/>
        </w:rPr>
        <w:t>obligations</w:t>
      </w:r>
      <w:r w:rsidR="00261C5F">
        <w:rPr>
          <w:bCs/>
        </w:rPr>
        <w:t xml:space="preserve"> and other relevant legal</w:t>
      </w:r>
      <w:r w:rsidR="00B321E1">
        <w:rPr>
          <w:bCs/>
        </w:rPr>
        <w:t xml:space="preserve"> topics</w:t>
      </w:r>
      <w:r w:rsidR="00805E8C" w:rsidRPr="00090CCF">
        <w:rPr>
          <w:bCs/>
        </w:rPr>
        <w:t>. This training a</w:t>
      </w:r>
      <w:r w:rsidR="00794BD5" w:rsidRPr="00090CCF">
        <w:rPr>
          <w:bCs/>
        </w:rPr>
        <w:t>ssists them in decision-making related to int</w:t>
      </w:r>
      <w:r w:rsidR="002C2C43" w:rsidRPr="00090CCF">
        <w:rPr>
          <w:bCs/>
        </w:rPr>
        <w:t>ernational information sharing.</w:t>
      </w:r>
      <w:r w:rsidR="00794BD5" w:rsidRPr="00090CCF">
        <w:rPr>
          <w:bCs/>
        </w:rPr>
        <w:t xml:space="preserve"> In addition, </w:t>
      </w:r>
      <w:r w:rsidR="00AA6036" w:rsidRPr="00090CCF">
        <w:rPr>
          <w:bCs/>
        </w:rPr>
        <w:t>the Department of Justice</w:t>
      </w:r>
      <w:r w:rsidR="00794BD5" w:rsidRPr="00090CCF">
        <w:rPr>
          <w:bCs/>
        </w:rPr>
        <w:t xml:space="preserve"> periodically reviews this training to ensure it remains up</w:t>
      </w:r>
      <w:r w:rsidR="004D17D7" w:rsidRPr="00090CCF">
        <w:rPr>
          <w:bCs/>
        </w:rPr>
        <w:t xml:space="preserve"> to date</w:t>
      </w:r>
      <w:r w:rsidR="00794BD5" w:rsidRPr="00090CCF">
        <w:rPr>
          <w:bCs/>
        </w:rPr>
        <w:t xml:space="preserve"> and as complete as possible.</w:t>
      </w:r>
    </w:p>
    <w:sectPr w:rsidR="008623F8" w:rsidRPr="00090CCF" w:rsidSect="00852CC0">
      <w:headerReference w:type="default" r:id="rId10"/>
      <w:footerReference w:type="default" r:id="rId11"/>
      <w:pgSz w:w="12240" w:h="15840"/>
      <w:pgMar w:top="1560" w:right="1440" w:bottom="1440" w:left="1440" w:header="568"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855" w:rsidRDefault="008B5855" w:rsidP="00D35329">
      <w:pPr>
        <w:spacing w:after="0" w:line="240" w:lineRule="auto"/>
      </w:pPr>
      <w:r>
        <w:separator/>
      </w:r>
    </w:p>
  </w:endnote>
  <w:endnote w:type="continuationSeparator" w:id="0">
    <w:p w:rsidR="008B5855" w:rsidRDefault="008B5855" w:rsidP="00D3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855" w:rsidRDefault="008B5855" w:rsidP="007F0D14">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855" w:rsidRDefault="008B5855" w:rsidP="007F0D14">
    <w:pPr>
      <w:pStyle w:val="Footer"/>
      <w:jc w:val="right"/>
    </w:pPr>
    <w:r>
      <w:fldChar w:fldCharType="begin"/>
    </w:r>
    <w:r>
      <w:instrText xml:space="preserve"> PAGE   \* MERGEFORMAT </w:instrText>
    </w:r>
    <w:r>
      <w:fldChar w:fldCharType="separate"/>
    </w:r>
    <w:r w:rsidR="00181D44">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855" w:rsidRDefault="008B5855" w:rsidP="00D35329">
      <w:pPr>
        <w:spacing w:after="0" w:line="240" w:lineRule="auto"/>
      </w:pPr>
      <w:r>
        <w:separator/>
      </w:r>
    </w:p>
  </w:footnote>
  <w:footnote w:type="continuationSeparator" w:id="0">
    <w:p w:rsidR="008B5855" w:rsidRDefault="008B5855" w:rsidP="00D35329">
      <w:pPr>
        <w:spacing w:after="0" w:line="240" w:lineRule="auto"/>
      </w:pPr>
      <w:r>
        <w:continuationSeparator/>
      </w:r>
    </w:p>
  </w:footnote>
  <w:footnote w:id="1">
    <w:p w:rsidR="008B5855" w:rsidRDefault="008B5855" w:rsidP="00903CBE">
      <w:pPr>
        <w:pStyle w:val="FootnoteText"/>
        <w:ind w:left="142" w:hanging="142"/>
      </w:pPr>
      <w:r>
        <w:rPr>
          <w:rStyle w:val="FootnoteReference"/>
        </w:rPr>
        <w:footnoteRef/>
      </w:r>
      <w:r>
        <w:t xml:space="preserve"> U.N. Doc. CAT/C/CAN/CO/6, on-line: </w:t>
      </w:r>
      <w:r w:rsidRPr="00903CBE">
        <w:t>www2.ohchr.org/english/bodies/cat/docs/CAT.C.CAN.CO.6.doc</w:t>
      </w:r>
    </w:p>
  </w:footnote>
  <w:footnote w:id="2">
    <w:p w:rsidR="008B5855" w:rsidRPr="007F386F" w:rsidRDefault="008B5855" w:rsidP="00EC2F9E">
      <w:pPr>
        <w:pStyle w:val="FootnoteText"/>
      </w:pPr>
      <w:r w:rsidRPr="007F386F">
        <w:rPr>
          <w:rStyle w:val="FootnoteReference"/>
        </w:rPr>
        <w:footnoteRef/>
      </w:r>
      <w:r w:rsidRPr="007F386F">
        <w:t xml:space="preserve"> </w:t>
      </w:r>
      <w:r>
        <w:t>U.N. Doc.</w:t>
      </w:r>
      <w:r w:rsidRPr="000555D1">
        <w:t xml:space="preserve"> </w:t>
      </w:r>
      <w:r w:rsidRPr="007F386F">
        <w:t>CAT/C/CAN/Q/6/Add.1</w:t>
      </w:r>
      <w:r>
        <w:t xml:space="preserve">, online: </w:t>
      </w:r>
      <w:r w:rsidRPr="00060E89">
        <w:t>www2.ohchr.org/english/bodies/cat/docs/CAT.C.CAN.Q.6.Add.1_en.pdf</w:t>
      </w:r>
      <w:r>
        <w:t xml:space="preserve"> </w:t>
      </w:r>
    </w:p>
  </w:footnote>
  <w:footnote w:id="3">
    <w:p w:rsidR="008B5855" w:rsidRPr="007F386F" w:rsidRDefault="008B5855" w:rsidP="00010986">
      <w:pPr>
        <w:pStyle w:val="FootnoteText"/>
      </w:pPr>
      <w:r w:rsidRPr="007F386F">
        <w:rPr>
          <w:rStyle w:val="FootnoteReference"/>
        </w:rPr>
        <w:footnoteRef/>
      </w:r>
      <w:r w:rsidRPr="007F386F">
        <w:t xml:space="preserve"> </w:t>
      </w:r>
      <w:r>
        <w:t xml:space="preserve"> </w:t>
      </w:r>
      <w:r w:rsidRPr="007F386F">
        <w:rPr>
          <w:color w:val="000000"/>
        </w:rPr>
        <w:t>20</w:t>
      </w:r>
      <w:r>
        <w:rPr>
          <w:color w:val="000000"/>
        </w:rPr>
        <w:t xml:space="preserve">12 FCA 122, [2012] 3 F.C.R. 635, online: </w:t>
      </w:r>
      <w:r>
        <w:t>http://canlii.ca/t/fr330.</w:t>
      </w:r>
    </w:p>
  </w:footnote>
  <w:footnote w:id="4">
    <w:p w:rsidR="008B5855" w:rsidRDefault="008B5855" w:rsidP="00010986">
      <w:pPr>
        <w:pStyle w:val="FootnoteText"/>
      </w:pPr>
      <w:r>
        <w:rPr>
          <w:rStyle w:val="FootnoteReference"/>
        </w:rPr>
        <w:footnoteRef/>
      </w:r>
      <w:r>
        <w:t xml:space="preserve"> </w:t>
      </w:r>
      <w:r w:rsidRPr="00247AC4">
        <w:t>S.C. 2012, c. 17</w:t>
      </w:r>
      <w:r>
        <w:t xml:space="preserve">, online: </w:t>
      </w:r>
      <w:r w:rsidRPr="00C314A8">
        <w:t>http://laws-lois.justice.gc.ca/eng/AnnualStatutes/2012_17/</w:t>
      </w:r>
      <w:r>
        <w:t>.</w:t>
      </w:r>
    </w:p>
  </w:footnote>
  <w:footnote w:id="5">
    <w:p w:rsidR="008B5855" w:rsidRPr="00562114" w:rsidRDefault="008B5855" w:rsidP="00010986">
      <w:pPr>
        <w:pStyle w:val="FootnoteText"/>
        <w:rPr>
          <w:lang w:val="en-US"/>
        </w:rPr>
      </w:pPr>
      <w:r w:rsidRPr="00562114">
        <w:rPr>
          <w:rStyle w:val="FootnoteReference"/>
        </w:rPr>
        <w:footnoteRef/>
      </w:r>
      <w:r w:rsidRPr="00562114">
        <w:t xml:space="preserve"> </w:t>
      </w:r>
      <w:r w:rsidRPr="00562114">
        <w:rPr>
          <w:lang w:val="en-US"/>
        </w:rPr>
        <w:t>[2007] 1 S.C.R. 350, online: http://canlii.ca/t/1qljj.</w:t>
      </w:r>
    </w:p>
  </w:footnote>
  <w:footnote w:id="6">
    <w:p w:rsidR="008B5855" w:rsidRPr="00562114" w:rsidRDefault="008B5855" w:rsidP="00010986">
      <w:pPr>
        <w:pStyle w:val="FootnoteText"/>
      </w:pPr>
      <w:r w:rsidRPr="00562114">
        <w:rPr>
          <w:rStyle w:val="FootnoteReference"/>
        </w:rPr>
        <w:footnoteRef/>
      </w:r>
      <w:r w:rsidRPr="00562114">
        <w:t xml:space="preserve"> </w:t>
      </w:r>
      <w:r w:rsidRPr="00562114">
        <w:rPr>
          <w:rFonts w:eastAsia="Times New Roman"/>
          <w:lang w:eastAsia="en-CA"/>
        </w:rPr>
        <w:t>The IRB Chairperson may, in some instances, direct that an appeal be decided by a three-member panel; decisions by a three-member panel will be binding for the RPD and for RAD single member panels.</w:t>
      </w:r>
    </w:p>
  </w:footnote>
  <w:footnote w:id="7">
    <w:p w:rsidR="008B5855" w:rsidRDefault="008B5855">
      <w:pPr>
        <w:pStyle w:val="FootnoteText"/>
      </w:pPr>
      <w:r>
        <w:rPr>
          <w:rStyle w:val="FootnoteReference"/>
        </w:rPr>
        <w:footnoteRef/>
      </w:r>
      <w:r>
        <w:t xml:space="preserve"> Additional information on the PRRA is available online: </w:t>
      </w:r>
      <w:r w:rsidRPr="004264B6">
        <w:t>www.cic.gc.ca/english/refugees/reform-ppra.asp</w:t>
      </w:r>
      <w:r>
        <w:t>. See also:</w:t>
      </w:r>
      <w:r w:rsidRPr="00D96EEE">
        <w:t xml:space="preserve"> www.cic.gc.ca/english/refugees/inside/prra.asp</w:t>
      </w:r>
      <w:r>
        <w:t>.</w:t>
      </w:r>
    </w:p>
  </w:footnote>
  <w:footnote w:id="8">
    <w:p w:rsidR="008B5855" w:rsidRDefault="008B5855" w:rsidP="00010986">
      <w:pPr>
        <w:pStyle w:val="FootnoteText"/>
      </w:pPr>
      <w:r>
        <w:rPr>
          <w:rStyle w:val="FootnoteReference"/>
        </w:rPr>
        <w:footnoteRef/>
      </w:r>
      <w:r>
        <w:t xml:space="preserve"> The full name of the Iacobucci Inquiry is the “Internal Inquiry into the Actions of Canadian Officials in Relation to Abdullah Almalki, Ahmad Abou-Elmaati and Muayyed Nureddin”. Its Final Report is available online: </w:t>
      </w:r>
      <w:r w:rsidRPr="00AC64F2">
        <w:t>http://epe.lac-bac.gc.ca/100/206/301/pco-bcp/commissions/internal_inquiry/2010-03-09/www.iacobucciinquiry.ca/en/documents/final-report.htm</w:t>
      </w:r>
      <w:r>
        <w:t>.</w:t>
      </w:r>
    </w:p>
  </w:footnote>
  <w:footnote w:id="9">
    <w:p w:rsidR="008B5855" w:rsidRDefault="008B5855">
      <w:pPr>
        <w:pStyle w:val="FootnoteText"/>
      </w:pPr>
      <w:r>
        <w:rPr>
          <w:rStyle w:val="FootnoteReference"/>
        </w:rPr>
        <w:footnoteRef/>
      </w:r>
      <w:r>
        <w:t xml:space="preserve"> The full name of the O’Connor Commission is the “</w:t>
      </w:r>
      <w:r w:rsidRPr="00D57301">
        <w:rPr>
          <w:bCs/>
        </w:rPr>
        <w:t>Commission of Inquiry into the Actions of Canadian Officials in relation to Maher Arar</w:t>
      </w:r>
      <w:r>
        <w:rPr>
          <w:bCs/>
        </w:rPr>
        <w:t xml:space="preserve">”. Its Final Reports are available online: </w:t>
      </w:r>
      <w:r w:rsidRPr="006179B2">
        <w:rPr>
          <w:bCs/>
        </w:rPr>
        <w:t>http://epe.lac-bac.gc.ca/100/206/301/pco-bcp/commissions/maher_arar/07-09-13/www.ararcommission.ca/eng/26.htm</w:t>
      </w:r>
      <w:r>
        <w:rPr>
          <w:bCs/>
        </w:rPr>
        <w:t>.</w:t>
      </w:r>
    </w:p>
  </w:footnote>
  <w:footnote w:id="10">
    <w:p w:rsidR="008B5855" w:rsidRDefault="008B5855" w:rsidP="00010986">
      <w:pPr>
        <w:pStyle w:val="FootnoteText"/>
      </w:pPr>
      <w:r>
        <w:rPr>
          <w:rStyle w:val="FootnoteReference"/>
        </w:rPr>
        <w:footnoteRef/>
      </w:r>
      <w:r>
        <w:t xml:space="preserve"> </w:t>
      </w:r>
      <w:r w:rsidRPr="0088332D">
        <w:t>S</w:t>
      </w:r>
      <w:r>
        <w:t>.</w:t>
      </w:r>
      <w:r w:rsidRPr="0088332D">
        <w:t>C</w:t>
      </w:r>
      <w:r>
        <w:t>.</w:t>
      </w:r>
      <w:r w:rsidRPr="0088332D">
        <w:t xml:space="preserve"> 2004, c</w:t>
      </w:r>
      <w:r>
        <w:t>.</w:t>
      </w:r>
      <w:r w:rsidRPr="0088332D">
        <w:t xml:space="preserve"> 21,</w:t>
      </w:r>
      <w:r>
        <w:t xml:space="preserve"> online: http://canlii.ca/t/lh5b.</w:t>
      </w:r>
    </w:p>
  </w:footnote>
  <w:footnote w:id="11">
    <w:p w:rsidR="008B5855" w:rsidRPr="003C12E0" w:rsidRDefault="008B5855">
      <w:pPr>
        <w:pStyle w:val="FootnoteText"/>
      </w:pPr>
      <w:r>
        <w:rPr>
          <w:rStyle w:val="FootnoteReference"/>
        </w:rPr>
        <w:footnoteRef/>
      </w:r>
      <w:r w:rsidRPr="003C12E0">
        <w:t xml:space="preserve"> </w:t>
      </w:r>
      <w:r w:rsidRPr="003C12E0">
        <w:rPr>
          <w:i/>
        </w:rPr>
        <w:t>Criminal Code</w:t>
      </w:r>
      <w:r w:rsidRPr="003C12E0">
        <w:t xml:space="preserve"> s. 269.1(4), online:  </w:t>
      </w:r>
      <w:r w:rsidRPr="00E02F73">
        <w:t>http://laws-lois.justice.gc.ca/eng/acts/C-46/page-129.html#docCont</w:t>
      </w:r>
      <w:r w:rsidRPr="003C12E0">
        <w:t>; s. 83(1.1) IRPA (see para. 8 above</w:t>
      </w:r>
      <w:proofErr w:type="gramStart"/>
      <w:r w:rsidRPr="003C12E0">
        <w:t>) ;</w:t>
      </w:r>
      <w:proofErr w:type="gramEnd"/>
      <w:r w:rsidRPr="003C12E0">
        <w:t xml:space="preserve"> </w:t>
      </w:r>
      <w:r>
        <w:t xml:space="preserve">and s. 7 of the </w:t>
      </w:r>
      <w:r w:rsidRPr="003C12E0">
        <w:rPr>
          <w:i/>
        </w:rPr>
        <w:t>Charter</w:t>
      </w:r>
      <w:r>
        <w:t xml:space="preserve">, which protects the right to a fair trial in Canada.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855" w:rsidRDefault="008B5855" w:rsidP="00852CC0">
    <w:pPr>
      <w:pStyle w:val="Header"/>
      <w:rPr>
        <w:sz w:val="20"/>
        <w:szCs w:val="20"/>
      </w:rPr>
    </w:pPr>
  </w:p>
  <w:p w:rsidR="008B5855" w:rsidRPr="00C318A2" w:rsidRDefault="008B5855" w:rsidP="00852CC0">
    <w:pPr>
      <w:pStyle w:val="Header"/>
      <w:rPr>
        <w:sz w:val="20"/>
        <w:szCs w:val="20"/>
      </w:rPr>
    </w:pPr>
    <w:r w:rsidRPr="00C318A2">
      <w:rPr>
        <w:sz w:val="20"/>
        <w:szCs w:val="20"/>
      </w:rPr>
      <w:t xml:space="preserve">Interim Report in follow-up to the review of Canada’s </w:t>
    </w:r>
    <w:r>
      <w:rPr>
        <w:sz w:val="20"/>
        <w:szCs w:val="20"/>
      </w:rPr>
      <w:t>Sixth Report</w:t>
    </w:r>
    <w:r w:rsidRPr="00C318A2">
      <w:rPr>
        <w:sz w:val="20"/>
        <w:szCs w:val="20"/>
      </w:rPr>
      <w:t xml:space="preserve"> on the </w:t>
    </w:r>
    <w:r w:rsidRPr="00C318A2">
      <w:rPr>
        <w:i/>
        <w:sz w:val="20"/>
        <w:szCs w:val="20"/>
      </w:rPr>
      <w:t xml:space="preserve">Convention </w:t>
    </w:r>
    <w:r>
      <w:rPr>
        <w:i/>
        <w:sz w:val="20"/>
        <w:szCs w:val="20"/>
      </w:rPr>
      <w:t>against Torture and Other Cruel, Inhuman or Degrading Treatment or Punishment</w:t>
    </w:r>
  </w:p>
  <w:p w:rsidR="008B5855" w:rsidRPr="00D123A3" w:rsidRDefault="00181D44" w:rsidP="00852CC0">
    <w:pPr>
      <w:pStyle w:val="Header"/>
    </w:pPr>
    <w:r>
      <w:rPr>
        <w:noProof/>
        <w:lang w:eastAsia="en-CA"/>
      </w:rPr>
      <w:pict>
        <v:line id="_x0000_s2051" style="position:absolute;z-index:251659264" from="0,0" to="414pt,0"/>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98C"/>
    <w:multiLevelType w:val="hybridMultilevel"/>
    <w:tmpl w:val="36629F32"/>
    <w:lvl w:ilvl="0" w:tplc="0C0C000F">
      <w:start w:val="1"/>
      <w:numFmt w:val="decimal"/>
      <w:lvlText w:val="%1."/>
      <w:lvlJc w:val="left"/>
      <w:pPr>
        <w:ind w:left="644"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3D23F98"/>
    <w:multiLevelType w:val="hybridMultilevel"/>
    <w:tmpl w:val="B48837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4C51FC9"/>
    <w:multiLevelType w:val="hybridMultilevel"/>
    <w:tmpl w:val="5180FA06"/>
    <w:lvl w:ilvl="0" w:tplc="74729952">
      <w:start w:val="1"/>
      <w:numFmt w:val="bullet"/>
      <w:lvlText w:val="•"/>
      <w:lvlJc w:val="left"/>
      <w:pPr>
        <w:tabs>
          <w:tab w:val="num" w:pos="720"/>
        </w:tabs>
        <w:ind w:left="720" w:hanging="360"/>
      </w:pPr>
      <w:rPr>
        <w:rFonts w:ascii="Times" w:hAnsi="Times" w:hint="default"/>
      </w:rPr>
    </w:lvl>
    <w:lvl w:ilvl="1" w:tplc="63E4A74E">
      <w:start w:val="1"/>
      <w:numFmt w:val="bullet"/>
      <w:lvlText w:val="•"/>
      <w:lvlJc w:val="left"/>
      <w:pPr>
        <w:tabs>
          <w:tab w:val="num" w:pos="1440"/>
        </w:tabs>
        <w:ind w:left="1440" w:hanging="360"/>
      </w:pPr>
      <w:rPr>
        <w:rFonts w:ascii="Times" w:hAnsi="Times" w:hint="default"/>
      </w:rPr>
    </w:lvl>
    <w:lvl w:ilvl="2" w:tplc="EC8AFC5E" w:tentative="1">
      <w:start w:val="1"/>
      <w:numFmt w:val="bullet"/>
      <w:lvlText w:val="•"/>
      <w:lvlJc w:val="left"/>
      <w:pPr>
        <w:tabs>
          <w:tab w:val="num" w:pos="2160"/>
        </w:tabs>
        <w:ind w:left="2160" w:hanging="360"/>
      </w:pPr>
      <w:rPr>
        <w:rFonts w:ascii="Times" w:hAnsi="Times" w:hint="default"/>
      </w:rPr>
    </w:lvl>
    <w:lvl w:ilvl="3" w:tplc="2B664AA4" w:tentative="1">
      <w:start w:val="1"/>
      <w:numFmt w:val="bullet"/>
      <w:lvlText w:val="•"/>
      <w:lvlJc w:val="left"/>
      <w:pPr>
        <w:tabs>
          <w:tab w:val="num" w:pos="2880"/>
        </w:tabs>
        <w:ind w:left="2880" w:hanging="360"/>
      </w:pPr>
      <w:rPr>
        <w:rFonts w:ascii="Times" w:hAnsi="Times" w:hint="default"/>
      </w:rPr>
    </w:lvl>
    <w:lvl w:ilvl="4" w:tplc="EC7047D8" w:tentative="1">
      <w:start w:val="1"/>
      <w:numFmt w:val="bullet"/>
      <w:lvlText w:val="•"/>
      <w:lvlJc w:val="left"/>
      <w:pPr>
        <w:tabs>
          <w:tab w:val="num" w:pos="3600"/>
        </w:tabs>
        <w:ind w:left="3600" w:hanging="360"/>
      </w:pPr>
      <w:rPr>
        <w:rFonts w:ascii="Times" w:hAnsi="Times" w:hint="default"/>
      </w:rPr>
    </w:lvl>
    <w:lvl w:ilvl="5" w:tplc="9C247970" w:tentative="1">
      <w:start w:val="1"/>
      <w:numFmt w:val="bullet"/>
      <w:lvlText w:val="•"/>
      <w:lvlJc w:val="left"/>
      <w:pPr>
        <w:tabs>
          <w:tab w:val="num" w:pos="4320"/>
        </w:tabs>
        <w:ind w:left="4320" w:hanging="360"/>
      </w:pPr>
      <w:rPr>
        <w:rFonts w:ascii="Times" w:hAnsi="Times" w:hint="default"/>
      </w:rPr>
    </w:lvl>
    <w:lvl w:ilvl="6" w:tplc="2118FCF8" w:tentative="1">
      <w:start w:val="1"/>
      <w:numFmt w:val="bullet"/>
      <w:lvlText w:val="•"/>
      <w:lvlJc w:val="left"/>
      <w:pPr>
        <w:tabs>
          <w:tab w:val="num" w:pos="5040"/>
        </w:tabs>
        <w:ind w:left="5040" w:hanging="360"/>
      </w:pPr>
      <w:rPr>
        <w:rFonts w:ascii="Times" w:hAnsi="Times" w:hint="default"/>
      </w:rPr>
    </w:lvl>
    <w:lvl w:ilvl="7" w:tplc="8294F3A8" w:tentative="1">
      <w:start w:val="1"/>
      <w:numFmt w:val="bullet"/>
      <w:lvlText w:val="•"/>
      <w:lvlJc w:val="left"/>
      <w:pPr>
        <w:tabs>
          <w:tab w:val="num" w:pos="5760"/>
        </w:tabs>
        <w:ind w:left="5760" w:hanging="360"/>
      </w:pPr>
      <w:rPr>
        <w:rFonts w:ascii="Times" w:hAnsi="Times" w:hint="default"/>
      </w:rPr>
    </w:lvl>
    <w:lvl w:ilvl="8" w:tplc="09FC42A4" w:tentative="1">
      <w:start w:val="1"/>
      <w:numFmt w:val="bullet"/>
      <w:lvlText w:val="•"/>
      <w:lvlJc w:val="left"/>
      <w:pPr>
        <w:tabs>
          <w:tab w:val="num" w:pos="6480"/>
        </w:tabs>
        <w:ind w:left="6480" w:hanging="360"/>
      </w:pPr>
      <w:rPr>
        <w:rFonts w:ascii="Times" w:hAnsi="Times" w:hint="default"/>
      </w:rPr>
    </w:lvl>
  </w:abstractNum>
  <w:abstractNum w:abstractNumId="3">
    <w:nsid w:val="069071AC"/>
    <w:multiLevelType w:val="hybridMultilevel"/>
    <w:tmpl w:val="625CB956"/>
    <w:lvl w:ilvl="0" w:tplc="C67AEB90">
      <w:start w:val="1"/>
      <w:numFmt w:val="bullet"/>
      <w:lvlText w:val="•"/>
      <w:lvlJc w:val="left"/>
      <w:pPr>
        <w:tabs>
          <w:tab w:val="num" w:pos="720"/>
        </w:tabs>
        <w:ind w:left="720" w:hanging="360"/>
      </w:pPr>
      <w:rPr>
        <w:rFonts w:ascii="Times" w:hAnsi="Times" w:hint="default"/>
      </w:rPr>
    </w:lvl>
    <w:lvl w:ilvl="1" w:tplc="AF7CD124">
      <w:start w:val="1"/>
      <w:numFmt w:val="bullet"/>
      <w:lvlText w:val="•"/>
      <w:lvlJc w:val="left"/>
      <w:pPr>
        <w:tabs>
          <w:tab w:val="num" w:pos="1440"/>
        </w:tabs>
        <w:ind w:left="1440" w:hanging="360"/>
      </w:pPr>
      <w:rPr>
        <w:rFonts w:ascii="Times" w:hAnsi="Times" w:hint="default"/>
      </w:rPr>
    </w:lvl>
    <w:lvl w:ilvl="2" w:tplc="0292F278" w:tentative="1">
      <w:start w:val="1"/>
      <w:numFmt w:val="bullet"/>
      <w:lvlText w:val="•"/>
      <w:lvlJc w:val="left"/>
      <w:pPr>
        <w:tabs>
          <w:tab w:val="num" w:pos="2160"/>
        </w:tabs>
        <w:ind w:left="2160" w:hanging="360"/>
      </w:pPr>
      <w:rPr>
        <w:rFonts w:ascii="Times" w:hAnsi="Times" w:hint="default"/>
      </w:rPr>
    </w:lvl>
    <w:lvl w:ilvl="3" w:tplc="92402BBA" w:tentative="1">
      <w:start w:val="1"/>
      <w:numFmt w:val="bullet"/>
      <w:lvlText w:val="•"/>
      <w:lvlJc w:val="left"/>
      <w:pPr>
        <w:tabs>
          <w:tab w:val="num" w:pos="2880"/>
        </w:tabs>
        <w:ind w:left="2880" w:hanging="360"/>
      </w:pPr>
      <w:rPr>
        <w:rFonts w:ascii="Times" w:hAnsi="Times" w:hint="default"/>
      </w:rPr>
    </w:lvl>
    <w:lvl w:ilvl="4" w:tplc="E6FCF94E" w:tentative="1">
      <w:start w:val="1"/>
      <w:numFmt w:val="bullet"/>
      <w:lvlText w:val="•"/>
      <w:lvlJc w:val="left"/>
      <w:pPr>
        <w:tabs>
          <w:tab w:val="num" w:pos="3600"/>
        </w:tabs>
        <w:ind w:left="3600" w:hanging="360"/>
      </w:pPr>
      <w:rPr>
        <w:rFonts w:ascii="Times" w:hAnsi="Times" w:hint="default"/>
      </w:rPr>
    </w:lvl>
    <w:lvl w:ilvl="5" w:tplc="A9C6BF8C" w:tentative="1">
      <w:start w:val="1"/>
      <w:numFmt w:val="bullet"/>
      <w:lvlText w:val="•"/>
      <w:lvlJc w:val="left"/>
      <w:pPr>
        <w:tabs>
          <w:tab w:val="num" w:pos="4320"/>
        </w:tabs>
        <w:ind w:left="4320" w:hanging="360"/>
      </w:pPr>
      <w:rPr>
        <w:rFonts w:ascii="Times" w:hAnsi="Times" w:hint="default"/>
      </w:rPr>
    </w:lvl>
    <w:lvl w:ilvl="6" w:tplc="FB4AF58C" w:tentative="1">
      <w:start w:val="1"/>
      <w:numFmt w:val="bullet"/>
      <w:lvlText w:val="•"/>
      <w:lvlJc w:val="left"/>
      <w:pPr>
        <w:tabs>
          <w:tab w:val="num" w:pos="5040"/>
        </w:tabs>
        <w:ind w:left="5040" w:hanging="360"/>
      </w:pPr>
      <w:rPr>
        <w:rFonts w:ascii="Times" w:hAnsi="Times" w:hint="default"/>
      </w:rPr>
    </w:lvl>
    <w:lvl w:ilvl="7" w:tplc="7DD830E4" w:tentative="1">
      <w:start w:val="1"/>
      <w:numFmt w:val="bullet"/>
      <w:lvlText w:val="•"/>
      <w:lvlJc w:val="left"/>
      <w:pPr>
        <w:tabs>
          <w:tab w:val="num" w:pos="5760"/>
        </w:tabs>
        <w:ind w:left="5760" w:hanging="360"/>
      </w:pPr>
      <w:rPr>
        <w:rFonts w:ascii="Times" w:hAnsi="Times" w:hint="default"/>
      </w:rPr>
    </w:lvl>
    <w:lvl w:ilvl="8" w:tplc="0032ECC0" w:tentative="1">
      <w:start w:val="1"/>
      <w:numFmt w:val="bullet"/>
      <w:lvlText w:val="•"/>
      <w:lvlJc w:val="left"/>
      <w:pPr>
        <w:tabs>
          <w:tab w:val="num" w:pos="6480"/>
        </w:tabs>
        <w:ind w:left="6480" w:hanging="360"/>
      </w:pPr>
      <w:rPr>
        <w:rFonts w:ascii="Times" w:hAnsi="Times" w:hint="default"/>
      </w:rPr>
    </w:lvl>
  </w:abstractNum>
  <w:abstractNum w:abstractNumId="4">
    <w:nsid w:val="06B90492"/>
    <w:multiLevelType w:val="hybridMultilevel"/>
    <w:tmpl w:val="F910817C"/>
    <w:lvl w:ilvl="0" w:tplc="9222C110">
      <w:start w:val="1"/>
      <w:numFmt w:val="decimal"/>
      <w:lvlText w:val="%1."/>
      <w:lvlJc w:val="left"/>
      <w:pPr>
        <w:ind w:left="720" w:hanging="360"/>
      </w:pPr>
      <w:rPr>
        <w:rFonts w:hint="default"/>
        <w:b w:val="0"/>
        <w:i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0B101764"/>
    <w:multiLevelType w:val="hybridMultilevel"/>
    <w:tmpl w:val="2042F20A"/>
    <w:lvl w:ilvl="0" w:tplc="0CF20DC2">
      <w:start w:val="1"/>
      <w:numFmt w:val="bullet"/>
      <w:lvlText w:val="•"/>
      <w:lvlJc w:val="left"/>
      <w:pPr>
        <w:tabs>
          <w:tab w:val="num" w:pos="720"/>
        </w:tabs>
        <w:ind w:left="720" w:hanging="360"/>
      </w:pPr>
      <w:rPr>
        <w:rFonts w:ascii="Times" w:hAnsi="Times" w:hint="default"/>
      </w:rPr>
    </w:lvl>
    <w:lvl w:ilvl="1" w:tplc="3506A860">
      <w:start w:val="1"/>
      <w:numFmt w:val="bullet"/>
      <w:lvlText w:val="•"/>
      <w:lvlJc w:val="left"/>
      <w:pPr>
        <w:tabs>
          <w:tab w:val="num" w:pos="1440"/>
        </w:tabs>
        <w:ind w:left="1440" w:hanging="360"/>
      </w:pPr>
      <w:rPr>
        <w:rFonts w:ascii="Times" w:hAnsi="Times" w:hint="default"/>
      </w:rPr>
    </w:lvl>
    <w:lvl w:ilvl="2" w:tplc="0A081CDA" w:tentative="1">
      <w:start w:val="1"/>
      <w:numFmt w:val="bullet"/>
      <w:lvlText w:val="•"/>
      <w:lvlJc w:val="left"/>
      <w:pPr>
        <w:tabs>
          <w:tab w:val="num" w:pos="2160"/>
        </w:tabs>
        <w:ind w:left="2160" w:hanging="360"/>
      </w:pPr>
      <w:rPr>
        <w:rFonts w:ascii="Times" w:hAnsi="Times" w:hint="default"/>
      </w:rPr>
    </w:lvl>
    <w:lvl w:ilvl="3" w:tplc="3D6EF66C" w:tentative="1">
      <w:start w:val="1"/>
      <w:numFmt w:val="bullet"/>
      <w:lvlText w:val="•"/>
      <w:lvlJc w:val="left"/>
      <w:pPr>
        <w:tabs>
          <w:tab w:val="num" w:pos="2880"/>
        </w:tabs>
        <w:ind w:left="2880" w:hanging="360"/>
      </w:pPr>
      <w:rPr>
        <w:rFonts w:ascii="Times" w:hAnsi="Times" w:hint="default"/>
      </w:rPr>
    </w:lvl>
    <w:lvl w:ilvl="4" w:tplc="4AC02170" w:tentative="1">
      <w:start w:val="1"/>
      <w:numFmt w:val="bullet"/>
      <w:lvlText w:val="•"/>
      <w:lvlJc w:val="left"/>
      <w:pPr>
        <w:tabs>
          <w:tab w:val="num" w:pos="3600"/>
        </w:tabs>
        <w:ind w:left="3600" w:hanging="360"/>
      </w:pPr>
      <w:rPr>
        <w:rFonts w:ascii="Times" w:hAnsi="Times" w:hint="default"/>
      </w:rPr>
    </w:lvl>
    <w:lvl w:ilvl="5" w:tplc="3870B002" w:tentative="1">
      <w:start w:val="1"/>
      <w:numFmt w:val="bullet"/>
      <w:lvlText w:val="•"/>
      <w:lvlJc w:val="left"/>
      <w:pPr>
        <w:tabs>
          <w:tab w:val="num" w:pos="4320"/>
        </w:tabs>
        <w:ind w:left="4320" w:hanging="360"/>
      </w:pPr>
      <w:rPr>
        <w:rFonts w:ascii="Times" w:hAnsi="Times" w:hint="default"/>
      </w:rPr>
    </w:lvl>
    <w:lvl w:ilvl="6" w:tplc="B26ED428" w:tentative="1">
      <w:start w:val="1"/>
      <w:numFmt w:val="bullet"/>
      <w:lvlText w:val="•"/>
      <w:lvlJc w:val="left"/>
      <w:pPr>
        <w:tabs>
          <w:tab w:val="num" w:pos="5040"/>
        </w:tabs>
        <w:ind w:left="5040" w:hanging="360"/>
      </w:pPr>
      <w:rPr>
        <w:rFonts w:ascii="Times" w:hAnsi="Times" w:hint="default"/>
      </w:rPr>
    </w:lvl>
    <w:lvl w:ilvl="7" w:tplc="A8820D6C" w:tentative="1">
      <w:start w:val="1"/>
      <w:numFmt w:val="bullet"/>
      <w:lvlText w:val="•"/>
      <w:lvlJc w:val="left"/>
      <w:pPr>
        <w:tabs>
          <w:tab w:val="num" w:pos="5760"/>
        </w:tabs>
        <w:ind w:left="5760" w:hanging="360"/>
      </w:pPr>
      <w:rPr>
        <w:rFonts w:ascii="Times" w:hAnsi="Times" w:hint="default"/>
      </w:rPr>
    </w:lvl>
    <w:lvl w:ilvl="8" w:tplc="257C694A" w:tentative="1">
      <w:start w:val="1"/>
      <w:numFmt w:val="bullet"/>
      <w:lvlText w:val="•"/>
      <w:lvlJc w:val="left"/>
      <w:pPr>
        <w:tabs>
          <w:tab w:val="num" w:pos="6480"/>
        </w:tabs>
        <w:ind w:left="6480" w:hanging="360"/>
      </w:pPr>
      <w:rPr>
        <w:rFonts w:ascii="Times" w:hAnsi="Times" w:hint="default"/>
      </w:rPr>
    </w:lvl>
  </w:abstractNum>
  <w:abstractNum w:abstractNumId="6">
    <w:nsid w:val="0ED005A6"/>
    <w:multiLevelType w:val="hybridMultilevel"/>
    <w:tmpl w:val="CCE4E51E"/>
    <w:lvl w:ilvl="0" w:tplc="56E02802">
      <w:start w:val="1"/>
      <w:numFmt w:val="bullet"/>
      <w:lvlText w:val=""/>
      <w:lvlJc w:val="left"/>
      <w:pPr>
        <w:tabs>
          <w:tab w:val="num" w:pos="720"/>
        </w:tabs>
        <w:ind w:left="720" w:hanging="360"/>
      </w:pPr>
      <w:rPr>
        <w:rFonts w:ascii="Wingdings" w:hAnsi="Wingdings" w:hint="default"/>
      </w:rPr>
    </w:lvl>
    <w:lvl w:ilvl="1" w:tplc="338AA86E">
      <w:start w:val="1"/>
      <w:numFmt w:val="bullet"/>
      <w:lvlText w:val=""/>
      <w:lvlJc w:val="left"/>
      <w:pPr>
        <w:tabs>
          <w:tab w:val="num" w:pos="1440"/>
        </w:tabs>
        <w:ind w:left="1440" w:hanging="360"/>
      </w:pPr>
      <w:rPr>
        <w:rFonts w:ascii="Wingdings" w:hAnsi="Wingdings" w:hint="default"/>
      </w:rPr>
    </w:lvl>
    <w:lvl w:ilvl="2" w:tplc="EFBA56B4" w:tentative="1">
      <w:start w:val="1"/>
      <w:numFmt w:val="bullet"/>
      <w:lvlText w:val=""/>
      <w:lvlJc w:val="left"/>
      <w:pPr>
        <w:tabs>
          <w:tab w:val="num" w:pos="2160"/>
        </w:tabs>
        <w:ind w:left="2160" w:hanging="360"/>
      </w:pPr>
      <w:rPr>
        <w:rFonts w:ascii="Wingdings" w:hAnsi="Wingdings" w:hint="default"/>
      </w:rPr>
    </w:lvl>
    <w:lvl w:ilvl="3" w:tplc="9F6A2DDA" w:tentative="1">
      <w:start w:val="1"/>
      <w:numFmt w:val="bullet"/>
      <w:lvlText w:val=""/>
      <w:lvlJc w:val="left"/>
      <w:pPr>
        <w:tabs>
          <w:tab w:val="num" w:pos="2880"/>
        </w:tabs>
        <w:ind w:left="2880" w:hanging="360"/>
      </w:pPr>
      <w:rPr>
        <w:rFonts w:ascii="Wingdings" w:hAnsi="Wingdings" w:hint="default"/>
      </w:rPr>
    </w:lvl>
    <w:lvl w:ilvl="4" w:tplc="6C5EB31C" w:tentative="1">
      <w:start w:val="1"/>
      <w:numFmt w:val="bullet"/>
      <w:lvlText w:val=""/>
      <w:lvlJc w:val="left"/>
      <w:pPr>
        <w:tabs>
          <w:tab w:val="num" w:pos="3600"/>
        </w:tabs>
        <w:ind w:left="3600" w:hanging="360"/>
      </w:pPr>
      <w:rPr>
        <w:rFonts w:ascii="Wingdings" w:hAnsi="Wingdings" w:hint="default"/>
      </w:rPr>
    </w:lvl>
    <w:lvl w:ilvl="5" w:tplc="E1EE182C" w:tentative="1">
      <w:start w:val="1"/>
      <w:numFmt w:val="bullet"/>
      <w:lvlText w:val=""/>
      <w:lvlJc w:val="left"/>
      <w:pPr>
        <w:tabs>
          <w:tab w:val="num" w:pos="4320"/>
        </w:tabs>
        <w:ind w:left="4320" w:hanging="360"/>
      </w:pPr>
      <w:rPr>
        <w:rFonts w:ascii="Wingdings" w:hAnsi="Wingdings" w:hint="default"/>
      </w:rPr>
    </w:lvl>
    <w:lvl w:ilvl="6" w:tplc="B7C0B81C" w:tentative="1">
      <w:start w:val="1"/>
      <w:numFmt w:val="bullet"/>
      <w:lvlText w:val=""/>
      <w:lvlJc w:val="left"/>
      <w:pPr>
        <w:tabs>
          <w:tab w:val="num" w:pos="5040"/>
        </w:tabs>
        <w:ind w:left="5040" w:hanging="360"/>
      </w:pPr>
      <w:rPr>
        <w:rFonts w:ascii="Wingdings" w:hAnsi="Wingdings" w:hint="default"/>
      </w:rPr>
    </w:lvl>
    <w:lvl w:ilvl="7" w:tplc="8C6A5746" w:tentative="1">
      <w:start w:val="1"/>
      <w:numFmt w:val="bullet"/>
      <w:lvlText w:val=""/>
      <w:lvlJc w:val="left"/>
      <w:pPr>
        <w:tabs>
          <w:tab w:val="num" w:pos="5760"/>
        </w:tabs>
        <w:ind w:left="5760" w:hanging="360"/>
      </w:pPr>
      <w:rPr>
        <w:rFonts w:ascii="Wingdings" w:hAnsi="Wingdings" w:hint="default"/>
      </w:rPr>
    </w:lvl>
    <w:lvl w:ilvl="8" w:tplc="7C0444A2" w:tentative="1">
      <w:start w:val="1"/>
      <w:numFmt w:val="bullet"/>
      <w:lvlText w:val=""/>
      <w:lvlJc w:val="left"/>
      <w:pPr>
        <w:tabs>
          <w:tab w:val="num" w:pos="6480"/>
        </w:tabs>
        <w:ind w:left="6480" w:hanging="360"/>
      </w:pPr>
      <w:rPr>
        <w:rFonts w:ascii="Wingdings" w:hAnsi="Wingdings" w:hint="default"/>
      </w:rPr>
    </w:lvl>
  </w:abstractNum>
  <w:abstractNum w:abstractNumId="7">
    <w:nsid w:val="12190C31"/>
    <w:multiLevelType w:val="hybridMultilevel"/>
    <w:tmpl w:val="0D446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D40EC9"/>
    <w:multiLevelType w:val="hybridMultilevel"/>
    <w:tmpl w:val="F98AA4DA"/>
    <w:lvl w:ilvl="0" w:tplc="B3DA3C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DC5555D"/>
    <w:multiLevelType w:val="hybridMultilevel"/>
    <w:tmpl w:val="280CC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D82876"/>
    <w:multiLevelType w:val="hybridMultilevel"/>
    <w:tmpl w:val="F1E6920C"/>
    <w:lvl w:ilvl="0" w:tplc="10090001">
      <w:start w:val="1"/>
      <w:numFmt w:val="bullet"/>
      <w:lvlText w:val=""/>
      <w:lvlJc w:val="left"/>
      <w:pPr>
        <w:ind w:left="3585" w:hanging="360"/>
      </w:pPr>
      <w:rPr>
        <w:rFonts w:ascii="Symbol" w:hAnsi="Symbol" w:hint="default"/>
      </w:rPr>
    </w:lvl>
    <w:lvl w:ilvl="1" w:tplc="10090003" w:tentative="1">
      <w:start w:val="1"/>
      <w:numFmt w:val="bullet"/>
      <w:lvlText w:val="o"/>
      <w:lvlJc w:val="left"/>
      <w:pPr>
        <w:ind w:left="4305" w:hanging="360"/>
      </w:pPr>
      <w:rPr>
        <w:rFonts w:ascii="Courier New" w:hAnsi="Courier New" w:cs="Courier New" w:hint="default"/>
      </w:rPr>
    </w:lvl>
    <w:lvl w:ilvl="2" w:tplc="10090005" w:tentative="1">
      <w:start w:val="1"/>
      <w:numFmt w:val="bullet"/>
      <w:lvlText w:val=""/>
      <w:lvlJc w:val="left"/>
      <w:pPr>
        <w:ind w:left="5025" w:hanging="360"/>
      </w:pPr>
      <w:rPr>
        <w:rFonts w:ascii="Wingdings" w:hAnsi="Wingdings" w:hint="default"/>
      </w:rPr>
    </w:lvl>
    <w:lvl w:ilvl="3" w:tplc="10090001" w:tentative="1">
      <w:start w:val="1"/>
      <w:numFmt w:val="bullet"/>
      <w:lvlText w:val=""/>
      <w:lvlJc w:val="left"/>
      <w:pPr>
        <w:ind w:left="5745" w:hanging="360"/>
      </w:pPr>
      <w:rPr>
        <w:rFonts w:ascii="Symbol" w:hAnsi="Symbol" w:hint="default"/>
      </w:rPr>
    </w:lvl>
    <w:lvl w:ilvl="4" w:tplc="10090003" w:tentative="1">
      <w:start w:val="1"/>
      <w:numFmt w:val="bullet"/>
      <w:lvlText w:val="o"/>
      <w:lvlJc w:val="left"/>
      <w:pPr>
        <w:ind w:left="6465" w:hanging="360"/>
      </w:pPr>
      <w:rPr>
        <w:rFonts w:ascii="Courier New" w:hAnsi="Courier New" w:cs="Courier New" w:hint="default"/>
      </w:rPr>
    </w:lvl>
    <w:lvl w:ilvl="5" w:tplc="10090005" w:tentative="1">
      <w:start w:val="1"/>
      <w:numFmt w:val="bullet"/>
      <w:lvlText w:val=""/>
      <w:lvlJc w:val="left"/>
      <w:pPr>
        <w:ind w:left="7185" w:hanging="360"/>
      </w:pPr>
      <w:rPr>
        <w:rFonts w:ascii="Wingdings" w:hAnsi="Wingdings" w:hint="default"/>
      </w:rPr>
    </w:lvl>
    <w:lvl w:ilvl="6" w:tplc="10090001" w:tentative="1">
      <w:start w:val="1"/>
      <w:numFmt w:val="bullet"/>
      <w:lvlText w:val=""/>
      <w:lvlJc w:val="left"/>
      <w:pPr>
        <w:ind w:left="7905" w:hanging="360"/>
      </w:pPr>
      <w:rPr>
        <w:rFonts w:ascii="Symbol" w:hAnsi="Symbol" w:hint="default"/>
      </w:rPr>
    </w:lvl>
    <w:lvl w:ilvl="7" w:tplc="10090003" w:tentative="1">
      <w:start w:val="1"/>
      <w:numFmt w:val="bullet"/>
      <w:lvlText w:val="o"/>
      <w:lvlJc w:val="left"/>
      <w:pPr>
        <w:ind w:left="8625" w:hanging="360"/>
      </w:pPr>
      <w:rPr>
        <w:rFonts w:ascii="Courier New" w:hAnsi="Courier New" w:cs="Courier New" w:hint="default"/>
      </w:rPr>
    </w:lvl>
    <w:lvl w:ilvl="8" w:tplc="10090005" w:tentative="1">
      <w:start w:val="1"/>
      <w:numFmt w:val="bullet"/>
      <w:lvlText w:val=""/>
      <w:lvlJc w:val="left"/>
      <w:pPr>
        <w:ind w:left="9345" w:hanging="360"/>
      </w:pPr>
      <w:rPr>
        <w:rFonts w:ascii="Wingdings" w:hAnsi="Wingdings" w:hint="default"/>
      </w:rPr>
    </w:lvl>
  </w:abstractNum>
  <w:abstractNum w:abstractNumId="11">
    <w:nsid w:val="31C510A8"/>
    <w:multiLevelType w:val="hybridMultilevel"/>
    <w:tmpl w:val="43489128"/>
    <w:lvl w:ilvl="0" w:tplc="10090001">
      <w:start w:val="1"/>
      <w:numFmt w:val="bullet"/>
      <w:lvlText w:val=""/>
      <w:lvlJc w:val="left"/>
      <w:pPr>
        <w:tabs>
          <w:tab w:val="num" w:pos="720"/>
        </w:tabs>
        <w:ind w:left="720" w:hanging="360"/>
      </w:pPr>
      <w:rPr>
        <w:rFonts w:ascii="Symbol" w:hAnsi="Symbol" w:hint="default"/>
      </w:rPr>
    </w:lvl>
    <w:lvl w:ilvl="1" w:tplc="63E4A74E">
      <w:start w:val="1"/>
      <w:numFmt w:val="bullet"/>
      <w:lvlText w:val="•"/>
      <w:lvlJc w:val="left"/>
      <w:pPr>
        <w:tabs>
          <w:tab w:val="num" w:pos="1440"/>
        </w:tabs>
        <w:ind w:left="1440" w:hanging="360"/>
      </w:pPr>
      <w:rPr>
        <w:rFonts w:ascii="Times" w:hAnsi="Times" w:hint="default"/>
      </w:rPr>
    </w:lvl>
    <w:lvl w:ilvl="2" w:tplc="EC8AFC5E" w:tentative="1">
      <w:start w:val="1"/>
      <w:numFmt w:val="bullet"/>
      <w:lvlText w:val="•"/>
      <w:lvlJc w:val="left"/>
      <w:pPr>
        <w:tabs>
          <w:tab w:val="num" w:pos="2160"/>
        </w:tabs>
        <w:ind w:left="2160" w:hanging="360"/>
      </w:pPr>
      <w:rPr>
        <w:rFonts w:ascii="Times" w:hAnsi="Times" w:hint="default"/>
      </w:rPr>
    </w:lvl>
    <w:lvl w:ilvl="3" w:tplc="2B664AA4" w:tentative="1">
      <w:start w:val="1"/>
      <w:numFmt w:val="bullet"/>
      <w:lvlText w:val="•"/>
      <w:lvlJc w:val="left"/>
      <w:pPr>
        <w:tabs>
          <w:tab w:val="num" w:pos="2880"/>
        </w:tabs>
        <w:ind w:left="2880" w:hanging="360"/>
      </w:pPr>
      <w:rPr>
        <w:rFonts w:ascii="Times" w:hAnsi="Times" w:hint="default"/>
      </w:rPr>
    </w:lvl>
    <w:lvl w:ilvl="4" w:tplc="EC7047D8" w:tentative="1">
      <w:start w:val="1"/>
      <w:numFmt w:val="bullet"/>
      <w:lvlText w:val="•"/>
      <w:lvlJc w:val="left"/>
      <w:pPr>
        <w:tabs>
          <w:tab w:val="num" w:pos="3600"/>
        </w:tabs>
        <w:ind w:left="3600" w:hanging="360"/>
      </w:pPr>
      <w:rPr>
        <w:rFonts w:ascii="Times" w:hAnsi="Times" w:hint="default"/>
      </w:rPr>
    </w:lvl>
    <w:lvl w:ilvl="5" w:tplc="9C247970" w:tentative="1">
      <w:start w:val="1"/>
      <w:numFmt w:val="bullet"/>
      <w:lvlText w:val="•"/>
      <w:lvlJc w:val="left"/>
      <w:pPr>
        <w:tabs>
          <w:tab w:val="num" w:pos="4320"/>
        </w:tabs>
        <w:ind w:left="4320" w:hanging="360"/>
      </w:pPr>
      <w:rPr>
        <w:rFonts w:ascii="Times" w:hAnsi="Times" w:hint="default"/>
      </w:rPr>
    </w:lvl>
    <w:lvl w:ilvl="6" w:tplc="2118FCF8" w:tentative="1">
      <w:start w:val="1"/>
      <w:numFmt w:val="bullet"/>
      <w:lvlText w:val="•"/>
      <w:lvlJc w:val="left"/>
      <w:pPr>
        <w:tabs>
          <w:tab w:val="num" w:pos="5040"/>
        </w:tabs>
        <w:ind w:left="5040" w:hanging="360"/>
      </w:pPr>
      <w:rPr>
        <w:rFonts w:ascii="Times" w:hAnsi="Times" w:hint="default"/>
      </w:rPr>
    </w:lvl>
    <w:lvl w:ilvl="7" w:tplc="8294F3A8" w:tentative="1">
      <w:start w:val="1"/>
      <w:numFmt w:val="bullet"/>
      <w:lvlText w:val="•"/>
      <w:lvlJc w:val="left"/>
      <w:pPr>
        <w:tabs>
          <w:tab w:val="num" w:pos="5760"/>
        </w:tabs>
        <w:ind w:left="5760" w:hanging="360"/>
      </w:pPr>
      <w:rPr>
        <w:rFonts w:ascii="Times" w:hAnsi="Times" w:hint="default"/>
      </w:rPr>
    </w:lvl>
    <w:lvl w:ilvl="8" w:tplc="09FC42A4" w:tentative="1">
      <w:start w:val="1"/>
      <w:numFmt w:val="bullet"/>
      <w:lvlText w:val="•"/>
      <w:lvlJc w:val="left"/>
      <w:pPr>
        <w:tabs>
          <w:tab w:val="num" w:pos="6480"/>
        </w:tabs>
        <w:ind w:left="6480" w:hanging="360"/>
      </w:pPr>
      <w:rPr>
        <w:rFonts w:ascii="Times" w:hAnsi="Times" w:hint="default"/>
      </w:rPr>
    </w:lvl>
  </w:abstractNum>
  <w:abstractNum w:abstractNumId="12">
    <w:nsid w:val="34032201"/>
    <w:multiLevelType w:val="hybridMultilevel"/>
    <w:tmpl w:val="8FC4C130"/>
    <w:lvl w:ilvl="0" w:tplc="CF86ED54">
      <w:start w:val="1"/>
      <w:numFmt w:val="bullet"/>
      <w:lvlText w:val=""/>
      <w:lvlJc w:val="left"/>
      <w:pPr>
        <w:tabs>
          <w:tab w:val="num" w:pos="720"/>
        </w:tabs>
        <w:ind w:left="720" w:hanging="360"/>
      </w:pPr>
      <w:rPr>
        <w:rFonts w:ascii="Wingdings" w:hAnsi="Wingdings" w:hint="default"/>
      </w:rPr>
    </w:lvl>
    <w:lvl w:ilvl="1" w:tplc="3BF48EB0">
      <w:start w:val="1"/>
      <w:numFmt w:val="bullet"/>
      <w:lvlText w:val=""/>
      <w:lvlJc w:val="left"/>
      <w:pPr>
        <w:tabs>
          <w:tab w:val="num" w:pos="1440"/>
        </w:tabs>
        <w:ind w:left="1440" w:hanging="360"/>
      </w:pPr>
      <w:rPr>
        <w:rFonts w:ascii="Wingdings" w:hAnsi="Wingdings" w:hint="default"/>
      </w:rPr>
    </w:lvl>
    <w:lvl w:ilvl="2" w:tplc="A014CBF2" w:tentative="1">
      <w:start w:val="1"/>
      <w:numFmt w:val="bullet"/>
      <w:lvlText w:val=""/>
      <w:lvlJc w:val="left"/>
      <w:pPr>
        <w:tabs>
          <w:tab w:val="num" w:pos="2160"/>
        </w:tabs>
        <w:ind w:left="2160" w:hanging="360"/>
      </w:pPr>
      <w:rPr>
        <w:rFonts w:ascii="Wingdings" w:hAnsi="Wingdings" w:hint="default"/>
      </w:rPr>
    </w:lvl>
    <w:lvl w:ilvl="3" w:tplc="A17ED682" w:tentative="1">
      <w:start w:val="1"/>
      <w:numFmt w:val="bullet"/>
      <w:lvlText w:val=""/>
      <w:lvlJc w:val="left"/>
      <w:pPr>
        <w:tabs>
          <w:tab w:val="num" w:pos="2880"/>
        </w:tabs>
        <w:ind w:left="2880" w:hanging="360"/>
      </w:pPr>
      <w:rPr>
        <w:rFonts w:ascii="Wingdings" w:hAnsi="Wingdings" w:hint="default"/>
      </w:rPr>
    </w:lvl>
    <w:lvl w:ilvl="4" w:tplc="F7901BE4" w:tentative="1">
      <w:start w:val="1"/>
      <w:numFmt w:val="bullet"/>
      <w:lvlText w:val=""/>
      <w:lvlJc w:val="left"/>
      <w:pPr>
        <w:tabs>
          <w:tab w:val="num" w:pos="3600"/>
        </w:tabs>
        <w:ind w:left="3600" w:hanging="360"/>
      </w:pPr>
      <w:rPr>
        <w:rFonts w:ascii="Wingdings" w:hAnsi="Wingdings" w:hint="default"/>
      </w:rPr>
    </w:lvl>
    <w:lvl w:ilvl="5" w:tplc="523AD35E" w:tentative="1">
      <w:start w:val="1"/>
      <w:numFmt w:val="bullet"/>
      <w:lvlText w:val=""/>
      <w:lvlJc w:val="left"/>
      <w:pPr>
        <w:tabs>
          <w:tab w:val="num" w:pos="4320"/>
        </w:tabs>
        <w:ind w:left="4320" w:hanging="360"/>
      </w:pPr>
      <w:rPr>
        <w:rFonts w:ascii="Wingdings" w:hAnsi="Wingdings" w:hint="default"/>
      </w:rPr>
    </w:lvl>
    <w:lvl w:ilvl="6" w:tplc="5128EA08" w:tentative="1">
      <w:start w:val="1"/>
      <w:numFmt w:val="bullet"/>
      <w:lvlText w:val=""/>
      <w:lvlJc w:val="left"/>
      <w:pPr>
        <w:tabs>
          <w:tab w:val="num" w:pos="5040"/>
        </w:tabs>
        <w:ind w:left="5040" w:hanging="360"/>
      </w:pPr>
      <w:rPr>
        <w:rFonts w:ascii="Wingdings" w:hAnsi="Wingdings" w:hint="default"/>
      </w:rPr>
    </w:lvl>
    <w:lvl w:ilvl="7" w:tplc="F2D215C0" w:tentative="1">
      <w:start w:val="1"/>
      <w:numFmt w:val="bullet"/>
      <w:lvlText w:val=""/>
      <w:lvlJc w:val="left"/>
      <w:pPr>
        <w:tabs>
          <w:tab w:val="num" w:pos="5760"/>
        </w:tabs>
        <w:ind w:left="5760" w:hanging="360"/>
      </w:pPr>
      <w:rPr>
        <w:rFonts w:ascii="Wingdings" w:hAnsi="Wingdings" w:hint="default"/>
      </w:rPr>
    </w:lvl>
    <w:lvl w:ilvl="8" w:tplc="A3CA3000" w:tentative="1">
      <w:start w:val="1"/>
      <w:numFmt w:val="bullet"/>
      <w:lvlText w:val=""/>
      <w:lvlJc w:val="left"/>
      <w:pPr>
        <w:tabs>
          <w:tab w:val="num" w:pos="6480"/>
        </w:tabs>
        <w:ind w:left="6480" w:hanging="360"/>
      </w:pPr>
      <w:rPr>
        <w:rFonts w:ascii="Wingdings" w:hAnsi="Wingdings" w:hint="default"/>
      </w:rPr>
    </w:lvl>
  </w:abstractNum>
  <w:abstractNum w:abstractNumId="13">
    <w:nsid w:val="38A13EA3"/>
    <w:multiLevelType w:val="hybridMultilevel"/>
    <w:tmpl w:val="7EC6F478"/>
    <w:lvl w:ilvl="0" w:tplc="52865B18">
      <w:start w:val="1"/>
      <w:numFmt w:val="bullet"/>
      <w:lvlText w:val="•"/>
      <w:lvlJc w:val="left"/>
      <w:pPr>
        <w:tabs>
          <w:tab w:val="num" w:pos="720"/>
        </w:tabs>
        <w:ind w:left="720" w:hanging="360"/>
      </w:pPr>
      <w:rPr>
        <w:rFonts w:ascii="Times" w:hAnsi="Times" w:hint="default"/>
      </w:rPr>
    </w:lvl>
    <w:lvl w:ilvl="1" w:tplc="26ECAF5A">
      <w:start w:val="1"/>
      <w:numFmt w:val="bullet"/>
      <w:lvlText w:val="•"/>
      <w:lvlJc w:val="left"/>
      <w:pPr>
        <w:tabs>
          <w:tab w:val="num" w:pos="1440"/>
        </w:tabs>
        <w:ind w:left="1440" w:hanging="360"/>
      </w:pPr>
      <w:rPr>
        <w:rFonts w:ascii="Times" w:hAnsi="Times" w:hint="default"/>
      </w:rPr>
    </w:lvl>
    <w:lvl w:ilvl="2" w:tplc="ADD0702A" w:tentative="1">
      <w:start w:val="1"/>
      <w:numFmt w:val="bullet"/>
      <w:lvlText w:val="•"/>
      <w:lvlJc w:val="left"/>
      <w:pPr>
        <w:tabs>
          <w:tab w:val="num" w:pos="2160"/>
        </w:tabs>
        <w:ind w:left="2160" w:hanging="360"/>
      </w:pPr>
      <w:rPr>
        <w:rFonts w:ascii="Times" w:hAnsi="Times" w:hint="default"/>
      </w:rPr>
    </w:lvl>
    <w:lvl w:ilvl="3" w:tplc="7512B456" w:tentative="1">
      <w:start w:val="1"/>
      <w:numFmt w:val="bullet"/>
      <w:lvlText w:val="•"/>
      <w:lvlJc w:val="left"/>
      <w:pPr>
        <w:tabs>
          <w:tab w:val="num" w:pos="2880"/>
        </w:tabs>
        <w:ind w:left="2880" w:hanging="360"/>
      </w:pPr>
      <w:rPr>
        <w:rFonts w:ascii="Times" w:hAnsi="Times" w:hint="default"/>
      </w:rPr>
    </w:lvl>
    <w:lvl w:ilvl="4" w:tplc="BF048A56" w:tentative="1">
      <w:start w:val="1"/>
      <w:numFmt w:val="bullet"/>
      <w:lvlText w:val="•"/>
      <w:lvlJc w:val="left"/>
      <w:pPr>
        <w:tabs>
          <w:tab w:val="num" w:pos="3600"/>
        </w:tabs>
        <w:ind w:left="3600" w:hanging="360"/>
      </w:pPr>
      <w:rPr>
        <w:rFonts w:ascii="Times" w:hAnsi="Times" w:hint="default"/>
      </w:rPr>
    </w:lvl>
    <w:lvl w:ilvl="5" w:tplc="78722CC6" w:tentative="1">
      <w:start w:val="1"/>
      <w:numFmt w:val="bullet"/>
      <w:lvlText w:val="•"/>
      <w:lvlJc w:val="left"/>
      <w:pPr>
        <w:tabs>
          <w:tab w:val="num" w:pos="4320"/>
        </w:tabs>
        <w:ind w:left="4320" w:hanging="360"/>
      </w:pPr>
      <w:rPr>
        <w:rFonts w:ascii="Times" w:hAnsi="Times" w:hint="default"/>
      </w:rPr>
    </w:lvl>
    <w:lvl w:ilvl="6" w:tplc="0A90A256" w:tentative="1">
      <w:start w:val="1"/>
      <w:numFmt w:val="bullet"/>
      <w:lvlText w:val="•"/>
      <w:lvlJc w:val="left"/>
      <w:pPr>
        <w:tabs>
          <w:tab w:val="num" w:pos="5040"/>
        </w:tabs>
        <w:ind w:left="5040" w:hanging="360"/>
      </w:pPr>
      <w:rPr>
        <w:rFonts w:ascii="Times" w:hAnsi="Times" w:hint="default"/>
      </w:rPr>
    </w:lvl>
    <w:lvl w:ilvl="7" w:tplc="6E341F9A" w:tentative="1">
      <w:start w:val="1"/>
      <w:numFmt w:val="bullet"/>
      <w:lvlText w:val="•"/>
      <w:lvlJc w:val="left"/>
      <w:pPr>
        <w:tabs>
          <w:tab w:val="num" w:pos="5760"/>
        </w:tabs>
        <w:ind w:left="5760" w:hanging="360"/>
      </w:pPr>
      <w:rPr>
        <w:rFonts w:ascii="Times" w:hAnsi="Times" w:hint="default"/>
      </w:rPr>
    </w:lvl>
    <w:lvl w:ilvl="8" w:tplc="CC186ED6" w:tentative="1">
      <w:start w:val="1"/>
      <w:numFmt w:val="bullet"/>
      <w:lvlText w:val="•"/>
      <w:lvlJc w:val="left"/>
      <w:pPr>
        <w:tabs>
          <w:tab w:val="num" w:pos="6480"/>
        </w:tabs>
        <w:ind w:left="6480" w:hanging="360"/>
      </w:pPr>
      <w:rPr>
        <w:rFonts w:ascii="Times" w:hAnsi="Times" w:hint="default"/>
      </w:rPr>
    </w:lvl>
  </w:abstractNum>
  <w:abstractNum w:abstractNumId="14">
    <w:nsid w:val="38D03459"/>
    <w:multiLevelType w:val="hybridMultilevel"/>
    <w:tmpl w:val="F31E72B2"/>
    <w:lvl w:ilvl="0" w:tplc="A312891A">
      <w:start w:val="1"/>
      <w:numFmt w:val="bullet"/>
      <w:lvlText w:val="•"/>
      <w:lvlJc w:val="left"/>
      <w:pPr>
        <w:tabs>
          <w:tab w:val="num" w:pos="720"/>
        </w:tabs>
        <w:ind w:left="720" w:hanging="360"/>
      </w:pPr>
      <w:rPr>
        <w:rFonts w:ascii="Times" w:hAnsi="Times" w:hint="default"/>
      </w:rPr>
    </w:lvl>
    <w:lvl w:ilvl="1" w:tplc="4D7E5042" w:tentative="1">
      <w:start w:val="1"/>
      <w:numFmt w:val="bullet"/>
      <w:lvlText w:val="•"/>
      <w:lvlJc w:val="left"/>
      <w:pPr>
        <w:tabs>
          <w:tab w:val="num" w:pos="1440"/>
        </w:tabs>
        <w:ind w:left="1440" w:hanging="360"/>
      </w:pPr>
      <w:rPr>
        <w:rFonts w:ascii="Times" w:hAnsi="Times" w:hint="default"/>
      </w:rPr>
    </w:lvl>
    <w:lvl w:ilvl="2" w:tplc="84C631E8" w:tentative="1">
      <w:start w:val="1"/>
      <w:numFmt w:val="bullet"/>
      <w:lvlText w:val="•"/>
      <w:lvlJc w:val="left"/>
      <w:pPr>
        <w:tabs>
          <w:tab w:val="num" w:pos="2160"/>
        </w:tabs>
        <w:ind w:left="2160" w:hanging="360"/>
      </w:pPr>
      <w:rPr>
        <w:rFonts w:ascii="Times" w:hAnsi="Times" w:hint="default"/>
      </w:rPr>
    </w:lvl>
    <w:lvl w:ilvl="3" w:tplc="D7FC5A6A" w:tentative="1">
      <w:start w:val="1"/>
      <w:numFmt w:val="bullet"/>
      <w:lvlText w:val="•"/>
      <w:lvlJc w:val="left"/>
      <w:pPr>
        <w:tabs>
          <w:tab w:val="num" w:pos="2880"/>
        </w:tabs>
        <w:ind w:left="2880" w:hanging="360"/>
      </w:pPr>
      <w:rPr>
        <w:rFonts w:ascii="Times" w:hAnsi="Times" w:hint="default"/>
      </w:rPr>
    </w:lvl>
    <w:lvl w:ilvl="4" w:tplc="083E7906" w:tentative="1">
      <w:start w:val="1"/>
      <w:numFmt w:val="bullet"/>
      <w:lvlText w:val="•"/>
      <w:lvlJc w:val="left"/>
      <w:pPr>
        <w:tabs>
          <w:tab w:val="num" w:pos="3600"/>
        </w:tabs>
        <w:ind w:left="3600" w:hanging="360"/>
      </w:pPr>
      <w:rPr>
        <w:rFonts w:ascii="Times" w:hAnsi="Times" w:hint="default"/>
      </w:rPr>
    </w:lvl>
    <w:lvl w:ilvl="5" w:tplc="53C89916" w:tentative="1">
      <w:start w:val="1"/>
      <w:numFmt w:val="bullet"/>
      <w:lvlText w:val="•"/>
      <w:lvlJc w:val="left"/>
      <w:pPr>
        <w:tabs>
          <w:tab w:val="num" w:pos="4320"/>
        </w:tabs>
        <w:ind w:left="4320" w:hanging="360"/>
      </w:pPr>
      <w:rPr>
        <w:rFonts w:ascii="Times" w:hAnsi="Times" w:hint="default"/>
      </w:rPr>
    </w:lvl>
    <w:lvl w:ilvl="6" w:tplc="7150A63E" w:tentative="1">
      <w:start w:val="1"/>
      <w:numFmt w:val="bullet"/>
      <w:lvlText w:val="•"/>
      <w:lvlJc w:val="left"/>
      <w:pPr>
        <w:tabs>
          <w:tab w:val="num" w:pos="5040"/>
        </w:tabs>
        <w:ind w:left="5040" w:hanging="360"/>
      </w:pPr>
      <w:rPr>
        <w:rFonts w:ascii="Times" w:hAnsi="Times" w:hint="default"/>
      </w:rPr>
    </w:lvl>
    <w:lvl w:ilvl="7" w:tplc="1D14C76E" w:tentative="1">
      <w:start w:val="1"/>
      <w:numFmt w:val="bullet"/>
      <w:lvlText w:val="•"/>
      <w:lvlJc w:val="left"/>
      <w:pPr>
        <w:tabs>
          <w:tab w:val="num" w:pos="5760"/>
        </w:tabs>
        <w:ind w:left="5760" w:hanging="360"/>
      </w:pPr>
      <w:rPr>
        <w:rFonts w:ascii="Times" w:hAnsi="Times" w:hint="default"/>
      </w:rPr>
    </w:lvl>
    <w:lvl w:ilvl="8" w:tplc="5A30788A" w:tentative="1">
      <w:start w:val="1"/>
      <w:numFmt w:val="bullet"/>
      <w:lvlText w:val="•"/>
      <w:lvlJc w:val="left"/>
      <w:pPr>
        <w:tabs>
          <w:tab w:val="num" w:pos="6480"/>
        </w:tabs>
        <w:ind w:left="6480" w:hanging="360"/>
      </w:pPr>
      <w:rPr>
        <w:rFonts w:ascii="Times" w:hAnsi="Times" w:hint="default"/>
      </w:rPr>
    </w:lvl>
  </w:abstractNum>
  <w:abstractNum w:abstractNumId="15">
    <w:nsid w:val="394D057F"/>
    <w:multiLevelType w:val="hybridMultilevel"/>
    <w:tmpl w:val="DD269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ED94976"/>
    <w:multiLevelType w:val="hybridMultilevel"/>
    <w:tmpl w:val="862474C8"/>
    <w:lvl w:ilvl="0" w:tplc="BFA4708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1E119B2"/>
    <w:multiLevelType w:val="hybridMultilevel"/>
    <w:tmpl w:val="CF86C1E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43777B0B"/>
    <w:multiLevelType w:val="hybridMultilevel"/>
    <w:tmpl w:val="5FACE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6172961"/>
    <w:multiLevelType w:val="hybridMultilevel"/>
    <w:tmpl w:val="D3027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7D46686"/>
    <w:multiLevelType w:val="hybridMultilevel"/>
    <w:tmpl w:val="7E3065F8"/>
    <w:lvl w:ilvl="0" w:tplc="0730FCF8">
      <w:start w:val="1"/>
      <w:numFmt w:val="bullet"/>
      <w:lvlText w:val="•"/>
      <w:lvlJc w:val="left"/>
      <w:pPr>
        <w:tabs>
          <w:tab w:val="num" w:pos="720"/>
        </w:tabs>
        <w:ind w:left="720" w:hanging="360"/>
      </w:pPr>
      <w:rPr>
        <w:rFonts w:ascii="Times" w:hAnsi="Times" w:hint="default"/>
      </w:rPr>
    </w:lvl>
    <w:lvl w:ilvl="1" w:tplc="6F4C2CC2">
      <w:start w:val="3212"/>
      <w:numFmt w:val="bullet"/>
      <w:lvlText w:val="•"/>
      <w:lvlJc w:val="left"/>
      <w:pPr>
        <w:tabs>
          <w:tab w:val="num" w:pos="1440"/>
        </w:tabs>
        <w:ind w:left="1440" w:hanging="360"/>
      </w:pPr>
      <w:rPr>
        <w:rFonts w:ascii="Times" w:hAnsi="Times" w:hint="default"/>
      </w:rPr>
    </w:lvl>
    <w:lvl w:ilvl="2" w:tplc="7DBAAE0C" w:tentative="1">
      <w:start w:val="1"/>
      <w:numFmt w:val="bullet"/>
      <w:lvlText w:val="•"/>
      <w:lvlJc w:val="left"/>
      <w:pPr>
        <w:tabs>
          <w:tab w:val="num" w:pos="2160"/>
        </w:tabs>
        <w:ind w:left="2160" w:hanging="360"/>
      </w:pPr>
      <w:rPr>
        <w:rFonts w:ascii="Times" w:hAnsi="Times" w:hint="default"/>
      </w:rPr>
    </w:lvl>
    <w:lvl w:ilvl="3" w:tplc="ACC80F4C" w:tentative="1">
      <w:start w:val="1"/>
      <w:numFmt w:val="bullet"/>
      <w:lvlText w:val="•"/>
      <w:lvlJc w:val="left"/>
      <w:pPr>
        <w:tabs>
          <w:tab w:val="num" w:pos="2880"/>
        </w:tabs>
        <w:ind w:left="2880" w:hanging="360"/>
      </w:pPr>
      <w:rPr>
        <w:rFonts w:ascii="Times" w:hAnsi="Times" w:hint="default"/>
      </w:rPr>
    </w:lvl>
    <w:lvl w:ilvl="4" w:tplc="2A02F464" w:tentative="1">
      <w:start w:val="1"/>
      <w:numFmt w:val="bullet"/>
      <w:lvlText w:val="•"/>
      <w:lvlJc w:val="left"/>
      <w:pPr>
        <w:tabs>
          <w:tab w:val="num" w:pos="3600"/>
        </w:tabs>
        <w:ind w:left="3600" w:hanging="360"/>
      </w:pPr>
      <w:rPr>
        <w:rFonts w:ascii="Times" w:hAnsi="Times" w:hint="default"/>
      </w:rPr>
    </w:lvl>
    <w:lvl w:ilvl="5" w:tplc="315E62B6" w:tentative="1">
      <w:start w:val="1"/>
      <w:numFmt w:val="bullet"/>
      <w:lvlText w:val="•"/>
      <w:lvlJc w:val="left"/>
      <w:pPr>
        <w:tabs>
          <w:tab w:val="num" w:pos="4320"/>
        </w:tabs>
        <w:ind w:left="4320" w:hanging="360"/>
      </w:pPr>
      <w:rPr>
        <w:rFonts w:ascii="Times" w:hAnsi="Times" w:hint="default"/>
      </w:rPr>
    </w:lvl>
    <w:lvl w:ilvl="6" w:tplc="7618F38E" w:tentative="1">
      <w:start w:val="1"/>
      <w:numFmt w:val="bullet"/>
      <w:lvlText w:val="•"/>
      <w:lvlJc w:val="left"/>
      <w:pPr>
        <w:tabs>
          <w:tab w:val="num" w:pos="5040"/>
        </w:tabs>
        <w:ind w:left="5040" w:hanging="360"/>
      </w:pPr>
      <w:rPr>
        <w:rFonts w:ascii="Times" w:hAnsi="Times" w:hint="default"/>
      </w:rPr>
    </w:lvl>
    <w:lvl w:ilvl="7" w:tplc="23340A78" w:tentative="1">
      <w:start w:val="1"/>
      <w:numFmt w:val="bullet"/>
      <w:lvlText w:val="•"/>
      <w:lvlJc w:val="left"/>
      <w:pPr>
        <w:tabs>
          <w:tab w:val="num" w:pos="5760"/>
        </w:tabs>
        <w:ind w:left="5760" w:hanging="360"/>
      </w:pPr>
      <w:rPr>
        <w:rFonts w:ascii="Times" w:hAnsi="Times" w:hint="default"/>
      </w:rPr>
    </w:lvl>
    <w:lvl w:ilvl="8" w:tplc="D6D8D5B4" w:tentative="1">
      <w:start w:val="1"/>
      <w:numFmt w:val="bullet"/>
      <w:lvlText w:val="•"/>
      <w:lvlJc w:val="left"/>
      <w:pPr>
        <w:tabs>
          <w:tab w:val="num" w:pos="6480"/>
        </w:tabs>
        <w:ind w:left="6480" w:hanging="360"/>
      </w:pPr>
      <w:rPr>
        <w:rFonts w:ascii="Times" w:hAnsi="Times" w:hint="default"/>
      </w:rPr>
    </w:lvl>
  </w:abstractNum>
  <w:abstractNum w:abstractNumId="21">
    <w:nsid w:val="49503ED7"/>
    <w:multiLevelType w:val="hybridMultilevel"/>
    <w:tmpl w:val="1E6C76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CB17085"/>
    <w:multiLevelType w:val="hybridMultilevel"/>
    <w:tmpl w:val="CB8AE0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517D7369"/>
    <w:multiLevelType w:val="hybridMultilevel"/>
    <w:tmpl w:val="713C6FF8"/>
    <w:lvl w:ilvl="0" w:tplc="08AAD366">
      <w:start w:val="1"/>
      <w:numFmt w:val="upperRoman"/>
      <w:lvlText w:val="%1."/>
      <w:lvlJc w:val="left"/>
      <w:pPr>
        <w:ind w:left="1080" w:hanging="720"/>
      </w:pPr>
      <w:rPr>
        <w:rFonts w:eastAsiaTheme="minorHAns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5C52166"/>
    <w:multiLevelType w:val="hybridMultilevel"/>
    <w:tmpl w:val="547C6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7BF72BA"/>
    <w:multiLevelType w:val="hybridMultilevel"/>
    <w:tmpl w:val="501830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B353E9B"/>
    <w:multiLevelType w:val="hybridMultilevel"/>
    <w:tmpl w:val="55DEBF42"/>
    <w:lvl w:ilvl="0" w:tplc="10090001">
      <w:start w:val="1"/>
      <w:numFmt w:val="bullet"/>
      <w:lvlText w:val=""/>
      <w:lvlJc w:val="left"/>
      <w:pPr>
        <w:ind w:left="3585" w:hanging="360"/>
      </w:pPr>
      <w:rPr>
        <w:rFonts w:ascii="Symbol" w:hAnsi="Symbol" w:hint="default"/>
      </w:rPr>
    </w:lvl>
    <w:lvl w:ilvl="1" w:tplc="10090003" w:tentative="1">
      <w:start w:val="1"/>
      <w:numFmt w:val="bullet"/>
      <w:lvlText w:val="o"/>
      <w:lvlJc w:val="left"/>
      <w:pPr>
        <w:ind w:left="4305" w:hanging="360"/>
      </w:pPr>
      <w:rPr>
        <w:rFonts w:ascii="Courier New" w:hAnsi="Courier New" w:cs="Courier New" w:hint="default"/>
      </w:rPr>
    </w:lvl>
    <w:lvl w:ilvl="2" w:tplc="10090005" w:tentative="1">
      <w:start w:val="1"/>
      <w:numFmt w:val="bullet"/>
      <w:lvlText w:val=""/>
      <w:lvlJc w:val="left"/>
      <w:pPr>
        <w:ind w:left="5025" w:hanging="360"/>
      </w:pPr>
      <w:rPr>
        <w:rFonts w:ascii="Wingdings" w:hAnsi="Wingdings" w:hint="default"/>
      </w:rPr>
    </w:lvl>
    <w:lvl w:ilvl="3" w:tplc="10090001" w:tentative="1">
      <w:start w:val="1"/>
      <w:numFmt w:val="bullet"/>
      <w:lvlText w:val=""/>
      <w:lvlJc w:val="left"/>
      <w:pPr>
        <w:ind w:left="5745" w:hanging="360"/>
      </w:pPr>
      <w:rPr>
        <w:rFonts w:ascii="Symbol" w:hAnsi="Symbol" w:hint="default"/>
      </w:rPr>
    </w:lvl>
    <w:lvl w:ilvl="4" w:tplc="10090003" w:tentative="1">
      <w:start w:val="1"/>
      <w:numFmt w:val="bullet"/>
      <w:lvlText w:val="o"/>
      <w:lvlJc w:val="left"/>
      <w:pPr>
        <w:ind w:left="6465" w:hanging="360"/>
      </w:pPr>
      <w:rPr>
        <w:rFonts w:ascii="Courier New" w:hAnsi="Courier New" w:cs="Courier New" w:hint="default"/>
      </w:rPr>
    </w:lvl>
    <w:lvl w:ilvl="5" w:tplc="10090005" w:tentative="1">
      <w:start w:val="1"/>
      <w:numFmt w:val="bullet"/>
      <w:lvlText w:val=""/>
      <w:lvlJc w:val="left"/>
      <w:pPr>
        <w:ind w:left="7185" w:hanging="360"/>
      </w:pPr>
      <w:rPr>
        <w:rFonts w:ascii="Wingdings" w:hAnsi="Wingdings" w:hint="default"/>
      </w:rPr>
    </w:lvl>
    <w:lvl w:ilvl="6" w:tplc="10090001" w:tentative="1">
      <w:start w:val="1"/>
      <w:numFmt w:val="bullet"/>
      <w:lvlText w:val=""/>
      <w:lvlJc w:val="left"/>
      <w:pPr>
        <w:ind w:left="7905" w:hanging="360"/>
      </w:pPr>
      <w:rPr>
        <w:rFonts w:ascii="Symbol" w:hAnsi="Symbol" w:hint="default"/>
      </w:rPr>
    </w:lvl>
    <w:lvl w:ilvl="7" w:tplc="10090003" w:tentative="1">
      <w:start w:val="1"/>
      <w:numFmt w:val="bullet"/>
      <w:lvlText w:val="o"/>
      <w:lvlJc w:val="left"/>
      <w:pPr>
        <w:ind w:left="8625" w:hanging="360"/>
      </w:pPr>
      <w:rPr>
        <w:rFonts w:ascii="Courier New" w:hAnsi="Courier New" w:cs="Courier New" w:hint="default"/>
      </w:rPr>
    </w:lvl>
    <w:lvl w:ilvl="8" w:tplc="10090005" w:tentative="1">
      <w:start w:val="1"/>
      <w:numFmt w:val="bullet"/>
      <w:lvlText w:val=""/>
      <w:lvlJc w:val="left"/>
      <w:pPr>
        <w:ind w:left="9345" w:hanging="360"/>
      </w:pPr>
      <w:rPr>
        <w:rFonts w:ascii="Wingdings" w:hAnsi="Wingdings" w:hint="default"/>
      </w:rPr>
    </w:lvl>
  </w:abstractNum>
  <w:abstractNum w:abstractNumId="27">
    <w:nsid w:val="7EBB3076"/>
    <w:multiLevelType w:val="hybridMultilevel"/>
    <w:tmpl w:val="CA607C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26"/>
  </w:num>
  <w:num w:numId="3">
    <w:abstractNumId w:val="19"/>
  </w:num>
  <w:num w:numId="4">
    <w:abstractNumId w:val="24"/>
  </w:num>
  <w:num w:numId="5">
    <w:abstractNumId w:val="8"/>
  </w:num>
  <w:num w:numId="6">
    <w:abstractNumId w:val="16"/>
  </w:num>
  <w:num w:numId="7">
    <w:abstractNumId w:val="9"/>
  </w:num>
  <w:num w:numId="8">
    <w:abstractNumId w:val="7"/>
  </w:num>
  <w:num w:numId="9">
    <w:abstractNumId w:val="0"/>
  </w:num>
  <w:num w:numId="10">
    <w:abstractNumId w:val="13"/>
  </w:num>
  <w:num w:numId="11">
    <w:abstractNumId w:val="20"/>
  </w:num>
  <w:num w:numId="12">
    <w:abstractNumId w:val="2"/>
  </w:num>
  <w:num w:numId="13">
    <w:abstractNumId w:val="14"/>
  </w:num>
  <w:num w:numId="14">
    <w:abstractNumId w:val="5"/>
  </w:num>
  <w:num w:numId="15">
    <w:abstractNumId w:val="12"/>
  </w:num>
  <w:num w:numId="16">
    <w:abstractNumId w:val="6"/>
  </w:num>
  <w:num w:numId="17">
    <w:abstractNumId w:val="3"/>
  </w:num>
  <w:num w:numId="18">
    <w:abstractNumId w:val="21"/>
  </w:num>
  <w:num w:numId="19">
    <w:abstractNumId w:val="17"/>
  </w:num>
  <w:num w:numId="20">
    <w:abstractNumId w:val="22"/>
  </w:num>
  <w:num w:numId="21">
    <w:abstractNumId w:val="15"/>
  </w:num>
  <w:num w:numId="22">
    <w:abstractNumId w:val="11"/>
  </w:num>
  <w:num w:numId="23">
    <w:abstractNumId w:val="25"/>
  </w:num>
  <w:num w:numId="24">
    <w:abstractNumId w:val="1"/>
  </w:num>
  <w:num w:numId="25">
    <w:abstractNumId w:val="18"/>
  </w:num>
  <w:num w:numId="26">
    <w:abstractNumId w:val="2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4"/>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B6D2B"/>
    <w:rsid w:val="00010986"/>
    <w:rsid w:val="00012F31"/>
    <w:rsid w:val="00036041"/>
    <w:rsid w:val="0004095A"/>
    <w:rsid w:val="00044206"/>
    <w:rsid w:val="00045FB3"/>
    <w:rsid w:val="000555D1"/>
    <w:rsid w:val="00056CA2"/>
    <w:rsid w:val="00060E89"/>
    <w:rsid w:val="000760D6"/>
    <w:rsid w:val="0007767B"/>
    <w:rsid w:val="00083A54"/>
    <w:rsid w:val="00087F6A"/>
    <w:rsid w:val="00090CCF"/>
    <w:rsid w:val="000A07FC"/>
    <w:rsid w:val="000E4D84"/>
    <w:rsid w:val="000E7B02"/>
    <w:rsid w:val="000F5742"/>
    <w:rsid w:val="000F59E0"/>
    <w:rsid w:val="001025D5"/>
    <w:rsid w:val="001361FF"/>
    <w:rsid w:val="001423DC"/>
    <w:rsid w:val="00151411"/>
    <w:rsid w:val="00181D44"/>
    <w:rsid w:val="00182C9B"/>
    <w:rsid w:val="00186827"/>
    <w:rsid w:val="00190461"/>
    <w:rsid w:val="00190C8A"/>
    <w:rsid w:val="001973B8"/>
    <w:rsid w:val="001A0DF3"/>
    <w:rsid w:val="001C4B38"/>
    <w:rsid w:val="001D1BD3"/>
    <w:rsid w:val="001D7B70"/>
    <w:rsid w:val="001E2410"/>
    <w:rsid w:val="001F1E41"/>
    <w:rsid w:val="001F2495"/>
    <w:rsid w:val="00200FED"/>
    <w:rsid w:val="00207988"/>
    <w:rsid w:val="0022143D"/>
    <w:rsid w:val="002219CF"/>
    <w:rsid w:val="00226C38"/>
    <w:rsid w:val="00227802"/>
    <w:rsid w:val="0023608A"/>
    <w:rsid w:val="0024312C"/>
    <w:rsid w:val="00261C5F"/>
    <w:rsid w:val="00293CA9"/>
    <w:rsid w:val="002A18D9"/>
    <w:rsid w:val="002B5052"/>
    <w:rsid w:val="002C2C43"/>
    <w:rsid w:val="002D52C2"/>
    <w:rsid w:val="002F1EF5"/>
    <w:rsid w:val="002F2BD6"/>
    <w:rsid w:val="00310A94"/>
    <w:rsid w:val="0032304D"/>
    <w:rsid w:val="00327247"/>
    <w:rsid w:val="00335222"/>
    <w:rsid w:val="0033758A"/>
    <w:rsid w:val="00343345"/>
    <w:rsid w:val="00345793"/>
    <w:rsid w:val="0037175F"/>
    <w:rsid w:val="003C12E0"/>
    <w:rsid w:val="003C2574"/>
    <w:rsid w:val="003D7860"/>
    <w:rsid w:val="003E12A1"/>
    <w:rsid w:val="003E48A8"/>
    <w:rsid w:val="004153AC"/>
    <w:rsid w:val="004264B6"/>
    <w:rsid w:val="00446740"/>
    <w:rsid w:val="004546C8"/>
    <w:rsid w:val="004838C5"/>
    <w:rsid w:val="00483F76"/>
    <w:rsid w:val="00497ABA"/>
    <w:rsid w:val="004D17D7"/>
    <w:rsid w:val="004D383B"/>
    <w:rsid w:val="004E51D5"/>
    <w:rsid w:val="005049AF"/>
    <w:rsid w:val="00516BEC"/>
    <w:rsid w:val="00534909"/>
    <w:rsid w:val="0054483C"/>
    <w:rsid w:val="005549AE"/>
    <w:rsid w:val="005924D9"/>
    <w:rsid w:val="00596DF5"/>
    <w:rsid w:val="005A62B0"/>
    <w:rsid w:val="005B6D2B"/>
    <w:rsid w:val="005C0B2F"/>
    <w:rsid w:val="005D7DEA"/>
    <w:rsid w:val="005F7A28"/>
    <w:rsid w:val="00606FA0"/>
    <w:rsid w:val="006179B2"/>
    <w:rsid w:val="00627913"/>
    <w:rsid w:val="0063297E"/>
    <w:rsid w:val="00656E07"/>
    <w:rsid w:val="00662328"/>
    <w:rsid w:val="00663B57"/>
    <w:rsid w:val="00664CD4"/>
    <w:rsid w:val="006B03F1"/>
    <w:rsid w:val="006C793C"/>
    <w:rsid w:val="007342B3"/>
    <w:rsid w:val="007509D4"/>
    <w:rsid w:val="00754FCE"/>
    <w:rsid w:val="007903E9"/>
    <w:rsid w:val="00794665"/>
    <w:rsid w:val="00794BD5"/>
    <w:rsid w:val="007B3064"/>
    <w:rsid w:val="007D0CA4"/>
    <w:rsid w:val="007E6446"/>
    <w:rsid w:val="007F0D14"/>
    <w:rsid w:val="00805E8C"/>
    <w:rsid w:val="00806B87"/>
    <w:rsid w:val="008172FA"/>
    <w:rsid w:val="008217A9"/>
    <w:rsid w:val="0082501E"/>
    <w:rsid w:val="00833396"/>
    <w:rsid w:val="00845DC8"/>
    <w:rsid w:val="00852CC0"/>
    <w:rsid w:val="00856811"/>
    <w:rsid w:val="008623F8"/>
    <w:rsid w:val="00865B4D"/>
    <w:rsid w:val="00871FAD"/>
    <w:rsid w:val="00875B29"/>
    <w:rsid w:val="0088332D"/>
    <w:rsid w:val="008B5855"/>
    <w:rsid w:val="008E728C"/>
    <w:rsid w:val="008F7258"/>
    <w:rsid w:val="008F7BB7"/>
    <w:rsid w:val="00903CBE"/>
    <w:rsid w:val="00903E03"/>
    <w:rsid w:val="00922B03"/>
    <w:rsid w:val="0093145E"/>
    <w:rsid w:val="009724B7"/>
    <w:rsid w:val="009817B8"/>
    <w:rsid w:val="00981E4A"/>
    <w:rsid w:val="009832EE"/>
    <w:rsid w:val="009908CC"/>
    <w:rsid w:val="00996FEF"/>
    <w:rsid w:val="009A6AF2"/>
    <w:rsid w:val="009A799F"/>
    <w:rsid w:val="009B4AE0"/>
    <w:rsid w:val="009C60CA"/>
    <w:rsid w:val="009D177B"/>
    <w:rsid w:val="009E75AE"/>
    <w:rsid w:val="00A013B5"/>
    <w:rsid w:val="00A039AE"/>
    <w:rsid w:val="00A163F6"/>
    <w:rsid w:val="00A25718"/>
    <w:rsid w:val="00A437D4"/>
    <w:rsid w:val="00A50996"/>
    <w:rsid w:val="00A74196"/>
    <w:rsid w:val="00A82F74"/>
    <w:rsid w:val="00AA3361"/>
    <w:rsid w:val="00AA6036"/>
    <w:rsid w:val="00AB0DD8"/>
    <w:rsid w:val="00AB1AD6"/>
    <w:rsid w:val="00AC2AD0"/>
    <w:rsid w:val="00AC3BFC"/>
    <w:rsid w:val="00AC64F2"/>
    <w:rsid w:val="00AD71B8"/>
    <w:rsid w:val="00B04B5B"/>
    <w:rsid w:val="00B1563C"/>
    <w:rsid w:val="00B26729"/>
    <w:rsid w:val="00B321E1"/>
    <w:rsid w:val="00B3265C"/>
    <w:rsid w:val="00B43151"/>
    <w:rsid w:val="00B55CB6"/>
    <w:rsid w:val="00B766D5"/>
    <w:rsid w:val="00B7675F"/>
    <w:rsid w:val="00BC0408"/>
    <w:rsid w:val="00BE2BA5"/>
    <w:rsid w:val="00BF492E"/>
    <w:rsid w:val="00BF4DEF"/>
    <w:rsid w:val="00C314A8"/>
    <w:rsid w:val="00C34B6D"/>
    <w:rsid w:val="00C3634B"/>
    <w:rsid w:val="00C51303"/>
    <w:rsid w:val="00C51B01"/>
    <w:rsid w:val="00C72519"/>
    <w:rsid w:val="00C74FC3"/>
    <w:rsid w:val="00C77169"/>
    <w:rsid w:val="00C8513A"/>
    <w:rsid w:val="00C86AFB"/>
    <w:rsid w:val="00CA3CA2"/>
    <w:rsid w:val="00CC2125"/>
    <w:rsid w:val="00CD2B56"/>
    <w:rsid w:val="00CD58C1"/>
    <w:rsid w:val="00D03640"/>
    <w:rsid w:val="00D162B6"/>
    <w:rsid w:val="00D2633E"/>
    <w:rsid w:val="00D30FC6"/>
    <w:rsid w:val="00D35329"/>
    <w:rsid w:val="00D47712"/>
    <w:rsid w:val="00D57301"/>
    <w:rsid w:val="00D625CB"/>
    <w:rsid w:val="00D64903"/>
    <w:rsid w:val="00D73484"/>
    <w:rsid w:val="00D76537"/>
    <w:rsid w:val="00D96EEE"/>
    <w:rsid w:val="00DB0539"/>
    <w:rsid w:val="00DC7454"/>
    <w:rsid w:val="00DD2159"/>
    <w:rsid w:val="00DD4E90"/>
    <w:rsid w:val="00DE4D14"/>
    <w:rsid w:val="00E02F73"/>
    <w:rsid w:val="00E12CC7"/>
    <w:rsid w:val="00E21E22"/>
    <w:rsid w:val="00E27A45"/>
    <w:rsid w:val="00E409EE"/>
    <w:rsid w:val="00E47DEE"/>
    <w:rsid w:val="00E5286A"/>
    <w:rsid w:val="00E8418C"/>
    <w:rsid w:val="00E91546"/>
    <w:rsid w:val="00E95259"/>
    <w:rsid w:val="00EA5B05"/>
    <w:rsid w:val="00EA6218"/>
    <w:rsid w:val="00EA75D9"/>
    <w:rsid w:val="00EC2F9E"/>
    <w:rsid w:val="00ED22FC"/>
    <w:rsid w:val="00ED434C"/>
    <w:rsid w:val="00EE6F09"/>
    <w:rsid w:val="00EF34BC"/>
    <w:rsid w:val="00F14D20"/>
    <w:rsid w:val="00F17B08"/>
    <w:rsid w:val="00F24274"/>
    <w:rsid w:val="00F33D64"/>
    <w:rsid w:val="00F60C8E"/>
    <w:rsid w:val="00F73168"/>
    <w:rsid w:val="00F775EC"/>
    <w:rsid w:val="00F837BD"/>
    <w:rsid w:val="00FC2184"/>
    <w:rsid w:val="00FE2A18"/>
    <w:rsid w:val="00FF4D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1B8"/>
  </w:style>
  <w:style w:type="paragraph" w:styleId="Heading1">
    <w:name w:val="heading 1"/>
    <w:basedOn w:val="Normal"/>
    <w:next w:val="Normal"/>
    <w:link w:val="Heading1Char"/>
    <w:uiPriority w:val="9"/>
    <w:qFormat/>
    <w:rsid w:val="00D353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623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3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link w:val="ListParagraphChar"/>
    <w:uiPriority w:val="34"/>
    <w:qFormat/>
    <w:rsid w:val="00D35329"/>
    <w:pPr>
      <w:ind w:left="720"/>
      <w:contextualSpacing/>
    </w:pPr>
  </w:style>
  <w:style w:type="paragraph" w:styleId="Header">
    <w:name w:val="header"/>
    <w:basedOn w:val="Normal"/>
    <w:link w:val="HeaderChar"/>
    <w:unhideWhenUsed/>
    <w:rsid w:val="00D35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329"/>
  </w:style>
  <w:style w:type="paragraph" w:styleId="Footer">
    <w:name w:val="footer"/>
    <w:basedOn w:val="Normal"/>
    <w:link w:val="FooterChar"/>
    <w:unhideWhenUsed/>
    <w:rsid w:val="00D35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329"/>
  </w:style>
  <w:style w:type="paragraph" w:styleId="FootnoteText">
    <w:name w:val="footnote text"/>
    <w:basedOn w:val="Normal"/>
    <w:link w:val="FootnoteTextChar"/>
    <w:uiPriority w:val="99"/>
    <w:unhideWhenUsed/>
    <w:rsid w:val="00D35329"/>
    <w:pPr>
      <w:spacing w:after="0" w:line="240" w:lineRule="auto"/>
    </w:pPr>
    <w:rPr>
      <w:sz w:val="20"/>
      <w:szCs w:val="20"/>
    </w:rPr>
  </w:style>
  <w:style w:type="character" w:customStyle="1" w:styleId="FootnoteTextChar">
    <w:name w:val="Footnote Text Char"/>
    <w:basedOn w:val="DefaultParagraphFont"/>
    <w:link w:val="FootnoteText"/>
    <w:uiPriority w:val="99"/>
    <w:rsid w:val="00D35329"/>
    <w:rPr>
      <w:sz w:val="20"/>
      <w:szCs w:val="20"/>
    </w:rPr>
  </w:style>
  <w:style w:type="character" w:styleId="FootnoteReference">
    <w:name w:val="footnote reference"/>
    <w:basedOn w:val="DefaultParagraphFont"/>
    <w:uiPriority w:val="99"/>
    <w:unhideWhenUsed/>
    <w:rsid w:val="00D35329"/>
    <w:rPr>
      <w:vertAlign w:val="superscript"/>
    </w:rPr>
  </w:style>
  <w:style w:type="character" w:styleId="CommentReference">
    <w:name w:val="annotation reference"/>
    <w:basedOn w:val="DefaultParagraphFont"/>
    <w:uiPriority w:val="99"/>
    <w:unhideWhenUsed/>
    <w:rsid w:val="00D35329"/>
    <w:rPr>
      <w:sz w:val="16"/>
      <w:szCs w:val="16"/>
    </w:rPr>
  </w:style>
  <w:style w:type="paragraph" w:styleId="CommentText">
    <w:name w:val="annotation text"/>
    <w:basedOn w:val="Normal"/>
    <w:link w:val="CommentTextChar"/>
    <w:uiPriority w:val="99"/>
    <w:unhideWhenUsed/>
    <w:rsid w:val="00D35329"/>
    <w:pPr>
      <w:spacing w:line="240" w:lineRule="auto"/>
    </w:pPr>
    <w:rPr>
      <w:sz w:val="20"/>
      <w:szCs w:val="20"/>
    </w:rPr>
  </w:style>
  <w:style w:type="character" w:customStyle="1" w:styleId="CommentTextChar">
    <w:name w:val="Comment Text Char"/>
    <w:basedOn w:val="DefaultParagraphFont"/>
    <w:link w:val="CommentText"/>
    <w:uiPriority w:val="99"/>
    <w:rsid w:val="00D35329"/>
    <w:rPr>
      <w:sz w:val="20"/>
      <w:szCs w:val="20"/>
    </w:rPr>
  </w:style>
  <w:style w:type="paragraph" w:styleId="CommentSubject">
    <w:name w:val="annotation subject"/>
    <w:basedOn w:val="CommentText"/>
    <w:next w:val="CommentText"/>
    <w:link w:val="CommentSubjectChar"/>
    <w:uiPriority w:val="99"/>
    <w:semiHidden/>
    <w:unhideWhenUsed/>
    <w:rsid w:val="00D35329"/>
    <w:rPr>
      <w:b/>
      <w:bCs/>
    </w:rPr>
  </w:style>
  <w:style w:type="character" w:customStyle="1" w:styleId="CommentSubjectChar">
    <w:name w:val="Comment Subject Char"/>
    <w:basedOn w:val="CommentTextChar"/>
    <w:link w:val="CommentSubject"/>
    <w:uiPriority w:val="99"/>
    <w:semiHidden/>
    <w:rsid w:val="00D35329"/>
    <w:rPr>
      <w:b/>
      <w:bCs/>
      <w:sz w:val="20"/>
      <w:szCs w:val="20"/>
    </w:rPr>
  </w:style>
  <w:style w:type="paragraph" w:styleId="BalloonText">
    <w:name w:val="Balloon Text"/>
    <w:basedOn w:val="Normal"/>
    <w:link w:val="BalloonTextChar"/>
    <w:uiPriority w:val="99"/>
    <w:semiHidden/>
    <w:unhideWhenUsed/>
    <w:rsid w:val="00D35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5329"/>
    <w:rPr>
      <w:rFonts w:ascii="Tahoma" w:hAnsi="Tahoma" w:cs="Tahoma"/>
      <w:sz w:val="16"/>
      <w:szCs w:val="16"/>
    </w:rPr>
  </w:style>
  <w:style w:type="paragraph" w:styleId="TOCHeading">
    <w:name w:val="TOC Heading"/>
    <w:basedOn w:val="Heading1"/>
    <w:next w:val="Normal"/>
    <w:uiPriority w:val="39"/>
    <w:unhideWhenUsed/>
    <w:qFormat/>
    <w:rsid w:val="00E27A45"/>
    <w:pPr>
      <w:outlineLvl w:val="9"/>
    </w:pPr>
    <w:rPr>
      <w:lang w:val="en-US"/>
    </w:rPr>
  </w:style>
  <w:style w:type="paragraph" w:styleId="TOC1">
    <w:name w:val="toc 1"/>
    <w:basedOn w:val="Normal"/>
    <w:next w:val="Normal"/>
    <w:autoRedefine/>
    <w:uiPriority w:val="39"/>
    <w:unhideWhenUsed/>
    <w:rsid w:val="00E27A45"/>
    <w:pPr>
      <w:tabs>
        <w:tab w:val="right" w:leader="dot" w:pos="8505"/>
      </w:tabs>
      <w:spacing w:after="100"/>
      <w:ind w:left="567" w:right="855"/>
    </w:pPr>
  </w:style>
  <w:style w:type="character" w:styleId="Hyperlink">
    <w:name w:val="Hyperlink"/>
    <w:basedOn w:val="DefaultParagraphFont"/>
    <w:uiPriority w:val="99"/>
    <w:unhideWhenUsed/>
    <w:rsid w:val="00E27A45"/>
    <w:rPr>
      <w:color w:val="0000FF" w:themeColor="hyperlink"/>
      <w:u w:val="single"/>
    </w:rPr>
  </w:style>
  <w:style w:type="character" w:customStyle="1" w:styleId="Heading2Char">
    <w:name w:val="Heading 2 Char"/>
    <w:basedOn w:val="DefaultParagraphFont"/>
    <w:link w:val="Heading2"/>
    <w:uiPriority w:val="9"/>
    <w:semiHidden/>
    <w:rsid w:val="008623F8"/>
    <w:rPr>
      <w:rFonts w:asciiTheme="majorHAnsi" w:eastAsiaTheme="majorEastAsia" w:hAnsiTheme="majorHAnsi" w:cstheme="majorBidi"/>
      <w:b/>
      <w:bCs/>
      <w:color w:val="4F81BD" w:themeColor="accent1"/>
      <w:sz w:val="26"/>
      <w:szCs w:val="26"/>
    </w:rPr>
  </w:style>
  <w:style w:type="paragraph" w:styleId="EndnoteText">
    <w:name w:val="endnote text"/>
    <w:basedOn w:val="Normal"/>
    <w:link w:val="EndnoteTextChar"/>
    <w:uiPriority w:val="99"/>
    <w:semiHidden/>
    <w:unhideWhenUsed/>
    <w:rsid w:val="008623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23F8"/>
    <w:rPr>
      <w:sz w:val="20"/>
      <w:szCs w:val="20"/>
    </w:rPr>
  </w:style>
  <w:style w:type="character" w:styleId="EndnoteReference">
    <w:name w:val="endnote reference"/>
    <w:basedOn w:val="DefaultParagraphFont"/>
    <w:uiPriority w:val="99"/>
    <w:semiHidden/>
    <w:unhideWhenUsed/>
    <w:rsid w:val="008623F8"/>
    <w:rPr>
      <w:vertAlign w:val="superscript"/>
    </w:rPr>
  </w:style>
  <w:style w:type="paragraph" w:styleId="TOC2">
    <w:name w:val="toc 2"/>
    <w:basedOn w:val="Normal"/>
    <w:next w:val="Normal"/>
    <w:autoRedefine/>
    <w:uiPriority w:val="39"/>
    <w:unhideWhenUsed/>
    <w:rsid w:val="00B3265C"/>
    <w:pPr>
      <w:tabs>
        <w:tab w:val="right" w:leader="dot" w:pos="9350"/>
      </w:tabs>
      <w:spacing w:after="100"/>
      <w:ind w:left="1276"/>
    </w:pPr>
  </w:style>
  <w:style w:type="character" w:customStyle="1" w:styleId="neutralcitation">
    <w:name w:val="neutralcitation"/>
    <w:basedOn w:val="DefaultParagraphFont"/>
    <w:rsid w:val="001C4B38"/>
  </w:style>
  <w:style w:type="character" w:customStyle="1" w:styleId="Title1">
    <w:name w:val="Title1"/>
    <w:basedOn w:val="DefaultParagraphFont"/>
    <w:rsid w:val="001C4B38"/>
  </w:style>
  <w:style w:type="paragraph" w:customStyle="1" w:styleId="Default">
    <w:name w:val="Default"/>
    <w:rsid w:val="00BF4DEF"/>
    <w:pPr>
      <w:autoSpaceDE w:val="0"/>
      <w:autoSpaceDN w:val="0"/>
      <w:adjustRightInd w:val="0"/>
      <w:spacing w:after="0" w:line="240" w:lineRule="auto"/>
    </w:pPr>
    <w:rPr>
      <w:color w:val="000000"/>
    </w:rPr>
  </w:style>
  <w:style w:type="character" w:customStyle="1" w:styleId="ListParagraphChar">
    <w:name w:val="List Paragraph Char"/>
    <w:basedOn w:val="DefaultParagraphFont"/>
    <w:link w:val="ListParagraph"/>
    <w:uiPriority w:val="34"/>
    <w:locked/>
    <w:rsid w:val="0024312C"/>
  </w:style>
  <w:style w:type="character" w:styleId="PageNumber">
    <w:name w:val="page number"/>
    <w:basedOn w:val="DefaultParagraphFont"/>
    <w:rsid w:val="00845DC8"/>
  </w:style>
  <w:style w:type="paragraph" w:styleId="BodyText">
    <w:name w:val="Body Text"/>
    <w:basedOn w:val="Normal"/>
    <w:link w:val="BodyTextChar"/>
    <w:rsid w:val="00845DC8"/>
    <w:pPr>
      <w:spacing w:after="0" w:line="240" w:lineRule="auto"/>
    </w:pPr>
    <w:rPr>
      <w:rFonts w:eastAsia="Times New Roman"/>
      <w:color w:val="000000"/>
      <w:szCs w:val="19"/>
    </w:rPr>
  </w:style>
  <w:style w:type="character" w:customStyle="1" w:styleId="BodyTextChar">
    <w:name w:val="Body Text Char"/>
    <w:basedOn w:val="DefaultParagraphFont"/>
    <w:link w:val="BodyText"/>
    <w:rsid w:val="00845DC8"/>
    <w:rPr>
      <w:rFonts w:eastAsia="Times New Roman"/>
      <w:color w:val="000000"/>
      <w:szCs w:val="19"/>
    </w:rPr>
  </w:style>
  <w:style w:type="paragraph" w:styleId="Revision">
    <w:name w:val="Revision"/>
    <w:hidden/>
    <w:uiPriority w:val="99"/>
    <w:semiHidden/>
    <w:rsid w:val="00AB0DD8"/>
    <w:pPr>
      <w:spacing w:after="0" w:line="240" w:lineRule="auto"/>
    </w:pPr>
  </w:style>
  <w:style w:type="character" w:styleId="FollowedHyperlink">
    <w:name w:val="FollowedHyperlink"/>
    <w:basedOn w:val="DefaultParagraphFont"/>
    <w:uiPriority w:val="99"/>
    <w:semiHidden/>
    <w:unhideWhenUsed/>
    <w:rsid w:val="00ED22F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19134">
      <w:bodyDiv w:val="1"/>
      <w:marLeft w:val="0"/>
      <w:marRight w:val="0"/>
      <w:marTop w:val="0"/>
      <w:marBottom w:val="0"/>
      <w:divBdr>
        <w:top w:val="none" w:sz="0" w:space="0" w:color="auto"/>
        <w:left w:val="none" w:sz="0" w:space="0" w:color="auto"/>
        <w:bottom w:val="none" w:sz="0" w:space="0" w:color="auto"/>
        <w:right w:val="none" w:sz="0" w:space="0" w:color="auto"/>
      </w:divBdr>
      <w:divsChild>
        <w:div w:id="713236886">
          <w:marLeft w:val="3"/>
          <w:marRight w:val="3"/>
          <w:marTop w:val="0"/>
          <w:marBottom w:val="0"/>
          <w:divBdr>
            <w:top w:val="single" w:sz="48" w:space="0" w:color="FFFFFF"/>
            <w:left w:val="single" w:sz="48" w:space="0" w:color="FFFFFF"/>
            <w:bottom w:val="single" w:sz="48" w:space="0" w:color="FFFFFF"/>
            <w:right w:val="single" w:sz="48" w:space="0" w:color="FFFFFF"/>
          </w:divBdr>
          <w:divsChild>
            <w:div w:id="623393737">
              <w:marLeft w:val="0"/>
              <w:marRight w:val="0"/>
              <w:marTop w:val="0"/>
              <w:marBottom w:val="0"/>
              <w:divBdr>
                <w:top w:val="none" w:sz="0" w:space="0" w:color="auto"/>
                <w:left w:val="none" w:sz="0" w:space="0" w:color="auto"/>
                <w:bottom w:val="none" w:sz="0" w:space="0" w:color="auto"/>
                <w:right w:val="none" w:sz="0" w:space="0" w:color="auto"/>
              </w:divBdr>
              <w:divsChild>
                <w:div w:id="568656904">
                  <w:marLeft w:val="0"/>
                  <w:marRight w:val="-100"/>
                  <w:marTop w:val="0"/>
                  <w:marBottom w:val="0"/>
                  <w:divBdr>
                    <w:top w:val="none" w:sz="0" w:space="0" w:color="auto"/>
                    <w:left w:val="none" w:sz="0" w:space="0" w:color="auto"/>
                    <w:bottom w:val="none" w:sz="0" w:space="0" w:color="auto"/>
                    <w:right w:val="none" w:sz="0" w:space="0" w:color="auto"/>
                  </w:divBdr>
                  <w:divsChild>
                    <w:div w:id="85617399">
                      <w:marLeft w:val="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258931">
      <w:bodyDiv w:val="1"/>
      <w:marLeft w:val="0"/>
      <w:marRight w:val="0"/>
      <w:marTop w:val="0"/>
      <w:marBottom w:val="0"/>
      <w:divBdr>
        <w:top w:val="none" w:sz="0" w:space="0" w:color="auto"/>
        <w:left w:val="none" w:sz="0" w:space="0" w:color="auto"/>
        <w:bottom w:val="none" w:sz="0" w:space="0" w:color="auto"/>
        <w:right w:val="none" w:sz="0" w:space="0" w:color="auto"/>
      </w:divBdr>
      <w:divsChild>
        <w:div w:id="898440204">
          <w:marLeft w:val="3"/>
          <w:marRight w:val="3"/>
          <w:marTop w:val="0"/>
          <w:marBottom w:val="0"/>
          <w:divBdr>
            <w:top w:val="single" w:sz="48" w:space="0" w:color="FFFFFF"/>
            <w:left w:val="single" w:sz="48" w:space="0" w:color="FFFFFF"/>
            <w:bottom w:val="single" w:sz="48" w:space="0" w:color="FFFFFF"/>
            <w:right w:val="single" w:sz="48" w:space="0" w:color="FFFFFF"/>
          </w:divBdr>
          <w:divsChild>
            <w:div w:id="696929036">
              <w:marLeft w:val="0"/>
              <w:marRight w:val="0"/>
              <w:marTop w:val="0"/>
              <w:marBottom w:val="0"/>
              <w:divBdr>
                <w:top w:val="none" w:sz="0" w:space="0" w:color="auto"/>
                <w:left w:val="none" w:sz="0" w:space="0" w:color="auto"/>
                <w:bottom w:val="none" w:sz="0" w:space="0" w:color="auto"/>
                <w:right w:val="none" w:sz="0" w:space="0" w:color="auto"/>
              </w:divBdr>
              <w:divsChild>
                <w:div w:id="724110511">
                  <w:marLeft w:val="0"/>
                  <w:marRight w:val="-100"/>
                  <w:marTop w:val="0"/>
                  <w:marBottom w:val="0"/>
                  <w:divBdr>
                    <w:top w:val="none" w:sz="0" w:space="0" w:color="auto"/>
                    <w:left w:val="none" w:sz="0" w:space="0" w:color="auto"/>
                    <w:bottom w:val="none" w:sz="0" w:space="0" w:color="auto"/>
                    <w:right w:val="none" w:sz="0" w:space="0" w:color="auto"/>
                  </w:divBdr>
                  <w:divsChild>
                    <w:div w:id="1457411286">
                      <w:marLeft w:val="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991C34-E54F-4318-928E-A5A6C38C2DFD}"/>
</file>

<file path=customXml/itemProps2.xml><?xml version="1.0" encoding="utf-8"?>
<ds:datastoreItem xmlns:ds="http://schemas.openxmlformats.org/officeDocument/2006/customXml" ds:itemID="{875CD954-5468-46A9-931E-9F0BE68ED7BC}"/>
</file>

<file path=customXml/itemProps3.xml><?xml version="1.0" encoding="utf-8"?>
<ds:datastoreItem xmlns:ds="http://schemas.openxmlformats.org/officeDocument/2006/customXml" ds:itemID="{1FD160CA-83F1-43AA-B694-53A61308497A}"/>
</file>

<file path=customXml/itemProps4.xml><?xml version="1.0" encoding="utf-8"?>
<ds:datastoreItem xmlns:ds="http://schemas.openxmlformats.org/officeDocument/2006/customXml" ds:itemID="{4A0D5B0E-54FF-42A0-B5E5-503A2CEE92A4}"/>
</file>

<file path=docProps/app.xml><?xml version="1.0" encoding="utf-8"?>
<Properties xmlns="http://schemas.openxmlformats.org/officeDocument/2006/extended-properties" xmlns:vt="http://schemas.openxmlformats.org/officeDocument/2006/docPropsVTypes">
  <Template>Normal</Template>
  <TotalTime>1</TotalTime>
  <Pages>9</Pages>
  <Words>3055</Words>
  <Characters>16803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Department of Justice / Ministère de la Justice</Company>
  <LinksUpToDate>false</LinksUpToDate>
  <CharactersWithSpaces>19819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Moore</dc:creator>
  <cp:keywords/>
  <dc:description/>
  <cp:lastModifiedBy>ClaudineP</cp:lastModifiedBy>
  <cp:revision>2</cp:revision>
  <cp:lastPrinted>2013-05-13T15:30:00Z</cp:lastPrinted>
  <dcterms:created xsi:type="dcterms:W3CDTF">2013-08-16T13:37:00Z</dcterms:created>
  <dcterms:modified xsi:type="dcterms:W3CDTF">2013-08-16T13:37:00Z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